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1A336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A24C506">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FA72497">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 xml:space="preserve"> </w:t>
            </w:r>
            <w:r>
              <w:rPr>
                <w:rFonts w:ascii="黑体" w:hAnsi="黑体" w:eastAsia="黑体"/>
                <w:sz w:val="21"/>
                <w:szCs w:val="21"/>
              </w:rPr>
              <w:fldChar w:fldCharType="end"/>
            </w:r>
            <w:bookmarkEnd w:id="0"/>
          </w:p>
        </w:tc>
      </w:tr>
      <w:tr w14:paraId="7A139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1A391A3">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3B16F075">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28"/>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1D85E63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5C46A71D">
            <w:pPr>
              <w:pStyle w:val="50"/>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default w:val="43"/>
                    <w:maxLength w:val="8"/>
                  </w:textInput>
                </w:ffData>
              </w:fldChar>
            </w:r>
            <w:bookmarkStart w:id="3" w:name="c1"/>
            <w:r>
              <w:instrText xml:space="preserve"> FORMTEXT </w:instrText>
            </w:r>
            <w:r>
              <w:fldChar w:fldCharType="separate"/>
            </w:r>
            <w:r>
              <w:t>43</w:t>
            </w:r>
            <w:r>
              <w:fldChar w:fldCharType="end"/>
            </w:r>
            <w:bookmarkEnd w:id="3"/>
          </w:p>
        </w:tc>
      </w:tr>
    </w:tbl>
    <w:p w14:paraId="34DDAE4A">
      <w:pPr>
        <w:pStyle w:val="51"/>
        <w:framePr w:w="9639" w:h="624" w:hRule="exact" w:hSpace="181" w:vSpace="181" w:wrap="around"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default w:val="湖南省"/>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37740C59">
      <w:pPr>
        <w:pStyle w:val="196"/>
        <w:framePr/>
        <w:rPr>
          <w:lang w:val="fr-FR"/>
        </w:rPr>
      </w:pPr>
      <w:r>
        <w:rPr>
          <w:lang w:val="fr-FR"/>
        </w:rPr>
        <w:t>DB</w:t>
      </w:r>
      <w:r>
        <w:rPr>
          <w:sz w:val="15"/>
          <w:szCs w:val="15"/>
          <w:lang w:val="fr-FR"/>
        </w:rPr>
        <w:t xml:space="preserve"> </w:t>
      </w:r>
      <w:r>
        <w:fldChar w:fldCharType="begin">
          <w:ffData>
            <w:name w:val="文字1"/>
            <w:enabled/>
            <w:calcOnExit w:val="0"/>
            <w:textInput>
              <w:default w:val="43/T"/>
            </w:textInput>
          </w:ffData>
        </w:fldChar>
      </w:r>
      <w:bookmarkStart w:id="5" w:name="文字1"/>
      <w:r>
        <w:instrText xml:space="preserve"> FORMTEXT </w:instrText>
      </w:r>
      <w:r>
        <w:fldChar w:fldCharType="separate"/>
      </w:r>
      <w:r>
        <w:t>43/T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7A0A8666">
      <w:pPr>
        <w:pStyle w:val="197"/>
        <w:framePr/>
        <w:rPr>
          <w:rFonts w:hint="eastAsia" w:hAnsi="黑体"/>
        </w:rPr>
      </w:pPr>
    </w:p>
    <w:p w14:paraId="00D2EF9E">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73F3DEA">
      <w:pPr>
        <w:pStyle w:val="51"/>
        <w:framePr w:w="9639" w:h="6976" w:hRule="exact" w:hSpace="0" w:vSpace="0" w:wrap="around" w:hAnchor="page" w:y="6408"/>
        <w:jc w:val="center"/>
        <w:rPr>
          <w:rFonts w:hint="eastAsia" w:ascii="黑体" w:hAnsi="黑体" w:eastAsia="黑体"/>
          <w:b w:val="0"/>
          <w:bCs w:val="0"/>
          <w:w w:val="100"/>
        </w:rPr>
      </w:pPr>
    </w:p>
    <w:p w14:paraId="103718B9">
      <w:pPr>
        <w:pStyle w:val="198"/>
        <w:framePr w:h="6974" w:hRule="exact" w:wrap="around" w:x="1419" w:anchorLock="1"/>
        <w:rPr>
          <w:rFonts w:hint="eastAsia"/>
        </w:rPr>
      </w:pPr>
      <w:r>
        <w:fldChar w:fldCharType="begin">
          <w:ffData>
            <w:name w:val="CSTD_NAME"/>
            <w:enabled/>
            <w:calcOnExit w:val="0"/>
            <w:textInput>
              <w:default w:val="地理标志产品 东安鸡"/>
            </w:textInput>
          </w:ffData>
        </w:fldChar>
      </w:r>
      <w:bookmarkStart w:id="8" w:name="CSTD_NAME"/>
      <w:r>
        <w:instrText xml:space="preserve"> FORMTEXT </w:instrText>
      </w:r>
      <w:r>
        <w:fldChar w:fldCharType="separate"/>
      </w:r>
      <w:r>
        <w:rPr>
          <w:rFonts w:hint="eastAsia"/>
        </w:rPr>
        <w:t>演出经纪机构等级划分与评定</w:t>
      </w:r>
      <w:r>
        <w:fldChar w:fldCharType="end"/>
      </w:r>
      <w:bookmarkEnd w:id="8"/>
    </w:p>
    <w:p w14:paraId="2CBC2090">
      <w:pPr>
        <w:framePr w:w="9639" w:h="6974" w:hRule="exact" w:wrap="around" w:vAnchor="page" w:hAnchor="page" w:x="1419" w:y="6408" w:anchorLock="1"/>
        <w:ind w:left="-1418"/>
      </w:pPr>
    </w:p>
    <w:p w14:paraId="483A065C">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Product of geographical indication-Dong'an chicken"/>
            </w:textInput>
          </w:ffData>
        </w:fldChar>
      </w:r>
      <w:bookmarkStart w:id="9" w:name="ESTD_NAME"/>
      <w:r>
        <w:rPr>
          <w:rFonts w:eastAsia="黑体"/>
          <w:szCs w:val="28"/>
        </w:rPr>
        <w:instrText xml:space="preserve"> FORMTEXT </w:instrText>
      </w:r>
      <w:r>
        <w:rPr>
          <w:rFonts w:eastAsia="黑体"/>
          <w:szCs w:val="28"/>
        </w:rPr>
        <w:fldChar w:fldCharType="separate"/>
      </w:r>
      <w:r>
        <w:rPr>
          <w:rFonts w:hint="eastAsia" w:eastAsia="黑体"/>
          <w:szCs w:val="28"/>
        </w:rPr>
        <w:t>Classification and assessment of performing arts agency</w:t>
      </w:r>
      <w:r>
        <w:rPr>
          <w:rFonts w:eastAsia="黑体"/>
          <w:szCs w:val="28"/>
        </w:rPr>
        <w:fldChar w:fldCharType="end"/>
      </w:r>
      <w:bookmarkEnd w:id="9"/>
    </w:p>
    <w:p w14:paraId="7512CD49">
      <w:pPr>
        <w:framePr w:w="9639" w:h="6974" w:hRule="exact" w:wrap="around" w:vAnchor="page" w:hAnchor="page" w:x="1419" w:y="6408" w:anchorLock="1"/>
        <w:spacing w:line="760" w:lineRule="exact"/>
        <w:ind w:left="-1418"/>
      </w:pPr>
    </w:p>
    <w:p w14:paraId="6D5A6FDD">
      <w:pPr>
        <w:pStyle w:val="126"/>
        <w:framePr w:w="9639" w:h="6974" w:hRule="exact" w:wrap="around" w:vAnchor="page" w:hAnchor="page" w:x="1419" w:y="6408" w:anchorLock="1"/>
        <w:textAlignment w:val="bottom"/>
        <w:rPr>
          <w:rFonts w:eastAsia="黑体"/>
          <w:szCs w:val="28"/>
        </w:rPr>
      </w:pPr>
    </w:p>
    <w:p w14:paraId="41826559">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14:paraId="4276EF1C">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1"/>
    </w:p>
    <w:p w14:paraId="67BFCE99">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14:paraId="4465C416">
      <w:pPr>
        <w:pStyle w:val="194"/>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14:paraId="0F20472D">
      <w:pPr>
        <w:pStyle w:val="195"/>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14:paraId="64575240">
      <w:pPr>
        <w:pStyle w:val="152"/>
        <w:framePr w:h="584" w:hRule="exact" w:hSpace="181" w:vSpace="181" w:wrap="around" w:y="15027"/>
        <w:rPr>
          <w:rFonts w:hint="eastAsia" w:hAnsi="黑体"/>
        </w:rPr>
      </w:pPr>
      <w:r>
        <w:rPr>
          <w:rFonts w:hAnsi="黑体"/>
          <w:w w:val="100"/>
          <w:sz w:val="28"/>
        </w:rPr>
        <w:fldChar w:fldCharType="begin">
          <w:ffData>
            <w:name w:val="fm"/>
            <w:enabled/>
            <w:calcOnExit w:val="0"/>
            <w:textInput>
              <w:default w:val="湖南省市场监督管理局"/>
            </w:textInput>
          </w:ffData>
        </w:fldChar>
      </w:r>
      <w:bookmarkStart w:id="19"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湖南省市场监督管理局</w:t>
      </w:r>
      <w:r>
        <w:rPr>
          <w:rFonts w:hAnsi="黑体"/>
          <w:w w:val="100"/>
          <w:sz w:val="28"/>
        </w:rPr>
        <w:fldChar w:fldCharType="end"/>
      </w:r>
      <w:bookmarkEnd w:id="19"/>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04FB5757">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9526246">
      <w:pPr>
        <w:pStyle w:val="92"/>
        <w:spacing w:after="468"/>
      </w:pPr>
      <w:bookmarkStart w:id="20" w:name="BookMark1"/>
      <w:bookmarkStart w:id="21" w:name="_Toc166597853"/>
      <w:bookmarkStart w:id="22" w:name="_Toc166599620"/>
      <w:bookmarkStart w:id="23" w:name="_Toc166661227"/>
      <w:bookmarkStart w:id="24" w:name="_Toc166678463"/>
      <w:bookmarkStart w:id="25" w:name="_Toc166660122"/>
      <w:r>
        <w:rPr>
          <w:rFonts w:hint="eastAsia"/>
          <w:spacing w:val="320"/>
        </w:rPr>
        <w:t>目</w:t>
      </w:r>
      <w:r>
        <w:rPr>
          <w:rFonts w:hint="eastAsia"/>
        </w:rPr>
        <w:t>次</w:t>
      </w:r>
    </w:p>
    <w:p w14:paraId="2890DDB7">
      <w:pPr>
        <w:pStyle w:val="19"/>
      </w:pPr>
      <w:r>
        <w:fldChar w:fldCharType="begin"/>
      </w:r>
      <w:r>
        <w:instrText xml:space="preserve"> TOC \o "1-1" \h </w:instrText>
      </w:r>
      <w:r>
        <w:fldChar w:fldCharType="separate"/>
      </w:r>
      <w:r>
        <w:fldChar w:fldCharType="begin"/>
      </w:r>
      <w:r>
        <w:instrText xml:space="preserve"> HYPERLINK \l "_Toc189" </w:instrText>
      </w:r>
      <w:r>
        <w:fldChar w:fldCharType="separate"/>
      </w:r>
      <w:r>
        <w:rPr>
          <w:spacing w:val="320"/>
        </w:rPr>
        <w:t>前</w:t>
      </w:r>
      <w:r>
        <w:t>言</w:t>
      </w:r>
      <w:r>
        <w:tab/>
      </w:r>
      <w:r>
        <w:fldChar w:fldCharType="begin"/>
      </w:r>
      <w:r>
        <w:instrText xml:space="preserve"> PAGEREF _Toc189 \h </w:instrText>
      </w:r>
      <w:r>
        <w:fldChar w:fldCharType="separate"/>
      </w:r>
      <w:r>
        <w:t>II</w:t>
      </w:r>
      <w:r>
        <w:fldChar w:fldCharType="end"/>
      </w:r>
      <w:r>
        <w:fldChar w:fldCharType="end"/>
      </w:r>
    </w:p>
    <w:p w14:paraId="5896777E">
      <w:pPr>
        <w:pStyle w:val="19"/>
      </w:pPr>
      <w:r>
        <w:fldChar w:fldCharType="begin"/>
      </w:r>
      <w:r>
        <w:instrText xml:space="preserve"> HYPERLINK \l "_Toc27577" </w:instrText>
      </w:r>
      <w:r>
        <w:fldChar w:fldCharType="separate"/>
      </w:r>
      <w:r>
        <w:rPr>
          <w:rFonts w:hint="eastAsia" w:ascii="黑体" w:eastAsia="黑体"/>
        </w:rPr>
        <w:t xml:space="preserve">1 </w:t>
      </w:r>
      <w:r>
        <w:rPr>
          <w:rFonts w:hint="eastAsia"/>
        </w:rPr>
        <w:t>范围</w:t>
      </w:r>
      <w:r>
        <w:tab/>
      </w:r>
      <w:r>
        <w:fldChar w:fldCharType="begin"/>
      </w:r>
      <w:r>
        <w:instrText xml:space="preserve"> PAGEREF _Toc27577 \h </w:instrText>
      </w:r>
      <w:r>
        <w:fldChar w:fldCharType="separate"/>
      </w:r>
      <w:r>
        <w:t>3</w:t>
      </w:r>
      <w:r>
        <w:fldChar w:fldCharType="end"/>
      </w:r>
      <w:r>
        <w:fldChar w:fldCharType="end"/>
      </w:r>
    </w:p>
    <w:p w14:paraId="1F72F797">
      <w:pPr>
        <w:pStyle w:val="19"/>
      </w:pPr>
      <w:r>
        <w:fldChar w:fldCharType="begin"/>
      </w:r>
      <w:r>
        <w:instrText xml:space="preserve"> HYPERLINK \l "_Toc30954" </w:instrText>
      </w:r>
      <w:r>
        <w:fldChar w:fldCharType="separate"/>
      </w:r>
      <w:r>
        <w:rPr>
          <w:rFonts w:hint="eastAsia" w:ascii="黑体" w:eastAsia="黑体"/>
        </w:rPr>
        <w:t xml:space="preserve">2 </w:t>
      </w:r>
      <w:r>
        <w:rPr>
          <w:rFonts w:hint="eastAsia"/>
        </w:rPr>
        <w:t>规范性引用文件</w:t>
      </w:r>
      <w:r>
        <w:tab/>
      </w:r>
      <w:r>
        <w:fldChar w:fldCharType="begin"/>
      </w:r>
      <w:r>
        <w:instrText xml:space="preserve"> PAGEREF _Toc30954 \h </w:instrText>
      </w:r>
      <w:r>
        <w:fldChar w:fldCharType="separate"/>
      </w:r>
      <w:r>
        <w:t>3</w:t>
      </w:r>
      <w:r>
        <w:fldChar w:fldCharType="end"/>
      </w:r>
      <w:r>
        <w:fldChar w:fldCharType="end"/>
      </w:r>
    </w:p>
    <w:p w14:paraId="18911507">
      <w:pPr>
        <w:pStyle w:val="19"/>
      </w:pPr>
      <w:r>
        <w:fldChar w:fldCharType="begin"/>
      </w:r>
      <w:r>
        <w:instrText xml:space="preserve"> HYPERLINK \l "_Toc13722" </w:instrText>
      </w:r>
      <w:r>
        <w:fldChar w:fldCharType="separate"/>
      </w:r>
      <w:r>
        <w:rPr>
          <w:rFonts w:hint="eastAsia" w:ascii="黑体" w:eastAsia="黑体"/>
        </w:rPr>
        <w:t xml:space="preserve">3 </w:t>
      </w:r>
      <w:r>
        <w:rPr>
          <w:rFonts w:hint="eastAsia"/>
        </w:rPr>
        <w:t>术语和定义</w:t>
      </w:r>
      <w:r>
        <w:tab/>
      </w:r>
      <w:r>
        <w:fldChar w:fldCharType="begin"/>
      </w:r>
      <w:r>
        <w:instrText xml:space="preserve"> PAGEREF _Toc13722 \h </w:instrText>
      </w:r>
      <w:r>
        <w:fldChar w:fldCharType="separate"/>
      </w:r>
      <w:r>
        <w:t>3</w:t>
      </w:r>
      <w:r>
        <w:fldChar w:fldCharType="end"/>
      </w:r>
      <w:r>
        <w:fldChar w:fldCharType="end"/>
      </w:r>
    </w:p>
    <w:p w14:paraId="10E077BA">
      <w:pPr>
        <w:pStyle w:val="19"/>
      </w:pPr>
      <w:r>
        <w:fldChar w:fldCharType="begin"/>
      </w:r>
      <w:r>
        <w:instrText xml:space="preserve"> HYPERLINK \l "_Toc9902" </w:instrText>
      </w:r>
      <w:r>
        <w:fldChar w:fldCharType="separate"/>
      </w:r>
      <w:r>
        <w:rPr>
          <w:rFonts w:hint="eastAsia" w:ascii="黑体" w:eastAsia="黑体"/>
        </w:rPr>
        <w:t xml:space="preserve">4 </w:t>
      </w:r>
      <w:r>
        <w:rPr>
          <w:rFonts w:hint="eastAsia"/>
        </w:rPr>
        <w:t>评定原则</w:t>
      </w:r>
      <w:r>
        <w:tab/>
      </w:r>
      <w:r>
        <w:fldChar w:fldCharType="begin"/>
      </w:r>
      <w:r>
        <w:instrText xml:space="preserve"> PAGEREF _Toc9902 \h </w:instrText>
      </w:r>
      <w:r>
        <w:fldChar w:fldCharType="separate"/>
      </w:r>
      <w:r>
        <w:t>3</w:t>
      </w:r>
      <w:r>
        <w:fldChar w:fldCharType="end"/>
      </w:r>
      <w:r>
        <w:fldChar w:fldCharType="end"/>
      </w:r>
    </w:p>
    <w:p w14:paraId="0E5DC74E">
      <w:pPr>
        <w:pStyle w:val="19"/>
      </w:pPr>
      <w:r>
        <w:fldChar w:fldCharType="begin"/>
      </w:r>
      <w:r>
        <w:instrText xml:space="preserve"> HYPERLINK \l "_Toc8762" </w:instrText>
      </w:r>
      <w:r>
        <w:fldChar w:fldCharType="separate"/>
      </w:r>
      <w:r>
        <w:rPr>
          <w:rFonts w:hint="eastAsia" w:ascii="黑体" w:eastAsia="黑体"/>
        </w:rPr>
        <w:t xml:space="preserve">5 </w:t>
      </w:r>
      <w:r>
        <w:rPr>
          <w:rFonts w:hint="eastAsia"/>
        </w:rPr>
        <w:t>参评条件</w:t>
      </w:r>
      <w:r>
        <w:tab/>
      </w:r>
      <w:r>
        <w:fldChar w:fldCharType="begin"/>
      </w:r>
      <w:r>
        <w:instrText xml:space="preserve"> PAGEREF _Toc8762 \h </w:instrText>
      </w:r>
      <w:r>
        <w:fldChar w:fldCharType="separate"/>
      </w:r>
      <w:r>
        <w:t>3</w:t>
      </w:r>
      <w:r>
        <w:fldChar w:fldCharType="end"/>
      </w:r>
      <w:r>
        <w:fldChar w:fldCharType="end"/>
      </w:r>
    </w:p>
    <w:p w14:paraId="3EB3BFAC">
      <w:pPr>
        <w:pStyle w:val="19"/>
      </w:pPr>
      <w:r>
        <w:fldChar w:fldCharType="begin"/>
      </w:r>
      <w:r>
        <w:instrText xml:space="preserve"> HYPERLINK \l "_Toc14003" </w:instrText>
      </w:r>
      <w:r>
        <w:fldChar w:fldCharType="separate"/>
      </w:r>
      <w:r>
        <w:rPr>
          <w:rFonts w:hint="eastAsia" w:ascii="黑体" w:eastAsia="黑体"/>
        </w:rPr>
        <w:t xml:space="preserve">6 </w:t>
      </w:r>
      <w:r>
        <w:rPr>
          <w:rFonts w:hint="eastAsia"/>
        </w:rPr>
        <w:t>基本要求</w:t>
      </w:r>
      <w:r>
        <w:tab/>
      </w:r>
      <w:r>
        <w:fldChar w:fldCharType="begin"/>
      </w:r>
      <w:r>
        <w:instrText xml:space="preserve"> PAGEREF _Toc14003 \h </w:instrText>
      </w:r>
      <w:r>
        <w:fldChar w:fldCharType="separate"/>
      </w:r>
      <w:r>
        <w:t>4</w:t>
      </w:r>
      <w:r>
        <w:fldChar w:fldCharType="end"/>
      </w:r>
      <w:r>
        <w:fldChar w:fldCharType="end"/>
      </w:r>
    </w:p>
    <w:p w14:paraId="10CCF624">
      <w:pPr>
        <w:pStyle w:val="19"/>
      </w:pPr>
      <w:r>
        <w:fldChar w:fldCharType="begin"/>
      </w:r>
      <w:r>
        <w:instrText xml:space="preserve"> HYPERLINK \l "_Toc18845" </w:instrText>
      </w:r>
      <w:r>
        <w:fldChar w:fldCharType="separate"/>
      </w:r>
      <w:r>
        <w:rPr>
          <w:rFonts w:hint="eastAsia" w:ascii="黑体" w:eastAsia="黑体"/>
        </w:rPr>
        <w:t xml:space="preserve">7 </w:t>
      </w:r>
      <w:r>
        <w:rPr>
          <w:rFonts w:hint="eastAsia"/>
        </w:rPr>
        <w:t>安全管理</w:t>
      </w:r>
      <w:r>
        <w:tab/>
      </w:r>
      <w:r>
        <w:fldChar w:fldCharType="begin"/>
      </w:r>
      <w:r>
        <w:instrText xml:space="preserve"> PAGEREF _Toc18845 \h </w:instrText>
      </w:r>
      <w:r>
        <w:fldChar w:fldCharType="separate"/>
      </w:r>
      <w:r>
        <w:t>4</w:t>
      </w:r>
      <w:r>
        <w:fldChar w:fldCharType="end"/>
      </w:r>
      <w:r>
        <w:fldChar w:fldCharType="end"/>
      </w:r>
    </w:p>
    <w:p w14:paraId="220B6F96">
      <w:pPr>
        <w:pStyle w:val="19"/>
      </w:pPr>
      <w:r>
        <w:fldChar w:fldCharType="begin"/>
      </w:r>
      <w:r>
        <w:instrText xml:space="preserve"> HYPERLINK \l "_Toc11979" </w:instrText>
      </w:r>
      <w:r>
        <w:fldChar w:fldCharType="separate"/>
      </w:r>
      <w:r>
        <w:rPr>
          <w:rFonts w:hint="eastAsia" w:ascii="黑体" w:eastAsia="黑体"/>
        </w:rPr>
        <w:t xml:space="preserve">8 </w:t>
      </w:r>
      <w:r>
        <w:rPr>
          <w:rFonts w:hint="eastAsia"/>
        </w:rPr>
        <w:t>服务管理</w:t>
      </w:r>
      <w:r>
        <w:tab/>
      </w:r>
      <w:r>
        <w:fldChar w:fldCharType="begin"/>
      </w:r>
      <w:r>
        <w:instrText xml:space="preserve"> PAGEREF _Toc11979 \h </w:instrText>
      </w:r>
      <w:r>
        <w:fldChar w:fldCharType="separate"/>
      </w:r>
      <w:r>
        <w:t>4</w:t>
      </w:r>
      <w:r>
        <w:fldChar w:fldCharType="end"/>
      </w:r>
      <w:r>
        <w:fldChar w:fldCharType="end"/>
      </w:r>
    </w:p>
    <w:p w14:paraId="2BC4A349">
      <w:pPr>
        <w:pStyle w:val="19"/>
      </w:pPr>
      <w:r>
        <w:fldChar w:fldCharType="begin"/>
      </w:r>
      <w:r>
        <w:instrText xml:space="preserve"> HYPERLINK \l "_Toc14511" </w:instrText>
      </w:r>
      <w:r>
        <w:fldChar w:fldCharType="separate"/>
      </w:r>
      <w:r>
        <w:rPr>
          <w:rFonts w:hint="eastAsia" w:ascii="黑体" w:eastAsia="黑体"/>
        </w:rPr>
        <w:t xml:space="preserve">9 </w:t>
      </w:r>
      <w:r>
        <w:rPr>
          <w:rFonts w:hint="eastAsia"/>
        </w:rPr>
        <w:t>运营管理</w:t>
      </w:r>
      <w:r>
        <w:tab/>
      </w:r>
      <w:r>
        <w:fldChar w:fldCharType="begin"/>
      </w:r>
      <w:r>
        <w:instrText xml:space="preserve"> PAGEREF _Toc14511 \h </w:instrText>
      </w:r>
      <w:r>
        <w:fldChar w:fldCharType="separate"/>
      </w:r>
      <w:r>
        <w:t>5</w:t>
      </w:r>
      <w:r>
        <w:fldChar w:fldCharType="end"/>
      </w:r>
      <w:r>
        <w:fldChar w:fldCharType="end"/>
      </w:r>
    </w:p>
    <w:p w14:paraId="31B90089">
      <w:pPr>
        <w:pStyle w:val="19"/>
      </w:pPr>
      <w:r>
        <w:fldChar w:fldCharType="begin"/>
      </w:r>
      <w:r>
        <w:instrText xml:space="preserve"> HYPERLINK \l "_Toc29992" </w:instrText>
      </w:r>
      <w:r>
        <w:fldChar w:fldCharType="separate"/>
      </w:r>
      <w:r>
        <w:rPr>
          <w:rFonts w:hint="eastAsia" w:ascii="黑体" w:eastAsia="黑体"/>
        </w:rPr>
        <w:t xml:space="preserve">10 </w:t>
      </w:r>
      <w:r>
        <w:rPr>
          <w:rFonts w:hint="eastAsia"/>
        </w:rPr>
        <w:t>评定指标</w:t>
      </w:r>
      <w:r>
        <w:tab/>
      </w:r>
      <w:r>
        <w:fldChar w:fldCharType="begin"/>
      </w:r>
      <w:r>
        <w:instrText xml:space="preserve"> PAGEREF _Toc29992 \h </w:instrText>
      </w:r>
      <w:r>
        <w:fldChar w:fldCharType="separate"/>
      </w:r>
      <w:r>
        <w:t>5</w:t>
      </w:r>
      <w:r>
        <w:fldChar w:fldCharType="end"/>
      </w:r>
      <w:r>
        <w:fldChar w:fldCharType="end"/>
      </w:r>
    </w:p>
    <w:p w14:paraId="21565985">
      <w:pPr>
        <w:pStyle w:val="19"/>
      </w:pPr>
      <w:r>
        <w:fldChar w:fldCharType="begin"/>
      </w:r>
      <w:r>
        <w:instrText xml:space="preserve"> HYPERLINK \l "_Toc24067" </w:instrText>
      </w:r>
      <w:r>
        <w:fldChar w:fldCharType="separate"/>
      </w:r>
      <w:r>
        <w:rPr>
          <w:rFonts w:hint="eastAsia" w:ascii="黑体" w:eastAsia="黑体"/>
        </w:rPr>
        <w:t xml:space="preserve">11 </w:t>
      </w:r>
      <w:r>
        <w:rPr>
          <w:rFonts w:hint="eastAsia"/>
        </w:rPr>
        <w:t>评定结果</w:t>
      </w:r>
      <w:r>
        <w:tab/>
      </w:r>
      <w:r>
        <w:fldChar w:fldCharType="begin"/>
      </w:r>
      <w:r>
        <w:instrText xml:space="preserve"> PAGEREF _Toc24067 \h </w:instrText>
      </w:r>
      <w:r>
        <w:fldChar w:fldCharType="separate"/>
      </w:r>
      <w:r>
        <w:t>5</w:t>
      </w:r>
      <w:r>
        <w:fldChar w:fldCharType="end"/>
      </w:r>
      <w:r>
        <w:fldChar w:fldCharType="end"/>
      </w:r>
    </w:p>
    <w:p w14:paraId="08B4FD51">
      <w:pPr>
        <w:pStyle w:val="19"/>
      </w:pPr>
      <w:r>
        <w:fldChar w:fldCharType="begin"/>
      </w:r>
      <w:r>
        <w:instrText xml:space="preserve"> HYPERLINK \l "_Toc657" </w:instrText>
      </w:r>
      <w:r>
        <w:fldChar w:fldCharType="separate"/>
      </w:r>
      <w:r>
        <w:rPr>
          <w:rFonts w:hint="eastAsia" w:ascii="黑体" w:eastAsia="黑体"/>
        </w:rPr>
        <w:t xml:space="preserve">12 </w:t>
      </w:r>
      <w:r>
        <w:rPr>
          <w:rFonts w:hint="eastAsia"/>
        </w:rPr>
        <w:t>结果应用</w:t>
      </w:r>
      <w:r>
        <w:tab/>
      </w:r>
      <w:r>
        <w:fldChar w:fldCharType="begin"/>
      </w:r>
      <w:r>
        <w:instrText xml:space="preserve"> PAGEREF _Toc657 \h </w:instrText>
      </w:r>
      <w:r>
        <w:fldChar w:fldCharType="separate"/>
      </w:r>
      <w:r>
        <w:t>5</w:t>
      </w:r>
      <w:r>
        <w:fldChar w:fldCharType="end"/>
      </w:r>
      <w:r>
        <w:fldChar w:fldCharType="end"/>
      </w:r>
    </w:p>
    <w:p w14:paraId="2266B02B">
      <w:pPr>
        <w:pStyle w:val="19"/>
      </w:pPr>
      <w:r>
        <w:fldChar w:fldCharType="begin"/>
      </w:r>
      <w:r>
        <w:instrText xml:space="preserve"> HYPERLINK \l "_Toc2489" </w:instrText>
      </w:r>
      <w:r>
        <w:fldChar w:fldCharType="separate"/>
      </w:r>
      <w:r>
        <w:rPr>
          <w:rFonts w:hint="eastAsia"/>
          <w:spacing w:val="100"/>
        </w:rPr>
        <w:t xml:space="preserve">附录A </w:t>
      </w:r>
      <w:r>
        <w:rPr>
          <w:rFonts w:hint="eastAsia"/>
        </w:rPr>
        <w:t xml:space="preserve"> （规范性） 演艺经纪机构评定指标</w:t>
      </w:r>
      <w:r>
        <w:tab/>
      </w:r>
      <w:r>
        <w:rPr>
          <w:rFonts w:hint="eastAsia"/>
        </w:rPr>
        <w:t>6</w:t>
      </w:r>
      <w:r>
        <w:rPr>
          <w:rFonts w:hint="eastAsia"/>
        </w:rPr>
        <w:fldChar w:fldCharType="end"/>
      </w:r>
    </w:p>
    <w:p w14:paraId="58812DBF">
      <w:pPr>
        <w:pStyle w:val="92"/>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0"/>
    <w:p w14:paraId="6EC4E734">
      <w:pPr>
        <w:pStyle w:val="90"/>
        <w:spacing w:before="900" w:after="468"/>
      </w:pPr>
      <w:bookmarkStart w:id="26" w:name="_Toc189"/>
      <w:bookmarkStart w:id="27" w:name="BookMark2"/>
      <w:r>
        <w:rPr>
          <w:spacing w:val="320"/>
        </w:rPr>
        <w:t>前</w:t>
      </w:r>
      <w:r>
        <w:t>言</w:t>
      </w:r>
      <w:bookmarkEnd w:id="21"/>
      <w:bookmarkEnd w:id="22"/>
      <w:bookmarkEnd w:id="23"/>
      <w:bookmarkEnd w:id="24"/>
      <w:bookmarkEnd w:id="25"/>
      <w:bookmarkEnd w:id="26"/>
    </w:p>
    <w:p w14:paraId="12E6A889">
      <w:pPr>
        <w:pStyle w:val="57"/>
        <w:ind w:firstLine="420"/>
      </w:pPr>
      <w:r>
        <w:rPr>
          <w:rFonts w:hint="eastAsia"/>
        </w:rPr>
        <w:t>按照GB/T 1.1—2020《标准化工作导则 第1部分：标准化文件的结构和起草规则》的规定起草。</w:t>
      </w:r>
    </w:p>
    <w:p w14:paraId="35DC3FF3">
      <w:pPr>
        <w:pStyle w:val="57"/>
        <w:ind w:firstLine="420"/>
      </w:pPr>
      <w:r>
        <w:rPr>
          <w:rFonts w:hint="eastAsia"/>
        </w:rPr>
        <w:t>请注意本文件的某些内容可能涉及专利。本文件的发布机构不承担识别专利的责任。</w:t>
      </w:r>
    </w:p>
    <w:p w14:paraId="5D8E1F3F">
      <w:pPr>
        <w:pStyle w:val="57"/>
        <w:ind w:firstLine="420"/>
      </w:pPr>
      <w:r>
        <w:rPr>
          <w:rFonts w:hint="eastAsia"/>
        </w:rPr>
        <w:t>本文件由湖南省文化和旅游厅提出。</w:t>
      </w:r>
    </w:p>
    <w:p w14:paraId="3051A927">
      <w:pPr>
        <w:pStyle w:val="57"/>
        <w:ind w:firstLine="420"/>
      </w:pPr>
      <w:r>
        <w:rPr>
          <w:rFonts w:hint="eastAsia"/>
        </w:rPr>
        <w:t>本文件由湖南省湖南省旅游标准化技术委员会归口。</w:t>
      </w:r>
    </w:p>
    <w:p w14:paraId="47D2FAE9">
      <w:pPr>
        <w:pStyle w:val="57"/>
        <w:ind w:firstLine="420"/>
      </w:pPr>
      <w:r>
        <w:rPr>
          <w:rFonts w:hint="eastAsia"/>
        </w:rPr>
        <w:t>本文件起草单位：湖南省文化旅游演艺促进会、湖南天地人律师事务所</w:t>
      </w:r>
    </w:p>
    <w:p w14:paraId="03F089E6">
      <w:pPr>
        <w:pStyle w:val="57"/>
        <w:ind w:firstLine="420"/>
      </w:pPr>
      <w:r>
        <w:rPr>
          <w:rFonts w:hint="eastAsia"/>
        </w:rPr>
        <w:t>本文件主要起草人：张普龙、李明、何青、马从欢、谢胜波、史坚、张红卫。</w:t>
      </w:r>
    </w:p>
    <w:p w14:paraId="3DE6FA72">
      <w:pPr>
        <w:pStyle w:val="57"/>
        <w:ind w:firstLine="420"/>
      </w:pPr>
    </w:p>
    <w:p w14:paraId="6122C29A">
      <w:pPr>
        <w:pStyle w:val="57"/>
        <w:ind w:firstLine="420"/>
        <w:sectPr>
          <w:pgSz w:w="11906" w:h="16838"/>
          <w:pgMar w:top="1928" w:right="1134" w:bottom="1134" w:left="1134" w:header="1418" w:footer="1134" w:gutter="284"/>
          <w:pgNumType w:fmt="upperRoman"/>
          <w:cols w:space="425" w:num="1"/>
          <w:formProt w:val="0"/>
          <w:docGrid w:type="lines" w:linePitch="312" w:charSpace="0"/>
        </w:sectPr>
      </w:pPr>
    </w:p>
    <w:bookmarkEnd w:id="27"/>
    <w:p w14:paraId="0D9069F6">
      <w:pPr>
        <w:spacing w:line="20" w:lineRule="exact"/>
        <w:jc w:val="center"/>
        <w:rPr>
          <w:rFonts w:hint="eastAsia" w:ascii="黑体" w:hAnsi="黑体" w:eastAsia="黑体"/>
          <w:sz w:val="32"/>
          <w:szCs w:val="32"/>
        </w:rPr>
      </w:pPr>
      <w:bookmarkStart w:id="28" w:name="BookMark4"/>
    </w:p>
    <w:p w14:paraId="783DB7F0">
      <w:pPr>
        <w:spacing w:line="20" w:lineRule="exact"/>
        <w:jc w:val="center"/>
        <w:rPr>
          <w:rFonts w:hint="eastAsia" w:ascii="黑体" w:hAnsi="黑体" w:eastAsia="黑体"/>
          <w:sz w:val="32"/>
          <w:szCs w:val="32"/>
        </w:rPr>
      </w:pPr>
    </w:p>
    <w:sdt>
      <w:sdtPr>
        <w:tag w:val="NEW_STAND_NAME"/>
        <w:id w:val="595910757"/>
        <w:lock w:val="sdtLocked"/>
        <w:placeholder>
          <w:docPart w:val="7FFC63EF94424F52BFFE221BF266E21A"/>
        </w:placeholder>
      </w:sdtPr>
      <w:sdtContent>
        <w:p w14:paraId="72C66D84">
          <w:pPr>
            <w:pStyle w:val="178"/>
            <w:spacing w:before="3" w:beforeLines="1" w:after="686" w:afterLines="220"/>
            <w:rPr>
              <w:rFonts w:hint="eastAsia"/>
            </w:rPr>
          </w:pPr>
          <w:bookmarkStart w:id="29" w:name="NEW_STAND_NAME"/>
          <w:r>
            <w:rPr>
              <w:rFonts w:hint="eastAsia"/>
            </w:rPr>
            <w:t>演出经纪机构等级划分与评定</w:t>
          </w:r>
        </w:p>
      </w:sdtContent>
    </w:sdt>
    <w:bookmarkEnd w:id="29"/>
    <w:p w14:paraId="4164608E">
      <w:pPr>
        <w:pStyle w:val="105"/>
        <w:spacing w:before="312" w:after="312"/>
      </w:pPr>
      <w:bookmarkStart w:id="30" w:name="_Toc26986771"/>
      <w:bookmarkStart w:id="31" w:name="_Toc166661228"/>
      <w:bookmarkStart w:id="32" w:name="_Toc166660123"/>
      <w:bookmarkStart w:id="33" w:name="_Toc17233333"/>
      <w:bookmarkStart w:id="34" w:name="_Toc166599621"/>
      <w:bookmarkStart w:id="35" w:name="_Toc166678464"/>
      <w:bookmarkStart w:id="36" w:name="_Toc133412489"/>
      <w:bookmarkStart w:id="37" w:name="_Toc26986530"/>
      <w:bookmarkStart w:id="38" w:name="_Toc17233325"/>
      <w:bookmarkStart w:id="39" w:name="_Toc27577"/>
      <w:bookmarkStart w:id="40" w:name="_Toc26648465"/>
      <w:bookmarkStart w:id="41" w:name="_Toc24884218"/>
      <w:bookmarkStart w:id="42" w:name="_Toc26718930"/>
      <w:bookmarkStart w:id="43" w:name="_Toc24884211"/>
      <w:bookmarkStart w:id="44" w:name="_Toc166597854"/>
      <w:bookmarkStart w:id="45" w:name="_Toc97191423"/>
      <w:r>
        <w:rPr>
          <w:rFonts w:hint="eastAsia"/>
        </w:rPr>
        <w:t>范围</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42D90E50">
      <w:pPr>
        <w:pStyle w:val="57"/>
        <w:ind w:firstLine="420"/>
        <w:rPr>
          <w:highlight w:val="red"/>
        </w:rPr>
      </w:pPr>
      <w:bookmarkStart w:id="46" w:name="_Toc17233326"/>
      <w:bookmarkStart w:id="47" w:name="_Toc17233334"/>
      <w:bookmarkStart w:id="48" w:name="_Toc26648466"/>
      <w:bookmarkStart w:id="49" w:name="_Toc24884219"/>
      <w:bookmarkStart w:id="50" w:name="_Toc24884212"/>
      <w:r>
        <w:rPr>
          <w:rFonts w:hint="eastAsia"/>
        </w:rPr>
        <w:t>本文件规定了演出经纪机构的术语和定义、评定原则、参评条件、基本要求、安全管理、服务管理、运营管理、评定指标及评定结果市场应用。</w:t>
      </w:r>
    </w:p>
    <w:p w14:paraId="1C06EE07">
      <w:pPr>
        <w:pStyle w:val="57"/>
        <w:ind w:firstLine="420"/>
      </w:pPr>
      <w:r>
        <w:rPr>
          <w:rFonts w:hint="eastAsia"/>
        </w:rPr>
        <w:t>本文件适用于湖南省演出经纪机构的等级划分、评定与动态管理。</w:t>
      </w:r>
    </w:p>
    <w:p w14:paraId="50E649A6">
      <w:pPr>
        <w:pStyle w:val="105"/>
        <w:spacing w:before="312" w:after="312"/>
      </w:pPr>
      <w:bookmarkStart w:id="51" w:name="_Toc166660124"/>
      <w:bookmarkStart w:id="52" w:name="_Toc166661229"/>
      <w:bookmarkStart w:id="53" w:name="_Toc26718931"/>
      <w:bookmarkStart w:id="54" w:name="_Toc26986772"/>
      <w:bookmarkStart w:id="55" w:name="_Toc133412490"/>
      <w:bookmarkStart w:id="56" w:name="_Toc166599622"/>
      <w:bookmarkStart w:id="57" w:name="_Toc166678465"/>
      <w:bookmarkStart w:id="58" w:name="_Toc26986531"/>
      <w:bookmarkStart w:id="59" w:name="_Toc30954"/>
      <w:bookmarkStart w:id="60" w:name="_Toc166597855"/>
      <w:bookmarkStart w:id="61" w:name="_Toc97191424"/>
      <w:r>
        <w:rPr>
          <w:rFonts w:hint="eastAsia"/>
        </w:rPr>
        <w:t>规范性引用文件</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sdt>
      <w:sdtPr>
        <w:rPr>
          <w:rFonts w:hint="eastAsia"/>
        </w:rPr>
        <w:id w:val="715848253"/>
        <w:placeholder>
          <w:docPart w:val="A4F1E583ACC54CED83F9623844BDEE9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2DA44D9B">
          <w:pPr>
            <w:pStyle w:val="57"/>
            <w:ind w:firstLine="420"/>
            <w:rPr>
              <w:highlight w:val="yellow"/>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3420728">
      <w:pPr>
        <w:pStyle w:val="57"/>
        <w:ind w:firstLine="420"/>
      </w:pPr>
      <w:r>
        <w:rPr>
          <w:rFonts w:hint="eastAsia"/>
        </w:rPr>
        <w:t>GB/T 19039  顾客满意测评通则</w:t>
      </w:r>
    </w:p>
    <w:p w14:paraId="671946D2">
      <w:pPr>
        <w:pStyle w:val="57"/>
        <w:ind w:firstLine="420"/>
      </w:pPr>
      <w:r>
        <w:rPr>
          <w:rFonts w:hint="eastAsia"/>
        </w:rPr>
        <w:t>GB/T 36729  演出安全</w:t>
      </w:r>
    </w:p>
    <w:p w14:paraId="4FBED675">
      <w:pPr>
        <w:pStyle w:val="57"/>
        <w:ind w:firstLine="420"/>
      </w:pPr>
      <w:r>
        <w:rPr>
          <w:rFonts w:hint="eastAsia"/>
        </w:rPr>
        <w:t>GB/T 36733  服务质量评价通则</w:t>
      </w:r>
    </w:p>
    <w:p w14:paraId="67361D1E">
      <w:pPr>
        <w:pStyle w:val="105"/>
        <w:spacing w:before="312" w:after="312"/>
      </w:pPr>
      <w:bookmarkStart w:id="62" w:name="_Toc97191425"/>
      <w:bookmarkStart w:id="63" w:name="_Toc166597856"/>
      <w:bookmarkStart w:id="64" w:name="_Toc166599623"/>
      <w:bookmarkStart w:id="65" w:name="_Toc166661230"/>
      <w:bookmarkStart w:id="66" w:name="_Toc133412491"/>
      <w:bookmarkStart w:id="67" w:name="_Toc13722"/>
      <w:bookmarkStart w:id="68" w:name="_Toc166660125"/>
      <w:bookmarkStart w:id="69" w:name="_Toc166678466"/>
      <w:r>
        <w:rPr>
          <w:rFonts w:hint="eastAsia"/>
          <w:szCs w:val="21"/>
        </w:rPr>
        <w:t>术语和定义</w:t>
      </w:r>
      <w:bookmarkEnd w:id="62"/>
      <w:bookmarkEnd w:id="63"/>
      <w:bookmarkEnd w:id="64"/>
      <w:bookmarkEnd w:id="65"/>
      <w:bookmarkEnd w:id="66"/>
      <w:bookmarkEnd w:id="67"/>
      <w:bookmarkEnd w:id="68"/>
      <w:bookmarkEnd w:id="69"/>
    </w:p>
    <w:p w14:paraId="22080734">
      <w:pPr>
        <w:pStyle w:val="57"/>
        <w:ind w:firstLine="420"/>
      </w:pPr>
      <w:sdt>
        <w:sdtPr>
          <w:id w:val="-1"/>
          <w:placeholder>
            <w:docPart w:val="FFA5276BB96142B99DE08F573DE49D1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bookmarkStart w:id="70" w:name="_Toc26986532"/>
          <w:bookmarkEnd w:id="70"/>
          <w:r>
            <w:t>下列术语和定义适用于本文件。</w:t>
          </w:r>
        </w:sdtContent>
      </w:sdt>
      <w:bookmarkStart w:id="71" w:name="_Toc133412492"/>
    </w:p>
    <w:p w14:paraId="290920AC">
      <w:pPr>
        <w:pStyle w:val="224"/>
        <w:ind w:left="420" w:hanging="420" w:hangingChars="200"/>
        <w:rPr>
          <w:rFonts w:hint="eastAsia" w:ascii="黑体" w:hAnsi="黑体" w:eastAsia="黑体" w:cs="黑体"/>
        </w:rPr>
      </w:pPr>
      <w:r>
        <w:rPr>
          <w:rFonts w:hint="eastAsia" w:ascii="黑体" w:hAnsi="黑体" w:eastAsia="黑体" w:cs="黑体"/>
        </w:rPr>
        <w:br w:type="textWrapping"/>
      </w:r>
      <w:r>
        <w:rPr>
          <w:rFonts w:hint="eastAsia" w:ascii="黑体" w:hAnsi="黑体" w:eastAsia="黑体" w:cs="黑体"/>
        </w:rPr>
        <w:t>演出经纪机构 performing arts agency</w:t>
      </w:r>
    </w:p>
    <w:p w14:paraId="5E372499">
      <w:pPr>
        <w:pStyle w:val="57"/>
        <w:ind w:firstLine="420"/>
      </w:pPr>
      <w:r>
        <w:rPr>
          <w:rFonts w:hint="eastAsia"/>
        </w:rPr>
        <w:t>在湖南省内依法注册的，具备3名以上专职演出经纪人员和与其业务相适应的资金，获得营业性演出许可证（含网络表演），能从事演出组织、制作、营销等经营活动，以及演出居间、代理、行纪和演员签约、推广、代理等经纪活动的经营单位。</w:t>
      </w:r>
    </w:p>
    <w:bookmarkEnd w:id="71"/>
    <w:p w14:paraId="0483F1AE">
      <w:pPr>
        <w:pStyle w:val="105"/>
        <w:spacing w:before="312" w:after="312"/>
      </w:pPr>
      <w:bookmarkStart w:id="72" w:name="_Toc9902"/>
      <w:bookmarkStart w:id="73" w:name="_Toc133412493"/>
      <w:r>
        <w:rPr>
          <w:rFonts w:hint="eastAsia"/>
        </w:rPr>
        <w:t>评定原则</w:t>
      </w:r>
      <w:bookmarkEnd w:id="72"/>
    </w:p>
    <w:p w14:paraId="54DB497F">
      <w:pPr>
        <w:pStyle w:val="163"/>
      </w:pPr>
      <w:r>
        <w:rPr>
          <w:rFonts w:hint="eastAsia"/>
        </w:rPr>
        <w:t>中立性。评价过程应杜绝主观倾向，避免利益关联，保持立场公允。</w:t>
      </w:r>
    </w:p>
    <w:p w14:paraId="7B9F6A32">
      <w:pPr>
        <w:pStyle w:val="163"/>
      </w:pPr>
      <w:r>
        <w:rPr>
          <w:rFonts w:hint="eastAsia"/>
        </w:rPr>
        <w:t>综合性。多维度选取评价指标，综合反映演出经纪机构的整体水平。</w:t>
      </w:r>
    </w:p>
    <w:p w14:paraId="2DB9F0EF">
      <w:pPr>
        <w:pStyle w:val="163"/>
      </w:pPr>
      <w:r>
        <w:rPr>
          <w:rFonts w:hint="eastAsia"/>
        </w:rPr>
        <w:t>公正性。通过评价结果的公开、公示，引导、规范演出经纪机构合法经营，提升全省演出经纪机构经营服务水平。</w:t>
      </w:r>
    </w:p>
    <w:p w14:paraId="515CC289">
      <w:pPr>
        <w:pStyle w:val="163"/>
      </w:pPr>
      <w:r>
        <w:rPr>
          <w:rFonts w:hint="eastAsia"/>
        </w:rPr>
        <w:t>科学性。科学、合理地设置评价标准，客观真实反映演出经纪机构实际状况。</w:t>
      </w:r>
    </w:p>
    <w:p w14:paraId="6E9FE712">
      <w:pPr>
        <w:pStyle w:val="163"/>
      </w:pPr>
      <w:r>
        <w:rPr>
          <w:rFonts w:hint="eastAsia"/>
        </w:rPr>
        <w:t>保密性。严格保护参评主体敏感信息，防止数据泄露和不当使用。</w:t>
      </w:r>
    </w:p>
    <w:p w14:paraId="07708D90">
      <w:pPr>
        <w:pStyle w:val="163"/>
      </w:pPr>
      <w:r>
        <w:rPr>
          <w:rFonts w:hint="eastAsia"/>
        </w:rPr>
        <w:t>动态性。定期对演出经纪机构进行重新评定，使评定结果始终反映经纪机构的实际水平。</w:t>
      </w:r>
    </w:p>
    <w:bookmarkEnd w:id="73"/>
    <w:p w14:paraId="03F36FB5">
      <w:pPr>
        <w:pStyle w:val="105"/>
        <w:spacing w:before="312" w:after="312"/>
      </w:pPr>
      <w:bookmarkStart w:id="74" w:name="_Toc8762"/>
      <w:bookmarkStart w:id="75" w:name="_Toc133412496"/>
      <w:r>
        <w:rPr>
          <w:rFonts w:hint="eastAsia"/>
        </w:rPr>
        <w:t>参评条件</w:t>
      </w:r>
      <w:bookmarkEnd w:id="74"/>
    </w:p>
    <w:p w14:paraId="2D11348B">
      <w:pPr>
        <w:pStyle w:val="106"/>
        <w:spacing w:before="156" w:after="156"/>
      </w:pPr>
      <w:r>
        <w:rPr>
          <w:rFonts w:hint="eastAsia"/>
        </w:rPr>
        <w:t>参与等级评价的机构需符合以下所有条件：</w:t>
      </w:r>
    </w:p>
    <w:p w14:paraId="08197E68">
      <w:pPr>
        <w:pStyle w:val="175"/>
      </w:pPr>
      <w:r>
        <w:rPr>
          <w:rFonts w:hint="eastAsia"/>
        </w:rPr>
        <w:t>办理了相关的注册、登记、审核手续；</w:t>
      </w:r>
    </w:p>
    <w:p w14:paraId="55132150">
      <w:pPr>
        <w:pStyle w:val="175"/>
      </w:pPr>
      <w:r>
        <w:rPr>
          <w:rFonts w:hint="eastAsia"/>
        </w:rPr>
        <w:t>持续经营；</w:t>
      </w:r>
    </w:p>
    <w:p w14:paraId="59F1E97B">
      <w:pPr>
        <w:pStyle w:val="175"/>
      </w:pPr>
      <w:r>
        <w:rPr>
          <w:rFonts w:hint="eastAsia"/>
        </w:rPr>
        <w:t>拥有固定办公场所；</w:t>
      </w:r>
    </w:p>
    <w:p w14:paraId="3096F158">
      <w:pPr>
        <w:pStyle w:val="175"/>
      </w:pPr>
      <w:r>
        <w:rPr>
          <w:rFonts w:hint="eastAsia"/>
        </w:rPr>
        <w:t>配备3名（含）以上持有有效演出经纪资格证的专职人员；</w:t>
      </w:r>
    </w:p>
    <w:p w14:paraId="29B598C2">
      <w:pPr>
        <w:pStyle w:val="175"/>
      </w:pPr>
      <w:r>
        <w:rPr>
          <w:rFonts w:hint="eastAsia"/>
        </w:rPr>
        <w:t>主要管理人员（法定代表人、业务负责人）具备3年以上行业从业经验；</w:t>
      </w:r>
    </w:p>
    <w:p w14:paraId="36B21182">
      <w:pPr>
        <w:pStyle w:val="175"/>
      </w:pPr>
      <w:r>
        <w:rPr>
          <w:rFonts w:hint="eastAsia"/>
        </w:rPr>
        <w:t>机构及其法定代表人未被列入经营异常名录、严重违法失信企业名单；</w:t>
      </w:r>
    </w:p>
    <w:p w14:paraId="6856898E">
      <w:pPr>
        <w:pStyle w:val="175"/>
      </w:pPr>
      <w:r>
        <w:rPr>
          <w:rFonts w:hint="eastAsia"/>
        </w:rPr>
        <w:t>具备规范的财务、会计及档案管理制度；</w:t>
      </w:r>
    </w:p>
    <w:p w14:paraId="5AE80AEA">
      <w:pPr>
        <w:pStyle w:val="175"/>
      </w:pPr>
      <w:r>
        <w:rPr>
          <w:rFonts w:hint="eastAsia"/>
        </w:rPr>
        <w:t>按时公示年度报告。</w:t>
      </w:r>
    </w:p>
    <w:p w14:paraId="12F7964A">
      <w:pPr>
        <w:pStyle w:val="106"/>
        <w:spacing w:before="156" w:after="156"/>
      </w:pPr>
      <w:r>
        <w:rPr>
          <w:rFonts w:hint="eastAsia"/>
        </w:rPr>
        <w:t>提供2场（含）以上成功运作的商业演出证明文件，文件需体现根据业务类型具备相应的能力：</w:t>
      </w:r>
    </w:p>
    <w:p w14:paraId="3F4D6236">
      <w:pPr>
        <w:pStyle w:val="175"/>
        <w:numPr>
          <w:ilvl w:val="0"/>
          <w:numId w:val="32"/>
        </w:numPr>
      </w:pPr>
      <w:r>
        <w:rPr>
          <w:rFonts w:hint="eastAsia"/>
        </w:rPr>
        <w:t>演出活动组织类机构：具备独立的项目策划、制作、宣传推广和落地执行能力。</w:t>
      </w:r>
    </w:p>
    <w:p w14:paraId="16BD767B">
      <w:pPr>
        <w:pStyle w:val="175"/>
        <w:numPr>
          <w:ilvl w:val="0"/>
          <w:numId w:val="32"/>
        </w:numPr>
      </w:pPr>
      <w:r>
        <w:rPr>
          <w:rFonts w:hint="eastAsia"/>
        </w:rPr>
        <w:t>演出商业经纪类机构：具备广泛的演出资源、客户资源网络及商业开发能力。</w:t>
      </w:r>
    </w:p>
    <w:p w14:paraId="7D76FD62">
      <w:pPr>
        <w:pStyle w:val="175"/>
        <w:numPr>
          <w:ilvl w:val="0"/>
          <w:numId w:val="32"/>
        </w:numPr>
      </w:pPr>
      <w:r>
        <w:rPr>
          <w:rFonts w:hint="eastAsia"/>
        </w:rPr>
        <w:t>艺人（演员）经纪类机构：建立规范的艺人签约、培训、宣传、权益保障管理体系。</w:t>
      </w:r>
    </w:p>
    <w:p w14:paraId="58E39B5A">
      <w:pPr>
        <w:pStyle w:val="106"/>
        <w:spacing w:before="156" w:after="156"/>
      </w:pPr>
      <w:r>
        <w:rPr>
          <w:rFonts w:hint="eastAsia"/>
        </w:rPr>
        <w:t>特殊业务要求：</w:t>
      </w:r>
    </w:p>
    <w:p w14:paraId="2ECBA430">
      <w:pPr>
        <w:pStyle w:val="166"/>
        <w:numPr>
          <w:ilvl w:val="0"/>
          <w:numId w:val="33"/>
        </w:numPr>
        <w:ind w:left="420" w:leftChars="200"/>
      </w:pPr>
      <w:r>
        <w:rPr>
          <w:rFonts w:hint="eastAsia"/>
        </w:rPr>
        <w:t>涉及涉外演出业务的，满足外事审批的相关要求。</w:t>
      </w:r>
    </w:p>
    <w:p w14:paraId="55668CC5">
      <w:pPr>
        <w:pStyle w:val="166"/>
        <w:numPr>
          <w:ilvl w:val="0"/>
          <w:numId w:val="33"/>
        </w:numPr>
        <w:ind w:left="420" w:leftChars="200"/>
      </w:pPr>
      <w:r>
        <w:rPr>
          <w:rFonts w:hint="eastAsia"/>
        </w:rPr>
        <w:t>涉及港澳台地区演出业务的，满足港澳台文化交流的相关规定。</w:t>
      </w:r>
    </w:p>
    <w:p w14:paraId="5A333868">
      <w:pPr>
        <w:pStyle w:val="105"/>
        <w:spacing w:before="312" w:after="312"/>
      </w:pPr>
      <w:bookmarkStart w:id="76" w:name="_Toc166597860"/>
      <w:bookmarkStart w:id="77" w:name="_Toc166678470"/>
      <w:bookmarkStart w:id="78" w:name="_Toc166661234"/>
      <w:bookmarkStart w:id="79" w:name="_Toc166660129"/>
      <w:bookmarkStart w:id="80" w:name="_Toc166599627"/>
      <w:bookmarkStart w:id="81" w:name="_Toc133412494"/>
      <w:bookmarkStart w:id="82" w:name="_Toc14003"/>
      <w:r>
        <w:rPr>
          <w:rFonts w:hint="eastAsia"/>
        </w:rPr>
        <w:t>基本要求</w:t>
      </w:r>
      <w:bookmarkEnd w:id="76"/>
      <w:bookmarkEnd w:id="77"/>
      <w:bookmarkEnd w:id="78"/>
      <w:bookmarkEnd w:id="79"/>
      <w:bookmarkEnd w:id="80"/>
      <w:bookmarkEnd w:id="81"/>
      <w:bookmarkEnd w:id="82"/>
    </w:p>
    <w:p w14:paraId="7A07DB9F">
      <w:pPr>
        <w:pStyle w:val="163"/>
      </w:pPr>
      <w:r>
        <w:rPr>
          <w:rFonts w:hint="eastAsia"/>
        </w:rPr>
        <w:t>应坚持社会主义核心价值观，诚信经营，积极承担社会责任。</w:t>
      </w:r>
    </w:p>
    <w:p w14:paraId="1A816DE8">
      <w:pPr>
        <w:pStyle w:val="163"/>
      </w:pPr>
      <w:r>
        <w:rPr>
          <w:rFonts w:hint="eastAsia"/>
        </w:rPr>
        <w:t>应符合公安、消防、文化、市场监管、税务等有关法律、法规和标准的要求。</w:t>
      </w:r>
    </w:p>
    <w:p w14:paraId="72621C98">
      <w:pPr>
        <w:pStyle w:val="163"/>
      </w:pPr>
      <w:r>
        <w:rPr>
          <w:rFonts w:hint="eastAsia"/>
        </w:rPr>
        <w:t>应坚持新发展理念，在运营管理中倡导绿色、低碳、可持续的工作方式。</w:t>
      </w:r>
    </w:p>
    <w:p w14:paraId="38EFDFB7">
      <w:pPr>
        <w:pStyle w:val="163"/>
      </w:pPr>
      <w:r>
        <w:rPr>
          <w:rFonts w:hint="eastAsia"/>
        </w:rPr>
        <w:t>应坚持社会效益与经济效益相统一，致力于弘扬中华优秀传统文化，推动中外文化交流。</w:t>
      </w:r>
    </w:p>
    <w:p w14:paraId="656649EB">
      <w:pPr>
        <w:pStyle w:val="163"/>
      </w:pPr>
      <w:r>
        <w:rPr>
          <w:rFonts w:hint="eastAsia"/>
        </w:rPr>
        <w:t>应按规定及时、准确向文化和旅游主管部门报送经营数据与信息，并建立突发事件应急报告机制。</w:t>
      </w:r>
    </w:p>
    <w:p w14:paraId="202E9F6E">
      <w:pPr>
        <w:pStyle w:val="163"/>
      </w:pPr>
      <w:r>
        <w:rPr>
          <w:rFonts w:hint="eastAsia"/>
        </w:rPr>
        <w:t>机构的所有业务部门及分支（如有）应遵循统一的运营规范和管理标准，并达到本标准的要求。</w:t>
      </w:r>
    </w:p>
    <w:p w14:paraId="37A6F762">
      <w:pPr>
        <w:pStyle w:val="163"/>
      </w:pPr>
      <w:r>
        <w:rPr>
          <w:rFonts w:hint="eastAsia"/>
        </w:rPr>
        <w:t>机构正常经营满两个完整会计年度后可申请等级评定。经评定机构认定后，获得相应等级标识，有效期为3年。</w:t>
      </w:r>
    </w:p>
    <w:bookmarkEnd w:id="75"/>
    <w:p w14:paraId="1B6D3BD4">
      <w:pPr>
        <w:pStyle w:val="105"/>
        <w:spacing w:before="312" w:after="312"/>
      </w:pPr>
      <w:bookmarkStart w:id="83" w:name="_Toc18845"/>
      <w:r>
        <w:rPr>
          <w:rFonts w:hint="eastAsia"/>
        </w:rPr>
        <w:t>安全管理</w:t>
      </w:r>
      <w:bookmarkEnd w:id="83"/>
    </w:p>
    <w:p w14:paraId="489CE398">
      <w:pPr>
        <w:pStyle w:val="163"/>
      </w:pPr>
      <w:r>
        <w:rPr>
          <w:rFonts w:hint="eastAsia"/>
        </w:rPr>
        <w:t>应取得运营所必需的各项行政许可和备案。</w:t>
      </w:r>
    </w:p>
    <w:p w14:paraId="45D4252C">
      <w:pPr>
        <w:pStyle w:val="163"/>
      </w:pPr>
      <w:r>
        <w:rPr>
          <w:rFonts w:hint="eastAsia"/>
        </w:rPr>
        <w:t>应确保办公及经营活动场所的设施设备符合安全规定，定期进行安全检查与维护保养。</w:t>
      </w:r>
    </w:p>
    <w:p w14:paraId="76A2D27C">
      <w:pPr>
        <w:pStyle w:val="163"/>
      </w:pPr>
      <w:r>
        <w:rPr>
          <w:rFonts w:hint="eastAsia"/>
        </w:rPr>
        <w:t>应建立内容安全、信息安全、生产安全、人身安全的管理制度。</w:t>
      </w:r>
    </w:p>
    <w:p w14:paraId="5F71E684">
      <w:pPr>
        <w:pStyle w:val="163"/>
      </w:pPr>
      <w:r>
        <w:rPr>
          <w:rFonts w:hint="eastAsia"/>
        </w:rPr>
        <w:t>提供的演出内容、宣传资料及信息应符合国家法律法规和行业管理规定，严禁含有危害国家安全、破坏民族团结或宣扬淫秽、赌博、暴力、迷信等内容。</w:t>
      </w:r>
    </w:p>
    <w:p w14:paraId="2FA53F61">
      <w:pPr>
        <w:pStyle w:val="163"/>
      </w:pPr>
      <w:r>
        <w:rPr>
          <w:rFonts w:hint="eastAsia"/>
        </w:rPr>
        <w:t>进行实景演出、室内演出、临时性室外演出时符合GB/T 36729演出安全的规程和规范。</w:t>
      </w:r>
    </w:p>
    <w:p w14:paraId="717D3584">
      <w:pPr>
        <w:pStyle w:val="163"/>
      </w:pPr>
      <w:r>
        <w:rPr>
          <w:rFonts w:hint="eastAsia"/>
        </w:rPr>
        <w:t>应制定针对各类突发事件（包括但不限于：演出安全事故、公共卫生事件、舆情危机、合同纠纷、人员意外等）的应急预案，并定期组织演练。</w:t>
      </w:r>
    </w:p>
    <w:p w14:paraId="6B7AFB84">
      <w:pPr>
        <w:pStyle w:val="163"/>
      </w:pPr>
      <w:r>
        <w:rPr>
          <w:rFonts w:hint="eastAsia"/>
        </w:rPr>
        <w:t>应依法保护合作演艺人员、客户及员工的个人信息与隐私安全。</w:t>
      </w:r>
    </w:p>
    <w:p w14:paraId="680FECD0">
      <w:pPr>
        <w:pStyle w:val="105"/>
        <w:spacing w:before="312" w:after="312"/>
      </w:pPr>
      <w:bookmarkStart w:id="84" w:name="_Toc11979"/>
      <w:r>
        <w:rPr>
          <w:rFonts w:hint="eastAsia"/>
        </w:rPr>
        <w:t>服务管理</w:t>
      </w:r>
      <w:bookmarkEnd w:id="84"/>
    </w:p>
    <w:p w14:paraId="45FCDD20">
      <w:pPr>
        <w:pStyle w:val="163"/>
      </w:pPr>
      <w:r>
        <w:rPr>
          <w:rFonts w:hint="eastAsia"/>
        </w:rPr>
        <w:t>员工应恪守职业道德，遵守机构的各项规章制度。</w:t>
      </w:r>
    </w:p>
    <w:p w14:paraId="10BBEE3E">
      <w:pPr>
        <w:pStyle w:val="163"/>
      </w:pPr>
      <w:r>
        <w:rPr>
          <w:rFonts w:hint="eastAsia"/>
        </w:rPr>
        <w:t>员工应熟悉业务操作流程，严格执行服务规范。</w:t>
      </w:r>
    </w:p>
    <w:p w14:paraId="14AF7D4B">
      <w:pPr>
        <w:pStyle w:val="163"/>
      </w:pPr>
      <w:r>
        <w:rPr>
          <w:rFonts w:hint="eastAsia"/>
        </w:rPr>
        <w:t>员工在与演艺人员、客户、合作方等沟通时，应做到专业、礼貌、周到。</w:t>
      </w:r>
    </w:p>
    <w:p w14:paraId="2B6665A3">
      <w:pPr>
        <w:pStyle w:val="163"/>
      </w:pPr>
      <w:r>
        <w:rPr>
          <w:rFonts w:hint="eastAsia"/>
        </w:rPr>
        <w:t>应建立客户反馈机制，定期开展面向演艺人员、客户及合作方的顾客满意度测评，测评过程与方法应符合GB/T 19039顾客满意测评通则的要求，持续改进服务质量，提升服务体验。</w:t>
      </w:r>
    </w:p>
    <w:p w14:paraId="1255EB52">
      <w:pPr>
        <w:pStyle w:val="163"/>
      </w:pPr>
      <w:r>
        <w:rPr>
          <w:rFonts w:hint="eastAsia"/>
        </w:rPr>
        <w:t>应具备处理投诉与纠纷的专业能力和有效流程。</w:t>
      </w:r>
    </w:p>
    <w:p w14:paraId="053158BF">
      <w:pPr>
        <w:pStyle w:val="105"/>
        <w:spacing w:before="312" w:after="312"/>
      </w:pPr>
      <w:bookmarkStart w:id="85" w:name="_Toc14511"/>
      <w:r>
        <w:rPr>
          <w:rFonts w:hint="eastAsia"/>
        </w:rPr>
        <w:t>运营管理</w:t>
      </w:r>
      <w:bookmarkEnd w:id="85"/>
    </w:p>
    <w:p w14:paraId="51265474">
      <w:pPr>
        <w:pStyle w:val="163"/>
      </w:pPr>
      <w:r>
        <w:rPr>
          <w:rFonts w:hint="eastAsia"/>
        </w:rPr>
        <w:t>应建立健全的内部规章制度与员工行为规范。</w:t>
      </w:r>
    </w:p>
    <w:p w14:paraId="4682C167">
      <w:pPr>
        <w:pStyle w:val="163"/>
      </w:pPr>
      <w:r>
        <w:rPr>
          <w:rFonts w:hint="eastAsia"/>
        </w:rPr>
        <w:t>应建立覆盖主要业务流程的服务规范、管理规范与标准操作程序体系，并定期评审和更新。</w:t>
      </w:r>
    </w:p>
    <w:p w14:paraId="21426F67">
      <w:pPr>
        <w:pStyle w:val="163"/>
      </w:pPr>
      <w:r>
        <w:rPr>
          <w:rFonts w:hint="eastAsia"/>
        </w:rPr>
        <w:t>应建立系统的员工培训体系，确保员工熟知岗位职责，掌握必要的法律法规知识、专业知识和业务技能，并通过定期考核。</w:t>
      </w:r>
    </w:p>
    <w:p w14:paraId="0CB873E0">
      <w:pPr>
        <w:pStyle w:val="163"/>
      </w:pPr>
      <w:r>
        <w:rPr>
          <w:rFonts w:hint="eastAsia"/>
        </w:rPr>
        <w:t>应建立规范的合同审核与管理体系。</w:t>
      </w:r>
    </w:p>
    <w:p w14:paraId="1B42075C">
      <w:pPr>
        <w:pStyle w:val="163"/>
      </w:pPr>
      <w:r>
        <w:rPr>
          <w:rFonts w:hint="eastAsia"/>
        </w:rPr>
        <w:t>应建立规范的财务管理制度和清晰的收支核算体系。</w:t>
      </w:r>
    </w:p>
    <w:p w14:paraId="4F2103A0">
      <w:pPr>
        <w:pStyle w:val="105"/>
        <w:spacing w:before="312" w:after="312"/>
      </w:pPr>
      <w:bookmarkStart w:id="86" w:name="_Toc29992"/>
      <w:r>
        <w:rPr>
          <w:rFonts w:hint="eastAsia"/>
        </w:rPr>
        <w:t>评定指标</w:t>
      </w:r>
      <w:bookmarkEnd w:id="86"/>
    </w:p>
    <w:p w14:paraId="4094FB99">
      <w:pPr>
        <w:pStyle w:val="57"/>
        <w:ind w:firstLine="0" w:firstLineChars="0"/>
        <w:rPr>
          <w:highlight w:val="yellow"/>
        </w:rPr>
      </w:pPr>
      <w:r>
        <w:rPr>
          <w:rFonts w:hint="eastAsia"/>
        </w:rPr>
        <w:t>湖南省演艺经纪机构等级划分与评定指标分数计算详见（附录A）。服务质量能力评定应符合GB/T 36733服务质量评价通则的规定。</w:t>
      </w:r>
    </w:p>
    <w:p w14:paraId="2E84FAB1">
      <w:pPr>
        <w:pStyle w:val="105"/>
        <w:spacing w:before="312" w:after="312"/>
      </w:pPr>
      <w:bookmarkStart w:id="87" w:name="_Toc24067"/>
      <w:r>
        <w:rPr>
          <w:rFonts w:hint="eastAsia"/>
        </w:rPr>
        <w:t>评定结果</w:t>
      </w:r>
      <w:bookmarkEnd w:id="87"/>
    </w:p>
    <w:p w14:paraId="3E923789">
      <w:pPr>
        <w:pStyle w:val="106"/>
        <w:spacing w:before="156" w:after="156"/>
      </w:pPr>
      <w:r>
        <w:rPr>
          <w:rFonts w:hint="eastAsia"/>
        </w:rPr>
        <w:t>评定等级</w:t>
      </w:r>
    </w:p>
    <w:p w14:paraId="0A695771">
      <w:pPr>
        <w:pStyle w:val="57"/>
        <w:ind w:firstLine="420"/>
      </w:pPr>
      <w:r>
        <w:t>演出经纪机构评价等级按照综合分值从高到低划分为5A、4A、3A、2A、1A五个等级。</w:t>
      </w:r>
    </w:p>
    <w:p w14:paraId="064C4745">
      <w:pPr>
        <w:pStyle w:val="57"/>
        <w:ind w:firstLine="0" w:firstLineChars="0"/>
      </w:pPr>
      <w:r>
        <w:t>等级表示：</w:t>
      </w:r>
    </w:p>
    <w:p w14:paraId="3756E4E7">
      <w:pPr>
        <w:pStyle w:val="113"/>
        <w:spacing w:before="156" w:after="156"/>
      </w:pPr>
      <w:r>
        <w:rPr>
          <w:rFonts w:hint="eastAsia"/>
        </w:rPr>
        <w:t>演出经纪机构评价等级表</w:t>
      </w:r>
    </w:p>
    <w:tbl>
      <w:tblPr>
        <w:tblStyle w:val="27"/>
        <w:tblW w:w="4196" w:type="pct"/>
        <w:jc w:val="center"/>
        <w:tblBorders>
          <w:top w:val="single" w:color="auto" w:sz="8" w:space="0"/>
          <w:left w:val="single" w:color="auto" w:sz="8" w:space="0"/>
          <w:bottom w:val="single" w:color="auto" w:sz="8" w:space="0"/>
          <w:right w:val="single" w:color="auto" w:sz="8" w:space="0"/>
          <w:insideH w:val="none" w:color="auto" w:sz="4" w:space="0"/>
          <w:insideV w:val="none" w:color="auto" w:sz="4" w:space="0"/>
        </w:tblBorders>
        <w:tblLayout w:type="fixed"/>
        <w:tblCellMar>
          <w:top w:w="0" w:type="dxa"/>
          <w:left w:w="0" w:type="dxa"/>
          <w:bottom w:w="0" w:type="dxa"/>
          <w:right w:w="0" w:type="dxa"/>
        </w:tblCellMar>
      </w:tblPr>
      <w:tblGrid>
        <w:gridCol w:w="1681"/>
        <w:gridCol w:w="1868"/>
        <w:gridCol w:w="4481"/>
      </w:tblGrid>
      <w:tr w14:paraId="0BD008D3">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CellMar>
            <w:top w:w="0" w:type="dxa"/>
            <w:left w:w="0" w:type="dxa"/>
            <w:bottom w:w="0" w:type="dxa"/>
            <w:right w:w="0" w:type="dxa"/>
          </w:tblCellMar>
        </w:tblPrEx>
        <w:trPr>
          <w:jc w:val="center"/>
        </w:trPr>
        <w:tc>
          <w:tcPr>
            <w:tcW w:w="1047" w:type="pct"/>
            <w:tcBorders>
              <w:bottom w:val="single" w:color="000000" w:sz="8" w:space="0"/>
              <w:right w:val="single" w:color="000000" w:sz="4" w:space="0"/>
            </w:tcBorders>
            <w:tcMar>
              <w:left w:w="108" w:type="dxa"/>
              <w:right w:w="108" w:type="dxa"/>
            </w:tcMar>
            <w:vAlign w:val="center"/>
          </w:tcPr>
          <w:p w14:paraId="1B984CA9">
            <w:pPr>
              <w:pStyle w:val="57"/>
              <w:ind w:firstLine="0" w:firstLineChars="0"/>
              <w:jc w:val="center"/>
              <w:rPr>
                <w:sz w:val="18"/>
              </w:rPr>
            </w:pPr>
            <w:r>
              <w:rPr>
                <w:sz w:val="18"/>
              </w:rPr>
              <w:t>等级符号</w:t>
            </w:r>
          </w:p>
        </w:tc>
        <w:tc>
          <w:tcPr>
            <w:tcW w:w="1163" w:type="pct"/>
            <w:tcBorders>
              <w:left w:val="single" w:color="000000" w:sz="4" w:space="0"/>
              <w:bottom w:val="single" w:color="000000" w:sz="8" w:space="0"/>
              <w:right w:val="single" w:color="000000" w:sz="4" w:space="0"/>
            </w:tcBorders>
            <w:tcMar>
              <w:left w:w="108" w:type="dxa"/>
              <w:right w:w="108" w:type="dxa"/>
            </w:tcMar>
            <w:vAlign w:val="center"/>
          </w:tcPr>
          <w:p w14:paraId="3CC1A199">
            <w:pPr>
              <w:pStyle w:val="57"/>
              <w:ind w:firstLine="0" w:firstLineChars="0"/>
              <w:jc w:val="center"/>
              <w:rPr>
                <w:sz w:val="18"/>
              </w:rPr>
            </w:pPr>
            <w:r>
              <w:rPr>
                <w:sz w:val="18"/>
              </w:rPr>
              <w:t>分值范围</w:t>
            </w:r>
          </w:p>
        </w:tc>
        <w:tc>
          <w:tcPr>
            <w:tcW w:w="2789" w:type="pct"/>
            <w:tcBorders>
              <w:left w:val="single" w:color="000000" w:sz="4" w:space="0"/>
              <w:bottom w:val="single" w:color="000000" w:sz="8" w:space="0"/>
            </w:tcBorders>
            <w:tcMar>
              <w:left w:w="108" w:type="dxa"/>
              <w:right w:w="108" w:type="dxa"/>
            </w:tcMar>
            <w:vAlign w:val="center"/>
          </w:tcPr>
          <w:p w14:paraId="6B6138E1">
            <w:pPr>
              <w:pStyle w:val="57"/>
              <w:ind w:firstLine="0" w:firstLineChars="0"/>
              <w:jc w:val="center"/>
              <w:rPr>
                <w:sz w:val="18"/>
              </w:rPr>
            </w:pPr>
            <w:r>
              <w:rPr>
                <w:sz w:val="18"/>
              </w:rPr>
              <w:t>提示</w:t>
            </w:r>
          </w:p>
        </w:tc>
      </w:tr>
      <w:tr w14:paraId="148B5D66">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CellMar>
            <w:top w:w="0" w:type="dxa"/>
            <w:left w:w="0" w:type="dxa"/>
            <w:bottom w:w="0" w:type="dxa"/>
            <w:right w:w="0" w:type="dxa"/>
          </w:tblCellMar>
        </w:tblPrEx>
        <w:trPr>
          <w:trHeight w:val="90" w:hRule="atLeast"/>
          <w:jc w:val="center"/>
        </w:trPr>
        <w:tc>
          <w:tcPr>
            <w:tcW w:w="1047" w:type="pct"/>
            <w:tcBorders>
              <w:top w:val="single" w:color="000000" w:sz="8" w:space="0"/>
              <w:bottom w:val="single" w:color="000000" w:sz="4" w:space="0"/>
              <w:right w:val="single" w:color="000000" w:sz="4" w:space="0"/>
            </w:tcBorders>
            <w:tcMar>
              <w:left w:w="108" w:type="dxa"/>
              <w:right w:w="108" w:type="dxa"/>
            </w:tcMar>
            <w:vAlign w:val="center"/>
          </w:tcPr>
          <w:p w14:paraId="46EF4E82">
            <w:pPr>
              <w:pStyle w:val="57"/>
              <w:ind w:firstLine="0" w:firstLineChars="0"/>
              <w:jc w:val="center"/>
              <w:rPr>
                <w:sz w:val="18"/>
              </w:rPr>
            </w:pPr>
            <w:r>
              <w:rPr>
                <w:sz w:val="18"/>
              </w:rPr>
              <w:t>5A</w:t>
            </w:r>
          </w:p>
        </w:tc>
        <w:tc>
          <w:tcPr>
            <w:tcW w:w="1163" w:type="pct"/>
            <w:tcBorders>
              <w:top w:val="single" w:color="000000" w:sz="8" w:space="0"/>
              <w:left w:val="single" w:color="000000" w:sz="4" w:space="0"/>
              <w:bottom w:val="single" w:color="000000" w:sz="4" w:space="0"/>
              <w:right w:val="single" w:color="000000" w:sz="4" w:space="0"/>
            </w:tcBorders>
            <w:tcMar>
              <w:left w:w="108" w:type="dxa"/>
              <w:right w:w="108" w:type="dxa"/>
            </w:tcMar>
            <w:vAlign w:val="center"/>
          </w:tcPr>
          <w:p w14:paraId="65A3B27B">
            <w:pPr>
              <w:pStyle w:val="57"/>
              <w:ind w:firstLine="0" w:firstLineChars="0"/>
              <w:jc w:val="center"/>
              <w:rPr>
                <w:sz w:val="18"/>
              </w:rPr>
            </w:pPr>
            <w:r>
              <w:rPr>
                <w:sz w:val="18"/>
              </w:rPr>
              <w:t>（</w:t>
            </w:r>
            <w:r>
              <w:rPr>
                <w:rFonts w:hint="eastAsia"/>
                <w:sz w:val="18"/>
              </w:rPr>
              <w:t>270</w:t>
            </w:r>
            <w:r>
              <w:rPr>
                <w:sz w:val="18"/>
              </w:rPr>
              <w:t>，</w:t>
            </w:r>
            <w:r>
              <w:rPr>
                <w:rFonts w:hint="eastAsia"/>
                <w:sz w:val="18"/>
              </w:rPr>
              <w:t>300</w:t>
            </w:r>
            <w:r>
              <w:rPr>
                <w:sz w:val="18"/>
              </w:rPr>
              <w:t>]</w:t>
            </w:r>
          </w:p>
        </w:tc>
        <w:tc>
          <w:tcPr>
            <w:tcW w:w="2789" w:type="pct"/>
            <w:tcBorders>
              <w:top w:val="single" w:color="000000" w:sz="8" w:space="0"/>
              <w:left w:val="single" w:color="000000" w:sz="4" w:space="0"/>
              <w:bottom w:val="single" w:color="000000" w:sz="4" w:space="0"/>
            </w:tcBorders>
            <w:tcMar>
              <w:left w:w="108" w:type="dxa"/>
              <w:right w:w="108" w:type="dxa"/>
            </w:tcMar>
            <w:vAlign w:val="center"/>
          </w:tcPr>
          <w:p w14:paraId="5403100B">
            <w:pPr>
              <w:pStyle w:val="57"/>
              <w:ind w:firstLine="0" w:firstLineChars="0"/>
              <w:rPr>
                <w:sz w:val="18"/>
              </w:rPr>
            </w:pPr>
            <w:r>
              <w:rPr>
                <w:sz w:val="18"/>
              </w:rPr>
              <w:t>表示在一定期限内，风险低</w:t>
            </w:r>
          </w:p>
        </w:tc>
      </w:tr>
      <w:tr w14:paraId="18A7DC33">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CellMar>
            <w:top w:w="0" w:type="dxa"/>
            <w:left w:w="0" w:type="dxa"/>
            <w:bottom w:w="0" w:type="dxa"/>
            <w:right w:w="0" w:type="dxa"/>
          </w:tblCellMar>
        </w:tblPrEx>
        <w:trPr>
          <w:jc w:val="center"/>
        </w:trPr>
        <w:tc>
          <w:tcPr>
            <w:tcW w:w="1047" w:type="pct"/>
            <w:tcBorders>
              <w:top w:val="single" w:color="000000" w:sz="4" w:space="0"/>
              <w:bottom w:val="single" w:color="000000" w:sz="4" w:space="0"/>
              <w:right w:val="single" w:color="000000" w:sz="4" w:space="0"/>
            </w:tcBorders>
            <w:tcMar>
              <w:left w:w="108" w:type="dxa"/>
              <w:right w:w="108" w:type="dxa"/>
            </w:tcMar>
            <w:vAlign w:val="center"/>
          </w:tcPr>
          <w:p w14:paraId="418ADF02">
            <w:pPr>
              <w:pStyle w:val="57"/>
              <w:ind w:firstLine="0" w:firstLineChars="0"/>
              <w:jc w:val="center"/>
              <w:rPr>
                <w:sz w:val="18"/>
              </w:rPr>
            </w:pPr>
            <w:r>
              <w:rPr>
                <w:sz w:val="18"/>
              </w:rPr>
              <w:t>4A</w:t>
            </w:r>
          </w:p>
        </w:tc>
        <w:tc>
          <w:tcPr>
            <w:tcW w:w="116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79A181C">
            <w:pPr>
              <w:pStyle w:val="57"/>
              <w:ind w:firstLine="0" w:firstLineChars="0"/>
              <w:jc w:val="center"/>
              <w:rPr>
                <w:sz w:val="18"/>
              </w:rPr>
            </w:pPr>
            <w:r>
              <w:rPr>
                <w:sz w:val="18"/>
              </w:rPr>
              <w:t>（</w:t>
            </w:r>
            <w:r>
              <w:rPr>
                <w:rFonts w:hint="eastAsia"/>
                <w:sz w:val="18"/>
              </w:rPr>
              <w:t>240</w:t>
            </w:r>
            <w:r>
              <w:rPr>
                <w:sz w:val="18"/>
              </w:rPr>
              <w:t>，</w:t>
            </w:r>
            <w:r>
              <w:rPr>
                <w:rFonts w:hint="eastAsia"/>
                <w:sz w:val="18"/>
              </w:rPr>
              <w:t>270</w:t>
            </w:r>
            <w:r>
              <w:rPr>
                <w:sz w:val="18"/>
              </w:rPr>
              <w:t>]</w:t>
            </w:r>
          </w:p>
        </w:tc>
        <w:tc>
          <w:tcPr>
            <w:tcW w:w="2789" w:type="pct"/>
            <w:tcBorders>
              <w:top w:val="single" w:color="000000" w:sz="4" w:space="0"/>
              <w:left w:val="single" w:color="000000" w:sz="4" w:space="0"/>
              <w:bottom w:val="single" w:color="000000" w:sz="4" w:space="0"/>
            </w:tcBorders>
            <w:tcMar>
              <w:left w:w="108" w:type="dxa"/>
              <w:right w:w="108" w:type="dxa"/>
            </w:tcMar>
            <w:vAlign w:val="center"/>
          </w:tcPr>
          <w:p w14:paraId="3D9BAF7B">
            <w:pPr>
              <w:pStyle w:val="57"/>
              <w:ind w:firstLine="0" w:firstLineChars="0"/>
              <w:rPr>
                <w:sz w:val="18"/>
              </w:rPr>
            </w:pPr>
            <w:r>
              <w:rPr>
                <w:sz w:val="18"/>
              </w:rPr>
              <w:t>表示在一定期限内，风险较低</w:t>
            </w:r>
          </w:p>
        </w:tc>
      </w:tr>
      <w:tr w14:paraId="4A1EC329">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CellMar>
            <w:top w:w="0" w:type="dxa"/>
            <w:left w:w="0" w:type="dxa"/>
            <w:bottom w:w="0" w:type="dxa"/>
            <w:right w:w="0" w:type="dxa"/>
          </w:tblCellMar>
        </w:tblPrEx>
        <w:trPr>
          <w:jc w:val="center"/>
        </w:trPr>
        <w:tc>
          <w:tcPr>
            <w:tcW w:w="1047" w:type="pct"/>
            <w:tcBorders>
              <w:top w:val="single" w:color="000000" w:sz="4" w:space="0"/>
              <w:bottom w:val="single" w:color="000000" w:sz="4" w:space="0"/>
              <w:right w:val="single" w:color="000000" w:sz="4" w:space="0"/>
            </w:tcBorders>
            <w:tcMar>
              <w:left w:w="108" w:type="dxa"/>
              <w:right w:w="108" w:type="dxa"/>
            </w:tcMar>
            <w:vAlign w:val="center"/>
          </w:tcPr>
          <w:p w14:paraId="7AB7542F">
            <w:pPr>
              <w:pStyle w:val="57"/>
              <w:ind w:firstLine="0" w:firstLineChars="0"/>
              <w:jc w:val="center"/>
              <w:rPr>
                <w:sz w:val="18"/>
              </w:rPr>
            </w:pPr>
            <w:r>
              <w:rPr>
                <w:sz w:val="18"/>
              </w:rPr>
              <w:t>3A</w:t>
            </w:r>
          </w:p>
        </w:tc>
        <w:tc>
          <w:tcPr>
            <w:tcW w:w="116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6259019">
            <w:pPr>
              <w:pStyle w:val="57"/>
              <w:ind w:firstLine="0" w:firstLineChars="0"/>
              <w:jc w:val="center"/>
              <w:rPr>
                <w:sz w:val="18"/>
              </w:rPr>
            </w:pPr>
            <w:r>
              <w:rPr>
                <w:sz w:val="18"/>
              </w:rPr>
              <w:t>（</w:t>
            </w:r>
            <w:r>
              <w:rPr>
                <w:rFonts w:hint="eastAsia"/>
                <w:sz w:val="18"/>
              </w:rPr>
              <w:t>180</w:t>
            </w:r>
            <w:r>
              <w:rPr>
                <w:sz w:val="18"/>
              </w:rPr>
              <w:t>，</w:t>
            </w:r>
            <w:r>
              <w:rPr>
                <w:rFonts w:hint="eastAsia"/>
                <w:sz w:val="18"/>
              </w:rPr>
              <w:t>240</w:t>
            </w:r>
            <w:r>
              <w:rPr>
                <w:sz w:val="18"/>
              </w:rPr>
              <w:t>]</w:t>
            </w:r>
          </w:p>
        </w:tc>
        <w:tc>
          <w:tcPr>
            <w:tcW w:w="2789" w:type="pct"/>
            <w:tcBorders>
              <w:top w:val="single" w:color="000000" w:sz="4" w:space="0"/>
              <w:left w:val="single" w:color="000000" w:sz="4" w:space="0"/>
              <w:bottom w:val="single" w:color="000000" w:sz="4" w:space="0"/>
            </w:tcBorders>
            <w:tcMar>
              <w:left w:w="108" w:type="dxa"/>
              <w:right w:w="108" w:type="dxa"/>
            </w:tcMar>
            <w:vAlign w:val="center"/>
          </w:tcPr>
          <w:p w14:paraId="4A160731">
            <w:pPr>
              <w:pStyle w:val="57"/>
              <w:ind w:firstLine="0" w:firstLineChars="0"/>
              <w:rPr>
                <w:sz w:val="18"/>
              </w:rPr>
            </w:pPr>
            <w:r>
              <w:rPr>
                <w:sz w:val="18"/>
              </w:rPr>
              <w:t>表示在一定期限内，存在一般风险</w:t>
            </w:r>
          </w:p>
        </w:tc>
      </w:tr>
      <w:tr w14:paraId="087B7DB2">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CellMar>
            <w:top w:w="0" w:type="dxa"/>
            <w:left w:w="0" w:type="dxa"/>
            <w:bottom w:w="0" w:type="dxa"/>
            <w:right w:w="0" w:type="dxa"/>
          </w:tblCellMar>
        </w:tblPrEx>
        <w:trPr>
          <w:trHeight w:val="90" w:hRule="atLeast"/>
          <w:jc w:val="center"/>
        </w:trPr>
        <w:tc>
          <w:tcPr>
            <w:tcW w:w="1047" w:type="pct"/>
            <w:tcBorders>
              <w:top w:val="single" w:color="000000" w:sz="4" w:space="0"/>
              <w:bottom w:val="single" w:color="000000" w:sz="4" w:space="0"/>
              <w:right w:val="single" w:color="000000" w:sz="4" w:space="0"/>
            </w:tcBorders>
            <w:tcMar>
              <w:left w:w="108" w:type="dxa"/>
              <w:right w:w="108" w:type="dxa"/>
            </w:tcMar>
            <w:vAlign w:val="center"/>
          </w:tcPr>
          <w:p w14:paraId="1931C600">
            <w:pPr>
              <w:pStyle w:val="57"/>
              <w:ind w:firstLine="0" w:firstLineChars="0"/>
              <w:jc w:val="center"/>
              <w:rPr>
                <w:sz w:val="18"/>
              </w:rPr>
            </w:pPr>
            <w:r>
              <w:rPr>
                <w:sz w:val="18"/>
              </w:rPr>
              <w:t>2A</w:t>
            </w:r>
          </w:p>
        </w:tc>
        <w:tc>
          <w:tcPr>
            <w:tcW w:w="116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585BA21">
            <w:pPr>
              <w:pStyle w:val="57"/>
              <w:ind w:firstLine="0" w:firstLineChars="0"/>
              <w:jc w:val="center"/>
              <w:rPr>
                <w:sz w:val="18"/>
              </w:rPr>
            </w:pPr>
            <w:r>
              <w:rPr>
                <w:sz w:val="18"/>
              </w:rPr>
              <w:t>（</w:t>
            </w:r>
            <w:r>
              <w:rPr>
                <w:rFonts w:hint="eastAsia"/>
                <w:sz w:val="18"/>
              </w:rPr>
              <w:t>150</w:t>
            </w:r>
            <w:r>
              <w:rPr>
                <w:sz w:val="18"/>
              </w:rPr>
              <w:t>，</w:t>
            </w:r>
            <w:r>
              <w:rPr>
                <w:rFonts w:hint="eastAsia"/>
                <w:sz w:val="18"/>
              </w:rPr>
              <w:t>180</w:t>
            </w:r>
            <w:r>
              <w:rPr>
                <w:sz w:val="18"/>
              </w:rPr>
              <w:t>]</w:t>
            </w:r>
          </w:p>
        </w:tc>
        <w:tc>
          <w:tcPr>
            <w:tcW w:w="2789" w:type="pct"/>
            <w:tcBorders>
              <w:top w:val="single" w:color="000000" w:sz="4" w:space="0"/>
              <w:left w:val="single" w:color="000000" w:sz="4" w:space="0"/>
              <w:bottom w:val="single" w:color="000000" w:sz="4" w:space="0"/>
            </w:tcBorders>
            <w:tcMar>
              <w:left w:w="108" w:type="dxa"/>
              <w:right w:w="108" w:type="dxa"/>
            </w:tcMar>
            <w:vAlign w:val="center"/>
          </w:tcPr>
          <w:p w14:paraId="16424C72">
            <w:pPr>
              <w:pStyle w:val="57"/>
              <w:ind w:firstLine="0" w:firstLineChars="0"/>
              <w:rPr>
                <w:sz w:val="18"/>
              </w:rPr>
            </w:pPr>
            <w:r>
              <w:rPr>
                <w:sz w:val="18"/>
              </w:rPr>
              <w:t>表示在一定期限内，存在有一定风险</w:t>
            </w:r>
          </w:p>
        </w:tc>
      </w:tr>
      <w:tr w14:paraId="331FDFFA">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CellMar>
            <w:top w:w="0" w:type="dxa"/>
            <w:left w:w="0" w:type="dxa"/>
            <w:bottom w:w="0" w:type="dxa"/>
            <w:right w:w="0" w:type="dxa"/>
          </w:tblCellMar>
        </w:tblPrEx>
        <w:trPr>
          <w:jc w:val="center"/>
        </w:trPr>
        <w:tc>
          <w:tcPr>
            <w:tcW w:w="1047" w:type="pct"/>
            <w:tcBorders>
              <w:top w:val="single" w:color="000000" w:sz="4" w:space="0"/>
              <w:right w:val="single" w:color="000000" w:sz="4" w:space="0"/>
            </w:tcBorders>
            <w:tcMar>
              <w:left w:w="108" w:type="dxa"/>
              <w:right w:w="108" w:type="dxa"/>
            </w:tcMar>
            <w:vAlign w:val="center"/>
          </w:tcPr>
          <w:p w14:paraId="0491C5B2">
            <w:pPr>
              <w:pStyle w:val="57"/>
              <w:ind w:firstLine="0" w:firstLineChars="0"/>
              <w:jc w:val="center"/>
              <w:rPr>
                <w:sz w:val="18"/>
              </w:rPr>
            </w:pPr>
            <w:r>
              <w:rPr>
                <w:sz w:val="18"/>
              </w:rPr>
              <w:t>1A</w:t>
            </w:r>
          </w:p>
        </w:tc>
        <w:tc>
          <w:tcPr>
            <w:tcW w:w="1163" w:type="pct"/>
            <w:tcBorders>
              <w:top w:val="single" w:color="000000" w:sz="4" w:space="0"/>
              <w:left w:val="single" w:color="000000" w:sz="4" w:space="0"/>
              <w:right w:val="single" w:color="000000" w:sz="4" w:space="0"/>
            </w:tcBorders>
            <w:tcMar>
              <w:left w:w="108" w:type="dxa"/>
              <w:right w:w="108" w:type="dxa"/>
            </w:tcMar>
            <w:vAlign w:val="center"/>
          </w:tcPr>
          <w:p w14:paraId="675A01B2">
            <w:pPr>
              <w:pStyle w:val="57"/>
              <w:ind w:firstLine="0" w:firstLineChars="0"/>
              <w:jc w:val="center"/>
              <w:rPr>
                <w:sz w:val="18"/>
              </w:rPr>
            </w:pPr>
            <w:r>
              <w:rPr>
                <w:sz w:val="18"/>
              </w:rPr>
              <w:t>[</w:t>
            </w:r>
            <w:r>
              <w:rPr>
                <w:rFonts w:hint="eastAsia"/>
                <w:sz w:val="18"/>
              </w:rPr>
              <w:t>0</w:t>
            </w:r>
            <w:r>
              <w:rPr>
                <w:sz w:val="18"/>
              </w:rPr>
              <w:t>，</w:t>
            </w:r>
            <w:r>
              <w:rPr>
                <w:rFonts w:hint="eastAsia"/>
                <w:sz w:val="18"/>
              </w:rPr>
              <w:t>150</w:t>
            </w:r>
            <w:r>
              <w:rPr>
                <w:sz w:val="18"/>
              </w:rPr>
              <w:t>]</w:t>
            </w:r>
          </w:p>
        </w:tc>
        <w:tc>
          <w:tcPr>
            <w:tcW w:w="2789" w:type="pct"/>
            <w:tcBorders>
              <w:top w:val="single" w:color="000000" w:sz="4" w:space="0"/>
              <w:left w:val="single" w:color="000000" w:sz="4" w:space="0"/>
            </w:tcBorders>
            <w:tcMar>
              <w:left w:w="108" w:type="dxa"/>
              <w:right w:w="108" w:type="dxa"/>
            </w:tcMar>
            <w:vAlign w:val="center"/>
          </w:tcPr>
          <w:p w14:paraId="0300072C">
            <w:pPr>
              <w:pStyle w:val="57"/>
              <w:ind w:firstLine="0" w:firstLineChars="0"/>
              <w:rPr>
                <w:sz w:val="18"/>
              </w:rPr>
            </w:pPr>
            <w:r>
              <w:rPr>
                <w:sz w:val="18"/>
              </w:rPr>
              <w:t>表示在一定期限内，存在较大风险</w:t>
            </w:r>
          </w:p>
        </w:tc>
      </w:tr>
    </w:tbl>
    <w:p w14:paraId="68E04E1D">
      <w:pPr>
        <w:pStyle w:val="105"/>
        <w:spacing w:before="312" w:after="312"/>
      </w:pPr>
      <w:bookmarkStart w:id="88" w:name="_Toc657"/>
      <w:r>
        <w:rPr>
          <w:rFonts w:hint="eastAsia"/>
        </w:rPr>
        <w:t>结果应用</w:t>
      </w:r>
      <w:bookmarkEnd w:id="88"/>
    </w:p>
    <w:p w14:paraId="0021ACA5">
      <w:pPr>
        <w:pStyle w:val="106"/>
        <w:spacing w:before="156" w:after="156"/>
      </w:pPr>
      <w:r>
        <w:rPr>
          <w:rFonts w:hint="eastAsia"/>
        </w:rPr>
        <w:t>分级监管</w:t>
      </w:r>
    </w:p>
    <w:p w14:paraId="26E8DDF4">
      <w:pPr>
        <w:pStyle w:val="57"/>
        <w:ind w:firstLine="420"/>
      </w:pPr>
      <w:r>
        <w:t>主管部门依据经纪机构等级划分与评价结果实施分级分类监管。对于等级较好、风险较低（3A及以上）的经纪机构，减少检查比例和频次；</w:t>
      </w:r>
    </w:p>
    <w:p w14:paraId="4E97B355">
      <w:pPr>
        <w:pStyle w:val="57"/>
        <w:ind w:firstLine="420" w:firstLineChars="0"/>
      </w:pPr>
    </w:p>
    <w:p w14:paraId="2CC79600">
      <w:pPr>
        <w:pStyle w:val="57"/>
        <w:ind w:firstLine="420" w:firstLineChars="0"/>
        <w:sectPr>
          <w:pgSz w:w="11906" w:h="16838"/>
          <w:pgMar w:top="1928" w:right="1134" w:bottom="1134" w:left="1134" w:header="1418" w:footer="1134" w:gutter="284"/>
          <w:cols w:space="425" w:num="1"/>
          <w:formProt w:val="0"/>
          <w:docGrid w:type="lines" w:linePitch="312" w:charSpace="0"/>
        </w:sectPr>
      </w:pPr>
    </w:p>
    <w:bookmarkEnd w:id="28"/>
    <w:p w14:paraId="7FD25AD5">
      <w:pPr>
        <w:pStyle w:val="199"/>
        <w:rPr>
          <w:rFonts w:hint="eastAsia"/>
        </w:rPr>
      </w:pPr>
      <w:bookmarkStart w:id="89" w:name="BookMark5"/>
    </w:p>
    <w:p w14:paraId="43F39F9B">
      <w:pPr>
        <w:pStyle w:val="200"/>
      </w:pPr>
    </w:p>
    <w:p w14:paraId="743ECB75">
      <w:pPr>
        <w:pStyle w:val="77"/>
        <w:spacing w:after="156"/>
      </w:pPr>
      <w:bookmarkStart w:id="90" w:name="_Toc2489"/>
      <w:r>
        <w:rPr>
          <w:rFonts w:hint="eastAsia"/>
        </w:rPr>
        <w:br w:type="textWrapping"/>
      </w:r>
      <w:r>
        <w:rPr>
          <w:rFonts w:hint="eastAsia"/>
        </w:rPr>
        <w:t>（规范性）</w:t>
      </w:r>
      <w:r>
        <w:rPr>
          <w:rFonts w:hint="eastAsia"/>
        </w:rPr>
        <w:br w:type="textWrapping"/>
      </w:r>
      <w:r>
        <w:rPr>
          <w:rFonts w:hint="eastAsia"/>
        </w:rPr>
        <w:t>演艺经纪机构评定指标</w:t>
      </w:r>
      <w:bookmarkEnd w:id="90"/>
    </w:p>
    <w:p w14:paraId="281032A7">
      <w:pPr>
        <w:pStyle w:val="57"/>
        <w:ind w:firstLine="420"/>
      </w:pPr>
      <w:r>
        <w:rPr>
          <w:rFonts w:hint="eastAsia"/>
        </w:rPr>
        <w:t>湖南省演艺经纪机构评定指标及评分表如下所示。</w:t>
      </w:r>
    </w:p>
    <w:p w14:paraId="107400EB">
      <w:pPr>
        <w:pStyle w:val="78"/>
        <w:spacing w:before="156" w:after="156"/>
      </w:pPr>
      <w:r>
        <w:rPr>
          <w:rFonts w:hint="eastAsia"/>
        </w:rPr>
        <w:t>演出经纪机构评定指标及评分表</w:t>
      </w:r>
    </w:p>
    <w:tbl>
      <w:tblPr>
        <w:tblStyle w:val="28"/>
        <w:tblW w:w="912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15"/>
        <w:gridCol w:w="1816"/>
        <w:gridCol w:w="4846"/>
        <w:gridCol w:w="1048"/>
      </w:tblGrid>
      <w:tr w14:paraId="301F81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231" w:type="dxa"/>
            <w:gridSpan w:val="2"/>
            <w:tcBorders>
              <w:bottom w:val="single" w:color="auto" w:sz="8" w:space="0"/>
            </w:tcBorders>
            <w:vAlign w:val="center"/>
          </w:tcPr>
          <w:p w14:paraId="4D53FF74">
            <w:pPr>
              <w:spacing w:before="148" w:line="232" w:lineRule="auto"/>
              <w:jc w:val="center"/>
              <w:rPr>
                <w:rFonts w:hint="eastAsia" w:ascii="黑体" w:hAnsi="黑体" w:eastAsia="黑体" w:cs="黑体"/>
                <w:spacing w:val="5"/>
              </w:rPr>
            </w:pPr>
            <w:r>
              <w:rPr>
                <w:rFonts w:hint="eastAsia" w:ascii="黑体" w:hAnsi="黑体" w:eastAsia="黑体" w:cs="黑体"/>
                <w:spacing w:val="5"/>
              </w:rPr>
              <w:t>评价指标</w:t>
            </w:r>
          </w:p>
        </w:tc>
        <w:tc>
          <w:tcPr>
            <w:tcW w:w="4846" w:type="dxa"/>
            <w:tcBorders>
              <w:bottom w:val="single" w:color="auto" w:sz="8" w:space="0"/>
            </w:tcBorders>
            <w:vAlign w:val="center"/>
          </w:tcPr>
          <w:p w14:paraId="2A7BD4F1">
            <w:pPr>
              <w:spacing w:before="148" w:line="232" w:lineRule="auto"/>
              <w:jc w:val="center"/>
              <w:rPr>
                <w:rFonts w:hint="eastAsia" w:ascii="黑体" w:hAnsi="黑体" w:eastAsia="黑体" w:cs="黑体"/>
                <w:spacing w:val="5"/>
              </w:rPr>
            </w:pPr>
            <w:r>
              <w:rPr>
                <w:rFonts w:hint="eastAsia" w:ascii="黑体" w:hAnsi="黑体" w:eastAsia="黑体" w:cs="黑体"/>
                <w:spacing w:val="5"/>
              </w:rPr>
              <w:t>评分说明</w:t>
            </w:r>
          </w:p>
        </w:tc>
        <w:tc>
          <w:tcPr>
            <w:tcW w:w="1048" w:type="dxa"/>
            <w:tcBorders>
              <w:bottom w:val="single" w:color="auto" w:sz="8" w:space="0"/>
            </w:tcBorders>
            <w:vAlign w:val="center"/>
          </w:tcPr>
          <w:p w14:paraId="6BA4E62F">
            <w:pPr>
              <w:spacing w:before="148" w:line="232" w:lineRule="auto"/>
              <w:jc w:val="center"/>
              <w:rPr>
                <w:rFonts w:hint="eastAsia" w:ascii="黑体" w:hAnsi="黑体" w:eastAsia="黑体" w:cs="黑体"/>
                <w:spacing w:val="5"/>
              </w:rPr>
            </w:pPr>
            <w:r>
              <w:rPr>
                <w:rFonts w:hint="eastAsia" w:ascii="黑体" w:hAnsi="黑体" w:eastAsia="黑体" w:cs="黑体"/>
                <w:spacing w:val="5"/>
              </w:rPr>
              <w:t>得分</w:t>
            </w:r>
          </w:p>
        </w:tc>
      </w:tr>
      <w:tr w14:paraId="630FF5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15" w:type="dxa"/>
            <w:vMerge w:val="restart"/>
            <w:tcBorders>
              <w:top w:val="single" w:color="auto" w:sz="8" w:space="0"/>
            </w:tcBorders>
            <w:vAlign w:val="center"/>
          </w:tcPr>
          <w:p w14:paraId="43BBB368">
            <w:pPr>
              <w:spacing w:before="148" w:line="232" w:lineRule="auto"/>
              <w:jc w:val="center"/>
              <w:rPr>
                <w:rFonts w:hint="eastAsia" w:ascii="黑体" w:hAnsi="黑体" w:eastAsia="黑体" w:cs="黑体"/>
                <w:spacing w:val="5"/>
              </w:rPr>
            </w:pPr>
            <w:r>
              <w:rPr>
                <w:rFonts w:hint="eastAsia" w:ascii="黑体" w:hAnsi="黑体" w:eastAsia="黑体" w:cs="黑体"/>
                <w:spacing w:val="5"/>
              </w:rPr>
              <w:t>一、</w:t>
            </w:r>
          </w:p>
          <w:p w14:paraId="12DE7B0B">
            <w:pPr>
              <w:spacing w:before="148" w:line="232" w:lineRule="auto"/>
              <w:jc w:val="center"/>
              <w:rPr>
                <w:rFonts w:hint="eastAsia" w:ascii="黑体" w:hAnsi="黑体" w:eastAsia="黑体" w:cs="黑体"/>
                <w:spacing w:val="5"/>
              </w:rPr>
            </w:pPr>
            <w:r>
              <w:rPr>
                <w:rFonts w:hint="eastAsia" w:ascii="黑体" w:hAnsi="黑体" w:eastAsia="黑体" w:cs="黑体"/>
                <w:spacing w:val="5"/>
              </w:rPr>
              <w:t>企业规模</w:t>
            </w:r>
          </w:p>
        </w:tc>
        <w:tc>
          <w:tcPr>
            <w:tcW w:w="1816" w:type="dxa"/>
            <w:vMerge w:val="restart"/>
            <w:tcBorders>
              <w:top w:val="single" w:color="auto" w:sz="8" w:space="0"/>
            </w:tcBorders>
            <w:vAlign w:val="center"/>
          </w:tcPr>
          <w:p w14:paraId="7C231BCD">
            <w:pPr>
              <w:spacing w:before="148" w:line="232" w:lineRule="auto"/>
              <w:jc w:val="center"/>
              <w:rPr>
                <w:rFonts w:hint="eastAsia" w:ascii="黑体" w:hAnsi="黑体" w:eastAsia="黑体" w:cs="黑体"/>
                <w:spacing w:val="5"/>
              </w:rPr>
            </w:pPr>
          </w:p>
          <w:p w14:paraId="69EE7A43">
            <w:pPr>
              <w:spacing w:before="148" w:line="232" w:lineRule="auto"/>
              <w:jc w:val="center"/>
              <w:rPr>
                <w:rFonts w:hint="eastAsia" w:ascii="黑体" w:hAnsi="黑体" w:eastAsia="黑体" w:cs="黑体"/>
                <w:spacing w:val="5"/>
              </w:rPr>
            </w:pPr>
            <w:r>
              <w:rPr>
                <w:rFonts w:hint="eastAsia" w:ascii="黑体" w:hAnsi="黑体" w:eastAsia="黑体" w:cs="黑体"/>
                <w:spacing w:val="5"/>
              </w:rPr>
              <w:t>注册资本</w:t>
            </w:r>
          </w:p>
        </w:tc>
        <w:tc>
          <w:tcPr>
            <w:tcW w:w="4846" w:type="dxa"/>
            <w:tcBorders>
              <w:top w:val="single" w:color="auto" w:sz="8" w:space="0"/>
            </w:tcBorders>
            <w:vAlign w:val="center"/>
          </w:tcPr>
          <w:p w14:paraId="7CD540AA">
            <w:pPr>
              <w:spacing w:before="148" w:line="232" w:lineRule="auto"/>
              <w:ind w:left="422"/>
              <w:jc w:val="center"/>
              <w:rPr>
                <w:rFonts w:hint="eastAsia" w:ascii="黑体" w:hAnsi="黑体" w:eastAsia="黑体" w:cs="黑体"/>
                <w:spacing w:val="5"/>
              </w:rPr>
            </w:pPr>
            <w:r>
              <w:rPr>
                <w:rFonts w:hint="eastAsia" w:ascii="黑体" w:hAnsi="黑体" w:eastAsia="黑体" w:cs="黑体"/>
                <w:spacing w:val="5"/>
              </w:rPr>
              <w:t>注册资本≥500万元</w:t>
            </w:r>
          </w:p>
        </w:tc>
        <w:tc>
          <w:tcPr>
            <w:tcW w:w="1048" w:type="dxa"/>
            <w:tcBorders>
              <w:top w:val="single" w:color="auto" w:sz="8" w:space="0"/>
            </w:tcBorders>
            <w:vAlign w:val="center"/>
          </w:tcPr>
          <w:p w14:paraId="1C1EC248">
            <w:pPr>
              <w:spacing w:before="148" w:line="232" w:lineRule="auto"/>
              <w:jc w:val="center"/>
              <w:rPr>
                <w:rFonts w:hint="eastAsia" w:ascii="黑体" w:hAnsi="黑体" w:eastAsia="黑体" w:cs="黑体"/>
                <w:spacing w:val="5"/>
              </w:rPr>
            </w:pPr>
            <w:r>
              <w:rPr>
                <w:rFonts w:hint="eastAsia" w:ascii="黑体" w:hAnsi="黑体" w:eastAsia="黑体" w:cs="黑体"/>
                <w:spacing w:val="5"/>
              </w:rPr>
              <w:t>10</w:t>
            </w:r>
          </w:p>
        </w:tc>
      </w:tr>
      <w:tr w14:paraId="63CE31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15" w:type="dxa"/>
            <w:vMerge w:val="continue"/>
            <w:vAlign w:val="center"/>
          </w:tcPr>
          <w:p w14:paraId="7656D6A0">
            <w:pPr>
              <w:spacing w:before="148" w:line="232" w:lineRule="auto"/>
              <w:ind w:left="422"/>
              <w:jc w:val="center"/>
              <w:rPr>
                <w:rFonts w:hint="eastAsia" w:ascii="黑体" w:hAnsi="黑体" w:eastAsia="黑体" w:cs="黑体"/>
                <w:spacing w:val="5"/>
              </w:rPr>
            </w:pPr>
          </w:p>
        </w:tc>
        <w:tc>
          <w:tcPr>
            <w:tcW w:w="1816" w:type="dxa"/>
            <w:vMerge w:val="continue"/>
            <w:vAlign w:val="center"/>
          </w:tcPr>
          <w:p w14:paraId="7C74A7B1">
            <w:pPr>
              <w:spacing w:before="148" w:line="232" w:lineRule="auto"/>
              <w:ind w:left="422"/>
              <w:jc w:val="center"/>
              <w:rPr>
                <w:rFonts w:hint="eastAsia" w:ascii="黑体" w:hAnsi="黑体" w:eastAsia="黑体" w:cs="黑体"/>
                <w:spacing w:val="5"/>
              </w:rPr>
            </w:pPr>
          </w:p>
        </w:tc>
        <w:tc>
          <w:tcPr>
            <w:tcW w:w="4846" w:type="dxa"/>
            <w:vAlign w:val="center"/>
          </w:tcPr>
          <w:p w14:paraId="22521CFA">
            <w:pPr>
              <w:spacing w:before="148" w:line="232" w:lineRule="auto"/>
              <w:ind w:left="422"/>
              <w:jc w:val="center"/>
              <w:rPr>
                <w:rFonts w:hint="eastAsia" w:ascii="黑体" w:hAnsi="黑体" w:eastAsia="黑体" w:cs="黑体"/>
                <w:spacing w:val="5"/>
              </w:rPr>
            </w:pPr>
            <w:r>
              <w:rPr>
                <w:rFonts w:hint="eastAsia" w:ascii="黑体" w:hAnsi="黑体" w:eastAsia="黑体" w:cs="黑体"/>
                <w:spacing w:val="5"/>
              </w:rPr>
              <w:t>300万元≤注册资本＜500万元</w:t>
            </w:r>
          </w:p>
        </w:tc>
        <w:tc>
          <w:tcPr>
            <w:tcW w:w="1048" w:type="dxa"/>
            <w:vAlign w:val="center"/>
          </w:tcPr>
          <w:p w14:paraId="432E570C">
            <w:pPr>
              <w:spacing w:before="148" w:line="232" w:lineRule="auto"/>
              <w:jc w:val="center"/>
              <w:rPr>
                <w:rFonts w:hint="eastAsia" w:ascii="黑体" w:hAnsi="黑体" w:eastAsia="黑体" w:cs="黑体"/>
                <w:spacing w:val="5"/>
              </w:rPr>
            </w:pPr>
            <w:r>
              <w:rPr>
                <w:rFonts w:hint="eastAsia" w:ascii="黑体" w:hAnsi="黑体" w:eastAsia="黑体" w:cs="黑体"/>
                <w:spacing w:val="5"/>
              </w:rPr>
              <w:t>8</w:t>
            </w:r>
          </w:p>
        </w:tc>
      </w:tr>
      <w:tr w14:paraId="724F8B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15" w:type="dxa"/>
            <w:vMerge w:val="continue"/>
            <w:vAlign w:val="center"/>
          </w:tcPr>
          <w:p w14:paraId="78608D73">
            <w:pPr>
              <w:spacing w:before="148" w:line="232" w:lineRule="auto"/>
              <w:ind w:left="422"/>
              <w:jc w:val="center"/>
              <w:rPr>
                <w:rFonts w:hint="eastAsia" w:ascii="黑体" w:hAnsi="黑体" w:eastAsia="黑体" w:cs="黑体"/>
                <w:spacing w:val="5"/>
              </w:rPr>
            </w:pPr>
          </w:p>
        </w:tc>
        <w:tc>
          <w:tcPr>
            <w:tcW w:w="1816" w:type="dxa"/>
            <w:vMerge w:val="continue"/>
            <w:vAlign w:val="center"/>
          </w:tcPr>
          <w:p w14:paraId="2B1F6D1D">
            <w:pPr>
              <w:spacing w:before="148" w:line="232" w:lineRule="auto"/>
              <w:ind w:left="422"/>
              <w:jc w:val="center"/>
              <w:rPr>
                <w:rFonts w:hint="eastAsia" w:ascii="黑体" w:hAnsi="黑体" w:eastAsia="黑体" w:cs="黑体"/>
                <w:spacing w:val="5"/>
              </w:rPr>
            </w:pPr>
          </w:p>
        </w:tc>
        <w:tc>
          <w:tcPr>
            <w:tcW w:w="4846" w:type="dxa"/>
            <w:vAlign w:val="center"/>
          </w:tcPr>
          <w:p w14:paraId="6FA9C095">
            <w:pPr>
              <w:spacing w:before="148" w:line="232" w:lineRule="auto"/>
              <w:ind w:left="422"/>
              <w:jc w:val="center"/>
              <w:rPr>
                <w:rFonts w:hint="eastAsia" w:ascii="黑体" w:hAnsi="黑体" w:eastAsia="黑体" w:cs="黑体"/>
                <w:spacing w:val="5"/>
              </w:rPr>
            </w:pPr>
            <w:r>
              <w:rPr>
                <w:rFonts w:hint="eastAsia" w:ascii="黑体" w:hAnsi="黑体" w:eastAsia="黑体" w:cs="黑体"/>
                <w:spacing w:val="5"/>
              </w:rPr>
              <w:t>100万元≤注册资本＜300万元</w:t>
            </w:r>
          </w:p>
        </w:tc>
        <w:tc>
          <w:tcPr>
            <w:tcW w:w="1048" w:type="dxa"/>
            <w:vAlign w:val="center"/>
          </w:tcPr>
          <w:p w14:paraId="5E4E062B">
            <w:pPr>
              <w:spacing w:before="148" w:line="232" w:lineRule="auto"/>
              <w:jc w:val="center"/>
              <w:rPr>
                <w:rFonts w:hint="eastAsia" w:ascii="黑体" w:hAnsi="黑体" w:eastAsia="黑体" w:cs="黑体"/>
                <w:spacing w:val="5"/>
              </w:rPr>
            </w:pPr>
            <w:r>
              <w:rPr>
                <w:rFonts w:hint="eastAsia" w:ascii="黑体" w:hAnsi="黑体" w:eastAsia="黑体" w:cs="黑体"/>
                <w:spacing w:val="5"/>
              </w:rPr>
              <w:t>6</w:t>
            </w:r>
          </w:p>
        </w:tc>
      </w:tr>
      <w:tr w14:paraId="457AC7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15" w:type="dxa"/>
            <w:vMerge w:val="continue"/>
            <w:vAlign w:val="center"/>
          </w:tcPr>
          <w:p w14:paraId="7099D704">
            <w:pPr>
              <w:spacing w:before="148" w:line="232" w:lineRule="auto"/>
              <w:ind w:left="422"/>
              <w:jc w:val="center"/>
              <w:rPr>
                <w:rFonts w:hint="eastAsia" w:ascii="黑体" w:hAnsi="黑体" w:eastAsia="黑体" w:cs="黑体"/>
                <w:spacing w:val="5"/>
              </w:rPr>
            </w:pPr>
          </w:p>
        </w:tc>
        <w:tc>
          <w:tcPr>
            <w:tcW w:w="1816" w:type="dxa"/>
            <w:vMerge w:val="continue"/>
            <w:vAlign w:val="center"/>
          </w:tcPr>
          <w:p w14:paraId="58DAA6DE">
            <w:pPr>
              <w:spacing w:before="148" w:line="232" w:lineRule="auto"/>
              <w:ind w:left="422"/>
              <w:jc w:val="center"/>
              <w:rPr>
                <w:rFonts w:hint="eastAsia" w:ascii="黑体" w:hAnsi="黑体" w:eastAsia="黑体" w:cs="黑体"/>
                <w:spacing w:val="5"/>
              </w:rPr>
            </w:pPr>
          </w:p>
        </w:tc>
        <w:tc>
          <w:tcPr>
            <w:tcW w:w="4846" w:type="dxa"/>
            <w:vAlign w:val="center"/>
          </w:tcPr>
          <w:p w14:paraId="57407A93">
            <w:pPr>
              <w:spacing w:before="148" w:line="232" w:lineRule="auto"/>
              <w:ind w:left="422"/>
              <w:jc w:val="center"/>
              <w:rPr>
                <w:rFonts w:hint="eastAsia" w:ascii="黑体" w:hAnsi="黑体" w:eastAsia="黑体" w:cs="黑体"/>
                <w:spacing w:val="5"/>
              </w:rPr>
            </w:pPr>
            <w:r>
              <w:rPr>
                <w:rFonts w:hint="eastAsia" w:ascii="黑体" w:hAnsi="黑体" w:eastAsia="黑体" w:cs="黑体"/>
                <w:spacing w:val="5"/>
              </w:rPr>
              <w:t>50万元≤注册资本＜100万元</w:t>
            </w:r>
          </w:p>
        </w:tc>
        <w:tc>
          <w:tcPr>
            <w:tcW w:w="1048" w:type="dxa"/>
            <w:vAlign w:val="center"/>
          </w:tcPr>
          <w:p w14:paraId="5FAB30C4">
            <w:pPr>
              <w:spacing w:before="148" w:line="232" w:lineRule="auto"/>
              <w:jc w:val="center"/>
              <w:rPr>
                <w:rFonts w:hint="eastAsia" w:ascii="黑体" w:hAnsi="黑体" w:eastAsia="黑体" w:cs="黑体"/>
                <w:spacing w:val="5"/>
              </w:rPr>
            </w:pPr>
            <w:r>
              <w:rPr>
                <w:rFonts w:hint="eastAsia" w:ascii="黑体" w:hAnsi="黑体" w:eastAsia="黑体" w:cs="黑体"/>
                <w:spacing w:val="5"/>
              </w:rPr>
              <w:t>4</w:t>
            </w:r>
          </w:p>
        </w:tc>
      </w:tr>
      <w:tr w14:paraId="46B6A4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15" w:type="dxa"/>
            <w:vMerge w:val="continue"/>
            <w:vAlign w:val="center"/>
          </w:tcPr>
          <w:p w14:paraId="1242E82A">
            <w:pPr>
              <w:spacing w:before="148" w:line="232" w:lineRule="auto"/>
              <w:ind w:left="422"/>
              <w:jc w:val="center"/>
              <w:rPr>
                <w:rFonts w:hint="eastAsia" w:ascii="黑体" w:hAnsi="黑体" w:eastAsia="黑体" w:cs="黑体"/>
                <w:spacing w:val="5"/>
              </w:rPr>
            </w:pPr>
          </w:p>
        </w:tc>
        <w:tc>
          <w:tcPr>
            <w:tcW w:w="1816" w:type="dxa"/>
            <w:vMerge w:val="continue"/>
            <w:vAlign w:val="center"/>
          </w:tcPr>
          <w:p w14:paraId="2BD1551F">
            <w:pPr>
              <w:spacing w:before="148" w:line="232" w:lineRule="auto"/>
              <w:ind w:left="422"/>
              <w:jc w:val="center"/>
              <w:rPr>
                <w:rFonts w:hint="eastAsia" w:ascii="黑体" w:hAnsi="黑体" w:eastAsia="黑体" w:cs="黑体"/>
                <w:spacing w:val="5"/>
              </w:rPr>
            </w:pPr>
          </w:p>
        </w:tc>
        <w:tc>
          <w:tcPr>
            <w:tcW w:w="4846" w:type="dxa"/>
            <w:vAlign w:val="center"/>
          </w:tcPr>
          <w:p w14:paraId="18BB5324">
            <w:pPr>
              <w:spacing w:before="148" w:line="232" w:lineRule="auto"/>
              <w:ind w:left="422"/>
              <w:jc w:val="center"/>
              <w:rPr>
                <w:rFonts w:hint="eastAsia" w:ascii="黑体" w:hAnsi="黑体" w:eastAsia="黑体" w:cs="黑体"/>
                <w:spacing w:val="5"/>
              </w:rPr>
            </w:pPr>
            <w:r>
              <w:rPr>
                <w:rFonts w:hint="eastAsia" w:ascii="黑体" w:hAnsi="黑体" w:eastAsia="黑体" w:cs="黑体"/>
                <w:spacing w:val="5"/>
              </w:rPr>
              <w:t>注册资本＜50万元</w:t>
            </w:r>
          </w:p>
        </w:tc>
        <w:tc>
          <w:tcPr>
            <w:tcW w:w="1048" w:type="dxa"/>
            <w:vAlign w:val="center"/>
          </w:tcPr>
          <w:p w14:paraId="65714D7D">
            <w:pPr>
              <w:spacing w:before="148" w:line="232" w:lineRule="auto"/>
              <w:jc w:val="center"/>
              <w:rPr>
                <w:rFonts w:hint="eastAsia" w:ascii="黑体" w:hAnsi="黑体" w:eastAsia="黑体" w:cs="黑体"/>
                <w:spacing w:val="5"/>
              </w:rPr>
            </w:pPr>
            <w:r>
              <w:rPr>
                <w:rFonts w:hint="eastAsia" w:ascii="黑体" w:hAnsi="黑体" w:eastAsia="黑体" w:cs="黑体"/>
                <w:spacing w:val="5"/>
              </w:rPr>
              <w:t>2</w:t>
            </w:r>
          </w:p>
        </w:tc>
      </w:tr>
      <w:tr w14:paraId="2D3AD9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15" w:type="dxa"/>
            <w:vMerge w:val="continue"/>
            <w:vAlign w:val="center"/>
          </w:tcPr>
          <w:p w14:paraId="67C63907">
            <w:pPr>
              <w:spacing w:before="148" w:line="232" w:lineRule="auto"/>
              <w:ind w:left="422"/>
              <w:jc w:val="center"/>
              <w:rPr>
                <w:rFonts w:hint="eastAsia" w:ascii="黑体" w:hAnsi="黑体" w:eastAsia="黑体" w:cs="黑体"/>
                <w:spacing w:val="5"/>
              </w:rPr>
            </w:pPr>
          </w:p>
        </w:tc>
        <w:tc>
          <w:tcPr>
            <w:tcW w:w="1816" w:type="dxa"/>
            <w:vMerge w:val="restart"/>
            <w:vAlign w:val="center"/>
          </w:tcPr>
          <w:p w14:paraId="3A86AF17">
            <w:pPr>
              <w:spacing w:before="148" w:line="232" w:lineRule="auto"/>
              <w:jc w:val="center"/>
              <w:rPr>
                <w:rFonts w:hint="eastAsia" w:ascii="黑体" w:hAnsi="黑体" w:eastAsia="黑体" w:cs="黑体"/>
                <w:spacing w:val="5"/>
              </w:rPr>
            </w:pPr>
          </w:p>
          <w:p w14:paraId="5BF7CE42">
            <w:pPr>
              <w:spacing w:before="148" w:line="232" w:lineRule="auto"/>
              <w:jc w:val="center"/>
              <w:rPr>
                <w:rFonts w:hint="eastAsia" w:ascii="黑体" w:hAnsi="黑体" w:eastAsia="黑体" w:cs="黑体"/>
                <w:spacing w:val="5"/>
              </w:rPr>
            </w:pPr>
            <w:r>
              <w:rPr>
                <w:rFonts w:hint="eastAsia" w:ascii="黑体" w:hAnsi="黑体" w:eastAsia="黑体" w:cs="黑体"/>
                <w:spacing w:val="5"/>
              </w:rPr>
              <w:t>经营年限</w:t>
            </w:r>
          </w:p>
        </w:tc>
        <w:tc>
          <w:tcPr>
            <w:tcW w:w="4846" w:type="dxa"/>
            <w:vAlign w:val="center"/>
          </w:tcPr>
          <w:p w14:paraId="4CB0B010">
            <w:pPr>
              <w:spacing w:before="148" w:line="232" w:lineRule="auto"/>
              <w:ind w:left="422"/>
              <w:jc w:val="center"/>
              <w:rPr>
                <w:rFonts w:hint="eastAsia" w:ascii="黑体" w:hAnsi="黑体" w:eastAsia="黑体" w:cs="黑体"/>
                <w:spacing w:val="5"/>
              </w:rPr>
            </w:pPr>
            <w:r>
              <w:rPr>
                <w:rFonts w:hint="eastAsia" w:ascii="黑体" w:hAnsi="黑体" w:eastAsia="黑体" w:cs="黑体"/>
                <w:spacing w:val="5"/>
              </w:rPr>
              <w:t>经营年限≥8年</w:t>
            </w:r>
          </w:p>
        </w:tc>
        <w:tc>
          <w:tcPr>
            <w:tcW w:w="1048" w:type="dxa"/>
            <w:vAlign w:val="center"/>
          </w:tcPr>
          <w:p w14:paraId="315F39D8">
            <w:pPr>
              <w:spacing w:before="148" w:line="232" w:lineRule="auto"/>
              <w:jc w:val="center"/>
              <w:rPr>
                <w:rFonts w:hint="eastAsia" w:ascii="黑体" w:hAnsi="黑体" w:eastAsia="黑体" w:cs="黑体"/>
                <w:spacing w:val="5"/>
              </w:rPr>
            </w:pPr>
            <w:r>
              <w:rPr>
                <w:rFonts w:hint="eastAsia" w:ascii="黑体" w:hAnsi="黑体" w:eastAsia="黑体" w:cs="黑体"/>
                <w:spacing w:val="5"/>
              </w:rPr>
              <w:t>10</w:t>
            </w:r>
          </w:p>
        </w:tc>
      </w:tr>
      <w:tr w14:paraId="0D9F74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15" w:type="dxa"/>
            <w:vMerge w:val="continue"/>
            <w:vAlign w:val="center"/>
          </w:tcPr>
          <w:p w14:paraId="45C08320">
            <w:pPr>
              <w:spacing w:before="148" w:line="232" w:lineRule="auto"/>
              <w:ind w:left="422"/>
              <w:jc w:val="center"/>
              <w:rPr>
                <w:rFonts w:hint="eastAsia" w:ascii="黑体" w:hAnsi="黑体" w:eastAsia="黑体" w:cs="黑体"/>
                <w:spacing w:val="5"/>
              </w:rPr>
            </w:pPr>
          </w:p>
        </w:tc>
        <w:tc>
          <w:tcPr>
            <w:tcW w:w="1816" w:type="dxa"/>
            <w:vMerge w:val="continue"/>
            <w:vAlign w:val="center"/>
          </w:tcPr>
          <w:p w14:paraId="05733D71">
            <w:pPr>
              <w:spacing w:before="148" w:line="232" w:lineRule="auto"/>
              <w:ind w:left="422"/>
              <w:jc w:val="center"/>
              <w:rPr>
                <w:rFonts w:hint="eastAsia" w:ascii="黑体" w:hAnsi="黑体" w:eastAsia="黑体" w:cs="黑体"/>
                <w:spacing w:val="5"/>
              </w:rPr>
            </w:pPr>
          </w:p>
        </w:tc>
        <w:tc>
          <w:tcPr>
            <w:tcW w:w="4846" w:type="dxa"/>
            <w:vAlign w:val="center"/>
          </w:tcPr>
          <w:p w14:paraId="3108D139">
            <w:pPr>
              <w:spacing w:before="148" w:line="232" w:lineRule="auto"/>
              <w:ind w:left="422"/>
              <w:jc w:val="center"/>
              <w:rPr>
                <w:rFonts w:hint="eastAsia" w:ascii="黑体" w:hAnsi="黑体" w:eastAsia="黑体" w:cs="黑体"/>
                <w:spacing w:val="5"/>
              </w:rPr>
            </w:pPr>
            <w:r>
              <w:rPr>
                <w:rFonts w:hint="eastAsia" w:ascii="黑体" w:hAnsi="黑体" w:eastAsia="黑体" w:cs="黑体"/>
                <w:spacing w:val="5"/>
              </w:rPr>
              <w:t>5年≤经营年限＜8年</w:t>
            </w:r>
          </w:p>
        </w:tc>
        <w:tc>
          <w:tcPr>
            <w:tcW w:w="1048" w:type="dxa"/>
            <w:vAlign w:val="center"/>
          </w:tcPr>
          <w:p w14:paraId="3A4F41E3">
            <w:pPr>
              <w:spacing w:before="148" w:line="232" w:lineRule="auto"/>
              <w:jc w:val="center"/>
              <w:rPr>
                <w:rFonts w:hint="eastAsia" w:ascii="黑体" w:hAnsi="黑体" w:eastAsia="黑体" w:cs="黑体"/>
                <w:spacing w:val="5"/>
              </w:rPr>
            </w:pPr>
            <w:r>
              <w:rPr>
                <w:rFonts w:hint="eastAsia" w:ascii="黑体" w:hAnsi="黑体" w:eastAsia="黑体" w:cs="黑体"/>
                <w:spacing w:val="5"/>
              </w:rPr>
              <w:t>8</w:t>
            </w:r>
          </w:p>
        </w:tc>
      </w:tr>
      <w:tr w14:paraId="419EDE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15" w:type="dxa"/>
            <w:vMerge w:val="continue"/>
            <w:vAlign w:val="center"/>
          </w:tcPr>
          <w:p w14:paraId="39477CA6">
            <w:pPr>
              <w:spacing w:before="148" w:line="232" w:lineRule="auto"/>
              <w:ind w:left="422"/>
              <w:jc w:val="center"/>
              <w:rPr>
                <w:rFonts w:hint="eastAsia" w:ascii="黑体" w:hAnsi="黑体" w:eastAsia="黑体" w:cs="黑体"/>
                <w:spacing w:val="5"/>
              </w:rPr>
            </w:pPr>
          </w:p>
        </w:tc>
        <w:tc>
          <w:tcPr>
            <w:tcW w:w="1816" w:type="dxa"/>
            <w:vMerge w:val="continue"/>
            <w:vAlign w:val="center"/>
          </w:tcPr>
          <w:p w14:paraId="0685B8F6">
            <w:pPr>
              <w:spacing w:before="148" w:line="232" w:lineRule="auto"/>
              <w:ind w:left="422"/>
              <w:jc w:val="center"/>
              <w:rPr>
                <w:rFonts w:hint="eastAsia" w:ascii="黑体" w:hAnsi="黑体" w:eastAsia="黑体" w:cs="黑体"/>
                <w:spacing w:val="5"/>
              </w:rPr>
            </w:pPr>
          </w:p>
        </w:tc>
        <w:tc>
          <w:tcPr>
            <w:tcW w:w="4846" w:type="dxa"/>
            <w:vAlign w:val="center"/>
          </w:tcPr>
          <w:p w14:paraId="531561E0">
            <w:pPr>
              <w:spacing w:before="148" w:line="232" w:lineRule="auto"/>
              <w:ind w:left="422"/>
              <w:jc w:val="center"/>
              <w:rPr>
                <w:rFonts w:hint="eastAsia" w:ascii="黑体" w:hAnsi="黑体" w:eastAsia="黑体" w:cs="黑体"/>
                <w:spacing w:val="5"/>
              </w:rPr>
            </w:pPr>
            <w:r>
              <w:rPr>
                <w:rFonts w:hint="eastAsia" w:ascii="黑体" w:hAnsi="黑体" w:eastAsia="黑体" w:cs="黑体"/>
                <w:spacing w:val="5"/>
              </w:rPr>
              <w:t>3年≤经营年限＜5年</w:t>
            </w:r>
          </w:p>
        </w:tc>
        <w:tc>
          <w:tcPr>
            <w:tcW w:w="1048" w:type="dxa"/>
            <w:vAlign w:val="center"/>
          </w:tcPr>
          <w:p w14:paraId="7658A42A">
            <w:pPr>
              <w:spacing w:before="148" w:line="232" w:lineRule="auto"/>
              <w:jc w:val="center"/>
              <w:rPr>
                <w:rFonts w:hint="eastAsia" w:ascii="黑体" w:hAnsi="黑体" w:eastAsia="黑体" w:cs="黑体"/>
                <w:spacing w:val="5"/>
              </w:rPr>
            </w:pPr>
            <w:r>
              <w:rPr>
                <w:rFonts w:hint="eastAsia" w:ascii="黑体" w:hAnsi="黑体" w:eastAsia="黑体" w:cs="黑体"/>
                <w:spacing w:val="5"/>
              </w:rPr>
              <w:t>6</w:t>
            </w:r>
          </w:p>
        </w:tc>
      </w:tr>
      <w:tr w14:paraId="055D7D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15" w:type="dxa"/>
            <w:vMerge w:val="continue"/>
            <w:vAlign w:val="center"/>
          </w:tcPr>
          <w:p w14:paraId="06CFE4F7">
            <w:pPr>
              <w:spacing w:before="148" w:line="232" w:lineRule="auto"/>
              <w:ind w:left="422"/>
              <w:jc w:val="center"/>
              <w:rPr>
                <w:rFonts w:hint="eastAsia" w:ascii="黑体" w:hAnsi="黑体" w:eastAsia="黑体" w:cs="黑体"/>
                <w:spacing w:val="5"/>
              </w:rPr>
            </w:pPr>
          </w:p>
        </w:tc>
        <w:tc>
          <w:tcPr>
            <w:tcW w:w="1816" w:type="dxa"/>
            <w:vMerge w:val="continue"/>
            <w:vAlign w:val="center"/>
          </w:tcPr>
          <w:p w14:paraId="708F91B9">
            <w:pPr>
              <w:jc w:val="center"/>
              <w:rPr>
                <w:rFonts w:hint="eastAsia" w:ascii="黑体" w:hAnsi="黑体" w:eastAsia="黑体" w:cs="黑体"/>
              </w:rPr>
            </w:pPr>
          </w:p>
        </w:tc>
        <w:tc>
          <w:tcPr>
            <w:tcW w:w="4846" w:type="dxa"/>
            <w:vAlign w:val="center"/>
          </w:tcPr>
          <w:p w14:paraId="4ED656AC">
            <w:pPr>
              <w:spacing w:before="148" w:line="232" w:lineRule="auto"/>
              <w:ind w:left="422"/>
              <w:jc w:val="center"/>
              <w:rPr>
                <w:rFonts w:hint="eastAsia" w:ascii="黑体" w:hAnsi="黑体" w:eastAsia="黑体" w:cs="黑体"/>
                <w:spacing w:val="5"/>
              </w:rPr>
            </w:pPr>
            <w:r>
              <w:rPr>
                <w:rFonts w:hint="eastAsia" w:ascii="黑体" w:hAnsi="黑体" w:eastAsia="黑体" w:cs="黑体"/>
                <w:spacing w:val="5"/>
              </w:rPr>
              <w:t>2≤经营年限＜3年</w:t>
            </w:r>
          </w:p>
        </w:tc>
        <w:tc>
          <w:tcPr>
            <w:tcW w:w="1048" w:type="dxa"/>
            <w:vAlign w:val="center"/>
          </w:tcPr>
          <w:p w14:paraId="0FC7F70E">
            <w:pPr>
              <w:spacing w:before="148" w:line="232" w:lineRule="auto"/>
              <w:jc w:val="center"/>
              <w:rPr>
                <w:rFonts w:hint="eastAsia" w:ascii="黑体" w:hAnsi="黑体" w:eastAsia="黑体" w:cs="黑体"/>
                <w:spacing w:val="5"/>
              </w:rPr>
            </w:pPr>
            <w:r>
              <w:rPr>
                <w:rFonts w:hint="eastAsia" w:ascii="黑体" w:hAnsi="黑体" w:eastAsia="黑体" w:cs="黑体"/>
                <w:spacing w:val="5"/>
              </w:rPr>
              <w:t>4</w:t>
            </w:r>
          </w:p>
        </w:tc>
      </w:tr>
      <w:tr w14:paraId="4566B5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15" w:type="dxa"/>
            <w:vMerge w:val="continue"/>
            <w:vAlign w:val="center"/>
          </w:tcPr>
          <w:p w14:paraId="6E96E2F5">
            <w:pPr>
              <w:spacing w:before="148" w:line="232" w:lineRule="auto"/>
              <w:ind w:left="422"/>
              <w:jc w:val="center"/>
              <w:rPr>
                <w:rFonts w:hint="eastAsia" w:ascii="黑体" w:hAnsi="黑体" w:eastAsia="黑体" w:cs="黑体"/>
                <w:spacing w:val="5"/>
              </w:rPr>
            </w:pPr>
          </w:p>
        </w:tc>
        <w:tc>
          <w:tcPr>
            <w:tcW w:w="1816" w:type="dxa"/>
            <w:vMerge w:val="continue"/>
            <w:vAlign w:val="center"/>
          </w:tcPr>
          <w:p w14:paraId="2D8DCE23">
            <w:pPr>
              <w:spacing w:before="148" w:line="232" w:lineRule="auto"/>
              <w:ind w:left="422"/>
              <w:jc w:val="center"/>
              <w:rPr>
                <w:rFonts w:hint="eastAsia" w:ascii="黑体" w:hAnsi="黑体" w:eastAsia="黑体" w:cs="黑体"/>
                <w:spacing w:val="5"/>
              </w:rPr>
            </w:pPr>
          </w:p>
        </w:tc>
        <w:tc>
          <w:tcPr>
            <w:tcW w:w="4846" w:type="dxa"/>
            <w:vAlign w:val="center"/>
          </w:tcPr>
          <w:p w14:paraId="3429D561">
            <w:pPr>
              <w:spacing w:before="148" w:line="232" w:lineRule="auto"/>
              <w:ind w:left="422"/>
              <w:jc w:val="center"/>
              <w:rPr>
                <w:rFonts w:hint="eastAsia" w:ascii="黑体" w:hAnsi="黑体" w:eastAsia="黑体" w:cs="黑体"/>
                <w:spacing w:val="5"/>
              </w:rPr>
            </w:pPr>
            <w:r>
              <w:rPr>
                <w:rFonts w:hint="eastAsia" w:ascii="黑体" w:hAnsi="黑体" w:eastAsia="黑体" w:cs="黑体"/>
                <w:spacing w:val="5"/>
              </w:rPr>
              <w:t>经营年限＜2年</w:t>
            </w:r>
          </w:p>
        </w:tc>
        <w:tc>
          <w:tcPr>
            <w:tcW w:w="1048" w:type="dxa"/>
            <w:vAlign w:val="center"/>
          </w:tcPr>
          <w:p w14:paraId="43EBBAB6">
            <w:pPr>
              <w:spacing w:before="148" w:line="232" w:lineRule="auto"/>
              <w:jc w:val="center"/>
              <w:rPr>
                <w:rFonts w:hint="eastAsia" w:ascii="黑体" w:hAnsi="黑体" w:eastAsia="黑体" w:cs="黑体"/>
                <w:spacing w:val="5"/>
              </w:rPr>
            </w:pPr>
            <w:r>
              <w:rPr>
                <w:rFonts w:hint="eastAsia" w:ascii="黑体" w:hAnsi="黑体" w:eastAsia="黑体" w:cs="黑体"/>
                <w:spacing w:val="5"/>
              </w:rPr>
              <w:t>2</w:t>
            </w:r>
          </w:p>
        </w:tc>
      </w:tr>
      <w:tr w14:paraId="4521FF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15" w:type="dxa"/>
            <w:vMerge w:val="continue"/>
            <w:vAlign w:val="center"/>
          </w:tcPr>
          <w:p w14:paraId="103E903F">
            <w:pPr>
              <w:spacing w:before="148" w:line="232" w:lineRule="auto"/>
              <w:ind w:left="422"/>
              <w:jc w:val="center"/>
              <w:rPr>
                <w:rFonts w:hint="eastAsia" w:ascii="黑体" w:hAnsi="黑体" w:eastAsia="黑体" w:cs="黑体"/>
                <w:spacing w:val="5"/>
              </w:rPr>
            </w:pPr>
          </w:p>
        </w:tc>
        <w:tc>
          <w:tcPr>
            <w:tcW w:w="1816" w:type="dxa"/>
            <w:vMerge w:val="restart"/>
            <w:vAlign w:val="center"/>
          </w:tcPr>
          <w:p w14:paraId="4B3086A5">
            <w:pPr>
              <w:pStyle w:val="25"/>
              <w:widowControl/>
              <w:shd w:val="clear" w:color="auto" w:fill="FFFFFF"/>
              <w:spacing w:beforeAutospacing="0" w:afterAutospacing="0"/>
              <w:jc w:val="center"/>
              <w:rPr>
                <w:rStyle w:val="30"/>
                <w:rFonts w:hint="eastAsia" w:ascii="黑体" w:hAnsi="黑体" w:eastAsia="黑体" w:cs="黑体"/>
                <w:b w:val="0"/>
                <w:bCs w:val="0"/>
                <w:color w:val="000000"/>
                <w:sz w:val="21"/>
                <w:shd w:val="clear" w:color="auto" w:fill="FFFFFF"/>
              </w:rPr>
            </w:pPr>
            <w:r>
              <w:rPr>
                <w:rStyle w:val="30"/>
                <w:rFonts w:hint="eastAsia" w:ascii="黑体" w:hAnsi="黑体" w:eastAsia="黑体" w:cs="黑体"/>
                <w:b w:val="0"/>
                <w:bCs w:val="0"/>
                <w:color w:val="000000"/>
                <w:sz w:val="21"/>
                <w:shd w:val="clear" w:color="auto" w:fill="FFFFFF"/>
              </w:rPr>
              <w:t>年度纳税总额</w:t>
            </w:r>
          </w:p>
          <w:p w14:paraId="1FAA45E7">
            <w:pPr>
              <w:spacing w:before="148" w:line="232" w:lineRule="auto"/>
              <w:jc w:val="center"/>
              <w:rPr>
                <w:rFonts w:hint="eastAsia" w:ascii="黑体" w:hAnsi="黑体" w:eastAsia="黑体" w:cs="黑体"/>
                <w:spacing w:val="5"/>
              </w:rPr>
            </w:pPr>
          </w:p>
        </w:tc>
        <w:tc>
          <w:tcPr>
            <w:tcW w:w="4846" w:type="dxa"/>
            <w:vAlign w:val="center"/>
          </w:tcPr>
          <w:p w14:paraId="62488037">
            <w:pPr>
              <w:spacing w:before="148" w:line="232" w:lineRule="auto"/>
              <w:ind w:left="422"/>
              <w:jc w:val="center"/>
              <w:rPr>
                <w:rFonts w:hint="eastAsia" w:ascii="黑体" w:hAnsi="黑体" w:eastAsia="黑体" w:cs="黑体"/>
                <w:spacing w:val="5"/>
              </w:rPr>
            </w:pPr>
            <w:r>
              <w:rPr>
                <w:rFonts w:hint="eastAsia" w:ascii="黑体" w:hAnsi="黑体" w:eastAsia="黑体" w:cs="黑体"/>
                <w:spacing w:val="5"/>
              </w:rPr>
              <w:t>年度纳税≥</w:t>
            </w:r>
            <w:r>
              <w:rPr>
                <w:rStyle w:val="30"/>
                <w:rFonts w:hint="eastAsia" w:ascii="黑体" w:hAnsi="黑体" w:eastAsia="黑体" w:cs="黑体"/>
                <w:b w:val="0"/>
                <w:bCs w:val="0"/>
                <w:color w:val="000000"/>
                <w:shd w:val="clear" w:color="auto" w:fill="FFFFFF"/>
              </w:rPr>
              <w:t>200万元</w:t>
            </w:r>
          </w:p>
        </w:tc>
        <w:tc>
          <w:tcPr>
            <w:tcW w:w="1048" w:type="dxa"/>
            <w:vAlign w:val="center"/>
          </w:tcPr>
          <w:p w14:paraId="126B9AE5">
            <w:pPr>
              <w:spacing w:before="148" w:line="232" w:lineRule="auto"/>
              <w:jc w:val="center"/>
              <w:rPr>
                <w:rFonts w:hint="eastAsia" w:ascii="黑体" w:hAnsi="黑体" w:eastAsia="黑体" w:cs="黑体"/>
                <w:spacing w:val="5"/>
              </w:rPr>
            </w:pPr>
            <w:r>
              <w:rPr>
                <w:rFonts w:hint="eastAsia" w:ascii="黑体" w:hAnsi="黑体" w:eastAsia="黑体" w:cs="黑体"/>
                <w:spacing w:val="5"/>
              </w:rPr>
              <w:t>10</w:t>
            </w:r>
          </w:p>
        </w:tc>
      </w:tr>
      <w:tr w14:paraId="521C42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15" w:type="dxa"/>
            <w:vMerge w:val="continue"/>
            <w:vAlign w:val="center"/>
          </w:tcPr>
          <w:p w14:paraId="4459C046">
            <w:pPr>
              <w:spacing w:before="148" w:line="232" w:lineRule="auto"/>
              <w:ind w:left="422"/>
              <w:jc w:val="center"/>
              <w:rPr>
                <w:rFonts w:hint="eastAsia" w:ascii="黑体" w:hAnsi="黑体" w:eastAsia="黑体" w:cs="黑体"/>
                <w:spacing w:val="5"/>
              </w:rPr>
            </w:pPr>
          </w:p>
        </w:tc>
        <w:tc>
          <w:tcPr>
            <w:tcW w:w="1816" w:type="dxa"/>
            <w:vMerge w:val="continue"/>
            <w:vAlign w:val="center"/>
          </w:tcPr>
          <w:p w14:paraId="42321B04">
            <w:pPr>
              <w:spacing w:before="148" w:line="232" w:lineRule="auto"/>
              <w:ind w:left="422"/>
              <w:jc w:val="center"/>
              <w:rPr>
                <w:rFonts w:hint="eastAsia" w:ascii="黑体" w:hAnsi="黑体" w:eastAsia="黑体" w:cs="黑体"/>
                <w:spacing w:val="5"/>
              </w:rPr>
            </w:pPr>
          </w:p>
        </w:tc>
        <w:tc>
          <w:tcPr>
            <w:tcW w:w="4846" w:type="dxa"/>
            <w:vAlign w:val="center"/>
          </w:tcPr>
          <w:p w14:paraId="17433D46">
            <w:pPr>
              <w:spacing w:before="148" w:line="232" w:lineRule="auto"/>
              <w:ind w:left="422"/>
              <w:jc w:val="center"/>
              <w:rPr>
                <w:rFonts w:hint="eastAsia" w:ascii="黑体" w:hAnsi="黑体" w:eastAsia="黑体" w:cs="黑体"/>
                <w:spacing w:val="5"/>
              </w:rPr>
            </w:pPr>
            <w:r>
              <w:rPr>
                <w:rFonts w:hint="eastAsia" w:ascii="黑体" w:hAnsi="黑体" w:eastAsia="黑体" w:cs="黑体"/>
                <w:spacing w:val="5"/>
              </w:rPr>
              <w:t>100</w:t>
            </w:r>
            <w:r>
              <w:rPr>
                <w:rStyle w:val="30"/>
                <w:rFonts w:hint="eastAsia" w:ascii="黑体" w:hAnsi="黑体" w:eastAsia="黑体" w:cs="黑体"/>
                <w:b w:val="0"/>
                <w:bCs w:val="0"/>
                <w:color w:val="000000"/>
                <w:shd w:val="clear" w:color="auto" w:fill="FFFFFF"/>
              </w:rPr>
              <w:t>万元</w:t>
            </w:r>
            <w:r>
              <w:rPr>
                <w:rFonts w:hint="eastAsia" w:ascii="黑体" w:hAnsi="黑体" w:eastAsia="黑体" w:cs="黑体"/>
                <w:spacing w:val="5"/>
              </w:rPr>
              <w:t>≤年度纳税＜</w:t>
            </w:r>
            <w:r>
              <w:rPr>
                <w:rStyle w:val="30"/>
                <w:rFonts w:hint="eastAsia" w:ascii="黑体" w:hAnsi="黑体" w:eastAsia="黑体" w:cs="黑体"/>
                <w:b w:val="0"/>
                <w:bCs w:val="0"/>
                <w:color w:val="000000"/>
                <w:shd w:val="clear" w:color="auto" w:fill="FFFFFF"/>
              </w:rPr>
              <w:t>200万元</w:t>
            </w:r>
          </w:p>
        </w:tc>
        <w:tc>
          <w:tcPr>
            <w:tcW w:w="1048" w:type="dxa"/>
            <w:vAlign w:val="center"/>
          </w:tcPr>
          <w:p w14:paraId="09927196">
            <w:pPr>
              <w:spacing w:before="148" w:line="232" w:lineRule="auto"/>
              <w:jc w:val="center"/>
              <w:rPr>
                <w:rFonts w:hint="eastAsia" w:ascii="黑体" w:hAnsi="黑体" w:eastAsia="黑体" w:cs="黑体"/>
                <w:spacing w:val="5"/>
              </w:rPr>
            </w:pPr>
            <w:r>
              <w:rPr>
                <w:rFonts w:hint="eastAsia" w:ascii="黑体" w:hAnsi="黑体" w:eastAsia="黑体" w:cs="黑体"/>
                <w:spacing w:val="5"/>
              </w:rPr>
              <w:t>8</w:t>
            </w:r>
          </w:p>
        </w:tc>
      </w:tr>
      <w:tr w14:paraId="074F80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15" w:type="dxa"/>
            <w:vMerge w:val="continue"/>
            <w:vAlign w:val="center"/>
          </w:tcPr>
          <w:p w14:paraId="2120217B">
            <w:pPr>
              <w:spacing w:before="148" w:line="232" w:lineRule="auto"/>
              <w:ind w:left="422"/>
              <w:jc w:val="center"/>
              <w:rPr>
                <w:rFonts w:hint="eastAsia" w:ascii="黑体" w:hAnsi="黑体" w:eastAsia="黑体" w:cs="黑体"/>
                <w:spacing w:val="5"/>
              </w:rPr>
            </w:pPr>
          </w:p>
        </w:tc>
        <w:tc>
          <w:tcPr>
            <w:tcW w:w="1816" w:type="dxa"/>
            <w:vMerge w:val="continue"/>
            <w:vAlign w:val="center"/>
          </w:tcPr>
          <w:p w14:paraId="68B13D34">
            <w:pPr>
              <w:spacing w:before="148" w:line="232" w:lineRule="auto"/>
              <w:ind w:left="422"/>
              <w:jc w:val="center"/>
              <w:rPr>
                <w:rFonts w:hint="eastAsia" w:ascii="黑体" w:hAnsi="黑体" w:eastAsia="黑体" w:cs="黑体"/>
                <w:spacing w:val="5"/>
              </w:rPr>
            </w:pPr>
          </w:p>
        </w:tc>
        <w:tc>
          <w:tcPr>
            <w:tcW w:w="4846" w:type="dxa"/>
            <w:vAlign w:val="center"/>
          </w:tcPr>
          <w:p w14:paraId="7285E5B4">
            <w:pPr>
              <w:spacing w:before="148" w:line="232" w:lineRule="auto"/>
              <w:ind w:left="422"/>
              <w:jc w:val="center"/>
              <w:rPr>
                <w:rFonts w:hint="eastAsia" w:ascii="黑体" w:hAnsi="黑体" w:eastAsia="黑体" w:cs="黑体"/>
                <w:spacing w:val="5"/>
              </w:rPr>
            </w:pPr>
            <w:r>
              <w:rPr>
                <w:rStyle w:val="30"/>
                <w:rFonts w:hint="eastAsia" w:ascii="黑体" w:hAnsi="黑体" w:eastAsia="黑体" w:cs="黑体"/>
                <w:b w:val="0"/>
                <w:bCs w:val="0"/>
                <w:color w:val="000000"/>
                <w:shd w:val="clear" w:color="auto" w:fill="FFFFFF"/>
              </w:rPr>
              <w:t>50万元</w:t>
            </w:r>
            <w:r>
              <w:rPr>
                <w:rFonts w:hint="eastAsia" w:ascii="黑体" w:hAnsi="黑体" w:eastAsia="黑体" w:cs="黑体"/>
                <w:spacing w:val="5"/>
              </w:rPr>
              <w:t>≤年度纳税＜100</w:t>
            </w:r>
            <w:r>
              <w:rPr>
                <w:rStyle w:val="30"/>
                <w:rFonts w:hint="eastAsia" w:ascii="黑体" w:hAnsi="黑体" w:eastAsia="黑体" w:cs="黑体"/>
                <w:b w:val="0"/>
                <w:bCs w:val="0"/>
                <w:color w:val="000000"/>
                <w:shd w:val="clear" w:color="auto" w:fill="FFFFFF"/>
              </w:rPr>
              <w:t>万元</w:t>
            </w:r>
          </w:p>
        </w:tc>
        <w:tc>
          <w:tcPr>
            <w:tcW w:w="1048" w:type="dxa"/>
            <w:vAlign w:val="center"/>
          </w:tcPr>
          <w:p w14:paraId="15CA2739">
            <w:pPr>
              <w:spacing w:before="148" w:line="232" w:lineRule="auto"/>
              <w:jc w:val="center"/>
              <w:rPr>
                <w:rFonts w:hint="eastAsia" w:ascii="黑体" w:hAnsi="黑体" w:eastAsia="黑体" w:cs="黑体"/>
                <w:spacing w:val="5"/>
              </w:rPr>
            </w:pPr>
            <w:r>
              <w:rPr>
                <w:rFonts w:hint="eastAsia" w:ascii="黑体" w:hAnsi="黑体" w:eastAsia="黑体" w:cs="黑体"/>
                <w:spacing w:val="5"/>
              </w:rPr>
              <w:t>6</w:t>
            </w:r>
          </w:p>
        </w:tc>
      </w:tr>
      <w:tr w14:paraId="3E4B70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15" w:type="dxa"/>
            <w:vMerge w:val="continue"/>
            <w:vAlign w:val="center"/>
          </w:tcPr>
          <w:p w14:paraId="100F58E2">
            <w:pPr>
              <w:spacing w:before="148" w:line="232" w:lineRule="auto"/>
              <w:ind w:left="422"/>
              <w:jc w:val="center"/>
              <w:rPr>
                <w:rFonts w:hint="eastAsia" w:ascii="黑体" w:hAnsi="黑体" w:eastAsia="黑体" w:cs="黑体"/>
                <w:spacing w:val="5"/>
              </w:rPr>
            </w:pPr>
          </w:p>
        </w:tc>
        <w:tc>
          <w:tcPr>
            <w:tcW w:w="1816" w:type="dxa"/>
            <w:vMerge w:val="continue"/>
            <w:vAlign w:val="center"/>
          </w:tcPr>
          <w:p w14:paraId="37D18B3A">
            <w:pPr>
              <w:spacing w:before="148" w:line="232" w:lineRule="auto"/>
              <w:ind w:left="422"/>
              <w:jc w:val="center"/>
              <w:rPr>
                <w:rFonts w:hint="eastAsia" w:ascii="黑体" w:hAnsi="黑体" w:eastAsia="黑体" w:cs="黑体"/>
                <w:spacing w:val="5"/>
              </w:rPr>
            </w:pPr>
          </w:p>
        </w:tc>
        <w:tc>
          <w:tcPr>
            <w:tcW w:w="4846" w:type="dxa"/>
            <w:vAlign w:val="center"/>
          </w:tcPr>
          <w:p w14:paraId="7CD70197">
            <w:pPr>
              <w:spacing w:before="148" w:line="232" w:lineRule="auto"/>
              <w:ind w:left="422"/>
              <w:jc w:val="center"/>
              <w:rPr>
                <w:rFonts w:hint="eastAsia" w:ascii="黑体" w:hAnsi="黑体" w:eastAsia="黑体" w:cs="黑体"/>
                <w:spacing w:val="5"/>
              </w:rPr>
            </w:pPr>
            <w:r>
              <w:rPr>
                <w:rStyle w:val="30"/>
                <w:rFonts w:hint="eastAsia" w:ascii="黑体" w:hAnsi="黑体" w:eastAsia="黑体" w:cs="黑体"/>
                <w:b w:val="0"/>
                <w:bCs w:val="0"/>
                <w:color w:val="000000"/>
                <w:shd w:val="clear" w:color="auto" w:fill="FFFFFF"/>
              </w:rPr>
              <w:t>20万元</w:t>
            </w:r>
            <w:r>
              <w:rPr>
                <w:rFonts w:hint="eastAsia" w:ascii="黑体" w:hAnsi="黑体" w:eastAsia="黑体" w:cs="黑体"/>
                <w:spacing w:val="5"/>
              </w:rPr>
              <w:t>≤年度纳税＜</w:t>
            </w:r>
            <w:r>
              <w:rPr>
                <w:rStyle w:val="30"/>
                <w:rFonts w:hint="eastAsia" w:ascii="黑体" w:hAnsi="黑体" w:eastAsia="黑体" w:cs="黑体"/>
                <w:b w:val="0"/>
                <w:bCs w:val="0"/>
                <w:color w:val="000000"/>
                <w:shd w:val="clear" w:color="auto" w:fill="FFFFFF"/>
              </w:rPr>
              <w:t>50万元</w:t>
            </w:r>
          </w:p>
        </w:tc>
        <w:tc>
          <w:tcPr>
            <w:tcW w:w="1048" w:type="dxa"/>
            <w:vAlign w:val="center"/>
          </w:tcPr>
          <w:p w14:paraId="5F64EFAC">
            <w:pPr>
              <w:spacing w:before="148" w:line="232" w:lineRule="auto"/>
              <w:jc w:val="center"/>
              <w:rPr>
                <w:rFonts w:hint="eastAsia" w:ascii="黑体" w:hAnsi="黑体" w:eastAsia="黑体" w:cs="黑体"/>
                <w:spacing w:val="5"/>
              </w:rPr>
            </w:pPr>
            <w:r>
              <w:rPr>
                <w:rFonts w:hint="eastAsia" w:ascii="黑体" w:hAnsi="黑体" w:eastAsia="黑体" w:cs="黑体"/>
                <w:spacing w:val="5"/>
              </w:rPr>
              <w:t>4</w:t>
            </w:r>
          </w:p>
        </w:tc>
      </w:tr>
      <w:tr w14:paraId="640396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15" w:type="dxa"/>
            <w:vMerge w:val="continue"/>
            <w:vAlign w:val="center"/>
          </w:tcPr>
          <w:p w14:paraId="6F158E83">
            <w:pPr>
              <w:spacing w:before="148" w:line="232" w:lineRule="auto"/>
              <w:ind w:left="422"/>
              <w:jc w:val="center"/>
              <w:rPr>
                <w:rFonts w:hint="eastAsia" w:ascii="黑体" w:hAnsi="黑体" w:eastAsia="黑体" w:cs="黑体"/>
                <w:spacing w:val="5"/>
              </w:rPr>
            </w:pPr>
          </w:p>
        </w:tc>
        <w:tc>
          <w:tcPr>
            <w:tcW w:w="1816" w:type="dxa"/>
            <w:vMerge w:val="continue"/>
            <w:vAlign w:val="center"/>
          </w:tcPr>
          <w:p w14:paraId="29092CDB">
            <w:pPr>
              <w:spacing w:before="148" w:line="232" w:lineRule="auto"/>
              <w:ind w:left="422"/>
              <w:jc w:val="center"/>
              <w:rPr>
                <w:rFonts w:hint="eastAsia" w:ascii="黑体" w:hAnsi="黑体" w:eastAsia="黑体" w:cs="黑体"/>
                <w:spacing w:val="5"/>
              </w:rPr>
            </w:pPr>
          </w:p>
        </w:tc>
        <w:tc>
          <w:tcPr>
            <w:tcW w:w="4846" w:type="dxa"/>
            <w:vAlign w:val="center"/>
          </w:tcPr>
          <w:p w14:paraId="600A8B5F">
            <w:pPr>
              <w:spacing w:before="148" w:line="232" w:lineRule="auto"/>
              <w:ind w:left="422"/>
              <w:jc w:val="center"/>
              <w:rPr>
                <w:rFonts w:hint="eastAsia" w:ascii="黑体" w:hAnsi="黑体" w:eastAsia="黑体" w:cs="黑体"/>
                <w:spacing w:val="5"/>
              </w:rPr>
            </w:pPr>
            <w:r>
              <w:rPr>
                <w:rFonts w:hint="eastAsia" w:ascii="黑体" w:hAnsi="黑体" w:eastAsia="黑体" w:cs="黑体"/>
                <w:spacing w:val="5"/>
              </w:rPr>
              <w:t>年度纳税＜</w:t>
            </w:r>
            <w:r>
              <w:rPr>
                <w:rStyle w:val="30"/>
                <w:rFonts w:hint="eastAsia" w:ascii="黑体" w:hAnsi="黑体" w:eastAsia="黑体" w:cs="黑体"/>
                <w:b w:val="0"/>
                <w:bCs w:val="0"/>
                <w:color w:val="000000"/>
                <w:shd w:val="clear" w:color="auto" w:fill="FFFFFF"/>
              </w:rPr>
              <w:t>20万元</w:t>
            </w:r>
          </w:p>
        </w:tc>
        <w:tc>
          <w:tcPr>
            <w:tcW w:w="1048" w:type="dxa"/>
            <w:vAlign w:val="center"/>
          </w:tcPr>
          <w:p w14:paraId="0F91B619">
            <w:pPr>
              <w:spacing w:before="148" w:line="232" w:lineRule="auto"/>
              <w:jc w:val="center"/>
              <w:rPr>
                <w:rFonts w:hint="eastAsia" w:ascii="黑体" w:hAnsi="黑体" w:eastAsia="黑体" w:cs="黑体"/>
                <w:spacing w:val="5"/>
              </w:rPr>
            </w:pPr>
            <w:r>
              <w:rPr>
                <w:rFonts w:hint="eastAsia" w:ascii="黑体" w:hAnsi="黑体" w:eastAsia="黑体" w:cs="黑体"/>
                <w:spacing w:val="5"/>
              </w:rPr>
              <w:t>2</w:t>
            </w:r>
          </w:p>
        </w:tc>
      </w:tr>
      <w:tr w14:paraId="4A06CA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15" w:type="dxa"/>
            <w:vMerge w:val="restart"/>
            <w:vAlign w:val="center"/>
          </w:tcPr>
          <w:p w14:paraId="78BF04C1">
            <w:pPr>
              <w:spacing w:before="148" w:line="232" w:lineRule="auto"/>
              <w:jc w:val="center"/>
              <w:rPr>
                <w:rFonts w:hint="eastAsia" w:ascii="黑体" w:hAnsi="黑体" w:eastAsia="黑体" w:cs="黑体"/>
                <w:spacing w:val="5"/>
              </w:rPr>
            </w:pPr>
            <w:r>
              <w:rPr>
                <w:rFonts w:hint="eastAsia" w:ascii="黑体" w:hAnsi="黑体" w:eastAsia="黑体" w:cs="黑体"/>
                <w:spacing w:val="5"/>
              </w:rPr>
              <w:t>二、</w:t>
            </w:r>
          </w:p>
          <w:p w14:paraId="53265EF7">
            <w:pPr>
              <w:spacing w:before="148" w:line="232" w:lineRule="auto"/>
              <w:jc w:val="center"/>
              <w:rPr>
                <w:rFonts w:hint="eastAsia" w:ascii="黑体" w:hAnsi="黑体" w:eastAsia="黑体" w:cs="黑体"/>
                <w:spacing w:val="5"/>
              </w:rPr>
            </w:pPr>
            <w:r>
              <w:rPr>
                <w:rFonts w:hint="eastAsia" w:ascii="黑体" w:hAnsi="黑体" w:eastAsia="黑体" w:cs="黑体"/>
                <w:spacing w:val="5"/>
              </w:rPr>
              <w:t>服务能力</w:t>
            </w:r>
          </w:p>
        </w:tc>
        <w:tc>
          <w:tcPr>
            <w:tcW w:w="1816" w:type="dxa"/>
            <w:vMerge w:val="restart"/>
            <w:vAlign w:val="center"/>
          </w:tcPr>
          <w:p w14:paraId="02161781">
            <w:pPr>
              <w:spacing w:before="148" w:line="232" w:lineRule="auto"/>
              <w:jc w:val="center"/>
              <w:rPr>
                <w:rFonts w:hint="eastAsia" w:ascii="黑体" w:hAnsi="黑体" w:eastAsia="黑体" w:cs="黑体"/>
                <w:spacing w:val="5"/>
              </w:rPr>
            </w:pPr>
            <w:r>
              <w:rPr>
                <w:rFonts w:hint="eastAsia" w:ascii="黑体" w:hAnsi="黑体" w:eastAsia="黑体" w:cs="黑体"/>
                <w:spacing w:val="5"/>
              </w:rPr>
              <w:t>专职人员数量</w:t>
            </w:r>
          </w:p>
        </w:tc>
        <w:tc>
          <w:tcPr>
            <w:tcW w:w="4846" w:type="dxa"/>
            <w:vAlign w:val="center"/>
          </w:tcPr>
          <w:p w14:paraId="24906750">
            <w:pPr>
              <w:spacing w:before="148" w:line="232" w:lineRule="auto"/>
              <w:ind w:left="422"/>
              <w:jc w:val="center"/>
              <w:rPr>
                <w:rFonts w:hint="eastAsia" w:ascii="黑体" w:hAnsi="黑体" w:eastAsia="黑体" w:cs="黑体"/>
                <w:spacing w:val="5"/>
              </w:rPr>
            </w:pPr>
            <w:r>
              <w:rPr>
                <w:rFonts w:hint="eastAsia" w:ascii="黑体" w:hAnsi="黑体" w:eastAsia="黑体" w:cs="黑体"/>
                <w:spacing w:val="5"/>
              </w:rPr>
              <w:t>专职人员数量≥15人</w:t>
            </w:r>
          </w:p>
        </w:tc>
        <w:tc>
          <w:tcPr>
            <w:tcW w:w="1048" w:type="dxa"/>
            <w:vAlign w:val="center"/>
          </w:tcPr>
          <w:p w14:paraId="52D82B6D">
            <w:pPr>
              <w:spacing w:before="148" w:line="232" w:lineRule="auto"/>
              <w:jc w:val="center"/>
              <w:rPr>
                <w:rFonts w:hint="eastAsia" w:ascii="黑体" w:hAnsi="黑体" w:eastAsia="黑体" w:cs="黑体"/>
                <w:spacing w:val="5"/>
              </w:rPr>
            </w:pPr>
            <w:r>
              <w:rPr>
                <w:rFonts w:hint="eastAsia" w:ascii="黑体" w:hAnsi="黑体" w:eastAsia="黑体" w:cs="黑体"/>
                <w:spacing w:val="5"/>
              </w:rPr>
              <w:t>10</w:t>
            </w:r>
          </w:p>
        </w:tc>
      </w:tr>
      <w:tr w14:paraId="618BE1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15" w:type="dxa"/>
            <w:vMerge w:val="continue"/>
            <w:vAlign w:val="center"/>
          </w:tcPr>
          <w:p w14:paraId="018F3759">
            <w:pPr>
              <w:spacing w:before="148" w:line="232" w:lineRule="auto"/>
              <w:ind w:left="422"/>
              <w:jc w:val="center"/>
              <w:rPr>
                <w:rFonts w:hint="eastAsia" w:ascii="黑体" w:hAnsi="黑体" w:eastAsia="黑体" w:cs="黑体"/>
                <w:spacing w:val="5"/>
              </w:rPr>
            </w:pPr>
          </w:p>
        </w:tc>
        <w:tc>
          <w:tcPr>
            <w:tcW w:w="1816" w:type="dxa"/>
            <w:vMerge w:val="continue"/>
            <w:vAlign w:val="center"/>
          </w:tcPr>
          <w:p w14:paraId="6E4AFCB7">
            <w:pPr>
              <w:spacing w:before="148" w:line="232" w:lineRule="auto"/>
              <w:ind w:left="422"/>
              <w:jc w:val="center"/>
              <w:rPr>
                <w:rFonts w:hint="eastAsia" w:ascii="黑体" w:hAnsi="黑体" w:eastAsia="黑体" w:cs="黑体"/>
                <w:spacing w:val="5"/>
              </w:rPr>
            </w:pPr>
          </w:p>
        </w:tc>
        <w:tc>
          <w:tcPr>
            <w:tcW w:w="4846" w:type="dxa"/>
            <w:vAlign w:val="center"/>
          </w:tcPr>
          <w:p w14:paraId="4DCDD8D7">
            <w:pPr>
              <w:spacing w:before="148" w:line="232" w:lineRule="auto"/>
              <w:ind w:left="422"/>
              <w:jc w:val="center"/>
              <w:rPr>
                <w:rFonts w:hint="eastAsia" w:ascii="黑体" w:hAnsi="黑体" w:eastAsia="黑体" w:cs="黑体"/>
                <w:spacing w:val="5"/>
              </w:rPr>
            </w:pPr>
            <w:r>
              <w:rPr>
                <w:rFonts w:hint="eastAsia" w:ascii="黑体" w:hAnsi="黑体" w:eastAsia="黑体" w:cs="黑体"/>
                <w:spacing w:val="5"/>
              </w:rPr>
              <w:t>12人≤专职人员数量＜15人</w:t>
            </w:r>
          </w:p>
        </w:tc>
        <w:tc>
          <w:tcPr>
            <w:tcW w:w="1048" w:type="dxa"/>
            <w:vAlign w:val="center"/>
          </w:tcPr>
          <w:p w14:paraId="6D0485BF">
            <w:pPr>
              <w:spacing w:before="148" w:line="232" w:lineRule="auto"/>
              <w:jc w:val="center"/>
              <w:rPr>
                <w:rFonts w:hint="eastAsia" w:ascii="黑体" w:hAnsi="黑体" w:eastAsia="黑体" w:cs="黑体"/>
                <w:spacing w:val="5"/>
              </w:rPr>
            </w:pPr>
            <w:r>
              <w:rPr>
                <w:rFonts w:hint="eastAsia" w:ascii="黑体" w:hAnsi="黑体" w:eastAsia="黑体" w:cs="黑体"/>
                <w:spacing w:val="5"/>
              </w:rPr>
              <w:t>8</w:t>
            </w:r>
          </w:p>
        </w:tc>
      </w:tr>
      <w:tr w14:paraId="24CAC6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15" w:type="dxa"/>
            <w:vMerge w:val="continue"/>
            <w:vAlign w:val="center"/>
          </w:tcPr>
          <w:p w14:paraId="4E635C27">
            <w:pPr>
              <w:spacing w:before="148" w:line="232" w:lineRule="auto"/>
              <w:ind w:left="422"/>
              <w:jc w:val="center"/>
              <w:rPr>
                <w:rFonts w:hint="eastAsia" w:ascii="黑体" w:hAnsi="黑体" w:eastAsia="黑体" w:cs="黑体"/>
                <w:spacing w:val="5"/>
              </w:rPr>
            </w:pPr>
          </w:p>
        </w:tc>
        <w:tc>
          <w:tcPr>
            <w:tcW w:w="1816" w:type="dxa"/>
            <w:vMerge w:val="continue"/>
            <w:vAlign w:val="center"/>
          </w:tcPr>
          <w:p w14:paraId="54D331B6">
            <w:pPr>
              <w:spacing w:before="148" w:line="232" w:lineRule="auto"/>
              <w:ind w:left="422"/>
              <w:jc w:val="center"/>
              <w:rPr>
                <w:rFonts w:hint="eastAsia" w:ascii="黑体" w:hAnsi="黑体" w:eastAsia="黑体" w:cs="黑体"/>
                <w:spacing w:val="5"/>
              </w:rPr>
            </w:pPr>
          </w:p>
        </w:tc>
        <w:tc>
          <w:tcPr>
            <w:tcW w:w="4846" w:type="dxa"/>
            <w:vAlign w:val="center"/>
          </w:tcPr>
          <w:p w14:paraId="45270263">
            <w:pPr>
              <w:spacing w:before="148" w:line="232" w:lineRule="auto"/>
              <w:ind w:left="422"/>
              <w:jc w:val="center"/>
              <w:rPr>
                <w:rFonts w:hint="eastAsia" w:ascii="黑体" w:hAnsi="黑体" w:eastAsia="黑体" w:cs="黑体"/>
                <w:spacing w:val="5"/>
              </w:rPr>
            </w:pPr>
            <w:r>
              <w:rPr>
                <w:rFonts w:hint="eastAsia" w:ascii="黑体" w:hAnsi="黑体" w:eastAsia="黑体" w:cs="黑体"/>
                <w:spacing w:val="5"/>
              </w:rPr>
              <w:t>8人≤专职人员数量＜12人</w:t>
            </w:r>
          </w:p>
        </w:tc>
        <w:tc>
          <w:tcPr>
            <w:tcW w:w="1048" w:type="dxa"/>
            <w:vAlign w:val="center"/>
          </w:tcPr>
          <w:p w14:paraId="04935FB1">
            <w:pPr>
              <w:spacing w:before="148" w:line="232" w:lineRule="auto"/>
              <w:jc w:val="center"/>
              <w:rPr>
                <w:rFonts w:hint="eastAsia" w:ascii="黑体" w:hAnsi="黑体" w:eastAsia="黑体" w:cs="黑体"/>
                <w:spacing w:val="5"/>
              </w:rPr>
            </w:pPr>
            <w:r>
              <w:rPr>
                <w:rFonts w:hint="eastAsia" w:ascii="黑体" w:hAnsi="黑体" w:eastAsia="黑体" w:cs="黑体"/>
                <w:spacing w:val="5"/>
              </w:rPr>
              <w:t>6</w:t>
            </w:r>
          </w:p>
        </w:tc>
      </w:tr>
      <w:tr w14:paraId="1C4468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15" w:type="dxa"/>
            <w:vMerge w:val="continue"/>
            <w:vAlign w:val="center"/>
          </w:tcPr>
          <w:p w14:paraId="123FDE61">
            <w:pPr>
              <w:spacing w:before="148" w:line="232" w:lineRule="auto"/>
              <w:ind w:left="422"/>
              <w:jc w:val="center"/>
              <w:rPr>
                <w:rFonts w:hint="eastAsia" w:ascii="黑体" w:hAnsi="黑体" w:eastAsia="黑体" w:cs="黑体"/>
                <w:spacing w:val="5"/>
              </w:rPr>
            </w:pPr>
          </w:p>
        </w:tc>
        <w:tc>
          <w:tcPr>
            <w:tcW w:w="1816" w:type="dxa"/>
            <w:vMerge w:val="continue"/>
            <w:vAlign w:val="center"/>
          </w:tcPr>
          <w:p w14:paraId="3742F140">
            <w:pPr>
              <w:spacing w:before="148" w:line="232" w:lineRule="auto"/>
              <w:ind w:left="422"/>
              <w:jc w:val="center"/>
              <w:rPr>
                <w:rFonts w:hint="eastAsia" w:ascii="黑体" w:hAnsi="黑体" w:eastAsia="黑体" w:cs="黑体"/>
                <w:spacing w:val="5"/>
              </w:rPr>
            </w:pPr>
          </w:p>
        </w:tc>
        <w:tc>
          <w:tcPr>
            <w:tcW w:w="4846" w:type="dxa"/>
            <w:vAlign w:val="center"/>
          </w:tcPr>
          <w:p w14:paraId="1E2DFF11">
            <w:pPr>
              <w:spacing w:before="148" w:line="232" w:lineRule="auto"/>
              <w:ind w:left="422"/>
              <w:jc w:val="center"/>
              <w:rPr>
                <w:rFonts w:hint="eastAsia" w:ascii="黑体" w:hAnsi="黑体" w:eastAsia="黑体" w:cs="黑体"/>
                <w:spacing w:val="5"/>
              </w:rPr>
            </w:pPr>
            <w:r>
              <w:rPr>
                <w:rFonts w:hint="eastAsia" w:ascii="黑体" w:hAnsi="黑体" w:eastAsia="黑体" w:cs="黑体"/>
                <w:spacing w:val="5"/>
              </w:rPr>
              <w:t>4人≤专职人员数量＜8人</w:t>
            </w:r>
          </w:p>
        </w:tc>
        <w:tc>
          <w:tcPr>
            <w:tcW w:w="1048" w:type="dxa"/>
            <w:vAlign w:val="center"/>
          </w:tcPr>
          <w:p w14:paraId="659EE858">
            <w:pPr>
              <w:spacing w:before="148" w:line="232" w:lineRule="auto"/>
              <w:jc w:val="center"/>
              <w:rPr>
                <w:rFonts w:hint="eastAsia" w:ascii="黑体" w:hAnsi="黑体" w:eastAsia="黑体" w:cs="黑体"/>
                <w:spacing w:val="5"/>
              </w:rPr>
            </w:pPr>
            <w:r>
              <w:rPr>
                <w:rFonts w:hint="eastAsia" w:ascii="黑体" w:hAnsi="黑体" w:eastAsia="黑体" w:cs="黑体"/>
                <w:spacing w:val="5"/>
              </w:rPr>
              <w:t>4</w:t>
            </w:r>
          </w:p>
        </w:tc>
      </w:tr>
      <w:tr w14:paraId="1311A4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415" w:type="dxa"/>
            <w:vMerge w:val="continue"/>
            <w:vAlign w:val="center"/>
          </w:tcPr>
          <w:p w14:paraId="076A3CB0">
            <w:pPr>
              <w:spacing w:before="148" w:line="232" w:lineRule="auto"/>
              <w:ind w:left="422"/>
              <w:jc w:val="center"/>
              <w:rPr>
                <w:rFonts w:hint="eastAsia" w:ascii="黑体" w:hAnsi="黑体" w:eastAsia="黑体" w:cs="黑体"/>
                <w:spacing w:val="5"/>
              </w:rPr>
            </w:pPr>
          </w:p>
        </w:tc>
        <w:tc>
          <w:tcPr>
            <w:tcW w:w="1816" w:type="dxa"/>
            <w:vMerge w:val="continue"/>
            <w:vAlign w:val="center"/>
          </w:tcPr>
          <w:p w14:paraId="11A6F046">
            <w:pPr>
              <w:spacing w:before="148" w:line="232" w:lineRule="auto"/>
              <w:ind w:left="422"/>
              <w:jc w:val="center"/>
              <w:rPr>
                <w:rFonts w:hint="eastAsia" w:ascii="黑体" w:hAnsi="黑体" w:eastAsia="黑体" w:cs="黑体"/>
                <w:spacing w:val="5"/>
              </w:rPr>
            </w:pPr>
          </w:p>
        </w:tc>
        <w:tc>
          <w:tcPr>
            <w:tcW w:w="4846" w:type="dxa"/>
            <w:vAlign w:val="center"/>
          </w:tcPr>
          <w:p w14:paraId="4C5C7A15">
            <w:pPr>
              <w:spacing w:line="0" w:lineRule="atLeast"/>
              <w:ind w:left="420"/>
              <w:jc w:val="center"/>
              <w:rPr>
                <w:rFonts w:hint="eastAsia" w:ascii="黑体" w:hAnsi="黑体" w:eastAsia="黑体" w:cs="黑体"/>
                <w:spacing w:val="5"/>
              </w:rPr>
            </w:pPr>
            <w:r>
              <w:rPr>
                <w:rFonts w:hint="eastAsia" w:ascii="黑体" w:hAnsi="黑体" w:eastAsia="黑体" w:cs="黑体"/>
                <w:spacing w:val="5"/>
              </w:rPr>
              <w:t>专职人员数量3人</w:t>
            </w:r>
          </w:p>
          <w:p w14:paraId="12C44A81">
            <w:pPr>
              <w:spacing w:line="0" w:lineRule="atLeast"/>
              <w:ind w:left="420"/>
              <w:jc w:val="center"/>
              <w:rPr>
                <w:rFonts w:hint="eastAsia" w:ascii="黑体" w:hAnsi="黑体" w:eastAsia="黑体" w:cs="黑体"/>
                <w:spacing w:val="5"/>
              </w:rPr>
            </w:pPr>
            <w:r>
              <w:rPr>
                <w:rFonts w:hint="eastAsia" w:ascii="黑体" w:hAnsi="黑体" w:eastAsia="黑体" w:cs="黑体"/>
                <w:spacing w:val="5"/>
              </w:rPr>
              <w:t>（未满3人不符合参评条件）</w:t>
            </w:r>
          </w:p>
        </w:tc>
        <w:tc>
          <w:tcPr>
            <w:tcW w:w="1048" w:type="dxa"/>
            <w:vAlign w:val="center"/>
          </w:tcPr>
          <w:p w14:paraId="0F6AE64C">
            <w:pPr>
              <w:spacing w:before="148" w:line="232" w:lineRule="auto"/>
              <w:jc w:val="center"/>
              <w:rPr>
                <w:rFonts w:hint="eastAsia" w:ascii="黑体" w:hAnsi="黑体" w:eastAsia="黑体" w:cs="黑体"/>
                <w:spacing w:val="5"/>
              </w:rPr>
            </w:pPr>
            <w:r>
              <w:rPr>
                <w:rFonts w:hint="eastAsia" w:ascii="黑体" w:hAnsi="黑体" w:eastAsia="黑体" w:cs="黑体"/>
                <w:spacing w:val="5"/>
              </w:rPr>
              <w:t>2</w:t>
            </w:r>
          </w:p>
        </w:tc>
      </w:tr>
      <w:tr w14:paraId="287D12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15" w:type="dxa"/>
            <w:vMerge w:val="continue"/>
            <w:vAlign w:val="center"/>
          </w:tcPr>
          <w:p w14:paraId="26D77017">
            <w:pPr>
              <w:spacing w:before="148" w:line="232" w:lineRule="auto"/>
              <w:ind w:left="422"/>
              <w:jc w:val="center"/>
              <w:rPr>
                <w:rFonts w:hint="eastAsia" w:ascii="黑体" w:hAnsi="黑体" w:eastAsia="黑体" w:cs="黑体"/>
                <w:spacing w:val="5"/>
              </w:rPr>
            </w:pPr>
          </w:p>
        </w:tc>
        <w:tc>
          <w:tcPr>
            <w:tcW w:w="1816" w:type="dxa"/>
            <w:vMerge w:val="restart"/>
            <w:vAlign w:val="center"/>
          </w:tcPr>
          <w:p w14:paraId="31F3DC5A">
            <w:pPr>
              <w:spacing w:before="148" w:line="232" w:lineRule="auto"/>
              <w:jc w:val="center"/>
              <w:rPr>
                <w:rFonts w:hint="eastAsia" w:ascii="黑体" w:hAnsi="黑体" w:eastAsia="黑体" w:cs="黑体"/>
                <w:spacing w:val="5"/>
              </w:rPr>
            </w:pPr>
            <w:r>
              <w:rPr>
                <w:rFonts w:hint="eastAsia" w:ascii="黑体" w:hAnsi="黑体" w:eastAsia="黑体" w:cs="黑体"/>
                <w:spacing w:val="5"/>
              </w:rPr>
              <w:t>持证演出经纪人员数量</w:t>
            </w:r>
          </w:p>
        </w:tc>
        <w:tc>
          <w:tcPr>
            <w:tcW w:w="4846" w:type="dxa"/>
            <w:vAlign w:val="center"/>
          </w:tcPr>
          <w:p w14:paraId="735932CC">
            <w:pPr>
              <w:spacing w:before="148" w:line="232" w:lineRule="auto"/>
              <w:ind w:left="422"/>
              <w:jc w:val="center"/>
              <w:rPr>
                <w:rFonts w:hint="eastAsia" w:ascii="黑体" w:hAnsi="黑体" w:eastAsia="黑体" w:cs="黑体"/>
                <w:spacing w:val="5"/>
              </w:rPr>
            </w:pPr>
            <w:r>
              <w:rPr>
                <w:rFonts w:hint="eastAsia" w:ascii="黑体" w:hAnsi="黑体" w:eastAsia="黑体" w:cs="黑体"/>
                <w:spacing w:val="5"/>
              </w:rPr>
              <w:t>持证人员数量≥8人</w:t>
            </w:r>
          </w:p>
        </w:tc>
        <w:tc>
          <w:tcPr>
            <w:tcW w:w="1048" w:type="dxa"/>
            <w:vAlign w:val="center"/>
          </w:tcPr>
          <w:p w14:paraId="3FFEAE9A">
            <w:pPr>
              <w:spacing w:before="148" w:line="232" w:lineRule="auto"/>
              <w:jc w:val="center"/>
              <w:rPr>
                <w:rFonts w:hint="eastAsia" w:ascii="黑体" w:hAnsi="黑体" w:eastAsia="黑体" w:cs="黑体"/>
                <w:spacing w:val="5"/>
              </w:rPr>
            </w:pPr>
            <w:r>
              <w:rPr>
                <w:rFonts w:hint="eastAsia" w:ascii="黑体" w:hAnsi="黑体" w:eastAsia="黑体" w:cs="黑体"/>
                <w:spacing w:val="5"/>
              </w:rPr>
              <w:t>10</w:t>
            </w:r>
          </w:p>
        </w:tc>
      </w:tr>
      <w:tr w14:paraId="7E6F0F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15" w:type="dxa"/>
            <w:vMerge w:val="continue"/>
            <w:vAlign w:val="center"/>
          </w:tcPr>
          <w:p w14:paraId="6137C5B1">
            <w:pPr>
              <w:spacing w:before="148" w:line="232" w:lineRule="auto"/>
              <w:ind w:left="422"/>
              <w:jc w:val="center"/>
              <w:rPr>
                <w:rFonts w:hint="eastAsia" w:ascii="黑体" w:hAnsi="黑体" w:eastAsia="黑体" w:cs="黑体"/>
                <w:spacing w:val="5"/>
              </w:rPr>
            </w:pPr>
          </w:p>
        </w:tc>
        <w:tc>
          <w:tcPr>
            <w:tcW w:w="1816" w:type="dxa"/>
            <w:vMerge w:val="continue"/>
            <w:vAlign w:val="center"/>
          </w:tcPr>
          <w:p w14:paraId="33A8140F">
            <w:pPr>
              <w:spacing w:before="148" w:line="232" w:lineRule="auto"/>
              <w:ind w:left="422"/>
              <w:jc w:val="center"/>
              <w:rPr>
                <w:rFonts w:hint="eastAsia" w:ascii="黑体" w:hAnsi="黑体" w:eastAsia="黑体" w:cs="黑体"/>
                <w:spacing w:val="5"/>
              </w:rPr>
            </w:pPr>
          </w:p>
        </w:tc>
        <w:tc>
          <w:tcPr>
            <w:tcW w:w="4846" w:type="dxa"/>
            <w:vAlign w:val="center"/>
          </w:tcPr>
          <w:p w14:paraId="5216477C">
            <w:pPr>
              <w:spacing w:before="148" w:line="232" w:lineRule="auto"/>
              <w:ind w:left="422"/>
              <w:jc w:val="center"/>
              <w:rPr>
                <w:rFonts w:hint="eastAsia" w:ascii="黑体" w:hAnsi="黑体" w:eastAsia="黑体" w:cs="黑体"/>
                <w:spacing w:val="5"/>
              </w:rPr>
            </w:pPr>
            <w:r>
              <w:rPr>
                <w:rFonts w:hint="eastAsia" w:ascii="黑体" w:hAnsi="黑体" w:eastAsia="黑体" w:cs="黑体"/>
                <w:spacing w:val="5"/>
              </w:rPr>
              <w:t>6人≤持证人员数量＜8人</w:t>
            </w:r>
          </w:p>
        </w:tc>
        <w:tc>
          <w:tcPr>
            <w:tcW w:w="1048" w:type="dxa"/>
            <w:vAlign w:val="center"/>
          </w:tcPr>
          <w:p w14:paraId="3BC13730">
            <w:pPr>
              <w:spacing w:before="148" w:line="232" w:lineRule="auto"/>
              <w:jc w:val="center"/>
              <w:rPr>
                <w:rFonts w:hint="eastAsia" w:ascii="黑体" w:hAnsi="黑体" w:eastAsia="黑体" w:cs="黑体"/>
                <w:spacing w:val="5"/>
              </w:rPr>
            </w:pPr>
            <w:r>
              <w:rPr>
                <w:rFonts w:hint="eastAsia" w:ascii="黑体" w:hAnsi="黑体" w:eastAsia="黑体" w:cs="黑体"/>
                <w:spacing w:val="5"/>
              </w:rPr>
              <w:t>8</w:t>
            </w:r>
          </w:p>
        </w:tc>
      </w:tr>
      <w:tr w14:paraId="269380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15" w:type="dxa"/>
            <w:vMerge w:val="continue"/>
            <w:vAlign w:val="center"/>
          </w:tcPr>
          <w:p w14:paraId="05BDB30B">
            <w:pPr>
              <w:spacing w:before="148" w:line="232" w:lineRule="auto"/>
              <w:ind w:left="422"/>
              <w:jc w:val="center"/>
              <w:rPr>
                <w:rFonts w:hint="eastAsia" w:ascii="黑体" w:hAnsi="黑体" w:eastAsia="黑体" w:cs="黑体"/>
                <w:spacing w:val="5"/>
              </w:rPr>
            </w:pPr>
          </w:p>
        </w:tc>
        <w:tc>
          <w:tcPr>
            <w:tcW w:w="1816" w:type="dxa"/>
            <w:vMerge w:val="continue"/>
            <w:vAlign w:val="center"/>
          </w:tcPr>
          <w:p w14:paraId="598A6DCF">
            <w:pPr>
              <w:spacing w:before="148" w:line="232" w:lineRule="auto"/>
              <w:ind w:left="422"/>
              <w:jc w:val="center"/>
              <w:rPr>
                <w:rFonts w:hint="eastAsia" w:ascii="黑体" w:hAnsi="黑体" w:eastAsia="黑体" w:cs="黑体"/>
                <w:spacing w:val="5"/>
              </w:rPr>
            </w:pPr>
          </w:p>
        </w:tc>
        <w:tc>
          <w:tcPr>
            <w:tcW w:w="4846" w:type="dxa"/>
            <w:vAlign w:val="center"/>
          </w:tcPr>
          <w:p w14:paraId="2EA37C9C">
            <w:pPr>
              <w:spacing w:line="0" w:lineRule="atLeast"/>
              <w:ind w:left="420"/>
              <w:jc w:val="center"/>
              <w:rPr>
                <w:rFonts w:hint="eastAsia" w:ascii="黑体" w:hAnsi="黑体" w:eastAsia="黑体" w:cs="黑体"/>
                <w:spacing w:val="5"/>
              </w:rPr>
            </w:pPr>
            <w:r>
              <w:rPr>
                <w:rFonts w:hint="eastAsia" w:ascii="黑体" w:hAnsi="黑体" w:eastAsia="黑体" w:cs="黑体"/>
                <w:spacing w:val="5"/>
              </w:rPr>
              <w:t>3人≤持证人员数量＜6人</w:t>
            </w:r>
          </w:p>
          <w:p w14:paraId="50F0416A">
            <w:pPr>
              <w:spacing w:line="0" w:lineRule="atLeast"/>
              <w:ind w:left="420"/>
              <w:jc w:val="center"/>
              <w:rPr>
                <w:rFonts w:hint="eastAsia" w:ascii="黑体" w:hAnsi="黑体" w:eastAsia="黑体" w:cs="黑体"/>
                <w:spacing w:val="5"/>
              </w:rPr>
            </w:pPr>
            <w:r>
              <w:rPr>
                <w:rFonts w:hint="eastAsia" w:ascii="黑体" w:hAnsi="黑体" w:eastAsia="黑体" w:cs="黑体"/>
                <w:spacing w:val="5"/>
              </w:rPr>
              <w:t>（未满3人不符合参评条件）</w:t>
            </w:r>
          </w:p>
        </w:tc>
        <w:tc>
          <w:tcPr>
            <w:tcW w:w="1048" w:type="dxa"/>
            <w:vAlign w:val="center"/>
          </w:tcPr>
          <w:p w14:paraId="2C0A6A0F">
            <w:pPr>
              <w:spacing w:before="148" w:line="232" w:lineRule="auto"/>
              <w:jc w:val="center"/>
              <w:rPr>
                <w:rFonts w:hint="eastAsia" w:ascii="黑体" w:hAnsi="黑体" w:eastAsia="黑体" w:cs="黑体"/>
                <w:spacing w:val="5"/>
              </w:rPr>
            </w:pPr>
            <w:r>
              <w:rPr>
                <w:rFonts w:hint="eastAsia" w:ascii="黑体" w:hAnsi="黑体" w:eastAsia="黑体" w:cs="黑体"/>
                <w:spacing w:val="5"/>
              </w:rPr>
              <w:t>6</w:t>
            </w:r>
          </w:p>
        </w:tc>
      </w:tr>
      <w:tr w14:paraId="6FC434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15" w:type="dxa"/>
            <w:vMerge w:val="continue"/>
            <w:vAlign w:val="center"/>
          </w:tcPr>
          <w:p w14:paraId="03A8A660">
            <w:pPr>
              <w:spacing w:before="148" w:line="232" w:lineRule="auto"/>
              <w:ind w:left="422"/>
              <w:jc w:val="center"/>
              <w:rPr>
                <w:rFonts w:hint="eastAsia" w:ascii="黑体" w:hAnsi="黑体" w:eastAsia="黑体" w:cs="黑体"/>
                <w:spacing w:val="5"/>
              </w:rPr>
            </w:pPr>
          </w:p>
        </w:tc>
        <w:tc>
          <w:tcPr>
            <w:tcW w:w="1816" w:type="dxa"/>
            <w:vMerge w:val="restart"/>
            <w:vAlign w:val="center"/>
          </w:tcPr>
          <w:p w14:paraId="78035F8D">
            <w:pPr>
              <w:spacing w:before="148" w:line="232" w:lineRule="auto"/>
              <w:jc w:val="center"/>
              <w:rPr>
                <w:rFonts w:hint="eastAsia" w:ascii="黑体" w:hAnsi="黑体" w:eastAsia="黑体" w:cs="黑体"/>
                <w:spacing w:val="5"/>
              </w:rPr>
            </w:pPr>
            <w:r>
              <w:rPr>
                <w:rFonts w:hint="eastAsia" w:ascii="黑体" w:hAnsi="黑体" w:eastAsia="黑体" w:cs="黑体"/>
                <w:spacing w:val="5"/>
              </w:rPr>
              <w:t>专业技术人员数量（灯光/音响/舞美等专业人员）</w:t>
            </w:r>
          </w:p>
        </w:tc>
        <w:tc>
          <w:tcPr>
            <w:tcW w:w="4846" w:type="dxa"/>
            <w:vAlign w:val="center"/>
          </w:tcPr>
          <w:p w14:paraId="3475AAA5">
            <w:pPr>
              <w:spacing w:before="148" w:line="232" w:lineRule="auto"/>
              <w:ind w:left="422"/>
              <w:jc w:val="center"/>
              <w:rPr>
                <w:rFonts w:hint="eastAsia" w:ascii="黑体" w:hAnsi="黑体" w:eastAsia="黑体" w:cs="黑体"/>
                <w:spacing w:val="5"/>
              </w:rPr>
            </w:pPr>
            <w:r>
              <w:rPr>
                <w:rFonts w:hint="eastAsia" w:ascii="黑体" w:hAnsi="黑体" w:eastAsia="黑体" w:cs="黑体"/>
                <w:spacing w:val="5"/>
              </w:rPr>
              <w:t>技术人员数量≥5人</w:t>
            </w:r>
          </w:p>
        </w:tc>
        <w:tc>
          <w:tcPr>
            <w:tcW w:w="1048" w:type="dxa"/>
            <w:vAlign w:val="center"/>
          </w:tcPr>
          <w:p w14:paraId="212050B0">
            <w:pPr>
              <w:spacing w:before="148" w:line="232" w:lineRule="auto"/>
              <w:jc w:val="center"/>
              <w:rPr>
                <w:rFonts w:hint="eastAsia" w:ascii="黑体" w:hAnsi="黑体" w:eastAsia="黑体" w:cs="黑体"/>
                <w:spacing w:val="5"/>
              </w:rPr>
            </w:pPr>
            <w:r>
              <w:rPr>
                <w:rFonts w:hint="eastAsia" w:ascii="黑体" w:hAnsi="黑体" w:eastAsia="黑体" w:cs="黑体"/>
                <w:spacing w:val="5"/>
              </w:rPr>
              <w:t>10</w:t>
            </w:r>
          </w:p>
        </w:tc>
      </w:tr>
      <w:tr w14:paraId="705F2E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15" w:type="dxa"/>
            <w:vMerge w:val="continue"/>
            <w:vAlign w:val="center"/>
          </w:tcPr>
          <w:p w14:paraId="55106E57">
            <w:pPr>
              <w:spacing w:before="148" w:line="232" w:lineRule="auto"/>
              <w:ind w:left="422"/>
              <w:jc w:val="center"/>
              <w:rPr>
                <w:rFonts w:hint="eastAsia" w:ascii="黑体" w:hAnsi="黑体" w:eastAsia="黑体" w:cs="黑体"/>
                <w:spacing w:val="5"/>
              </w:rPr>
            </w:pPr>
          </w:p>
        </w:tc>
        <w:tc>
          <w:tcPr>
            <w:tcW w:w="1816" w:type="dxa"/>
            <w:vMerge w:val="continue"/>
            <w:vAlign w:val="center"/>
          </w:tcPr>
          <w:p w14:paraId="7265DACA">
            <w:pPr>
              <w:spacing w:before="148" w:line="232" w:lineRule="auto"/>
              <w:ind w:left="422"/>
              <w:jc w:val="center"/>
              <w:rPr>
                <w:rFonts w:hint="eastAsia" w:ascii="黑体" w:hAnsi="黑体" w:eastAsia="黑体" w:cs="黑体"/>
                <w:spacing w:val="5"/>
              </w:rPr>
            </w:pPr>
          </w:p>
        </w:tc>
        <w:tc>
          <w:tcPr>
            <w:tcW w:w="4846" w:type="dxa"/>
            <w:vAlign w:val="center"/>
          </w:tcPr>
          <w:p w14:paraId="488779C2">
            <w:pPr>
              <w:spacing w:before="148" w:line="232" w:lineRule="auto"/>
              <w:ind w:left="422"/>
              <w:jc w:val="center"/>
              <w:rPr>
                <w:rFonts w:hint="eastAsia" w:ascii="黑体" w:hAnsi="黑体" w:eastAsia="黑体" w:cs="黑体"/>
                <w:spacing w:val="5"/>
              </w:rPr>
            </w:pPr>
            <w:r>
              <w:rPr>
                <w:rFonts w:hint="eastAsia" w:ascii="黑体" w:hAnsi="黑体" w:eastAsia="黑体" w:cs="黑体"/>
                <w:spacing w:val="5"/>
              </w:rPr>
              <w:t>技术人员数量4人</w:t>
            </w:r>
          </w:p>
        </w:tc>
        <w:tc>
          <w:tcPr>
            <w:tcW w:w="1048" w:type="dxa"/>
            <w:vAlign w:val="center"/>
          </w:tcPr>
          <w:p w14:paraId="1056E36B">
            <w:pPr>
              <w:spacing w:before="148" w:line="232" w:lineRule="auto"/>
              <w:jc w:val="center"/>
              <w:rPr>
                <w:rFonts w:hint="eastAsia" w:ascii="黑体" w:hAnsi="黑体" w:eastAsia="黑体" w:cs="黑体"/>
                <w:spacing w:val="5"/>
              </w:rPr>
            </w:pPr>
            <w:r>
              <w:rPr>
                <w:rFonts w:hint="eastAsia" w:ascii="黑体" w:hAnsi="黑体" w:eastAsia="黑体" w:cs="黑体"/>
                <w:spacing w:val="5"/>
              </w:rPr>
              <w:t>8</w:t>
            </w:r>
          </w:p>
        </w:tc>
      </w:tr>
      <w:tr w14:paraId="70072D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15" w:type="dxa"/>
            <w:vMerge w:val="continue"/>
            <w:vAlign w:val="center"/>
          </w:tcPr>
          <w:p w14:paraId="0E86D76A">
            <w:pPr>
              <w:spacing w:before="148" w:line="232" w:lineRule="auto"/>
              <w:ind w:left="422"/>
              <w:jc w:val="center"/>
              <w:rPr>
                <w:rFonts w:hint="eastAsia" w:ascii="黑体" w:hAnsi="黑体" w:eastAsia="黑体" w:cs="黑体"/>
                <w:spacing w:val="5"/>
              </w:rPr>
            </w:pPr>
          </w:p>
        </w:tc>
        <w:tc>
          <w:tcPr>
            <w:tcW w:w="1816" w:type="dxa"/>
            <w:vMerge w:val="continue"/>
            <w:vAlign w:val="center"/>
          </w:tcPr>
          <w:p w14:paraId="6602AFEF">
            <w:pPr>
              <w:spacing w:before="148" w:line="232" w:lineRule="auto"/>
              <w:ind w:left="422"/>
              <w:jc w:val="center"/>
              <w:rPr>
                <w:rFonts w:hint="eastAsia" w:ascii="黑体" w:hAnsi="黑体" w:eastAsia="黑体" w:cs="黑体"/>
                <w:spacing w:val="5"/>
              </w:rPr>
            </w:pPr>
          </w:p>
        </w:tc>
        <w:tc>
          <w:tcPr>
            <w:tcW w:w="4846" w:type="dxa"/>
            <w:vAlign w:val="center"/>
          </w:tcPr>
          <w:p w14:paraId="10244708">
            <w:pPr>
              <w:spacing w:before="148" w:line="232" w:lineRule="auto"/>
              <w:ind w:left="422"/>
              <w:jc w:val="center"/>
              <w:rPr>
                <w:rFonts w:hint="eastAsia" w:ascii="黑体" w:hAnsi="黑体" w:eastAsia="黑体" w:cs="黑体"/>
                <w:spacing w:val="5"/>
              </w:rPr>
            </w:pPr>
            <w:r>
              <w:rPr>
                <w:rFonts w:hint="eastAsia" w:ascii="黑体" w:hAnsi="黑体" w:eastAsia="黑体" w:cs="黑体"/>
                <w:spacing w:val="5"/>
              </w:rPr>
              <w:t>技术人员数量3人</w:t>
            </w:r>
          </w:p>
        </w:tc>
        <w:tc>
          <w:tcPr>
            <w:tcW w:w="1048" w:type="dxa"/>
            <w:vAlign w:val="center"/>
          </w:tcPr>
          <w:p w14:paraId="5AC5C443">
            <w:pPr>
              <w:spacing w:before="148" w:line="232" w:lineRule="auto"/>
              <w:jc w:val="center"/>
              <w:rPr>
                <w:rFonts w:hint="eastAsia" w:ascii="黑体" w:hAnsi="黑体" w:eastAsia="黑体" w:cs="黑体"/>
                <w:spacing w:val="5"/>
              </w:rPr>
            </w:pPr>
            <w:r>
              <w:rPr>
                <w:rFonts w:hint="eastAsia" w:ascii="黑体" w:hAnsi="黑体" w:eastAsia="黑体" w:cs="黑体"/>
                <w:spacing w:val="5"/>
              </w:rPr>
              <w:t>6</w:t>
            </w:r>
          </w:p>
        </w:tc>
      </w:tr>
      <w:tr w14:paraId="14E471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15" w:type="dxa"/>
            <w:vMerge w:val="continue"/>
            <w:vAlign w:val="center"/>
          </w:tcPr>
          <w:p w14:paraId="5E706944">
            <w:pPr>
              <w:spacing w:before="148" w:line="232" w:lineRule="auto"/>
              <w:ind w:left="422"/>
              <w:jc w:val="center"/>
              <w:rPr>
                <w:rFonts w:hint="eastAsia" w:ascii="黑体" w:hAnsi="黑体" w:eastAsia="黑体" w:cs="黑体"/>
                <w:spacing w:val="5"/>
              </w:rPr>
            </w:pPr>
          </w:p>
        </w:tc>
        <w:tc>
          <w:tcPr>
            <w:tcW w:w="1816" w:type="dxa"/>
            <w:vMerge w:val="continue"/>
            <w:vAlign w:val="center"/>
          </w:tcPr>
          <w:p w14:paraId="198335B0">
            <w:pPr>
              <w:spacing w:before="148" w:line="232" w:lineRule="auto"/>
              <w:ind w:left="422"/>
              <w:jc w:val="center"/>
              <w:rPr>
                <w:rFonts w:hint="eastAsia" w:ascii="黑体" w:hAnsi="黑体" w:eastAsia="黑体" w:cs="黑体"/>
                <w:spacing w:val="5"/>
              </w:rPr>
            </w:pPr>
          </w:p>
        </w:tc>
        <w:tc>
          <w:tcPr>
            <w:tcW w:w="4846" w:type="dxa"/>
            <w:vAlign w:val="center"/>
          </w:tcPr>
          <w:p w14:paraId="59AF6E90">
            <w:pPr>
              <w:spacing w:before="148" w:line="232" w:lineRule="auto"/>
              <w:ind w:left="422"/>
              <w:jc w:val="center"/>
              <w:rPr>
                <w:rFonts w:hint="eastAsia" w:ascii="黑体" w:hAnsi="黑体" w:eastAsia="黑体" w:cs="黑体"/>
                <w:spacing w:val="5"/>
              </w:rPr>
            </w:pPr>
            <w:r>
              <w:rPr>
                <w:rFonts w:hint="eastAsia" w:ascii="黑体" w:hAnsi="黑体" w:eastAsia="黑体" w:cs="黑体"/>
                <w:spacing w:val="5"/>
              </w:rPr>
              <w:t>1人≤技术人员数量＜3人</w:t>
            </w:r>
          </w:p>
        </w:tc>
        <w:tc>
          <w:tcPr>
            <w:tcW w:w="1048" w:type="dxa"/>
            <w:vAlign w:val="center"/>
          </w:tcPr>
          <w:p w14:paraId="3A316B0C">
            <w:pPr>
              <w:spacing w:before="148" w:line="232" w:lineRule="auto"/>
              <w:jc w:val="center"/>
              <w:rPr>
                <w:rFonts w:hint="eastAsia" w:ascii="黑体" w:hAnsi="黑体" w:eastAsia="黑体" w:cs="黑体"/>
                <w:spacing w:val="5"/>
              </w:rPr>
            </w:pPr>
            <w:r>
              <w:rPr>
                <w:rFonts w:hint="eastAsia" w:ascii="黑体" w:hAnsi="黑体" w:eastAsia="黑体" w:cs="黑体"/>
                <w:spacing w:val="5"/>
              </w:rPr>
              <w:t>4</w:t>
            </w:r>
          </w:p>
        </w:tc>
      </w:tr>
      <w:tr w14:paraId="7F8D49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15" w:type="dxa"/>
            <w:vMerge w:val="continue"/>
            <w:vAlign w:val="center"/>
          </w:tcPr>
          <w:p w14:paraId="1AF40870">
            <w:pPr>
              <w:spacing w:before="148" w:line="232" w:lineRule="auto"/>
              <w:ind w:left="422"/>
              <w:jc w:val="center"/>
              <w:rPr>
                <w:rFonts w:hint="eastAsia" w:ascii="黑体" w:hAnsi="黑体" w:eastAsia="黑体" w:cs="黑体"/>
                <w:spacing w:val="5"/>
              </w:rPr>
            </w:pPr>
          </w:p>
        </w:tc>
        <w:tc>
          <w:tcPr>
            <w:tcW w:w="1816" w:type="dxa"/>
            <w:vMerge w:val="restart"/>
            <w:vAlign w:val="center"/>
          </w:tcPr>
          <w:p w14:paraId="1EF47B05">
            <w:pPr>
              <w:spacing w:before="148" w:line="232" w:lineRule="auto"/>
              <w:ind w:left="422"/>
              <w:jc w:val="center"/>
              <w:rPr>
                <w:rFonts w:hint="eastAsia" w:ascii="黑体" w:hAnsi="黑体" w:eastAsia="黑体" w:cs="黑体"/>
                <w:spacing w:val="5"/>
              </w:rPr>
            </w:pPr>
          </w:p>
          <w:p w14:paraId="2420297D">
            <w:pPr>
              <w:spacing w:line="0" w:lineRule="atLeast"/>
              <w:jc w:val="center"/>
              <w:rPr>
                <w:rFonts w:hint="eastAsia" w:ascii="黑体" w:hAnsi="黑体" w:eastAsia="黑体" w:cs="黑体"/>
                <w:spacing w:val="5"/>
              </w:rPr>
            </w:pPr>
            <w:r>
              <w:rPr>
                <w:rFonts w:hint="eastAsia" w:ascii="黑体" w:hAnsi="黑体" w:eastAsia="黑体" w:cs="黑体"/>
                <w:spacing w:val="5"/>
              </w:rPr>
              <w:t>演出场次</w:t>
            </w:r>
          </w:p>
          <w:p w14:paraId="00E45C82">
            <w:pPr>
              <w:spacing w:line="0" w:lineRule="atLeast"/>
              <w:jc w:val="center"/>
              <w:rPr>
                <w:rFonts w:hint="eastAsia" w:ascii="黑体" w:hAnsi="黑体" w:eastAsia="黑体" w:cs="黑体"/>
                <w:spacing w:val="5"/>
              </w:rPr>
            </w:pPr>
            <w:r>
              <w:rPr>
                <w:rFonts w:hint="eastAsia" w:ascii="黑体" w:hAnsi="黑体" w:eastAsia="黑体" w:cs="黑体"/>
                <w:spacing w:val="5"/>
              </w:rPr>
              <w:t>（上一年度累计组织演出场次）</w:t>
            </w:r>
          </w:p>
        </w:tc>
        <w:tc>
          <w:tcPr>
            <w:tcW w:w="4846" w:type="dxa"/>
            <w:vAlign w:val="center"/>
          </w:tcPr>
          <w:p w14:paraId="53BD8E43">
            <w:pPr>
              <w:spacing w:before="148" w:line="232" w:lineRule="auto"/>
              <w:ind w:left="422"/>
              <w:jc w:val="center"/>
              <w:rPr>
                <w:rFonts w:hint="eastAsia" w:ascii="黑体" w:hAnsi="黑体" w:eastAsia="黑体" w:cs="黑体"/>
                <w:spacing w:val="5"/>
              </w:rPr>
            </w:pPr>
            <w:r>
              <w:rPr>
                <w:rFonts w:hint="eastAsia" w:ascii="黑体" w:hAnsi="黑体" w:eastAsia="黑体" w:cs="黑体"/>
                <w:spacing w:val="5"/>
              </w:rPr>
              <w:t>演出场次≥10场</w:t>
            </w:r>
          </w:p>
        </w:tc>
        <w:tc>
          <w:tcPr>
            <w:tcW w:w="1048" w:type="dxa"/>
            <w:vAlign w:val="center"/>
          </w:tcPr>
          <w:p w14:paraId="2A079289">
            <w:pPr>
              <w:spacing w:before="148" w:line="232" w:lineRule="auto"/>
              <w:jc w:val="center"/>
              <w:rPr>
                <w:rFonts w:hint="eastAsia" w:ascii="黑体" w:hAnsi="黑体" w:eastAsia="黑体" w:cs="黑体"/>
                <w:spacing w:val="5"/>
              </w:rPr>
            </w:pPr>
            <w:r>
              <w:rPr>
                <w:rFonts w:hint="eastAsia" w:ascii="黑体" w:hAnsi="黑体" w:eastAsia="黑体" w:cs="黑体"/>
                <w:spacing w:val="5"/>
              </w:rPr>
              <w:t>10</w:t>
            </w:r>
          </w:p>
        </w:tc>
      </w:tr>
      <w:tr w14:paraId="058155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15" w:type="dxa"/>
            <w:vMerge w:val="continue"/>
            <w:vAlign w:val="center"/>
          </w:tcPr>
          <w:p w14:paraId="6A55ABAB">
            <w:pPr>
              <w:spacing w:before="148" w:line="232" w:lineRule="auto"/>
              <w:ind w:left="422"/>
              <w:jc w:val="center"/>
              <w:rPr>
                <w:rFonts w:hint="eastAsia" w:ascii="黑体" w:hAnsi="黑体" w:eastAsia="黑体" w:cs="黑体"/>
                <w:spacing w:val="5"/>
              </w:rPr>
            </w:pPr>
          </w:p>
        </w:tc>
        <w:tc>
          <w:tcPr>
            <w:tcW w:w="1816" w:type="dxa"/>
            <w:vMerge w:val="continue"/>
            <w:vAlign w:val="center"/>
          </w:tcPr>
          <w:p w14:paraId="73A7A9BE">
            <w:pPr>
              <w:spacing w:before="148" w:line="232" w:lineRule="auto"/>
              <w:jc w:val="center"/>
              <w:rPr>
                <w:rFonts w:hint="eastAsia" w:ascii="黑体" w:hAnsi="黑体" w:eastAsia="黑体" w:cs="黑体"/>
                <w:spacing w:val="5"/>
              </w:rPr>
            </w:pPr>
          </w:p>
        </w:tc>
        <w:tc>
          <w:tcPr>
            <w:tcW w:w="4846" w:type="dxa"/>
            <w:vAlign w:val="center"/>
          </w:tcPr>
          <w:p w14:paraId="0227CA13">
            <w:pPr>
              <w:spacing w:before="148" w:line="232" w:lineRule="auto"/>
              <w:ind w:left="422"/>
              <w:jc w:val="center"/>
              <w:rPr>
                <w:rFonts w:hint="eastAsia" w:ascii="黑体" w:hAnsi="黑体" w:eastAsia="黑体" w:cs="黑体"/>
                <w:spacing w:val="5"/>
              </w:rPr>
            </w:pPr>
            <w:r>
              <w:rPr>
                <w:rFonts w:hint="eastAsia" w:ascii="黑体" w:hAnsi="黑体" w:eastAsia="黑体" w:cs="黑体"/>
                <w:spacing w:val="5"/>
              </w:rPr>
              <w:t>6场≤演出场次＜10场</w:t>
            </w:r>
          </w:p>
        </w:tc>
        <w:tc>
          <w:tcPr>
            <w:tcW w:w="1048" w:type="dxa"/>
            <w:vAlign w:val="center"/>
          </w:tcPr>
          <w:p w14:paraId="4B7FEBAE">
            <w:pPr>
              <w:spacing w:before="148" w:line="232" w:lineRule="auto"/>
              <w:jc w:val="center"/>
              <w:rPr>
                <w:rFonts w:hint="eastAsia" w:ascii="黑体" w:hAnsi="黑体" w:eastAsia="黑体" w:cs="黑体"/>
                <w:spacing w:val="5"/>
              </w:rPr>
            </w:pPr>
            <w:r>
              <w:rPr>
                <w:rFonts w:hint="eastAsia" w:ascii="黑体" w:hAnsi="黑体" w:eastAsia="黑体" w:cs="黑体"/>
                <w:spacing w:val="5"/>
              </w:rPr>
              <w:t>8</w:t>
            </w:r>
          </w:p>
        </w:tc>
      </w:tr>
      <w:tr w14:paraId="455C60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15" w:type="dxa"/>
            <w:vMerge w:val="continue"/>
            <w:vAlign w:val="center"/>
          </w:tcPr>
          <w:p w14:paraId="4DBC86F9">
            <w:pPr>
              <w:spacing w:before="148" w:line="232" w:lineRule="auto"/>
              <w:ind w:left="422"/>
              <w:jc w:val="center"/>
              <w:rPr>
                <w:rFonts w:hint="eastAsia" w:ascii="黑体" w:hAnsi="黑体" w:eastAsia="黑体" w:cs="黑体"/>
                <w:spacing w:val="5"/>
              </w:rPr>
            </w:pPr>
          </w:p>
        </w:tc>
        <w:tc>
          <w:tcPr>
            <w:tcW w:w="1816" w:type="dxa"/>
            <w:vMerge w:val="continue"/>
            <w:vAlign w:val="center"/>
          </w:tcPr>
          <w:p w14:paraId="5492DC7E">
            <w:pPr>
              <w:spacing w:before="148" w:line="232" w:lineRule="auto"/>
              <w:jc w:val="center"/>
              <w:rPr>
                <w:rFonts w:hint="eastAsia" w:ascii="黑体" w:hAnsi="黑体" w:eastAsia="黑体" w:cs="黑体"/>
                <w:spacing w:val="5"/>
              </w:rPr>
            </w:pPr>
          </w:p>
        </w:tc>
        <w:tc>
          <w:tcPr>
            <w:tcW w:w="4846" w:type="dxa"/>
            <w:vAlign w:val="center"/>
          </w:tcPr>
          <w:p w14:paraId="2121A60B">
            <w:pPr>
              <w:spacing w:before="148" w:line="232" w:lineRule="auto"/>
              <w:ind w:left="422"/>
              <w:jc w:val="center"/>
              <w:rPr>
                <w:rFonts w:hint="eastAsia" w:ascii="黑体" w:hAnsi="黑体" w:eastAsia="黑体" w:cs="黑体"/>
                <w:spacing w:val="5"/>
              </w:rPr>
            </w:pPr>
            <w:r>
              <w:rPr>
                <w:rFonts w:hint="eastAsia" w:ascii="黑体" w:hAnsi="黑体" w:eastAsia="黑体" w:cs="黑体"/>
                <w:spacing w:val="5"/>
              </w:rPr>
              <w:t>3场≤演出场次＜6场</w:t>
            </w:r>
          </w:p>
        </w:tc>
        <w:tc>
          <w:tcPr>
            <w:tcW w:w="1048" w:type="dxa"/>
            <w:vAlign w:val="center"/>
          </w:tcPr>
          <w:p w14:paraId="22EBA66D">
            <w:pPr>
              <w:spacing w:before="148" w:line="232" w:lineRule="auto"/>
              <w:jc w:val="center"/>
              <w:rPr>
                <w:rFonts w:hint="eastAsia" w:ascii="黑体" w:hAnsi="黑体" w:eastAsia="黑体" w:cs="黑体"/>
                <w:spacing w:val="5"/>
              </w:rPr>
            </w:pPr>
            <w:r>
              <w:rPr>
                <w:rFonts w:hint="eastAsia" w:ascii="黑体" w:hAnsi="黑体" w:eastAsia="黑体" w:cs="黑体"/>
                <w:spacing w:val="5"/>
              </w:rPr>
              <w:t>6</w:t>
            </w:r>
          </w:p>
        </w:tc>
      </w:tr>
      <w:tr w14:paraId="3FA330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15" w:type="dxa"/>
            <w:vMerge w:val="continue"/>
            <w:vAlign w:val="center"/>
          </w:tcPr>
          <w:p w14:paraId="03EC956A">
            <w:pPr>
              <w:spacing w:before="148" w:line="232" w:lineRule="auto"/>
              <w:ind w:left="422"/>
              <w:jc w:val="center"/>
              <w:rPr>
                <w:rFonts w:hint="eastAsia" w:ascii="黑体" w:hAnsi="黑体" w:eastAsia="黑体" w:cs="黑体"/>
                <w:spacing w:val="5"/>
              </w:rPr>
            </w:pPr>
          </w:p>
        </w:tc>
        <w:tc>
          <w:tcPr>
            <w:tcW w:w="1816" w:type="dxa"/>
            <w:vMerge w:val="continue"/>
            <w:vAlign w:val="center"/>
          </w:tcPr>
          <w:p w14:paraId="262CA620">
            <w:pPr>
              <w:spacing w:before="148" w:line="232" w:lineRule="auto"/>
              <w:jc w:val="center"/>
              <w:rPr>
                <w:rFonts w:hint="eastAsia" w:ascii="黑体" w:hAnsi="黑体" w:eastAsia="黑体" w:cs="黑体"/>
                <w:spacing w:val="5"/>
              </w:rPr>
            </w:pPr>
          </w:p>
        </w:tc>
        <w:tc>
          <w:tcPr>
            <w:tcW w:w="4846" w:type="dxa"/>
            <w:vAlign w:val="center"/>
          </w:tcPr>
          <w:p w14:paraId="19EDF052">
            <w:pPr>
              <w:spacing w:before="148" w:line="232" w:lineRule="auto"/>
              <w:ind w:left="422"/>
              <w:jc w:val="center"/>
              <w:rPr>
                <w:rFonts w:hint="eastAsia" w:ascii="黑体" w:hAnsi="黑体" w:eastAsia="黑体" w:cs="黑体"/>
                <w:spacing w:val="5"/>
              </w:rPr>
            </w:pPr>
            <w:r>
              <w:rPr>
                <w:rFonts w:hint="eastAsia" w:ascii="黑体" w:hAnsi="黑体" w:eastAsia="黑体" w:cs="黑体"/>
                <w:spacing w:val="5"/>
              </w:rPr>
              <w:t>演出场次2场</w:t>
            </w:r>
          </w:p>
        </w:tc>
        <w:tc>
          <w:tcPr>
            <w:tcW w:w="1048" w:type="dxa"/>
            <w:vAlign w:val="center"/>
          </w:tcPr>
          <w:p w14:paraId="58293355">
            <w:pPr>
              <w:spacing w:before="148" w:line="232" w:lineRule="auto"/>
              <w:jc w:val="center"/>
              <w:rPr>
                <w:rFonts w:hint="eastAsia" w:ascii="黑体" w:hAnsi="黑体" w:eastAsia="黑体" w:cs="黑体"/>
                <w:spacing w:val="5"/>
              </w:rPr>
            </w:pPr>
            <w:r>
              <w:rPr>
                <w:rFonts w:hint="eastAsia" w:ascii="黑体" w:hAnsi="黑体" w:eastAsia="黑体" w:cs="黑体"/>
                <w:spacing w:val="5"/>
              </w:rPr>
              <w:t>4</w:t>
            </w:r>
          </w:p>
        </w:tc>
      </w:tr>
      <w:tr w14:paraId="50CAEA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15" w:type="dxa"/>
            <w:vMerge w:val="continue"/>
            <w:vAlign w:val="center"/>
          </w:tcPr>
          <w:p w14:paraId="7297CC68">
            <w:pPr>
              <w:spacing w:before="148" w:line="232" w:lineRule="auto"/>
              <w:ind w:left="422"/>
              <w:jc w:val="center"/>
              <w:rPr>
                <w:rFonts w:hint="eastAsia" w:ascii="黑体" w:hAnsi="黑体" w:eastAsia="黑体" w:cs="黑体"/>
                <w:spacing w:val="5"/>
              </w:rPr>
            </w:pPr>
          </w:p>
        </w:tc>
        <w:tc>
          <w:tcPr>
            <w:tcW w:w="1816" w:type="dxa"/>
            <w:vMerge w:val="continue"/>
            <w:vAlign w:val="center"/>
          </w:tcPr>
          <w:p w14:paraId="44899E5A">
            <w:pPr>
              <w:spacing w:before="148" w:line="232" w:lineRule="auto"/>
              <w:jc w:val="center"/>
              <w:rPr>
                <w:rFonts w:hint="eastAsia" w:ascii="黑体" w:hAnsi="黑体" w:eastAsia="黑体" w:cs="黑体"/>
                <w:spacing w:val="5"/>
              </w:rPr>
            </w:pPr>
          </w:p>
        </w:tc>
        <w:tc>
          <w:tcPr>
            <w:tcW w:w="4846" w:type="dxa"/>
            <w:vAlign w:val="center"/>
          </w:tcPr>
          <w:p w14:paraId="6E8CC42D">
            <w:pPr>
              <w:spacing w:before="148" w:line="232" w:lineRule="auto"/>
              <w:ind w:left="422"/>
              <w:jc w:val="center"/>
              <w:rPr>
                <w:rFonts w:hint="eastAsia" w:ascii="黑体" w:hAnsi="黑体" w:eastAsia="黑体" w:cs="黑体"/>
                <w:spacing w:val="5"/>
              </w:rPr>
            </w:pPr>
            <w:r>
              <w:rPr>
                <w:rFonts w:hint="eastAsia" w:ascii="黑体" w:hAnsi="黑体" w:eastAsia="黑体" w:cs="黑体"/>
                <w:spacing w:val="5"/>
              </w:rPr>
              <w:t>演出场次1场</w:t>
            </w:r>
          </w:p>
        </w:tc>
        <w:tc>
          <w:tcPr>
            <w:tcW w:w="1048" w:type="dxa"/>
            <w:vAlign w:val="center"/>
          </w:tcPr>
          <w:p w14:paraId="294ED840">
            <w:pPr>
              <w:spacing w:before="148" w:line="232" w:lineRule="auto"/>
              <w:jc w:val="center"/>
              <w:rPr>
                <w:rFonts w:hint="eastAsia" w:ascii="黑体" w:hAnsi="黑体" w:eastAsia="黑体" w:cs="黑体"/>
                <w:spacing w:val="5"/>
              </w:rPr>
            </w:pPr>
            <w:r>
              <w:rPr>
                <w:rFonts w:hint="eastAsia" w:ascii="黑体" w:hAnsi="黑体" w:eastAsia="黑体" w:cs="黑体"/>
                <w:spacing w:val="5"/>
              </w:rPr>
              <w:t>2</w:t>
            </w:r>
          </w:p>
        </w:tc>
      </w:tr>
      <w:tr w14:paraId="0403F3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15" w:type="dxa"/>
            <w:vMerge w:val="continue"/>
            <w:vAlign w:val="center"/>
          </w:tcPr>
          <w:p w14:paraId="138AE6F6">
            <w:pPr>
              <w:spacing w:before="148" w:line="232" w:lineRule="auto"/>
              <w:ind w:left="422"/>
              <w:jc w:val="center"/>
              <w:rPr>
                <w:rFonts w:hint="eastAsia" w:ascii="黑体" w:hAnsi="黑体" w:eastAsia="黑体" w:cs="黑体"/>
                <w:spacing w:val="5"/>
              </w:rPr>
            </w:pPr>
          </w:p>
        </w:tc>
        <w:tc>
          <w:tcPr>
            <w:tcW w:w="1816" w:type="dxa"/>
            <w:vMerge w:val="restart"/>
            <w:vAlign w:val="center"/>
          </w:tcPr>
          <w:p w14:paraId="52CB292F">
            <w:pPr>
              <w:spacing w:before="148" w:line="232" w:lineRule="auto"/>
              <w:ind w:left="422"/>
              <w:jc w:val="center"/>
              <w:rPr>
                <w:rFonts w:hint="eastAsia" w:ascii="黑体" w:hAnsi="黑体" w:eastAsia="黑体" w:cs="黑体"/>
                <w:spacing w:val="5"/>
              </w:rPr>
            </w:pPr>
          </w:p>
          <w:p w14:paraId="56F7C44B">
            <w:pPr>
              <w:spacing w:line="0" w:lineRule="atLeast"/>
              <w:jc w:val="center"/>
              <w:rPr>
                <w:rFonts w:hint="eastAsia" w:ascii="黑体" w:hAnsi="黑体" w:eastAsia="黑体" w:cs="黑体"/>
                <w:spacing w:val="5"/>
              </w:rPr>
            </w:pPr>
            <w:r>
              <w:rPr>
                <w:rFonts w:hint="eastAsia" w:ascii="黑体" w:hAnsi="黑体" w:eastAsia="黑体" w:cs="黑体"/>
                <w:spacing w:val="5"/>
              </w:rPr>
              <w:t>营收能力</w:t>
            </w:r>
          </w:p>
          <w:p w14:paraId="7A325160">
            <w:pPr>
              <w:spacing w:line="0" w:lineRule="atLeast"/>
              <w:jc w:val="center"/>
              <w:rPr>
                <w:rFonts w:hint="eastAsia" w:ascii="黑体" w:hAnsi="黑体" w:eastAsia="黑体" w:cs="黑体"/>
                <w:spacing w:val="5"/>
              </w:rPr>
            </w:pPr>
            <w:r>
              <w:rPr>
                <w:rFonts w:hint="eastAsia" w:ascii="黑体" w:hAnsi="黑体" w:eastAsia="黑体" w:cs="黑体"/>
                <w:spacing w:val="5"/>
              </w:rPr>
              <w:t>（近三年主营业务收入平均值）</w:t>
            </w:r>
          </w:p>
        </w:tc>
        <w:tc>
          <w:tcPr>
            <w:tcW w:w="4846" w:type="dxa"/>
            <w:vAlign w:val="center"/>
          </w:tcPr>
          <w:p w14:paraId="7768D1CC">
            <w:pPr>
              <w:spacing w:before="148" w:line="232" w:lineRule="auto"/>
              <w:ind w:left="422"/>
              <w:jc w:val="center"/>
              <w:rPr>
                <w:rFonts w:hint="eastAsia" w:ascii="黑体" w:hAnsi="黑体" w:eastAsia="黑体" w:cs="黑体"/>
                <w:spacing w:val="5"/>
              </w:rPr>
            </w:pPr>
            <w:r>
              <w:rPr>
                <w:rFonts w:hint="eastAsia" w:ascii="黑体" w:hAnsi="黑体" w:eastAsia="黑体" w:cs="黑体"/>
                <w:spacing w:val="5"/>
              </w:rPr>
              <w:t>主营业务收入均值≥1000万</w:t>
            </w:r>
          </w:p>
        </w:tc>
        <w:tc>
          <w:tcPr>
            <w:tcW w:w="1048" w:type="dxa"/>
            <w:vAlign w:val="center"/>
          </w:tcPr>
          <w:p w14:paraId="0B457E1E">
            <w:pPr>
              <w:spacing w:before="148" w:line="232" w:lineRule="auto"/>
              <w:jc w:val="center"/>
              <w:rPr>
                <w:rFonts w:hint="eastAsia" w:ascii="黑体" w:hAnsi="黑体" w:eastAsia="黑体" w:cs="黑体"/>
                <w:spacing w:val="5"/>
              </w:rPr>
            </w:pPr>
            <w:r>
              <w:rPr>
                <w:rFonts w:hint="eastAsia" w:ascii="黑体" w:hAnsi="黑体" w:eastAsia="黑体" w:cs="黑体"/>
                <w:spacing w:val="5"/>
              </w:rPr>
              <w:t>10</w:t>
            </w:r>
          </w:p>
        </w:tc>
      </w:tr>
      <w:tr w14:paraId="38B7B7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15" w:type="dxa"/>
            <w:vMerge w:val="continue"/>
            <w:vAlign w:val="center"/>
          </w:tcPr>
          <w:p w14:paraId="26AFD44F">
            <w:pPr>
              <w:spacing w:before="148" w:line="232" w:lineRule="auto"/>
              <w:ind w:left="422"/>
              <w:jc w:val="center"/>
              <w:rPr>
                <w:rFonts w:hint="eastAsia" w:ascii="黑体" w:hAnsi="黑体" w:eastAsia="黑体" w:cs="黑体"/>
                <w:spacing w:val="5"/>
              </w:rPr>
            </w:pPr>
          </w:p>
        </w:tc>
        <w:tc>
          <w:tcPr>
            <w:tcW w:w="1816" w:type="dxa"/>
            <w:vMerge w:val="continue"/>
            <w:vAlign w:val="center"/>
          </w:tcPr>
          <w:p w14:paraId="42709ECF">
            <w:pPr>
              <w:spacing w:before="148" w:line="232" w:lineRule="auto"/>
              <w:jc w:val="center"/>
              <w:rPr>
                <w:rFonts w:hint="eastAsia" w:ascii="黑体" w:hAnsi="黑体" w:eastAsia="黑体" w:cs="黑体"/>
                <w:spacing w:val="5"/>
              </w:rPr>
            </w:pPr>
          </w:p>
        </w:tc>
        <w:tc>
          <w:tcPr>
            <w:tcW w:w="4846" w:type="dxa"/>
            <w:vAlign w:val="center"/>
          </w:tcPr>
          <w:p w14:paraId="7589494E">
            <w:pPr>
              <w:spacing w:before="148" w:line="232" w:lineRule="auto"/>
              <w:ind w:left="422"/>
              <w:jc w:val="center"/>
              <w:rPr>
                <w:rFonts w:hint="eastAsia" w:ascii="黑体" w:hAnsi="黑体" w:eastAsia="黑体" w:cs="黑体"/>
                <w:spacing w:val="5"/>
              </w:rPr>
            </w:pPr>
            <w:r>
              <w:rPr>
                <w:rFonts w:hint="eastAsia" w:ascii="黑体" w:hAnsi="黑体" w:eastAsia="黑体" w:cs="黑体"/>
                <w:spacing w:val="5"/>
              </w:rPr>
              <w:t>500万≤主营业务收入均值＜1000万</w:t>
            </w:r>
          </w:p>
        </w:tc>
        <w:tc>
          <w:tcPr>
            <w:tcW w:w="1048" w:type="dxa"/>
            <w:vAlign w:val="center"/>
          </w:tcPr>
          <w:p w14:paraId="2ECE3AEF">
            <w:pPr>
              <w:spacing w:before="148" w:line="232" w:lineRule="auto"/>
              <w:jc w:val="center"/>
              <w:rPr>
                <w:rFonts w:hint="eastAsia" w:ascii="黑体" w:hAnsi="黑体" w:eastAsia="黑体" w:cs="黑体"/>
                <w:spacing w:val="5"/>
              </w:rPr>
            </w:pPr>
            <w:r>
              <w:rPr>
                <w:rFonts w:hint="eastAsia" w:ascii="黑体" w:hAnsi="黑体" w:eastAsia="黑体" w:cs="黑体"/>
                <w:spacing w:val="5"/>
              </w:rPr>
              <w:t>8</w:t>
            </w:r>
          </w:p>
        </w:tc>
      </w:tr>
      <w:tr w14:paraId="66AB1A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15" w:type="dxa"/>
            <w:vMerge w:val="continue"/>
            <w:vAlign w:val="center"/>
          </w:tcPr>
          <w:p w14:paraId="7B0A2038">
            <w:pPr>
              <w:spacing w:before="148" w:line="232" w:lineRule="auto"/>
              <w:ind w:left="422"/>
              <w:jc w:val="center"/>
              <w:rPr>
                <w:rFonts w:hint="eastAsia" w:ascii="黑体" w:hAnsi="黑体" w:eastAsia="黑体" w:cs="黑体"/>
                <w:spacing w:val="5"/>
              </w:rPr>
            </w:pPr>
          </w:p>
        </w:tc>
        <w:tc>
          <w:tcPr>
            <w:tcW w:w="1816" w:type="dxa"/>
            <w:vMerge w:val="continue"/>
            <w:vAlign w:val="center"/>
          </w:tcPr>
          <w:p w14:paraId="4E830FC9">
            <w:pPr>
              <w:spacing w:before="148" w:line="232" w:lineRule="auto"/>
              <w:jc w:val="center"/>
              <w:rPr>
                <w:rFonts w:hint="eastAsia" w:ascii="黑体" w:hAnsi="黑体" w:eastAsia="黑体" w:cs="黑体"/>
                <w:spacing w:val="5"/>
              </w:rPr>
            </w:pPr>
          </w:p>
        </w:tc>
        <w:tc>
          <w:tcPr>
            <w:tcW w:w="4846" w:type="dxa"/>
            <w:vAlign w:val="center"/>
          </w:tcPr>
          <w:p w14:paraId="15016D36">
            <w:pPr>
              <w:spacing w:before="148" w:line="232" w:lineRule="auto"/>
              <w:ind w:left="422"/>
              <w:jc w:val="center"/>
              <w:rPr>
                <w:rFonts w:hint="eastAsia" w:ascii="黑体" w:hAnsi="黑体" w:eastAsia="黑体" w:cs="黑体"/>
                <w:spacing w:val="5"/>
              </w:rPr>
            </w:pPr>
            <w:r>
              <w:rPr>
                <w:rFonts w:hint="eastAsia" w:ascii="黑体" w:hAnsi="黑体" w:eastAsia="黑体" w:cs="黑体"/>
                <w:spacing w:val="5"/>
              </w:rPr>
              <w:t>200万≤主营业务收入均值＜500万</w:t>
            </w:r>
          </w:p>
        </w:tc>
        <w:tc>
          <w:tcPr>
            <w:tcW w:w="1048" w:type="dxa"/>
            <w:vAlign w:val="center"/>
          </w:tcPr>
          <w:p w14:paraId="72C76643">
            <w:pPr>
              <w:spacing w:before="148" w:line="232" w:lineRule="auto"/>
              <w:jc w:val="center"/>
              <w:rPr>
                <w:rFonts w:hint="eastAsia" w:ascii="黑体" w:hAnsi="黑体" w:eastAsia="黑体" w:cs="黑体"/>
                <w:spacing w:val="5"/>
              </w:rPr>
            </w:pPr>
            <w:r>
              <w:rPr>
                <w:rFonts w:hint="eastAsia" w:ascii="黑体" w:hAnsi="黑体" w:eastAsia="黑体" w:cs="黑体"/>
                <w:spacing w:val="5"/>
              </w:rPr>
              <w:t>6</w:t>
            </w:r>
          </w:p>
        </w:tc>
      </w:tr>
      <w:tr w14:paraId="7B11EA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15" w:type="dxa"/>
            <w:vMerge w:val="continue"/>
            <w:vAlign w:val="center"/>
          </w:tcPr>
          <w:p w14:paraId="4D29DA9F">
            <w:pPr>
              <w:spacing w:before="148" w:line="232" w:lineRule="auto"/>
              <w:ind w:left="422"/>
              <w:jc w:val="center"/>
              <w:rPr>
                <w:rFonts w:hint="eastAsia" w:ascii="黑体" w:hAnsi="黑体" w:eastAsia="黑体" w:cs="黑体"/>
                <w:spacing w:val="5"/>
              </w:rPr>
            </w:pPr>
          </w:p>
        </w:tc>
        <w:tc>
          <w:tcPr>
            <w:tcW w:w="1816" w:type="dxa"/>
            <w:vMerge w:val="continue"/>
            <w:vAlign w:val="center"/>
          </w:tcPr>
          <w:p w14:paraId="59B4E5D2">
            <w:pPr>
              <w:spacing w:before="148" w:line="232" w:lineRule="auto"/>
              <w:jc w:val="center"/>
              <w:rPr>
                <w:rFonts w:hint="eastAsia" w:ascii="黑体" w:hAnsi="黑体" w:eastAsia="黑体" w:cs="黑体"/>
                <w:spacing w:val="5"/>
              </w:rPr>
            </w:pPr>
          </w:p>
        </w:tc>
        <w:tc>
          <w:tcPr>
            <w:tcW w:w="4846" w:type="dxa"/>
            <w:vAlign w:val="center"/>
          </w:tcPr>
          <w:p w14:paraId="0BE17DE3">
            <w:pPr>
              <w:spacing w:before="148" w:line="232" w:lineRule="auto"/>
              <w:ind w:left="422"/>
              <w:jc w:val="center"/>
              <w:rPr>
                <w:rFonts w:hint="eastAsia" w:ascii="黑体" w:hAnsi="黑体" w:eastAsia="黑体" w:cs="黑体"/>
                <w:spacing w:val="5"/>
              </w:rPr>
            </w:pPr>
            <w:r>
              <w:rPr>
                <w:rFonts w:hint="eastAsia" w:ascii="黑体" w:hAnsi="黑体" w:eastAsia="黑体" w:cs="黑体"/>
                <w:spacing w:val="5"/>
              </w:rPr>
              <w:t>50万≤主营业务收入均值＜200万</w:t>
            </w:r>
          </w:p>
        </w:tc>
        <w:tc>
          <w:tcPr>
            <w:tcW w:w="1048" w:type="dxa"/>
            <w:vAlign w:val="center"/>
          </w:tcPr>
          <w:p w14:paraId="64A723B6">
            <w:pPr>
              <w:spacing w:before="148" w:line="232" w:lineRule="auto"/>
              <w:jc w:val="center"/>
              <w:rPr>
                <w:rFonts w:hint="eastAsia" w:ascii="黑体" w:hAnsi="黑体" w:eastAsia="黑体" w:cs="黑体"/>
                <w:spacing w:val="5"/>
              </w:rPr>
            </w:pPr>
            <w:r>
              <w:rPr>
                <w:rFonts w:hint="eastAsia" w:ascii="黑体" w:hAnsi="黑体" w:eastAsia="黑体" w:cs="黑体"/>
                <w:spacing w:val="5"/>
              </w:rPr>
              <w:t>4</w:t>
            </w:r>
          </w:p>
        </w:tc>
      </w:tr>
      <w:tr w14:paraId="32FCDF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15" w:type="dxa"/>
            <w:vMerge w:val="continue"/>
            <w:vAlign w:val="center"/>
          </w:tcPr>
          <w:p w14:paraId="795BA50C">
            <w:pPr>
              <w:spacing w:before="148" w:line="232" w:lineRule="auto"/>
              <w:ind w:left="422"/>
              <w:jc w:val="center"/>
              <w:rPr>
                <w:rFonts w:hint="eastAsia" w:ascii="黑体" w:hAnsi="黑体" w:eastAsia="黑体" w:cs="黑体"/>
                <w:spacing w:val="5"/>
              </w:rPr>
            </w:pPr>
          </w:p>
        </w:tc>
        <w:tc>
          <w:tcPr>
            <w:tcW w:w="1816" w:type="dxa"/>
            <w:vMerge w:val="continue"/>
            <w:vAlign w:val="center"/>
          </w:tcPr>
          <w:p w14:paraId="4BD7BFF6">
            <w:pPr>
              <w:spacing w:before="148" w:line="232" w:lineRule="auto"/>
              <w:jc w:val="center"/>
              <w:rPr>
                <w:rFonts w:hint="eastAsia" w:ascii="黑体" w:hAnsi="黑体" w:eastAsia="黑体" w:cs="黑体"/>
                <w:spacing w:val="5"/>
              </w:rPr>
            </w:pPr>
          </w:p>
        </w:tc>
        <w:tc>
          <w:tcPr>
            <w:tcW w:w="4846" w:type="dxa"/>
            <w:vAlign w:val="center"/>
          </w:tcPr>
          <w:p w14:paraId="2EEC0AEC">
            <w:pPr>
              <w:spacing w:before="148" w:line="232" w:lineRule="auto"/>
              <w:ind w:left="422"/>
              <w:jc w:val="center"/>
              <w:rPr>
                <w:rFonts w:hint="eastAsia" w:ascii="黑体" w:hAnsi="黑体" w:eastAsia="黑体" w:cs="黑体"/>
                <w:spacing w:val="5"/>
              </w:rPr>
            </w:pPr>
            <w:r>
              <w:rPr>
                <w:rFonts w:hint="eastAsia" w:ascii="黑体" w:hAnsi="黑体" w:eastAsia="黑体" w:cs="黑体"/>
                <w:spacing w:val="5"/>
              </w:rPr>
              <w:t>主营业务收入均值＜50万</w:t>
            </w:r>
          </w:p>
        </w:tc>
        <w:tc>
          <w:tcPr>
            <w:tcW w:w="1048" w:type="dxa"/>
            <w:vAlign w:val="center"/>
          </w:tcPr>
          <w:p w14:paraId="306BCF4F">
            <w:pPr>
              <w:spacing w:before="148" w:line="232" w:lineRule="auto"/>
              <w:jc w:val="center"/>
              <w:rPr>
                <w:rFonts w:hint="eastAsia" w:ascii="黑体" w:hAnsi="黑体" w:eastAsia="黑体" w:cs="黑体"/>
                <w:spacing w:val="5"/>
              </w:rPr>
            </w:pPr>
            <w:r>
              <w:rPr>
                <w:rFonts w:hint="eastAsia" w:ascii="黑体" w:hAnsi="黑体" w:eastAsia="黑体" w:cs="黑体"/>
                <w:spacing w:val="5"/>
              </w:rPr>
              <w:t>2</w:t>
            </w:r>
          </w:p>
        </w:tc>
      </w:tr>
      <w:tr w14:paraId="2096AC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15" w:type="dxa"/>
            <w:vMerge w:val="restart"/>
            <w:vAlign w:val="center"/>
          </w:tcPr>
          <w:p w14:paraId="2A223D46">
            <w:pPr>
              <w:spacing w:before="148" w:line="232" w:lineRule="auto"/>
              <w:jc w:val="center"/>
              <w:rPr>
                <w:rFonts w:hint="eastAsia" w:ascii="黑体" w:hAnsi="黑体" w:eastAsia="黑体" w:cs="黑体"/>
                <w:spacing w:val="5"/>
              </w:rPr>
            </w:pPr>
            <w:r>
              <w:rPr>
                <w:rFonts w:hint="eastAsia" w:ascii="黑体" w:hAnsi="黑体" w:eastAsia="黑体" w:cs="黑体"/>
                <w:spacing w:val="5"/>
              </w:rPr>
              <w:t>三、</w:t>
            </w:r>
          </w:p>
          <w:p w14:paraId="7E9567B0">
            <w:pPr>
              <w:spacing w:before="148" w:line="232" w:lineRule="auto"/>
              <w:jc w:val="center"/>
              <w:rPr>
                <w:rFonts w:hint="eastAsia" w:ascii="黑体" w:hAnsi="黑体" w:eastAsia="黑体" w:cs="黑体"/>
                <w:spacing w:val="5"/>
              </w:rPr>
            </w:pPr>
            <w:r>
              <w:rPr>
                <w:rFonts w:hint="eastAsia" w:ascii="黑体" w:hAnsi="黑体" w:eastAsia="黑体" w:cs="黑体"/>
                <w:spacing w:val="5"/>
              </w:rPr>
              <w:t>社会责任</w:t>
            </w:r>
          </w:p>
        </w:tc>
        <w:tc>
          <w:tcPr>
            <w:tcW w:w="1816" w:type="dxa"/>
            <w:vMerge w:val="restart"/>
            <w:vAlign w:val="center"/>
          </w:tcPr>
          <w:p w14:paraId="44B7D328">
            <w:pPr>
              <w:spacing w:before="148" w:line="232" w:lineRule="auto"/>
              <w:jc w:val="center"/>
              <w:rPr>
                <w:rFonts w:hint="eastAsia" w:ascii="黑体" w:hAnsi="黑体" w:eastAsia="黑体" w:cs="黑体"/>
                <w:spacing w:val="5"/>
              </w:rPr>
            </w:pPr>
            <w:r>
              <w:rPr>
                <w:rFonts w:hint="eastAsia" w:ascii="黑体" w:hAnsi="黑体" w:eastAsia="黑体" w:cs="黑体"/>
                <w:spacing w:val="5"/>
              </w:rPr>
              <w:t>公益演出场次</w:t>
            </w:r>
          </w:p>
        </w:tc>
        <w:tc>
          <w:tcPr>
            <w:tcW w:w="4846" w:type="dxa"/>
            <w:vAlign w:val="center"/>
          </w:tcPr>
          <w:p w14:paraId="5B2C8810">
            <w:pPr>
              <w:spacing w:before="148" w:line="232" w:lineRule="auto"/>
              <w:ind w:firstLine="220" w:firstLineChars="100"/>
              <w:jc w:val="center"/>
              <w:rPr>
                <w:rFonts w:hint="eastAsia" w:ascii="黑体" w:hAnsi="黑体" w:eastAsia="黑体" w:cs="黑体"/>
                <w:spacing w:val="5"/>
              </w:rPr>
            </w:pPr>
            <w:r>
              <w:rPr>
                <w:rFonts w:hint="eastAsia" w:ascii="黑体" w:hAnsi="黑体" w:eastAsia="黑体" w:cs="黑体"/>
                <w:spacing w:val="5"/>
              </w:rPr>
              <w:t>公益演出场次≥5场</w:t>
            </w:r>
          </w:p>
        </w:tc>
        <w:tc>
          <w:tcPr>
            <w:tcW w:w="1048" w:type="dxa"/>
            <w:vAlign w:val="center"/>
          </w:tcPr>
          <w:p w14:paraId="566CA22E">
            <w:pPr>
              <w:spacing w:before="148" w:line="232" w:lineRule="auto"/>
              <w:jc w:val="center"/>
              <w:rPr>
                <w:rFonts w:hint="eastAsia" w:ascii="黑体" w:hAnsi="黑体" w:eastAsia="黑体" w:cs="黑体"/>
                <w:spacing w:val="5"/>
              </w:rPr>
            </w:pPr>
            <w:r>
              <w:rPr>
                <w:rFonts w:hint="eastAsia" w:ascii="黑体" w:hAnsi="黑体" w:eastAsia="黑体" w:cs="黑体"/>
                <w:spacing w:val="5"/>
              </w:rPr>
              <w:t>10</w:t>
            </w:r>
          </w:p>
        </w:tc>
      </w:tr>
      <w:tr w14:paraId="79850C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15" w:type="dxa"/>
            <w:vMerge w:val="continue"/>
            <w:vAlign w:val="center"/>
          </w:tcPr>
          <w:p w14:paraId="4F6F47FA">
            <w:pPr>
              <w:spacing w:before="148" w:line="232" w:lineRule="auto"/>
              <w:ind w:left="422"/>
              <w:jc w:val="center"/>
              <w:rPr>
                <w:rFonts w:hint="eastAsia" w:ascii="黑体" w:hAnsi="黑体" w:eastAsia="黑体" w:cs="黑体"/>
                <w:spacing w:val="5"/>
              </w:rPr>
            </w:pPr>
          </w:p>
        </w:tc>
        <w:tc>
          <w:tcPr>
            <w:tcW w:w="1816" w:type="dxa"/>
            <w:vMerge w:val="continue"/>
            <w:vAlign w:val="center"/>
          </w:tcPr>
          <w:p w14:paraId="7B291B0E">
            <w:pPr>
              <w:spacing w:before="148" w:line="232" w:lineRule="auto"/>
              <w:jc w:val="center"/>
              <w:rPr>
                <w:rFonts w:hint="eastAsia" w:ascii="黑体" w:hAnsi="黑体" w:eastAsia="黑体" w:cs="黑体"/>
                <w:spacing w:val="5"/>
              </w:rPr>
            </w:pPr>
          </w:p>
        </w:tc>
        <w:tc>
          <w:tcPr>
            <w:tcW w:w="4846" w:type="dxa"/>
            <w:vAlign w:val="center"/>
          </w:tcPr>
          <w:p w14:paraId="72FFF519">
            <w:pPr>
              <w:spacing w:before="148" w:line="232" w:lineRule="auto"/>
              <w:ind w:firstLine="220" w:firstLineChars="100"/>
              <w:jc w:val="center"/>
              <w:rPr>
                <w:rFonts w:hint="eastAsia" w:ascii="黑体" w:hAnsi="黑体" w:eastAsia="黑体" w:cs="黑体"/>
                <w:spacing w:val="5"/>
              </w:rPr>
            </w:pPr>
            <w:r>
              <w:rPr>
                <w:rFonts w:hint="eastAsia" w:ascii="黑体" w:hAnsi="黑体" w:eastAsia="黑体" w:cs="黑体"/>
                <w:spacing w:val="5"/>
              </w:rPr>
              <w:t>3场≤公益演出场次＜5场</w:t>
            </w:r>
          </w:p>
        </w:tc>
        <w:tc>
          <w:tcPr>
            <w:tcW w:w="1048" w:type="dxa"/>
            <w:vAlign w:val="center"/>
          </w:tcPr>
          <w:p w14:paraId="606ABA97">
            <w:pPr>
              <w:spacing w:before="148" w:line="232" w:lineRule="auto"/>
              <w:jc w:val="center"/>
              <w:rPr>
                <w:rFonts w:hint="eastAsia" w:ascii="黑体" w:hAnsi="黑体" w:eastAsia="黑体" w:cs="黑体"/>
                <w:spacing w:val="5"/>
              </w:rPr>
            </w:pPr>
            <w:r>
              <w:rPr>
                <w:rFonts w:hint="eastAsia" w:ascii="黑体" w:hAnsi="黑体" w:eastAsia="黑体" w:cs="黑体"/>
                <w:spacing w:val="5"/>
              </w:rPr>
              <w:t>8</w:t>
            </w:r>
          </w:p>
        </w:tc>
      </w:tr>
      <w:tr w14:paraId="2B65DE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15" w:type="dxa"/>
            <w:vMerge w:val="continue"/>
            <w:vAlign w:val="center"/>
          </w:tcPr>
          <w:p w14:paraId="002DDB60">
            <w:pPr>
              <w:spacing w:before="148" w:line="232" w:lineRule="auto"/>
              <w:ind w:left="422"/>
              <w:jc w:val="center"/>
              <w:rPr>
                <w:rFonts w:hint="eastAsia" w:ascii="黑体" w:hAnsi="黑体" w:eastAsia="黑体" w:cs="黑体"/>
                <w:spacing w:val="5"/>
              </w:rPr>
            </w:pPr>
          </w:p>
        </w:tc>
        <w:tc>
          <w:tcPr>
            <w:tcW w:w="1816" w:type="dxa"/>
            <w:vMerge w:val="continue"/>
            <w:vAlign w:val="center"/>
          </w:tcPr>
          <w:p w14:paraId="7A459FA7">
            <w:pPr>
              <w:spacing w:before="148" w:line="232" w:lineRule="auto"/>
              <w:jc w:val="center"/>
              <w:rPr>
                <w:rFonts w:hint="eastAsia" w:ascii="黑体" w:hAnsi="黑体" w:eastAsia="黑体" w:cs="黑体"/>
                <w:spacing w:val="5"/>
              </w:rPr>
            </w:pPr>
          </w:p>
        </w:tc>
        <w:tc>
          <w:tcPr>
            <w:tcW w:w="4846" w:type="dxa"/>
            <w:vAlign w:val="center"/>
          </w:tcPr>
          <w:p w14:paraId="5C0AC932">
            <w:pPr>
              <w:spacing w:before="148" w:line="232" w:lineRule="auto"/>
              <w:ind w:firstLine="220" w:firstLineChars="100"/>
              <w:jc w:val="center"/>
              <w:rPr>
                <w:rFonts w:hint="eastAsia" w:ascii="黑体" w:hAnsi="黑体" w:eastAsia="黑体" w:cs="黑体"/>
                <w:spacing w:val="5"/>
              </w:rPr>
            </w:pPr>
            <w:r>
              <w:rPr>
                <w:rFonts w:hint="eastAsia" w:ascii="黑体" w:hAnsi="黑体" w:eastAsia="黑体" w:cs="黑体"/>
                <w:spacing w:val="5"/>
              </w:rPr>
              <w:t>2场</w:t>
            </w:r>
          </w:p>
        </w:tc>
        <w:tc>
          <w:tcPr>
            <w:tcW w:w="1048" w:type="dxa"/>
            <w:vAlign w:val="center"/>
          </w:tcPr>
          <w:p w14:paraId="24D5713C">
            <w:pPr>
              <w:spacing w:before="148" w:line="232" w:lineRule="auto"/>
              <w:jc w:val="center"/>
              <w:rPr>
                <w:rFonts w:hint="eastAsia" w:ascii="黑体" w:hAnsi="黑体" w:eastAsia="黑体" w:cs="黑体"/>
                <w:spacing w:val="5"/>
              </w:rPr>
            </w:pPr>
            <w:r>
              <w:rPr>
                <w:rFonts w:hint="eastAsia" w:ascii="黑体" w:hAnsi="黑体" w:eastAsia="黑体" w:cs="黑体"/>
                <w:spacing w:val="5"/>
              </w:rPr>
              <w:t>6</w:t>
            </w:r>
          </w:p>
        </w:tc>
      </w:tr>
      <w:tr w14:paraId="6A314A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15" w:type="dxa"/>
            <w:vMerge w:val="continue"/>
            <w:vAlign w:val="center"/>
          </w:tcPr>
          <w:p w14:paraId="7E06FE22">
            <w:pPr>
              <w:spacing w:before="148" w:line="232" w:lineRule="auto"/>
              <w:ind w:left="422"/>
              <w:jc w:val="center"/>
              <w:rPr>
                <w:rFonts w:hint="eastAsia" w:ascii="黑体" w:hAnsi="黑体" w:eastAsia="黑体" w:cs="黑体"/>
                <w:spacing w:val="5"/>
              </w:rPr>
            </w:pPr>
          </w:p>
        </w:tc>
        <w:tc>
          <w:tcPr>
            <w:tcW w:w="1816" w:type="dxa"/>
            <w:vMerge w:val="continue"/>
            <w:vAlign w:val="center"/>
          </w:tcPr>
          <w:p w14:paraId="6D506B5D">
            <w:pPr>
              <w:spacing w:before="148" w:line="232" w:lineRule="auto"/>
              <w:jc w:val="center"/>
              <w:rPr>
                <w:rFonts w:hint="eastAsia" w:ascii="黑体" w:hAnsi="黑体" w:eastAsia="黑体" w:cs="黑体"/>
                <w:spacing w:val="5"/>
              </w:rPr>
            </w:pPr>
          </w:p>
        </w:tc>
        <w:tc>
          <w:tcPr>
            <w:tcW w:w="4846" w:type="dxa"/>
            <w:vAlign w:val="center"/>
          </w:tcPr>
          <w:p w14:paraId="4133C94B">
            <w:pPr>
              <w:spacing w:before="148" w:line="232" w:lineRule="auto"/>
              <w:ind w:firstLine="220" w:firstLineChars="100"/>
              <w:jc w:val="center"/>
              <w:rPr>
                <w:rFonts w:hint="eastAsia" w:ascii="黑体" w:hAnsi="黑体" w:eastAsia="黑体" w:cs="黑体"/>
                <w:spacing w:val="5"/>
              </w:rPr>
            </w:pPr>
            <w:r>
              <w:rPr>
                <w:rFonts w:hint="eastAsia" w:ascii="黑体" w:hAnsi="黑体" w:eastAsia="黑体" w:cs="黑体"/>
                <w:spacing w:val="5"/>
              </w:rPr>
              <w:t>1场</w:t>
            </w:r>
          </w:p>
        </w:tc>
        <w:tc>
          <w:tcPr>
            <w:tcW w:w="1048" w:type="dxa"/>
            <w:vAlign w:val="center"/>
          </w:tcPr>
          <w:p w14:paraId="7ABE1B7C">
            <w:pPr>
              <w:spacing w:before="148" w:line="232" w:lineRule="auto"/>
              <w:jc w:val="center"/>
              <w:rPr>
                <w:rFonts w:hint="eastAsia" w:ascii="黑体" w:hAnsi="黑体" w:eastAsia="黑体" w:cs="黑体"/>
                <w:spacing w:val="5"/>
              </w:rPr>
            </w:pPr>
            <w:r>
              <w:rPr>
                <w:rFonts w:hint="eastAsia" w:ascii="黑体" w:hAnsi="黑体" w:eastAsia="黑体" w:cs="黑体"/>
                <w:spacing w:val="5"/>
              </w:rPr>
              <w:t>4</w:t>
            </w:r>
          </w:p>
        </w:tc>
      </w:tr>
      <w:tr w14:paraId="754A7C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15" w:type="dxa"/>
            <w:vMerge w:val="continue"/>
            <w:vAlign w:val="center"/>
          </w:tcPr>
          <w:p w14:paraId="000B892D">
            <w:pPr>
              <w:spacing w:before="148" w:line="232" w:lineRule="auto"/>
              <w:ind w:left="422"/>
              <w:jc w:val="center"/>
              <w:rPr>
                <w:rFonts w:hint="eastAsia" w:ascii="黑体" w:hAnsi="黑体" w:eastAsia="黑体" w:cs="黑体"/>
                <w:spacing w:val="5"/>
              </w:rPr>
            </w:pPr>
          </w:p>
        </w:tc>
        <w:tc>
          <w:tcPr>
            <w:tcW w:w="1816" w:type="dxa"/>
            <w:vMerge w:val="restart"/>
            <w:vAlign w:val="center"/>
          </w:tcPr>
          <w:p w14:paraId="559A3626">
            <w:pPr>
              <w:spacing w:before="148" w:line="232" w:lineRule="auto"/>
              <w:jc w:val="center"/>
              <w:rPr>
                <w:rFonts w:hint="eastAsia" w:ascii="黑体" w:hAnsi="黑体" w:eastAsia="黑体" w:cs="黑体"/>
                <w:spacing w:val="5"/>
              </w:rPr>
            </w:pPr>
            <w:r>
              <w:rPr>
                <w:rFonts w:hint="eastAsia" w:ascii="黑体" w:hAnsi="黑体" w:eastAsia="黑体" w:cs="黑体"/>
                <w:spacing w:val="5"/>
              </w:rPr>
              <w:t>员工社保缴纳率</w:t>
            </w:r>
          </w:p>
        </w:tc>
        <w:tc>
          <w:tcPr>
            <w:tcW w:w="4846" w:type="dxa"/>
            <w:vAlign w:val="center"/>
          </w:tcPr>
          <w:p w14:paraId="181C2F7E">
            <w:pPr>
              <w:spacing w:before="148" w:line="232" w:lineRule="auto"/>
              <w:ind w:firstLine="220" w:firstLineChars="100"/>
              <w:jc w:val="center"/>
              <w:rPr>
                <w:rFonts w:hint="eastAsia" w:ascii="黑体" w:hAnsi="黑体" w:eastAsia="黑体" w:cs="黑体"/>
                <w:spacing w:val="5"/>
              </w:rPr>
            </w:pPr>
            <w:r>
              <w:rPr>
                <w:rFonts w:hint="eastAsia" w:ascii="黑体" w:hAnsi="黑体" w:eastAsia="黑体" w:cs="黑体"/>
                <w:spacing w:val="5"/>
              </w:rPr>
              <w:t>社保覆盖率达100%</w:t>
            </w:r>
          </w:p>
        </w:tc>
        <w:tc>
          <w:tcPr>
            <w:tcW w:w="1048" w:type="dxa"/>
            <w:vAlign w:val="center"/>
          </w:tcPr>
          <w:p w14:paraId="0C56B42B">
            <w:pPr>
              <w:spacing w:before="148" w:line="232" w:lineRule="auto"/>
              <w:jc w:val="center"/>
              <w:rPr>
                <w:rFonts w:hint="eastAsia" w:ascii="黑体" w:hAnsi="黑体" w:eastAsia="黑体" w:cs="黑体"/>
                <w:spacing w:val="5"/>
              </w:rPr>
            </w:pPr>
            <w:r>
              <w:rPr>
                <w:rFonts w:hint="eastAsia" w:ascii="黑体" w:hAnsi="黑体" w:eastAsia="黑体" w:cs="黑体"/>
                <w:spacing w:val="5"/>
              </w:rPr>
              <w:t>8</w:t>
            </w:r>
          </w:p>
        </w:tc>
      </w:tr>
      <w:tr w14:paraId="2420DA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15" w:type="dxa"/>
            <w:vMerge w:val="continue"/>
            <w:vAlign w:val="center"/>
          </w:tcPr>
          <w:p w14:paraId="4591ABBD">
            <w:pPr>
              <w:spacing w:before="148" w:line="232" w:lineRule="auto"/>
              <w:ind w:left="422"/>
              <w:jc w:val="center"/>
              <w:rPr>
                <w:rFonts w:hint="eastAsia" w:ascii="黑体" w:hAnsi="黑体" w:eastAsia="黑体" w:cs="黑体"/>
                <w:spacing w:val="5"/>
              </w:rPr>
            </w:pPr>
          </w:p>
        </w:tc>
        <w:tc>
          <w:tcPr>
            <w:tcW w:w="1816" w:type="dxa"/>
            <w:vMerge w:val="continue"/>
            <w:vAlign w:val="center"/>
          </w:tcPr>
          <w:p w14:paraId="00765518">
            <w:pPr>
              <w:spacing w:before="148" w:line="232" w:lineRule="auto"/>
              <w:jc w:val="center"/>
              <w:rPr>
                <w:rFonts w:hint="eastAsia" w:ascii="黑体" w:hAnsi="黑体" w:eastAsia="黑体" w:cs="黑体"/>
                <w:spacing w:val="5"/>
              </w:rPr>
            </w:pPr>
          </w:p>
        </w:tc>
        <w:tc>
          <w:tcPr>
            <w:tcW w:w="4846" w:type="dxa"/>
            <w:vAlign w:val="center"/>
          </w:tcPr>
          <w:p w14:paraId="56AB2E9E">
            <w:pPr>
              <w:spacing w:before="148" w:line="232" w:lineRule="auto"/>
              <w:ind w:firstLine="220" w:firstLineChars="100"/>
              <w:jc w:val="center"/>
              <w:rPr>
                <w:rFonts w:hint="eastAsia" w:ascii="黑体" w:hAnsi="黑体" w:eastAsia="黑体" w:cs="黑体"/>
                <w:spacing w:val="5"/>
              </w:rPr>
            </w:pPr>
            <w:r>
              <w:rPr>
                <w:rFonts w:hint="eastAsia" w:ascii="黑体" w:hAnsi="黑体" w:eastAsia="黑体" w:cs="黑体"/>
                <w:spacing w:val="5"/>
              </w:rPr>
              <w:t>80%≤社保参保数量＜100%</w:t>
            </w:r>
          </w:p>
        </w:tc>
        <w:tc>
          <w:tcPr>
            <w:tcW w:w="1048" w:type="dxa"/>
            <w:vAlign w:val="center"/>
          </w:tcPr>
          <w:p w14:paraId="00284662">
            <w:pPr>
              <w:spacing w:before="148" w:line="232" w:lineRule="auto"/>
              <w:jc w:val="center"/>
              <w:rPr>
                <w:rFonts w:hint="eastAsia" w:ascii="黑体" w:hAnsi="黑体" w:eastAsia="黑体" w:cs="黑体"/>
                <w:spacing w:val="5"/>
              </w:rPr>
            </w:pPr>
            <w:r>
              <w:rPr>
                <w:rFonts w:hint="eastAsia" w:ascii="黑体" w:hAnsi="黑体" w:eastAsia="黑体" w:cs="黑体"/>
                <w:spacing w:val="5"/>
              </w:rPr>
              <w:t>4</w:t>
            </w:r>
          </w:p>
        </w:tc>
      </w:tr>
      <w:tr w14:paraId="347149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15" w:type="dxa"/>
            <w:vMerge w:val="continue"/>
            <w:vAlign w:val="center"/>
          </w:tcPr>
          <w:p w14:paraId="1B6BEDA5">
            <w:pPr>
              <w:spacing w:before="148" w:line="232" w:lineRule="auto"/>
              <w:ind w:left="422"/>
              <w:jc w:val="center"/>
              <w:rPr>
                <w:rFonts w:hint="eastAsia" w:ascii="黑体" w:hAnsi="黑体" w:eastAsia="黑体" w:cs="黑体"/>
                <w:spacing w:val="5"/>
              </w:rPr>
            </w:pPr>
          </w:p>
        </w:tc>
        <w:tc>
          <w:tcPr>
            <w:tcW w:w="1816" w:type="dxa"/>
            <w:vMerge w:val="restart"/>
            <w:vAlign w:val="center"/>
          </w:tcPr>
          <w:p w14:paraId="1688A631">
            <w:pPr>
              <w:spacing w:before="148" w:line="232" w:lineRule="auto"/>
              <w:jc w:val="center"/>
              <w:rPr>
                <w:rFonts w:hint="eastAsia" w:ascii="黑体" w:hAnsi="黑体" w:eastAsia="黑体" w:cs="黑体"/>
                <w:spacing w:val="5"/>
              </w:rPr>
            </w:pPr>
            <w:r>
              <w:rPr>
                <w:rFonts w:hint="eastAsia" w:ascii="黑体" w:hAnsi="黑体" w:eastAsia="黑体" w:cs="黑体"/>
                <w:spacing w:val="5"/>
              </w:rPr>
              <w:t>安全管理</w:t>
            </w:r>
          </w:p>
        </w:tc>
        <w:tc>
          <w:tcPr>
            <w:tcW w:w="4846" w:type="dxa"/>
            <w:vAlign w:val="center"/>
          </w:tcPr>
          <w:p w14:paraId="135C51B6">
            <w:pPr>
              <w:spacing w:before="148" w:line="232" w:lineRule="auto"/>
              <w:jc w:val="center"/>
              <w:rPr>
                <w:rFonts w:hint="eastAsia" w:ascii="黑体" w:hAnsi="黑体" w:eastAsia="黑体" w:cs="黑体"/>
                <w:spacing w:val="5"/>
              </w:rPr>
            </w:pPr>
            <w:r>
              <w:rPr>
                <w:rFonts w:hint="eastAsia" w:ascii="黑体" w:hAnsi="黑体" w:eastAsia="黑体" w:cs="黑体"/>
                <w:spacing w:val="5"/>
              </w:rPr>
              <w:t>建立覆盖全流程的安全管理制度（含安保、设备、舆情等）、应急预案并有效执行，无安全责任事故记录</w:t>
            </w:r>
          </w:p>
        </w:tc>
        <w:tc>
          <w:tcPr>
            <w:tcW w:w="1048" w:type="dxa"/>
            <w:vAlign w:val="center"/>
          </w:tcPr>
          <w:p w14:paraId="57B77787">
            <w:pPr>
              <w:spacing w:before="148" w:line="232" w:lineRule="auto"/>
              <w:jc w:val="center"/>
              <w:rPr>
                <w:rFonts w:hint="eastAsia" w:ascii="黑体" w:hAnsi="黑体" w:eastAsia="黑体" w:cs="黑体"/>
                <w:spacing w:val="5"/>
              </w:rPr>
            </w:pPr>
            <w:r>
              <w:rPr>
                <w:rFonts w:hint="eastAsia" w:ascii="黑体" w:hAnsi="黑体" w:eastAsia="黑体" w:cs="黑体"/>
                <w:spacing w:val="5"/>
              </w:rPr>
              <w:t>8</w:t>
            </w:r>
          </w:p>
        </w:tc>
      </w:tr>
      <w:tr w14:paraId="31F0E3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15" w:type="dxa"/>
            <w:vMerge w:val="continue"/>
            <w:vAlign w:val="center"/>
          </w:tcPr>
          <w:p w14:paraId="7923CD81">
            <w:pPr>
              <w:spacing w:before="148" w:line="232" w:lineRule="auto"/>
              <w:ind w:left="422"/>
              <w:jc w:val="center"/>
              <w:rPr>
                <w:rFonts w:hint="eastAsia" w:ascii="黑体" w:hAnsi="黑体" w:eastAsia="黑体" w:cs="黑体"/>
                <w:spacing w:val="5"/>
              </w:rPr>
            </w:pPr>
          </w:p>
        </w:tc>
        <w:tc>
          <w:tcPr>
            <w:tcW w:w="1816" w:type="dxa"/>
            <w:vMerge w:val="continue"/>
            <w:vAlign w:val="center"/>
          </w:tcPr>
          <w:p w14:paraId="6D8FCA64">
            <w:pPr>
              <w:spacing w:before="148" w:line="232" w:lineRule="auto"/>
              <w:jc w:val="center"/>
              <w:rPr>
                <w:rFonts w:hint="eastAsia" w:ascii="黑体" w:hAnsi="黑体" w:eastAsia="黑体" w:cs="黑体"/>
                <w:spacing w:val="5"/>
              </w:rPr>
            </w:pPr>
          </w:p>
        </w:tc>
        <w:tc>
          <w:tcPr>
            <w:tcW w:w="4846" w:type="dxa"/>
            <w:vAlign w:val="center"/>
          </w:tcPr>
          <w:p w14:paraId="40545A56">
            <w:pPr>
              <w:spacing w:before="148" w:line="232" w:lineRule="auto"/>
              <w:jc w:val="center"/>
              <w:rPr>
                <w:rFonts w:hint="eastAsia" w:ascii="黑体" w:hAnsi="黑体" w:eastAsia="黑体" w:cs="黑体"/>
                <w:spacing w:val="5"/>
              </w:rPr>
            </w:pPr>
            <w:r>
              <w:rPr>
                <w:rFonts w:ascii="黑体" w:hAnsi="黑体" w:eastAsia="黑体" w:cs="黑体"/>
                <w:spacing w:val="5"/>
              </w:rPr>
              <w:t>制度基本健全，但有轻微瑕疵或执行记录不完整</w:t>
            </w:r>
          </w:p>
        </w:tc>
        <w:tc>
          <w:tcPr>
            <w:tcW w:w="1048" w:type="dxa"/>
            <w:vAlign w:val="center"/>
          </w:tcPr>
          <w:p w14:paraId="7F1A6064">
            <w:pPr>
              <w:spacing w:before="148" w:line="232" w:lineRule="auto"/>
              <w:jc w:val="center"/>
              <w:rPr>
                <w:rFonts w:hint="eastAsia" w:ascii="黑体" w:hAnsi="黑体" w:eastAsia="黑体" w:cs="黑体"/>
                <w:spacing w:val="5"/>
              </w:rPr>
            </w:pPr>
            <w:r>
              <w:rPr>
                <w:rFonts w:hint="eastAsia" w:ascii="黑体" w:hAnsi="黑体" w:eastAsia="黑体" w:cs="黑体"/>
                <w:spacing w:val="5"/>
              </w:rPr>
              <w:t>4</w:t>
            </w:r>
          </w:p>
        </w:tc>
      </w:tr>
      <w:tr w14:paraId="54AE0D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15" w:type="dxa"/>
            <w:vMerge w:val="continue"/>
            <w:vAlign w:val="center"/>
          </w:tcPr>
          <w:p w14:paraId="015A32F2">
            <w:pPr>
              <w:spacing w:before="148" w:line="232" w:lineRule="auto"/>
              <w:ind w:left="422"/>
              <w:jc w:val="center"/>
              <w:rPr>
                <w:rFonts w:hint="eastAsia" w:ascii="黑体" w:hAnsi="黑体" w:eastAsia="黑体" w:cs="黑体"/>
                <w:spacing w:val="5"/>
              </w:rPr>
            </w:pPr>
          </w:p>
        </w:tc>
        <w:tc>
          <w:tcPr>
            <w:tcW w:w="1816" w:type="dxa"/>
            <w:vMerge w:val="restart"/>
            <w:vAlign w:val="center"/>
          </w:tcPr>
          <w:p w14:paraId="7C612702">
            <w:pPr>
              <w:spacing w:before="148" w:line="232" w:lineRule="auto"/>
              <w:jc w:val="center"/>
              <w:rPr>
                <w:rFonts w:hint="eastAsia" w:ascii="黑体" w:hAnsi="黑体" w:eastAsia="黑体" w:cs="黑体"/>
                <w:spacing w:val="5"/>
              </w:rPr>
            </w:pPr>
            <w:r>
              <w:rPr>
                <w:rFonts w:hint="eastAsia" w:ascii="黑体" w:hAnsi="黑体" w:eastAsia="黑体" w:cs="黑体"/>
                <w:spacing w:val="5"/>
              </w:rPr>
              <w:t>客户满意度与投诉处理</w:t>
            </w:r>
          </w:p>
        </w:tc>
        <w:tc>
          <w:tcPr>
            <w:tcW w:w="4846" w:type="dxa"/>
            <w:vAlign w:val="center"/>
          </w:tcPr>
          <w:p w14:paraId="3622614D">
            <w:pPr>
              <w:spacing w:before="148" w:line="232" w:lineRule="auto"/>
              <w:jc w:val="center"/>
              <w:rPr>
                <w:rFonts w:hint="eastAsia" w:ascii="黑体" w:hAnsi="黑体" w:eastAsia="黑体" w:cs="黑体"/>
                <w:spacing w:val="5"/>
              </w:rPr>
            </w:pPr>
            <w:r>
              <w:rPr>
                <w:rFonts w:hint="eastAsia" w:ascii="黑体" w:hAnsi="黑体" w:eastAsia="黑体" w:cs="黑体"/>
                <w:spacing w:val="5"/>
              </w:rPr>
              <w:t>建立有效的客户反馈与投诉处理机制，年度满意度高，无有效重大投诉</w:t>
            </w:r>
          </w:p>
        </w:tc>
        <w:tc>
          <w:tcPr>
            <w:tcW w:w="1048" w:type="dxa"/>
            <w:vAlign w:val="center"/>
          </w:tcPr>
          <w:p w14:paraId="5FFBA9CD">
            <w:pPr>
              <w:spacing w:before="148" w:line="232" w:lineRule="auto"/>
              <w:jc w:val="center"/>
              <w:rPr>
                <w:rFonts w:hint="eastAsia" w:ascii="黑体" w:hAnsi="黑体" w:eastAsia="黑体" w:cs="黑体"/>
                <w:spacing w:val="5"/>
              </w:rPr>
            </w:pPr>
            <w:r>
              <w:rPr>
                <w:rFonts w:hint="eastAsia" w:ascii="黑体" w:hAnsi="黑体" w:eastAsia="黑体" w:cs="黑体"/>
                <w:spacing w:val="5"/>
              </w:rPr>
              <w:t>6</w:t>
            </w:r>
          </w:p>
        </w:tc>
      </w:tr>
      <w:tr w14:paraId="7BD8CF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15" w:type="dxa"/>
            <w:vMerge w:val="continue"/>
            <w:vAlign w:val="center"/>
          </w:tcPr>
          <w:p w14:paraId="34510311">
            <w:pPr>
              <w:spacing w:before="148" w:line="232" w:lineRule="auto"/>
              <w:ind w:left="422"/>
              <w:jc w:val="center"/>
              <w:rPr>
                <w:rFonts w:hint="eastAsia" w:ascii="黑体" w:hAnsi="黑体" w:eastAsia="黑体" w:cs="黑体"/>
                <w:spacing w:val="5"/>
              </w:rPr>
            </w:pPr>
          </w:p>
        </w:tc>
        <w:tc>
          <w:tcPr>
            <w:tcW w:w="1816" w:type="dxa"/>
            <w:vMerge w:val="continue"/>
            <w:vAlign w:val="center"/>
          </w:tcPr>
          <w:p w14:paraId="22EF77FF">
            <w:pPr>
              <w:spacing w:before="148" w:line="232" w:lineRule="auto"/>
              <w:ind w:left="422"/>
              <w:jc w:val="center"/>
              <w:rPr>
                <w:rFonts w:hint="eastAsia" w:ascii="黑体" w:hAnsi="黑体" w:eastAsia="黑体" w:cs="黑体"/>
                <w:spacing w:val="5"/>
              </w:rPr>
            </w:pPr>
          </w:p>
        </w:tc>
        <w:tc>
          <w:tcPr>
            <w:tcW w:w="4846" w:type="dxa"/>
            <w:vAlign w:val="center"/>
          </w:tcPr>
          <w:p w14:paraId="57DB3CCA">
            <w:pPr>
              <w:spacing w:before="148" w:line="232" w:lineRule="auto"/>
              <w:jc w:val="center"/>
              <w:rPr>
                <w:rFonts w:hint="eastAsia" w:ascii="黑体" w:hAnsi="黑体" w:eastAsia="黑体" w:cs="黑体"/>
                <w:spacing w:val="5"/>
              </w:rPr>
            </w:pPr>
            <w:r>
              <w:rPr>
                <w:rFonts w:hint="eastAsia" w:ascii="黑体" w:hAnsi="黑体" w:eastAsia="黑体" w:cs="黑体"/>
                <w:spacing w:val="5"/>
              </w:rPr>
              <w:t>客户投诉机制基本建立，偶有投诉但能妥善解决</w:t>
            </w:r>
          </w:p>
        </w:tc>
        <w:tc>
          <w:tcPr>
            <w:tcW w:w="1048" w:type="dxa"/>
            <w:vAlign w:val="center"/>
          </w:tcPr>
          <w:p w14:paraId="10B7F258">
            <w:pPr>
              <w:spacing w:before="148" w:line="232" w:lineRule="auto"/>
              <w:jc w:val="center"/>
              <w:rPr>
                <w:rFonts w:hint="eastAsia" w:ascii="黑体" w:hAnsi="黑体" w:eastAsia="黑体" w:cs="黑体"/>
                <w:spacing w:val="5"/>
              </w:rPr>
            </w:pPr>
            <w:r>
              <w:rPr>
                <w:rFonts w:hint="eastAsia" w:ascii="黑体" w:hAnsi="黑体" w:eastAsia="黑体" w:cs="黑体"/>
                <w:spacing w:val="5"/>
              </w:rPr>
              <w:t>2</w:t>
            </w:r>
          </w:p>
        </w:tc>
      </w:tr>
      <w:tr w14:paraId="587812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15" w:type="dxa"/>
            <w:vMerge w:val="restart"/>
            <w:vAlign w:val="center"/>
          </w:tcPr>
          <w:p w14:paraId="478D9D3E">
            <w:pPr>
              <w:spacing w:before="148" w:line="232" w:lineRule="auto"/>
              <w:jc w:val="center"/>
              <w:rPr>
                <w:rFonts w:hint="eastAsia" w:ascii="黑体" w:hAnsi="黑体" w:eastAsia="黑体" w:cs="黑体"/>
                <w:spacing w:val="5"/>
              </w:rPr>
            </w:pPr>
            <w:r>
              <w:rPr>
                <w:rFonts w:hint="eastAsia" w:ascii="黑体" w:hAnsi="黑体" w:eastAsia="黑体" w:cs="黑体"/>
                <w:spacing w:val="5"/>
              </w:rPr>
              <w:t>四、</w:t>
            </w:r>
          </w:p>
          <w:p w14:paraId="1ED61EFB">
            <w:pPr>
              <w:spacing w:line="0" w:lineRule="atLeast"/>
              <w:jc w:val="center"/>
              <w:rPr>
                <w:rFonts w:hint="eastAsia" w:ascii="黑体" w:hAnsi="黑体" w:eastAsia="黑体" w:cs="黑体"/>
                <w:spacing w:val="5"/>
              </w:rPr>
            </w:pPr>
            <w:r>
              <w:rPr>
                <w:rFonts w:hint="eastAsia" w:ascii="黑体" w:hAnsi="黑体" w:eastAsia="黑体" w:cs="黑体"/>
                <w:spacing w:val="5"/>
              </w:rPr>
              <w:t>其他加分项</w:t>
            </w:r>
          </w:p>
          <w:p w14:paraId="176F334A">
            <w:pPr>
              <w:spacing w:line="0" w:lineRule="atLeast"/>
              <w:jc w:val="center"/>
              <w:rPr>
                <w:rFonts w:hint="eastAsia" w:ascii="黑体" w:hAnsi="黑体" w:eastAsia="黑体" w:cs="黑体"/>
                <w:spacing w:val="5"/>
              </w:rPr>
            </w:pPr>
            <w:r>
              <w:rPr>
                <w:rFonts w:hint="eastAsia" w:ascii="黑体" w:hAnsi="黑体" w:eastAsia="黑体" w:cs="黑体"/>
                <w:spacing w:val="5"/>
              </w:rPr>
              <w:t>（总分不超过8分）</w:t>
            </w:r>
          </w:p>
        </w:tc>
        <w:tc>
          <w:tcPr>
            <w:tcW w:w="1816" w:type="dxa"/>
            <w:vAlign w:val="center"/>
          </w:tcPr>
          <w:p w14:paraId="200F68E3">
            <w:pPr>
              <w:spacing w:before="148" w:line="232" w:lineRule="auto"/>
              <w:jc w:val="center"/>
              <w:rPr>
                <w:rFonts w:hint="eastAsia" w:ascii="黑体" w:hAnsi="黑体" w:eastAsia="黑体" w:cs="黑体"/>
                <w:spacing w:val="5"/>
              </w:rPr>
            </w:pPr>
            <w:r>
              <w:rPr>
                <w:rFonts w:hint="eastAsia" w:ascii="黑体" w:hAnsi="黑体" w:eastAsia="黑体" w:cs="黑体"/>
                <w:spacing w:val="5"/>
              </w:rPr>
              <w:t>参与行业标准制定</w:t>
            </w:r>
          </w:p>
        </w:tc>
        <w:tc>
          <w:tcPr>
            <w:tcW w:w="4846" w:type="dxa"/>
            <w:vAlign w:val="center"/>
          </w:tcPr>
          <w:p w14:paraId="0A379F7D">
            <w:pPr>
              <w:spacing w:before="148" w:line="232" w:lineRule="auto"/>
              <w:jc w:val="center"/>
              <w:rPr>
                <w:rFonts w:hint="eastAsia" w:ascii="黑体" w:hAnsi="黑体" w:eastAsia="黑体" w:cs="黑体"/>
                <w:spacing w:val="5"/>
              </w:rPr>
            </w:pPr>
            <w:r>
              <w:rPr>
                <w:rFonts w:hint="eastAsia" w:ascii="黑体" w:hAnsi="黑体" w:eastAsia="黑体" w:cs="黑体"/>
                <w:spacing w:val="5"/>
              </w:rPr>
              <w:t>参与行业标准制定</w:t>
            </w:r>
          </w:p>
        </w:tc>
        <w:tc>
          <w:tcPr>
            <w:tcW w:w="1048" w:type="dxa"/>
            <w:vAlign w:val="center"/>
          </w:tcPr>
          <w:p w14:paraId="12EE3BC8">
            <w:pPr>
              <w:spacing w:before="148" w:line="232" w:lineRule="auto"/>
              <w:rPr>
                <w:rFonts w:hint="eastAsia" w:ascii="黑体" w:hAnsi="黑体" w:eastAsia="黑体" w:cs="黑体"/>
                <w:spacing w:val="5"/>
              </w:rPr>
            </w:pPr>
            <w:r>
              <w:rPr>
                <w:rFonts w:hint="eastAsia" w:ascii="黑体" w:hAnsi="黑体" w:eastAsia="黑体" w:cs="黑体"/>
                <w:spacing w:val="5"/>
              </w:rPr>
              <w:t>每参与一次加1分，可累计，本项最高计3分。</w:t>
            </w:r>
          </w:p>
        </w:tc>
      </w:tr>
      <w:tr w14:paraId="53406B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15" w:type="dxa"/>
            <w:vMerge w:val="continue"/>
            <w:vAlign w:val="center"/>
          </w:tcPr>
          <w:p w14:paraId="1159E8AD">
            <w:pPr>
              <w:spacing w:before="148" w:line="232" w:lineRule="auto"/>
              <w:ind w:left="422"/>
              <w:jc w:val="center"/>
              <w:rPr>
                <w:rFonts w:hint="eastAsia" w:ascii="黑体" w:hAnsi="黑体" w:eastAsia="黑体" w:cs="黑体"/>
                <w:spacing w:val="5"/>
              </w:rPr>
            </w:pPr>
          </w:p>
        </w:tc>
        <w:tc>
          <w:tcPr>
            <w:tcW w:w="1816" w:type="dxa"/>
            <w:vAlign w:val="center"/>
          </w:tcPr>
          <w:p w14:paraId="413FE7CD">
            <w:pPr>
              <w:spacing w:before="148" w:line="232" w:lineRule="auto"/>
              <w:jc w:val="center"/>
              <w:rPr>
                <w:rFonts w:hint="eastAsia" w:ascii="黑体" w:hAnsi="黑体" w:eastAsia="黑体" w:cs="黑体"/>
                <w:spacing w:val="5"/>
              </w:rPr>
            </w:pPr>
            <w:r>
              <w:rPr>
                <w:rFonts w:hint="eastAsia" w:ascii="黑体" w:hAnsi="黑体" w:eastAsia="黑体" w:cs="黑体"/>
                <w:spacing w:val="5"/>
              </w:rPr>
              <w:t>安置残障人士就业</w:t>
            </w:r>
          </w:p>
        </w:tc>
        <w:tc>
          <w:tcPr>
            <w:tcW w:w="4846" w:type="dxa"/>
            <w:vAlign w:val="center"/>
          </w:tcPr>
          <w:p w14:paraId="4BAC6ABB">
            <w:pPr>
              <w:spacing w:before="148" w:line="232" w:lineRule="auto"/>
              <w:jc w:val="center"/>
              <w:rPr>
                <w:rFonts w:hint="eastAsia" w:ascii="黑体" w:hAnsi="黑体" w:eastAsia="黑体" w:cs="黑体"/>
                <w:spacing w:val="5"/>
              </w:rPr>
            </w:pPr>
            <w:r>
              <w:rPr>
                <w:rFonts w:hint="eastAsia" w:ascii="黑体" w:hAnsi="黑体" w:eastAsia="黑体" w:cs="黑体"/>
                <w:spacing w:val="5"/>
              </w:rPr>
              <w:t>安置1名残障人士稳定就业满半年</w:t>
            </w:r>
          </w:p>
        </w:tc>
        <w:tc>
          <w:tcPr>
            <w:tcW w:w="1048" w:type="dxa"/>
            <w:vAlign w:val="center"/>
          </w:tcPr>
          <w:p w14:paraId="308757CF">
            <w:pPr>
              <w:spacing w:before="148" w:line="232" w:lineRule="auto"/>
              <w:rPr>
                <w:rFonts w:hint="eastAsia" w:ascii="黑体" w:hAnsi="黑体" w:eastAsia="黑体" w:cs="黑体"/>
                <w:spacing w:val="5"/>
              </w:rPr>
            </w:pPr>
            <w:r>
              <w:rPr>
                <w:rFonts w:hint="eastAsia" w:ascii="黑体" w:hAnsi="黑体" w:eastAsia="黑体" w:cs="黑体"/>
                <w:spacing w:val="5"/>
              </w:rPr>
              <w:t>每安置一人加1分，本项最高计3分。</w:t>
            </w:r>
          </w:p>
        </w:tc>
      </w:tr>
      <w:tr w14:paraId="0A92A0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15" w:type="dxa"/>
            <w:vMerge w:val="continue"/>
            <w:vAlign w:val="center"/>
          </w:tcPr>
          <w:p w14:paraId="69747BE0">
            <w:pPr>
              <w:spacing w:before="148" w:line="232" w:lineRule="auto"/>
              <w:ind w:left="422"/>
              <w:jc w:val="center"/>
              <w:rPr>
                <w:rFonts w:hint="eastAsia" w:ascii="黑体" w:hAnsi="黑体" w:eastAsia="黑体" w:cs="黑体"/>
                <w:spacing w:val="5"/>
              </w:rPr>
            </w:pPr>
          </w:p>
        </w:tc>
        <w:tc>
          <w:tcPr>
            <w:tcW w:w="1816" w:type="dxa"/>
            <w:vAlign w:val="center"/>
          </w:tcPr>
          <w:p w14:paraId="34C12980">
            <w:pPr>
              <w:spacing w:before="148" w:line="232" w:lineRule="auto"/>
              <w:jc w:val="center"/>
              <w:rPr>
                <w:rFonts w:hint="eastAsia" w:ascii="黑体" w:hAnsi="黑体" w:eastAsia="黑体" w:cs="黑体"/>
                <w:spacing w:val="5"/>
              </w:rPr>
            </w:pPr>
            <w:r>
              <w:rPr>
                <w:rFonts w:hint="eastAsia" w:ascii="黑体" w:hAnsi="黑体" w:eastAsia="黑体" w:cs="黑体"/>
                <w:spacing w:val="5"/>
              </w:rPr>
              <w:t>其他社会贡献</w:t>
            </w:r>
          </w:p>
        </w:tc>
        <w:tc>
          <w:tcPr>
            <w:tcW w:w="4846" w:type="dxa"/>
            <w:vAlign w:val="center"/>
          </w:tcPr>
          <w:p w14:paraId="7161E744">
            <w:pPr>
              <w:spacing w:before="148" w:line="232" w:lineRule="auto"/>
              <w:jc w:val="center"/>
              <w:rPr>
                <w:rFonts w:hint="eastAsia" w:ascii="黑体" w:hAnsi="黑体" w:eastAsia="黑体" w:cs="黑体"/>
                <w:spacing w:val="5"/>
              </w:rPr>
            </w:pPr>
            <w:r>
              <w:rPr>
                <w:rFonts w:hint="eastAsia" w:ascii="黑体" w:hAnsi="黑体" w:eastAsia="黑体" w:cs="黑体"/>
                <w:spacing w:val="5"/>
              </w:rPr>
              <w:t>积极参与志愿服务、慈善捐赠等，有有效证明的</w:t>
            </w:r>
          </w:p>
        </w:tc>
        <w:tc>
          <w:tcPr>
            <w:tcW w:w="1048" w:type="dxa"/>
            <w:vAlign w:val="center"/>
          </w:tcPr>
          <w:p w14:paraId="53F21EC0">
            <w:pPr>
              <w:spacing w:before="148" w:line="232" w:lineRule="auto"/>
              <w:rPr>
                <w:rFonts w:hint="eastAsia" w:ascii="黑体" w:hAnsi="黑体" w:eastAsia="黑体" w:cs="黑体"/>
                <w:spacing w:val="5"/>
              </w:rPr>
            </w:pPr>
            <w:r>
              <w:rPr>
                <w:rFonts w:hint="eastAsia" w:ascii="黑体" w:hAnsi="黑体" w:eastAsia="黑体" w:cs="黑体"/>
                <w:spacing w:val="5"/>
              </w:rPr>
              <w:t>每参与一次加1分，本项最高计2分。</w:t>
            </w:r>
          </w:p>
        </w:tc>
      </w:tr>
    </w:tbl>
    <w:p w14:paraId="361555BF">
      <w:pPr>
        <w:pStyle w:val="57"/>
        <w:ind w:firstLine="420"/>
      </w:pPr>
    </w:p>
    <w:p w14:paraId="6B8758BA">
      <w:pPr>
        <w:pStyle w:val="57"/>
        <w:ind w:firstLine="420"/>
      </w:pPr>
    </w:p>
    <w:p w14:paraId="4263B754">
      <w:pPr>
        <w:pStyle w:val="199"/>
        <w:rPr>
          <w:rFonts w:hint="eastAsia"/>
          <w:vanish w:val="0"/>
        </w:rPr>
      </w:pPr>
    </w:p>
    <w:bookmarkEnd w:id="89"/>
    <w:p w14:paraId="067CF0C1">
      <w:pPr>
        <w:pStyle w:val="57"/>
        <w:ind w:firstLine="0" w:firstLineChars="0"/>
        <w:jc w:val="center"/>
      </w:pPr>
      <w:bookmarkStart w:id="91" w:name="_GoBack"/>
      <w:bookmarkEnd w:id="91"/>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BDE3C">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29F3F">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831E2">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8FA8B">
    <w:pPr>
      <w:pStyle w:val="53"/>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EC5D3">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2507D">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2DEB8">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2EBE9">
    <w:pPr>
      <w:pStyle w:val="62"/>
      <w:rPr>
        <w:rFonts w:hint="eastAsia"/>
      </w:rPr>
    </w:pPr>
    <w:r>
      <w:fldChar w:fldCharType="begin"/>
    </w:r>
    <w:r>
      <w:instrText xml:space="preserve"> STYLEREF  标准文件_文件编号  \* MERGEFORMAT </w:instrText>
    </w:r>
    <w:r>
      <w:fldChar w:fldCharType="separate"/>
    </w:r>
    <w:r>
      <w:t>DB 43/T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A9E01">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43/T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5FFAB"/>
    <w:multiLevelType w:val="multilevel"/>
    <w:tmpl w:val="9005FFAB"/>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1166570"/>
    <w:multiLevelType w:val="singleLevel"/>
    <w:tmpl w:val="11166570"/>
    <w:lvl w:ilvl="0" w:tentative="0">
      <w:start w:val="1"/>
      <w:numFmt w:val="lowerLetter"/>
      <w:suff w:val="nothing"/>
      <w:lvlText w:val="%1）"/>
      <w:lvlJc w:val="left"/>
    </w:lvl>
  </w:abstractNum>
  <w:abstractNum w:abstractNumId="9">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2">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992"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8"/>
  </w:num>
  <w:num w:numId="3">
    <w:abstractNumId w:val="6"/>
  </w:num>
  <w:num w:numId="4">
    <w:abstractNumId w:val="24"/>
  </w:num>
  <w:num w:numId="5">
    <w:abstractNumId w:val="19"/>
  </w:num>
  <w:num w:numId="6">
    <w:abstractNumId w:val="14"/>
  </w:num>
  <w:num w:numId="7">
    <w:abstractNumId w:val="10"/>
  </w:num>
  <w:num w:numId="8">
    <w:abstractNumId w:val="4"/>
  </w:num>
  <w:num w:numId="9">
    <w:abstractNumId w:val="11"/>
  </w:num>
  <w:num w:numId="10">
    <w:abstractNumId w:val="17"/>
  </w:num>
  <w:num w:numId="11">
    <w:abstractNumId w:val="26"/>
  </w:num>
  <w:num w:numId="12">
    <w:abstractNumId w:val="13"/>
  </w:num>
  <w:num w:numId="13">
    <w:abstractNumId w:val="0"/>
  </w:num>
  <w:num w:numId="14">
    <w:abstractNumId w:val="9"/>
  </w:num>
  <w:num w:numId="15">
    <w:abstractNumId w:val="20"/>
  </w:num>
  <w:num w:numId="16">
    <w:abstractNumId w:val="22"/>
  </w:num>
  <w:num w:numId="17">
    <w:abstractNumId w:val="18"/>
  </w:num>
  <w:num w:numId="18">
    <w:abstractNumId w:val="30"/>
  </w:num>
  <w:num w:numId="19">
    <w:abstractNumId w:val="16"/>
  </w:num>
  <w:num w:numId="20">
    <w:abstractNumId w:val="2"/>
  </w:num>
  <w:num w:numId="21">
    <w:abstractNumId w:val="12"/>
  </w:num>
  <w:num w:numId="22">
    <w:abstractNumId w:val="31"/>
  </w:num>
  <w:num w:numId="23">
    <w:abstractNumId w:val="21"/>
  </w:num>
  <w:num w:numId="24">
    <w:abstractNumId w:val="7"/>
  </w:num>
  <w:num w:numId="25">
    <w:abstractNumId w:val="27"/>
  </w:num>
  <w:num w:numId="26">
    <w:abstractNumId w:val="29"/>
  </w:num>
  <w:num w:numId="27">
    <w:abstractNumId w:val="3"/>
  </w:num>
  <w:num w:numId="28">
    <w:abstractNumId w:val="5"/>
  </w:num>
  <w:num w:numId="29">
    <w:abstractNumId w:val="15"/>
  </w:num>
  <w:num w:numId="30">
    <w:abstractNumId w:val="25"/>
  </w:num>
  <w:num w:numId="31">
    <w:abstractNumId w:val="23"/>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dit="forms" w:enforcement="1" w:cryptProviderType="rsaFull" w:cryptAlgorithmClass="hash" w:cryptAlgorithmType="typeAny" w:cryptAlgorithmSid="4" w:cryptSpinCount="0" w:hash="t0/j2WQD21ID7qXgdCUbna0LELY=" w:salt="rzBjXmcORx2LWoq2Uilgiw=="/>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DA8"/>
    <w:rsid w:val="0000040A"/>
    <w:rsid w:val="00000A94"/>
    <w:rsid w:val="00001972"/>
    <w:rsid w:val="00001D9A"/>
    <w:rsid w:val="000077C4"/>
    <w:rsid w:val="00007B3A"/>
    <w:rsid w:val="000107E0"/>
    <w:rsid w:val="00011FDE"/>
    <w:rsid w:val="00012FFD"/>
    <w:rsid w:val="00013DD5"/>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0E4A"/>
    <w:rsid w:val="0004249A"/>
    <w:rsid w:val="00043282"/>
    <w:rsid w:val="000440C1"/>
    <w:rsid w:val="00044286"/>
    <w:rsid w:val="00047F28"/>
    <w:rsid w:val="000503AA"/>
    <w:rsid w:val="000503EF"/>
    <w:rsid w:val="000506A1"/>
    <w:rsid w:val="000515DD"/>
    <w:rsid w:val="0005265A"/>
    <w:rsid w:val="000539DD"/>
    <w:rsid w:val="00053BD3"/>
    <w:rsid w:val="000556ED"/>
    <w:rsid w:val="00055FE2"/>
    <w:rsid w:val="0005616F"/>
    <w:rsid w:val="00060C2E"/>
    <w:rsid w:val="00061033"/>
    <w:rsid w:val="000619E9"/>
    <w:rsid w:val="000622D4"/>
    <w:rsid w:val="0006357D"/>
    <w:rsid w:val="000679F9"/>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398F"/>
    <w:rsid w:val="000A54C8"/>
    <w:rsid w:val="000A7311"/>
    <w:rsid w:val="000B060F"/>
    <w:rsid w:val="000B1592"/>
    <w:rsid w:val="000B1FF2"/>
    <w:rsid w:val="000B227F"/>
    <w:rsid w:val="000B3CDA"/>
    <w:rsid w:val="000B6A0B"/>
    <w:rsid w:val="000C0D63"/>
    <w:rsid w:val="000C0F6C"/>
    <w:rsid w:val="000C11DB"/>
    <w:rsid w:val="000C1492"/>
    <w:rsid w:val="000C2FBD"/>
    <w:rsid w:val="000C4B41"/>
    <w:rsid w:val="000C57D6"/>
    <w:rsid w:val="000C6362"/>
    <w:rsid w:val="000C7666"/>
    <w:rsid w:val="000D0275"/>
    <w:rsid w:val="000D0A9C"/>
    <w:rsid w:val="000D1795"/>
    <w:rsid w:val="000D329A"/>
    <w:rsid w:val="000D4B9C"/>
    <w:rsid w:val="000D4EB6"/>
    <w:rsid w:val="000D753B"/>
    <w:rsid w:val="000E3286"/>
    <w:rsid w:val="000E4C9E"/>
    <w:rsid w:val="000E6FD7"/>
    <w:rsid w:val="000F06E1"/>
    <w:rsid w:val="000F0E3C"/>
    <w:rsid w:val="000F11DC"/>
    <w:rsid w:val="000F19D5"/>
    <w:rsid w:val="000F4AEA"/>
    <w:rsid w:val="000F633F"/>
    <w:rsid w:val="000F67E9"/>
    <w:rsid w:val="001011CA"/>
    <w:rsid w:val="00104926"/>
    <w:rsid w:val="00111296"/>
    <w:rsid w:val="00113B1E"/>
    <w:rsid w:val="0011711C"/>
    <w:rsid w:val="0012059C"/>
    <w:rsid w:val="001219F6"/>
    <w:rsid w:val="00124E4F"/>
    <w:rsid w:val="001260B7"/>
    <w:rsid w:val="001265CB"/>
    <w:rsid w:val="001321C6"/>
    <w:rsid w:val="001325C4"/>
    <w:rsid w:val="00133010"/>
    <w:rsid w:val="0013353A"/>
    <w:rsid w:val="001338EE"/>
    <w:rsid w:val="00133AAE"/>
    <w:rsid w:val="00135323"/>
    <w:rsid w:val="001356C4"/>
    <w:rsid w:val="00141114"/>
    <w:rsid w:val="00142969"/>
    <w:rsid w:val="001446C2"/>
    <w:rsid w:val="001457E7"/>
    <w:rsid w:val="00145D9D"/>
    <w:rsid w:val="00146388"/>
    <w:rsid w:val="00150815"/>
    <w:rsid w:val="001529E5"/>
    <w:rsid w:val="0015322C"/>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6D3D"/>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6CB0"/>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3A76"/>
    <w:rsid w:val="002142EA"/>
    <w:rsid w:val="002204BB"/>
    <w:rsid w:val="00221B79"/>
    <w:rsid w:val="00221C6B"/>
    <w:rsid w:val="00222088"/>
    <w:rsid w:val="002253A1"/>
    <w:rsid w:val="00225CF8"/>
    <w:rsid w:val="00225F78"/>
    <w:rsid w:val="00226784"/>
    <w:rsid w:val="00226AFE"/>
    <w:rsid w:val="0022794E"/>
    <w:rsid w:val="00233D64"/>
    <w:rsid w:val="0023482A"/>
    <w:rsid w:val="002359CB"/>
    <w:rsid w:val="00241E3B"/>
    <w:rsid w:val="00243540"/>
    <w:rsid w:val="0024497B"/>
    <w:rsid w:val="0024515B"/>
    <w:rsid w:val="00246021"/>
    <w:rsid w:val="0024666E"/>
    <w:rsid w:val="00247F52"/>
    <w:rsid w:val="00250B25"/>
    <w:rsid w:val="00250BBE"/>
    <w:rsid w:val="002515C2"/>
    <w:rsid w:val="0025194F"/>
    <w:rsid w:val="0026148A"/>
    <w:rsid w:val="00262696"/>
    <w:rsid w:val="00263916"/>
    <w:rsid w:val="00263D25"/>
    <w:rsid w:val="002643C3"/>
    <w:rsid w:val="002648D1"/>
    <w:rsid w:val="00264A0C"/>
    <w:rsid w:val="00266EEB"/>
    <w:rsid w:val="002673D2"/>
    <w:rsid w:val="00267EF4"/>
    <w:rsid w:val="00270CB8"/>
    <w:rsid w:val="00272B08"/>
    <w:rsid w:val="002771AC"/>
    <w:rsid w:val="00281BB8"/>
    <w:rsid w:val="00281E9E"/>
    <w:rsid w:val="00282405"/>
    <w:rsid w:val="00285170"/>
    <w:rsid w:val="00285361"/>
    <w:rsid w:val="00287F47"/>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1D"/>
    <w:rsid w:val="002B7F51"/>
    <w:rsid w:val="002C09E7"/>
    <w:rsid w:val="002C1E06"/>
    <w:rsid w:val="002C1E1C"/>
    <w:rsid w:val="002C3F07"/>
    <w:rsid w:val="002C5278"/>
    <w:rsid w:val="002C562E"/>
    <w:rsid w:val="002C59D1"/>
    <w:rsid w:val="002C7EBB"/>
    <w:rsid w:val="002D06C1"/>
    <w:rsid w:val="002D42B5"/>
    <w:rsid w:val="002D4F1A"/>
    <w:rsid w:val="002D6EC6"/>
    <w:rsid w:val="002D79AC"/>
    <w:rsid w:val="002E039D"/>
    <w:rsid w:val="002E4D5A"/>
    <w:rsid w:val="002E6326"/>
    <w:rsid w:val="002E6AAA"/>
    <w:rsid w:val="002F30E0"/>
    <w:rsid w:val="002F35E4"/>
    <w:rsid w:val="002F3730"/>
    <w:rsid w:val="002F38E1"/>
    <w:rsid w:val="002F7AF6"/>
    <w:rsid w:val="00300E63"/>
    <w:rsid w:val="00302F5F"/>
    <w:rsid w:val="0030441D"/>
    <w:rsid w:val="00306063"/>
    <w:rsid w:val="00313B85"/>
    <w:rsid w:val="00317507"/>
    <w:rsid w:val="00317988"/>
    <w:rsid w:val="003221B4"/>
    <w:rsid w:val="0032258D"/>
    <w:rsid w:val="00322E62"/>
    <w:rsid w:val="00324D13"/>
    <w:rsid w:val="00324D2A"/>
    <w:rsid w:val="00324EDD"/>
    <w:rsid w:val="003331E4"/>
    <w:rsid w:val="00336C64"/>
    <w:rsid w:val="00337162"/>
    <w:rsid w:val="0034194F"/>
    <w:rsid w:val="00344605"/>
    <w:rsid w:val="003474AA"/>
    <w:rsid w:val="00347DB7"/>
    <w:rsid w:val="00350D1D"/>
    <w:rsid w:val="00352C83"/>
    <w:rsid w:val="003615D2"/>
    <w:rsid w:val="0036429C"/>
    <w:rsid w:val="00364A53"/>
    <w:rsid w:val="003654CB"/>
    <w:rsid w:val="00365AA9"/>
    <w:rsid w:val="00365F86"/>
    <w:rsid w:val="00365F87"/>
    <w:rsid w:val="00366E89"/>
    <w:rsid w:val="00367A21"/>
    <w:rsid w:val="003705F4"/>
    <w:rsid w:val="00370D58"/>
    <w:rsid w:val="00371316"/>
    <w:rsid w:val="00371659"/>
    <w:rsid w:val="00376545"/>
    <w:rsid w:val="00376713"/>
    <w:rsid w:val="00381815"/>
    <w:rsid w:val="003819AF"/>
    <w:rsid w:val="003820E9"/>
    <w:rsid w:val="00382DE7"/>
    <w:rsid w:val="00384FFC"/>
    <w:rsid w:val="003872FC"/>
    <w:rsid w:val="00387ADC"/>
    <w:rsid w:val="00390020"/>
    <w:rsid w:val="003903D6"/>
    <w:rsid w:val="00390EE6"/>
    <w:rsid w:val="0039118F"/>
    <w:rsid w:val="00392AD7"/>
    <w:rsid w:val="00392F29"/>
    <w:rsid w:val="003938D9"/>
    <w:rsid w:val="00394376"/>
    <w:rsid w:val="003943FF"/>
    <w:rsid w:val="00395700"/>
    <w:rsid w:val="003974EB"/>
    <w:rsid w:val="00397CC5"/>
    <w:rsid w:val="003A1582"/>
    <w:rsid w:val="003A4077"/>
    <w:rsid w:val="003B09AD"/>
    <w:rsid w:val="003B1AEC"/>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E7B99"/>
    <w:rsid w:val="003F0841"/>
    <w:rsid w:val="003F0A41"/>
    <w:rsid w:val="003F23D3"/>
    <w:rsid w:val="003F3F08"/>
    <w:rsid w:val="003F49F1"/>
    <w:rsid w:val="003F6272"/>
    <w:rsid w:val="00400E72"/>
    <w:rsid w:val="00401400"/>
    <w:rsid w:val="00404869"/>
    <w:rsid w:val="00405884"/>
    <w:rsid w:val="00407D39"/>
    <w:rsid w:val="0041477A"/>
    <w:rsid w:val="004167A3"/>
    <w:rsid w:val="0042768F"/>
    <w:rsid w:val="00432DAA"/>
    <w:rsid w:val="00434305"/>
    <w:rsid w:val="00435DF7"/>
    <w:rsid w:val="0044083F"/>
    <w:rsid w:val="0044125F"/>
    <w:rsid w:val="00441AE7"/>
    <w:rsid w:val="00445574"/>
    <w:rsid w:val="004467FB"/>
    <w:rsid w:val="00447932"/>
    <w:rsid w:val="0045163A"/>
    <w:rsid w:val="00452D6B"/>
    <w:rsid w:val="00454484"/>
    <w:rsid w:val="0045517B"/>
    <w:rsid w:val="004631FD"/>
    <w:rsid w:val="00463B77"/>
    <w:rsid w:val="00463C7B"/>
    <w:rsid w:val="004644A6"/>
    <w:rsid w:val="004659BD"/>
    <w:rsid w:val="00470775"/>
    <w:rsid w:val="00472DF1"/>
    <w:rsid w:val="004746B1"/>
    <w:rsid w:val="0047583F"/>
    <w:rsid w:val="00475DE8"/>
    <w:rsid w:val="00481C44"/>
    <w:rsid w:val="00484936"/>
    <w:rsid w:val="00484BEF"/>
    <w:rsid w:val="00485C89"/>
    <w:rsid w:val="00486BE3"/>
    <w:rsid w:val="004905E4"/>
    <w:rsid w:val="00490A89"/>
    <w:rsid w:val="00490AB4"/>
    <w:rsid w:val="00492F02"/>
    <w:rsid w:val="004939AE"/>
    <w:rsid w:val="004A12DF"/>
    <w:rsid w:val="004A17E6"/>
    <w:rsid w:val="004A1BA8"/>
    <w:rsid w:val="004A47EC"/>
    <w:rsid w:val="004A4B57"/>
    <w:rsid w:val="004A63FA"/>
    <w:rsid w:val="004B0272"/>
    <w:rsid w:val="004B105F"/>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1EFC"/>
    <w:rsid w:val="004E2B06"/>
    <w:rsid w:val="004E30C5"/>
    <w:rsid w:val="004E4AA5"/>
    <w:rsid w:val="004E4AEE"/>
    <w:rsid w:val="004E59E3"/>
    <w:rsid w:val="004E67C0"/>
    <w:rsid w:val="004F391A"/>
    <w:rsid w:val="004F3CFB"/>
    <w:rsid w:val="004F5824"/>
    <w:rsid w:val="004F6456"/>
    <w:rsid w:val="004F696E"/>
    <w:rsid w:val="004F6C71"/>
    <w:rsid w:val="00501139"/>
    <w:rsid w:val="0050363E"/>
    <w:rsid w:val="00503782"/>
    <w:rsid w:val="005039BC"/>
    <w:rsid w:val="005043BB"/>
    <w:rsid w:val="00504A3D"/>
    <w:rsid w:val="00504B81"/>
    <w:rsid w:val="00505767"/>
    <w:rsid w:val="005073F0"/>
    <w:rsid w:val="00510A7B"/>
    <w:rsid w:val="00512F6E"/>
    <w:rsid w:val="00513038"/>
    <w:rsid w:val="00514174"/>
    <w:rsid w:val="00516088"/>
    <w:rsid w:val="00516B0B"/>
    <w:rsid w:val="00521F23"/>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67423"/>
    <w:rsid w:val="00573D9E"/>
    <w:rsid w:val="005801E3"/>
    <w:rsid w:val="00581802"/>
    <w:rsid w:val="00582F73"/>
    <w:rsid w:val="005836A8"/>
    <w:rsid w:val="0058409C"/>
    <w:rsid w:val="00584262"/>
    <w:rsid w:val="00586630"/>
    <w:rsid w:val="00587ADD"/>
    <w:rsid w:val="00591E27"/>
    <w:rsid w:val="00596160"/>
    <w:rsid w:val="005966E2"/>
    <w:rsid w:val="005969D0"/>
    <w:rsid w:val="00597007"/>
    <w:rsid w:val="005A0966"/>
    <w:rsid w:val="005A11B7"/>
    <w:rsid w:val="005A260B"/>
    <w:rsid w:val="005A4A1B"/>
    <w:rsid w:val="005A7028"/>
    <w:rsid w:val="005A7830"/>
    <w:rsid w:val="005A7FCE"/>
    <w:rsid w:val="005B0F3F"/>
    <w:rsid w:val="005B4903"/>
    <w:rsid w:val="005B51CE"/>
    <w:rsid w:val="005B5885"/>
    <w:rsid w:val="005B5CD7"/>
    <w:rsid w:val="005B6CF6"/>
    <w:rsid w:val="005B6E7C"/>
    <w:rsid w:val="005B7422"/>
    <w:rsid w:val="005B7C78"/>
    <w:rsid w:val="005C29B8"/>
    <w:rsid w:val="005C5F21"/>
    <w:rsid w:val="005C7156"/>
    <w:rsid w:val="005D0C75"/>
    <w:rsid w:val="005D4171"/>
    <w:rsid w:val="005D6520"/>
    <w:rsid w:val="005D6A95"/>
    <w:rsid w:val="005D6B2C"/>
    <w:rsid w:val="005D6D9C"/>
    <w:rsid w:val="005D719D"/>
    <w:rsid w:val="005E2190"/>
    <w:rsid w:val="005E2335"/>
    <w:rsid w:val="005E34CA"/>
    <w:rsid w:val="005E3C18"/>
    <w:rsid w:val="005E66FC"/>
    <w:rsid w:val="005E6812"/>
    <w:rsid w:val="005E7881"/>
    <w:rsid w:val="005E78E0"/>
    <w:rsid w:val="005F0D9C"/>
    <w:rsid w:val="005F284E"/>
    <w:rsid w:val="005F2C82"/>
    <w:rsid w:val="005F4712"/>
    <w:rsid w:val="006015CE"/>
    <w:rsid w:val="00604784"/>
    <w:rsid w:val="00606419"/>
    <w:rsid w:val="00607D29"/>
    <w:rsid w:val="00612952"/>
    <w:rsid w:val="00614CC1"/>
    <w:rsid w:val="00615A9D"/>
    <w:rsid w:val="00617387"/>
    <w:rsid w:val="006205D6"/>
    <w:rsid w:val="006252D8"/>
    <w:rsid w:val="006259BC"/>
    <w:rsid w:val="00625CD7"/>
    <w:rsid w:val="0062636B"/>
    <w:rsid w:val="00630416"/>
    <w:rsid w:val="00632182"/>
    <w:rsid w:val="00632AE0"/>
    <w:rsid w:val="00633C17"/>
    <w:rsid w:val="00634D9E"/>
    <w:rsid w:val="00636E3E"/>
    <w:rsid w:val="006379F7"/>
    <w:rsid w:val="00637E4D"/>
    <w:rsid w:val="00640620"/>
    <w:rsid w:val="00641A1F"/>
    <w:rsid w:val="00645904"/>
    <w:rsid w:val="00645C8E"/>
    <w:rsid w:val="00647285"/>
    <w:rsid w:val="00651ACB"/>
    <w:rsid w:val="00651C47"/>
    <w:rsid w:val="00652AB2"/>
    <w:rsid w:val="00653FED"/>
    <w:rsid w:val="00654EC0"/>
    <w:rsid w:val="0065525B"/>
    <w:rsid w:val="00655D4F"/>
    <w:rsid w:val="00656D29"/>
    <w:rsid w:val="006640E5"/>
    <w:rsid w:val="006646F1"/>
    <w:rsid w:val="0066481C"/>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0566"/>
    <w:rsid w:val="00695D22"/>
    <w:rsid w:val="006A07AA"/>
    <w:rsid w:val="006A25E5"/>
    <w:rsid w:val="006A2B46"/>
    <w:rsid w:val="006A336D"/>
    <w:rsid w:val="006A37B9"/>
    <w:rsid w:val="006B162D"/>
    <w:rsid w:val="006B2672"/>
    <w:rsid w:val="006B54BF"/>
    <w:rsid w:val="006B5F44"/>
    <w:rsid w:val="006B5F90"/>
    <w:rsid w:val="006B62E4"/>
    <w:rsid w:val="006C1BBA"/>
    <w:rsid w:val="006C2079"/>
    <w:rsid w:val="006C3ED3"/>
    <w:rsid w:val="006C5A62"/>
    <w:rsid w:val="006C5D68"/>
    <w:rsid w:val="006C6976"/>
    <w:rsid w:val="006C6DD0"/>
    <w:rsid w:val="006D04EA"/>
    <w:rsid w:val="006D0AB7"/>
    <w:rsid w:val="006D16C4"/>
    <w:rsid w:val="006D3E96"/>
    <w:rsid w:val="006D4515"/>
    <w:rsid w:val="006D4BB1"/>
    <w:rsid w:val="006D6593"/>
    <w:rsid w:val="006D79AD"/>
    <w:rsid w:val="006E23EA"/>
    <w:rsid w:val="006F03A8"/>
    <w:rsid w:val="006F2ACA"/>
    <w:rsid w:val="006F2ADC"/>
    <w:rsid w:val="006F2BFE"/>
    <w:rsid w:val="006F31E9"/>
    <w:rsid w:val="006F6284"/>
    <w:rsid w:val="007002C5"/>
    <w:rsid w:val="00703A07"/>
    <w:rsid w:val="00704387"/>
    <w:rsid w:val="00706AB4"/>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47A"/>
    <w:rsid w:val="00756B26"/>
    <w:rsid w:val="00756EDF"/>
    <w:rsid w:val="007600E3"/>
    <w:rsid w:val="00763283"/>
    <w:rsid w:val="00765C43"/>
    <w:rsid w:val="00765EFB"/>
    <w:rsid w:val="007671CA"/>
    <w:rsid w:val="00767C61"/>
    <w:rsid w:val="0077008A"/>
    <w:rsid w:val="00773C1F"/>
    <w:rsid w:val="00774DA4"/>
    <w:rsid w:val="00776599"/>
    <w:rsid w:val="0078114B"/>
    <w:rsid w:val="00781DD2"/>
    <w:rsid w:val="00783ECF"/>
    <w:rsid w:val="0078413A"/>
    <w:rsid w:val="00793443"/>
    <w:rsid w:val="007959E8"/>
    <w:rsid w:val="00795E9C"/>
    <w:rsid w:val="007A0521"/>
    <w:rsid w:val="007A2E12"/>
    <w:rsid w:val="007A3475"/>
    <w:rsid w:val="007A41C8"/>
    <w:rsid w:val="007A48C0"/>
    <w:rsid w:val="007A54CE"/>
    <w:rsid w:val="007A6FD9"/>
    <w:rsid w:val="007A7FFA"/>
    <w:rsid w:val="007B04EB"/>
    <w:rsid w:val="007B0D4F"/>
    <w:rsid w:val="007B5A3D"/>
    <w:rsid w:val="007B5B95"/>
    <w:rsid w:val="007B68EA"/>
    <w:rsid w:val="007B6990"/>
    <w:rsid w:val="007B7453"/>
    <w:rsid w:val="007B7D22"/>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521E"/>
    <w:rsid w:val="007F75CE"/>
    <w:rsid w:val="007F7CBE"/>
    <w:rsid w:val="008013A4"/>
    <w:rsid w:val="008027CE"/>
    <w:rsid w:val="00802F42"/>
    <w:rsid w:val="00804383"/>
    <w:rsid w:val="00804BB7"/>
    <w:rsid w:val="00804D41"/>
    <w:rsid w:val="00806986"/>
    <w:rsid w:val="00810257"/>
    <w:rsid w:val="008104F5"/>
    <w:rsid w:val="00811072"/>
    <w:rsid w:val="00811369"/>
    <w:rsid w:val="008124C7"/>
    <w:rsid w:val="00814C98"/>
    <w:rsid w:val="00815419"/>
    <w:rsid w:val="008163C8"/>
    <w:rsid w:val="008164A1"/>
    <w:rsid w:val="00817325"/>
    <w:rsid w:val="008209E6"/>
    <w:rsid w:val="00823303"/>
    <w:rsid w:val="008233B2"/>
    <w:rsid w:val="00823A9F"/>
    <w:rsid w:val="00823C85"/>
    <w:rsid w:val="00825138"/>
    <w:rsid w:val="008269DD"/>
    <w:rsid w:val="00827695"/>
    <w:rsid w:val="00830621"/>
    <w:rsid w:val="0083231C"/>
    <w:rsid w:val="0083348C"/>
    <w:rsid w:val="00833DA8"/>
    <w:rsid w:val="008351C0"/>
    <w:rsid w:val="008373D3"/>
    <w:rsid w:val="00840617"/>
    <w:rsid w:val="00840F84"/>
    <w:rsid w:val="00842A47"/>
    <w:rsid w:val="00843C13"/>
    <w:rsid w:val="008454F8"/>
    <w:rsid w:val="00845B19"/>
    <w:rsid w:val="0085173A"/>
    <w:rsid w:val="00856316"/>
    <w:rsid w:val="008603CE"/>
    <w:rsid w:val="008620FC"/>
    <w:rsid w:val="008627A5"/>
    <w:rsid w:val="00863E05"/>
    <w:rsid w:val="00865ACA"/>
    <w:rsid w:val="00865D28"/>
    <w:rsid w:val="00865F85"/>
    <w:rsid w:val="00867C10"/>
    <w:rsid w:val="00870439"/>
    <w:rsid w:val="00870DA1"/>
    <w:rsid w:val="00871791"/>
    <w:rsid w:val="00883F93"/>
    <w:rsid w:val="00884DB3"/>
    <w:rsid w:val="00885A9D"/>
    <w:rsid w:val="008864F6"/>
    <w:rsid w:val="008878DC"/>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340"/>
    <w:rsid w:val="008B0C9C"/>
    <w:rsid w:val="008B166D"/>
    <w:rsid w:val="008B17F4"/>
    <w:rsid w:val="008B3615"/>
    <w:rsid w:val="008B4AC4"/>
    <w:rsid w:val="008B50C8"/>
    <w:rsid w:val="008B5281"/>
    <w:rsid w:val="008B7E05"/>
    <w:rsid w:val="008C1797"/>
    <w:rsid w:val="008C219C"/>
    <w:rsid w:val="008C475E"/>
    <w:rsid w:val="008C619A"/>
    <w:rsid w:val="008C7BC2"/>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4EAA"/>
    <w:rsid w:val="00945180"/>
    <w:rsid w:val="00945428"/>
    <w:rsid w:val="0094607B"/>
    <w:rsid w:val="00947F6B"/>
    <w:rsid w:val="0095138E"/>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59F7"/>
    <w:rsid w:val="009B6029"/>
    <w:rsid w:val="009B6971"/>
    <w:rsid w:val="009C27F1"/>
    <w:rsid w:val="009C3152"/>
    <w:rsid w:val="009C4CFA"/>
    <w:rsid w:val="009C5070"/>
    <w:rsid w:val="009D112C"/>
    <w:rsid w:val="009D47FA"/>
    <w:rsid w:val="009D4C5B"/>
    <w:rsid w:val="009D50D2"/>
    <w:rsid w:val="009D6BCA"/>
    <w:rsid w:val="009E0F62"/>
    <w:rsid w:val="009E4A58"/>
    <w:rsid w:val="009E55BB"/>
    <w:rsid w:val="009E5A2D"/>
    <w:rsid w:val="009E5AB2"/>
    <w:rsid w:val="009E6219"/>
    <w:rsid w:val="009F03B3"/>
    <w:rsid w:val="00A0096C"/>
    <w:rsid w:val="00A01757"/>
    <w:rsid w:val="00A028C0"/>
    <w:rsid w:val="00A02BAE"/>
    <w:rsid w:val="00A06A6B"/>
    <w:rsid w:val="00A07E47"/>
    <w:rsid w:val="00A12257"/>
    <w:rsid w:val="00A129D0"/>
    <w:rsid w:val="00A12C33"/>
    <w:rsid w:val="00A138BA"/>
    <w:rsid w:val="00A140F1"/>
    <w:rsid w:val="00A14C8E"/>
    <w:rsid w:val="00A15223"/>
    <w:rsid w:val="00A153D9"/>
    <w:rsid w:val="00A15F09"/>
    <w:rsid w:val="00A169B6"/>
    <w:rsid w:val="00A2271D"/>
    <w:rsid w:val="00A237D5"/>
    <w:rsid w:val="00A30EFC"/>
    <w:rsid w:val="00A3187C"/>
    <w:rsid w:val="00A31984"/>
    <w:rsid w:val="00A32D73"/>
    <w:rsid w:val="00A3367B"/>
    <w:rsid w:val="00A3597D"/>
    <w:rsid w:val="00A36DD1"/>
    <w:rsid w:val="00A4006C"/>
    <w:rsid w:val="00A40091"/>
    <w:rsid w:val="00A4030F"/>
    <w:rsid w:val="00A41C79"/>
    <w:rsid w:val="00A41CB5"/>
    <w:rsid w:val="00A42574"/>
    <w:rsid w:val="00A42CDF"/>
    <w:rsid w:val="00A4452E"/>
    <w:rsid w:val="00A4472C"/>
    <w:rsid w:val="00A44E69"/>
    <w:rsid w:val="00A4661E"/>
    <w:rsid w:val="00A55BD6"/>
    <w:rsid w:val="00A55D50"/>
    <w:rsid w:val="00A57142"/>
    <w:rsid w:val="00A57B5D"/>
    <w:rsid w:val="00A648CD"/>
    <w:rsid w:val="00A6537A"/>
    <w:rsid w:val="00A6728C"/>
    <w:rsid w:val="00A67866"/>
    <w:rsid w:val="00A70B07"/>
    <w:rsid w:val="00A723F8"/>
    <w:rsid w:val="00A74762"/>
    <w:rsid w:val="00A77CCB"/>
    <w:rsid w:val="00A83D8D"/>
    <w:rsid w:val="00A8446B"/>
    <w:rsid w:val="00A8473F"/>
    <w:rsid w:val="00A862D6"/>
    <w:rsid w:val="00A8715E"/>
    <w:rsid w:val="00A9295B"/>
    <w:rsid w:val="00A93B09"/>
    <w:rsid w:val="00A94247"/>
    <w:rsid w:val="00A952D7"/>
    <w:rsid w:val="00A9556C"/>
    <w:rsid w:val="00A963F7"/>
    <w:rsid w:val="00A96AD8"/>
    <w:rsid w:val="00AA052C"/>
    <w:rsid w:val="00AA1E45"/>
    <w:rsid w:val="00AA4286"/>
    <w:rsid w:val="00AA456B"/>
    <w:rsid w:val="00AA57F5"/>
    <w:rsid w:val="00AA672E"/>
    <w:rsid w:val="00AA6EC9"/>
    <w:rsid w:val="00AB41D5"/>
    <w:rsid w:val="00AB621B"/>
    <w:rsid w:val="00AB6309"/>
    <w:rsid w:val="00AB6BE0"/>
    <w:rsid w:val="00AB6C5F"/>
    <w:rsid w:val="00AB7129"/>
    <w:rsid w:val="00AC27A6"/>
    <w:rsid w:val="00AC30F7"/>
    <w:rsid w:val="00AC3A5A"/>
    <w:rsid w:val="00AC4D95"/>
    <w:rsid w:val="00AC520F"/>
    <w:rsid w:val="00AC5DF4"/>
    <w:rsid w:val="00AD0AEF"/>
    <w:rsid w:val="00AD11B7"/>
    <w:rsid w:val="00AD1A94"/>
    <w:rsid w:val="00AD1C05"/>
    <w:rsid w:val="00AD3D0A"/>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581"/>
    <w:rsid w:val="00B21F61"/>
    <w:rsid w:val="00B261F1"/>
    <w:rsid w:val="00B265BC"/>
    <w:rsid w:val="00B31FB1"/>
    <w:rsid w:val="00B33952"/>
    <w:rsid w:val="00B33C5E"/>
    <w:rsid w:val="00B342F4"/>
    <w:rsid w:val="00B34369"/>
    <w:rsid w:val="00B34DC2"/>
    <w:rsid w:val="00B3558A"/>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06E9"/>
    <w:rsid w:val="00B72880"/>
    <w:rsid w:val="00B758BF"/>
    <w:rsid w:val="00B77EC8"/>
    <w:rsid w:val="00B827A6"/>
    <w:rsid w:val="00B831CE"/>
    <w:rsid w:val="00B86677"/>
    <w:rsid w:val="00B87131"/>
    <w:rsid w:val="00B923AB"/>
    <w:rsid w:val="00B939B1"/>
    <w:rsid w:val="00B96D40"/>
    <w:rsid w:val="00B97386"/>
    <w:rsid w:val="00BA263B"/>
    <w:rsid w:val="00BA42B2"/>
    <w:rsid w:val="00BA58D4"/>
    <w:rsid w:val="00BA5B9E"/>
    <w:rsid w:val="00BA7C9A"/>
    <w:rsid w:val="00BB203B"/>
    <w:rsid w:val="00BB4474"/>
    <w:rsid w:val="00BB5F8F"/>
    <w:rsid w:val="00BB657A"/>
    <w:rsid w:val="00BC1A4E"/>
    <w:rsid w:val="00BC4790"/>
    <w:rsid w:val="00BC5DC7"/>
    <w:rsid w:val="00BC6B8B"/>
    <w:rsid w:val="00BC73D8"/>
    <w:rsid w:val="00BD485B"/>
    <w:rsid w:val="00BD52D7"/>
    <w:rsid w:val="00BD5AD2"/>
    <w:rsid w:val="00BE22F3"/>
    <w:rsid w:val="00BE5B52"/>
    <w:rsid w:val="00BE7B8D"/>
    <w:rsid w:val="00BF0993"/>
    <w:rsid w:val="00BF10A9"/>
    <w:rsid w:val="00BF1703"/>
    <w:rsid w:val="00BF231C"/>
    <w:rsid w:val="00BF51E5"/>
    <w:rsid w:val="00BF74A6"/>
    <w:rsid w:val="00C00C4A"/>
    <w:rsid w:val="00C013AD"/>
    <w:rsid w:val="00C04904"/>
    <w:rsid w:val="00C056B3"/>
    <w:rsid w:val="00C103E5"/>
    <w:rsid w:val="00C13319"/>
    <w:rsid w:val="00C13EE9"/>
    <w:rsid w:val="00C21540"/>
    <w:rsid w:val="00C21906"/>
    <w:rsid w:val="00C21BFA"/>
    <w:rsid w:val="00C22148"/>
    <w:rsid w:val="00C2412C"/>
    <w:rsid w:val="00C24C8D"/>
    <w:rsid w:val="00C25FE2"/>
    <w:rsid w:val="00C26A8D"/>
    <w:rsid w:val="00C26B53"/>
    <w:rsid w:val="00C279B2"/>
    <w:rsid w:val="00C33E50"/>
    <w:rsid w:val="00C34C20"/>
    <w:rsid w:val="00C35A3E"/>
    <w:rsid w:val="00C418EE"/>
    <w:rsid w:val="00C42130"/>
    <w:rsid w:val="00C423A4"/>
    <w:rsid w:val="00C44BF5"/>
    <w:rsid w:val="00C521D6"/>
    <w:rsid w:val="00C540DF"/>
    <w:rsid w:val="00C54B32"/>
    <w:rsid w:val="00C55232"/>
    <w:rsid w:val="00C553A4"/>
    <w:rsid w:val="00C55A06"/>
    <w:rsid w:val="00C55D03"/>
    <w:rsid w:val="00C601BC"/>
    <w:rsid w:val="00C6048B"/>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04A"/>
    <w:rsid w:val="00CF155A"/>
    <w:rsid w:val="00CF2947"/>
    <w:rsid w:val="00CF2EB8"/>
    <w:rsid w:val="00CF686F"/>
    <w:rsid w:val="00CF6E60"/>
    <w:rsid w:val="00CF7BCA"/>
    <w:rsid w:val="00D008FD"/>
    <w:rsid w:val="00D0321C"/>
    <w:rsid w:val="00D035EC"/>
    <w:rsid w:val="00D06AB1"/>
    <w:rsid w:val="00D072ED"/>
    <w:rsid w:val="00D07A16"/>
    <w:rsid w:val="00D1067E"/>
    <w:rsid w:val="00D10F50"/>
    <w:rsid w:val="00D11272"/>
    <w:rsid w:val="00D11B25"/>
    <w:rsid w:val="00D126F5"/>
    <w:rsid w:val="00D12744"/>
    <w:rsid w:val="00D12DDD"/>
    <w:rsid w:val="00D1489E"/>
    <w:rsid w:val="00D20737"/>
    <w:rsid w:val="00D21E81"/>
    <w:rsid w:val="00D223DE"/>
    <w:rsid w:val="00D2380F"/>
    <w:rsid w:val="00D24219"/>
    <w:rsid w:val="00D25E37"/>
    <w:rsid w:val="00D2661A"/>
    <w:rsid w:val="00D27582"/>
    <w:rsid w:val="00D27EC4"/>
    <w:rsid w:val="00D32719"/>
    <w:rsid w:val="00D33333"/>
    <w:rsid w:val="00D33457"/>
    <w:rsid w:val="00D33645"/>
    <w:rsid w:val="00D352A2"/>
    <w:rsid w:val="00D370B5"/>
    <w:rsid w:val="00D4027F"/>
    <w:rsid w:val="00D4162B"/>
    <w:rsid w:val="00D4514F"/>
    <w:rsid w:val="00D451E2"/>
    <w:rsid w:val="00D45E89"/>
    <w:rsid w:val="00D45E8D"/>
    <w:rsid w:val="00D466AE"/>
    <w:rsid w:val="00D46CD4"/>
    <w:rsid w:val="00D4734F"/>
    <w:rsid w:val="00D51BF3"/>
    <w:rsid w:val="00D66846"/>
    <w:rsid w:val="00D675FB"/>
    <w:rsid w:val="00D71F25"/>
    <w:rsid w:val="00D72A9C"/>
    <w:rsid w:val="00D77031"/>
    <w:rsid w:val="00D80953"/>
    <w:rsid w:val="00D84941"/>
    <w:rsid w:val="00D84FA1"/>
    <w:rsid w:val="00D851F0"/>
    <w:rsid w:val="00D86DB7"/>
    <w:rsid w:val="00D91F07"/>
    <w:rsid w:val="00D926D0"/>
    <w:rsid w:val="00D93030"/>
    <w:rsid w:val="00D950E1"/>
    <w:rsid w:val="00D952A6"/>
    <w:rsid w:val="00D97F99"/>
    <w:rsid w:val="00DA1E08"/>
    <w:rsid w:val="00DA24F8"/>
    <w:rsid w:val="00DA28E8"/>
    <w:rsid w:val="00DA38D3"/>
    <w:rsid w:val="00DA3932"/>
    <w:rsid w:val="00DA3AFC"/>
    <w:rsid w:val="00DA4122"/>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3DBA"/>
    <w:rsid w:val="00DD4FE5"/>
    <w:rsid w:val="00DD54B0"/>
    <w:rsid w:val="00DD57EE"/>
    <w:rsid w:val="00DD6097"/>
    <w:rsid w:val="00DD6BCC"/>
    <w:rsid w:val="00DE09B3"/>
    <w:rsid w:val="00DE0A4B"/>
    <w:rsid w:val="00DE2410"/>
    <w:rsid w:val="00DE2939"/>
    <w:rsid w:val="00DE6E81"/>
    <w:rsid w:val="00DE703F"/>
    <w:rsid w:val="00DE7595"/>
    <w:rsid w:val="00DF1961"/>
    <w:rsid w:val="00DF44DE"/>
    <w:rsid w:val="00DF5F11"/>
    <w:rsid w:val="00DF79F1"/>
    <w:rsid w:val="00E01138"/>
    <w:rsid w:val="00E02DFB"/>
    <w:rsid w:val="00E030F9"/>
    <w:rsid w:val="00E0311A"/>
    <w:rsid w:val="00E03138"/>
    <w:rsid w:val="00E06404"/>
    <w:rsid w:val="00E065D2"/>
    <w:rsid w:val="00E11A85"/>
    <w:rsid w:val="00E12495"/>
    <w:rsid w:val="00E12F02"/>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9FB"/>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5F94"/>
    <w:rsid w:val="00F25BB6"/>
    <w:rsid w:val="00F26B7E"/>
    <w:rsid w:val="00F27A3B"/>
    <w:rsid w:val="00F33817"/>
    <w:rsid w:val="00F420D5"/>
    <w:rsid w:val="00F451EA"/>
    <w:rsid w:val="00F45447"/>
    <w:rsid w:val="00F456C6"/>
    <w:rsid w:val="00F4577B"/>
    <w:rsid w:val="00F46496"/>
    <w:rsid w:val="00F474D0"/>
    <w:rsid w:val="00F50179"/>
    <w:rsid w:val="00F515EE"/>
    <w:rsid w:val="00F55718"/>
    <w:rsid w:val="00F56511"/>
    <w:rsid w:val="00F569BA"/>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4FA71E5"/>
    <w:rsid w:val="06B539A9"/>
    <w:rsid w:val="07DA07E9"/>
    <w:rsid w:val="0F8D0D71"/>
    <w:rsid w:val="11696BF3"/>
    <w:rsid w:val="1416741C"/>
    <w:rsid w:val="14AC59B3"/>
    <w:rsid w:val="16586801"/>
    <w:rsid w:val="17F443A6"/>
    <w:rsid w:val="18891FE1"/>
    <w:rsid w:val="18DF5267"/>
    <w:rsid w:val="19102AA4"/>
    <w:rsid w:val="1D5E26BE"/>
    <w:rsid w:val="1DE30648"/>
    <w:rsid w:val="217E4E94"/>
    <w:rsid w:val="267C156D"/>
    <w:rsid w:val="274C474A"/>
    <w:rsid w:val="27B069E3"/>
    <w:rsid w:val="29481382"/>
    <w:rsid w:val="3203392F"/>
    <w:rsid w:val="3356722B"/>
    <w:rsid w:val="33CE485C"/>
    <w:rsid w:val="358668D5"/>
    <w:rsid w:val="363A2440"/>
    <w:rsid w:val="3EDF4135"/>
    <w:rsid w:val="3F294B91"/>
    <w:rsid w:val="3F5D36FC"/>
    <w:rsid w:val="42DE4B54"/>
    <w:rsid w:val="454D515A"/>
    <w:rsid w:val="479954ED"/>
    <w:rsid w:val="48391141"/>
    <w:rsid w:val="48B53E86"/>
    <w:rsid w:val="4AC91654"/>
    <w:rsid w:val="51D05FAF"/>
    <w:rsid w:val="56B91290"/>
    <w:rsid w:val="57F1690B"/>
    <w:rsid w:val="5C2A6E1B"/>
    <w:rsid w:val="5D3236B8"/>
    <w:rsid w:val="5D5A7F59"/>
    <w:rsid w:val="5E375899"/>
    <w:rsid w:val="630737FB"/>
    <w:rsid w:val="64153CF6"/>
    <w:rsid w:val="6775314C"/>
    <w:rsid w:val="695D5F23"/>
    <w:rsid w:val="6AEB32A6"/>
    <w:rsid w:val="6C0333BA"/>
    <w:rsid w:val="6ED526BF"/>
    <w:rsid w:val="6F131AC6"/>
    <w:rsid w:val="6FEE56E7"/>
    <w:rsid w:val="70425E72"/>
    <w:rsid w:val="70AE3BCE"/>
    <w:rsid w:val="720E43AC"/>
    <w:rsid w:val="759F5602"/>
    <w:rsid w:val="774921DC"/>
    <w:rsid w:val="7ACE55CC"/>
    <w:rsid w:val="7AD97F36"/>
    <w:rsid w:val="7B544AE1"/>
    <w:rsid w:val="7DCB52F1"/>
    <w:rsid w:val="E5D5F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pPr>
      <w:tabs>
        <w:tab w:val="right" w:leader="dot" w:pos="9354"/>
      </w:tabs>
    </w:pPr>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Normal (Web)"/>
    <w:basedOn w:val="1"/>
    <w:qFormat/>
    <w:uiPriority w:val="0"/>
    <w:pPr>
      <w:spacing w:beforeAutospacing="1" w:afterAutospacing="1"/>
      <w:jc w:val="left"/>
    </w:pPr>
    <w:rPr>
      <w:kern w:val="0"/>
      <w:sz w:val="24"/>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b/>
      <w:bCs/>
      <w:kern w:val="44"/>
      <w:sz w:val="44"/>
      <w:szCs w:val="44"/>
    </w:rPr>
  </w:style>
  <w:style w:type="character" w:customStyle="1" w:styleId="36">
    <w:name w:val="标题 2 字符"/>
    <w:link w:val="3"/>
    <w:qFormat/>
    <w:uiPriority w:val="0"/>
    <w:rPr>
      <w:rFonts w:ascii="Arial" w:hAnsi="Arial" w:eastAsia="黑体"/>
      <w:b/>
      <w:bCs/>
      <w:kern w:val="2"/>
      <w:sz w:val="32"/>
      <w:szCs w:val="32"/>
    </w:rPr>
  </w:style>
  <w:style w:type="character" w:customStyle="1" w:styleId="37">
    <w:name w:val="标题 3 字符"/>
    <w:link w:val="4"/>
    <w:qFormat/>
    <w:uiPriority w:val="0"/>
    <w:rPr>
      <w:b/>
      <w:bCs/>
      <w:kern w:val="2"/>
      <w:sz w:val="32"/>
      <w:szCs w:val="32"/>
    </w:rPr>
  </w:style>
  <w:style w:type="character" w:customStyle="1" w:styleId="38">
    <w:name w:val="标题 4 字符"/>
    <w:link w:val="5"/>
    <w:qFormat/>
    <w:uiPriority w:val="0"/>
    <w:rPr>
      <w:rFonts w:ascii="Arial" w:hAnsi="Arial" w:eastAsia="黑体"/>
      <w:b/>
      <w:bCs/>
      <w:kern w:val="2"/>
      <w:sz w:val="28"/>
      <w:szCs w:val="28"/>
    </w:rPr>
  </w:style>
  <w:style w:type="character" w:customStyle="1" w:styleId="39">
    <w:name w:val="标题 5 字符"/>
    <w:link w:val="6"/>
    <w:qFormat/>
    <w:uiPriority w:val="0"/>
    <w:rPr>
      <w:b/>
      <w:bCs/>
      <w:kern w:val="2"/>
      <w:sz w:val="28"/>
      <w:szCs w:val="28"/>
    </w:rPr>
  </w:style>
  <w:style w:type="character" w:customStyle="1" w:styleId="40">
    <w:name w:val="标题 6 字符"/>
    <w:link w:val="7"/>
    <w:qFormat/>
    <w:uiPriority w:val="0"/>
    <w:rPr>
      <w:rFonts w:ascii="Arial" w:hAnsi="Arial" w:eastAsia="黑体"/>
      <w:b/>
      <w:bCs/>
      <w:kern w:val="2"/>
      <w:sz w:val="24"/>
      <w:szCs w:val="24"/>
    </w:rPr>
  </w:style>
  <w:style w:type="character" w:customStyle="1" w:styleId="41">
    <w:name w:val="标题 7 字符"/>
    <w:link w:val="8"/>
    <w:qFormat/>
    <w:uiPriority w:val="0"/>
    <w:rPr>
      <w:b/>
      <w:bCs/>
      <w:kern w:val="2"/>
      <w:sz w:val="24"/>
      <w:szCs w:val="24"/>
    </w:rPr>
  </w:style>
  <w:style w:type="character" w:customStyle="1" w:styleId="42">
    <w:name w:val="标题 8 字符"/>
    <w:link w:val="9"/>
    <w:qFormat/>
    <w:uiPriority w:val="0"/>
    <w:rPr>
      <w:rFonts w:ascii="Arial" w:hAnsi="Arial" w:eastAsia="黑体"/>
      <w:kern w:val="2"/>
      <w:sz w:val="24"/>
      <w:szCs w:val="24"/>
    </w:rPr>
  </w:style>
  <w:style w:type="character" w:customStyle="1" w:styleId="43">
    <w:name w:val="标题 9 字符"/>
    <w:link w:val="10"/>
    <w:qFormat/>
    <w:uiPriority w:val="0"/>
    <w:rPr>
      <w:rFonts w:ascii="Arial" w:hAnsi="Arial" w:eastAsia="黑体"/>
      <w:kern w:val="2"/>
      <w:sz w:val="21"/>
      <w:szCs w:val="21"/>
    </w:rPr>
  </w:style>
  <w:style w:type="character" w:customStyle="1" w:styleId="44">
    <w:name w:val="页眉 字符"/>
    <w:link w:val="18"/>
    <w:qFormat/>
    <w:uiPriority w:val="99"/>
    <w:rPr>
      <w:kern w:val="2"/>
      <w:sz w:val="18"/>
      <w:szCs w:val="18"/>
    </w:rPr>
  </w:style>
  <w:style w:type="character" w:customStyle="1" w:styleId="45">
    <w:name w:val="页脚 字符"/>
    <w:link w:val="17"/>
    <w:qFormat/>
    <w:uiPriority w:val="99"/>
    <w:rPr>
      <w:rFonts w:ascii="宋体"/>
      <w:kern w:val="2"/>
      <w:sz w:val="18"/>
      <w:szCs w:val="18"/>
    </w:rPr>
  </w:style>
  <w:style w:type="character" w:customStyle="1" w:styleId="46">
    <w:name w:val="批注框文本 字符"/>
    <w:link w:val="16"/>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semiHidden/>
    <w:qFormat/>
    <w:uiPriority w:val="0"/>
    <w:rPr>
      <w:rFonts w:ascii="宋体"/>
      <w:kern w:val="2"/>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frame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customStyle="1" w:styleId="231">
    <w:name w:val="正文1"/>
    <w:qFormat/>
    <w:uiPriority w:val="0"/>
    <w:pPr>
      <w:jc w:val="both"/>
    </w:pPr>
    <w:rPr>
      <w:rFonts w:ascii="Times New Roman" w:hAnsi="Times New Roman" w:eastAsia="宋体" w:cs="Times New Roman"/>
      <w:kern w:val="2"/>
      <w:sz w:val="21"/>
      <w:szCs w:val="21"/>
      <w:lang w:val="en-US" w:eastAsia="zh-CN" w:bidi="ar-SA"/>
    </w:rPr>
  </w:style>
  <w:style w:type="table" w:customStyle="1" w:styleId="23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FFC63EF94424F52BFFE221BF266E21A"/>
        <w:style w:val=""/>
        <w:category>
          <w:name w:val="常规"/>
          <w:gallery w:val="placeholder"/>
        </w:category>
        <w:types>
          <w:type w:val="bbPlcHdr"/>
        </w:types>
        <w:behaviors>
          <w:behavior w:val="content"/>
        </w:behaviors>
        <w:description w:val=""/>
        <w:guid w:val="{17410871-D71B-4AD4-A3A9-08D365878987}"/>
      </w:docPartPr>
      <w:docPartBody>
        <w:p w14:paraId="66ED4527">
          <w:pPr>
            <w:pStyle w:val="5"/>
            <w:rPr>
              <w:rFonts w:hint="eastAsia"/>
            </w:rPr>
          </w:pPr>
          <w:r>
            <w:rPr>
              <w:rStyle w:val="4"/>
              <w:rFonts w:hint="eastAsia"/>
            </w:rPr>
            <w:t>单击或点击此处输入文字。</w:t>
          </w:r>
        </w:p>
      </w:docPartBody>
    </w:docPart>
    <w:docPart>
      <w:docPartPr>
        <w:name w:val="A4F1E583ACC54CED83F9623844BDEE94"/>
        <w:style w:val=""/>
        <w:category>
          <w:name w:val="常规"/>
          <w:gallery w:val="placeholder"/>
        </w:category>
        <w:types>
          <w:type w:val="bbPlcHdr"/>
        </w:types>
        <w:behaviors>
          <w:behavior w:val="content"/>
        </w:behaviors>
        <w:description w:val=""/>
        <w:guid w:val="{3B2117D6-E0ED-40FD-BC06-F0A05AF8E945}"/>
      </w:docPartPr>
      <w:docPartBody>
        <w:p w14:paraId="10C62AA5">
          <w:pPr>
            <w:pStyle w:val="6"/>
            <w:rPr>
              <w:rFonts w:hint="eastAsia"/>
            </w:rPr>
          </w:pPr>
          <w:r>
            <w:rPr>
              <w:rStyle w:val="4"/>
              <w:rFonts w:hint="eastAsia"/>
            </w:rPr>
            <w:t>选择一项。</w:t>
          </w:r>
        </w:p>
      </w:docPartBody>
    </w:docPart>
    <w:docPart>
      <w:docPartPr>
        <w:name w:val="FFA5276BB96142B99DE08F573DE49D16"/>
        <w:style w:val=""/>
        <w:category>
          <w:name w:val="常规"/>
          <w:gallery w:val="placeholder"/>
        </w:category>
        <w:types>
          <w:type w:val="bbPlcHdr"/>
        </w:types>
        <w:behaviors>
          <w:behavior w:val="content"/>
        </w:behaviors>
        <w:description w:val=""/>
        <w:guid w:val="{BBCDDDF4-52E8-4191-A108-683827AADDAF}"/>
      </w:docPartPr>
      <w:docPartBody>
        <w:p w14:paraId="02E1A0A1">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620"/>
    <w:rsid w:val="001359FA"/>
    <w:rsid w:val="001C1A15"/>
    <w:rsid w:val="0026003B"/>
    <w:rsid w:val="00390E67"/>
    <w:rsid w:val="004C1866"/>
    <w:rsid w:val="0053577A"/>
    <w:rsid w:val="00625CD7"/>
    <w:rsid w:val="006C2498"/>
    <w:rsid w:val="00727C5E"/>
    <w:rsid w:val="00775620"/>
    <w:rsid w:val="008C77B3"/>
    <w:rsid w:val="00AA2FC8"/>
    <w:rsid w:val="00B91BB9"/>
    <w:rsid w:val="00BB4474"/>
    <w:rsid w:val="00C502A3"/>
    <w:rsid w:val="00CA2475"/>
    <w:rsid w:val="00D262A8"/>
    <w:rsid w:val="00E429CF"/>
    <w:rsid w:val="00F115DC"/>
    <w:rsid w:val="00F63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FFC63EF94424F52BFFE221BF266E21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4F1E583ACC54CED83F9623844BDEE9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FFA5276BB96142B99DE08F573DE49D16"/>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9</Pages>
  <Words>3439</Words>
  <Characters>3684</Characters>
  <Lines>36</Lines>
  <Paragraphs>10</Paragraphs>
  <TotalTime>17</TotalTime>
  <ScaleCrop>false</ScaleCrop>
  <LinksUpToDate>false</LinksUpToDate>
  <CharactersWithSpaces>3752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2025-10-09T15:49:00Z</dcterms:created>
  <dc:creator>USER</dc:creator>
  <dc:description>&lt;config cover="true" show_menu="true" version="1.0.0" doctype="SDKXY"&gt;_x000d_
&lt;/config&gt;</dc:description>
  <cp:lastModifiedBy>二十一</cp:lastModifiedBy>
  <cp:lastPrinted>2020-08-30T18:00:00Z</cp:lastPrinted>
  <dcterms:modified xsi:type="dcterms:W3CDTF">2025-10-10T03:34:01Z</dcterms:modified>
  <dc:title>地方标准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2052-12.1.0.22529</vt:lpwstr>
  </property>
  <property fmtid="{D5CDD505-2E9C-101B-9397-08002B2CF9AE}" pid="15" name="ICV">
    <vt:lpwstr>11BF393D4DBF45DEAC7F699AA648B7A9_13</vt:lpwstr>
  </property>
  <property fmtid="{D5CDD505-2E9C-101B-9397-08002B2CF9AE}" pid="16" name="KSOTemplateDocerSaveRecord">
    <vt:lpwstr>eyJoZGlkIjoiZDJlZmFmN2MwZjVlYzQzYjExMjhjNzgzODMyM2MwNjEiLCJ1c2VySWQiOiI4ODc4Njk4NjAifQ==</vt:lpwstr>
  </property>
</Properties>
</file>