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w:t>
            </w:r>
            <w:r>
              <w:rPr>
                <w:rFonts w:hint="eastAsia" w:ascii="黑体" w:hAnsi="黑体" w:eastAsia="黑体"/>
              </w:rPr>
              <w:t>.xxx.xx</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hint="eastAsia" w:ascii="黑体" w:hAnsi="黑体" w:eastAsia="黑体"/>
              </w:rPr>
              <w:t xml:space="preserve"> xx</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pPr>
      <w:r>
        <w:t>DB</w:t>
      </w:r>
      <w:r>
        <w:rPr>
          <w:sz w:val="15"/>
          <w:szCs w:val="15"/>
        </w:rPr>
        <w:t xml:space="preserve"> </w:t>
      </w:r>
      <w:r>
        <w:fldChar w:fldCharType="begin">
          <w:ffData>
            <w:name w:val="文字1"/>
            <w:enabled/>
            <w:calcOnExit w:val="0"/>
            <w:textInput>
              <w:default w:val="XX/T"/>
            </w:textInput>
          </w:ffData>
        </w:fldChar>
      </w:r>
      <w:bookmarkStart w:id="5" w:name="文字1"/>
      <w:r>
        <w:instrText xml:space="preserve"> FORMTEXT </w:instrText>
      </w:r>
      <w:r>
        <w:fldChar w:fldCharType="separate"/>
      </w:r>
      <w:r>
        <w:rPr>
          <w:rFonts w:hint="eastAsia"/>
        </w:rPr>
        <w:t>43</w:t>
      </w:r>
      <w:r>
        <w:t>/T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水稻全程数字化精准变量施肥服务规范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 Specification for Rice Whole-Process Digitalized Precision Variable-Rate Fertilization Service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61747149"/>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"_Toc208498584" </w:instrText>
      </w:r>
      <w:r>
        <w:fldChar w:fldCharType="separate"/>
      </w:r>
      <w:r>
        <w:rPr>
          <w:rStyle w:val="30"/>
          <w:rFonts w:hint="eastAsia"/>
          <w:spacing w:val="320"/>
        </w:rPr>
        <w:t>前</w:t>
      </w:r>
      <w:r>
        <w:rPr>
          <w:rStyle w:val="30"/>
          <w:rFonts w:hint="eastAsia"/>
        </w:rPr>
        <w:t>言</w:t>
      </w:r>
      <w:r>
        <w:rPr>
          <w:rFonts w:hint="eastAsia"/>
        </w:rPr>
        <w:tab/>
      </w:r>
      <w:r>
        <w:rPr>
          <w:rFonts w:hint="eastAsia"/>
        </w:rPr>
        <w:fldChar w:fldCharType="begin"/>
      </w:r>
      <w:r>
        <w:rPr>
          <w:rFonts w:hint="eastAsia"/>
        </w:rPr>
        <w:instrText xml:space="preserve"> </w:instrText>
      </w:r>
      <w:r>
        <w:instrText xml:space="preserve">PAGEREF _Toc208498584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"_Toc208498585" </w:instrText>
      </w:r>
      <w:r>
        <w:fldChar w:fldCharType="separate"/>
      </w:r>
      <w:r>
        <w:rPr>
          <w:rStyle w:val="30"/>
          <w:rFonts w:hint="eastAsia"/>
        </w:rPr>
        <w:t>1 范围</w:t>
      </w:r>
      <w:r>
        <w:rPr>
          <w:rFonts w:hint="eastAsia"/>
        </w:rPr>
        <w:tab/>
      </w:r>
      <w:r>
        <w:rPr>
          <w:rFonts w:hint="eastAsia"/>
        </w:rPr>
        <w:fldChar w:fldCharType="begin"/>
      </w:r>
      <w:r>
        <w:rPr>
          <w:rFonts w:hint="eastAsia"/>
        </w:rPr>
        <w:instrText xml:space="preserve"> </w:instrText>
      </w:r>
      <w:r>
        <w:instrText xml:space="preserve">PAGEREF _Toc208498585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"_Toc208498586" </w:instrText>
      </w:r>
      <w:r>
        <w:fldChar w:fldCharType="separate"/>
      </w:r>
      <w:r>
        <w:rPr>
          <w:rStyle w:val="30"/>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_Toc208498586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"_Toc208498587" </w:instrText>
      </w:r>
      <w:r>
        <w:fldChar w:fldCharType="separate"/>
      </w:r>
      <w:r>
        <w:rPr>
          <w:rStyle w:val="30"/>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_Toc208498587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"_Toc208498588" </w:instrText>
      </w:r>
      <w:r>
        <w:fldChar w:fldCharType="separate"/>
      </w:r>
      <w:r>
        <w:rPr>
          <w:rStyle w:val="30"/>
          <w:rFonts w:hint="eastAsia"/>
        </w:rPr>
        <w:t>4 基本要求</w:t>
      </w:r>
      <w:r>
        <w:rPr>
          <w:rFonts w:hint="eastAsia"/>
        </w:rPr>
        <w:tab/>
      </w:r>
      <w:r>
        <w:rPr>
          <w:rFonts w:hint="eastAsia"/>
        </w:rPr>
        <w:fldChar w:fldCharType="begin"/>
      </w:r>
      <w:r>
        <w:rPr>
          <w:rFonts w:hint="eastAsia"/>
        </w:rPr>
        <w:instrText xml:space="preserve"> </w:instrText>
      </w:r>
      <w:r>
        <w:instrText xml:space="preserve">PAGEREF _Toc208498588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"_Toc208498589" </w:instrText>
      </w:r>
      <w:r>
        <w:fldChar w:fldCharType="separate"/>
      </w:r>
      <w:r>
        <w:rPr>
          <w:rStyle w:val="30"/>
          <w:rFonts w:hint="eastAsia"/>
          <w14:scene3d>
            <w14:lightRig w14:rig="threePt" w14:dir="t">
              <w14:rot w14:lat="0" w14:lon="0" w14:rev="0"/>
            </w14:lightRig>
          </w14:scene3d>
        </w:rPr>
        <w:t>4.1</w:t>
      </w:r>
      <w:r>
        <w:rPr>
          <w:rStyle w:val="30"/>
          <w:rFonts w:hint="eastAsia"/>
        </w:rPr>
        <w:t xml:space="preserve"> 总则</w:t>
      </w:r>
      <w:r>
        <w:rPr>
          <w:rFonts w:hint="eastAsia"/>
        </w:rPr>
        <w:tab/>
      </w:r>
      <w:r>
        <w:rPr>
          <w:rFonts w:hint="eastAsia"/>
        </w:rPr>
        <w:fldChar w:fldCharType="begin"/>
      </w:r>
      <w:r>
        <w:rPr>
          <w:rFonts w:hint="eastAsia"/>
        </w:rPr>
        <w:instrText xml:space="preserve"> </w:instrText>
      </w:r>
      <w:r>
        <w:instrText xml:space="preserve">PAGEREF _Toc208498589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"_Toc208498590" </w:instrText>
      </w:r>
      <w:r>
        <w:fldChar w:fldCharType="separate"/>
      </w:r>
      <w:r>
        <w:rPr>
          <w:rStyle w:val="30"/>
          <w:rFonts w:hint="eastAsia"/>
          <w14:scene3d>
            <w14:lightRig w14:rig="threePt" w14:dir="t">
              <w14:rot w14:lat="0" w14:lon="0" w14:rev="0"/>
            </w14:lightRig>
          </w14:scene3d>
        </w:rPr>
        <w:t>4.2</w:t>
      </w:r>
      <w:r>
        <w:rPr>
          <w:rStyle w:val="30"/>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_Toc208498590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"_Toc208498591" </w:instrText>
      </w:r>
      <w:r>
        <w:fldChar w:fldCharType="separate"/>
      </w:r>
      <w:r>
        <w:rPr>
          <w:rStyle w:val="30"/>
          <w:rFonts w:hint="eastAsia"/>
          <w14:scene3d>
            <w14:lightRig w14:rig="threePt" w14:dir="t">
              <w14:rot w14:lat="0" w14:lon="0" w14:rev="0"/>
            </w14:lightRig>
          </w14:scene3d>
        </w:rPr>
        <w:t>4.3</w:t>
      </w:r>
      <w:r>
        <w:rPr>
          <w:rStyle w:val="30"/>
          <w:rFonts w:hint="eastAsia"/>
        </w:rPr>
        <w:t xml:space="preserve"> 服务方式及内容</w:t>
      </w:r>
      <w:r>
        <w:rPr>
          <w:rFonts w:hint="eastAsia"/>
        </w:rPr>
        <w:tab/>
      </w:r>
      <w:r>
        <w:rPr>
          <w:rFonts w:hint="eastAsia"/>
        </w:rPr>
        <w:fldChar w:fldCharType="begin"/>
      </w:r>
      <w:r>
        <w:rPr>
          <w:rFonts w:hint="eastAsia"/>
        </w:rPr>
        <w:instrText xml:space="preserve"> </w:instrText>
      </w:r>
      <w:r>
        <w:instrText xml:space="preserve">PAGEREF _Toc208498591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"_Toc208498592" </w:instrText>
      </w:r>
      <w:r>
        <w:fldChar w:fldCharType="separate"/>
      </w:r>
      <w:r>
        <w:rPr>
          <w:rStyle w:val="30"/>
          <w:rFonts w:hint="eastAsia"/>
        </w:rPr>
        <w:t>5 合同签订</w:t>
      </w:r>
      <w:r>
        <w:rPr>
          <w:rFonts w:hint="eastAsia"/>
        </w:rPr>
        <w:tab/>
      </w:r>
      <w:r>
        <w:rPr>
          <w:rFonts w:hint="eastAsia"/>
        </w:rPr>
        <w:fldChar w:fldCharType="begin"/>
      </w:r>
      <w:r>
        <w:rPr>
          <w:rFonts w:hint="eastAsia"/>
        </w:rPr>
        <w:instrText xml:space="preserve"> </w:instrText>
      </w:r>
      <w:r>
        <w:instrText xml:space="preserve">PAGEREF _Toc208498592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"_Toc208498593" </w:instrText>
      </w:r>
      <w:r>
        <w:fldChar w:fldCharType="separate"/>
      </w:r>
      <w:r>
        <w:rPr>
          <w:rStyle w:val="30"/>
          <w:rFonts w:hint="eastAsia"/>
        </w:rPr>
        <w:t>6 服务内容与要求</w:t>
      </w:r>
      <w:r>
        <w:rPr>
          <w:rFonts w:hint="eastAsia"/>
        </w:rPr>
        <w:tab/>
      </w:r>
      <w:r>
        <w:rPr>
          <w:rFonts w:hint="eastAsia"/>
        </w:rPr>
        <w:fldChar w:fldCharType="begin"/>
      </w:r>
      <w:r>
        <w:rPr>
          <w:rFonts w:hint="eastAsia"/>
        </w:rPr>
        <w:instrText xml:space="preserve"> </w:instrText>
      </w:r>
      <w:r>
        <w:instrText xml:space="preserve">PAGEREF _Toc208498593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"_Toc208498594" </w:instrText>
      </w:r>
      <w:r>
        <w:fldChar w:fldCharType="separate"/>
      </w:r>
      <w:r>
        <w:rPr>
          <w:rStyle w:val="30"/>
          <w:rFonts w:hint="eastAsia"/>
          <w14:scene3d>
            <w14:lightRig w14:rig="threePt" w14:dir="t">
              <w14:rot w14:lat="0" w14:lon="0" w14:rev="0"/>
            </w14:lightRig>
          </w14:scene3d>
        </w:rPr>
        <w:t>6.1</w:t>
      </w:r>
      <w:r>
        <w:rPr>
          <w:rStyle w:val="30"/>
          <w:rFonts w:hint="eastAsia"/>
        </w:rPr>
        <w:t xml:space="preserve"> 农资和农机选用</w:t>
      </w:r>
      <w:r>
        <w:rPr>
          <w:rFonts w:hint="eastAsia"/>
        </w:rPr>
        <w:tab/>
      </w:r>
      <w:r>
        <w:rPr>
          <w:rFonts w:hint="eastAsia"/>
        </w:rPr>
        <w:fldChar w:fldCharType="begin"/>
      </w:r>
      <w:r>
        <w:rPr>
          <w:rFonts w:hint="eastAsia"/>
        </w:rPr>
        <w:instrText xml:space="preserve"> </w:instrText>
      </w:r>
      <w:r>
        <w:instrText xml:space="preserve">PAGEREF _Toc208498594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"_Toc208498595" </w:instrText>
      </w:r>
      <w:r>
        <w:fldChar w:fldCharType="separate"/>
      </w:r>
      <w:r>
        <w:rPr>
          <w:rStyle w:val="30"/>
          <w:rFonts w:hint="eastAsia"/>
          <w14:scene3d>
            <w14:lightRig w14:rig="threePt" w14:dir="t">
              <w14:rot w14:lat="0" w14:lon="0" w14:rev="0"/>
            </w14:lightRig>
          </w14:scene3d>
        </w:rPr>
        <w:t>6.2</w:t>
      </w:r>
      <w:r>
        <w:rPr>
          <w:rStyle w:val="30"/>
          <w:rFonts w:hint="eastAsia"/>
        </w:rPr>
        <w:t xml:space="preserve"> 土壤检测</w:t>
      </w:r>
      <w:r>
        <w:rPr>
          <w:rFonts w:hint="eastAsia"/>
        </w:rPr>
        <w:tab/>
      </w:r>
      <w:r>
        <w:rPr>
          <w:rFonts w:hint="eastAsia"/>
        </w:rPr>
        <w:fldChar w:fldCharType="begin"/>
      </w:r>
      <w:r>
        <w:rPr>
          <w:rFonts w:hint="eastAsia"/>
        </w:rPr>
        <w:instrText xml:space="preserve"> </w:instrText>
      </w:r>
      <w:r>
        <w:instrText xml:space="preserve">PAGEREF _Toc208498595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"_Toc208498596" </w:instrText>
      </w:r>
      <w:r>
        <w:fldChar w:fldCharType="separate"/>
      </w:r>
      <w:r>
        <w:rPr>
          <w:rStyle w:val="30"/>
          <w:rFonts w:hint="eastAsia"/>
          <w14:scene3d>
            <w14:lightRig w14:rig="threePt" w14:dir="t">
              <w14:rot w14:lat="0" w14:lon="0" w14:rev="0"/>
            </w14:lightRig>
          </w14:scene3d>
        </w:rPr>
        <w:t>6.3</w:t>
      </w:r>
      <w:r>
        <w:rPr>
          <w:rStyle w:val="30"/>
          <w:rFonts w:hint="eastAsia"/>
        </w:rPr>
        <w:t xml:space="preserve"> 基肥、分蘖肥变量处方出具</w:t>
      </w:r>
      <w:r>
        <w:rPr>
          <w:rFonts w:hint="eastAsia"/>
        </w:rPr>
        <w:tab/>
      </w:r>
      <w:r>
        <w:rPr>
          <w:rFonts w:hint="eastAsia"/>
        </w:rPr>
        <w:fldChar w:fldCharType="begin"/>
      </w:r>
      <w:r>
        <w:rPr>
          <w:rFonts w:hint="eastAsia"/>
        </w:rPr>
        <w:instrText xml:space="preserve"> </w:instrText>
      </w:r>
      <w:r>
        <w:instrText xml:space="preserve">PAGEREF _Toc208498596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"_Toc208498597" </w:instrText>
      </w:r>
      <w:r>
        <w:fldChar w:fldCharType="separate"/>
      </w:r>
      <w:r>
        <w:rPr>
          <w:rStyle w:val="30"/>
          <w:rFonts w:hint="eastAsia"/>
          <w14:scene3d>
            <w14:lightRig w14:rig="threePt" w14:dir="t">
              <w14:rot w14:lat="0" w14:lon="0" w14:rev="0"/>
            </w14:lightRig>
          </w14:scene3d>
        </w:rPr>
        <w:t>6.4</w:t>
      </w:r>
      <w:r>
        <w:rPr>
          <w:rStyle w:val="30"/>
          <w:rFonts w:hint="eastAsia"/>
        </w:rPr>
        <w:t xml:space="preserve"> 穗肥变量处方出具</w:t>
      </w:r>
      <w:r>
        <w:rPr>
          <w:rFonts w:hint="eastAsia"/>
        </w:rPr>
        <w:tab/>
      </w:r>
      <w:r>
        <w:rPr>
          <w:rFonts w:hint="eastAsia"/>
        </w:rPr>
        <w:fldChar w:fldCharType="begin"/>
      </w:r>
      <w:r>
        <w:rPr>
          <w:rFonts w:hint="eastAsia"/>
        </w:rPr>
        <w:instrText xml:space="preserve"> </w:instrText>
      </w:r>
      <w:r>
        <w:instrText xml:space="preserve">PAGEREF _Toc208498597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"_Toc208498598" </w:instrText>
      </w:r>
      <w:r>
        <w:fldChar w:fldCharType="separate"/>
      </w:r>
      <w:r>
        <w:rPr>
          <w:rStyle w:val="30"/>
          <w:rFonts w:hint="eastAsia"/>
          <w14:scene3d>
            <w14:lightRig w14:rig="threePt" w14:dir="t">
              <w14:rot w14:lat="0" w14:lon="0" w14:rev="0"/>
            </w14:lightRig>
          </w14:scene3d>
        </w:rPr>
        <w:t>6.5</w:t>
      </w:r>
      <w:r>
        <w:rPr>
          <w:rStyle w:val="30"/>
          <w:rFonts w:hint="eastAsia"/>
        </w:rPr>
        <w:t xml:space="preserve"> 肥料（农资）运输和保管</w:t>
      </w:r>
      <w:r>
        <w:rPr>
          <w:rFonts w:hint="eastAsia"/>
        </w:rPr>
        <w:tab/>
      </w:r>
      <w:r>
        <w:rPr>
          <w:rFonts w:hint="eastAsia"/>
        </w:rPr>
        <w:fldChar w:fldCharType="begin"/>
      </w:r>
      <w:r>
        <w:rPr>
          <w:rFonts w:hint="eastAsia"/>
        </w:rPr>
        <w:instrText xml:space="preserve"> </w:instrText>
      </w:r>
      <w:r>
        <w:instrText xml:space="preserve">PAGEREF _Toc208498598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"_Toc208498599" </w:instrText>
      </w:r>
      <w:r>
        <w:fldChar w:fldCharType="separate"/>
      </w:r>
      <w:r>
        <w:rPr>
          <w:rStyle w:val="30"/>
          <w:rFonts w:hint="eastAsia"/>
          <w14:scene3d>
            <w14:lightRig w14:rig="threePt" w14:dir="t">
              <w14:rot w14:lat="0" w14:lon="0" w14:rev="0"/>
            </w14:lightRig>
          </w14:scene3d>
        </w:rPr>
        <w:t>6.6</w:t>
      </w:r>
      <w:r>
        <w:rPr>
          <w:rStyle w:val="30"/>
          <w:rFonts w:hint="eastAsia"/>
        </w:rPr>
        <w:t xml:space="preserve"> 施肥作业</w:t>
      </w:r>
      <w:r>
        <w:rPr>
          <w:rFonts w:hint="eastAsia"/>
        </w:rPr>
        <w:tab/>
      </w:r>
      <w:r>
        <w:rPr>
          <w:rFonts w:hint="eastAsia"/>
        </w:rPr>
        <w:fldChar w:fldCharType="begin"/>
      </w:r>
      <w:r>
        <w:rPr>
          <w:rFonts w:hint="eastAsia"/>
        </w:rPr>
        <w:instrText xml:space="preserve"> </w:instrText>
      </w:r>
      <w:r>
        <w:instrText xml:space="preserve">PAGEREF _Toc208498599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"_Toc208498600" </w:instrText>
      </w:r>
      <w:r>
        <w:fldChar w:fldCharType="separate"/>
      </w:r>
      <w:r>
        <w:rPr>
          <w:rStyle w:val="30"/>
          <w:rFonts w:hint="eastAsia"/>
          <w14:scene3d>
            <w14:lightRig w14:rig="threePt" w14:dir="t">
              <w14:rot w14:lat="0" w14:lon="0" w14:rev="0"/>
            </w14:lightRig>
          </w14:scene3d>
        </w:rPr>
        <w:t>6.7</w:t>
      </w:r>
      <w:r>
        <w:rPr>
          <w:rStyle w:val="30"/>
          <w:rFonts w:hint="eastAsia"/>
        </w:rPr>
        <w:t xml:space="preserve"> 其他</w:t>
      </w:r>
      <w:r>
        <w:rPr>
          <w:rFonts w:hint="eastAsia"/>
        </w:rPr>
        <w:tab/>
      </w:r>
      <w:r>
        <w:rPr>
          <w:rFonts w:hint="eastAsia"/>
        </w:rPr>
        <w:fldChar w:fldCharType="begin"/>
      </w:r>
      <w:r>
        <w:rPr>
          <w:rFonts w:hint="eastAsia"/>
        </w:rPr>
        <w:instrText xml:space="preserve"> </w:instrText>
      </w:r>
      <w:r>
        <w:instrText xml:space="preserve">PAGEREF _Toc208498600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"_Toc208498601" </w:instrText>
      </w:r>
      <w:r>
        <w:fldChar w:fldCharType="separate"/>
      </w:r>
      <w:r>
        <w:rPr>
          <w:rStyle w:val="30"/>
          <w:rFonts w:hint="eastAsia"/>
        </w:rPr>
        <w:t>7 服务质量控制</w:t>
      </w:r>
      <w:r>
        <w:rPr>
          <w:rFonts w:hint="eastAsia"/>
        </w:rPr>
        <w:tab/>
      </w:r>
      <w:r>
        <w:rPr>
          <w:rFonts w:hint="eastAsia"/>
        </w:rPr>
        <w:fldChar w:fldCharType="begin"/>
      </w:r>
      <w:r>
        <w:rPr>
          <w:rFonts w:hint="eastAsia"/>
        </w:rPr>
        <w:instrText xml:space="preserve"> </w:instrText>
      </w:r>
      <w:r>
        <w:instrText xml:space="preserve">PAGEREF _Toc208498601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"_Toc208498602" </w:instrText>
      </w:r>
      <w:r>
        <w:fldChar w:fldCharType="separate"/>
      </w:r>
      <w:r>
        <w:rPr>
          <w:rStyle w:val="30"/>
          <w:rFonts w:hint="eastAsia"/>
          <w14:scene3d>
            <w14:lightRig w14:rig="threePt" w14:dir="t">
              <w14:rot w14:lat="0" w14:lon="0" w14:rev="0"/>
            </w14:lightRig>
          </w14:scene3d>
        </w:rPr>
        <w:t>7.1</w:t>
      </w:r>
      <w:r>
        <w:rPr>
          <w:rStyle w:val="30"/>
          <w:rFonts w:hint="eastAsia"/>
        </w:rPr>
        <w:t xml:space="preserve"> 服务质量</w:t>
      </w:r>
      <w:r>
        <w:rPr>
          <w:rFonts w:hint="eastAsia"/>
        </w:rPr>
        <w:tab/>
      </w:r>
      <w:r>
        <w:rPr>
          <w:rFonts w:hint="eastAsia"/>
        </w:rPr>
        <w:fldChar w:fldCharType="begin"/>
      </w:r>
      <w:r>
        <w:rPr>
          <w:rFonts w:hint="eastAsia"/>
        </w:rPr>
        <w:instrText xml:space="preserve"> </w:instrText>
      </w:r>
      <w:r>
        <w:instrText xml:space="preserve">PAGEREF _Toc208498602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"_Toc208498603" </w:instrText>
      </w:r>
      <w:r>
        <w:fldChar w:fldCharType="separate"/>
      </w:r>
      <w:r>
        <w:rPr>
          <w:rStyle w:val="30"/>
          <w:rFonts w:hint="eastAsia"/>
          <w14:scene3d>
            <w14:lightRig w14:rig="threePt" w14:dir="t">
              <w14:rot w14:lat="0" w14:lon="0" w14:rev="0"/>
            </w14:lightRig>
          </w14:scene3d>
        </w:rPr>
        <w:t>7.2</w:t>
      </w:r>
      <w:r>
        <w:rPr>
          <w:rStyle w:val="30"/>
          <w:rFonts w:hint="eastAsia"/>
        </w:rPr>
        <w:t xml:space="preserve"> 风险管控</w:t>
      </w:r>
      <w:r>
        <w:rPr>
          <w:rFonts w:hint="eastAsia"/>
        </w:rPr>
        <w:tab/>
      </w:r>
      <w:r>
        <w:rPr>
          <w:rFonts w:hint="eastAsia"/>
        </w:rPr>
        <w:fldChar w:fldCharType="begin"/>
      </w:r>
      <w:r>
        <w:rPr>
          <w:rFonts w:hint="eastAsia"/>
        </w:rPr>
        <w:instrText xml:space="preserve"> </w:instrText>
      </w:r>
      <w:r>
        <w:instrText xml:space="preserve">PAGEREF _Toc208498603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"_Toc208498604" </w:instrText>
      </w:r>
      <w:r>
        <w:fldChar w:fldCharType="separate"/>
      </w:r>
      <w:r>
        <w:rPr>
          <w:rStyle w:val="30"/>
          <w:rFonts w:hint="eastAsia"/>
          <w14:scene3d>
            <w14:lightRig w14:rig="threePt" w14:dir="t">
              <w14:rot w14:lat="0" w14:lon="0" w14:rev="0"/>
            </w14:lightRig>
          </w14:scene3d>
        </w:rPr>
        <w:t>7.3</w:t>
      </w:r>
      <w:r>
        <w:rPr>
          <w:rStyle w:val="30"/>
          <w:rFonts w:hint="eastAsia"/>
        </w:rPr>
        <w:t xml:space="preserve"> 纠纷处理</w:t>
      </w:r>
      <w:r>
        <w:rPr>
          <w:rFonts w:hint="eastAsia"/>
        </w:rPr>
        <w:tab/>
      </w:r>
      <w:r>
        <w:rPr>
          <w:rFonts w:hint="eastAsia"/>
        </w:rPr>
        <w:fldChar w:fldCharType="begin"/>
      </w:r>
      <w:r>
        <w:rPr>
          <w:rFonts w:hint="eastAsia"/>
        </w:rPr>
        <w:instrText xml:space="preserve"> </w:instrText>
      </w:r>
      <w:r>
        <w:instrText xml:space="preserve">PAGEREF _Toc208498604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"_Toc208498605" </w:instrText>
      </w:r>
      <w:r>
        <w:fldChar w:fldCharType="separate"/>
      </w:r>
      <w:r>
        <w:rPr>
          <w:rStyle w:val="30"/>
          <w:rFonts w:hint="eastAsia"/>
        </w:rPr>
        <w:t>8 服务评价</w:t>
      </w:r>
      <w:r>
        <w:rPr>
          <w:rFonts w:hint="eastAsia"/>
        </w:rPr>
        <w:tab/>
      </w:r>
      <w:r>
        <w:rPr>
          <w:rFonts w:hint="eastAsia"/>
        </w:rPr>
        <w:fldChar w:fldCharType="begin"/>
      </w:r>
      <w:r>
        <w:rPr>
          <w:rFonts w:hint="eastAsia"/>
        </w:rPr>
        <w:instrText xml:space="preserve"> </w:instrText>
      </w:r>
      <w:r>
        <w:instrText xml:space="preserve">PAGEREF _Toc208498605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"_Toc208498606" </w:instrText>
      </w:r>
      <w:r>
        <w:fldChar w:fldCharType="separate"/>
      </w:r>
      <w:r>
        <w:rPr>
          <w:rStyle w:val="30"/>
          <w:rFonts w:hint="eastAsia"/>
        </w:rPr>
        <w:t>9 档案管理</w:t>
      </w:r>
      <w:r>
        <w:rPr>
          <w:rFonts w:hint="eastAsia"/>
        </w:rPr>
        <w:tab/>
      </w:r>
      <w:r>
        <w:rPr>
          <w:rFonts w:hint="eastAsia"/>
        </w:rPr>
        <w:fldChar w:fldCharType="begin"/>
      </w:r>
      <w:r>
        <w:rPr>
          <w:rFonts w:hint="eastAsia"/>
        </w:rPr>
        <w:instrText xml:space="preserve"> </w:instrText>
      </w:r>
      <w:r>
        <w:instrText xml:space="preserve">PAGEREF _Toc208498606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91"/>
        <w:spacing w:after="468"/>
      </w:pPr>
      <w:r>
        <w:fldChar w:fldCharType="end"/>
      </w:r>
    </w:p>
    <w:p>
      <w:pPr>
        <w:pStyle w:val="19"/>
        <w:tabs>
          <w:tab w:val="right" w:leader="dot" w:pos="9344"/>
        </w:tabs>
      </w:pP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TOC\o"1-1"\h</w:instrText>
      </w:r>
      <w:r>
        <w:fldChar w:fldCharType="separate"/>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208498584"/>
      <w:bookmarkStart w:id="24" w:name="_Toc161747176"/>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w:t>
      </w:r>
      <w:r>
        <w:rPr>
          <w:rFonts w:hint="eastAsia"/>
          <w:lang w:val="en-US" w:eastAsia="zh-CN"/>
        </w:rPr>
        <w:t xml:space="preserve"> </w:t>
      </w:r>
      <w:r>
        <w:rPr>
          <w:rFonts w:hint="eastAsia"/>
        </w:rPr>
        <w:t>第1部分：标准化文件的结构和起草规则》的规定起草。</w:t>
      </w:r>
    </w:p>
    <w:p>
      <w:pPr>
        <w:pStyle w:val="56"/>
        <w:ind w:firstLine="420"/>
        <w:rPr>
          <w:rFonts w:hint="eastAsia"/>
        </w:rPr>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本文件由湖南省农业农村厅提出。</w:t>
      </w:r>
      <w:bookmarkStart w:id="88" w:name="_GoBack"/>
      <w:bookmarkEnd w:id="88"/>
    </w:p>
    <w:p>
      <w:pPr>
        <w:pStyle w:val="56"/>
        <w:ind w:firstLine="420"/>
      </w:pPr>
      <w:r>
        <w:rPr>
          <w:rFonts w:hint="eastAsia"/>
        </w:rPr>
        <w:t xml:space="preserve">本文件由湖南省农业标准化技术委员会归口。 </w:t>
      </w:r>
    </w:p>
    <w:p>
      <w:pPr>
        <w:pStyle w:val="56"/>
        <w:ind w:firstLine="420"/>
      </w:pPr>
      <w:r>
        <w:rPr>
          <w:rFonts w:hint="eastAsia"/>
        </w:rPr>
        <w:t>本文件起草单位：湖南中联智慧农业有限责任公司、湖南杂交水稻研究中心、湖南省耕地与农业环境生态研究所。</w:t>
      </w:r>
    </w:p>
    <w:p>
      <w:pPr>
        <w:pStyle w:val="56"/>
        <w:ind w:firstLine="420"/>
      </w:pPr>
      <w:r>
        <w:rPr>
          <w:rFonts w:hint="eastAsia"/>
        </w:rPr>
        <w:t>本文件主要起草人：徐礼谱、沈绍红、戴力、王昌贵、宋扬、方宝华、唐海明、李超、谭峥峥、钟珊、王毅甫。</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A7AFE48D657544EAADBE6D582FE62B4B"/>
        </w:placeholder>
      </w:sdtPr>
      <w:sdtContent>
        <w:p>
          <w:pPr>
            <w:pStyle w:val="177"/>
            <w:spacing w:before="312" w:beforeLines="100" w:after="686" w:afterLines="220"/>
            <w:rPr>
              <w:rFonts w:hint="eastAsia"/>
            </w:rPr>
          </w:pPr>
          <w:bookmarkStart w:id="27" w:name="NEW_STAND_NAME"/>
          <w:bookmarkStart w:id="28" w:name="OLE_LINK1"/>
          <w:r>
            <w:rPr>
              <w:rFonts w:hint="eastAsia"/>
            </w:rPr>
            <w:t>水稻全程数字化精准变量施肥服务规范</w:t>
          </w:r>
        </w:p>
      </w:sdtContent>
    </w:sdt>
    <w:bookmarkEnd w:id="27"/>
    <w:bookmarkEnd w:id="28"/>
    <w:p>
      <w:pPr>
        <w:pStyle w:val="104"/>
        <w:spacing w:before="312" w:after="312"/>
      </w:pPr>
      <w:bookmarkStart w:id="29" w:name="_Toc208498585"/>
      <w:bookmarkStart w:id="30" w:name="_Toc24884211"/>
      <w:bookmarkStart w:id="31" w:name="_Toc161747150"/>
      <w:bookmarkStart w:id="32" w:name="_Toc26986530"/>
      <w:bookmarkStart w:id="33" w:name="_Toc161747177"/>
      <w:bookmarkStart w:id="34" w:name="_Toc26648465"/>
      <w:bookmarkStart w:id="35" w:name="_Toc17233325"/>
      <w:bookmarkStart w:id="36" w:name="_Toc26986771"/>
      <w:bookmarkStart w:id="37" w:name="_Toc17233333"/>
      <w:bookmarkStart w:id="38" w:name="_Toc24884218"/>
      <w:bookmarkStart w:id="39" w:name="_Toc26718930"/>
      <w:bookmarkStart w:id="40" w:name="_Toc9719142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24884212"/>
      <w:bookmarkStart w:id="42" w:name="_Toc26648466"/>
      <w:bookmarkStart w:id="43" w:name="_Toc17233326"/>
      <w:bookmarkStart w:id="44" w:name="_Toc24884219"/>
      <w:bookmarkStart w:id="45" w:name="_Toc17233334"/>
      <w:r>
        <w:rPr>
          <w:rFonts w:hint="eastAsia"/>
        </w:rPr>
        <w:t>本文件规定了水稻全程数字化精准变量施肥服务规范的基本要求、服务内容及要求、服务流程、服务质量控制、服务评价。</w:t>
      </w:r>
    </w:p>
    <w:p>
      <w:pPr>
        <w:pStyle w:val="56"/>
        <w:ind w:firstLine="420"/>
      </w:pPr>
      <w:r>
        <w:rPr>
          <w:rFonts w:hint="eastAsia"/>
        </w:rPr>
        <w:t>本文件适用于水稻全程精准施肥服务的实施、管理与评价。</w:t>
      </w:r>
    </w:p>
    <w:p>
      <w:pPr>
        <w:pStyle w:val="104"/>
        <w:spacing w:before="312" w:after="312"/>
      </w:pPr>
      <w:bookmarkStart w:id="46" w:name="_Toc97191424"/>
      <w:bookmarkStart w:id="47" w:name="_Toc208498586"/>
      <w:bookmarkStart w:id="48" w:name="_Toc161747178"/>
      <w:bookmarkStart w:id="49" w:name="_Toc161747151"/>
      <w:bookmarkStart w:id="50" w:name="_Toc26718931"/>
      <w:bookmarkStart w:id="51" w:name="_Toc26986531"/>
      <w:bookmarkStart w:id="52"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0F17441A2A4C47A09D258766F781C1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53" w:name="OLE_LINK5"/>
      <w:r>
        <w:rPr>
          <w:rFonts w:hint="eastAsia"/>
          <w:lang w:val="fr-FR"/>
        </w:rPr>
        <w:t>GB 16151</w:t>
      </w:r>
      <w:bookmarkEnd w:id="53"/>
      <w:r>
        <w:rPr>
          <w:rFonts w:hint="eastAsia"/>
          <w:lang w:val="fr-FR"/>
        </w:rPr>
        <w:t xml:space="preserve">  </w:t>
      </w:r>
      <w:r>
        <w:t>农业机械运行安全技术条件</w:t>
      </w:r>
    </w:p>
    <w:p>
      <w:pPr>
        <w:pStyle w:val="56"/>
        <w:ind w:firstLine="420"/>
      </w:pPr>
      <w:r>
        <w:t>GB/T 43071</w:t>
      </w:r>
      <w:r>
        <w:rPr>
          <w:rFonts w:hint="eastAsia"/>
        </w:rPr>
        <w:t xml:space="preserve">  植保无人机</w:t>
      </w:r>
    </w:p>
    <w:p>
      <w:pPr>
        <w:pStyle w:val="56"/>
        <w:ind w:firstLine="420"/>
      </w:pPr>
      <w:r>
        <w:t>NY/T3213</w:t>
      </w:r>
      <w:r>
        <w:rPr>
          <w:rFonts w:hint="eastAsia"/>
        </w:rPr>
        <w:t xml:space="preserve">  </w:t>
      </w:r>
      <w:r>
        <w:t>植保无人驾驶航空器 质量评价技术规范</w:t>
      </w:r>
    </w:p>
    <w:p>
      <w:pPr>
        <w:pStyle w:val="56"/>
        <w:ind w:firstLine="420"/>
      </w:pPr>
      <w:r>
        <w:rPr>
          <w:rFonts w:hint="eastAsia"/>
          <w:lang w:val="fr-FR"/>
        </w:rPr>
        <w:t xml:space="preserve">NY/T 496  </w:t>
      </w:r>
      <w:r>
        <w:rPr>
          <w:rFonts w:hint="eastAsia"/>
        </w:rPr>
        <w:t>肥料合理使用准则 通则</w:t>
      </w:r>
    </w:p>
    <w:p>
      <w:pPr>
        <w:pStyle w:val="56"/>
        <w:ind w:firstLine="420"/>
      </w:pPr>
      <w:r>
        <w:t>NY/T 4151</w:t>
      </w:r>
      <w:r>
        <w:rPr>
          <w:rFonts w:hint="eastAsia"/>
        </w:rPr>
        <w:t xml:space="preserve">  </w:t>
      </w:r>
      <w:r>
        <w:t>农业遥感监测无人机影像预处理技术规范</w:t>
      </w:r>
    </w:p>
    <w:p>
      <w:pPr>
        <w:pStyle w:val="56"/>
        <w:ind w:firstLine="420"/>
      </w:pPr>
      <w:r>
        <w:t>AC-91-FS-2015-31</w:t>
      </w:r>
      <w:r>
        <w:rPr>
          <w:rFonts w:hint="eastAsia"/>
        </w:rPr>
        <w:t xml:space="preserve"> </w:t>
      </w:r>
      <w:r>
        <w:fldChar w:fldCharType="begin"/>
      </w:r>
      <w:r>
        <w:instrText xml:space="preserve"> HYPERLINK "https://www.ccaonline.cn/zhengfu/xg-zhenggu/388642.html" \t "_blank" </w:instrText>
      </w:r>
      <w:r>
        <w:fldChar w:fldCharType="separate"/>
      </w:r>
      <w:r>
        <w:rPr>
          <w:rStyle w:val="30"/>
        </w:rPr>
        <w:t>轻小无人机运行规定</w:t>
      </w:r>
      <w:r>
        <w:rPr>
          <w:rStyle w:val="30"/>
        </w:rPr>
        <w:fldChar w:fldCharType="end"/>
      </w:r>
    </w:p>
    <w:p>
      <w:pPr>
        <w:pStyle w:val="56"/>
        <w:ind w:firstLine="420"/>
        <w:rPr>
          <w:lang w:val="fr-FR"/>
        </w:rPr>
      </w:pPr>
      <w:r>
        <w:rPr>
          <w:rFonts w:hint="eastAsia"/>
          <w:lang w:val="fr-FR"/>
        </w:rPr>
        <w:t xml:space="preserve">MH/T1069  </w:t>
      </w:r>
      <w:r>
        <w:t>无人驾驶航空器系统作业飞行技术规范</w:t>
      </w:r>
    </w:p>
    <w:p>
      <w:pPr>
        <w:pStyle w:val="56"/>
        <w:ind w:firstLine="420"/>
      </w:pPr>
      <w:bookmarkStart w:id="54" w:name="OLE_LINK2"/>
      <w:r>
        <w:rPr>
          <w:rFonts w:hint="eastAsia"/>
        </w:rPr>
        <w:t>DB34/T2734.2</w:t>
      </w:r>
      <w:bookmarkEnd w:id="54"/>
      <w:r>
        <w:rPr>
          <w:rFonts w:hint="eastAsia"/>
        </w:rPr>
        <w:t xml:space="preserve">  无人机影像采集及应用技术规程第2部分：水稻长势遥感监测</w:t>
      </w:r>
    </w:p>
    <w:p>
      <w:pPr>
        <w:pStyle w:val="104"/>
        <w:spacing w:before="312" w:after="312"/>
      </w:pPr>
      <w:bookmarkStart w:id="55" w:name="_Toc161747152"/>
      <w:bookmarkStart w:id="56" w:name="_Toc161747179"/>
      <w:bookmarkStart w:id="57" w:name="_Toc208498587"/>
      <w:bookmarkStart w:id="58" w:name="_Toc97191425"/>
      <w:r>
        <w:rPr>
          <w:rFonts w:hint="eastAsia"/>
          <w:szCs w:val="21"/>
        </w:rPr>
        <w:t>术语和定义</w:t>
      </w:r>
      <w:bookmarkEnd w:id="55"/>
      <w:bookmarkEnd w:id="56"/>
      <w:bookmarkEnd w:id="57"/>
      <w:bookmarkEnd w:id="58"/>
    </w:p>
    <w:sdt>
      <w:sdtPr>
        <w:rPr>
          <w:rFonts w:hint="eastAsia"/>
        </w:rPr>
        <w:id w:val="-1909835108"/>
        <w:placeholder>
          <w:docPart w:val="0D89EB1203084135B1D71B8D7283E7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59" w:name="_Toc26986532"/>
          <w:bookmarkEnd w:id="59"/>
          <w:bookmarkStart w:id="60" w:name="OLE_LINK3"/>
          <w:bookmarkEnd w:id="60"/>
          <w:r>
            <w:rPr>
              <w:rFonts w:hint="eastAsia"/>
            </w:rPr>
            <w:t>下列术语和定义适用于本文件。</w:t>
          </w:r>
        </w:p>
      </w:sdtContent>
    </w:sdt>
    <w:p>
      <w:pPr>
        <w:pStyle w:val="223"/>
      </w:pPr>
      <w:bookmarkStart w:id="61" w:name="_Toc161747153"/>
      <w:bookmarkStart w:id="62" w:name="_Toc161747180"/>
    </w:p>
    <w:p>
      <w:pPr>
        <w:pStyle w:val="56"/>
        <w:ind w:firstLine="420"/>
        <w:rPr>
          <w:rFonts w:hint="eastAsia" w:ascii="黑体" w:hAnsi="黑体" w:eastAsia="黑体"/>
        </w:rPr>
      </w:pPr>
      <w:r>
        <w:rPr>
          <w:rFonts w:hint="eastAsia" w:ascii="黑体" w:hAnsi="黑体" w:eastAsia="黑体"/>
        </w:rPr>
        <w:t xml:space="preserve">精准变量施肥 </w:t>
      </w:r>
      <w:r>
        <w:rPr>
          <w:rFonts w:ascii="黑体" w:hAnsi="黑体" w:eastAsia="黑体"/>
        </w:rPr>
        <w:t>Precision</w:t>
      </w:r>
      <w:r>
        <w:rPr>
          <w:rFonts w:hint="eastAsia" w:ascii="黑体" w:hAnsi="黑体" w:eastAsia="黑体"/>
        </w:rPr>
        <w:t xml:space="preserve"> </w:t>
      </w:r>
      <w:r>
        <w:rPr>
          <w:rFonts w:ascii="黑体" w:hAnsi="黑体" w:eastAsia="黑体"/>
        </w:rPr>
        <w:t>Variable</w:t>
      </w:r>
      <w:r>
        <w:rPr>
          <w:rFonts w:hint="eastAsia" w:ascii="黑体" w:hAnsi="黑体" w:eastAsia="黑体"/>
        </w:rPr>
        <w:t xml:space="preserve"> </w:t>
      </w:r>
      <w:r>
        <w:rPr>
          <w:rFonts w:ascii="黑体" w:hAnsi="黑体" w:eastAsia="黑体"/>
        </w:rPr>
        <w:t>Fertilization</w:t>
      </w:r>
    </w:p>
    <w:p>
      <w:pPr>
        <w:pStyle w:val="56"/>
        <w:ind w:firstLine="420"/>
      </w:pPr>
      <w:r>
        <w:rPr>
          <w:rFonts w:hint="eastAsia"/>
        </w:rPr>
        <w:t>根据水稻生长状况、土壤肥力等多源信息，利用现代信息技术和设备，精确确定水稻田中不同区域的肥料需求，并实现精准施肥的过程。</w:t>
      </w:r>
    </w:p>
    <w:p>
      <w:pPr>
        <w:pStyle w:val="223"/>
      </w:pPr>
    </w:p>
    <w:p>
      <w:pPr>
        <w:pStyle w:val="56"/>
        <w:ind w:firstLine="422"/>
        <w:rPr>
          <w:rFonts w:hint="eastAsia" w:ascii="黑体" w:hAnsi="黑体" w:eastAsia="黑体" w:cs="黑体"/>
          <w:b w:val="0"/>
          <w:bCs w:val="0"/>
        </w:rPr>
      </w:pPr>
      <w:r>
        <w:rPr>
          <w:rFonts w:hint="eastAsia" w:ascii="黑体" w:hAnsi="黑体" w:eastAsia="黑体" w:cs="黑体"/>
          <w:b w:val="0"/>
          <w:bCs w:val="0"/>
        </w:rPr>
        <w:t>施肥处方图 Precision Variable Fertilization</w:t>
      </w:r>
    </w:p>
    <w:p>
      <w:pPr>
        <w:pStyle w:val="56"/>
        <w:ind w:firstLine="420"/>
      </w:pPr>
      <w:r>
        <w:rPr>
          <w:rFonts w:hint="eastAsia"/>
        </w:rPr>
        <w:t>根据水稻生长状况、土壤肥力等多源信息，经过分析处理后生成的，用于指导不同区域施肥量的图件。</w:t>
      </w:r>
    </w:p>
    <w:p>
      <w:pPr>
        <w:pStyle w:val="223"/>
      </w:pPr>
    </w:p>
    <w:p>
      <w:pPr>
        <w:pStyle w:val="56"/>
        <w:ind w:firstLine="422"/>
        <w:rPr>
          <w:rFonts w:hint="eastAsia" w:ascii="黑体" w:hAnsi="黑体" w:eastAsia="黑体" w:cs="黑体"/>
          <w:b w:val="0"/>
          <w:bCs w:val="0"/>
        </w:rPr>
      </w:pPr>
      <w:r>
        <w:rPr>
          <w:rFonts w:hint="eastAsia" w:ascii="黑体" w:hAnsi="黑体" w:eastAsia="黑体" w:cs="黑体"/>
          <w:b w:val="0"/>
          <w:bCs w:val="0"/>
        </w:rPr>
        <w:t>变量施肥设备  Precision Variable Fertilization</w:t>
      </w:r>
    </w:p>
    <w:p>
      <w:pPr>
        <w:pStyle w:val="56"/>
        <w:ind w:firstLine="420"/>
      </w:pPr>
      <w:r>
        <w:rPr>
          <w:rFonts w:hint="eastAsia"/>
        </w:rPr>
        <w:t>能够根据预设的施肥处方图或实时监测数据，自动调整施肥量的机械设备，如变量施肥无人机、变量施肥机等。</w:t>
      </w:r>
    </w:p>
    <w:bookmarkEnd w:id="61"/>
    <w:bookmarkEnd w:id="62"/>
    <w:p>
      <w:pPr>
        <w:pStyle w:val="104"/>
        <w:spacing w:before="312" w:after="312"/>
      </w:pPr>
      <w:bookmarkStart w:id="63" w:name="_Toc208498588"/>
      <w:r>
        <w:rPr>
          <w:rFonts w:hint="eastAsia"/>
        </w:rPr>
        <w:t>基本要求</w:t>
      </w:r>
      <w:bookmarkEnd w:id="63"/>
    </w:p>
    <w:p>
      <w:pPr>
        <w:pStyle w:val="105"/>
        <w:spacing w:before="156" w:after="156"/>
      </w:pPr>
      <w:bookmarkStart w:id="64" w:name="_Toc208498589"/>
      <w:r>
        <w:rPr>
          <w:rFonts w:hint="eastAsia"/>
        </w:rPr>
        <w:t>总则</w:t>
      </w:r>
      <w:bookmarkEnd w:id="64"/>
    </w:p>
    <w:p>
      <w:pPr>
        <w:pStyle w:val="165"/>
      </w:pPr>
      <w:r>
        <w:rPr>
          <w:rFonts w:hint="eastAsia"/>
        </w:rPr>
        <w:t>以服务农业生产经营主体和农户为中心，坚持平等、自愿、互惠原则。</w:t>
      </w:r>
    </w:p>
    <w:p>
      <w:pPr>
        <w:pStyle w:val="165"/>
      </w:pPr>
      <w:r>
        <w:rPr>
          <w:rFonts w:hint="eastAsia"/>
        </w:rPr>
        <w:t>坚持科学化选肥、精准化施肥、合同化服务。</w:t>
      </w:r>
    </w:p>
    <w:p>
      <w:pPr>
        <w:pStyle w:val="165"/>
      </w:pPr>
      <w:r>
        <w:rPr>
          <w:rFonts w:hint="eastAsia"/>
        </w:rPr>
        <w:t>符合国家及地方有关种植业和环境保护的法律、法规、政策等监管要求。</w:t>
      </w:r>
    </w:p>
    <w:p>
      <w:pPr>
        <w:pStyle w:val="165"/>
      </w:pPr>
      <w:bookmarkStart w:id="65" w:name="OLE_LINK4"/>
      <w:r>
        <w:rPr>
          <w:rFonts w:hint="eastAsia"/>
        </w:rPr>
        <w:t>作业环境应符合水稻数字化精准变量施肥条件，</w:t>
      </w:r>
      <w:r>
        <w:t>耕作田块应实现田面平整</w:t>
      </w:r>
      <w:r>
        <w:rPr>
          <w:rFonts w:hint="eastAsia"/>
        </w:rPr>
        <w:t>，</w:t>
      </w:r>
      <w:r>
        <w:t>灌溉与排水工程应配套完整,</w:t>
      </w:r>
      <w:r>
        <w:rPr>
          <w:rFonts w:ascii="Calibri" w:hAnsi="Calibri"/>
          <w:kern w:val="2"/>
          <w:szCs w:val="21"/>
        </w:rPr>
        <w:t xml:space="preserve"> </w:t>
      </w:r>
      <w:r>
        <w:t>满足农业生产的需要</w:t>
      </w:r>
      <w:r>
        <w:rPr>
          <w:rFonts w:hint="eastAsia"/>
        </w:rPr>
        <w:t>，应符合规范</w:t>
      </w:r>
      <w:r>
        <w:t>GB/T</w:t>
      </w:r>
      <w:r>
        <w:rPr>
          <w:rFonts w:hint="eastAsia"/>
        </w:rPr>
        <w:t xml:space="preserve"> </w:t>
      </w:r>
      <w:r>
        <w:t>30600</w:t>
      </w:r>
      <w:r>
        <w:rPr>
          <w:rFonts w:hint="eastAsia"/>
        </w:rPr>
        <w:t>要求</w:t>
      </w:r>
      <w:bookmarkEnd w:id="65"/>
      <w:r>
        <w:rPr>
          <w:rFonts w:hint="eastAsia"/>
          <w:lang w:eastAsia="zh-CN"/>
        </w:rPr>
        <w:t>，</w:t>
      </w:r>
      <w:r>
        <w:rPr>
          <w:rFonts w:hint="eastAsia"/>
        </w:rPr>
        <w:t>并具备机械化、信息化作业相关交通、通讯等基础条件。</w:t>
      </w:r>
    </w:p>
    <w:p>
      <w:pPr>
        <w:pStyle w:val="105"/>
        <w:spacing w:before="156" w:after="156"/>
      </w:pPr>
      <w:bookmarkStart w:id="66" w:name="_Toc208498590"/>
      <w:r>
        <w:rPr>
          <w:rFonts w:hint="eastAsia"/>
        </w:rPr>
        <w:t>基本要求</w:t>
      </w:r>
      <w:bookmarkEnd w:id="66"/>
    </w:p>
    <w:p>
      <w:pPr>
        <w:pStyle w:val="65"/>
        <w:spacing w:before="156" w:after="156"/>
      </w:pPr>
      <w:r>
        <w:rPr>
          <w:rFonts w:hint="eastAsia"/>
        </w:rPr>
        <w:t>资质要求</w:t>
      </w:r>
    </w:p>
    <w:p>
      <w:pPr>
        <w:pStyle w:val="56"/>
        <w:ind w:firstLine="420"/>
      </w:pPr>
      <w:r>
        <w:rPr>
          <w:rFonts w:hint="eastAsia"/>
        </w:rPr>
        <w:t>服务组织应具有独立法人资格及主管部门要求的相应资质。</w:t>
      </w:r>
    </w:p>
    <w:p>
      <w:pPr>
        <w:pStyle w:val="65"/>
        <w:spacing w:before="156" w:after="156"/>
      </w:pPr>
      <w:r>
        <w:rPr>
          <w:rFonts w:hint="eastAsia"/>
        </w:rPr>
        <w:t>设施设备要求</w:t>
      </w:r>
    </w:p>
    <w:p>
      <w:pPr>
        <w:pStyle w:val="164"/>
        <w:ind w:left="0"/>
      </w:pPr>
      <w:r>
        <w:rPr>
          <w:rFonts w:hint="eastAsia"/>
        </w:rPr>
        <w:t>服务组织应具有固定的合法生产经营场所，配备通信、交通、办公等服务设施设备。</w:t>
      </w:r>
    </w:p>
    <w:p>
      <w:pPr>
        <w:pStyle w:val="164"/>
        <w:ind w:left="0"/>
      </w:pPr>
      <w:r>
        <w:rPr>
          <w:rFonts w:hint="eastAsia"/>
        </w:rPr>
        <w:t>服务组织应配备专业工作团队。</w:t>
      </w:r>
    </w:p>
    <w:p>
      <w:pPr>
        <w:pStyle w:val="164"/>
        <w:ind w:left="0"/>
      </w:pPr>
      <w:r>
        <w:rPr>
          <w:rFonts w:hint="eastAsia"/>
        </w:rPr>
        <w:t>服务组织应配备土壤采集、土壤检测、水稻遥感长势数据采集、变量施肥等服务作业设备，有条件的宜配备自动化作业设备。作业设备应先进适用、安全可控、节能环保，作业性能符合国家相关规定。</w:t>
      </w:r>
    </w:p>
    <w:p>
      <w:pPr>
        <w:pStyle w:val="164"/>
        <w:ind w:left="0"/>
      </w:pPr>
      <w:r>
        <w:rPr>
          <w:rFonts w:hint="eastAsia"/>
        </w:rPr>
        <w:t>服务组织因建立数字化服务管理平台，具备实现服务互动、协议签订、数据采集、肥力地图、变量施肥处方生成、遥感长势监测、作业监控、档案存储等服务信息的全程数字化管理能力</w:t>
      </w:r>
      <w:r>
        <w:rPr>
          <w:rFonts w:hint="eastAsia"/>
          <w:lang w:eastAsia="zh-CN"/>
        </w:rPr>
        <w:t>，</w:t>
      </w:r>
      <w:r>
        <w:rPr>
          <w:rFonts w:hint="eastAsia"/>
        </w:rPr>
        <w:t>并为服务对象设立专用账户，供其接收、查看相关信息资料。</w:t>
      </w:r>
    </w:p>
    <w:p>
      <w:pPr>
        <w:pStyle w:val="65"/>
        <w:spacing w:before="156" w:after="156"/>
      </w:pPr>
      <w:r>
        <w:rPr>
          <w:rFonts w:hint="eastAsia"/>
        </w:rPr>
        <w:t>人员要求</w:t>
      </w:r>
    </w:p>
    <w:p>
      <w:pPr>
        <w:pStyle w:val="164"/>
        <w:ind w:left="0"/>
      </w:pPr>
      <w:r>
        <w:rPr>
          <w:rFonts w:hint="eastAsia"/>
        </w:rPr>
        <w:t>服务组织应配备与精准施肥作业、服务能力匹配的服务人员和技术人员，有资质要求的应持证上岗。</w:t>
      </w:r>
    </w:p>
    <w:p>
      <w:pPr>
        <w:pStyle w:val="164"/>
        <w:ind w:left="0"/>
      </w:pPr>
      <w:r>
        <w:rPr>
          <w:rFonts w:hint="eastAsia"/>
        </w:rPr>
        <w:t>服务组织应定期对技术人员提供安全生产业务培训及专业技术培训。</w:t>
      </w:r>
    </w:p>
    <w:p>
      <w:pPr>
        <w:pStyle w:val="164"/>
        <w:ind w:left="0"/>
      </w:pPr>
      <w:r>
        <w:rPr>
          <w:rFonts w:hint="eastAsia"/>
        </w:rPr>
        <w:t>服务和技术人员应掌握农业生产相关法律、法规和政策文件。</w:t>
      </w:r>
    </w:p>
    <w:p>
      <w:pPr>
        <w:pStyle w:val="164"/>
        <w:ind w:left="0" w:hanging="1"/>
      </w:pPr>
      <w:r>
        <w:rPr>
          <w:rFonts w:hint="eastAsia"/>
        </w:rPr>
        <w:t>服务和技术人员应具备满足服务岗位要求的专业知识，熟悉服务程序和服务要求。</w:t>
      </w:r>
    </w:p>
    <w:p>
      <w:pPr>
        <w:pStyle w:val="65"/>
        <w:spacing w:before="156" w:after="156"/>
      </w:pPr>
      <w:r>
        <w:rPr>
          <w:rFonts w:hint="eastAsia"/>
        </w:rPr>
        <w:t>管理制度要求</w:t>
      </w:r>
    </w:p>
    <w:p>
      <w:pPr>
        <w:pStyle w:val="164"/>
        <w:ind w:left="0"/>
      </w:pPr>
      <w:r>
        <w:rPr>
          <w:rFonts w:hint="eastAsia"/>
        </w:rPr>
        <w:t>服务组织应具有人员管理、作业管理、质量管理、信息管理、安全管理、应急管理、合同管理、财务结算管理、纠纷处理、档案管理等服务管理制度。</w:t>
      </w:r>
    </w:p>
    <w:p>
      <w:pPr>
        <w:pStyle w:val="164"/>
        <w:ind w:left="0"/>
      </w:pPr>
      <w:r>
        <w:rPr>
          <w:rFonts w:hint="eastAsia"/>
        </w:rPr>
        <w:t>服务组织应公开精准施肥服务质量、服务流程和服务承诺。</w:t>
      </w:r>
    </w:p>
    <w:p>
      <w:pPr>
        <w:pStyle w:val="105"/>
        <w:spacing w:before="156" w:after="156"/>
      </w:pPr>
      <w:bookmarkStart w:id="67" w:name="_Toc208498591"/>
      <w:r>
        <w:rPr>
          <w:rFonts w:hint="eastAsia"/>
        </w:rPr>
        <w:t>服务方式及内容</w:t>
      </w:r>
      <w:bookmarkEnd w:id="67"/>
    </w:p>
    <w:p>
      <w:pPr>
        <w:pStyle w:val="165"/>
      </w:pPr>
      <w:r>
        <w:rPr>
          <w:rFonts w:hint="eastAsia"/>
        </w:rPr>
        <w:t>服务组织可根据服务对象具体需求提供水稻全程数字化精准变量施肥全包服务、半包服务和技术支持服务。</w:t>
      </w:r>
    </w:p>
    <w:p>
      <w:pPr>
        <w:pStyle w:val="165"/>
      </w:pPr>
      <w:r>
        <w:rPr>
          <w:rFonts w:hint="eastAsia"/>
        </w:rPr>
        <w:t>全包服务中，服务组织提供土壤取样、土壤检测、变量施肥处方、肥料、水稻遥感长势监测、数字化精准变量施肥作业，服务对象可在数字化平台查看所有数字化信息。</w:t>
      </w:r>
    </w:p>
    <w:p>
      <w:pPr>
        <w:pStyle w:val="165"/>
      </w:pPr>
      <w:r>
        <w:rPr>
          <w:rFonts w:hint="eastAsia"/>
        </w:rPr>
        <w:t>半包服务中，服务组织提供土壤取样、土壤检测、变量施肥处方、水稻遥感长势监测</w:t>
      </w:r>
      <w:bookmarkStart w:id="68" w:name="OLE_LINK6"/>
      <w:r>
        <w:rPr>
          <w:rFonts w:hint="eastAsia"/>
        </w:rPr>
        <w:t>、数字化精准变量施肥作业</w:t>
      </w:r>
      <w:bookmarkEnd w:id="68"/>
      <w:r>
        <w:rPr>
          <w:rFonts w:hint="eastAsia"/>
        </w:rPr>
        <w:t>，服务对象可在数字化平台查看所有数字化信息。</w:t>
      </w:r>
    </w:p>
    <w:p>
      <w:pPr>
        <w:pStyle w:val="165"/>
      </w:pPr>
      <w:r>
        <w:rPr>
          <w:rFonts w:hint="eastAsia"/>
        </w:rPr>
        <w:t>技术支持中，服务组织提供土壤取样、土壤检测、变量施肥处方、数字化精准变量施肥作业指导，服务对象可在数字化平台查看所有数字化信息。</w:t>
      </w:r>
    </w:p>
    <w:p>
      <w:pPr>
        <w:pStyle w:val="104"/>
        <w:spacing w:before="312" w:after="312"/>
      </w:pPr>
      <w:bookmarkStart w:id="69" w:name="_Toc208498592"/>
      <w:r>
        <w:rPr>
          <w:rFonts w:hint="eastAsia"/>
        </w:rPr>
        <w:t>合同签订</w:t>
      </w:r>
      <w:bookmarkEnd w:id="69"/>
    </w:p>
    <w:p>
      <w:pPr>
        <w:pStyle w:val="56"/>
        <w:ind w:firstLine="420"/>
        <w:rPr>
          <w:color w:val="FF0000"/>
        </w:rPr>
      </w:pPr>
      <w:r>
        <w:rPr>
          <w:rFonts w:hint="eastAsia"/>
        </w:rPr>
        <w:t>服务组织应根据服务需求与服务对象签订精准施肥服务合同，合同内容应包括但不限于服务对象的基本信息、作物品种、种植面积、目标产量、服务类型、收费标准、结算方式、双方权利和义务、违约责任等，主要内容见附录A。</w:t>
      </w:r>
    </w:p>
    <w:p>
      <w:pPr>
        <w:pStyle w:val="104"/>
        <w:spacing w:before="312" w:after="312"/>
      </w:pPr>
      <w:bookmarkStart w:id="70" w:name="_Toc208498593"/>
      <w:r>
        <w:rPr>
          <w:rFonts w:hint="eastAsia"/>
        </w:rPr>
        <w:t>服务内容与要求</w:t>
      </w:r>
      <w:bookmarkEnd w:id="70"/>
    </w:p>
    <w:p>
      <w:pPr>
        <w:pStyle w:val="105"/>
        <w:spacing w:before="156" w:after="156"/>
      </w:pPr>
      <w:bookmarkStart w:id="71" w:name="_Toc208498594"/>
      <w:r>
        <w:rPr>
          <w:rFonts w:hint="eastAsia"/>
        </w:rPr>
        <w:t>农资和农机选用</w:t>
      </w:r>
      <w:bookmarkEnd w:id="71"/>
    </w:p>
    <w:p>
      <w:pPr>
        <w:pStyle w:val="165"/>
      </w:pPr>
      <w:r>
        <w:rPr>
          <w:rFonts w:hint="eastAsia"/>
        </w:rPr>
        <w:t>按合同约定提供农资和农机选用服务。</w:t>
      </w:r>
    </w:p>
    <w:p>
      <w:pPr>
        <w:pStyle w:val="165"/>
      </w:pPr>
      <w:r>
        <w:rPr>
          <w:rFonts w:hint="eastAsia"/>
        </w:rPr>
        <w:t>服务组织提供农资时，肥料应符合 NY/T 496相关规定。</w:t>
      </w:r>
    </w:p>
    <w:p>
      <w:pPr>
        <w:pStyle w:val="165"/>
      </w:pPr>
      <w:r>
        <w:rPr>
          <w:rFonts w:hint="eastAsia"/>
        </w:rPr>
        <w:t>服务组织选用的农机应符合</w:t>
      </w:r>
      <w:r>
        <w:rPr>
          <w:rFonts w:hint="eastAsia"/>
          <w:lang w:val="fr-FR"/>
        </w:rPr>
        <w:t>GB 16151与</w:t>
      </w:r>
      <w:r>
        <w:t>GB/T 43071</w:t>
      </w:r>
      <w:r>
        <w:rPr>
          <w:rFonts w:hint="eastAsia"/>
        </w:rPr>
        <w:t>相关规定，须具备变量施肥作业功能。</w:t>
      </w:r>
    </w:p>
    <w:p>
      <w:pPr>
        <w:pStyle w:val="105"/>
        <w:spacing w:before="156" w:after="156"/>
      </w:pPr>
      <w:bookmarkStart w:id="72" w:name="_Toc208498595"/>
      <w:r>
        <w:rPr>
          <w:rFonts w:hint="eastAsia"/>
        </w:rPr>
        <w:t>土壤检测</w:t>
      </w:r>
      <w:bookmarkEnd w:id="72"/>
    </w:p>
    <w:p>
      <w:pPr>
        <w:pStyle w:val="165"/>
      </w:pPr>
      <w:r>
        <w:rPr>
          <w:rFonts w:hint="eastAsia"/>
        </w:rPr>
        <w:t>按照合同约定提供土壤采样规划、取样与土壤检测服务。</w:t>
      </w:r>
    </w:p>
    <w:p>
      <w:pPr>
        <w:pStyle w:val="165"/>
      </w:pPr>
      <w:r>
        <w:t>土壤采样密度</w:t>
      </w:r>
      <w:r>
        <w:rPr>
          <w:rFonts w:hint="eastAsia"/>
        </w:rPr>
        <w:t>应</w:t>
      </w:r>
      <w:r>
        <w:t>不低于1个/15亩，单个样品由不少于10个取样点0-20cm深</w:t>
      </w:r>
      <w:r>
        <w:rPr>
          <w:rFonts w:hint="eastAsia"/>
        </w:rPr>
        <w:t>的土壤混合</w:t>
      </w:r>
      <w:r>
        <w:t>组成，且</w:t>
      </w:r>
      <w:r>
        <w:rPr>
          <w:rFonts w:hint="eastAsia"/>
        </w:rPr>
        <w:t>单个混合土样</w:t>
      </w:r>
      <w:r>
        <w:t>量不少于</w:t>
      </w:r>
      <w:r>
        <w:rPr>
          <w:rFonts w:hint="eastAsia"/>
        </w:rPr>
        <w:t>1kg</w:t>
      </w:r>
      <w:r>
        <w:t>。</w:t>
      </w:r>
    </w:p>
    <w:p>
      <w:pPr>
        <w:pStyle w:val="165"/>
      </w:pPr>
      <w:r>
        <w:rPr>
          <w:rFonts w:hint="eastAsia"/>
        </w:rPr>
        <w:t>土壤检测指标应包括碱解氮、有效磷、速效钾、pH、</w:t>
      </w:r>
      <w:r>
        <w:t>Buffer-pH</w:t>
      </w:r>
      <w:r>
        <w:rPr>
          <w:rFonts w:hint="eastAsia"/>
        </w:rPr>
        <w:t>、有机质、阳离子交换量、有效钙、有效镁，可根据具体需求增加其他中微量元素指标。</w:t>
      </w:r>
    </w:p>
    <w:p>
      <w:pPr>
        <w:pStyle w:val="165"/>
      </w:pPr>
      <w:r>
        <w:rPr>
          <w:rFonts w:hint="eastAsia"/>
        </w:rPr>
        <w:t>土壤检测结果、农田肥力分布图及数字化展示等应在土壤取样后1周内上传至数字化平台，可供服务对象查看。</w:t>
      </w:r>
    </w:p>
    <w:p>
      <w:pPr>
        <w:pStyle w:val="105"/>
        <w:spacing w:before="156" w:after="156"/>
      </w:pPr>
      <w:bookmarkStart w:id="73" w:name="_Toc208498596"/>
      <w:r>
        <w:rPr>
          <w:rFonts w:hint="eastAsia"/>
        </w:rPr>
        <w:t>基肥、分蘖肥变量处方出具</w:t>
      </w:r>
      <w:bookmarkEnd w:id="73"/>
    </w:p>
    <w:p>
      <w:pPr>
        <w:pStyle w:val="165"/>
      </w:pPr>
      <w:r>
        <w:rPr>
          <w:rFonts w:hint="eastAsia"/>
        </w:rPr>
        <w:t>按照合同约定提供变量施肥处方服务。</w:t>
      </w:r>
    </w:p>
    <w:p>
      <w:pPr>
        <w:pStyle w:val="165"/>
      </w:pPr>
      <w:r>
        <w:rPr>
          <w:rFonts w:hint="eastAsia"/>
        </w:rPr>
        <w:t>应做到一丘田一个独立施肥处方。</w:t>
      </w:r>
    </w:p>
    <w:p>
      <w:pPr>
        <w:pStyle w:val="165"/>
      </w:pPr>
      <w:r>
        <w:rPr>
          <w:rFonts w:hint="eastAsia"/>
        </w:rPr>
        <w:t>变量施肥处方图应上传至数字化平台，可供服务对象查看。</w:t>
      </w:r>
    </w:p>
    <w:p>
      <w:pPr>
        <w:pStyle w:val="105"/>
        <w:spacing w:before="156" w:after="156"/>
      </w:pPr>
      <w:bookmarkStart w:id="74" w:name="_Toc208498597"/>
      <w:r>
        <w:rPr>
          <w:rFonts w:hint="eastAsia"/>
        </w:rPr>
        <w:t>穗肥变量处方出具</w:t>
      </w:r>
      <w:bookmarkEnd w:id="74"/>
    </w:p>
    <w:p>
      <w:pPr>
        <w:pStyle w:val="165"/>
      </w:pPr>
      <w:r>
        <w:rPr>
          <w:rFonts w:hint="eastAsia"/>
        </w:rPr>
        <w:t>按合同约定提供水稻遥感长势监测和穗肥变量施肥处方服务。</w:t>
      </w:r>
    </w:p>
    <w:p>
      <w:pPr>
        <w:pStyle w:val="165"/>
      </w:pPr>
      <w:r>
        <w:rPr>
          <w:rFonts w:hint="eastAsia"/>
        </w:rPr>
        <w:t xml:space="preserve">遥感长势监测规范可参考 </w:t>
      </w:r>
      <w:r>
        <w:t>DB34/T</w:t>
      </w:r>
      <w:r>
        <w:rPr>
          <w:rFonts w:hint="eastAsia"/>
        </w:rPr>
        <w:t xml:space="preserve"> </w:t>
      </w:r>
      <w:r>
        <w:t>2734.2</w:t>
      </w:r>
      <w:r>
        <w:rPr>
          <w:rFonts w:hint="eastAsia"/>
        </w:rPr>
        <w:t xml:space="preserve"> 要求。</w:t>
      </w:r>
    </w:p>
    <w:p>
      <w:pPr>
        <w:pStyle w:val="165"/>
      </w:pPr>
      <w:r>
        <w:rPr>
          <w:rFonts w:hint="eastAsia"/>
        </w:rPr>
        <w:t>穗肥变量施肥处方中，田块内每种肥料用量应根据遥感长势监测结果变化。</w:t>
      </w:r>
    </w:p>
    <w:p>
      <w:pPr>
        <w:pStyle w:val="165"/>
      </w:pPr>
      <w:r>
        <w:rPr>
          <w:rFonts w:hint="eastAsia"/>
        </w:rPr>
        <w:t>遥感长势监测结果与变量施肥处方应及时上传至数字化平台，可供服务对象查看。</w:t>
      </w:r>
    </w:p>
    <w:p>
      <w:pPr>
        <w:pStyle w:val="105"/>
        <w:spacing w:before="156" w:after="156"/>
      </w:pPr>
      <w:bookmarkStart w:id="75" w:name="_Toc208498598"/>
      <w:r>
        <w:rPr>
          <w:rFonts w:hint="eastAsia"/>
        </w:rPr>
        <w:t>肥料（农资）运输和保管</w:t>
      </w:r>
      <w:bookmarkEnd w:id="75"/>
    </w:p>
    <w:p>
      <w:pPr>
        <w:pStyle w:val="165"/>
      </w:pPr>
      <w:r>
        <w:rPr>
          <w:rFonts w:hint="eastAsia"/>
        </w:rPr>
        <w:t>服务组织应指导服务对象选择合理运输工具和科学保管方法。</w:t>
      </w:r>
    </w:p>
    <w:p>
      <w:pPr>
        <w:pStyle w:val="165"/>
      </w:pPr>
      <w:r>
        <w:rPr>
          <w:rFonts w:hint="eastAsia"/>
        </w:rPr>
        <w:t>若服务组织采用第三方运输主体，应与第三方运输主体签订协议，合理安排运输时效。</w:t>
      </w:r>
    </w:p>
    <w:p>
      <w:pPr>
        <w:pStyle w:val="105"/>
        <w:spacing w:before="156" w:after="156"/>
      </w:pPr>
      <w:bookmarkStart w:id="76" w:name="_Toc208498599"/>
      <w:r>
        <w:rPr>
          <w:rFonts w:hint="eastAsia"/>
        </w:rPr>
        <w:t>施肥作业</w:t>
      </w:r>
      <w:bookmarkEnd w:id="76"/>
    </w:p>
    <w:p>
      <w:pPr>
        <w:pStyle w:val="165"/>
      </w:pPr>
      <w:r>
        <w:rPr>
          <w:rFonts w:hint="eastAsia"/>
        </w:rPr>
        <w:t>按合同约定提供精准施肥作业服务。</w:t>
      </w:r>
    </w:p>
    <w:p>
      <w:pPr>
        <w:pStyle w:val="165"/>
      </w:pPr>
      <w:r>
        <w:rPr>
          <w:rFonts w:hint="eastAsia"/>
        </w:rPr>
        <w:t>农业无人机须符合</w:t>
      </w:r>
      <w:r>
        <w:t> </w:t>
      </w:r>
      <w:bookmarkStart w:id="77" w:name="OLE_LINK7"/>
      <w:r>
        <w:t xml:space="preserve">AC-91-FS-2015-31 </w:t>
      </w:r>
      <w:bookmarkEnd w:id="77"/>
      <w:r>
        <w:t>的相关规定和 NY/T</w:t>
      </w:r>
      <w:r>
        <w:rPr>
          <w:rFonts w:hint="eastAsia"/>
        </w:rPr>
        <w:t xml:space="preserve"> </w:t>
      </w:r>
      <w:r>
        <w:t>3213 相关要求</w:t>
      </w:r>
    </w:p>
    <w:p>
      <w:pPr>
        <w:pStyle w:val="165"/>
      </w:pPr>
      <w:r>
        <w:rPr>
          <w:rFonts w:hint="eastAsia"/>
        </w:rPr>
        <w:t>应根据施肥处方精准控制施肥量（误差≤±5%）和施肥位置。</w:t>
      </w:r>
    </w:p>
    <w:p>
      <w:pPr>
        <w:pStyle w:val="165"/>
      </w:pPr>
      <w:r>
        <w:rPr>
          <w:rFonts w:hint="eastAsia"/>
        </w:rPr>
        <w:t>数字化平台应及时上传变量施肥处方图、变量施肥作业轨迹、肥料用量等信息，可供服务对象查看。</w:t>
      </w:r>
    </w:p>
    <w:p>
      <w:pPr>
        <w:pStyle w:val="165"/>
      </w:pPr>
      <w:r>
        <w:rPr>
          <w:rFonts w:hint="eastAsia"/>
        </w:rPr>
        <w:t>施肥作业完成后服务组织应填写施肥确认单，如实记录作业机手、作业时间、作业农场、肥料用量等信息，并由服务对象签字。施肥作业确认单见附录B。</w:t>
      </w:r>
    </w:p>
    <w:p>
      <w:pPr>
        <w:pStyle w:val="105"/>
        <w:spacing w:before="156" w:after="156"/>
      </w:pPr>
      <w:bookmarkStart w:id="78" w:name="_Toc208498600"/>
      <w:r>
        <w:rPr>
          <w:rFonts w:hint="eastAsia"/>
        </w:rPr>
        <w:t>其他</w:t>
      </w:r>
      <w:bookmarkEnd w:id="78"/>
    </w:p>
    <w:p>
      <w:pPr>
        <w:pStyle w:val="165"/>
      </w:pPr>
      <w:r>
        <w:rPr>
          <w:rFonts w:hint="eastAsia"/>
        </w:rPr>
        <w:t>服务组织应提前告知服务对象及时做好灌水等施肥准备。</w:t>
      </w:r>
    </w:p>
    <w:p>
      <w:pPr>
        <w:pStyle w:val="165"/>
      </w:pPr>
      <w:r>
        <w:rPr>
          <w:rFonts w:hint="eastAsia"/>
        </w:rPr>
        <w:t>服务组织可为服务对象提供精准施肥之外的技术提示和指导。</w:t>
      </w:r>
    </w:p>
    <w:p>
      <w:pPr>
        <w:pStyle w:val="165"/>
      </w:pPr>
      <w:r>
        <w:rPr>
          <w:rFonts w:hint="eastAsia"/>
        </w:rPr>
        <w:t>服务组织应设立电话、传真、及时通信等便捷的信息服务渠道，接受服务对象的信息咨询和投诉。</w:t>
      </w:r>
    </w:p>
    <w:p>
      <w:pPr>
        <w:pStyle w:val="165"/>
      </w:pPr>
      <w:r>
        <w:rPr>
          <w:rFonts w:hint="eastAsia"/>
        </w:rPr>
        <w:t>服务组织提供的服务信息应及时、准确、完整。</w:t>
      </w:r>
    </w:p>
    <w:p>
      <w:pPr>
        <w:pStyle w:val="165"/>
      </w:pPr>
      <w:r>
        <w:rPr>
          <w:rFonts w:hint="eastAsia"/>
        </w:rPr>
        <w:t>服务组织应妥善保护、合理使用服务对象的信息。</w:t>
      </w:r>
    </w:p>
    <w:p>
      <w:pPr>
        <w:pStyle w:val="104"/>
        <w:spacing w:before="312" w:after="312"/>
      </w:pPr>
      <w:bookmarkStart w:id="79" w:name="_Toc208498601"/>
      <w:r>
        <w:rPr>
          <w:rFonts w:hint="eastAsia"/>
        </w:rPr>
        <w:t>服务质量控制</w:t>
      </w:r>
      <w:bookmarkEnd w:id="79"/>
    </w:p>
    <w:p>
      <w:pPr>
        <w:pStyle w:val="105"/>
        <w:spacing w:before="156" w:after="156"/>
      </w:pPr>
      <w:bookmarkStart w:id="80" w:name="_Toc208498602"/>
      <w:r>
        <w:rPr>
          <w:rFonts w:hint="eastAsia"/>
        </w:rPr>
        <w:t>服务质量</w:t>
      </w:r>
      <w:bookmarkEnd w:id="80"/>
    </w:p>
    <w:p>
      <w:pPr>
        <w:pStyle w:val="56"/>
        <w:ind w:firstLine="420"/>
        <w:rPr>
          <w:color w:val="FF0000"/>
        </w:rPr>
      </w:pPr>
      <w:r>
        <w:rPr>
          <w:rFonts w:hint="eastAsia"/>
        </w:rPr>
        <w:t>精准施肥服务质量应符合双方合同约定的质量要求。</w:t>
      </w:r>
    </w:p>
    <w:p>
      <w:pPr>
        <w:pStyle w:val="105"/>
        <w:spacing w:before="156" w:after="156"/>
      </w:pPr>
      <w:bookmarkStart w:id="81" w:name="_Toc208498603"/>
      <w:r>
        <w:rPr>
          <w:rFonts w:hint="eastAsia"/>
        </w:rPr>
        <w:t>风险管控</w:t>
      </w:r>
      <w:bookmarkEnd w:id="81"/>
    </w:p>
    <w:p>
      <w:pPr>
        <w:pStyle w:val="165"/>
      </w:pPr>
      <w:r>
        <w:rPr>
          <w:rFonts w:hint="eastAsia"/>
        </w:rPr>
        <w:t>服务组织应要求服务人员在作业前认真检查相关设施设备，保证处于良好状态，能够满足安全作业需要。</w:t>
      </w:r>
    </w:p>
    <w:p>
      <w:pPr>
        <w:pStyle w:val="165"/>
      </w:pPr>
      <w:r>
        <w:rPr>
          <w:rFonts w:hint="eastAsia"/>
        </w:rPr>
        <w:t>服务组织应针对人身安全、机械故障等潜在风险，提前制定防护措施。</w:t>
      </w:r>
    </w:p>
    <w:p>
      <w:pPr>
        <w:pStyle w:val="165"/>
      </w:pPr>
      <w:r>
        <w:rPr>
          <w:rFonts w:hint="eastAsia"/>
        </w:rPr>
        <w:t>服务组织应对重大意外风险类型(如人身伤亡、自然灾害、机械事故等)制定相应的应急预案，并在突发时迅速应对。</w:t>
      </w:r>
    </w:p>
    <w:p>
      <w:pPr>
        <w:pStyle w:val="105"/>
        <w:spacing w:before="156" w:after="156"/>
      </w:pPr>
      <w:bookmarkStart w:id="82" w:name="_Toc208498604"/>
      <w:r>
        <w:rPr>
          <w:rFonts w:hint="eastAsia"/>
        </w:rPr>
        <w:t>纠纷处理</w:t>
      </w:r>
      <w:bookmarkEnd w:id="82"/>
    </w:p>
    <w:p>
      <w:pPr>
        <w:pStyle w:val="165"/>
      </w:pPr>
      <w:r>
        <w:rPr>
          <w:rFonts w:hint="eastAsia"/>
        </w:rPr>
        <w:t>服务组织应建立畅通投诉渠道，服务对象对施肥质量存在异议或投诉时，应及时主动与服务对象友善沟通，投诉处理应有记录。</w:t>
      </w:r>
    </w:p>
    <w:p>
      <w:pPr>
        <w:pStyle w:val="165"/>
      </w:pPr>
      <w:r>
        <w:rPr>
          <w:rFonts w:hint="eastAsia"/>
        </w:rPr>
        <w:t>投诉和纠纷应根据合同相关约定及时处理。</w:t>
      </w:r>
    </w:p>
    <w:p>
      <w:pPr>
        <w:pStyle w:val="165"/>
      </w:pPr>
      <w:r>
        <w:rPr>
          <w:rFonts w:hint="eastAsia"/>
        </w:rPr>
        <w:t>合同无约定的，可通过协商、调解、仲裁、诉讼等渠道妥善解决。</w:t>
      </w:r>
    </w:p>
    <w:p>
      <w:pPr>
        <w:pStyle w:val="104"/>
        <w:spacing w:before="312" w:after="312"/>
      </w:pPr>
      <w:bookmarkStart w:id="83" w:name="_Toc208498605"/>
      <w:r>
        <w:rPr>
          <w:rFonts w:hint="eastAsia"/>
        </w:rPr>
        <w:t>服务评价</w:t>
      </w:r>
      <w:bookmarkEnd w:id="83"/>
    </w:p>
    <w:p>
      <w:pPr>
        <w:pStyle w:val="162"/>
      </w:pPr>
      <w:r>
        <w:rPr>
          <w:rFonts w:hint="eastAsia"/>
        </w:rPr>
        <w:t>可采取内部评价和外部评价等方式，综合服务过程与结果进行评价，评价依据可包括：</w:t>
      </w:r>
    </w:p>
    <w:p>
      <w:pPr>
        <w:pStyle w:val="56"/>
        <w:ind w:firstLine="420"/>
      </w:pPr>
      <w:r>
        <w:rPr>
          <w:rFonts w:hint="eastAsia"/>
        </w:rPr>
        <w:t>——满意度调查；</w:t>
      </w:r>
    </w:p>
    <w:p>
      <w:pPr>
        <w:pStyle w:val="56"/>
        <w:ind w:firstLine="420"/>
      </w:pPr>
      <w:r>
        <w:rPr>
          <w:rFonts w:hint="eastAsia"/>
        </w:rPr>
        <w:t>——实地查看；</w:t>
      </w:r>
    </w:p>
    <w:p>
      <w:pPr>
        <w:pStyle w:val="56"/>
        <w:ind w:firstLine="420"/>
      </w:pPr>
      <w:r>
        <w:rPr>
          <w:rFonts w:hint="eastAsia"/>
        </w:rPr>
        <w:t>——服务过程文件；</w:t>
      </w:r>
    </w:p>
    <w:p>
      <w:pPr>
        <w:pStyle w:val="56"/>
        <w:ind w:firstLine="420"/>
      </w:pPr>
      <w:r>
        <w:rPr>
          <w:rFonts w:hint="eastAsia"/>
        </w:rPr>
        <w:t>——投诉及处理情况。</w:t>
      </w:r>
    </w:p>
    <w:p>
      <w:pPr>
        <w:pStyle w:val="162"/>
      </w:pPr>
      <w:r>
        <w:rPr>
          <w:rFonts w:hint="eastAsia"/>
        </w:rPr>
        <w:t>评价内容应包括本文件所规定的全部内容。</w:t>
      </w:r>
    </w:p>
    <w:p>
      <w:pPr>
        <w:pStyle w:val="162"/>
      </w:pPr>
      <w:r>
        <w:rPr>
          <w:rFonts w:hint="eastAsia"/>
        </w:rPr>
        <w:t>应根据评价结果及意见建议，及时改进服务方法和服务流程，不断提升服务质量。</w:t>
      </w:r>
    </w:p>
    <w:p>
      <w:pPr>
        <w:pStyle w:val="162"/>
      </w:pPr>
      <w:r>
        <w:rPr>
          <w:rFonts w:hint="eastAsia"/>
        </w:rPr>
        <w:t>服务评价表见附录C。</w:t>
      </w:r>
    </w:p>
    <w:p>
      <w:pPr>
        <w:pStyle w:val="104"/>
        <w:spacing w:before="312" w:after="312"/>
      </w:pPr>
      <w:bookmarkStart w:id="84" w:name="_Toc208498606"/>
      <w:r>
        <w:rPr>
          <w:rFonts w:hint="eastAsia"/>
        </w:rPr>
        <w:t>档案管理</w:t>
      </w:r>
      <w:bookmarkEnd w:id="84"/>
      <w:r>
        <w:rPr>
          <w:rFonts w:hint="eastAsia"/>
        </w:rPr>
        <w:t xml:space="preserve">  </w:t>
      </w:r>
    </w:p>
    <w:p>
      <w:pPr>
        <w:pStyle w:val="162"/>
      </w:pPr>
      <w:r>
        <w:rPr>
          <w:rFonts w:hint="eastAsia"/>
        </w:rPr>
        <w:t>应建立 “一户一档” 数字化档案，档案内容包括但不限于服务合同、种植信息（种植品种、历史平均产量）、田块基本信息（位置、面积、土壤类型）、土壤检测报告、遥感影像数据、施肥处方图、作业记录（时间、设备、施用量、操作人员）、服务评价、服务验收单等。</w:t>
      </w:r>
    </w:p>
    <w:p>
      <w:pPr>
        <w:pStyle w:val="162"/>
      </w:pPr>
      <w:r>
        <w:rPr>
          <w:rFonts w:hint="eastAsia"/>
        </w:rPr>
        <w:t>档案存储期限不低于3年，可采用云平台备份，确保数据可追溯。</w:t>
      </w:r>
    </w:p>
    <w:p>
      <w:pPr>
        <w:pStyle w:val="162"/>
        <w:numPr>
          <w:ilvl w:val="2"/>
          <w:numId w:val="0"/>
        </w:numPr>
        <w:jc w:val="center"/>
      </w:pPr>
    </w:p>
    <w:p>
      <w:pPr>
        <w:pStyle w:val="162"/>
        <w:numPr>
          <w:ilvl w:val="2"/>
          <w:numId w:val="0"/>
        </w:numPr>
        <w:jc w:val="center"/>
      </w:pPr>
    </w:p>
    <w:p>
      <w:pPr>
        <w:pStyle w:val="162"/>
        <w:numPr>
          <w:ilvl w:val="2"/>
          <w:numId w:val="0"/>
        </w:numPr>
        <w:jc w:val="center"/>
      </w:pPr>
    </w:p>
    <w:p>
      <w:pPr>
        <w:pStyle w:val="162"/>
        <w:numPr>
          <w:ilvl w:val="2"/>
          <w:numId w:val="0"/>
        </w:numPr>
        <w:jc w:val="center"/>
        <w:sectPr>
          <w:pgSz w:w="11906" w:h="16838"/>
          <w:pgMar w:top="1928" w:right="1134" w:bottom="1134" w:left="1134" w:header="1418" w:footer="1134" w:gutter="284"/>
          <w:cols w:space="425" w:num="1"/>
          <w:formProt w:val="0"/>
          <w:docGrid w:type="lines" w:linePitch="312" w:charSpace="0"/>
        </w:sectPr>
      </w:pPr>
    </w:p>
    <w:p>
      <w:pPr>
        <w:pStyle w:val="170"/>
        <w:spacing w:after="156"/>
      </w:pPr>
      <w:r>
        <w:rPr>
          <w:rFonts w:hint="eastAsia"/>
        </w:rPr>
        <w:t>附录A</w:t>
      </w:r>
    </w:p>
    <w:p>
      <w:pPr>
        <w:pStyle w:val="134"/>
      </w:pPr>
      <w:r>
        <w:rPr>
          <w:rFonts w:hint="eastAsia"/>
        </w:rPr>
        <w:t>（资料性）</w:t>
      </w:r>
    </w:p>
    <w:p>
      <w:pPr>
        <w:pStyle w:val="134"/>
      </w:pPr>
      <w:r>
        <w:rPr>
          <w:rFonts w:hint="eastAsia"/>
        </w:rPr>
        <w:t>合同主要服务内容</w:t>
      </w:r>
    </w:p>
    <w:p>
      <w:pPr>
        <w:pStyle w:val="77"/>
        <w:spacing w:before="156" w:after="156"/>
      </w:pPr>
      <w:r>
        <w:rPr>
          <w:rFonts w:hint="eastAsia"/>
        </w:rPr>
        <w:t>合同主要服务内容</w:t>
      </w:r>
    </w:p>
    <w:tbl>
      <w:tblPr>
        <w:tblStyle w:val="33"/>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951"/>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pPr>
            <w:bookmarkStart w:id="85" w:name="OLE_LINK30"/>
            <w:bookmarkStart w:id="86" w:name="OLE_LINK29"/>
            <w:r>
              <w:t>序号</w:t>
            </w:r>
          </w:p>
        </w:tc>
        <w:tc>
          <w:tcPr>
            <w:tcW w:w="1951" w:type="dxa"/>
            <w:vAlign w:val="center"/>
          </w:tcPr>
          <w:p>
            <w:pPr>
              <w:pStyle w:val="178"/>
            </w:pPr>
            <w:r>
              <w:t>服务内容</w:t>
            </w:r>
          </w:p>
        </w:tc>
        <w:tc>
          <w:tcPr>
            <w:tcW w:w="6373" w:type="dxa"/>
            <w:vAlign w:val="center"/>
          </w:tcPr>
          <w:p>
            <w:pPr>
              <w:pStyle w:val="178"/>
            </w:pPr>
            <w: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1</w:t>
            </w:r>
          </w:p>
        </w:tc>
        <w:tc>
          <w:tcPr>
            <w:tcW w:w="1951" w:type="dxa"/>
            <w:vAlign w:val="center"/>
          </w:tcPr>
          <w:p>
            <w:pPr>
              <w:pStyle w:val="178"/>
              <w:rPr>
                <w:rFonts w:hint="eastAsia" w:hAnsi="宋体"/>
              </w:rPr>
            </w:pPr>
            <w:r>
              <w:rPr>
                <w:rFonts w:hint="eastAsia" w:hAnsi="宋体"/>
              </w:rPr>
              <w:t>土样采集</w:t>
            </w:r>
          </w:p>
        </w:tc>
        <w:tc>
          <w:tcPr>
            <w:tcW w:w="6373" w:type="dxa"/>
            <w:vAlign w:val="center"/>
          </w:tcPr>
          <w:p>
            <w:pPr>
              <w:pStyle w:val="178"/>
              <w:rPr>
                <w:rFonts w:hint="eastAsia" w:hAnsi="宋体"/>
              </w:rPr>
            </w:pPr>
            <w:r>
              <w:rPr>
                <w:rFonts w:hint="eastAsia" w:hAnsi="宋体"/>
              </w:rPr>
              <w:t>依</w:t>
            </w:r>
            <w:r>
              <w:rPr>
                <w:rFonts w:hint="eastAsia"/>
              </w:rPr>
              <w:t>据农场服务面积，科学规划土壤采样点位置和数量，严格按照土样采集规范，采集土壤样品并寄送样品至指定位置。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2</w:t>
            </w:r>
          </w:p>
        </w:tc>
        <w:tc>
          <w:tcPr>
            <w:tcW w:w="1951" w:type="dxa"/>
            <w:vAlign w:val="center"/>
          </w:tcPr>
          <w:p>
            <w:pPr>
              <w:pStyle w:val="178"/>
              <w:rPr>
                <w:rFonts w:hint="eastAsia" w:hAnsi="宋体"/>
              </w:rPr>
            </w:pPr>
            <w:r>
              <w:rPr>
                <w:rFonts w:hAnsi="宋体"/>
              </w:rPr>
              <w:t>样品检测</w:t>
            </w:r>
          </w:p>
        </w:tc>
        <w:tc>
          <w:tcPr>
            <w:tcW w:w="6373" w:type="dxa"/>
            <w:vAlign w:val="center"/>
          </w:tcPr>
          <w:p>
            <w:pPr>
              <w:pStyle w:val="178"/>
              <w:rPr>
                <w:rFonts w:hint="eastAsia" w:hAnsi="宋体"/>
              </w:rPr>
            </w:pPr>
            <w:r>
              <w:rPr>
                <w:rFonts w:hint="eastAsia" w:hAnsi="宋体"/>
              </w:rPr>
              <w:t>土壤检测指标应包括氮、磷、钾、pH、Buffer-pH、有机质、阳离子交换量、钙、镁，依据农场增加其他中微量元素指标，在数字化平台应提供土壤检测结果、农田肥力分布及数字化展示。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3</w:t>
            </w:r>
          </w:p>
        </w:tc>
        <w:tc>
          <w:tcPr>
            <w:tcW w:w="1951" w:type="dxa"/>
            <w:vAlign w:val="center"/>
          </w:tcPr>
          <w:p>
            <w:pPr>
              <w:pStyle w:val="178"/>
              <w:rPr>
                <w:rFonts w:hint="eastAsia" w:hAnsi="宋体"/>
              </w:rPr>
            </w:pPr>
            <w:r>
              <w:rPr>
                <w:rFonts w:hint="eastAsia" w:hAnsi="宋体"/>
              </w:rPr>
              <w:t>提供变量施肥处方</w:t>
            </w:r>
          </w:p>
        </w:tc>
        <w:tc>
          <w:tcPr>
            <w:tcW w:w="6373" w:type="dxa"/>
            <w:vAlign w:val="center"/>
          </w:tcPr>
          <w:p>
            <w:pPr>
              <w:pStyle w:val="178"/>
              <w:rPr>
                <w:rFonts w:hint="eastAsia" w:hAnsi="宋体"/>
              </w:rPr>
            </w:pPr>
            <w:r>
              <w:rPr>
                <w:rFonts w:hint="eastAsia" w:hAnsi="宋体"/>
              </w:rPr>
              <w:t>结合土壤肥力水平、种植品种情况，数字化平台应提供数字化施肥处方。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4</w:t>
            </w:r>
          </w:p>
        </w:tc>
        <w:tc>
          <w:tcPr>
            <w:tcW w:w="1951" w:type="dxa"/>
            <w:vAlign w:val="center"/>
          </w:tcPr>
          <w:p>
            <w:pPr>
              <w:pStyle w:val="178"/>
              <w:rPr>
                <w:rFonts w:hint="eastAsia" w:hAnsi="宋体"/>
              </w:rPr>
            </w:pPr>
            <w:r>
              <w:rPr>
                <w:rFonts w:hAnsi="宋体"/>
              </w:rPr>
              <w:t>肥料和农机选</w:t>
            </w:r>
            <w:r>
              <w:rPr>
                <w:rFonts w:hint="eastAsia" w:hAnsi="宋体"/>
              </w:rPr>
              <w:t>购</w:t>
            </w:r>
          </w:p>
        </w:tc>
        <w:tc>
          <w:tcPr>
            <w:tcW w:w="6373" w:type="dxa"/>
            <w:vAlign w:val="center"/>
          </w:tcPr>
          <w:p>
            <w:pPr>
              <w:pStyle w:val="178"/>
              <w:rPr>
                <w:rFonts w:hint="eastAsia" w:hAnsi="宋体"/>
              </w:rPr>
            </w:pPr>
            <w:r>
              <w:rPr>
                <w:rFonts w:hint="eastAsia" w:hAnsi="宋体"/>
              </w:rPr>
              <w:t>提供满足施肥处方图和变量施肥作业要求的肥料和器械。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5</w:t>
            </w:r>
          </w:p>
        </w:tc>
        <w:tc>
          <w:tcPr>
            <w:tcW w:w="1951" w:type="dxa"/>
            <w:vAlign w:val="center"/>
          </w:tcPr>
          <w:p>
            <w:pPr>
              <w:pStyle w:val="178"/>
              <w:rPr>
                <w:rFonts w:hint="eastAsia" w:hAnsi="宋体"/>
              </w:rPr>
            </w:pPr>
            <w:r>
              <w:rPr>
                <w:rFonts w:hAnsi="宋体"/>
              </w:rPr>
              <w:t>肥料撒施作业</w:t>
            </w:r>
          </w:p>
        </w:tc>
        <w:tc>
          <w:tcPr>
            <w:tcW w:w="6373" w:type="dxa"/>
            <w:vAlign w:val="center"/>
          </w:tcPr>
          <w:p>
            <w:pPr>
              <w:pStyle w:val="178"/>
              <w:rPr>
                <w:rFonts w:hint="eastAsia" w:hAnsi="宋体"/>
              </w:rPr>
            </w:pPr>
            <w:r>
              <w:rPr>
                <w:rFonts w:hint="eastAsia" w:hAnsi="宋体"/>
              </w:rPr>
              <w:t>按照变量施肥处方图完成基肥和追肥的变量施肥作业。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pStyle w:val="178"/>
              <w:rPr>
                <w:rFonts w:hint="eastAsia" w:hAnsi="宋体"/>
              </w:rPr>
            </w:pPr>
            <w:r>
              <w:rPr>
                <w:rFonts w:hint="eastAsia" w:hAnsi="宋体"/>
              </w:rPr>
              <w:t>6</w:t>
            </w:r>
          </w:p>
        </w:tc>
        <w:tc>
          <w:tcPr>
            <w:tcW w:w="1951" w:type="dxa"/>
            <w:vAlign w:val="center"/>
          </w:tcPr>
          <w:p>
            <w:pPr>
              <w:pStyle w:val="178"/>
              <w:rPr>
                <w:rFonts w:hint="eastAsia" w:hAnsi="宋体"/>
              </w:rPr>
            </w:pPr>
            <w:r>
              <w:rPr>
                <w:rFonts w:hAnsi="宋体"/>
              </w:rPr>
              <w:t>长势跟踪监测</w:t>
            </w:r>
          </w:p>
        </w:tc>
        <w:tc>
          <w:tcPr>
            <w:tcW w:w="6373" w:type="dxa"/>
            <w:vAlign w:val="center"/>
          </w:tcPr>
          <w:p>
            <w:pPr>
              <w:pStyle w:val="178"/>
              <w:rPr>
                <w:rFonts w:hint="eastAsia" w:hAnsi="宋体"/>
              </w:rPr>
            </w:pPr>
            <w:r>
              <w:rPr>
                <w:rFonts w:hint="eastAsia" w:hAnsi="宋体"/>
              </w:rPr>
              <w:t>在水稻关键生育期，利用多光谱无人机进行长势监测巡田，并及时将相应长势监测结果上传至数字化平台。</w:t>
            </w:r>
          </w:p>
        </w:tc>
      </w:tr>
      <w:bookmarkEnd w:id="85"/>
      <w:bookmarkEnd w:id="86"/>
    </w:tbl>
    <w:p>
      <w:pPr>
        <w:pStyle w:val="56"/>
        <w:ind w:firstLine="0" w:firstLineChars="0"/>
      </w:pPr>
    </w:p>
    <w:p>
      <w:pPr>
        <w:pStyle w:val="170"/>
        <w:spacing w:after="156"/>
        <w:sectPr>
          <w:pgSz w:w="11906" w:h="16838"/>
          <w:pgMar w:top="1928" w:right="1134" w:bottom="1134" w:left="1134" w:header="1418" w:footer="1134" w:gutter="284"/>
          <w:cols w:space="425" w:num="1"/>
          <w:formProt w:val="0"/>
          <w:docGrid w:type="lines" w:linePitch="312" w:charSpace="0"/>
        </w:sectPr>
      </w:pPr>
    </w:p>
    <w:p>
      <w:pPr>
        <w:pStyle w:val="170"/>
        <w:spacing w:after="156"/>
        <w:rPr>
          <w:rFonts w:hint="eastAsia" w:eastAsia="黑体"/>
          <w:lang w:eastAsia="zh-CN"/>
        </w:rPr>
      </w:pPr>
      <w:r>
        <w:rPr>
          <w:rFonts w:hint="eastAsia"/>
        </w:rPr>
        <w:t>附录</w:t>
      </w:r>
      <w:r>
        <w:rPr>
          <w:rFonts w:hint="eastAsia"/>
          <w:lang w:val="en-US" w:eastAsia="zh-CN"/>
        </w:rPr>
        <w:t>B</w:t>
      </w:r>
    </w:p>
    <w:p>
      <w:pPr>
        <w:pStyle w:val="134"/>
      </w:pPr>
      <w:r>
        <w:rPr>
          <w:rFonts w:hint="eastAsia"/>
        </w:rPr>
        <w:t>（资料性）</w:t>
      </w:r>
    </w:p>
    <w:p>
      <w:pPr>
        <w:pStyle w:val="134"/>
      </w:pPr>
      <w:r>
        <w:rPr>
          <w:rFonts w:hint="eastAsia"/>
        </w:rPr>
        <w:t>作业确认单</w:t>
      </w:r>
    </w:p>
    <w:p>
      <w:pPr>
        <w:pStyle w:val="77"/>
        <w:numPr>
          <w:ilvl w:val="1"/>
          <w:numId w:val="0"/>
        </w:numPr>
        <w:spacing w:before="156" w:after="156"/>
        <w:ind w:leftChars="0"/>
        <w:jc w:val="center"/>
      </w:pPr>
      <w:r>
        <w:rPr>
          <w:rFonts w:hint="eastAsia"/>
          <w:lang w:val="en-US" w:eastAsia="zh-CN"/>
        </w:rPr>
        <w:t xml:space="preserve">表B.1 </w:t>
      </w:r>
      <w:r>
        <w:rPr>
          <w:rFonts w:hint="eastAsia"/>
        </w:rPr>
        <w:t>作业确认单</w:t>
      </w:r>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5"/>
        <w:gridCol w:w="1335"/>
        <w:gridCol w:w="1335"/>
        <w:gridCol w:w="133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2"/>
          </w:tcPr>
          <w:p>
            <w:pPr>
              <w:pStyle w:val="178"/>
            </w:pPr>
            <w:r>
              <w:rPr>
                <w:rFonts w:hint="eastAsia"/>
              </w:rPr>
              <w:t>作业农场</w:t>
            </w:r>
          </w:p>
        </w:tc>
        <w:tc>
          <w:tcPr>
            <w:tcW w:w="6675" w:type="dxa"/>
            <w:gridSpan w:val="5"/>
          </w:tcPr>
          <w:p>
            <w:pPr>
              <w:pStyle w:val="17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tcBorders>
              <w:bottom w:val="single" w:color="auto" w:sz="4" w:space="0"/>
            </w:tcBorders>
          </w:tcPr>
          <w:p>
            <w:pPr>
              <w:pStyle w:val="178"/>
            </w:pPr>
            <w:r>
              <w:rPr>
                <w:rFonts w:hint="eastAsia"/>
              </w:rPr>
              <w:t>作业类型</w:t>
            </w:r>
          </w:p>
        </w:tc>
        <w:tc>
          <w:tcPr>
            <w:tcW w:w="1335" w:type="dxa"/>
          </w:tcPr>
          <w:p>
            <w:pPr>
              <w:pStyle w:val="178"/>
            </w:pPr>
            <w:r>
              <w:rPr>
                <w:rFonts w:hint="eastAsia"/>
              </w:rPr>
              <w:t>肥料类型</w:t>
            </w:r>
          </w:p>
        </w:tc>
        <w:tc>
          <w:tcPr>
            <w:tcW w:w="1335" w:type="dxa"/>
          </w:tcPr>
          <w:p>
            <w:pPr>
              <w:pStyle w:val="178"/>
            </w:pPr>
            <w:r>
              <w:rPr>
                <w:rFonts w:hint="eastAsia"/>
              </w:rPr>
              <w:t>作业时间（段）</w:t>
            </w:r>
          </w:p>
        </w:tc>
        <w:tc>
          <w:tcPr>
            <w:tcW w:w="1335" w:type="dxa"/>
          </w:tcPr>
          <w:p>
            <w:pPr>
              <w:pStyle w:val="178"/>
            </w:pPr>
            <w:r>
              <w:rPr>
                <w:rFonts w:hint="eastAsia"/>
              </w:rPr>
              <w:t>作业面积（亩）</w:t>
            </w:r>
          </w:p>
        </w:tc>
        <w:tc>
          <w:tcPr>
            <w:tcW w:w="1335" w:type="dxa"/>
          </w:tcPr>
          <w:p>
            <w:pPr>
              <w:pStyle w:val="178"/>
            </w:pPr>
            <w:r>
              <w:rPr>
                <w:rFonts w:hint="eastAsia"/>
              </w:rPr>
              <w:t>肥料用量（kg）</w:t>
            </w:r>
          </w:p>
        </w:tc>
        <w:tc>
          <w:tcPr>
            <w:tcW w:w="1335" w:type="dxa"/>
          </w:tcPr>
          <w:p>
            <w:pPr>
              <w:pStyle w:val="178"/>
            </w:pPr>
            <w:r>
              <w:rPr>
                <w:rFonts w:hint="eastAsia"/>
              </w:rPr>
              <w:t>作业机手</w:t>
            </w:r>
          </w:p>
        </w:tc>
        <w:tc>
          <w:tcPr>
            <w:tcW w:w="1335" w:type="dxa"/>
          </w:tcPr>
          <w:p>
            <w:pPr>
              <w:pStyle w:val="178"/>
            </w:pPr>
            <w:r>
              <w:rPr>
                <w:rFonts w:hint="eastAsia"/>
              </w:rPr>
              <w:t>飞控编码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tcBorders>
              <w:top w:val="single" w:color="auto" w:sz="4" w:space="0"/>
              <w:left w:val="single" w:color="auto" w:sz="4" w:space="0"/>
              <w:bottom w:val="nil"/>
              <w:right w:val="single" w:color="auto" w:sz="4" w:space="0"/>
            </w:tcBorders>
          </w:tcPr>
          <w:p>
            <w:pPr>
              <w:pStyle w:val="178"/>
              <w:jc w:val="left"/>
            </w:pPr>
            <w:r>
              <w:rPr>
                <w:rFonts w:hint="eastAsia" w:ascii="Segoe UI Emoji" w:hAnsi="Segoe UI Emoji" w:cs="Segoe UI Emoji"/>
              </w:rPr>
              <w:sym w:font="Wingdings 2" w:char="F0A3"/>
            </w:r>
            <w:r>
              <w:rPr>
                <w:rFonts w:hint="eastAsia"/>
              </w:rPr>
              <w:t>基肥</w:t>
            </w:r>
          </w:p>
        </w:tc>
        <w:tc>
          <w:tcPr>
            <w:tcW w:w="1335" w:type="dxa"/>
            <w:tcBorders>
              <w:left w:val="single" w:color="auto" w:sz="4" w:space="0"/>
            </w:tcBorders>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tcBorders>
              <w:top w:val="nil"/>
              <w:left w:val="single" w:color="auto" w:sz="4" w:space="0"/>
              <w:bottom w:val="nil"/>
              <w:right w:val="single" w:color="auto" w:sz="4" w:space="0"/>
            </w:tcBorders>
          </w:tcPr>
          <w:p>
            <w:pPr>
              <w:pStyle w:val="178"/>
              <w:jc w:val="left"/>
            </w:pPr>
            <w:r>
              <w:rPr>
                <w:rFonts w:hint="eastAsia" w:ascii="Segoe UI Emoji" w:hAnsi="Segoe UI Emoji" w:cs="Segoe UI Emoji"/>
              </w:rPr>
              <w:sym w:font="Wingdings 2" w:char="F0A3"/>
            </w:r>
            <w:r>
              <w:rPr>
                <w:rFonts w:hint="eastAsia"/>
              </w:rPr>
              <w:t>分蘖肥</w:t>
            </w:r>
          </w:p>
        </w:tc>
        <w:tc>
          <w:tcPr>
            <w:tcW w:w="1335" w:type="dxa"/>
            <w:tcBorders>
              <w:left w:val="single" w:color="auto" w:sz="4" w:space="0"/>
            </w:tcBorders>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tcBorders>
              <w:top w:val="nil"/>
              <w:left w:val="single" w:color="auto" w:sz="4" w:space="0"/>
              <w:bottom w:val="single" w:color="auto" w:sz="4" w:space="0"/>
              <w:right w:val="single" w:color="auto" w:sz="4" w:space="0"/>
            </w:tcBorders>
          </w:tcPr>
          <w:p>
            <w:pPr>
              <w:pStyle w:val="178"/>
              <w:jc w:val="left"/>
            </w:pPr>
            <w:r>
              <w:rPr>
                <w:rFonts w:hint="eastAsia" w:ascii="Segoe UI Emoji" w:hAnsi="Segoe UI Emoji" w:cs="Segoe UI Emoji"/>
              </w:rPr>
              <w:sym w:font="Wingdings 2" w:char="F0A3"/>
            </w:r>
            <w:r>
              <w:rPr>
                <w:rFonts w:hint="eastAsia"/>
              </w:rPr>
              <w:t>穗肥</w:t>
            </w:r>
          </w:p>
        </w:tc>
        <w:tc>
          <w:tcPr>
            <w:tcW w:w="1335" w:type="dxa"/>
            <w:tcBorders>
              <w:left w:val="single" w:color="auto" w:sz="4" w:space="0"/>
            </w:tcBorders>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c>
          <w:tcPr>
            <w:tcW w:w="1335" w:type="dxa"/>
          </w:tcPr>
          <w:p>
            <w:pPr>
              <w:pStyle w:val="178"/>
            </w:pPr>
          </w:p>
        </w:tc>
      </w:tr>
    </w:tbl>
    <w:p>
      <w:pPr>
        <w:pStyle w:val="56"/>
        <w:ind w:firstLine="420"/>
        <w:sectPr>
          <w:pgSz w:w="11906" w:h="16838"/>
          <w:pgMar w:top="1928" w:right="1134" w:bottom="1134" w:left="1134" w:header="1418" w:footer="1134" w:gutter="284"/>
          <w:cols w:space="425" w:num="1"/>
          <w:formProt w:val="0"/>
          <w:docGrid w:type="lines" w:linePitch="312" w:charSpace="0"/>
        </w:sectPr>
      </w:pPr>
      <w:r>
        <w:rPr>
          <w:rFonts w:hint="eastAsia"/>
        </w:rPr>
        <w:t>作业机手签字：                   农场签字：                      农服老板签字：</w:t>
      </w: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rPr>
          <w:rFonts w:hint="eastAsia"/>
        </w:rPr>
      </w:pPr>
    </w:p>
    <w:p>
      <w:pPr>
        <w:pStyle w:val="170"/>
        <w:spacing w:after="156"/>
      </w:pPr>
      <w:r>
        <w:rPr>
          <w:rFonts w:hint="eastAsia"/>
        </w:rPr>
        <w:t xml:space="preserve">附录C </w:t>
      </w:r>
    </w:p>
    <w:p>
      <w:pPr>
        <w:pStyle w:val="134"/>
      </w:pPr>
      <w:r>
        <w:rPr>
          <w:rFonts w:hint="eastAsia"/>
        </w:rPr>
        <w:t>（资料性）</w:t>
      </w:r>
    </w:p>
    <w:p>
      <w:pPr>
        <w:pStyle w:val="134"/>
      </w:pPr>
      <w:r>
        <w:rPr>
          <w:rFonts w:hint="eastAsia"/>
        </w:rPr>
        <w:t>服务评价表</w:t>
      </w:r>
    </w:p>
    <w:p>
      <w:pPr>
        <w:pStyle w:val="77"/>
        <w:numPr>
          <w:ilvl w:val="1"/>
          <w:numId w:val="0"/>
        </w:numPr>
        <w:spacing w:before="156" w:after="156"/>
        <w:ind w:leftChars="0"/>
        <w:jc w:val="center"/>
      </w:pPr>
      <w:r>
        <w:rPr>
          <w:rFonts w:hint="eastAsia"/>
          <w:lang w:val="en-US" w:eastAsia="zh-CN"/>
        </w:rPr>
        <w:t xml:space="preserve">表C.1 </w:t>
      </w:r>
      <w:r>
        <w:rPr>
          <w:rFonts w:hint="eastAsia"/>
        </w:rPr>
        <w:t>服务评价表</w:t>
      </w:r>
    </w:p>
    <w:tbl>
      <w:tblPr>
        <w:tblStyle w:val="3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154"/>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Align w:val="center"/>
          </w:tcPr>
          <w:p>
            <w:pPr>
              <w:pStyle w:val="178"/>
            </w:pPr>
            <w:r>
              <w:rPr>
                <w:rFonts w:hint="eastAsia"/>
              </w:rPr>
              <w:t>环节</w:t>
            </w:r>
          </w:p>
        </w:tc>
        <w:tc>
          <w:tcPr>
            <w:tcW w:w="6154" w:type="dxa"/>
            <w:vAlign w:val="center"/>
          </w:tcPr>
          <w:p>
            <w:pPr>
              <w:pStyle w:val="178"/>
            </w:pPr>
            <w:r>
              <w:rPr>
                <w:rFonts w:hint="eastAsia"/>
              </w:rPr>
              <w:t>评价内容</w:t>
            </w:r>
          </w:p>
        </w:tc>
        <w:tc>
          <w:tcPr>
            <w:tcW w:w="2316" w:type="dxa"/>
            <w:vAlign w:val="center"/>
          </w:tcPr>
          <w:p>
            <w:pPr>
              <w:pStyle w:val="178"/>
            </w:pPr>
            <w:r>
              <w:rPr>
                <w:rFonts w:hint="eastAsia"/>
              </w:rPr>
              <w:t>评价标准</w:t>
            </w:r>
            <w:r>
              <w:rPr>
                <w:rFonts w:hint="eastAsia" w:hAnsi="宋体"/>
              </w:rPr>
              <w:t>（1-5分，</w:t>
            </w:r>
            <w:r>
              <w:rPr>
                <w:rFonts w:hAnsi="宋体"/>
              </w:rPr>
              <w:t>1 分为最差，5 分为最优</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施肥方案</w:t>
            </w:r>
          </w:p>
        </w:tc>
        <w:tc>
          <w:tcPr>
            <w:tcW w:w="6154" w:type="dxa"/>
            <w:vAlign w:val="center"/>
          </w:tcPr>
          <w:p>
            <w:pPr>
              <w:pStyle w:val="178"/>
              <w:rPr>
                <w:rFonts w:hint="eastAsia" w:hAnsi="宋体"/>
              </w:rPr>
            </w:pPr>
            <w:r>
              <w:rPr>
                <w:rFonts w:hAnsi="宋体"/>
              </w:rPr>
              <w:t>方案针对性（是否结合土壤、品种等情况）</w:t>
            </w:r>
          </w:p>
        </w:tc>
        <w:tc>
          <w:tcPr>
            <w:tcW w:w="2316" w:type="dxa"/>
            <w:vAlign w:val="center"/>
          </w:tcPr>
          <w:p>
            <w:pPr>
              <w:pStyle w:val="178"/>
              <w:jc w:val="both"/>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方案科学性（肥料种类、配比合理性）</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方案透明度（费用、流程说明清晰度）</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肥料供应</w:t>
            </w:r>
          </w:p>
        </w:tc>
        <w:tc>
          <w:tcPr>
            <w:tcW w:w="6154" w:type="dxa"/>
            <w:vAlign w:val="center"/>
          </w:tcPr>
          <w:p>
            <w:pPr>
              <w:pStyle w:val="178"/>
              <w:rPr>
                <w:rFonts w:hint="eastAsia" w:hAnsi="宋体"/>
              </w:rPr>
            </w:pPr>
            <w:r>
              <w:rPr>
                <w:rFonts w:hAnsi="宋体"/>
              </w:rPr>
              <w:t>肥料质量（是否符合国家标准、无伪劣）</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肥料配送及时性</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肥料数量准确性</w:t>
            </w:r>
          </w:p>
        </w:tc>
        <w:tc>
          <w:tcPr>
            <w:tcW w:w="2316" w:type="dxa"/>
            <w:vAlign w:val="center"/>
          </w:tcPr>
          <w:p>
            <w:pPr>
              <w:pStyle w:val="178"/>
              <w:rPr>
                <w:rFonts w:hint="eastAsia" w:hAnsi="宋体"/>
              </w:rPr>
            </w:pP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bookmarkStart w:id="87" w:name="BookMark8"/>
            <w:r>
              <w:rPr>
                <w:rFonts w:hint="eastAsia" w:hAnsi="宋体"/>
              </w:rPr>
              <w:t>施肥操作服务</w:t>
            </w:r>
          </w:p>
        </w:tc>
        <w:tc>
          <w:tcPr>
            <w:tcW w:w="6154" w:type="dxa"/>
            <w:vAlign w:val="center"/>
          </w:tcPr>
          <w:p>
            <w:pPr>
              <w:pStyle w:val="178"/>
              <w:rPr>
                <w:rFonts w:hint="eastAsia" w:hAnsi="宋体"/>
              </w:rPr>
            </w:pPr>
            <w:r>
              <w:rPr>
                <w:rFonts w:hAnsi="宋体"/>
              </w:rPr>
              <w:t>操作人员专业性（技术水平、经验）</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操作规范性（是否按方案执行、流程标准）</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操作效率</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现场服务态度（耐心、负责）</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施肥效果</w:t>
            </w:r>
          </w:p>
        </w:tc>
        <w:tc>
          <w:tcPr>
            <w:tcW w:w="6154" w:type="dxa"/>
            <w:vAlign w:val="center"/>
          </w:tcPr>
          <w:p>
            <w:pPr>
              <w:pStyle w:val="178"/>
              <w:rPr>
                <w:rFonts w:hint="eastAsia" w:hAnsi="宋体"/>
              </w:rPr>
            </w:pPr>
            <w:r>
              <w:rPr>
                <w:rFonts w:hAnsi="宋体"/>
              </w:rPr>
              <w:t>水稻长势（株高、分蘖、叶色等）</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抗逆性（抗病、抗虫、抗倒伏等）</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预计产量表现</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肥料利用率（是否减少浪费、污染）</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售后服务</w:t>
            </w:r>
          </w:p>
        </w:tc>
        <w:tc>
          <w:tcPr>
            <w:tcW w:w="6154" w:type="dxa"/>
            <w:vAlign w:val="center"/>
          </w:tcPr>
          <w:p>
            <w:pPr>
              <w:pStyle w:val="178"/>
              <w:rPr>
                <w:rFonts w:hint="eastAsia" w:hAnsi="宋体"/>
              </w:rPr>
            </w:pPr>
            <w:r>
              <w:rPr>
                <w:rFonts w:hAnsi="宋体"/>
              </w:rPr>
              <w:t>问题响应及时性</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问题解决效果</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6154" w:type="dxa"/>
            <w:vAlign w:val="center"/>
          </w:tcPr>
          <w:p>
            <w:pPr>
              <w:pStyle w:val="178"/>
              <w:rPr>
                <w:rFonts w:hint="eastAsia" w:hAnsi="宋体"/>
              </w:rPr>
            </w:pPr>
            <w:r>
              <w:rPr>
                <w:rFonts w:hAnsi="宋体"/>
              </w:rPr>
              <w:t>售后服务态度</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综合评价</w:t>
            </w:r>
          </w:p>
        </w:tc>
        <w:tc>
          <w:tcPr>
            <w:tcW w:w="6154" w:type="dxa"/>
            <w:vAlign w:val="center"/>
          </w:tcPr>
          <w:p>
            <w:pPr>
              <w:pStyle w:val="178"/>
              <w:rPr>
                <w:rFonts w:hint="eastAsia" w:hAnsi="宋体"/>
              </w:rPr>
            </w:pPr>
            <w:r>
              <w:rPr>
                <w:rFonts w:hAnsi="宋体"/>
              </w:rPr>
              <w:t>总体满意度评分</w:t>
            </w:r>
          </w:p>
        </w:tc>
        <w:tc>
          <w:tcPr>
            <w:tcW w:w="2316" w:type="dxa"/>
            <w:vAlign w:val="center"/>
          </w:tcPr>
          <w:p>
            <w:pPr>
              <w:pStyle w:val="178"/>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8470" w:type="dxa"/>
            <w:gridSpan w:val="2"/>
            <w:vAlign w:val="center"/>
          </w:tcPr>
          <w:p>
            <w:pPr>
              <w:pStyle w:val="178"/>
              <w:jc w:val="left"/>
              <w:rPr>
                <w:rFonts w:hint="eastAsia" w:hAnsi="宋体"/>
              </w:rPr>
            </w:pPr>
            <w:r>
              <w:rPr>
                <w:rFonts w:hint="eastAsia" w:hAnsi="宋体"/>
              </w:rPr>
              <w:t>您对本次水稻全程数字化精准变量施肥的总体评价</w:t>
            </w:r>
            <w:r>
              <w:rPr>
                <w:rFonts w:hAnsi="宋体"/>
              </w:rPr>
              <w:br w:type="textWrapping"/>
            </w:r>
            <w:r>
              <w:rPr>
                <w:rFonts w:hint="eastAsia" w:ascii="Segoe UI Emoji" w:hAnsi="Segoe UI Emoji" w:cs="Segoe UI Emoji"/>
              </w:rPr>
              <w:sym w:font="Wingdings 2" w:char="F0A3"/>
            </w:r>
            <w:r>
              <w:rPr>
                <w:rFonts w:hint="eastAsia" w:hAnsi="宋体"/>
              </w:rPr>
              <w:t xml:space="preserve">非常满意   </w:t>
            </w:r>
            <w:r>
              <w:rPr>
                <w:rFonts w:hint="eastAsia" w:ascii="Segoe UI Emoji" w:hAnsi="Segoe UI Emoji" w:cs="Segoe UI Emoji"/>
              </w:rPr>
              <w:sym w:font="Wingdings 2" w:char="F0A3"/>
            </w:r>
            <w:r>
              <w:rPr>
                <w:rFonts w:hint="eastAsia" w:hAnsi="宋体"/>
              </w:rPr>
              <w:t xml:space="preserve">满意    </w:t>
            </w:r>
            <w:r>
              <w:rPr>
                <w:rFonts w:hint="eastAsia" w:ascii="Segoe UI Emoji" w:hAnsi="Segoe UI Emoji" w:cs="Segoe UI Emoji"/>
              </w:rPr>
              <w:sym w:font="Wingdings 2" w:char="F0A3"/>
            </w:r>
            <w:r>
              <w:rPr>
                <w:rFonts w:hint="eastAsia" w:hAnsi="宋体"/>
              </w:rPr>
              <w:t xml:space="preserve">一般    </w:t>
            </w:r>
            <w:r>
              <w:rPr>
                <w:rFonts w:hint="eastAsia" w:ascii="Segoe UI Emoji" w:hAnsi="Segoe UI Emoji" w:cs="Segoe UI Emoji"/>
              </w:rPr>
              <w:sym w:font="Wingdings 2" w:char="F0A3"/>
            </w:r>
            <w:r>
              <w:rPr>
                <w:rFonts w:hint="eastAsia" w:hAnsi="宋体"/>
              </w:rPr>
              <w:t xml:space="preserve">不满意    </w:t>
            </w:r>
            <w:r>
              <w:rPr>
                <w:rFonts w:hint="eastAsia" w:ascii="Segoe UI Emoji" w:hAnsi="Segoe UI Emoji" w:cs="Segoe UI Emoji"/>
              </w:rPr>
              <w:sym w:font="Wingdings 2" w:char="F0A3"/>
            </w:r>
            <w:r>
              <w:rPr>
                <w:rFonts w:hint="eastAsia" w:hAnsi="宋体"/>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restart"/>
            <w:vAlign w:val="center"/>
          </w:tcPr>
          <w:p>
            <w:pPr>
              <w:pStyle w:val="178"/>
              <w:rPr>
                <w:rFonts w:hint="eastAsia" w:hAnsi="宋体"/>
              </w:rPr>
            </w:pPr>
            <w:r>
              <w:rPr>
                <w:rFonts w:hint="eastAsia" w:hAnsi="宋体"/>
              </w:rPr>
              <w:t>意见与建议</w:t>
            </w:r>
          </w:p>
        </w:tc>
        <w:tc>
          <w:tcPr>
            <w:tcW w:w="8470" w:type="dxa"/>
            <w:gridSpan w:val="2"/>
            <w:vAlign w:val="center"/>
          </w:tcPr>
          <w:p>
            <w:pPr>
              <w:pStyle w:val="178"/>
              <w:jc w:val="left"/>
              <w:rPr>
                <w:rFonts w:hint="eastAsia" w:hAnsi="宋体"/>
              </w:rPr>
            </w:pPr>
            <w:r>
              <w:rPr>
                <w:rFonts w:hAnsi="宋体"/>
              </w:rPr>
              <w:t>您认为本次服务中最值得肯定的方面：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8470" w:type="dxa"/>
            <w:gridSpan w:val="2"/>
            <w:vAlign w:val="center"/>
          </w:tcPr>
          <w:p>
            <w:pPr>
              <w:pStyle w:val="178"/>
              <w:jc w:val="left"/>
              <w:rPr>
                <w:rFonts w:hint="eastAsia" w:hAnsi="宋体"/>
              </w:rPr>
            </w:pPr>
            <w:r>
              <w:rPr>
                <w:rFonts w:hAnsi="宋体"/>
              </w:rPr>
              <w:t>您认为本次服务需要改进的方面：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0" w:type="dxa"/>
            <w:vMerge w:val="continue"/>
            <w:vAlign w:val="center"/>
          </w:tcPr>
          <w:p>
            <w:pPr>
              <w:pStyle w:val="178"/>
              <w:rPr>
                <w:rFonts w:hint="eastAsia" w:hAnsi="宋体"/>
              </w:rPr>
            </w:pPr>
          </w:p>
        </w:tc>
        <w:tc>
          <w:tcPr>
            <w:tcW w:w="8470" w:type="dxa"/>
            <w:gridSpan w:val="2"/>
            <w:vAlign w:val="center"/>
          </w:tcPr>
          <w:p>
            <w:pPr>
              <w:pStyle w:val="178"/>
              <w:jc w:val="left"/>
              <w:rPr>
                <w:rFonts w:hint="eastAsia" w:hAnsi="宋体"/>
              </w:rPr>
            </w:pPr>
            <w:r>
              <w:rPr>
                <w:rFonts w:hAnsi="宋体"/>
              </w:rPr>
              <w:t>其他建议：</w:t>
            </w:r>
          </w:p>
        </w:tc>
      </w:tr>
    </w:tbl>
    <w:p>
      <w:pPr>
        <w:pStyle w:val="56"/>
        <w:ind w:firstLine="420"/>
      </w:pPr>
      <w:r>
        <w:tab/>
      </w:r>
      <w:r>
        <w:t>本人承诺以上评价内容真实、客观，反映本次水稻施肥服务的实际情况。​</w:t>
      </w:r>
    </w:p>
    <w:p>
      <w:pPr>
        <w:pStyle w:val="56"/>
        <w:ind w:firstLine="420"/>
      </w:pPr>
      <w:r>
        <w:t>评价人（签字）：____________________</w:t>
      </w:r>
    </w:p>
    <w:p>
      <w:pPr>
        <w:pStyle w:val="56"/>
        <w:tabs>
          <w:tab w:val="left" w:pos="2680"/>
        </w:tabs>
        <w:ind w:firstLine="0" w:firstLineChars="0"/>
      </w:pPr>
    </w:p>
    <w:p>
      <w:pPr>
        <w:tabs>
          <w:tab w:val="left" w:pos="2680"/>
        </w:tabs>
      </w:pPr>
      <w:r>
        <w:tab/>
      </w:r>
      <w:bookmarkEnd w:id="87"/>
      <w:r>
        <w:rPr>
          <w:rFonts w:hint="eastAsia"/>
        </w:rPr>
        <w:drawing>
          <wp:inline distT="0" distB="0" distL="0" distR="0">
            <wp:extent cx="1485900" cy="317500"/>
            <wp:effectExtent l="0" t="0" r="0" b="0"/>
            <wp:docPr id="1936876481" name="图片 1"/>
            <wp:cNvGraphicFramePr/>
            <a:graphic xmlns:a="http://schemas.openxmlformats.org/drawingml/2006/main">
              <a:graphicData uri="http://schemas.openxmlformats.org/drawingml/2006/picture">
                <pic:pic xmlns:pic="http://schemas.openxmlformats.org/drawingml/2006/picture">
                  <pic:nvPicPr>
                    <pic:cNvPr id="193687648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type w:val="continuous"/>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1844"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C3"/>
    <w:rsid w:val="0000040A"/>
    <w:rsid w:val="00000A94"/>
    <w:rsid w:val="00001972"/>
    <w:rsid w:val="00001D9A"/>
    <w:rsid w:val="000037F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12A"/>
    <w:rsid w:val="000556ED"/>
    <w:rsid w:val="00055FE2"/>
    <w:rsid w:val="0005616F"/>
    <w:rsid w:val="00060C2E"/>
    <w:rsid w:val="00061033"/>
    <w:rsid w:val="000619E9"/>
    <w:rsid w:val="000622D4"/>
    <w:rsid w:val="0006357D"/>
    <w:rsid w:val="00067F1E"/>
    <w:rsid w:val="00071CC0"/>
    <w:rsid w:val="00071FFB"/>
    <w:rsid w:val="000728CC"/>
    <w:rsid w:val="00073944"/>
    <w:rsid w:val="00073C8C"/>
    <w:rsid w:val="00077B64"/>
    <w:rsid w:val="00080A1C"/>
    <w:rsid w:val="00082317"/>
    <w:rsid w:val="00083D2C"/>
    <w:rsid w:val="00083E41"/>
    <w:rsid w:val="00086AA1"/>
    <w:rsid w:val="00087A77"/>
    <w:rsid w:val="00090CA6"/>
    <w:rsid w:val="00092B8A"/>
    <w:rsid w:val="00092FB0"/>
    <w:rsid w:val="000934C5"/>
    <w:rsid w:val="00093D25"/>
    <w:rsid w:val="00093DAB"/>
    <w:rsid w:val="00094D73"/>
    <w:rsid w:val="00096D63"/>
    <w:rsid w:val="000A0B60"/>
    <w:rsid w:val="000A0EB8"/>
    <w:rsid w:val="000A191E"/>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432"/>
    <w:rsid w:val="000D0A9C"/>
    <w:rsid w:val="000D1795"/>
    <w:rsid w:val="000D2AA3"/>
    <w:rsid w:val="000D329A"/>
    <w:rsid w:val="000D4B9C"/>
    <w:rsid w:val="000D4EB6"/>
    <w:rsid w:val="000D753B"/>
    <w:rsid w:val="000E4C9E"/>
    <w:rsid w:val="000E6FD7"/>
    <w:rsid w:val="000F06E1"/>
    <w:rsid w:val="000F0E3C"/>
    <w:rsid w:val="000F19D5"/>
    <w:rsid w:val="000F4AEA"/>
    <w:rsid w:val="000F633F"/>
    <w:rsid w:val="000F67E9"/>
    <w:rsid w:val="00104926"/>
    <w:rsid w:val="00104F5D"/>
    <w:rsid w:val="00113B1E"/>
    <w:rsid w:val="00113EFF"/>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57E65"/>
    <w:rsid w:val="001642FA"/>
    <w:rsid w:val="001649EB"/>
    <w:rsid w:val="00164BAF"/>
    <w:rsid w:val="00164FA8"/>
    <w:rsid w:val="00165065"/>
    <w:rsid w:val="00165363"/>
    <w:rsid w:val="00165434"/>
    <w:rsid w:val="0016580B"/>
    <w:rsid w:val="00165F49"/>
    <w:rsid w:val="00166B88"/>
    <w:rsid w:val="0016770A"/>
    <w:rsid w:val="00170804"/>
    <w:rsid w:val="001708E9"/>
    <w:rsid w:val="0017340B"/>
    <w:rsid w:val="00173FB1"/>
    <w:rsid w:val="00176DFD"/>
    <w:rsid w:val="00181CA1"/>
    <w:rsid w:val="001852C9"/>
    <w:rsid w:val="001879A7"/>
    <w:rsid w:val="00190087"/>
    <w:rsid w:val="001913C4"/>
    <w:rsid w:val="0019348F"/>
    <w:rsid w:val="00193A07"/>
    <w:rsid w:val="00194C95"/>
    <w:rsid w:val="00195C34"/>
    <w:rsid w:val="00196EF5"/>
    <w:rsid w:val="001A1A53"/>
    <w:rsid w:val="001A234A"/>
    <w:rsid w:val="001A4CF3"/>
    <w:rsid w:val="001B06E8"/>
    <w:rsid w:val="001B30DD"/>
    <w:rsid w:val="001B666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7C6"/>
    <w:rsid w:val="001F2508"/>
    <w:rsid w:val="001F4816"/>
    <w:rsid w:val="001F4EE9"/>
    <w:rsid w:val="001F69B4"/>
    <w:rsid w:val="001F77C7"/>
    <w:rsid w:val="00200183"/>
    <w:rsid w:val="00200333"/>
    <w:rsid w:val="0020107D"/>
    <w:rsid w:val="00202AA4"/>
    <w:rsid w:val="002031F7"/>
    <w:rsid w:val="00203E7E"/>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0C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D5D"/>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23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8DB"/>
    <w:rsid w:val="002F7AF6"/>
    <w:rsid w:val="00300E63"/>
    <w:rsid w:val="00302F5F"/>
    <w:rsid w:val="0030441D"/>
    <w:rsid w:val="00306063"/>
    <w:rsid w:val="00313B85"/>
    <w:rsid w:val="00316213"/>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1FE"/>
    <w:rsid w:val="003615D2"/>
    <w:rsid w:val="0036429C"/>
    <w:rsid w:val="00364A53"/>
    <w:rsid w:val="003654CB"/>
    <w:rsid w:val="00365AA9"/>
    <w:rsid w:val="00365F86"/>
    <w:rsid w:val="00365F87"/>
    <w:rsid w:val="00366319"/>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13E"/>
    <w:rsid w:val="003B09AD"/>
    <w:rsid w:val="003B1F18"/>
    <w:rsid w:val="003B5BF0"/>
    <w:rsid w:val="003B60BF"/>
    <w:rsid w:val="003B6BE3"/>
    <w:rsid w:val="003C010C"/>
    <w:rsid w:val="003C0A6C"/>
    <w:rsid w:val="003C14F8"/>
    <w:rsid w:val="003C5A43"/>
    <w:rsid w:val="003D0519"/>
    <w:rsid w:val="003D05E0"/>
    <w:rsid w:val="003D0FF6"/>
    <w:rsid w:val="003D262C"/>
    <w:rsid w:val="003D4803"/>
    <w:rsid w:val="003D6D61"/>
    <w:rsid w:val="003D79C6"/>
    <w:rsid w:val="003E091D"/>
    <w:rsid w:val="003E1C53"/>
    <w:rsid w:val="003E2A69"/>
    <w:rsid w:val="003E2D49"/>
    <w:rsid w:val="003E2FD4"/>
    <w:rsid w:val="003E498C"/>
    <w:rsid w:val="003E49F6"/>
    <w:rsid w:val="003E5F61"/>
    <w:rsid w:val="003E660F"/>
    <w:rsid w:val="003F0841"/>
    <w:rsid w:val="003F23D3"/>
    <w:rsid w:val="003F3F08"/>
    <w:rsid w:val="003F49F1"/>
    <w:rsid w:val="003F6272"/>
    <w:rsid w:val="00400E72"/>
    <w:rsid w:val="00401400"/>
    <w:rsid w:val="00404869"/>
    <w:rsid w:val="00405884"/>
    <w:rsid w:val="00407D39"/>
    <w:rsid w:val="0041477A"/>
    <w:rsid w:val="004167A3"/>
    <w:rsid w:val="00431797"/>
    <w:rsid w:val="00432DAA"/>
    <w:rsid w:val="00433251"/>
    <w:rsid w:val="00434305"/>
    <w:rsid w:val="00435DF7"/>
    <w:rsid w:val="0044083F"/>
    <w:rsid w:val="00441801"/>
    <w:rsid w:val="00441AE7"/>
    <w:rsid w:val="00445574"/>
    <w:rsid w:val="004467FB"/>
    <w:rsid w:val="00452D6B"/>
    <w:rsid w:val="00454484"/>
    <w:rsid w:val="0045517B"/>
    <w:rsid w:val="0045521A"/>
    <w:rsid w:val="00463B77"/>
    <w:rsid w:val="00463C7B"/>
    <w:rsid w:val="004644A6"/>
    <w:rsid w:val="004659BD"/>
    <w:rsid w:val="00470775"/>
    <w:rsid w:val="004746B1"/>
    <w:rsid w:val="0047472C"/>
    <w:rsid w:val="0047583F"/>
    <w:rsid w:val="00475DE8"/>
    <w:rsid w:val="004767D9"/>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7B5"/>
    <w:rsid w:val="004D4406"/>
    <w:rsid w:val="004D7C42"/>
    <w:rsid w:val="004E0465"/>
    <w:rsid w:val="004E127B"/>
    <w:rsid w:val="004E1C0A"/>
    <w:rsid w:val="004E2B06"/>
    <w:rsid w:val="004E30C5"/>
    <w:rsid w:val="004E4AA5"/>
    <w:rsid w:val="004E4AEE"/>
    <w:rsid w:val="004E59E3"/>
    <w:rsid w:val="004E67C0"/>
    <w:rsid w:val="004F391A"/>
    <w:rsid w:val="004F3CFB"/>
    <w:rsid w:val="004F4CA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264"/>
    <w:rsid w:val="00533D04"/>
    <w:rsid w:val="00534804"/>
    <w:rsid w:val="00534BDF"/>
    <w:rsid w:val="005354EA"/>
    <w:rsid w:val="005357B5"/>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AEC"/>
    <w:rsid w:val="00607D29"/>
    <w:rsid w:val="00612952"/>
    <w:rsid w:val="00614CC1"/>
    <w:rsid w:val="00615A9D"/>
    <w:rsid w:val="00617387"/>
    <w:rsid w:val="006205D6"/>
    <w:rsid w:val="006252D8"/>
    <w:rsid w:val="006259BC"/>
    <w:rsid w:val="0062636B"/>
    <w:rsid w:val="00632182"/>
    <w:rsid w:val="00632AE0"/>
    <w:rsid w:val="00633C17"/>
    <w:rsid w:val="006347A0"/>
    <w:rsid w:val="00634D9E"/>
    <w:rsid w:val="00636E3E"/>
    <w:rsid w:val="006379F7"/>
    <w:rsid w:val="00637E4D"/>
    <w:rsid w:val="00640620"/>
    <w:rsid w:val="00641A1F"/>
    <w:rsid w:val="00645904"/>
    <w:rsid w:val="00647C12"/>
    <w:rsid w:val="00651ACB"/>
    <w:rsid w:val="00651C47"/>
    <w:rsid w:val="00652AB2"/>
    <w:rsid w:val="00653FED"/>
    <w:rsid w:val="00654EC0"/>
    <w:rsid w:val="0065525B"/>
    <w:rsid w:val="00655D4F"/>
    <w:rsid w:val="00656D29"/>
    <w:rsid w:val="006640E5"/>
    <w:rsid w:val="006646F1"/>
    <w:rsid w:val="00664929"/>
    <w:rsid w:val="00664F62"/>
    <w:rsid w:val="006655E1"/>
    <w:rsid w:val="00665DC9"/>
    <w:rsid w:val="00667B30"/>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903"/>
    <w:rsid w:val="006C5A62"/>
    <w:rsid w:val="006C5D68"/>
    <w:rsid w:val="006C6976"/>
    <w:rsid w:val="006C6DD0"/>
    <w:rsid w:val="006D04EA"/>
    <w:rsid w:val="006D0AB7"/>
    <w:rsid w:val="006D16C4"/>
    <w:rsid w:val="006D3E96"/>
    <w:rsid w:val="006D425B"/>
    <w:rsid w:val="006D4515"/>
    <w:rsid w:val="006D4BB1"/>
    <w:rsid w:val="006D6593"/>
    <w:rsid w:val="006E23EA"/>
    <w:rsid w:val="006F03A8"/>
    <w:rsid w:val="006F1447"/>
    <w:rsid w:val="006F2ACA"/>
    <w:rsid w:val="006F2ADC"/>
    <w:rsid w:val="006F2BFE"/>
    <w:rsid w:val="006F31E9"/>
    <w:rsid w:val="006F41E9"/>
    <w:rsid w:val="006F6284"/>
    <w:rsid w:val="007002C5"/>
    <w:rsid w:val="00704387"/>
    <w:rsid w:val="00707669"/>
    <w:rsid w:val="00711CBA"/>
    <w:rsid w:val="00711FB5"/>
    <w:rsid w:val="00712A01"/>
    <w:rsid w:val="00714F58"/>
    <w:rsid w:val="00721723"/>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4B5"/>
    <w:rsid w:val="00765C43"/>
    <w:rsid w:val="00765EFB"/>
    <w:rsid w:val="007671CA"/>
    <w:rsid w:val="00767C61"/>
    <w:rsid w:val="0077008A"/>
    <w:rsid w:val="0077230E"/>
    <w:rsid w:val="00773C1F"/>
    <w:rsid w:val="00774357"/>
    <w:rsid w:val="00774DA4"/>
    <w:rsid w:val="00776599"/>
    <w:rsid w:val="0078114B"/>
    <w:rsid w:val="00781DD2"/>
    <w:rsid w:val="00783ECF"/>
    <w:rsid w:val="0078413A"/>
    <w:rsid w:val="0079213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D42"/>
    <w:rsid w:val="007C5309"/>
    <w:rsid w:val="007C6069"/>
    <w:rsid w:val="007D06C4"/>
    <w:rsid w:val="007D1352"/>
    <w:rsid w:val="007D2508"/>
    <w:rsid w:val="007D346A"/>
    <w:rsid w:val="007D6518"/>
    <w:rsid w:val="007D76BD"/>
    <w:rsid w:val="007E0BF1"/>
    <w:rsid w:val="007F0ED8"/>
    <w:rsid w:val="007F0F63"/>
    <w:rsid w:val="007F528A"/>
    <w:rsid w:val="007F75CE"/>
    <w:rsid w:val="008013A4"/>
    <w:rsid w:val="008027CE"/>
    <w:rsid w:val="00802F42"/>
    <w:rsid w:val="00804383"/>
    <w:rsid w:val="00804BB7"/>
    <w:rsid w:val="00804D41"/>
    <w:rsid w:val="00805C2B"/>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932"/>
    <w:rsid w:val="00842A47"/>
    <w:rsid w:val="00843C13"/>
    <w:rsid w:val="008454F8"/>
    <w:rsid w:val="0085173A"/>
    <w:rsid w:val="008540E6"/>
    <w:rsid w:val="00856316"/>
    <w:rsid w:val="008603CE"/>
    <w:rsid w:val="008620FC"/>
    <w:rsid w:val="008627A5"/>
    <w:rsid w:val="00863E05"/>
    <w:rsid w:val="00865ACA"/>
    <w:rsid w:val="00865D28"/>
    <w:rsid w:val="00865F85"/>
    <w:rsid w:val="00867C10"/>
    <w:rsid w:val="00870439"/>
    <w:rsid w:val="00870DA1"/>
    <w:rsid w:val="0088102F"/>
    <w:rsid w:val="00882B0F"/>
    <w:rsid w:val="0088331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EE5"/>
    <w:rsid w:val="008D2D1D"/>
    <w:rsid w:val="008D453D"/>
    <w:rsid w:val="008D53AD"/>
    <w:rsid w:val="008D562B"/>
    <w:rsid w:val="008D5733"/>
    <w:rsid w:val="008D622B"/>
    <w:rsid w:val="008D666C"/>
    <w:rsid w:val="008D7B54"/>
    <w:rsid w:val="008E010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4F8F"/>
    <w:rsid w:val="009429D5"/>
    <w:rsid w:val="00942BF1"/>
    <w:rsid w:val="00945180"/>
    <w:rsid w:val="00945428"/>
    <w:rsid w:val="0094607B"/>
    <w:rsid w:val="00953604"/>
    <w:rsid w:val="0095496B"/>
    <w:rsid w:val="00956EFB"/>
    <w:rsid w:val="009610DC"/>
    <w:rsid w:val="00961490"/>
    <w:rsid w:val="00962C23"/>
    <w:rsid w:val="0096381A"/>
    <w:rsid w:val="00965E04"/>
    <w:rsid w:val="009674AD"/>
    <w:rsid w:val="00970CDC"/>
    <w:rsid w:val="00977010"/>
    <w:rsid w:val="00977D02"/>
    <w:rsid w:val="009809BB"/>
    <w:rsid w:val="0098364B"/>
    <w:rsid w:val="009837C3"/>
    <w:rsid w:val="00985F7F"/>
    <w:rsid w:val="00990226"/>
    <w:rsid w:val="00990867"/>
    <w:rsid w:val="00990B96"/>
    <w:rsid w:val="009911AF"/>
    <w:rsid w:val="00991875"/>
    <w:rsid w:val="00991F92"/>
    <w:rsid w:val="00992985"/>
    <w:rsid w:val="00993889"/>
    <w:rsid w:val="00994DA0"/>
    <w:rsid w:val="0099551B"/>
    <w:rsid w:val="00996B7C"/>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2AF2"/>
    <w:rsid w:val="009C3152"/>
    <w:rsid w:val="009C4CFA"/>
    <w:rsid w:val="009C5070"/>
    <w:rsid w:val="009D112C"/>
    <w:rsid w:val="009D372E"/>
    <w:rsid w:val="009D47FA"/>
    <w:rsid w:val="009D4C5B"/>
    <w:rsid w:val="009D50D2"/>
    <w:rsid w:val="009D6BCA"/>
    <w:rsid w:val="009E0F62"/>
    <w:rsid w:val="009E4A58"/>
    <w:rsid w:val="009E5A2D"/>
    <w:rsid w:val="009E5AB2"/>
    <w:rsid w:val="009E6219"/>
    <w:rsid w:val="009E6DA2"/>
    <w:rsid w:val="009F03B3"/>
    <w:rsid w:val="00A0096C"/>
    <w:rsid w:val="00A01757"/>
    <w:rsid w:val="00A028C0"/>
    <w:rsid w:val="00A02BAE"/>
    <w:rsid w:val="00A06A6B"/>
    <w:rsid w:val="00A07E47"/>
    <w:rsid w:val="00A12666"/>
    <w:rsid w:val="00A129D0"/>
    <w:rsid w:val="00A12C33"/>
    <w:rsid w:val="00A138BA"/>
    <w:rsid w:val="00A14C8E"/>
    <w:rsid w:val="00A153D9"/>
    <w:rsid w:val="00A15DCD"/>
    <w:rsid w:val="00A15F09"/>
    <w:rsid w:val="00A169B6"/>
    <w:rsid w:val="00A2271D"/>
    <w:rsid w:val="00A237D5"/>
    <w:rsid w:val="00A246B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B60"/>
    <w:rsid w:val="00A723F8"/>
    <w:rsid w:val="00A736A0"/>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DA5"/>
    <w:rsid w:val="00AD4126"/>
    <w:rsid w:val="00AD421C"/>
    <w:rsid w:val="00AD44FA"/>
    <w:rsid w:val="00AE070A"/>
    <w:rsid w:val="00AE0BD5"/>
    <w:rsid w:val="00AE101C"/>
    <w:rsid w:val="00AE3760"/>
    <w:rsid w:val="00AE37E5"/>
    <w:rsid w:val="00AE5EB4"/>
    <w:rsid w:val="00AF0C18"/>
    <w:rsid w:val="00AF47C5"/>
    <w:rsid w:val="00AF5398"/>
    <w:rsid w:val="00B049AF"/>
    <w:rsid w:val="00B07242"/>
    <w:rsid w:val="00B10534"/>
    <w:rsid w:val="00B113DB"/>
    <w:rsid w:val="00B11CE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6C03"/>
    <w:rsid w:val="00B47293"/>
    <w:rsid w:val="00B50E50"/>
    <w:rsid w:val="00B52120"/>
    <w:rsid w:val="00B54ABC"/>
    <w:rsid w:val="00B54DDE"/>
    <w:rsid w:val="00B56FBE"/>
    <w:rsid w:val="00B60ACF"/>
    <w:rsid w:val="00B62B58"/>
    <w:rsid w:val="00B65149"/>
    <w:rsid w:val="00B66567"/>
    <w:rsid w:val="00B66F52"/>
    <w:rsid w:val="00B66FE5"/>
    <w:rsid w:val="00B72880"/>
    <w:rsid w:val="00B72EE5"/>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ADE"/>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EE0"/>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21B"/>
    <w:rsid w:val="00C279B2"/>
    <w:rsid w:val="00C33E50"/>
    <w:rsid w:val="00C34C20"/>
    <w:rsid w:val="00C35A3E"/>
    <w:rsid w:val="00C42130"/>
    <w:rsid w:val="00C423A4"/>
    <w:rsid w:val="00C44BF5"/>
    <w:rsid w:val="00C521D6"/>
    <w:rsid w:val="00C52D5F"/>
    <w:rsid w:val="00C55232"/>
    <w:rsid w:val="00C553A4"/>
    <w:rsid w:val="00C55A06"/>
    <w:rsid w:val="00C55D03"/>
    <w:rsid w:val="00C601BC"/>
    <w:rsid w:val="00C6329F"/>
    <w:rsid w:val="00C63340"/>
    <w:rsid w:val="00C643F9"/>
    <w:rsid w:val="00C64E95"/>
    <w:rsid w:val="00C71372"/>
    <w:rsid w:val="00C72410"/>
    <w:rsid w:val="00C7287F"/>
    <w:rsid w:val="00C75F0B"/>
    <w:rsid w:val="00C80982"/>
    <w:rsid w:val="00C80CB8"/>
    <w:rsid w:val="00C819F8"/>
    <w:rsid w:val="00C8248C"/>
    <w:rsid w:val="00C84E33"/>
    <w:rsid w:val="00C86D6F"/>
    <w:rsid w:val="00C905FC"/>
    <w:rsid w:val="00C92D03"/>
    <w:rsid w:val="00C9319C"/>
    <w:rsid w:val="00C9435D"/>
    <w:rsid w:val="00C94DF2"/>
    <w:rsid w:val="00C96741"/>
    <w:rsid w:val="00CA0DE2"/>
    <w:rsid w:val="00CA102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589"/>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D3B"/>
    <w:rsid w:val="00D0321C"/>
    <w:rsid w:val="00D035EC"/>
    <w:rsid w:val="00D06AB1"/>
    <w:rsid w:val="00D072ED"/>
    <w:rsid w:val="00D07A16"/>
    <w:rsid w:val="00D07A69"/>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514"/>
    <w:rsid w:val="00D352A2"/>
    <w:rsid w:val="00D35B70"/>
    <w:rsid w:val="00D3660F"/>
    <w:rsid w:val="00D4162B"/>
    <w:rsid w:val="00D42C41"/>
    <w:rsid w:val="00D4514F"/>
    <w:rsid w:val="00D451E2"/>
    <w:rsid w:val="00D45E89"/>
    <w:rsid w:val="00D45E8D"/>
    <w:rsid w:val="00D466AE"/>
    <w:rsid w:val="00D4734F"/>
    <w:rsid w:val="00D51BF3"/>
    <w:rsid w:val="00D66846"/>
    <w:rsid w:val="00D675FB"/>
    <w:rsid w:val="00D71F25"/>
    <w:rsid w:val="00D72A9C"/>
    <w:rsid w:val="00D76460"/>
    <w:rsid w:val="00D77031"/>
    <w:rsid w:val="00D84941"/>
    <w:rsid w:val="00D84FA1"/>
    <w:rsid w:val="00D851F0"/>
    <w:rsid w:val="00D86DB7"/>
    <w:rsid w:val="00D926D0"/>
    <w:rsid w:val="00D93030"/>
    <w:rsid w:val="00D94959"/>
    <w:rsid w:val="00D950E1"/>
    <w:rsid w:val="00D952A6"/>
    <w:rsid w:val="00D97F99"/>
    <w:rsid w:val="00DA0153"/>
    <w:rsid w:val="00DA1E08"/>
    <w:rsid w:val="00DA1EAC"/>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0EBC"/>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2E1"/>
    <w:rsid w:val="00E11A85"/>
    <w:rsid w:val="00E12495"/>
    <w:rsid w:val="00E15CCD"/>
    <w:rsid w:val="00E202EF"/>
    <w:rsid w:val="00E210B5"/>
    <w:rsid w:val="00E23D99"/>
    <w:rsid w:val="00E2552F"/>
    <w:rsid w:val="00E3137A"/>
    <w:rsid w:val="00E32CCF"/>
    <w:rsid w:val="00E32E10"/>
    <w:rsid w:val="00E34A98"/>
    <w:rsid w:val="00E35D1E"/>
    <w:rsid w:val="00E364F9"/>
    <w:rsid w:val="00E365FA"/>
    <w:rsid w:val="00E36789"/>
    <w:rsid w:val="00E4184D"/>
    <w:rsid w:val="00E44A83"/>
    <w:rsid w:val="00E502C1"/>
    <w:rsid w:val="00E502DD"/>
    <w:rsid w:val="00E50D3A"/>
    <w:rsid w:val="00E51387"/>
    <w:rsid w:val="00E51E68"/>
    <w:rsid w:val="00E52EFD"/>
    <w:rsid w:val="00E5408A"/>
    <w:rsid w:val="00E56800"/>
    <w:rsid w:val="00E57D28"/>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FB7"/>
    <w:rsid w:val="00E90391"/>
    <w:rsid w:val="00E906C2"/>
    <w:rsid w:val="00E9311F"/>
    <w:rsid w:val="00E934D1"/>
    <w:rsid w:val="00E94AF0"/>
    <w:rsid w:val="00E95D13"/>
    <w:rsid w:val="00E95DD3"/>
    <w:rsid w:val="00E969D5"/>
    <w:rsid w:val="00EA1C71"/>
    <w:rsid w:val="00EA58D1"/>
    <w:rsid w:val="00EA61BC"/>
    <w:rsid w:val="00EA681A"/>
    <w:rsid w:val="00EA735B"/>
    <w:rsid w:val="00EB17DE"/>
    <w:rsid w:val="00EB1E69"/>
    <w:rsid w:val="00EB2086"/>
    <w:rsid w:val="00EB5EDF"/>
    <w:rsid w:val="00EB60FE"/>
    <w:rsid w:val="00EB74DB"/>
    <w:rsid w:val="00EC1D62"/>
    <w:rsid w:val="00EC5359"/>
    <w:rsid w:val="00EC562A"/>
    <w:rsid w:val="00ED067A"/>
    <w:rsid w:val="00ED2B50"/>
    <w:rsid w:val="00EE0350"/>
    <w:rsid w:val="00EE0719"/>
    <w:rsid w:val="00EE0E80"/>
    <w:rsid w:val="00EE2362"/>
    <w:rsid w:val="00EE54A6"/>
    <w:rsid w:val="00EE613F"/>
    <w:rsid w:val="00EE7295"/>
    <w:rsid w:val="00EE7869"/>
    <w:rsid w:val="00EF054A"/>
    <w:rsid w:val="00EF16AA"/>
    <w:rsid w:val="00EF3235"/>
    <w:rsid w:val="00EF7E72"/>
    <w:rsid w:val="00F06D37"/>
    <w:rsid w:val="00F0709A"/>
    <w:rsid w:val="00F07B9D"/>
    <w:rsid w:val="00F11137"/>
    <w:rsid w:val="00F11586"/>
    <w:rsid w:val="00F1183B"/>
    <w:rsid w:val="00F11C9F"/>
    <w:rsid w:val="00F12263"/>
    <w:rsid w:val="00F1409D"/>
    <w:rsid w:val="00F14214"/>
    <w:rsid w:val="00F157A9"/>
    <w:rsid w:val="00F25BB6"/>
    <w:rsid w:val="00F269A1"/>
    <w:rsid w:val="00F26B7E"/>
    <w:rsid w:val="00F27A3B"/>
    <w:rsid w:val="00F33817"/>
    <w:rsid w:val="00F37351"/>
    <w:rsid w:val="00F420D5"/>
    <w:rsid w:val="00F451EA"/>
    <w:rsid w:val="00F45227"/>
    <w:rsid w:val="00F45447"/>
    <w:rsid w:val="00F456C6"/>
    <w:rsid w:val="00F4577B"/>
    <w:rsid w:val="00F46496"/>
    <w:rsid w:val="00F474D0"/>
    <w:rsid w:val="00F50179"/>
    <w:rsid w:val="00F515EE"/>
    <w:rsid w:val="00F56511"/>
    <w:rsid w:val="00F5696E"/>
    <w:rsid w:val="00F57461"/>
    <w:rsid w:val="00F6194E"/>
    <w:rsid w:val="00F623AC"/>
    <w:rsid w:val="00F6412A"/>
    <w:rsid w:val="00F65893"/>
    <w:rsid w:val="00F666D6"/>
    <w:rsid w:val="00F66A4A"/>
    <w:rsid w:val="00F71E22"/>
    <w:rsid w:val="00F72142"/>
    <w:rsid w:val="00F72AE7"/>
    <w:rsid w:val="00F74CF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3A1"/>
    <w:rsid w:val="00FD2A7C"/>
    <w:rsid w:val="00FD59EB"/>
    <w:rsid w:val="00FD7299"/>
    <w:rsid w:val="00FD7BDE"/>
    <w:rsid w:val="00FE1604"/>
    <w:rsid w:val="00FE19E4"/>
    <w:rsid w:val="00FE1FBE"/>
    <w:rsid w:val="00FE3901"/>
    <w:rsid w:val="00FE39D3"/>
    <w:rsid w:val="00FE4BCE"/>
    <w:rsid w:val="00FE54AE"/>
    <w:rsid w:val="00FE576A"/>
    <w:rsid w:val="00FE7E79"/>
    <w:rsid w:val="00FF3E7D"/>
    <w:rsid w:val="00FF5B99"/>
    <w:rsid w:val="00FF730C"/>
    <w:rsid w:val="00FF73F4"/>
    <w:rsid w:val="00FF7CE4"/>
    <w:rsid w:val="00FF7E39"/>
    <w:rsid w:val="0DF47B04"/>
    <w:rsid w:val="0EC70DAB"/>
    <w:rsid w:val="0FC24931"/>
    <w:rsid w:val="124E2555"/>
    <w:rsid w:val="179E3A27"/>
    <w:rsid w:val="17C310A3"/>
    <w:rsid w:val="18B90B18"/>
    <w:rsid w:val="1D114D58"/>
    <w:rsid w:val="20DC18B5"/>
    <w:rsid w:val="24231363"/>
    <w:rsid w:val="27F07410"/>
    <w:rsid w:val="28177609"/>
    <w:rsid w:val="2CF41CE7"/>
    <w:rsid w:val="32E31591"/>
    <w:rsid w:val="33FB49AC"/>
    <w:rsid w:val="385454AF"/>
    <w:rsid w:val="391A7448"/>
    <w:rsid w:val="3FDE3962"/>
    <w:rsid w:val="44BE04D7"/>
    <w:rsid w:val="476E738F"/>
    <w:rsid w:val="4A7F7133"/>
    <w:rsid w:val="4E037D29"/>
    <w:rsid w:val="553B4087"/>
    <w:rsid w:val="59E75B2E"/>
    <w:rsid w:val="63F53BE4"/>
    <w:rsid w:val="69444284"/>
    <w:rsid w:val="71985B38"/>
    <w:rsid w:val="7229715F"/>
    <w:rsid w:val="770F444C"/>
    <w:rsid w:val="77B838F5"/>
    <w:rsid w:val="78516438"/>
    <w:rsid w:val="78C74ADC"/>
    <w:rsid w:val="78C832D1"/>
    <w:rsid w:val="7B0F0B00"/>
    <w:rsid w:val="7EAF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List Paragraph"/>
    <w:basedOn w:val="1"/>
    <w:qFormat/>
    <w:uiPriority w:val="1"/>
    <w:pPr>
      <w:autoSpaceDE w:val="0"/>
      <w:autoSpaceDN w:val="0"/>
      <w:adjustRightInd/>
      <w:spacing w:line="240" w:lineRule="auto"/>
      <w:ind w:left="218" w:firstLine="420"/>
      <w:jc w:val="left"/>
    </w:pPr>
    <w:rPr>
      <w:rFonts w:ascii="宋体" w:hAnsi="宋体" w:cs="宋体"/>
      <w:kern w:val="0"/>
      <w:sz w:val="22"/>
      <w:szCs w:val="22"/>
      <w:lang w:val="ca-ES" w:eastAsia="ca-ES" w:bidi="ca-ES"/>
    </w:rPr>
  </w:style>
  <w:style w:type="character" w:customStyle="1" w:styleId="231">
    <w:name w:val="Unresolved Mention"/>
    <w:basedOn w:val="2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AFE48D657544EAADBE6D582FE62B4B"/>
        <w:style w:val=""/>
        <w:category>
          <w:name w:val="常规"/>
          <w:gallery w:val="placeholder"/>
        </w:category>
        <w:types>
          <w:type w:val="bbPlcHdr"/>
        </w:types>
        <w:behaviors>
          <w:behavior w:val="content"/>
        </w:behaviors>
        <w:description w:val=""/>
        <w:guid w:val="{D014D8BF-8C5A-4BF2-B5DB-6FE8523F8733}"/>
      </w:docPartPr>
      <w:docPartBody>
        <w:p>
          <w:pPr>
            <w:pStyle w:val="5"/>
            <w:rPr>
              <w:rFonts w:hint="eastAsia"/>
            </w:rPr>
          </w:pPr>
          <w:r>
            <w:rPr>
              <w:rStyle w:val="4"/>
              <w:rFonts w:hint="eastAsia"/>
            </w:rPr>
            <w:t>单击或点击此处输入文字。</w:t>
          </w:r>
        </w:p>
      </w:docPartBody>
    </w:docPart>
    <w:docPart>
      <w:docPartPr>
        <w:name w:val="0F17441A2A4C47A09D258766F781C1A2"/>
        <w:style w:val=""/>
        <w:category>
          <w:name w:val="常规"/>
          <w:gallery w:val="placeholder"/>
        </w:category>
        <w:types>
          <w:type w:val="bbPlcHdr"/>
        </w:types>
        <w:behaviors>
          <w:behavior w:val="content"/>
        </w:behaviors>
        <w:description w:val=""/>
        <w:guid w:val="{2E916AE6-F104-4ED2-A915-BD42F01903D3}"/>
      </w:docPartPr>
      <w:docPartBody>
        <w:p>
          <w:pPr>
            <w:pStyle w:val="6"/>
            <w:rPr>
              <w:rFonts w:hint="eastAsia"/>
            </w:rPr>
          </w:pPr>
          <w:r>
            <w:rPr>
              <w:rStyle w:val="4"/>
              <w:rFonts w:hint="eastAsia"/>
            </w:rPr>
            <w:t>选择一项。</w:t>
          </w:r>
        </w:p>
      </w:docPartBody>
    </w:docPart>
    <w:docPart>
      <w:docPartPr>
        <w:name w:val="0D89EB1203084135B1D71B8D7283E746"/>
        <w:style w:val=""/>
        <w:category>
          <w:name w:val="常规"/>
          <w:gallery w:val="placeholder"/>
        </w:category>
        <w:types>
          <w:type w:val="bbPlcHdr"/>
        </w:types>
        <w:behaviors>
          <w:behavior w:val="content"/>
        </w:behaviors>
        <w:description w:val=""/>
        <w:guid w:val="{F5195E53-21F8-426B-BB52-BE245A7CE505}"/>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62"/>
    <w:rsid w:val="00006CE8"/>
    <w:rsid w:val="000728CC"/>
    <w:rsid w:val="00083E41"/>
    <w:rsid w:val="001B666C"/>
    <w:rsid w:val="00203E7E"/>
    <w:rsid w:val="002109C9"/>
    <w:rsid w:val="00232262"/>
    <w:rsid w:val="00262072"/>
    <w:rsid w:val="00305647"/>
    <w:rsid w:val="00355392"/>
    <w:rsid w:val="003A4BE0"/>
    <w:rsid w:val="003A613E"/>
    <w:rsid w:val="003D15A8"/>
    <w:rsid w:val="00433251"/>
    <w:rsid w:val="004F4CA4"/>
    <w:rsid w:val="00667162"/>
    <w:rsid w:val="006805C7"/>
    <w:rsid w:val="006C0FE8"/>
    <w:rsid w:val="006F1447"/>
    <w:rsid w:val="00814030"/>
    <w:rsid w:val="00820D98"/>
    <w:rsid w:val="00832C1D"/>
    <w:rsid w:val="00882B0F"/>
    <w:rsid w:val="00956EFB"/>
    <w:rsid w:val="00993E6C"/>
    <w:rsid w:val="009C076B"/>
    <w:rsid w:val="00A017D4"/>
    <w:rsid w:val="00B11CEB"/>
    <w:rsid w:val="00B347EF"/>
    <w:rsid w:val="00BB6ADE"/>
    <w:rsid w:val="00C52D5F"/>
    <w:rsid w:val="00C72270"/>
    <w:rsid w:val="00C9155B"/>
    <w:rsid w:val="00CE2A2C"/>
    <w:rsid w:val="00D36DB6"/>
    <w:rsid w:val="00D465C9"/>
    <w:rsid w:val="00E11964"/>
    <w:rsid w:val="00F2316E"/>
    <w:rsid w:val="00F5696E"/>
    <w:rsid w:val="00FB1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A7AFE48D657544EAADBE6D582FE62B4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F17441A2A4C47A09D258766F781C1A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D89EB1203084135B1D71B8D7283E74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3916</Words>
  <Characters>4293</Characters>
  <Lines>307</Lines>
  <Paragraphs>365</Paragraphs>
  <TotalTime>2</TotalTime>
  <ScaleCrop>false</ScaleCrop>
  <LinksUpToDate>false</LinksUpToDate>
  <CharactersWithSpaces>4463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2024-03-20T06:22:00Z</dcterms:created>
  <dc:creator>ASUS</dc:creator>
  <cp:lastModifiedBy>admin</cp:lastModifiedBy>
  <cp:lastPrinted>2020-08-30T10:00:00Z</cp:lastPrinted>
  <dcterms:modified xsi:type="dcterms:W3CDTF">2025-09-12T01:16:14Z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eyJoZGlkIjoiNjBmMzNmMjBlNGI0ZTI2NGIxMmNjYzUxNTZlZmY1ZTUiLCJ1c2VySWQiOiIxNTI5NDQzODY2In0=</vt:lpwstr>
  </property>
  <property fmtid="{D5CDD505-2E9C-101B-9397-08002B2CF9AE}" pid="15" name="KSOProductBuildVer">
    <vt:lpwstr>2052-10.8.0.6423</vt:lpwstr>
  </property>
  <property fmtid="{D5CDD505-2E9C-101B-9397-08002B2CF9AE}" pid="16" name="ICV">
    <vt:lpwstr>1205AB612F0C49BEA1191E8B097228EA_12</vt:lpwstr>
  </property>
</Properties>
</file>