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p>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艾蒿加工技术规程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Technical </w:t>
      </w:r>
      <w:r>
        <w:rPr>
          <w:rFonts w:hint="eastAsia" w:ascii="黑体" w:hAnsi="黑体" w:eastAsia="黑体"/>
          <w:szCs w:val="28"/>
        </w:rPr>
        <w:t>r</w:t>
      </w:r>
      <w:r>
        <w:rPr>
          <w:rFonts w:ascii="黑体" w:hAnsi="黑体" w:eastAsia="黑体"/>
          <w:szCs w:val="28"/>
        </w:rPr>
        <w:t xml:space="preserve">egulation for </w:t>
      </w:r>
      <w:r>
        <w:rPr>
          <w:rFonts w:hint="eastAsia" w:ascii="黑体" w:hAnsi="黑体" w:eastAsia="黑体"/>
          <w:szCs w:val="28"/>
        </w:rPr>
        <w:t>p</w:t>
      </w:r>
      <w:r>
        <w:rPr>
          <w:rFonts w:ascii="黑体" w:hAnsi="黑体" w:eastAsia="黑体"/>
          <w:szCs w:val="28"/>
        </w:rPr>
        <w:t>rocessing of Artemisia argyi</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（本草案完成时间：2025.3.07）</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bookmarkStart w:id="195" w:name="_GoBack"/>
      <w:bookmarkEnd w:id="195"/>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2"/>
        <w:spacing w:after="468"/>
      </w:pPr>
      <w:bookmarkStart w:id="21" w:name="BookMark1"/>
      <w:bookmarkStart w:id="22" w:name="_Toc180624115"/>
      <w:bookmarkStart w:id="23" w:name="_Toc180707634"/>
      <w:bookmarkStart w:id="24" w:name="_Toc180623990"/>
      <w:bookmarkStart w:id="25" w:name="_Toc180623896"/>
      <w:bookmarkStart w:id="26" w:name="_Toc180623803"/>
      <w:bookmarkStart w:id="27" w:name="_Toc194303062"/>
      <w:bookmarkStart w:id="28" w:name="_Toc202633969"/>
      <w:bookmarkStart w:id="29" w:name="_Toc180623919"/>
      <w:bookmarkStart w:id="30" w:name="_Toc202633927"/>
      <w:bookmarkStart w:id="31" w:name="_Toc180623873"/>
      <w:bookmarkStart w:id="32" w:name="_Toc194303041"/>
      <w:bookmarkStart w:id="33" w:name="_Toc192503757"/>
      <w:bookmarkStart w:id="34" w:name="_Toc180623850"/>
      <w:bookmarkStart w:id="35" w:name="_Toc18191496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"_Toc202634185" </w:instrText>
      </w:r>
      <w:r>
        <w:fldChar w:fldCharType="separate"/>
      </w:r>
      <w:r>
        <w:rPr>
          <w:rStyle w:val="31"/>
        </w:rPr>
        <w:t>前言</w:t>
      </w:r>
      <w:r>
        <w:tab/>
      </w:r>
      <w:r>
        <w:fldChar w:fldCharType="begin"/>
      </w:r>
      <w:r>
        <w:instrText xml:space="preserve"> PAGEREF _Toc202634185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"_Toc202634186" </w:instrText>
      </w:r>
      <w:r>
        <w:fldChar w:fldCharType="separate"/>
      </w:r>
      <w:r>
        <w:rPr>
          <w:rStyle w:val="31"/>
        </w:rPr>
        <w:t>1  范围</w:t>
      </w:r>
      <w:r>
        <w:tab/>
      </w:r>
      <w:r>
        <w:fldChar w:fldCharType="begin"/>
      </w:r>
      <w:r>
        <w:instrText xml:space="preserve"> PAGEREF _Toc202634186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"_Toc202634187" </w:instrText>
      </w:r>
      <w:r>
        <w:fldChar w:fldCharType="separate"/>
      </w:r>
      <w:r>
        <w:rPr>
          <w:rStyle w:val="31"/>
        </w:rPr>
        <w:t>2  规范性引用文件</w:t>
      </w:r>
      <w:r>
        <w:tab/>
      </w:r>
      <w:r>
        <w:fldChar w:fldCharType="begin"/>
      </w:r>
      <w:r>
        <w:instrText xml:space="preserve"> PAGEREF _Toc202634187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"_Toc202634188" </w:instrText>
      </w:r>
      <w:r>
        <w:fldChar w:fldCharType="separate"/>
      </w:r>
      <w:r>
        <w:rPr>
          <w:rStyle w:val="31"/>
        </w:rPr>
        <w:t>3  术语和定义</w:t>
      </w:r>
      <w:r>
        <w:tab/>
      </w:r>
      <w:r>
        <w:fldChar w:fldCharType="begin"/>
      </w:r>
      <w:r>
        <w:instrText xml:space="preserve"> PAGEREF _Toc202634188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"_Toc202634189" </w:instrText>
      </w:r>
      <w:r>
        <w:fldChar w:fldCharType="separate"/>
      </w:r>
      <w:r>
        <w:rPr>
          <w:rStyle w:val="31"/>
        </w:rPr>
        <w:t>4  鲜叶原料</w:t>
      </w:r>
      <w:r>
        <w:tab/>
      </w:r>
      <w:r>
        <w:fldChar w:fldCharType="begin"/>
      </w:r>
      <w:r>
        <w:instrText xml:space="preserve"> PAGEREF _Toc202634189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"_Toc202634190" </w:instrText>
      </w:r>
      <w:r>
        <w:fldChar w:fldCharType="separate"/>
      </w:r>
      <w:r>
        <w:rPr>
          <w:rStyle w:val="31"/>
        </w:rPr>
        <w:t>5  加工要求</w:t>
      </w:r>
      <w:r>
        <w:tab/>
      </w:r>
      <w:r>
        <w:fldChar w:fldCharType="begin"/>
      </w:r>
      <w:r>
        <w:instrText xml:space="preserve"> PAGEREF _Toc202634190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"_Toc202634191" </w:instrText>
      </w:r>
      <w:r>
        <w:fldChar w:fldCharType="separate"/>
      </w:r>
      <w:r>
        <w:rPr>
          <w:rStyle w:val="31"/>
        </w:rPr>
        <w:t>6  艾绒</w:t>
      </w:r>
      <w:r>
        <w:tab/>
      </w:r>
      <w:r>
        <w:fldChar w:fldCharType="begin"/>
      </w:r>
      <w:r>
        <w:instrText xml:space="preserve"> PAGEREF _Toc202634191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"_Toc202634192" </w:instrText>
      </w:r>
      <w:r>
        <w:fldChar w:fldCharType="separate"/>
      </w:r>
      <w:r>
        <w:rPr>
          <w:rStyle w:val="31"/>
        </w:rPr>
        <w:t>7  艾条</w:t>
      </w:r>
      <w:r>
        <w:tab/>
      </w:r>
      <w:r>
        <w:fldChar w:fldCharType="begin"/>
      </w:r>
      <w:r>
        <w:instrText xml:space="preserve"> PAGEREF _Toc202634192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"_Toc202634193" </w:instrText>
      </w:r>
      <w:r>
        <w:fldChar w:fldCharType="separate"/>
      </w:r>
      <w:r>
        <w:rPr>
          <w:rStyle w:val="31"/>
        </w:rPr>
        <w:t>8  艾蒿精油</w:t>
      </w:r>
      <w:r>
        <w:tab/>
      </w:r>
      <w:r>
        <w:fldChar w:fldCharType="begin"/>
      </w:r>
      <w:r>
        <w:instrText xml:space="preserve"> PAGEREF _Toc202634193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"_Toc202634194" </w:instrText>
      </w:r>
      <w:r>
        <w:fldChar w:fldCharType="separate"/>
      </w:r>
      <w:r>
        <w:rPr>
          <w:rStyle w:val="31"/>
        </w:rPr>
        <w:t>9  艾蒿粑粑</w:t>
      </w:r>
      <w:r>
        <w:tab/>
      </w:r>
      <w:r>
        <w:fldChar w:fldCharType="begin"/>
      </w:r>
      <w:r>
        <w:instrText xml:space="preserve"> PAGEREF _Toc202634194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"_Toc202634195" </w:instrText>
      </w:r>
      <w:r>
        <w:fldChar w:fldCharType="separate"/>
      </w:r>
      <w:r>
        <w:rPr>
          <w:rStyle w:val="31"/>
        </w:rPr>
        <w:t>10  标志、标签、包装、运输和贮存</w:t>
      </w:r>
      <w:r>
        <w:tab/>
      </w:r>
      <w:r>
        <w:fldChar w:fldCharType="begin"/>
      </w:r>
      <w:r>
        <w:instrText xml:space="preserve"> PAGEREF _Toc202634195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"_Toc202634196" </w:instrText>
      </w:r>
      <w:r>
        <w:fldChar w:fldCharType="separate"/>
      </w:r>
      <w:r>
        <w:rPr>
          <w:rStyle w:val="31"/>
        </w:rPr>
        <w:t>附录A（资料性）  记录表格示例</w:t>
      </w:r>
      <w:r>
        <w:tab/>
      </w:r>
      <w:r>
        <w:fldChar w:fldCharType="begin"/>
      </w:r>
      <w:r>
        <w:instrText xml:space="preserve"> PAGEREF _Toc202634196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"_Toc202634197" </w:instrText>
      </w:r>
      <w:r>
        <w:fldChar w:fldCharType="separate"/>
      </w:r>
      <w:r>
        <w:rPr>
          <w:rStyle w:val="31"/>
        </w:rPr>
        <w:t>参考文献</w:t>
      </w:r>
      <w:r>
        <w:tab/>
      </w:r>
      <w:r>
        <w:fldChar w:fldCharType="begin"/>
      </w:r>
      <w:r>
        <w:instrText xml:space="preserve"> PAGEREF _Toc202634197 \h </w:instrText>
      </w:r>
      <w:r>
        <w:fldChar w:fldCharType="separate"/>
      </w:r>
      <w:r>
        <w:t>12</w:t>
      </w:r>
      <w:r>
        <w:fldChar w:fldCharType="end"/>
      </w:r>
      <w:r>
        <w:fldChar w:fldCharType="end"/>
      </w:r>
    </w:p>
    <w:p>
      <w:pPr>
        <w:pStyle w:val="92"/>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36" w:name="_Toc202634185"/>
      <w:bookmarkStart w:id="37" w:name="BookMark2"/>
      <w:r>
        <w:rPr>
          <w:spacing w:val="320"/>
        </w:rPr>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请注意本文件的某些内容可能涉及专利。本文件的发布机构不承担识别这些专利的责任。</w:t>
      </w:r>
    </w:p>
    <w:p>
      <w:pPr>
        <w:pStyle w:val="57"/>
        <w:ind w:firstLine="420"/>
      </w:pPr>
      <w:r>
        <w:rPr>
          <w:rFonts w:hint="eastAsia"/>
        </w:rPr>
        <w:t>本标准由湖南省农业农村厅提出。</w:t>
      </w:r>
    </w:p>
    <w:p>
      <w:pPr>
        <w:pStyle w:val="57"/>
        <w:ind w:firstLine="420"/>
      </w:pPr>
      <w:r>
        <w:rPr>
          <w:rFonts w:hint="eastAsia"/>
        </w:rPr>
        <w:t>本标准由湖南省农业标准化技术委员会归口。</w:t>
      </w:r>
    </w:p>
    <w:p>
      <w:pPr>
        <w:pStyle w:val="57"/>
        <w:ind w:firstLine="420"/>
        <w:rPr>
          <w:color w:val="FF0000"/>
        </w:rPr>
      </w:pPr>
      <w:r>
        <w:rPr>
          <w:rFonts w:hint="eastAsia"/>
        </w:rPr>
        <w:t>本标准起草单位：湖南人文科技学院、新化辉妹子农业开发有限公司、湖南省农业科学院、湖南安卓特种设备科技有限公司、娄底市农业科学研究所。</w:t>
      </w:r>
    </w:p>
    <w:p>
      <w:pPr>
        <w:pStyle w:val="57"/>
        <w:ind w:firstLine="420"/>
        <w:rPr>
          <w:color w:val="FF0000"/>
        </w:rPr>
      </w:pPr>
      <w:r>
        <w:rPr>
          <w:rFonts w:hint="eastAsia"/>
        </w:rPr>
        <w:t>本标准主要起草人：陈致印、罗朝辉、朱友鹏、黄静、朱赞江、邱卓、聂琼、龚意辉、张志雄。</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37"/>
    <w:p>
      <w:pPr>
        <w:spacing w:line="20" w:lineRule="exact"/>
        <w:jc w:val="center"/>
        <w:rPr>
          <w:rFonts w:ascii="黑体" w:hAnsi="黑体" w:eastAsia="黑体"/>
          <w:sz w:val="32"/>
          <w:szCs w:val="32"/>
        </w:rPr>
      </w:pPr>
      <w:bookmarkStart w:id="38" w:name="BookMark4"/>
    </w:p>
    <w:p>
      <w:pPr>
        <w:spacing w:line="20" w:lineRule="exact"/>
        <w:jc w:val="center"/>
        <w:rPr>
          <w:rFonts w:ascii="黑体" w:hAnsi="黑体" w:eastAsia="黑体"/>
          <w:sz w:val="32"/>
          <w:szCs w:val="32"/>
        </w:rPr>
      </w:pPr>
    </w:p>
    <w:sdt>
      <w:sdtPr>
        <w:tag w:val="NEW_STAND_NAME"/>
        <w:id w:val="595910757"/>
        <w:lock w:val="sdtLocked"/>
        <w:placeholder>
          <w:docPart w:val="DACC13A1A6B74D07846A0B51C973FD4A"/>
        </w:placeholder>
      </w:sdtPr>
      <w:sdtContent>
        <w:p>
          <w:pPr>
            <w:pStyle w:val="178"/>
            <w:spacing w:before="3" w:beforeLines="1" w:after="686" w:afterLines="220"/>
          </w:pPr>
          <w:bookmarkStart w:id="39" w:name="NEW_STAND_NAME"/>
          <w:r>
            <w:rPr>
              <w:rFonts w:hint="eastAsia"/>
            </w:rPr>
            <w:t>艾蒿加工技术规程</w:t>
          </w:r>
        </w:p>
      </w:sdtContent>
    </w:sdt>
    <w:bookmarkEnd w:id="39"/>
    <w:p>
      <w:pPr>
        <w:pStyle w:val="105"/>
        <w:spacing w:before="312" w:after="312"/>
      </w:pPr>
      <w:bookmarkStart w:id="40" w:name="_Toc202633970"/>
      <w:bookmarkStart w:id="41" w:name="_Toc180623851"/>
      <w:bookmarkStart w:id="42" w:name="_Toc180623804"/>
      <w:bookmarkStart w:id="43" w:name="_Toc180624116"/>
      <w:bookmarkStart w:id="44" w:name="_Toc180623920"/>
      <w:bookmarkStart w:id="45" w:name="_Toc26986530"/>
      <w:bookmarkStart w:id="46" w:name="_Toc24884218"/>
      <w:bookmarkStart w:id="47" w:name="_Toc17233325"/>
      <w:bookmarkStart w:id="48" w:name="_Toc192503758"/>
      <w:bookmarkStart w:id="49" w:name="_Toc194303042"/>
      <w:bookmarkStart w:id="50" w:name="_Toc194303063"/>
      <w:bookmarkStart w:id="51" w:name="_Toc202634186"/>
      <w:bookmarkStart w:id="52" w:name="_Toc180623874"/>
      <w:bookmarkStart w:id="53" w:name="_Toc24884211"/>
      <w:bookmarkStart w:id="54" w:name="_Toc180623897"/>
      <w:bookmarkStart w:id="55" w:name="_Toc26718930"/>
      <w:bookmarkStart w:id="56" w:name="_Toc181914961"/>
      <w:bookmarkStart w:id="57" w:name="_Toc26648465"/>
      <w:bookmarkStart w:id="58" w:name="_Toc202633928"/>
      <w:bookmarkStart w:id="59" w:name="_Toc97191423"/>
      <w:bookmarkStart w:id="60" w:name="_Toc180707635"/>
      <w:bookmarkStart w:id="61" w:name="_Toc26986771"/>
      <w:bookmarkStart w:id="62" w:name="_Toc180623991"/>
      <w:bookmarkStart w:id="63" w:name="_Toc17233333"/>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57"/>
        <w:ind w:firstLine="420"/>
        <w:rPr>
          <w:rFonts w:ascii="Times New Roman"/>
        </w:rPr>
      </w:pPr>
      <w:bookmarkStart w:id="64" w:name="_Toc24884212"/>
      <w:bookmarkStart w:id="65" w:name="_Toc24884219"/>
      <w:bookmarkStart w:id="66" w:name="_Toc17233326"/>
      <w:bookmarkStart w:id="67" w:name="_Toc26648466"/>
      <w:bookmarkStart w:id="68" w:name="_Toc17233334"/>
      <w:r>
        <w:rPr>
          <w:rFonts w:ascii="Times New Roman"/>
        </w:rPr>
        <w:t>本标准规定了艾蒿（</w:t>
      </w:r>
      <w:r>
        <w:rPr>
          <w:rFonts w:ascii="Times New Roman"/>
          <w:i/>
          <w:iCs/>
        </w:rPr>
        <w:t>Artemisia argyi</w:t>
      </w:r>
      <w:r>
        <w:rPr>
          <w:rFonts w:ascii="Times New Roman"/>
        </w:rPr>
        <w:t>）加工涉及的鲜叶原料、加工要求、加工工艺、以及成品的标志、标签、包装、运输和贮存要求。</w:t>
      </w:r>
    </w:p>
    <w:p>
      <w:pPr>
        <w:pStyle w:val="57"/>
        <w:ind w:firstLine="420"/>
        <w:rPr>
          <w:rFonts w:ascii="Times New Roman"/>
        </w:rPr>
      </w:pPr>
      <w:r>
        <w:rPr>
          <w:rFonts w:ascii="Times New Roman"/>
        </w:rPr>
        <w:t>本标准适用于艾蒿加工。</w:t>
      </w:r>
    </w:p>
    <w:p>
      <w:pPr>
        <w:pStyle w:val="105"/>
        <w:spacing w:before="312" w:after="312"/>
      </w:pPr>
      <w:bookmarkStart w:id="69" w:name="_Toc180623852"/>
      <w:bookmarkStart w:id="70" w:name="_Toc180623875"/>
      <w:bookmarkStart w:id="71" w:name="_Toc97191424"/>
      <w:bookmarkStart w:id="72" w:name="_Toc26986772"/>
      <w:bookmarkStart w:id="73" w:name="_Toc26986531"/>
      <w:bookmarkStart w:id="74" w:name="_Toc180623898"/>
      <w:bookmarkStart w:id="75" w:name="_Toc180623805"/>
      <w:bookmarkStart w:id="76" w:name="_Toc26718931"/>
      <w:bookmarkStart w:id="77" w:name="_Toc180623992"/>
      <w:bookmarkStart w:id="78" w:name="_Toc180707636"/>
      <w:bookmarkStart w:id="79" w:name="_Toc192503759"/>
      <w:bookmarkStart w:id="80" w:name="_Toc180624117"/>
      <w:bookmarkStart w:id="81" w:name="_Toc180623921"/>
      <w:bookmarkStart w:id="82" w:name="_Toc181914962"/>
      <w:bookmarkStart w:id="83" w:name="_Toc194303043"/>
      <w:bookmarkStart w:id="84" w:name="_Toc194303064"/>
      <w:bookmarkStart w:id="85" w:name="_Toc202633929"/>
      <w:bookmarkStart w:id="86" w:name="_Toc202633971"/>
      <w:bookmarkStart w:id="87" w:name="_Toc202634187"/>
      <w:r>
        <w:rPr>
          <w:rFonts w:hint="eastAsia"/>
        </w:rPr>
        <w:t>规范性引用文件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sdt>
      <w:sdtPr>
        <w:rPr>
          <w:rFonts w:hint="eastAsia"/>
        </w:rPr>
        <w:id w:val="715848253"/>
        <w:placeholder>
          <w:docPart w:val="A075E03D13764A41A83A2496E1482E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ascii="Times New Roman"/>
        </w:rPr>
      </w:pPr>
      <w:r>
        <w:rPr>
          <w:rFonts w:ascii="Times New Roman"/>
        </w:rPr>
        <w:t>GB/T 11538-2006 精油 毛细管柱气相色谱分析 通用法</w:t>
      </w:r>
    </w:p>
    <w:p>
      <w:pPr>
        <w:pStyle w:val="57"/>
        <w:ind w:firstLine="420"/>
        <w:rPr>
          <w:rFonts w:ascii="Times New Roman"/>
        </w:rPr>
      </w:pPr>
      <w:r>
        <w:rPr>
          <w:rFonts w:ascii="Times New Roman"/>
        </w:rPr>
        <w:t>GB/T 1354-2018 大米</w:t>
      </w:r>
    </w:p>
    <w:p>
      <w:pPr>
        <w:pStyle w:val="57"/>
        <w:ind w:firstLine="420"/>
        <w:rPr>
          <w:rFonts w:ascii="Times New Roman"/>
        </w:rPr>
      </w:pPr>
      <w:r>
        <w:rPr>
          <w:rFonts w:ascii="Times New Roman"/>
        </w:rPr>
        <w:t>GB/T 5507-2008 粮油检验 粉类粗细度测定</w:t>
      </w:r>
    </w:p>
    <w:p>
      <w:pPr>
        <w:pStyle w:val="57"/>
        <w:ind w:firstLine="420"/>
        <w:rPr>
          <w:rFonts w:ascii="Times New Roman"/>
        </w:rPr>
      </w:pPr>
      <w:r>
        <w:rPr>
          <w:rFonts w:ascii="Times New Roman"/>
        </w:rPr>
        <w:t>GB/T 28118-2011 食品包装用塑料与铝箔复合膜、袋</w:t>
      </w:r>
    </w:p>
    <w:p>
      <w:pPr>
        <w:pStyle w:val="57"/>
        <w:ind w:firstLine="420"/>
        <w:rPr>
          <w:rFonts w:ascii="Times New Roman"/>
        </w:rPr>
      </w:pPr>
      <w:r>
        <w:rPr>
          <w:rFonts w:ascii="Times New Roman"/>
        </w:rPr>
        <w:t>GB 19295-2021 食品安全国家标准 速冻面米与调制食品</w:t>
      </w:r>
    </w:p>
    <w:p>
      <w:pPr>
        <w:pStyle w:val="57"/>
        <w:ind w:firstLine="420"/>
        <w:rPr>
          <w:rFonts w:ascii="Times New Roman"/>
        </w:rPr>
      </w:pPr>
      <w:r>
        <w:rPr>
          <w:rFonts w:ascii="Times New Roman"/>
        </w:rPr>
        <w:t>GB 5009.229-2025 食品安全国家标准 食品中酸价的测定</w:t>
      </w:r>
    </w:p>
    <w:p>
      <w:pPr>
        <w:pStyle w:val="57"/>
        <w:ind w:firstLine="420"/>
        <w:rPr>
          <w:rFonts w:ascii="Times New Roman"/>
        </w:rPr>
      </w:pPr>
      <w:r>
        <w:rPr>
          <w:rFonts w:ascii="Times New Roman"/>
        </w:rPr>
        <w:t>GB 5009.227-2023 食品安全国家标准 食品中过氧化值的测定</w:t>
      </w:r>
    </w:p>
    <w:p>
      <w:pPr>
        <w:pStyle w:val="57"/>
        <w:ind w:firstLine="420"/>
        <w:rPr>
          <w:rFonts w:ascii="Times New Roman"/>
        </w:rPr>
      </w:pPr>
      <w:r>
        <w:rPr>
          <w:rFonts w:ascii="Times New Roman"/>
        </w:rPr>
        <w:t>GB 5009.3-2016 食品安全国家标准 食品中水分的测定</w:t>
      </w:r>
    </w:p>
    <w:p>
      <w:pPr>
        <w:pStyle w:val="57"/>
        <w:ind w:firstLine="420"/>
        <w:rPr>
          <w:rFonts w:ascii="Times New Roman"/>
        </w:rPr>
      </w:pPr>
      <w:r>
        <w:rPr>
          <w:rFonts w:ascii="Times New Roman"/>
        </w:rPr>
        <w:t>GB 4789.2-2022 食品安全国家标准 食品微生物学检验 菌落总数测定</w:t>
      </w:r>
    </w:p>
    <w:p>
      <w:pPr>
        <w:pStyle w:val="57"/>
        <w:ind w:firstLine="420"/>
        <w:rPr>
          <w:rFonts w:ascii="Times New Roman"/>
        </w:rPr>
      </w:pPr>
      <w:r>
        <w:rPr>
          <w:rFonts w:ascii="Times New Roman"/>
        </w:rPr>
        <w:t>GB 4789.3-2025 食品安全国家标准 食品微生物学检验 大肠菌群计数</w:t>
      </w:r>
    </w:p>
    <w:p>
      <w:pPr>
        <w:pStyle w:val="57"/>
        <w:ind w:firstLine="420"/>
        <w:rPr>
          <w:rFonts w:ascii="Times New Roman"/>
        </w:rPr>
      </w:pPr>
      <w:r>
        <w:rPr>
          <w:rFonts w:ascii="Times New Roman"/>
        </w:rPr>
        <w:t>GB 4789.4-2024 食品安全国家标准 食品微生物学检验 沙门氏菌检验</w:t>
      </w:r>
    </w:p>
    <w:p>
      <w:pPr>
        <w:pStyle w:val="57"/>
        <w:ind w:firstLine="420"/>
        <w:rPr>
          <w:rFonts w:ascii="Times New Roman"/>
        </w:rPr>
      </w:pPr>
      <w:r>
        <w:rPr>
          <w:rFonts w:ascii="Times New Roman"/>
        </w:rPr>
        <w:t>GB 4789.15-2016 食品安全国家标准 食品微生物学检验 霉菌和酵母计数</w:t>
      </w:r>
    </w:p>
    <w:p>
      <w:pPr>
        <w:pStyle w:val="57"/>
        <w:ind w:firstLine="420"/>
        <w:rPr>
          <w:rFonts w:ascii="Times New Roman"/>
        </w:rPr>
      </w:pPr>
      <w:r>
        <w:rPr>
          <w:rFonts w:ascii="Times New Roman"/>
        </w:rPr>
        <w:t>GB/T 15171-1994 软包装件密封性能试验方法</w:t>
      </w:r>
    </w:p>
    <w:p>
      <w:pPr>
        <w:pStyle w:val="57"/>
        <w:ind w:firstLine="420"/>
        <w:rPr>
          <w:rFonts w:ascii="Times New Roman"/>
        </w:rPr>
      </w:pPr>
      <w:r>
        <w:rPr>
          <w:rFonts w:ascii="Times New Roman"/>
        </w:rPr>
        <w:t>GB 7718-2011 食品安全国家标准 预包装食品标签通则</w:t>
      </w:r>
    </w:p>
    <w:p>
      <w:pPr>
        <w:pStyle w:val="57"/>
        <w:ind w:firstLine="420"/>
        <w:rPr>
          <w:rFonts w:ascii="Times New Roman"/>
        </w:rPr>
      </w:pPr>
      <w:r>
        <w:rPr>
          <w:rFonts w:ascii="Times New Roman"/>
        </w:rPr>
        <w:t>SB/T 11182-2017 中药材包装技术规范</w:t>
      </w:r>
    </w:p>
    <w:p>
      <w:pPr>
        <w:pStyle w:val="57"/>
        <w:ind w:firstLine="420"/>
        <w:rPr>
          <w:rFonts w:ascii="Times New Roman"/>
        </w:rPr>
      </w:pPr>
      <w:r>
        <w:rPr>
          <w:rFonts w:ascii="Times New Roman"/>
        </w:rPr>
        <w:t>DB34/T 3806-2021 中药材加工技术规程 艾绒</w:t>
      </w:r>
    </w:p>
    <w:p>
      <w:pPr>
        <w:pStyle w:val="57"/>
        <w:ind w:firstLine="420"/>
        <w:rPr>
          <w:rFonts w:hAnsi="宋体"/>
        </w:rPr>
      </w:pPr>
      <w:r>
        <w:rPr>
          <w:rFonts w:hAnsi="宋体"/>
        </w:rPr>
        <w:t>《中药材生产质量管理规范》</w:t>
      </w:r>
    </w:p>
    <w:p>
      <w:pPr>
        <w:pStyle w:val="105"/>
        <w:spacing w:before="312" w:after="312"/>
        <w:rPr>
          <w:szCs w:val="21"/>
        </w:rPr>
      </w:pPr>
      <w:bookmarkStart w:id="88" w:name="_Toc97191425"/>
      <w:bookmarkStart w:id="89" w:name="_Toc180623899"/>
      <w:bookmarkStart w:id="90" w:name="_Toc180623806"/>
      <w:bookmarkStart w:id="91" w:name="_Toc180623993"/>
      <w:bookmarkStart w:id="92" w:name="_Toc180623853"/>
      <w:bookmarkStart w:id="93" w:name="_Toc180624118"/>
      <w:bookmarkStart w:id="94" w:name="_Toc180623876"/>
      <w:bookmarkStart w:id="95" w:name="_Toc192503760"/>
      <w:bookmarkStart w:id="96" w:name="_Toc180623922"/>
      <w:bookmarkStart w:id="97" w:name="_Toc181914963"/>
      <w:bookmarkStart w:id="98" w:name="_Toc180707637"/>
      <w:bookmarkStart w:id="99" w:name="_Toc194303044"/>
      <w:bookmarkStart w:id="100" w:name="_Toc194303065"/>
      <w:bookmarkStart w:id="101" w:name="_Toc202633930"/>
      <w:bookmarkStart w:id="102" w:name="_Toc202633972"/>
      <w:bookmarkStart w:id="103" w:name="_Toc202634188"/>
      <w:r>
        <w:rPr>
          <w:rFonts w:hint="eastAsia"/>
          <w:szCs w:val="21"/>
        </w:rPr>
        <w:t>术语和定义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sdt>
      <w:sdtPr>
        <w:id w:val="-1909835108"/>
        <w:placeholder>
          <w:docPart w:val="413B496652864AF68AFF019C3370E5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104" w:name="_Toc26986532"/>
          <w:bookmarkEnd w:id="104"/>
          <w:r>
            <w:t>下列术语和定义适用于本文件。</w:t>
          </w:r>
        </w:p>
      </w:sdtContent>
    </w:sdt>
    <w:p>
      <w:pPr>
        <w:pStyle w:val="106"/>
        <w:spacing w:before="156" w:after="156"/>
      </w:pPr>
      <w:bookmarkStart w:id="105" w:name="_Toc194303045"/>
      <w:bookmarkEnd w:id="105"/>
      <w:bookmarkStart w:id="106" w:name="_Toc202633931"/>
      <w:bookmarkEnd w:id="106"/>
      <w:bookmarkStart w:id="107" w:name="_Toc180624119"/>
      <w:bookmarkStart w:id="108" w:name="_Toc180623994"/>
      <w:bookmarkStart w:id="109" w:name="_Toc180623807"/>
      <w:bookmarkStart w:id="110" w:name="_Toc180623900"/>
      <w:bookmarkStart w:id="111" w:name="_Toc180623923"/>
      <w:bookmarkStart w:id="112" w:name="_Toc180623877"/>
      <w:bookmarkStart w:id="113" w:name="_Toc180623854"/>
    </w:p>
    <w:p>
      <w:pPr>
        <w:pStyle w:val="57"/>
        <w:ind w:firstLine="420"/>
        <w:rPr>
          <w:rFonts w:ascii="Times New Roman"/>
        </w:rPr>
      </w:pPr>
      <w:r>
        <w:rPr>
          <w:rFonts w:ascii="Times New Roman" w:eastAsia="黑体"/>
        </w:rPr>
        <w:t>艾蒿 Artemisia argyi</w:t>
      </w:r>
    </w:p>
    <w:p>
      <w:pPr>
        <w:pStyle w:val="57"/>
        <w:ind w:firstLine="420"/>
      </w:pPr>
      <w:r>
        <w:rPr>
          <w:rFonts w:hint="eastAsia"/>
        </w:rPr>
        <w:t>别名包括萧茅、冰台、遏草、香艾等，属于菊科蒿属，是一种多年生草本或略成半灌木状的植物。</w:t>
      </w:r>
    </w:p>
    <w:p>
      <w:pPr>
        <w:pStyle w:val="57"/>
        <w:ind w:firstLine="0" w:firstLineChars="0"/>
      </w:pPr>
      <w:r>
        <w:rPr>
          <w:rFonts w:hint="eastAsia"/>
        </w:rPr>
        <w:t>它的叶子呈羽状分裂，表面绿色，叶厚纸质背面密被灰白色短绒毛，具有浓烈的香气和独特的药用价值。</w:t>
      </w:r>
    </w:p>
    <w:p>
      <w:pPr>
        <w:pStyle w:val="106"/>
        <w:spacing w:before="156" w:after="156"/>
      </w:pPr>
      <w:bookmarkStart w:id="114" w:name="_Toc202633932"/>
      <w:bookmarkEnd w:id="114"/>
    </w:p>
    <w:p>
      <w:pPr>
        <w:pStyle w:val="57"/>
        <w:ind w:firstLine="420"/>
        <w:rPr>
          <w:rFonts w:ascii="Times New Roman" w:eastAsia="黑体"/>
        </w:rPr>
      </w:pPr>
      <w:r>
        <w:rPr>
          <w:rFonts w:ascii="Times New Roman" w:eastAsia="黑体"/>
        </w:rPr>
        <w:t>艾叶 Artemisiae Argyi Folium</w:t>
      </w:r>
    </w:p>
    <w:p>
      <w:pPr>
        <w:pStyle w:val="57"/>
        <w:ind w:firstLine="420"/>
        <w:rPr>
          <w:rFonts w:hAnsi="宋体"/>
        </w:rPr>
      </w:pPr>
      <w:r>
        <w:rPr>
          <w:rFonts w:ascii="Times New Roman"/>
        </w:rPr>
        <w:t>菊科植物艾Artemisia argyi Levl. et Vant.</w:t>
      </w:r>
      <w:r>
        <w:rPr>
          <w:rFonts w:hAnsi="宋体"/>
        </w:rPr>
        <w:t>的叶。</w:t>
      </w:r>
    </w:p>
    <w:p>
      <w:pPr>
        <w:pStyle w:val="106"/>
        <w:spacing w:before="156" w:after="156"/>
      </w:pPr>
      <w:bookmarkStart w:id="115" w:name="_Toc194303046"/>
      <w:bookmarkEnd w:id="115"/>
      <w:bookmarkStart w:id="116" w:name="_Toc202633933"/>
      <w:bookmarkEnd w:id="116"/>
    </w:p>
    <w:p>
      <w:pPr>
        <w:pStyle w:val="57"/>
        <w:ind w:firstLine="420"/>
        <w:rPr>
          <w:rFonts w:ascii="Times New Roman" w:eastAsia="黑体"/>
        </w:rPr>
      </w:pPr>
      <w:r>
        <w:rPr>
          <w:rFonts w:ascii="Times New Roman" w:eastAsia="黑体"/>
        </w:rPr>
        <w:t>艾绒 Moxa floss</w:t>
      </w:r>
    </w:p>
    <w:p>
      <w:pPr>
        <w:pStyle w:val="57"/>
        <w:ind w:firstLine="420"/>
        <w:rPr>
          <w:rFonts w:ascii="Times New Roman"/>
        </w:rPr>
      </w:pPr>
      <w:r>
        <w:rPr>
          <w:rFonts w:ascii="Times New Roman"/>
        </w:rPr>
        <w:t>由</w:t>
      </w:r>
      <w:r>
        <w:fldChar w:fldCharType="begin"/>
      </w:r>
      <w:r>
        <w:instrText xml:space="preserve"> HYPERLINK "https://baike.baidu.com/item/%E8%8F%8A%E7%A7%91%E6%A4%8D%E7%89%A9/127137?fromModule=lemma_inlink" \t "_blank" </w:instrText>
      </w:r>
      <w:r>
        <w:fldChar w:fldCharType="separate"/>
      </w:r>
      <w:r>
        <w:rPr>
          <w:rStyle w:val="31"/>
          <w:rFonts w:ascii="Times New Roman"/>
        </w:rPr>
        <w:t>菊科植物</w:t>
      </w:r>
      <w:r>
        <w:rPr>
          <w:rStyle w:val="31"/>
          <w:rFonts w:ascii="Times New Roman"/>
        </w:rPr>
        <w:fldChar w:fldCharType="end"/>
      </w:r>
      <w:r>
        <w:rPr>
          <w:rFonts w:ascii="Times New Roman"/>
        </w:rPr>
        <w:t>艾叶的干叶反复人工捣碎或机械粉碎，筛去杂物灰屑后所得的细软绒状物。</w:t>
      </w:r>
    </w:p>
    <w:p>
      <w:pPr>
        <w:pStyle w:val="106"/>
        <w:spacing w:before="156" w:after="156"/>
        <w:rPr>
          <w:rFonts w:ascii="Times New Roman"/>
        </w:rPr>
      </w:pPr>
      <w:bookmarkStart w:id="117" w:name="_Toc202633934"/>
      <w:bookmarkEnd w:id="117"/>
    </w:p>
    <w:p>
      <w:pPr>
        <w:pStyle w:val="57"/>
        <w:ind w:firstLine="420"/>
        <w:rPr>
          <w:rFonts w:ascii="Times New Roman" w:eastAsia="黑体"/>
        </w:rPr>
      </w:pPr>
      <w:r>
        <w:rPr>
          <w:rFonts w:ascii="Times New Roman" w:eastAsia="黑体"/>
        </w:rPr>
        <w:t>艾条 Moxa stick</w:t>
      </w:r>
    </w:p>
    <w:p>
      <w:pPr>
        <w:pStyle w:val="57"/>
        <w:ind w:firstLine="420"/>
        <w:rPr>
          <w:rFonts w:ascii="Times New Roman"/>
        </w:rPr>
      </w:pPr>
      <w:r>
        <w:rPr>
          <w:rFonts w:ascii="Times New Roman"/>
        </w:rPr>
        <w:t>以艾绒为主要原料，用特定卷纸包裹卷制而成的圆柱形制品。</w:t>
      </w:r>
    </w:p>
    <w:p>
      <w:pPr>
        <w:pStyle w:val="106"/>
        <w:spacing w:before="156" w:after="156"/>
        <w:rPr>
          <w:rFonts w:ascii="Times New Roman"/>
        </w:rPr>
      </w:pPr>
      <w:bookmarkStart w:id="118" w:name="_Toc202633935"/>
      <w:bookmarkEnd w:id="118"/>
    </w:p>
    <w:p>
      <w:pPr>
        <w:pStyle w:val="57"/>
        <w:ind w:firstLine="420"/>
        <w:rPr>
          <w:rFonts w:ascii="Times New Roman" w:eastAsia="黑体"/>
        </w:rPr>
      </w:pPr>
      <w:r>
        <w:rPr>
          <w:rFonts w:ascii="Times New Roman" w:eastAsia="黑体"/>
        </w:rPr>
        <w:t>艾蒿精油 Artemisia argyi essential oil</w:t>
      </w:r>
    </w:p>
    <w:p>
      <w:pPr>
        <w:pStyle w:val="57"/>
        <w:ind w:firstLine="420"/>
        <w:rPr>
          <w:rFonts w:ascii="Times New Roman"/>
        </w:rPr>
      </w:pPr>
      <w:r>
        <w:rPr>
          <w:rFonts w:ascii="Times New Roman"/>
        </w:rPr>
        <w:t>以艾蒿的地上部分为原料，经水蒸气蒸馏等方法提取的挥发性油状液体。</w:t>
      </w:r>
    </w:p>
    <w:p>
      <w:pPr>
        <w:pStyle w:val="106"/>
        <w:spacing w:before="156" w:after="156"/>
        <w:rPr>
          <w:rFonts w:ascii="Times New Roman"/>
        </w:rPr>
      </w:pPr>
      <w:bookmarkStart w:id="119" w:name="_Toc202633936"/>
      <w:bookmarkEnd w:id="119"/>
    </w:p>
    <w:p>
      <w:pPr>
        <w:pStyle w:val="57"/>
        <w:ind w:firstLine="420"/>
        <w:rPr>
          <w:rFonts w:ascii="Times New Roman" w:eastAsia="黑体"/>
        </w:rPr>
      </w:pPr>
      <w:r>
        <w:rPr>
          <w:rFonts w:ascii="Times New Roman" w:eastAsia="黑体"/>
        </w:rPr>
        <w:t>艾蒿粑粑 Artemisia argyi rice cake</w:t>
      </w:r>
    </w:p>
    <w:p>
      <w:pPr>
        <w:pStyle w:val="57"/>
        <w:ind w:firstLine="420"/>
      </w:pPr>
      <w:r>
        <w:rPr>
          <w:rFonts w:hint="eastAsia"/>
        </w:rPr>
        <w:t>以艾蒿粉、糯米粉为主料，添加或不添加馅料，经和面、成型、蒸制、包装而成的传统食品。</w:t>
      </w:r>
    </w:p>
    <w:p>
      <w:pPr>
        <w:pStyle w:val="57"/>
        <w:ind w:firstLine="420"/>
      </w:pPr>
    </w:p>
    <w:p>
      <w:pPr>
        <w:pStyle w:val="105"/>
        <w:spacing w:before="312" w:after="312"/>
      </w:pPr>
      <w:bookmarkStart w:id="120" w:name="_Toc202633937"/>
      <w:bookmarkStart w:id="121" w:name="_Toc202633973"/>
      <w:bookmarkStart w:id="122" w:name="_Toc202634189"/>
      <w:r>
        <w:rPr>
          <w:rFonts w:hint="eastAsia"/>
        </w:rPr>
        <w:t>鲜叶原料</w:t>
      </w:r>
      <w:bookmarkEnd w:id="120"/>
      <w:bookmarkEnd w:id="121"/>
      <w:bookmarkEnd w:id="122"/>
    </w:p>
    <w:p>
      <w:pPr>
        <w:pStyle w:val="106"/>
        <w:spacing w:before="156" w:after="156"/>
      </w:pPr>
      <w:bookmarkStart w:id="123" w:name="_Toc202633938"/>
      <w:r>
        <w:rPr>
          <w:rFonts w:hint="eastAsia"/>
        </w:rPr>
        <w:t>来源</w:t>
      </w:r>
      <w:bookmarkEnd w:id="123"/>
    </w:p>
    <w:p>
      <w:pPr>
        <w:pStyle w:val="57"/>
        <w:ind w:firstLine="420"/>
      </w:pPr>
      <w:r>
        <w:rPr>
          <w:rFonts w:hint="eastAsia"/>
        </w:rPr>
        <w:t>用于加工的艾蒿鲜叶应产自符合选址要求：优先选址道地产区（非道地产区需提供科学数据证明适宜性），基地周围无污染源，规模化生产，种植地块明确至乡级行政区划并有边界定位；管理要求：至少完成一个生产周期，有两个收获期质量检测数据且符合内控标准，统一生产管理。</w:t>
      </w:r>
    </w:p>
    <w:p>
      <w:pPr>
        <w:pStyle w:val="106"/>
        <w:spacing w:before="156" w:after="156"/>
      </w:pPr>
      <w:bookmarkStart w:id="124" w:name="_Toc202633939"/>
      <w:r>
        <w:rPr>
          <w:rFonts w:hint="eastAsia"/>
        </w:rPr>
        <w:t>采收</w:t>
      </w:r>
      <w:bookmarkEnd w:id="124"/>
    </w:p>
    <w:p>
      <w:pPr>
        <w:pStyle w:val="57"/>
        <w:ind w:firstLine="420"/>
      </w:pPr>
      <w:r>
        <w:rPr>
          <w:rFonts w:hint="eastAsia"/>
        </w:rPr>
        <w:t>宜在端午节前后（植株生长旺盛期，叶片肥厚、挥发油含量高时）选择晴天采收地上部分。采收时应避免植株根部泥土污染。</w:t>
      </w:r>
    </w:p>
    <w:p>
      <w:pPr>
        <w:pStyle w:val="106"/>
        <w:spacing w:before="156" w:after="156"/>
      </w:pPr>
      <w:bookmarkStart w:id="125" w:name="_Toc202633940"/>
      <w:r>
        <w:rPr>
          <w:rFonts w:hint="eastAsia"/>
        </w:rPr>
        <w:t>基本要求</w:t>
      </w:r>
      <w:bookmarkEnd w:id="125"/>
    </w:p>
    <w:p>
      <w:pPr>
        <w:pStyle w:val="57"/>
        <w:ind w:firstLine="420"/>
      </w:pPr>
      <w:r>
        <w:rPr>
          <w:rFonts w:hint="eastAsia"/>
        </w:rPr>
        <w:t>鲜叶应叶片完整、无严重病虫害斑、无霉烂变质。采收后应尽快进入初加工环节，避免堆积发热。</w:t>
      </w:r>
    </w:p>
    <w:bookmarkEnd w:id="107"/>
    <w:bookmarkEnd w:id="108"/>
    <w:bookmarkEnd w:id="109"/>
    <w:bookmarkEnd w:id="110"/>
    <w:bookmarkEnd w:id="111"/>
    <w:bookmarkEnd w:id="112"/>
    <w:bookmarkEnd w:id="113"/>
    <w:p>
      <w:pPr>
        <w:pStyle w:val="105"/>
        <w:spacing w:before="312" w:after="312"/>
        <w:rPr>
          <w:szCs w:val="21"/>
        </w:rPr>
      </w:pPr>
      <w:bookmarkStart w:id="126" w:name="_Toc192503761"/>
      <w:bookmarkStart w:id="127" w:name="_Toc194303047"/>
      <w:bookmarkStart w:id="128" w:name="_Toc194303066"/>
      <w:bookmarkStart w:id="129" w:name="_Toc202633941"/>
      <w:bookmarkStart w:id="130" w:name="_Toc202633974"/>
      <w:bookmarkStart w:id="131" w:name="_Toc202634190"/>
      <w:bookmarkStart w:id="132" w:name="_Toc180623808"/>
      <w:bookmarkStart w:id="133" w:name="_Toc180623878"/>
      <w:bookmarkStart w:id="134" w:name="_Toc180623924"/>
      <w:bookmarkStart w:id="135" w:name="_Toc180623855"/>
      <w:bookmarkStart w:id="136" w:name="_Toc180623901"/>
      <w:r>
        <w:rPr>
          <w:rFonts w:hint="eastAsia"/>
          <w:szCs w:val="21"/>
        </w:rPr>
        <w:t>加工</w:t>
      </w:r>
      <w:bookmarkEnd w:id="126"/>
      <w:bookmarkEnd w:id="127"/>
      <w:bookmarkEnd w:id="128"/>
      <w:r>
        <w:rPr>
          <w:rFonts w:hint="eastAsia"/>
          <w:szCs w:val="21"/>
        </w:rPr>
        <w:t>要求</w:t>
      </w:r>
      <w:bookmarkEnd w:id="129"/>
      <w:bookmarkEnd w:id="130"/>
      <w:bookmarkEnd w:id="131"/>
    </w:p>
    <w:p>
      <w:pPr>
        <w:pStyle w:val="106"/>
        <w:spacing w:before="156" w:after="156"/>
      </w:pPr>
      <w:bookmarkStart w:id="137" w:name="_Toc202633942"/>
      <w:r>
        <w:rPr>
          <w:rFonts w:hint="eastAsia"/>
        </w:rPr>
        <w:t>场地、设施与人员</w:t>
      </w:r>
      <w:bookmarkEnd w:id="137"/>
    </w:p>
    <w:p>
      <w:pPr>
        <w:pStyle w:val="66"/>
        <w:spacing w:before="156" w:after="156"/>
        <w:rPr>
          <w:rFonts w:ascii="宋体" w:hAnsi="宋体" w:eastAsia="宋体"/>
        </w:rPr>
      </w:pPr>
      <w:r>
        <w:rPr>
          <w:rFonts w:hint="eastAsia" w:ascii="宋体" w:hAnsi="宋体" w:eastAsia="宋体"/>
        </w:rPr>
        <w:t>应配备与加工规模相适应的专用场地，包括原料处理区、加工车间、干燥区、包装区、成品库等。各功能区应布局合理，避免交叉污染。</w:t>
      </w:r>
    </w:p>
    <w:p>
      <w:pPr>
        <w:pStyle w:val="66"/>
        <w:spacing w:before="156" w:after="156"/>
        <w:rPr>
          <w:rFonts w:ascii="宋体" w:hAnsi="宋体" w:eastAsia="宋体"/>
        </w:rPr>
      </w:pPr>
      <w:r>
        <w:rPr>
          <w:rFonts w:hint="eastAsia" w:ascii="宋体" w:hAnsi="宋体" w:eastAsia="宋体"/>
        </w:rPr>
        <w:t>场地环境应整洁、通风良好，符合卫生要求。晾晒场地应硬化、清洁、无污染源；专门设置，避免污染或混淆风险，采取防雨、防动物、防尘土措施，禁止在公路、沥青路面等污染场地晾晒，且阴干药材不得暴晒。</w:t>
      </w:r>
    </w:p>
    <w:p>
      <w:pPr>
        <w:pStyle w:val="66"/>
        <w:spacing w:before="156" w:after="156"/>
        <w:rPr>
          <w:rFonts w:ascii="宋体" w:hAnsi="宋体" w:eastAsia="宋体"/>
        </w:rPr>
      </w:pPr>
      <w:r>
        <w:rPr>
          <w:rFonts w:ascii="宋体" w:hAnsi="宋体" w:eastAsia="宋体"/>
        </w:rPr>
        <w:t>应配备满足加工工艺要求的设备（如清洗设备、干燥设备、粉碎机、过筛机、风选机、卷条机、蒸馏设备、蒸煮设备、包装设备等），并保持清洁、运行良好。设备材质应对产品安全无害。</w:t>
      </w:r>
    </w:p>
    <w:p>
      <w:pPr>
        <w:pStyle w:val="66"/>
        <w:spacing w:before="156" w:after="156"/>
        <w:rPr>
          <w:rFonts w:ascii="宋体" w:hAnsi="宋体" w:eastAsia="宋体"/>
        </w:rPr>
      </w:pPr>
      <w:r>
        <w:rPr>
          <w:rFonts w:hint="eastAsia" w:ascii="宋体" w:hAnsi="宋体" w:eastAsia="宋体"/>
        </w:rPr>
        <w:t>操作人员应经过岗前培训，掌握所负责工序的操作规程、质量控制要点、设备使用及安全防护知识。</w:t>
      </w:r>
    </w:p>
    <w:p>
      <w:pPr>
        <w:pStyle w:val="106"/>
        <w:spacing w:before="156" w:after="156"/>
      </w:pPr>
      <w:bookmarkStart w:id="138" w:name="_Toc202633943"/>
      <w:r>
        <w:rPr>
          <w:rFonts w:hint="eastAsia"/>
        </w:rPr>
        <w:t>初加工技术要求</w:t>
      </w:r>
      <w:bookmarkEnd w:id="138"/>
    </w:p>
    <w:p>
      <w:pPr>
        <w:pStyle w:val="66"/>
        <w:spacing w:before="156" w:after="156"/>
      </w:pPr>
      <w:r>
        <w:rPr>
          <w:rFonts w:hint="eastAsia"/>
        </w:rPr>
        <w:t>挑选</w:t>
      </w:r>
    </w:p>
    <w:p>
      <w:pPr>
        <w:pStyle w:val="57"/>
        <w:ind w:firstLine="420"/>
      </w:pPr>
      <w:r>
        <w:t>去除采收物中的杂质、枯叶、病叶及非药用部位（粗老茎秆）</w:t>
      </w:r>
      <w:r>
        <w:rPr>
          <w:rFonts w:hint="eastAsia"/>
        </w:rPr>
        <w:t>。</w:t>
      </w:r>
    </w:p>
    <w:p>
      <w:pPr>
        <w:pStyle w:val="66"/>
        <w:spacing w:before="156" w:after="156"/>
      </w:pPr>
      <w:r>
        <w:rPr>
          <w:rFonts w:hint="eastAsia"/>
        </w:rPr>
        <w:t>干燥</w:t>
      </w:r>
    </w:p>
    <w:p>
      <w:pPr>
        <w:pStyle w:val="57"/>
        <w:ind w:firstLine="420"/>
      </w:pPr>
      <w:r>
        <w:rPr>
          <w:rFonts w:hint="eastAsia"/>
        </w:rPr>
        <w:t>首选阴干或低温（≤50℃）烘干方式，保持通风，避免暴晒导致挥发油损失。干燥后叶片水分含量应≤12%（可根据最终产品要求调整）。干燥过程中应防止雨淋、霉变。</w:t>
      </w:r>
    </w:p>
    <w:p>
      <w:pPr>
        <w:pStyle w:val="66"/>
        <w:spacing w:before="156" w:after="156"/>
      </w:pPr>
      <w:r>
        <w:rPr>
          <w:rFonts w:hint="eastAsia"/>
        </w:rPr>
        <w:t>脱叶</w:t>
      </w:r>
    </w:p>
    <w:p>
      <w:pPr>
        <w:pStyle w:val="57"/>
        <w:ind w:firstLine="420"/>
      </w:pPr>
      <w:r>
        <w:rPr>
          <w:rFonts w:hint="eastAsia"/>
        </w:rPr>
        <w:t>干燥后可通过人工或机械方式将叶片从茎秆上分离。</w:t>
      </w:r>
    </w:p>
    <w:p>
      <w:pPr>
        <w:pStyle w:val="66"/>
        <w:spacing w:before="156" w:after="156"/>
      </w:pPr>
      <w:r>
        <w:rPr>
          <w:rFonts w:hint="eastAsia"/>
        </w:rPr>
        <w:t>储存</w:t>
      </w:r>
    </w:p>
    <w:p>
      <w:pPr>
        <w:pStyle w:val="57"/>
        <w:ind w:firstLine="420"/>
      </w:pPr>
      <w:r>
        <w:rPr>
          <w:rFonts w:hint="eastAsia"/>
        </w:rPr>
        <w:t>干燥后的艾叶应储存在清洁、干燥、阴凉、通风的仓库中，离地离墙存放，防潮、防虫、防鼠，定期检查。</w:t>
      </w:r>
    </w:p>
    <w:p>
      <w:pPr>
        <w:pStyle w:val="106"/>
        <w:spacing w:before="156" w:after="156"/>
      </w:pPr>
      <w:bookmarkStart w:id="139" w:name="_Toc202633944"/>
      <w:r>
        <w:rPr>
          <w:rFonts w:hint="eastAsia"/>
        </w:rPr>
        <w:t>包装要求</w:t>
      </w:r>
      <w:bookmarkEnd w:id="139"/>
    </w:p>
    <w:p>
      <w:pPr>
        <w:pStyle w:val="57"/>
        <w:ind w:firstLine="420"/>
      </w:pPr>
      <w:r>
        <w:rPr>
          <w:rFonts w:hint="eastAsia"/>
        </w:rPr>
        <w:t>经初加工后的干燥艾叶应及时包装。包装材料应清洁、无毒、无害、防潮、避光，符合SB/T 11182-2017要求。包装上应标注品名、产地、采收日期、加工日期、批次号、重量等信息。</w:t>
      </w:r>
    </w:p>
    <w:p>
      <w:pPr>
        <w:pStyle w:val="106"/>
        <w:spacing w:before="156" w:after="156"/>
      </w:pPr>
      <w:bookmarkStart w:id="140" w:name="_Toc202633945"/>
      <w:r>
        <w:rPr>
          <w:rFonts w:hint="eastAsia"/>
        </w:rPr>
        <w:t>安全生产要求</w:t>
      </w:r>
      <w:bookmarkEnd w:id="140"/>
    </w:p>
    <w:p>
      <w:pPr>
        <w:pStyle w:val="66"/>
        <w:spacing w:before="156" w:after="156"/>
      </w:pPr>
      <w:r>
        <w:rPr>
          <w:rFonts w:hint="eastAsia"/>
        </w:rPr>
        <w:t>设备安全</w:t>
      </w:r>
    </w:p>
    <w:p>
      <w:pPr>
        <w:pStyle w:val="57"/>
        <w:ind w:firstLine="420"/>
      </w:pPr>
      <w:r>
        <w:rPr>
          <w:rFonts w:hint="eastAsia"/>
        </w:rPr>
        <w:t>定期检查蒸馏设备的压力表、安全阀及密封性，防止蒸汽泄漏爆炸。</w:t>
      </w:r>
    </w:p>
    <w:p>
      <w:pPr>
        <w:pStyle w:val="57"/>
        <w:ind w:firstLine="420"/>
      </w:pPr>
      <w:r>
        <w:rPr>
          <w:rFonts w:hint="eastAsia"/>
        </w:rPr>
        <w:t>粉碎机、卷条机等转动设备必须安装牢固有效的防护罩。</w:t>
      </w:r>
    </w:p>
    <w:p>
      <w:pPr>
        <w:pStyle w:val="57"/>
        <w:ind w:firstLine="420"/>
      </w:pPr>
      <w:r>
        <w:rPr>
          <w:rFonts w:hint="eastAsia"/>
        </w:rPr>
        <w:t>操作人员应佩戴必要的劳动防护用品（如防尘口罩、护目镜、耳塞、防烫手套等）。</w:t>
      </w:r>
    </w:p>
    <w:p>
      <w:pPr>
        <w:pStyle w:val="57"/>
        <w:ind w:firstLine="420"/>
      </w:pPr>
      <w:r>
        <w:rPr>
          <w:rFonts w:hint="eastAsia"/>
        </w:rPr>
        <w:t>电气设备应符合安全规范，定期检修。</w:t>
      </w:r>
    </w:p>
    <w:p>
      <w:pPr>
        <w:pStyle w:val="66"/>
        <w:spacing w:before="156" w:after="156"/>
      </w:pPr>
      <w:r>
        <w:rPr>
          <w:rFonts w:hint="eastAsia"/>
        </w:rPr>
        <w:t>化学品管理</w:t>
      </w:r>
    </w:p>
    <w:p>
      <w:pPr>
        <w:pStyle w:val="57"/>
        <w:ind w:firstLine="420"/>
      </w:pPr>
      <w:r>
        <w:rPr>
          <w:rFonts w:hint="eastAsia"/>
        </w:rPr>
        <w:t>严禁使用硫磺、磷化铝等国家禁止或限制使用的化学熏蒸剂进行防虫。</w:t>
      </w:r>
    </w:p>
    <w:p>
      <w:pPr>
        <w:pStyle w:val="57"/>
        <w:ind w:firstLine="420"/>
      </w:pPr>
      <w:r>
        <w:rPr>
          <w:rFonts w:hint="eastAsia"/>
        </w:rPr>
        <w:t>清洁剂、消毒剂等化学品应单独存放于专用柜中，标识清晰，由专人管理。</w:t>
      </w:r>
    </w:p>
    <w:p>
      <w:pPr>
        <w:pStyle w:val="66"/>
        <w:spacing w:before="156" w:after="156"/>
      </w:pPr>
      <w:r>
        <w:rPr>
          <w:rFonts w:hint="eastAsia"/>
        </w:rPr>
        <w:t>消防安全</w:t>
      </w:r>
    </w:p>
    <w:p>
      <w:pPr>
        <w:pStyle w:val="57"/>
        <w:ind w:firstLine="420"/>
      </w:pPr>
      <w:r>
        <w:rPr>
          <w:rFonts w:hint="eastAsia"/>
        </w:rPr>
        <w:t>艾绒生产区、储存区属于易燃区域，必须严禁烟火，使用防爆电器和灯具。</w:t>
      </w:r>
    </w:p>
    <w:p>
      <w:pPr>
        <w:pStyle w:val="57"/>
        <w:ind w:firstLine="420"/>
      </w:pPr>
      <w:r>
        <w:rPr>
          <w:rFonts w:hint="eastAsia"/>
        </w:rPr>
        <w:t>配备足量适用的消防器材（如二氧化碳灭火器），并保持完好有效。</w:t>
      </w:r>
    </w:p>
    <w:p>
      <w:pPr>
        <w:pStyle w:val="57"/>
        <w:ind w:firstLine="420"/>
      </w:pPr>
      <w:r>
        <w:rPr>
          <w:rFonts w:hint="eastAsia"/>
        </w:rPr>
        <w:t>保持消防通道畅通。</w:t>
      </w:r>
    </w:p>
    <w:p>
      <w:pPr>
        <w:pStyle w:val="66"/>
        <w:spacing w:before="156" w:after="156"/>
      </w:pPr>
      <w:r>
        <w:rPr>
          <w:rFonts w:hint="eastAsia"/>
        </w:rPr>
        <w:t>环境卫生</w:t>
      </w:r>
    </w:p>
    <w:p>
      <w:pPr>
        <w:pStyle w:val="57"/>
        <w:ind w:firstLine="420"/>
      </w:pPr>
      <w:r>
        <w:rPr>
          <w:rFonts w:hint="eastAsia"/>
        </w:rPr>
        <w:t>加工车间应制定并执行清洁消毒制度，每日进行清扫消毒。</w:t>
      </w:r>
    </w:p>
    <w:p>
      <w:pPr>
        <w:pStyle w:val="57"/>
        <w:ind w:firstLine="420"/>
      </w:pPr>
      <w:r>
        <w:rPr>
          <w:rFonts w:hint="eastAsia"/>
        </w:rPr>
        <w:t>废弃物（如艾渣、废包装、生活垃圾等）应及时分类清理，妥善处理。</w:t>
      </w:r>
    </w:p>
    <w:p>
      <w:pPr>
        <w:pStyle w:val="66"/>
        <w:spacing w:before="156" w:after="156"/>
      </w:pPr>
      <w:r>
        <w:rPr>
          <w:rFonts w:hint="eastAsia"/>
        </w:rPr>
        <w:t>记录与追溯</w:t>
      </w:r>
    </w:p>
    <w:p>
      <w:pPr>
        <w:pStyle w:val="95"/>
        <w:spacing w:before="156" w:after="156"/>
      </w:pPr>
      <w:r>
        <w:rPr>
          <w:rFonts w:hint="eastAsia"/>
        </w:rPr>
        <w:t>生产记录</w:t>
      </w:r>
    </w:p>
    <w:p>
      <w:pPr>
        <w:pStyle w:val="57"/>
        <w:ind w:firstLine="420"/>
      </w:pPr>
      <w:r>
        <w:rPr>
          <w:rFonts w:hint="eastAsia"/>
        </w:rPr>
        <w:t>应建立完整的生产记录体系，实时记录各工序的操作信息，包括但不限于：原料来源与批次号、加工日期、操作人员、设备参数、关键工艺控制点数据、中间品及成品质量检验结果等。</w:t>
      </w:r>
    </w:p>
    <w:p>
      <w:pPr>
        <w:pStyle w:val="57"/>
        <w:ind w:firstLine="420"/>
      </w:pPr>
      <w:r>
        <w:rPr>
          <w:rFonts w:hint="eastAsia"/>
        </w:rPr>
        <w:t>记录应清晰、准确、完整、可追溯。推荐使用附录A中的表A.1（艾蒿加工生产记录表）或类似格式。生产记录至少保存3年。</w:t>
      </w:r>
    </w:p>
    <w:p>
      <w:pPr>
        <w:pStyle w:val="95"/>
        <w:spacing w:before="156" w:after="156"/>
      </w:pPr>
      <w:r>
        <w:rPr>
          <w:rFonts w:hint="eastAsia"/>
        </w:rPr>
        <w:t>追溯体系</w:t>
      </w:r>
    </w:p>
    <w:p>
      <w:pPr>
        <w:pStyle w:val="57"/>
        <w:ind w:firstLine="420"/>
      </w:pPr>
      <w:r>
        <w:rPr>
          <w:rFonts w:hint="eastAsia"/>
        </w:rPr>
        <w:t>应建立基于唯一批号的产品追溯体系。每批次成品应有唯一标识（批号），通过批号应能追溯至该批次产品的原料信息、加工过程记录、检验报告、包装信息、销售去向等关键信息。推荐使用附录A中的表A.2（产品追溯信息表）或类似格式。确保在发生问题时能快速定位并实施召回。</w:t>
      </w:r>
    </w:p>
    <w:p>
      <w:pPr>
        <w:pStyle w:val="95"/>
        <w:spacing w:before="156" w:after="156"/>
      </w:pPr>
      <w:r>
        <w:rPr>
          <w:rFonts w:hint="eastAsia"/>
        </w:rPr>
        <w:t>档案管理</w:t>
      </w:r>
    </w:p>
    <w:p>
      <w:pPr>
        <w:pStyle w:val="57"/>
        <w:ind w:firstLine="420"/>
      </w:pPr>
      <w:r>
        <w:rPr>
          <w:rFonts w:hint="eastAsia"/>
        </w:rPr>
        <w:t>田间管理档案（如种植、采收记录）应与加工记录相关联。所有记录和档案应妥善保存，明确存储位置和责任人。推荐使用附录A中的表A.3（艾蒿加工档案管理表）或类似格式。</w:t>
      </w:r>
    </w:p>
    <w:bookmarkEnd w:id="132"/>
    <w:bookmarkEnd w:id="133"/>
    <w:bookmarkEnd w:id="134"/>
    <w:bookmarkEnd w:id="135"/>
    <w:bookmarkEnd w:id="136"/>
    <w:p>
      <w:pPr>
        <w:pStyle w:val="105"/>
        <w:spacing w:before="312" w:after="312"/>
        <w:rPr>
          <w:szCs w:val="21"/>
        </w:rPr>
      </w:pPr>
      <w:bookmarkStart w:id="141" w:name="_Toc202633946"/>
      <w:bookmarkStart w:id="142" w:name="_Toc202633975"/>
      <w:bookmarkStart w:id="143" w:name="_Toc202634191"/>
      <w:bookmarkStart w:id="144" w:name="_Toc192503762"/>
      <w:bookmarkStart w:id="145" w:name="_Toc194303050"/>
      <w:bookmarkStart w:id="146" w:name="_Toc194303067"/>
      <w:bookmarkStart w:id="147" w:name="_Toc180623812"/>
      <w:bookmarkStart w:id="148" w:name="_Toc180623882"/>
      <w:bookmarkStart w:id="149" w:name="_Toc180623905"/>
      <w:bookmarkStart w:id="150" w:name="_Toc180623928"/>
      <w:bookmarkStart w:id="151" w:name="_Toc180624120"/>
      <w:bookmarkStart w:id="152" w:name="_Toc180623998"/>
      <w:bookmarkStart w:id="153" w:name="_Toc180623859"/>
      <w:r>
        <w:rPr>
          <w:rFonts w:hint="eastAsia"/>
          <w:szCs w:val="21"/>
        </w:rPr>
        <w:t>艾绒</w:t>
      </w:r>
      <w:bookmarkEnd w:id="141"/>
      <w:bookmarkEnd w:id="142"/>
      <w:bookmarkEnd w:id="143"/>
    </w:p>
    <w:p>
      <w:pPr>
        <w:pStyle w:val="106"/>
        <w:spacing w:before="156" w:after="156"/>
      </w:pPr>
      <w:bookmarkStart w:id="154" w:name="_Toc202633947"/>
      <w:r>
        <w:rPr>
          <w:rFonts w:hint="eastAsia"/>
        </w:rPr>
        <w:t>加工要求</w:t>
      </w:r>
      <w:bookmarkEnd w:id="154"/>
    </w:p>
    <w:p>
      <w:pPr>
        <w:pStyle w:val="57"/>
        <w:ind w:firstLine="420"/>
      </w:pPr>
      <w:r>
        <w:rPr>
          <w:rFonts w:hint="eastAsia"/>
        </w:rPr>
        <w:t xml:space="preserve"> 加工过程及产品质量应符合DB34/T 3806-2021的规定。</w:t>
      </w:r>
    </w:p>
    <w:p>
      <w:pPr>
        <w:pStyle w:val="106"/>
        <w:spacing w:before="156" w:after="156"/>
      </w:pPr>
      <w:bookmarkStart w:id="155" w:name="_Toc202633948"/>
      <w:r>
        <w:rPr>
          <w:rFonts w:hint="eastAsia"/>
        </w:rPr>
        <w:t>工艺流程</w:t>
      </w:r>
      <w:bookmarkEnd w:id="155"/>
    </w:p>
    <w:p>
      <w:pPr>
        <w:pStyle w:val="57"/>
        <w:ind w:firstLine="0" w:firstLineChars="0"/>
        <w:jc w:val="center"/>
      </w:pPr>
      <w:r>
        <w:drawing>
          <wp:inline distT="0" distB="0" distL="0" distR="0">
            <wp:extent cx="5283200" cy="519430"/>
            <wp:effectExtent l="0" t="0" r="0" b="0"/>
            <wp:docPr id="1874681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8111"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6629" cy="524878"/>
                    </a:xfrm>
                    <a:prstGeom prst="rect">
                      <a:avLst/>
                    </a:prstGeom>
                    <a:noFill/>
                    <a:ln>
                      <a:noFill/>
                    </a:ln>
                  </pic:spPr>
                </pic:pic>
              </a:graphicData>
            </a:graphic>
          </wp:inline>
        </w:drawing>
      </w:r>
    </w:p>
    <w:p>
      <w:pPr>
        <w:pStyle w:val="115"/>
        <w:spacing w:before="156" w:after="156"/>
        <w:rPr>
          <w:rFonts w:ascii="宋体" w:hAnsi="宋体" w:eastAsia="宋体"/>
        </w:rPr>
      </w:pPr>
      <w:r>
        <w:rPr>
          <w:rFonts w:hint="eastAsia" w:ascii="宋体" w:hAnsi="宋体" w:eastAsia="宋体"/>
        </w:rPr>
        <w:t>艾绒加工流程图</w:t>
      </w:r>
    </w:p>
    <w:p>
      <w:pPr>
        <w:pStyle w:val="66"/>
        <w:spacing w:before="156" w:after="156"/>
      </w:pPr>
      <w:r>
        <w:rPr>
          <w:rFonts w:hint="eastAsia"/>
        </w:rPr>
        <w:t>原料选择</w:t>
      </w:r>
    </w:p>
    <w:p>
      <w:pPr>
        <w:pStyle w:val="57"/>
        <w:ind w:firstLine="420"/>
      </w:pPr>
      <w:r>
        <w:rPr>
          <w:rFonts w:hint="eastAsia"/>
        </w:rPr>
        <w:t>选用符合4.3和5.2要求的干燥艾叶（水分≤12%），无霉变、无杂质。</w:t>
      </w:r>
    </w:p>
    <w:p>
      <w:pPr>
        <w:pStyle w:val="66"/>
        <w:spacing w:before="156" w:after="156"/>
      </w:pPr>
      <w:r>
        <w:rPr>
          <w:rFonts w:hint="eastAsia"/>
        </w:rPr>
        <w:t>去杂筛选</w:t>
      </w:r>
    </w:p>
    <w:p>
      <w:pPr>
        <w:pStyle w:val="57"/>
        <w:ind w:firstLine="420"/>
      </w:pPr>
      <w:r>
        <w:rPr>
          <w:rFonts w:hint="eastAsia"/>
        </w:rPr>
        <w:t>人工或机械去除残留的叶柄、粗茎等杂质。</w:t>
      </w:r>
    </w:p>
    <w:p>
      <w:pPr>
        <w:pStyle w:val="66"/>
        <w:spacing w:before="156" w:after="156"/>
      </w:pPr>
      <w:r>
        <w:rPr>
          <w:rFonts w:hint="eastAsia"/>
        </w:rPr>
        <w:t>粉碎</w:t>
      </w:r>
    </w:p>
    <w:p>
      <w:pPr>
        <w:pStyle w:val="57"/>
        <w:ind w:firstLine="420"/>
      </w:pPr>
      <w:r>
        <w:rPr>
          <w:rFonts w:hint="eastAsia"/>
        </w:rPr>
        <w:t>采用专用粉碎机将艾叶粉碎成粗绒，控制粒度≤5</w:t>
      </w:r>
      <w:r>
        <w:t xml:space="preserve"> </w:t>
      </w:r>
      <w:r>
        <w:rPr>
          <w:rFonts w:hint="eastAsia"/>
        </w:rPr>
        <w:t>mm。</w:t>
      </w:r>
    </w:p>
    <w:p>
      <w:pPr>
        <w:pStyle w:val="66"/>
        <w:spacing w:before="156" w:after="156"/>
      </w:pPr>
      <w:r>
        <w:rPr>
          <w:rFonts w:hint="eastAsia"/>
        </w:rPr>
        <w:t>过筛</w:t>
      </w:r>
    </w:p>
    <w:p>
      <w:pPr>
        <w:pStyle w:val="57"/>
        <w:ind w:firstLine="420"/>
      </w:pPr>
      <w:r>
        <w:rPr>
          <w:rFonts w:hint="eastAsia"/>
        </w:rPr>
        <w:t>通过20目筛网分离细绒与粗渣。粗渣可重复粉碎过筛至达标。</w:t>
      </w:r>
    </w:p>
    <w:p>
      <w:pPr>
        <w:pStyle w:val="66"/>
        <w:spacing w:before="156" w:after="156"/>
      </w:pPr>
      <w:r>
        <w:rPr>
          <w:rFonts w:hint="eastAsia"/>
        </w:rPr>
        <w:t>提纯</w:t>
      </w:r>
    </w:p>
    <w:p>
      <w:pPr>
        <w:pStyle w:val="57"/>
        <w:ind w:firstLine="420"/>
      </w:pPr>
      <w:r>
        <w:rPr>
          <w:rFonts w:hint="eastAsia"/>
        </w:rPr>
        <w:t>利用风选机去除粉尘及残留的细小杂质，获得纯净艾绒。</w:t>
      </w:r>
    </w:p>
    <w:p>
      <w:pPr>
        <w:pStyle w:val="66"/>
        <w:spacing w:before="156" w:after="156"/>
      </w:pPr>
      <w:r>
        <w:rPr>
          <w:rFonts w:hint="eastAsia"/>
        </w:rPr>
        <w:t>分级</w:t>
      </w:r>
    </w:p>
    <w:p>
      <w:pPr>
        <w:pStyle w:val="57"/>
        <w:ind w:firstLine="420"/>
      </w:pPr>
      <w:r>
        <w:rPr>
          <w:rFonts w:hint="eastAsia"/>
        </w:rPr>
        <w:t>按《中华人民共和国药典（2020年版）》一部及</w:t>
      </w:r>
      <w:r>
        <w:rPr>
          <w:rFonts w:ascii="Times New Roman"/>
        </w:rPr>
        <w:t>DB34/T 3806-2021</w:t>
      </w:r>
      <w:r>
        <w:rPr>
          <w:rFonts w:hint="eastAsia"/>
        </w:rPr>
        <w:t>要求，依据颜色、纤维长度、含杂率等指标分为特级、一级、二级等不同等级。例如：特级艾绒纤维长度</w:t>
      </w:r>
      <w:r>
        <w:rPr>
          <w:rFonts w:ascii="Times New Roman"/>
        </w:rPr>
        <w:t>≥15 mm，含杂率≤1%。</w:t>
      </w:r>
    </w:p>
    <w:p>
      <w:pPr>
        <w:pStyle w:val="106"/>
        <w:spacing w:before="156" w:after="156"/>
      </w:pPr>
      <w:bookmarkStart w:id="156" w:name="_Toc202633949"/>
      <w:r>
        <w:rPr>
          <w:rFonts w:hint="eastAsia"/>
        </w:rPr>
        <w:t>质量控制点</w:t>
      </w:r>
      <w:bookmarkEnd w:id="156"/>
    </w:p>
    <w:p>
      <w:pPr>
        <w:pStyle w:val="113"/>
        <w:spacing w:before="156" w:after="156"/>
        <w:rPr>
          <w:rFonts w:ascii="宋体" w:hAnsi="宋体" w:eastAsia="宋体"/>
        </w:rPr>
      </w:pPr>
      <w:r>
        <w:rPr>
          <w:rFonts w:hint="eastAsia" w:ascii="宋体" w:hAnsi="宋体" w:eastAsia="宋体"/>
        </w:rPr>
        <w:t>艾绒加工质量控制点</w:t>
      </w:r>
    </w:p>
    <w:tbl>
      <w:tblPr>
        <w:tblStyle w:val="34"/>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76"/>
        <w:gridCol w:w="3827"/>
        <w:gridCol w:w="1897"/>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276" w:type="dxa"/>
            <w:tcBorders>
              <w:top w:val="single" w:color="auto" w:sz="12" w:space="0"/>
              <w:left w:val="nil"/>
              <w:bottom w:val="single" w:color="auto" w:sz="12" w:space="0"/>
              <w:right w:val="nil"/>
            </w:tcBorders>
            <w:shd w:val="clear" w:color="auto" w:fill="auto"/>
            <w:vAlign w:val="center"/>
          </w:tcPr>
          <w:p>
            <w:pPr>
              <w:pStyle w:val="179"/>
            </w:pPr>
            <w:r>
              <w:rPr>
                <w:b/>
                <w:bCs/>
              </w:rPr>
              <w:t>环节</w:t>
            </w:r>
          </w:p>
        </w:tc>
        <w:tc>
          <w:tcPr>
            <w:tcW w:w="3827" w:type="dxa"/>
            <w:tcBorders>
              <w:top w:val="single" w:color="auto" w:sz="12" w:space="0"/>
              <w:left w:val="nil"/>
              <w:bottom w:val="single" w:color="auto" w:sz="12" w:space="0"/>
              <w:right w:val="nil"/>
            </w:tcBorders>
            <w:shd w:val="clear" w:color="auto" w:fill="auto"/>
            <w:vAlign w:val="center"/>
          </w:tcPr>
          <w:p>
            <w:pPr>
              <w:pStyle w:val="179"/>
            </w:pPr>
            <w:r>
              <w:rPr>
                <w:b/>
                <w:bCs/>
              </w:rPr>
              <w:t>要求与参数</w:t>
            </w:r>
          </w:p>
        </w:tc>
        <w:tc>
          <w:tcPr>
            <w:tcW w:w="1897" w:type="dxa"/>
            <w:tcBorders>
              <w:top w:val="single" w:color="auto" w:sz="12" w:space="0"/>
              <w:left w:val="nil"/>
              <w:bottom w:val="single" w:color="auto" w:sz="12" w:space="0"/>
              <w:right w:val="nil"/>
            </w:tcBorders>
            <w:shd w:val="clear" w:color="auto" w:fill="auto"/>
            <w:vAlign w:val="center"/>
          </w:tcPr>
          <w:p>
            <w:pPr>
              <w:pStyle w:val="179"/>
            </w:pPr>
            <w:r>
              <w:rPr>
                <w:b/>
                <w:bCs/>
              </w:rPr>
              <w:t>质量控制点</w:t>
            </w:r>
          </w:p>
        </w:tc>
        <w:tc>
          <w:tcPr>
            <w:tcW w:w="2334" w:type="dxa"/>
            <w:tcBorders>
              <w:top w:val="single" w:color="auto" w:sz="12" w:space="0"/>
              <w:left w:val="nil"/>
              <w:bottom w:val="single" w:color="auto" w:sz="12" w:space="0"/>
              <w:right w:val="nil"/>
            </w:tcBorders>
            <w:shd w:val="clear" w:color="auto" w:fill="auto"/>
            <w:vAlign w:val="center"/>
          </w:tcPr>
          <w:p>
            <w:pPr>
              <w:pStyle w:val="179"/>
            </w:pPr>
            <w:r>
              <w:rPr>
                <w:b/>
                <w:bCs/>
              </w:rPr>
              <w:t>检测方法/依据</w:t>
            </w:r>
          </w:p>
        </w:tc>
      </w:tr>
      <w:tr>
        <w:tblPrEx>
          <w:tblLayout w:type="fixed"/>
          <w:tblCellMar>
            <w:top w:w="0" w:type="dxa"/>
            <w:left w:w="0" w:type="dxa"/>
            <w:bottom w:w="0" w:type="dxa"/>
            <w:right w:w="0" w:type="dxa"/>
          </w:tblCellMar>
        </w:tblPrEx>
        <w:trPr>
          <w:jc w:val="center"/>
        </w:trPr>
        <w:tc>
          <w:tcPr>
            <w:tcW w:w="1276" w:type="dxa"/>
            <w:tcBorders>
              <w:top w:val="single" w:color="auto" w:sz="12" w:space="0"/>
              <w:left w:val="nil"/>
              <w:bottom w:val="nil"/>
              <w:right w:val="nil"/>
            </w:tcBorders>
            <w:shd w:val="clear" w:color="auto" w:fill="auto"/>
            <w:vAlign w:val="center"/>
          </w:tcPr>
          <w:p>
            <w:pPr>
              <w:pStyle w:val="179"/>
              <w:rPr>
                <w:rFonts w:ascii="Times New Roman"/>
              </w:rPr>
            </w:pPr>
            <w:r>
              <w:rPr>
                <w:rFonts w:ascii="Times New Roman"/>
                <w:b/>
                <w:bCs/>
              </w:rPr>
              <w:t>原料选择</w:t>
            </w:r>
          </w:p>
        </w:tc>
        <w:tc>
          <w:tcPr>
            <w:tcW w:w="3827" w:type="dxa"/>
            <w:tcBorders>
              <w:top w:val="single" w:color="auto" w:sz="12" w:space="0"/>
              <w:left w:val="nil"/>
              <w:bottom w:val="nil"/>
              <w:right w:val="nil"/>
            </w:tcBorders>
            <w:shd w:val="clear" w:color="auto" w:fill="auto"/>
            <w:vAlign w:val="center"/>
          </w:tcPr>
          <w:p>
            <w:pPr>
              <w:pStyle w:val="179"/>
              <w:rPr>
                <w:rFonts w:ascii="Times New Roman"/>
              </w:rPr>
            </w:pPr>
            <w:r>
              <w:rPr>
                <w:rFonts w:ascii="Times New Roman"/>
              </w:rPr>
              <w:t>干燥艾叶（水分≤12%），无霉变、无杂质</w:t>
            </w:r>
          </w:p>
        </w:tc>
        <w:tc>
          <w:tcPr>
            <w:tcW w:w="1897" w:type="dxa"/>
            <w:tcBorders>
              <w:top w:val="single" w:color="auto" w:sz="12" w:space="0"/>
              <w:left w:val="nil"/>
              <w:bottom w:val="nil"/>
              <w:right w:val="nil"/>
            </w:tcBorders>
            <w:shd w:val="clear" w:color="auto" w:fill="auto"/>
            <w:vAlign w:val="center"/>
          </w:tcPr>
          <w:p>
            <w:pPr>
              <w:pStyle w:val="179"/>
              <w:rPr>
                <w:rFonts w:ascii="Times New Roman"/>
              </w:rPr>
            </w:pPr>
            <w:r>
              <w:rPr>
                <w:rFonts w:ascii="Times New Roman"/>
              </w:rPr>
              <w:t>含水率、杂质率</w:t>
            </w:r>
          </w:p>
        </w:tc>
        <w:tc>
          <w:tcPr>
            <w:tcW w:w="2334" w:type="dxa"/>
            <w:tcBorders>
              <w:top w:val="single" w:color="auto" w:sz="12" w:space="0"/>
              <w:left w:val="nil"/>
              <w:bottom w:val="nil"/>
              <w:right w:val="nil"/>
            </w:tcBorders>
            <w:shd w:val="clear" w:color="auto" w:fill="auto"/>
            <w:vAlign w:val="center"/>
          </w:tcPr>
          <w:p>
            <w:pPr>
              <w:pStyle w:val="179"/>
              <w:rPr>
                <w:rFonts w:ascii="Times New Roman"/>
              </w:rPr>
            </w:pPr>
            <w:r>
              <w:rPr>
                <w:rFonts w:ascii="Times New Roman"/>
              </w:rPr>
              <w:t>烘干法GB 5009.3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76" w:type="dxa"/>
            <w:tcBorders>
              <w:top w:val="nil"/>
              <w:left w:val="nil"/>
              <w:bottom w:val="nil"/>
              <w:right w:val="nil"/>
            </w:tcBorders>
            <w:shd w:val="clear" w:color="auto" w:fill="auto"/>
            <w:vAlign w:val="center"/>
          </w:tcPr>
          <w:p>
            <w:pPr>
              <w:pStyle w:val="179"/>
              <w:rPr>
                <w:rFonts w:ascii="Times New Roman"/>
              </w:rPr>
            </w:pPr>
            <w:r>
              <w:rPr>
                <w:rFonts w:ascii="Times New Roman"/>
                <w:b/>
                <w:bCs/>
              </w:rPr>
              <w:t>去杂筛选</w:t>
            </w:r>
          </w:p>
        </w:tc>
        <w:tc>
          <w:tcPr>
            <w:tcW w:w="3827" w:type="dxa"/>
            <w:tcBorders>
              <w:top w:val="nil"/>
              <w:left w:val="nil"/>
              <w:bottom w:val="nil"/>
              <w:right w:val="nil"/>
            </w:tcBorders>
            <w:shd w:val="clear" w:color="auto" w:fill="auto"/>
            <w:vAlign w:val="center"/>
          </w:tcPr>
          <w:p>
            <w:pPr>
              <w:pStyle w:val="179"/>
              <w:rPr>
                <w:rFonts w:ascii="Times New Roman"/>
              </w:rPr>
            </w:pPr>
            <w:r>
              <w:rPr>
                <w:rFonts w:ascii="Times New Roman"/>
              </w:rPr>
              <w:t>人工/机械去除叶柄、粗茎，含杂率≤1%（特级）</w:t>
            </w:r>
          </w:p>
        </w:tc>
        <w:tc>
          <w:tcPr>
            <w:tcW w:w="1897" w:type="dxa"/>
            <w:tcBorders>
              <w:top w:val="nil"/>
              <w:left w:val="nil"/>
              <w:bottom w:val="nil"/>
              <w:right w:val="nil"/>
            </w:tcBorders>
            <w:shd w:val="clear" w:color="auto" w:fill="auto"/>
            <w:vAlign w:val="center"/>
          </w:tcPr>
          <w:p>
            <w:pPr>
              <w:pStyle w:val="179"/>
              <w:rPr>
                <w:rFonts w:ascii="Times New Roman"/>
              </w:rPr>
            </w:pPr>
            <w:r>
              <w:rPr>
                <w:rFonts w:ascii="Times New Roman"/>
              </w:rPr>
              <w:t>含杂率</w:t>
            </w:r>
          </w:p>
        </w:tc>
        <w:tc>
          <w:tcPr>
            <w:tcW w:w="2334" w:type="dxa"/>
            <w:tcBorders>
              <w:top w:val="nil"/>
              <w:left w:val="nil"/>
              <w:bottom w:val="nil"/>
              <w:right w:val="nil"/>
            </w:tcBorders>
            <w:shd w:val="clear" w:color="auto" w:fill="auto"/>
            <w:vAlign w:val="center"/>
          </w:tcPr>
          <w:p>
            <w:pPr>
              <w:pStyle w:val="179"/>
              <w:rPr>
                <w:rFonts w:ascii="Times New Roman"/>
              </w:rPr>
            </w:pPr>
            <w:r>
              <w:rPr>
                <w:rFonts w:ascii="Times New Roman"/>
              </w:rPr>
              <w:t>DB34/T 3806-2021</w:t>
            </w:r>
          </w:p>
          <w:p>
            <w:pPr>
              <w:pStyle w:val="179"/>
              <w:rPr>
                <w:rFonts w:ascii="Times New Roman"/>
              </w:rPr>
            </w:pPr>
            <w:r>
              <w:rPr>
                <w:rFonts w:ascii="Times New Roman"/>
              </w:rPr>
              <w:t>《中华人民共和国药典》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76" w:type="dxa"/>
            <w:tcBorders>
              <w:top w:val="nil"/>
              <w:left w:val="nil"/>
              <w:bottom w:val="nil"/>
              <w:right w:val="nil"/>
            </w:tcBorders>
            <w:shd w:val="clear" w:color="auto" w:fill="auto"/>
            <w:vAlign w:val="center"/>
          </w:tcPr>
          <w:p>
            <w:pPr>
              <w:pStyle w:val="179"/>
              <w:rPr>
                <w:rFonts w:ascii="Times New Roman"/>
              </w:rPr>
            </w:pPr>
            <w:r>
              <w:rPr>
                <w:rFonts w:ascii="Times New Roman"/>
                <w:b/>
                <w:bCs/>
              </w:rPr>
              <w:t>粉碎过筛</w:t>
            </w:r>
          </w:p>
        </w:tc>
        <w:tc>
          <w:tcPr>
            <w:tcW w:w="3827" w:type="dxa"/>
            <w:tcBorders>
              <w:top w:val="nil"/>
              <w:left w:val="nil"/>
              <w:bottom w:val="nil"/>
              <w:right w:val="nil"/>
            </w:tcBorders>
            <w:shd w:val="clear" w:color="auto" w:fill="auto"/>
            <w:vAlign w:val="center"/>
          </w:tcPr>
          <w:p>
            <w:pPr>
              <w:pStyle w:val="179"/>
              <w:rPr>
                <w:rFonts w:ascii="Times New Roman"/>
              </w:rPr>
            </w:pPr>
            <w:r>
              <w:rPr>
                <w:rFonts w:ascii="Times New Roman"/>
              </w:rPr>
              <w:t>粒度≤5 mm；特级绒过30目筛，留存率≤5%</w:t>
            </w:r>
          </w:p>
        </w:tc>
        <w:tc>
          <w:tcPr>
            <w:tcW w:w="1897" w:type="dxa"/>
            <w:tcBorders>
              <w:top w:val="nil"/>
              <w:left w:val="nil"/>
              <w:bottom w:val="nil"/>
              <w:right w:val="nil"/>
            </w:tcBorders>
            <w:shd w:val="clear" w:color="auto" w:fill="auto"/>
            <w:vAlign w:val="center"/>
          </w:tcPr>
          <w:p>
            <w:pPr>
              <w:pStyle w:val="179"/>
              <w:rPr>
                <w:rFonts w:ascii="Times New Roman"/>
              </w:rPr>
            </w:pPr>
            <w:r>
              <w:rPr>
                <w:rFonts w:ascii="Times New Roman"/>
              </w:rPr>
              <w:t>粒度、筛余率</w:t>
            </w:r>
          </w:p>
        </w:tc>
        <w:tc>
          <w:tcPr>
            <w:tcW w:w="2334" w:type="dxa"/>
            <w:tcBorders>
              <w:top w:val="nil"/>
              <w:left w:val="nil"/>
              <w:bottom w:val="nil"/>
              <w:right w:val="nil"/>
            </w:tcBorders>
            <w:shd w:val="clear" w:color="auto" w:fill="auto"/>
            <w:vAlign w:val="center"/>
          </w:tcPr>
          <w:p>
            <w:pPr>
              <w:pStyle w:val="179"/>
              <w:rPr>
                <w:rFonts w:ascii="Times New Roman"/>
              </w:rPr>
            </w:pPr>
            <w:r>
              <w:rPr>
                <w:rFonts w:ascii="Times New Roman"/>
              </w:rPr>
              <w:t>GB/T 5507-2008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76" w:type="dxa"/>
            <w:tcBorders>
              <w:top w:val="nil"/>
              <w:left w:val="nil"/>
              <w:bottom w:val="nil"/>
              <w:right w:val="nil"/>
            </w:tcBorders>
            <w:shd w:val="clear" w:color="auto" w:fill="auto"/>
            <w:vAlign w:val="center"/>
          </w:tcPr>
          <w:p>
            <w:pPr>
              <w:pStyle w:val="179"/>
              <w:rPr>
                <w:rFonts w:ascii="Times New Roman"/>
              </w:rPr>
            </w:pPr>
            <w:r>
              <w:rPr>
                <w:rFonts w:ascii="Times New Roman"/>
                <w:b/>
                <w:bCs/>
              </w:rPr>
              <w:t>提纯分级</w:t>
            </w:r>
          </w:p>
        </w:tc>
        <w:tc>
          <w:tcPr>
            <w:tcW w:w="3827" w:type="dxa"/>
            <w:tcBorders>
              <w:top w:val="nil"/>
              <w:left w:val="nil"/>
              <w:bottom w:val="nil"/>
              <w:right w:val="nil"/>
            </w:tcBorders>
            <w:shd w:val="clear" w:color="auto" w:fill="auto"/>
            <w:vAlign w:val="center"/>
          </w:tcPr>
          <w:p>
            <w:pPr>
              <w:pStyle w:val="179"/>
              <w:rPr>
                <w:rFonts w:ascii="Times New Roman"/>
              </w:rPr>
            </w:pPr>
            <w:r>
              <w:rPr>
                <w:rFonts w:ascii="Times New Roman"/>
                <w:b/>
                <w:bCs/>
              </w:rPr>
              <w:t>特级</w:t>
            </w:r>
            <w:r>
              <w:rPr>
                <w:rFonts w:ascii="Times New Roman"/>
              </w:rPr>
              <w:t>：纤维≥15 mm，含杂≤1%</w:t>
            </w:r>
          </w:p>
          <w:p>
            <w:pPr>
              <w:pStyle w:val="179"/>
              <w:rPr>
                <w:rFonts w:ascii="Times New Roman"/>
              </w:rPr>
            </w:pPr>
            <w:r>
              <w:rPr>
                <w:rFonts w:ascii="Times New Roman"/>
                <w:b/>
                <w:bCs/>
              </w:rPr>
              <w:t>一级</w:t>
            </w:r>
            <w:r>
              <w:rPr>
                <w:rFonts w:ascii="Times New Roman"/>
              </w:rPr>
              <w:t>：纤维≥10 mm，含杂≤3%</w:t>
            </w:r>
          </w:p>
        </w:tc>
        <w:tc>
          <w:tcPr>
            <w:tcW w:w="1897" w:type="dxa"/>
            <w:tcBorders>
              <w:top w:val="nil"/>
              <w:left w:val="nil"/>
              <w:bottom w:val="nil"/>
              <w:right w:val="nil"/>
            </w:tcBorders>
            <w:shd w:val="clear" w:color="auto" w:fill="auto"/>
            <w:vAlign w:val="center"/>
          </w:tcPr>
          <w:p>
            <w:pPr>
              <w:pStyle w:val="179"/>
              <w:rPr>
                <w:rFonts w:ascii="Times New Roman"/>
              </w:rPr>
            </w:pPr>
            <w:r>
              <w:rPr>
                <w:rFonts w:ascii="Times New Roman"/>
              </w:rPr>
              <w:t>纤维长度、含杂率</w:t>
            </w:r>
          </w:p>
        </w:tc>
        <w:tc>
          <w:tcPr>
            <w:tcW w:w="2334" w:type="dxa"/>
            <w:tcBorders>
              <w:top w:val="nil"/>
              <w:left w:val="nil"/>
              <w:bottom w:val="nil"/>
              <w:right w:val="nil"/>
            </w:tcBorders>
            <w:shd w:val="clear" w:color="auto" w:fill="auto"/>
            <w:vAlign w:val="center"/>
          </w:tcPr>
          <w:p>
            <w:pPr>
              <w:pStyle w:val="179"/>
              <w:rPr>
                <w:rFonts w:ascii="Times New Roman"/>
              </w:rPr>
            </w:pPr>
            <w:r>
              <w:rPr>
                <w:rFonts w:ascii="Times New Roman"/>
              </w:rPr>
              <w:t>DB34/T 3806-2021</w:t>
            </w:r>
          </w:p>
          <w:p>
            <w:pPr>
              <w:pStyle w:val="179"/>
              <w:rPr>
                <w:rFonts w:ascii="Times New Roman"/>
              </w:rPr>
            </w:pPr>
            <w:r>
              <w:rPr>
                <w:rFonts w:ascii="Times New Roman"/>
              </w:rPr>
              <w:t>《中华人民共和国药典》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276" w:type="dxa"/>
            <w:tcBorders>
              <w:top w:val="nil"/>
              <w:left w:val="nil"/>
              <w:bottom w:val="nil"/>
              <w:right w:val="nil"/>
            </w:tcBorders>
            <w:shd w:val="clear" w:color="auto" w:fill="auto"/>
            <w:vAlign w:val="center"/>
          </w:tcPr>
          <w:p>
            <w:pPr>
              <w:pStyle w:val="179"/>
              <w:rPr>
                <w:rFonts w:ascii="Times New Roman"/>
              </w:rPr>
            </w:pPr>
            <w:r>
              <w:rPr>
                <w:rFonts w:ascii="Times New Roman"/>
                <w:b/>
                <w:bCs/>
              </w:rPr>
              <w:t>生产环境</w:t>
            </w:r>
          </w:p>
        </w:tc>
        <w:tc>
          <w:tcPr>
            <w:tcW w:w="3827" w:type="dxa"/>
            <w:tcBorders>
              <w:top w:val="nil"/>
              <w:left w:val="nil"/>
              <w:bottom w:val="nil"/>
              <w:right w:val="nil"/>
            </w:tcBorders>
            <w:shd w:val="clear" w:color="auto" w:fill="auto"/>
            <w:vAlign w:val="center"/>
          </w:tcPr>
          <w:p>
            <w:pPr>
              <w:pStyle w:val="179"/>
              <w:rPr>
                <w:rFonts w:ascii="Times New Roman"/>
              </w:rPr>
            </w:pPr>
            <w:r>
              <w:rPr>
                <w:rFonts w:ascii="Times New Roman"/>
              </w:rPr>
              <w:t>温度≤25℃，相对湿度≤60%</w:t>
            </w:r>
          </w:p>
        </w:tc>
        <w:tc>
          <w:tcPr>
            <w:tcW w:w="1897" w:type="dxa"/>
            <w:tcBorders>
              <w:top w:val="nil"/>
              <w:left w:val="nil"/>
              <w:bottom w:val="nil"/>
              <w:right w:val="nil"/>
            </w:tcBorders>
            <w:shd w:val="clear" w:color="auto" w:fill="auto"/>
            <w:vAlign w:val="center"/>
          </w:tcPr>
          <w:p>
            <w:pPr>
              <w:pStyle w:val="179"/>
              <w:rPr>
                <w:rFonts w:ascii="Times New Roman"/>
              </w:rPr>
            </w:pPr>
            <w:r>
              <w:rPr>
                <w:rFonts w:ascii="Times New Roman"/>
              </w:rPr>
              <w:t>温湿度记录</w:t>
            </w:r>
          </w:p>
        </w:tc>
        <w:tc>
          <w:tcPr>
            <w:tcW w:w="2334" w:type="dxa"/>
            <w:tcBorders>
              <w:top w:val="nil"/>
              <w:left w:val="nil"/>
              <w:bottom w:val="nil"/>
              <w:right w:val="nil"/>
            </w:tcBorders>
            <w:shd w:val="clear" w:color="auto" w:fill="auto"/>
            <w:vAlign w:val="center"/>
          </w:tcPr>
          <w:p>
            <w:pPr>
              <w:pStyle w:val="179"/>
              <w:rPr>
                <w:rFonts w:ascii="Times New Roman"/>
              </w:rPr>
            </w:pPr>
            <w:r>
              <w:rPr>
                <w:rFonts w:ascii="Times New Roman"/>
              </w:rPr>
              <w:t>环境监测仪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76" w:type="dxa"/>
            <w:tcBorders>
              <w:top w:val="nil"/>
              <w:left w:val="nil"/>
              <w:bottom w:val="single" w:color="auto" w:sz="12" w:space="0"/>
              <w:right w:val="nil"/>
            </w:tcBorders>
            <w:shd w:val="clear" w:color="auto" w:fill="auto"/>
            <w:vAlign w:val="center"/>
          </w:tcPr>
          <w:p>
            <w:pPr>
              <w:pStyle w:val="179"/>
              <w:rPr>
                <w:rFonts w:ascii="Times New Roman"/>
              </w:rPr>
            </w:pPr>
            <w:r>
              <w:rPr>
                <w:rFonts w:ascii="Times New Roman"/>
                <w:b/>
                <w:bCs/>
              </w:rPr>
              <w:t>包装</w:t>
            </w:r>
          </w:p>
        </w:tc>
        <w:tc>
          <w:tcPr>
            <w:tcW w:w="3827" w:type="dxa"/>
            <w:tcBorders>
              <w:top w:val="nil"/>
              <w:left w:val="nil"/>
              <w:bottom w:val="single" w:color="auto" w:sz="12" w:space="0"/>
              <w:right w:val="nil"/>
            </w:tcBorders>
            <w:shd w:val="clear" w:color="auto" w:fill="auto"/>
            <w:vAlign w:val="center"/>
          </w:tcPr>
          <w:p>
            <w:pPr>
              <w:pStyle w:val="179"/>
              <w:rPr>
                <w:rFonts w:ascii="Times New Roman"/>
              </w:rPr>
            </w:pPr>
            <w:r>
              <w:rPr>
                <w:rFonts w:ascii="Times New Roman"/>
              </w:rPr>
              <w:t>防潮袋/复合袋，标注等级、批号、生产日期</w:t>
            </w:r>
          </w:p>
        </w:tc>
        <w:tc>
          <w:tcPr>
            <w:tcW w:w="1897" w:type="dxa"/>
            <w:tcBorders>
              <w:top w:val="nil"/>
              <w:left w:val="nil"/>
              <w:bottom w:val="single" w:color="auto" w:sz="12" w:space="0"/>
              <w:right w:val="nil"/>
            </w:tcBorders>
            <w:shd w:val="clear" w:color="auto" w:fill="auto"/>
            <w:vAlign w:val="center"/>
          </w:tcPr>
          <w:p>
            <w:pPr>
              <w:pStyle w:val="179"/>
              <w:rPr>
                <w:rFonts w:ascii="Times New Roman"/>
              </w:rPr>
            </w:pPr>
            <w:r>
              <w:rPr>
                <w:rFonts w:ascii="Times New Roman"/>
              </w:rPr>
              <w:t>密封性、标签完整性</w:t>
            </w:r>
          </w:p>
        </w:tc>
        <w:tc>
          <w:tcPr>
            <w:tcW w:w="2334" w:type="dxa"/>
            <w:tcBorders>
              <w:top w:val="nil"/>
              <w:left w:val="nil"/>
              <w:bottom w:val="single" w:color="auto" w:sz="12" w:space="0"/>
              <w:right w:val="nil"/>
            </w:tcBorders>
            <w:shd w:val="clear" w:color="auto" w:fill="auto"/>
            <w:vAlign w:val="center"/>
          </w:tcPr>
          <w:p>
            <w:pPr>
              <w:pStyle w:val="179"/>
              <w:rPr>
                <w:rFonts w:ascii="Times New Roman"/>
              </w:rPr>
            </w:pPr>
            <w:r>
              <w:rPr>
                <w:rFonts w:ascii="Times New Roman"/>
              </w:rPr>
              <w:t>GB/T 28118-2011</w:t>
            </w:r>
          </w:p>
          <w:p>
            <w:pPr>
              <w:pStyle w:val="179"/>
              <w:rPr>
                <w:rFonts w:ascii="Times New Roman"/>
              </w:rPr>
            </w:pPr>
            <w:r>
              <w:rPr>
                <w:rFonts w:ascii="Times New Roman"/>
              </w:rPr>
              <w:t>目视、气密性测试</w:t>
            </w:r>
          </w:p>
        </w:tc>
      </w:tr>
    </w:tbl>
    <w:p>
      <w:pPr>
        <w:pStyle w:val="105"/>
        <w:spacing w:before="312" w:after="312"/>
      </w:pPr>
      <w:bookmarkStart w:id="157" w:name="_Toc202634192"/>
      <w:bookmarkStart w:id="158" w:name="_Toc202633976"/>
      <w:bookmarkStart w:id="159" w:name="_Toc202633950"/>
      <w:r>
        <w:rPr>
          <w:rFonts w:hint="eastAsia"/>
        </w:rPr>
        <w:t>艾条</w:t>
      </w:r>
      <w:bookmarkEnd w:id="157"/>
      <w:bookmarkEnd w:id="158"/>
      <w:bookmarkEnd w:id="159"/>
    </w:p>
    <w:p>
      <w:pPr>
        <w:pStyle w:val="106"/>
        <w:spacing w:before="156" w:after="156"/>
      </w:pPr>
      <w:bookmarkStart w:id="160" w:name="_Toc202633951"/>
      <w:r>
        <w:rPr>
          <w:rFonts w:hint="eastAsia"/>
        </w:rPr>
        <w:t>加工要求</w:t>
      </w:r>
      <w:bookmarkEnd w:id="160"/>
    </w:p>
    <w:p>
      <w:pPr>
        <w:pStyle w:val="57"/>
        <w:ind w:firstLine="420"/>
      </w:pPr>
      <w:r>
        <w:t>加工过程及产品质量应符合</w:t>
      </w:r>
      <w:r>
        <w:rPr>
          <w:rFonts w:hint="eastAsia"/>
        </w:rPr>
        <w:t>艾绒加工标准，</w:t>
      </w:r>
      <w:r>
        <w:rPr>
          <w:rFonts w:ascii="Times New Roman"/>
        </w:rPr>
        <w:t>原料与艾绒产出比≥3:1；洁净无异物，淡黄至灰绿色绒团，易燃白烟；水分≤10%，灰分≤11%，核油精≥0.2%；菌落总数≤300 CFU/g</w:t>
      </w:r>
      <w:r>
        <w:rPr>
          <w:rFonts w:hint="eastAsia"/>
        </w:rPr>
        <w:t>，致病菌不得检出；燃烧安全性要求无毒害，熄灭后无明火</w:t>
      </w:r>
      <w:r>
        <w:t>。</w:t>
      </w:r>
    </w:p>
    <w:p>
      <w:pPr>
        <w:pStyle w:val="106"/>
        <w:spacing w:before="156" w:after="156"/>
      </w:pPr>
      <w:bookmarkStart w:id="161" w:name="_Toc202633952"/>
      <w:r>
        <w:rPr>
          <w:rFonts w:hint="eastAsia"/>
        </w:rPr>
        <w:t>加工流程</w:t>
      </w:r>
      <w:bookmarkEnd w:id="161"/>
    </w:p>
    <w:p>
      <w:pPr>
        <w:pStyle w:val="57"/>
        <w:ind w:firstLine="420"/>
        <w:jc w:val="center"/>
      </w:pPr>
      <w:r>
        <w:drawing>
          <wp:inline distT="0" distB="0" distL="0" distR="0">
            <wp:extent cx="5213350" cy="318770"/>
            <wp:effectExtent l="0" t="0" r="6350" b="5080"/>
            <wp:docPr id="213091790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17902"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52405" cy="321186"/>
                    </a:xfrm>
                    <a:prstGeom prst="rect">
                      <a:avLst/>
                    </a:prstGeom>
                    <a:noFill/>
                    <a:ln>
                      <a:noFill/>
                    </a:ln>
                  </pic:spPr>
                </pic:pic>
              </a:graphicData>
            </a:graphic>
          </wp:inline>
        </w:drawing>
      </w:r>
    </w:p>
    <w:p>
      <w:pPr>
        <w:pStyle w:val="115"/>
        <w:spacing w:before="156" w:after="156"/>
        <w:rPr>
          <w:rFonts w:ascii="宋体" w:hAnsi="宋体" w:eastAsia="宋体"/>
        </w:rPr>
      </w:pPr>
      <w:r>
        <w:rPr>
          <w:rFonts w:hint="eastAsia" w:ascii="宋体" w:hAnsi="宋体" w:eastAsia="宋体"/>
        </w:rPr>
        <w:t>艾条加工流程</w:t>
      </w:r>
    </w:p>
    <w:p>
      <w:pPr>
        <w:pStyle w:val="66"/>
        <w:spacing w:before="156" w:after="156"/>
      </w:pPr>
      <w:r>
        <w:rPr>
          <w:rFonts w:hint="eastAsia"/>
        </w:rPr>
        <w:t>原料选择</w:t>
      </w:r>
    </w:p>
    <w:p>
      <w:pPr>
        <w:pStyle w:val="57"/>
        <w:ind w:firstLine="420"/>
      </w:pPr>
      <w:r>
        <w:rPr>
          <w:rFonts w:hint="eastAsia"/>
        </w:rPr>
        <w:t>艾绒原料应为菊科蒿属植物艾的干燥叶片。艾叶符合 《中华人民共和国药典》的有关规定，卷纸为桑皮纸、纯棉纸、烟纸、艾条纸 、自棉纸、艾叶纸。规格型号以合同约定为准。</w:t>
      </w:r>
    </w:p>
    <w:p>
      <w:pPr>
        <w:pStyle w:val="66"/>
        <w:spacing w:before="156" w:after="156"/>
      </w:pPr>
      <w:r>
        <w:rPr>
          <w:rFonts w:hint="eastAsia"/>
        </w:rPr>
        <w:t>艾绒配制</w:t>
      </w:r>
    </w:p>
    <w:p>
      <w:pPr>
        <w:pStyle w:val="57"/>
        <w:ind w:firstLine="420"/>
      </w:pPr>
      <w:r>
        <w:rPr>
          <w:rFonts w:hint="eastAsia"/>
        </w:rPr>
        <w:t>根据产品等级要求，按比例混合不同等级的艾绒。</w:t>
      </w:r>
    </w:p>
    <w:p>
      <w:pPr>
        <w:pStyle w:val="66"/>
        <w:spacing w:before="156" w:after="156"/>
      </w:pPr>
      <w:r>
        <w:rPr>
          <w:rFonts w:hint="eastAsia"/>
        </w:rPr>
        <w:t>卷纸准备</w:t>
      </w:r>
    </w:p>
    <w:p>
      <w:pPr>
        <w:pStyle w:val="57"/>
        <w:ind w:firstLine="420"/>
      </w:pPr>
      <w:r>
        <w:rPr>
          <w:rFonts w:hint="eastAsia"/>
        </w:rPr>
        <w:t>选用韧性好、燃烧无异味的桑皮纸、棉纸或其他符合要求的卷纸。</w:t>
      </w:r>
    </w:p>
    <w:p>
      <w:pPr>
        <w:pStyle w:val="66"/>
        <w:spacing w:before="156" w:after="156"/>
      </w:pPr>
      <w:r>
        <w:rPr>
          <w:rFonts w:hint="eastAsia"/>
        </w:rPr>
        <w:t>卷制</w:t>
      </w:r>
    </w:p>
    <w:p>
      <w:pPr>
        <w:pStyle w:val="57"/>
        <w:ind w:firstLine="420"/>
      </w:pPr>
      <w:r>
        <w:rPr>
          <w:rFonts w:hint="eastAsia"/>
        </w:rPr>
        <w:t>将配制好的艾绒均匀铺平在卷纸上，使用机械卷制成圆柱形。控制直径范围（通常</w:t>
      </w:r>
      <w:r>
        <w:rPr>
          <w:rFonts w:ascii="Times New Roman"/>
        </w:rPr>
        <w:t>1.8~5.0 cm</w:t>
      </w:r>
      <w:r>
        <w:rPr>
          <w:rFonts w:hint="eastAsia"/>
        </w:rPr>
        <w:t>）和长度（通常</w:t>
      </w:r>
      <w:r>
        <w:rPr>
          <w:rFonts w:ascii="Times New Roman"/>
        </w:rPr>
        <w:t>20~30 cm</w:t>
      </w:r>
      <w:r>
        <w:rPr>
          <w:rFonts w:hint="eastAsia"/>
        </w:rPr>
        <w:t>）。</w:t>
      </w:r>
    </w:p>
    <w:p>
      <w:pPr>
        <w:pStyle w:val="66"/>
        <w:spacing w:before="156" w:after="156"/>
      </w:pPr>
      <w:r>
        <w:rPr>
          <w:rFonts w:hint="eastAsia"/>
        </w:rPr>
        <w:t>压实</w:t>
      </w:r>
    </w:p>
    <w:p>
      <w:pPr>
        <w:pStyle w:val="57"/>
        <w:ind w:firstLine="420"/>
      </w:pPr>
      <w:r>
        <w:rPr>
          <w:rFonts w:hint="eastAsia"/>
        </w:rPr>
        <w:t>在卷制过程中或卷制后，通过机械或人工方式压实，确保艾条紧实度适中，密度控制在</w:t>
      </w:r>
      <w:r>
        <w:rPr>
          <w:rFonts w:ascii="Times New Roman"/>
        </w:rPr>
        <w:t>0.45~0.55 g/cm³。</w:t>
      </w:r>
    </w:p>
    <w:p>
      <w:pPr>
        <w:pStyle w:val="66"/>
        <w:spacing w:before="156" w:after="156"/>
      </w:pPr>
      <w:r>
        <w:rPr>
          <w:rFonts w:hint="eastAsia"/>
        </w:rPr>
        <w:t>封口</w:t>
      </w:r>
    </w:p>
    <w:p>
      <w:pPr>
        <w:pStyle w:val="57"/>
        <w:ind w:firstLine="420"/>
      </w:pPr>
      <w:r>
        <w:rPr>
          <w:rFonts w:hint="eastAsia"/>
        </w:rPr>
        <w:t>艾条两端应用食品级糯米胶或其它安全粘合剂密封牢固，防止艾绒松散脱落。</w:t>
      </w:r>
    </w:p>
    <w:p>
      <w:pPr>
        <w:pStyle w:val="66"/>
        <w:spacing w:before="156" w:after="156"/>
      </w:pPr>
      <w:r>
        <w:rPr>
          <w:rFonts w:hint="eastAsia"/>
        </w:rPr>
        <w:t>干燥</w:t>
      </w:r>
    </w:p>
    <w:p>
      <w:pPr>
        <w:pStyle w:val="57"/>
        <w:ind w:firstLine="420"/>
      </w:pPr>
      <w:r>
        <w:rPr>
          <w:rFonts w:hint="eastAsia"/>
        </w:rPr>
        <w:t>将卷制好的艾条置于阴凉通风处晾晒或低温烘干，使其含水率≤8%。</w:t>
      </w:r>
    </w:p>
    <w:p>
      <w:pPr>
        <w:pStyle w:val="106"/>
        <w:spacing w:before="156" w:after="156"/>
      </w:pPr>
      <w:bookmarkStart w:id="162" w:name="_Toc202633953"/>
      <w:r>
        <w:rPr>
          <w:rFonts w:hint="eastAsia"/>
        </w:rPr>
        <w:t>质量控制点及检测方法</w:t>
      </w:r>
      <w:bookmarkEnd w:id="162"/>
    </w:p>
    <w:p>
      <w:pPr>
        <w:pStyle w:val="113"/>
        <w:spacing w:before="156" w:after="156"/>
        <w:rPr>
          <w:rFonts w:ascii="宋体" w:hAnsi="宋体" w:eastAsia="宋体"/>
        </w:rPr>
      </w:pPr>
      <w:r>
        <w:rPr>
          <w:rFonts w:hint="eastAsia" w:ascii="宋体" w:hAnsi="宋体" w:eastAsia="宋体"/>
        </w:rPr>
        <w:t>艾条加工质量控制点及检测方法</w:t>
      </w:r>
    </w:p>
    <w:tbl>
      <w:tblPr>
        <w:tblStyle w:val="34"/>
        <w:tblW w:w="93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0"/>
        <w:gridCol w:w="3112"/>
        <w:gridCol w:w="3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Header/>
          <w:jc w:val="center"/>
        </w:trPr>
        <w:tc>
          <w:tcPr>
            <w:tcW w:w="3110" w:type="dxa"/>
            <w:tcBorders>
              <w:top w:val="single" w:color="auto" w:sz="12" w:space="0"/>
              <w:bottom w:val="single" w:color="auto" w:sz="12" w:space="0"/>
            </w:tcBorders>
            <w:shd w:val="clear" w:color="auto" w:fill="auto"/>
            <w:vAlign w:val="center"/>
          </w:tcPr>
          <w:p>
            <w:pPr>
              <w:pStyle w:val="179"/>
              <w:rPr>
                <w:rFonts w:ascii="Times New Roman"/>
              </w:rPr>
            </w:pPr>
            <w:r>
              <w:rPr>
                <w:rFonts w:ascii="Times New Roman"/>
                <w:b/>
                <w:bCs/>
              </w:rPr>
              <w:t>质量控制点</w:t>
            </w:r>
          </w:p>
        </w:tc>
        <w:tc>
          <w:tcPr>
            <w:tcW w:w="3112" w:type="dxa"/>
            <w:tcBorders>
              <w:top w:val="single" w:color="auto" w:sz="12" w:space="0"/>
              <w:bottom w:val="single" w:color="auto" w:sz="12" w:space="0"/>
            </w:tcBorders>
            <w:shd w:val="clear" w:color="auto" w:fill="auto"/>
            <w:vAlign w:val="center"/>
          </w:tcPr>
          <w:p>
            <w:pPr>
              <w:pStyle w:val="179"/>
              <w:rPr>
                <w:rFonts w:ascii="Times New Roman"/>
              </w:rPr>
            </w:pPr>
            <w:r>
              <w:rPr>
                <w:rFonts w:ascii="Times New Roman"/>
                <w:b/>
                <w:bCs/>
              </w:rPr>
              <w:t>指标要求</w:t>
            </w:r>
          </w:p>
        </w:tc>
        <w:tc>
          <w:tcPr>
            <w:tcW w:w="3112" w:type="dxa"/>
            <w:tcBorders>
              <w:top w:val="single" w:color="auto" w:sz="12" w:space="0"/>
              <w:bottom w:val="single" w:color="auto" w:sz="12" w:space="0"/>
            </w:tcBorders>
            <w:shd w:val="clear" w:color="auto" w:fill="auto"/>
            <w:vAlign w:val="center"/>
          </w:tcPr>
          <w:p>
            <w:pPr>
              <w:pStyle w:val="179"/>
              <w:rPr>
                <w:rFonts w:ascii="Times New Roman"/>
              </w:rPr>
            </w:pPr>
            <w:r>
              <w:rPr>
                <w:rFonts w:ascii="Times New Roman"/>
                <w:b/>
                <w:bCs/>
              </w:rPr>
              <w:t>检测方法/依据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tcBorders>
              <w:top w:val="single" w:color="auto" w:sz="12" w:space="0"/>
            </w:tcBorders>
            <w:shd w:val="clear" w:color="auto" w:fill="auto"/>
            <w:vAlign w:val="center"/>
          </w:tcPr>
          <w:p>
            <w:pPr>
              <w:pStyle w:val="179"/>
              <w:rPr>
                <w:rFonts w:ascii="Times New Roman"/>
              </w:rPr>
            </w:pPr>
            <w:r>
              <w:rPr>
                <w:rFonts w:ascii="Times New Roman"/>
                <w:b/>
                <w:bCs/>
              </w:rPr>
              <w:t>直径</w:t>
            </w:r>
          </w:p>
        </w:tc>
        <w:tc>
          <w:tcPr>
            <w:tcW w:w="3112" w:type="dxa"/>
            <w:tcBorders>
              <w:top w:val="single" w:color="auto" w:sz="12" w:space="0"/>
            </w:tcBorders>
            <w:shd w:val="clear" w:color="auto" w:fill="auto"/>
            <w:vAlign w:val="center"/>
          </w:tcPr>
          <w:p>
            <w:pPr>
              <w:pStyle w:val="179"/>
              <w:rPr>
                <w:rFonts w:ascii="Times New Roman"/>
              </w:rPr>
            </w:pPr>
            <w:r>
              <w:rPr>
                <w:rFonts w:ascii="Times New Roman"/>
              </w:rPr>
              <w:t>1.8~5.0 cm（按规格）</w:t>
            </w:r>
          </w:p>
        </w:tc>
        <w:tc>
          <w:tcPr>
            <w:tcW w:w="3112" w:type="dxa"/>
            <w:tcBorders>
              <w:top w:val="single" w:color="auto" w:sz="12" w:space="0"/>
            </w:tcBorders>
            <w:shd w:val="clear" w:color="auto" w:fill="auto"/>
            <w:vAlign w:val="center"/>
          </w:tcPr>
          <w:p>
            <w:pPr>
              <w:pStyle w:val="179"/>
              <w:rPr>
                <w:rFonts w:ascii="Times New Roman"/>
              </w:rPr>
            </w:pPr>
            <w:r>
              <w:rPr>
                <w:rFonts w:ascii="Times New Roman"/>
              </w:rPr>
              <w:t>游标卡尺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b/>
                <w:bCs/>
              </w:rPr>
              <w:t>长度</w:t>
            </w:r>
          </w:p>
        </w:tc>
        <w:tc>
          <w:tcPr>
            <w:tcW w:w="3112" w:type="dxa"/>
            <w:shd w:val="clear" w:color="auto" w:fill="auto"/>
            <w:vAlign w:val="center"/>
          </w:tcPr>
          <w:p>
            <w:pPr>
              <w:pStyle w:val="179"/>
              <w:rPr>
                <w:rFonts w:ascii="Times New Roman"/>
              </w:rPr>
            </w:pPr>
            <w:r>
              <w:rPr>
                <w:rFonts w:ascii="Times New Roman"/>
              </w:rPr>
              <w:t>20~30 cm（按规格）</w:t>
            </w:r>
          </w:p>
        </w:tc>
        <w:tc>
          <w:tcPr>
            <w:tcW w:w="3112" w:type="dxa"/>
            <w:shd w:val="clear" w:color="auto" w:fill="auto"/>
            <w:vAlign w:val="center"/>
          </w:tcPr>
          <w:p>
            <w:pPr>
              <w:pStyle w:val="179"/>
              <w:rPr>
                <w:rFonts w:ascii="Times New Roman"/>
              </w:rPr>
            </w:pPr>
            <w:r>
              <w:rPr>
                <w:rFonts w:ascii="Times New Roman"/>
              </w:rPr>
              <w:t>直尺测量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b/>
                <w:bCs/>
              </w:rPr>
              <w:t>密度</w:t>
            </w:r>
          </w:p>
        </w:tc>
        <w:tc>
          <w:tcPr>
            <w:tcW w:w="3112" w:type="dxa"/>
            <w:shd w:val="clear" w:color="auto" w:fill="auto"/>
            <w:vAlign w:val="center"/>
          </w:tcPr>
          <w:p>
            <w:pPr>
              <w:pStyle w:val="179"/>
              <w:rPr>
                <w:rFonts w:ascii="Times New Roman"/>
              </w:rPr>
            </w:pPr>
            <w:r>
              <w:rPr>
                <w:rFonts w:ascii="Times New Roman"/>
              </w:rPr>
              <w:t>0.45~0.55 g/cm³</w:t>
            </w:r>
          </w:p>
        </w:tc>
        <w:tc>
          <w:tcPr>
            <w:tcW w:w="3112" w:type="dxa"/>
            <w:shd w:val="clear" w:color="auto" w:fill="auto"/>
            <w:vAlign w:val="center"/>
          </w:tcPr>
          <w:p>
            <w:pPr>
              <w:pStyle w:val="179"/>
              <w:rPr>
                <w:rFonts w:ascii="Times New Roman"/>
              </w:rPr>
            </w:pPr>
            <w:r>
              <w:rPr>
                <w:rFonts w:ascii="Times New Roman"/>
              </w:rPr>
              <w:t>称重法+体积计算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b/>
                <w:bCs/>
              </w:rPr>
              <w:t>含水率</w:t>
            </w:r>
          </w:p>
        </w:tc>
        <w:tc>
          <w:tcPr>
            <w:tcW w:w="3112" w:type="dxa"/>
            <w:shd w:val="clear" w:color="auto" w:fill="auto"/>
            <w:vAlign w:val="center"/>
          </w:tcPr>
          <w:p>
            <w:pPr>
              <w:pStyle w:val="179"/>
              <w:rPr>
                <w:rFonts w:ascii="Times New Roman"/>
              </w:rPr>
            </w:pPr>
            <w:r>
              <w:rPr>
                <w:rFonts w:ascii="Times New Roman"/>
              </w:rPr>
              <w:t>≤8%</w:t>
            </w:r>
          </w:p>
        </w:tc>
        <w:tc>
          <w:tcPr>
            <w:tcW w:w="3112" w:type="dxa"/>
            <w:shd w:val="clear" w:color="auto" w:fill="auto"/>
            <w:vAlign w:val="center"/>
          </w:tcPr>
          <w:p>
            <w:pPr>
              <w:pStyle w:val="179"/>
              <w:rPr>
                <w:rFonts w:ascii="Times New Roman"/>
              </w:rPr>
            </w:pPr>
            <w:r>
              <w:rPr>
                <w:rFonts w:ascii="Times New Roman"/>
              </w:rPr>
              <w:t>烘干法（GB 5009.3）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b/>
                <w:bCs/>
              </w:rPr>
              <w:t>燃烧时间</w:t>
            </w:r>
          </w:p>
        </w:tc>
        <w:tc>
          <w:tcPr>
            <w:tcW w:w="3112" w:type="dxa"/>
            <w:shd w:val="clear" w:color="auto" w:fill="auto"/>
            <w:vAlign w:val="center"/>
          </w:tcPr>
          <w:p>
            <w:pPr>
              <w:pStyle w:val="179"/>
              <w:rPr>
                <w:rFonts w:ascii="Times New Roman"/>
              </w:rPr>
            </w:pPr>
            <w:r>
              <w:rPr>
                <w:rFonts w:ascii="Times New Roman"/>
              </w:rPr>
              <w:t>≥2 h（直径2.0 cm参考值）</w:t>
            </w:r>
          </w:p>
        </w:tc>
        <w:tc>
          <w:tcPr>
            <w:tcW w:w="3112" w:type="dxa"/>
            <w:shd w:val="clear" w:color="auto" w:fill="auto"/>
            <w:vAlign w:val="center"/>
          </w:tcPr>
          <w:p>
            <w:pPr>
              <w:pStyle w:val="179"/>
              <w:rPr>
                <w:rFonts w:ascii="Times New Roman"/>
              </w:rPr>
            </w:pPr>
            <w:r>
              <w:rPr>
                <w:rFonts w:ascii="Times New Roman"/>
              </w:rPr>
              <w:t>实际点燃计时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b/>
                <w:bCs/>
              </w:rPr>
              <w:t>灰烬状态</w:t>
            </w:r>
          </w:p>
        </w:tc>
        <w:tc>
          <w:tcPr>
            <w:tcW w:w="3112" w:type="dxa"/>
            <w:shd w:val="clear" w:color="auto" w:fill="auto"/>
            <w:vAlign w:val="center"/>
          </w:tcPr>
          <w:p>
            <w:pPr>
              <w:pStyle w:val="179"/>
              <w:rPr>
                <w:rFonts w:ascii="Times New Roman"/>
              </w:rPr>
            </w:pPr>
            <w:r>
              <w:rPr>
                <w:rFonts w:ascii="Times New Roman"/>
              </w:rPr>
              <w:t>灰白色、紧致、无黑芯</w:t>
            </w:r>
          </w:p>
        </w:tc>
        <w:tc>
          <w:tcPr>
            <w:tcW w:w="3112" w:type="dxa"/>
            <w:shd w:val="clear" w:color="auto" w:fill="auto"/>
            <w:vAlign w:val="center"/>
          </w:tcPr>
          <w:p>
            <w:pPr>
              <w:pStyle w:val="179"/>
              <w:rPr>
                <w:rFonts w:ascii="Times New Roman"/>
              </w:rPr>
            </w:pPr>
            <w:r>
              <w:rPr>
                <w:rFonts w:ascii="Times New Roman"/>
              </w:rPr>
              <w:t>目视为灰白色、紧致、无黑芯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tcBorders>
              <w:bottom w:val="single" w:color="auto" w:sz="12" w:space="0"/>
            </w:tcBorders>
            <w:shd w:val="clear" w:color="auto" w:fill="auto"/>
            <w:vAlign w:val="center"/>
          </w:tcPr>
          <w:p>
            <w:pPr>
              <w:pStyle w:val="179"/>
              <w:rPr>
                <w:rFonts w:ascii="Times New Roman"/>
              </w:rPr>
            </w:pPr>
            <w:r>
              <w:rPr>
                <w:rFonts w:ascii="Times New Roman"/>
                <w:b/>
                <w:bCs/>
              </w:rPr>
              <w:t>艾绒等级比例</w:t>
            </w:r>
          </w:p>
        </w:tc>
        <w:tc>
          <w:tcPr>
            <w:tcW w:w="3112" w:type="dxa"/>
            <w:tcBorders>
              <w:bottom w:val="single" w:color="auto" w:sz="12" w:space="0"/>
            </w:tcBorders>
            <w:shd w:val="clear" w:color="auto" w:fill="auto"/>
            <w:vAlign w:val="center"/>
          </w:tcPr>
          <w:p>
            <w:pPr>
              <w:pStyle w:val="179"/>
              <w:rPr>
                <w:rFonts w:ascii="Times New Roman"/>
              </w:rPr>
            </w:pPr>
            <w:r>
              <w:rPr>
                <w:rFonts w:ascii="Times New Roman"/>
              </w:rPr>
              <w:t>特级绒≥80%（高等级产品）</w:t>
            </w:r>
          </w:p>
        </w:tc>
        <w:tc>
          <w:tcPr>
            <w:tcW w:w="3112" w:type="dxa"/>
            <w:tcBorders>
              <w:bottom w:val="single" w:color="auto" w:sz="12" w:space="0"/>
            </w:tcBorders>
            <w:shd w:val="clear" w:color="auto" w:fill="auto"/>
            <w:vAlign w:val="center"/>
          </w:tcPr>
          <w:p>
            <w:pPr>
              <w:pStyle w:val="179"/>
              <w:rPr>
                <w:rFonts w:ascii="Times New Roman"/>
              </w:rPr>
            </w:pPr>
            <w:r>
              <w:rPr>
                <w:rFonts w:ascii="Times New Roman"/>
              </w:rPr>
              <w:t>原料配比记录</w:t>
            </w:r>
          </w:p>
        </w:tc>
      </w:tr>
    </w:tbl>
    <w:p>
      <w:pPr>
        <w:pStyle w:val="57"/>
        <w:ind w:firstLine="420"/>
      </w:pPr>
    </w:p>
    <w:p>
      <w:pPr>
        <w:pStyle w:val="105"/>
        <w:spacing w:before="312" w:after="312"/>
      </w:pPr>
      <w:bookmarkStart w:id="163" w:name="_Toc202634193"/>
      <w:bookmarkStart w:id="164" w:name="_Toc202633977"/>
      <w:bookmarkStart w:id="165" w:name="_Toc202633954"/>
      <w:r>
        <w:rPr>
          <w:rFonts w:hint="eastAsia"/>
        </w:rPr>
        <w:t>艾蒿精油</w:t>
      </w:r>
      <w:bookmarkEnd w:id="163"/>
      <w:bookmarkEnd w:id="164"/>
      <w:bookmarkEnd w:id="165"/>
    </w:p>
    <w:p>
      <w:pPr>
        <w:pStyle w:val="106"/>
        <w:spacing w:before="156" w:after="156"/>
      </w:pPr>
      <w:bookmarkStart w:id="166" w:name="_Toc202633955"/>
      <w:r>
        <w:rPr>
          <w:rFonts w:hint="eastAsia"/>
        </w:rPr>
        <w:t>加工要求</w:t>
      </w:r>
      <w:bookmarkEnd w:id="166"/>
    </w:p>
    <w:p>
      <w:pPr>
        <w:pStyle w:val="57"/>
        <w:ind w:firstLine="420"/>
      </w:pPr>
      <w:r>
        <w:rPr>
          <w:rFonts w:hint="eastAsia"/>
        </w:rPr>
        <w:t>加工过程及产品质量应符合：感官要求（形态为液体，色泽棕或黄棕均匀，具特有气味，无杂质）；理化指标</w:t>
      </w:r>
      <w:r>
        <w:rPr>
          <w:rFonts w:ascii="Times New Roman"/>
        </w:rPr>
        <w:t>（核油精≥1.8 g/kg，铅≤10 mg/L，总砷≤2.0 mg/L，汞≤1.0 mg/L）；微生物指标（菌落总数≤1000 CFU/g，</w:t>
      </w:r>
      <w:r>
        <w:rPr>
          <w:rFonts w:hint="eastAsia"/>
        </w:rPr>
        <w:t>耐热大肠菌群等致病菌不得检出）及安全性要求（无毒害、皮肤无刺激）</w:t>
      </w:r>
      <w:r>
        <w:t>。</w:t>
      </w:r>
    </w:p>
    <w:p>
      <w:pPr>
        <w:pStyle w:val="106"/>
        <w:spacing w:before="156" w:after="156"/>
      </w:pPr>
      <w:bookmarkStart w:id="167" w:name="_Toc202633956"/>
      <w:r>
        <w:rPr>
          <w:rFonts w:hint="eastAsia"/>
        </w:rPr>
        <w:t>加工流程</w:t>
      </w:r>
      <w:bookmarkEnd w:id="167"/>
    </w:p>
    <w:p>
      <w:pPr>
        <w:pStyle w:val="57"/>
        <w:ind w:firstLine="420"/>
        <w:jc w:val="center"/>
      </w:pPr>
      <w:r>
        <w:drawing>
          <wp:inline distT="0" distB="0" distL="0" distR="0">
            <wp:extent cx="5363210" cy="328930"/>
            <wp:effectExtent l="0" t="0" r="0" b="0"/>
            <wp:docPr id="6976020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602006"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34008" cy="339589"/>
                    </a:xfrm>
                    <a:prstGeom prst="rect">
                      <a:avLst/>
                    </a:prstGeom>
                    <a:noFill/>
                    <a:ln>
                      <a:noFill/>
                    </a:ln>
                  </pic:spPr>
                </pic:pic>
              </a:graphicData>
            </a:graphic>
          </wp:inline>
        </w:drawing>
      </w:r>
    </w:p>
    <w:p>
      <w:pPr>
        <w:pStyle w:val="115"/>
        <w:spacing w:before="156" w:after="156"/>
        <w:rPr>
          <w:rFonts w:ascii="宋体" w:hAnsi="宋体" w:eastAsia="宋体"/>
        </w:rPr>
      </w:pPr>
      <w:r>
        <w:rPr>
          <w:rFonts w:hint="eastAsia" w:ascii="宋体" w:hAnsi="宋体" w:eastAsia="宋体"/>
        </w:rPr>
        <w:t>艾蒿精油加工流程</w:t>
      </w:r>
    </w:p>
    <w:p>
      <w:pPr>
        <w:pStyle w:val="66"/>
        <w:spacing w:before="156" w:after="156"/>
      </w:pPr>
      <w:r>
        <w:rPr>
          <w:rFonts w:hint="eastAsia"/>
        </w:rPr>
        <w:t>原料预处理</w:t>
      </w:r>
    </w:p>
    <w:p>
      <w:pPr>
        <w:pStyle w:val="57"/>
        <w:ind w:firstLine="420"/>
      </w:pPr>
      <w:r>
        <w:rPr>
          <w:rFonts w:hint="eastAsia"/>
        </w:rPr>
        <w:t>取新鲜艾蒿的地上部分（符合4.3要求），切成长度</w:t>
      </w:r>
      <w:r>
        <w:rPr>
          <w:rFonts w:ascii="Times New Roman"/>
        </w:rPr>
        <w:t>约10~15 cm的段，</w:t>
      </w:r>
      <w:r>
        <w:rPr>
          <w:rFonts w:hint="eastAsia"/>
        </w:rPr>
        <w:t>用清水清洗干净，沥干表面水分。</w:t>
      </w:r>
    </w:p>
    <w:p>
      <w:pPr>
        <w:pStyle w:val="66"/>
        <w:spacing w:before="156" w:after="156"/>
      </w:pPr>
      <w:r>
        <w:rPr>
          <w:rFonts w:hint="eastAsia"/>
        </w:rPr>
        <w:t>装料</w:t>
      </w:r>
    </w:p>
    <w:p>
      <w:pPr>
        <w:pStyle w:val="57"/>
        <w:ind w:firstLine="420"/>
      </w:pPr>
      <w:r>
        <w:rPr>
          <w:rFonts w:hint="eastAsia"/>
        </w:rPr>
        <w:t>将处理好的艾蒿段装入蒸馏釜中。</w:t>
      </w:r>
    </w:p>
    <w:p>
      <w:pPr>
        <w:pStyle w:val="66"/>
        <w:spacing w:before="156" w:after="156"/>
      </w:pPr>
      <w:r>
        <w:rPr>
          <w:rFonts w:hint="eastAsia"/>
        </w:rPr>
        <w:t>蒸馏</w:t>
      </w:r>
    </w:p>
    <w:p>
      <w:pPr>
        <w:pStyle w:val="57"/>
        <w:ind w:firstLine="420"/>
      </w:pPr>
      <w:r>
        <w:rPr>
          <w:rFonts w:hint="eastAsia"/>
        </w:rPr>
        <w:t>采用水蒸气蒸馏法。控制料液比（原料:水）为1:5左右。通入蒸汽进行蒸馏，蒸馏时间通常为</w:t>
      </w:r>
      <w:r>
        <w:rPr>
          <w:rFonts w:ascii="Times New Roman"/>
        </w:rPr>
        <w:t>4~6</w:t>
      </w:r>
      <w:r>
        <w:rPr>
          <w:rFonts w:hint="eastAsia"/>
        </w:rPr>
        <w:t xml:space="preserve"> h，以馏出液中不再有油滴或油量极少为终点。收集馏出液（油水混合物）。</w:t>
      </w:r>
    </w:p>
    <w:p>
      <w:pPr>
        <w:pStyle w:val="66"/>
        <w:spacing w:before="156" w:after="156"/>
      </w:pPr>
      <w:r>
        <w:rPr>
          <w:rFonts w:hint="eastAsia"/>
        </w:rPr>
        <w:t>油水分离</w:t>
      </w:r>
    </w:p>
    <w:p>
      <w:pPr>
        <w:pStyle w:val="57"/>
        <w:ind w:firstLine="420"/>
      </w:pPr>
      <w:r>
        <w:rPr>
          <w:rFonts w:hint="eastAsia"/>
        </w:rPr>
        <w:t>将馏出液导入油水分离器，静置分层。分离出上层的粗精油。</w:t>
      </w:r>
    </w:p>
    <w:p>
      <w:pPr>
        <w:pStyle w:val="66"/>
        <w:spacing w:before="156" w:after="156"/>
      </w:pPr>
      <w:r>
        <w:rPr>
          <w:rFonts w:hint="eastAsia"/>
        </w:rPr>
        <w:t>精制</w:t>
      </w:r>
    </w:p>
    <w:p>
      <w:pPr>
        <w:pStyle w:val="57"/>
        <w:ind w:firstLine="420"/>
      </w:pPr>
      <w:r>
        <w:rPr>
          <w:rFonts w:hint="eastAsia"/>
        </w:rPr>
        <w:t>将粗精油在低温（</w:t>
      </w:r>
      <w:r>
        <w:rPr>
          <w:rFonts w:ascii="Times New Roman"/>
        </w:rPr>
        <w:t>如5~10 ℃</w:t>
      </w:r>
      <w:r>
        <w:rPr>
          <w:rFonts w:hint="eastAsia"/>
        </w:rPr>
        <w:t>）下静置一段时间，进一步析出水分和杂质。可进行过滤（如使用无水硫酸钠脱水、滤纸过滤）以去除微量水分和固体杂质，得到精制艾蒿精油。</w:t>
      </w:r>
    </w:p>
    <w:p>
      <w:pPr>
        <w:pStyle w:val="66"/>
        <w:spacing w:before="156" w:after="156"/>
      </w:pPr>
      <w:r>
        <w:rPr>
          <w:rFonts w:hint="eastAsia"/>
        </w:rPr>
        <w:t>检测</w:t>
      </w:r>
    </w:p>
    <w:p>
      <w:pPr>
        <w:pStyle w:val="57"/>
        <w:ind w:firstLine="420"/>
      </w:pPr>
      <w:r>
        <w:rPr>
          <w:rFonts w:ascii="Times New Roman"/>
        </w:rPr>
        <w:t>按GB/T 11538-2006进行毛细管柱气相色谱分析，检测精油主要成分（如桉叶油素、樟脑、侧柏酮等）含量，确保符合核油精≥1.8 g/kg，铅≤10 mg/L，砷≤2.0 mg/L，汞≤1.0 mg/L</w:t>
      </w:r>
      <w:r>
        <w:rPr>
          <w:rFonts w:hint="eastAsia"/>
        </w:rPr>
        <w:t>。</w:t>
      </w:r>
    </w:p>
    <w:p>
      <w:pPr>
        <w:pStyle w:val="106"/>
        <w:spacing w:before="156" w:after="156"/>
      </w:pPr>
      <w:bookmarkStart w:id="168" w:name="_Toc202633957"/>
      <w:r>
        <w:rPr>
          <w:rFonts w:hint="eastAsia"/>
        </w:rPr>
        <w:t>质量控制点</w:t>
      </w:r>
      <w:bookmarkEnd w:id="168"/>
    </w:p>
    <w:p>
      <w:pPr>
        <w:pStyle w:val="113"/>
        <w:spacing w:before="156" w:after="156"/>
        <w:rPr>
          <w:rFonts w:ascii="宋体" w:hAnsi="宋体" w:eastAsia="宋体"/>
        </w:rPr>
      </w:pPr>
      <w:r>
        <w:rPr>
          <w:rFonts w:hint="eastAsia" w:ascii="宋体" w:hAnsi="宋体" w:eastAsia="宋体"/>
        </w:rPr>
        <w:t>艾蒿精油加工质量控制点</w:t>
      </w:r>
    </w:p>
    <w:tbl>
      <w:tblPr>
        <w:tblStyle w:val="34"/>
        <w:tblW w:w="62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0"/>
        <w:gridCol w:w="3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Header/>
          <w:jc w:val="center"/>
        </w:trPr>
        <w:tc>
          <w:tcPr>
            <w:tcW w:w="3110" w:type="dxa"/>
            <w:tcBorders>
              <w:top w:val="single" w:color="auto" w:sz="12" w:space="0"/>
              <w:bottom w:val="single" w:color="auto" w:sz="12" w:space="0"/>
            </w:tcBorders>
            <w:shd w:val="clear" w:color="auto" w:fill="auto"/>
            <w:vAlign w:val="center"/>
          </w:tcPr>
          <w:p>
            <w:pPr>
              <w:pStyle w:val="179"/>
              <w:rPr>
                <w:rFonts w:ascii="Times New Roman"/>
              </w:rPr>
            </w:pPr>
            <w:r>
              <w:rPr>
                <w:rFonts w:ascii="Times New Roman"/>
              </w:rPr>
              <w:t>参数名称</w:t>
            </w:r>
          </w:p>
        </w:tc>
        <w:tc>
          <w:tcPr>
            <w:tcW w:w="3112" w:type="dxa"/>
            <w:tcBorders>
              <w:top w:val="single" w:color="auto" w:sz="12" w:space="0"/>
              <w:bottom w:val="single" w:color="auto" w:sz="12" w:space="0"/>
            </w:tcBorders>
            <w:shd w:val="clear" w:color="auto" w:fill="auto"/>
            <w:vAlign w:val="center"/>
          </w:tcPr>
          <w:p>
            <w:pPr>
              <w:pStyle w:val="179"/>
              <w:rPr>
                <w:rFonts w:ascii="Times New Roman"/>
              </w:rPr>
            </w:pPr>
            <w:r>
              <w:rPr>
                <w:rFonts w:ascii="Times New Roman"/>
              </w:rPr>
              <w:t>参数范围/要求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tcBorders>
              <w:top w:val="single" w:color="auto" w:sz="12" w:space="0"/>
            </w:tcBorders>
            <w:shd w:val="clear" w:color="auto" w:fill="auto"/>
            <w:vAlign w:val="center"/>
          </w:tcPr>
          <w:p>
            <w:pPr>
              <w:pStyle w:val="179"/>
              <w:rPr>
                <w:rFonts w:ascii="Times New Roman"/>
              </w:rPr>
            </w:pPr>
            <w:r>
              <w:rPr>
                <w:rFonts w:ascii="Times New Roman"/>
              </w:rPr>
              <w:t>原料</w:t>
            </w:r>
          </w:p>
        </w:tc>
        <w:tc>
          <w:tcPr>
            <w:tcW w:w="3112" w:type="dxa"/>
            <w:tcBorders>
              <w:top w:val="single" w:color="auto" w:sz="12" w:space="0"/>
            </w:tcBorders>
            <w:shd w:val="clear" w:color="auto" w:fill="auto"/>
            <w:vAlign w:val="center"/>
          </w:tcPr>
          <w:p>
            <w:pPr>
              <w:pStyle w:val="179"/>
              <w:rPr>
                <w:rFonts w:ascii="Times New Roman"/>
              </w:rPr>
            </w:pPr>
            <w:r>
              <w:rPr>
                <w:rFonts w:ascii="Times New Roman"/>
              </w:rPr>
              <w:t>新鲜艾蒿地上部分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rPr>
              <w:t>精油得率</w:t>
            </w:r>
          </w:p>
        </w:tc>
        <w:tc>
          <w:tcPr>
            <w:tcW w:w="3112" w:type="dxa"/>
            <w:shd w:val="clear" w:color="auto" w:fill="auto"/>
            <w:vAlign w:val="center"/>
          </w:tcPr>
          <w:p>
            <w:pPr>
              <w:pStyle w:val="179"/>
              <w:rPr>
                <w:rFonts w:ascii="Times New Roman"/>
              </w:rPr>
            </w:pPr>
            <w:r>
              <w:rPr>
                <w:rFonts w:ascii="Times New Roman"/>
              </w:rPr>
              <w:t>0.2%~0.5%（鲜重计）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rPr>
              <w:t>核油精含量</w:t>
            </w:r>
          </w:p>
        </w:tc>
        <w:tc>
          <w:tcPr>
            <w:tcW w:w="3112" w:type="dxa"/>
            <w:shd w:val="clear" w:color="auto" w:fill="auto"/>
            <w:vAlign w:val="center"/>
          </w:tcPr>
          <w:p>
            <w:pPr>
              <w:pStyle w:val="179"/>
              <w:rPr>
                <w:rFonts w:ascii="Times New Roman"/>
              </w:rPr>
            </w:pPr>
            <w:r>
              <w:rPr>
                <w:rFonts w:ascii="Times New Roman"/>
              </w:rPr>
              <w:t>≥1.8 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rPr>
              <w:t>微生物指标</w:t>
            </w:r>
          </w:p>
        </w:tc>
        <w:tc>
          <w:tcPr>
            <w:tcW w:w="3112" w:type="dxa"/>
            <w:shd w:val="clear" w:color="auto" w:fill="auto"/>
            <w:vAlign w:val="center"/>
          </w:tcPr>
          <w:p>
            <w:pPr>
              <w:pStyle w:val="179"/>
              <w:rPr>
                <w:rFonts w:ascii="Times New Roman"/>
              </w:rPr>
            </w:pPr>
            <w:r>
              <w:rPr>
                <w:rFonts w:ascii="Times New Roman"/>
              </w:rPr>
              <w:t>菌落总数≤1000 CFU/g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tcBorders>
              <w:bottom w:val="single" w:color="auto" w:sz="12" w:space="0"/>
            </w:tcBorders>
            <w:shd w:val="clear" w:color="auto" w:fill="auto"/>
            <w:vAlign w:val="center"/>
          </w:tcPr>
          <w:p>
            <w:pPr>
              <w:pStyle w:val="179"/>
              <w:rPr>
                <w:rFonts w:ascii="Times New Roman"/>
              </w:rPr>
            </w:pPr>
            <w:r>
              <w:rPr>
                <w:rFonts w:ascii="Times New Roman"/>
              </w:rPr>
              <w:t>包装</w:t>
            </w:r>
          </w:p>
        </w:tc>
        <w:tc>
          <w:tcPr>
            <w:tcW w:w="3112" w:type="dxa"/>
            <w:tcBorders>
              <w:bottom w:val="single" w:color="auto" w:sz="12" w:space="0"/>
            </w:tcBorders>
            <w:shd w:val="clear" w:color="auto" w:fill="auto"/>
            <w:vAlign w:val="center"/>
          </w:tcPr>
          <w:p>
            <w:pPr>
              <w:pStyle w:val="179"/>
              <w:rPr>
                <w:rFonts w:ascii="Times New Roman"/>
              </w:rPr>
            </w:pPr>
            <w:r>
              <w:rPr>
                <w:rFonts w:ascii="Times New Roman"/>
              </w:rPr>
              <w:t>深色玻璃瓶充氮密封，避光储存</w:t>
            </w:r>
          </w:p>
        </w:tc>
      </w:tr>
    </w:tbl>
    <w:p>
      <w:pPr>
        <w:pStyle w:val="105"/>
        <w:spacing w:before="312" w:after="312"/>
      </w:pPr>
      <w:bookmarkStart w:id="169" w:name="_Toc202634194"/>
      <w:bookmarkStart w:id="170" w:name="_Toc202633978"/>
      <w:bookmarkStart w:id="171" w:name="_Toc202633958"/>
      <w:r>
        <w:rPr>
          <w:rFonts w:hint="eastAsia"/>
        </w:rPr>
        <w:t>艾蒿粑粑</w:t>
      </w:r>
      <w:bookmarkEnd w:id="169"/>
      <w:bookmarkEnd w:id="170"/>
      <w:bookmarkEnd w:id="171"/>
    </w:p>
    <w:p>
      <w:pPr>
        <w:pStyle w:val="106"/>
        <w:spacing w:before="156" w:after="156"/>
      </w:pPr>
      <w:bookmarkStart w:id="172" w:name="_Toc202633959"/>
      <w:r>
        <w:rPr>
          <w:rFonts w:hint="eastAsia"/>
        </w:rPr>
        <w:t>加工要求</w:t>
      </w:r>
      <w:bookmarkEnd w:id="172"/>
    </w:p>
    <w:p>
      <w:pPr>
        <w:pStyle w:val="57"/>
        <w:ind w:firstLine="420"/>
      </w:pPr>
      <w:r>
        <w:rPr>
          <w:rFonts w:hint="eastAsia"/>
        </w:rPr>
        <w:t>加工过程及产品质量应符合GB 19295-2021《食品安全国家标准 速冻面米与调制食品》的微生物限量要求</w:t>
      </w:r>
      <w:r>
        <w:t>。</w:t>
      </w:r>
    </w:p>
    <w:p>
      <w:pPr>
        <w:pStyle w:val="106"/>
        <w:spacing w:before="156" w:after="156"/>
      </w:pPr>
      <w:bookmarkStart w:id="173" w:name="_Toc202633960"/>
      <w:r>
        <w:rPr>
          <w:rFonts w:hint="eastAsia"/>
        </w:rPr>
        <w:t>加工流程</w:t>
      </w:r>
      <w:bookmarkEnd w:id="173"/>
    </w:p>
    <w:p>
      <w:pPr>
        <w:pStyle w:val="57"/>
        <w:ind w:firstLine="420"/>
        <w:jc w:val="center"/>
      </w:pPr>
      <w:r>
        <w:drawing>
          <wp:inline distT="0" distB="0" distL="0" distR="0">
            <wp:extent cx="5250180" cy="316230"/>
            <wp:effectExtent l="0" t="0" r="0" b="7620"/>
            <wp:docPr id="18152979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9792"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12089" cy="320293"/>
                    </a:xfrm>
                    <a:prstGeom prst="rect">
                      <a:avLst/>
                    </a:prstGeom>
                    <a:noFill/>
                    <a:ln>
                      <a:noFill/>
                    </a:ln>
                  </pic:spPr>
                </pic:pic>
              </a:graphicData>
            </a:graphic>
          </wp:inline>
        </w:drawing>
      </w:r>
    </w:p>
    <w:p>
      <w:pPr>
        <w:pStyle w:val="115"/>
        <w:spacing w:before="156" w:after="156"/>
        <w:rPr>
          <w:rFonts w:ascii="宋体" w:hAnsi="宋体" w:eastAsia="宋体"/>
        </w:rPr>
      </w:pPr>
      <w:r>
        <w:rPr>
          <w:rFonts w:hint="eastAsia" w:ascii="宋体" w:hAnsi="宋体" w:eastAsia="宋体"/>
        </w:rPr>
        <w:t>艾蒿粑粑加工流程</w:t>
      </w:r>
    </w:p>
    <w:p>
      <w:pPr>
        <w:pStyle w:val="66"/>
        <w:spacing w:before="156" w:after="156"/>
      </w:pPr>
      <w:r>
        <w:rPr>
          <w:rFonts w:hint="eastAsia"/>
        </w:rPr>
        <w:t>原料制备</w:t>
      </w:r>
    </w:p>
    <w:p>
      <w:pPr>
        <w:pStyle w:val="57"/>
        <w:ind w:firstLine="420"/>
      </w:pPr>
      <w:r>
        <w:rPr>
          <w:rFonts w:hint="eastAsia"/>
        </w:rPr>
        <w:t>主料：大米应符合GB/T 1354-2018要求。大米浸</w:t>
      </w:r>
      <w:r>
        <w:rPr>
          <w:rFonts w:ascii="Times New Roman"/>
        </w:rPr>
        <w:t>泡6~8 h后磨浆，</w:t>
      </w:r>
      <w:r>
        <w:rPr>
          <w:rFonts w:hint="eastAsia"/>
        </w:rPr>
        <w:t>米浆发酵约24 h（或按工艺要求）。</w:t>
      </w:r>
    </w:p>
    <w:p>
      <w:pPr>
        <w:pStyle w:val="57"/>
        <w:ind w:firstLine="420"/>
      </w:pPr>
      <w:r>
        <w:rPr>
          <w:rFonts w:hint="eastAsia"/>
        </w:rPr>
        <w:t>辅料：选用艾蒿嫩叶，焯水后切碎。其他辅料如糁子、芝麻等应干净、无杂质。馅料（如豆沙、肉松等）应符合相关食品安全标准。肉类馅料原料需进行沙门氏菌检测，符合GB 4789.4-2024要求。 粽叶等包装材料应清洗干净。</w:t>
      </w:r>
    </w:p>
    <w:p>
      <w:pPr>
        <w:pStyle w:val="66"/>
        <w:spacing w:before="156" w:after="156"/>
      </w:pPr>
      <w:r>
        <w:rPr>
          <w:rFonts w:hint="eastAsia"/>
        </w:rPr>
        <w:t>和面调浆</w:t>
      </w:r>
    </w:p>
    <w:p>
      <w:pPr>
        <w:pStyle w:val="57"/>
        <w:ind w:firstLine="420"/>
      </w:pPr>
      <w:r>
        <w:rPr>
          <w:rFonts w:hint="eastAsia"/>
        </w:rPr>
        <w:t>将发酵好的米浆与处理好的艾蒿碎、糁子、芝麻等辅料混合均匀。若使用馅料，此步可先制备皮料。</w:t>
      </w:r>
    </w:p>
    <w:p>
      <w:pPr>
        <w:pStyle w:val="66"/>
        <w:spacing w:before="156" w:after="156"/>
      </w:pPr>
      <w:r>
        <w:rPr>
          <w:rFonts w:hint="eastAsia"/>
        </w:rPr>
        <w:t>成型</w:t>
      </w:r>
    </w:p>
    <w:p>
      <w:pPr>
        <w:pStyle w:val="57"/>
        <w:ind w:firstLine="420"/>
      </w:pPr>
      <w:r>
        <w:rPr>
          <w:rFonts w:hint="eastAsia"/>
        </w:rPr>
        <w:t>取适量混合好的米浆艾蒿料，包入馅料（如有），用洗净的粽叶或其他符合要求的材料包扎成型。</w:t>
      </w:r>
    </w:p>
    <w:p>
      <w:pPr>
        <w:pStyle w:val="66"/>
        <w:spacing w:before="156" w:after="156"/>
      </w:pPr>
      <w:r>
        <w:rPr>
          <w:rFonts w:hint="eastAsia"/>
        </w:rPr>
        <w:t>蒸煮</w:t>
      </w:r>
    </w:p>
    <w:p>
      <w:pPr>
        <w:pStyle w:val="57"/>
        <w:ind w:firstLine="420"/>
      </w:pPr>
      <w:r>
        <w:rPr>
          <w:rFonts w:hint="eastAsia"/>
        </w:rPr>
        <w:t>将成型的粑粑置于蒸笼中，通入100℃蒸汽蒸</w:t>
      </w:r>
      <w:r>
        <w:rPr>
          <w:rFonts w:ascii="Times New Roman"/>
        </w:rPr>
        <w:t xml:space="preserve">制40~60 </w:t>
      </w:r>
      <w:r>
        <w:rPr>
          <w:rFonts w:hint="eastAsia" w:ascii="Times New Roman"/>
        </w:rPr>
        <w:t>m</w:t>
      </w:r>
      <w:r>
        <w:rPr>
          <w:rFonts w:ascii="Times New Roman"/>
        </w:rPr>
        <w:t>in</w:t>
      </w:r>
      <w:r>
        <w:rPr>
          <w:rFonts w:hint="eastAsia"/>
        </w:rPr>
        <w:t>，确保产品中心温度≥75℃并保持规定时间，以达到灭菌效果。</w:t>
      </w:r>
    </w:p>
    <w:p>
      <w:pPr>
        <w:pStyle w:val="66"/>
        <w:spacing w:before="156" w:after="156"/>
      </w:pPr>
      <w:r>
        <w:rPr>
          <w:rFonts w:hint="eastAsia"/>
        </w:rPr>
        <w:t>冷却</w:t>
      </w:r>
    </w:p>
    <w:p>
      <w:pPr>
        <w:pStyle w:val="57"/>
        <w:ind w:firstLine="420"/>
      </w:pPr>
      <w:r>
        <w:rPr>
          <w:rFonts w:hint="eastAsia"/>
        </w:rPr>
        <w:t>蒸制后的粑粑移至清洁卫生的环境自然冷却至室温。剔除破损、变形等不合格品。</w:t>
      </w:r>
    </w:p>
    <w:p>
      <w:pPr>
        <w:pStyle w:val="106"/>
        <w:spacing w:before="156" w:after="156"/>
      </w:pPr>
      <w:bookmarkStart w:id="174" w:name="_Toc202633961"/>
      <w:r>
        <w:rPr>
          <w:rFonts w:hint="eastAsia"/>
        </w:rPr>
        <w:t>质量指标及检测方法</w:t>
      </w:r>
      <w:bookmarkEnd w:id="174"/>
    </w:p>
    <w:p>
      <w:pPr>
        <w:pStyle w:val="113"/>
        <w:spacing w:before="156" w:after="156"/>
        <w:rPr>
          <w:rFonts w:ascii="宋体" w:hAnsi="宋体" w:eastAsia="宋体"/>
        </w:rPr>
      </w:pPr>
      <w:r>
        <w:rPr>
          <w:rFonts w:hint="eastAsia" w:ascii="宋体" w:hAnsi="宋体" w:eastAsia="宋体"/>
        </w:rPr>
        <w:t>艾蒿粑粑质量指标及检测方法</w:t>
      </w:r>
    </w:p>
    <w:tbl>
      <w:tblPr>
        <w:tblStyle w:val="34"/>
        <w:tblW w:w="9334" w:type="dxa"/>
        <w:jc w:val="center"/>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0"/>
        <w:gridCol w:w="3112"/>
        <w:gridCol w:w="3112"/>
      </w:tblGrid>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Header/>
          <w:jc w:val="center"/>
        </w:trPr>
        <w:tc>
          <w:tcPr>
            <w:tcW w:w="3110" w:type="dxa"/>
            <w:tcBorders>
              <w:top w:val="single" w:color="auto" w:sz="12" w:space="0"/>
              <w:bottom w:val="single" w:color="auto" w:sz="12" w:space="0"/>
            </w:tcBorders>
            <w:shd w:val="clear" w:color="auto" w:fill="auto"/>
            <w:vAlign w:val="center"/>
          </w:tcPr>
          <w:p>
            <w:pPr>
              <w:pStyle w:val="179"/>
            </w:pPr>
            <w:r>
              <w:rPr>
                <w:b/>
                <w:bCs/>
              </w:rPr>
              <w:t>项目</w:t>
            </w:r>
          </w:p>
        </w:tc>
        <w:tc>
          <w:tcPr>
            <w:tcW w:w="3112" w:type="dxa"/>
            <w:tcBorders>
              <w:top w:val="single" w:color="auto" w:sz="12" w:space="0"/>
              <w:bottom w:val="single" w:color="auto" w:sz="12" w:space="0"/>
            </w:tcBorders>
            <w:shd w:val="clear" w:color="auto" w:fill="auto"/>
            <w:vAlign w:val="center"/>
          </w:tcPr>
          <w:p>
            <w:pPr>
              <w:pStyle w:val="179"/>
            </w:pPr>
            <w:r>
              <w:rPr>
                <w:b/>
                <w:bCs/>
              </w:rPr>
              <w:t>要求</w:t>
            </w:r>
          </w:p>
        </w:tc>
        <w:tc>
          <w:tcPr>
            <w:tcW w:w="3112" w:type="dxa"/>
            <w:tcBorders>
              <w:top w:val="single" w:color="auto" w:sz="12" w:space="0"/>
              <w:bottom w:val="single" w:color="auto" w:sz="12" w:space="0"/>
            </w:tcBorders>
            <w:shd w:val="clear" w:color="auto" w:fill="auto"/>
            <w:vAlign w:val="center"/>
          </w:tcPr>
          <w:p>
            <w:pPr>
              <w:pStyle w:val="179"/>
            </w:pPr>
            <w:r>
              <w:rPr>
                <w:b/>
                <w:bCs/>
              </w:rPr>
              <w:t>检测方法/依据</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tcBorders>
              <w:top w:val="single" w:color="auto" w:sz="12" w:space="0"/>
            </w:tcBorders>
            <w:shd w:val="clear" w:color="auto" w:fill="auto"/>
            <w:vAlign w:val="center"/>
          </w:tcPr>
          <w:p>
            <w:pPr>
              <w:pStyle w:val="179"/>
              <w:rPr>
                <w:rFonts w:ascii="Times New Roman"/>
              </w:rPr>
            </w:pPr>
            <w:r>
              <w:rPr>
                <w:rFonts w:ascii="Times New Roman"/>
                <w:b/>
                <w:bCs/>
              </w:rPr>
              <w:t>感官指标</w:t>
            </w:r>
          </w:p>
        </w:tc>
        <w:tc>
          <w:tcPr>
            <w:tcW w:w="3112" w:type="dxa"/>
            <w:tcBorders>
              <w:top w:val="single" w:color="auto" w:sz="12" w:space="0"/>
            </w:tcBorders>
            <w:shd w:val="clear" w:color="auto" w:fill="auto"/>
            <w:vAlign w:val="center"/>
          </w:tcPr>
          <w:p>
            <w:pPr>
              <w:pStyle w:val="179"/>
              <w:rPr>
                <w:rFonts w:ascii="Times New Roman"/>
              </w:rPr>
            </w:pPr>
          </w:p>
        </w:tc>
        <w:tc>
          <w:tcPr>
            <w:tcW w:w="3112" w:type="dxa"/>
            <w:tcBorders>
              <w:top w:val="single" w:color="auto" w:sz="12" w:space="0"/>
            </w:tcBorders>
            <w:shd w:val="clear" w:color="auto" w:fill="auto"/>
            <w:vAlign w:val="center"/>
          </w:tcPr>
          <w:p>
            <w:pPr>
              <w:pStyle w:val="179"/>
              <w:rPr>
                <w:rFonts w:ascii="Times New Roman"/>
              </w:rPr>
            </w:pP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rPr>
              <w:t>色泽</w:t>
            </w:r>
          </w:p>
        </w:tc>
        <w:tc>
          <w:tcPr>
            <w:tcW w:w="3112" w:type="dxa"/>
            <w:shd w:val="clear" w:color="auto" w:fill="auto"/>
            <w:vAlign w:val="center"/>
          </w:tcPr>
          <w:p>
            <w:pPr>
              <w:pStyle w:val="179"/>
              <w:rPr>
                <w:rFonts w:ascii="Times New Roman"/>
              </w:rPr>
            </w:pPr>
            <w:r>
              <w:rPr>
                <w:rFonts w:ascii="Times New Roman"/>
              </w:rPr>
              <w:t>翠绿色，均匀一致</w:t>
            </w:r>
          </w:p>
        </w:tc>
        <w:tc>
          <w:tcPr>
            <w:tcW w:w="3112" w:type="dxa"/>
            <w:shd w:val="clear" w:color="auto" w:fill="auto"/>
            <w:vAlign w:val="center"/>
          </w:tcPr>
          <w:p>
            <w:pPr>
              <w:pStyle w:val="179"/>
              <w:rPr>
                <w:rFonts w:ascii="Times New Roman"/>
              </w:rPr>
            </w:pPr>
            <w:r>
              <w:rPr>
                <w:rFonts w:ascii="Times New Roman"/>
              </w:rPr>
              <w:t>目视观察（T/CGAPA 5.1.7）</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rPr>
              <w:t>气味</w:t>
            </w:r>
          </w:p>
        </w:tc>
        <w:tc>
          <w:tcPr>
            <w:tcW w:w="3112" w:type="dxa"/>
            <w:shd w:val="clear" w:color="auto" w:fill="auto"/>
            <w:vAlign w:val="center"/>
          </w:tcPr>
          <w:p>
            <w:pPr>
              <w:pStyle w:val="179"/>
              <w:rPr>
                <w:rFonts w:ascii="Times New Roman"/>
              </w:rPr>
            </w:pPr>
            <w:r>
              <w:rPr>
                <w:rFonts w:ascii="Times New Roman"/>
              </w:rPr>
              <w:t>具艾蒿清香和米香，无霉味、酸败等</w:t>
            </w:r>
          </w:p>
        </w:tc>
        <w:tc>
          <w:tcPr>
            <w:tcW w:w="3112" w:type="dxa"/>
            <w:shd w:val="clear" w:color="auto" w:fill="auto"/>
            <w:vAlign w:val="center"/>
          </w:tcPr>
          <w:p>
            <w:pPr>
              <w:pStyle w:val="179"/>
              <w:rPr>
                <w:rFonts w:ascii="Times New Roman"/>
              </w:rPr>
            </w:pPr>
            <w:r>
              <w:rPr>
                <w:rFonts w:ascii="Times New Roman"/>
              </w:rPr>
              <w:t>嗅觉检验（NY 5340）</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rPr>
              <w:t>形态</w:t>
            </w:r>
          </w:p>
        </w:tc>
        <w:tc>
          <w:tcPr>
            <w:tcW w:w="3112" w:type="dxa"/>
            <w:shd w:val="clear" w:color="auto" w:fill="auto"/>
            <w:vAlign w:val="center"/>
          </w:tcPr>
          <w:p>
            <w:pPr>
              <w:pStyle w:val="179"/>
              <w:rPr>
                <w:rFonts w:ascii="Times New Roman"/>
              </w:rPr>
            </w:pPr>
            <w:r>
              <w:rPr>
                <w:rFonts w:ascii="Times New Roman"/>
              </w:rPr>
              <w:t>外形完整，无破损变形</w:t>
            </w:r>
          </w:p>
        </w:tc>
        <w:tc>
          <w:tcPr>
            <w:tcW w:w="3112" w:type="dxa"/>
            <w:shd w:val="clear" w:color="auto" w:fill="auto"/>
            <w:vAlign w:val="center"/>
          </w:tcPr>
          <w:p>
            <w:pPr>
              <w:pStyle w:val="179"/>
              <w:rPr>
                <w:rFonts w:ascii="Times New Roman"/>
              </w:rPr>
            </w:pPr>
            <w:r>
              <w:rPr>
                <w:rFonts w:ascii="Times New Roman"/>
              </w:rPr>
              <w:t>直尺测量（T/CGAPA 5.1.3.5）</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rPr>
            </w:pPr>
            <w:r>
              <w:rPr>
                <w:rFonts w:ascii="Times New Roman"/>
              </w:rPr>
              <w:t>质地</w:t>
            </w:r>
          </w:p>
        </w:tc>
        <w:tc>
          <w:tcPr>
            <w:tcW w:w="3112" w:type="dxa"/>
            <w:shd w:val="clear" w:color="auto" w:fill="auto"/>
            <w:vAlign w:val="center"/>
          </w:tcPr>
          <w:p>
            <w:pPr>
              <w:pStyle w:val="179"/>
              <w:rPr>
                <w:rFonts w:ascii="Times New Roman"/>
              </w:rPr>
            </w:pPr>
            <w:r>
              <w:rPr>
                <w:rFonts w:ascii="Times New Roman"/>
              </w:rPr>
              <w:t>软糯适中，无硬芯</w:t>
            </w:r>
          </w:p>
        </w:tc>
        <w:tc>
          <w:tcPr>
            <w:tcW w:w="3112" w:type="dxa"/>
            <w:shd w:val="clear" w:color="auto" w:fill="auto"/>
            <w:vAlign w:val="center"/>
          </w:tcPr>
          <w:p>
            <w:pPr>
              <w:pStyle w:val="179"/>
              <w:rPr>
                <w:rFonts w:ascii="Times New Roman"/>
              </w:rPr>
            </w:pPr>
            <w:r>
              <w:rPr>
                <w:rFonts w:ascii="Times New Roman"/>
              </w:rPr>
              <w:t>按压法（GB 19295-2021）</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b/>
                <w:bCs/>
              </w:rPr>
              <w:t>理化指标</w:t>
            </w:r>
          </w:p>
        </w:tc>
        <w:tc>
          <w:tcPr>
            <w:tcW w:w="3112" w:type="dxa"/>
            <w:shd w:val="clear" w:color="auto" w:fill="auto"/>
            <w:vAlign w:val="center"/>
          </w:tcPr>
          <w:p>
            <w:pPr>
              <w:pStyle w:val="179"/>
              <w:rPr>
                <w:rFonts w:ascii="Times New Roman"/>
              </w:rPr>
            </w:pPr>
          </w:p>
        </w:tc>
        <w:tc>
          <w:tcPr>
            <w:tcW w:w="3112" w:type="dxa"/>
            <w:shd w:val="clear" w:color="auto" w:fill="auto"/>
            <w:vAlign w:val="center"/>
          </w:tcPr>
          <w:p>
            <w:pPr>
              <w:pStyle w:val="179"/>
              <w:rPr>
                <w:rFonts w:ascii="Times New Roman"/>
              </w:rPr>
            </w:pP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rPr>
              <w:t>酸价（脂肪计）</w:t>
            </w:r>
          </w:p>
        </w:tc>
        <w:tc>
          <w:tcPr>
            <w:tcW w:w="3112" w:type="dxa"/>
            <w:shd w:val="clear" w:color="auto" w:fill="auto"/>
            <w:vAlign w:val="center"/>
          </w:tcPr>
          <w:p>
            <w:pPr>
              <w:pStyle w:val="179"/>
              <w:rPr>
                <w:rFonts w:ascii="Times New Roman"/>
              </w:rPr>
            </w:pPr>
            <w:r>
              <w:rPr>
                <w:rFonts w:ascii="Times New Roman"/>
              </w:rPr>
              <w:t>≤5.0 mg/g</w:t>
            </w:r>
          </w:p>
        </w:tc>
        <w:tc>
          <w:tcPr>
            <w:tcW w:w="3112" w:type="dxa"/>
            <w:shd w:val="clear" w:color="auto" w:fill="auto"/>
            <w:vAlign w:val="center"/>
          </w:tcPr>
          <w:p>
            <w:pPr>
              <w:pStyle w:val="179"/>
              <w:rPr>
                <w:rFonts w:ascii="Times New Roman"/>
              </w:rPr>
            </w:pPr>
            <w:r>
              <w:rPr>
                <w:rFonts w:ascii="Times New Roman"/>
              </w:rPr>
              <w:t>GB 5009.229-2025</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rPr>
              <w:t>过氧化值（脂肪计）</w:t>
            </w:r>
          </w:p>
        </w:tc>
        <w:tc>
          <w:tcPr>
            <w:tcW w:w="3112" w:type="dxa"/>
            <w:shd w:val="clear" w:color="auto" w:fill="auto"/>
            <w:vAlign w:val="center"/>
          </w:tcPr>
          <w:p>
            <w:pPr>
              <w:pStyle w:val="179"/>
              <w:rPr>
                <w:rFonts w:ascii="Times New Roman"/>
              </w:rPr>
            </w:pPr>
            <w:r>
              <w:rPr>
                <w:rFonts w:ascii="Times New Roman"/>
              </w:rPr>
              <w:t>≤0.25 g/100g</w:t>
            </w:r>
          </w:p>
        </w:tc>
        <w:tc>
          <w:tcPr>
            <w:tcW w:w="3112" w:type="dxa"/>
            <w:shd w:val="clear" w:color="auto" w:fill="auto"/>
            <w:vAlign w:val="center"/>
          </w:tcPr>
          <w:p>
            <w:pPr>
              <w:pStyle w:val="179"/>
              <w:rPr>
                <w:rFonts w:ascii="Times New Roman"/>
              </w:rPr>
            </w:pPr>
            <w:r>
              <w:rPr>
                <w:rFonts w:ascii="Times New Roman"/>
              </w:rPr>
              <w:t>GB 5009.227-2023</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rPr>
              <w:t>水分</w:t>
            </w:r>
          </w:p>
        </w:tc>
        <w:tc>
          <w:tcPr>
            <w:tcW w:w="3112" w:type="dxa"/>
            <w:shd w:val="clear" w:color="auto" w:fill="auto"/>
            <w:vAlign w:val="center"/>
          </w:tcPr>
          <w:p>
            <w:pPr>
              <w:pStyle w:val="179"/>
              <w:rPr>
                <w:rFonts w:ascii="Times New Roman"/>
              </w:rPr>
            </w:pPr>
            <w:r>
              <w:rPr>
                <w:rFonts w:ascii="Times New Roman"/>
              </w:rPr>
              <w:t>≤60%</w:t>
            </w:r>
          </w:p>
        </w:tc>
        <w:tc>
          <w:tcPr>
            <w:tcW w:w="3112" w:type="dxa"/>
            <w:shd w:val="clear" w:color="auto" w:fill="auto"/>
            <w:vAlign w:val="center"/>
          </w:tcPr>
          <w:p>
            <w:pPr>
              <w:pStyle w:val="179"/>
              <w:rPr>
                <w:rFonts w:ascii="Times New Roman"/>
              </w:rPr>
            </w:pPr>
            <w:r>
              <w:rPr>
                <w:rFonts w:ascii="Times New Roman"/>
              </w:rPr>
              <w:t>GB 5009.3-2016</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b/>
                <w:bCs/>
              </w:rPr>
              <w:t>微生物指标</w:t>
            </w:r>
          </w:p>
        </w:tc>
        <w:tc>
          <w:tcPr>
            <w:tcW w:w="3112" w:type="dxa"/>
            <w:shd w:val="clear" w:color="auto" w:fill="auto"/>
            <w:vAlign w:val="center"/>
          </w:tcPr>
          <w:p>
            <w:pPr>
              <w:pStyle w:val="179"/>
              <w:rPr>
                <w:rFonts w:ascii="Times New Roman"/>
              </w:rPr>
            </w:pPr>
          </w:p>
        </w:tc>
        <w:tc>
          <w:tcPr>
            <w:tcW w:w="3112" w:type="dxa"/>
            <w:shd w:val="clear" w:color="auto" w:fill="auto"/>
            <w:vAlign w:val="center"/>
          </w:tcPr>
          <w:p>
            <w:pPr>
              <w:pStyle w:val="179"/>
              <w:rPr>
                <w:rFonts w:ascii="Times New Roman"/>
              </w:rPr>
            </w:pP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rPr>
              <w:t>菌落总数（CFU/g）</w:t>
            </w:r>
          </w:p>
        </w:tc>
        <w:tc>
          <w:tcPr>
            <w:tcW w:w="3112" w:type="dxa"/>
            <w:shd w:val="clear" w:color="auto" w:fill="auto"/>
            <w:vAlign w:val="center"/>
          </w:tcPr>
          <w:p>
            <w:pPr>
              <w:pStyle w:val="179"/>
              <w:rPr>
                <w:rFonts w:ascii="Times New Roman"/>
              </w:rPr>
            </w:pPr>
            <w:r>
              <w:rPr>
                <w:rFonts w:ascii="Times New Roman"/>
              </w:rPr>
              <w:t>≤10⁵（非即食熟制品）</w:t>
            </w:r>
          </w:p>
        </w:tc>
        <w:tc>
          <w:tcPr>
            <w:tcW w:w="3112" w:type="dxa"/>
            <w:shd w:val="clear" w:color="auto" w:fill="auto"/>
            <w:vAlign w:val="center"/>
          </w:tcPr>
          <w:p>
            <w:pPr>
              <w:pStyle w:val="179"/>
              <w:rPr>
                <w:rFonts w:ascii="Times New Roman"/>
              </w:rPr>
            </w:pPr>
            <w:r>
              <w:rPr>
                <w:rFonts w:ascii="Times New Roman"/>
              </w:rPr>
              <w:t>GB 4789.2-2022</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rPr>
              <w:t>大肠菌群（CFU/g）</w:t>
            </w:r>
          </w:p>
        </w:tc>
        <w:tc>
          <w:tcPr>
            <w:tcW w:w="3112" w:type="dxa"/>
            <w:shd w:val="clear" w:color="auto" w:fill="auto"/>
            <w:vAlign w:val="center"/>
          </w:tcPr>
          <w:p>
            <w:pPr>
              <w:pStyle w:val="179"/>
              <w:rPr>
                <w:rFonts w:ascii="Times New Roman"/>
              </w:rPr>
            </w:pPr>
            <w:r>
              <w:rPr>
                <w:rFonts w:ascii="Times New Roman"/>
              </w:rPr>
              <w:t>≤10²</w:t>
            </w:r>
          </w:p>
        </w:tc>
        <w:tc>
          <w:tcPr>
            <w:tcW w:w="3112" w:type="dxa"/>
            <w:shd w:val="clear" w:color="auto" w:fill="auto"/>
            <w:vAlign w:val="center"/>
          </w:tcPr>
          <w:p>
            <w:pPr>
              <w:pStyle w:val="179"/>
              <w:rPr>
                <w:rFonts w:ascii="Times New Roman"/>
              </w:rPr>
            </w:pPr>
            <w:r>
              <w:rPr>
                <w:rFonts w:ascii="Times New Roman"/>
              </w:rPr>
              <w:t>GB 4789.3-2025</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rPr>
              <w:t>霉菌（CFU/g）</w:t>
            </w:r>
          </w:p>
        </w:tc>
        <w:tc>
          <w:tcPr>
            <w:tcW w:w="3112" w:type="dxa"/>
            <w:shd w:val="clear" w:color="auto" w:fill="auto"/>
            <w:vAlign w:val="center"/>
          </w:tcPr>
          <w:p>
            <w:pPr>
              <w:pStyle w:val="179"/>
              <w:rPr>
                <w:rFonts w:ascii="Times New Roman"/>
              </w:rPr>
            </w:pPr>
            <w:r>
              <w:rPr>
                <w:rFonts w:ascii="Times New Roman"/>
              </w:rPr>
              <w:t>≤150</w:t>
            </w:r>
          </w:p>
        </w:tc>
        <w:tc>
          <w:tcPr>
            <w:tcW w:w="3112" w:type="dxa"/>
            <w:shd w:val="clear" w:color="auto" w:fill="auto"/>
            <w:vAlign w:val="center"/>
          </w:tcPr>
          <w:p>
            <w:pPr>
              <w:pStyle w:val="179"/>
              <w:rPr>
                <w:rFonts w:ascii="Times New Roman"/>
              </w:rPr>
            </w:pPr>
            <w:r>
              <w:rPr>
                <w:rFonts w:ascii="Times New Roman"/>
              </w:rPr>
              <w:t>GB 4789.15-2016</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rPr>
              <w:t>致病菌（沙门氏菌）</w:t>
            </w:r>
          </w:p>
        </w:tc>
        <w:tc>
          <w:tcPr>
            <w:tcW w:w="3112" w:type="dxa"/>
            <w:shd w:val="clear" w:color="auto" w:fill="auto"/>
            <w:vAlign w:val="center"/>
          </w:tcPr>
          <w:p>
            <w:pPr>
              <w:pStyle w:val="179"/>
              <w:rPr>
                <w:rFonts w:ascii="Times New Roman"/>
              </w:rPr>
            </w:pPr>
            <w:r>
              <w:rPr>
                <w:rFonts w:ascii="Times New Roman"/>
                <w:b/>
                <w:bCs/>
              </w:rPr>
              <w:t>不得检出</w:t>
            </w:r>
          </w:p>
        </w:tc>
        <w:tc>
          <w:tcPr>
            <w:tcW w:w="3112" w:type="dxa"/>
            <w:shd w:val="clear" w:color="auto" w:fill="auto"/>
            <w:vAlign w:val="center"/>
          </w:tcPr>
          <w:p>
            <w:pPr>
              <w:pStyle w:val="179"/>
              <w:rPr>
                <w:rFonts w:ascii="Times New Roman"/>
              </w:rPr>
            </w:pPr>
            <w:r>
              <w:rPr>
                <w:rFonts w:ascii="Times New Roman"/>
              </w:rPr>
              <w:t>GB 4789.4-2024</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b/>
                <w:bCs/>
              </w:rPr>
              <w:t>工艺控制点</w:t>
            </w:r>
          </w:p>
        </w:tc>
        <w:tc>
          <w:tcPr>
            <w:tcW w:w="3112" w:type="dxa"/>
            <w:shd w:val="clear" w:color="auto" w:fill="auto"/>
            <w:vAlign w:val="center"/>
          </w:tcPr>
          <w:p>
            <w:pPr>
              <w:pStyle w:val="179"/>
              <w:rPr>
                <w:rFonts w:ascii="Times New Roman"/>
              </w:rPr>
            </w:pPr>
          </w:p>
        </w:tc>
        <w:tc>
          <w:tcPr>
            <w:tcW w:w="3112" w:type="dxa"/>
            <w:shd w:val="clear" w:color="auto" w:fill="auto"/>
            <w:vAlign w:val="center"/>
          </w:tcPr>
          <w:p>
            <w:pPr>
              <w:pStyle w:val="179"/>
              <w:rPr>
                <w:rFonts w:ascii="Times New Roman"/>
              </w:rPr>
            </w:pP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rPr>
              <w:t>蒸煮中心温度</w:t>
            </w:r>
          </w:p>
        </w:tc>
        <w:tc>
          <w:tcPr>
            <w:tcW w:w="3112" w:type="dxa"/>
            <w:shd w:val="clear" w:color="auto" w:fill="auto"/>
            <w:vAlign w:val="center"/>
          </w:tcPr>
          <w:p>
            <w:pPr>
              <w:pStyle w:val="179"/>
              <w:rPr>
                <w:rFonts w:ascii="Times New Roman"/>
              </w:rPr>
            </w:pPr>
            <w:r>
              <w:rPr>
                <w:rFonts w:ascii="Times New Roman"/>
              </w:rPr>
              <w:t>≥75℃ 并保持≥1min</w:t>
            </w:r>
          </w:p>
        </w:tc>
        <w:tc>
          <w:tcPr>
            <w:tcW w:w="3112" w:type="dxa"/>
            <w:shd w:val="clear" w:color="auto" w:fill="auto"/>
            <w:vAlign w:val="center"/>
          </w:tcPr>
          <w:p>
            <w:pPr>
              <w:pStyle w:val="179"/>
              <w:rPr>
                <w:rFonts w:ascii="Times New Roman"/>
              </w:rPr>
            </w:pPr>
            <w:r>
              <w:rPr>
                <w:rFonts w:ascii="Times New Roman"/>
              </w:rPr>
              <w:t>中心温度计（GB 19295 6.4）</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rPr>
              <w:t>真空包装密封性</w:t>
            </w:r>
          </w:p>
        </w:tc>
        <w:tc>
          <w:tcPr>
            <w:tcW w:w="3112" w:type="dxa"/>
            <w:shd w:val="clear" w:color="auto" w:fill="auto"/>
            <w:vAlign w:val="center"/>
          </w:tcPr>
          <w:p>
            <w:pPr>
              <w:pStyle w:val="179"/>
              <w:rPr>
                <w:rFonts w:ascii="Times New Roman"/>
              </w:rPr>
            </w:pPr>
            <w:r>
              <w:rPr>
                <w:rFonts w:ascii="Times New Roman"/>
              </w:rPr>
              <w:t>无泄漏、无气泡</w:t>
            </w:r>
          </w:p>
        </w:tc>
        <w:tc>
          <w:tcPr>
            <w:tcW w:w="3112" w:type="dxa"/>
            <w:shd w:val="clear" w:color="auto" w:fill="auto"/>
            <w:vAlign w:val="center"/>
          </w:tcPr>
          <w:p>
            <w:pPr>
              <w:pStyle w:val="179"/>
              <w:rPr>
                <w:rFonts w:ascii="Times New Roman"/>
              </w:rPr>
            </w:pPr>
            <w:r>
              <w:rPr>
                <w:rFonts w:ascii="Times New Roman"/>
              </w:rPr>
              <w:t>负压试验（GB/T 15171-1994）</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9"/>
              <w:rPr>
                <w:rFonts w:ascii="Times New Roman"/>
                <w:b/>
                <w:bCs/>
              </w:rPr>
            </w:pPr>
            <w:r>
              <w:rPr>
                <w:rFonts w:ascii="Times New Roman"/>
              </w:rPr>
              <w:t>巴氏杀菌</w:t>
            </w:r>
          </w:p>
        </w:tc>
        <w:tc>
          <w:tcPr>
            <w:tcW w:w="3112" w:type="dxa"/>
            <w:shd w:val="clear" w:color="auto" w:fill="auto"/>
            <w:vAlign w:val="center"/>
          </w:tcPr>
          <w:p>
            <w:pPr>
              <w:pStyle w:val="179"/>
              <w:rPr>
                <w:rFonts w:ascii="Times New Roman"/>
              </w:rPr>
            </w:pPr>
            <w:r>
              <w:rPr>
                <w:rFonts w:ascii="Times New Roman"/>
              </w:rPr>
              <w:t>85℃/15min（真空包装后）</w:t>
            </w:r>
          </w:p>
        </w:tc>
        <w:tc>
          <w:tcPr>
            <w:tcW w:w="3112" w:type="dxa"/>
            <w:shd w:val="clear" w:color="auto" w:fill="auto"/>
            <w:vAlign w:val="center"/>
          </w:tcPr>
          <w:p>
            <w:pPr>
              <w:pStyle w:val="179"/>
              <w:rPr>
                <w:rFonts w:ascii="Times New Roman"/>
              </w:rPr>
            </w:pPr>
            <w:r>
              <w:rPr>
                <w:rFonts w:ascii="Times New Roman"/>
              </w:rPr>
              <w:t>热力分布验证</w:t>
            </w:r>
          </w:p>
        </w:tc>
      </w:tr>
      <w:bookmarkEnd w:id="144"/>
      <w:bookmarkEnd w:id="145"/>
      <w:bookmarkEnd w:id="146"/>
    </w:tbl>
    <w:p>
      <w:pPr>
        <w:pStyle w:val="105"/>
        <w:spacing w:before="312" w:after="312"/>
        <w:rPr>
          <w:szCs w:val="21"/>
        </w:rPr>
      </w:pPr>
      <w:bookmarkStart w:id="175" w:name="_Toc202634195"/>
      <w:bookmarkStart w:id="176" w:name="_Toc202633979"/>
      <w:bookmarkStart w:id="177" w:name="_Toc202633962"/>
      <w:r>
        <w:rPr>
          <w:rFonts w:hint="eastAsia"/>
          <w:szCs w:val="21"/>
        </w:rPr>
        <w:t>标志、标签、包装、运输和贮存</w:t>
      </w:r>
      <w:bookmarkEnd w:id="175"/>
      <w:bookmarkEnd w:id="176"/>
      <w:bookmarkEnd w:id="177"/>
    </w:p>
    <w:p>
      <w:pPr>
        <w:pStyle w:val="106"/>
        <w:spacing w:before="156" w:after="156"/>
      </w:pPr>
      <w:bookmarkStart w:id="178" w:name="_Toc202633963"/>
      <w:r>
        <w:rPr>
          <w:rFonts w:hint="eastAsia"/>
        </w:rPr>
        <w:t>标志与标签</w:t>
      </w:r>
      <w:bookmarkEnd w:id="178"/>
    </w:p>
    <w:p>
      <w:pPr>
        <w:pStyle w:val="166"/>
      </w:pPr>
      <w:r>
        <w:rPr>
          <w:rFonts w:hint="eastAsia"/>
        </w:rPr>
        <w:t>产品包装上的标志和标签应符合国家相关法律法规及标准（如GB 7718等）的规定。</w:t>
      </w:r>
    </w:p>
    <w:p>
      <w:pPr>
        <w:pStyle w:val="166"/>
      </w:pPr>
      <w:r>
        <w:rPr>
          <w:rFonts w:hint="eastAsia"/>
        </w:rPr>
        <w:t>标签应清晰、醒目、牢固，内容真实准确。至少应标注以下信息：</w:t>
      </w:r>
    </w:p>
    <w:p>
      <w:pPr>
        <w:pStyle w:val="57"/>
        <w:ind w:firstLine="420"/>
      </w:pPr>
      <w:r>
        <w:rPr>
          <w:rFonts w:hint="eastAsia"/>
        </w:rPr>
        <w:t>产品名称、规格/等级、净含量、生产日期和批号、保质期/失效日期、贮存条件、生产者名称、地址和联系方式、产品标准代号、必要的使用说明或注意事项等。</w:t>
      </w:r>
    </w:p>
    <w:p>
      <w:pPr>
        <w:pStyle w:val="106"/>
        <w:spacing w:before="156" w:after="156"/>
      </w:pPr>
      <w:bookmarkStart w:id="179" w:name="_Toc202633964"/>
      <w:r>
        <w:rPr>
          <w:rFonts w:hint="eastAsia"/>
        </w:rPr>
        <w:t>包装</w:t>
      </w:r>
      <w:bookmarkEnd w:id="179"/>
    </w:p>
    <w:p>
      <w:pPr>
        <w:pStyle w:val="66"/>
        <w:spacing w:before="156" w:after="156"/>
        <w:rPr>
          <w:rFonts w:ascii="宋体" w:hAnsi="宋体" w:eastAsia="宋体"/>
        </w:rPr>
      </w:pPr>
      <w:r>
        <w:rPr>
          <w:rFonts w:hint="eastAsia" w:ascii="宋体" w:hAnsi="宋体" w:eastAsia="宋体"/>
        </w:rPr>
        <w:t>包装材料应清洁、无毒、无害、无异味，具有足够的强度，能有效保护产品在运输和贮存过程中免受污染、受潮、破损、光照（如精油）。</w:t>
      </w:r>
    </w:p>
    <w:p>
      <w:pPr>
        <w:pStyle w:val="66"/>
        <w:spacing w:before="156" w:after="156"/>
      </w:pPr>
      <w:r>
        <w:rPr>
          <w:rFonts w:hint="eastAsia" w:ascii="宋体" w:hAnsi="宋体" w:eastAsia="宋体"/>
        </w:rPr>
        <w:t>包装材料的具体要求</w:t>
      </w:r>
      <w:r>
        <w:rPr>
          <w:rFonts w:hint="eastAsia"/>
        </w:rPr>
        <w:t>：</w:t>
      </w:r>
    </w:p>
    <w:p>
      <w:pPr>
        <w:pStyle w:val="57"/>
        <w:ind w:firstLine="420"/>
      </w:pPr>
      <w:r>
        <w:rPr>
          <w:rFonts w:hint="eastAsia"/>
        </w:rPr>
        <w:t>艾绒： 内包装宜使用符合GB/T 28118-2011要求的防潮复合袋或铝箔袋，外包装用纸箱。</w:t>
      </w:r>
    </w:p>
    <w:p>
      <w:pPr>
        <w:pStyle w:val="57"/>
        <w:ind w:firstLine="420"/>
      </w:pPr>
      <w:r>
        <w:rPr>
          <w:rFonts w:hint="eastAsia"/>
        </w:rPr>
        <w:t>艾条： 单支宜用薄纸或塑料袋包装，外包装用纸盒。包装应保证艾条不易受潮、变形。</w:t>
      </w:r>
    </w:p>
    <w:p>
      <w:pPr>
        <w:pStyle w:val="57"/>
        <w:ind w:firstLine="420"/>
      </w:pPr>
      <w:r>
        <w:rPr>
          <w:rFonts w:hint="eastAsia"/>
        </w:rPr>
        <w:t>艾蒿精油： 必须使用深色玻璃瓶（如棕色瓶），充氮（或惰性气体）密封，瓶盖内衬应耐油。外包装用纸盒，并采取避光措施。</w:t>
      </w:r>
    </w:p>
    <w:p>
      <w:pPr>
        <w:pStyle w:val="57"/>
        <w:ind w:firstLine="420"/>
      </w:pPr>
      <w:r>
        <w:rPr>
          <w:rFonts w:hint="eastAsia"/>
        </w:rPr>
        <w:t>艾蒿粑粑： 内包装采用食品级真空包装袋，外包装用食品级纸盒或塑料袋。包装材料应符合食品接触材料相关标准。</w:t>
      </w:r>
    </w:p>
    <w:p>
      <w:pPr>
        <w:pStyle w:val="66"/>
        <w:spacing w:before="156" w:after="156"/>
        <w:rPr>
          <w:rFonts w:ascii="宋体" w:hAnsi="宋体" w:eastAsia="宋体"/>
        </w:rPr>
      </w:pPr>
      <w:r>
        <w:rPr>
          <w:rFonts w:hint="eastAsia" w:ascii="宋体" w:hAnsi="宋体" w:eastAsia="宋体"/>
        </w:rPr>
        <w:t>包装过程应在清洁卫生的环境中进行，防止二次污染。</w:t>
      </w:r>
    </w:p>
    <w:p>
      <w:pPr>
        <w:pStyle w:val="106"/>
        <w:spacing w:before="156" w:after="156"/>
      </w:pPr>
      <w:bookmarkStart w:id="180" w:name="_Toc202633965"/>
      <w:r>
        <w:rPr>
          <w:rFonts w:hint="eastAsia"/>
        </w:rPr>
        <w:t>运输</w:t>
      </w:r>
      <w:bookmarkEnd w:id="180"/>
    </w:p>
    <w:p>
      <w:pPr>
        <w:pStyle w:val="66"/>
        <w:spacing w:before="156" w:after="156"/>
        <w:rPr>
          <w:rFonts w:ascii="宋体" w:hAnsi="宋体" w:eastAsia="宋体"/>
        </w:rPr>
      </w:pPr>
      <w:r>
        <w:rPr>
          <w:rFonts w:hint="eastAsia" w:ascii="宋体" w:hAnsi="宋体" w:eastAsia="宋体"/>
        </w:rPr>
        <w:t>运输工具应清洁、干燥、无异味、无污染。禁止与有毒、有害、有异味、易污染物品混装混运。</w:t>
      </w:r>
    </w:p>
    <w:p>
      <w:pPr>
        <w:pStyle w:val="66"/>
        <w:spacing w:before="156" w:after="156"/>
        <w:rPr>
          <w:rFonts w:ascii="宋体" w:hAnsi="宋体" w:eastAsia="宋体"/>
        </w:rPr>
      </w:pPr>
      <w:r>
        <w:rPr>
          <w:rFonts w:hint="eastAsia" w:ascii="宋体" w:hAnsi="宋体" w:eastAsia="宋体"/>
        </w:rPr>
        <w:t>运输过程中应轻装轻卸，防止剧烈震动、撞击、挤压，避免包装破损。</w:t>
      </w:r>
    </w:p>
    <w:p>
      <w:pPr>
        <w:pStyle w:val="66"/>
        <w:spacing w:before="156" w:after="156"/>
        <w:rPr>
          <w:rFonts w:ascii="宋体" w:hAnsi="宋体" w:eastAsia="宋体"/>
        </w:rPr>
      </w:pPr>
      <w:r>
        <w:rPr>
          <w:rFonts w:hint="eastAsia" w:ascii="宋体" w:hAnsi="宋体" w:eastAsia="宋体"/>
        </w:rPr>
        <w:t>运输过程中应采取必要的防护措施，如防雨、防潮、防晒（尤其精油、艾绒）、防高温（尤其精油、粑粑）。</w:t>
      </w:r>
    </w:p>
    <w:p>
      <w:pPr>
        <w:pStyle w:val="106"/>
        <w:spacing w:before="156" w:after="156"/>
      </w:pPr>
      <w:bookmarkStart w:id="181" w:name="_Toc202633966"/>
      <w:r>
        <w:rPr>
          <w:rFonts w:hint="eastAsia"/>
        </w:rPr>
        <w:t>贮存</w:t>
      </w:r>
      <w:bookmarkEnd w:id="181"/>
    </w:p>
    <w:p>
      <w:pPr>
        <w:pStyle w:val="66"/>
        <w:spacing w:before="156" w:after="156"/>
        <w:rPr>
          <w:rFonts w:ascii="宋体" w:hAnsi="宋体" w:eastAsia="宋体"/>
        </w:rPr>
      </w:pPr>
      <w:r>
        <w:rPr>
          <w:rFonts w:hint="eastAsia" w:ascii="宋体" w:hAnsi="宋体" w:eastAsia="宋体"/>
        </w:rPr>
        <w:t>成品应贮存在清洁、阴凉、干燥、通风良好的专用仓库内。仓库应配备温湿度监控设备。</w:t>
      </w:r>
    </w:p>
    <w:p>
      <w:pPr>
        <w:pStyle w:val="66"/>
        <w:spacing w:before="156" w:after="156"/>
        <w:rPr>
          <w:rFonts w:ascii="宋体" w:hAnsi="宋体" w:eastAsia="宋体"/>
        </w:rPr>
      </w:pPr>
      <w:r>
        <w:rPr>
          <w:rFonts w:hint="eastAsia" w:ascii="宋体" w:hAnsi="宋体" w:eastAsia="宋体"/>
        </w:rPr>
        <w:t>不同产品分区分类存放，离地离墙，码放整齐，标识清晰。</w:t>
      </w:r>
    </w:p>
    <w:p>
      <w:pPr>
        <w:pStyle w:val="66"/>
        <w:spacing w:before="156" w:after="156"/>
        <w:rPr>
          <w:rFonts w:ascii="宋体" w:hAnsi="宋体" w:eastAsia="宋体"/>
        </w:rPr>
      </w:pPr>
      <w:r>
        <w:rPr>
          <w:rFonts w:hint="eastAsia" w:ascii="宋体" w:hAnsi="宋体" w:eastAsia="宋体"/>
        </w:rPr>
        <w:t>具体贮存条件：</w:t>
      </w:r>
    </w:p>
    <w:p>
      <w:pPr>
        <w:pStyle w:val="57"/>
        <w:ind w:firstLine="420"/>
        <w:rPr>
          <w:rFonts w:ascii="Times New Roman"/>
        </w:rPr>
      </w:pPr>
      <w:r>
        <w:rPr>
          <w:rFonts w:ascii="Times New Roman"/>
        </w:rPr>
        <w:t>艾绒： 温度≤25℃，相对湿度≤60%。注意防火。</w:t>
      </w:r>
    </w:p>
    <w:p>
      <w:pPr>
        <w:pStyle w:val="57"/>
        <w:ind w:firstLine="420"/>
        <w:rPr>
          <w:rFonts w:ascii="Times New Roman"/>
        </w:rPr>
      </w:pPr>
      <w:r>
        <w:rPr>
          <w:rFonts w:ascii="Times New Roman"/>
        </w:rPr>
        <w:t>艾条： 温度≤25℃，相对湿度≤60%。注意防火。</w:t>
      </w:r>
    </w:p>
    <w:p>
      <w:pPr>
        <w:pStyle w:val="57"/>
        <w:ind w:firstLine="420"/>
        <w:rPr>
          <w:rFonts w:ascii="Times New Roman"/>
        </w:rPr>
      </w:pPr>
      <w:r>
        <w:rPr>
          <w:rFonts w:ascii="Times New Roman"/>
        </w:rPr>
        <w:t>艾蒿精油： 避光，温度5~25℃（或按产品特性要求），相对湿度≤65%。</w:t>
      </w:r>
    </w:p>
    <w:p>
      <w:pPr>
        <w:pStyle w:val="57"/>
        <w:ind w:firstLine="420"/>
        <w:rPr>
          <w:rFonts w:ascii="Times New Roman"/>
        </w:rPr>
      </w:pPr>
      <w:r>
        <w:rPr>
          <w:rFonts w:ascii="Times New Roman"/>
        </w:rPr>
        <w:t>艾蒿耙耙： 按食品要求及包装标识条件贮存。通常需冷藏（0~4℃）或冷冻（≤-18℃）保存。常温保存产品应置于阴凉干燥处。</w:t>
      </w:r>
    </w:p>
    <w:p>
      <w:pPr>
        <w:pStyle w:val="66"/>
        <w:spacing w:before="156" w:after="156"/>
        <w:rPr>
          <w:rFonts w:ascii="宋体" w:hAnsi="宋体" w:eastAsia="宋体"/>
        </w:rPr>
      </w:pPr>
      <w:r>
        <w:rPr>
          <w:rFonts w:hint="eastAsia" w:ascii="宋体" w:hAnsi="宋体" w:eastAsia="宋体"/>
        </w:rPr>
        <w:t>定期检查库存产品状态（如包装完整性、有无受潮霉变、是否在保质期内等），遵循先进先出原则。</w:t>
      </w:r>
      <w:bookmarkEnd w:id="147"/>
      <w:bookmarkEnd w:id="148"/>
      <w:bookmarkEnd w:id="149"/>
      <w:bookmarkEnd w:id="150"/>
      <w:bookmarkEnd w:id="151"/>
      <w:bookmarkEnd w:id="152"/>
      <w:bookmarkEnd w:id="153"/>
      <w:bookmarkStart w:id="182" w:name="BookMark6"/>
    </w:p>
    <w:p>
      <w:pPr>
        <w:pStyle w:val="57"/>
        <w:ind w:firstLine="420"/>
        <w:sectPr>
          <w:pgSz w:w="11906" w:h="16838"/>
          <w:pgMar w:top="1928" w:right="1134" w:bottom="1134" w:left="1134" w:header="1418" w:footer="1134" w:gutter="284"/>
          <w:pgNumType w:start="1"/>
          <w:cols w:space="425" w:num="1"/>
          <w:formProt w:val="0"/>
          <w:docGrid w:type="lines" w:linePitch="312" w:charSpace="0"/>
        </w:sectPr>
      </w:pPr>
    </w:p>
    <w:bookmarkEnd w:id="38"/>
    <w:p>
      <w:pPr>
        <w:pStyle w:val="199"/>
        <w:rPr>
          <w:vanish w:val="0"/>
        </w:rPr>
      </w:pPr>
      <w:bookmarkStart w:id="183" w:name="BookMark5"/>
    </w:p>
    <w:p>
      <w:pPr>
        <w:pStyle w:val="200"/>
        <w:rPr>
          <w:vanish w:val="0"/>
        </w:rPr>
      </w:pPr>
    </w:p>
    <w:p>
      <w:pPr>
        <w:pStyle w:val="77"/>
        <w:spacing w:after="156"/>
      </w:pPr>
      <w:r>
        <w:br w:type="textWrapping"/>
      </w:r>
      <w:bookmarkStart w:id="184" w:name="_Toc202633967"/>
      <w:bookmarkStart w:id="185" w:name="_Toc202633980"/>
      <w:bookmarkStart w:id="186" w:name="_Toc202634196"/>
      <w:r>
        <w:rPr>
          <w:rFonts w:hint="eastAsia"/>
        </w:rPr>
        <w:t>（资料性）</w:t>
      </w:r>
      <w:r>
        <w:br w:type="textWrapping"/>
      </w:r>
      <w:r>
        <w:rPr>
          <w:rFonts w:hint="eastAsia"/>
        </w:rPr>
        <w:t>记录表格示例</w:t>
      </w:r>
      <w:bookmarkEnd w:id="184"/>
      <w:bookmarkEnd w:id="185"/>
      <w:bookmarkEnd w:id="186"/>
    </w:p>
    <w:p>
      <w:pPr>
        <w:pStyle w:val="78"/>
        <w:spacing w:before="156" w:after="156"/>
        <w:rPr>
          <w:rFonts w:ascii="宋体" w:hAnsi="宋体" w:eastAsia="宋体"/>
          <w:szCs w:val="21"/>
        </w:rPr>
      </w:pPr>
      <w:r>
        <w:rPr>
          <w:rFonts w:ascii="宋体" w:hAnsi="宋体" w:eastAsia="宋体"/>
          <w:szCs w:val="21"/>
        </w:rPr>
        <w:t>艾蒿加工生产记录表</w:t>
      </w:r>
    </w:p>
    <w:tbl>
      <w:tblPr>
        <w:tblStyle w:val="33"/>
        <w:tblW w:w="9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1134"/>
        <w:gridCol w:w="1115"/>
        <w:gridCol w:w="1115"/>
        <w:gridCol w:w="1115"/>
        <w:gridCol w:w="1020"/>
        <w:gridCol w:w="1020"/>
        <w:gridCol w:w="96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Header/>
          <w:jc w:val="center"/>
        </w:trPr>
        <w:tc>
          <w:tcPr>
            <w:tcW w:w="1134" w:type="dxa"/>
            <w:tcMar>
              <w:top w:w="15" w:type="dxa"/>
              <w:left w:w="0" w:type="dxa"/>
              <w:bottom w:w="15" w:type="dxa"/>
              <w:right w:w="15" w:type="dxa"/>
            </w:tcMar>
            <w:vAlign w:val="center"/>
          </w:tcPr>
          <w:p>
            <w:pPr>
              <w:jc w:val="center"/>
              <w:rPr>
                <w:b/>
                <w:bCs/>
                <w:sz w:val="18"/>
                <w:szCs w:val="18"/>
              </w:rPr>
            </w:pPr>
            <w:r>
              <w:rPr>
                <w:b/>
                <w:bCs/>
                <w:sz w:val="18"/>
                <w:szCs w:val="18"/>
              </w:rPr>
              <w:t>批次号</w:t>
            </w:r>
          </w:p>
        </w:tc>
        <w:tc>
          <w:tcPr>
            <w:tcW w:w="1134" w:type="dxa"/>
            <w:vAlign w:val="center"/>
          </w:tcPr>
          <w:p>
            <w:pPr>
              <w:jc w:val="center"/>
              <w:rPr>
                <w:b/>
                <w:bCs/>
                <w:sz w:val="18"/>
                <w:szCs w:val="18"/>
              </w:rPr>
            </w:pPr>
            <w:r>
              <w:rPr>
                <w:b/>
                <w:bCs/>
                <w:sz w:val="18"/>
                <w:szCs w:val="18"/>
              </w:rPr>
              <w:t>生产日期</w:t>
            </w:r>
          </w:p>
        </w:tc>
        <w:tc>
          <w:tcPr>
            <w:tcW w:w="1115" w:type="dxa"/>
            <w:vAlign w:val="center"/>
          </w:tcPr>
          <w:p>
            <w:pPr>
              <w:jc w:val="center"/>
              <w:rPr>
                <w:b/>
                <w:bCs/>
                <w:sz w:val="18"/>
                <w:szCs w:val="18"/>
              </w:rPr>
            </w:pPr>
            <w:r>
              <w:rPr>
                <w:b/>
                <w:bCs/>
                <w:sz w:val="18"/>
                <w:szCs w:val="18"/>
              </w:rPr>
              <w:t>产品类型</w:t>
            </w:r>
          </w:p>
        </w:tc>
        <w:tc>
          <w:tcPr>
            <w:tcW w:w="1115" w:type="dxa"/>
            <w:vAlign w:val="center"/>
          </w:tcPr>
          <w:p>
            <w:pPr>
              <w:jc w:val="center"/>
              <w:rPr>
                <w:b/>
                <w:bCs/>
                <w:sz w:val="18"/>
                <w:szCs w:val="18"/>
              </w:rPr>
            </w:pPr>
            <w:r>
              <w:rPr>
                <w:b/>
                <w:bCs/>
                <w:sz w:val="18"/>
                <w:szCs w:val="18"/>
              </w:rPr>
              <w:t>原料批次</w:t>
            </w:r>
          </w:p>
        </w:tc>
        <w:tc>
          <w:tcPr>
            <w:tcW w:w="1115" w:type="dxa"/>
            <w:vAlign w:val="center"/>
          </w:tcPr>
          <w:p>
            <w:pPr>
              <w:jc w:val="center"/>
              <w:rPr>
                <w:b/>
                <w:bCs/>
                <w:sz w:val="18"/>
                <w:szCs w:val="18"/>
              </w:rPr>
            </w:pPr>
            <w:r>
              <w:rPr>
                <w:b/>
                <w:bCs/>
                <w:sz w:val="18"/>
                <w:szCs w:val="18"/>
              </w:rPr>
              <w:t>加工参数</w:t>
            </w:r>
          </w:p>
        </w:tc>
        <w:tc>
          <w:tcPr>
            <w:tcW w:w="1020" w:type="dxa"/>
            <w:vAlign w:val="center"/>
          </w:tcPr>
          <w:p>
            <w:pPr>
              <w:jc w:val="center"/>
              <w:rPr>
                <w:b/>
                <w:bCs/>
                <w:sz w:val="18"/>
                <w:szCs w:val="18"/>
              </w:rPr>
            </w:pPr>
            <w:r>
              <w:rPr>
                <w:b/>
                <w:bCs/>
                <w:sz w:val="18"/>
                <w:szCs w:val="18"/>
              </w:rPr>
              <w:t>质检结果</w:t>
            </w:r>
          </w:p>
        </w:tc>
        <w:tc>
          <w:tcPr>
            <w:tcW w:w="1020" w:type="dxa"/>
            <w:vAlign w:val="center"/>
          </w:tcPr>
          <w:p>
            <w:pPr>
              <w:jc w:val="center"/>
              <w:rPr>
                <w:b/>
                <w:bCs/>
                <w:sz w:val="18"/>
                <w:szCs w:val="18"/>
              </w:rPr>
            </w:pPr>
            <w:r>
              <w:rPr>
                <w:b/>
                <w:bCs/>
                <w:sz w:val="18"/>
                <w:szCs w:val="18"/>
              </w:rPr>
              <w:t>操作人员</w:t>
            </w:r>
          </w:p>
        </w:tc>
        <w:tc>
          <w:tcPr>
            <w:tcW w:w="964" w:type="dxa"/>
            <w:vAlign w:val="center"/>
          </w:tcPr>
          <w:p>
            <w:pPr>
              <w:jc w:val="center"/>
              <w:rPr>
                <w:b/>
                <w:bCs/>
                <w:sz w:val="18"/>
                <w:szCs w:val="18"/>
              </w:rPr>
            </w:pPr>
            <w:r>
              <w:rPr>
                <w:b/>
                <w:bCs/>
                <w:sz w:val="18"/>
                <w:szCs w:val="18"/>
              </w:rPr>
              <w:t>复核人</w:t>
            </w:r>
          </w:p>
        </w:tc>
        <w:tc>
          <w:tcPr>
            <w:tcW w:w="1191" w:type="dxa"/>
            <w:vAlign w:val="center"/>
          </w:tcPr>
          <w:p>
            <w:pPr>
              <w:jc w:val="center"/>
              <w:rPr>
                <w:b/>
                <w:bCs/>
                <w:sz w:val="18"/>
                <w:szCs w:val="18"/>
              </w:rPr>
            </w:pPr>
            <w:r>
              <w:rPr>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34" w:type="dxa"/>
            <w:tcMar>
              <w:top w:w="15" w:type="dxa"/>
              <w:left w:w="0" w:type="dxa"/>
              <w:bottom w:w="15" w:type="dxa"/>
              <w:right w:w="15" w:type="dxa"/>
            </w:tcMar>
            <w:vAlign w:val="center"/>
          </w:tcPr>
          <w:p>
            <w:pPr>
              <w:jc w:val="center"/>
              <w:rPr>
                <w:sz w:val="18"/>
                <w:szCs w:val="18"/>
              </w:rPr>
            </w:pPr>
          </w:p>
        </w:tc>
        <w:tc>
          <w:tcPr>
            <w:tcW w:w="1134" w:type="dxa"/>
            <w:vAlign w:val="center"/>
          </w:tcPr>
          <w:p>
            <w:pPr>
              <w:jc w:val="center"/>
              <w:rPr>
                <w:sz w:val="18"/>
                <w:szCs w:val="18"/>
              </w:rPr>
            </w:pPr>
          </w:p>
        </w:tc>
        <w:tc>
          <w:tcPr>
            <w:tcW w:w="1115" w:type="dxa"/>
            <w:vAlign w:val="center"/>
          </w:tcPr>
          <w:p>
            <w:pPr>
              <w:jc w:val="center"/>
              <w:rPr>
                <w:sz w:val="18"/>
                <w:szCs w:val="18"/>
              </w:rPr>
            </w:pPr>
          </w:p>
        </w:tc>
        <w:tc>
          <w:tcPr>
            <w:tcW w:w="1115" w:type="dxa"/>
            <w:vAlign w:val="center"/>
          </w:tcPr>
          <w:p>
            <w:pPr>
              <w:jc w:val="center"/>
              <w:rPr>
                <w:sz w:val="18"/>
                <w:szCs w:val="18"/>
              </w:rPr>
            </w:pPr>
          </w:p>
        </w:tc>
        <w:tc>
          <w:tcPr>
            <w:tcW w:w="1115" w:type="dxa"/>
            <w:vAlign w:val="center"/>
          </w:tcPr>
          <w:p>
            <w:pPr>
              <w:jc w:val="center"/>
              <w:rPr>
                <w:sz w:val="18"/>
                <w:szCs w:val="18"/>
              </w:rPr>
            </w:pPr>
          </w:p>
        </w:tc>
        <w:tc>
          <w:tcPr>
            <w:tcW w:w="1020" w:type="dxa"/>
            <w:vAlign w:val="center"/>
          </w:tcPr>
          <w:p>
            <w:pPr>
              <w:jc w:val="center"/>
              <w:rPr>
                <w:sz w:val="18"/>
                <w:szCs w:val="18"/>
              </w:rPr>
            </w:pPr>
          </w:p>
        </w:tc>
        <w:tc>
          <w:tcPr>
            <w:tcW w:w="1020" w:type="dxa"/>
            <w:vAlign w:val="center"/>
          </w:tcPr>
          <w:p>
            <w:pPr>
              <w:jc w:val="center"/>
              <w:rPr>
                <w:sz w:val="18"/>
                <w:szCs w:val="18"/>
              </w:rPr>
            </w:pPr>
          </w:p>
        </w:tc>
        <w:tc>
          <w:tcPr>
            <w:tcW w:w="964" w:type="dxa"/>
            <w:vAlign w:val="center"/>
          </w:tcPr>
          <w:p>
            <w:pPr>
              <w:jc w:val="center"/>
              <w:rPr>
                <w:sz w:val="18"/>
                <w:szCs w:val="18"/>
              </w:rPr>
            </w:pPr>
          </w:p>
        </w:tc>
        <w:tc>
          <w:tcPr>
            <w:tcW w:w="1191"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34" w:type="dxa"/>
            <w:tcMar>
              <w:top w:w="15" w:type="dxa"/>
              <w:left w:w="0" w:type="dxa"/>
              <w:bottom w:w="15" w:type="dxa"/>
              <w:right w:w="15" w:type="dxa"/>
            </w:tcMar>
            <w:vAlign w:val="center"/>
          </w:tcPr>
          <w:p>
            <w:pPr>
              <w:jc w:val="center"/>
              <w:rPr>
                <w:sz w:val="18"/>
                <w:szCs w:val="18"/>
              </w:rPr>
            </w:pPr>
          </w:p>
        </w:tc>
        <w:tc>
          <w:tcPr>
            <w:tcW w:w="1134" w:type="dxa"/>
            <w:vAlign w:val="center"/>
          </w:tcPr>
          <w:p>
            <w:pPr>
              <w:jc w:val="center"/>
              <w:rPr>
                <w:sz w:val="18"/>
                <w:szCs w:val="18"/>
              </w:rPr>
            </w:pPr>
          </w:p>
        </w:tc>
        <w:tc>
          <w:tcPr>
            <w:tcW w:w="1115" w:type="dxa"/>
            <w:vAlign w:val="center"/>
          </w:tcPr>
          <w:p>
            <w:pPr>
              <w:jc w:val="center"/>
              <w:rPr>
                <w:sz w:val="18"/>
                <w:szCs w:val="18"/>
              </w:rPr>
            </w:pPr>
          </w:p>
        </w:tc>
        <w:tc>
          <w:tcPr>
            <w:tcW w:w="1115" w:type="dxa"/>
            <w:vAlign w:val="center"/>
          </w:tcPr>
          <w:p>
            <w:pPr>
              <w:jc w:val="center"/>
              <w:rPr>
                <w:sz w:val="18"/>
                <w:szCs w:val="18"/>
              </w:rPr>
            </w:pPr>
          </w:p>
        </w:tc>
        <w:tc>
          <w:tcPr>
            <w:tcW w:w="1115" w:type="dxa"/>
            <w:vAlign w:val="center"/>
          </w:tcPr>
          <w:p>
            <w:pPr>
              <w:jc w:val="center"/>
              <w:rPr>
                <w:sz w:val="18"/>
                <w:szCs w:val="18"/>
              </w:rPr>
            </w:pPr>
          </w:p>
        </w:tc>
        <w:tc>
          <w:tcPr>
            <w:tcW w:w="1020" w:type="dxa"/>
            <w:vAlign w:val="center"/>
          </w:tcPr>
          <w:p>
            <w:pPr>
              <w:jc w:val="center"/>
              <w:rPr>
                <w:sz w:val="18"/>
                <w:szCs w:val="18"/>
              </w:rPr>
            </w:pPr>
          </w:p>
        </w:tc>
        <w:tc>
          <w:tcPr>
            <w:tcW w:w="1020" w:type="dxa"/>
            <w:vAlign w:val="center"/>
          </w:tcPr>
          <w:p>
            <w:pPr>
              <w:jc w:val="center"/>
              <w:rPr>
                <w:sz w:val="18"/>
                <w:szCs w:val="18"/>
              </w:rPr>
            </w:pPr>
          </w:p>
        </w:tc>
        <w:tc>
          <w:tcPr>
            <w:tcW w:w="964" w:type="dxa"/>
            <w:vAlign w:val="center"/>
          </w:tcPr>
          <w:p>
            <w:pPr>
              <w:jc w:val="center"/>
              <w:rPr>
                <w:sz w:val="18"/>
                <w:szCs w:val="18"/>
              </w:rPr>
            </w:pPr>
          </w:p>
        </w:tc>
        <w:tc>
          <w:tcPr>
            <w:tcW w:w="1191"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34" w:type="dxa"/>
            <w:tcMar>
              <w:top w:w="15" w:type="dxa"/>
              <w:left w:w="0" w:type="dxa"/>
              <w:bottom w:w="15" w:type="dxa"/>
              <w:right w:w="15" w:type="dxa"/>
            </w:tcMar>
            <w:vAlign w:val="center"/>
          </w:tcPr>
          <w:p>
            <w:pPr>
              <w:jc w:val="center"/>
              <w:rPr>
                <w:sz w:val="18"/>
                <w:szCs w:val="18"/>
              </w:rPr>
            </w:pPr>
          </w:p>
        </w:tc>
        <w:tc>
          <w:tcPr>
            <w:tcW w:w="1134" w:type="dxa"/>
            <w:vAlign w:val="center"/>
          </w:tcPr>
          <w:p>
            <w:pPr>
              <w:jc w:val="center"/>
              <w:rPr>
                <w:sz w:val="18"/>
                <w:szCs w:val="18"/>
              </w:rPr>
            </w:pPr>
          </w:p>
        </w:tc>
        <w:tc>
          <w:tcPr>
            <w:tcW w:w="1115" w:type="dxa"/>
            <w:vAlign w:val="center"/>
          </w:tcPr>
          <w:p>
            <w:pPr>
              <w:jc w:val="center"/>
              <w:rPr>
                <w:sz w:val="18"/>
                <w:szCs w:val="18"/>
              </w:rPr>
            </w:pPr>
          </w:p>
        </w:tc>
        <w:tc>
          <w:tcPr>
            <w:tcW w:w="1115" w:type="dxa"/>
            <w:vAlign w:val="center"/>
          </w:tcPr>
          <w:p>
            <w:pPr>
              <w:jc w:val="center"/>
              <w:rPr>
                <w:sz w:val="18"/>
                <w:szCs w:val="18"/>
              </w:rPr>
            </w:pPr>
          </w:p>
        </w:tc>
        <w:tc>
          <w:tcPr>
            <w:tcW w:w="1115" w:type="dxa"/>
            <w:vAlign w:val="center"/>
          </w:tcPr>
          <w:p>
            <w:pPr>
              <w:jc w:val="center"/>
              <w:rPr>
                <w:sz w:val="18"/>
                <w:szCs w:val="18"/>
              </w:rPr>
            </w:pPr>
          </w:p>
        </w:tc>
        <w:tc>
          <w:tcPr>
            <w:tcW w:w="1020" w:type="dxa"/>
            <w:vAlign w:val="center"/>
          </w:tcPr>
          <w:p>
            <w:pPr>
              <w:jc w:val="center"/>
              <w:rPr>
                <w:sz w:val="18"/>
                <w:szCs w:val="18"/>
              </w:rPr>
            </w:pPr>
          </w:p>
        </w:tc>
        <w:tc>
          <w:tcPr>
            <w:tcW w:w="1020" w:type="dxa"/>
            <w:vAlign w:val="center"/>
          </w:tcPr>
          <w:p>
            <w:pPr>
              <w:jc w:val="center"/>
              <w:rPr>
                <w:sz w:val="18"/>
                <w:szCs w:val="18"/>
              </w:rPr>
            </w:pPr>
          </w:p>
        </w:tc>
        <w:tc>
          <w:tcPr>
            <w:tcW w:w="964" w:type="dxa"/>
            <w:vAlign w:val="center"/>
          </w:tcPr>
          <w:p>
            <w:pPr>
              <w:jc w:val="center"/>
              <w:rPr>
                <w:sz w:val="18"/>
                <w:szCs w:val="18"/>
              </w:rPr>
            </w:pPr>
          </w:p>
        </w:tc>
        <w:tc>
          <w:tcPr>
            <w:tcW w:w="1191"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34" w:type="dxa"/>
            <w:tcMar>
              <w:top w:w="15" w:type="dxa"/>
              <w:left w:w="0" w:type="dxa"/>
              <w:bottom w:w="15" w:type="dxa"/>
              <w:right w:w="15" w:type="dxa"/>
            </w:tcMar>
            <w:vAlign w:val="center"/>
          </w:tcPr>
          <w:p>
            <w:pPr>
              <w:jc w:val="center"/>
              <w:rPr>
                <w:sz w:val="18"/>
                <w:szCs w:val="18"/>
              </w:rPr>
            </w:pPr>
          </w:p>
        </w:tc>
        <w:tc>
          <w:tcPr>
            <w:tcW w:w="1134" w:type="dxa"/>
            <w:vAlign w:val="center"/>
          </w:tcPr>
          <w:p>
            <w:pPr>
              <w:jc w:val="center"/>
              <w:rPr>
                <w:sz w:val="18"/>
                <w:szCs w:val="18"/>
              </w:rPr>
            </w:pPr>
          </w:p>
        </w:tc>
        <w:tc>
          <w:tcPr>
            <w:tcW w:w="1115" w:type="dxa"/>
            <w:vAlign w:val="center"/>
          </w:tcPr>
          <w:p>
            <w:pPr>
              <w:jc w:val="center"/>
              <w:rPr>
                <w:sz w:val="18"/>
                <w:szCs w:val="18"/>
              </w:rPr>
            </w:pPr>
          </w:p>
        </w:tc>
        <w:tc>
          <w:tcPr>
            <w:tcW w:w="1115" w:type="dxa"/>
            <w:vAlign w:val="center"/>
          </w:tcPr>
          <w:p>
            <w:pPr>
              <w:jc w:val="center"/>
              <w:rPr>
                <w:sz w:val="18"/>
                <w:szCs w:val="18"/>
              </w:rPr>
            </w:pPr>
          </w:p>
        </w:tc>
        <w:tc>
          <w:tcPr>
            <w:tcW w:w="1115" w:type="dxa"/>
            <w:vAlign w:val="center"/>
          </w:tcPr>
          <w:p>
            <w:pPr>
              <w:jc w:val="center"/>
              <w:rPr>
                <w:sz w:val="18"/>
                <w:szCs w:val="18"/>
              </w:rPr>
            </w:pPr>
          </w:p>
        </w:tc>
        <w:tc>
          <w:tcPr>
            <w:tcW w:w="1020" w:type="dxa"/>
            <w:vAlign w:val="center"/>
          </w:tcPr>
          <w:p>
            <w:pPr>
              <w:jc w:val="center"/>
              <w:rPr>
                <w:sz w:val="18"/>
                <w:szCs w:val="18"/>
              </w:rPr>
            </w:pPr>
          </w:p>
        </w:tc>
        <w:tc>
          <w:tcPr>
            <w:tcW w:w="1020" w:type="dxa"/>
            <w:vAlign w:val="center"/>
          </w:tcPr>
          <w:p>
            <w:pPr>
              <w:jc w:val="center"/>
              <w:rPr>
                <w:sz w:val="18"/>
                <w:szCs w:val="18"/>
              </w:rPr>
            </w:pPr>
          </w:p>
        </w:tc>
        <w:tc>
          <w:tcPr>
            <w:tcW w:w="964" w:type="dxa"/>
            <w:vAlign w:val="center"/>
          </w:tcPr>
          <w:p>
            <w:pPr>
              <w:jc w:val="center"/>
              <w:rPr>
                <w:sz w:val="18"/>
                <w:szCs w:val="18"/>
              </w:rPr>
            </w:pPr>
          </w:p>
        </w:tc>
        <w:tc>
          <w:tcPr>
            <w:tcW w:w="1191" w:type="dxa"/>
            <w:vAlign w:val="center"/>
          </w:tcPr>
          <w:p>
            <w:pPr>
              <w:jc w:val="center"/>
              <w:rPr>
                <w:sz w:val="18"/>
                <w:szCs w:val="18"/>
              </w:rPr>
            </w:pPr>
          </w:p>
        </w:tc>
      </w:tr>
    </w:tbl>
    <w:p>
      <w:pPr>
        <w:pStyle w:val="78"/>
        <w:spacing w:before="156" w:after="156"/>
        <w:rPr>
          <w:rFonts w:ascii="宋体" w:hAnsi="宋体" w:eastAsia="宋体"/>
          <w:kern w:val="0"/>
        </w:rPr>
      </w:pPr>
      <w:r>
        <w:rPr>
          <w:rFonts w:hint="eastAsia" w:ascii="宋体" w:hAnsi="宋体" w:eastAsia="宋体"/>
          <w:kern w:val="0"/>
        </w:rPr>
        <w:t>产品追溯信息表</w:t>
      </w:r>
    </w:p>
    <w:tbl>
      <w:tblPr>
        <w:tblStyle w:val="33"/>
        <w:tblW w:w="9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4"/>
        <w:gridCol w:w="1361"/>
        <w:gridCol w:w="1531"/>
        <w:gridCol w:w="1531"/>
        <w:gridCol w:w="153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Header/>
          <w:jc w:val="center"/>
        </w:trPr>
        <w:tc>
          <w:tcPr>
            <w:tcW w:w="964" w:type="dxa"/>
            <w:tcMar>
              <w:top w:w="15" w:type="dxa"/>
              <w:left w:w="0" w:type="dxa"/>
              <w:bottom w:w="15" w:type="dxa"/>
              <w:right w:w="15" w:type="dxa"/>
            </w:tcMar>
            <w:vAlign w:val="center"/>
          </w:tcPr>
          <w:p>
            <w:pPr>
              <w:jc w:val="center"/>
              <w:rPr>
                <w:b/>
                <w:bCs/>
                <w:sz w:val="20"/>
                <w:szCs w:val="20"/>
              </w:rPr>
            </w:pPr>
            <w:r>
              <w:rPr>
                <w:b/>
                <w:bCs/>
                <w:sz w:val="20"/>
                <w:szCs w:val="20"/>
              </w:rPr>
              <w:t>批号</w:t>
            </w:r>
          </w:p>
        </w:tc>
        <w:tc>
          <w:tcPr>
            <w:tcW w:w="1361" w:type="dxa"/>
            <w:vAlign w:val="center"/>
          </w:tcPr>
          <w:p>
            <w:pPr>
              <w:jc w:val="center"/>
              <w:rPr>
                <w:b/>
                <w:bCs/>
                <w:sz w:val="20"/>
                <w:szCs w:val="20"/>
              </w:rPr>
            </w:pPr>
            <w:r>
              <w:rPr>
                <w:b/>
                <w:bCs/>
                <w:sz w:val="20"/>
                <w:szCs w:val="20"/>
              </w:rPr>
              <w:t>生产环节</w:t>
            </w:r>
          </w:p>
        </w:tc>
        <w:tc>
          <w:tcPr>
            <w:tcW w:w="1531" w:type="dxa"/>
            <w:vAlign w:val="center"/>
          </w:tcPr>
          <w:p>
            <w:pPr>
              <w:jc w:val="center"/>
              <w:rPr>
                <w:b/>
                <w:bCs/>
                <w:sz w:val="20"/>
                <w:szCs w:val="20"/>
              </w:rPr>
            </w:pPr>
            <w:r>
              <w:rPr>
                <w:b/>
                <w:bCs/>
                <w:sz w:val="20"/>
                <w:szCs w:val="20"/>
              </w:rPr>
              <w:t>关键节点时间</w:t>
            </w:r>
          </w:p>
        </w:tc>
        <w:tc>
          <w:tcPr>
            <w:tcW w:w="1531" w:type="dxa"/>
            <w:vAlign w:val="center"/>
          </w:tcPr>
          <w:p>
            <w:pPr>
              <w:jc w:val="center"/>
              <w:rPr>
                <w:b/>
                <w:bCs/>
                <w:sz w:val="20"/>
                <w:szCs w:val="20"/>
              </w:rPr>
            </w:pPr>
            <w:r>
              <w:rPr>
                <w:b/>
                <w:bCs/>
                <w:sz w:val="20"/>
                <w:szCs w:val="20"/>
              </w:rPr>
              <w:t>关联原料批次</w:t>
            </w:r>
          </w:p>
        </w:tc>
        <w:tc>
          <w:tcPr>
            <w:tcW w:w="1531" w:type="dxa"/>
            <w:vAlign w:val="center"/>
          </w:tcPr>
          <w:p>
            <w:pPr>
              <w:jc w:val="center"/>
              <w:rPr>
                <w:b/>
                <w:bCs/>
                <w:sz w:val="20"/>
                <w:szCs w:val="20"/>
              </w:rPr>
            </w:pPr>
            <w:r>
              <w:rPr>
                <w:b/>
                <w:bCs/>
                <w:sz w:val="20"/>
                <w:szCs w:val="20"/>
              </w:rPr>
              <w:t>质检记录编号</w:t>
            </w:r>
          </w:p>
        </w:tc>
        <w:tc>
          <w:tcPr>
            <w:tcW w:w="1134" w:type="dxa"/>
            <w:vAlign w:val="center"/>
          </w:tcPr>
          <w:p>
            <w:pPr>
              <w:jc w:val="center"/>
              <w:rPr>
                <w:b/>
                <w:bCs/>
                <w:sz w:val="20"/>
                <w:szCs w:val="20"/>
              </w:rPr>
            </w:pPr>
            <w:r>
              <w:rPr>
                <w:b/>
                <w:bCs/>
                <w:sz w:val="20"/>
                <w:szCs w:val="20"/>
              </w:rPr>
              <w:t>问题记录</w:t>
            </w:r>
          </w:p>
        </w:tc>
        <w:tc>
          <w:tcPr>
            <w:tcW w:w="1134" w:type="dxa"/>
            <w:vAlign w:val="center"/>
          </w:tcPr>
          <w:p>
            <w:pPr>
              <w:jc w:val="center"/>
              <w:rPr>
                <w:b/>
                <w:bCs/>
                <w:sz w:val="20"/>
                <w:szCs w:val="20"/>
              </w:rPr>
            </w:pPr>
            <w:r>
              <w:rPr>
                <w:b/>
                <w:bCs/>
                <w:sz w:val="20"/>
                <w:szCs w:val="20"/>
              </w:rPr>
              <w:t>处理措施</w:t>
            </w:r>
          </w:p>
        </w:tc>
      </w:tr>
      <w:tr>
        <w:tblPrEx>
          <w:tblLayout w:type="fixed"/>
          <w:tblCellMar>
            <w:top w:w="15" w:type="dxa"/>
            <w:left w:w="15" w:type="dxa"/>
            <w:bottom w:w="15" w:type="dxa"/>
            <w:right w:w="15" w:type="dxa"/>
          </w:tblCellMar>
        </w:tblPrEx>
        <w:trPr>
          <w:jc w:val="center"/>
        </w:trPr>
        <w:tc>
          <w:tcPr>
            <w:tcW w:w="964" w:type="dxa"/>
            <w:tcMar>
              <w:top w:w="15" w:type="dxa"/>
              <w:left w:w="0" w:type="dxa"/>
              <w:bottom w:w="15" w:type="dxa"/>
              <w:right w:w="15" w:type="dxa"/>
            </w:tcMar>
            <w:vAlign w:val="center"/>
          </w:tcPr>
          <w:p>
            <w:pPr>
              <w:jc w:val="center"/>
              <w:rPr>
                <w:sz w:val="20"/>
                <w:szCs w:val="20"/>
              </w:rPr>
            </w:pPr>
          </w:p>
        </w:tc>
        <w:tc>
          <w:tcPr>
            <w:tcW w:w="1361" w:type="dxa"/>
            <w:vAlign w:val="center"/>
          </w:tcPr>
          <w:p>
            <w:pPr>
              <w:jc w:val="center"/>
              <w:rPr>
                <w:sz w:val="20"/>
                <w:szCs w:val="20"/>
              </w:rPr>
            </w:pPr>
          </w:p>
        </w:tc>
        <w:tc>
          <w:tcPr>
            <w:tcW w:w="1531" w:type="dxa"/>
            <w:vAlign w:val="center"/>
          </w:tcPr>
          <w:p>
            <w:pPr>
              <w:jc w:val="center"/>
              <w:rPr>
                <w:sz w:val="20"/>
                <w:szCs w:val="20"/>
              </w:rPr>
            </w:pPr>
          </w:p>
        </w:tc>
        <w:tc>
          <w:tcPr>
            <w:tcW w:w="1531" w:type="dxa"/>
            <w:vAlign w:val="center"/>
          </w:tcPr>
          <w:p>
            <w:pPr>
              <w:jc w:val="center"/>
              <w:rPr>
                <w:sz w:val="20"/>
                <w:szCs w:val="20"/>
              </w:rPr>
            </w:pPr>
          </w:p>
        </w:tc>
        <w:tc>
          <w:tcPr>
            <w:tcW w:w="1531"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r>
      <w:tr>
        <w:tblPrEx>
          <w:tblLayout w:type="fixed"/>
          <w:tblCellMar>
            <w:top w:w="15" w:type="dxa"/>
            <w:left w:w="15" w:type="dxa"/>
            <w:bottom w:w="15" w:type="dxa"/>
            <w:right w:w="15" w:type="dxa"/>
          </w:tblCellMar>
        </w:tblPrEx>
        <w:trPr>
          <w:jc w:val="center"/>
        </w:trPr>
        <w:tc>
          <w:tcPr>
            <w:tcW w:w="964" w:type="dxa"/>
            <w:tcMar>
              <w:top w:w="15" w:type="dxa"/>
              <w:left w:w="0" w:type="dxa"/>
              <w:bottom w:w="15" w:type="dxa"/>
              <w:right w:w="15" w:type="dxa"/>
            </w:tcMar>
            <w:vAlign w:val="center"/>
          </w:tcPr>
          <w:p>
            <w:pPr>
              <w:jc w:val="center"/>
              <w:rPr>
                <w:sz w:val="20"/>
                <w:szCs w:val="20"/>
              </w:rPr>
            </w:pPr>
          </w:p>
        </w:tc>
        <w:tc>
          <w:tcPr>
            <w:tcW w:w="1361" w:type="dxa"/>
            <w:vAlign w:val="center"/>
          </w:tcPr>
          <w:p>
            <w:pPr>
              <w:jc w:val="center"/>
              <w:rPr>
                <w:sz w:val="20"/>
                <w:szCs w:val="20"/>
              </w:rPr>
            </w:pPr>
          </w:p>
        </w:tc>
        <w:tc>
          <w:tcPr>
            <w:tcW w:w="1531" w:type="dxa"/>
            <w:vAlign w:val="center"/>
          </w:tcPr>
          <w:p>
            <w:pPr>
              <w:jc w:val="center"/>
              <w:rPr>
                <w:sz w:val="20"/>
                <w:szCs w:val="20"/>
              </w:rPr>
            </w:pPr>
          </w:p>
        </w:tc>
        <w:tc>
          <w:tcPr>
            <w:tcW w:w="1531" w:type="dxa"/>
            <w:vAlign w:val="center"/>
          </w:tcPr>
          <w:p>
            <w:pPr>
              <w:jc w:val="center"/>
              <w:rPr>
                <w:sz w:val="20"/>
                <w:szCs w:val="20"/>
              </w:rPr>
            </w:pPr>
          </w:p>
        </w:tc>
        <w:tc>
          <w:tcPr>
            <w:tcW w:w="1531"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r>
      <w:tr>
        <w:tblPrEx>
          <w:tblLayout w:type="fixed"/>
          <w:tblCellMar>
            <w:top w:w="15" w:type="dxa"/>
            <w:left w:w="15" w:type="dxa"/>
            <w:bottom w:w="15" w:type="dxa"/>
            <w:right w:w="15" w:type="dxa"/>
          </w:tblCellMar>
        </w:tblPrEx>
        <w:trPr>
          <w:jc w:val="center"/>
        </w:trPr>
        <w:tc>
          <w:tcPr>
            <w:tcW w:w="964" w:type="dxa"/>
            <w:tcMar>
              <w:top w:w="15" w:type="dxa"/>
              <w:left w:w="0" w:type="dxa"/>
              <w:bottom w:w="15" w:type="dxa"/>
              <w:right w:w="15" w:type="dxa"/>
            </w:tcMar>
            <w:vAlign w:val="center"/>
          </w:tcPr>
          <w:p>
            <w:pPr>
              <w:jc w:val="center"/>
              <w:rPr>
                <w:sz w:val="20"/>
                <w:szCs w:val="20"/>
              </w:rPr>
            </w:pPr>
          </w:p>
        </w:tc>
        <w:tc>
          <w:tcPr>
            <w:tcW w:w="1361" w:type="dxa"/>
            <w:vAlign w:val="center"/>
          </w:tcPr>
          <w:p>
            <w:pPr>
              <w:jc w:val="center"/>
              <w:rPr>
                <w:sz w:val="20"/>
                <w:szCs w:val="20"/>
              </w:rPr>
            </w:pPr>
          </w:p>
        </w:tc>
        <w:tc>
          <w:tcPr>
            <w:tcW w:w="1531" w:type="dxa"/>
            <w:vAlign w:val="center"/>
          </w:tcPr>
          <w:p>
            <w:pPr>
              <w:jc w:val="center"/>
              <w:rPr>
                <w:sz w:val="20"/>
                <w:szCs w:val="20"/>
              </w:rPr>
            </w:pPr>
          </w:p>
        </w:tc>
        <w:tc>
          <w:tcPr>
            <w:tcW w:w="1531" w:type="dxa"/>
            <w:vAlign w:val="center"/>
          </w:tcPr>
          <w:p>
            <w:pPr>
              <w:jc w:val="center"/>
              <w:rPr>
                <w:sz w:val="20"/>
                <w:szCs w:val="20"/>
              </w:rPr>
            </w:pPr>
          </w:p>
        </w:tc>
        <w:tc>
          <w:tcPr>
            <w:tcW w:w="1531"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r>
      <w:tr>
        <w:tblPrEx>
          <w:tblLayout w:type="fixed"/>
          <w:tblCellMar>
            <w:top w:w="15" w:type="dxa"/>
            <w:left w:w="15" w:type="dxa"/>
            <w:bottom w:w="15" w:type="dxa"/>
            <w:right w:w="15" w:type="dxa"/>
          </w:tblCellMar>
        </w:tblPrEx>
        <w:trPr>
          <w:jc w:val="center"/>
        </w:trPr>
        <w:tc>
          <w:tcPr>
            <w:tcW w:w="964" w:type="dxa"/>
            <w:tcMar>
              <w:top w:w="15" w:type="dxa"/>
              <w:left w:w="0" w:type="dxa"/>
              <w:bottom w:w="15" w:type="dxa"/>
              <w:right w:w="15" w:type="dxa"/>
            </w:tcMar>
            <w:vAlign w:val="center"/>
          </w:tcPr>
          <w:p>
            <w:pPr>
              <w:jc w:val="center"/>
              <w:rPr>
                <w:sz w:val="20"/>
                <w:szCs w:val="20"/>
              </w:rPr>
            </w:pPr>
          </w:p>
        </w:tc>
        <w:tc>
          <w:tcPr>
            <w:tcW w:w="1361" w:type="dxa"/>
            <w:vAlign w:val="center"/>
          </w:tcPr>
          <w:p>
            <w:pPr>
              <w:jc w:val="center"/>
              <w:rPr>
                <w:sz w:val="20"/>
                <w:szCs w:val="20"/>
              </w:rPr>
            </w:pPr>
          </w:p>
        </w:tc>
        <w:tc>
          <w:tcPr>
            <w:tcW w:w="1531" w:type="dxa"/>
            <w:vAlign w:val="center"/>
          </w:tcPr>
          <w:p>
            <w:pPr>
              <w:jc w:val="center"/>
              <w:rPr>
                <w:sz w:val="20"/>
                <w:szCs w:val="20"/>
              </w:rPr>
            </w:pPr>
          </w:p>
        </w:tc>
        <w:tc>
          <w:tcPr>
            <w:tcW w:w="1531" w:type="dxa"/>
            <w:vAlign w:val="center"/>
          </w:tcPr>
          <w:p>
            <w:pPr>
              <w:jc w:val="center"/>
              <w:rPr>
                <w:sz w:val="20"/>
                <w:szCs w:val="20"/>
              </w:rPr>
            </w:pPr>
          </w:p>
        </w:tc>
        <w:tc>
          <w:tcPr>
            <w:tcW w:w="1531"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r>
    </w:tbl>
    <w:p>
      <w:pPr>
        <w:pStyle w:val="57"/>
        <w:ind w:firstLine="420"/>
      </w:pPr>
    </w:p>
    <w:p>
      <w:pPr>
        <w:pStyle w:val="78"/>
        <w:spacing w:before="156" w:after="156"/>
        <w:rPr>
          <w:rFonts w:ascii="宋体" w:hAnsi="宋体" w:eastAsia="宋体"/>
          <w:szCs w:val="21"/>
        </w:rPr>
      </w:pPr>
      <w:r>
        <w:rPr>
          <w:rFonts w:hint="eastAsia" w:ascii="宋体" w:hAnsi="宋体" w:eastAsia="宋体"/>
        </w:rPr>
        <w:t xml:space="preserve"> </w:t>
      </w:r>
      <w:r>
        <w:rPr>
          <w:rFonts w:ascii="宋体" w:hAnsi="宋体" w:eastAsia="宋体"/>
          <w:szCs w:val="21"/>
        </w:rPr>
        <w:t>艾蒿加工档案管理表</w:t>
      </w:r>
    </w:p>
    <w:tbl>
      <w:tblPr>
        <w:tblStyle w:val="33"/>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1134"/>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Header/>
          <w:jc w:val="center"/>
        </w:trPr>
        <w:tc>
          <w:tcPr>
            <w:tcW w:w="1134" w:type="dxa"/>
            <w:tcMar>
              <w:top w:w="15" w:type="dxa"/>
              <w:left w:w="0" w:type="dxa"/>
              <w:bottom w:w="15" w:type="dxa"/>
              <w:right w:w="15" w:type="dxa"/>
            </w:tcMar>
            <w:vAlign w:val="center"/>
          </w:tcPr>
          <w:p>
            <w:pPr>
              <w:jc w:val="center"/>
              <w:rPr>
                <w:b/>
                <w:bCs/>
                <w:sz w:val="20"/>
                <w:szCs w:val="20"/>
              </w:rPr>
            </w:pPr>
            <w:r>
              <w:rPr>
                <w:b/>
                <w:bCs/>
                <w:sz w:val="20"/>
                <w:szCs w:val="20"/>
              </w:rPr>
              <w:t>档案编号</w:t>
            </w:r>
          </w:p>
        </w:tc>
        <w:tc>
          <w:tcPr>
            <w:tcW w:w="1134" w:type="dxa"/>
            <w:vAlign w:val="center"/>
          </w:tcPr>
          <w:p>
            <w:pPr>
              <w:jc w:val="center"/>
              <w:rPr>
                <w:b/>
                <w:bCs/>
                <w:sz w:val="20"/>
                <w:szCs w:val="20"/>
              </w:rPr>
            </w:pPr>
            <w:r>
              <w:rPr>
                <w:b/>
                <w:bCs/>
                <w:sz w:val="20"/>
                <w:szCs w:val="20"/>
              </w:rPr>
              <w:t>关联批号</w:t>
            </w:r>
          </w:p>
        </w:tc>
        <w:tc>
          <w:tcPr>
            <w:tcW w:w="1134" w:type="dxa"/>
            <w:vAlign w:val="center"/>
          </w:tcPr>
          <w:p>
            <w:pPr>
              <w:jc w:val="center"/>
              <w:rPr>
                <w:b/>
                <w:bCs/>
                <w:sz w:val="20"/>
                <w:szCs w:val="20"/>
              </w:rPr>
            </w:pPr>
            <w:r>
              <w:rPr>
                <w:b/>
                <w:bCs/>
                <w:sz w:val="20"/>
                <w:szCs w:val="20"/>
              </w:rPr>
              <w:t>档案类型</w:t>
            </w:r>
          </w:p>
        </w:tc>
        <w:tc>
          <w:tcPr>
            <w:tcW w:w="1134" w:type="dxa"/>
            <w:vAlign w:val="center"/>
          </w:tcPr>
          <w:p>
            <w:pPr>
              <w:jc w:val="center"/>
              <w:rPr>
                <w:b/>
                <w:bCs/>
                <w:sz w:val="20"/>
                <w:szCs w:val="20"/>
              </w:rPr>
            </w:pPr>
            <w:r>
              <w:rPr>
                <w:b/>
                <w:bCs/>
                <w:sz w:val="20"/>
                <w:szCs w:val="20"/>
              </w:rPr>
              <w:t>内容摘要</w:t>
            </w:r>
          </w:p>
        </w:tc>
        <w:tc>
          <w:tcPr>
            <w:tcW w:w="1134" w:type="dxa"/>
            <w:vAlign w:val="center"/>
          </w:tcPr>
          <w:p>
            <w:pPr>
              <w:jc w:val="center"/>
              <w:rPr>
                <w:b/>
                <w:bCs/>
                <w:sz w:val="20"/>
                <w:szCs w:val="20"/>
              </w:rPr>
            </w:pPr>
            <w:r>
              <w:rPr>
                <w:b/>
                <w:bCs/>
                <w:sz w:val="20"/>
                <w:szCs w:val="20"/>
              </w:rPr>
              <w:t>存储位置</w:t>
            </w:r>
          </w:p>
        </w:tc>
        <w:tc>
          <w:tcPr>
            <w:tcW w:w="1134" w:type="dxa"/>
            <w:vAlign w:val="center"/>
          </w:tcPr>
          <w:p>
            <w:pPr>
              <w:jc w:val="center"/>
              <w:rPr>
                <w:b/>
                <w:bCs/>
                <w:sz w:val="20"/>
                <w:szCs w:val="20"/>
              </w:rPr>
            </w:pPr>
            <w:r>
              <w:rPr>
                <w:b/>
                <w:bCs/>
                <w:sz w:val="20"/>
                <w:szCs w:val="20"/>
              </w:rPr>
              <w:t>责任人</w:t>
            </w:r>
          </w:p>
        </w:tc>
        <w:tc>
          <w:tcPr>
            <w:tcW w:w="1134" w:type="dxa"/>
            <w:vAlign w:val="center"/>
          </w:tcPr>
          <w:p>
            <w:pPr>
              <w:jc w:val="center"/>
              <w:rPr>
                <w:b/>
                <w:bCs/>
                <w:sz w:val="20"/>
                <w:szCs w:val="20"/>
              </w:rPr>
            </w:pPr>
            <w:r>
              <w:rPr>
                <w:b/>
                <w:bCs/>
                <w:sz w:val="20"/>
                <w:szCs w:val="20"/>
              </w:rPr>
              <w:t>存档日期</w:t>
            </w:r>
          </w:p>
        </w:tc>
        <w:tc>
          <w:tcPr>
            <w:tcW w:w="1134" w:type="dxa"/>
            <w:vAlign w:val="center"/>
          </w:tcPr>
          <w:p>
            <w:pPr>
              <w:jc w:val="center"/>
              <w:rPr>
                <w:b/>
                <w:bCs/>
                <w:sz w:val="20"/>
                <w:szCs w:val="20"/>
              </w:rPr>
            </w:pPr>
            <w:r>
              <w:rPr>
                <w:b/>
                <w:bCs/>
                <w:sz w:val="20"/>
                <w:szCs w:val="20"/>
              </w:rPr>
              <w:t>保存期限</w:t>
            </w:r>
          </w:p>
        </w:tc>
      </w:tr>
      <w:tr>
        <w:tblPrEx>
          <w:tblLayout w:type="fixed"/>
          <w:tblCellMar>
            <w:top w:w="15" w:type="dxa"/>
            <w:left w:w="15" w:type="dxa"/>
            <w:bottom w:w="15" w:type="dxa"/>
            <w:right w:w="15" w:type="dxa"/>
          </w:tblCellMar>
        </w:tblPrEx>
        <w:trPr>
          <w:jc w:val="center"/>
        </w:trPr>
        <w:tc>
          <w:tcPr>
            <w:tcW w:w="1134" w:type="dxa"/>
            <w:tcMar>
              <w:top w:w="15" w:type="dxa"/>
              <w:left w:w="0" w:type="dxa"/>
              <w:bottom w:w="15" w:type="dxa"/>
              <w:right w:w="15" w:type="dxa"/>
            </w:tcMar>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r>
      <w:tr>
        <w:tblPrEx>
          <w:tblLayout w:type="fixed"/>
          <w:tblCellMar>
            <w:top w:w="15" w:type="dxa"/>
            <w:left w:w="15" w:type="dxa"/>
            <w:bottom w:w="15" w:type="dxa"/>
            <w:right w:w="15" w:type="dxa"/>
          </w:tblCellMar>
        </w:tblPrEx>
        <w:trPr>
          <w:jc w:val="center"/>
        </w:trPr>
        <w:tc>
          <w:tcPr>
            <w:tcW w:w="1134" w:type="dxa"/>
            <w:tcMar>
              <w:top w:w="15" w:type="dxa"/>
              <w:left w:w="0" w:type="dxa"/>
              <w:bottom w:w="15" w:type="dxa"/>
              <w:right w:w="15" w:type="dxa"/>
            </w:tcMar>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r>
      <w:tr>
        <w:tblPrEx>
          <w:tblLayout w:type="fixed"/>
          <w:tblCellMar>
            <w:top w:w="15" w:type="dxa"/>
            <w:left w:w="15" w:type="dxa"/>
            <w:bottom w:w="15" w:type="dxa"/>
            <w:right w:w="15" w:type="dxa"/>
          </w:tblCellMar>
        </w:tblPrEx>
        <w:trPr>
          <w:jc w:val="center"/>
        </w:trPr>
        <w:tc>
          <w:tcPr>
            <w:tcW w:w="1134" w:type="dxa"/>
            <w:tcMar>
              <w:top w:w="15" w:type="dxa"/>
              <w:left w:w="0" w:type="dxa"/>
              <w:bottom w:w="15" w:type="dxa"/>
              <w:right w:w="15" w:type="dxa"/>
            </w:tcMar>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r>
      <w:tr>
        <w:tblPrEx>
          <w:tblLayout w:type="fixed"/>
          <w:tblCellMar>
            <w:top w:w="15" w:type="dxa"/>
            <w:left w:w="15" w:type="dxa"/>
            <w:bottom w:w="15" w:type="dxa"/>
            <w:right w:w="15" w:type="dxa"/>
          </w:tblCellMar>
        </w:tblPrEx>
        <w:trPr>
          <w:jc w:val="center"/>
        </w:trPr>
        <w:tc>
          <w:tcPr>
            <w:tcW w:w="1134" w:type="dxa"/>
            <w:tcMar>
              <w:top w:w="15" w:type="dxa"/>
              <w:left w:w="0" w:type="dxa"/>
              <w:bottom w:w="15" w:type="dxa"/>
              <w:right w:w="15" w:type="dxa"/>
            </w:tcMar>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c>
          <w:tcPr>
            <w:tcW w:w="1134" w:type="dxa"/>
            <w:vAlign w:val="center"/>
          </w:tcPr>
          <w:p>
            <w:pPr>
              <w:jc w:val="center"/>
              <w:rPr>
                <w:sz w:val="20"/>
                <w:szCs w:val="20"/>
              </w:rPr>
            </w:pPr>
          </w:p>
        </w:tc>
      </w:tr>
    </w:tbl>
    <w:p>
      <w:pPr>
        <w:pStyle w:val="57"/>
        <w:ind w:firstLine="420"/>
      </w:pPr>
    </w:p>
    <w:p>
      <w:pPr>
        <w:pStyle w:val="57"/>
        <w:ind w:firstLine="420"/>
      </w:pPr>
    </w:p>
    <w:p>
      <w:pPr>
        <w:pStyle w:val="57"/>
        <w:ind w:firstLine="420"/>
      </w:pPr>
    </w:p>
    <w:bookmarkEnd w:id="183"/>
    <w:p>
      <w:pPr>
        <w:pStyle w:val="57"/>
        <w:ind w:firstLine="420"/>
        <w:sectPr>
          <w:pgSz w:w="11906" w:h="16838"/>
          <w:pgMar w:top="1928" w:right="1134" w:bottom="1134" w:left="1134" w:header="1418" w:footer="1134" w:gutter="284"/>
          <w:cols w:space="425" w:num="1"/>
          <w:formProt w:val="0"/>
          <w:docGrid w:type="lines" w:linePitch="312" w:charSpace="0"/>
        </w:sectPr>
      </w:pPr>
    </w:p>
    <w:p>
      <w:pPr>
        <w:pStyle w:val="64"/>
        <w:spacing w:after="156"/>
      </w:pPr>
      <w:bookmarkStart w:id="187" w:name="_Toc180707645"/>
      <w:bookmarkStart w:id="188" w:name="_Toc192503765"/>
      <w:bookmarkStart w:id="189" w:name="_Toc181914971"/>
      <w:bookmarkStart w:id="190" w:name="_Toc194303061"/>
      <w:bookmarkStart w:id="191" w:name="_Toc194303070"/>
      <w:bookmarkStart w:id="192" w:name="_Toc202633968"/>
      <w:bookmarkStart w:id="193" w:name="_Toc202633981"/>
      <w:bookmarkStart w:id="194" w:name="_Toc202634197"/>
      <w:r>
        <w:rPr>
          <w:rFonts w:hint="eastAsia"/>
          <w:spacing w:val="105"/>
        </w:rPr>
        <w:t>参考文</w:t>
      </w:r>
      <w:r>
        <w:rPr>
          <w:rFonts w:hint="eastAsia"/>
        </w:rPr>
        <w:t>献</w:t>
      </w:r>
      <w:bookmarkEnd w:id="187"/>
      <w:bookmarkEnd w:id="188"/>
      <w:bookmarkEnd w:id="189"/>
      <w:bookmarkEnd w:id="190"/>
      <w:bookmarkEnd w:id="191"/>
      <w:bookmarkEnd w:id="192"/>
      <w:bookmarkEnd w:id="193"/>
      <w:bookmarkEnd w:id="194"/>
    </w:p>
    <w:bookmarkEnd w:id="182"/>
    <w:p>
      <w:pPr>
        <w:pStyle w:val="57"/>
        <w:ind w:firstLine="420"/>
        <w:rPr>
          <w:rFonts w:ascii="Times New Roman"/>
        </w:rPr>
      </w:pPr>
      <w:r>
        <w:rPr>
          <w:rFonts w:ascii="Times New Roman"/>
        </w:rPr>
        <w:t>[1]吴雨泉,陈虹秀,张磊磊,等.艾叶精油的应用进展及开发前景[J].安徽农业科学,2022,50(22):6-10.</w:t>
      </w:r>
    </w:p>
    <w:p>
      <w:pPr>
        <w:pStyle w:val="57"/>
        <w:ind w:firstLine="420"/>
        <w:rPr>
          <w:rFonts w:ascii="Times New Roman"/>
        </w:rPr>
      </w:pPr>
      <w:r>
        <w:rPr>
          <w:rFonts w:ascii="Times New Roman"/>
        </w:rPr>
        <w:t>[2]张凌会,徐元庆,金晓,等.艾蒿提取物的生物学作用研究进展[J].动物营养学报,2022,34(01):51-58.</w:t>
      </w:r>
    </w:p>
    <w:p>
      <w:pPr>
        <w:pStyle w:val="57"/>
        <w:ind w:firstLine="420"/>
        <w:rPr>
          <w:rFonts w:ascii="Times New Roman"/>
        </w:rPr>
      </w:pPr>
      <w:r>
        <w:rPr>
          <w:rFonts w:ascii="Times New Roman"/>
        </w:rPr>
        <w:t>[3]陈宁,王梓林,刘冰,等.野艾蒿化学成分和药理作用研究进展[J].广西植物,2024,44(07):1377-1391.</w:t>
      </w:r>
    </w:p>
    <w:p>
      <w:pPr>
        <w:pStyle w:val="57"/>
        <w:ind w:firstLine="420"/>
        <w:rPr>
          <w:rFonts w:ascii="Times New Roman"/>
        </w:rPr>
      </w:pPr>
      <w:r>
        <w:rPr>
          <w:rFonts w:ascii="Times New Roman"/>
        </w:rPr>
        <w:t>[4]Agyekumwaa K A .艾蒿精油对食源性致病菌的抑菌机制及其在鲜切蔬菜上的应用[D].华南理工大学,2023.</w:t>
      </w:r>
    </w:p>
    <w:p>
      <w:pPr>
        <w:pStyle w:val="57"/>
        <w:ind w:firstLine="420"/>
        <w:rPr>
          <w:rFonts w:ascii="Times New Roman"/>
        </w:rPr>
      </w:pPr>
      <w:r>
        <w:rPr>
          <w:rFonts w:ascii="Times New Roman"/>
        </w:rPr>
        <w:t>[5]李春娜,占颖,刘洋洋,等.艾蒿药理作用和开发利用研究进展[J].中华中医药杂志,2014,29(12):3889-3891.</w:t>
      </w:r>
    </w:p>
    <w:p>
      <w:pPr>
        <w:pStyle w:val="57"/>
        <w:ind w:firstLine="420"/>
        <w:rPr>
          <w:rFonts w:ascii="Times New Roman"/>
        </w:rPr>
      </w:pPr>
      <w:r>
        <w:rPr>
          <w:rFonts w:ascii="Times New Roman"/>
        </w:rPr>
        <w:t>[6]中华人民共和国药典委员会. 中国药典（2020年版）一部[S]. 北京: 中国医药科技出版社, 2020.</w:t>
      </w:r>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宋体" w:hAnsi="宋体" w:eastAsia="宋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6946"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lang w:val="en-US"/>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W4SYbkc87lMAwi/qRYMUnkrVY7y+Jy/oi9Nr5YaUdbBJFiFjFeHn96+PT04RYO4Aue92FZ4xvC5C4B/k1Ricuw==" w:salt="IrUGtjPILsIUp+an2SLVl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F9"/>
    <w:rsid w:val="0000040A"/>
    <w:rsid w:val="00000A94"/>
    <w:rsid w:val="00001972"/>
    <w:rsid w:val="00001D9A"/>
    <w:rsid w:val="00004402"/>
    <w:rsid w:val="00004F60"/>
    <w:rsid w:val="00005374"/>
    <w:rsid w:val="00006746"/>
    <w:rsid w:val="00007B3A"/>
    <w:rsid w:val="000107E0"/>
    <w:rsid w:val="0001160D"/>
    <w:rsid w:val="00011FDE"/>
    <w:rsid w:val="00012FFD"/>
    <w:rsid w:val="00013C65"/>
    <w:rsid w:val="00014162"/>
    <w:rsid w:val="00014340"/>
    <w:rsid w:val="00016A9C"/>
    <w:rsid w:val="00020BA9"/>
    <w:rsid w:val="0002134E"/>
    <w:rsid w:val="00022184"/>
    <w:rsid w:val="00022762"/>
    <w:rsid w:val="000238E0"/>
    <w:rsid w:val="000249DB"/>
    <w:rsid w:val="00025295"/>
    <w:rsid w:val="0002595E"/>
    <w:rsid w:val="00026E8E"/>
    <w:rsid w:val="000303C3"/>
    <w:rsid w:val="0003163E"/>
    <w:rsid w:val="000331D3"/>
    <w:rsid w:val="000346A5"/>
    <w:rsid w:val="000359C3"/>
    <w:rsid w:val="00035A7D"/>
    <w:rsid w:val="000365ED"/>
    <w:rsid w:val="0004249A"/>
    <w:rsid w:val="00043282"/>
    <w:rsid w:val="00044286"/>
    <w:rsid w:val="0004497F"/>
    <w:rsid w:val="00047F28"/>
    <w:rsid w:val="000503AA"/>
    <w:rsid w:val="000506A1"/>
    <w:rsid w:val="0005149C"/>
    <w:rsid w:val="000515DD"/>
    <w:rsid w:val="0005265A"/>
    <w:rsid w:val="000539DD"/>
    <w:rsid w:val="00053BD3"/>
    <w:rsid w:val="00054E46"/>
    <w:rsid w:val="000556ED"/>
    <w:rsid w:val="00055FE2"/>
    <w:rsid w:val="0005616F"/>
    <w:rsid w:val="00060C2E"/>
    <w:rsid w:val="00061033"/>
    <w:rsid w:val="000619E9"/>
    <w:rsid w:val="000622D4"/>
    <w:rsid w:val="0006357D"/>
    <w:rsid w:val="00063690"/>
    <w:rsid w:val="00064FC5"/>
    <w:rsid w:val="00067F1E"/>
    <w:rsid w:val="00071CC0"/>
    <w:rsid w:val="00072715"/>
    <w:rsid w:val="00073C8C"/>
    <w:rsid w:val="000751D3"/>
    <w:rsid w:val="00077B64"/>
    <w:rsid w:val="00080A1C"/>
    <w:rsid w:val="00082317"/>
    <w:rsid w:val="00083D2C"/>
    <w:rsid w:val="000846A9"/>
    <w:rsid w:val="00085B8F"/>
    <w:rsid w:val="00086AA1"/>
    <w:rsid w:val="000876A6"/>
    <w:rsid w:val="00087A77"/>
    <w:rsid w:val="00090CA6"/>
    <w:rsid w:val="00092B8A"/>
    <w:rsid w:val="00092FB0"/>
    <w:rsid w:val="000934C5"/>
    <w:rsid w:val="000936E6"/>
    <w:rsid w:val="00093D25"/>
    <w:rsid w:val="00093DAB"/>
    <w:rsid w:val="00094037"/>
    <w:rsid w:val="00094C9B"/>
    <w:rsid w:val="00094D73"/>
    <w:rsid w:val="00096D63"/>
    <w:rsid w:val="00096F7A"/>
    <w:rsid w:val="000A0B60"/>
    <w:rsid w:val="000A0EB8"/>
    <w:rsid w:val="000A19FC"/>
    <w:rsid w:val="000A296B"/>
    <w:rsid w:val="000A56C3"/>
    <w:rsid w:val="000A56EA"/>
    <w:rsid w:val="000A56FC"/>
    <w:rsid w:val="000A579D"/>
    <w:rsid w:val="000A66D1"/>
    <w:rsid w:val="000A7311"/>
    <w:rsid w:val="000B060F"/>
    <w:rsid w:val="000B1592"/>
    <w:rsid w:val="000B1AE4"/>
    <w:rsid w:val="000B1FF2"/>
    <w:rsid w:val="000B3685"/>
    <w:rsid w:val="000B3CDA"/>
    <w:rsid w:val="000B6A0B"/>
    <w:rsid w:val="000C07EB"/>
    <w:rsid w:val="000C0F6C"/>
    <w:rsid w:val="000C11DB"/>
    <w:rsid w:val="000C1492"/>
    <w:rsid w:val="000C2FBD"/>
    <w:rsid w:val="000C4B41"/>
    <w:rsid w:val="000C57D6"/>
    <w:rsid w:val="000C6362"/>
    <w:rsid w:val="000C7666"/>
    <w:rsid w:val="000D0A9C"/>
    <w:rsid w:val="000D1795"/>
    <w:rsid w:val="000D329A"/>
    <w:rsid w:val="000D4B9C"/>
    <w:rsid w:val="000D4EB6"/>
    <w:rsid w:val="000D5C67"/>
    <w:rsid w:val="000D753B"/>
    <w:rsid w:val="000E0E73"/>
    <w:rsid w:val="000E195F"/>
    <w:rsid w:val="000E1A46"/>
    <w:rsid w:val="000E4C9E"/>
    <w:rsid w:val="000E4DA4"/>
    <w:rsid w:val="000E6FD7"/>
    <w:rsid w:val="000E7AE6"/>
    <w:rsid w:val="000E7C21"/>
    <w:rsid w:val="000F06E1"/>
    <w:rsid w:val="000F0E3C"/>
    <w:rsid w:val="000F19D5"/>
    <w:rsid w:val="000F2322"/>
    <w:rsid w:val="000F4AEA"/>
    <w:rsid w:val="000F633F"/>
    <w:rsid w:val="000F67E9"/>
    <w:rsid w:val="00101358"/>
    <w:rsid w:val="00104926"/>
    <w:rsid w:val="001050B8"/>
    <w:rsid w:val="0010752B"/>
    <w:rsid w:val="0011222A"/>
    <w:rsid w:val="00113B1E"/>
    <w:rsid w:val="0011472E"/>
    <w:rsid w:val="0011711C"/>
    <w:rsid w:val="0012059C"/>
    <w:rsid w:val="00124E4F"/>
    <w:rsid w:val="00125A9B"/>
    <w:rsid w:val="001260B7"/>
    <w:rsid w:val="001265CB"/>
    <w:rsid w:val="00127033"/>
    <w:rsid w:val="001321C6"/>
    <w:rsid w:val="001325C4"/>
    <w:rsid w:val="00133010"/>
    <w:rsid w:val="001338EE"/>
    <w:rsid w:val="00133AAE"/>
    <w:rsid w:val="00134E12"/>
    <w:rsid w:val="00135323"/>
    <w:rsid w:val="001356C4"/>
    <w:rsid w:val="00140577"/>
    <w:rsid w:val="00141114"/>
    <w:rsid w:val="00142969"/>
    <w:rsid w:val="001446C2"/>
    <w:rsid w:val="001457E7"/>
    <w:rsid w:val="00145D9D"/>
    <w:rsid w:val="00146388"/>
    <w:rsid w:val="00146D79"/>
    <w:rsid w:val="00147A83"/>
    <w:rsid w:val="00151C9C"/>
    <w:rsid w:val="00152594"/>
    <w:rsid w:val="001529E5"/>
    <w:rsid w:val="00153359"/>
    <w:rsid w:val="00153C7E"/>
    <w:rsid w:val="00154428"/>
    <w:rsid w:val="00156B25"/>
    <w:rsid w:val="00156DB4"/>
    <w:rsid w:val="00156E1A"/>
    <w:rsid w:val="00157894"/>
    <w:rsid w:val="00157B55"/>
    <w:rsid w:val="00157F29"/>
    <w:rsid w:val="00160BBC"/>
    <w:rsid w:val="001642FA"/>
    <w:rsid w:val="001649EB"/>
    <w:rsid w:val="00164BAF"/>
    <w:rsid w:val="00164FA8"/>
    <w:rsid w:val="00165065"/>
    <w:rsid w:val="00165434"/>
    <w:rsid w:val="0016580B"/>
    <w:rsid w:val="00165F49"/>
    <w:rsid w:val="00166814"/>
    <w:rsid w:val="00166B88"/>
    <w:rsid w:val="0016770A"/>
    <w:rsid w:val="00167EF2"/>
    <w:rsid w:val="00170804"/>
    <w:rsid w:val="001708E9"/>
    <w:rsid w:val="00172774"/>
    <w:rsid w:val="0017340B"/>
    <w:rsid w:val="00173FB1"/>
    <w:rsid w:val="00175D8F"/>
    <w:rsid w:val="00176A75"/>
    <w:rsid w:val="00176DFD"/>
    <w:rsid w:val="0018040E"/>
    <w:rsid w:val="0018353B"/>
    <w:rsid w:val="001852C9"/>
    <w:rsid w:val="00190087"/>
    <w:rsid w:val="0019023C"/>
    <w:rsid w:val="001913C4"/>
    <w:rsid w:val="00192A95"/>
    <w:rsid w:val="00192AD9"/>
    <w:rsid w:val="0019348F"/>
    <w:rsid w:val="00193A07"/>
    <w:rsid w:val="00194C95"/>
    <w:rsid w:val="00195C34"/>
    <w:rsid w:val="00196EF5"/>
    <w:rsid w:val="00197B04"/>
    <w:rsid w:val="001A1A53"/>
    <w:rsid w:val="001A234A"/>
    <w:rsid w:val="001A2D3F"/>
    <w:rsid w:val="001A4CF3"/>
    <w:rsid w:val="001A58E6"/>
    <w:rsid w:val="001B06E8"/>
    <w:rsid w:val="001B71D0"/>
    <w:rsid w:val="001B71EE"/>
    <w:rsid w:val="001C04A8"/>
    <w:rsid w:val="001C07C1"/>
    <w:rsid w:val="001C2C03"/>
    <w:rsid w:val="001C2E4C"/>
    <w:rsid w:val="001C42F7"/>
    <w:rsid w:val="001C49E5"/>
    <w:rsid w:val="001C5623"/>
    <w:rsid w:val="001C5F4F"/>
    <w:rsid w:val="001C680C"/>
    <w:rsid w:val="001C7206"/>
    <w:rsid w:val="001C7FEA"/>
    <w:rsid w:val="001D0499"/>
    <w:rsid w:val="001D0BBE"/>
    <w:rsid w:val="001D0ED4"/>
    <w:rsid w:val="001D212F"/>
    <w:rsid w:val="001D29D7"/>
    <w:rsid w:val="001D2DE7"/>
    <w:rsid w:val="001D411C"/>
    <w:rsid w:val="001D632C"/>
    <w:rsid w:val="001D651B"/>
    <w:rsid w:val="001E1B6A"/>
    <w:rsid w:val="001E2484"/>
    <w:rsid w:val="001E2E55"/>
    <w:rsid w:val="001E3CC4"/>
    <w:rsid w:val="001E4882"/>
    <w:rsid w:val="001E559C"/>
    <w:rsid w:val="001E73AB"/>
    <w:rsid w:val="001F092D"/>
    <w:rsid w:val="001F143A"/>
    <w:rsid w:val="001F1605"/>
    <w:rsid w:val="001F1B01"/>
    <w:rsid w:val="001F2508"/>
    <w:rsid w:val="001F4816"/>
    <w:rsid w:val="001F4B31"/>
    <w:rsid w:val="001F4EE9"/>
    <w:rsid w:val="001F4FE2"/>
    <w:rsid w:val="001F6849"/>
    <w:rsid w:val="001F69B4"/>
    <w:rsid w:val="001F77C7"/>
    <w:rsid w:val="00200183"/>
    <w:rsid w:val="00200333"/>
    <w:rsid w:val="0020107D"/>
    <w:rsid w:val="00202302"/>
    <w:rsid w:val="0020271D"/>
    <w:rsid w:val="00202AA4"/>
    <w:rsid w:val="002031F7"/>
    <w:rsid w:val="002040E6"/>
    <w:rsid w:val="0020527B"/>
    <w:rsid w:val="00205F2C"/>
    <w:rsid w:val="0020634A"/>
    <w:rsid w:val="00207E73"/>
    <w:rsid w:val="00210B15"/>
    <w:rsid w:val="002142EA"/>
    <w:rsid w:val="002204BB"/>
    <w:rsid w:val="00221591"/>
    <w:rsid w:val="00221B79"/>
    <w:rsid w:val="00221C6B"/>
    <w:rsid w:val="002253A1"/>
    <w:rsid w:val="00225B09"/>
    <w:rsid w:val="00225CF8"/>
    <w:rsid w:val="0022794E"/>
    <w:rsid w:val="00233D64"/>
    <w:rsid w:val="00234338"/>
    <w:rsid w:val="0023482A"/>
    <w:rsid w:val="002359CB"/>
    <w:rsid w:val="00243540"/>
    <w:rsid w:val="0024497B"/>
    <w:rsid w:val="0024515B"/>
    <w:rsid w:val="00246021"/>
    <w:rsid w:val="0024666E"/>
    <w:rsid w:val="00246B47"/>
    <w:rsid w:val="00247F52"/>
    <w:rsid w:val="00250B25"/>
    <w:rsid w:val="00250BBE"/>
    <w:rsid w:val="002515C2"/>
    <w:rsid w:val="0025194F"/>
    <w:rsid w:val="00256053"/>
    <w:rsid w:val="0026148A"/>
    <w:rsid w:val="00261C20"/>
    <w:rsid w:val="00262065"/>
    <w:rsid w:val="00262696"/>
    <w:rsid w:val="00263D25"/>
    <w:rsid w:val="002643C3"/>
    <w:rsid w:val="00264A0C"/>
    <w:rsid w:val="00266EEB"/>
    <w:rsid w:val="00267EF4"/>
    <w:rsid w:val="00270CB8"/>
    <w:rsid w:val="00272B08"/>
    <w:rsid w:val="00275FCD"/>
    <w:rsid w:val="002771AC"/>
    <w:rsid w:val="00281BB8"/>
    <w:rsid w:val="00281E9E"/>
    <w:rsid w:val="00282405"/>
    <w:rsid w:val="00285170"/>
    <w:rsid w:val="00285361"/>
    <w:rsid w:val="002929C9"/>
    <w:rsid w:val="00292D60"/>
    <w:rsid w:val="00293B30"/>
    <w:rsid w:val="00294D34"/>
    <w:rsid w:val="00294E3B"/>
    <w:rsid w:val="00296193"/>
    <w:rsid w:val="00296C66"/>
    <w:rsid w:val="00296EBE"/>
    <w:rsid w:val="002974E3"/>
    <w:rsid w:val="002A084B"/>
    <w:rsid w:val="002A0EF7"/>
    <w:rsid w:val="002A1260"/>
    <w:rsid w:val="002A1318"/>
    <w:rsid w:val="002A1589"/>
    <w:rsid w:val="002A1608"/>
    <w:rsid w:val="002A25DC"/>
    <w:rsid w:val="002A3AAB"/>
    <w:rsid w:val="002A4CEA"/>
    <w:rsid w:val="002A5977"/>
    <w:rsid w:val="002A5A13"/>
    <w:rsid w:val="002A606B"/>
    <w:rsid w:val="002A6C3E"/>
    <w:rsid w:val="002A757F"/>
    <w:rsid w:val="002A7F44"/>
    <w:rsid w:val="002B0C40"/>
    <w:rsid w:val="002B1966"/>
    <w:rsid w:val="002B19C2"/>
    <w:rsid w:val="002B4508"/>
    <w:rsid w:val="002B5779"/>
    <w:rsid w:val="002B5F95"/>
    <w:rsid w:val="002B6390"/>
    <w:rsid w:val="002B7332"/>
    <w:rsid w:val="002B7F51"/>
    <w:rsid w:val="002C09E7"/>
    <w:rsid w:val="002C1E06"/>
    <w:rsid w:val="002C1E1C"/>
    <w:rsid w:val="002C3F07"/>
    <w:rsid w:val="002C5278"/>
    <w:rsid w:val="002C6C86"/>
    <w:rsid w:val="002C7EBB"/>
    <w:rsid w:val="002D06C1"/>
    <w:rsid w:val="002D42B5"/>
    <w:rsid w:val="002D4F1A"/>
    <w:rsid w:val="002D6EC6"/>
    <w:rsid w:val="002D79AC"/>
    <w:rsid w:val="002E039D"/>
    <w:rsid w:val="002E4D5A"/>
    <w:rsid w:val="002E5C0E"/>
    <w:rsid w:val="002E6326"/>
    <w:rsid w:val="002F26B7"/>
    <w:rsid w:val="002F2BFE"/>
    <w:rsid w:val="002F30E0"/>
    <w:rsid w:val="002F35E4"/>
    <w:rsid w:val="002F3730"/>
    <w:rsid w:val="002F38E1"/>
    <w:rsid w:val="002F4EDB"/>
    <w:rsid w:val="002F5A3E"/>
    <w:rsid w:val="002F6153"/>
    <w:rsid w:val="002F77F1"/>
    <w:rsid w:val="002F7AF6"/>
    <w:rsid w:val="002F7E08"/>
    <w:rsid w:val="00300E63"/>
    <w:rsid w:val="00302F5F"/>
    <w:rsid w:val="0030441D"/>
    <w:rsid w:val="00306063"/>
    <w:rsid w:val="00310093"/>
    <w:rsid w:val="00313B85"/>
    <w:rsid w:val="00316258"/>
    <w:rsid w:val="00317988"/>
    <w:rsid w:val="003218A6"/>
    <w:rsid w:val="003221B4"/>
    <w:rsid w:val="0032258D"/>
    <w:rsid w:val="00322E62"/>
    <w:rsid w:val="00324D13"/>
    <w:rsid w:val="00324D2A"/>
    <w:rsid w:val="00324EDD"/>
    <w:rsid w:val="003331E4"/>
    <w:rsid w:val="00333E68"/>
    <w:rsid w:val="00334820"/>
    <w:rsid w:val="003360EA"/>
    <w:rsid w:val="00336C64"/>
    <w:rsid w:val="00337162"/>
    <w:rsid w:val="0034194F"/>
    <w:rsid w:val="00344310"/>
    <w:rsid w:val="00344605"/>
    <w:rsid w:val="00345EFB"/>
    <w:rsid w:val="003474AA"/>
    <w:rsid w:val="00350D1D"/>
    <w:rsid w:val="00352C83"/>
    <w:rsid w:val="00356B32"/>
    <w:rsid w:val="00356D9E"/>
    <w:rsid w:val="003576C2"/>
    <w:rsid w:val="003615D2"/>
    <w:rsid w:val="0036429C"/>
    <w:rsid w:val="00364A53"/>
    <w:rsid w:val="003654CB"/>
    <w:rsid w:val="00365AA9"/>
    <w:rsid w:val="00365F86"/>
    <w:rsid w:val="00365F87"/>
    <w:rsid w:val="00366E89"/>
    <w:rsid w:val="0037009A"/>
    <w:rsid w:val="003705F4"/>
    <w:rsid w:val="00370D58"/>
    <w:rsid w:val="00371316"/>
    <w:rsid w:val="00372C41"/>
    <w:rsid w:val="00376713"/>
    <w:rsid w:val="00376BE4"/>
    <w:rsid w:val="00381815"/>
    <w:rsid w:val="003819AF"/>
    <w:rsid w:val="00381D7D"/>
    <w:rsid w:val="003820E9"/>
    <w:rsid w:val="00382DE7"/>
    <w:rsid w:val="00382E69"/>
    <w:rsid w:val="00384401"/>
    <w:rsid w:val="00384FFC"/>
    <w:rsid w:val="003872FC"/>
    <w:rsid w:val="003875C8"/>
    <w:rsid w:val="00387ADC"/>
    <w:rsid w:val="00390020"/>
    <w:rsid w:val="003903D6"/>
    <w:rsid w:val="00390EE6"/>
    <w:rsid w:val="0039118F"/>
    <w:rsid w:val="00392AD7"/>
    <w:rsid w:val="003938D9"/>
    <w:rsid w:val="00394091"/>
    <w:rsid w:val="00394376"/>
    <w:rsid w:val="003943FF"/>
    <w:rsid w:val="00395700"/>
    <w:rsid w:val="003974EB"/>
    <w:rsid w:val="00397CC5"/>
    <w:rsid w:val="003A1582"/>
    <w:rsid w:val="003A21C5"/>
    <w:rsid w:val="003A251F"/>
    <w:rsid w:val="003A4077"/>
    <w:rsid w:val="003B09AD"/>
    <w:rsid w:val="003B0EF0"/>
    <w:rsid w:val="003B1F18"/>
    <w:rsid w:val="003B208A"/>
    <w:rsid w:val="003B5475"/>
    <w:rsid w:val="003B5BF0"/>
    <w:rsid w:val="003B5FC0"/>
    <w:rsid w:val="003B60BF"/>
    <w:rsid w:val="003B6BE3"/>
    <w:rsid w:val="003B76BD"/>
    <w:rsid w:val="003B7863"/>
    <w:rsid w:val="003C010C"/>
    <w:rsid w:val="003C0A6C"/>
    <w:rsid w:val="003C1014"/>
    <w:rsid w:val="003C14F8"/>
    <w:rsid w:val="003C48CA"/>
    <w:rsid w:val="003C5496"/>
    <w:rsid w:val="003C5A43"/>
    <w:rsid w:val="003D0519"/>
    <w:rsid w:val="003D0FF6"/>
    <w:rsid w:val="003D262C"/>
    <w:rsid w:val="003D36CF"/>
    <w:rsid w:val="003D3853"/>
    <w:rsid w:val="003D6D61"/>
    <w:rsid w:val="003D79C6"/>
    <w:rsid w:val="003E091D"/>
    <w:rsid w:val="003E1C53"/>
    <w:rsid w:val="003E2A69"/>
    <w:rsid w:val="003E2D49"/>
    <w:rsid w:val="003E2FD4"/>
    <w:rsid w:val="003E49F6"/>
    <w:rsid w:val="003E660F"/>
    <w:rsid w:val="003F0841"/>
    <w:rsid w:val="003F23D3"/>
    <w:rsid w:val="003F3F08"/>
    <w:rsid w:val="003F49F1"/>
    <w:rsid w:val="003F4F37"/>
    <w:rsid w:val="003F6272"/>
    <w:rsid w:val="00400AA3"/>
    <w:rsid w:val="00400E72"/>
    <w:rsid w:val="00401400"/>
    <w:rsid w:val="00404869"/>
    <w:rsid w:val="00405884"/>
    <w:rsid w:val="00407D39"/>
    <w:rsid w:val="004100F9"/>
    <w:rsid w:val="00412888"/>
    <w:rsid w:val="0041477A"/>
    <w:rsid w:val="00415584"/>
    <w:rsid w:val="004167A3"/>
    <w:rsid w:val="00424D5B"/>
    <w:rsid w:val="00432DAA"/>
    <w:rsid w:val="00434305"/>
    <w:rsid w:val="00435DF7"/>
    <w:rsid w:val="0044083F"/>
    <w:rsid w:val="00441AE7"/>
    <w:rsid w:val="00445574"/>
    <w:rsid w:val="00445FF9"/>
    <w:rsid w:val="004467FB"/>
    <w:rsid w:val="00446882"/>
    <w:rsid w:val="00447130"/>
    <w:rsid w:val="00452D6B"/>
    <w:rsid w:val="00453E9C"/>
    <w:rsid w:val="00454484"/>
    <w:rsid w:val="0045517B"/>
    <w:rsid w:val="004615A3"/>
    <w:rsid w:val="00461AD8"/>
    <w:rsid w:val="00463B77"/>
    <w:rsid w:val="00463C7B"/>
    <w:rsid w:val="004644A6"/>
    <w:rsid w:val="00465875"/>
    <w:rsid w:val="004659BD"/>
    <w:rsid w:val="00470775"/>
    <w:rsid w:val="00471937"/>
    <w:rsid w:val="004746B1"/>
    <w:rsid w:val="00474DFE"/>
    <w:rsid w:val="004755EE"/>
    <w:rsid w:val="0047583F"/>
    <w:rsid w:val="00475DE8"/>
    <w:rsid w:val="0047751D"/>
    <w:rsid w:val="00481C44"/>
    <w:rsid w:val="00484936"/>
    <w:rsid w:val="00485C89"/>
    <w:rsid w:val="00486BE3"/>
    <w:rsid w:val="00487874"/>
    <w:rsid w:val="004905E4"/>
    <w:rsid w:val="00490A89"/>
    <w:rsid w:val="00490AB4"/>
    <w:rsid w:val="00492F02"/>
    <w:rsid w:val="004939AE"/>
    <w:rsid w:val="004A12DF"/>
    <w:rsid w:val="004A17E6"/>
    <w:rsid w:val="004A1BA8"/>
    <w:rsid w:val="004A32D3"/>
    <w:rsid w:val="004A3303"/>
    <w:rsid w:val="004A3365"/>
    <w:rsid w:val="004A3786"/>
    <w:rsid w:val="004A4B57"/>
    <w:rsid w:val="004A63FA"/>
    <w:rsid w:val="004B022A"/>
    <w:rsid w:val="004B0272"/>
    <w:rsid w:val="004B2701"/>
    <w:rsid w:val="004B2E1B"/>
    <w:rsid w:val="004B3AA8"/>
    <w:rsid w:val="004B3E93"/>
    <w:rsid w:val="004B6D72"/>
    <w:rsid w:val="004C1FBC"/>
    <w:rsid w:val="004C3F1D"/>
    <w:rsid w:val="004C458D"/>
    <w:rsid w:val="004C7556"/>
    <w:rsid w:val="004C7E8B"/>
    <w:rsid w:val="004C7E9D"/>
    <w:rsid w:val="004C7F67"/>
    <w:rsid w:val="004D076D"/>
    <w:rsid w:val="004D0EF1"/>
    <w:rsid w:val="004D2253"/>
    <w:rsid w:val="004D4406"/>
    <w:rsid w:val="004D7C42"/>
    <w:rsid w:val="004E0465"/>
    <w:rsid w:val="004E086D"/>
    <w:rsid w:val="004E127B"/>
    <w:rsid w:val="004E1C0A"/>
    <w:rsid w:val="004E2B06"/>
    <w:rsid w:val="004E30C5"/>
    <w:rsid w:val="004E498C"/>
    <w:rsid w:val="004E4AA5"/>
    <w:rsid w:val="004E4AEE"/>
    <w:rsid w:val="004E59E3"/>
    <w:rsid w:val="004E67C0"/>
    <w:rsid w:val="004F0242"/>
    <w:rsid w:val="004F1498"/>
    <w:rsid w:val="004F391A"/>
    <w:rsid w:val="004F3CFB"/>
    <w:rsid w:val="004F6456"/>
    <w:rsid w:val="004F696E"/>
    <w:rsid w:val="004F6C71"/>
    <w:rsid w:val="00501139"/>
    <w:rsid w:val="0050363E"/>
    <w:rsid w:val="005039BC"/>
    <w:rsid w:val="00504005"/>
    <w:rsid w:val="005043BB"/>
    <w:rsid w:val="00504A3D"/>
    <w:rsid w:val="00505767"/>
    <w:rsid w:val="0050639A"/>
    <w:rsid w:val="005073F0"/>
    <w:rsid w:val="00507B67"/>
    <w:rsid w:val="005104E0"/>
    <w:rsid w:val="00510A7B"/>
    <w:rsid w:val="00512F6E"/>
    <w:rsid w:val="00513038"/>
    <w:rsid w:val="00514174"/>
    <w:rsid w:val="00516088"/>
    <w:rsid w:val="00516B0B"/>
    <w:rsid w:val="005220EC"/>
    <w:rsid w:val="0052389D"/>
    <w:rsid w:val="00523F95"/>
    <w:rsid w:val="00524D65"/>
    <w:rsid w:val="00524F35"/>
    <w:rsid w:val="00525B16"/>
    <w:rsid w:val="00533D04"/>
    <w:rsid w:val="00534263"/>
    <w:rsid w:val="00534804"/>
    <w:rsid w:val="00534BDF"/>
    <w:rsid w:val="005354EA"/>
    <w:rsid w:val="0053585F"/>
    <w:rsid w:val="00535EC4"/>
    <w:rsid w:val="00535ED9"/>
    <w:rsid w:val="0053692B"/>
    <w:rsid w:val="00541853"/>
    <w:rsid w:val="0054263D"/>
    <w:rsid w:val="00543518"/>
    <w:rsid w:val="00543BDA"/>
    <w:rsid w:val="005441CC"/>
    <w:rsid w:val="00544DE9"/>
    <w:rsid w:val="00545529"/>
    <w:rsid w:val="005479DA"/>
    <w:rsid w:val="00547BCC"/>
    <w:rsid w:val="00547ECA"/>
    <w:rsid w:val="0055013B"/>
    <w:rsid w:val="0055120E"/>
    <w:rsid w:val="00551F6F"/>
    <w:rsid w:val="00554CD9"/>
    <w:rsid w:val="00555044"/>
    <w:rsid w:val="0055792D"/>
    <w:rsid w:val="00561475"/>
    <w:rsid w:val="0056487B"/>
    <w:rsid w:val="00564FB9"/>
    <w:rsid w:val="00566AD1"/>
    <w:rsid w:val="005672F7"/>
    <w:rsid w:val="00573D9E"/>
    <w:rsid w:val="005801E3"/>
    <w:rsid w:val="00580A70"/>
    <w:rsid w:val="00581802"/>
    <w:rsid w:val="005836A8"/>
    <w:rsid w:val="0058409C"/>
    <w:rsid w:val="00584262"/>
    <w:rsid w:val="00586630"/>
    <w:rsid w:val="00587ADD"/>
    <w:rsid w:val="00591E27"/>
    <w:rsid w:val="00592EF4"/>
    <w:rsid w:val="00594E27"/>
    <w:rsid w:val="00596160"/>
    <w:rsid w:val="005966E2"/>
    <w:rsid w:val="00597007"/>
    <w:rsid w:val="005A0966"/>
    <w:rsid w:val="005A11B7"/>
    <w:rsid w:val="005A260B"/>
    <w:rsid w:val="005A2E7E"/>
    <w:rsid w:val="005A35BC"/>
    <w:rsid w:val="005A4A1B"/>
    <w:rsid w:val="005A7830"/>
    <w:rsid w:val="005A7FCE"/>
    <w:rsid w:val="005B0F3F"/>
    <w:rsid w:val="005B38F6"/>
    <w:rsid w:val="005B4903"/>
    <w:rsid w:val="005B51CE"/>
    <w:rsid w:val="005B5885"/>
    <w:rsid w:val="005B5CD7"/>
    <w:rsid w:val="005B6CF6"/>
    <w:rsid w:val="005B7422"/>
    <w:rsid w:val="005C1026"/>
    <w:rsid w:val="005C29B8"/>
    <w:rsid w:val="005C2A3D"/>
    <w:rsid w:val="005C4FBF"/>
    <w:rsid w:val="005C5F21"/>
    <w:rsid w:val="005C7156"/>
    <w:rsid w:val="005C7D36"/>
    <w:rsid w:val="005D0C75"/>
    <w:rsid w:val="005D4171"/>
    <w:rsid w:val="005D58A3"/>
    <w:rsid w:val="005D6A95"/>
    <w:rsid w:val="005D6B2C"/>
    <w:rsid w:val="005D6D9C"/>
    <w:rsid w:val="005D7F63"/>
    <w:rsid w:val="005E2335"/>
    <w:rsid w:val="005E34CA"/>
    <w:rsid w:val="005E3C18"/>
    <w:rsid w:val="005E6812"/>
    <w:rsid w:val="005E7881"/>
    <w:rsid w:val="005E78E0"/>
    <w:rsid w:val="005F0D9C"/>
    <w:rsid w:val="005F284E"/>
    <w:rsid w:val="005F4712"/>
    <w:rsid w:val="006013B8"/>
    <w:rsid w:val="006015CE"/>
    <w:rsid w:val="006030DC"/>
    <w:rsid w:val="00604784"/>
    <w:rsid w:val="00606419"/>
    <w:rsid w:val="00607D29"/>
    <w:rsid w:val="00612952"/>
    <w:rsid w:val="00614CC1"/>
    <w:rsid w:val="00615A9D"/>
    <w:rsid w:val="00617387"/>
    <w:rsid w:val="006205D6"/>
    <w:rsid w:val="006252D8"/>
    <w:rsid w:val="006259BC"/>
    <w:rsid w:val="0062636B"/>
    <w:rsid w:val="00626A96"/>
    <w:rsid w:val="00632182"/>
    <w:rsid w:val="00632AE0"/>
    <w:rsid w:val="00633C17"/>
    <w:rsid w:val="00634D9E"/>
    <w:rsid w:val="006356D2"/>
    <w:rsid w:val="00636706"/>
    <w:rsid w:val="00636E3E"/>
    <w:rsid w:val="006379F7"/>
    <w:rsid w:val="00637E4D"/>
    <w:rsid w:val="006403FD"/>
    <w:rsid w:val="00640620"/>
    <w:rsid w:val="0064192E"/>
    <w:rsid w:val="00641A1F"/>
    <w:rsid w:val="00643A1D"/>
    <w:rsid w:val="00643BBE"/>
    <w:rsid w:val="00645904"/>
    <w:rsid w:val="00646F5E"/>
    <w:rsid w:val="00650DCE"/>
    <w:rsid w:val="00651ACB"/>
    <w:rsid w:val="00651C47"/>
    <w:rsid w:val="00652AB2"/>
    <w:rsid w:val="00652D8A"/>
    <w:rsid w:val="00653FED"/>
    <w:rsid w:val="00654EC0"/>
    <w:rsid w:val="0065525B"/>
    <w:rsid w:val="00655D4F"/>
    <w:rsid w:val="00656D29"/>
    <w:rsid w:val="00661A24"/>
    <w:rsid w:val="00662B7B"/>
    <w:rsid w:val="006640E5"/>
    <w:rsid w:val="006646F1"/>
    <w:rsid w:val="00664929"/>
    <w:rsid w:val="00664F62"/>
    <w:rsid w:val="006655E1"/>
    <w:rsid w:val="00672060"/>
    <w:rsid w:val="00672BFD"/>
    <w:rsid w:val="00673148"/>
    <w:rsid w:val="006764A8"/>
    <w:rsid w:val="006770F4"/>
    <w:rsid w:val="00677A84"/>
    <w:rsid w:val="00677B49"/>
    <w:rsid w:val="0068026D"/>
    <w:rsid w:val="00680A27"/>
    <w:rsid w:val="00680CFB"/>
    <w:rsid w:val="006810AD"/>
    <w:rsid w:val="006816A4"/>
    <w:rsid w:val="006819B8"/>
    <w:rsid w:val="00683BBC"/>
    <w:rsid w:val="006840A6"/>
    <w:rsid w:val="006850CD"/>
    <w:rsid w:val="00685AAB"/>
    <w:rsid w:val="00692463"/>
    <w:rsid w:val="00693448"/>
    <w:rsid w:val="00695D22"/>
    <w:rsid w:val="0069748B"/>
    <w:rsid w:val="006A07AA"/>
    <w:rsid w:val="006A25E5"/>
    <w:rsid w:val="006A2B46"/>
    <w:rsid w:val="006A336D"/>
    <w:rsid w:val="006A37B9"/>
    <w:rsid w:val="006A5F58"/>
    <w:rsid w:val="006B2672"/>
    <w:rsid w:val="006B54BF"/>
    <w:rsid w:val="006B5F44"/>
    <w:rsid w:val="006B5F90"/>
    <w:rsid w:val="006B62E4"/>
    <w:rsid w:val="006C1BBA"/>
    <w:rsid w:val="006C2079"/>
    <w:rsid w:val="006C5A62"/>
    <w:rsid w:val="006C5D68"/>
    <w:rsid w:val="006C6976"/>
    <w:rsid w:val="006C6DD0"/>
    <w:rsid w:val="006C73C0"/>
    <w:rsid w:val="006D04EA"/>
    <w:rsid w:val="006D0AB7"/>
    <w:rsid w:val="006D16C4"/>
    <w:rsid w:val="006D3E96"/>
    <w:rsid w:val="006D4515"/>
    <w:rsid w:val="006D4BB1"/>
    <w:rsid w:val="006D5CB8"/>
    <w:rsid w:val="006D6593"/>
    <w:rsid w:val="006E23EA"/>
    <w:rsid w:val="006E3EB1"/>
    <w:rsid w:val="006E59C4"/>
    <w:rsid w:val="006F021E"/>
    <w:rsid w:val="006F03A8"/>
    <w:rsid w:val="006F2ACA"/>
    <w:rsid w:val="006F2ADC"/>
    <w:rsid w:val="006F2BFE"/>
    <w:rsid w:val="006F2D30"/>
    <w:rsid w:val="006F31E9"/>
    <w:rsid w:val="006F6284"/>
    <w:rsid w:val="006F63E0"/>
    <w:rsid w:val="007002C5"/>
    <w:rsid w:val="00700759"/>
    <w:rsid w:val="00704387"/>
    <w:rsid w:val="00704E1C"/>
    <w:rsid w:val="007051F7"/>
    <w:rsid w:val="00705A42"/>
    <w:rsid w:val="00707669"/>
    <w:rsid w:val="00711CBA"/>
    <w:rsid w:val="00711FAE"/>
    <w:rsid w:val="00711FB5"/>
    <w:rsid w:val="00712A01"/>
    <w:rsid w:val="00714F58"/>
    <w:rsid w:val="00715D14"/>
    <w:rsid w:val="00716EFE"/>
    <w:rsid w:val="00722FBF"/>
    <w:rsid w:val="00722FC2"/>
    <w:rsid w:val="0072444F"/>
    <w:rsid w:val="00724879"/>
    <w:rsid w:val="00724E1B"/>
    <w:rsid w:val="00725949"/>
    <w:rsid w:val="00727FA2"/>
    <w:rsid w:val="007322D9"/>
    <w:rsid w:val="00732BC0"/>
    <w:rsid w:val="00736972"/>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731"/>
    <w:rsid w:val="00762EB8"/>
    <w:rsid w:val="00764B2D"/>
    <w:rsid w:val="00765879"/>
    <w:rsid w:val="00765C43"/>
    <w:rsid w:val="00765EFB"/>
    <w:rsid w:val="007671CA"/>
    <w:rsid w:val="00767278"/>
    <w:rsid w:val="00767C61"/>
    <w:rsid w:val="0077008A"/>
    <w:rsid w:val="007732D0"/>
    <w:rsid w:val="00773C1F"/>
    <w:rsid w:val="00774DA4"/>
    <w:rsid w:val="00776599"/>
    <w:rsid w:val="0078114B"/>
    <w:rsid w:val="007812AE"/>
    <w:rsid w:val="00781366"/>
    <w:rsid w:val="00781DD2"/>
    <w:rsid w:val="00783ECF"/>
    <w:rsid w:val="0078413A"/>
    <w:rsid w:val="00787210"/>
    <w:rsid w:val="007959E8"/>
    <w:rsid w:val="00795E9C"/>
    <w:rsid w:val="007A0521"/>
    <w:rsid w:val="007A06B3"/>
    <w:rsid w:val="007A2E12"/>
    <w:rsid w:val="007A3475"/>
    <w:rsid w:val="007A41C8"/>
    <w:rsid w:val="007A425A"/>
    <w:rsid w:val="007A54CE"/>
    <w:rsid w:val="007A6FD9"/>
    <w:rsid w:val="007A7FFA"/>
    <w:rsid w:val="007B04EB"/>
    <w:rsid w:val="007B0D4F"/>
    <w:rsid w:val="007B1E9C"/>
    <w:rsid w:val="007B5A3D"/>
    <w:rsid w:val="007B5B95"/>
    <w:rsid w:val="007B6451"/>
    <w:rsid w:val="007B68EA"/>
    <w:rsid w:val="007B7453"/>
    <w:rsid w:val="007C1E8B"/>
    <w:rsid w:val="007C2D89"/>
    <w:rsid w:val="007C3566"/>
    <w:rsid w:val="007C4593"/>
    <w:rsid w:val="007C5309"/>
    <w:rsid w:val="007C6069"/>
    <w:rsid w:val="007C6B23"/>
    <w:rsid w:val="007D06C4"/>
    <w:rsid w:val="007D1121"/>
    <w:rsid w:val="007D1352"/>
    <w:rsid w:val="007D2508"/>
    <w:rsid w:val="007D346A"/>
    <w:rsid w:val="007D618D"/>
    <w:rsid w:val="007D6518"/>
    <w:rsid w:val="007D76BD"/>
    <w:rsid w:val="007D7911"/>
    <w:rsid w:val="007E0BB5"/>
    <w:rsid w:val="007E0BF1"/>
    <w:rsid w:val="007E5A75"/>
    <w:rsid w:val="007F0ED8"/>
    <w:rsid w:val="007F0F63"/>
    <w:rsid w:val="007F7236"/>
    <w:rsid w:val="007F75CE"/>
    <w:rsid w:val="008013A4"/>
    <w:rsid w:val="008027CE"/>
    <w:rsid w:val="00802F42"/>
    <w:rsid w:val="008031BE"/>
    <w:rsid w:val="00804383"/>
    <w:rsid w:val="0080465B"/>
    <w:rsid w:val="00804BB7"/>
    <w:rsid w:val="00804D41"/>
    <w:rsid w:val="00810257"/>
    <w:rsid w:val="008104F5"/>
    <w:rsid w:val="00810C64"/>
    <w:rsid w:val="00811072"/>
    <w:rsid w:val="00811369"/>
    <w:rsid w:val="00812113"/>
    <w:rsid w:val="00812D5A"/>
    <w:rsid w:val="00815419"/>
    <w:rsid w:val="008163C8"/>
    <w:rsid w:val="008164A1"/>
    <w:rsid w:val="00817325"/>
    <w:rsid w:val="008209E6"/>
    <w:rsid w:val="00823303"/>
    <w:rsid w:val="008233B2"/>
    <w:rsid w:val="00823A9F"/>
    <w:rsid w:val="00823C85"/>
    <w:rsid w:val="00823D1A"/>
    <w:rsid w:val="00825138"/>
    <w:rsid w:val="008269DD"/>
    <w:rsid w:val="00830621"/>
    <w:rsid w:val="0083348C"/>
    <w:rsid w:val="00833E91"/>
    <w:rsid w:val="008373D3"/>
    <w:rsid w:val="00840617"/>
    <w:rsid w:val="00840F84"/>
    <w:rsid w:val="00842A47"/>
    <w:rsid w:val="008430A9"/>
    <w:rsid w:val="00843C13"/>
    <w:rsid w:val="00844A17"/>
    <w:rsid w:val="008454F8"/>
    <w:rsid w:val="008503F3"/>
    <w:rsid w:val="0085173A"/>
    <w:rsid w:val="00855F1F"/>
    <w:rsid w:val="00856316"/>
    <w:rsid w:val="00857602"/>
    <w:rsid w:val="008603CE"/>
    <w:rsid w:val="00860590"/>
    <w:rsid w:val="008620FC"/>
    <w:rsid w:val="008627A5"/>
    <w:rsid w:val="00863E05"/>
    <w:rsid w:val="0086547C"/>
    <w:rsid w:val="00865ACA"/>
    <w:rsid w:val="00865D28"/>
    <w:rsid w:val="00865F85"/>
    <w:rsid w:val="00867C10"/>
    <w:rsid w:val="00870439"/>
    <w:rsid w:val="00870DA1"/>
    <w:rsid w:val="008719B1"/>
    <w:rsid w:val="00874386"/>
    <w:rsid w:val="00880C7F"/>
    <w:rsid w:val="00883F93"/>
    <w:rsid w:val="00884DB3"/>
    <w:rsid w:val="00885A9D"/>
    <w:rsid w:val="008864F6"/>
    <w:rsid w:val="00886B9E"/>
    <w:rsid w:val="0089049D"/>
    <w:rsid w:val="008928C9"/>
    <w:rsid w:val="008930CB"/>
    <w:rsid w:val="008938DC"/>
    <w:rsid w:val="00893FD1"/>
    <w:rsid w:val="00894836"/>
    <w:rsid w:val="00895172"/>
    <w:rsid w:val="00895680"/>
    <w:rsid w:val="00895C55"/>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DC1"/>
    <w:rsid w:val="008B7E05"/>
    <w:rsid w:val="008C1797"/>
    <w:rsid w:val="008C219C"/>
    <w:rsid w:val="008C475D"/>
    <w:rsid w:val="008C475E"/>
    <w:rsid w:val="008C4B1E"/>
    <w:rsid w:val="008C619A"/>
    <w:rsid w:val="008C65CA"/>
    <w:rsid w:val="008D0CE8"/>
    <w:rsid w:val="008D2D1D"/>
    <w:rsid w:val="008D453D"/>
    <w:rsid w:val="008D53AD"/>
    <w:rsid w:val="008D562B"/>
    <w:rsid w:val="008D5733"/>
    <w:rsid w:val="008D5F85"/>
    <w:rsid w:val="008D622B"/>
    <w:rsid w:val="008D666C"/>
    <w:rsid w:val="008D6A24"/>
    <w:rsid w:val="008D7B54"/>
    <w:rsid w:val="008E0C9D"/>
    <w:rsid w:val="008E0EF9"/>
    <w:rsid w:val="008E1648"/>
    <w:rsid w:val="008E1B3E"/>
    <w:rsid w:val="008E2319"/>
    <w:rsid w:val="008E4BB6"/>
    <w:rsid w:val="008E5518"/>
    <w:rsid w:val="008E6A84"/>
    <w:rsid w:val="008E7114"/>
    <w:rsid w:val="008F0CDC"/>
    <w:rsid w:val="008F17A3"/>
    <w:rsid w:val="008F1ED3"/>
    <w:rsid w:val="008F23A5"/>
    <w:rsid w:val="008F4C29"/>
    <w:rsid w:val="008F70BD"/>
    <w:rsid w:val="008F788F"/>
    <w:rsid w:val="008F7EA2"/>
    <w:rsid w:val="00902722"/>
    <w:rsid w:val="009027BC"/>
    <w:rsid w:val="00904169"/>
    <w:rsid w:val="009062E6"/>
    <w:rsid w:val="009067D1"/>
    <w:rsid w:val="00911BE5"/>
    <w:rsid w:val="00913CA9"/>
    <w:rsid w:val="009145AE"/>
    <w:rsid w:val="009146CE"/>
    <w:rsid w:val="00914CA7"/>
    <w:rsid w:val="00915C3E"/>
    <w:rsid w:val="009161A8"/>
    <w:rsid w:val="009245F5"/>
    <w:rsid w:val="009249EC"/>
    <w:rsid w:val="009273B3"/>
    <w:rsid w:val="009305B5"/>
    <w:rsid w:val="00934B79"/>
    <w:rsid w:val="00937F6B"/>
    <w:rsid w:val="009429D5"/>
    <w:rsid w:val="00942AA4"/>
    <w:rsid w:val="00942BF1"/>
    <w:rsid w:val="00943A7A"/>
    <w:rsid w:val="00945180"/>
    <w:rsid w:val="00945428"/>
    <w:rsid w:val="0094607B"/>
    <w:rsid w:val="009511EB"/>
    <w:rsid w:val="009527BC"/>
    <w:rsid w:val="00953604"/>
    <w:rsid w:val="0095496B"/>
    <w:rsid w:val="00955E63"/>
    <w:rsid w:val="009573BC"/>
    <w:rsid w:val="009610DC"/>
    <w:rsid w:val="00961490"/>
    <w:rsid w:val="00962075"/>
    <w:rsid w:val="0096381A"/>
    <w:rsid w:val="00965B9B"/>
    <w:rsid w:val="00965E04"/>
    <w:rsid w:val="00966AF9"/>
    <w:rsid w:val="009674AD"/>
    <w:rsid w:val="009678CE"/>
    <w:rsid w:val="00970CDC"/>
    <w:rsid w:val="009712F9"/>
    <w:rsid w:val="009725F4"/>
    <w:rsid w:val="00973477"/>
    <w:rsid w:val="00974981"/>
    <w:rsid w:val="00977010"/>
    <w:rsid w:val="00977D02"/>
    <w:rsid w:val="00980301"/>
    <w:rsid w:val="009809BB"/>
    <w:rsid w:val="0098364B"/>
    <w:rsid w:val="009856FC"/>
    <w:rsid w:val="009911AF"/>
    <w:rsid w:val="00991875"/>
    <w:rsid w:val="00991F92"/>
    <w:rsid w:val="00992985"/>
    <w:rsid w:val="00993889"/>
    <w:rsid w:val="0099551B"/>
    <w:rsid w:val="00997590"/>
    <w:rsid w:val="00997BF1"/>
    <w:rsid w:val="009A089C"/>
    <w:rsid w:val="009A118E"/>
    <w:rsid w:val="009A21CD"/>
    <w:rsid w:val="009A278C"/>
    <w:rsid w:val="009A2BC2"/>
    <w:rsid w:val="009A42C1"/>
    <w:rsid w:val="009A5429"/>
    <w:rsid w:val="009A72AD"/>
    <w:rsid w:val="009B09E0"/>
    <w:rsid w:val="009B0BC5"/>
    <w:rsid w:val="009B0DE7"/>
    <w:rsid w:val="009B1247"/>
    <w:rsid w:val="009B2761"/>
    <w:rsid w:val="009B46F9"/>
    <w:rsid w:val="009B47B5"/>
    <w:rsid w:val="009B4887"/>
    <w:rsid w:val="009B6029"/>
    <w:rsid w:val="009B6502"/>
    <w:rsid w:val="009B6971"/>
    <w:rsid w:val="009C27F1"/>
    <w:rsid w:val="009C3152"/>
    <w:rsid w:val="009C3DF6"/>
    <w:rsid w:val="009C4CFA"/>
    <w:rsid w:val="009C5070"/>
    <w:rsid w:val="009C58F8"/>
    <w:rsid w:val="009D112C"/>
    <w:rsid w:val="009D2186"/>
    <w:rsid w:val="009D3BEF"/>
    <w:rsid w:val="009D47FA"/>
    <w:rsid w:val="009D4C5B"/>
    <w:rsid w:val="009D50D2"/>
    <w:rsid w:val="009D6BCA"/>
    <w:rsid w:val="009E0F62"/>
    <w:rsid w:val="009E4A58"/>
    <w:rsid w:val="009E5A2D"/>
    <w:rsid w:val="009E5AB2"/>
    <w:rsid w:val="009E6219"/>
    <w:rsid w:val="009F03B3"/>
    <w:rsid w:val="009F1DA4"/>
    <w:rsid w:val="00A0096C"/>
    <w:rsid w:val="00A01757"/>
    <w:rsid w:val="00A028C0"/>
    <w:rsid w:val="00A02BAE"/>
    <w:rsid w:val="00A06A6B"/>
    <w:rsid w:val="00A07382"/>
    <w:rsid w:val="00A07AB2"/>
    <w:rsid w:val="00A07E47"/>
    <w:rsid w:val="00A129D0"/>
    <w:rsid w:val="00A12C33"/>
    <w:rsid w:val="00A138BA"/>
    <w:rsid w:val="00A14C8E"/>
    <w:rsid w:val="00A153D9"/>
    <w:rsid w:val="00A15F09"/>
    <w:rsid w:val="00A16992"/>
    <w:rsid w:val="00A169B6"/>
    <w:rsid w:val="00A21899"/>
    <w:rsid w:val="00A2271D"/>
    <w:rsid w:val="00A237D5"/>
    <w:rsid w:val="00A30EFC"/>
    <w:rsid w:val="00A31984"/>
    <w:rsid w:val="00A31DA8"/>
    <w:rsid w:val="00A32419"/>
    <w:rsid w:val="00A32D73"/>
    <w:rsid w:val="00A3367B"/>
    <w:rsid w:val="00A3597D"/>
    <w:rsid w:val="00A35A5F"/>
    <w:rsid w:val="00A36DD1"/>
    <w:rsid w:val="00A376A4"/>
    <w:rsid w:val="00A4006C"/>
    <w:rsid w:val="00A40091"/>
    <w:rsid w:val="00A4030F"/>
    <w:rsid w:val="00A41C79"/>
    <w:rsid w:val="00A41CB5"/>
    <w:rsid w:val="00A42CDA"/>
    <w:rsid w:val="00A42CDF"/>
    <w:rsid w:val="00A4452E"/>
    <w:rsid w:val="00A4472C"/>
    <w:rsid w:val="00A44E69"/>
    <w:rsid w:val="00A4661E"/>
    <w:rsid w:val="00A512D4"/>
    <w:rsid w:val="00A55BD6"/>
    <w:rsid w:val="00A55D50"/>
    <w:rsid w:val="00A57142"/>
    <w:rsid w:val="00A643D0"/>
    <w:rsid w:val="00A648CD"/>
    <w:rsid w:val="00A6537A"/>
    <w:rsid w:val="00A661EE"/>
    <w:rsid w:val="00A67866"/>
    <w:rsid w:val="00A70B07"/>
    <w:rsid w:val="00A723F8"/>
    <w:rsid w:val="00A739FF"/>
    <w:rsid w:val="00A744B3"/>
    <w:rsid w:val="00A77CCB"/>
    <w:rsid w:val="00A805BD"/>
    <w:rsid w:val="00A83D8D"/>
    <w:rsid w:val="00A8446B"/>
    <w:rsid w:val="00A8473F"/>
    <w:rsid w:val="00A862D6"/>
    <w:rsid w:val="00A86BB1"/>
    <w:rsid w:val="00A8715E"/>
    <w:rsid w:val="00A90971"/>
    <w:rsid w:val="00A9295B"/>
    <w:rsid w:val="00A93B09"/>
    <w:rsid w:val="00A94247"/>
    <w:rsid w:val="00A952D7"/>
    <w:rsid w:val="00A963F7"/>
    <w:rsid w:val="00A96AD8"/>
    <w:rsid w:val="00AA052C"/>
    <w:rsid w:val="00AA1E45"/>
    <w:rsid w:val="00AA4286"/>
    <w:rsid w:val="00AA456B"/>
    <w:rsid w:val="00AA57F5"/>
    <w:rsid w:val="00AA636E"/>
    <w:rsid w:val="00AA672E"/>
    <w:rsid w:val="00AA6EC9"/>
    <w:rsid w:val="00AB0538"/>
    <w:rsid w:val="00AB41D5"/>
    <w:rsid w:val="00AB54D9"/>
    <w:rsid w:val="00AB6309"/>
    <w:rsid w:val="00AB6C5F"/>
    <w:rsid w:val="00AB7129"/>
    <w:rsid w:val="00AC0B19"/>
    <w:rsid w:val="00AC2696"/>
    <w:rsid w:val="00AC27A6"/>
    <w:rsid w:val="00AC30F7"/>
    <w:rsid w:val="00AC3A5A"/>
    <w:rsid w:val="00AC4D95"/>
    <w:rsid w:val="00AC5DF4"/>
    <w:rsid w:val="00AC6154"/>
    <w:rsid w:val="00AD0AEF"/>
    <w:rsid w:val="00AD0EA2"/>
    <w:rsid w:val="00AD11B7"/>
    <w:rsid w:val="00AD1A94"/>
    <w:rsid w:val="00AD1C05"/>
    <w:rsid w:val="00AD27CF"/>
    <w:rsid w:val="00AD4126"/>
    <w:rsid w:val="00AD421C"/>
    <w:rsid w:val="00AD44FA"/>
    <w:rsid w:val="00AE070A"/>
    <w:rsid w:val="00AE101C"/>
    <w:rsid w:val="00AE37E5"/>
    <w:rsid w:val="00AE48E3"/>
    <w:rsid w:val="00AE5EB4"/>
    <w:rsid w:val="00AE5FD7"/>
    <w:rsid w:val="00AF0C18"/>
    <w:rsid w:val="00AF2285"/>
    <w:rsid w:val="00AF319F"/>
    <w:rsid w:val="00AF47C5"/>
    <w:rsid w:val="00AF5398"/>
    <w:rsid w:val="00AF5B95"/>
    <w:rsid w:val="00AF5D2F"/>
    <w:rsid w:val="00B0094B"/>
    <w:rsid w:val="00B049AF"/>
    <w:rsid w:val="00B04A78"/>
    <w:rsid w:val="00B07242"/>
    <w:rsid w:val="00B10135"/>
    <w:rsid w:val="00B10534"/>
    <w:rsid w:val="00B113DB"/>
    <w:rsid w:val="00B1191D"/>
    <w:rsid w:val="00B11D8A"/>
    <w:rsid w:val="00B12981"/>
    <w:rsid w:val="00B147DD"/>
    <w:rsid w:val="00B156FD"/>
    <w:rsid w:val="00B2030A"/>
    <w:rsid w:val="00B20476"/>
    <w:rsid w:val="00B21F61"/>
    <w:rsid w:val="00B23D20"/>
    <w:rsid w:val="00B24621"/>
    <w:rsid w:val="00B25715"/>
    <w:rsid w:val="00B261F1"/>
    <w:rsid w:val="00B265BC"/>
    <w:rsid w:val="00B26828"/>
    <w:rsid w:val="00B30ADA"/>
    <w:rsid w:val="00B31FB1"/>
    <w:rsid w:val="00B33952"/>
    <w:rsid w:val="00B33C5E"/>
    <w:rsid w:val="00B342F4"/>
    <w:rsid w:val="00B34369"/>
    <w:rsid w:val="00B34DC2"/>
    <w:rsid w:val="00B378E5"/>
    <w:rsid w:val="00B40216"/>
    <w:rsid w:val="00B4346D"/>
    <w:rsid w:val="00B440F4"/>
    <w:rsid w:val="00B447A5"/>
    <w:rsid w:val="00B4654C"/>
    <w:rsid w:val="00B46AF0"/>
    <w:rsid w:val="00B47293"/>
    <w:rsid w:val="00B50E50"/>
    <w:rsid w:val="00B52120"/>
    <w:rsid w:val="00B52811"/>
    <w:rsid w:val="00B54ABC"/>
    <w:rsid w:val="00B54DDE"/>
    <w:rsid w:val="00B558A8"/>
    <w:rsid w:val="00B56FBE"/>
    <w:rsid w:val="00B60ACF"/>
    <w:rsid w:val="00B62B58"/>
    <w:rsid w:val="00B65149"/>
    <w:rsid w:val="00B66567"/>
    <w:rsid w:val="00B66957"/>
    <w:rsid w:val="00B66F52"/>
    <w:rsid w:val="00B66FE5"/>
    <w:rsid w:val="00B72880"/>
    <w:rsid w:val="00B758BF"/>
    <w:rsid w:val="00B7751E"/>
    <w:rsid w:val="00B77EC8"/>
    <w:rsid w:val="00B800A4"/>
    <w:rsid w:val="00B82625"/>
    <w:rsid w:val="00B827A6"/>
    <w:rsid w:val="00B831CE"/>
    <w:rsid w:val="00B84398"/>
    <w:rsid w:val="00B86677"/>
    <w:rsid w:val="00B87131"/>
    <w:rsid w:val="00B874E5"/>
    <w:rsid w:val="00B9321A"/>
    <w:rsid w:val="00B939B1"/>
    <w:rsid w:val="00B96D40"/>
    <w:rsid w:val="00B97386"/>
    <w:rsid w:val="00BA263B"/>
    <w:rsid w:val="00BA2C99"/>
    <w:rsid w:val="00BA42B2"/>
    <w:rsid w:val="00BA58D4"/>
    <w:rsid w:val="00BA5B9E"/>
    <w:rsid w:val="00BA7C9A"/>
    <w:rsid w:val="00BB203B"/>
    <w:rsid w:val="00BB5F8F"/>
    <w:rsid w:val="00BB657A"/>
    <w:rsid w:val="00BC1A4E"/>
    <w:rsid w:val="00BC369F"/>
    <w:rsid w:val="00BC4790"/>
    <w:rsid w:val="00BC5BCE"/>
    <w:rsid w:val="00BC5DC7"/>
    <w:rsid w:val="00BC6B8B"/>
    <w:rsid w:val="00BC73D8"/>
    <w:rsid w:val="00BD52D7"/>
    <w:rsid w:val="00BD5AD2"/>
    <w:rsid w:val="00BD5B2F"/>
    <w:rsid w:val="00BE0309"/>
    <w:rsid w:val="00BE22F3"/>
    <w:rsid w:val="00BE5B52"/>
    <w:rsid w:val="00BE7B8D"/>
    <w:rsid w:val="00BF0993"/>
    <w:rsid w:val="00BF10A9"/>
    <w:rsid w:val="00BF1703"/>
    <w:rsid w:val="00BF2017"/>
    <w:rsid w:val="00BF2151"/>
    <w:rsid w:val="00BF231C"/>
    <w:rsid w:val="00BF454F"/>
    <w:rsid w:val="00BF51E5"/>
    <w:rsid w:val="00BF74A6"/>
    <w:rsid w:val="00C013AD"/>
    <w:rsid w:val="00C04904"/>
    <w:rsid w:val="00C056B3"/>
    <w:rsid w:val="00C06C32"/>
    <w:rsid w:val="00C06DAD"/>
    <w:rsid w:val="00C103E5"/>
    <w:rsid w:val="00C13319"/>
    <w:rsid w:val="00C13EE9"/>
    <w:rsid w:val="00C21540"/>
    <w:rsid w:val="00C21906"/>
    <w:rsid w:val="00C21BFA"/>
    <w:rsid w:val="00C22148"/>
    <w:rsid w:val="00C24C8D"/>
    <w:rsid w:val="00C25FE2"/>
    <w:rsid w:val="00C26B53"/>
    <w:rsid w:val="00C279B2"/>
    <w:rsid w:val="00C27A89"/>
    <w:rsid w:val="00C30B86"/>
    <w:rsid w:val="00C33E50"/>
    <w:rsid w:val="00C34C20"/>
    <w:rsid w:val="00C35A3E"/>
    <w:rsid w:val="00C42130"/>
    <w:rsid w:val="00C423A4"/>
    <w:rsid w:val="00C44996"/>
    <w:rsid w:val="00C44BF5"/>
    <w:rsid w:val="00C521D6"/>
    <w:rsid w:val="00C52F50"/>
    <w:rsid w:val="00C5329B"/>
    <w:rsid w:val="00C55232"/>
    <w:rsid w:val="00C553A4"/>
    <w:rsid w:val="00C55A06"/>
    <w:rsid w:val="00C55D03"/>
    <w:rsid w:val="00C601BC"/>
    <w:rsid w:val="00C63296"/>
    <w:rsid w:val="00C6329F"/>
    <w:rsid w:val="00C63340"/>
    <w:rsid w:val="00C643F9"/>
    <w:rsid w:val="00C64E95"/>
    <w:rsid w:val="00C676F3"/>
    <w:rsid w:val="00C70587"/>
    <w:rsid w:val="00C71372"/>
    <w:rsid w:val="00C72410"/>
    <w:rsid w:val="00C7282A"/>
    <w:rsid w:val="00C7287F"/>
    <w:rsid w:val="00C75BE6"/>
    <w:rsid w:val="00C80982"/>
    <w:rsid w:val="00C80CB8"/>
    <w:rsid w:val="00C819F8"/>
    <w:rsid w:val="00C8248C"/>
    <w:rsid w:val="00C83300"/>
    <w:rsid w:val="00C84E33"/>
    <w:rsid w:val="00C8566C"/>
    <w:rsid w:val="00C86D6F"/>
    <w:rsid w:val="00C87BDE"/>
    <w:rsid w:val="00C905FC"/>
    <w:rsid w:val="00C910AA"/>
    <w:rsid w:val="00C92D03"/>
    <w:rsid w:val="00C9319C"/>
    <w:rsid w:val="00C93FB1"/>
    <w:rsid w:val="00C9435D"/>
    <w:rsid w:val="00C94DF2"/>
    <w:rsid w:val="00C96741"/>
    <w:rsid w:val="00CA0DA8"/>
    <w:rsid w:val="00CA2D1B"/>
    <w:rsid w:val="00CA375D"/>
    <w:rsid w:val="00CA3871"/>
    <w:rsid w:val="00CA662A"/>
    <w:rsid w:val="00CA7AFD"/>
    <w:rsid w:val="00CA7C3C"/>
    <w:rsid w:val="00CB0189"/>
    <w:rsid w:val="00CB0BA2"/>
    <w:rsid w:val="00CB1A42"/>
    <w:rsid w:val="00CB1B0C"/>
    <w:rsid w:val="00CB2C0B"/>
    <w:rsid w:val="00CB3725"/>
    <w:rsid w:val="00CB517D"/>
    <w:rsid w:val="00CB654E"/>
    <w:rsid w:val="00CC038D"/>
    <w:rsid w:val="00CC08DB"/>
    <w:rsid w:val="00CC39FF"/>
    <w:rsid w:val="00CC3C2F"/>
    <w:rsid w:val="00CC3D9B"/>
    <w:rsid w:val="00CC3E18"/>
    <w:rsid w:val="00CC4AC8"/>
    <w:rsid w:val="00CC5233"/>
    <w:rsid w:val="00CC5DE6"/>
    <w:rsid w:val="00CC67DB"/>
    <w:rsid w:val="00CC6E4E"/>
    <w:rsid w:val="00CC6FE8"/>
    <w:rsid w:val="00CC7202"/>
    <w:rsid w:val="00CD2808"/>
    <w:rsid w:val="00CD28BF"/>
    <w:rsid w:val="00CD4092"/>
    <w:rsid w:val="00CD4A20"/>
    <w:rsid w:val="00CD50A1"/>
    <w:rsid w:val="00CD519E"/>
    <w:rsid w:val="00CD561D"/>
    <w:rsid w:val="00CD57AF"/>
    <w:rsid w:val="00CD7841"/>
    <w:rsid w:val="00CE0C4F"/>
    <w:rsid w:val="00CE30EA"/>
    <w:rsid w:val="00CE3E5C"/>
    <w:rsid w:val="00CF0258"/>
    <w:rsid w:val="00CF048A"/>
    <w:rsid w:val="00CF155A"/>
    <w:rsid w:val="00CF2947"/>
    <w:rsid w:val="00CF3D11"/>
    <w:rsid w:val="00CF5FD0"/>
    <w:rsid w:val="00CF686F"/>
    <w:rsid w:val="00CF6E60"/>
    <w:rsid w:val="00CF7BCA"/>
    <w:rsid w:val="00CF7C1C"/>
    <w:rsid w:val="00D00341"/>
    <w:rsid w:val="00D008FD"/>
    <w:rsid w:val="00D022C8"/>
    <w:rsid w:val="00D0321C"/>
    <w:rsid w:val="00D035EC"/>
    <w:rsid w:val="00D06AB1"/>
    <w:rsid w:val="00D072ED"/>
    <w:rsid w:val="00D07A16"/>
    <w:rsid w:val="00D1067E"/>
    <w:rsid w:val="00D10F50"/>
    <w:rsid w:val="00D11272"/>
    <w:rsid w:val="00D126F5"/>
    <w:rsid w:val="00D12F25"/>
    <w:rsid w:val="00D1489E"/>
    <w:rsid w:val="00D20737"/>
    <w:rsid w:val="00D21E81"/>
    <w:rsid w:val="00D223DE"/>
    <w:rsid w:val="00D25E37"/>
    <w:rsid w:val="00D2661A"/>
    <w:rsid w:val="00D2670D"/>
    <w:rsid w:val="00D27582"/>
    <w:rsid w:val="00D27EC4"/>
    <w:rsid w:val="00D32719"/>
    <w:rsid w:val="00D33333"/>
    <w:rsid w:val="00D33457"/>
    <w:rsid w:val="00D337B1"/>
    <w:rsid w:val="00D3422F"/>
    <w:rsid w:val="00D352A2"/>
    <w:rsid w:val="00D3660F"/>
    <w:rsid w:val="00D36CFE"/>
    <w:rsid w:val="00D4162B"/>
    <w:rsid w:val="00D44144"/>
    <w:rsid w:val="00D4514F"/>
    <w:rsid w:val="00D451E2"/>
    <w:rsid w:val="00D45E89"/>
    <w:rsid w:val="00D45E8D"/>
    <w:rsid w:val="00D466AE"/>
    <w:rsid w:val="00D4734F"/>
    <w:rsid w:val="00D50908"/>
    <w:rsid w:val="00D51BF3"/>
    <w:rsid w:val="00D63938"/>
    <w:rsid w:val="00D65693"/>
    <w:rsid w:val="00D66846"/>
    <w:rsid w:val="00D6699F"/>
    <w:rsid w:val="00D66D8B"/>
    <w:rsid w:val="00D675FB"/>
    <w:rsid w:val="00D71F25"/>
    <w:rsid w:val="00D71FEC"/>
    <w:rsid w:val="00D72A9C"/>
    <w:rsid w:val="00D730FA"/>
    <w:rsid w:val="00D77031"/>
    <w:rsid w:val="00D80F8B"/>
    <w:rsid w:val="00D840D2"/>
    <w:rsid w:val="00D84941"/>
    <w:rsid w:val="00D84FA1"/>
    <w:rsid w:val="00D851F0"/>
    <w:rsid w:val="00D86DB7"/>
    <w:rsid w:val="00D926D0"/>
    <w:rsid w:val="00D93030"/>
    <w:rsid w:val="00D93C71"/>
    <w:rsid w:val="00D94CA3"/>
    <w:rsid w:val="00D950E1"/>
    <w:rsid w:val="00D952A6"/>
    <w:rsid w:val="00D96B0D"/>
    <w:rsid w:val="00D97F99"/>
    <w:rsid w:val="00DA1E08"/>
    <w:rsid w:val="00DA24F8"/>
    <w:rsid w:val="00DA28E8"/>
    <w:rsid w:val="00DA2C5B"/>
    <w:rsid w:val="00DA38D3"/>
    <w:rsid w:val="00DA3932"/>
    <w:rsid w:val="00DA3AFC"/>
    <w:rsid w:val="00DA5191"/>
    <w:rsid w:val="00DA5E50"/>
    <w:rsid w:val="00DA64F8"/>
    <w:rsid w:val="00DA6C15"/>
    <w:rsid w:val="00DB0258"/>
    <w:rsid w:val="00DB38EE"/>
    <w:rsid w:val="00DB45D7"/>
    <w:rsid w:val="00DB498B"/>
    <w:rsid w:val="00DB66CA"/>
    <w:rsid w:val="00DB6BCA"/>
    <w:rsid w:val="00DB73F7"/>
    <w:rsid w:val="00DC0321"/>
    <w:rsid w:val="00DC120C"/>
    <w:rsid w:val="00DC3067"/>
    <w:rsid w:val="00DC370B"/>
    <w:rsid w:val="00DC5B90"/>
    <w:rsid w:val="00DC5F9D"/>
    <w:rsid w:val="00DC6D8F"/>
    <w:rsid w:val="00DD00FF"/>
    <w:rsid w:val="00DD0619"/>
    <w:rsid w:val="00DD07FB"/>
    <w:rsid w:val="00DD0DEA"/>
    <w:rsid w:val="00DD25C6"/>
    <w:rsid w:val="00DD4FE5"/>
    <w:rsid w:val="00DD54B0"/>
    <w:rsid w:val="00DD57EE"/>
    <w:rsid w:val="00DD6BCC"/>
    <w:rsid w:val="00DE0A4B"/>
    <w:rsid w:val="00DE1083"/>
    <w:rsid w:val="00DE2410"/>
    <w:rsid w:val="00DE2939"/>
    <w:rsid w:val="00DE5527"/>
    <w:rsid w:val="00DE6E81"/>
    <w:rsid w:val="00DE703F"/>
    <w:rsid w:val="00DE7595"/>
    <w:rsid w:val="00DF1961"/>
    <w:rsid w:val="00DF44DE"/>
    <w:rsid w:val="00DF59D6"/>
    <w:rsid w:val="00DF5F11"/>
    <w:rsid w:val="00DF7CE6"/>
    <w:rsid w:val="00E01138"/>
    <w:rsid w:val="00E0113F"/>
    <w:rsid w:val="00E016C5"/>
    <w:rsid w:val="00E02DFB"/>
    <w:rsid w:val="00E030F9"/>
    <w:rsid w:val="00E0311A"/>
    <w:rsid w:val="00E03138"/>
    <w:rsid w:val="00E06404"/>
    <w:rsid w:val="00E065D2"/>
    <w:rsid w:val="00E06C58"/>
    <w:rsid w:val="00E07229"/>
    <w:rsid w:val="00E11A85"/>
    <w:rsid w:val="00E12495"/>
    <w:rsid w:val="00E14A3B"/>
    <w:rsid w:val="00E15CCD"/>
    <w:rsid w:val="00E202EF"/>
    <w:rsid w:val="00E210B5"/>
    <w:rsid w:val="00E21188"/>
    <w:rsid w:val="00E2315F"/>
    <w:rsid w:val="00E23D99"/>
    <w:rsid w:val="00E242FD"/>
    <w:rsid w:val="00E2552F"/>
    <w:rsid w:val="00E258E8"/>
    <w:rsid w:val="00E3137A"/>
    <w:rsid w:val="00E327EB"/>
    <w:rsid w:val="00E32CCF"/>
    <w:rsid w:val="00E32E08"/>
    <w:rsid w:val="00E3310F"/>
    <w:rsid w:val="00E3369C"/>
    <w:rsid w:val="00E34A98"/>
    <w:rsid w:val="00E35D1E"/>
    <w:rsid w:val="00E364F9"/>
    <w:rsid w:val="00E365FA"/>
    <w:rsid w:val="00E36715"/>
    <w:rsid w:val="00E36789"/>
    <w:rsid w:val="00E44A83"/>
    <w:rsid w:val="00E470F5"/>
    <w:rsid w:val="00E502C1"/>
    <w:rsid w:val="00E502DD"/>
    <w:rsid w:val="00E50D3A"/>
    <w:rsid w:val="00E51387"/>
    <w:rsid w:val="00E51E68"/>
    <w:rsid w:val="00E52EFD"/>
    <w:rsid w:val="00E5408A"/>
    <w:rsid w:val="00E54181"/>
    <w:rsid w:val="00E56800"/>
    <w:rsid w:val="00E579D3"/>
    <w:rsid w:val="00E605E7"/>
    <w:rsid w:val="00E60C63"/>
    <w:rsid w:val="00E62FF9"/>
    <w:rsid w:val="00E63495"/>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2EED"/>
    <w:rsid w:val="00EC5359"/>
    <w:rsid w:val="00EC5417"/>
    <w:rsid w:val="00EC562A"/>
    <w:rsid w:val="00EC582C"/>
    <w:rsid w:val="00EC5EB9"/>
    <w:rsid w:val="00EC71B7"/>
    <w:rsid w:val="00ED067A"/>
    <w:rsid w:val="00ED2B50"/>
    <w:rsid w:val="00EE0350"/>
    <w:rsid w:val="00EE0719"/>
    <w:rsid w:val="00EE0E80"/>
    <w:rsid w:val="00EE54A6"/>
    <w:rsid w:val="00EE613F"/>
    <w:rsid w:val="00EE6BBE"/>
    <w:rsid w:val="00EE7295"/>
    <w:rsid w:val="00EE7869"/>
    <w:rsid w:val="00EF054A"/>
    <w:rsid w:val="00EF3235"/>
    <w:rsid w:val="00EF7E72"/>
    <w:rsid w:val="00F02CAD"/>
    <w:rsid w:val="00F03E76"/>
    <w:rsid w:val="00F06D37"/>
    <w:rsid w:val="00F07509"/>
    <w:rsid w:val="00F07B9D"/>
    <w:rsid w:val="00F10128"/>
    <w:rsid w:val="00F11331"/>
    <w:rsid w:val="00F11586"/>
    <w:rsid w:val="00F1183B"/>
    <w:rsid w:val="00F11C9F"/>
    <w:rsid w:val="00F12263"/>
    <w:rsid w:val="00F1409D"/>
    <w:rsid w:val="00F14214"/>
    <w:rsid w:val="00F157A9"/>
    <w:rsid w:val="00F15C5B"/>
    <w:rsid w:val="00F238F4"/>
    <w:rsid w:val="00F25BB6"/>
    <w:rsid w:val="00F26B7E"/>
    <w:rsid w:val="00F274AA"/>
    <w:rsid w:val="00F27A3B"/>
    <w:rsid w:val="00F33817"/>
    <w:rsid w:val="00F35BB0"/>
    <w:rsid w:val="00F37421"/>
    <w:rsid w:val="00F407D1"/>
    <w:rsid w:val="00F420D5"/>
    <w:rsid w:val="00F446F1"/>
    <w:rsid w:val="00F451EA"/>
    <w:rsid w:val="00F45447"/>
    <w:rsid w:val="00F456C6"/>
    <w:rsid w:val="00F4577B"/>
    <w:rsid w:val="00F46496"/>
    <w:rsid w:val="00F474D0"/>
    <w:rsid w:val="00F50179"/>
    <w:rsid w:val="00F515EE"/>
    <w:rsid w:val="00F52760"/>
    <w:rsid w:val="00F53069"/>
    <w:rsid w:val="00F56511"/>
    <w:rsid w:val="00F56EDE"/>
    <w:rsid w:val="00F6194E"/>
    <w:rsid w:val="00F623AC"/>
    <w:rsid w:val="00F6412A"/>
    <w:rsid w:val="00F64B07"/>
    <w:rsid w:val="00F653BA"/>
    <w:rsid w:val="00F65893"/>
    <w:rsid w:val="00F66A4A"/>
    <w:rsid w:val="00F70E6C"/>
    <w:rsid w:val="00F71E22"/>
    <w:rsid w:val="00F72142"/>
    <w:rsid w:val="00F72AE7"/>
    <w:rsid w:val="00F761EA"/>
    <w:rsid w:val="00F77F47"/>
    <w:rsid w:val="00F81141"/>
    <w:rsid w:val="00F833BA"/>
    <w:rsid w:val="00F83C49"/>
    <w:rsid w:val="00F84FD0"/>
    <w:rsid w:val="00F859A8"/>
    <w:rsid w:val="00F86D87"/>
    <w:rsid w:val="00F90C37"/>
    <w:rsid w:val="00F9108B"/>
    <w:rsid w:val="00F91349"/>
    <w:rsid w:val="00F93A8A"/>
    <w:rsid w:val="00F95248"/>
    <w:rsid w:val="00F956A9"/>
    <w:rsid w:val="00F963ED"/>
    <w:rsid w:val="00F966CF"/>
    <w:rsid w:val="00F96CAE"/>
    <w:rsid w:val="00F97C99"/>
    <w:rsid w:val="00FA0E9C"/>
    <w:rsid w:val="00FA4DAC"/>
    <w:rsid w:val="00FA662D"/>
    <w:rsid w:val="00FA73B1"/>
    <w:rsid w:val="00FA76AB"/>
    <w:rsid w:val="00FB0CB9"/>
    <w:rsid w:val="00FB231D"/>
    <w:rsid w:val="00FB34C6"/>
    <w:rsid w:val="00FB355A"/>
    <w:rsid w:val="00FB45F1"/>
    <w:rsid w:val="00FB495E"/>
    <w:rsid w:val="00FB4A72"/>
    <w:rsid w:val="00FB54E8"/>
    <w:rsid w:val="00FB7054"/>
    <w:rsid w:val="00FC06CF"/>
    <w:rsid w:val="00FC17B7"/>
    <w:rsid w:val="00FC2CB7"/>
    <w:rsid w:val="00FC4090"/>
    <w:rsid w:val="00FC4C6A"/>
    <w:rsid w:val="00FC55B4"/>
    <w:rsid w:val="00FD00E6"/>
    <w:rsid w:val="00FD09A1"/>
    <w:rsid w:val="00FD2A7C"/>
    <w:rsid w:val="00FD3408"/>
    <w:rsid w:val="00FD41BE"/>
    <w:rsid w:val="00FD59EB"/>
    <w:rsid w:val="00FD7299"/>
    <w:rsid w:val="00FE14B1"/>
    <w:rsid w:val="00FE1EFF"/>
    <w:rsid w:val="00FE1FBE"/>
    <w:rsid w:val="00FE3901"/>
    <w:rsid w:val="00FE39D3"/>
    <w:rsid w:val="00FE4BCE"/>
    <w:rsid w:val="00FE51D7"/>
    <w:rsid w:val="00FE54AE"/>
    <w:rsid w:val="00FE576A"/>
    <w:rsid w:val="00FE7E79"/>
    <w:rsid w:val="00FF3E7D"/>
    <w:rsid w:val="00FF5B99"/>
    <w:rsid w:val="00FF730C"/>
    <w:rsid w:val="00FF73F4"/>
    <w:rsid w:val="00FF7CE4"/>
    <w:rsid w:val="00FF7E39"/>
    <w:rsid w:val="49555082"/>
    <w:rsid w:val="6F0F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rPr>
      <w:rFonts w:ascii="Times New Roman" w:hAnsi="Times New Roman"/>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link w:val="2"/>
    <w:qFormat/>
    <w:uiPriority w:val="0"/>
    <w:rPr>
      <w:b/>
      <w:bCs/>
      <w:kern w:val="44"/>
      <w:sz w:val="44"/>
      <w:szCs w:val="44"/>
    </w:rPr>
  </w:style>
  <w:style w:type="character" w:customStyle="1" w:styleId="36">
    <w:name w:val="标题 2 字符"/>
    <w:link w:val="3"/>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customStyle="1" w:styleId="47">
    <w:name w:val="Quote"/>
    <w:basedOn w:val="1"/>
    <w:next w:val="1"/>
    <w:link w:val="48"/>
    <w:qFormat/>
    <w:uiPriority w:val="29"/>
    <w:rPr>
      <w:i/>
      <w:iCs/>
      <w:color w:val="000000"/>
    </w:rPr>
  </w:style>
  <w:style w:type="character" w:customStyle="1" w:styleId="48">
    <w:name w:val="引用 字符"/>
    <w:link w:val="47"/>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customStyle="1" w:styleId="187">
    <w:name w:val="Placeholder Text"/>
    <w:basedOn w:val="27"/>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 w:type="character" w:customStyle="1" w:styleId="231">
    <w:name w:val="未处理的提及1"/>
    <w:basedOn w:val="27"/>
    <w:unhideWhenUsed/>
    <w:qFormat/>
    <w:uiPriority w:val="99"/>
    <w:rPr>
      <w:color w:val="605E5C"/>
      <w:shd w:val="clear" w:color="auto" w:fill="E1DFDD"/>
    </w:rPr>
  </w:style>
  <w:style w:type="character" w:customStyle="1" w:styleId="232">
    <w:name w:val="fontstyle01"/>
    <w:basedOn w:val="27"/>
    <w:qFormat/>
    <w:uiPriority w:val="0"/>
    <w:rPr>
      <w:rFonts w:hint="eastAsia" w:ascii="宋体" w:hAnsi="宋体" w:eastAsia="宋体"/>
      <w:color w:val="000000"/>
      <w:sz w:val="22"/>
      <w:szCs w:val="22"/>
    </w:rPr>
  </w:style>
  <w:style w:type="character" w:customStyle="1" w:styleId="233">
    <w:name w:val="Unresolved Mention"/>
    <w:basedOn w:val="2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ACC13A1A6B74D07846A0B51C973FD4A"/>
        <w:style w:val=""/>
        <w:category>
          <w:name w:val="常规"/>
          <w:gallery w:val="placeholder"/>
        </w:category>
        <w:types>
          <w:type w:val="bbPlcHdr"/>
        </w:types>
        <w:behaviors>
          <w:behavior w:val="content"/>
        </w:behaviors>
        <w:description w:val=""/>
        <w:guid w:val="{E9F25232-F24A-453F-9587-0AA61BB11E1A}"/>
      </w:docPartPr>
      <w:docPartBody>
        <w:p>
          <w:pPr>
            <w:pStyle w:val="5"/>
          </w:pPr>
          <w:r>
            <w:rPr>
              <w:rStyle w:val="4"/>
              <w:rFonts w:hint="eastAsia"/>
            </w:rPr>
            <w:t>单击或点击此处输入文字。</w:t>
          </w:r>
        </w:p>
      </w:docPartBody>
    </w:docPart>
    <w:docPart>
      <w:docPartPr>
        <w:name w:val="A075E03D13764A41A83A2496E1482E27"/>
        <w:style w:val=""/>
        <w:category>
          <w:name w:val="常规"/>
          <w:gallery w:val="placeholder"/>
        </w:category>
        <w:types>
          <w:type w:val="bbPlcHdr"/>
        </w:types>
        <w:behaviors>
          <w:behavior w:val="content"/>
        </w:behaviors>
        <w:description w:val=""/>
        <w:guid w:val="{4F5425F4-C71C-4317-9961-4979725789FF}"/>
      </w:docPartPr>
      <w:docPartBody>
        <w:p>
          <w:pPr>
            <w:pStyle w:val="6"/>
          </w:pPr>
          <w:r>
            <w:rPr>
              <w:rStyle w:val="4"/>
              <w:rFonts w:hint="eastAsia"/>
            </w:rPr>
            <w:t>选择一项。</w:t>
          </w:r>
        </w:p>
      </w:docPartBody>
    </w:docPart>
    <w:docPart>
      <w:docPartPr>
        <w:name w:val="413B496652864AF68AFF019C3370E54D"/>
        <w:style w:val=""/>
        <w:category>
          <w:name w:val="常规"/>
          <w:gallery w:val="placeholder"/>
        </w:category>
        <w:types>
          <w:type w:val="bbPlcHdr"/>
        </w:types>
        <w:behaviors>
          <w:behavior w:val="content"/>
        </w:behaviors>
        <w:description w:val=""/>
        <w:guid w:val="{DD25B226-112B-4BE1-819A-DFF3BB91F91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BF"/>
    <w:rsid w:val="000001B2"/>
    <w:rsid w:val="0001250F"/>
    <w:rsid w:val="00053898"/>
    <w:rsid w:val="000760AA"/>
    <w:rsid w:val="000936E6"/>
    <w:rsid w:val="00096F7A"/>
    <w:rsid w:val="000C0C46"/>
    <w:rsid w:val="000E1A46"/>
    <w:rsid w:val="000E7381"/>
    <w:rsid w:val="000E7C21"/>
    <w:rsid w:val="00154428"/>
    <w:rsid w:val="00156CEF"/>
    <w:rsid w:val="00160BBC"/>
    <w:rsid w:val="001E559C"/>
    <w:rsid w:val="00286792"/>
    <w:rsid w:val="00290956"/>
    <w:rsid w:val="00302671"/>
    <w:rsid w:val="003257FF"/>
    <w:rsid w:val="00377879"/>
    <w:rsid w:val="00401019"/>
    <w:rsid w:val="004100F9"/>
    <w:rsid w:val="00412888"/>
    <w:rsid w:val="00420267"/>
    <w:rsid w:val="0045471B"/>
    <w:rsid w:val="00473B4C"/>
    <w:rsid w:val="004742B4"/>
    <w:rsid w:val="0055443F"/>
    <w:rsid w:val="00592450"/>
    <w:rsid w:val="005C1026"/>
    <w:rsid w:val="005C5FA5"/>
    <w:rsid w:val="005F6E42"/>
    <w:rsid w:val="00621EBB"/>
    <w:rsid w:val="00652D8A"/>
    <w:rsid w:val="00677B49"/>
    <w:rsid w:val="006E59C4"/>
    <w:rsid w:val="006E5E55"/>
    <w:rsid w:val="00734B68"/>
    <w:rsid w:val="007430C8"/>
    <w:rsid w:val="0075100E"/>
    <w:rsid w:val="00787210"/>
    <w:rsid w:val="007D0C10"/>
    <w:rsid w:val="0083502B"/>
    <w:rsid w:val="0086547C"/>
    <w:rsid w:val="00870A6C"/>
    <w:rsid w:val="008E6807"/>
    <w:rsid w:val="00942AA4"/>
    <w:rsid w:val="00953416"/>
    <w:rsid w:val="00967735"/>
    <w:rsid w:val="0098167B"/>
    <w:rsid w:val="009B47B5"/>
    <w:rsid w:val="009B6502"/>
    <w:rsid w:val="00A643D0"/>
    <w:rsid w:val="00A66161"/>
    <w:rsid w:val="00A75780"/>
    <w:rsid w:val="00A974DC"/>
    <w:rsid w:val="00AC0B19"/>
    <w:rsid w:val="00AC6241"/>
    <w:rsid w:val="00AF2604"/>
    <w:rsid w:val="00B64ABA"/>
    <w:rsid w:val="00B86754"/>
    <w:rsid w:val="00BC1E88"/>
    <w:rsid w:val="00BD69BF"/>
    <w:rsid w:val="00BF33C0"/>
    <w:rsid w:val="00BF5F2D"/>
    <w:rsid w:val="00C16E47"/>
    <w:rsid w:val="00C30B86"/>
    <w:rsid w:val="00C420F4"/>
    <w:rsid w:val="00C46B3D"/>
    <w:rsid w:val="00C93FB1"/>
    <w:rsid w:val="00CA3871"/>
    <w:rsid w:val="00CB3725"/>
    <w:rsid w:val="00CB3BBF"/>
    <w:rsid w:val="00DE7A33"/>
    <w:rsid w:val="00DF59D6"/>
    <w:rsid w:val="00E258E8"/>
    <w:rsid w:val="00E579D3"/>
    <w:rsid w:val="00F15C5B"/>
    <w:rsid w:val="00F74E2C"/>
    <w:rsid w:val="00FB057B"/>
    <w:rsid w:val="00FB3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style>
  <w:style w:type="paragraph" w:customStyle="1" w:styleId="5">
    <w:name w:val="DACC13A1A6B74D07846A0B51C973FD4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A075E03D13764A41A83A2496E1482E2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413B496652864AF68AFF019C3370E54D"/>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FD370-8E01-4B91-A2B1-A84E69E1101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1375</Words>
  <Characters>7843</Characters>
  <Lines>65</Lines>
  <Paragraphs>18</Paragraphs>
  <TotalTime>1326</TotalTime>
  <ScaleCrop>false</ScaleCrop>
  <LinksUpToDate>false</LinksUpToDate>
  <CharactersWithSpaces>9200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2024-12-04T21:46:00Z</dcterms:created>
  <dc:creator>朱友鹏</dc:creator>
  <dc:description>&lt;config cover="true" show_menu="true" version="1.0.0" doctype="SDKXY"&gt;_x000d_
&lt;/config&gt;</dc:description>
  <cp:lastModifiedBy>admin</cp:lastModifiedBy>
  <cp:lastPrinted>2025-07-08T01:38:00Z</cp:lastPrinted>
  <dcterms:modified xsi:type="dcterms:W3CDTF">2025-07-16T08:09:33Z</dcterms:modified>
  <dc:title>地方标准</dc:title>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eyJoZGlkIjoiZDgyM2IxOGE3ZGNkYmY5M2NkY2VlZjcwNGZkNzQ1ZDIiLCJ1c2VySWQiOiIzMTkyOTk4NDMifQ==</vt:lpwstr>
  </property>
  <property fmtid="{D5CDD505-2E9C-101B-9397-08002B2CF9AE}" pid="15" name="KSOProductBuildVer">
    <vt:lpwstr>2052-10.8.0.6423</vt:lpwstr>
  </property>
  <property fmtid="{D5CDD505-2E9C-101B-9397-08002B2CF9AE}" pid="16" name="ICV">
    <vt:lpwstr>43420BD4ACEF401CB986B7D1F31B5EC3_12</vt:lpwstr>
  </property>
</Properties>
</file>