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1594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96EB92E">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A584A4E">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5E5F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C22D478">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C8536C7">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C05648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CE8621F">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5CA893DA">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691C230">
      <w:pPr>
        <w:pStyle w:val="196"/>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E4649CB">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4000D44">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DBB3D46">
      <w:pPr>
        <w:pStyle w:val="51"/>
        <w:framePr w:w="9639" w:h="6976" w:hRule="exact" w:hSpace="0" w:vSpace="0" w:wrap="around" w:hAnchor="page" w:y="6408"/>
        <w:jc w:val="center"/>
        <w:rPr>
          <w:rFonts w:ascii="黑体" w:hAnsi="黑体" w:eastAsia="黑体"/>
          <w:b w:val="0"/>
          <w:bCs w:val="0"/>
          <w:w w:val="100"/>
        </w:rPr>
      </w:pPr>
    </w:p>
    <w:p w14:paraId="46C5E134">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七叶一枝花林下栽培技术规程</w:t>
      </w:r>
      <w:r>
        <w:fldChar w:fldCharType="end"/>
      </w:r>
      <w:bookmarkEnd w:id="9"/>
    </w:p>
    <w:p w14:paraId="4C9FBA9C">
      <w:pPr>
        <w:framePr w:w="9639" w:h="6974" w:hRule="exact" w:wrap="around" w:vAnchor="page" w:hAnchor="page" w:x="1419" w:y="6408" w:anchorLock="1"/>
        <w:ind w:left="-1418"/>
      </w:pPr>
    </w:p>
    <w:p w14:paraId="196A7139">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Code of practice</w:t>
      </w:r>
      <w:r>
        <w:rPr>
          <w:rFonts w:eastAsia="黑体"/>
          <w:szCs w:val="28"/>
        </w:rPr>
        <w:t xml:space="preserve"> for</w:t>
      </w:r>
      <w:r>
        <w:rPr>
          <w:rFonts w:hint="eastAsia" w:eastAsia="黑体"/>
          <w:szCs w:val="28"/>
        </w:rPr>
        <w:t xml:space="preserve"> </w:t>
      </w:r>
      <w:r>
        <w:rPr>
          <w:rFonts w:eastAsia="黑体"/>
          <w:szCs w:val="28"/>
        </w:rPr>
        <w:t>Paris polyphylla Smith cultivation under forest</w:t>
      </w:r>
      <w:r>
        <w:rPr>
          <w:rFonts w:eastAsia="黑体"/>
          <w:szCs w:val="28"/>
        </w:rPr>
        <w:fldChar w:fldCharType="end"/>
      </w:r>
      <w:bookmarkEnd w:id="10"/>
    </w:p>
    <w:p w14:paraId="34AAFFC4">
      <w:pPr>
        <w:framePr w:w="9639" w:h="6974" w:hRule="exact" w:wrap="around" w:vAnchor="page" w:hAnchor="page" w:x="1419" w:y="6408" w:anchorLock="1"/>
        <w:spacing w:line="760" w:lineRule="exact"/>
        <w:ind w:left="-1418"/>
      </w:pPr>
    </w:p>
    <w:p w14:paraId="25227332">
      <w:pPr>
        <w:pStyle w:val="126"/>
        <w:framePr w:w="9639" w:h="6974" w:hRule="exact" w:wrap="around" w:vAnchor="page" w:hAnchor="page" w:x="1419" w:y="6408" w:anchorLock="1"/>
        <w:textAlignment w:val="bottom"/>
        <w:rPr>
          <w:rFonts w:eastAsia="黑体"/>
          <w:szCs w:val="28"/>
        </w:rPr>
      </w:pPr>
    </w:p>
    <w:p w14:paraId="4ECCBBAD">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744C4BC">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w:t>
      </w:r>
      <w:r>
        <w:rPr>
          <w:rFonts w:hint="eastAsia"/>
          <w:sz w:val="21"/>
          <w:szCs w:val="28"/>
          <w:lang w:val="en-US" w:eastAsia="zh-CN"/>
        </w:rPr>
        <w:t>4</w:t>
      </w:r>
      <w:r>
        <w:rPr>
          <w:rFonts w:hint="eastAsia"/>
          <w:sz w:val="21"/>
          <w:szCs w:val="28"/>
        </w:rPr>
        <w:t>-</w:t>
      </w:r>
      <w:r>
        <w:rPr>
          <w:rFonts w:hint="eastAsia"/>
          <w:sz w:val="21"/>
          <w:szCs w:val="28"/>
          <w:lang w:val="en-US" w:eastAsia="zh-CN"/>
        </w:rPr>
        <w:t>12</w:t>
      </w:r>
      <w:r>
        <w:rPr>
          <w:rFonts w:hint="eastAsia"/>
          <w:sz w:val="21"/>
          <w:szCs w:val="28"/>
        </w:rPr>
        <w:t>-</w:t>
      </w:r>
      <w:r>
        <w:rPr>
          <w:rFonts w:hint="eastAsia"/>
          <w:sz w:val="21"/>
          <w:szCs w:val="28"/>
          <w:lang w:val="en-US" w:eastAsia="zh-CN"/>
        </w:rPr>
        <w:t>19</w:t>
      </w:r>
      <w:r>
        <w:rPr>
          <w:rFonts w:hint="eastAsia"/>
          <w:sz w:val="21"/>
          <w:szCs w:val="28"/>
        </w:rPr>
        <w:t>）</w:t>
      </w:r>
      <w:r>
        <w:rPr>
          <w:sz w:val="21"/>
          <w:szCs w:val="28"/>
        </w:rPr>
        <w:fldChar w:fldCharType="end"/>
      </w:r>
      <w:bookmarkEnd w:id="12"/>
    </w:p>
    <w:p w14:paraId="5BF5BB6D">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526CB67">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CFEAE19">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493985D">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56354C0D">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7F57BED">
      <w:pPr>
        <w:pStyle w:val="92"/>
        <w:spacing w:after="468"/>
      </w:pPr>
      <w:bookmarkStart w:id="21" w:name="BookMark1"/>
      <w:bookmarkStart w:id="22" w:name="_Toc202393855"/>
      <w:r>
        <w:rPr>
          <w:rFonts w:hint="eastAsia"/>
          <w:spacing w:val="320"/>
        </w:rPr>
        <w:t>目</w:t>
      </w:r>
      <w:r>
        <w:rPr>
          <w:rFonts w:hint="eastAsia"/>
        </w:rPr>
        <w:t>次</w:t>
      </w:r>
    </w:p>
    <w:p w14:paraId="08EC57DC">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"_Toc202393895" </w:instrText>
      </w:r>
      <w:r>
        <w:fldChar w:fldCharType="separate"/>
      </w:r>
      <w:r>
        <w:rPr>
          <w:rStyle w:val="33"/>
          <w:rFonts w:hint="eastAsia"/>
        </w:rPr>
        <w:t>前言</w:t>
      </w:r>
      <w:r>
        <w:tab/>
      </w:r>
      <w:r>
        <w:fldChar w:fldCharType="begin"/>
      </w:r>
      <w:r>
        <w:instrText xml:space="preserve"> PAGEREF _Toc202393895 \h </w:instrText>
      </w:r>
      <w:r>
        <w:fldChar w:fldCharType="separate"/>
      </w:r>
      <w:r>
        <w:t>II</w:t>
      </w:r>
      <w:r>
        <w:fldChar w:fldCharType="end"/>
      </w:r>
      <w:r>
        <w:fldChar w:fldCharType="end"/>
      </w:r>
    </w:p>
    <w:p w14:paraId="3A4E0647">
      <w:pPr>
        <w:pStyle w:val="20"/>
        <w:tabs>
          <w:tab w:val="right" w:leader="dot" w:pos="9344"/>
        </w:tabs>
        <w:rPr>
          <w:rFonts w:asciiTheme="minorHAnsi" w:hAnsiTheme="minorHAnsi" w:eastAsiaTheme="minorEastAsia" w:cstheme="minorBidi"/>
          <w:szCs w:val="22"/>
        </w:rPr>
      </w:pPr>
      <w:r>
        <w:fldChar w:fldCharType="begin"/>
      </w:r>
      <w:r>
        <w:instrText xml:space="preserve"> HYPERLINK \l "_Toc202393896" </w:instrText>
      </w:r>
      <w:r>
        <w:fldChar w:fldCharType="separate"/>
      </w:r>
      <w:r>
        <w:rPr>
          <w:rStyle w:val="33"/>
        </w:rPr>
        <w:t xml:space="preserve">1 </w:t>
      </w:r>
      <w:r>
        <w:rPr>
          <w:rStyle w:val="33"/>
          <w:rFonts w:hint="eastAsia"/>
        </w:rPr>
        <w:t xml:space="preserve"> 范围</w:t>
      </w:r>
      <w:r>
        <w:tab/>
      </w:r>
      <w:r>
        <w:fldChar w:fldCharType="begin"/>
      </w:r>
      <w:r>
        <w:instrText xml:space="preserve"> PAGEREF _Toc202393896 \h </w:instrText>
      </w:r>
      <w:r>
        <w:fldChar w:fldCharType="separate"/>
      </w:r>
      <w:r>
        <w:t>1</w:t>
      </w:r>
      <w:r>
        <w:fldChar w:fldCharType="end"/>
      </w:r>
      <w:r>
        <w:fldChar w:fldCharType="end"/>
      </w:r>
    </w:p>
    <w:p w14:paraId="1F54956A">
      <w:pPr>
        <w:pStyle w:val="20"/>
        <w:tabs>
          <w:tab w:val="right" w:leader="dot" w:pos="9344"/>
        </w:tabs>
        <w:rPr>
          <w:rFonts w:asciiTheme="minorHAnsi" w:hAnsiTheme="minorHAnsi" w:eastAsiaTheme="minorEastAsia" w:cstheme="minorBidi"/>
          <w:szCs w:val="22"/>
        </w:rPr>
      </w:pPr>
      <w:r>
        <w:fldChar w:fldCharType="begin"/>
      </w:r>
      <w:r>
        <w:instrText xml:space="preserve"> HYPERLINK \l "_Toc202393897"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_Toc202393897 \h </w:instrText>
      </w:r>
      <w:r>
        <w:fldChar w:fldCharType="separate"/>
      </w:r>
      <w:r>
        <w:t>1</w:t>
      </w:r>
      <w:r>
        <w:fldChar w:fldCharType="end"/>
      </w:r>
      <w:r>
        <w:fldChar w:fldCharType="end"/>
      </w:r>
    </w:p>
    <w:p w14:paraId="6384EAA1">
      <w:pPr>
        <w:pStyle w:val="20"/>
        <w:tabs>
          <w:tab w:val="right" w:leader="dot" w:pos="9344"/>
        </w:tabs>
        <w:rPr>
          <w:rFonts w:asciiTheme="minorHAnsi" w:hAnsiTheme="minorHAnsi" w:eastAsiaTheme="minorEastAsia" w:cstheme="minorBidi"/>
          <w:szCs w:val="22"/>
        </w:rPr>
      </w:pPr>
      <w:r>
        <w:fldChar w:fldCharType="begin"/>
      </w:r>
      <w:r>
        <w:instrText xml:space="preserve"> HYPERLINK \l "_Toc202393898"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_Toc202393898 \h </w:instrText>
      </w:r>
      <w:r>
        <w:fldChar w:fldCharType="separate"/>
      </w:r>
      <w:r>
        <w:t>1</w:t>
      </w:r>
      <w:r>
        <w:fldChar w:fldCharType="end"/>
      </w:r>
      <w:r>
        <w:fldChar w:fldCharType="end"/>
      </w:r>
    </w:p>
    <w:p w14:paraId="692B8930">
      <w:pPr>
        <w:pStyle w:val="20"/>
        <w:tabs>
          <w:tab w:val="right" w:leader="dot" w:pos="9344"/>
        </w:tabs>
        <w:rPr>
          <w:rFonts w:asciiTheme="minorHAnsi" w:hAnsiTheme="minorHAnsi" w:eastAsiaTheme="minorEastAsia" w:cstheme="minorBidi"/>
          <w:szCs w:val="22"/>
        </w:rPr>
      </w:pPr>
      <w:r>
        <w:fldChar w:fldCharType="begin"/>
      </w:r>
      <w:r>
        <w:instrText xml:space="preserve"> HYPERLINK \l "_Toc202393899" </w:instrText>
      </w:r>
      <w:r>
        <w:fldChar w:fldCharType="separate"/>
      </w:r>
      <w:r>
        <w:rPr>
          <w:rStyle w:val="33"/>
        </w:rPr>
        <w:t xml:space="preserve">4 </w:t>
      </w:r>
      <w:r>
        <w:rPr>
          <w:rStyle w:val="33"/>
          <w:rFonts w:hint="eastAsia"/>
        </w:rPr>
        <w:t xml:space="preserve"> 环境选择</w:t>
      </w:r>
      <w:r>
        <w:tab/>
      </w:r>
      <w:r>
        <w:fldChar w:fldCharType="begin"/>
      </w:r>
      <w:r>
        <w:instrText xml:space="preserve"> PAGEREF _Toc202393899 \h </w:instrText>
      </w:r>
      <w:r>
        <w:fldChar w:fldCharType="separate"/>
      </w:r>
      <w:r>
        <w:t>1</w:t>
      </w:r>
      <w:r>
        <w:fldChar w:fldCharType="end"/>
      </w:r>
      <w:r>
        <w:fldChar w:fldCharType="end"/>
      </w:r>
    </w:p>
    <w:p w14:paraId="7752848D">
      <w:pPr>
        <w:pStyle w:val="20"/>
        <w:tabs>
          <w:tab w:val="right" w:leader="dot" w:pos="9344"/>
        </w:tabs>
        <w:rPr>
          <w:rFonts w:asciiTheme="minorHAnsi" w:hAnsiTheme="minorHAnsi" w:eastAsiaTheme="minorEastAsia" w:cstheme="minorBidi"/>
          <w:szCs w:val="22"/>
        </w:rPr>
      </w:pPr>
      <w:r>
        <w:fldChar w:fldCharType="begin"/>
      </w:r>
      <w:r>
        <w:instrText xml:space="preserve"> HYPERLINK \l "_Toc202393900" </w:instrText>
      </w:r>
      <w:r>
        <w:fldChar w:fldCharType="separate"/>
      </w:r>
      <w:r>
        <w:rPr>
          <w:rStyle w:val="33"/>
        </w:rPr>
        <w:t xml:space="preserve">5 </w:t>
      </w:r>
      <w:r>
        <w:rPr>
          <w:rStyle w:val="33"/>
          <w:rFonts w:hint="eastAsia"/>
        </w:rPr>
        <w:t xml:space="preserve"> 育苗</w:t>
      </w:r>
      <w:r>
        <w:tab/>
      </w:r>
      <w:r>
        <w:fldChar w:fldCharType="begin"/>
      </w:r>
      <w:r>
        <w:instrText xml:space="preserve"> PAGEREF _Toc202393900 \h </w:instrText>
      </w:r>
      <w:r>
        <w:fldChar w:fldCharType="separate"/>
      </w:r>
      <w:r>
        <w:t>2</w:t>
      </w:r>
      <w:r>
        <w:fldChar w:fldCharType="end"/>
      </w:r>
      <w:r>
        <w:fldChar w:fldCharType="end"/>
      </w:r>
    </w:p>
    <w:p w14:paraId="4BC51157">
      <w:pPr>
        <w:pStyle w:val="20"/>
        <w:tabs>
          <w:tab w:val="right" w:leader="dot" w:pos="9344"/>
        </w:tabs>
        <w:rPr>
          <w:rFonts w:asciiTheme="minorHAnsi" w:hAnsiTheme="minorHAnsi" w:eastAsiaTheme="minorEastAsia" w:cstheme="minorBidi"/>
          <w:szCs w:val="22"/>
        </w:rPr>
      </w:pPr>
      <w:r>
        <w:fldChar w:fldCharType="begin"/>
      </w:r>
      <w:r>
        <w:instrText xml:space="preserve"> HYPERLINK \l "_Toc202393901" </w:instrText>
      </w:r>
      <w:r>
        <w:fldChar w:fldCharType="separate"/>
      </w:r>
      <w:r>
        <w:rPr>
          <w:rStyle w:val="33"/>
        </w:rPr>
        <w:t xml:space="preserve">6 </w:t>
      </w:r>
      <w:r>
        <w:rPr>
          <w:rStyle w:val="33"/>
          <w:rFonts w:hint="eastAsia"/>
        </w:rPr>
        <w:t xml:space="preserve"> 栽植</w:t>
      </w:r>
      <w:r>
        <w:tab/>
      </w:r>
      <w:r>
        <w:fldChar w:fldCharType="begin"/>
      </w:r>
      <w:r>
        <w:instrText xml:space="preserve"> PAGEREF _Toc202393901 \h </w:instrText>
      </w:r>
      <w:r>
        <w:fldChar w:fldCharType="separate"/>
      </w:r>
      <w:r>
        <w:t>3</w:t>
      </w:r>
      <w:r>
        <w:fldChar w:fldCharType="end"/>
      </w:r>
      <w:r>
        <w:fldChar w:fldCharType="end"/>
      </w:r>
    </w:p>
    <w:p w14:paraId="0F18C114">
      <w:pPr>
        <w:pStyle w:val="20"/>
        <w:tabs>
          <w:tab w:val="right" w:leader="dot" w:pos="9344"/>
        </w:tabs>
        <w:rPr>
          <w:rFonts w:asciiTheme="minorHAnsi" w:hAnsiTheme="minorHAnsi" w:eastAsiaTheme="minorEastAsia" w:cstheme="minorBidi"/>
          <w:szCs w:val="22"/>
        </w:rPr>
      </w:pPr>
      <w:r>
        <w:fldChar w:fldCharType="begin"/>
      </w:r>
      <w:r>
        <w:instrText xml:space="preserve"> HYPERLINK \l "_Toc202393902" </w:instrText>
      </w:r>
      <w:r>
        <w:fldChar w:fldCharType="separate"/>
      </w:r>
      <w:r>
        <w:rPr>
          <w:rStyle w:val="33"/>
        </w:rPr>
        <w:t xml:space="preserve">7 </w:t>
      </w:r>
      <w:r>
        <w:rPr>
          <w:rStyle w:val="33"/>
          <w:rFonts w:hint="eastAsia"/>
        </w:rPr>
        <w:t xml:space="preserve"> 田间管理</w:t>
      </w:r>
      <w:r>
        <w:tab/>
      </w:r>
      <w:r>
        <w:fldChar w:fldCharType="begin"/>
      </w:r>
      <w:r>
        <w:instrText xml:space="preserve"> PAGEREF _Toc202393902 \h </w:instrText>
      </w:r>
      <w:r>
        <w:fldChar w:fldCharType="separate"/>
      </w:r>
      <w:r>
        <w:t>4</w:t>
      </w:r>
      <w:r>
        <w:fldChar w:fldCharType="end"/>
      </w:r>
      <w:r>
        <w:fldChar w:fldCharType="end"/>
      </w:r>
    </w:p>
    <w:p w14:paraId="66741454">
      <w:pPr>
        <w:pStyle w:val="20"/>
        <w:tabs>
          <w:tab w:val="right" w:leader="dot" w:pos="9344"/>
        </w:tabs>
        <w:rPr>
          <w:rFonts w:asciiTheme="minorHAnsi" w:hAnsiTheme="minorHAnsi" w:eastAsiaTheme="minorEastAsia" w:cstheme="minorBidi"/>
          <w:szCs w:val="22"/>
        </w:rPr>
      </w:pPr>
      <w:r>
        <w:fldChar w:fldCharType="begin"/>
      </w:r>
      <w:r>
        <w:instrText xml:space="preserve"> HYPERLINK \l "_Toc202393903" </w:instrText>
      </w:r>
      <w:r>
        <w:fldChar w:fldCharType="separate"/>
      </w:r>
      <w:r>
        <w:rPr>
          <w:rStyle w:val="33"/>
        </w:rPr>
        <w:t xml:space="preserve">8 </w:t>
      </w:r>
      <w:r>
        <w:rPr>
          <w:rStyle w:val="33"/>
          <w:rFonts w:hint="eastAsia"/>
        </w:rPr>
        <w:t xml:space="preserve"> 病虫害主要防治方法</w:t>
      </w:r>
      <w:r>
        <w:tab/>
      </w:r>
      <w:r>
        <w:fldChar w:fldCharType="begin"/>
      </w:r>
      <w:r>
        <w:instrText xml:space="preserve"> PAGEREF _Toc202393903 \h </w:instrText>
      </w:r>
      <w:r>
        <w:fldChar w:fldCharType="separate"/>
      </w:r>
      <w:r>
        <w:t>4</w:t>
      </w:r>
      <w:r>
        <w:fldChar w:fldCharType="end"/>
      </w:r>
      <w:r>
        <w:fldChar w:fldCharType="end"/>
      </w:r>
    </w:p>
    <w:p w14:paraId="096BADB2">
      <w:pPr>
        <w:pStyle w:val="20"/>
        <w:tabs>
          <w:tab w:val="right" w:leader="dot" w:pos="9344"/>
        </w:tabs>
        <w:rPr>
          <w:rFonts w:asciiTheme="minorHAnsi" w:hAnsiTheme="minorHAnsi" w:eastAsiaTheme="minorEastAsia" w:cstheme="minorBidi"/>
          <w:szCs w:val="22"/>
        </w:rPr>
      </w:pPr>
      <w:r>
        <w:fldChar w:fldCharType="begin"/>
      </w:r>
      <w:r>
        <w:instrText xml:space="preserve"> HYPERLINK \l "_Toc202393904" </w:instrText>
      </w:r>
      <w:r>
        <w:fldChar w:fldCharType="separate"/>
      </w:r>
      <w:r>
        <w:rPr>
          <w:rStyle w:val="33"/>
        </w:rPr>
        <w:t xml:space="preserve">9 </w:t>
      </w:r>
      <w:r>
        <w:rPr>
          <w:rStyle w:val="33"/>
          <w:rFonts w:hint="eastAsia"/>
        </w:rPr>
        <w:t xml:space="preserve"> 采收</w:t>
      </w:r>
      <w:r>
        <w:tab/>
      </w:r>
      <w:r>
        <w:fldChar w:fldCharType="begin"/>
      </w:r>
      <w:r>
        <w:instrText xml:space="preserve"> PAGEREF _Toc202393904 \h </w:instrText>
      </w:r>
      <w:r>
        <w:fldChar w:fldCharType="separate"/>
      </w:r>
      <w:r>
        <w:t>4</w:t>
      </w:r>
      <w:r>
        <w:fldChar w:fldCharType="end"/>
      </w:r>
      <w:r>
        <w:fldChar w:fldCharType="end"/>
      </w:r>
    </w:p>
    <w:p w14:paraId="22156180">
      <w:pPr>
        <w:pStyle w:val="20"/>
        <w:tabs>
          <w:tab w:val="right" w:leader="dot" w:pos="9344"/>
        </w:tabs>
        <w:rPr>
          <w:rFonts w:asciiTheme="minorHAnsi" w:hAnsiTheme="minorHAnsi" w:eastAsiaTheme="minorEastAsia" w:cstheme="minorBidi"/>
          <w:szCs w:val="22"/>
        </w:rPr>
      </w:pPr>
      <w:r>
        <w:fldChar w:fldCharType="begin"/>
      </w:r>
      <w:r>
        <w:instrText xml:space="preserve"> HYPERLINK \l "_Toc202393905" </w:instrText>
      </w:r>
      <w:r>
        <w:fldChar w:fldCharType="separate"/>
      </w:r>
      <w:r>
        <w:rPr>
          <w:rStyle w:val="33"/>
        </w:rPr>
        <w:t xml:space="preserve">10 </w:t>
      </w:r>
      <w:r>
        <w:rPr>
          <w:rStyle w:val="33"/>
          <w:rFonts w:hint="eastAsia"/>
        </w:rPr>
        <w:t xml:space="preserve"> 档案管理</w:t>
      </w:r>
      <w:r>
        <w:tab/>
      </w:r>
      <w:r>
        <w:fldChar w:fldCharType="begin"/>
      </w:r>
      <w:r>
        <w:instrText xml:space="preserve"> PAGEREF _Toc202393905 \h </w:instrText>
      </w:r>
      <w:r>
        <w:fldChar w:fldCharType="separate"/>
      </w:r>
      <w:r>
        <w:t>5</w:t>
      </w:r>
      <w:r>
        <w:fldChar w:fldCharType="end"/>
      </w:r>
      <w:r>
        <w:fldChar w:fldCharType="end"/>
      </w:r>
    </w:p>
    <w:p w14:paraId="022835B7">
      <w:pPr>
        <w:pStyle w:val="20"/>
        <w:tabs>
          <w:tab w:val="right" w:leader="dot" w:pos="9344"/>
        </w:tabs>
        <w:rPr>
          <w:rFonts w:asciiTheme="minorHAnsi" w:hAnsiTheme="minorHAnsi" w:eastAsiaTheme="minorEastAsia" w:cstheme="minorBidi"/>
          <w:szCs w:val="22"/>
        </w:rPr>
      </w:pPr>
      <w:r>
        <w:fldChar w:fldCharType="begin"/>
      </w:r>
      <w:r>
        <w:instrText xml:space="preserve"> HYPERLINK \l "_Toc202393906" </w:instrText>
      </w:r>
      <w:r>
        <w:fldChar w:fldCharType="separate"/>
      </w:r>
      <w:r>
        <w:rPr>
          <w:rStyle w:val="33"/>
          <w:rFonts w:hint="eastAsia"/>
        </w:rPr>
        <w:t>附录A（资料性）</w:t>
      </w:r>
      <w:r>
        <w:rPr>
          <w:rStyle w:val="33"/>
        </w:rPr>
        <w:t xml:space="preserve">  </w:t>
      </w:r>
      <w:r>
        <w:rPr>
          <w:rStyle w:val="33"/>
          <w:rFonts w:hint="eastAsia"/>
        </w:rPr>
        <w:t>七叶一枝花主要病虫害防治方法</w:t>
      </w:r>
      <w:r>
        <w:tab/>
      </w:r>
      <w:r>
        <w:fldChar w:fldCharType="begin"/>
      </w:r>
      <w:r>
        <w:instrText xml:space="preserve"> PAGEREF _Toc202393906 \h </w:instrText>
      </w:r>
      <w:r>
        <w:fldChar w:fldCharType="separate"/>
      </w:r>
      <w:r>
        <w:t>6</w:t>
      </w:r>
      <w:r>
        <w:fldChar w:fldCharType="end"/>
      </w:r>
      <w:r>
        <w:fldChar w:fldCharType="end"/>
      </w:r>
    </w:p>
    <w:p w14:paraId="0B4D2B22">
      <w:pPr>
        <w:pStyle w:val="20"/>
        <w:tabs>
          <w:tab w:val="right" w:leader="dot" w:pos="9344"/>
        </w:tabs>
        <w:rPr>
          <w:rFonts w:asciiTheme="minorHAnsi" w:hAnsiTheme="minorHAnsi" w:eastAsiaTheme="minorEastAsia" w:cstheme="minorBidi"/>
          <w:szCs w:val="22"/>
        </w:rPr>
      </w:pPr>
      <w:r>
        <w:fldChar w:fldCharType="begin"/>
      </w:r>
      <w:r>
        <w:instrText xml:space="preserve"> HYPERLINK \l "_Toc202393907" </w:instrText>
      </w:r>
      <w:r>
        <w:fldChar w:fldCharType="separate"/>
      </w:r>
      <w:r>
        <w:rPr>
          <w:rStyle w:val="33"/>
          <w:rFonts w:hint="eastAsia"/>
        </w:rPr>
        <w:t>附录B（资料性）</w:t>
      </w:r>
      <w:r>
        <w:rPr>
          <w:rStyle w:val="33"/>
        </w:rPr>
        <w:t xml:space="preserve">  </w:t>
      </w:r>
      <w:r>
        <w:rPr>
          <w:rStyle w:val="33"/>
          <w:rFonts w:hint="eastAsia"/>
        </w:rPr>
        <w:t>七叶一枝花林下栽培管理登记表</w:t>
      </w:r>
      <w:r>
        <w:tab/>
      </w:r>
      <w:r>
        <w:fldChar w:fldCharType="begin"/>
      </w:r>
      <w:r>
        <w:instrText xml:space="preserve"> PAGEREF _Toc202393907 \h </w:instrText>
      </w:r>
      <w:r>
        <w:fldChar w:fldCharType="separate"/>
      </w:r>
      <w:r>
        <w:t>7</w:t>
      </w:r>
      <w:r>
        <w:fldChar w:fldCharType="end"/>
      </w:r>
      <w:r>
        <w:fldChar w:fldCharType="end"/>
      </w:r>
    </w:p>
    <w:p w14:paraId="11B062DE">
      <w:pPr>
        <w:pStyle w:val="92"/>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14:paraId="2493DF6C">
      <w:pPr>
        <w:pStyle w:val="90"/>
        <w:spacing w:after="468"/>
      </w:pPr>
      <w:bookmarkStart w:id="23" w:name="_Toc202393895"/>
      <w:bookmarkStart w:id="24" w:name="BookMark2"/>
      <w:r>
        <w:rPr>
          <w:spacing w:val="320"/>
        </w:rPr>
        <w:t>前</w:t>
      </w:r>
      <w:r>
        <w:t>言</w:t>
      </w:r>
      <w:bookmarkEnd w:id="22"/>
      <w:bookmarkEnd w:id="23"/>
    </w:p>
    <w:p w14:paraId="014471BC">
      <w:pPr>
        <w:pStyle w:val="57"/>
        <w:ind w:firstLine="420"/>
      </w:pPr>
      <w:r>
        <w:rPr>
          <w:rFonts w:hint="eastAsia"/>
        </w:rPr>
        <w:t>本文件按照GB/T 1.1—2020《标准化工作导则  第1部分：标准化文件的结构和起草规则》的规定起草。</w:t>
      </w:r>
    </w:p>
    <w:p w14:paraId="52033E31">
      <w:pPr>
        <w:spacing w:line="324" w:lineRule="exact"/>
        <w:ind w:firstLine="420" w:firstLineChars="200"/>
        <w:rPr>
          <w:rFonts w:ascii="宋体" w:hAnsi="宋体"/>
          <w:color w:val="000000"/>
        </w:rPr>
      </w:pPr>
      <w:r>
        <w:rPr>
          <w:rFonts w:hint="eastAsia" w:ascii="宋体" w:hAnsi="宋体"/>
          <w:color w:val="000000"/>
        </w:rPr>
        <w:t>请注意本文件的某些内容可能涉及专利。本文件的发布机构不承担识别专利的责任。</w:t>
      </w:r>
    </w:p>
    <w:p w14:paraId="01FABF0D">
      <w:pPr>
        <w:pStyle w:val="57"/>
        <w:ind w:firstLine="420"/>
      </w:pPr>
      <w:r>
        <w:rPr>
          <w:rFonts w:hint="eastAsia"/>
        </w:rPr>
        <w:t>本文件由</w:t>
      </w:r>
      <w:r>
        <w:rPr>
          <w:rFonts w:hint="eastAsia" w:hAnsi="宋体"/>
          <w:color w:val="000000"/>
        </w:rPr>
        <w:t>湖南省林业局</w:t>
      </w:r>
      <w:r>
        <w:rPr>
          <w:rFonts w:hint="eastAsia"/>
        </w:rPr>
        <w:t>提出。</w:t>
      </w:r>
    </w:p>
    <w:p w14:paraId="044C0BAC">
      <w:pPr>
        <w:pStyle w:val="57"/>
        <w:ind w:firstLine="420"/>
      </w:pPr>
      <w:r>
        <w:rPr>
          <w:rFonts w:hint="eastAsia"/>
        </w:rPr>
        <w:t>本文件由</w:t>
      </w:r>
      <w:r>
        <w:rPr>
          <w:rFonts w:hint="eastAsia" w:hAnsi="宋体"/>
          <w:color w:val="000000"/>
        </w:rPr>
        <w:t>湖南省林业标准化技术委员会</w:t>
      </w:r>
      <w:r>
        <w:rPr>
          <w:rFonts w:hint="eastAsia"/>
        </w:rPr>
        <w:t>归口。</w:t>
      </w:r>
    </w:p>
    <w:p w14:paraId="7B92D637">
      <w:pPr>
        <w:spacing w:line="320" w:lineRule="exact"/>
        <w:ind w:firstLine="420" w:firstLineChars="200"/>
        <w:rPr>
          <w:rFonts w:ascii="宋体" w:hAnsi="宋体"/>
          <w:color w:val="000000"/>
        </w:rPr>
      </w:pPr>
      <w:r>
        <w:rPr>
          <w:rFonts w:hint="eastAsia"/>
        </w:rPr>
        <w:t>本文件起草单位：</w:t>
      </w:r>
      <w:r>
        <w:rPr>
          <w:rFonts w:hint="eastAsia" w:ascii="宋体" w:hAnsi="宋体"/>
          <w:color w:val="000000"/>
        </w:rPr>
        <w:t>湖南省植物园。</w:t>
      </w:r>
    </w:p>
    <w:p w14:paraId="14577FCA">
      <w:pPr>
        <w:pStyle w:val="57"/>
        <w:ind w:firstLine="420"/>
      </w:pPr>
      <w:r>
        <w:rPr>
          <w:rFonts w:hint="eastAsia"/>
        </w:rPr>
        <w:t>本文件主要起草人：</w:t>
      </w:r>
      <w:r>
        <w:rPr>
          <w:rFonts w:hint="eastAsia" w:hAnsi="宋体"/>
          <w:color w:val="000000"/>
        </w:rPr>
        <w:t>罗军、龚舟、彭静、陈灵、王萍、黄文韬、陈铭、周振宇、蒋文、欧阳泽怡、李忻怡、罗先权。</w:t>
      </w:r>
    </w:p>
    <w:p w14:paraId="0BE7D0AC">
      <w:pPr>
        <w:pStyle w:val="57"/>
        <w:ind w:firstLine="420"/>
      </w:pPr>
    </w:p>
    <w:p w14:paraId="43B23456">
      <w:pPr>
        <w:pStyle w:val="57"/>
        <w:ind w:firstLine="420"/>
        <w:sectPr>
          <w:pgSz w:w="11906" w:h="16838"/>
          <w:pgMar w:top="2410" w:right="1134" w:bottom="1134" w:left="1134" w:header="1418" w:footer="1134" w:gutter="284"/>
          <w:pgNumType w:fmt="upperRoman"/>
          <w:cols w:space="425" w:num="1"/>
          <w:formProt w:val="0"/>
          <w:docGrid w:type="lines" w:linePitch="312" w:charSpace="0"/>
        </w:sectPr>
      </w:pPr>
    </w:p>
    <w:bookmarkEnd w:id="24"/>
    <w:p w14:paraId="6991B71A">
      <w:pPr>
        <w:spacing w:line="20" w:lineRule="exact"/>
        <w:jc w:val="center"/>
        <w:rPr>
          <w:rFonts w:ascii="黑体" w:hAnsi="黑体" w:eastAsia="黑体"/>
          <w:sz w:val="32"/>
          <w:szCs w:val="32"/>
        </w:rPr>
      </w:pPr>
      <w:bookmarkStart w:id="25" w:name="BookMark4"/>
    </w:p>
    <w:p w14:paraId="71C7814D">
      <w:pPr>
        <w:spacing w:line="20" w:lineRule="exact"/>
        <w:jc w:val="center"/>
        <w:rPr>
          <w:rFonts w:ascii="黑体" w:hAnsi="黑体" w:eastAsia="黑体"/>
          <w:sz w:val="32"/>
          <w:szCs w:val="32"/>
        </w:rPr>
      </w:pPr>
    </w:p>
    <w:sdt>
      <w:sdtPr>
        <w:tag w:val="NEW_STAND_NAME"/>
        <w:id w:val="595910757"/>
        <w:lock w:val="sdtLocked"/>
        <w:placeholder>
          <w:docPart w:val="34CEE9811DF847F7816B6BFA3B658F89"/>
        </w:placeholder>
      </w:sdtPr>
      <w:sdtContent>
        <w:p w14:paraId="71A7B06C">
          <w:pPr>
            <w:pStyle w:val="178"/>
            <w:spacing w:before="3" w:beforeLines="1" w:after="686" w:afterLines="220"/>
          </w:pPr>
          <w:bookmarkStart w:id="26" w:name="NEW_STAND_NAME"/>
          <w:r>
            <w:rPr>
              <w:rFonts w:hint="eastAsia"/>
            </w:rPr>
            <w:t>七叶一枝花林下栽培技术规程</w:t>
          </w:r>
        </w:p>
      </w:sdtContent>
    </w:sdt>
    <w:bookmarkEnd w:id="26"/>
    <w:p w14:paraId="129CC647">
      <w:pPr>
        <w:pStyle w:val="105"/>
        <w:spacing w:before="312" w:after="312"/>
      </w:pPr>
      <w:bookmarkStart w:id="27" w:name="_Toc17233325"/>
      <w:bookmarkStart w:id="28" w:name="_Toc17233333"/>
      <w:bookmarkStart w:id="29" w:name="_Toc26718930"/>
      <w:bookmarkStart w:id="30" w:name="_Toc24884218"/>
      <w:bookmarkStart w:id="31" w:name="_Toc26648465"/>
      <w:bookmarkStart w:id="32" w:name="_Toc26986771"/>
      <w:bookmarkStart w:id="33" w:name="_Toc202393896"/>
      <w:bookmarkStart w:id="34" w:name="_Toc26986530"/>
      <w:bookmarkStart w:id="35" w:name="_Toc202393856"/>
      <w:bookmarkStart w:id="36" w:name="_Toc24884211"/>
      <w:r>
        <w:rPr>
          <w:rFonts w:hint="eastAsia"/>
        </w:rPr>
        <w:t>范围</w:t>
      </w:r>
      <w:bookmarkEnd w:id="27"/>
      <w:bookmarkEnd w:id="28"/>
      <w:bookmarkEnd w:id="29"/>
      <w:bookmarkEnd w:id="30"/>
      <w:bookmarkEnd w:id="31"/>
      <w:bookmarkEnd w:id="32"/>
      <w:bookmarkEnd w:id="33"/>
      <w:bookmarkEnd w:id="34"/>
      <w:bookmarkEnd w:id="35"/>
      <w:bookmarkEnd w:id="36"/>
    </w:p>
    <w:p w14:paraId="68C19B4D">
      <w:pPr>
        <w:pStyle w:val="57"/>
        <w:ind w:firstLine="420"/>
      </w:pPr>
      <w:bookmarkStart w:id="37" w:name="_Toc26648466"/>
      <w:bookmarkStart w:id="38" w:name="_Toc17233326"/>
      <w:bookmarkStart w:id="39" w:name="_Toc17233334"/>
      <w:bookmarkStart w:id="40" w:name="_Toc24884212"/>
      <w:bookmarkStart w:id="41" w:name="_Toc24884219"/>
      <w:r>
        <w:rPr>
          <w:rFonts w:hint="eastAsia"/>
        </w:rPr>
        <w:t>标准规定了七叶一枝花林下栽培的环境选择、育苗、栽植、田间管理、主要病虫害防治、采收及档案管理。</w:t>
      </w:r>
    </w:p>
    <w:p w14:paraId="2BDC22E3">
      <w:pPr>
        <w:pStyle w:val="57"/>
        <w:ind w:firstLine="420"/>
      </w:pPr>
      <w:r>
        <w:rPr>
          <w:rFonts w:hint="eastAsia"/>
        </w:rPr>
        <w:t>本标准适用于湖南省七叶一枝花林下适生地栽培。</w:t>
      </w:r>
    </w:p>
    <w:p w14:paraId="6B01FDDF">
      <w:pPr>
        <w:pStyle w:val="105"/>
        <w:spacing w:before="312" w:after="312"/>
      </w:pPr>
      <w:bookmarkStart w:id="42" w:name="_Toc26718931"/>
      <w:bookmarkStart w:id="43" w:name="_Toc26986531"/>
      <w:bookmarkStart w:id="44" w:name="_Toc26986772"/>
      <w:bookmarkStart w:id="45" w:name="_Toc202393857"/>
      <w:bookmarkStart w:id="46" w:name="_Toc202393897"/>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F637C1AA0FFE453FA836AF4ABDD9087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CCF66EC">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ECA45FC">
      <w:pPr>
        <w:pStyle w:val="57"/>
        <w:ind w:firstLine="420"/>
      </w:pPr>
      <w:r>
        <w:rPr>
          <w:rFonts w:hint="eastAsia"/>
        </w:rPr>
        <w:t>GB 3095</w:t>
      </w:r>
      <w:r>
        <w:t xml:space="preserve"> </w:t>
      </w:r>
      <w:r>
        <w:rPr>
          <w:rFonts w:hint="eastAsia"/>
        </w:rPr>
        <w:t>环境空气质量标准</w:t>
      </w:r>
    </w:p>
    <w:p w14:paraId="20CF1396">
      <w:pPr>
        <w:pStyle w:val="57"/>
        <w:ind w:firstLine="420"/>
      </w:pPr>
      <w:r>
        <w:rPr>
          <w:rFonts w:hint="eastAsia"/>
        </w:rPr>
        <w:t>GB 5084</w:t>
      </w:r>
      <w:r>
        <w:t xml:space="preserve"> </w:t>
      </w:r>
      <w:r>
        <w:rPr>
          <w:rFonts w:hint="eastAsia"/>
        </w:rPr>
        <w:t>农田灌溉水质标准</w:t>
      </w:r>
    </w:p>
    <w:p w14:paraId="60AD65F2">
      <w:pPr>
        <w:pStyle w:val="57"/>
        <w:ind w:firstLine="420"/>
      </w:pPr>
      <w:r>
        <w:rPr>
          <w:rFonts w:hint="eastAsia"/>
        </w:rPr>
        <w:t>GB/T 8321 (所有部分)农药合理使用准则</w:t>
      </w:r>
    </w:p>
    <w:p w14:paraId="1599758D">
      <w:pPr>
        <w:pStyle w:val="57"/>
        <w:ind w:firstLine="420"/>
      </w:pPr>
      <w:r>
        <w:rPr>
          <w:rFonts w:hint="eastAsia"/>
        </w:rPr>
        <w:t>NY/T 496 肥料合理使用准则通则</w:t>
      </w:r>
      <w:bookmarkStart w:id="94" w:name="_GoBack"/>
      <w:bookmarkEnd w:id="94"/>
    </w:p>
    <w:p w14:paraId="5FF82D4B">
      <w:pPr>
        <w:pStyle w:val="57"/>
        <w:ind w:firstLine="420"/>
      </w:pPr>
      <w:r>
        <w:rPr>
          <w:rFonts w:hint="eastAsia"/>
        </w:rPr>
        <w:t>GB 15618　土壤环境质量标准</w:t>
      </w:r>
    </w:p>
    <w:p w14:paraId="33793B08">
      <w:pPr>
        <w:pStyle w:val="105"/>
        <w:spacing w:before="312" w:after="312"/>
      </w:pPr>
      <w:bookmarkStart w:id="47" w:name="_Toc202393898"/>
      <w:bookmarkStart w:id="48" w:name="_Toc202393858"/>
      <w:r>
        <w:rPr>
          <w:rFonts w:hint="eastAsia"/>
          <w:szCs w:val="21"/>
        </w:rPr>
        <w:t>术语和定义</w:t>
      </w:r>
      <w:bookmarkEnd w:id="47"/>
      <w:bookmarkEnd w:id="48"/>
    </w:p>
    <w:sdt>
      <w:sdtPr>
        <w:id w:val="-1909835108"/>
        <w:placeholder>
          <w:docPart w:val="7EA9759642DF40CBB89CEC8857F7E9C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E4B4C42">
          <w:pPr>
            <w:pStyle w:val="57"/>
            <w:ind w:firstLine="420"/>
          </w:pPr>
          <w:bookmarkStart w:id="49" w:name="_Toc26986532"/>
          <w:bookmarkEnd w:id="49"/>
          <w:r>
            <w:t>下列术语和定义适用于本文件。</w:t>
          </w:r>
        </w:p>
      </w:sdtContent>
    </w:sdt>
    <w:p w14:paraId="53FCA21A">
      <w:pPr>
        <w:pStyle w:val="224"/>
        <w:ind w:left="420" w:hanging="420" w:hangingChars="200"/>
        <w:rPr>
          <w:rFonts w:ascii="黑体" w:hAnsi="黑体" w:eastAsia="黑体"/>
        </w:rPr>
      </w:pPr>
      <w:bookmarkStart w:id="50" w:name="_Toc202393859"/>
      <w:bookmarkEnd w:id="50"/>
      <w:r>
        <w:rPr>
          <w:rFonts w:ascii="黑体" w:hAnsi="黑体" w:eastAsia="黑体"/>
        </w:rPr>
        <w:br w:type="textWrapping"/>
      </w:r>
      <w:r>
        <w:rPr>
          <w:rFonts w:ascii="黑体" w:hAnsi="黑体" w:eastAsia="黑体"/>
        </w:rPr>
        <w:t>七叶一枝花</w:t>
      </w:r>
      <w:r>
        <w:rPr>
          <w:rFonts w:hint="eastAsia" w:ascii="黑体" w:hAnsi="黑体" w:eastAsia="黑体"/>
        </w:rPr>
        <w:t xml:space="preserve">  Paris polyphylla Smith </w:t>
      </w:r>
    </w:p>
    <w:p w14:paraId="20787719">
      <w:pPr>
        <w:pStyle w:val="57"/>
        <w:ind w:firstLine="420"/>
      </w:pPr>
      <w:r>
        <w:rPr>
          <w:rFonts w:hint="eastAsia"/>
        </w:rPr>
        <w:t>七叶一枝花(别名：蚤休、紫河车、草河车、华重楼、七叶莲、铁灯台等)，属百合科重楼属多年生草本植物，是一种重要的稀缺中药材。</w:t>
      </w:r>
    </w:p>
    <w:p w14:paraId="28743B93">
      <w:pPr>
        <w:pStyle w:val="224"/>
        <w:ind w:left="420" w:hanging="420" w:hangingChars="200"/>
        <w:rPr>
          <w:rFonts w:ascii="黑体" w:hAnsi="黑体" w:eastAsia="黑体"/>
        </w:rPr>
      </w:pPr>
      <w:bookmarkStart w:id="51" w:name="_Toc202393861"/>
      <w:bookmarkEnd w:id="51"/>
      <w:r>
        <w:rPr>
          <w:rFonts w:ascii="黑体" w:hAnsi="黑体" w:eastAsia="黑体"/>
        </w:rPr>
        <w:br w:type="textWrapping"/>
      </w:r>
      <w:r>
        <w:rPr>
          <w:rFonts w:ascii="黑体" w:hAnsi="黑体" w:eastAsia="黑体"/>
        </w:rPr>
        <w:t>林下栽培</w:t>
      </w:r>
      <w:r>
        <w:rPr>
          <w:rFonts w:hint="eastAsia" w:ascii="黑体" w:hAnsi="黑体" w:eastAsia="黑体"/>
        </w:rPr>
        <w:t xml:space="preserve">  Cultivation Under Forest</w:t>
      </w:r>
    </w:p>
    <w:p w14:paraId="1DD61D0A">
      <w:pPr>
        <w:pStyle w:val="57"/>
        <w:ind w:firstLine="420"/>
      </w:pPr>
      <w:r>
        <w:rPr>
          <w:rFonts w:hint="eastAsia"/>
        </w:rPr>
        <w:t>根据植物的生物和生态学特性，利用林分树冠自然遮荫的条件，在林下种植经济植物的方法。</w:t>
      </w:r>
    </w:p>
    <w:p w14:paraId="3E0190A2">
      <w:pPr>
        <w:pStyle w:val="224"/>
        <w:ind w:left="420" w:hanging="420" w:hangingChars="200"/>
        <w:rPr>
          <w:rFonts w:ascii="黑体" w:hAnsi="黑体" w:eastAsia="黑体"/>
        </w:rPr>
      </w:pPr>
      <w:bookmarkStart w:id="52" w:name="_Toc202393863"/>
      <w:bookmarkEnd w:id="52"/>
      <w:r>
        <w:rPr>
          <w:rFonts w:ascii="黑体" w:hAnsi="黑体" w:eastAsia="黑体"/>
        </w:rPr>
        <w:br w:type="textWrapping"/>
      </w:r>
      <w:r>
        <w:rPr>
          <w:rFonts w:hint="eastAsia" w:ascii="黑体" w:hAnsi="黑体" w:eastAsia="黑体"/>
        </w:rPr>
        <w:t>郁闭度  Canopy Density</w:t>
      </w:r>
    </w:p>
    <w:p w14:paraId="4D7AA441">
      <w:pPr>
        <w:pStyle w:val="57"/>
        <w:ind w:firstLine="420"/>
      </w:pPr>
      <w:r>
        <w:rPr>
          <w:rFonts w:hint="eastAsia"/>
        </w:rPr>
        <w:t>单位面积上树冠垂直投影面积与林地面积之比。</w:t>
      </w:r>
    </w:p>
    <w:p w14:paraId="6E504EA8">
      <w:pPr>
        <w:pStyle w:val="105"/>
        <w:spacing w:before="312" w:after="312"/>
      </w:pPr>
      <w:bookmarkStart w:id="53" w:name="_Toc202393865"/>
      <w:bookmarkStart w:id="54" w:name="_Toc202393899"/>
      <w:r>
        <w:rPr>
          <w:rFonts w:hint="eastAsia"/>
        </w:rPr>
        <w:t>环境选择</w:t>
      </w:r>
      <w:bookmarkEnd w:id="53"/>
      <w:bookmarkEnd w:id="54"/>
    </w:p>
    <w:p w14:paraId="201FFA92">
      <w:pPr>
        <w:pStyle w:val="106"/>
        <w:spacing w:before="156" w:after="156"/>
      </w:pPr>
      <w:bookmarkStart w:id="55" w:name="_Toc202393866"/>
      <w:r>
        <w:rPr>
          <w:rFonts w:hint="eastAsia"/>
        </w:rPr>
        <w:t>区域范围</w:t>
      </w:r>
      <w:bookmarkEnd w:id="55"/>
    </w:p>
    <w:p w14:paraId="66E766F1">
      <w:pPr>
        <w:pStyle w:val="57"/>
        <w:ind w:firstLine="420"/>
      </w:pPr>
      <w:r>
        <w:rPr>
          <w:rFonts w:hint="eastAsia"/>
        </w:rPr>
        <w:t>郁闭度在0.6～0.8的阔叶林、针叶林和针阔混交林等林分。</w:t>
      </w:r>
    </w:p>
    <w:p w14:paraId="573F1D7C">
      <w:pPr>
        <w:pStyle w:val="106"/>
        <w:spacing w:before="156" w:after="156"/>
      </w:pPr>
      <w:bookmarkStart w:id="56" w:name="_Toc202393867"/>
      <w:r>
        <w:rPr>
          <w:rFonts w:hint="eastAsia"/>
        </w:rPr>
        <w:t>生态因子</w:t>
      </w:r>
      <w:bookmarkEnd w:id="56"/>
    </w:p>
    <w:p w14:paraId="31B51A6D">
      <w:pPr>
        <w:pStyle w:val="66"/>
        <w:spacing w:before="156" w:after="156"/>
      </w:pPr>
      <w:r>
        <w:rPr>
          <w:rFonts w:hint="eastAsia"/>
        </w:rPr>
        <w:t>海拔及气候条件</w:t>
      </w:r>
    </w:p>
    <w:p w14:paraId="7DBBAD57">
      <w:pPr>
        <w:pStyle w:val="57"/>
        <w:ind w:firstLine="420"/>
      </w:pPr>
      <w:r>
        <w:rPr>
          <w:rFonts w:hint="eastAsia"/>
        </w:rPr>
        <w:t>海拔500m～1500m，年平均温度为10℃～13℃，无霜期240d以上，年降雨量1400mm～1600mm，空气相对湿度65%以上。</w:t>
      </w:r>
    </w:p>
    <w:p w14:paraId="052EB94D">
      <w:pPr>
        <w:pStyle w:val="66"/>
        <w:spacing w:before="156" w:after="156"/>
      </w:pPr>
      <w:r>
        <w:rPr>
          <w:rFonts w:hint="eastAsia"/>
        </w:rPr>
        <w:t>坡度与坡向</w:t>
      </w:r>
    </w:p>
    <w:p w14:paraId="4C6D0D03">
      <w:pPr>
        <w:pStyle w:val="57"/>
        <w:ind w:firstLine="420"/>
      </w:pPr>
      <w:r>
        <w:rPr>
          <w:rFonts w:hint="eastAsia"/>
        </w:rPr>
        <w:t>坡度35°以下，坡向选择阴坡或半阴坡。</w:t>
      </w:r>
    </w:p>
    <w:p w14:paraId="77A0B2F4">
      <w:pPr>
        <w:pStyle w:val="66"/>
        <w:spacing w:before="156" w:after="156"/>
      </w:pPr>
      <w:r>
        <w:rPr>
          <w:rFonts w:hint="eastAsia"/>
        </w:rPr>
        <w:t>空气质量</w:t>
      </w:r>
    </w:p>
    <w:p w14:paraId="35D3FAD9">
      <w:pPr>
        <w:pStyle w:val="57"/>
        <w:ind w:firstLine="420"/>
      </w:pPr>
      <w:r>
        <w:rPr>
          <w:rFonts w:hint="eastAsia"/>
        </w:rPr>
        <w:t>应符合GB 3095的要求。</w:t>
      </w:r>
    </w:p>
    <w:p w14:paraId="607DD081">
      <w:pPr>
        <w:pStyle w:val="66"/>
        <w:spacing w:before="156" w:after="156"/>
      </w:pPr>
      <w:r>
        <w:rPr>
          <w:rFonts w:hint="eastAsia"/>
        </w:rPr>
        <w:t>水源质量</w:t>
      </w:r>
    </w:p>
    <w:p w14:paraId="3D55908B">
      <w:pPr>
        <w:pStyle w:val="57"/>
        <w:ind w:firstLine="420"/>
      </w:pPr>
      <w:r>
        <w:rPr>
          <w:rFonts w:hint="eastAsia"/>
        </w:rPr>
        <w:t>应符合GB 5084的要求。</w:t>
      </w:r>
    </w:p>
    <w:p w14:paraId="0EDAFB1E">
      <w:pPr>
        <w:pStyle w:val="66"/>
        <w:spacing w:before="156" w:after="156"/>
      </w:pPr>
      <w:r>
        <w:rPr>
          <w:rFonts w:hint="eastAsia"/>
        </w:rPr>
        <w:t>土壤条件</w:t>
      </w:r>
    </w:p>
    <w:p w14:paraId="4BC31B5F">
      <w:pPr>
        <w:pStyle w:val="57"/>
        <w:ind w:firstLine="420"/>
      </w:pPr>
      <w:r>
        <w:rPr>
          <w:rFonts w:hint="eastAsia"/>
        </w:rPr>
        <w:t>选择远离污染源、富含有机质、疏松肥沃、pH值5.5～7.0、重金属含量符合GB 15618要求的土壤（地块）。</w:t>
      </w:r>
    </w:p>
    <w:p w14:paraId="6676AC13">
      <w:pPr>
        <w:pStyle w:val="105"/>
        <w:spacing w:before="312" w:after="312"/>
      </w:pPr>
      <w:bookmarkStart w:id="57" w:name="_Toc202393900"/>
      <w:bookmarkStart w:id="58" w:name="_Toc202393868"/>
      <w:r>
        <w:t>育苗</w:t>
      </w:r>
      <w:bookmarkEnd w:id="57"/>
      <w:bookmarkEnd w:id="58"/>
    </w:p>
    <w:p w14:paraId="1304D713">
      <w:pPr>
        <w:pStyle w:val="106"/>
        <w:spacing w:before="156" w:after="156"/>
      </w:pPr>
      <w:bookmarkStart w:id="59" w:name="_Toc202393869"/>
      <w:r>
        <w:rPr>
          <w:rFonts w:hint="eastAsia"/>
        </w:rPr>
        <w:t>圃地选择</w:t>
      </w:r>
      <w:bookmarkEnd w:id="59"/>
    </w:p>
    <w:p w14:paraId="19678B2C">
      <w:pPr>
        <w:pStyle w:val="57"/>
        <w:ind w:firstLine="420"/>
      </w:pPr>
      <w:r>
        <w:rPr>
          <w:rFonts w:hint="eastAsia"/>
        </w:rPr>
        <w:t>宜选择地势平坦、排水良好、疏松肥沃的山地黄壤地段。</w:t>
      </w:r>
    </w:p>
    <w:p w14:paraId="2ED219BD">
      <w:pPr>
        <w:pStyle w:val="106"/>
        <w:spacing w:before="156" w:after="156"/>
      </w:pPr>
      <w:bookmarkStart w:id="60" w:name="_Toc202393870"/>
      <w:r>
        <w:rPr>
          <w:rFonts w:hint="eastAsia"/>
        </w:rPr>
        <w:t>圃地整理</w:t>
      </w:r>
      <w:bookmarkEnd w:id="60"/>
    </w:p>
    <w:p w14:paraId="2B3A1B37">
      <w:pPr>
        <w:pStyle w:val="57"/>
        <w:ind w:firstLine="420"/>
      </w:pPr>
      <w:r>
        <w:rPr>
          <w:rFonts w:hint="eastAsia"/>
        </w:rPr>
        <w:t>割除灌木、杂草，去除石块等杂物，深挖30cm，施入腐熟有机肥1000kg/667m2 ，翻入土中拌匀、耙平、整细，用波尔多液消毒后做苗床。</w:t>
      </w:r>
    </w:p>
    <w:p w14:paraId="52A92F7D">
      <w:pPr>
        <w:pStyle w:val="106"/>
        <w:spacing w:before="156" w:after="156"/>
      </w:pPr>
      <w:bookmarkStart w:id="61" w:name="_Toc202393871"/>
      <w:r>
        <w:rPr>
          <w:rFonts w:hint="eastAsia"/>
        </w:rPr>
        <w:t>苗床准备</w:t>
      </w:r>
      <w:bookmarkEnd w:id="61"/>
    </w:p>
    <w:p w14:paraId="1741EE58">
      <w:pPr>
        <w:pStyle w:val="57"/>
        <w:ind w:firstLine="420"/>
      </w:pPr>
      <w:r>
        <w:rPr>
          <w:rFonts w:hint="eastAsia"/>
        </w:rPr>
        <w:t>顺山坡或平行等高线做床。床宽80cm～120cm，高20cm，长短根据地形而定，沟宽30cm、深20cm，沟要畅通，利于排水。</w:t>
      </w:r>
    </w:p>
    <w:p w14:paraId="1DE2EA2C">
      <w:pPr>
        <w:pStyle w:val="106"/>
        <w:spacing w:before="156" w:after="156"/>
      </w:pPr>
      <w:bookmarkStart w:id="62" w:name="_Toc202393872"/>
      <w:r>
        <w:rPr>
          <w:rFonts w:hint="eastAsia"/>
        </w:rPr>
        <w:t>育苗材料选择和处理</w:t>
      </w:r>
      <w:bookmarkEnd w:id="62"/>
    </w:p>
    <w:p w14:paraId="36BDCA21">
      <w:pPr>
        <w:pStyle w:val="66"/>
        <w:spacing w:before="156" w:after="156"/>
      </w:pPr>
      <w:r>
        <w:rPr>
          <w:rFonts w:hint="eastAsia"/>
        </w:rPr>
        <w:t>种子采收及处理</w:t>
      </w:r>
    </w:p>
    <w:p w14:paraId="3458F768">
      <w:pPr>
        <w:pStyle w:val="57"/>
        <w:ind w:firstLine="420"/>
      </w:pPr>
      <w:r>
        <w:rPr>
          <w:rFonts w:hint="eastAsia"/>
        </w:rPr>
        <w:t>选择母本性状优良的5年～7年生健壮植株，疏去病弱果实并分单株采收留种。9月下旬至10月上旬，当蒴果出现裂开，露出鲜红色浆果时采收，然后将浆果装入袋中混合草木灰搓除红色种皮得到种子，用清水漂洗、凉干，在1% 硫酸铜水溶液中浸泡5min 后捞出，再用清水冲洗、凉干。处理后的种子用牛皮纸袋包装，在5℃～6℃ 的条件下冷藏90d，或先冷藏30d，再在常温下放置30d，然后又冷藏30d，再种子与湿沙(湿度在30%～40%)按1∶5的比例混拌均匀后装入框中，上面覆盖厚度为3～5cm的草木灰，温度保持在18℃～20℃催芽，处理90d～100d，当种子胚根萌发后直播或育苗。</w:t>
      </w:r>
    </w:p>
    <w:p w14:paraId="627541F1">
      <w:pPr>
        <w:pStyle w:val="66"/>
        <w:spacing w:before="156" w:after="156"/>
      </w:pPr>
      <w:r>
        <w:rPr>
          <w:rFonts w:hint="eastAsia"/>
        </w:rPr>
        <w:t>根茎采挖及处理</w:t>
      </w:r>
    </w:p>
    <w:p w14:paraId="5C2DCC05">
      <w:pPr>
        <w:pStyle w:val="57"/>
        <w:ind w:firstLine="420"/>
      </w:pPr>
      <w:r>
        <w:rPr>
          <w:rFonts w:hint="eastAsia"/>
        </w:rPr>
        <w:t>当七叶一枝花地上茎枯萎后（10月～11月），选择健壮、无病虫害、完整无损的根茎按垂直于根茎主轴方向，切取大小均匀、重量5g～10g、长2cm～3cm 且有芽苞的块茎作种，或按根茎的芽残茎、芽痕特征，切成小段，每段至少带1个芽痕。切好后采用生根粉GGR7号200mg/L 浸泡2h，蘸草木灰:生石灰(1:1)消毒，即可直栽或育苗。</w:t>
      </w:r>
    </w:p>
    <w:p w14:paraId="25FCD4BB">
      <w:pPr>
        <w:pStyle w:val="106"/>
        <w:spacing w:before="156" w:after="156"/>
      </w:pPr>
      <w:bookmarkStart w:id="63" w:name="_Toc202393873"/>
      <w:r>
        <w:rPr>
          <w:rFonts w:hint="eastAsia"/>
        </w:rPr>
        <w:t>种子育苗</w:t>
      </w:r>
      <w:bookmarkEnd w:id="63"/>
    </w:p>
    <w:p w14:paraId="790D3AB2">
      <w:pPr>
        <w:pStyle w:val="57"/>
        <w:ind w:firstLine="420"/>
      </w:pPr>
      <w:r>
        <w:rPr>
          <w:rFonts w:hint="eastAsia"/>
        </w:rPr>
        <w:t>每年3月至4月，当种子胚根萌发后育苗。采用条播，按行距12cm～15cm挖沟，沟深6cm，按株距5cm 将处理好的种子均匀播入沟内，然后覆盖厚1.5cm的腐殖土和草木灰（比例为1:1），浇透水，并加盖地膜，保持湿润。</w:t>
      </w:r>
    </w:p>
    <w:p w14:paraId="02B0D3A0">
      <w:pPr>
        <w:pStyle w:val="106"/>
        <w:spacing w:before="156" w:after="156"/>
      </w:pPr>
      <w:bookmarkStart w:id="64" w:name="_Toc202393874"/>
      <w:r>
        <w:rPr>
          <w:rFonts w:hint="eastAsia"/>
        </w:rPr>
        <w:t>根茎育苗</w:t>
      </w:r>
      <w:bookmarkEnd w:id="64"/>
    </w:p>
    <w:p w14:paraId="4A4F01A1">
      <w:pPr>
        <w:pStyle w:val="57"/>
        <w:ind w:firstLine="420"/>
      </w:pPr>
      <w:r>
        <w:rPr>
          <w:rFonts w:hint="eastAsia"/>
        </w:rPr>
        <w:t>每年的11月至翌年3月育苗。采用条播，按行距12cm～15cm挖沟，沟深10cm，将处理好的根茎按株距5cm均匀地放入沟内，然后覆盖厚1.5cm的腐殖土和草木灰（比例为1:1），浇透水，并加盖地膜，保持湿润。</w:t>
      </w:r>
    </w:p>
    <w:p w14:paraId="241D0C80">
      <w:pPr>
        <w:pStyle w:val="106"/>
        <w:spacing w:before="156" w:after="156"/>
      </w:pPr>
      <w:bookmarkStart w:id="65" w:name="_Toc202393875"/>
      <w:r>
        <w:rPr>
          <w:rFonts w:hint="eastAsia"/>
        </w:rPr>
        <w:t>苗期管理</w:t>
      </w:r>
      <w:bookmarkEnd w:id="65"/>
    </w:p>
    <w:p w14:paraId="07DEEE86">
      <w:pPr>
        <w:pStyle w:val="66"/>
        <w:spacing w:before="156" w:after="156"/>
      </w:pPr>
      <w:r>
        <w:rPr>
          <w:rFonts w:hint="eastAsia"/>
        </w:rPr>
        <w:t>覆盖</w:t>
      </w:r>
    </w:p>
    <w:p w14:paraId="678C8672">
      <w:pPr>
        <w:pStyle w:val="57"/>
        <w:ind w:firstLine="420"/>
      </w:pPr>
      <w:r>
        <w:rPr>
          <w:rFonts w:hint="eastAsia"/>
        </w:rPr>
        <w:t>播种后至翌年春出苗前，床面覆盖1cm～3cm 厚的松针、稻草等松散物，覆盖物摆放应均匀，床面不露土。</w:t>
      </w:r>
    </w:p>
    <w:p w14:paraId="0EBD4C86">
      <w:pPr>
        <w:pStyle w:val="66"/>
        <w:spacing w:before="156" w:after="156"/>
      </w:pPr>
      <w:r>
        <w:rPr>
          <w:rFonts w:hint="eastAsia"/>
        </w:rPr>
        <w:t>遮荫及水分管理</w:t>
      </w:r>
    </w:p>
    <w:p w14:paraId="609F1838">
      <w:pPr>
        <w:pStyle w:val="57"/>
        <w:ind w:firstLine="420"/>
      </w:pPr>
      <w:r>
        <w:rPr>
          <w:rFonts w:hint="eastAsia"/>
        </w:rPr>
        <w:t>出苗后，郁闭度低于0.7的圃地应及时搭设荫棚，旱时应及时浇水，雨季应及时排水。</w:t>
      </w:r>
    </w:p>
    <w:p w14:paraId="5CB9EB40">
      <w:pPr>
        <w:pStyle w:val="66"/>
        <w:spacing w:before="156" w:after="156"/>
      </w:pPr>
      <w:r>
        <w:rPr>
          <w:rFonts w:hint="eastAsia"/>
        </w:rPr>
        <w:t>除草及施肥</w:t>
      </w:r>
    </w:p>
    <w:p w14:paraId="1036ACFD">
      <w:pPr>
        <w:pStyle w:val="57"/>
        <w:ind w:firstLine="420"/>
      </w:pPr>
      <w:r>
        <w:rPr>
          <w:rFonts w:hint="eastAsia"/>
        </w:rPr>
        <w:t>及时去除圃地杂草，土壤结冻前，在床面覆盖1cm～2cm 厚腐熟有机肥。</w:t>
      </w:r>
    </w:p>
    <w:p w14:paraId="6522BAD1">
      <w:pPr>
        <w:pStyle w:val="105"/>
        <w:spacing w:before="312" w:after="312"/>
        <w:rPr>
          <w:szCs w:val="21"/>
        </w:rPr>
      </w:pPr>
      <w:bookmarkStart w:id="66" w:name="_Toc202393876"/>
      <w:bookmarkStart w:id="67" w:name="_Toc202393901"/>
      <w:r>
        <w:rPr>
          <w:rFonts w:hint="eastAsia"/>
          <w:szCs w:val="21"/>
        </w:rPr>
        <w:t>栽植</w:t>
      </w:r>
      <w:bookmarkEnd w:id="66"/>
      <w:bookmarkEnd w:id="67"/>
    </w:p>
    <w:p w14:paraId="6C4DA7C3">
      <w:pPr>
        <w:pStyle w:val="106"/>
        <w:spacing w:before="156" w:after="156"/>
      </w:pPr>
      <w:bookmarkStart w:id="68" w:name="_Toc202393877"/>
      <w:r>
        <w:t>选地</w:t>
      </w:r>
      <w:bookmarkEnd w:id="68"/>
    </w:p>
    <w:p w14:paraId="57894560">
      <w:pPr>
        <w:pStyle w:val="57"/>
        <w:ind w:firstLine="420"/>
      </w:pPr>
      <w:r>
        <w:rPr>
          <w:rFonts w:hint="eastAsia"/>
        </w:rPr>
        <w:t>应符合4.2.5的要求。</w:t>
      </w:r>
    </w:p>
    <w:p w14:paraId="1DFDE8D1">
      <w:pPr>
        <w:pStyle w:val="106"/>
        <w:spacing w:before="156" w:after="156"/>
      </w:pPr>
      <w:bookmarkStart w:id="69" w:name="_Toc202393878"/>
      <w:r>
        <w:rPr>
          <w:rFonts w:hint="eastAsia"/>
        </w:rPr>
        <w:t>整地</w:t>
      </w:r>
      <w:bookmarkEnd w:id="69"/>
    </w:p>
    <w:p w14:paraId="35E3D152">
      <w:pPr>
        <w:pStyle w:val="57"/>
        <w:ind w:firstLine="420"/>
      </w:pPr>
      <w:r>
        <w:rPr>
          <w:rFonts w:hint="eastAsia"/>
        </w:rPr>
        <w:t>选好种植地后，清除地面上的杂灌、杂草等杂物，深挖30cm，根据每株施有机肥4 kg～5 kg或枯饼肥2kg～2.5kg，另加钙镁磷肥250 g、硫酸钾肥250 g的施肥量，将肥料均匀地撒在土壤中，再翻挖、细碎、整平，喷施波尔多液消毒。然后根据地形作畦，沟宽30cm，沟深20cm，沟中余土待种植时打碎铺在畦面上。</w:t>
      </w:r>
    </w:p>
    <w:p w14:paraId="34708C11">
      <w:pPr>
        <w:pStyle w:val="106"/>
        <w:spacing w:before="156" w:after="156"/>
      </w:pPr>
      <w:bookmarkStart w:id="70" w:name="_Toc202393879"/>
      <w:r>
        <w:rPr>
          <w:rFonts w:hint="eastAsia"/>
        </w:rPr>
        <w:t>挖穴</w:t>
      </w:r>
      <w:bookmarkEnd w:id="70"/>
    </w:p>
    <w:p w14:paraId="0F014246">
      <w:pPr>
        <w:pStyle w:val="57"/>
        <w:ind w:firstLine="420"/>
      </w:pPr>
      <w:r>
        <w:rPr>
          <w:rFonts w:hint="eastAsia"/>
        </w:rPr>
        <w:t>株行距：15cm×20cm，穴深6cm～7cm。或按20cm行距开挖深6cm～7cm条形沟，按株距15cm栽植。</w:t>
      </w:r>
    </w:p>
    <w:p w14:paraId="5ABB61A0">
      <w:pPr>
        <w:pStyle w:val="106"/>
        <w:spacing w:before="156" w:after="156"/>
      </w:pPr>
      <w:bookmarkStart w:id="71" w:name="_Toc202393880"/>
      <w:r>
        <w:rPr>
          <w:rFonts w:hint="eastAsia"/>
        </w:rPr>
        <w:t>栽植方法</w:t>
      </w:r>
      <w:bookmarkEnd w:id="71"/>
    </w:p>
    <w:p w14:paraId="04AA1775">
      <w:pPr>
        <w:pStyle w:val="66"/>
        <w:spacing w:before="156" w:after="156"/>
      </w:pPr>
      <w:r>
        <w:rPr>
          <w:rFonts w:hint="eastAsia"/>
        </w:rPr>
        <w:t>种子直播</w:t>
      </w:r>
    </w:p>
    <w:p w14:paraId="7321D205">
      <w:pPr>
        <w:pStyle w:val="57"/>
        <w:ind w:firstLine="420"/>
      </w:pPr>
      <w:r>
        <w:rPr>
          <w:rFonts w:hint="eastAsia"/>
        </w:rPr>
        <w:t>每年3月至4月，将胚根萌发的种子放入穴内，胚芽向上，胚根向下，盖土后，穴施发酵腐熟的糠壳、畜禽粪等有机肥250g，浇透水，畦面覆盖松针、稻草或锯木屑，厚度以不露土为宜。</w:t>
      </w:r>
    </w:p>
    <w:p w14:paraId="73AD61B9">
      <w:pPr>
        <w:pStyle w:val="66"/>
        <w:spacing w:before="156" w:after="156"/>
      </w:pPr>
      <w:r>
        <w:rPr>
          <w:rFonts w:hint="eastAsia"/>
        </w:rPr>
        <w:t>根茎直栽</w:t>
      </w:r>
    </w:p>
    <w:p w14:paraId="5C66ABC4">
      <w:pPr>
        <w:pStyle w:val="57"/>
        <w:ind w:firstLine="420"/>
      </w:pPr>
      <w:r>
        <w:rPr>
          <w:rFonts w:hint="eastAsia"/>
        </w:rPr>
        <w:t>每年10月至11月，将处理好的根茎，芽苞向上，胚根向下，盖土后，穴施发酵腐熟的糠壳、畜禽粪等有机肥250g，浇透水，畦面覆盖松针、稻草或锯木屑，厚度以不露土为宜。</w:t>
      </w:r>
    </w:p>
    <w:p w14:paraId="79FFAAAC">
      <w:pPr>
        <w:pStyle w:val="66"/>
        <w:spacing w:before="156" w:after="156"/>
      </w:pPr>
      <w:r>
        <w:rPr>
          <w:rFonts w:hint="eastAsia"/>
        </w:rPr>
        <w:t>幼苗移栽</w:t>
      </w:r>
    </w:p>
    <w:p w14:paraId="25116E96">
      <w:pPr>
        <w:pStyle w:val="57"/>
        <w:ind w:firstLine="420"/>
      </w:pPr>
      <w:r>
        <w:rPr>
          <w:rFonts w:hint="eastAsia"/>
        </w:rPr>
        <w:t>经过1a～2a 培育的种子苗或根茎苗，于冬季或早春新茎芽萌动前移栽。移栽时，茎芽向上，根向下，且使根系舒展。盖土后，每株施发酵腐熟的糠壳、畜禽粪等有机肥250g，浇透水，畦面覆盖松针、稻草或锯木屑，厚度以不露土为宜。种苗应随起随栽。</w:t>
      </w:r>
    </w:p>
    <w:p w14:paraId="30B2F1C5">
      <w:pPr>
        <w:pStyle w:val="105"/>
        <w:spacing w:before="312" w:after="312"/>
        <w:rPr>
          <w:szCs w:val="21"/>
        </w:rPr>
      </w:pPr>
      <w:bookmarkStart w:id="72" w:name="_Toc202393881"/>
      <w:bookmarkStart w:id="73" w:name="_Toc202393902"/>
      <w:r>
        <w:rPr>
          <w:rFonts w:hint="eastAsia"/>
          <w:szCs w:val="21"/>
        </w:rPr>
        <w:t>田间管理</w:t>
      </w:r>
      <w:bookmarkEnd w:id="72"/>
      <w:bookmarkEnd w:id="73"/>
    </w:p>
    <w:p w14:paraId="5F9C6D01">
      <w:pPr>
        <w:pStyle w:val="106"/>
        <w:spacing w:before="156" w:after="156"/>
      </w:pPr>
      <w:bookmarkStart w:id="74" w:name="_Toc202393882"/>
      <w:r>
        <w:rPr>
          <w:rFonts w:hint="eastAsia"/>
        </w:rPr>
        <w:t>林地修枝</w:t>
      </w:r>
      <w:bookmarkEnd w:id="74"/>
    </w:p>
    <w:p w14:paraId="5BE29EA6">
      <w:pPr>
        <w:pStyle w:val="57"/>
        <w:ind w:firstLine="420"/>
      </w:pPr>
      <w:r>
        <w:rPr>
          <w:rFonts w:hint="eastAsia"/>
        </w:rPr>
        <w:t>原林地树枝修整的原则：2a 后郁闭度应保持0.7～0.8，3a 后郁闭度应保持0.6～0.7。郁闭度低于0.6时应及时搭设荫棚。</w:t>
      </w:r>
    </w:p>
    <w:p w14:paraId="2B76DCC3">
      <w:pPr>
        <w:pStyle w:val="106"/>
        <w:spacing w:before="156" w:after="156"/>
      </w:pPr>
      <w:bookmarkStart w:id="75" w:name="_Toc202393883"/>
      <w:r>
        <w:rPr>
          <w:rFonts w:hint="eastAsia"/>
        </w:rPr>
        <w:t>追肥</w:t>
      </w:r>
      <w:bookmarkEnd w:id="75"/>
    </w:p>
    <w:p w14:paraId="3EB6DE0D">
      <w:pPr>
        <w:pStyle w:val="57"/>
        <w:ind w:firstLine="420"/>
      </w:pPr>
      <w:r>
        <w:rPr>
          <w:rFonts w:hint="eastAsia"/>
        </w:rPr>
        <w:t>以施足底肥为主，追肥为辅，追肥占总施肥量的20%～30%。每年2月至3月地上茎出土前和5月至6月营养生长高峰期各追肥1次。每株施发酵腐熟的糠壳加畜禽粪50g 或腐熟的有机肥100g。在6月至7月用0.5%尿素和0.2%磷酸二氢钾进行叶面喷施，每15d 1次，连续喷施3次。</w:t>
      </w:r>
    </w:p>
    <w:p w14:paraId="16CAEF96">
      <w:pPr>
        <w:pStyle w:val="106"/>
        <w:spacing w:before="156" w:after="156"/>
      </w:pPr>
      <w:bookmarkStart w:id="76" w:name="_Toc202393884"/>
      <w:r>
        <w:rPr>
          <w:rFonts w:hint="eastAsia"/>
        </w:rPr>
        <w:t>水分管理</w:t>
      </w:r>
      <w:bookmarkEnd w:id="76"/>
    </w:p>
    <w:p w14:paraId="0E7245A1">
      <w:pPr>
        <w:pStyle w:val="57"/>
        <w:ind w:firstLine="420"/>
      </w:pPr>
      <w:r>
        <w:rPr>
          <w:rFonts w:hint="eastAsia"/>
        </w:rPr>
        <w:t>栽植后应浇透水，茎芽出土前不宜浇水。茎芽出土后，畦面及土壤要保持湿润，雨季应及时理沟；干旱时应及时浇水，土壤湿度30%为宜。</w:t>
      </w:r>
    </w:p>
    <w:p w14:paraId="18228075">
      <w:pPr>
        <w:pStyle w:val="106"/>
        <w:spacing w:before="156" w:after="156"/>
      </w:pPr>
      <w:bookmarkStart w:id="77" w:name="_Toc202393885"/>
      <w:r>
        <w:rPr>
          <w:rFonts w:hint="eastAsia"/>
        </w:rPr>
        <w:t>除草和松土</w:t>
      </w:r>
      <w:bookmarkEnd w:id="77"/>
    </w:p>
    <w:p w14:paraId="4DE83EDF">
      <w:pPr>
        <w:pStyle w:val="57"/>
        <w:ind w:firstLine="420"/>
      </w:pPr>
      <w:r>
        <w:rPr>
          <w:rFonts w:hint="eastAsia"/>
        </w:rPr>
        <w:t>每年除草2次～3次。除草和松土需同时进行。</w:t>
      </w:r>
    </w:p>
    <w:p w14:paraId="12914324">
      <w:pPr>
        <w:pStyle w:val="105"/>
        <w:spacing w:before="312" w:after="312"/>
        <w:rPr>
          <w:szCs w:val="21"/>
        </w:rPr>
      </w:pPr>
      <w:bookmarkStart w:id="78" w:name="_Toc202393886"/>
      <w:bookmarkStart w:id="79" w:name="_Toc202393903"/>
      <w:r>
        <w:rPr>
          <w:rFonts w:hint="eastAsia"/>
          <w:szCs w:val="21"/>
        </w:rPr>
        <w:t>病虫害主要防治方法</w:t>
      </w:r>
      <w:bookmarkEnd w:id="78"/>
      <w:bookmarkEnd w:id="79"/>
    </w:p>
    <w:p w14:paraId="354B7CC0">
      <w:pPr>
        <w:pStyle w:val="57"/>
        <w:ind w:firstLine="420"/>
      </w:pPr>
      <w:r>
        <w:rPr>
          <w:rFonts w:hint="eastAsia"/>
        </w:rPr>
        <w:t>化学防治应符合GB/T8321的要求。防治方法参见附录A。</w:t>
      </w:r>
    </w:p>
    <w:p w14:paraId="587809AE">
      <w:pPr>
        <w:pStyle w:val="105"/>
        <w:spacing w:before="312" w:after="312"/>
        <w:rPr>
          <w:szCs w:val="21"/>
        </w:rPr>
      </w:pPr>
      <w:bookmarkStart w:id="80" w:name="_Toc202393887"/>
      <w:bookmarkStart w:id="81" w:name="_Toc202393904"/>
      <w:r>
        <w:rPr>
          <w:rFonts w:hint="eastAsia"/>
          <w:szCs w:val="21"/>
        </w:rPr>
        <w:t>采收</w:t>
      </w:r>
      <w:bookmarkEnd w:id="80"/>
      <w:bookmarkEnd w:id="81"/>
    </w:p>
    <w:p w14:paraId="05D10171">
      <w:pPr>
        <w:pStyle w:val="106"/>
        <w:spacing w:before="156" w:after="156"/>
      </w:pPr>
      <w:bookmarkStart w:id="82" w:name="_Toc202393888"/>
      <w:r>
        <w:rPr>
          <w:rFonts w:hint="eastAsia"/>
        </w:rPr>
        <w:t>年限</w:t>
      </w:r>
      <w:bookmarkEnd w:id="82"/>
    </w:p>
    <w:p w14:paraId="5E96992E">
      <w:pPr>
        <w:pStyle w:val="57"/>
        <w:ind w:firstLine="420"/>
      </w:pPr>
      <w:r>
        <w:rPr>
          <w:rFonts w:hint="eastAsia"/>
        </w:rPr>
        <w:t>为确保药材的功效，不论是种子繁殖，还是根茎切块繁殖均应种植5a 以上。</w:t>
      </w:r>
    </w:p>
    <w:p w14:paraId="0E7105D1">
      <w:pPr>
        <w:pStyle w:val="106"/>
        <w:spacing w:before="156" w:after="156"/>
      </w:pPr>
      <w:bookmarkStart w:id="83" w:name="_Toc202393889"/>
      <w:r>
        <w:rPr>
          <w:rFonts w:hint="eastAsia"/>
        </w:rPr>
        <w:t>时间</w:t>
      </w:r>
      <w:bookmarkEnd w:id="83"/>
    </w:p>
    <w:p w14:paraId="594D7781">
      <w:pPr>
        <w:pStyle w:val="57"/>
        <w:ind w:firstLine="420"/>
      </w:pPr>
      <w:r>
        <w:rPr>
          <w:rFonts w:hint="eastAsia"/>
        </w:rPr>
        <w:t>10月至翌年3月，地上茎枯萎至第二年萌芽前。</w:t>
      </w:r>
    </w:p>
    <w:p w14:paraId="05FB8C0E">
      <w:pPr>
        <w:pStyle w:val="106"/>
        <w:spacing w:before="156" w:after="156"/>
      </w:pPr>
      <w:bookmarkStart w:id="84" w:name="_Toc202393890"/>
      <w:r>
        <w:rPr>
          <w:rFonts w:hint="eastAsia"/>
        </w:rPr>
        <w:t>方法</w:t>
      </w:r>
      <w:bookmarkEnd w:id="84"/>
    </w:p>
    <w:p w14:paraId="662F05E0">
      <w:pPr>
        <w:pStyle w:val="57"/>
        <w:ind w:firstLine="420"/>
      </w:pPr>
      <w:r>
        <w:rPr>
          <w:rFonts w:hint="eastAsia"/>
        </w:rPr>
        <w:t>采挖根茎时选择晴天，先割除茎叶，然后用洁净的锄头从侧面开挖。采挖时尽量避免损伤根茎，保证根茎完好无损。</w:t>
      </w:r>
    </w:p>
    <w:p w14:paraId="118F8267">
      <w:pPr>
        <w:pStyle w:val="106"/>
        <w:spacing w:before="156" w:after="156"/>
      </w:pPr>
      <w:bookmarkStart w:id="85" w:name="_Toc202393891"/>
      <w:r>
        <w:rPr>
          <w:rFonts w:hint="eastAsia"/>
        </w:rPr>
        <w:t>产品加工</w:t>
      </w:r>
      <w:bookmarkEnd w:id="85"/>
    </w:p>
    <w:p w14:paraId="35582CB9">
      <w:pPr>
        <w:pStyle w:val="57"/>
        <w:ind w:firstLine="420"/>
      </w:pPr>
      <w:r>
        <w:rPr>
          <w:rFonts w:hint="eastAsia"/>
        </w:rPr>
        <w:t>采挖后的根茎，去除泥土和须根，粗大者切成2块～4块，晾干或在30℃～65℃ 温度下烘干，水分含量控制在10%～12%，将干品打包贮藏或出售。</w:t>
      </w:r>
    </w:p>
    <w:p w14:paraId="4E330614">
      <w:pPr>
        <w:pStyle w:val="105"/>
        <w:spacing w:before="312" w:after="312"/>
      </w:pPr>
      <w:bookmarkStart w:id="86" w:name="_Toc202393892"/>
      <w:bookmarkStart w:id="87" w:name="_Toc202393905"/>
      <w:r>
        <w:rPr>
          <w:rFonts w:hint="eastAsia"/>
          <w:szCs w:val="21"/>
        </w:rPr>
        <w:t>档案管理</w:t>
      </w:r>
      <w:bookmarkEnd w:id="86"/>
      <w:bookmarkEnd w:id="87"/>
    </w:p>
    <w:p w14:paraId="27BEFB64">
      <w:pPr>
        <w:pStyle w:val="57"/>
        <w:ind w:firstLine="420"/>
      </w:pPr>
      <w:r>
        <w:rPr>
          <w:rFonts w:hint="eastAsia"/>
        </w:rPr>
        <w:t>建立七叶一枝花林下栽培管理档案（见附录B），长期保存。</w:t>
      </w:r>
      <w:r>
        <w:rPr>
          <w:rFonts w:hint="eastAsia"/>
        </w:rPr>
        <w:tab/>
      </w:r>
    </w:p>
    <w:p w14:paraId="150380A9">
      <w:pPr>
        <w:pStyle w:val="57"/>
        <w:ind w:firstLine="420"/>
      </w:pPr>
    </w:p>
    <w:p w14:paraId="396B1F53">
      <w:pPr>
        <w:pStyle w:val="57"/>
        <w:ind w:firstLine="420"/>
        <w:sectPr>
          <w:pgSz w:w="11906" w:h="16838"/>
          <w:pgMar w:top="2410" w:right="1134" w:bottom="1134" w:left="1134" w:header="1418" w:footer="1134" w:gutter="284"/>
          <w:pgNumType w:start="1"/>
          <w:cols w:space="425" w:num="1"/>
          <w:formProt w:val="0"/>
          <w:docGrid w:type="lines" w:linePitch="312" w:charSpace="0"/>
        </w:sectPr>
      </w:pPr>
    </w:p>
    <w:bookmarkEnd w:id="25"/>
    <w:p w14:paraId="06E46024">
      <w:pPr>
        <w:pStyle w:val="199"/>
      </w:pPr>
      <w:bookmarkStart w:id="88" w:name="BookMark5"/>
    </w:p>
    <w:p w14:paraId="68FEF806">
      <w:pPr>
        <w:pStyle w:val="200"/>
      </w:pPr>
    </w:p>
    <w:p w14:paraId="42466FAB">
      <w:pPr>
        <w:pStyle w:val="77"/>
        <w:spacing w:before="78" w:after="156"/>
      </w:pPr>
      <w:r>
        <w:br w:type="textWrapping"/>
      </w:r>
      <w:bookmarkStart w:id="89" w:name="_Toc202393906"/>
      <w:bookmarkStart w:id="90" w:name="_Toc202393893"/>
      <w:r>
        <w:rPr>
          <w:rFonts w:hint="eastAsia"/>
        </w:rPr>
        <w:t>（资料性）</w:t>
      </w:r>
      <w:r>
        <w:br w:type="textWrapping"/>
      </w:r>
      <w:r>
        <w:rPr>
          <w:rFonts w:hint="eastAsia"/>
        </w:rPr>
        <w:t>七叶一枝花主要病虫害防治方法</w:t>
      </w:r>
      <w:bookmarkEnd w:id="89"/>
      <w:bookmarkEnd w:id="90"/>
    </w:p>
    <w:p w14:paraId="45552787">
      <w:pPr>
        <w:pStyle w:val="231"/>
        <w:widowControl w:val="0"/>
        <w:spacing w:line="324" w:lineRule="exact"/>
        <w:ind w:firstLine="420" w:firstLineChars="200"/>
        <w:jc w:val="both"/>
        <w:rPr>
          <w:rFonts w:ascii="宋体" w:hAnsi="Times New Roman" w:eastAsia="宋体"/>
          <w:color w:val="000000"/>
          <w:kern w:val="2"/>
          <w:sz w:val="21"/>
          <w:szCs w:val="24"/>
        </w:rPr>
      </w:pPr>
      <w:r>
        <w:rPr>
          <w:rFonts w:hint="eastAsia" w:ascii="宋体" w:hAnsi="Times New Roman" w:eastAsia="宋体"/>
          <w:color w:val="000000"/>
          <w:kern w:val="2"/>
          <w:sz w:val="21"/>
          <w:szCs w:val="24"/>
        </w:rPr>
        <w:t>表A.1给出了七叶一枝花主要病虫害防治方法。</w:t>
      </w:r>
    </w:p>
    <w:p w14:paraId="6840845A">
      <w:pPr>
        <w:pStyle w:val="78"/>
        <w:spacing w:before="156" w:after="156"/>
      </w:pPr>
      <w:r>
        <w:t>七叶一枝花主要病虫害防治方法</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89"/>
        <w:gridCol w:w="4685"/>
      </w:tblGrid>
      <w:tr w14:paraId="30CBF7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89" w:type="dxa"/>
            <w:tcBorders>
              <w:top w:val="single" w:color="auto" w:sz="8" w:space="0"/>
              <w:bottom w:val="single" w:color="auto" w:sz="8" w:space="0"/>
            </w:tcBorders>
            <w:shd w:val="clear" w:color="auto" w:fill="auto"/>
            <w:vAlign w:val="center"/>
          </w:tcPr>
          <w:p w14:paraId="18077F8C">
            <w:pPr>
              <w:spacing w:line="320" w:lineRule="exact"/>
              <w:jc w:val="center"/>
              <w:rPr>
                <w:rFonts w:ascii="宋体" w:hAnsi="宋体"/>
                <w:sz w:val="18"/>
                <w:szCs w:val="18"/>
              </w:rPr>
            </w:pPr>
            <w:r>
              <w:rPr>
                <w:rFonts w:hint="eastAsia" w:ascii="宋体" w:hAnsi="宋体"/>
                <w:sz w:val="18"/>
                <w:szCs w:val="18"/>
              </w:rPr>
              <w:t>病虫害</w:t>
            </w:r>
          </w:p>
        </w:tc>
        <w:tc>
          <w:tcPr>
            <w:tcW w:w="4685" w:type="dxa"/>
            <w:tcBorders>
              <w:top w:val="single" w:color="auto" w:sz="8" w:space="0"/>
              <w:bottom w:val="single" w:color="auto" w:sz="8" w:space="0"/>
            </w:tcBorders>
            <w:shd w:val="clear" w:color="auto" w:fill="auto"/>
            <w:vAlign w:val="center"/>
          </w:tcPr>
          <w:p w14:paraId="59BE8B21">
            <w:pPr>
              <w:spacing w:line="320" w:lineRule="exact"/>
              <w:jc w:val="center"/>
              <w:rPr>
                <w:rFonts w:ascii="宋体" w:hAnsi="宋体"/>
                <w:sz w:val="18"/>
                <w:szCs w:val="18"/>
              </w:rPr>
            </w:pPr>
            <w:r>
              <w:rPr>
                <w:rFonts w:hint="eastAsia" w:ascii="宋体" w:hAnsi="宋体"/>
                <w:sz w:val="18"/>
                <w:szCs w:val="18"/>
              </w:rPr>
              <w:t>防治方法</w:t>
            </w:r>
          </w:p>
        </w:tc>
      </w:tr>
      <w:tr w14:paraId="78C9D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tcBorders>
              <w:top w:val="single" w:color="auto" w:sz="8" w:space="0"/>
            </w:tcBorders>
            <w:shd w:val="clear" w:color="auto" w:fill="auto"/>
            <w:vAlign w:val="center"/>
          </w:tcPr>
          <w:p w14:paraId="3B4C0053">
            <w:pPr>
              <w:spacing w:line="320" w:lineRule="exact"/>
              <w:jc w:val="center"/>
              <w:rPr>
                <w:rFonts w:ascii="宋体" w:hAnsi="宋体"/>
                <w:sz w:val="18"/>
                <w:szCs w:val="18"/>
              </w:rPr>
            </w:pPr>
            <w:r>
              <w:rPr>
                <w:rFonts w:hint="eastAsia" w:ascii="宋体" w:hAnsi="宋体"/>
                <w:sz w:val="18"/>
                <w:szCs w:val="18"/>
              </w:rPr>
              <w:t>立枯病</w:t>
            </w:r>
          </w:p>
        </w:tc>
        <w:tc>
          <w:tcPr>
            <w:tcW w:w="4685" w:type="dxa"/>
            <w:tcBorders>
              <w:top w:val="single" w:color="auto" w:sz="8" w:space="0"/>
            </w:tcBorders>
            <w:shd w:val="clear" w:color="auto" w:fill="auto"/>
            <w:vAlign w:val="center"/>
          </w:tcPr>
          <w:p w14:paraId="039861B3">
            <w:pPr>
              <w:spacing w:line="324" w:lineRule="exact"/>
              <w:ind w:firstLine="360" w:firstLineChars="200"/>
              <w:rPr>
                <w:rFonts w:ascii="宋体"/>
                <w:color w:val="000000"/>
                <w:sz w:val="18"/>
                <w:szCs w:val="18"/>
              </w:rPr>
            </w:pPr>
            <w:r>
              <w:rPr>
                <w:rFonts w:hint="eastAsia" w:ascii="宋体"/>
                <w:color w:val="000000"/>
                <w:sz w:val="18"/>
                <w:szCs w:val="18"/>
              </w:rPr>
              <w:t>加强田间管理，发病后拔除病苗，进行土壤消毒，用65%代森锌可湿性粉剂500倍液喷雾，每隔7d 喷1次，连续喷2次～3次。</w:t>
            </w:r>
          </w:p>
          <w:p w14:paraId="4C83190D">
            <w:pPr>
              <w:spacing w:line="324" w:lineRule="exact"/>
              <w:ind w:firstLine="360" w:firstLineChars="200"/>
              <w:rPr>
                <w:rFonts w:ascii="宋体" w:hAnsi="宋体"/>
                <w:color w:val="000000"/>
                <w:sz w:val="18"/>
                <w:szCs w:val="18"/>
              </w:rPr>
            </w:pPr>
          </w:p>
        </w:tc>
      </w:tr>
      <w:tr w14:paraId="3D3273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14:paraId="6254ABD7">
            <w:pPr>
              <w:spacing w:line="320" w:lineRule="exact"/>
              <w:jc w:val="center"/>
              <w:rPr>
                <w:rFonts w:ascii="宋体" w:hAnsi="宋体"/>
                <w:sz w:val="18"/>
                <w:szCs w:val="18"/>
              </w:rPr>
            </w:pPr>
            <w:r>
              <w:rPr>
                <w:rFonts w:hint="eastAsia" w:ascii="宋体" w:hAnsi="宋体"/>
                <w:sz w:val="18"/>
                <w:szCs w:val="18"/>
              </w:rPr>
              <w:t>根腐病</w:t>
            </w:r>
          </w:p>
        </w:tc>
        <w:tc>
          <w:tcPr>
            <w:tcW w:w="4685" w:type="dxa"/>
            <w:shd w:val="clear" w:color="auto" w:fill="auto"/>
            <w:vAlign w:val="center"/>
          </w:tcPr>
          <w:p w14:paraId="186FA8FF">
            <w:pPr>
              <w:spacing w:line="324" w:lineRule="exact"/>
              <w:ind w:firstLine="360" w:firstLineChars="200"/>
              <w:rPr>
                <w:rFonts w:ascii="宋体"/>
                <w:color w:val="000000"/>
                <w:sz w:val="18"/>
                <w:szCs w:val="18"/>
              </w:rPr>
            </w:pPr>
            <w:r>
              <w:rPr>
                <w:rFonts w:hint="eastAsia" w:ascii="宋体"/>
                <w:color w:val="000000"/>
                <w:sz w:val="18"/>
                <w:szCs w:val="18"/>
              </w:rPr>
              <w:t xml:space="preserve"> 及时拔除病死植株，并在穴内撒生石灰，或用多菌灵可湿性粉剂250倍液喷雾防治。</w:t>
            </w:r>
          </w:p>
          <w:p w14:paraId="20C94234">
            <w:pPr>
              <w:spacing w:line="324" w:lineRule="exact"/>
              <w:ind w:firstLine="360" w:firstLineChars="200"/>
              <w:rPr>
                <w:rFonts w:ascii="宋体" w:hAnsi="宋体"/>
                <w:color w:val="000000"/>
                <w:sz w:val="18"/>
                <w:szCs w:val="18"/>
              </w:rPr>
            </w:pPr>
          </w:p>
        </w:tc>
      </w:tr>
      <w:tr w14:paraId="6561E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14:paraId="7F345875">
            <w:pPr>
              <w:spacing w:line="320" w:lineRule="exact"/>
              <w:jc w:val="center"/>
              <w:rPr>
                <w:rFonts w:ascii="宋体" w:hAnsi="宋体"/>
                <w:sz w:val="18"/>
                <w:szCs w:val="18"/>
              </w:rPr>
            </w:pPr>
            <w:r>
              <w:rPr>
                <w:rFonts w:hint="eastAsia" w:ascii="宋体" w:hAnsi="宋体"/>
                <w:sz w:val="18"/>
                <w:szCs w:val="18"/>
              </w:rPr>
              <w:t>菌核病</w:t>
            </w:r>
          </w:p>
        </w:tc>
        <w:tc>
          <w:tcPr>
            <w:tcW w:w="4685" w:type="dxa"/>
            <w:shd w:val="clear" w:color="auto" w:fill="auto"/>
            <w:vAlign w:val="center"/>
          </w:tcPr>
          <w:p w14:paraId="4F00CAD9">
            <w:pPr>
              <w:spacing w:line="324" w:lineRule="exact"/>
              <w:ind w:firstLine="360" w:firstLineChars="200"/>
              <w:rPr>
                <w:rFonts w:ascii="宋体"/>
                <w:color w:val="000000"/>
                <w:sz w:val="18"/>
                <w:szCs w:val="18"/>
              </w:rPr>
            </w:pPr>
            <w:r>
              <w:rPr>
                <w:rFonts w:hint="eastAsia" w:ascii="宋体"/>
                <w:color w:val="000000"/>
                <w:sz w:val="18"/>
                <w:szCs w:val="18"/>
              </w:rPr>
              <w:t>及时清沟排水，降低种植地湿度，发现病株，及时清除，并在发病区域撒生石灰，严重时可采用50%甲基托布津可湿性粉剂1000～2000倍液喷雾防治。</w:t>
            </w:r>
          </w:p>
          <w:p w14:paraId="6B16EFE6">
            <w:pPr>
              <w:spacing w:line="324" w:lineRule="exact"/>
              <w:ind w:firstLine="360" w:firstLineChars="200"/>
              <w:rPr>
                <w:rFonts w:ascii="宋体" w:hAnsi="宋体"/>
                <w:color w:val="000000"/>
                <w:sz w:val="18"/>
                <w:szCs w:val="18"/>
              </w:rPr>
            </w:pPr>
          </w:p>
        </w:tc>
      </w:tr>
      <w:tr w14:paraId="46C55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14:paraId="4660BB43">
            <w:pPr>
              <w:spacing w:line="320" w:lineRule="exact"/>
              <w:jc w:val="center"/>
              <w:rPr>
                <w:rFonts w:ascii="宋体" w:hAnsi="宋体"/>
                <w:sz w:val="18"/>
                <w:szCs w:val="18"/>
              </w:rPr>
            </w:pPr>
            <w:r>
              <w:rPr>
                <w:rFonts w:hint="eastAsia" w:ascii="宋体" w:hAnsi="宋体"/>
                <w:sz w:val="18"/>
                <w:szCs w:val="18"/>
              </w:rPr>
              <w:t>猝倒病</w:t>
            </w:r>
          </w:p>
        </w:tc>
        <w:tc>
          <w:tcPr>
            <w:tcW w:w="4685" w:type="dxa"/>
            <w:shd w:val="clear" w:color="auto" w:fill="auto"/>
            <w:vAlign w:val="center"/>
          </w:tcPr>
          <w:p w14:paraId="17829D5C">
            <w:pPr>
              <w:spacing w:line="320" w:lineRule="exact"/>
              <w:ind w:firstLine="360" w:firstLineChars="200"/>
              <w:rPr>
                <w:rFonts w:ascii="宋体"/>
                <w:color w:val="000000"/>
                <w:sz w:val="18"/>
                <w:szCs w:val="18"/>
              </w:rPr>
            </w:pPr>
            <w:r>
              <w:rPr>
                <w:rFonts w:hint="eastAsia" w:ascii="宋体"/>
                <w:color w:val="000000"/>
                <w:sz w:val="18"/>
                <w:szCs w:val="18"/>
              </w:rPr>
              <w:t>用50%多菌灵可湿性粉剂500倍液喷施，发病后及时拔除病株，并用500倍波尔多液浇灌发病区域。</w:t>
            </w:r>
          </w:p>
          <w:p w14:paraId="070735B2">
            <w:pPr>
              <w:spacing w:line="320" w:lineRule="exact"/>
              <w:ind w:firstLine="360" w:firstLineChars="200"/>
              <w:rPr>
                <w:rFonts w:ascii="宋体" w:hAnsi="宋体"/>
                <w:color w:val="000000"/>
                <w:sz w:val="18"/>
                <w:szCs w:val="18"/>
              </w:rPr>
            </w:pPr>
          </w:p>
        </w:tc>
      </w:tr>
      <w:tr w14:paraId="7FC1B8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14:paraId="10040C46">
            <w:pPr>
              <w:spacing w:line="320" w:lineRule="exact"/>
              <w:jc w:val="center"/>
              <w:rPr>
                <w:rFonts w:ascii="宋体" w:hAnsi="宋体"/>
                <w:sz w:val="18"/>
                <w:szCs w:val="18"/>
              </w:rPr>
            </w:pPr>
            <w:r>
              <w:rPr>
                <w:rFonts w:hint="eastAsia" w:ascii="宋体" w:hAnsi="宋体"/>
                <w:sz w:val="18"/>
                <w:szCs w:val="18"/>
              </w:rPr>
              <w:t>地老虎</w:t>
            </w:r>
          </w:p>
        </w:tc>
        <w:tc>
          <w:tcPr>
            <w:tcW w:w="4685" w:type="dxa"/>
            <w:shd w:val="clear" w:color="auto" w:fill="auto"/>
            <w:vAlign w:val="center"/>
          </w:tcPr>
          <w:p w14:paraId="38423048">
            <w:pPr>
              <w:spacing w:line="324" w:lineRule="exact"/>
              <w:ind w:firstLine="360" w:firstLineChars="200"/>
              <w:rPr>
                <w:rFonts w:ascii="宋体"/>
                <w:color w:val="000000"/>
                <w:sz w:val="18"/>
                <w:szCs w:val="18"/>
              </w:rPr>
            </w:pPr>
            <w:r>
              <w:rPr>
                <w:rFonts w:hint="eastAsia" w:ascii="宋体"/>
                <w:color w:val="000000"/>
                <w:sz w:val="18"/>
                <w:szCs w:val="18"/>
              </w:rPr>
              <w:t xml:space="preserve">用90%敌百虫粉剂50g 拌20kg 细潮土撒施，或用90%敌百虫原药50g，加饵料5kg 制成毒饵来诱杀小地老虎，也可用50%辛硫磷乳油50g 拌鲜菜5kg 制作成毒饵，每亩撒5kg 进行诱杀小地老虎。 </w:t>
            </w:r>
          </w:p>
          <w:p w14:paraId="13F1E202">
            <w:pPr>
              <w:spacing w:line="320" w:lineRule="exact"/>
              <w:ind w:firstLine="360" w:firstLineChars="200"/>
              <w:rPr>
                <w:rFonts w:ascii="宋体" w:hAnsi="宋体"/>
                <w:color w:val="000000"/>
                <w:sz w:val="18"/>
                <w:szCs w:val="18"/>
              </w:rPr>
            </w:pPr>
          </w:p>
        </w:tc>
      </w:tr>
      <w:tr w14:paraId="0A0A6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14:paraId="47C6FD23">
            <w:pPr>
              <w:spacing w:line="320" w:lineRule="exact"/>
              <w:jc w:val="center"/>
              <w:rPr>
                <w:rFonts w:ascii="宋体" w:hAnsi="宋体"/>
                <w:sz w:val="18"/>
                <w:szCs w:val="18"/>
              </w:rPr>
            </w:pPr>
            <w:r>
              <w:rPr>
                <w:rFonts w:hint="eastAsia" w:ascii="宋体" w:hAnsi="宋体"/>
                <w:sz w:val="18"/>
                <w:szCs w:val="18"/>
              </w:rPr>
              <w:t>金龟子</w:t>
            </w:r>
          </w:p>
        </w:tc>
        <w:tc>
          <w:tcPr>
            <w:tcW w:w="4685" w:type="dxa"/>
            <w:shd w:val="clear" w:color="auto" w:fill="auto"/>
            <w:vAlign w:val="center"/>
          </w:tcPr>
          <w:p w14:paraId="3E9E6E14">
            <w:pPr>
              <w:spacing w:line="324" w:lineRule="exact"/>
              <w:ind w:firstLine="360" w:firstLineChars="200"/>
              <w:rPr>
                <w:rFonts w:ascii="宋体"/>
                <w:color w:val="000000"/>
                <w:sz w:val="18"/>
                <w:szCs w:val="18"/>
              </w:rPr>
            </w:pPr>
            <w:r>
              <w:rPr>
                <w:rFonts w:hint="eastAsia" w:ascii="宋体"/>
                <w:color w:val="000000"/>
                <w:sz w:val="18"/>
                <w:szCs w:val="18"/>
              </w:rPr>
              <w:t>夜间用灭蚊灯诱杀成虫，或用喷洒敌百虫的新鲜菜叶放在畦面诱杀幼虫。</w:t>
            </w:r>
          </w:p>
          <w:p w14:paraId="3B15537A">
            <w:pPr>
              <w:spacing w:line="320" w:lineRule="exact"/>
              <w:ind w:firstLine="360" w:firstLineChars="200"/>
              <w:rPr>
                <w:rFonts w:ascii="宋体" w:hAnsi="宋体"/>
                <w:color w:val="000000"/>
                <w:sz w:val="18"/>
                <w:szCs w:val="18"/>
              </w:rPr>
            </w:pPr>
          </w:p>
        </w:tc>
      </w:tr>
    </w:tbl>
    <w:p w14:paraId="793E2C78">
      <w:pPr>
        <w:pStyle w:val="57"/>
        <w:ind w:firstLine="420"/>
      </w:pPr>
    </w:p>
    <w:p w14:paraId="4425CD89">
      <w:pPr>
        <w:pStyle w:val="57"/>
        <w:ind w:firstLine="420"/>
      </w:pPr>
    </w:p>
    <w:p w14:paraId="23747FE1">
      <w:pPr>
        <w:pStyle w:val="57"/>
        <w:ind w:firstLine="420"/>
      </w:pPr>
    </w:p>
    <w:p w14:paraId="4346F084">
      <w:pPr>
        <w:pStyle w:val="57"/>
        <w:ind w:firstLine="420"/>
        <w:sectPr>
          <w:pgSz w:w="11906" w:h="16838"/>
          <w:pgMar w:top="2410" w:right="1134" w:bottom="1134" w:left="1134" w:header="1418" w:footer="1134" w:gutter="284"/>
          <w:cols w:space="425" w:num="1"/>
          <w:formProt w:val="0"/>
          <w:docGrid w:type="lines" w:linePitch="312" w:charSpace="0"/>
        </w:sectPr>
      </w:pPr>
    </w:p>
    <w:p w14:paraId="03B4946D">
      <w:pPr>
        <w:pStyle w:val="199"/>
      </w:pPr>
    </w:p>
    <w:p w14:paraId="64105175">
      <w:pPr>
        <w:pStyle w:val="200"/>
      </w:pPr>
    </w:p>
    <w:p w14:paraId="72994FDD">
      <w:pPr>
        <w:pStyle w:val="77"/>
        <w:spacing w:before="78" w:after="156"/>
      </w:pPr>
      <w:r>
        <w:br w:type="textWrapping"/>
      </w:r>
      <w:bookmarkStart w:id="91" w:name="_Toc202393894"/>
      <w:bookmarkStart w:id="92" w:name="_Toc202393907"/>
      <w:r>
        <w:rPr>
          <w:rFonts w:hint="eastAsia"/>
        </w:rPr>
        <w:t>（资料性）</w:t>
      </w:r>
      <w:r>
        <w:br w:type="textWrapping"/>
      </w:r>
      <w:r>
        <w:rPr>
          <w:rFonts w:hint="eastAsia"/>
        </w:rPr>
        <w:t>七叶一枝花林下栽培管理登记表</w:t>
      </w:r>
      <w:bookmarkEnd w:id="91"/>
      <w:bookmarkEnd w:id="92"/>
    </w:p>
    <w:p w14:paraId="05B897A7">
      <w:pPr>
        <w:pStyle w:val="231"/>
        <w:widowControl w:val="0"/>
        <w:spacing w:line="324" w:lineRule="exact"/>
        <w:ind w:firstLine="420" w:firstLineChars="200"/>
        <w:jc w:val="both"/>
        <w:rPr>
          <w:rFonts w:ascii="宋体" w:hAnsi="Times New Roman" w:eastAsia="宋体"/>
          <w:color w:val="000000"/>
          <w:kern w:val="2"/>
          <w:sz w:val="21"/>
          <w:szCs w:val="24"/>
        </w:rPr>
      </w:pPr>
      <w:r>
        <w:rPr>
          <w:rFonts w:hint="eastAsia" w:ascii="宋体" w:hAnsi="Times New Roman" w:eastAsia="宋体"/>
          <w:color w:val="000000"/>
          <w:kern w:val="2"/>
          <w:sz w:val="21"/>
          <w:szCs w:val="24"/>
        </w:rPr>
        <w:t>表B.1给出了七叶一枝花</w:t>
      </w:r>
      <w:r>
        <w:rPr>
          <w:rFonts w:hint="eastAsia"/>
        </w:rPr>
        <w:t>栽培管理登记表</w:t>
      </w:r>
      <w:r>
        <w:rPr>
          <w:rFonts w:hint="eastAsia" w:ascii="宋体" w:hAnsi="Times New Roman" w:eastAsia="宋体"/>
          <w:color w:val="000000"/>
          <w:kern w:val="2"/>
          <w:sz w:val="21"/>
          <w:szCs w:val="24"/>
        </w:rPr>
        <w:t>。</w:t>
      </w:r>
    </w:p>
    <w:p w14:paraId="64B73C60">
      <w:pPr>
        <w:pStyle w:val="78"/>
        <w:spacing w:before="156" w:after="156"/>
      </w:pPr>
      <w:r>
        <w:t>七叶一枝花林下栽培管理登记表</w:t>
      </w:r>
    </w:p>
    <w:tbl>
      <w:tblPr>
        <w:tblStyle w:val="27"/>
        <w:tblW w:w="9315" w:type="dxa"/>
        <w:tblInd w:w="93" w:type="dxa"/>
        <w:tblLayout w:type="autofit"/>
        <w:tblCellMar>
          <w:top w:w="0" w:type="dxa"/>
          <w:left w:w="108" w:type="dxa"/>
          <w:bottom w:w="0" w:type="dxa"/>
          <w:right w:w="108" w:type="dxa"/>
        </w:tblCellMar>
      </w:tblPr>
      <w:tblGrid>
        <w:gridCol w:w="1755"/>
        <w:gridCol w:w="1080"/>
        <w:gridCol w:w="1080"/>
        <w:gridCol w:w="1080"/>
        <w:gridCol w:w="1080"/>
        <w:gridCol w:w="1080"/>
        <w:gridCol w:w="1080"/>
        <w:gridCol w:w="1080"/>
      </w:tblGrid>
      <w:tr w14:paraId="2B2504BA">
        <w:tblPrEx>
          <w:tblCellMar>
            <w:top w:w="0" w:type="dxa"/>
            <w:left w:w="108" w:type="dxa"/>
            <w:bottom w:w="0" w:type="dxa"/>
            <w:right w:w="108" w:type="dxa"/>
          </w:tblCellMar>
        </w:tblPrEx>
        <w:trPr>
          <w:trHeight w:val="490" w:hRule="atLeast"/>
        </w:trPr>
        <w:tc>
          <w:tcPr>
            <w:tcW w:w="1755" w:type="dxa"/>
            <w:tcBorders>
              <w:top w:val="single" w:color="auto" w:sz="8" w:space="0"/>
              <w:left w:val="single" w:color="auto" w:sz="8" w:space="0"/>
              <w:bottom w:val="nil"/>
              <w:right w:val="nil"/>
            </w:tcBorders>
            <w:shd w:val="clear" w:color="auto" w:fill="auto"/>
            <w:noWrap/>
            <w:vAlign w:val="center"/>
          </w:tcPr>
          <w:p w14:paraId="60958123">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编号：</w:t>
            </w:r>
          </w:p>
        </w:tc>
        <w:tc>
          <w:tcPr>
            <w:tcW w:w="1080" w:type="dxa"/>
            <w:tcBorders>
              <w:top w:val="single" w:color="auto" w:sz="8" w:space="0"/>
              <w:left w:val="nil"/>
              <w:bottom w:val="nil"/>
              <w:right w:val="nil"/>
            </w:tcBorders>
            <w:shd w:val="clear" w:color="auto" w:fill="auto"/>
            <w:noWrap/>
            <w:vAlign w:val="center"/>
          </w:tcPr>
          <w:p w14:paraId="60FC6DEB">
            <w:pPr>
              <w:rPr>
                <w:rFonts w:ascii="宋体" w:hAnsi="宋体" w:cs="宋体"/>
                <w:color w:val="000000"/>
                <w:sz w:val="18"/>
                <w:szCs w:val="18"/>
              </w:rPr>
            </w:pPr>
          </w:p>
        </w:tc>
        <w:tc>
          <w:tcPr>
            <w:tcW w:w="1080" w:type="dxa"/>
            <w:tcBorders>
              <w:top w:val="single" w:color="auto" w:sz="8" w:space="0"/>
              <w:left w:val="nil"/>
              <w:bottom w:val="nil"/>
              <w:right w:val="nil"/>
            </w:tcBorders>
            <w:shd w:val="clear" w:color="auto" w:fill="auto"/>
            <w:noWrap/>
            <w:vAlign w:val="center"/>
          </w:tcPr>
          <w:p w14:paraId="6A629706">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日期：</w:t>
            </w:r>
          </w:p>
        </w:tc>
        <w:tc>
          <w:tcPr>
            <w:tcW w:w="1080" w:type="dxa"/>
            <w:tcBorders>
              <w:top w:val="single" w:color="auto" w:sz="8" w:space="0"/>
              <w:left w:val="nil"/>
              <w:bottom w:val="nil"/>
              <w:right w:val="nil"/>
            </w:tcBorders>
            <w:shd w:val="clear" w:color="auto" w:fill="auto"/>
            <w:noWrap/>
            <w:vAlign w:val="center"/>
          </w:tcPr>
          <w:p w14:paraId="1A0A6AC8">
            <w:pPr>
              <w:rPr>
                <w:rFonts w:ascii="宋体" w:hAnsi="宋体" w:cs="宋体"/>
                <w:color w:val="000000"/>
                <w:sz w:val="18"/>
                <w:szCs w:val="18"/>
              </w:rPr>
            </w:pPr>
          </w:p>
        </w:tc>
        <w:tc>
          <w:tcPr>
            <w:tcW w:w="1080" w:type="dxa"/>
            <w:tcBorders>
              <w:top w:val="single" w:color="auto" w:sz="8" w:space="0"/>
              <w:left w:val="nil"/>
              <w:bottom w:val="nil"/>
              <w:right w:val="nil"/>
            </w:tcBorders>
            <w:shd w:val="clear" w:color="auto" w:fill="auto"/>
            <w:noWrap/>
            <w:vAlign w:val="center"/>
          </w:tcPr>
          <w:p w14:paraId="340E2D4D">
            <w:pPr>
              <w:rPr>
                <w:rFonts w:ascii="宋体" w:hAnsi="宋体" w:cs="宋体"/>
                <w:color w:val="000000"/>
                <w:sz w:val="18"/>
                <w:szCs w:val="18"/>
              </w:rPr>
            </w:pPr>
          </w:p>
        </w:tc>
        <w:tc>
          <w:tcPr>
            <w:tcW w:w="1080" w:type="dxa"/>
            <w:tcBorders>
              <w:top w:val="single" w:color="auto" w:sz="8" w:space="0"/>
              <w:left w:val="nil"/>
              <w:bottom w:val="nil"/>
              <w:right w:val="nil"/>
            </w:tcBorders>
            <w:shd w:val="clear" w:color="auto" w:fill="auto"/>
            <w:noWrap/>
            <w:vAlign w:val="center"/>
          </w:tcPr>
          <w:p w14:paraId="080A544C">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记录人：</w:t>
            </w:r>
          </w:p>
        </w:tc>
        <w:tc>
          <w:tcPr>
            <w:tcW w:w="1080" w:type="dxa"/>
            <w:tcBorders>
              <w:top w:val="single" w:color="auto" w:sz="8" w:space="0"/>
              <w:left w:val="nil"/>
              <w:bottom w:val="nil"/>
              <w:right w:val="nil"/>
            </w:tcBorders>
            <w:shd w:val="clear" w:color="auto" w:fill="auto"/>
            <w:noWrap/>
            <w:vAlign w:val="center"/>
          </w:tcPr>
          <w:p w14:paraId="0B4161B9">
            <w:pPr>
              <w:rPr>
                <w:rFonts w:ascii="宋体" w:hAnsi="宋体" w:cs="宋体"/>
                <w:color w:val="000000"/>
                <w:sz w:val="18"/>
                <w:szCs w:val="18"/>
              </w:rPr>
            </w:pPr>
          </w:p>
        </w:tc>
        <w:tc>
          <w:tcPr>
            <w:tcW w:w="1080" w:type="dxa"/>
            <w:tcBorders>
              <w:top w:val="single" w:color="auto" w:sz="8" w:space="0"/>
              <w:left w:val="nil"/>
              <w:bottom w:val="nil"/>
              <w:right w:val="single" w:color="auto" w:sz="8" w:space="0"/>
            </w:tcBorders>
            <w:shd w:val="clear" w:color="auto" w:fill="auto"/>
            <w:noWrap/>
            <w:vAlign w:val="center"/>
          </w:tcPr>
          <w:p w14:paraId="25AB54BA">
            <w:pPr>
              <w:rPr>
                <w:rFonts w:ascii="宋体" w:hAnsi="宋体" w:cs="宋体"/>
                <w:color w:val="000000"/>
                <w:sz w:val="18"/>
                <w:szCs w:val="18"/>
              </w:rPr>
            </w:pPr>
          </w:p>
        </w:tc>
      </w:tr>
      <w:tr w14:paraId="5BB5BDDE">
        <w:tblPrEx>
          <w:tblCellMar>
            <w:top w:w="0" w:type="dxa"/>
            <w:left w:w="108" w:type="dxa"/>
            <w:bottom w:w="0" w:type="dxa"/>
            <w:right w:w="108" w:type="dxa"/>
          </w:tblCellMar>
        </w:tblPrEx>
        <w:trPr>
          <w:trHeight w:val="490" w:hRule="atLeast"/>
        </w:trPr>
        <w:tc>
          <w:tcPr>
            <w:tcW w:w="0" w:type="auto"/>
            <w:tcBorders>
              <w:top w:val="single" w:color="000000" w:sz="4" w:space="0"/>
              <w:left w:val="single" w:color="auto" w:sz="8" w:space="0"/>
              <w:bottom w:val="single" w:color="000000" w:sz="4" w:space="0"/>
              <w:right w:val="single" w:color="000000" w:sz="4" w:space="0"/>
            </w:tcBorders>
            <w:shd w:val="clear" w:color="auto" w:fill="auto"/>
            <w:noWrap/>
            <w:vAlign w:val="center"/>
          </w:tcPr>
          <w:p w14:paraId="5664FFF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栽植地点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A5F6">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6388">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海拔</w:t>
            </w:r>
          </w:p>
        </w:tc>
        <w:tc>
          <w:tcPr>
            <w:tcW w:w="0" w:type="auto"/>
            <w:gridSpan w:val="3"/>
            <w:tcBorders>
              <w:top w:val="single" w:color="000000" w:sz="4" w:space="0"/>
              <w:left w:val="single" w:color="000000" w:sz="4" w:space="0"/>
              <w:bottom w:val="single" w:color="000000" w:sz="4" w:space="0"/>
              <w:right w:val="single" w:color="auto" w:sz="8" w:space="0"/>
            </w:tcBorders>
            <w:shd w:val="clear" w:color="auto" w:fill="auto"/>
            <w:noWrap/>
            <w:vAlign w:val="center"/>
          </w:tcPr>
          <w:p w14:paraId="443A7409">
            <w:pPr>
              <w:jc w:val="center"/>
              <w:rPr>
                <w:rFonts w:ascii="宋体" w:hAnsi="宋体" w:cs="宋体"/>
                <w:color w:val="000000"/>
                <w:sz w:val="18"/>
                <w:szCs w:val="18"/>
              </w:rPr>
            </w:pPr>
          </w:p>
        </w:tc>
      </w:tr>
      <w:tr w14:paraId="3FFD887E">
        <w:tblPrEx>
          <w:tblCellMar>
            <w:top w:w="0" w:type="dxa"/>
            <w:left w:w="108" w:type="dxa"/>
            <w:bottom w:w="0" w:type="dxa"/>
            <w:right w:w="108" w:type="dxa"/>
          </w:tblCellMar>
        </w:tblPrEx>
        <w:trPr>
          <w:trHeight w:val="490" w:hRule="atLeast"/>
        </w:trPr>
        <w:tc>
          <w:tcPr>
            <w:tcW w:w="0" w:type="auto"/>
            <w:tcBorders>
              <w:top w:val="single" w:color="000000" w:sz="4" w:space="0"/>
              <w:left w:val="single" w:color="auto" w:sz="8" w:space="0"/>
              <w:bottom w:val="single" w:color="000000" w:sz="4" w:space="0"/>
              <w:right w:val="single" w:color="000000" w:sz="4" w:space="0"/>
            </w:tcBorders>
            <w:shd w:val="clear" w:color="auto" w:fill="auto"/>
            <w:noWrap/>
            <w:vAlign w:val="center"/>
          </w:tcPr>
          <w:p w14:paraId="29348091">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纬度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34AF">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A2EB">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9A28">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E091">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坡向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6AC0">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F41A">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坡度</w:t>
            </w:r>
          </w:p>
        </w:tc>
        <w:tc>
          <w:tcPr>
            <w:tcW w:w="0" w:type="auto"/>
            <w:tcBorders>
              <w:top w:val="single" w:color="000000" w:sz="4" w:space="0"/>
              <w:left w:val="single" w:color="000000" w:sz="4" w:space="0"/>
              <w:bottom w:val="single" w:color="000000" w:sz="4" w:space="0"/>
              <w:right w:val="single" w:color="auto" w:sz="8" w:space="0"/>
            </w:tcBorders>
            <w:shd w:val="clear" w:color="auto" w:fill="auto"/>
            <w:noWrap/>
            <w:vAlign w:val="center"/>
          </w:tcPr>
          <w:p w14:paraId="16FA505C">
            <w:pPr>
              <w:rPr>
                <w:rFonts w:ascii="宋体" w:hAnsi="宋体" w:cs="宋体"/>
                <w:color w:val="000000"/>
                <w:sz w:val="18"/>
                <w:szCs w:val="18"/>
              </w:rPr>
            </w:pPr>
          </w:p>
        </w:tc>
      </w:tr>
      <w:tr w14:paraId="4E77EFE2">
        <w:tblPrEx>
          <w:tblCellMar>
            <w:top w:w="0" w:type="dxa"/>
            <w:left w:w="108" w:type="dxa"/>
            <w:bottom w:w="0" w:type="dxa"/>
            <w:right w:w="108" w:type="dxa"/>
          </w:tblCellMar>
        </w:tblPrEx>
        <w:trPr>
          <w:trHeight w:val="490" w:hRule="atLeast"/>
        </w:trPr>
        <w:tc>
          <w:tcPr>
            <w:tcW w:w="0" w:type="auto"/>
            <w:tcBorders>
              <w:top w:val="single" w:color="000000" w:sz="4" w:space="0"/>
              <w:left w:val="single" w:color="auto" w:sz="8" w:space="0"/>
              <w:bottom w:val="single" w:color="000000" w:sz="4" w:space="0"/>
              <w:right w:val="single" w:color="000000" w:sz="4" w:space="0"/>
            </w:tcBorders>
            <w:shd w:val="clear" w:color="auto" w:fill="auto"/>
            <w:noWrap/>
            <w:vAlign w:val="center"/>
          </w:tcPr>
          <w:p w14:paraId="025E4EDF">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面积</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2906">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E11C">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土壤类型</w:t>
            </w:r>
          </w:p>
        </w:tc>
        <w:tc>
          <w:tcPr>
            <w:tcW w:w="0" w:type="auto"/>
            <w:gridSpan w:val="3"/>
            <w:tcBorders>
              <w:top w:val="single" w:color="000000" w:sz="4" w:space="0"/>
              <w:left w:val="single" w:color="000000" w:sz="4" w:space="0"/>
              <w:bottom w:val="single" w:color="000000" w:sz="4" w:space="0"/>
              <w:right w:val="single" w:color="auto" w:sz="8" w:space="0"/>
            </w:tcBorders>
            <w:shd w:val="clear" w:color="auto" w:fill="auto"/>
            <w:noWrap/>
            <w:vAlign w:val="center"/>
          </w:tcPr>
          <w:p w14:paraId="3D9D1F47">
            <w:pPr>
              <w:jc w:val="center"/>
              <w:rPr>
                <w:rFonts w:ascii="宋体" w:hAnsi="宋体" w:cs="宋体"/>
                <w:color w:val="000000"/>
                <w:sz w:val="18"/>
                <w:szCs w:val="18"/>
              </w:rPr>
            </w:pPr>
          </w:p>
        </w:tc>
      </w:tr>
      <w:tr w14:paraId="15D2B128">
        <w:tblPrEx>
          <w:tblCellMar>
            <w:top w:w="0" w:type="dxa"/>
            <w:left w:w="108" w:type="dxa"/>
            <w:bottom w:w="0" w:type="dxa"/>
            <w:right w:w="108" w:type="dxa"/>
          </w:tblCellMar>
        </w:tblPrEx>
        <w:trPr>
          <w:trHeight w:val="490" w:hRule="atLeast"/>
        </w:trPr>
        <w:tc>
          <w:tcPr>
            <w:tcW w:w="0" w:type="auto"/>
            <w:tcBorders>
              <w:top w:val="single" w:color="000000" w:sz="4" w:space="0"/>
              <w:left w:val="single" w:color="auto" w:sz="8" w:space="0"/>
              <w:bottom w:val="single" w:color="000000" w:sz="4" w:space="0"/>
              <w:right w:val="single" w:color="000000" w:sz="4" w:space="0"/>
            </w:tcBorders>
            <w:shd w:val="clear" w:color="auto" w:fill="auto"/>
            <w:noWrap/>
            <w:vAlign w:val="center"/>
          </w:tcPr>
          <w:p w14:paraId="087702FC">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整地方式</w:t>
            </w:r>
          </w:p>
        </w:tc>
        <w:tc>
          <w:tcPr>
            <w:tcW w:w="0" w:type="auto"/>
            <w:gridSpan w:val="7"/>
            <w:tcBorders>
              <w:top w:val="single" w:color="000000" w:sz="4" w:space="0"/>
              <w:left w:val="single" w:color="000000" w:sz="4" w:space="0"/>
              <w:bottom w:val="single" w:color="000000" w:sz="4" w:space="0"/>
              <w:right w:val="single" w:color="auto" w:sz="8" w:space="0"/>
            </w:tcBorders>
            <w:shd w:val="clear" w:color="auto" w:fill="auto"/>
            <w:noWrap/>
            <w:vAlign w:val="center"/>
          </w:tcPr>
          <w:p w14:paraId="3AFD5E76">
            <w:pPr>
              <w:jc w:val="center"/>
              <w:rPr>
                <w:rFonts w:ascii="宋体" w:hAnsi="宋体" w:cs="宋体"/>
                <w:color w:val="000000"/>
                <w:sz w:val="18"/>
                <w:szCs w:val="18"/>
              </w:rPr>
            </w:pPr>
          </w:p>
        </w:tc>
      </w:tr>
      <w:tr w14:paraId="5CB6EEE1">
        <w:tblPrEx>
          <w:tblCellMar>
            <w:top w:w="0" w:type="dxa"/>
            <w:left w:w="108" w:type="dxa"/>
            <w:bottom w:w="0" w:type="dxa"/>
            <w:right w:w="108" w:type="dxa"/>
          </w:tblCellMar>
        </w:tblPrEx>
        <w:trPr>
          <w:trHeight w:val="490" w:hRule="atLeast"/>
        </w:trPr>
        <w:tc>
          <w:tcPr>
            <w:tcW w:w="0" w:type="auto"/>
            <w:tcBorders>
              <w:top w:val="single" w:color="000000" w:sz="4" w:space="0"/>
              <w:left w:val="single" w:color="auto" w:sz="8" w:space="0"/>
              <w:bottom w:val="single" w:color="000000" w:sz="4" w:space="0"/>
              <w:right w:val="single" w:color="000000" w:sz="4" w:space="0"/>
            </w:tcBorders>
            <w:shd w:val="clear" w:color="auto" w:fill="auto"/>
            <w:noWrap/>
            <w:vAlign w:val="center"/>
          </w:tcPr>
          <w:p w14:paraId="47F65C6B">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种植时间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9B4D">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CE96">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种植密度</w:t>
            </w:r>
          </w:p>
        </w:tc>
        <w:tc>
          <w:tcPr>
            <w:tcW w:w="0" w:type="auto"/>
            <w:gridSpan w:val="3"/>
            <w:tcBorders>
              <w:top w:val="single" w:color="000000" w:sz="4" w:space="0"/>
              <w:left w:val="single" w:color="000000" w:sz="4" w:space="0"/>
              <w:bottom w:val="single" w:color="000000" w:sz="4" w:space="0"/>
              <w:right w:val="single" w:color="auto" w:sz="8" w:space="0"/>
            </w:tcBorders>
            <w:shd w:val="clear" w:color="auto" w:fill="auto"/>
            <w:noWrap/>
            <w:vAlign w:val="center"/>
          </w:tcPr>
          <w:p w14:paraId="025D0AB7">
            <w:pPr>
              <w:jc w:val="center"/>
              <w:rPr>
                <w:rFonts w:ascii="宋体" w:hAnsi="宋体" w:cs="宋体"/>
                <w:color w:val="000000"/>
                <w:sz w:val="18"/>
                <w:szCs w:val="18"/>
              </w:rPr>
            </w:pPr>
          </w:p>
        </w:tc>
      </w:tr>
      <w:tr w14:paraId="5C937092">
        <w:tblPrEx>
          <w:tblCellMar>
            <w:top w:w="0" w:type="dxa"/>
            <w:left w:w="108" w:type="dxa"/>
            <w:bottom w:w="0" w:type="dxa"/>
            <w:right w:w="108" w:type="dxa"/>
          </w:tblCellMar>
        </w:tblPrEx>
        <w:trPr>
          <w:trHeight w:val="490" w:hRule="atLeast"/>
        </w:trPr>
        <w:tc>
          <w:tcPr>
            <w:tcW w:w="0" w:type="auto"/>
            <w:tcBorders>
              <w:top w:val="single" w:color="000000" w:sz="4" w:space="0"/>
              <w:left w:val="single" w:color="auto" w:sz="8" w:space="0"/>
              <w:bottom w:val="single" w:color="000000" w:sz="4" w:space="0"/>
              <w:right w:val="single" w:color="000000" w:sz="4" w:space="0"/>
            </w:tcBorders>
            <w:shd w:val="clear" w:color="auto" w:fill="auto"/>
            <w:noWrap/>
            <w:vAlign w:val="center"/>
          </w:tcPr>
          <w:p w14:paraId="1CABEE37">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底肥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19A8">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9E25">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追肥</w:t>
            </w:r>
          </w:p>
        </w:tc>
        <w:tc>
          <w:tcPr>
            <w:tcW w:w="0" w:type="auto"/>
            <w:gridSpan w:val="3"/>
            <w:tcBorders>
              <w:top w:val="single" w:color="000000" w:sz="4" w:space="0"/>
              <w:left w:val="single" w:color="000000" w:sz="4" w:space="0"/>
              <w:bottom w:val="single" w:color="000000" w:sz="4" w:space="0"/>
              <w:right w:val="single" w:color="auto" w:sz="8" w:space="0"/>
            </w:tcBorders>
            <w:shd w:val="clear" w:color="auto" w:fill="auto"/>
            <w:noWrap/>
            <w:vAlign w:val="center"/>
          </w:tcPr>
          <w:p w14:paraId="3861CF77">
            <w:pPr>
              <w:jc w:val="center"/>
              <w:rPr>
                <w:rFonts w:ascii="宋体" w:hAnsi="宋体" w:cs="宋体"/>
                <w:color w:val="000000"/>
                <w:sz w:val="18"/>
                <w:szCs w:val="18"/>
              </w:rPr>
            </w:pPr>
          </w:p>
        </w:tc>
      </w:tr>
      <w:tr w14:paraId="7DE54246">
        <w:tblPrEx>
          <w:tblCellMar>
            <w:top w:w="0" w:type="dxa"/>
            <w:left w:w="108" w:type="dxa"/>
            <w:bottom w:w="0" w:type="dxa"/>
            <w:right w:w="108" w:type="dxa"/>
          </w:tblCellMar>
        </w:tblPrEx>
        <w:trPr>
          <w:trHeight w:val="1160" w:hRule="atLeast"/>
        </w:trPr>
        <w:tc>
          <w:tcPr>
            <w:tcW w:w="0" w:type="auto"/>
            <w:tcBorders>
              <w:top w:val="single" w:color="000000" w:sz="4" w:space="0"/>
              <w:left w:val="single" w:color="auto" w:sz="8" w:space="0"/>
              <w:bottom w:val="single" w:color="000000" w:sz="4" w:space="0"/>
              <w:right w:val="single" w:color="000000" w:sz="4" w:space="0"/>
            </w:tcBorders>
            <w:shd w:val="clear" w:color="auto" w:fill="auto"/>
            <w:noWrap/>
            <w:vAlign w:val="center"/>
          </w:tcPr>
          <w:p w14:paraId="065B00C9">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抚育方式和时间</w:t>
            </w:r>
          </w:p>
        </w:tc>
        <w:tc>
          <w:tcPr>
            <w:tcW w:w="0" w:type="auto"/>
            <w:gridSpan w:val="7"/>
            <w:tcBorders>
              <w:top w:val="single" w:color="000000" w:sz="4" w:space="0"/>
              <w:left w:val="single" w:color="000000" w:sz="4" w:space="0"/>
              <w:bottom w:val="single" w:color="000000" w:sz="4" w:space="0"/>
              <w:right w:val="single" w:color="auto" w:sz="8" w:space="0"/>
            </w:tcBorders>
            <w:shd w:val="clear" w:color="auto" w:fill="auto"/>
            <w:noWrap/>
            <w:vAlign w:val="center"/>
          </w:tcPr>
          <w:p w14:paraId="4AFC44B3">
            <w:pPr>
              <w:jc w:val="center"/>
              <w:rPr>
                <w:rFonts w:ascii="宋体" w:hAnsi="宋体" w:cs="宋体"/>
                <w:color w:val="000000"/>
                <w:sz w:val="18"/>
                <w:szCs w:val="18"/>
              </w:rPr>
            </w:pPr>
          </w:p>
        </w:tc>
      </w:tr>
      <w:tr w14:paraId="58BC6478">
        <w:tblPrEx>
          <w:tblCellMar>
            <w:top w:w="0" w:type="dxa"/>
            <w:left w:w="108" w:type="dxa"/>
            <w:bottom w:w="0" w:type="dxa"/>
            <w:right w:w="108" w:type="dxa"/>
          </w:tblCellMar>
        </w:tblPrEx>
        <w:trPr>
          <w:trHeight w:val="1104" w:hRule="atLeast"/>
        </w:trPr>
        <w:tc>
          <w:tcPr>
            <w:tcW w:w="0" w:type="auto"/>
            <w:tcBorders>
              <w:top w:val="single" w:color="000000" w:sz="4" w:space="0"/>
              <w:left w:val="single" w:color="auto" w:sz="8" w:space="0"/>
              <w:bottom w:val="single" w:color="000000" w:sz="4" w:space="0"/>
              <w:right w:val="single" w:color="000000" w:sz="4" w:space="0"/>
            </w:tcBorders>
            <w:shd w:val="clear" w:color="auto" w:fill="auto"/>
            <w:noWrap/>
            <w:vAlign w:val="center"/>
          </w:tcPr>
          <w:p w14:paraId="7F6D58A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病虫害防治</w:t>
            </w:r>
          </w:p>
        </w:tc>
        <w:tc>
          <w:tcPr>
            <w:tcW w:w="0" w:type="auto"/>
            <w:gridSpan w:val="7"/>
            <w:tcBorders>
              <w:top w:val="single" w:color="000000" w:sz="4" w:space="0"/>
              <w:left w:val="single" w:color="000000" w:sz="4" w:space="0"/>
              <w:bottom w:val="single" w:color="000000" w:sz="4" w:space="0"/>
              <w:right w:val="single" w:color="auto" w:sz="8" w:space="0"/>
            </w:tcBorders>
            <w:shd w:val="clear" w:color="auto" w:fill="auto"/>
            <w:noWrap/>
            <w:vAlign w:val="center"/>
          </w:tcPr>
          <w:p w14:paraId="485076C6">
            <w:pPr>
              <w:jc w:val="center"/>
              <w:rPr>
                <w:rFonts w:ascii="宋体" w:hAnsi="宋体" w:cs="宋体"/>
                <w:color w:val="000000"/>
                <w:sz w:val="18"/>
                <w:szCs w:val="18"/>
              </w:rPr>
            </w:pPr>
          </w:p>
        </w:tc>
      </w:tr>
      <w:tr w14:paraId="2EC35358">
        <w:tblPrEx>
          <w:tblCellMar>
            <w:top w:w="0" w:type="dxa"/>
            <w:left w:w="108" w:type="dxa"/>
            <w:bottom w:w="0" w:type="dxa"/>
            <w:right w:w="108" w:type="dxa"/>
          </w:tblCellMar>
        </w:tblPrEx>
        <w:trPr>
          <w:trHeight w:val="490" w:hRule="atLeast"/>
        </w:trPr>
        <w:tc>
          <w:tcPr>
            <w:tcW w:w="0" w:type="auto"/>
            <w:tcBorders>
              <w:top w:val="single" w:color="000000" w:sz="4" w:space="0"/>
              <w:left w:val="single" w:color="auto" w:sz="8" w:space="0"/>
              <w:bottom w:val="single" w:color="000000" w:sz="4" w:space="0"/>
              <w:right w:val="single" w:color="000000" w:sz="4" w:space="0"/>
            </w:tcBorders>
            <w:shd w:val="clear" w:color="auto" w:fill="auto"/>
            <w:noWrap/>
            <w:vAlign w:val="center"/>
          </w:tcPr>
          <w:p w14:paraId="138DD5C6">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采收时间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FFE0">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5C3A">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采收年龄</w:t>
            </w:r>
          </w:p>
        </w:tc>
        <w:tc>
          <w:tcPr>
            <w:tcW w:w="0" w:type="auto"/>
            <w:gridSpan w:val="3"/>
            <w:tcBorders>
              <w:top w:val="single" w:color="000000" w:sz="4" w:space="0"/>
              <w:left w:val="single" w:color="000000" w:sz="4" w:space="0"/>
              <w:bottom w:val="single" w:color="000000" w:sz="4" w:space="0"/>
              <w:right w:val="single" w:color="auto" w:sz="8" w:space="0"/>
            </w:tcBorders>
            <w:shd w:val="clear" w:color="auto" w:fill="auto"/>
            <w:noWrap/>
            <w:vAlign w:val="center"/>
          </w:tcPr>
          <w:p w14:paraId="5381EAC9">
            <w:pPr>
              <w:jc w:val="center"/>
              <w:rPr>
                <w:rFonts w:ascii="宋体" w:hAnsi="宋体" w:cs="宋体"/>
                <w:color w:val="000000"/>
                <w:sz w:val="18"/>
                <w:szCs w:val="18"/>
              </w:rPr>
            </w:pPr>
          </w:p>
        </w:tc>
      </w:tr>
      <w:tr w14:paraId="7DF09DBC">
        <w:tblPrEx>
          <w:tblCellMar>
            <w:top w:w="0" w:type="dxa"/>
            <w:left w:w="108" w:type="dxa"/>
            <w:bottom w:w="0" w:type="dxa"/>
            <w:right w:w="108" w:type="dxa"/>
          </w:tblCellMar>
        </w:tblPrEx>
        <w:trPr>
          <w:trHeight w:val="490" w:hRule="atLeast"/>
        </w:trPr>
        <w:tc>
          <w:tcPr>
            <w:tcW w:w="0" w:type="auto"/>
            <w:tcBorders>
              <w:top w:val="single" w:color="000000" w:sz="4" w:space="0"/>
              <w:left w:val="single" w:color="auto" w:sz="8" w:space="0"/>
              <w:bottom w:val="single" w:color="000000" w:sz="8" w:space="0"/>
              <w:right w:val="single" w:color="000000" w:sz="4" w:space="0"/>
            </w:tcBorders>
            <w:shd w:val="clear" w:color="auto" w:fill="auto"/>
            <w:noWrap/>
            <w:vAlign w:val="center"/>
          </w:tcPr>
          <w:p w14:paraId="0CD0939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块茎重量</w:t>
            </w:r>
          </w:p>
        </w:tc>
        <w:tc>
          <w:tcPr>
            <w:tcW w:w="0" w:type="auto"/>
            <w:gridSpan w:val="7"/>
            <w:tcBorders>
              <w:top w:val="single" w:color="000000" w:sz="4" w:space="0"/>
              <w:left w:val="single" w:color="000000" w:sz="4" w:space="0"/>
              <w:bottom w:val="single" w:color="000000" w:sz="8" w:space="0"/>
              <w:right w:val="single" w:color="auto" w:sz="8" w:space="0"/>
            </w:tcBorders>
            <w:shd w:val="clear" w:color="auto" w:fill="auto"/>
            <w:noWrap/>
            <w:vAlign w:val="center"/>
          </w:tcPr>
          <w:p w14:paraId="4E83FF7B">
            <w:pPr>
              <w:jc w:val="center"/>
              <w:rPr>
                <w:rFonts w:ascii="宋体" w:hAnsi="宋体" w:cs="宋体"/>
                <w:color w:val="000000"/>
                <w:sz w:val="18"/>
                <w:szCs w:val="18"/>
              </w:rPr>
            </w:pPr>
          </w:p>
        </w:tc>
      </w:tr>
    </w:tbl>
    <w:p w14:paraId="558D258F">
      <w:pPr>
        <w:pStyle w:val="57"/>
        <w:ind w:firstLine="420"/>
      </w:pPr>
    </w:p>
    <w:p w14:paraId="2FC46ACB">
      <w:pPr>
        <w:pStyle w:val="57"/>
        <w:ind w:firstLine="420"/>
      </w:pPr>
    </w:p>
    <w:bookmarkEnd w:id="88"/>
    <w:p w14:paraId="78EF54FD">
      <w:pPr>
        <w:pStyle w:val="57"/>
        <w:ind w:firstLine="0" w:firstLineChars="0"/>
        <w:jc w:val="center"/>
      </w:pPr>
      <w:bookmarkStart w:id="93"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93"/>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2125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7992">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97B1E">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C0E3C">
    <w:pPr>
      <w:pStyle w:val="53"/>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99844">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5309D">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54C2">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FC5FA">
    <w:pPr>
      <w:pStyle w:val="62"/>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62AB6">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jP/wcR6E6fmm82MHSef3eAuLL8E=" w:salt="QjUw3RySu0NRSkbTihrco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34"/>
    <w:rsid w:val="0000040A"/>
    <w:rsid w:val="00000A94"/>
    <w:rsid w:val="00001972"/>
    <w:rsid w:val="00001D9A"/>
    <w:rsid w:val="00007B3A"/>
    <w:rsid w:val="000107E0"/>
    <w:rsid w:val="00011FDE"/>
    <w:rsid w:val="00012FFD"/>
    <w:rsid w:val="00014162"/>
    <w:rsid w:val="00014340"/>
    <w:rsid w:val="00016A9C"/>
    <w:rsid w:val="00022184"/>
    <w:rsid w:val="00022762"/>
    <w:rsid w:val="000230FF"/>
    <w:rsid w:val="000238E0"/>
    <w:rsid w:val="000249DB"/>
    <w:rsid w:val="0002595E"/>
    <w:rsid w:val="000272D4"/>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F61"/>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E81"/>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6F15"/>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0F2"/>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0CE"/>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3C07"/>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2A9"/>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9FB"/>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1FE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034"/>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430"/>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65FC"/>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A79F1"/>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E65"/>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0E33"/>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3B55"/>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0BE8"/>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93A4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nhideWhenUsed="0" w:uiPriority="0" w:semiHidden="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annotation text"/>
    <w:basedOn w:val="1"/>
    <w:link w:val="232"/>
    <w:uiPriority w:val="0"/>
    <w:pPr>
      <w:adjustRightInd/>
      <w:spacing w:line="240" w:lineRule="auto"/>
      <w:jc w:val="left"/>
    </w:pPr>
    <w:rPr>
      <w:rFonts w:ascii="Times New Roman" w:hAnsi="Times New Roman"/>
      <w:szCs w:val="24"/>
    </w:rPr>
  </w:style>
  <w:style w:type="paragraph" w:styleId="14">
    <w:name w:val="Body Text"/>
    <w:basedOn w:val="1"/>
    <w:link w:val="87"/>
    <w:uiPriority w:val="0"/>
    <w:pPr>
      <w:spacing w:after="120"/>
    </w:pPr>
  </w:style>
  <w:style w:type="paragraph" w:styleId="15">
    <w:name w:val="toc 5"/>
    <w:basedOn w:val="1"/>
    <w:next w:val="1"/>
    <w:autoRedefine/>
    <w:unhideWhenUsed/>
    <w:uiPriority w:val="39"/>
    <w:pPr>
      <w:ind w:left="839"/>
    </w:pPr>
    <w:rPr>
      <w:rFonts w:ascii="宋体"/>
    </w:rPr>
  </w:style>
  <w:style w:type="paragraph" w:styleId="16">
    <w:name w:val="toc 3"/>
    <w:basedOn w:val="1"/>
    <w:next w:val="1"/>
    <w:autoRedefine/>
    <w:unhideWhenUsed/>
    <w:uiPriority w:val="39"/>
    <w:pPr>
      <w:spacing w:line="300" w:lineRule="exact"/>
      <w:ind w:left="420"/>
    </w:pPr>
    <w:rPr>
      <w:rFonts w:ascii="宋体"/>
    </w:rPr>
  </w:style>
  <w:style w:type="paragraph" w:styleId="17">
    <w:name w:val="Balloon Text"/>
    <w:basedOn w:val="1"/>
    <w:link w:val="46"/>
    <w:semiHidden/>
    <w:unhideWhenUsed/>
    <w:uiPriority w:val="99"/>
    <w:rPr>
      <w:sz w:val="18"/>
      <w:szCs w:val="18"/>
    </w:rPr>
  </w:style>
  <w:style w:type="paragraph" w:styleId="18">
    <w:name w:val="footer"/>
    <w:basedOn w:val="1"/>
    <w:link w:val="45"/>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uiPriority w:val="39"/>
    <w:rPr>
      <w:rFonts w:ascii="宋体"/>
    </w:rPr>
  </w:style>
  <w:style w:type="paragraph" w:styleId="21">
    <w:name w:val="toc 4"/>
    <w:basedOn w:val="1"/>
    <w:next w:val="1"/>
    <w:autoRedefine/>
    <w:unhideWhenUsed/>
    <w:uiPriority w:val="39"/>
    <w:pPr>
      <w:tabs>
        <w:tab w:val="right" w:leader="dot" w:pos="9344"/>
      </w:tabs>
      <w:spacing w:line="300" w:lineRule="exact"/>
      <w:ind w:left="629"/>
    </w:pPr>
    <w:rPr>
      <w:rFonts w:ascii="宋体"/>
    </w:rPr>
  </w:style>
  <w:style w:type="paragraph" w:styleId="22">
    <w:name w:val="footnote text"/>
    <w:basedOn w:val="1"/>
    <w:next w:val="1"/>
    <w:link w:val="100"/>
    <w:semiHidden/>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uiPriority w:val="39"/>
    <w:pPr>
      <w:spacing w:line="300" w:lineRule="exact"/>
      <w:ind w:left="1049"/>
    </w:pPr>
    <w:rPr>
      <w:rFonts w:ascii="宋体"/>
    </w:rPr>
  </w:style>
  <w:style w:type="paragraph" w:styleId="24">
    <w:name w:val="table of figures"/>
    <w:basedOn w:val="1"/>
    <w:next w:val="1"/>
    <w:semiHidden/>
    <w:uiPriority w:val="0"/>
    <w:pPr>
      <w:adjustRightInd/>
      <w:spacing w:line="240" w:lineRule="auto"/>
      <w:jc w:val="left"/>
    </w:pPr>
    <w:rPr>
      <w:szCs w:val="24"/>
    </w:rPr>
  </w:style>
  <w:style w:type="paragraph" w:styleId="25">
    <w:name w:val="toc 2"/>
    <w:basedOn w:val="1"/>
    <w:next w:val="1"/>
    <w:autoRedefine/>
    <w:unhideWhenUsed/>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uiPriority w:val="0"/>
    <w:rPr>
      <w:rFonts w:ascii="宋体" w:hAnsi="Times New Roman" w:eastAsia="宋体"/>
      <w:sz w:val="18"/>
    </w:rPr>
  </w:style>
  <w:style w:type="character" w:styleId="32">
    <w:name w:val="Emphasis"/>
    <w:qFormat/>
    <w:uiPriority w:val="20"/>
    <w:rPr>
      <w:i/>
      <w:iCs/>
    </w:rPr>
  </w:style>
  <w:style w:type="character" w:styleId="33">
    <w:name w:val="Hyperlink"/>
    <w:uiPriority w:val="99"/>
    <w:rPr>
      <w:rFonts w:ascii="宋体" w:hAnsi="Times New Roman" w:eastAsia="宋体"/>
      <w:color w:val="auto"/>
      <w:spacing w:val="0"/>
      <w:w w:val="100"/>
      <w:position w:val="0"/>
      <w:sz w:val="21"/>
      <w:u w:val="none"/>
      <w:vertAlign w:val="baseline"/>
    </w:rPr>
  </w:style>
  <w:style w:type="character" w:styleId="34">
    <w:name w:val="footnote reference"/>
    <w:semiHidden/>
    <w:uiPriority w:val="0"/>
    <w:rPr>
      <w:rFonts w:ascii="宋体" w:hAnsi="宋体" w:eastAsia="宋体" w:cs="Times New Roman"/>
      <w:spacing w:val="0"/>
      <w:sz w:val="18"/>
      <w:vertAlign w:val="superscript"/>
    </w:rPr>
  </w:style>
  <w:style w:type="character" w:customStyle="1" w:styleId="35">
    <w:name w:val="标题 1 Char"/>
    <w:link w:val="2"/>
    <w:uiPriority w:val="0"/>
    <w:rPr>
      <w:rFonts w:ascii="Times New Roman" w:hAnsi="Times New Roman" w:eastAsia="宋体" w:cs="Times New Roman"/>
      <w:b/>
      <w:bCs/>
      <w:kern w:val="44"/>
      <w:sz w:val="44"/>
      <w:szCs w:val="44"/>
    </w:rPr>
  </w:style>
  <w:style w:type="character" w:customStyle="1" w:styleId="36">
    <w:name w:val="标题 2 Char"/>
    <w:link w:val="3"/>
    <w:uiPriority w:val="0"/>
    <w:rPr>
      <w:rFonts w:ascii="Arial" w:hAnsi="Arial" w:eastAsia="黑体" w:cs="Times New Roman"/>
      <w:b/>
      <w:bCs/>
      <w:sz w:val="32"/>
      <w:szCs w:val="32"/>
    </w:rPr>
  </w:style>
  <w:style w:type="character" w:customStyle="1" w:styleId="37">
    <w:name w:val="标题 3 Char"/>
    <w:link w:val="4"/>
    <w:uiPriority w:val="0"/>
    <w:rPr>
      <w:rFonts w:ascii="Times New Roman" w:hAnsi="Times New Roman" w:eastAsia="宋体" w:cs="Times New Roman"/>
      <w:b/>
      <w:bCs/>
      <w:sz w:val="32"/>
      <w:szCs w:val="32"/>
    </w:rPr>
  </w:style>
  <w:style w:type="character" w:customStyle="1" w:styleId="38">
    <w:name w:val="标题 4 Char"/>
    <w:link w:val="5"/>
    <w:uiPriority w:val="0"/>
    <w:rPr>
      <w:rFonts w:ascii="Arial" w:hAnsi="Arial" w:eastAsia="黑体" w:cs="Times New Roman"/>
      <w:b/>
      <w:bCs/>
      <w:sz w:val="28"/>
      <w:szCs w:val="28"/>
    </w:rPr>
  </w:style>
  <w:style w:type="character" w:customStyle="1" w:styleId="39">
    <w:name w:val="标题 5 Char"/>
    <w:link w:val="6"/>
    <w:uiPriority w:val="0"/>
    <w:rPr>
      <w:rFonts w:ascii="Times New Roman" w:hAnsi="Times New Roman" w:eastAsia="宋体" w:cs="Times New Roman"/>
      <w:b/>
      <w:bCs/>
      <w:sz w:val="28"/>
      <w:szCs w:val="28"/>
    </w:rPr>
  </w:style>
  <w:style w:type="character" w:customStyle="1" w:styleId="40">
    <w:name w:val="标题 6 Char"/>
    <w:link w:val="7"/>
    <w:uiPriority w:val="0"/>
    <w:rPr>
      <w:rFonts w:ascii="Arial" w:hAnsi="Arial" w:eastAsia="黑体" w:cs="Times New Roman"/>
      <w:b/>
      <w:bCs/>
      <w:sz w:val="24"/>
      <w:szCs w:val="24"/>
    </w:rPr>
  </w:style>
  <w:style w:type="character" w:customStyle="1" w:styleId="41">
    <w:name w:val="标题 7 Char"/>
    <w:link w:val="8"/>
    <w:uiPriority w:val="0"/>
    <w:rPr>
      <w:rFonts w:ascii="Times New Roman" w:hAnsi="Times New Roman" w:eastAsia="宋体" w:cs="Times New Roman"/>
      <w:b/>
      <w:bCs/>
      <w:sz w:val="24"/>
      <w:szCs w:val="24"/>
    </w:rPr>
  </w:style>
  <w:style w:type="character" w:customStyle="1" w:styleId="42">
    <w:name w:val="标题 8 Char"/>
    <w:link w:val="9"/>
    <w:uiPriority w:val="0"/>
    <w:rPr>
      <w:rFonts w:ascii="Arial" w:hAnsi="Arial" w:eastAsia="黑体" w:cs="Times New Roman"/>
      <w:sz w:val="24"/>
      <w:szCs w:val="24"/>
    </w:rPr>
  </w:style>
  <w:style w:type="character" w:customStyle="1" w:styleId="43">
    <w:name w:val="标题 9 Char"/>
    <w:link w:val="10"/>
    <w:uiPriority w:val="0"/>
    <w:rPr>
      <w:rFonts w:ascii="Arial" w:hAnsi="Arial" w:eastAsia="黑体" w:cs="Times New Roman"/>
      <w:szCs w:val="21"/>
    </w:rPr>
  </w:style>
  <w:style w:type="character" w:customStyle="1" w:styleId="44">
    <w:name w:val="页眉 Char"/>
    <w:link w:val="19"/>
    <w:uiPriority w:val="99"/>
    <w:rPr>
      <w:rFonts w:ascii="Times New Roman" w:hAnsi="Times New Roman" w:eastAsia="宋体" w:cs="Times New Roman"/>
      <w:sz w:val="18"/>
      <w:szCs w:val="18"/>
    </w:rPr>
  </w:style>
  <w:style w:type="character" w:customStyle="1" w:styleId="45">
    <w:name w:val="页脚 Char"/>
    <w:link w:val="18"/>
    <w:uiPriority w:val="99"/>
    <w:rPr>
      <w:rFonts w:ascii="宋体" w:hAnsi="Times New Roman" w:eastAsia="宋体" w:cs="Times New Roman"/>
      <w:sz w:val="18"/>
      <w:szCs w:val="18"/>
    </w:rPr>
  </w:style>
  <w:style w:type="character" w:customStyle="1" w:styleId="46">
    <w:name w:val="批注框文本 Char"/>
    <w:link w:val="17"/>
    <w:semiHidden/>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uiPriority w:val="0"/>
    <w:rPr>
      <w:rFonts w:ascii="Arial" w:hAnsi="Arial" w:eastAsia="宋体" w:cs="Arial"/>
      <w:b/>
      <w:bCs/>
      <w:sz w:val="32"/>
      <w:szCs w:val="32"/>
    </w:rPr>
  </w:style>
  <w:style w:type="paragraph" w:customStyle="1" w:styleId="5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uiPriority w:val="0"/>
    <w:pPr>
      <w:ind w:left="198"/>
    </w:pPr>
    <w:rPr>
      <w:rFonts w:ascii="宋体" w:hAnsi="Times New Roman" w:eastAsia="宋体" w:cs="Times New Roman"/>
      <w:sz w:val="18"/>
      <w:lang w:val="en-US" w:eastAsia="zh-CN" w:bidi="ar-SA"/>
    </w:rPr>
  </w:style>
  <w:style w:type="paragraph" w:customStyle="1" w:styleId="53">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uiPriority w:val="0"/>
    <w:pPr>
      <w:spacing w:line="310" w:lineRule="exact"/>
      <w:jc w:val="right"/>
    </w:pPr>
    <w:rPr>
      <w:rFonts w:ascii="宋体" w:hAnsi="宋体"/>
      <w:kern w:val="0"/>
    </w:rPr>
  </w:style>
  <w:style w:type="paragraph" w:customStyle="1" w:styleId="61">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uiPriority w:val="0"/>
    <w:pPr>
      <w:jc w:val="left"/>
    </w:pPr>
  </w:style>
  <w:style w:type="paragraph" w:customStyle="1" w:styleId="64">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uiPriority w:val="0"/>
    <w:rPr>
      <w:rFonts w:ascii="黑体" w:eastAsia="黑体"/>
      <w:spacing w:val="0"/>
      <w:w w:val="100"/>
      <w:position w:val="3"/>
      <w:sz w:val="28"/>
    </w:rPr>
  </w:style>
  <w:style w:type="paragraph" w:customStyle="1" w:styleId="68">
    <w:name w:val="标准文件_方框数字列项"/>
    <w:basedOn w:val="57"/>
    <w:uiPriority w:val="0"/>
    <w:pPr>
      <w:numPr>
        <w:ilvl w:val="0"/>
        <w:numId w:val="3"/>
      </w:numPr>
      <w:ind w:firstLine="0" w:firstLineChars="0"/>
    </w:pPr>
  </w:style>
  <w:style w:type="paragraph" w:customStyle="1" w:styleId="69">
    <w:name w:val="标准文件_封面标准编号"/>
    <w:basedOn w:val="1"/>
    <w:next w:val="60"/>
    <w:uiPriority w:val="0"/>
    <w:pPr>
      <w:spacing w:line="310" w:lineRule="exact"/>
      <w:jc w:val="right"/>
    </w:pPr>
    <w:rPr>
      <w:rFonts w:ascii="黑体" w:eastAsia="黑体"/>
      <w:kern w:val="0"/>
      <w:sz w:val="28"/>
    </w:rPr>
  </w:style>
  <w:style w:type="paragraph" w:customStyle="1" w:styleId="70">
    <w:name w:val="标准文件_封面标准分类号"/>
    <w:basedOn w:val="1"/>
    <w:uiPriority w:val="0"/>
    <w:rPr>
      <w:rFonts w:ascii="黑体" w:eastAsia="黑体"/>
      <w:b/>
      <w:kern w:val="0"/>
      <w:sz w:val="28"/>
    </w:rPr>
  </w:style>
  <w:style w:type="paragraph" w:customStyle="1" w:styleId="71">
    <w:name w:val="标准文件_封面标准名称"/>
    <w:basedOn w:val="1"/>
    <w:uiPriority w:val="0"/>
    <w:pPr>
      <w:spacing w:line="240" w:lineRule="auto"/>
      <w:jc w:val="center"/>
    </w:pPr>
    <w:rPr>
      <w:rFonts w:ascii="黑体" w:eastAsia="黑体"/>
      <w:kern w:val="0"/>
      <w:sz w:val="52"/>
    </w:rPr>
  </w:style>
  <w:style w:type="paragraph" w:customStyle="1" w:styleId="72">
    <w:name w:val="标准文件_封面标准英文名称"/>
    <w:basedOn w:val="1"/>
    <w:uiPriority w:val="0"/>
    <w:pPr>
      <w:spacing w:line="240" w:lineRule="auto"/>
      <w:jc w:val="center"/>
    </w:pPr>
    <w:rPr>
      <w:rFonts w:ascii="黑体" w:eastAsia="黑体"/>
      <w:b/>
      <w:sz w:val="28"/>
    </w:rPr>
  </w:style>
  <w:style w:type="paragraph" w:customStyle="1" w:styleId="73">
    <w:name w:val="标准文件_封面发布日期"/>
    <w:basedOn w:val="1"/>
    <w:uiPriority w:val="0"/>
    <w:pPr>
      <w:spacing w:line="310" w:lineRule="exact"/>
    </w:pPr>
    <w:rPr>
      <w:rFonts w:ascii="黑体" w:eastAsia="黑体"/>
      <w:kern w:val="0"/>
      <w:sz w:val="28"/>
    </w:rPr>
  </w:style>
  <w:style w:type="paragraph" w:customStyle="1" w:styleId="74">
    <w:name w:val="标准文件_封面密级"/>
    <w:basedOn w:val="1"/>
    <w:uiPriority w:val="0"/>
    <w:rPr>
      <w:rFonts w:eastAsia="黑体"/>
      <w:sz w:val="32"/>
    </w:rPr>
  </w:style>
  <w:style w:type="paragraph" w:customStyle="1" w:styleId="75">
    <w:name w:val="标准文件_封面实施日期"/>
    <w:basedOn w:val="1"/>
    <w:uiPriority w:val="0"/>
    <w:pPr>
      <w:spacing w:line="310" w:lineRule="exact"/>
      <w:jc w:val="right"/>
    </w:pPr>
    <w:rPr>
      <w:rFonts w:ascii="黑体" w:eastAsia="黑体"/>
      <w:sz w:val="28"/>
    </w:rPr>
  </w:style>
  <w:style w:type="paragraph" w:customStyle="1" w:styleId="76">
    <w:name w:val="标准文件_封面抬头"/>
    <w:basedOn w:val="57"/>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uiPriority w:val="0"/>
    <w:rPr>
      <w:rFonts w:ascii="Times New Roman" w:hAnsi="Times New Roman" w:eastAsia="宋体" w:cs="Times New Roman"/>
      <w:szCs w:val="20"/>
    </w:rPr>
  </w:style>
  <w:style w:type="paragraph" w:customStyle="1" w:styleId="88">
    <w:name w:val="标准文件_附录章标题"/>
    <w:next w:val="57"/>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uiPriority w:val="0"/>
    <w:pPr>
      <w:ind w:left="488" w:leftChars="200" w:hanging="289" w:hangingChars="290"/>
    </w:pPr>
  </w:style>
  <w:style w:type="paragraph" w:customStyle="1" w:styleId="90">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uiPriority w:val="0"/>
    <w:pPr>
      <w:spacing w:line="460" w:lineRule="exact"/>
    </w:pPr>
  </w:style>
  <w:style w:type="paragraph" w:customStyle="1" w:styleId="92">
    <w:name w:val="标准文件_目录标题"/>
    <w:basedOn w:val="1"/>
    <w:uiPriority w:val="0"/>
    <w:pPr>
      <w:spacing w:after="150" w:afterLines="150" w:line="240" w:lineRule="auto"/>
      <w:jc w:val="center"/>
    </w:pPr>
    <w:rPr>
      <w:rFonts w:ascii="黑体" w:eastAsia="黑体"/>
      <w:sz w:val="32"/>
    </w:rPr>
  </w:style>
  <w:style w:type="paragraph" w:customStyle="1" w:styleId="93">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uiPriority w:val="0"/>
    <w:pPr>
      <w:numPr>
        <w:numId w:val="10"/>
      </w:numPr>
      <w:ind w:left="0" w:firstLine="200"/>
    </w:pPr>
  </w:style>
  <w:style w:type="paragraph" w:customStyle="1" w:styleId="95">
    <w:name w:val="标准文件_三级条标题"/>
    <w:basedOn w:val="66"/>
    <w:next w:val="57"/>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uiPriority w:val="0"/>
    <w:pPr>
      <w:adjustRightInd/>
      <w:spacing w:line="240" w:lineRule="auto"/>
      <w:ind w:firstLine="200" w:firstLineChars="200"/>
    </w:pPr>
    <w:rPr>
      <w:sz w:val="18"/>
      <w:szCs w:val="24"/>
    </w:rPr>
  </w:style>
  <w:style w:type="paragraph" w:customStyle="1" w:styleId="98">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uiPriority w:val="0"/>
    <w:rPr>
      <w:rFonts w:ascii="宋体" w:hAnsi="Times New Roman" w:eastAsia="宋体" w:cs="Times New Roman"/>
      <w:sz w:val="18"/>
      <w:szCs w:val="18"/>
    </w:rPr>
  </w:style>
  <w:style w:type="paragraph" w:customStyle="1" w:styleId="101">
    <w:name w:val="标准文件_条文脚注"/>
    <w:basedOn w:val="22"/>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uiPriority w:val="0"/>
    <w:pPr>
      <w:numPr>
        <w:ilvl w:val="0"/>
        <w:numId w:val="12"/>
      </w:numPr>
      <w:spacing w:line="240" w:lineRule="auto"/>
      <w:jc w:val="left"/>
    </w:pPr>
    <w:rPr>
      <w:rFonts w:ascii="宋体" w:hAnsi="宋体"/>
      <w:sz w:val="18"/>
    </w:rPr>
  </w:style>
  <w:style w:type="character" w:customStyle="1" w:styleId="103">
    <w:name w:val="标准文件_图表脚注内容"/>
    <w:uiPriority w:val="0"/>
    <w:rPr>
      <w:rFonts w:ascii="宋体" w:hAnsi="宋体" w:eastAsia="宋体" w:cs="Times New Roman"/>
      <w:spacing w:val="0"/>
      <w:sz w:val="18"/>
      <w:vertAlign w:val="superscript"/>
    </w:rPr>
  </w:style>
  <w:style w:type="paragraph" w:customStyle="1" w:styleId="104">
    <w:name w:val="标准文件_五级条标题"/>
    <w:next w:val="57"/>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uiPriority w:val="0"/>
    <w:pPr>
      <w:numPr>
        <w:ilvl w:val="2"/>
      </w:numPr>
      <w:spacing w:before="50" w:beforeLines="50" w:after="50" w:afterLines="50"/>
      <w:outlineLvl w:val="1"/>
    </w:pPr>
  </w:style>
  <w:style w:type="paragraph" w:customStyle="1" w:styleId="107">
    <w:name w:val="标准文件_一致程度"/>
    <w:basedOn w:val="1"/>
    <w:uiPriority w:val="0"/>
    <w:pPr>
      <w:spacing w:line="440" w:lineRule="exact"/>
      <w:jc w:val="center"/>
    </w:pPr>
    <w:rPr>
      <w:sz w:val="28"/>
    </w:rPr>
  </w:style>
  <w:style w:type="paragraph" w:customStyle="1" w:styleId="108">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uiPriority w:val="0"/>
    <w:pPr>
      <w:numPr>
        <w:ilvl w:val="3"/>
        <w:numId w:val="20"/>
      </w:numPr>
      <w:adjustRightInd/>
      <w:spacing w:line="240" w:lineRule="auto"/>
    </w:pPr>
    <w:rPr>
      <w:rFonts w:ascii="宋体" w:hAnsi="宋体"/>
      <w:szCs w:val="24"/>
    </w:rPr>
  </w:style>
  <w:style w:type="paragraph" w:customStyle="1" w:styleId="120">
    <w:name w:val="发布部门"/>
    <w:next w:val="57"/>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uiPriority w:val="0"/>
    <w:pPr>
      <w:outlineLvl w:val="4"/>
    </w:pPr>
  </w:style>
  <w:style w:type="paragraph" w:customStyle="1" w:styleId="131">
    <w:name w:val="附录四级无标题条"/>
    <w:basedOn w:val="130"/>
    <w:next w:val="57"/>
    <w:uiPriority w:val="0"/>
    <w:pPr>
      <w:outlineLvl w:val="5"/>
    </w:pPr>
  </w:style>
  <w:style w:type="paragraph" w:customStyle="1" w:styleId="132">
    <w:name w:val="附录图"/>
    <w:next w:val="57"/>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uiPriority w:val="0"/>
    <w:rPr>
      <w:rFonts w:ascii="Arial" w:hAnsi="Arial" w:eastAsia="宋体" w:cs="Arial"/>
      <w:color w:val="auto"/>
      <w:spacing w:val="0"/>
      <w:sz w:val="20"/>
    </w:rPr>
  </w:style>
  <w:style w:type="character" w:customStyle="1" w:styleId="138">
    <w:name w:val="个人撰写风格"/>
    <w:uiPriority w:val="0"/>
    <w:rPr>
      <w:rFonts w:ascii="Arial" w:hAnsi="Arial" w:eastAsia="宋体" w:cs="Arial"/>
      <w:color w:val="auto"/>
      <w:spacing w:val="0"/>
      <w:sz w:val="20"/>
    </w:rPr>
  </w:style>
  <w:style w:type="paragraph" w:customStyle="1" w:styleId="13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uiPriority w:val="0"/>
    <w:pPr>
      <w:adjustRightInd/>
      <w:spacing w:line="240" w:lineRule="auto"/>
      <w:jc w:val="left"/>
    </w:pPr>
    <w:rPr>
      <w:bCs/>
      <w:iCs/>
    </w:rPr>
  </w:style>
  <w:style w:type="paragraph" w:customStyle="1" w:styleId="144">
    <w:name w:val="目录 31"/>
    <w:basedOn w:val="1"/>
    <w:next w:val="1"/>
    <w:autoRedefine/>
    <w:semiHidden/>
    <w:uiPriority w:val="0"/>
    <w:pPr>
      <w:spacing w:line="240" w:lineRule="auto"/>
    </w:pPr>
    <w:rPr>
      <w:rFonts w:ascii="宋体" w:hAnsi="宋体"/>
      <w:iCs/>
    </w:rPr>
  </w:style>
  <w:style w:type="paragraph" w:customStyle="1" w:styleId="145">
    <w:name w:val="目录 41"/>
    <w:basedOn w:val="1"/>
    <w:next w:val="1"/>
    <w:autoRedefine/>
    <w:semiHidden/>
    <w:uiPriority w:val="0"/>
    <w:pPr>
      <w:adjustRightInd/>
      <w:spacing w:line="240" w:lineRule="auto"/>
      <w:jc w:val="left"/>
    </w:pPr>
  </w:style>
  <w:style w:type="paragraph" w:customStyle="1" w:styleId="146">
    <w:name w:val="目录 51"/>
    <w:basedOn w:val="1"/>
    <w:next w:val="1"/>
    <w:autoRedefine/>
    <w:semiHidden/>
    <w:uiPriority w:val="0"/>
    <w:pPr>
      <w:spacing w:line="240" w:lineRule="auto"/>
    </w:pPr>
    <w:rPr>
      <w:rFonts w:ascii="宋体" w:hAnsi="宋体"/>
    </w:rPr>
  </w:style>
  <w:style w:type="paragraph" w:customStyle="1" w:styleId="147">
    <w:name w:val="目录 61"/>
    <w:basedOn w:val="1"/>
    <w:next w:val="1"/>
    <w:autoRedefine/>
    <w:semiHidden/>
    <w:uiPriority w:val="0"/>
    <w:pPr>
      <w:adjustRightInd/>
      <w:spacing w:line="240" w:lineRule="auto"/>
      <w:jc w:val="left"/>
    </w:pPr>
  </w:style>
  <w:style w:type="paragraph" w:customStyle="1" w:styleId="148">
    <w:name w:val="目录 71"/>
    <w:basedOn w:val="147"/>
    <w:autoRedefine/>
    <w:semiHidden/>
    <w:uiPriority w:val="0"/>
    <w:pPr>
      <w:ind w:left="1260"/>
    </w:pPr>
  </w:style>
  <w:style w:type="paragraph" w:customStyle="1" w:styleId="149">
    <w:name w:val="目录 81"/>
    <w:basedOn w:val="148"/>
    <w:autoRedefine/>
    <w:semiHidden/>
    <w:uiPriority w:val="0"/>
    <w:pPr>
      <w:ind w:left="1470"/>
    </w:pPr>
  </w:style>
  <w:style w:type="paragraph" w:customStyle="1" w:styleId="150">
    <w:name w:val="目录 91"/>
    <w:basedOn w:val="149"/>
    <w:autoRedefine/>
    <w:semiHidden/>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paragraph" w:customStyle="1" w:styleId="23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Arial Unicode MS" w:hAnsi="Arial Unicode MS" w:eastAsia="Arial Unicode MS"/>
      <w:kern w:val="0"/>
      <w:sz w:val="20"/>
      <w:szCs w:val="20"/>
    </w:rPr>
  </w:style>
  <w:style w:type="character" w:customStyle="1" w:styleId="232">
    <w:name w:val="批注文字 Char"/>
    <w:basedOn w:val="29"/>
    <w:link w:val="13"/>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4CEE9811DF847F7816B6BFA3B658F89"/>
        <w:style w:val=""/>
        <w:category>
          <w:name w:val="常规"/>
          <w:gallery w:val="placeholder"/>
        </w:category>
        <w:types>
          <w:type w:val="bbPlcHdr"/>
        </w:types>
        <w:behaviors>
          <w:behavior w:val="content"/>
        </w:behaviors>
        <w:description w:val=""/>
        <w:guid w:val="{8A4FEB18-8E40-4DA5-9F16-BD6969959F85}"/>
      </w:docPartPr>
      <w:docPartBody>
        <w:p w14:paraId="0B566055">
          <w:pPr>
            <w:pStyle w:val="5"/>
          </w:pPr>
          <w:r>
            <w:rPr>
              <w:rStyle w:val="4"/>
              <w:rFonts w:hint="eastAsia"/>
            </w:rPr>
            <w:t>单击或点击此处输入文字。</w:t>
          </w:r>
        </w:p>
      </w:docPartBody>
    </w:docPart>
    <w:docPart>
      <w:docPartPr>
        <w:name w:val="F637C1AA0FFE453FA836AF4ABDD90874"/>
        <w:style w:val=""/>
        <w:category>
          <w:name w:val="常规"/>
          <w:gallery w:val="placeholder"/>
        </w:category>
        <w:types>
          <w:type w:val="bbPlcHdr"/>
        </w:types>
        <w:behaviors>
          <w:behavior w:val="content"/>
        </w:behaviors>
        <w:description w:val=""/>
        <w:guid w:val="{019F542E-F6BE-4063-9913-9A1CF6FC1A4C}"/>
      </w:docPartPr>
      <w:docPartBody>
        <w:p w14:paraId="39DF5919">
          <w:pPr>
            <w:pStyle w:val="6"/>
          </w:pPr>
          <w:r>
            <w:rPr>
              <w:rStyle w:val="4"/>
              <w:rFonts w:hint="eastAsia"/>
            </w:rPr>
            <w:t>选择一项。</w:t>
          </w:r>
        </w:p>
      </w:docPartBody>
    </w:docPart>
    <w:docPart>
      <w:docPartPr>
        <w:name w:val="7EA9759642DF40CBB89CEC8857F7E9CB"/>
        <w:style w:val=""/>
        <w:category>
          <w:name w:val="常规"/>
          <w:gallery w:val="placeholder"/>
        </w:category>
        <w:types>
          <w:type w:val="bbPlcHdr"/>
        </w:types>
        <w:behaviors>
          <w:behavior w:val="content"/>
        </w:behaviors>
        <w:description w:val=""/>
        <w:guid w:val="{C9FB5F27-FBBE-4B93-B15A-CFB31506E868}"/>
      </w:docPartPr>
      <w:docPartBody>
        <w:p w14:paraId="59EBF2B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42"/>
    <w:rsid w:val="00250FCB"/>
    <w:rsid w:val="007B60E1"/>
    <w:rsid w:val="00850F42"/>
    <w:rsid w:val="00B20CF9"/>
    <w:rsid w:val="00C14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4CEE9811DF847F7816B6BFA3B658F8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637C1AA0FFE453FA836AF4ABDD9087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EA9759642DF40CBB89CEC8857F7E9C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6722DE-8406-4A55-912C-784AAE63618D}">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3233</Words>
  <Characters>3727</Characters>
  <Lines>37</Lines>
  <Paragraphs>10</Paragraphs>
  <TotalTime>65</TotalTime>
  <ScaleCrop>false</ScaleCrop>
  <LinksUpToDate>false</LinksUpToDate>
  <CharactersWithSpaces>3846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2025-07-02T15:06:00Z</dcterms:created>
  <dc:creator>xb21cn</dc:creator>
  <dc:description>&lt;config cover="true" show_menu="true" version="1.0.0" doctype="SDKXY"&gt;_x000d_
&lt;/config&gt;</dc:description>
  <cp:lastModifiedBy>Summer</cp:lastModifiedBy>
  <cp:lastPrinted>2025-07-02T16:20:00Z</cp:lastPrinted>
  <dcterms:modified xsi:type="dcterms:W3CDTF">2025-07-03T00:15:36Z</dcterms:modified>
  <dc:title>地方标准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eyJoZGlkIjoiYjEzNTc2ZDE3MGY5YzU4NjFmOTYwZTU1NjJjYjQ4YWUiLCJ1c2VySWQiOiIyMzg4NzY2NTIifQ==</vt:lpwstr>
  </property>
  <property fmtid="{D5CDD505-2E9C-101B-9397-08002B2CF9AE}" pid="15" name="KSOProductBuildVer">
    <vt:lpwstr>2052-12.1.0.21541</vt:lpwstr>
  </property>
  <property fmtid="{D5CDD505-2E9C-101B-9397-08002B2CF9AE}" pid="16" name="ICV">
    <vt:lpwstr>91F83F932AB342E8B0CC421972C44417_12</vt:lpwstr>
  </property>
</Properties>
</file>