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高速公路行业信息化项目运维成本度量规范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Cost </w:t>
      </w:r>
      <w:r>
        <w:rPr>
          <w:rFonts w:hint="eastAsia" w:eastAsia="黑体"/>
          <w:szCs w:val="28"/>
          <w:lang w:val="en-US" w:eastAsia="zh-CN"/>
        </w:rPr>
        <w:t>m</w:t>
      </w:r>
      <w:r>
        <w:rPr>
          <w:rFonts w:eastAsia="黑体"/>
          <w:szCs w:val="28"/>
        </w:rPr>
        <w:t xml:space="preserve">easurement </w:t>
      </w:r>
      <w:r>
        <w:rPr>
          <w:rFonts w:hint="eastAsia" w:eastAsia="黑体"/>
          <w:szCs w:val="28"/>
          <w:lang w:val="en-US" w:eastAsia="zh-CN"/>
        </w:rPr>
        <w:t>s</w:t>
      </w:r>
      <w:r>
        <w:rPr>
          <w:rFonts w:eastAsia="黑体"/>
          <w:szCs w:val="28"/>
        </w:rPr>
        <w:t xml:space="preserve">pecification for </w:t>
      </w:r>
      <w:r>
        <w:rPr>
          <w:rFonts w:hint="eastAsia" w:eastAsia="黑体"/>
          <w:szCs w:val="28"/>
          <w:lang w:val="en-US" w:eastAsia="zh-CN"/>
        </w:rPr>
        <w:t>i</w:t>
      </w:r>
      <w:r>
        <w:rPr>
          <w:rFonts w:eastAsia="黑体"/>
          <w:szCs w:val="28"/>
        </w:rPr>
        <w:t xml:space="preserve">nformatization </w:t>
      </w:r>
      <w:r>
        <w:rPr>
          <w:rFonts w:hint="eastAsia" w:eastAsia="黑体"/>
          <w:szCs w:val="28"/>
          <w:lang w:val="en-US" w:eastAsia="zh-CN"/>
        </w:rPr>
        <w:t>p</w:t>
      </w:r>
      <w:r>
        <w:rPr>
          <w:rFonts w:eastAsia="黑体"/>
          <w:szCs w:val="28"/>
        </w:rPr>
        <w:t xml:space="preserve">roject </w:t>
      </w:r>
      <w:r>
        <w:rPr>
          <w:rFonts w:hint="eastAsia" w:eastAsia="黑体"/>
          <w:szCs w:val="28"/>
          <w:lang w:val="en-US" w:eastAsia="zh-CN"/>
        </w:rPr>
        <w:t>o</w:t>
      </w:r>
      <w:r>
        <w:rPr>
          <w:rFonts w:eastAsia="黑体"/>
          <w:szCs w:val="28"/>
        </w:rPr>
        <w:t xml:space="preserve">peration and </w:t>
      </w:r>
      <w:r>
        <w:rPr>
          <w:rFonts w:hint="eastAsia" w:eastAsia="黑体"/>
          <w:szCs w:val="28"/>
          <w:lang w:val="en-US" w:eastAsia="zh-CN"/>
        </w:rPr>
        <w:t>m</w:t>
      </w:r>
      <w:r>
        <w:rPr>
          <w:rFonts w:eastAsia="黑体"/>
          <w:szCs w:val="28"/>
        </w:rPr>
        <w:t xml:space="preserve">aintenance </w:t>
      </w:r>
      <w:r>
        <w:rPr>
          <w:rFonts w:hint="eastAsia" w:eastAsia="黑体"/>
          <w:szCs w:val="28"/>
        </w:rPr>
        <w:t>in</w:t>
      </w:r>
      <w:r>
        <w:rPr>
          <w:rFonts w:eastAsia="黑体"/>
          <w:szCs w:val="28"/>
        </w:rPr>
        <w:t xml:space="preserve"> </w:t>
      </w:r>
      <w:r>
        <w:rPr>
          <w:rFonts w:hint="eastAsia" w:eastAsia="黑体"/>
          <w:szCs w:val="28"/>
          <w:lang w:val="en-US" w:eastAsia="zh-CN"/>
        </w:rPr>
        <w:t>e</w:t>
      </w:r>
      <w:r>
        <w:rPr>
          <w:rFonts w:eastAsia="黑体"/>
          <w:szCs w:val="28"/>
        </w:rPr>
        <w:t xml:space="preserve">xpressway </w:t>
      </w:r>
      <w:r>
        <w:rPr>
          <w:rFonts w:hint="eastAsia" w:eastAsia="黑体"/>
          <w:szCs w:val="28"/>
          <w:lang w:val="en-US" w:eastAsia="zh-CN"/>
        </w:rPr>
        <w:t>i</w:t>
      </w:r>
      <w:r>
        <w:rPr>
          <w:rFonts w:eastAsia="黑体"/>
          <w:szCs w:val="28"/>
        </w:rPr>
        <w:t>ndustry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"_Toc180527460" </w:instrText>
      </w:r>
      <w:r>
        <w:fldChar w:fldCharType="separate"/>
      </w:r>
      <w:r>
        <w:rPr>
          <w:rStyle w:val="30"/>
          <w:rFonts w:hint="eastAsia"/>
          <w:spacing w:val="320"/>
        </w:rPr>
        <w:t>前</w:t>
      </w:r>
      <w:r>
        <w:rPr>
          <w:rStyle w:val="30"/>
          <w:rFonts w:hint="eastAsia"/>
        </w:rPr>
        <w:t>言</w:t>
      </w:r>
      <w:r>
        <w:tab/>
      </w:r>
      <w:r>
        <w:fldChar w:fldCharType="begin"/>
      </w:r>
      <w:r>
        <w:instrText xml:space="preserve"> PAGEREF _Toc180527460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"_Toc180527461" </w:instrText>
      </w:r>
      <w:r>
        <w:fldChar w:fldCharType="separate"/>
      </w:r>
      <w:r>
        <w:rPr>
          <w:rStyle w:val="30"/>
          <w:rFonts w:hint="eastAsia"/>
          <w:spacing w:val="320"/>
        </w:rPr>
        <w:t>引</w:t>
      </w:r>
      <w:r>
        <w:rPr>
          <w:rStyle w:val="30"/>
          <w:rFonts w:hint="eastAsia"/>
        </w:rPr>
        <w:t>言</w:t>
      </w:r>
      <w:r>
        <w:tab/>
      </w:r>
      <w:r>
        <w:fldChar w:fldCharType="begin"/>
      </w:r>
      <w:r>
        <w:instrText xml:space="preserve"> PAGEREF _Toc180527461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"_Toc180527462" </w:instrText>
      </w:r>
      <w:r>
        <w:fldChar w:fldCharType="separate"/>
      </w:r>
      <w:r>
        <w:rPr>
          <w:rStyle w:val="30"/>
        </w:rPr>
        <w:t>1</w:t>
      </w:r>
      <w:r>
        <w:rPr>
          <w:rStyle w:val="30"/>
          <w:rFonts w:hint="eastAsia"/>
        </w:rPr>
        <w:t xml:space="preserve"> 范围</w:t>
      </w:r>
      <w:r>
        <w:tab/>
      </w:r>
      <w:r>
        <w:fldChar w:fldCharType="begin"/>
      </w:r>
      <w:r>
        <w:instrText xml:space="preserve"> PAGEREF _Toc180527462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"_Toc180527463" </w:instrText>
      </w:r>
      <w:r>
        <w:fldChar w:fldCharType="separate"/>
      </w:r>
      <w:r>
        <w:rPr>
          <w:rStyle w:val="30"/>
        </w:rPr>
        <w:t>2</w:t>
      </w:r>
      <w:r>
        <w:rPr>
          <w:rStyle w:val="30"/>
          <w:rFonts w:hint="eastAsia"/>
        </w:rPr>
        <w:t xml:space="preserve"> 规范性引用文件</w:t>
      </w:r>
      <w:r>
        <w:tab/>
      </w:r>
      <w:r>
        <w:fldChar w:fldCharType="begin"/>
      </w:r>
      <w:r>
        <w:instrText xml:space="preserve"> PAGEREF _Toc180527463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"_Toc180527464" </w:instrText>
      </w:r>
      <w:r>
        <w:fldChar w:fldCharType="separate"/>
      </w:r>
      <w:r>
        <w:rPr>
          <w:rStyle w:val="30"/>
        </w:rPr>
        <w:t>3</w:t>
      </w:r>
      <w:r>
        <w:rPr>
          <w:rStyle w:val="30"/>
          <w:rFonts w:hint="eastAsia"/>
        </w:rPr>
        <w:t xml:space="preserve"> 术语和定义</w:t>
      </w:r>
      <w:r>
        <w:tab/>
      </w:r>
      <w:r>
        <w:fldChar w:fldCharType="begin"/>
      </w:r>
      <w:r>
        <w:instrText xml:space="preserve"> PAGEREF _Toc180527464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"_Toc180527465" </w:instrText>
      </w:r>
      <w:r>
        <w:fldChar w:fldCharType="separate"/>
      </w:r>
      <w:r>
        <w:rPr>
          <w:rStyle w:val="30"/>
          <w14:scene3d>
            <w14:lightRig w14:rig="threePt" w14:dir="t">
              <w14:rot w14:lat="0" w14:lon="0" w14:rev="0"/>
            </w14:lightRig>
          </w14:scene3d>
        </w:rPr>
        <w:t>3.1</w:t>
      </w:r>
      <w:r>
        <w:rPr>
          <w:rStyle w:val="30"/>
          <w:rFonts w:hint="eastAsia" w:hAnsi="黑体"/>
        </w:rPr>
        <w:t xml:space="preserve"> 信息化项目运维费</w:t>
      </w:r>
      <w:r>
        <w:tab/>
      </w:r>
      <w:r>
        <w:fldChar w:fldCharType="begin"/>
      </w:r>
      <w:r>
        <w:instrText xml:space="preserve"> PAGEREF _Toc180527465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"_Toc180527466" </w:instrText>
      </w:r>
      <w:r>
        <w:fldChar w:fldCharType="separate"/>
      </w:r>
      <w:r>
        <w:rPr>
          <w:rStyle w:val="30"/>
        </w:rPr>
        <w:t>4</w:t>
      </w:r>
      <w:r>
        <w:rPr>
          <w:rStyle w:val="30"/>
          <w:rFonts w:hint="eastAsia"/>
        </w:rPr>
        <w:t xml:space="preserve"> 信息化项目运维费的组成</w:t>
      </w:r>
      <w:r>
        <w:tab/>
      </w:r>
      <w:r>
        <w:fldChar w:fldCharType="begin"/>
      </w:r>
      <w:r>
        <w:instrText xml:space="preserve"> PAGEREF _Toc180527466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"_Toc180527467" </w:instrText>
      </w:r>
      <w:r>
        <w:fldChar w:fldCharType="separate"/>
      </w:r>
      <w:r>
        <w:rPr>
          <w:rStyle w:val="30"/>
        </w:rPr>
        <w:t>5</w:t>
      </w:r>
      <w:r>
        <w:rPr>
          <w:rStyle w:val="30"/>
          <w:rFonts w:hint="eastAsia"/>
        </w:rPr>
        <w:t xml:space="preserve"> 信息化项目运维费的计费</w:t>
      </w:r>
      <w:r>
        <w:tab/>
      </w:r>
      <w:r>
        <w:fldChar w:fldCharType="begin"/>
      </w:r>
      <w:r>
        <w:instrText xml:space="preserve"> PAGEREF _Toc180527467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"_Toc180527468" </w:instrText>
      </w:r>
      <w:r>
        <w:fldChar w:fldCharType="separate"/>
      </w:r>
      <w:r>
        <w:rPr>
          <w:rStyle w:val="30"/>
          <w14:scene3d>
            <w14:lightRig w14:rig="threePt" w14:dir="t">
              <w14:rot w14:lat="0" w14:lon="0" w14:rev="0"/>
            </w14:lightRig>
          </w14:scene3d>
        </w:rPr>
        <w:t>5.1</w:t>
      </w:r>
      <w:r>
        <w:rPr>
          <w:rStyle w:val="30"/>
          <w:rFonts w:hint="eastAsia"/>
        </w:rPr>
        <w:t xml:space="preserve"> 硬件运行维护费</w:t>
      </w:r>
      <w:r>
        <w:tab/>
      </w:r>
      <w:r>
        <w:fldChar w:fldCharType="begin"/>
      </w:r>
      <w:r>
        <w:instrText xml:space="preserve"> PAGEREF _Toc180527468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"_Toc180527469" </w:instrText>
      </w:r>
      <w:r>
        <w:fldChar w:fldCharType="separate"/>
      </w:r>
      <w:r>
        <w:rPr>
          <w:rStyle w:val="30"/>
        </w:rPr>
        <w:t>5.1.1</w:t>
      </w:r>
      <w:r>
        <w:rPr>
          <w:rStyle w:val="30"/>
          <w:rFonts w:hint="eastAsia"/>
        </w:rPr>
        <w:t xml:space="preserve"> 计费标准</w:t>
      </w:r>
      <w:r>
        <w:tab/>
      </w:r>
      <w:r>
        <w:fldChar w:fldCharType="begin"/>
      </w:r>
      <w:r>
        <w:instrText xml:space="preserve"> PAGEREF _Toc180527469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"_Toc180527470" </w:instrText>
      </w:r>
      <w:r>
        <w:fldChar w:fldCharType="separate"/>
      </w:r>
      <w:r>
        <w:rPr>
          <w:rStyle w:val="30"/>
        </w:rPr>
        <w:t>5.1.2</w:t>
      </w:r>
      <w:r>
        <w:rPr>
          <w:rStyle w:val="30"/>
          <w:rFonts w:hint="eastAsia"/>
        </w:rPr>
        <w:t xml:space="preserve"> 计费方法</w:t>
      </w:r>
      <w:r>
        <w:tab/>
      </w:r>
      <w:r>
        <w:fldChar w:fldCharType="begin"/>
      </w:r>
      <w:r>
        <w:instrText xml:space="preserve"> PAGEREF _Toc180527470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"_Toc180527471" </w:instrText>
      </w:r>
      <w:r>
        <w:fldChar w:fldCharType="separate"/>
      </w:r>
      <w:r>
        <w:rPr>
          <w:rStyle w:val="30"/>
        </w:rPr>
        <w:t>5.1.3</w:t>
      </w:r>
      <w:r>
        <w:rPr>
          <w:rStyle w:val="30"/>
          <w:rFonts w:hint="eastAsia"/>
        </w:rPr>
        <w:t xml:space="preserve"> 计费说明</w:t>
      </w:r>
      <w:r>
        <w:tab/>
      </w:r>
      <w:r>
        <w:fldChar w:fldCharType="begin"/>
      </w:r>
      <w:r>
        <w:instrText xml:space="preserve"> PAGEREF _Toc180527471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"_Toc180527472" </w:instrText>
      </w:r>
      <w:r>
        <w:fldChar w:fldCharType="separate"/>
      </w:r>
      <w:r>
        <w:rPr>
          <w:rStyle w:val="30"/>
          <w14:scene3d>
            <w14:lightRig w14:rig="threePt" w14:dir="t">
              <w14:rot w14:lat="0" w14:lon="0" w14:rev="0"/>
            </w14:lightRig>
          </w14:scene3d>
        </w:rPr>
        <w:t>5.2</w:t>
      </w:r>
      <w:r>
        <w:rPr>
          <w:rStyle w:val="30"/>
          <w:rFonts w:hint="eastAsia"/>
        </w:rPr>
        <w:t xml:space="preserve"> 软件运行维护费</w:t>
      </w:r>
      <w:r>
        <w:tab/>
      </w:r>
      <w:r>
        <w:fldChar w:fldCharType="begin"/>
      </w:r>
      <w:r>
        <w:instrText xml:space="preserve"> PAGEREF _Toc180527472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"_Toc180527473" </w:instrText>
      </w:r>
      <w:r>
        <w:fldChar w:fldCharType="separate"/>
      </w:r>
      <w:r>
        <w:rPr>
          <w:rStyle w:val="30"/>
        </w:rPr>
        <w:t>5.2.1</w:t>
      </w:r>
      <w:r>
        <w:rPr>
          <w:rStyle w:val="30"/>
          <w:rFonts w:hint="eastAsia"/>
        </w:rPr>
        <w:t xml:space="preserve"> 计费标准</w:t>
      </w:r>
      <w:r>
        <w:tab/>
      </w:r>
      <w:r>
        <w:fldChar w:fldCharType="begin"/>
      </w:r>
      <w:r>
        <w:instrText xml:space="preserve"> PAGEREF _Toc180527473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"_Toc180527474" </w:instrText>
      </w:r>
      <w:r>
        <w:fldChar w:fldCharType="separate"/>
      </w:r>
      <w:r>
        <w:rPr>
          <w:rStyle w:val="30"/>
        </w:rPr>
        <w:t>5.2.2</w:t>
      </w:r>
      <w:r>
        <w:rPr>
          <w:rStyle w:val="30"/>
          <w:rFonts w:hint="eastAsia"/>
        </w:rPr>
        <w:t xml:space="preserve"> 计费方法</w:t>
      </w:r>
      <w:r>
        <w:tab/>
      </w:r>
      <w:r>
        <w:fldChar w:fldCharType="begin"/>
      </w:r>
      <w:r>
        <w:instrText xml:space="preserve"> PAGEREF _Toc180527474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"_Toc180527475" </w:instrText>
      </w:r>
      <w:r>
        <w:fldChar w:fldCharType="separate"/>
      </w:r>
      <w:r>
        <w:rPr>
          <w:rStyle w:val="30"/>
        </w:rPr>
        <w:t>5.2.3</w:t>
      </w:r>
      <w:r>
        <w:rPr>
          <w:rStyle w:val="30"/>
          <w:rFonts w:hint="eastAsia"/>
        </w:rPr>
        <w:t xml:space="preserve"> 计费说明</w:t>
      </w:r>
      <w:r>
        <w:tab/>
      </w:r>
      <w:r>
        <w:fldChar w:fldCharType="begin"/>
      </w:r>
      <w:r>
        <w:instrText xml:space="preserve"> PAGEREF _Toc180527475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"_Toc180527476" </w:instrText>
      </w:r>
      <w:r>
        <w:fldChar w:fldCharType="separate"/>
      </w:r>
      <w:r>
        <w:rPr>
          <w:rStyle w:val="30"/>
          <w14:scene3d>
            <w14:lightRig w14:rig="threePt" w14:dir="t">
              <w14:rot w14:lat="0" w14:lon="0" w14:rev="0"/>
            </w14:lightRig>
          </w14:scene3d>
        </w:rPr>
        <w:t>5.3</w:t>
      </w:r>
      <w:r>
        <w:rPr>
          <w:rStyle w:val="30"/>
          <w:rFonts w:hint="eastAsia"/>
        </w:rPr>
        <w:t xml:space="preserve"> 基础环境维护费</w:t>
      </w:r>
      <w:r>
        <w:tab/>
      </w:r>
      <w:r>
        <w:fldChar w:fldCharType="begin"/>
      </w:r>
      <w:r>
        <w:instrText xml:space="preserve"> PAGEREF _Toc180527476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"_Toc180527477" </w:instrText>
      </w:r>
      <w:r>
        <w:fldChar w:fldCharType="separate"/>
      </w:r>
      <w:r>
        <w:rPr>
          <w:rStyle w:val="30"/>
        </w:rPr>
        <w:t>5.3.1</w:t>
      </w:r>
      <w:r>
        <w:rPr>
          <w:rStyle w:val="30"/>
          <w:rFonts w:hint="eastAsia"/>
        </w:rPr>
        <w:t xml:space="preserve"> 计费标准</w:t>
      </w:r>
      <w:r>
        <w:tab/>
      </w:r>
      <w:r>
        <w:fldChar w:fldCharType="begin"/>
      </w:r>
      <w:r>
        <w:instrText xml:space="preserve"> PAGEREF _Toc180527477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"_Toc180527478" </w:instrText>
      </w:r>
      <w:r>
        <w:fldChar w:fldCharType="separate"/>
      </w:r>
      <w:r>
        <w:rPr>
          <w:rStyle w:val="30"/>
        </w:rPr>
        <w:t>5.3.2</w:t>
      </w:r>
      <w:r>
        <w:rPr>
          <w:rStyle w:val="30"/>
          <w:rFonts w:hint="eastAsia"/>
        </w:rPr>
        <w:t xml:space="preserve"> 计费方法</w:t>
      </w:r>
      <w:r>
        <w:tab/>
      </w:r>
      <w:r>
        <w:fldChar w:fldCharType="begin"/>
      </w:r>
      <w:r>
        <w:instrText xml:space="preserve"> PAGEREF _Toc180527478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"_Toc180527479" </w:instrText>
      </w:r>
      <w:r>
        <w:fldChar w:fldCharType="separate"/>
      </w:r>
      <w:r>
        <w:rPr>
          <w:rStyle w:val="30"/>
        </w:rPr>
        <w:t>5.3.3</w:t>
      </w:r>
      <w:r>
        <w:rPr>
          <w:rStyle w:val="30"/>
          <w:rFonts w:hint="eastAsia"/>
        </w:rPr>
        <w:t xml:space="preserve"> 计费说明</w:t>
      </w:r>
      <w:r>
        <w:tab/>
      </w:r>
      <w:r>
        <w:fldChar w:fldCharType="begin"/>
      </w:r>
      <w:r>
        <w:instrText xml:space="preserve"> PAGEREF _Toc180527479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"_Toc180527480" </w:instrText>
      </w:r>
      <w:r>
        <w:fldChar w:fldCharType="separate"/>
      </w:r>
      <w:r>
        <w:rPr>
          <w:rStyle w:val="30"/>
          <w14:scene3d>
            <w14:lightRig w14:rig="threePt" w14:dir="t">
              <w14:rot w14:lat="0" w14:lon="0" w14:rev="0"/>
            </w14:lightRig>
          </w14:scene3d>
        </w:rPr>
        <w:t>5.4</w:t>
      </w:r>
      <w:r>
        <w:rPr>
          <w:rStyle w:val="30"/>
          <w:rFonts w:hint="eastAsia"/>
        </w:rPr>
        <w:t xml:space="preserve"> 系统运营费</w:t>
      </w:r>
      <w:r>
        <w:tab/>
      </w:r>
      <w:r>
        <w:fldChar w:fldCharType="begin"/>
      </w:r>
      <w:r>
        <w:instrText xml:space="preserve"> PAGEREF _Toc180527480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"_Toc180527481" </w:instrText>
      </w:r>
      <w:r>
        <w:fldChar w:fldCharType="separate"/>
      </w:r>
      <w:r>
        <w:rPr>
          <w:rStyle w:val="30"/>
        </w:rPr>
        <w:t>5.4.1</w:t>
      </w:r>
      <w:r>
        <w:rPr>
          <w:rStyle w:val="30"/>
          <w:rFonts w:hint="eastAsia"/>
        </w:rPr>
        <w:t xml:space="preserve"> 计费标准</w:t>
      </w:r>
      <w:r>
        <w:tab/>
      </w:r>
      <w:r>
        <w:fldChar w:fldCharType="begin"/>
      </w:r>
      <w:r>
        <w:instrText xml:space="preserve"> PAGEREF _Toc180527481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"_Toc180527482" </w:instrText>
      </w:r>
      <w:r>
        <w:fldChar w:fldCharType="separate"/>
      </w:r>
      <w:r>
        <w:rPr>
          <w:rStyle w:val="30"/>
        </w:rPr>
        <w:t>5.4.2</w:t>
      </w:r>
      <w:r>
        <w:rPr>
          <w:rStyle w:val="30"/>
          <w:rFonts w:hint="eastAsia"/>
        </w:rPr>
        <w:t xml:space="preserve"> 计费方法</w:t>
      </w:r>
      <w:r>
        <w:tab/>
      </w:r>
      <w:r>
        <w:fldChar w:fldCharType="begin"/>
      </w:r>
      <w:r>
        <w:instrText xml:space="preserve"> PAGEREF _Toc180527482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"_Toc180527483" </w:instrText>
      </w:r>
      <w:r>
        <w:fldChar w:fldCharType="separate"/>
      </w:r>
      <w:r>
        <w:rPr>
          <w:rStyle w:val="30"/>
        </w:rPr>
        <w:t>5.4.3</w:t>
      </w:r>
      <w:r>
        <w:rPr>
          <w:rStyle w:val="30"/>
          <w:rFonts w:hint="eastAsia"/>
        </w:rPr>
        <w:t xml:space="preserve"> 计费说明</w:t>
      </w:r>
      <w:r>
        <w:tab/>
      </w:r>
      <w:r>
        <w:fldChar w:fldCharType="begin"/>
      </w:r>
      <w:r>
        <w:instrText xml:space="preserve"> PAGEREF _Toc180527483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"_Toc180527484" </w:instrText>
      </w:r>
      <w:r>
        <w:fldChar w:fldCharType="separate"/>
      </w:r>
      <w:r>
        <w:rPr>
          <w:rStyle w:val="30"/>
          <w14:scene3d>
            <w14:lightRig w14:rig="threePt" w14:dir="t">
              <w14:rot w14:lat="0" w14:lon="0" w14:rev="0"/>
            </w14:lightRig>
          </w14:scene3d>
        </w:rPr>
        <w:t>5.5</w:t>
      </w:r>
      <w:r>
        <w:rPr>
          <w:rStyle w:val="30"/>
          <w:rFonts w:hint="eastAsia"/>
        </w:rPr>
        <w:t xml:space="preserve"> 安全运维费</w:t>
      </w:r>
      <w:r>
        <w:tab/>
      </w:r>
      <w:r>
        <w:fldChar w:fldCharType="begin"/>
      </w:r>
      <w:r>
        <w:instrText xml:space="preserve"> PAGEREF _Toc180527484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"_Toc180527485" </w:instrText>
      </w:r>
      <w:r>
        <w:fldChar w:fldCharType="separate"/>
      </w:r>
      <w:r>
        <w:rPr>
          <w:rStyle w:val="30"/>
        </w:rPr>
        <w:t>5.5.1</w:t>
      </w:r>
      <w:r>
        <w:rPr>
          <w:rStyle w:val="30"/>
          <w:rFonts w:hint="eastAsia"/>
        </w:rPr>
        <w:t xml:space="preserve"> 代码审计</w:t>
      </w:r>
      <w:r>
        <w:tab/>
      </w:r>
      <w:r>
        <w:fldChar w:fldCharType="begin"/>
      </w:r>
      <w:r>
        <w:instrText xml:space="preserve"> PAGEREF _Toc180527485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"_Toc180527486" </w:instrText>
      </w:r>
      <w:r>
        <w:fldChar w:fldCharType="separate"/>
      </w:r>
      <w:r>
        <w:rPr>
          <w:rStyle w:val="30"/>
        </w:rPr>
        <w:t>5.5.2</w:t>
      </w:r>
      <w:r>
        <w:rPr>
          <w:rStyle w:val="30"/>
          <w:rFonts w:hint="eastAsia"/>
        </w:rPr>
        <w:t xml:space="preserve"> 渗透测试</w:t>
      </w:r>
      <w:r>
        <w:tab/>
      </w:r>
      <w:r>
        <w:fldChar w:fldCharType="begin"/>
      </w:r>
      <w:r>
        <w:instrText xml:space="preserve"> PAGEREF _Toc180527486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"_Toc180527487" </w:instrText>
      </w:r>
      <w:r>
        <w:fldChar w:fldCharType="separate"/>
      </w:r>
      <w:r>
        <w:rPr>
          <w:rStyle w:val="30"/>
        </w:rPr>
        <w:t>5.5.3</w:t>
      </w:r>
      <w:r>
        <w:rPr>
          <w:rStyle w:val="30"/>
          <w:rFonts w:hint="eastAsia"/>
        </w:rPr>
        <w:t xml:space="preserve"> 安全巡检</w:t>
      </w:r>
      <w:r>
        <w:tab/>
      </w:r>
      <w:r>
        <w:fldChar w:fldCharType="begin"/>
      </w:r>
      <w:r>
        <w:instrText xml:space="preserve"> PAGEREF _Toc180527487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"_Toc180527488" </w:instrText>
      </w:r>
      <w:r>
        <w:fldChar w:fldCharType="separate"/>
      </w:r>
      <w:r>
        <w:rPr>
          <w:rStyle w:val="30"/>
        </w:rPr>
        <w:t>5.5.4</w:t>
      </w:r>
      <w:r>
        <w:rPr>
          <w:rStyle w:val="30"/>
          <w:rFonts w:hint="eastAsia"/>
        </w:rPr>
        <w:t xml:space="preserve"> 安全加固</w:t>
      </w:r>
      <w:r>
        <w:tab/>
      </w:r>
      <w:r>
        <w:fldChar w:fldCharType="begin"/>
      </w:r>
      <w:r>
        <w:instrText xml:space="preserve"> PAGEREF _Toc180527488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"_Toc180527489" </w:instrText>
      </w:r>
      <w:r>
        <w:fldChar w:fldCharType="separate"/>
      </w:r>
      <w:r>
        <w:rPr>
          <w:rStyle w:val="30"/>
        </w:rPr>
        <w:t>5.5.5</w:t>
      </w:r>
      <w:r>
        <w:rPr>
          <w:rStyle w:val="30"/>
          <w:rFonts w:hint="eastAsia"/>
        </w:rPr>
        <w:t xml:space="preserve"> 应急响应</w:t>
      </w:r>
      <w:r>
        <w:tab/>
      </w:r>
      <w:r>
        <w:fldChar w:fldCharType="begin"/>
      </w:r>
      <w:r>
        <w:instrText xml:space="preserve"> PAGEREF _Toc180527489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"_Toc180527490" </w:instrText>
      </w:r>
      <w:r>
        <w:fldChar w:fldCharType="separate"/>
      </w:r>
      <w:r>
        <w:rPr>
          <w:rStyle w:val="30"/>
        </w:rPr>
        <w:t>5.5.6</w:t>
      </w:r>
      <w:r>
        <w:rPr>
          <w:rStyle w:val="30"/>
          <w:rFonts w:hint="eastAsia"/>
        </w:rPr>
        <w:t xml:space="preserve"> 安全审计</w:t>
      </w:r>
      <w:r>
        <w:tab/>
      </w:r>
      <w:r>
        <w:fldChar w:fldCharType="begin"/>
      </w:r>
      <w:r>
        <w:instrText xml:space="preserve"> PAGEREF _Toc180527490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"_Toc180527491" </w:instrText>
      </w:r>
      <w:r>
        <w:fldChar w:fldCharType="separate"/>
      </w:r>
      <w:r>
        <w:rPr>
          <w:rStyle w:val="30"/>
        </w:rPr>
        <w:t>5.5.7</w:t>
      </w:r>
      <w:r>
        <w:rPr>
          <w:rStyle w:val="30"/>
          <w:rFonts w:hint="eastAsia"/>
        </w:rPr>
        <w:t xml:space="preserve"> 安全监测</w:t>
      </w:r>
      <w:r>
        <w:tab/>
      </w:r>
      <w:r>
        <w:fldChar w:fldCharType="begin"/>
      </w:r>
      <w:r>
        <w:instrText xml:space="preserve"> PAGEREF _Toc180527491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"_Toc180527492" </w:instrText>
      </w:r>
      <w:r>
        <w:fldChar w:fldCharType="separate"/>
      </w:r>
      <w:r>
        <w:rPr>
          <w:rStyle w:val="30"/>
        </w:rPr>
        <w:t>5.5.8</w:t>
      </w:r>
      <w:r>
        <w:rPr>
          <w:rStyle w:val="30"/>
          <w:rFonts w:hint="eastAsia"/>
        </w:rPr>
        <w:t xml:space="preserve"> 攻防演练</w:t>
      </w:r>
      <w:r>
        <w:tab/>
      </w:r>
      <w:r>
        <w:fldChar w:fldCharType="begin"/>
      </w:r>
      <w:r>
        <w:instrText xml:space="preserve"> PAGEREF _Toc180527492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"_Toc180527493" </w:instrText>
      </w:r>
      <w:r>
        <w:fldChar w:fldCharType="separate"/>
      </w:r>
      <w:r>
        <w:rPr>
          <w:rStyle w:val="30"/>
        </w:rPr>
        <w:t>5.5.9</w:t>
      </w:r>
      <w:r>
        <w:rPr>
          <w:rStyle w:val="30"/>
          <w:rFonts w:hint="eastAsia"/>
        </w:rPr>
        <w:t xml:space="preserve"> 重点时期网络安全保障服务</w:t>
      </w:r>
      <w:r>
        <w:tab/>
      </w:r>
      <w:r>
        <w:fldChar w:fldCharType="begin"/>
      </w:r>
      <w:r>
        <w:instrText xml:space="preserve"> PAGEREF _Toc180527493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"_Toc180527494" </w:instrText>
      </w:r>
      <w:r>
        <w:fldChar w:fldCharType="separate"/>
      </w:r>
      <w:r>
        <w:rPr>
          <w:rStyle w:val="30"/>
        </w:rPr>
        <w:t>5.5.10</w:t>
      </w:r>
      <w:r>
        <w:rPr>
          <w:rStyle w:val="30"/>
          <w:rFonts w:hint="eastAsia"/>
        </w:rPr>
        <w:t xml:space="preserve"> 安全培训</w:t>
      </w:r>
      <w:r>
        <w:tab/>
      </w:r>
      <w:r>
        <w:fldChar w:fldCharType="begin"/>
      </w:r>
      <w:r>
        <w:instrText xml:space="preserve"> PAGEREF _Toc180527494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"_Toc180527495" </w:instrText>
      </w:r>
      <w:r>
        <w:fldChar w:fldCharType="separate"/>
      </w:r>
      <w:r>
        <w:rPr>
          <w:rStyle w:val="30"/>
        </w:rPr>
        <w:t>5.5.11</w:t>
      </w:r>
      <w:r>
        <w:rPr>
          <w:rStyle w:val="30"/>
          <w:rFonts w:hint="eastAsia"/>
        </w:rPr>
        <w:t xml:space="preserve"> 安全咨询</w:t>
      </w:r>
      <w:r>
        <w:tab/>
      </w:r>
      <w:r>
        <w:fldChar w:fldCharType="begin"/>
      </w:r>
      <w:r>
        <w:instrText xml:space="preserve"> PAGEREF _Toc180527495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"_Toc180527496" </w:instrText>
      </w:r>
      <w:r>
        <w:fldChar w:fldCharType="separate"/>
      </w:r>
      <w:r>
        <w:rPr>
          <w:rStyle w:val="30"/>
          <w:rFonts w:hint="eastAsia"/>
          <w:spacing w:val="100"/>
        </w:rPr>
        <w:t>附录A</w:t>
      </w:r>
      <w:r>
        <w:rPr>
          <w:rStyle w:val="30"/>
          <w:rFonts w:hint="eastAsia"/>
        </w:rPr>
        <w:t xml:space="preserve"> （规范性）</w:t>
      </w:r>
      <w:r>
        <w:rPr>
          <w:rStyle w:val="30"/>
        </w:rPr>
        <w:t xml:space="preserve"> </w:t>
      </w:r>
      <w:r>
        <w:rPr>
          <w:rStyle w:val="30"/>
          <w:rFonts w:hint="eastAsia"/>
        </w:rPr>
        <w:t>人工费用指导价格表（分职业）</w:t>
      </w:r>
      <w:r>
        <w:tab/>
      </w:r>
      <w:r>
        <w:fldChar w:fldCharType="begin"/>
      </w:r>
      <w:r>
        <w:instrText xml:space="preserve"> PAGEREF _Toc180527496 \h </w:instrText>
      </w:r>
      <w:r>
        <w:fldChar w:fldCharType="separate"/>
      </w:r>
      <w:r>
        <w:t>14</w:t>
      </w:r>
      <w:r>
        <w:fldChar w:fldCharType="end"/>
      </w:r>
      <w:r>
        <w:fldChar w:fldCharType="end"/>
      </w:r>
    </w:p>
    <w:p>
      <w:pPr>
        <w:pStyle w:val="91"/>
        <w:spacing w:after="468"/>
        <w:sectPr>
          <w:headerReference r:id="rId7" w:type="default"/>
          <w:footerReference r:id="rId9" w:type="default"/>
          <w:headerReference r:id="rId8"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180527460"/>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w:t>
      </w:r>
      <w:r>
        <w:t>本文件的某些内容</w:t>
      </w:r>
      <w:r>
        <w:rPr>
          <w:rFonts w:hint="eastAsia"/>
        </w:rPr>
        <w:t>可能</w:t>
      </w:r>
      <w:r>
        <w:t>涉及专利。</w:t>
      </w:r>
      <w:r>
        <w:rPr>
          <w:rFonts w:hint="eastAsia"/>
        </w:rPr>
        <w:t>本文件的发布</w:t>
      </w:r>
      <w:r>
        <w:t>机构不承担识别专利的责任。</w:t>
      </w:r>
    </w:p>
    <w:p>
      <w:pPr>
        <w:pStyle w:val="56"/>
        <w:ind w:firstLine="420"/>
      </w:pPr>
      <w:r>
        <w:rPr>
          <w:rFonts w:hint="eastAsia"/>
        </w:rPr>
        <w:t>本文件由湖南省</w:t>
      </w:r>
      <w:r>
        <w:rPr>
          <w:rFonts w:hint="eastAsia"/>
          <w:lang w:val="en-US" w:eastAsia="zh-CN"/>
        </w:rPr>
        <w:t>工业和信息化</w:t>
      </w:r>
      <w:r>
        <w:rPr>
          <w:rFonts w:hint="eastAsia"/>
        </w:rPr>
        <w:t>厅提出并</w:t>
      </w:r>
      <w:r>
        <w:t>归口</w:t>
      </w:r>
      <w:r>
        <w:rPr>
          <w:rFonts w:hint="eastAsia"/>
        </w:rPr>
        <w:t>。</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23"/>
    <w:p>
      <w:pPr>
        <w:pStyle w:val="89"/>
        <w:spacing w:after="468"/>
      </w:pPr>
      <w:bookmarkStart w:id="24" w:name="_Toc180527461"/>
      <w:bookmarkStart w:id="25" w:name="BookMark3"/>
      <w:r>
        <w:rPr>
          <w:spacing w:val="320"/>
        </w:rPr>
        <w:t>引</w:t>
      </w:r>
      <w:r>
        <w:t>言</w:t>
      </w:r>
      <w:bookmarkEnd w:id="24"/>
    </w:p>
    <w:p>
      <w:pPr>
        <w:pStyle w:val="56"/>
        <w:ind w:firstLine="420"/>
      </w:pPr>
      <w:r>
        <w:rPr>
          <w:rFonts w:hint="eastAsia"/>
        </w:rPr>
        <w:t>本规范以促进湖南省高速公路行业软件及信息化产业高质量发展为理念进行编制。</w:t>
      </w:r>
    </w:p>
    <w:p>
      <w:pPr>
        <w:pStyle w:val="56"/>
        <w:ind w:firstLine="420"/>
      </w:pPr>
      <w:r>
        <w:rPr>
          <w:rFonts w:hint="eastAsia"/>
        </w:rPr>
        <w:t>本规范在依据工信部《电子建设工程概（预）算编制办法及计价依据（HYD-2015）》和《GB/T 28827.1-2022 信息技术服务 运行维护 第1部分：通用要求》、国内外信息系统运维费用测算标准等行业标准和规范的基础上，贯彻国家和省市最新政策、相关规范等，把握行业发展趋势，结合国内和本省软件及信息化工程咨询、造价评估机构的软件及信息化项目与运维造价咨询服务实操案例进行总结、改进，从运行维护的服务能力管理入手，针对运维服务成本的造价提出了相关规范，力图使本标准更具规范性、系统性和操作性。</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C6909EE2957F4AB3A3A7C94846709E5E"/>
        </w:placeholder>
      </w:sdtPr>
      <w:sdtContent>
        <w:p>
          <w:pPr>
            <w:pStyle w:val="177"/>
            <w:spacing w:before="567" w:beforeLines="182" w:after="686" w:afterLines="220"/>
          </w:pPr>
          <w:bookmarkStart w:id="27" w:name="NEW_STAND_NAME"/>
          <w:r>
            <w:rPr>
              <w:rFonts w:hint="eastAsia"/>
            </w:rPr>
            <w:t>高速公路行业信息化项目运维成本度量规范</w:t>
          </w:r>
        </w:p>
      </w:sdtContent>
    </w:sdt>
    <w:bookmarkEnd w:id="27"/>
    <w:p>
      <w:pPr>
        <w:pStyle w:val="104"/>
        <w:spacing w:before="312" w:after="312"/>
      </w:pPr>
      <w:bookmarkStart w:id="28" w:name="_Toc26986771"/>
      <w:bookmarkStart w:id="29" w:name="_Toc24884218"/>
      <w:bookmarkStart w:id="30" w:name="_Toc17233333"/>
      <w:bookmarkStart w:id="31" w:name="_Toc26986530"/>
      <w:bookmarkStart w:id="32" w:name="_Toc26648465"/>
      <w:bookmarkStart w:id="33" w:name="_Toc180527462"/>
      <w:bookmarkStart w:id="34" w:name="_Toc26718930"/>
      <w:bookmarkStart w:id="35" w:name="_Toc17233325"/>
      <w:bookmarkStart w:id="36" w:name="_Toc24884211"/>
      <w:r>
        <w:rPr>
          <w:rFonts w:hint="eastAsia"/>
        </w:rPr>
        <w:t>范围</w:t>
      </w:r>
      <w:bookmarkEnd w:id="28"/>
      <w:bookmarkEnd w:id="29"/>
      <w:bookmarkEnd w:id="30"/>
      <w:bookmarkEnd w:id="31"/>
      <w:bookmarkEnd w:id="32"/>
      <w:bookmarkEnd w:id="33"/>
      <w:bookmarkEnd w:id="34"/>
      <w:bookmarkEnd w:id="35"/>
      <w:bookmarkEnd w:id="36"/>
    </w:p>
    <w:p>
      <w:pPr>
        <w:pStyle w:val="56"/>
        <w:ind w:firstLine="420"/>
      </w:pPr>
      <w:bookmarkStart w:id="37" w:name="_Toc24884212"/>
      <w:bookmarkStart w:id="38" w:name="_Toc17233326"/>
      <w:bookmarkStart w:id="39" w:name="_Toc26648466"/>
      <w:bookmarkStart w:id="40" w:name="_Toc17233334"/>
      <w:bookmarkStart w:id="41" w:name="_Toc24884219"/>
      <w:r>
        <w:rPr>
          <w:rFonts w:hint="eastAsia"/>
        </w:rPr>
        <w:t>本</w:t>
      </w:r>
      <w:r>
        <w:rPr>
          <w:rFonts w:hint="eastAsia"/>
          <w:lang w:eastAsia="zh-CN"/>
        </w:rPr>
        <w:t>文件</w:t>
      </w:r>
      <w:r>
        <w:rPr>
          <w:rFonts w:hint="eastAsia"/>
        </w:rPr>
        <w:t>规定了湖南省高速公路行业信息化项目运维成本度量方法及过程，包括工硬件与逆行维护、软件运行维护、基础环境维护、系统运营、安全运维等的成本度量方法及过程。</w:t>
      </w:r>
    </w:p>
    <w:p>
      <w:pPr>
        <w:pStyle w:val="56"/>
        <w:ind w:firstLine="420"/>
      </w:pPr>
      <w:r>
        <w:rPr>
          <w:rFonts w:hint="eastAsia"/>
        </w:rPr>
        <w:t>本</w:t>
      </w:r>
      <w:r>
        <w:rPr>
          <w:rFonts w:hint="eastAsia"/>
          <w:lang w:eastAsia="zh-CN"/>
        </w:rPr>
        <w:t>文件</w:t>
      </w:r>
      <w:r>
        <w:rPr>
          <w:rFonts w:hint="eastAsia"/>
        </w:rPr>
        <w:t>适用于湖南省高速公路行业信息系统运维服务，包括硬件、软件、基础环境、安全等运维。</w:t>
      </w:r>
    </w:p>
    <w:p>
      <w:pPr>
        <w:pStyle w:val="104"/>
        <w:spacing w:before="312" w:after="312"/>
      </w:pPr>
      <w:bookmarkStart w:id="42" w:name="_Toc26718931"/>
      <w:bookmarkStart w:id="43" w:name="_Toc26986772"/>
      <w:bookmarkStart w:id="44" w:name="_Toc26986531"/>
      <w:bookmarkStart w:id="45" w:name="_Toc180527463"/>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323AECE699174D6FBD513F793AA9A2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28827.1-2022 信息技术服务 运行维护 第1部分：通用要求</w:t>
      </w:r>
    </w:p>
    <w:p>
      <w:pPr>
        <w:pStyle w:val="56"/>
        <w:ind w:firstLine="420"/>
      </w:pPr>
      <w:r>
        <w:rPr>
          <w:rFonts w:hint="eastAsia"/>
        </w:rPr>
        <w:t>GB/T 28827.2-2012</w:t>
      </w:r>
      <w:r>
        <w:t xml:space="preserve"> </w:t>
      </w:r>
      <w:r>
        <w:rPr>
          <w:rFonts w:hint="eastAsia"/>
        </w:rPr>
        <w:t>信息技术服务 运行维护 第2部分：交付规范</w:t>
      </w:r>
    </w:p>
    <w:p>
      <w:pPr>
        <w:pStyle w:val="56"/>
        <w:ind w:firstLine="420"/>
      </w:pPr>
      <w:r>
        <w:rPr>
          <w:rFonts w:hint="eastAsia"/>
        </w:rPr>
        <w:t>GB/T 28827.3-2012 信息技术服务 运行维护 第3部分：应急响应规范</w:t>
      </w:r>
    </w:p>
    <w:p>
      <w:pPr>
        <w:pStyle w:val="56"/>
        <w:ind w:firstLine="420"/>
      </w:pPr>
      <w:r>
        <w:rPr>
          <w:rFonts w:hint="eastAsia"/>
        </w:rPr>
        <w:t>GB/T 28827.4-2019 信息技术服务 运行维护 第4部分：数据中心服务要求</w:t>
      </w:r>
    </w:p>
    <w:p>
      <w:pPr>
        <w:pStyle w:val="56"/>
        <w:ind w:firstLine="420"/>
      </w:pPr>
      <w:r>
        <w:rPr>
          <w:rFonts w:hint="eastAsia"/>
        </w:rPr>
        <w:t>GB/T 28827.6-2019 信息技术服务 运行维护 第6部分：应用系统服务要求</w:t>
      </w:r>
    </w:p>
    <w:p>
      <w:pPr>
        <w:pStyle w:val="56"/>
        <w:ind w:firstLine="420"/>
      </w:pPr>
      <w:r>
        <w:rPr>
          <w:rFonts w:hint="eastAsia"/>
        </w:rPr>
        <w:t>GB/T 28827.7-2022 信息技术服务 运行维护 第7部分：成本度量规范</w:t>
      </w:r>
    </w:p>
    <w:p>
      <w:pPr>
        <w:pStyle w:val="56"/>
        <w:ind w:firstLine="420"/>
      </w:pPr>
      <w:r>
        <w:rPr>
          <w:rFonts w:hint="eastAsia"/>
        </w:rPr>
        <w:t>GB/T 29264-2012 信息技术服务 分类与代码</w:t>
      </w:r>
    </w:p>
    <w:p>
      <w:pPr>
        <w:pStyle w:val="56"/>
        <w:ind w:firstLine="420"/>
      </w:pPr>
      <w:r>
        <w:rPr>
          <w:rFonts w:hint="eastAsia"/>
        </w:rPr>
        <w:t>GB/T 36626-2018</w:t>
      </w:r>
      <w:r>
        <w:rPr>
          <w:rFonts w:hint="eastAsia"/>
        </w:rPr>
        <w:tab/>
      </w:r>
      <w:r>
        <w:rPr>
          <w:rFonts w:hint="eastAsia"/>
        </w:rPr>
        <w:t>信息安全技术 信息系统安全运维管理指南</w:t>
      </w:r>
    </w:p>
    <w:p>
      <w:pPr>
        <w:pStyle w:val="56"/>
        <w:ind w:firstLine="420"/>
      </w:pPr>
      <w:r>
        <w:rPr>
          <w:rFonts w:hint="eastAsia"/>
        </w:rPr>
        <w:t>GB/T 38633-2020</w:t>
      </w:r>
      <w:r>
        <w:rPr>
          <w:rFonts w:hint="eastAsia"/>
        </w:rPr>
        <w:tab/>
      </w:r>
      <w:r>
        <w:rPr>
          <w:rFonts w:hint="eastAsia"/>
        </w:rPr>
        <w:t>信息技术 大数据 系统运维和管理功能要求</w:t>
      </w:r>
    </w:p>
    <w:p>
      <w:pPr>
        <w:pStyle w:val="56"/>
        <w:ind w:firstLine="420"/>
      </w:pPr>
      <w:r>
        <w:rPr>
          <w:rFonts w:hint="eastAsia"/>
        </w:rPr>
        <w:t>GB/T 39837-2021</w:t>
      </w:r>
      <w:r>
        <w:rPr>
          <w:rFonts w:hint="eastAsia"/>
        </w:rPr>
        <w:tab/>
      </w:r>
      <w:r>
        <w:rPr>
          <w:rFonts w:hint="eastAsia"/>
        </w:rPr>
        <w:t>信息技术 远程运维 技术参考模型</w:t>
      </w:r>
    </w:p>
    <w:p>
      <w:pPr>
        <w:pStyle w:val="56"/>
        <w:ind w:firstLine="420"/>
      </w:pPr>
      <w:r>
        <w:rPr>
          <w:rFonts w:hint="eastAsia"/>
        </w:rPr>
        <w:t>GB/T 42560-2023 系统与软件工程 开发运维一体化 能力成熟度模型</w:t>
      </w:r>
    </w:p>
    <w:p>
      <w:pPr>
        <w:pStyle w:val="56"/>
        <w:ind w:firstLine="420"/>
      </w:pPr>
      <w:r>
        <w:rPr>
          <w:rFonts w:hint="eastAsia"/>
        </w:rPr>
        <w:t>GB/T 43208.1-2023</w:t>
      </w:r>
      <w:r>
        <w:t xml:space="preserve"> </w:t>
      </w:r>
      <w:r>
        <w:rPr>
          <w:rFonts w:hint="eastAsia"/>
        </w:rPr>
        <w:t>信息技术服务 智能运维 第1部分：通用要求</w:t>
      </w:r>
    </w:p>
    <w:p>
      <w:pPr>
        <w:pStyle w:val="56"/>
        <w:ind w:firstLine="420"/>
      </w:pPr>
      <w:r>
        <w:rPr>
          <w:rFonts w:hint="eastAsia"/>
        </w:rPr>
        <w:t>HYD-2015</w:t>
      </w:r>
      <w:r>
        <w:t xml:space="preserve"> </w:t>
      </w:r>
      <w:r>
        <w:rPr>
          <w:rFonts w:hint="eastAsia"/>
        </w:rPr>
        <w:t>电子建设工程概（预）算编制办法及计价依据</w:t>
      </w:r>
    </w:p>
    <w:p>
      <w:pPr>
        <w:pStyle w:val="56"/>
        <w:ind w:firstLine="420"/>
      </w:pPr>
      <w:r>
        <w:rPr>
          <w:rFonts w:hint="eastAsia"/>
        </w:rPr>
        <w:t>湖南省省直单位政务信息系统项目概算编制与评审工作指南（试行）（2022年版）</w:t>
      </w:r>
    </w:p>
    <w:p>
      <w:pPr>
        <w:pStyle w:val="56"/>
        <w:ind w:firstLine="420"/>
      </w:pPr>
      <w:r>
        <w:rPr>
          <w:rFonts w:hint="eastAsia"/>
        </w:rPr>
        <w:t>长沙市财政评审中心政府投资建设信息化项目评审指南 （长财评综〔2023〕12号）</w:t>
      </w:r>
    </w:p>
    <w:p>
      <w:pPr>
        <w:pStyle w:val="56"/>
        <w:ind w:firstLine="420"/>
      </w:pPr>
      <w:r>
        <w:rPr>
          <w:rFonts w:hint="eastAsia"/>
        </w:rPr>
        <w:t>湖南省高速公路集团有限公司造价管理制度</w:t>
      </w:r>
    </w:p>
    <w:p>
      <w:pPr>
        <w:pStyle w:val="56"/>
        <w:ind w:firstLine="420"/>
      </w:pPr>
      <w:r>
        <w:rPr>
          <w:rFonts w:hint="eastAsia"/>
        </w:rPr>
        <w:t>湖南省高速公路集团有限公司信息化项目过程管理规范</w:t>
      </w:r>
    </w:p>
    <w:p>
      <w:pPr>
        <w:pStyle w:val="56"/>
        <w:ind w:firstLine="420"/>
      </w:pPr>
      <w:r>
        <w:rPr>
          <w:rFonts w:hint="eastAsia"/>
        </w:rPr>
        <w:t>湖南省高速公路集团有限公司日常管理类造价管控指标</w:t>
      </w:r>
    </w:p>
    <w:p>
      <w:pPr>
        <w:pStyle w:val="56"/>
        <w:ind w:firstLine="420"/>
      </w:pPr>
      <w:r>
        <w:rPr>
          <w:rFonts w:hint="eastAsia"/>
        </w:rPr>
        <w:t>湖南省高速公路集团有限公司公路工程建设项目造价管理办法</w:t>
      </w:r>
    </w:p>
    <w:p>
      <w:pPr>
        <w:pStyle w:val="104"/>
        <w:spacing w:before="312" w:after="312"/>
      </w:pPr>
      <w:bookmarkStart w:id="46" w:name="_Toc180527464"/>
      <w:r>
        <w:rPr>
          <w:rFonts w:hint="eastAsia"/>
          <w:szCs w:val="21"/>
        </w:rPr>
        <w:t>术语和定义</w:t>
      </w:r>
      <w:bookmarkEnd w:id="46"/>
    </w:p>
    <w:sdt>
      <w:sdtPr>
        <w:id w:val="-1909835108"/>
        <w:placeholder>
          <w:docPart w:val="5666158C519E43278C2187F2C5EA6B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t>下列术语和定义适用于本文件。</w:t>
          </w:r>
        </w:p>
      </w:sdtContent>
    </w:sdt>
    <w:p>
      <w:pPr>
        <w:pStyle w:val="105"/>
        <w:spacing w:before="156" w:after="156"/>
        <w:rPr>
          <w:rFonts w:hint="eastAsia" w:ascii="黑体" w:hAnsi="Times New Roman" w:eastAsia="黑体" w:cs="Times New Roman"/>
          <w:sz w:val="21"/>
          <w:szCs w:val="22"/>
          <w:lang w:val="en-US" w:eastAsia="zh-CN" w:bidi="ar-SA"/>
        </w:rPr>
      </w:pPr>
      <w:r>
        <w:rPr>
          <w:rFonts w:hAnsi="黑体"/>
        </w:rPr>
        <w:br w:type="textWrapping"/>
      </w:r>
      <w:bookmarkStart w:id="48" w:name="_Toc180527465"/>
      <w:r>
        <w:rPr>
          <w:rFonts w:hint="eastAsia" w:hAnsi="黑体"/>
          <w:lang w:val="en-US" w:eastAsia="zh-CN"/>
        </w:rPr>
        <w:t xml:space="preserve">   </w:t>
      </w:r>
      <w:bookmarkStart w:id="49" w:name="OLE_LINK1"/>
      <w:r>
        <w:rPr>
          <w:rFonts w:hint="eastAsia" w:hAnsi="黑体"/>
        </w:rPr>
        <w:t>信息化项目运维费</w:t>
      </w:r>
      <w:bookmarkEnd w:id="48"/>
      <w:bookmarkEnd w:id="49"/>
      <w:r>
        <w:rPr>
          <w:rFonts w:hint="eastAsia" w:hAnsi="黑体"/>
          <w:lang w:val="en-US" w:eastAsia="zh-CN"/>
        </w:rPr>
        <w:t xml:space="preserve"> </w:t>
      </w:r>
      <w:r>
        <w:rPr>
          <w:rFonts w:hint="eastAsia" w:ascii="黑体" w:hAnsi="Times New Roman" w:eastAsia="黑体" w:cs="Times New Roman"/>
          <w:sz w:val="21"/>
          <w:szCs w:val="22"/>
          <w:lang w:val="en-US" w:eastAsia="zh-CN" w:bidi="ar-SA"/>
        </w:rPr>
        <w:t xml:space="preserve"> Information technology project operation and maintenance fee</w:t>
      </w:r>
    </w:p>
    <w:p>
      <w:pPr>
        <w:pStyle w:val="56"/>
        <w:ind w:firstLine="420"/>
      </w:pPr>
      <w:r>
        <w:rPr>
          <w:rFonts w:hint="eastAsia"/>
        </w:rPr>
        <w:t>指为保障系统安全、稳定、高效运行而发生的一系列直接相关的费用，分为硬件运行维护费、软件运行维护费、基础环境运行维护费、系统运营费、安全运维费等。</w:t>
      </w:r>
    </w:p>
    <w:p>
      <w:pPr>
        <w:pStyle w:val="104"/>
        <w:spacing w:before="312" w:after="312"/>
      </w:pPr>
      <w:bookmarkStart w:id="50" w:name="_Toc180527466"/>
      <w:r>
        <w:rPr>
          <w:rFonts w:hint="eastAsia"/>
        </w:rPr>
        <w:t>信息化项目运维费的组成</w:t>
      </w:r>
      <w:bookmarkEnd w:id="50"/>
      <w:bookmarkStart w:id="82" w:name="_GoBack"/>
      <w:bookmarkEnd w:id="82"/>
    </w:p>
    <w:p>
      <w:pPr>
        <w:pStyle w:val="56"/>
        <w:ind w:firstLine="420"/>
      </w:pPr>
      <w:r>
        <w:rPr>
          <w:rFonts w:hint="eastAsia"/>
        </w:rPr>
        <w:t>信息系统运维组成见表1。</w:t>
      </w:r>
    </w:p>
    <w:p>
      <w:pPr>
        <w:pStyle w:val="112"/>
        <w:spacing w:before="156" w:after="156"/>
      </w:pPr>
      <w:r>
        <w:rPr>
          <w:rFonts w:hint="eastAsia"/>
        </w:rPr>
        <w:t>信息化项目运维费用组成表</w:t>
      </w:r>
    </w:p>
    <w:tbl>
      <w:tblPr>
        <w:tblStyle w:val="230"/>
        <w:tblW w:w="6677"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990"/>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73" w:hRule="atLeast"/>
        </w:trPr>
        <w:tc>
          <w:tcPr>
            <w:tcW w:w="1844" w:type="dxa"/>
            <w:vMerge w:val="restart"/>
            <w:tcBorders>
              <w:top w:val="single" w:color="000000" w:sz="4" w:space="0"/>
              <w:left w:val="single" w:color="000000" w:sz="4" w:space="0"/>
              <w:right w:val="single" w:color="000000" w:sz="4" w:space="0"/>
            </w:tcBorders>
            <w:vAlign w:val="center"/>
          </w:tcPr>
          <w:p>
            <w:pPr>
              <w:spacing w:line="240" w:lineRule="auto"/>
              <w:ind w:right="113"/>
              <w:jc w:val="center"/>
              <w:rPr>
                <w:rFonts w:ascii="宋体" w:hAnsi="宋体" w:eastAsia="Times New Roman"/>
                <w:kern w:val="21"/>
                <w:sz w:val="18"/>
                <w:szCs w:val="18"/>
              </w:rPr>
            </w:pPr>
            <w:r>
              <w:rPr>
                <w:rFonts w:hint="eastAsia" w:ascii="宋体" w:hAnsi="宋体" w:eastAsia="Times New Roman"/>
                <w:kern w:val="21"/>
                <w:sz w:val="18"/>
                <w:szCs w:val="18"/>
              </w:rPr>
              <w:t>信息系统运维费</w:t>
            </w:r>
          </w:p>
        </w:tc>
        <w:tc>
          <w:tcPr>
            <w:tcW w:w="48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10"/>
              <w:rPr>
                <w:rFonts w:ascii="宋体" w:hAnsi="宋体" w:eastAsia="Times New Roman"/>
                <w:sz w:val="18"/>
                <w:szCs w:val="18"/>
              </w:rPr>
            </w:pPr>
            <w:r>
              <w:rPr>
                <w:rFonts w:hint="eastAsia" w:ascii="宋体" w:hAnsi="宋体" w:eastAsia="Times New Roman"/>
                <w:sz w:val="18"/>
                <w:szCs w:val="18"/>
              </w:rPr>
              <w:t>硬件运行维护费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right="113"/>
              <w:jc w:val="center"/>
              <w:rPr>
                <w:rFonts w:ascii="宋体" w:hAnsi="宋体" w:eastAsia="Times New Roman"/>
                <w:kern w:val="21"/>
                <w:sz w:val="18"/>
                <w:szCs w:val="18"/>
              </w:rPr>
            </w:pPr>
          </w:p>
        </w:tc>
        <w:tc>
          <w:tcPr>
            <w:tcW w:w="48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10"/>
              <w:rPr>
                <w:rFonts w:ascii="宋体" w:hAnsi="宋体" w:eastAsia="Times New Roman"/>
                <w:kern w:val="21"/>
                <w:sz w:val="18"/>
                <w:szCs w:val="18"/>
                <w:highlight w:val="lightGray"/>
              </w:rPr>
            </w:pPr>
            <w:r>
              <w:rPr>
                <w:rFonts w:hint="eastAsia" w:ascii="宋体" w:hAnsi="宋体" w:eastAsia="Times New Roman"/>
                <w:sz w:val="18"/>
                <w:szCs w:val="18"/>
              </w:rPr>
              <w:t>软件运行维护费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right="113"/>
              <w:jc w:val="center"/>
              <w:rPr>
                <w:rFonts w:ascii="宋体" w:hAnsi="宋体" w:eastAsia="Times New Roman"/>
                <w:kern w:val="21"/>
                <w:sz w:val="18"/>
                <w:szCs w:val="18"/>
              </w:rPr>
            </w:pPr>
          </w:p>
        </w:tc>
        <w:tc>
          <w:tcPr>
            <w:tcW w:w="48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10"/>
              <w:rPr>
                <w:rFonts w:ascii="宋体" w:hAnsi="宋体" w:eastAsia="Times New Roman"/>
                <w:sz w:val="18"/>
                <w:szCs w:val="18"/>
              </w:rPr>
            </w:pPr>
            <w:r>
              <w:rPr>
                <w:rFonts w:hint="eastAsia" w:ascii="宋体" w:hAnsi="宋体" w:eastAsia="Times New Roman"/>
                <w:sz w:val="18"/>
                <w:szCs w:val="18"/>
              </w:rPr>
              <w:t>基础环境维护费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48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10"/>
              <w:rPr>
                <w:rFonts w:ascii="宋体" w:hAnsi="宋体" w:eastAsia="Times New Roman"/>
                <w:kern w:val="21"/>
                <w:sz w:val="18"/>
                <w:szCs w:val="18"/>
                <w:highlight w:val="lightGray"/>
              </w:rPr>
            </w:pPr>
            <w:r>
              <w:rPr>
                <w:rFonts w:hint="eastAsia" w:ascii="宋体" w:hAnsi="宋体" w:eastAsia="Times New Roman"/>
                <w:kern w:val="21"/>
                <w:sz w:val="18"/>
                <w:szCs w:val="18"/>
              </w:rPr>
              <w:t>系统运营费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restart"/>
            <w:tcBorders>
              <w:top w:val="single" w:color="000000" w:sz="4" w:space="0"/>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r>
              <w:rPr>
                <w:rFonts w:hint="eastAsia" w:ascii="宋体" w:hAnsi="宋体" w:eastAsia="Times New Roman"/>
                <w:kern w:val="21"/>
                <w:sz w:val="18"/>
                <w:szCs w:val="18"/>
              </w:rPr>
              <w:t>安全运维费</w:t>
            </w: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代码审计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渗透测试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安全巡检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安全加固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应急响应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安全审计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安全监测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攻防演练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重点时期网络安全保障服务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安全培训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1844" w:type="dxa"/>
            <w:vMerge w:val="continue"/>
            <w:tcBorders>
              <w:left w:val="single" w:color="000000" w:sz="4" w:space="0"/>
              <w:bottom w:val="single" w:color="000000" w:sz="4" w:space="0"/>
              <w:right w:val="single" w:color="000000" w:sz="4" w:space="0"/>
            </w:tcBorders>
            <w:vAlign w:val="center"/>
          </w:tcPr>
          <w:p>
            <w:pPr>
              <w:spacing w:line="240" w:lineRule="auto"/>
              <w:ind w:left="110" w:right="113"/>
              <w:jc w:val="center"/>
              <w:rPr>
                <w:rFonts w:ascii="宋体" w:hAnsi="宋体" w:eastAsia="Times New Roman"/>
                <w:kern w:val="21"/>
                <w:sz w:val="18"/>
                <w:szCs w:val="18"/>
              </w:rPr>
            </w:pPr>
          </w:p>
        </w:tc>
        <w:tc>
          <w:tcPr>
            <w:tcW w:w="1990" w:type="dxa"/>
            <w:vMerge w:val="continue"/>
            <w:tcBorders>
              <w:left w:val="single" w:color="000000" w:sz="4" w:space="0"/>
              <w:bottom w:val="single" w:color="000000" w:sz="4" w:space="0"/>
              <w:right w:val="single" w:color="auto" w:sz="4" w:space="0"/>
            </w:tcBorders>
            <w:vAlign w:val="center"/>
          </w:tcPr>
          <w:p>
            <w:pPr>
              <w:spacing w:line="240" w:lineRule="auto"/>
              <w:ind w:left="110"/>
              <w:rPr>
                <w:rFonts w:ascii="宋体" w:hAnsi="宋体" w:eastAsia="Times New Roman"/>
                <w:kern w:val="21"/>
                <w:sz w:val="18"/>
                <w:szCs w:val="18"/>
              </w:rPr>
            </w:pPr>
          </w:p>
        </w:tc>
        <w:tc>
          <w:tcPr>
            <w:tcW w:w="2843" w:type="dxa"/>
            <w:tcBorders>
              <w:top w:val="single" w:color="000000" w:sz="4" w:space="0"/>
              <w:left w:val="nil"/>
              <w:bottom w:val="single" w:color="000000" w:sz="4" w:space="0"/>
              <w:right w:val="single" w:color="000000" w:sz="4" w:space="0"/>
            </w:tcBorders>
            <w:vAlign w:val="center"/>
          </w:tcPr>
          <w:p>
            <w:pPr>
              <w:spacing w:line="240" w:lineRule="auto"/>
              <w:ind w:left="110"/>
              <w:jc w:val="left"/>
              <w:rPr>
                <w:rFonts w:ascii="宋体" w:hAnsi="宋体" w:eastAsia="Times New Roman"/>
                <w:kern w:val="21"/>
                <w:sz w:val="18"/>
                <w:szCs w:val="18"/>
              </w:rPr>
            </w:pPr>
            <w:r>
              <w:rPr>
                <w:rFonts w:hint="eastAsia" w:ascii="宋体" w:hAnsi="宋体" w:eastAsia="Times New Roman"/>
                <w:kern w:val="21"/>
                <w:sz w:val="18"/>
                <w:szCs w:val="18"/>
              </w:rPr>
              <w:t>安全咨询</w:t>
            </w:r>
          </w:p>
        </w:tc>
      </w:tr>
    </w:tbl>
    <w:p>
      <w:pPr>
        <w:pStyle w:val="56"/>
        <w:ind w:firstLine="0" w:firstLineChars="0"/>
      </w:pPr>
    </w:p>
    <w:p>
      <w:pPr>
        <w:pStyle w:val="104"/>
        <w:spacing w:before="312" w:after="312"/>
      </w:pPr>
      <w:bookmarkStart w:id="51" w:name="_Toc180527467"/>
      <w:r>
        <w:rPr>
          <w:rFonts w:hint="eastAsia"/>
        </w:rPr>
        <w:t>信息化项目运维费的计费</w:t>
      </w:r>
      <w:bookmarkEnd w:id="51"/>
    </w:p>
    <w:p>
      <w:pPr>
        <w:pStyle w:val="105"/>
        <w:spacing w:before="156" w:after="156"/>
      </w:pPr>
      <w:bookmarkStart w:id="52" w:name="_Toc180527468"/>
      <w:r>
        <w:rPr>
          <w:rFonts w:hint="eastAsia"/>
        </w:rPr>
        <w:t>硬件运行维护费</w:t>
      </w:r>
      <w:bookmarkEnd w:id="52"/>
    </w:p>
    <w:p>
      <w:pPr>
        <w:pStyle w:val="56"/>
        <w:ind w:firstLine="420"/>
      </w:pPr>
      <w:r>
        <w:rPr>
          <w:rFonts w:hint="eastAsia"/>
        </w:rPr>
        <w:t>指对硬件设备（网络、主机、存储、桌面设备以及其他相关设备等）的例行检查及状态监控、响应支持、故障处理、性能优化等服务。硬件运维的对象包括：网络及网络设备、主机设备、存储设备、桌面及外围设备（固定计算终端、移动计算终端、外围输入输出设备、外围存储设备和外围通信设备）以及其他硬件。</w:t>
      </w:r>
    </w:p>
    <w:p>
      <w:pPr>
        <w:pStyle w:val="65"/>
        <w:spacing w:before="156" w:after="156"/>
      </w:pPr>
      <w:bookmarkStart w:id="53" w:name="_Toc180527469"/>
      <w:r>
        <w:rPr>
          <w:rFonts w:hint="eastAsia"/>
        </w:rPr>
        <w:t>计费标准</w:t>
      </w:r>
      <w:bookmarkEnd w:id="53"/>
    </w:p>
    <w:p>
      <w:pPr>
        <w:pStyle w:val="56"/>
        <w:ind w:firstLine="420"/>
      </w:pPr>
      <w:r>
        <w:rPr>
          <w:rFonts w:hint="eastAsia"/>
        </w:rPr>
        <w:t>按项计费。</w:t>
      </w:r>
    </w:p>
    <w:p>
      <w:pPr>
        <w:pStyle w:val="65"/>
        <w:spacing w:before="156" w:after="156"/>
      </w:pPr>
      <w:bookmarkStart w:id="54" w:name="_Toc180527470"/>
      <w:r>
        <w:rPr>
          <w:rFonts w:hint="eastAsia"/>
        </w:rPr>
        <w:t>计费方法</w:t>
      </w:r>
      <w:bookmarkEnd w:id="54"/>
    </w:p>
    <w:p>
      <w:pPr>
        <w:pStyle w:val="56"/>
        <w:ind w:firstLine="420"/>
      </w:pPr>
      <w:r>
        <w:rPr>
          <w:rFonts w:hint="eastAsia"/>
        </w:rPr>
        <w:t>按比例系数法和运维人月费用单价法两种方法计费。</w:t>
      </w:r>
    </w:p>
    <w:p>
      <w:pPr>
        <w:pStyle w:val="94"/>
        <w:spacing w:before="156" w:after="156"/>
      </w:pPr>
      <w:r>
        <w:rPr>
          <w:rFonts w:hint="eastAsia"/>
        </w:rPr>
        <w:t>比例系数法</w:t>
      </w:r>
    </w:p>
    <w:p>
      <w:pPr>
        <w:pStyle w:val="56"/>
        <w:ind w:firstLine="420"/>
      </w:pPr>
      <w:r>
        <w:rPr>
          <w:rFonts w:hint="eastAsia"/>
        </w:rPr>
        <w:t>硬件运行维护费＝∑设备原值×运维费率×运维等级调整系数×服务期限，运维费率详见表</w:t>
      </w:r>
      <w:r>
        <w:t>2</w:t>
      </w:r>
      <w:r>
        <w:rPr>
          <w:rFonts w:hint="eastAsia"/>
        </w:rPr>
        <w:t>，运维等级调整系数详见表</w:t>
      </w:r>
      <w:r>
        <w:t>3</w:t>
      </w:r>
      <w:r>
        <w:rPr>
          <w:rFonts w:hint="eastAsia"/>
        </w:rPr>
        <w:t>。</w:t>
      </w:r>
    </w:p>
    <w:p>
      <w:pPr>
        <w:pStyle w:val="112"/>
        <w:spacing w:before="156" w:after="156"/>
      </w:pPr>
      <w:r>
        <w:rPr>
          <w:rFonts w:hint="eastAsia"/>
        </w:rPr>
        <w:t>硬件运行维护费用计费标准</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1134"/>
        <w:gridCol w:w="1842"/>
        <w:gridCol w:w="1701"/>
        <w:gridCol w:w="1560"/>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bCs/>
                <w:sz w:val="18"/>
                <w:szCs w:val="18"/>
              </w:rPr>
            </w:pPr>
            <w:r>
              <w:rPr>
                <w:rFonts w:hint="eastAsia" w:ascii="宋体" w:hAnsi="宋体"/>
                <w:b/>
                <w:bCs/>
                <w:sz w:val="18"/>
                <w:szCs w:val="18"/>
              </w:rPr>
              <w:t>序号</w:t>
            </w:r>
          </w:p>
        </w:tc>
        <w:tc>
          <w:tcPr>
            <w:tcW w:w="11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bCs/>
                <w:sz w:val="18"/>
                <w:szCs w:val="18"/>
              </w:rPr>
            </w:pPr>
            <w:r>
              <w:rPr>
                <w:rFonts w:hint="eastAsia" w:ascii="宋体" w:hAnsi="宋体"/>
                <w:b/>
                <w:bCs/>
                <w:sz w:val="18"/>
                <w:szCs w:val="18"/>
              </w:rPr>
              <w:t>名称</w:t>
            </w:r>
          </w:p>
        </w:tc>
        <w:tc>
          <w:tcPr>
            <w:tcW w:w="1842"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bCs/>
                <w:sz w:val="18"/>
                <w:szCs w:val="18"/>
              </w:rPr>
            </w:pPr>
            <w:r>
              <w:rPr>
                <w:rFonts w:hint="eastAsia" w:ascii="宋体" w:hAnsi="宋体"/>
                <w:b/>
                <w:bCs/>
                <w:sz w:val="18"/>
                <w:szCs w:val="18"/>
              </w:rPr>
              <w:t>运维内容</w:t>
            </w:r>
          </w:p>
        </w:tc>
        <w:tc>
          <w:tcPr>
            <w:tcW w:w="1701"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bCs/>
                <w:sz w:val="18"/>
                <w:szCs w:val="18"/>
              </w:rPr>
            </w:pPr>
            <w:r>
              <w:rPr>
                <w:rFonts w:hint="eastAsia" w:ascii="宋体" w:hAnsi="宋体"/>
                <w:b/>
                <w:bCs/>
                <w:sz w:val="18"/>
                <w:szCs w:val="18"/>
              </w:rPr>
              <w:t>计费基数</w:t>
            </w:r>
          </w:p>
        </w:tc>
        <w:tc>
          <w:tcPr>
            <w:tcW w:w="1560"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bCs/>
                <w:sz w:val="18"/>
                <w:szCs w:val="18"/>
              </w:rPr>
            </w:pPr>
            <w:r>
              <w:rPr>
                <w:rFonts w:hint="eastAsia" w:ascii="宋体" w:hAnsi="宋体"/>
                <w:b/>
                <w:bCs/>
                <w:sz w:val="18"/>
                <w:szCs w:val="18"/>
              </w:rPr>
              <w:t>费率（%）</w:t>
            </w:r>
          </w:p>
        </w:tc>
        <w:tc>
          <w:tcPr>
            <w:tcW w:w="211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bCs/>
                <w:sz w:val="18"/>
                <w:szCs w:val="18"/>
              </w:rPr>
            </w:pPr>
            <w:r>
              <w:rPr>
                <w:rFonts w:hint="eastAsia" w:ascii="宋体" w:hAnsi="宋体"/>
                <w:b/>
                <w:bCs/>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83" w:type="dxa"/>
            <w:vMerge w:val="restart"/>
            <w:tcBorders>
              <w:top w:val="single" w:color="auto" w:sz="8" w:space="0"/>
            </w:tcBorders>
            <w:shd w:val="clear" w:color="auto" w:fill="auto"/>
            <w:vAlign w:val="center"/>
          </w:tcPr>
          <w:p>
            <w:pPr>
              <w:widowControl/>
              <w:jc w:val="center"/>
              <w:rPr>
                <w:rFonts w:ascii="宋体" w:hAnsi="宋体"/>
                <w:sz w:val="18"/>
                <w:szCs w:val="18"/>
              </w:rPr>
            </w:pPr>
            <w:r>
              <w:rPr>
                <w:rFonts w:hint="eastAsia" w:ascii="宋体" w:hAnsi="宋体"/>
                <w:sz w:val="18"/>
                <w:szCs w:val="18"/>
              </w:rPr>
              <w:t>1</w:t>
            </w:r>
          </w:p>
        </w:tc>
        <w:tc>
          <w:tcPr>
            <w:tcW w:w="1134" w:type="dxa"/>
            <w:vMerge w:val="restart"/>
            <w:tcBorders>
              <w:top w:val="single" w:color="auto" w:sz="8" w:space="0"/>
            </w:tcBorders>
            <w:shd w:val="clear" w:color="auto" w:fill="auto"/>
            <w:vAlign w:val="center"/>
          </w:tcPr>
          <w:p>
            <w:pPr>
              <w:widowControl/>
              <w:jc w:val="center"/>
              <w:rPr>
                <w:rFonts w:ascii="宋体" w:hAnsi="宋体"/>
                <w:sz w:val="18"/>
                <w:szCs w:val="18"/>
              </w:rPr>
            </w:pPr>
            <w:r>
              <w:rPr>
                <w:rFonts w:hint="eastAsia" w:ascii="宋体" w:hAnsi="宋体"/>
                <w:sz w:val="18"/>
                <w:szCs w:val="18"/>
              </w:rPr>
              <w:t>硬件</w:t>
            </w:r>
          </w:p>
        </w:tc>
        <w:tc>
          <w:tcPr>
            <w:tcW w:w="1842" w:type="dxa"/>
            <w:vMerge w:val="restart"/>
            <w:tcBorders>
              <w:top w:val="single" w:color="auto" w:sz="8" w:space="0"/>
            </w:tcBorders>
            <w:shd w:val="clear" w:color="auto" w:fill="auto"/>
            <w:vAlign w:val="center"/>
          </w:tcPr>
          <w:p>
            <w:pPr>
              <w:pStyle w:val="178"/>
              <w:rPr>
                <w:szCs w:val="18"/>
              </w:rPr>
            </w:pPr>
            <w:r>
              <w:rPr>
                <w:rFonts w:hint="eastAsia"/>
                <w:szCs w:val="18"/>
              </w:rPr>
              <w:t>定期巡检、调整优化、维修更换、版本升级、设备维修、备品备件</w:t>
            </w:r>
          </w:p>
        </w:tc>
        <w:tc>
          <w:tcPr>
            <w:tcW w:w="1701" w:type="dxa"/>
            <w:tcBorders>
              <w:top w:val="single" w:color="auto" w:sz="8" w:space="0"/>
            </w:tcBorders>
            <w:shd w:val="clear" w:color="auto" w:fill="auto"/>
            <w:vAlign w:val="center"/>
          </w:tcPr>
          <w:p>
            <w:pPr>
              <w:widowControl/>
              <w:jc w:val="center"/>
              <w:rPr>
                <w:rFonts w:ascii="宋体" w:hAnsi="宋体"/>
                <w:sz w:val="18"/>
                <w:szCs w:val="18"/>
              </w:rPr>
            </w:pPr>
            <w:r>
              <w:rPr>
                <w:rFonts w:hint="eastAsia" w:ascii="宋体" w:hAnsi="宋体"/>
                <w:sz w:val="18"/>
                <w:szCs w:val="18"/>
              </w:rPr>
              <w:t>设备购置费</w:t>
            </w:r>
          </w:p>
        </w:tc>
        <w:tc>
          <w:tcPr>
            <w:tcW w:w="1560" w:type="dxa"/>
            <w:tcBorders>
              <w:top w:val="single" w:color="auto" w:sz="8" w:space="0"/>
            </w:tcBorders>
            <w:shd w:val="clear" w:color="auto" w:fill="auto"/>
            <w:vAlign w:val="center"/>
          </w:tcPr>
          <w:p>
            <w:pPr>
              <w:widowControl/>
              <w:jc w:val="center"/>
              <w:rPr>
                <w:rFonts w:ascii="宋体" w:hAnsi="宋体"/>
                <w:sz w:val="18"/>
                <w:szCs w:val="18"/>
              </w:rPr>
            </w:pPr>
            <w:r>
              <w:rPr>
                <w:rFonts w:hint="eastAsia" w:ascii="宋体" w:hAnsi="宋体"/>
                <w:sz w:val="18"/>
                <w:szCs w:val="18"/>
              </w:rPr>
              <w:t>≤5</w:t>
            </w:r>
          </w:p>
        </w:tc>
        <w:tc>
          <w:tcPr>
            <w:tcW w:w="2114" w:type="dxa"/>
            <w:tcBorders>
              <w:top w:val="single" w:color="auto" w:sz="8" w:space="0"/>
            </w:tcBorders>
            <w:shd w:val="clear" w:color="auto" w:fill="auto"/>
            <w:vAlign w:val="center"/>
          </w:tcPr>
          <w:p>
            <w:pPr>
              <w:widowControl/>
              <w:jc w:val="center"/>
              <w:rPr>
                <w:rFonts w:ascii="宋体" w:hAnsi="宋体"/>
                <w:sz w:val="18"/>
                <w:szCs w:val="18"/>
              </w:rPr>
            </w:pPr>
            <w:r>
              <w:rPr>
                <w:rFonts w:hint="eastAsia" w:ascii="宋体" w:hAnsi="宋体"/>
                <w:sz w:val="18"/>
                <w:szCs w:val="18"/>
              </w:rPr>
              <w:t>项目质保期满后第1年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83" w:type="dxa"/>
            <w:vMerge w:val="continue"/>
            <w:shd w:val="clear" w:color="auto" w:fill="auto"/>
            <w:vAlign w:val="center"/>
          </w:tcPr>
          <w:p>
            <w:pPr>
              <w:pStyle w:val="178"/>
              <w:rPr>
                <w:szCs w:val="18"/>
              </w:rPr>
            </w:pPr>
          </w:p>
        </w:tc>
        <w:tc>
          <w:tcPr>
            <w:tcW w:w="1134" w:type="dxa"/>
            <w:vMerge w:val="continue"/>
            <w:shd w:val="clear" w:color="auto" w:fill="auto"/>
            <w:vAlign w:val="center"/>
          </w:tcPr>
          <w:p>
            <w:pPr>
              <w:pStyle w:val="178"/>
              <w:rPr>
                <w:szCs w:val="18"/>
              </w:rPr>
            </w:pPr>
          </w:p>
        </w:tc>
        <w:tc>
          <w:tcPr>
            <w:tcW w:w="1842" w:type="dxa"/>
            <w:vMerge w:val="continue"/>
            <w:shd w:val="clear" w:color="auto" w:fill="auto"/>
            <w:vAlign w:val="center"/>
          </w:tcPr>
          <w:p>
            <w:pPr>
              <w:pStyle w:val="178"/>
              <w:rPr>
                <w:szCs w:val="18"/>
              </w:rPr>
            </w:pPr>
          </w:p>
        </w:tc>
        <w:tc>
          <w:tcPr>
            <w:tcW w:w="1701" w:type="dxa"/>
            <w:shd w:val="clear" w:color="auto" w:fill="auto"/>
            <w:vAlign w:val="center"/>
          </w:tcPr>
          <w:p>
            <w:pPr>
              <w:widowControl/>
              <w:jc w:val="center"/>
              <w:rPr>
                <w:rFonts w:ascii="宋体" w:hAnsi="宋体"/>
                <w:sz w:val="18"/>
                <w:szCs w:val="18"/>
              </w:rPr>
            </w:pPr>
            <w:r>
              <w:rPr>
                <w:rFonts w:hint="eastAsia" w:ascii="宋体" w:hAnsi="宋体"/>
                <w:sz w:val="18"/>
                <w:szCs w:val="18"/>
              </w:rPr>
              <w:t>设备购置费</w:t>
            </w:r>
          </w:p>
        </w:tc>
        <w:tc>
          <w:tcPr>
            <w:tcW w:w="1560" w:type="dxa"/>
            <w:shd w:val="clear" w:color="auto" w:fill="auto"/>
            <w:vAlign w:val="center"/>
          </w:tcPr>
          <w:p>
            <w:pPr>
              <w:widowControl/>
              <w:jc w:val="center"/>
              <w:rPr>
                <w:rFonts w:ascii="宋体" w:hAnsi="宋体"/>
                <w:sz w:val="18"/>
                <w:szCs w:val="18"/>
              </w:rPr>
            </w:pPr>
            <w:r>
              <w:rPr>
                <w:rFonts w:hint="eastAsia" w:ascii="宋体" w:hAnsi="宋体"/>
                <w:sz w:val="18"/>
                <w:szCs w:val="18"/>
              </w:rPr>
              <w:t>≤6</w:t>
            </w:r>
          </w:p>
        </w:tc>
        <w:tc>
          <w:tcPr>
            <w:tcW w:w="2114" w:type="dxa"/>
            <w:shd w:val="clear" w:color="auto" w:fill="auto"/>
            <w:vAlign w:val="center"/>
          </w:tcPr>
          <w:p>
            <w:pPr>
              <w:widowControl/>
              <w:jc w:val="center"/>
              <w:rPr>
                <w:rFonts w:ascii="宋体" w:hAnsi="宋体"/>
                <w:sz w:val="18"/>
                <w:szCs w:val="18"/>
              </w:rPr>
            </w:pPr>
            <w:r>
              <w:rPr>
                <w:rFonts w:hint="eastAsia" w:ascii="宋体" w:hAnsi="宋体"/>
                <w:sz w:val="18"/>
                <w:szCs w:val="18"/>
              </w:rPr>
              <w:t>项目质保期满后第2年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83" w:type="dxa"/>
            <w:vMerge w:val="continue"/>
            <w:shd w:val="clear" w:color="auto" w:fill="auto"/>
            <w:vAlign w:val="center"/>
          </w:tcPr>
          <w:p>
            <w:pPr>
              <w:pStyle w:val="178"/>
              <w:rPr>
                <w:szCs w:val="18"/>
              </w:rPr>
            </w:pPr>
          </w:p>
        </w:tc>
        <w:tc>
          <w:tcPr>
            <w:tcW w:w="1134" w:type="dxa"/>
            <w:vMerge w:val="continue"/>
            <w:shd w:val="clear" w:color="auto" w:fill="auto"/>
            <w:vAlign w:val="center"/>
          </w:tcPr>
          <w:p>
            <w:pPr>
              <w:pStyle w:val="178"/>
              <w:rPr>
                <w:szCs w:val="18"/>
              </w:rPr>
            </w:pPr>
          </w:p>
        </w:tc>
        <w:tc>
          <w:tcPr>
            <w:tcW w:w="1842" w:type="dxa"/>
            <w:vMerge w:val="continue"/>
            <w:shd w:val="clear" w:color="auto" w:fill="auto"/>
            <w:vAlign w:val="center"/>
          </w:tcPr>
          <w:p>
            <w:pPr>
              <w:pStyle w:val="178"/>
              <w:rPr>
                <w:szCs w:val="18"/>
              </w:rPr>
            </w:pPr>
          </w:p>
        </w:tc>
        <w:tc>
          <w:tcPr>
            <w:tcW w:w="1701" w:type="dxa"/>
            <w:shd w:val="clear" w:color="auto" w:fill="auto"/>
            <w:vAlign w:val="center"/>
          </w:tcPr>
          <w:p>
            <w:pPr>
              <w:widowControl/>
              <w:jc w:val="center"/>
              <w:rPr>
                <w:rFonts w:ascii="宋体" w:hAnsi="宋体"/>
                <w:sz w:val="18"/>
                <w:szCs w:val="18"/>
              </w:rPr>
            </w:pPr>
            <w:r>
              <w:rPr>
                <w:rFonts w:hint="eastAsia" w:ascii="宋体" w:hAnsi="宋体"/>
                <w:sz w:val="18"/>
                <w:szCs w:val="18"/>
              </w:rPr>
              <w:t>设备购置费</w:t>
            </w:r>
          </w:p>
        </w:tc>
        <w:tc>
          <w:tcPr>
            <w:tcW w:w="1560" w:type="dxa"/>
            <w:shd w:val="clear" w:color="auto" w:fill="auto"/>
            <w:vAlign w:val="center"/>
          </w:tcPr>
          <w:p>
            <w:pPr>
              <w:widowControl/>
              <w:jc w:val="center"/>
              <w:rPr>
                <w:rFonts w:ascii="宋体" w:hAnsi="宋体"/>
                <w:sz w:val="18"/>
                <w:szCs w:val="18"/>
              </w:rPr>
            </w:pPr>
            <w:r>
              <w:rPr>
                <w:rFonts w:hint="eastAsia" w:ascii="宋体" w:hAnsi="宋体"/>
                <w:sz w:val="18"/>
                <w:szCs w:val="18"/>
              </w:rPr>
              <w:t>≤7</w:t>
            </w:r>
          </w:p>
        </w:tc>
        <w:tc>
          <w:tcPr>
            <w:tcW w:w="2114" w:type="dxa"/>
            <w:shd w:val="clear" w:color="auto" w:fill="auto"/>
            <w:vAlign w:val="center"/>
          </w:tcPr>
          <w:p>
            <w:pPr>
              <w:widowControl/>
              <w:jc w:val="center"/>
              <w:rPr>
                <w:rFonts w:ascii="宋体" w:hAnsi="宋体"/>
                <w:sz w:val="18"/>
                <w:szCs w:val="18"/>
              </w:rPr>
            </w:pPr>
            <w:r>
              <w:rPr>
                <w:rFonts w:hint="eastAsia" w:ascii="宋体" w:hAnsi="宋体"/>
                <w:sz w:val="18"/>
                <w:szCs w:val="18"/>
              </w:rPr>
              <w:t>项目质保期满后第3年起</w:t>
            </w:r>
          </w:p>
        </w:tc>
      </w:tr>
    </w:tbl>
    <w:p>
      <w:pPr>
        <w:pStyle w:val="56"/>
        <w:ind w:firstLine="0" w:firstLineChars="0"/>
      </w:pPr>
    </w:p>
    <w:p>
      <w:pPr>
        <w:pStyle w:val="112"/>
        <w:spacing w:before="156" w:after="156"/>
      </w:pPr>
      <w:r>
        <w:rPr>
          <w:rFonts w:hint="eastAsia"/>
        </w:rPr>
        <w:t>运维等级调整系数</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pPr>
              <w:jc w:val="center"/>
              <w:textAlignment w:val="baseline"/>
              <w:rPr>
                <w:rFonts w:ascii="宋体" w:hAnsi="宋体"/>
                <w:b/>
                <w:bCs/>
                <w:sz w:val="18"/>
                <w:szCs w:val="18"/>
              </w:rPr>
            </w:pPr>
            <w:r>
              <w:rPr>
                <w:rFonts w:hint="eastAsia" w:ascii="宋体" w:hAnsi="宋体"/>
                <w:b/>
                <w:bCs/>
                <w:sz w:val="18"/>
                <w:szCs w:val="18"/>
              </w:rPr>
              <w:t>服务等级</w:t>
            </w:r>
          </w:p>
        </w:tc>
        <w:tc>
          <w:tcPr>
            <w:tcW w:w="2333" w:type="dxa"/>
            <w:tcBorders>
              <w:top w:val="single" w:color="auto" w:sz="8" w:space="0"/>
              <w:bottom w:val="single" w:color="auto" w:sz="8" w:space="0"/>
            </w:tcBorders>
            <w:shd w:val="clear" w:color="auto" w:fill="auto"/>
            <w:vAlign w:val="center"/>
          </w:tcPr>
          <w:p>
            <w:pPr>
              <w:jc w:val="center"/>
              <w:textAlignment w:val="baseline"/>
              <w:rPr>
                <w:rFonts w:ascii="宋体" w:hAnsi="宋体"/>
                <w:b/>
                <w:bCs/>
                <w:sz w:val="18"/>
                <w:szCs w:val="18"/>
              </w:rPr>
            </w:pPr>
            <w:r>
              <w:rPr>
                <w:rFonts w:hint="eastAsia" w:ascii="宋体" w:hAnsi="宋体"/>
                <w:b/>
                <w:bCs/>
                <w:sz w:val="18"/>
                <w:szCs w:val="18"/>
              </w:rPr>
              <w:t>三级服务</w:t>
            </w:r>
          </w:p>
        </w:tc>
        <w:tc>
          <w:tcPr>
            <w:tcW w:w="2333" w:type="dxa"/>
            <w:tcBorders>
              <w:top w:val="single" w:color="auto" w:sz="8" w:space="0"/>
              <w:bottom w:val="single" w:color="auto" w:sz="8" w:space="0"/>
            </w:tcBorders>
            <w:shd w:val="clear" w:color="auto" w:fill="auto"/>
            <w:vAlign w:val="center"/>
          </w:tcPr>
          <w:p>
            <w:pPr>
              <w:jc w:val="center"/>
              <w:textAlignment w:val="baseline"/>
              <w:rPr>
                <w:rFonts w:ascii="宋体" w:hAnsi="宋体"/>
                <w:b/>
                <w:bCs/>
                <w:sz w:val="18"/>
                <w:szCs w:val="18"/>
              </w:rPr>
            </w:pPr>
            <w:r>
              <w:rPr>
                <w:rFonts w:hint="eastAsia" w:ascii="宋体" w:hAnsi="宋体"/>
                <w:b/>
                <w:bCs/>
                <w:sz w:val="18"/>
                <w:szCs w:val="18"/>
              </w:rPr>
              <w:t>二级服务</w:t>
            </w:r>
          </w:p>
        </w:tc>
        <w:tc>
          <w:tcPr>
            <w:tcW w:w="2334" w:type="dxa"/>
            <w:tcBorders>
              <w:top w:val="single" w:color="auto" w:sz="8" w:space="0"/>
              <w:bottom w:val="single" w:color="auto" w:sz="8" w:space="0"/>
            </w:tcBorders>
            <w:shd w:val="clear" w:color="auto" w:fill="auto"/>
            <w:vAlign w:val="center"/>
          </w:tcPr>
          <w:p>
            <w:pPr>
              <w:jc w:val="center"/>
              <w:textAlignment w:val="baseline"/>
              <w:rPr>
                <w:rFonts w:ascii="宋体" w:hAnsi="宋体"/>
                <w:b/>
                <w:bCs/>
                <w:sz w:val="18"/>
                <w:szCs w:val="18"/>
              </w:rPr>
            </w:pPr>
            <w:r>
              <w:rPr>
                <w:rFonts w:hint="eastAsia" w:ascii="宋体" w:hAnsi="宋体"/>
                <w:b/>
                <w:bCs/>
                <w:sz w:val="18"/>
                <w:szCs w:val="18"/>
              </w:rPr>
              <w:t>一级服务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pPr>
              <w:jc w:val="center"/>
              <w:textAlignment w:val="baseline"/>
              <w:rPr>
                <w:rFonts w:ascii="宋体" w:hAnsi="宋体"/>
                <w:sz w:val="18"/>
                <w:szCs w:val="18"/>
              </w:rPr>
            </w:pPr>
            <w:r>
              <w:rPr>
                <w:rFonts w:hint="eastAsia" w:ascii="宋体" w:hAnsi="宋体"/>
                <w:sz w:val="18"/>
                <w:szCs w:val="18"/>
              </w:rPr>
              <w:t>服务受理时间</w:t>
            </w:r>
          </w:p>
        </w:tc>
        <w:tc>
          <w:tcPr>
            <w:tcW w:w="2333" w:type="dxa"/>
            <w:tcBorders>
              <w:top w:val="single" w:color="auto" w:sz="8" w:space="0"/>
            </w:tcBorders>
            <w:shd w:val="clear" w:color="auto" w:fill="auto"/>
            <w:vAlign w:val="center"/>
          </w:tcPr>
          <w:p>
            <w:pPr>
              <w:jc w:val="center"/>
              <w:textAlignment w:val="baseline"/>
              <w:rPr>
                <w:rFonts w:ascii="宋体" w:hAnsi="宋体"/>
                <w:sz w:val="18"/>
                <w:szCs w:val="18"/>
              </w:rPr>
            </w:pPr>
            <w:r>
              <w:rPr>
                <w:rFonts w:hint="eastAsia" w:ascii="宋体" w:hAnsi="宋体"/>
                <w:sz w:val="18"/>
                <w:szCs w:val="18"/>
              </w:rPr>
              <w:t>7×24小时</w:t>
            </w:r>
          </w:p>
        </w:tc>
        <w:tc>
          <w:tcPr>
            <w:tcW w:w="2333" w:type="dxa"/>
            <w:tcBorders>
              <w:top w:val="single" w:color="auto" w:sz="8" w:space="0"/>
            </w:tcBorders>
            <w:shd w:val="clear" w:color="auto" w:fill="auto"/>
            <w:vAlign w:val="center"/>
          </w:tcPr>
          <w:p>
            <w:pPr>
              <w:jc w:val="center"/>
              <w:textAlignment w:val="baseline"/>
              <w:rPr>
                <w:rFonts w:ascii="宋体" w:hAnsi="宋体"/>
                <w:sz w:val="18"/>
                <w:szCs w:val="18"/>
              </w:rPr>
            </w:pPr>
            <w:r>
              <w:rPr>
                <w:rFonts w:hint="eastAsia" w:ascii="宋体" w:hAnsi="宋体"/>
                <w:sz w:val="18"/>
                <w:szCs w:val="18"/>
              </w:rPr>
              <w:t>5×24小时</w:t>
            </w:r>
          </w:p>
        </w:tc>
        <w:tc>
          <w:tcPr>
            <w:tcW w:w="2334" w:type="dxa"/>
            <w:tcBorders>
              <w:top w:val="single" w:color="auto" w:sz="8" w:space="0"/>
            </w:tcBorders>
            <w:shd w:val="clear" w:color="auto" w:fill="auto"/>
            <w:vAlign w:val="center"/>
          </w:tcPr>
          <w:p>
            <w:pPr>
              <w:jc w:val="center"/>
              <w:textAlignment w:val="baseline"/>
              <w:rPr>
                <w:rFonts w:ascii="宋体" w:hAnsi="宋体"/>
                <w:sz w:val="18"/>
                <w:szCs w:val="18"/>
              </w:rPr>
            </w:pPr>
            <w:r>
              <w:rPr>
                <w:rFonts w:hint="eastAsia" w:ascii="宋体" w:hAnsi="宋体"/>
                <w:sz w:val="18"/>
                <w:szCs w:val="18"/>
              </w:rPr>
              <w:t>5×8小时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服务响应时间</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≤1小时</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≤4小时</w:t>
            </w:r>
          </w:p>
        </w:tc>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≤8小时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人员到场时间</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≤2小时</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≤6小时</w:t>
            </w:r>
          </w:p>
        </w:tc>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下一个工作日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故障恢复时间</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≤4小时</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≤8小时</w:t>
            </w:r>
          </w:p>
        </w:tc>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≤24小时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巡检周期</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每周一次</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每月一次</w:t>
            </w:r>
          </w:p>
        </w:tc>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每季度一次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调整系数</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1.0</w:t>
            </w:r>
          </w:p>
        </w:tc>
        <w:tc>
          <w:tcPr>
            <w:tcW w:w="2333"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0.9</w:t>
            </w:r>
          </w:p>
        </w:tc>
        <w:tc>
          <w:tcPr>
            <w:tcW w:w="2334" w:type="dxa"/>
            <w:shd w:val="clear" w:color="auto" w:fill="auto"/>
            <w:vAlign w:val="center"/>
          </w:tcPr>
          <w:p>
            <w:pPr>
              <w:jc w:val="center"/>
              <w:textAlignment w:val="baseline"/>
              <w:rPr>
                <w:rFonts w:ascii="宋体" w:hAnsi="宋体"/>
                <w:sz w:val="18"/>
                <w:szCs w:val="18"/>
              </w:rPr>
            </w:pPr>
            <w:r>
              <w:rPr>
                <w:rFonts w:hint="eastAsia" w:ascii="宋体" w:hAnsi="宋体"/>
                <w:sz w:val="18"/>
                <w:szCs w:val="18"/>
              </w:rPr>
              <w:t>0.8</w:t>
            </w:r>
          </w:p>
        </w:tc>
      </w:tr>
    </w:tbl>
    <w:p>
      <w:pPr>
        <w:pStyle w:val="56"/>
        <w:ind w:firstLine="0" w:firstLineChars="0"/>
      </w:pPr>
    </w:p>
    <w:p>
      <w:pPr>
        <w:pStyle w:val="94"/>
        <w:spacing w:before="156" w:after="156"/>
      </w:pPr>
      <w:r>
        <w:rPr>
          <w:rFonts w:hint="eastAsia"/>
        </w:rPr>
        <w:t>人月费用单价法</w:t>
      </w:r>
    </w:p>
    <w:p>
      <w:pPr>
        <w:pStyle w:val="56"/>
        <w:ind w:firstLine="420"/>
      </w:pPr>
      <w:r>
        <w:rPr>
          <w:rFonts w:hint="eastAsia"/>
        </w:rPr>
        <w:t>信息系统运行维护费＝∑运维工作量×运维人月费用单价</w:t>
      </w:r>
    </w:p>
    <w:p>
      <w:pPr>
        <w:pStyle w:val="56"/>
        <w:ind w:firstLine="420"/>
      </w:pPr>
      <w:r>
        <w:rPr>
          <w:rFonts w:hint="eastAsia"/>
        </w:rPr>
        <w:t>其中：∑运维工作量运维＝某类硬件设备数量×某类硬件设备的单位工作量，桌面及外围的工作量计算为∑工作量根据运维服务方案派驻人员服务时间折算成人月。</w:t>
      </w:r>
    </w:p>
    <w:p>
      <w:pPr>
        <w:pStyle w:val="56"/>
        <w:ind w:firstLine="420"/>
      </w:pPr>
      <w:r>
        <w:rPr>
          <w:rFonts w:hint="eastAsia"/>
        </w:rPr>
        <w:t>对于驻场类运维服务，运维服务方案中提供了运维计划和人员安排的，建议采用人月费用单价法计算。</w:t>
      </w:r>
    </w:p>
    <w:p>
      <w:pPr>
        <w:pStyle w:val="112"/>
        <w:spacing w:before="156" w:after="156"/>
      </w:pPr>
      <w:r>
        <w:rPr>
          <w:rFonts w:hint="eastAsia"/>
        </w:rPr>
        <w:t>设备维护率参考标准</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6222" w:type="dxa"/>
            <w:gridSpan w:val="2"/>
            <w:tcBorders>
              <w:top w:val="single" w:color="auto" w:sz="8" w:space="0"/>
              <w:bottom w:val="single" w:color="auto" w:sz="8" w:space="0"/>
            </w:tcBorders>
            <w:shd w:val="clear" w:color="auto" w:fill="auto"/>
            <w:vAlign w:val="center"/>
          </w:tcPr>
          <w:p>
            <w:pPr>
              <w:widowControl/>
              <w:jc w:val="center"/>
              <w:textAlignment w:val="center"/>
              <w:rPr>
                <w:rFonts w:ascii="宋体" w:hAnsi="宋体"/>
                <w:b/>
                <w:bCs/>
                <w:sz w:val="18"/>
                <w:szCs w:val="18"/>
              </w:rPr>
            </w:pPr>
            <w:r>
              <w:rPr>
                <w:rStyle w:val="231"/>
                <w:rFonts w:hint="default"/>
                <w:b/>
                <w:bCs/>
                <w:sz w:val="18"/>
                <w:szCs w:val="18"/>
              </w:rPr>
              <w:t>设备类型</w:t>
            </w:r>
          </w:p>
        </w:tc>
        <w:tc>
          <w:tcPr>
            <w:tcW w:w="3112" w:type="dxa"/>
            <w:tcBorders>
              <w:top w:val="single" w:color="auto" w:sz="8" w:space="0"/>
              <w:bottom w:val="single" w:color="auto" w:sz="8" w:space="0"/>
            </w:tcBorders>
            <w:shd w:val="clear" w:color="auto" w:fill="auto"/>
            <w:vAlign w:val="center"/>
          </w:tcPr>
          <w:p>
            <w:pPr>
              <w:widowControl/>
              <w:jc w:val="center"/>
              <w:textAlignment w:val="center"/>
              <w:rPr>
                <w:rFonts w:ascii="宋体" w:hAnsi="宋体"/>
                <w:b/>
                <w:bCs/>
                <w:sz w:val="18"/>
                <w:szCs w:val="18"/>
              </w:rPr>
            </w:pPr>
            <w:r>
              <w:rPr>
                <w:rStyle w:val="231"/>
                <w:rFonts w:hint="default"/>
                <w:b/>
                <w:bCs/>
                <w:sz w:val="18"/>
                <w:szCs w:val="18"/>
              </w:rPr>
              <w:t>月运维工作量</w:t>
            </w:r>
            <w:r>
              <w:rPr>
                <w:rFonts w:ascii="宋体" w:hAnsi="宋体"/>
                <w:b/>
                <w:bCs/>
                <w:sz w:val="18"/>
                <w:szCs w:val="18"/>
              </w:rPr>
              <w:t>（</w:t>
            </w:r>
            <w:r>
              <w:rPr>
                <w:rFonts w:hint="eastAsia" w:ascii="宋体" w:hAnsi="宋体"/>
                <w:b/>
                <w:bCs/>
                <w:sz w:val="18"/>
                <w:szCs w:val="18"/>
              </w:rPr>
              <w:t>人日</w:t>
            </w:r>
            <w:r>
              <w:rPr>
                <w:b/>
                <w:bCs/>
                <w:sz w:val="18"/>
                <w:szCs w:val="18"/>
              </w:rPr>
              <w:t>/</w:t>
            </w:r>
            <w:r>
              <w:rPr>
                <w:rFonts w:ascii="宋体" w:hAnsi="宋体"/>
                <w:b/>
                <w:bCs/>
                <w:sz w:val="18"/>
                <w:szCs w:val="18"/>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tcBorders>
              <w:top w:val="single" w:color="auto" w:sz="8" w:space="0"/>
            </w:tcBorders>
            <w:shd w:val="clear" w:color="auto" w:fill="auto"/>
            <w:vAlign w:val="center"/>
          </w:tcPr>
          <w:p>
            <w:pPr>
              <w:pStyle w:val="178"/>
            </w:pPr>
            <w:r>
              <w:rPr>
                <w:rFonts w:hint="eastAsia"/>
              </w:rPr>
              <w:t>服务器设备</w:t>
            </w:r>
          </w:p>
        </w:tc>
        <w:tc>
          <w:tcPr>
            <w:tcW w:w="3112" w:type="dxa"/>
            <w:tcBorders>
              <w:top w:val="single" w:color="auto" w:sz="8" w:space="0"/>
            </w:tcBorders>
            <w:shd w:val="clear" w:color="auto" w:fill="auto"/>
            <w:vAlign w:val="center"/>
          </w:tcPr>
          <w:p>
            <w:pPr>
              <w:widowControl/>
              <w:jc w:val="center"/>
              <w:textAlignment w:val="center"/>
              <w:rPr>
                <w:rFonts w:ascii="宋体" w:hAnsi="宋体"/>
                <w:sz w:val="18"/>
                <w:szCs w:val="18"/>
              </w:rPr>
            </w:pPr>
            <w:r>
              <w:rPr>
                <w:rStyle w:val="231"/>
                <w:rFonts w:hint="default"/>
                <w:sz w:val="18"/>
                <w:szCs w:val="18"/>
              </w:rPr>
              <w:t>机架式微机服务器</w:t>
            </w:r>
          </w:p>
        </w:tc>
        <w:tc>
          <w:tcPr>
            <w:tcW w:w="3112" w:type="dxa"/>
            <w:tcBorders>
              <w:top w:val="single" w:color="auto" w:sz="8" w:space="0"/>
            </w:tcBorders>
            <w:shd w:val="clear" w:color="auto" w:fill="auto"/>
            <w:vAlign w:val="center"/>
          </w:tcPr>
          <w:p>
            <w:pPr>
              <w:widowControl/>
              <w:jc w:val="center"/>
              <w:textAlignment w:val="center"/>
              <w:rPr>
                <w:rStyle w:val="231"/>
                <w:rFonts w:hint="default"/>
                <w:sz w:val="18"/>
                <w:szCs w:val="18"/>
              </w:rPr>
            </w:pPr>
            <w:r>
              <w:rPr>
                <w:rStyle w:val="231"/>
                <w:rFonts w:hint="default"/>
                <w:sz w:val="18"/>
                <w:szCs w:val="18"/>
              </w:rPr>
              <w:t>0.44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其他服务器</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shd w:val="clear" w:color="auto" w:fill="auto"/>
            <w:vAlign w:val="center"/>
          </w:tcPr>
          <w:p>
            <w:pPr>
              <w:pStyle w:val="178"/>
            </w:pPr>
            <w:r>
              <w:rPr>
                <w:rFonts w:hint="eastAsia"/>
              </w:rPr>
              <w:t>网络设备</w:t>
            </w:r>
          </w:p>
        </w:tc>
        <w:tc>
          <w:tcPr>
            <w:tcW w:w="3112" w:type="dxa"/>
            <w:shd w:val="clear" w:color="auto" w:fill="auto"/>
            <w:vAlign w:val="center"/>
          </w:tcPr>
          <w:p>
            <w:pPr>
              <w:widowControl/>
              <w:jc w:val="center"/>
              <w:textAlignment w:val="center"/>
              <w:rPr>
                <w:sz w:val="18"/>
                <w:szCs w:val="18"/>
              </w:rPr>
            </w:pPr>
            <w:r>
              <w:rPr>
                <w:rStyle w:val="231"/>
                <w:rFonts w:hint="default"/>
                <w:sz w:val="18"/>
                <w:szCs w:val="18"/>
              </w:rPr>
              <w:t>交换机</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路由器</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0.332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负载均衡设备</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0.332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VPN设备</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网络监测设备</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网络测试仪</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流量监控设备</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链路优化器</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其他网络设备</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shd w:val="clear" w:color="auto" w:fill="auto"/>
            <w:vAlign w:val="center"/>
          </w:tcPr>
          <w:p>
            <w:pPr>
              <w:pStyle w:val="178"/>
            </w:pPr>
            <w:r>
              <w:rPr>
                <w:rFonts w:hint="eastAsia"/>
              </w:rPr>
              <w:t>存储设备</w:t>
            </w:r>
          </w:p>
        </w:tc>
        <w:tc>
          <w:tcPr>
            <w:tcW w:w="3112" w:type="dxa"/>
            <w:shd w:val="clear" w:color="auto" w:fill="auto"/>
            <w:vAlign w:val="center"/>
          </w:tcPr>
          <w:p>
            <w:pPr>
              <w:widowControl/>
              <w:jc w:val="center"/>
              <w:textAlignment w:val="center"/>
              <w:rPr>
                <w:sz w:val="18"/>
                <w:szCs w:val="18"/>
              </w:rPr>
            </w:pPr>
            <w:r>
              <w:rPr>
                <w:rStyle w:val="231"/>
                <w:rFonts w:hint="default"/>
                <w:sz w:val="18"/>
                <w:szCs w:val="18"/>
              </w:rPr>
              <w:t>存储设备</w:t>
            </w:r>
          </w:p>
        </w:tc>
        <w:tc>
          <w:tcPr>
            <w:tcW w:w="3112" w:type="dxa"/>
            <w:shd w:val="clear" w:color="auto" w:fill="auto"/>
            <w:vAlign w:val="center"/>
          </w:tcPr>
          <w:p>
            <w:pPr>
              <w:widowControl/>
              <w:jc w:val="center"/>
              <w:textAlignment w:val="center"/>
              <w:rPr>
                <w:rStyle w:val="231"/>
                <w:rFonts w:hint="default"/>
                <w:color w:val="0000FF"/>
                <w:sz w:val="18"/>
                <w:szCs w:val="18"/>
              </w:rPr>
            </w:pPr>
            <w:r>
              <w:rPr>
                <w:rStyle w:val="231"/>
                <w:rFonts w:hint="default"/>
                <w:sz w:val="18"/>
                <w:szCs w:val="18"/>
              </w:rPr>
              <w:t>1.542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SAN交换机</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磁带机</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1.571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磁带库</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1.571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光盘库</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1.571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其他存储设备</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shd w:val="clear" w:color="auto" w:fill="auto"/>
            <w:vAlign w:val="center"/>
          </w:tcPr>
          <w:p>
            <w:pPr>
              <w:pStyle w:val="178"/>
            </w:pPr>
            <w:r>
              <w:rPr>
                <w:rFonts w:hint="eastAsia"/>
              </w:rPr>
              <w:t>安全防护设备</w:t>
            </w:r>
          </w:p>
        </w:tc>
        <w:tc>
          <w:tcPr>
            <w:tcW w:w="3112" w:type="dxa"/>
            <w:shd w:val="clear" w:color="auto" w:fill="auto"/>
            <w:vAlign w:val="center"/>
          </w:tcPr>
          <w:p>
            <w:pPr>
              <w:widowControl/>
              <w:jc w:val="center"/>
              <w:textAlignment w:val="center"/>
              <w:rPr>
                <w:sz w:val="18"/>
                <w:szCs w:val="18"/>
              </w:rPr>
            </w:pPr>
            <w:r>
              <w:rPr>
                <w:rStyle w:val="231"/>
                <w:rFonts w:hint="default"/>
                <w:sz w:val="18"/>
                <w:szCs w:val="18"/>
              </w:rPr>
              <w:t>入侵检测</w:t>
            </w:r>
          </w:p>
        </w:tc>
        <w:tc>
          <w:tcPr>
            <w:tcW w:w="3112" w:type="dxa"/>
            <w:shd w:val="clear" w:color="auto" w:fill="auto"/>
            <w:vAlign w:val="center"/>
          </w:tcPr>
          <w:p>
            <w:pPr>
              <w:widowControl/>
              <w:jc w:val="center"/>
              <w:textAlignment w:val="center"/>
              <w:rPr>
                <w:rStyle w:val="231"/>
                <w:rFonts w:hint="default"/>
                <w:sz w:val="18"/>
                <w:szCs w:val="18"/>
              </w:rPr>
            </w:pPr>
            <w:r>
              <w:rPr>
                <w:rStyle w:val="231"/>
                <w:rFonts w:hint="default"/>
                <w:sz w:val="18"/>
                <w:szCs w:val="18"/>
              </w:rPr>
              <w:t>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widowControl/>
              <w:jc w:val="center"/>
              <w:textAlignment w:val="center"/>
              <w:rPr>
                <w:sz w:val="18"/>
                <w:szCs w:val="18"/>
              </w:rPr>
            </w:pPr>
            <w:r>
              <w:rPr>
                <w:rStyle w:val="231"/>
                <w:rFonts w:hint="default"/>
                <w:sz w:val="18"/>
                <w:szCs w:val="18"/>
              </w:rPr>
              <w:t>防御设备</w:t>
            </w:r>
          </w:p>
        </w:tc>
        <w:tc>
          <w:tcPr>
            <w:tcW w:w="3112" w:type="dxa"/>
            <w:shd w:val="clear" w:color="auto" w:fill="auto"/>
            <w:vAlign w:val="center"/>
          </w:tcPr>
          <w:p>
            <w:pPr>
              <w:widowControl/>
              <w:jc w:val="center"/>
              <w:textAlignment w:val="center"/>
              <w:rPr>
                <w:rFonts w:ascii="宋体" w:hAnsi="宋体"/>
                <w:sz w:val="18"/>
                <w:szCs w:val="18"/>
              </w:rPr>
            </w:pPr>
            <w:r>
              <w:rPr>
                <w:rFonts w:hint="eastAsia" w:ascii="宋体" w:hAnsi="宋体"/>
                <w:kern w:val="0"/>
                <w:sz w:val="18"/>
                <w:szCs w:val="18"/>
              </w:rPr>
              <w:t>0.748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rPr>
              <w:t>桌面及外围设备</w:t>
            </w:r>
          </w:p>
        </w:tc>
        <w:tc>
          <w:tcPr>
            <w:tcW w:w="6224" w:type="dxa"/>
            <w:gridSpan w:val="2"/>
            <w:shd w:val="clear" w:color="auto" w:fill="auto"/>
            <w:vAlign w:val="center"/>
          </w:tcPr>
          <w:p>
            <w:pPr>
              <w:pStyle w:val="178"/>
            </w:pPr>
            <w:r>
              <w:rPr>
                <w:rFonts w:hint="eastAsia"/>
              </w:rPr>
              <w:t>建议根据运维服务方案派驻人员服务时间折算</w:t>
            </w:r>
          </w:p>
        </w:tc>
      </w:tr>
    </w:tbl>
    <w:p>
      <w:pPr>
        <w:pStyle w:val="179"/>
      </w:pPr>
      <w:r>
        <w:rPr>
          <w:rFonts w:hint="eastAsia"/>
        </w:rPr>
        <w:t>上表数据来源于ITSS和IT研究治理中心关于硬件运维取费的参考标准。</w:t>
      </w:r>
    </w:p>
    <w:p>
      <w:pPr>
        <w:pStyle w:val="56"/>
        <w:ind w:firstLine="0" w:firstLineChars="0"/>
      </w:pPr>
    </w:p>
    <w:p>
      <w:pPr>
        <w:pStyle w:val="65"/>
        <w:spacing w:before="156" w:after="156"/>
      </w:pPr>
      <w:bookmarkStart w:id="55" w:name="_Toc180527471"/>
      <w:r>
        <w:rPr>
          <w:rFonts w:hint="eastAsia"/>
        </w:rPr>
        <w:t>计费说明</w:t>
      </w:r>
      <w:bookmarkEnd w:id="55"/>
    </w:p>
    <w:p>
      <w:pPr>
        <w:pStyle w:val="56"/>
        <w:ind w:firstLine="420"/>
      </w:pPr>
      <w:r>
        <w:rPr>
          <w:rFonts w:hint="eastAsia"/>
        </w:rPr>
        <w:t>项目质保期一般为系统竣工验收交付之日起一年，质保期内免运维费。</w:t>
      </w:r>
    </w:p>
    <w:p>
      <w:pPr>
        <w:pStyle w:val="56"/>
        <w:ind w:firstLine="420"/>
      </w:pPr>
      <w:r>
        <w:rPr>
          <w:rFonts w:hint="eastAsia"/>
        </w:rPr>
        <w:t>年度运维费（不含光纤租赁、机房托管服务等固定投入费用）一般不超过需要运维内容的建设费用的8%，涉及云运维和云服务的项目，年度云运维和云服务经费不超过需要运维内容的建设费用的2%。</w:t>
      </w:r>
    </w:p>
    <w:p>
      <w:pPr>
        <w:pStyle w:val="56"/>
        <w:ind w:firstLine="420"/>
      </w:pPr>
      <w:r>
        <w:rPr>
          <w:rFonts w:hint="eastAsia"/>
        </w:rPr>
        <w:t>人月费用单价参考附表</w:t>
      </w:r>
      <w:r>
        <w:t>A</w:t>
      </w:r>
      <w:r>
        <w:rPr>
          <w:rFonts w:hint="eastAsia"/>
        </w:rPr>
        <w:t>中信息系统运行维护工程技术人员的月人工成本执行。</w:t>
      </w:r>
    </w:p>
    <w:p>
      <w:pPr>
        <w:pStyle w:val="105"/>
        <w:spacing w:before="156" w:after="156"/>
      </w:pPr>
      <w:bookmarkStart w:id="56" w:name="_Toc180527472"/>
      <w:r>
        <w:rPr>
          <w:rFonts w:hint="eastAsia"/>
        </w:rPr>
        <w:t>软件运行维护费</w:t>
      </w:r>
      <w:bookmarkEnd w:id="56"/>
    </w:p>
    <w:p>
      <w:pPr>
        <w:pStyle w:val="56"/>
        <w:ind w:firstLine="420"/>
      </w:pPr>
      <w:r>
        <w:rPr>
          <w:rFonts w:hint="eastAsia"/>
        </w:rPr>
        <w:t>软件运行维护费指采用信息技术手段及方法，依据需方提出的服务级别要求，对其所使用的信息系统开展例行检查、状态监控、响应支持、优化改善、咨询评估等服务所产生的费用。</w:t>
      </w:r>
    </w:p>
    <w:p>
      <w:pPr>
        <w:pStyle w:val="56"/>
        <w:ind w:firstLine="420"/>
      </w:pPr>
      <w:r>
        <w:rPr>
          <w:rFonts w:hint="eastAsia"/>
        </w:rPr>
        <w:t>软件运维费包括运行维护服务中直接人力成本、直接非人力成本、间接人力成本和间接非人力成本。</w:t>
      </w:r>
    </w:p>
    <w:p>
      <w:pPr>
        <w:pStyle w:val="65"/>
        <w:spacing w:before="156" w:after="156"/>
      </w:pPr>
      <w:bookmarkStart w:id="57" w:name="_Toc180527473"/>
      <w:r>
        <w:rPr>
          <w:rFonts w:hint="eastAsia"/>
        </w:rPr>
        <w:t>计费标准</w:t>
      </w:r>
      <w:bookmarkEnd w:id="57"/>
    </w:p>
    <w:p>
      <w:pPr>
        <w:pStyle w:val="56"/>
        <w:ind w:firstLine="420"/>
      </w:pPr>
      <w:r>
        <w:rPr>
          <w:rFonts w:hint="eastAsia"/>
        </w:rPr>
        <w:t>按项计费。</w:t>
      </w:r>
    </w:p>
    <w:p>
      <w:pPr>
        <w:pStyle w:val="65"/>
        <w:spacing w:before="156" w:after="156"/>
      </w:pPr>
      <w:bookmarkStart w:id="58" w:name="_Toc180527474"/>
      <w:r>
        <w:rPr>
          <w:rFonts w:hint="eastAsia"/>
        </w:rPr>
        <w:t>计费方法</w:t>
      </w:r>
      <w:bookmarkEnd w:id="58"/>
    </w:p>
    <w:p>
      <w:pPr>
        <w:pStyle w:val="56"/>
        <w:ind w:firstLine="420"/>
      </w:pPr>
      <w:r>
        <w:rPr>
          <w:rFonts w:hint="eastAsia"/>
        </w:rPr>
        <w:t>①规模及规模单价度量</w:t>
      </w:r>
    </w:p>
    <w:p>
      <w:pPr>
        <w:pStyle w:val="56"/>
        <w:ind w:firstLine="420"/>
      </w:pPr>
      <w:r>
        <w:rPr>
          <w:rFonts w:hint="eastAsia"/>
        </w:rPr>
        <w:t>如果已经确定了运维功能点单价，则可以根据运维功能点单价测算软件运维成本，采用以下公式：</w:t>
      </w:r>
    </w:p>
    <w:p>
      <w:pPr>
        <w:pStyle w:val="56"/>
        <w:ind w:firstLine="420"/>
      </w:pPr>
      <w:r>
        <w:rPr>
          <w:rFonts w:hint="eastAsia"/>
        </w:rPr>
        <w:t>软件运维费＝(软件规模×运维功能点单价)×运维级别要求调整因子×运维能力调整因子×运维系统及业务特征调整因子＋直接非人力成本</w:t>
      </w:r>
    </w:p>
    <w:p>
      <w:pPr>
        <w:pStyle w:val="56"/>
        <w:ind w:firstLine="420"/>
      </w:pPr>
      <w:r>
        <w:rPr>
          <w:rFonts w:hint="eastAsia"/>
        </w:rPr>
        <w:t>②工作量度量</w:t>
      </w:r>
    </w:p>
    <w:p>
      <w:pPr>
        <w:pStyle w:val="56"/>
        <w:ind w:firstLine="420"/>
      </w:pPr>
      <w:r>
        <w:rPr>
          <w:rFonts w:hint="eastAsia"/>
        </w:rPr>
        <w:t>在获得了工作量估算结果后，采用以下公式计算软件运维成本：</w:t>
      </w:r>
    </w:p>
    <w:p>
      <w:pPr>
        <w:pStyle w:val="56"/>
        <w:ind w:firstLine="420"/>
      </w:pPr>
      <w:r>
        <w:rPr>
          <w:rFonts w:hint="eastAsia"/>
        </w:rPr>
        <w:t>软件运维费＝∑(第i类软件运维工作量×第i类软件运维平均人力成本费率)＋直接非人力成本</w:t>
      </w:r>
    </w:p>
    <w:p>
      <w:pPr>
        <w:pStyle w:val="56"/>
        <w:ind w:firstLine="420"/>
      </w:pPr>
      <w:r>
        <w:rPr>
          <w:rFonts w:hint="eastAsia"/>
        </w:rPr>
        <w:t>其中，软件运维服务工作量＝(软件规模×生产率)×运维级别要求调整因子×运维能力调整因子×运维系统及业务特征调整因子</w:t>
      </w:r>
    </w:p>
    <w:p>
      <w:pPr>
        <w:pStyle w:val="56"/>
        <w:ind w:firstLine="420"/>
      </w:pPr>
      <w:r>
        <w:rPr>
          <w:rFonts w:hint="eastAsia"/>
        </w:rPr>
        <w:t>③以比例系数法计费</w:t>
      </w:r>
    </w:p>
    <w:p>
      <w:pPr>
        <w:pStyle w:val="56"/>
        <w:ind w:firstLine="420"/>
      </w:pPr>
      <w:r>
        <w:rPr>
          <w:rFonts w:hint="eastAsia"/>
        </w:rPr>
        <w:t>如果了解软件建设所需（或所花费）的费用，也可根据应用软件运维费用相对建设费用的占比，进行应用软件运维费用的快速估算。</w:t>
      </w:r>
    </w:p>
    <w:p>
      <w:pPr>
        <w:pStyle w:val="56"/>
        <w:ind w:firstLine="420"/>
      </w:pPr>
      <w:r>
        <w:rPr>
          <w:rFonts w:hint="eastAsia"/>
        </w:rPr>
        <w:t>软件运行维护费＝∑软件值×运维费率×运维等级调整系数×服务期限</w:t>
      </w:r>
    </w:p>
    <w:p>
      <w:pPr>
        <w:pStyle w:val="65"/>
        <w:spacing w:before="156" w:after="156"/>
      </w:pPr>
      <w:bookmarkStart w:id="59" w:name="_Toc180527475"/>
      <w:r>
        <w:rPr>
          <w:rFonts w:hint="eastAsia"/>
        </w:rPr>
        <w:t>计费说明</w:t>
      </w:r>
      <w:bookmarkEnd w:id="59"/>
    </w:p>
    <w:p>
      <w:pPr>
        <w:pStyle w:val="56"/>
        <w:ind w:firstLine="420"/>
      </w:pPr>
      <w:r>
        <w:rPr>
          <w:rFonts w:hint="eastAsia"/>
        </w:rPr>
        <w:t>①对于应用软件，软件规模宜根据已知的软件功能描述，采用功能点方法度量软件规模。功能点的计数规则，宜采用NESMA方法或IFPUG方法，NESMA方法参考SJ/T 11619，IFPUG方法参考ISO相关国际标准。</w:t>
      </w:r>
    </w:p>
    <w:p>
      <w:pPr>
        <w:pStyle w:val="56"/>
        <w:ind w:firstLine="420"/>
      </w:pPr>
      <w:r>
        <w:rPr>
          <w:rFonts w:hint="eastAsia"/>
        </w:rPr>
        <w:t>②对于尚未交付的信息化项目，在进行规模测算时，应考虑隐含需求对规模产生的影响，并对规模进行调整，公式如下：</w:t>
      </w:r>
    </w:p>
    <w:p>
      <w:pPr>
        <w:pStyle w:val="56"/>
        <w:ind w:firstLine="420"/>
      </w:pPr>
      <w:r>
        <w:rPr>
          <w:rFonts w:hint="eastAsia"/>
        </w:rPr>
        <w:t>调整后的软件规模＝未调整软件规模×需求蔓延调整因子</w:t>
      </w:r>
    </w:p>
    <w:p>
      <w:pPr>
        <w:pStyle w:val="56"/>
        <w:ind w:firstLine="420"/>
      </w:pPr>
      <w:r>
        <w:rPr>
          <w:rFonts w:hint="eastAsia"/>
        </w:rPr>
        <w:t>其中，需求蔓延调整因子取值可参考相关行业基准数据或本组织历史数据，通常为1～2的任意实数。在项目已交付后如无特殊要求，取值为1。</w:t>
      </w:r>
    </w:p>
    <w:p>
      <w:pPr>
        <w:pStyle w:val="56"/>
        <w:ind w:firstLine="420"/>
      </w:pPr>
      <w:r>
        <w:rPr>
          <w:rFonts w:hint="eastAsia"/>
        </w:rPr>
        <w:t>③运维功能点单价包含软件开发的直接人力成本、间接人力成本、间接非人力成本及合理利润。参考中国软件行业基准数据（CSBMK®-202210）数据，北京地区运维功能点单价基准为123.73元/功能点，根据与北京地区应用软件运维人月费率对应关系折算，长沙地区运维功能点单价基准为97.70元/功能点。</w:t>
      </w:r>
    </w:p>
    <w:p>
      <w:pPr>
        <w:pStyle w:val="56"/>
        <w:ind w:firstLine="420"/>
      </w:pPr>
      <w:r>
        <w:rPr>
          <w:rFonts w:hint="eastAsia"/>
        </w:rPr>
        <w:t>应用软件运维生产率基准数据参考中国软件行业基准数据（CSBMK®-202210）中值为0.84（单位：人时/功能点），上下限范围为0.51～1.43（单位：人时/功能点）。</w:t>
      </w:r>
    </w:p>
    <w:p>
      <w:pPr>
        <w:pStyle w:val="56"/>
        <w:ind w:firstLine="420"/>
      </w:pPr>
      <w:r>
        <w:rPr>
          <w:rFonts w:hint="eastAsia"/>
        </w:rPr>
        <w:t>④运维级别要求调整因子：包括更新频率、技术支持方式、安全等级、响应时效，其中安全等级划分可参考GB/T 22239-2019，参数取值见表5～表8。</w:t>
      </w:r>
    </w:p>
    <w:p>
      <w:pPr>
        <w:pStyle w:val="112"/>
        <w:spacing w:before="156" w:after="156"/>
      </w:pPr>
      <w:r>
        <w:rPr>
          <w:rFonts w:hint="eastAsia"/>
        </w:rPr>
        <w:t>系统更新频率调整因子参考标准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系统更新频率</w:t>
            </w:r>
          </w:p>
        </w:tc>
        <w:tc>
          <w:tcPr>
            <w:tcW w:w="4672"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pPr>
            <w:r>
              <w:rPr>
                <w:rFonts w:hint="eastAsia"/>
              </w:rPr>
              <w:t>平均每季度1次或以下</w:t>
            </w:r>
          </w:p>
        </w:tc>
        <w:tc>
          <w:tcPr>
            <w:tcW w:w="4672" w:type="dxa"/>
            <w:tcBorders>
              <w:top w:val="single" w:color="auto" w:sz="8" w:space="0"/>
            </w:tcBorders>
            <w:shd w:val="clear" w:color="auto" w:fill="auto"/>
            <w:vAlign w:val="center"/>
          </w:tcPr>
          <w:p>
            <w:pPr>
              <w:pStyle w:val="178"/>
            </w:pPr>
            <w:r>
              <w:t>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平均每月1次或以下</w:t>
            </w:r>
          </w:p>
        </w:tc>
        <w:tc>
          <w:tcPr>
            <w:tcW w:w="4672" w:type="dxa"/>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超过每月1次</w:t>
            </w:r>
          </w:p>
        </w:tc>
        <w:tc>
          <w:tcPr>
            <w:tcW w:w="4672" w:type="dxa"/>
            <w:shd w:val="clear" w:color="auto" w:fill="auto"/>
            <w:vAlign w:val="center"/>
          </w:tcPr>
          <w:p>
            <w:pPr>
              <w:pStyle w:val="178"/>
            </w:pPr>
            <w:r>
              <w:t>1.12</w:t>
            </w:r>
          </w:p>
        </w:tc>
      </w:tr>
    </w:tbl>
    <w:p>
      <w:pPr>
        <w:pStyle w:val="56"/>
        <w:ind w:firstLine="420"/>
      </w:pPr>
    </w:p>
    <w:p>
      <w:pPr>
        <w:pStyle w:val="112"/>
        <w:spacing w:before="156" w:after="156"/>
      </w:pPr>
      <w:r>
        <w:rPr>
          <w:rFonts w:hint="eastAsia"/>
        </w:rPr>
        <w:t>支持方式调整因子参考标准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支持方式</w:t>
            </w:r>
          </w:p>
        </w:tc>
        <w:tc>
          <w:tcPr>
            <w:tcW w:w="4672"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pPr>
            <w:r>
              <w:rPr>
                <w:rFonts w:hint="eastAsia"/>
              </w:rPr>
              <w:t>远程为主</w:t>
            </w:r>
          </w:p>
        </w:tc>
        <w:tc>
          <w:tcPr>
            <w:tcW w:w="4672" w:type="dxa"/>
            <w:tcBorders>
              <w:top w:val="single" w:color="auto" w:sz="8" w:space="0"/>
            </w:tcBorders>
            <w:shd w:val="clear" w:color="auto" w:fill="auto"/>
            <w:vAlign w:val="center"/>
          </w:tcPr>
          <w:p>
            <w:pPr>
              <w:pStyle w:val="178"/>
            </w:pPr>
            <w:r>
              <w:t>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驻场为主</w:t>
            </w:r>
          </w:p>
        </w:tc>
        <w:tc>
          <w:tcPr>
            <w:tcW w:w="4672" w:type="dxa"/>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纯驻场支持</w:t>
            </w:r>
          </w:p>
        </w:tc>
        <w:tc>
          <w:tcPr>
            <w:tcW w:w="4672" w:type="dxa"/>
            <w:shd w:val="clear" w:color="auto" w:fill="auto"/>
            <w:vAlign w:val="center"/>
          </w:tcPr>
          <w:p>
            <w:pPr>
              <w:pStyle w:val="178"/>
            </w:pPr>
            <w:r>
              <w:t>1.08</w:t>
            </w:r>
          </w:p>
        </w:tc>
      </w:tr>
    </w:tbl>
    <w:p>
      <w:pPr>
        <w:pStyle w:val="56"/>
        <w:ind w:firstLine="420"/>
      </w:pPr>
    </w:p>
    <w:p>
      <w:pPr>
        <w:pStyle w:val="112"/>
        <w:spacing w:before="156" w:after="156"/>
      </w:pPr>
      <w:r>
        <w:rPr>
          <w:rFonts w:hint="eastAsia"/>
        </w:rPr>
        <w:t>安全等级调整因子参考标准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安全等级</w:t>
            </w:r>
          </w:p>
        </w:tc>
        <w:tc>
          <w:tcPr>
            <w:tcW w:w="4672"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tcBorders>
              <w:top w:val="single" w:color="auto" w:sz="8" w:space="0"/>
            </w:tcBorders>
            <w:shd w:val="clear" w:color="auto" w:fill="auto"/>
            <w:vAlign w:val="center"/>
          </w:tcPr>
          <w:p>
            <w:pPr>
              <w:pStyle w:val="178"/>
            </w:pPr>
            <w:r>
              <w:rPr>
                <w:rFonts w:hint="eastAsia"/>
              </w:rPr>
              <w:t>第一级</w:t>
            </w:r>
          </w:p>
        </w:tc>
        <w:tc>
          <w:tcPr>
            <w:tcW w:w="4672" w:type="dxa"/>
            <w:tcBorders>
              <w:top w:val="single" w:color="auto" w:sz="8" w:space="0"/>
            </w:tcBorders>
            <w:shd w:val="clear" w:color="auto" w:fill="auto"/>
            <w:vAlign w:val="center"/>
          </w:tcPr>
          <w:p>
            <w:pPr>
              <w:pStyle w:val="178"/>
            </w:pPr>
            <w:r>
              <w:rPr>
                <w:rFonts w:hint="eastAsia"/>
              </w:rPr>
              <w:t>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shd w:val="clear" w:color="auto" w:fill="auto"/>
            <w:vAlign w:val="center"/>
          </w:tcPr>
          <w:p>
            <w:pPr>
              <w:pStyle w:val="178"/>
            </w:pPr>
            <w:r>
              <w:rPr>
                <w:rFonts w:hint="eastAsia"/>
              </w:rPr>
              <w:t>第二级</w:t>
            </w:r>
          </w:p>
        </w:tc>
        <w:tc>
          <w:tcPr>
            <w:tcW w:w="4672" w:type="dxa"/>
            <w:shd w:val="clear" w:color="auto" w:fill="auto"/>
            <w:vAlign w:val="center"/>
          </w:tcPr>
          <w:p>
            <w:pPr>
              <w:pStyle w:val="178"/>
            </w:pPr>
            <w:r>
              <w:rPr>
                <w:rFonts w:hint="eastAsia"/>
              </w:rPr>
              <w:t>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shd w:val="clear" w:color="auto" w:fill="auto"/>
            <w:vAlign w:val="center"/>
          </w:tcPr>
          <w:p>
            <w:pPr>
              <w:pStyle w:val="178"/>
            </w:pPr>
            <w:r>
              <w:rPr>
                <w:rFonts w:hint="eastAsia"/>
              </w:rPr>
              <w:t>第三级</w:t>
            </w:r>
          </w:p>
        </w:tc>
        <w:tc>
          <w:tcPr>
            <w:tcW w:w="4672" w:type="dxa"/>
            <w:shd w:val="clear" w:color="auto" w:fill="auto"/>
            <w:vAlign w:val="center"/>
          </w:tcPr>
          <w:p>
            <w:pPr>
              <w:pStyle w:val="178"/>
            </w:pPr>
            <w:r>
              <w:rPr>
                <w:rFonts w:hint="eastAsi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shd w:val="clear" w:color="auto" w:fill="auto"/>
            <w:vAlign w:val="center"/>
          </w:tcPr>
          <w:p>
            <w:pPr>
              <w:pStyle w:val="178"/>
            </w:pPr>
            <w:r>
              <w:rPr>
                <w:rFonts w:hint="eastAsia"/>
              </w:rPr>
              <w:t>第四级</w:t>
            </w:r>
          </w:p>
        </w:tc>
        <w:tc>
          <w:tcPr>
            <w:tcW w:w="4672" w:type="dxa"/>
            <w:shd w:val="clear" w:color="auto" w:fill="auto"/>
            <w:vAlign w:val="center"/>
          </w:tcPr>
          <w:p>
            <w:pPr>
              <w:pStyle w:val="178"/>
            </w:pPr>
            <w:r>
              <w:rPr>
                <w:rFonts w:hint="eastAsia"/>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shd w:val="clear" w:color="auto" w:fill="auto"/>
            <w:vAlign w:val="center"/>
          </w:tcPr>
          <w:p>
            <w:pPr>
              <w:pStyle w:val="178"/>
            </w:pPr>
            <w:r>
              <w:rPr>
                <w:rFonts w:hint="eastAsia"/>
              </w:rPr>
              <w:t>第五级</w:t>
            </w:r>
          </w:p>
        </w:tc>
        <w:tc>
          <w:tcPr>
            <w:tcW w:w="4672" w:type="dxa"/>
            <w:shd w:val="clear" w:color="auto" w:fill="auto"/>
            <w:vAlign w:val="center"/>
          </w:tcPr>
          <w:p>
            <w:pPr>
              <w:pStyle w:val="178"/>
            </w:pPr>
            <w:r>
              <w:rPr>
                <w:rFonts w:hint="eastAsia"/>
              </w:rPr>
              <w:t>1.10</w:t>
            </w:r>
          </w:p>
        </w:tc>
      </w:tr>
    </w:tbl>
    <w:p>
      <w:pPr>
        <w:pStyle w:val="56"/>
        <w:ind w:firstLine="420"/>
      </w:pPr>
    </w:p>
    <w:p>
      <w:pPr>
        <w:pStyle w:val="112"/>
        <w:spacing w:before="156" w:after="156"/>
      </w:pPr>
      <w:r>
        <w:rPr>
          <w:rFonts w:hint="eastAsia"/>
        </w:rPr>
        <w:t>响应时效调整因子参考标准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响应时效</w:t>
            </w:r>
          </w:p>
        </w:tc>
        <w:tc>
          <w:tcPr>
            <w:tcW w:w="4672"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tcBorders>
              <w:top w:val="single" w:color="auto" w:sz="8" w:space="0"/>
            </w:tcBorders>
            <w:shd w:val="clear" w:color="auto" w:fill="auto"/>
            <w:vAlign w:val="center"/>
          </w:tcPr>
          <w:p>
            <w:pPr>
              <w:pStyle w:val="178"/>
            </w:pPr>
            <w:r>
              <w:rPr>
                <w:rFonts w:hint="eastAsia"/>
              </w:rPr>
              <w:t>一级故障处理时间小于72小时</w:t>
            </w:r>
          </w:p>
        </w:tc>
        <w:tc>
          <w:tcPr>
            <w:tcW w:w="4672" w:type="dxa"/>
            <w:tcBorders>
              <w:top w:val="single" w:color="auto" w:sz="8" w:space="0"/>
            </w:tcBorders>
            <w:shd w:val="clear" w:color="auto" w:fill="auto"/>
            <w:vAlign w:val="center"/>
          </w:tcPr>
          <w:p>
            <w:pPr>
              <w:pStyle w:val="178"/>
            </w:pPr>
            <w:r>
              <w:rPr>
                <w:rFonts w:hint="eastAsia"/>
              </w:rPr>
              <w:t>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shd w:val="clear" w:color="auto" w:fill="auto"/>
            <w:vAlign w:val="center"/>
          </w:tcPr>
          <w:p>
            <w:pPr>
              <w:pStyle w:val="178"/>
            </w:pPr>
            <w:r>
              <w:rPr>
                <w:rFonts w:hint="eastAsia"/>
              </w:rPr>
              <w:t>一级故障处理时间小于48小时</w:t>
            </w:r>
          </w:p>
        </w:tc>
        <w:tc>
          <w:tcPr>
            <w:tcW w:w="4672" w:type="dxa"/>
            <w:shd w:val="clear" w:color="auto" w:fill="auto"/>
            <w:vAlign w:val="center"/>
          </w:tcPr>
          <w:p>
            <w:pPr>
              <w:pStyle w:val="178"/>
            </w:pPr>
            <w:r>
              <w:rPr>
                <w:rFonts w:hint="eastAsi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72" w:type="dxa"/>
            <w:shd w:val="clear" w:color="auto" w:fill="auto"/>
            <w:vAlign w:val="center"/>
          </w:tcPr>
          <w:p>
            <w:pPr>
              <w:pStyle w:val="178"/>
            </w:pPr>
            <w:r>
              <w:rPr>
                <w:rFonts w:hint="eastAsia"/>
              </w:rPr>
              <w:t>一级故障处理时间小于24小时</w:t>
            </w:r>
          </w:p>
        </w:tc>
        <w:tc>
          <w:tcPr>
            <w:tcW w:w="4672" w:type="dxa"/>
            <w:shd w:val="clear" w:color="auto" w:fill="auto"/>
            <w:vAlign w:val="center"/>
          </w:tcPr>
          <w:p>
            <w:pPr>
              <w:pStyle w:val="178"/>
            </w:pPr>
            <w:r>
              <w:rPr>
                <w:rFonts w:hint="eastAsia"/>
              </w:rPr>
              <w:t>1.10</w:t>
            </w:r>
          </w:p>
        </w:tc>
      </w:tr>
    </w:tbl>
    <w:p>
      <w:pPr>
        <w:pStyle w:val="56"/>
        <w:ind w:firstLine="420"/>
      </w:pPr>
    </w:p>
    <w:p>
      <w:pPr>
        <w:pStyle w:val="56"/>
        <w:ind w:firstLine="420"/>
      </w:pPr>
      <w:r>
        <w:rPr>
          <w:rFonts w:hint="eastAsia"/>
        </w:rPr>
        <w:t>⑤运维能力调整因子：包括运维团队经验和自动化程度，参数取值见表9～表10。</w:t>
      </w:r>
    </w:p>
    <w:p>
      <w:pPr>
        <w:pStyle w:val="112"/>
        <w:spacing w:before="156" w:after="156"/>
      </w:pPr>
      <w:r>
        <w:rPr>
          <w:rFonts w:hint="eastAsia"/>
        </w:rPr>
        <w:t>运维团队经验调整因子参数表</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运维团队经验</w:t>
            </w:r>
          </w:p>
        </w:tc>
        <w:tc>
          <w:tcPr>
            <w:tcW w:w="4667"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78"/>
            </w:pPr>
            <w:r>
              <w:rPr>
                <w:rFonts w:hint="eastAsia"/>
              </w:rPr>
              <w:t>为本行业做过类似的项目</w:t>
            </w:r>
          </w:p>
        </w:tc>
        <w:tc>
          <w:tcPr>
            <w:tcW w:w="4667" w:type="dxa"/>
            <w:tcBorders>
              <w:top w:val="single" w:color="auto" w:sz="8" w:space="0"/>
            </w:tcBorders>
            <w:shd w:val="clear" w:color="auto" w:fill="auto"/>
            <w:vAlign w:val="center"/>
          </w:tcPr>
          <w:p>
            <w:pPr>
              <w:pStyle w:val="178"/>
            </w:pPr>
            <w: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为其他行业做过类似的项目，或为本行业做过不同但相关的项目</w:t>
            </w:r>
          </w:p>
        </w:tc>
        <w:tc>
          <w:tcPr>
            <w:tcW w:w="4667" w:type="dxa"/>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bottom w:val="single" w:color="auto" w:sz="8" w:space="0"/>
            </w:tcBorders>
            <w:shd w:val="clear" w:color="auto" w:fill="auto"/>
            <w:vAlign w:val="center"/>
          </w:tcPr>
          <w:p>
            <w:pPr>
              <w:pStyle w:val="178"/>
            </w:pPr>
            <w:r>
              <w:rPr>
                <w:rFonts w:hint="eastAsia"/>
              </w:rPr>
              <w:t>没有同类项目的背景</w:t>
            </w:r>
          </w:p>
        </w:tc>
        <w:tc>
          <w:tcPr>
            <w:tcW w:w="4667" w:type="dxa"/>
            <w:tcBorders>
              <w:bottom w:val="single" w:color="auto" w:sz="8" w:space="0"/>
            </w:tcBorders>
            <w:shd w:val="clear" w:color="auto" w:fill="auto"/>
            <w:vAlign w:val="center"/>
          </w:tcPr>
          <w:p>
            <w:pPr>
              <w:pStyle w:val="178"/>
            </w:pPr>
            <w:r>
              <w:t>1.20</w:t>
            </w:r>
          </w:p>
        </w:tc>
      </w:tr>
    </w:tbl>
    <w:p>
      <w:pPr>
        <w:pStyle w:val="179"/>
      </w:pPr>
      <w:r>
        <w:rPr>
          <w:rFonts w:hint="eastAsia"/>
        </w:rPr>
        <w:t>运维团队经验调整因子仅适用于工作量测算。</w:t>
      </w:r>
    </w:p>
    <w:p>
      <w:pPr>
        <w:pStyle w:val="56"/>
        <w:ind w:firstLine="420"/>
      </w:pPr>
    </w:p>
    <w:p>
      <w:pPr>
        <w:pStyle w:val="112"/>
        <w:spacing w:before="156" w:after="156"/>
      </w:pPr>
      <w:r>
        <w:rPr>
          <w:rFonts w:hint="eastAsia"/>
        </w:rPr>
        <w:t>自动化程度调整因子参数表</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自动化程度</w:t>
            </w:r>
          </w:p>
        </w:tc>
        <w:tc>
          <w:tcPr>
            <w:tcW w:w="4672" w:type="dxa"/>
            <w:tcBorders>
              <w:top w:val="single" w:color="auto" w:sz="8" w:space="0"/>
              <w:bottom w:val="single" w:color="auto" w:sz="8" w:space="0"/>
            </w:tcBorders>
            <w:shd w:val="clear" w:color="auto" w:fill="auto"/>
            <w:vAlign w:val="center"/>
          </w:tcPr>
          <w:p>
            <w:pPr>
              <w:pStyle w:val="178"/>
            </w:pPr>
            <w:r>
              <w:rPr>
                <w:rFonts w:hint="eastAsia"/>
              </w:rPr>
              <w:t>影响度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pPr>
            <w:r>
              <w:rPr>
                <w:rFonts w:hint="eastAsia"/>
              </w:rPr>
              <w:t>自动化</w:t>
            </w:r>
          </w:p>
        </w:tc>
        <w:tc>
          <w:tcPr>
            <w:tcW w:w="4672" w:type="dxa"/>
            <w:tcBorders>
              <w:top w:val="single" w:color="auto" w:sz="8" w:space="0"/>
            </w:tcBorders>
            <w:shd w:val="clear" w:color="auto" w:fill="auto"/>
            <w:vAlign w:val="center"/>
          </w:tcPr>
          <w:p>
            <w:pPr>
              <w:pStyle w:val="178"/>
            </w:pPr>
            <w:r>
              <w:t>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半自动化</w:t>
            </w:r>
          </w:p>
        </w:tc>
        <w:tc>
          <w:tcPr>
            <w:tcW w:w="4672" w:type="dxa"/>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无自动化</w:t>
            </w:r>
          </w:p>
        </w:tc>
        <w:tc>
          <w:tcPr>
            <w:tcW w:w="4672" w:type="dxa"/>
            <w:shd w:val="clear" w:color="auto" w:fill="auto"/>
            <w:vAlign w:val="center"/>
          </w:tcPr>
          <w:p>
            <w:pPr>
              <w:pStyle w:val="178"/>
            </w:pPr>
            <w:r>
              <w:t>1.10</w:t>
            </w:r>
          </w:p>
        </w:tc>
      </w:tr>
    </w:tbl>
    <w:p>
      <w:pPr>
        <w:pStyle w:val="56"/>
        <w:ind w:firstLine="420"/>
      </w:pPr>
    </w:p>
    <w:p>
      <w:pPr>
        <w:pStyle w:val="56"/>
        <w:ind w:firstLine="420"/>
      </w:pPr>
      <w:r>
        <w:rPr>
          <w:rFonts w:hint="eastAsia"/>
        </w:rPr>
        <w:t>⑥运维系统及业务特征调整因子：包括部署方式、用户规模和系统关联性，参数取值见表11～表13。</w:t>
      </w:r>
    </w:p>
    <w:p>
      <w:pPr>
        <w:pStyle w:val="112"/>
        <w:spacing w:before="156" w:after="156"/>
      </w:pPr>
      <w:r>
        <w:rPr>
          <w:rFonts w:hint="eastAsia"/>
        </w:rPr>
        <w:t>部署方式调整因子参考标准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部署方式</w:t>
            </w:r>
          </w:p>
        </w:tc>
        <w:tc>
          <w:tcPr>
            <w:tcW w:w="4672" w:type="dxa"/>
            <w:tcBorders>
              <w:top w:val="single" w:color="auto" w:sz="8" w:space="0"/>
              <w:bottom w:val="single" w:color="auto" w:sz="8" w:space="0"/>
            </w:tcBorders>
            <w:shd w:val="clear" w:color="auto" w:fill="auto"/>
            <w:vAlign w:val="center"/>
          </w:tcPr>
          <w:p>
            <w:pPr>
              <w:pStyle w:val="178"/>
            </w:pPr>
            <w:r>
              <w:rPr>
                <w:rFonts w:hint="eastAsia"/>
              </w:rPr>
              <w:t>影响度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pPr>
            <w:r>
              <w:rPr>
                <w:rFonts w:hint="eastAsia"/>
              </w:rPr>
              <w:t>集中</w:t>
            </w:r>
          </w:p>
        </w:tc>
        <w:tc>
          <w:tcPr>
            <w:tcW w:w="4672" w:type="dxa"/>
            <w:tcBorders>
              <w:top w:val="single" w:color="auto" w:sz="8" w:space="0"/>
            </w:tcBorders>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分散</w:t>
            </w:r>
          </w:p>
        </w:tc>
        <w:tc>
          <w:tcPr>
            <w:tcW w:w="4672" w:type="dxa"/>
            <w:shd w:val="clear" w:color="auto" w:fill="auto"/>
            <w:vAlign w:val="center"/>
          </w:tcPr>
          <w:p>
            <w:pPr>
              <w:pStyle w:val="178"/>
            </w:pPr>
            <w:r>
              <w:t>1.06</w:t>
            </w:r>
          </w:p>
        </w:tc>
      </w:tr>
    </w:tbl>
    <w:p>
      <w:pPr>
        <w:pStyle w:val="56"/>
        <w:ind w:firstLine="420"/>
      </w:pPr>
    </w:p>
    <w:p>
      <w:pPr>
        <w:pStyle w:val="112"/>
        <w:spacing w:before="156" w:after="156"/>
      </w:pPr>
      <w:r>
        <w:rPr>
          <w:rFonts w:hint="eastAsia"/>
        </w:rPr>
        <w:t>用户规模调整因子参考标准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用户规模</w:t>
            </w:r>
          </w:p>
        </w:tc>
        <w:tc>
          <w:tcPr>
            <w:tcW w:w="4672"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pPr>
            <w:r>
              <w:rPr>
                <w:rFonts w:hint="eastAsia"/>
              </w:rPr>
              <w:t>小于或等于1000个</w:t>
            </w:r>
          </w:p>
        </w:tc>
        <w:tc>
          <w:tcPr>
            <w:tcW w:w="4672" w:type="dxa"/>
            <w:tcBorders>
              <w:top w:val="single" w:color="auto" w:sz="8" w:space="0"/>
            </w:tcBorders>
            <w:shd w:val="clear" w:color="auto" w:fill="auto"/>
            <w:vAlign w:val="center"/>
          </w:tcPr>
          <w:p>
            <w:pPr>
              <w:pStyle w:val="178"/>
            </w:pPr>
            <w:r>
              <w:t>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小于或等于10000个</w:t>
            </w:r>
          </w:p>
        </w:tc>
        <w:tc>
          <w:tcPr>
            <w:tcW w:w="4672" w:type="dxa"/>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小于或等于10000个</w:t>
            </w:r>
          </w:p>
        </w:tc>
        <w:tc>
          <w:tcPr>
            <w:tcW w:w="4672" w:type="dxa"/>
            <w:shd w:val="clear" w:color="auto" w:fill="auto"/>
            <w:vAlign w:val="center"/>
          </w:tcPr>
          <w:p>
            <w:pPr>
              <w:pStyle w:val="178"/>
            </w:pPr>
            <w:r>
              <w:t>1.10</w:t>
            </w:r>
          </w:p>
        </w:tc>
      </w:tr>
    </w:tbl>
    <w:p>
      <w:pPr>
        <w:pStyle w:val="56"/>
        <w:ind w:firstLine="420"/>
      </w:pPr>
    </w:p>
    <w:p>
      <w:pPr>
        <w:pStyle w:val="112"/>
        <w:spacing w:before="156" w:after="156"/>
      </w:pPr>
      <w:r>
        <w:rPr>
          <w:rFonts w:hint="eastAsia"/>
        </w:rPr>
        <w:t>系统关联性调整因子参考标准</w:t>
      </w:r>
    </w:p>
    <w:tbl>
      <w:tblPr>
        <w:tblStyle w:val="33"/>
        <w:tblW w:w="93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78"/>
            </w:pPr>
            <w:r>
              <w:rPr>
                <w:rFonts w:hint="eastAsia"/>
              </w:rPr>
              <w:t>系统关联性</w:t>
            </w:r>
          </w:p>
        </w:tc>
        <w:tc>
          <w:tcPr>
            <w:tcW w:w="4672" w:type="dxa"/>
            <w:tcBorders>
              <w:top w:val="single" w:color="auto" w:sz="8" w:space="0"/>
              <w:bottom w:val="single" w:color="auto" w:sz="8" w:space="0"/>
            </w:tcBorders>
            <w:shd w:val="clear" w:color="auto" w:fill="auto"/>
            <w:vAlign w:val="center"/>
          </w:tcPr>
          <w:p>
            <w:pPr>
              <w:pStyle w:val="178"/>
            </w:pPr>
            <w:r>
              <w:rPr>
                <w:rFonts w:hint="eastAsia"/>
              </w:rPr>
              <w:t>调整因子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8"/>
            </w:pPr>
            <w:r>
              <w:rPr>
                <w:rFonts w:hint="eastAsia"/>
              </w:rPr>
              <w:t>无</w:t>
            </w:r>
          </w:p>
        </w:tc>
        <w:tc>
          <w:tcPr>
            <w:tcW w:w="4672" w:type="dxa"/>
            <w:tcBorders>
              <w:top w:val="single" w:color="auto" w:sz="8" w:space="0"/>
            </w:tcBorders>
            <w:shd w:val="clear" w:color="auto" w:fill="auto"/>
            <w:vAlign w:val="center"/>
          </w:tcPr>
          <w:p>
            <w:pPr>
              <w:pStyle w:val="178"/>
            </w:pPr>
            <w:r>
              <w:t>0.97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1～5个系统</w:t>
            </w:r>
          </w:p>
        </w:tc>
        <w:tc>
          <w:tcPr>
            <w:tcW w:w="4672" w:type="dxa"/>
            <w:shd w:val="clear" w:color="auto" w:fill="auto"/>
            <w:vAlign w:val="center"/>
          </w:tcPr>
          <w:p>
            <w:pPr>
              <w:pStyle w:val="178"/>
            </w:pP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72" w:type="dxa"/>
            <w:shd w:val="clear" w:color="auto" w:fill="auto"/>
            <w:vAlign w:val="center"/>
          </w:tcPr>
          <w:p>
            <w:pPr>
              <w:pStyle w:val="178"/>
            </w:pPr>
            <w:r>
              <w:rPr>
                <w:rFonts w:hint="eastAsia"/>
              </w:rPr>
              <w:t>6个及以上</w:t>
            </w:r>
          </w:p>
        </w:tc>
        <w:tc>
          <w:tcPr>
            <w:tcW w:w="4672" w:type="dxa"/>
            <w:shd w:val="clear" w:color="auto" w:fill="auto"/>
            <w:vAlign w:val="center"/>
          </w:tcPr>
          <w:p>
            <w:pPr>
              <w:pStyle w:val="178"/>
            </w:pPr>
            <w:r>
              <w:t>1.14</w:t>
            </w:r>
          </w:p>
        </w:tc>
      </w:tr>
    </w:tbl>
    <w:p>
      <w:pPr>
        <w:pStyle w:val="56"/>
        <w:ind w:firstLine="420"/>
      </w:pPr>
    </w:p>
    <w:p>
      <w:pPr>
        <w:pStyle w:val="56"/>
        <w:ind w:firstLine="420"/>
      </w:pPr>
      <w:r>
        <w:rPr>
          <w:rFonts w:hint="eastAsia"/>
        </w:rPr>
        <w:t>⑦运维费率：定制软件在开展定期巡检、调整优化和版本升级运维时，软件运维费用不超过软件开发费用的8%（项目质保期满后第1年起）。中国软件行业基准数据（CSBMK®-202210）中给出了应用软件运维费用相对建设费用占比，见表14，（通常使用P50的取值测算最有可能值，使用P25和P75的值分别测算上下限）。</w:t>
      </w:r>
    </w:p>
    <w:p>
      <w:pPr>
        <w:pStyle w:val="112"/>
        <w:spacing w:before="156" w:after="156"/>
      </w:pPr>
      <w:r>
        <w:rPr>
          <w:rFonts w:hint="eastAsia"/>
        </w:rPr>
        <w:t>应用软件运维费用占比基准数据明细</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866" w:type="dxa"/>
            <w:tcBorders>
              <w:top w:val="single" w:color="auto" w:sz="8" w:space="0"/>
              <w:bottom w:val="single" w:color="auto" w:sz="8" w:space="0"/>
            </w:tcBorders>
            <w:shd w:val="clear" w:color="auto" w:fill="auto"/>
            <w:vAlign w:val="center"/>
          </w:tcPr>
          <w:p>
            <w:pPr>
              <w:pStyle w:val="178"/>
            </w:pPr>
            <w:r>
              <w:t>P10</w:t>
            </w:r>
          </w:p>
        </w:tc>
        <w:tc>
          <w:tcPr>
            <w:tcW w:w="1867" w:type="dxa"/>
            <w:tcBorders>
              <w:top w:val="single" w:color="auto" w:sz="8" w:space="0"/>
              <w:bottom w:val="single" w:color="auto" w:sz="8" w:space="0"/>
            </w:tcBorders>
            <w:shd w:val="clear" w:color="auto" w:fill="auto"/>
            <w:vAlign w:val="center"/>
          </w:tcPr>
          <w:p>
            <w:pPr>
              <w:pStyle w:val="178"/>
            </w:pPr>
            <w:r>
              <w:t>P25</w:t>
            </w:r>
          </w:p>
        </w:tc>
        <w:tc>
          <w:tcPr>
            <w:tcW w:w="1867" w:type="dxa"/>
            <w:tcBorders>
              <w:top w:val="single" w:color="auto" w:sz="8" w:space="0"/>
              <w:bottom w:val="single" w:color="auto" w:sz="8" w:space="0"/>
            </w:tcBorders>
            <w:shd w:val="clear" w:color="auto" w:fill="auto"/>
            <w:vAlign w:val="center"/>
          </w:tcPr>
          <w:p>
            <w:pPr>
              <w:pStyle w:val="178"/>
            </w:pPr>
            <w:r>
              <w:t>P50</w:t>
            </w:r>
          </w:p>
        </w:tc>
        <w:tc>
          <w:tcPr>
            <w:tcW w:w="1867" w:type="dxa"/>
            <w:tcBorders>
              <w:top w:val="single" w:color="auto" w:sz="8" w:space="0"/>
              <w:bottom w:val="single" w:color="auto" w:sz="8" w:space="0"/>
            </w:tcBorders>
            <w:shd w:val="clear" w:color="auto" w:fill="auto"/>
            <w:vAlign w:val="center"/>
          </w:tcPr>
          <w:p>
            <w:pPr>
              <w:pStyle w:val="178"/>
            </w:pPr>
            <w:r>
              <w:t>P75</w:t>
            </w:r>
          </w:p>
        </w:tc>
        <w:tc>
          <w:tcPr>
            <w:tcW w:w="1867" w:type="dxa"/>
            <w:tcBorders>
              <w:top w:val="single" w:color="auto" w:sz="8" w:space="0"/>
              <w:bottom w:val="single" w:color="auto" w:sz="8" w:space="0"/>
            </w:tcBorders>
            <w:shd w:val="clear" w:color="auto" w:fill="auto"/>
            <w:vAlign w:val="center"/>
          </w:tcPr>
          <w:p>
            <w:pPr>
              <w:pStyle w:val="178"/>
            </w:pPr>
            <w:r>
              <w:t>P90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866" w:type="dxa"/>
            <w:tcBorders>
              <w:top w:val="single" w:color="auto" w:sz="8" w:space="0"/>
            </w:tcBorders>
            <w:shd w:val="clear" w:color="auto" w:fill="auto"/>
            <w:vAlign w:val="center"/>
          </w:tcPr>
          <w:p>
            <w:pPr>
              <w:pStyle w:val="178"/>
            </w:pPr>
            <w:r>
              <w:t>2.38%</w:t>
            </w:r>
          </w:p>
        </w:tc>
        <w:tc>
          <w:tcPr>
            <w:tcW w:w="1867" w:type="dxa"/>
            <w:tcBorders>
              <w:top w:val="single" w:color="auto" w:sz="8" w:space="0"/>
            </w:tcBorders>
            <w:shd w:val="clear" w:color="auto" w:fill="auto"/>
            <w:vAlign w:val="center"/>
          </w:tcPr>
          <w:p>
            <w:pPr>
              <w:pStyle w:val="178"/>
            </w:pPr>
            <w:r>
              <w:t>6.63%</w:t>
            </w:r>
          </w:p>
        </w:tc>
        <w:tc>
          <w:tcPr>
            <w:tcW w:w="1867" w:type="dxa"/>
            <w:tcBorders>
              <w:top w:val="single" w:color="auto" w:sz="8" w:space="0"/>
            </w:tcBorders>
            <w:shd w:val="clear" w:color="auto" w:fill="auto"/>
            <w:vAlign w:val="center"/>
          </w:tcPr>
          <w:p>
            <w:pPr>
              <w:pStyle w:val="178"/>
            </w:pPr>
            <w:r>
              <w:t>9.89%</w:t>
            </w:r>
          </w:p>
        </w:tc>
        <w:tc>
          <w:tcPr>
            <w:tcW w:w="1867" w:type="dxa"/>
            <w:tcBorders>
              <w:top w:val="single" w:color="auto" w:sz="8" w:space="0"/>
            </w:tcBorders>
            <w:shd w:val="clear" w:color="auto" w:fill="auto"/>
            <w:vAlign w:val="center"/>
          </w:tcPr>
          <w:p>
            <w:pPr>
              <w:pStyle w:val="178"/>
            </w:pPr>
            <w:r>
              <w:t>14.58%</w:t>
            </w:r>
          </w:p>
        </w:tc>
        <w:tc>
          <w:tcPr>
            <w:tcW w:w="1867" w:type="dxa"/>
            <w:tcBorders>
              <w:top w:val="single" w:color="auto" w:sz="8" w:space="0"/>
            </w:tcBorders>
            <w:shd w:val="clear" w:color="auto" w:fill="auto"/>
            <w:vAlign w:val="center"/>
          </w:tcPr>
          <w:p>
            <w:pPr>
              <w:pStyle w:val="178"/>
            </w:pPr>
            <w:r>
              <w:t>25.69%</w:t>
            </w:r>
          </w:p>
        </w:tc>
      </w:tr>
    </w:tbl>
    <w:p>
      <w:pPr>
        <w:pStyle w:val="56"/>
        <w:ind w:firstLine="420"/>
      </w:pPr>
    </w:p>
    <w:p>
      <w:pPr>
        <w:pStyle w:val="56"/>
        <w:ind w:firstLine="420"/>
      </w:pPr>
      <w:r>
        <w:rPr>
          <w:rFonts w:hint="eastAsia"/>
        </w:rPr>
        <w:t>⑧软件值计费基数为软件开发费用。</w:t>
      </w:r>
    </w:p>
    <w:p>
      <w:pPr>
        <w:pStyle w:val="56"/>
        <w:ind w:firstLine="420"/>
      </w:pPr>
      <w:r>
        <w:rPr>
          <w:rFonts w:hint="eastAsia"/>
        </w:rPr>
        <w:t>⑨运维等级调整系数取值见表3。</w:t>
      </w:r>
    </w:p>
    <w:p>
      <w:pPr>
        <w:pStyle w:val="56"/>
        <w:ind w:firstLine="420"/>
      </w:pPr>
    </w:p>
    <w:p>
      <w:pPr>
        <w:pStyle w:val="105"/>
        <w:spacing w:before="156" w:after="156"/>
      </w:pPr>
      <w:bookmarkStart w:id="60" w:name="_Toc180527476"/>
      <w:r>
        <w:rPr>
          <w:rFonts w:hint="eastAsia"/>
        </w:rPr>
        <w:t>基础环境维护费</w:t>
      </w:r>
      <w:bookmarkEnd w:id="60"/>
    </w:p>
    <w:p>
      <w:pPr>
        <w:pStyle w:val="56"/>
        <w:ind w:firstLine="420"/>
      </w:pPr>
      <w:r>
        <w:rPr>
          <w:rFonts w:hint="eastAsia"/>
        </w:rPr>
        <w:t>基础环境维护费是对保证信息系统正常运行所必需的电力、空调、消防、安防等基础设施的运维，包括机房电力、消防、安防等系统的例行检查及状态监控、响应支持、故障处理、性能优化等服务。</w:t>
      </w:r>
    </w:p>
    <w:p>
      <w:pPr>
        <w:pStyle w:val="56"/>
        <w:ind w:firstLine="420"/>
      </w:pPr>
      <w:r>
        <w:rPr>
          <w:rFonts w:hint="eastAsia"/>
        </w:rPr>
        <w:t>基础环境运维服务的对象包括机房（供配电系统、发电机系统、精密空调系统、新风系统、防雷接地系统、消防系统、门禁系统、电气保护设备等）、视频监控系统（视频系统、音频系统、集中控制系统、监控中心大屏系统等）、局域网综合布线传输介质、相关连接硬件（如配线架、连接器、插座、插头、适配器）。</w:t>
      </w:r>
    </w:p>
    <w:p>
      <w:pPr>
        <w:pStyle w:val="65"/>
        <w:spacing w:before="156" w:after="156"/>
      </w:pPr>
      <w:bookmarkStart w:id="61" w:name="_Toc180527477"/>
      <w:r>
        <w:rPr>
          <w:rFonts w:hint="eastAsia"/>
        </w:rPr>
        <w:t>计费标准</w:t>
      </w:r>
      <w:bookmarkEnd w:id="61"/>
    </w:p>
    <w:p>
      <w:pPr>
        <w:pStyle w:val="56"/>
        <w:ind w:firstLine="420"/>
      </w:pPr>
      <w:r>
        <w:rPr>
          <w:rFonts w:hint="eastAsia"/>
        </w:rPr>
        <w:t>按比例系数法计费。</w:t>
      </w:r>
    </w:p>
    <w:p>
      <w:pPr>
        <w:pStyle w:val="65"/>
        <w:spacing w:before="156" w:after="156"/>
      </w:pPr>
      <w:bookmarkStart w:id="62" w:name="_Toc180527478"/>
      <w:r>
        <w:rPr>
          <w:rFonts w:hint="eastAsia"/>
        </w:rPr>
        <w:t>计费方法</w:t>
      </w:r>
      <w:bookmarkEnd w:id="62"/>
    </w:p>
    <w:p>
      <w:pPr>
        <w:pStyle w:val="56"/>
        <w:ind w:firstLine="420"/>
      </w:pPr>
      <w:r>
        <w:rPr>
          <w:rFonts w:hint="eastAsia"/>
        </w:rPr>
        <w:t>基础环境维护费＝∑设备原值×运维费率×运维等级调整系数×服务期限</w:t>
      </w:r>
    </w:p>
    <w:p>
      <w:pPr>
        <w:pStyle w:val="65"/>
        <w:spacing w:before="156" w:after="156"/>
      </w:pPr>
      <w:bookmarkStart w:id="63" w:name="_Toc180527479"/>
      <w:r>
        <w:rPr>
          <w:rFonts w:hint="eastAsia"/>
        </w:rPr>
        <w:t>计费说明</w:t>
      </w:r>
      <w:bookmarkEnd w:id="63"/>
    </w:p>
    <w:p>
      <w:pPr>
        <w:pStyle w:val="56"/>
        <w:ind w:firstLine="420"/>
      </w:pPr>
      <w:r>
        <w:rPr>
          <w:rFonts w:hint="eastAsia"/>
        </w:rPr>
        <w:t>运维费率详见表2，运维等级调整系数详见表3。</w:t>
      </w:r>
    </w:p>
    <w:p>
      <w:pPr>
        <w:pStyle w:val="56"/>
        <w:ind w:firstLine="420"/>
      </w:pPr>
      <w:r>
        <w:rPr>
          <w:rFonts w:hint="eastAsia"/>
        </w:rPr>
        <w:t>项目质保期一般为系统竣工验收交付之日起一年，质保期内免运维费。</w:t>
      </w:r>
    </w:p>
    <w:p>
      <w:pPr>
        <w:pStyle w:val="56"/>
        <w:ind w:firstLine="420"/>
      </w:pPr>
      <w:r>
        <w:rPr>
          <w:rFonts w:hint="eastAsia"/>
        </w:rPr>
        <w:t>年度运维费（不含光纤租赁、机房托管服务等固定投入费用）一般不超过需要运维内容的建设费用的8%，涉及云运维和云服务的项目，年度云运维和云服务经费不超过需要运维内容的建设费用的2%。</w:t>
      </w:r>
    </w:p>
    <w:p>
      <w:pPr>
        <w:pStyle w:val="105"/>
        <w:spacing w:before="156" w:after="156"/>
      </w:pPr>
      <w:bookmarkStart w:id="64" w:name="_Toc180527480"/>
      <w:r>
        <w:rPr>
          <w:rFonts w:hint="eastAsia"/>
        </w:rPr>
        <w:t>系统运营费</w:t>
      </w:r>
      <w:bookmarkEnd w:id="64"/>
    </w:p>
    <w:p>
      <w:pPr>
        <w:pStyle w:val="56"/>
        <w:ind w:firstLine="420"/>
      </w:pPr>
      <w:r>
        <w:rPr>
          <w:rFonts w:hint="eastAsia"/>
        </w:rPr>
        <w:t>系统运营费指受理、接收业务部门提出的服务请求，并对服务请求进行分析和处理所产生的费用。</w:t>
      </w:r>
    </w:p>
    <w:p>
      <w:pPr>
        <w:pStyle w:val="65"/>
        <w:spacing w:before="156" w:after="156"/>
      </w:pPr>
      <w:bookmarkStart w:id="65" w:name="_Toc180527481"/>
      <w:r>
        <w:rPr>
          <w:rFonts w:hint="eastAsia"/>
        </w:rPr>
        <w:t>计费标准</w:t>
      </w:r>
      <w:bookmarkEnd w:id="65"/>
    </w:p>
    <w:p>
      <w:pPr>
        <w:pStyle w:val="56"/>
        <w:ind w:firstLine="420"/>
      </w:pPr>
      <w:r>
        <w:rPr>
          <w:rFonts w:hint="eastAsia"/>
        </w:rPr>
        <w:t>按人月费用单价法计费。</w:t>
      </w:r>
    </w:p>
    <w:p>
      <w:pPr>
        <w:pStyle w:val="65"/>
        <w:spacing w:before="156" w:after="156"/>
      </w:pPr>
      <w:bookmarkStart w:id="66" w:name="_Toc180527482"/>
      <w:r>
        <w:rPr>
          <w:rFonts w:hint="eastAsia"/>
        </w:rPr>
        <w:t>计费方法</w:t>
      </w:r>
      <w:bookmarkEnd w:id="66"/>
    </w:p>
    <w:p>
      <w:pPr>
        <w:pStyle w:val="56"/>
        <w:ind w:firstLine="420"/>
      </w:pPr>
      <w:r>
        <w:rPr>
          <w:rFonts w:hint="eastAsia"/>
        </w:rPr>
        <w:t>系统运营费＝服务人日×人日费用单价</w:t>
      </w:r>
    </w:p>
    <w:p>
      <w:pPr>
        <w:pStyle w:val="65"/>
        <w:spacing w:before="156" w:after="156"/>
      </w:pPr>
      <w:bookmarkStart w:id="67" w:name="_Toc180527483"/>
      <w:r>
        <w:rPr>
          <w:rFonts w:hint="eastAsia"/>
        </w:rPr>
        <w:t>计费说明</w:t>
      </w:r>
      <w:bookmarkEnd w:id="67"/>
    </w:p>
    <w:p>
      <w:pPr>
        <w:pStyle w:val="56"/>
        <w:ind w:firstLine="420"/>
      </w:pPr>
      <w:r>
        <w:rPr>
          <w:rFonts w:hint="eastAsia"/>
        </w:rPr>
        <w:t>人日费用单价可参考附录A中信息系统运行维护工程技术人员或呼叫中心服务员的日人工成本执行。</w:t>
      </w:r>
    </w:p>
    <w:p>
      <w:pPr>
        <w:pStyle w:val="105"/>
        <w:spacing w:before="156" w:after="156"/>
      </w:pPr>
      <w:bookmarkStart w:id="68" w:name="_Toc180527484"/>
      <w:r>
        <w:rPr>
          <w:rFonts w:hint="eastAsia"/>
        </w:rPr>
        <w:t>安全运维费</w:t>
      </w:r>
      <w:bookmarkEnd w:id="68"/>
    </w:p>
    <w:p>
      <w:pPr>
        <w:pStyle w:val="65"/>
        <w:spacing w:before="156" w:after="156"/>
      </w:pPr>
      <w:bookmarkStart w:id="69" w:name="_Toc180527485"/>
      <w:r>
        <w:rPr>
          <w:rFonts w:hint="eastAsia"/>
        </w:rPr>
        <w:t>代码审计</w:t>
      </w:r>
      <w:bookmarkEnd w:id="69"/>
    </w:p>
    <w:p>
      <w:pPr>
        <w:pStyle w:val="56"/>
        <w:ind w:firstLine="420"/>
      </w:pPr>
      <w:r>
        <w:rPr>
          <w:rFonts w:hint="eastAsia"/>
        </w:rPr>
        <w:t>代码审计是指为确保信息化项目建成交付的源代码的安全性、规范性，发现代码中存在的安全漏洞、程序错误、语义缺陷和性能缺陷等方面的问题，在信息化项目验收前委托具有相应资质的第三方机构对项目源代码进行源代码扫描和审计。</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计费方法间表15</w:t>
      </w:r>
      <w:r>
        <w:t>。</w:t>
      </w:r>
    </w:p>
    <w:p>
      <w:pPr>
        <w:pStyle w:val="112"/>
        <w:spacing w:before="156" w:after="156"/>
      </w:pPr>
      <w:r>
        <w:rPr>
          <w:rFonts w:hint="eastAsia"/>
        </w:rPr>
        <w:t>源代码审计费率</w:t>
      </w:r>
    </w:p>
    <w:tbl>
      <w:tblPr>
        <w:tblStyle w:val="33"/>
        <w:tblW w:w="878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34"/>
        <w:gridCol w:w="2136"/>
        <w:gridCol w:w="2551"/>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134" w:type="dxa"/>
            <w:tcBorders>
              <w:top w:val="single" w:color="auto" w:sz="8" w:space="0"/>
              <w:bottom w:val="single" w:color="auto" w:sz="8" w:space="0"/>
            </w:tcBorders>
            <w:shd w:val="clear" w:color="auto" w:fill="auto"/>
            <w:vAlign w:val="center"/>
          </w:tcPr>
          <w:p>
            <w:pPr>
              <w:pStyle w:val="178"/>
              <w:rPr>
                <w:b/>
                <w:szCs w:val="18"/>
              </w:rPr>
            </w:pPr>
            <w:r>
              <w:rPr>
                <w:rFonts w:hint="eastAsia"/>
                <w:b/>
                <w:szCs w:val="18"/>
              </w:rPr>
              <w:t>序号</w:t>
            </w:r>
          </w:p>
        </w:tc>
        <w:tc>
          <w:tcPr>
            <w:tcW w:w="2136"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源代码规模（万行）</w:t>
            </w:r>
          </w:p>
        </w:tc>
        <w:tc>
          <w:tcPr>
            <w:tcW w:w="2551"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收费标准（万元/万行）</w:t>
            </w:r>
          </w:p>
        </w:tc>
        <w:tc>
          <w:tcPr>
            <w:tcW w:w="2965"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代码审计服务费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tcBorders>
              <w:top w:val="single" w:color="auto" w:sz="8" w:space="0"/>
            </w:tcBorders>
            <w:shd w:val="clear" w:color="auto" w:fill="auto"/>
            <w:vAlign w:val="center"/>
          </w:tcPr>
          <w:p>
            <w:pPr>
              <w:pStyle w:val="178"/>
            </w:pPr>
            <w:r>
              <w:rPr>
                <w:rFonts w:hint="eastAsia"/>
              </w:rPr>
              <w:t>1</w:t>
            </w:r>
          </w:p>
        </w:tc>
        <w:tc>
          <w:tcPr>
            <w:tcW w:w="2136"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X≤10</w:t>
            </w:r>
          </w:p>
        </w:tc>
        <w:tc>
          <w:tcPr>
            <w:tcW w:w="2551"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0.15</w:t>
            </w:r>
          </w:p>
        </w:tc>
        <w:tc>
          <w:tcPr>
            <w:tcW w:w="2965" w:type="dxa"/>
            <w:tcBorders>
              <w:top w:val="single" w:color="auto" w:sz="8" w:space="0"/>
            </w:tcBorders>
            <w:shd w:val="clear" w:color="auto" w:fill="auto"/>
            <w:vAlign w:val="center"/>
          </w:tcPr>
          <w:p>
            <w:pPr>
              <w:pStyle w:val="232"/>
              <w:spacing w:line="240" w:lineRule="atLeast"/>
              <w:ind w:firstLine="180" w:firstLineChars="100"/>
              <w:jc w:val="left"/>
              <w:rPr>
                <w:rFonts w:cs="Times New Roman"/>
                <w:sz w:val="18"/>
                <w:szCs w:val="18"/>
                <w:shd w:val="clear" w:color="auto" w:fill="FFFFFF"/>
              </w:rPr>
            </w:pPr>
            <w:r>
              <w:rPr>
                <w:rFonts w:hint="eastAsia" w:cs="Times New Roman"/>
                <w:sz w:val="18"/>
                <w:szCs w:val="18"/>
                <w:shd w:val="clear" w:color="auto" w:fill="FFFFFF"/>
              </w:rPr>
              <w:t>X</w:t>
            </w:r>
            <w:r>
              <w:rPr>
                <w:rFonts w:hint="eastAsia" w:cs="Times New Roman"/>
                <w:kern w:val="0"/>
                <w:sz w:val="18"/>
                <w:szCs w:val="18"/>
                <w:shd w:val="clear" w:color="auto" w:fill="FFFFFF"/>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78"/>
            </w:pPr>
            <w:r>
              <w:rPr>
                <w:rFonts w:hint="eastAsia"/>
              </w:rPr>
              <w:t>2</w:t>
            </w:r>
          </w:p>
        </w:tc>
        <w:tc>
          <w:tcPr>
            <w:tcW w:w="2136"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10＜X≤30</w:t>
            </w:r>
          </w:p>
        </w:tc>
        <w:tc>
          <w:tcPr>
            <w:tcW w:w="2551"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0.13</w:t>
            </w:r>
          </w:p>
        </w:tc>
        <w:tc>
          <w:tcPr>
            <w:tcW w:w="2965" w:type="dxa"/>
            <w:shd w:val="clear" w:color="auto" w:fill="auto"/>
            <w:vAlign w:val="center"/>
          </w:tcPr>
          <w:p>
            <w:pPr>
              <w:pStyle w:val="232"/>
              <w:spacing w:line="240" w:lineRule="atLeast"/>
              <w:ind w:firstLine="180" w:firstLineChars="100"/>
              <w:jc w:val="left"/>
              <w:rPr>
                <w:rFonts w:cs="Times New Roman"/>
                <w:sz w:val="18"/>
                <w:szCs w:val="18"/>
                <w:shd w:val="clear" w:color="auto" w:fill="FFFFFF"/>
              </w:rPr>
            </w:pPr>
            <w:r>
              <w:rPr>
                <w:rFonts w:hint="eastAsia" w:cs="Times New Roman"/>
                <w:sz w:val="18"/>
                <w:szCs w:val="18"/>
                <w:shd w:val="clear" w:color="auto" w:fill="FFFFFF"/>
              </w:rPr>
              <w:t>1.5</w:t>
            </w:r>
            <w:r>
              <w:rPr>
                <w:rFonts w:hint="eastAsia" w:cs="Times New Roman"/>
                <w:kern w:val="0"/>
                <w:sz w:val="18"/>
                <w:szCs w:val="18"/>
                <w:shd w:val="clear" w:color="auto" w:fill="FFFFFF"/>
              </w:rPr>
              <w:t>＋（X-10）×0.13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78"/>
            </w:pPr>
            <w:r>
              <w:rPr>
                <w:rFonts w:hint="eastAsia"/>
              </w:rPr>
              <w:t>3</w:t>
            </w:r>
          </w:p>
        </w:tc>
        <w:tc>
          <w:tcPr>
            <w:tcW w:w="2136"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30＜X≤50</w:t>
            </w:r>
          </w:p>
        </w:tc>
        <w:tc>
          <w:tcPr>
            <w:tcW w:w="2551"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0.11</w:t>
            </w:r>
          </w:p>
        </w:tc>
        <w:tc>
          <w:tcPr>
            <w:tcW w:w="2965" w:type="dxa"/>
            <w:shd w:val="clear" w:color="auto" w:fill="auto"/>
            <w:vAlign w:val="center"/>
          </w:tcPr>
          <w:p>
            <w:pPr>
              <w:pStyle w:val="232"/>
              <w:spacing w:line="240" w:lineRule="atLeast"/>
              <w:ind w:firstLine="180" w:firstLineChars="100"/>
              <w:jc w:val="left"/>
              <w:rPr>
                <w:rFonts w:cs="Times New Roman"/>
                <w:sz w:val="18"/>
                <w:szCs w:val="18"/>
                <w:shd w:val="clear" w:color="auto" w:fill="FFFFFF"/>
              </w:rPr>
            </w:pPr>
            <w:r>
              <w:rPr>
                <w:rFonts w:hint="eastAsia" w:cs="Times New Roman"/>
                <w:sz w:val="18"/>
                <w:szCs w:val="18"/>
                <w:shd w:val="clear" w:color="auto" w:fill="FFFFFF"/>
              </w:rPr>
              <w:t>4.1</w:t>
            </w:r>
            <w:r>
              <w:rPr>
                <w:rFonts w:hint="eastAsia" w:cs="Times New Roman"/>
                <w:kern w:val="0"/>
                <w:sz w:val="18"/>
                <w:szCs w:val="18"/>
                <w:shd w:val="clear" w:color="auto" w:fill="FFFFFF"/>
              </w:rPr>
              <w:t>＋（</w:t>
            </w:r>
            <w:r>
              <w:rPr>
                <w:rFonts w:hint="eastAsia" w:cs="Times New Roman"/>
                <w:sz w:val="18"/>
                <w:szCs w:val="18"/>
                <w:shd w:val="clear" w:color="auto" w:fill="FFFFFF"/>
              </w:rPr>
              <w:t>X-30</w:t>
            </w:r>
            <w:r>
              <w:rPr>
                <w:rFonts w:hint="eastAsia" w:cs="Times New Roman"/>
                <w:kern w:val="0"/>
                <w:sz w:val="18"/>
                <w:szCs w:val="18"/>
                <w:shd w:val="clear" w:color="auto" w:fill="FFFFFF"/>
              </w:rPr>
              <w:t>）×0.11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78"/>
            </w:pPr>
            <w:r>
              <w:rPr>
                <w:rFonts w:hint="eastAsia"/>
              </w:rPr>
              <w:t>4</w:t>
            </w:r>
          </w:p>
        </w:tc>
        <w:tc>
          <w:tcPr>
            <w:tcW w:w="2136"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50＜X≤100</w:t>
            </w:r>
          </w:p>
        </w:tc>
        <w:tc>
          <w:tcPr>
            <w:tcW w:w="2551"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0.09</w:t>
            </w:r>
          </w:p>
        </w:tc>
        <w:tc>
          <w:tcPr>
            <w:tcW w:w="2965" w:type="dxa"/>
            <w:shd w:val="clear" w:color="auto" w:fill="auto"/>
            <w:vAlign w:val="center"/>
          </w:tcPr>
          <w:p>
            <w:pPr>
              <w:pStyle w:val="232"/>
              <w:spacing w:line="240" w:lineRule="atLeast"/>
              <w:ind w:firstLine="180" w:firstLineChars="100"/>
              <w:jc w:val="left"/>
              <w:rPr>
                <w:rFonts w:cs="Times New Roman"/>
                <w:sz w:val="18"/>
                <w:szCs w:val="18"/>
                <w:shd w:val="clear" w:color="auto" w:fill="FFFFFF"/>
              </w:rPr>
            </w:pPr>
            <w:r>
              <w:rPr>
                <w:rFonts w:hint="eastAsia" w:cs="Times New Roman"/>
                <w:sz w:val="18"/>
                <w:szCs w:val="18"/>
                <w:shd w:val="clear" w:color="auto" w:fill="FFFFFF"/>
              </w:rPr>
              <w:t>6.3＋</w:t>
            </w:r>
            <w:r>
              <w:rPr>
                <w:rFonts w:hint="eastAsia" w:cs="Times New Roman"/>
                <w:kern w:val="0"/>
                <w:sz w:val="18"/>
                <w:szCs w:val="18"/>
                <w:shd w:val="clear" w:color="auto" w:fill="FFFFFF"/>
              </w:rPr>
              <w:t>（X</w:t>
            </w:r>
            <w:r>
              <w:rPr>
                <w:rFonts w:hint="eastAsia" w:cs="Times New Roman"/>
                <w:sz w:val="18"/>
                <w:szCs w:val="18"/>
                <w:shd w:val="clear" w:color="auto" w:fill="FFFFFF"/>
              </w:rPr>
              <w:t>-50</w:t>
            </w:r>
            <w:r>
              <w:rPr>
                <w:rFonts w:hint="eastAsia" w:cs="Times New Roman"/>
                <w:kern w:val="0"/>
                <w:sz w:val="18"/>
                <w:szCs w:val="18"/>
                <w:shd w:val="clear" w:color="auto" w:fill="FFFFFF"/>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78"/>
            </w:pPr>
            <w:r>
              <w:rPr>
                <w:rFonts w:hint="eastAsia"/>
              </w:rPr>
              <w:t>5</w:t>
            </w:r>
          </w:p>
        </w:tc>
        <w:tc>
          <w:tcPr>
            <w:tcW w:w="2136"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100＜X≤300</w:t>
            </w:r>
          </w:p>
        </w:tc>
        <w:tc>
          <w:tcPr>
            <w:tcW w:w="2551"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0.05</w:t>
            </w:r>
          </w:p>
        </w:tc>
        <w:tc>
          <w:tcPr>
            <w:tcW w:w="2965" w:type="dxa"/>
            <w:shd w:val="clear" w:color="auto" w:fill="auto"/>
            <w:vAlign w:val="center"/>
          </w:tcPr>
          <w:p>
            <w:pPr>
              <w:pStyle w:val="232"/>
              <w:spacing w:line="240" w:lineRule="atLeast"/>
              <w:ind w:firstLine="180" w:firstLineChars="100"/>
              <w:jc w:val="left"/>
              <w:rPr>
                <w:rFonts w:cs="Times New Roman"/>
                <w:sz w:val="18"/>
                <w:szCs w:val="18"/>
                <w:shd w:val="clear" w:color="auto" w:fill="FFFFFF"/>
              </w:rPr>
            </w:pPr>
            <w:r>
              <w:rPr>
                <w:rFonts w:hint="eastAsia" w:cs="Times New Roman"/>
                <w:sz w:val="18"/>
                <w:szCs w:val="18"/>
                <w:shd w:val="clear" w:color="auto" w:fill="FFFFFF"/>
              </w:rPr>
              <w:t>10.8</w:t>
            </w:r>
            <w:r>
              <w:rPr>
                <w:rFonts w:hint="eastAsia" w:cs="Times New Roman"/>
                <w:kern w:val="0"/>
                <w:sz w:val="18"/>
                <w:szCs w:val="18"/>
                <w:shd w:val="clear" w:color="auto" w:fill="FFFFFF"/>
              </w:rPr>
              <w:t>＋（</w:t>
            </w:r>
            <w:r>
              <w:rPr>
                <w:rFonts w:hint="eastAsia" w:cs="Times New Roman"/>
                <w:sz w:val="18"/>
                <w:szCs w:val="18"/>
                <w:shd w:val="clear" w:color="auto" w:fill="FFFFFF"/>
              </w:rPr>
              <w:t>X-100</w:t>
            </w:r>
            <w:r>
              <w:rPr>
                <w:rFonts w:hint="eastAsia" w:cs="Times New Roman"/>
                <w:kern w:val="0"/>
                <w:sz w:val="18"/>
                <w:szCs w:val="18"/>
                <w:shd w:val="clear" w:color="auto" w:fill="FFFFFF"/>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78"/>
            </w:pPr>
            <w:r>
              <w:rPr>
                <w:rFonts w:hint="eastAsia"/>
              </w:rPr>
              <w:t>6</w:t>
            </w:r>
          </w:p>
        </w:tc>
        <w:tc>
          <w:tcPr>
            <w:tcW w:w="2136"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300＜X</w:t>
            </w:r>
          </w:p>
        </w:tc>
        <w:tc>
          <w:tcPr>
            <w:tcW w:w="2551"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0.02</w:t>
            </w:r>
          </w:p>
        </w:tc>
        <w:tc>
          <w:tcPr>
            <w:tcW w:w="2965" w:type="dxa"/>
            <w:shd w:val="clear" w:color="auto" w:fill="auto"/>
            <w:vAlign w:val="center"/>
          </w:tcPr>
          <w:p>
            <w:pPr>
              <w:pStyle w:val="232"/>
              <w:spacing w:line="240" w:lineRule="atLeast"/>
              <w:ind w:firstLine="180" w:firstLineChars="100"/>
              <w:jc w:val="left"/>
              <w:rPr>
                <w:rFonts w:cs="Times New Roman"/>
                <w:sz w:val="18"/>
                <w:szCs w:val="18"/>
                <w:shd w:val="clear" w:color="auto" w:fill="FFFFFF"/>
              </w:rPr>
            </w:pPr>
            <w:r>
              <w:rPr>
                <w:rFonts w:hint="eastAsia" w:cs="Times New Roman"/>
                <w:sz w:val="18"/>
                <w:szCs w:val="18"/>
                <w:shd w:val="clear" w:color="auto" w:fill="FFFFFF"/>
              </w:rPr>
              <w:t>20.8</w:t>
            </w:r>
            <w:r>
              <w:rPr>
                <w:rFonts w:hint="eastAsia" w:cs="Times New Roman"/>
                <w:kern w:val="0"/>
                <w:sz w:val="18"/>
                <w:szCs w:val="18"/>
                <w:shd w:val="clear" w:color="auto" w:fill="FFFFFF"/>
              </w:rPr>
              <w:t>＋（X-</w:t>
            </w:r>
            <w:r>
              <w:rPr>
                <w:rFonts w:hint="eastAsia" w:cs="Times New Roman"/>
                <w:sz w:val="18"/>
                <w:szCs w:val="18"/>
                <w:shd w:val="clear" w:color="auto" w:fill="FFFFFF"/>
              </w:rPr>
              <w:t>300</w:t>
            </w:r>
            <w:r>
              <w:rPr>
                <w:rFonts w:hint="eastAsia" w:cs="Times New Roman"/>
                <w:kern w:val="0"/>
                <w:sz w:val="18"/>
                <w:szCs w:val="18"/>
                <w:shd w:val="clear" w:color="auto" w:fill="FFFFFF"/>
              </w:rPr>
              <w:t>）×0.02</w:t>
            </w:r>
          </w:p>
        </w:tc>
      </w:tr>
    </w:tbl>
    <w:p>
      <w:pPr>
        <w:pStyle w:val="56"/>
        <w:ind w:firstLine="0" w:firstLineChars="0"/>
      </w:pPr>
    </w:p>
    <w:p>
      <w:pPr>
        <w:pStyle w:val="94"/>
        <w:spacing w:before="156" w:after="156"/>
      </w:pPr>
      <w:r>
        <w:rPr>
          <w:rFonts w:hint="eastAsia"/>
        </w:rPr>
        <w:t>计费说明</w:t>
      </w:r>
    </w:p>
    <w:p>
      <w:pPr>
        <w:pStyle w:val="56"/>
        <w:ind w:firstLine="420"/>
      </w:pPr>
      <w:r>
        <w:rPr>
          <w:rFonts w:hint="eastAsia"/>
        </w:rPr>
        <w:t>源代码规模小于10万行的，由建设单位与检测单位自行协商，收费标准不大于1.5万元。</w:t>
      </w:r>
    </w:p>
    <w:p>
      <w:pPr>
        <w:pStyle w:val="65"/>
        <w:spacing w:before="156" w:after="156"/>
      </w:pPr>
      <w:bookmarkStart w:id="70" w:name="_Toc180527486"/>
      <w:r>
        <w:rPr>
          <w:rFonts w:hint="eastAsia"/>
        </w:rPr>
        <w:t>渗透测试</w:t>
      </w:r>
      <w:bookmarkEnd w:id="70"/>
    </w:p>
    <w:p>
      <w:pPr>
        <w:pStyle w:val="56"/>
        <w:ind w:firstLine="420"/>
      </w:pPr>
      <w:r>
        <w:rPr>
          <w:rFonts w:hint="eastAsia"/>
        </w:rPr>
        <w:t>渗透测试是指在委托方授权的情况下，通过模拟黑客攻击发现信息系统常见的高中危漏洞，并对发现的安全漏洞提出针对性的整改建议，并结合客户修复情况针对修复后的漏洞进行复测验证。</w:t>
      </w:r>
    </w:p>
    <w:p>
      <w:pPr>
        <w:pStyle w:val="94"/>
        <w:spacing w:before="156" w:after="156"/>
      </w:pPr>
      <w:r>
        <w:rPr>
          <w:rFonts w:hint="eastAsia"/>
        </w:rPr>
        <w:t>计费标准</w:t>
      </w:r>
    </w:p>
    <w:p>
      <w:pPr>
        <w:pStyle w:val="56"/>
        <w:ind w:firstLine="420"/>
      </w:pPr>
      <w:r>
        <w:rPr>
          <w:rFonts w:hint="eastAsia"/>
        </w:rPr>
        <w:t>按项计价</w:t>
      </w:r>
      <w:r>
        <w:t>。</w:t>
      </w:r>
    </w:p>
    <w:p>
      <w:pPr>
        <w:pStyle w:val="94"/>
        <w:spacing w:before="156" w:after="156"/>
      </w:pPr>
      <w:r>
        <w:rPr>
          <w:rFonts w:hint="eastAsia"/>
        </w:rPr>
        <w:t>计费方法</w:t>
      </w:r>
    </w:p>
    <w:p>
      <w:pPr>
        <w:pStyle w:val="56"/>
        <w:ind w:firstLine="420"/>
      </w:pPr>
      <w:r>
        <w:rPr>
          <w:rFonts w:hint="eastAsia"/>
        </w:rPr>
        <w:t>渗透测试费＝服务人日×人日费用单价</w:t>
      </w:r>
    </w:p>
    <w:p>
      <w:pPr>
        <w:pStyle w:val="56"/>
        <w:ind w:firstLine="420"/>
      </w:pPr>
      <w:r>
        <w:rPr>
          <w:rFonts w:hint="eastAsia"/>
        </w:rPr>
        <w:t>服务人日参照下表记取：</w:t>
      </w:r>
    </w:p>
    <w:p>
      <w:pPr>
        <w:pStyle w:val="112"/>
        <w:spacing w:before="156" w:after="156"/>
      </w:pPr>
      <w:r>
        <w:rPr>
          <w:rFonts w:hint="eastAsia"/>
        </w:rPr>
        <w:t>渗透测试服务取费</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服务子项</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服务单元数量</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运维工作量（人天）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渗透测试方案制定</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工具及环境准备</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渗透执行（应用系统数量）</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渗透报告编制（应用系统数量）</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报告审核</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风险沟通与处置</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服务次数</w:t>
            </w:r>
          </w:p>
        </w:tc>
        <w:tc>
          <w:tcPr>
            <w:tcW w:w="6224" w:type="dxa"/>
            <w:gridSpan w:val="2"/>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工作量合计（人天）</w:t>
            </w:r>
          </w:p>
        </w:tc>
        <w:tc>
          <w:tcPr>
            <w:tcW w:w="6224" w:type="dxa"/>
            <w:gridSpan w:val="2"/>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(5＋A×2.5)×N</w:t>
            </w:r>
          </w:p>
        </w:tc>
      </w:tr>
    </w:tbl>
    <w:p>
      <w:pPr>
        <w:pStyle w:val="56"/>
        <w:ind w:firstLine="420"/>
      </w:pPr>
    </w:p>
    <w:p>
      <w:pPr>
        <w:pStyle w:val="94"/>
        <w:spacing w:before="156" w:after="156"/>
      </w:pPr>
      <w:r>
        <w:rPr>
          <w:rFonts w:hint="eastAsia"/>
        </w:rPr>
        <w:t>计费说明</w:t>
      </w:r>
    </w:p>
    <w:p>
      <w:pPr>
        <w:pStyle w:val="56"/>
        <w:ind w:firstLine="420"/>
      </w:pPr>
      <w:r>
        <w:rPr>
          <w:rFonts w:hint="eastAsia"/>
        </w:rPr>
        <w:t>①一年内对相同系统提供多次渗透测试服务的情况，服务次数N应视情况计取。第一次服务的服务次数计为1，后续服务的服务次数计为每次0.2～0.3。</w:t>
      </w:r>
    </w:p>
    <w:p>
      <w:pPr>
        <w:pStyle w:val="56"/>
        <w:ind w:firstLine="420"/>
      </w:pPr>
      <w:r>
        <w:rPr>
          <w:rFonts w:hint="eastAsia"/>
        </w:rPr>
        <w:t>②人日费用单价可参考附录A中信息安全工程技术人员的日人工成本执行。</w:t>
      </w:r>
    </w:p>
    <w:p>
      <w:pPr>
        <w:pStyle w:val="65"/>
        <w:spacing w:before="156" w:after="156"/>
      </w:pPr>
      <w:bookmarkStart w:id="71" w:name="_Toc180527487"/>
      <w:r>
        <w:rPr>
          <w:rFonts w:hint="eastAsia"/>
        </w:rPr>
        <w:t>安全巡检</w:t>
      </w:r>
      <w:bookmarkEnd w:id="71"/>
    </w:p>
    <w:p>
      <w:pPr>
        <w:pStyle w:val="56"/>
        <w:ind w:firstLine="420"/>
      </w:pPr>
      <w:r>
        <w:rPr>
          <w:rFonts w:hint="eastAsia"/>
        </w:rPr>
        <w:t>安全巡检是指定期对网络设备、安全设备、操作系统、数据库、中间件、应用系统等进行安全配置检查和漏洞扫描。</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安全巡检费＝服务人日×人日费用单价</w:t>
      </w:r>
    </w:p>
    <w:p>
      <w:pPr>
        <w:pStyle w:val="56"/>
        <w:ind w:firstLine="420"/>
      </w:pPr>
      <w:r>
        <w:rPr>
          <w:rFonts w:hint="eastAsia"/>
        </w:rPr>
        <w:t>服务人日参照下表记取：</w:t>
      </w:r>
    </w:p>
    <w:p>
      <w:pPr>
        <w:pStyle w:val="112"/>
        <w:spacing w:before="156" w:after="156"/>
      </w:pPr>
      <w:r>
        <w:rPr>
          <w:rFonts w:hint="eastAsia"/>
        </w:rPr>
        <w:t>安全巡检服务取费</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服务子项</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服务单元数量</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运维工作量（人天）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网络设备</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安全设备</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B</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B×0.5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操作系统</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C</w:t>
            </w:r>
          </w:p>
        </w:tc>
        <w:tc>
          <w:tcPr>
            <w:tcW w:w="3112" w:type="dxa"/>
            <w:shd w:val="clear" w:color="auto" w:fill="auto"/>
            <w:vAlign w:val="center"/>
          </w:tcPr>
          <w:p>
            <w:pPr>
              <w:spacing w:line="240" w:lineRule="atLeast"/>
              <w:jc w:val="center"/>
              <w:rPr>
                <w:rFonts w:ascii="宋体" w:hAnsi="宋体"/>
                <w:bCs/>
                <w:sz w:val="18"/>
                <w:szCs w:val="18"/>
                <w:shd w:val="clear" w:color="auto" w:fill="FFFFFF"/>
              </w:rPr>
            </w:pPr>
            <w:r>
              <w:rPr>
                <w:rFonts w:hint="eastAsia" w:ascii="宋体" w:hAnsi="宋体"/>
                <w:bCs/>
                <w:sz w:val="18"/>
                <w:szCs w:val="18"/>
                <w:shd w:val="clear" w:color="auto" w:fill="FFFFFF"/>
              </w:rPr>
              <w:t>C×</w:t>
            </w: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数据库</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D</w:t>
            </w:r>
          </w:p>
        </w:tc>
        <w:tc>
          <w:tcPr>
            <w:tcW w:w="3112" w:type="dxa"/>
            <w:shd w:val="clear" w:color="auto" w:fill="auto"/>
            <w:vAlign w:val="center"/>
          </w:tcPr>
          <w:p>
            <w:pPr>
              <w:spacing w:line="240" w:lineRule="atLeast"/>
              <w:jc w:val="center"/>
              <w:rPr>
                <w:rFonts w:ascii="宋体" w:hAnsi="宋体"/>
                <w:bCs/>
                <w:sz w:val="18"/>
                <w:szCs w:val="18"/>
                <w:shd w:val="clear" w:color="auto" w:fill="FFFFFF"/>
              </w:rPr>
            </w:pPr>
            <w:r>
              <w:rPr>
                <w:rFonts w:hint="eastAsia" w:ascii="宋体" w:hAnsi="宋体"/>
                <w:bCs/>
                <w:sz w:val="18"/>
                <w:szCs w:val="18"/>
                <w:shd w:val="clear" w:color="auto" w:fill="FFFFFF"/>
              </w:rPr>
              <w:t>D×0.5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中间件</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E</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E×0.5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应用系统</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F</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F×1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服务次数</w:t>
            </w:r>
          </w:p>
        </w:tc>
        <w:tc>
          <w:tcPr>
            <w:tcW w:w="6224" w:type="dxa"/>
            <w:gridSpan w:val="2"/>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工作量合计（人天）</w:t>
            </w:r>
          </w:p>
        </w:tc>
        <w:tc>
          <w:tcPr>
            <w:tcW w:w="6224" w:type="dxa"/>
            <w:gridSpan w:val="2"/>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[(A＋B＋C＋E＋D)×0.5＋F×1]×n</w:t>
            </w:r>
          </w:p>
        </w:tc>
      </w:tr>
    </w:tbl>
    <w:p>
      <w:pPr>
        <w:pStyle w:val="56"/>
        <w:ind w:firstLine="420"/>
      </w:pPr>
    </w:p>
    <w:p>
      <w:pPr>
        <w:pStyle w:val="94"/>
        <w:spacing w:before="156" w:after="156"/>
      </w:pPr>
      <w:r>
        <w:rPr>
          <w:rFonts w:hint="eastAsia"/>
        </w:rPr>
        <w:t>计费说明</w:t>
      </w:r>
    </w:p>
    <w:p>
      <w:pPr>
        <w:pStyle w:val="56"/>
        <w:ind w:firstLine="420"/>
      </w:pPr>
      <w:r>
        <w:rPr>
          <w:rFonts w:hint="eastAsia"/>
        </w:rPr>
        <w:t>人日费用单价可参考附录A中信息安全工程技术人员的日人工成本执行。</w:t>
      </w:r>
    </w:p>
    <w:p>
      <w:pPr>
        <w:pStyle w:val="65"/>
        <w:spacing w:before="156" w:after="156"/>
      </w:pPr>
      <w:bookmarkStart w:id="72" w:name="_Toc180527488"/>
      <w:r>
        <w:rPr>
          <w:rFonts w:hint="eastAsia"/>
        </w:rPr>
        <w:t>安全加固</w:t>
      </w:r>
      <w:bookmarkEnd w:id="72"/>
    </w:p>
    <w:p>
      <w:pPr>
        <w:pStyle w:val="56"/>
        <w:ind w:firstLine="420"/>
      </w:pPr>
      <w:r>
        <w:rPr>
          <w:rFonts w:hint="eastAsia"/>
        </w:rPr>
        <w:t>安全加固是指对网络设备、安全设备、操作系统、数据库、中间件进行安全基线加固和安全配置优化。</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安全加固费＝服务人日×人日费用单价</w:t>
      </w:r>
    </w:p>
    <w:p>
      <w:pPr>
        <w:pStyle w:val="56"/>
        <w:ind w:firstLine="420"/>
      </w:pPr>
      <w:r>
        <w:rPr>
          <w:rFonts w:hint="eastAsia"/>
        </w:rPr>
        <w:t>服务人日参照下表记取：</w:t>
      </w:r>
    </w:p>
    <w:p>
      <w:pPr>
        <w:pStyle w:val="112"/>
        <w:spacing w:before="156" w:after="156"/>
      </w:pPr>
      <w:r>
        <w:rPr>
          <w:rFonts w:hint="eastAsia"/>
        </w:rPr>
        <w:t>安全加固服务取费</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服务子项</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服务单元数量</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运维工作量（人天）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主机</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网络</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B</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B×0.5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应用系统</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C</w:t>
            </w:r>
          </w:p>
        </w:tc>
        <w:tc>
          <w:tcPr>
            <w:tcW w:w="3112" w:type="dxa"/>
            <w:shd w:val="clear" w:color="auto" w:fill="auto"/>
            <w:vAlign w:val="center"/>
          </w:tcPr>
          <w:p>
            <w:pPr>
              <w:spacing w:line="240" w:lineRule="atLeast"/>
              <w:jc w:val="center"/>
              <w:rPr>
                <w:rFonts w:ascii="宋体" w:hAnsi="宋体"/>
                <w:bCs/>
                <w:sz w:val="18"/>
                <w:szCs w:val="18"/>
                <w:shd w:val="clear" w:color="auto" w:fill="FFFFFF"/>
              </w:rPr>
            </w:pPr>
            <w:r>
              <w:rPr>
                <w:rFonts w:hint="eastAsia" w:ascii="宋体" w:hAnsi="宋体"/>
                <w:bCs/>
                <w:sz w:val="18"/>
                <w:szCs w:val="18"/>
                <w:shd w:val="clear" w:color="auto" w:fill="FFFFFF"/>
              </w:rPr>
              <w:t>C×1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工作量合计（人天）</w:t>
            </w:r>
          </w:p>
        </w:tc>
        <w:tc>
          <w:tcPr>
            <w:tcW w:w="6224" w:type="dxa"/>
            <w:gridSpan w:val="2"/>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(A＋B)×0.5＋C×1</w:t>
            </w:r>
          </w:p>
        </w:tc>
      </w:tr>
    </w:tbl>
    <w:p>
      <w:pPr>
        <w:pStyle w:val="56"/>
        <w:ind w:firstLine="0" w:firstLineChars="0"/>
      </w:pPr>
    </w:p>
    <w:p>
      <w:pPr>
        <w:pStyle w:val="94"/>
        <w:spacing w:before="156" w:after="156"/>
      </w:pPr>
      <w:r>
        <w:rPr>
          <w:rFonts w:hint="eastAsia"/>
        </w:rPr>
        <w:t>计费说明</w:t>
      </w:r>
    </w:p>
    <w:p>
      <w:pPr>
        <w:pStyle w:val="56"/>
        <w:ind w:firstLine="420"/>
      </w:pPr>
      <w:r>
        <w:rPr>
          <w:rFonts w:hint="eastAsia"/>
        </w:rPr>
        <w:t>人日费用单价可参考附录A中信息安全工程技术人员的日人工成本执行。</w:t>
      </w:r>
    </w:p>
    <w:p>
      <w:pPr>
        <w:pStyle w:val="65"/>
        <w:spacing w:before="156" w:after="156"/>
      </w:pPr>
      <w:bookmarkStart w:id="73" w:name="_Toc180527489"/>
      <w:r>
        <w:rPr>
          <w:rFonts w:hint="eastAsia"/>
        </w:rPr>
        <w:t>应急响应</w:t>
      </w:r>
      <w:bookmarkEnd w:id="73"/>
    </w:p>
    <w:p>
      <w:pPr>
        <w:pStyle w:val="56"/>
        <w:ind w:firstLine="420"/>
      </w:pPr>
      <w:r>
        <w:rPr>
          <w:rFonts w:hint="eastAsia"/>
        </w:rPr>
        <w:t>应急响应是指针对影响网络与信息系统安全的各类各级信息安全事件，由供方结合需方的信息安全应急管理体系，快速进行标识，记录、分类和处理，最大程度上减少损失和降低该事件造成的消极影响。</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应急响应服务费＝服务人日×人日费用单价</w:t>
      </w:r>
    </w:p>
    <w:p>
      <w:pPr>
        <w:pStyle w:val="94"/>
        <w:spacing w:before="156" w:after="156"/>
      </w:pPr>
      <w:r>
        <w:rPr>
          <w:rFonts w:hint="eastAsia"/>
        </w:rPr>
        <w:t>计费说明</w:t>
      </w:r>
    </w:p>
    <w:p>
      <w:pPr>
        <w:pStyle w:val="56"/>
        <w:ind w:firstLine="420"/>
      </w:pPr>
      <w:r>
        <w:rPr>
          <w:rFonts w:hint="eastAsia"/>
        </w:rPr>
        <w:t>人日费用单价可参考附表A中信息安全工程技术人员的日人工成本执行。</w:t>
      </w:r>
    </w:p>
    <w:p>
      <w:pPr>
        <w:pStyle w:val="56"/>
        <w:ind w:firstLine="420"/>
      </w:pPr>
    </w:p>
    <w:p>
      <w:pPr>
        <w:pStyle w:val="65"/>
        <w:spacing w:before="156" w:after="156"/>
      </w:pPr>
      <w:bookmarkStart w:id="74" w:name="_Toc180527490"/>
      <w:r>
        <w:rPr>
          <w:rFonts w:hint="eastAsia"/>
        </w:rPr>
        <w:t>安全审计</w:t>
      </w:r>
      <w:bookmarkEnd w:id="74"/>
    </w:p>
    <w:p>
      <w:pPr>
        <w:pStyle w:val="56"/>
        <w:ind w:firstLine="420"/>
      </w:pPr>
      <w:r>
        <w:rPr>
          <w:rFonts w:hint="eastAsia"/>
        </w:rPr>
        <w:t>安全审计指对网络日志、安全日志、主机日志、应用系统日志及数据库进行全面的标准化处理，及时发现各种安全威胁、异常行为事件。</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安全审计费＝服务人日×人日费用单价</w:t>
      </w:r>
    </w:p>
    <w:p>
      <w:pPr>
        <w:pStyle w:val="56"/>
        <w:ind w:firstLine="0" w:firstLineChars="0"/>
      </w:pPr>
      <w:r>
        <w:rPr>
          <w:rFonts w:hint="eastAsia"/>
        </w:rPr>
        <w:t xml:space="preserve"> </w:t>
      </w:r>
      <w:r>
        <w:t xml:space="preserve">   </w:t>
      </w:r>
      <w:r>
        <w:rPr>
          <w:rFonts w:hint="eastAsia"/>
        </w:rPr>
        <w:t>服务人日参照下表记取：</w:t>
      </w:r>
    </w:p>
    <w:p>
      <w:pPr>
        <w:pStyle w:val="112"/>
        <w:spacing w:before="156" w:after="156"/>
      </w:pPr>
      <w:r>
        <w:rPr>
          <w:rFonts w:hint="eastAsia"/>
        </w:rPr>
        <w:t>安全审计服务取费</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服务子项</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服务单元数量</w:t>
            </w:r>
          </w:p>
        </w:tc>
        <w:tc>
          <w:tcPr>
            <w:tcW w:w="3112" w:type="dxa"/>
            <w:tcBorders>
              <w:top w:val="single" w:color="auto" w:sz="8" w:space="0"/>
              <w:bottom w:val="single" w:color="auto" w:sz="8" w:space="0"/>
            </w:tcBorders>
            <w:shd w:val="clear" w:color="auto" w:fill="auto"/>
            <w:vAlign w:val="center"/>
          </w:tcPr>
          <w:p>
            <w:pPr>
              <w:pStyle w:val="232"/>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运维工作量（人天）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网络日志（设备数量）</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w:t>
            </w:r>
          </w:p>
        </w:tc>
        <w:tc>
          <w:tcPr>
            <w:tcW w:w="3112" w:type="dxa"/>
            <w:tcBorders>
              <w:top w:val="single" w:color="auto" w:sz="8" w:space="0"/>
            </w:tcBorders>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A×0.5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安全日志（设备数量）</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B</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B×0.5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主机日志（主机数量）</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C</w:t>
            </w:r>
          </w:p>
        </w:tc>
        <w:tc>
          <w:tcPr>
            <w:tcW w:w="3112" w:type="dxa"/>
            <w:shd w:val="clear" w:color="auto" w:fill="auto"/>
            <w:vAlign w:val="center"/>
          </w:tcPr>
          <w:p>
            <w:pPr>
              <w:spacing w:line="240" w:lineRule="atLeast"/>
              <w:jc w:val="center"/>
              <w:rPr>
                <w:rFonts w:ascii="宋体" w:hAnsi="宋体"/>
                <w:bCs/>
                <w:sz w:val="18"/>
                <w:szCs w:val="18"/>
                <w:shd w:val="clear" w:color="auto" w:fill="FFFFFF"/>
              </w:rPr>
            </w:pPr>
            <w:r>
              <w:rPr>
                <w:rFonts w:hint="eastAsia" w:ascii="宋体" w:hAnsi="宋体"/>
                <w:bCs/>
                <w:sz w:val="18"/>
                <w:szCs w:val="18"/>
                <w:shd w:val="clear" w:color="auto" w:fill="FFFFFF"/>
              </w:rPr>
              <w:t>C×0.5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应用系统日志（应用数量）</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D</w:t>
            </w:r>
          </w:p>
        </w:tc>
        <w:tc>
          <w:tcPr>
            <w:tcW w:w="3112" w:type="dxa"/>
            <w:shd w:val="clear" w:color="auto" w:fill="auto"/>
            <w:vAlign w:val="center"/>
          </w:tcPr>
          <w:p>
            <w:pPr>
              <w:spacing w:line="240" w:lineRule="atLeast"/>
              <w:jc w:val="center"/>
              <w:rPr>
                <w:rFonts w:ascii="宋体" w:hAnsi="宋体"/>
                <w:bCs/>
                <w:sz w:val="18"/>
                <w:szCs w:val="18"/>
                <w:shd w:val="clear" w:color="auto" w:fill="FFFFFF"/>
              </w:rPr>
            </w:pPr>
            <w:r>
              <w:rPr>
                <w:rFonts w:hint="eastAsia" w:ascii="宋体" w:hAnsi="宋体"/>
                <w:bCs/>
                <w:sz w:val="18"/>
                <w:szCs w:val="18"/>
                <w:shd w:val="clear" w:color="auto" w:fill="FFFFFF"/>
              </w:rPr>
              <w:t>D×0.5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数据库（案例数量）</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E</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E×1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报告编制和审核</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3112"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工作量合计（人天）</w:t>
            </w:r>
          </w:p>
        </w:tc>
        <w:tc>
          <w:tcPr>
            <w:tcW w:w="6224" w:type="dxa"/>
            <w:gridSpan w:val="2"/>
            <w:shd w:val="clear" w:color="auto" w:fill="auto"/>
            <w:vAlign w:val="center"/>
          </w:tcPr>
          <w:p>
            <w:pPr>
              <w:pStyle w:val="232"/>
              <w:spacing w:line="240" w:lineRule="atLeast"/>
              <w:rPr>
                <w:rFonts w:cs="Times New Roman"/>
                <w:sz w:val="18"/>
                <w:szCs w:val="18"/>
                <w:shd w:val="clear" w:color="auto" w:fill="FFFFFF"/>
              </w:rPr>
            </w:pPr>
            <w:r>
              <w:rPr>
                <w:rFonts w:hint="eastAsia" w:cs="Times New Roman"/>
                <w:sz w:val="18"/>
                <w:szCs w:val="18"/>
                <w:shd w:val="clear" w:color="auto" w:fill="FFFFFF"/>
              </w:rPr>
              <w:t>3＋(A＋B＋C＋D)×0.5＋E×1</w:t>
            </w:r>
          </w:p>
        </w:tc>
      </w:tr>
    </w:tbl>
    <w:p>
      <w:pPr>
        <w:pStyle w:val="56"/>
        <w:ind w:firstLine="0" w:firstLineChars="0"/>
      </w:pPr>
    </w:p>
    <w:p>
      <w:pPr>
        <w:pStyle w:val="94"/>
        <w:spacing w:before="156" w:after="156"/>
      </w:pPr>
      <w:r>
        <w:rPr>
          <w:rFonts w:hint="eastAsia"/>
        </w:rPr>
        <w:t>计费说明</w:t>
      </w:r>
    </w:p>
    <w:p>
      <w:pPr>
        <w:pStyle w:val="56"/>
        <w:ind w:firstLine="0" w:firstLineChars="0"/>
      </w:pPr>
      <w:r>
        <w:rPr>
          <w:rFonts w:hint="eastAsia"/>
        </w:rPr>
        <w:t xml:space="preserve"> </w:t>
      </w:r>
      <w:r>
        <w:t xml:space="preserve">   </w:t>
      </w:r>
      <w:r>
        <w:rPr>
          <w:rFonts w:hint="eastAsia"/>
        </w:rPr>
        <w:t>人日费用单价可参考附表A中信息安全工程技术人员的日人工成本执行。</w:t>
      </w:r>
    </w:p>
    <w:p>
      <w:pPr>
        <w:pStyle w:val="65"/>
        <w:spacing w:before="156" w:after="156"/>
      </w:pPr>
      <w:bookmarkStart w:id="75" w:name="_Toc180527491"/>
      <w:r>
        <w:rPr>
          <w:rFonts w:hint="eastAsia"/>
        </w:rPr>
        <w:t>安全监测</w:t>
      </w:r>
      <w:bookmarkEnd w:id="75"/>
    </w:p>
    <w:p>
      <w:pPr>
        <w:pStyle w:val="56"/>
        <w:ind w:firstLine="420"/>
      </w:pPr>
      <w:r>
        <w:rPr>
          <w:rFonts w:hint="eastAsia"/>
        </w:rPr>
        <w:t>安全监测指针对信息系统的环境、网络、设备、系统、应用、不同区域间流动信息等被监测对象，由供方采用监测类工具、平台或感知节点设备现场或远程对被监测对象的信息安全事件、运行状态、脆弱性与威胁进行监测和感知，以及时发现威胁、告警、事件等异常情况或行为。</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安全监测费＝监测对象数×监测周期×安全监测单价</w:t>
      </w:r>
    </w:p>
    <w:p>
      <w:pPr>
        <w:pStyle w:val="94"/>
        <w:spacing w:before="156" w:after="156"/>
      </w:pPr>
      <w:r>
        <w:rPr>
          <w:rFonts w:hint="eastAsia"/>
        </w:rPr>
        <w:t>计费说明</w:t>
      </w:r>
    </w:p>
    <w:p>
      <w:pPr>
        <w:pStyle w:val="56"/>
        <w:ind w:firstLine="420"/>
      </w:pPr>
      <w:r>
        <w:rPr>
          <w:rFonts w:hint="eastAsia"/>
        </w:rPr>
        <w:t>安全监测单价按照800元/系统/月进行计算。</w:t>
      </w:r>
    </w:p>
    <w:p>
      <w:pPr>
        <w:pStyle w:val="56"/>
        <w:ind w:firstLine="420"/>
      </w:pPr>
      <w:r>
        <w:rPr>
          <w:rFonts w:hint="eastAsia"/>
        </w:rPr>
        <w:t>监测周期单位为月。</w:t>
      </w:r>
    </w:p>
    <w:p>
      <w:pPr>
        <w:pStyle w:val="65"/>
        <w:spacing w:before="156" w:after="156"/>
      </w:pPr>
      <w:bookmarkStart w:id="76" w:name="_Toc180527492"/>
      <w:r>
        <w:rPr>
          <w:rFonts w:hint="eastAsia"/>
        </w:rPr>
        <w:t>攻防演练</w:t>
      </w:r>
      <w:bookmarkEnd w:id="76"/>
    </w:p>
    <w:p>
      <w:pPr>
        <w:pStyle w:val="56"/>
        <w:ind w:firstLine="420"/>
      </w:pPr>
      <w:r>
        <w:rPr>
          <w:rFonts w:hint="eastAsia"/>
        </w:rPr>
        <w:t>攻防演练指以攻防演练平台为基础，通过组织攻防两端针对业务系统、主机、网络设备、内网环境安全以及数据等采取必要的攻击行为，以提权、控制业务、获取数据为目的，检验参演单位的人机结合、协同处置等网络安全方面的综合防护能力。</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攻防演练费＝服务人日×人日费用单价＋平台租赁费</w:t>
      </w:r>
    </w:p>
    <w:p>
      <w:pPr>
        <w:pStyle w:val="94"/>
        <w:spacing w:before="156" w:after="156"/>
      </w:pPr>
      <w:r>
        <w:rPr>
          <w:rFonts w:hint="eastAsia"/>
        </w:rPr>
        <w:t>计费说明</w:t>
      </w:r>
    </w:p>
    <w:p>
      <w:pPr>
        <w:pStyle w:val="56"/>
        <w:ind w:firstLine="420"/>
      </w:pPr>
      <w:r>
        <w:rPr>
          <w:rFonts w:hint="eastAsia"/>
        </w:rPr>
        <w:t>服务人日根据攻防演练方案的工作内容及人员安排进行估算。</w:t>
      </w:r>
    </w:p>
    <w:p>
      <w:pPr>
        <w:pStyle w:val="56"/>
        <w:ind w:firstLine="420"/>
      </w:pPr>
      <w:r>
        <w:rPr>
          <w:rFonts w:hint="eastAsia"/>
        </w:rPr>
        <w:t>人日费用单价可参考附表A中信息安全工程技术人员的日人工成本执行。</w:t>
      </w:r>
    </w:p>
    <w:p>
      <w:pPr>
        <w:pStyle w:val="65"/>
        <w:spacing w:before="156" w:after="156"/>
      </w:pPr>
      <w:bookmarkStart w:id="77" w:name="_Toc180527493"/>
      <w:r>
        <w:rPr>
          <w:rFonts w:hint="eastAsia"/>
        </w:rPr>
        <w:t>重点时期网络安全保障服务</w:t>
      </w:r>
      <w:bookmarkEnd w:id="77"/>
    </w:p>
    <w:p>
      <w:pPr>
        <w:pStyle w:val="56"/>
        <w:ind w:firstLine="420"/>
      </w:pPr>
      <w:r>
        <w:rPr>
          <w:rFonts w:hint="eastAsia"/>
        </w:rPr>
        <w:t>重点时期网络安全保障服务指在重大活动或特殊时期提供安全保障综合性专项服务。包含安全审计、安全监测、应急响应及安全事件处置、安全演练、安全通告及预警等。</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重点时期网络安全保障服务费＝服务人日×人日费用单价</w:t>
      </w:r>
    </w:p>
    <w:p>
      <w:pPr>
        <w:pStyle w:val="94"/>
        <w:spacing w:before="156" w:after="156"/>
      </w:pPr>
      <w:r>
        <w:rPr>
          <w:rFonts w:hint="eastAsia"/>
        </w:rPr>
        <w:t>计费说明</w:t>
      </w:r>
    </w:p>
    <w:p>
      <w:pPr>
        <w:pStyle w:val="56"/>
        <w:ind w:firstLine="420"/>
      </w:pPr>
      <w:r>
        <w:rPr>
          <w:rFonts w:hint="eastAsia"/>
        </w:rPr>
        <w:t>服务人日根据重点时期需要保障的周期及重点时期驻场的人员进行估算。</w:t>
      </w:r>
    </w:p>
    <w:p>
      <w:pPr>
        <w:pStyle w:val="56"/>
        <w:ind w:firstLine="420"/>
      </w:pPr>
      <w:r>
        <w:rPr>
          <w:rFonts w:hint="eastAsia"/>
        </w:rPr>
        <w:t>人日费用单价可参考附表A中信息安全工程技术人员的日人工成本执行。</w:t>
      </w:r>
    </w:p>
    <w:p>
      <w:pPr>
        <w:pStyle w:val="65"/>
        <w:spacing w:before="156" w:after="156"/>
      </w:pPr>
      <w:bookmarkStart w:id="78" w:name="_Toc180527494"/>
      <w:r>
        <w:rPr>
          <w:rFonts w:hint="eastAsia"/>
        </w:rPr>
        <w:t>安全培训</w:t>
      </w:r>
      <w:bookmarkEnd w:id="78"/>
    </w:p>
    <w:p>
      <w:pPr>
        <w:pStyle w:val="56"/>
        <w:ind w:firstLine="420"/>
      </w:pPr>
      <w:r>
        <w:rPr>
          <w:rFonts w:hint="eastAsia"/>
        </w:rPr>
        <w:t>安全培训是指委托第三方安全服务机构提供安全意识培训、安全管理培训、安全技术培训等。</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安全培训费＝培训实施服务人日×人日费用单价</w:t>
      </w:r>
    </w:p>
    <w:p>
      <w:pPr>
        <w:pStyle w:val="94"/>
        <w:spacing w:before="156" w:after="156"/>
      </w:pPr>
      <w:r>
        <w:rPr>
          <w:rFonts w:hint="eastAsia"/>
        </w:rPr>
        <w:t>计费说明</w:t>
      </w:r>
    </w:p>
    <w:p>
      <w:pPr>
        <w:pStyle w:val="56"/>
        <w:ind w:firstLine="420"/>
      </w:pPr>
      <w:r>
        <w:rPr>
          <w:rFonts w:hint="eastAsia"/>
        </w:rPr>
        <w:t>培训实施服务人日根据培训方案中约定的培训周期计算。</w:t>
      </w:r>
    </w:p>
    <w:p>
      <w:pPr>
        <w:pStyle w:val="56"/>
        <w:ind w:firstLine="420"/>
      </w:pPr>
      <w:r>
        <w:rPr>
          <w:rFonts w:hint="eastAsia"/>
        </w:rPr>
        <w:t>人日费用单价可参考附表A中信息安全工程技术人员的日人工成本执行。</w:t>
      </w:r>
    </w:p>
    <w:p>
      <w:pPr>
        <w:pStyle w:val="56"/>
        <w:ind w:firstLine="420"/>
      </w:pPr>
      <w:r>
        <w:rPr>
          <w:rFonts w:hint="eastAsia"/>
        </w:rPr>
        <w:t>参加资质认证类培训考试产生的费用，则按实际产生的培训报名费、考试费等费用计取，造价文件中应说明培训机构资质、报名/考试费单价，并出具相应证明文件。此种情况下安全培训费不按人日费用计算。</w:t>
      </w:r>
    </w:p>
    <w:p>
      <w:pPr>
        <w:pStyle w:val="65"/>
        <w:spacing w:before="156" w:after="156"/>
      </w:pPr>
      <w:bookmarkStart w:id="79" w:name="_Toc180527495"/>
      <w:r>
        <w:rPr>
          <w:rFonts w:hint="eastAsia"/>
        </w:rPr>
        <w:t>安全咨询</w:t>
      </w:r>
      <w:bookmarkEnd w:id="79"/>
    </w:p>
    <w:p>
      <w:pPr>
        <w:pStyle w:val="56"/>
        <w:ind w:firstLine="420"/>
      </w:pPr>
      <w:r>
        <w:rPr>
          <w:rFonts w:hint="eastAsia"/>
        </w:rPr>
        <w:t>安全咨询指通过知识传递、工作辅导和系统规划等方法和资源提出解决信息安全问题的建议和方案等形式提供的信息安全咨询服务，包含安全规划咨询、安全设计咨询、安全管理体系咨询等，如商用密码安全应用方案编制。</w:t>
      </w:r>
    </w:p>
    <w:p>
      <w:pPr>
        <w:pStyle w:val="94"/>
        <w:spacing w:before="156" w:after="156"/>
      </w:pPr>
      <w:r>
        <w:rPr>
          <w:rFonts w:hint="eastAsia"/>
        </w:rPr>
        <w:t>计费标准</w:t>
      </w:r>
    </w:p>
    <w:p>
      <w:pPr>
        <w:pStyle w:val="56"/>
        <w:ind w:firstLine="420"/>
      </w:pPr>
      <w:r>
        <w:rPr>
          <w:rFonts w:hint="eastAsia"/>
        </w:rPr>
        <w:t>按项计价。</w:t>
      </w:r>
    </w:p>
    <w:p>
      <w:pPr>
        <w:pStyle w:val="94"/>
        <w:spacing w:before="156" w:after="156"/>
      </w:pPr>
      <w:r>
        <w:rPr>
          <w:rFonts w:hint="eastAsia"/>
        </w:rPr>
        <w:t>计费方法</w:t>
      </w:r>
    </w:p>
    <w:p>
      <w:pPr>
        <w:pStyle w:val="56"/>
        <w:ind w:firstLine="420"/>
      </w:pPr>
      <w:r>
        <w:rPr>
          <w:rFonts w:hint="eastAsia"/>
        </w:rPr>
        <w:t>安全咨询费＝服务人日×人日费用单价</w:t>
      </w:r>
    </w:p>
    <w:p>
      <w:pPr>
        <w:pStyle w:val="94"/>
        <w:spacing w:before="156" w:after="156"/>
      </w:pPr>
      <w:r>
        <w:rPr>
          <w:rFonts w:hint="eastAsia"/>
        </w:rPr>
        <w:t>计费说明</w:t>
      </w:r>
    </w:p>
    <w:p>
      <w:pPr>
        <w:pStyle w:val="56"/>
        <w:ind w:firstLine="420"/>
      </w:pPr>
      <w:r>
        <w:rPr>
          <w:rFonts w:hint="eastAsia"/>
        </w:rPr>
        <w:t>服务人日根据咨询需求的工作内容进行估算。</w:t>
      </w:r>
    </w:p>
    <w:p>
      <w:pPr>
        <w:pStyle w:val="56"/>
        <w:ind w:firstLine="420"/>
      </w:pPr>
      <w:r>
        <w:rPr>
          <w:rFonts w:hint="eastAsia"/>
        </w:rPr>
        <w:t>人日费用单价可参考附表A中信息安全工程技术人员的日人工成本执行。</w:t>
      </w:r>
    </w:p>
    <w:p>
      <w:pPr>
        <w:pStyle w:val="56"/>
        <w:ind w:firstLine="420"/>
      </w:pPr>
    </w:p>
    <w:p>
      <w:pPr>
        <w:pStyle w:val="56"/>
        <w:ind w:firstLine="420"/>
        <w:sectPr>
          <w:pgSz w:w="11906" w:h="16838"/>
          <w:pgMar w:top="567" w:right="1134" w:bottom="1134" w:left="1134" w:header="1418" w:footer="1134" w:gutter="284"/>
          <w:pgNumType w:start="1"/>
          <w:cols w:space="425" w:num="1"/>
          <w:formProt w:val="0"/>
          <w:docGrid w:type="lines" w:linePitch="312" w:charSpace="0"/>
        </w:sectPr>
      </w:pPr>
    </w:p>
    <w:bookmarkEnd w:id="26"/>
    <w:p>
      <w:pPr>
        <w:pStyle w:val="198"/>
        <w:rPr>
          <w:vanish w:val="0"/>
        </w:rPr>
      </w:pPr>
      <w:bookmarkStart w:id="80" w:name="BookMark5"/>
    </w:p>
    <w:p>
      <w:pPr>
        <w:pStyle w:val="199"/>
        <w:rPr>
          <w:vanish w:val="0"/>
        </w:rPr>
      </w:pPr>
    </w:p>
    <w:p>
      <w:pPr>
        <w:pStyle w:val="76"/>
        <w:spacing w:before="78" w:after="156"/>
      </w:pPr>
      <w:r>
        <w:br w:type="textWrapping"/>
      </w:r>
      <w:bookmarkStart w:id="81" w:name="_Toc180527496"/>
      <w:r>
        <w:rPr>
          <w:rFonts w:hint="eastAsia"/>
        </w:rPr>
        <w:t>（规范性）</w:t>
      </w:r>
      <w:r>
        <w:br w:type="textWrapping"/>
      </w:r>
      <w:r>
        <w:rPr>
          <w:rFonts w:hint="eastAsia"/>
        </w:rPr>
        <w:t>人工费用指导价格表（分职业）</w:t>
      </w:r>
      <w:bookmarkEnd w:id="81"/>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2409"/>
        <w:gridCol w:w="851"/>
        <w:gridCol w:w="709"/>
        <w:gridCol w:w="708"/>
        <w:gridCol w:w="709"/>
        <w:gridCol w:w="709"/>
        <w:gridCol w:w="709"/>
        <w:gridCol w:w="708"/>
        <w:gridCol w:w="709"/>
        <w:gridCol w:w="6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16" w:type="dxa"/>
            <w:vMerge w:val="restart"/>
            <w:tcBorders>
              <w:top w:val="single" w:color="auto" w:sz="8" w:space="0"/>
            </w:tcBorders>
            <w:shd w:val="clear" w:color="auto" w:fill="auto"/>
            <w:vAlign w:val="center"/>
          </w:tcPr>
          <w:p>
            <w:pPr>
              <w:pStyle w:val="178"/>
            </w:pPr>
            <w:r>
              <w:t>序号</w:t>
            </w:r>
          </w:p>
        </w:tc>
        <w:tc>
          <w:tcPr>
            <w:tcW w:w="2409" w:type="dxa"/>
            <w:vMerge w:val="restart"/>
            <w:tcBorders>
              <w:top w:val="single" w:color="auto" w:sz="8" w:space="0"/>
            </w:tcBorders>
            <w:shd w:val="clear" w:color="auto" w:fill="auto"/>
            <w:vAlign w:val="center"/>
          </w:tcPr>
          <w:p>
            <w:pPr>
              <w:pStyle w:val="178"/>
            </w:pPr>
            <w:r>
              <w:t>职业</w:t>
            </w:r>
          </w:p>
        </w:tc>
        <w:tc>
          <w:tcPr>
            <w:tcW w:w="2268" w:type="dxa"/>
            <w:gridSpan w:val="3"/>
            <w:tcBorders>
              <w:top w:val="single" w:color="auto" w:sz="8" w:space="0"/>
              <w:bottom w:val="single" w:color="auto" w:sz="8" w:space="0"/>
            </w:tcBorders>
            <w:shd w:val="clear" w:color="auto" w:fill="auto"/>
            <w:vAlign w:val="center"/>
          </w:tcPr>
          <w:p>
            <w:pPr>
              <w:pStyle w:val="178"/>
            </w:pPr>
            <w:r>
              <w:rPr>
                <w:rFonts w:hint="eastAsia"/>
              </w:rPr>
              <w:t>月劳动报酬</w:t>
            </w:r>
          </w:p>
        </w:tc>
        <w:tc>
          <w:tcPr>
            <w:tcW w:w="2127" w:type="dxa"/>
            <w:gridSpan w:val="3"/>
            <w:tcBorders>
              <w:top w:val="single" w:color="auto" w:sz="8" w:space="0"/>
              <w:bottom w:val="single" w:color="auto" w:sz="8" w:space="0"/>
            </w:tcBorders>
            <w:shd w:val="clear" w:color="auto" w:fill="auto"/>
            <w:vAlign w:val="center"/>
          </w:tcPr>
          <w:p>
            <w:pPr>
              <w:pStyle w:val="178"/>
            </w:pPr>
            <w:r>
              <w:rPr>
                <w:rFonts w:hint="eastAsia"/>
              </w:rPr>
              <w:t>月人工成本</w:t>
            </w:r>
          </w:p>
        </w:tc>
        <w:tc>
          <w:tcPr>
            <w:tcW w:w="2114" w:type="dxa"/>
            <w:gridSpan w:val="3"/>
            <w:tcBorders>
              <w:top w:val="single" w:color="auto" w:sz="8" w:space="0"/>
              <w:bottom w:val="single" w:color="auto" w:sz="8" w:space="0"/>
            </w:tcBorders>
            <w:shd w:val="clear" w:color="auto" w:fill="auto"/>
            <w:vAlign w:val="center"/>
          </w:tcPr>
          <w:p>
            <w:pPr>
              <w:pStyle w:val="178"/>
            </w:pPr>
            <w:r>
              <w:rPr>
                <w:rFonts w:hint="eastAsia"/>
              </w:rPr>
              <w:t>日人工成本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16" w:type="dxa"/>
            <w:vMerge w:val="continue"/>
            <w:tcBorders>
              <w:bottom w:val="single" w:color="auto" w:sz="8" w:space="0"/>
            </w:tcBorders>
            <w:shd w:val="clear" w:color="auto" w:fill="auto"/>
            <w:vAlign w:val="center"/>
          </w:tcPr>
          <w:p>
            <w:pPr>
              <w:pStyle w:val="178"/>
            </w:pPr>
          </w:p>
        </w:tc>
        <w:tc>
          <w:tcPr>
            <w:tcW w:w="2409" w:type="dxa"/>
            <w:vMerge w:val="continue"/>
            <w:tcBorders>
              <w:bottom w:val="single" w:color="auto" w:sz="8" w:space="0"/>
            </w:tcBorders>
            <w:shd w:val="clear" w:color="auto" w:fill="auto"/>
            <w:vAlign w:val="center"/>
          </w:tcPr>
          <w:p>
            <w:pPr>
              <w:pStyle w:val="178"/>
            </w:pPr>
          </w:p>
        </w:tc>
        <w:tc>
          <w:tcPr>
            <w:tcW w:w="851"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低价位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中价位</w:t>
            </w:r>
          </w:p>
        </w:tc>
        <w:tc>
          <w:tcPr>
            <w:tcW w:w="708"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高价位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低价位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中价位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高价位</w:t>
            </w:r>
          </w:p>
        </w:tc>
        <w:tc>
          <w:tcPr>
            <w:tcW w:w="708"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低价位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中价位</w:t>
            </w:r>
          </w:p>
        </w:tc>
        <w:tc>
          <w:tcPr>
            <w:tcW w:w="697"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高价位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24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电子工程技术人员</w:t>
            </w:r>
          </w:p>
        </w:tc>
        <w:tc>
          <w:tcPr>
            <w:tcW w:w="851"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8"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1.06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0.52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1.05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1.86 </w:t>
            </w:r>
          </w:p>
        </w:tc>
        <w:tc>
          <w:tcPr>
            <w:tcW w:w="708"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通信工程技术人员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1.51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2.65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计算机硬件工程技术人员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0.66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1.94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计算机软件工程技术人员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2.10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计算机网络工程技术人员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信息系统分析工程技术人员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嵌入式系统设计工程技术人员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2.04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信息安全工程技术人员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2.15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2409"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信息系统运行维护工程技术人员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2.54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人工智能工程技术人员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1.79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大数据工程技术人员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1.90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2.42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云计算工程技术人员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1.57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2.35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电气工程技术人员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2.12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电力工程技术人员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2409"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广播电影电视及演艺设备工程技术人员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信息通信业务人员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信息通信网络维护人员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信息通信网络运行管理人员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1.52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计算机程序设计员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计算机软件测试员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1.91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呼叫中心服务员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25" w:type="dxa"/>
            <w:gridSpan w:val="2"/>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劳动报酬在人工成本中的占比</w:t>
            </w:r>
          </w:p>
        </w:tc>
        <w:tc>
          <w:tcPr>
            <w:tcW w:w="2268" w:type="dxa"/>
            <w:gridSpan w:val="3"/>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78.46%</w:t>
            </w:r>
          </w:p>
        </w:tc>
        <w:tc>
          <w:tcPr>
            <w:tcW w:w="4241" w:type="dxa"/>
            <w:gridSpan w:val="6"/>
            <w:vMerge w:val="restart"/>
            <w:shd w:val="clear" w:color="auto" w:fill="auto"/>
            <w:vAlign w:val="center"/>
          </w:tcPr>
          <w:p>
            <w:pPr>
              <w:widowControl/>
              <w:jc w:val="center"/>
              <w:textAlignment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25" w:type="dxa"/>
            <w:gridSpan w:val="2"/>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利润率（默认30%）</w:t>
            </w:r>
          </w:p>
        </w:tc>
        <w:tc>
          <w:tcPr>
            <w:tcW w:w="2268" w:type="dxa"/>
            <w:gridSpan w:val="3"/>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30%</w:t>
            </w:r>
          </w:p>
        </w:tc>
        <w:tc>
          <w:tcPr>
            <w:tcW w:w="4241" w:type="dxa"/>
            <w:gridSpan w:val="6"/>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25" w:type="dxa"/>
            <w:gridSpan w:val="2"/>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税率（默认6%）</w:t>
            </w:r>
          </w:p>
        </w:tc>
        <w:tc>
          <w:tcPr>
            <w:tcW w:w="2268" w:type="dxa"/>
            <w:gridSpan w:val="3"/>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w:t>
            </w:r>
          </w:p>
        </w:tc>
        <w:tc>
          <w:tcPr>
            <w:tcW w:w="4241" w:type="dxa"/>
            <w:gridSpan w:val="6"/>
            <w:vMerge w:val="continue"/>
            <w:shd w:val="clear" w:color="auto" w:fill="auto"/>
            <w:vAlign w:val="center"/>
          </w:tcPr>
          <w:p>
            <w:pPr>
              <w:pStyle w:val="178"/>
            </w:pPr>
          </w:p>
        </w:tc>
      </w:tr>
    </w:tbl>
    <w:p>
      <w:pPr>
        <w:pStyle w:val="179"/>
      </w:pPr>
    </w:p>
    <w:p>
      <w:pPr>
        <w:pStyle w:val="56"/>
        <w:ind w:firstLine="420"/>
      </w:pPr>
      <w:r>
        <w:rPr>
          <w:rFonts w:hint="eastAsia"/>
        </w:rPr>
        <w:t>①本表数据推导自长沙市人社局2023年3月发布的《长沙市2022年人力资源市场工资价位和人工成本信息报告》。</w:t>
      </w:r>
    </w:p>
    <w:p>
      <w:pPr>
        <w:pStyle w:val="56"/>
        <w:ind w:firstLine="420"/>
      </w:pPr>
      <w:r>
        <w:rPr>
          <w:rFonts w:hint="eastAsia"/>
        </w:rPr>
        <w:t>②“劳动报酬”栏，以国家统计局颁布的工资总额口径为准，反映劳动者从企业获得的全部劳动报酬，包括计时工资、计件工资、奖金、津贴和补贴、加班加点工资等，相当于财政部《企业会计准则第9号—职工薪酬》中的“职工工资、奖金、津贴和补贴”。</w:t>
      </w:r>
    </w:p>
    <w:p>
      <w:pPr>
        <w:pStyle w:val="56"/>
        <w:ind w:firstLine="420"/>
      </w:pPr>
      <w:r>
        <w:rPr>
          <w:rFonts w:hint="eastAsia"/>
        </w:rPr>
        <w:t>③人工成本是指企业在生产、经营和提供劳务活动中，因使用劳动力而发生的所有直接和间接费用之和，包括从业人员劳动报酬总额、福利费用、教育经费、保险费用、劳动保护费用、住房费用和其他人工成本，反映企业因使用各种人力资源所付出的全部成本费用。</w:t>
      </w:r>
    </w:p>
    <w:p>
      <w:pPr>
        <w:pStyle w:val="56"/>
        <w:ind w:firstLine="420"/>
      </w:pPr>
      <w:r>
        <w:rPr>
          <w:rFonts w:hint="eastAsia"/>
        </w:rPr>
        <w:t>④根据《湖南省高速公路集团有限公司造价管理制度》和《湖南省高速公路集团有限公司公路工程建设项目造价管理办法》，服务类事项采用“成本+合理利润”方式进行造价控制，利润以人工费为基数，按费率30%计取，费率如有调整，另行发布。</w:t>
      </w:r>
    </w:p>
    <w:p>
      <w:pPr>
        <w:pStyle w:val="56"/>
        <w:ind w:firstLine="420"/>
      </w:pPr>
      <w:r>
        <w:rPr>
          <w:rFonts w:hint="eastAsia"/>
        </w:rPr>
        <w:t>⑤本表所列“人工成本”均为含税价格，税率默认为6%。</w:t>
      </w:r>
    </w:p>
    <w:p>
      <w:pPr>
        <w:pStyle w:val="56"/>
        <w:ind w:firstLine="420"/>
      </w:pPr>
      <w:r>
        <w:rPr>
          <w:rFonts w:hint="eastAsia"/>
        </w:rPr>
        <w:t>⑥每日人工成本是根据每月平均21.75天的月计薪天数计算得出。</w:t>
      </w:r>
    </w:p>
    <w:p>
      <w:pPr>
        <w:pStyle w:val="56"/>
        <w:ind w:firstLine="420"/>
      </w:pPr>
      <w:r>
        <w:rPr>
          <w:rFonts w:hint="eastAsia"/>
        </w:rPr>
        <w:t>⑦高级职称技术人员的人工成本按本表高价位计算，管理岗位和中级职称技术人员的人工成本按中价位计算，初级职称和不分职称人员的人工成本按低价位计算。</w:t>
      </w:r>
    </w:p>
    <w:p>
      <w:pPr>
        <w:pStyle w:val="56"/>
        <w:ind w:firstLine="420"/>
      </w:pPr>
    </w:p>
    <w:p>
      <w:pPr>
        <w:pStyle w:val="56"/>
        <w:ind w:firstLine="0" w:firstLineChars="0"/>
      </w:pPr>
    </w:p>
    <w:p>
      <w:pPr>
        <w:pStyle w:val="56"/>
        <w:ind w:firstLine="420"/>
      </w:pPr>
    </w:p>
    <w:p>
      <w:pPr>
        <w:pStyle w:val="56"/>
        <w:ind w:firstLine="420"/>
      </w:pPr>
    </w:p>
    <w:bookmarkEnd w:id="80"/>
    <w:p>
      <w:pPr>
        <w:pStyle w:val="56"/>
        <w:ind w:firstLine="420"/>
      </w:pPr>
    </w:p>
    <w:sectPr>
      <w:pgSz w:w="11906" w:h="16838"/>
      <w:pgMar w:top="567"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兰亭黑_GBK">
    <w:altName w:val="微软雅黑"/>
    <w:panose1 w:val="02000000000000000000"/>
    <w:charset w:val="86"/>
    <w:family w:val="script"/>
    <w:pitch w:val="default"/>
    <w:sig w:usb0="00000000" w:usb1="00000000" w:usb2="0008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attachedTemplate r:id="rId1"/>
  <w:documentProtection w:edit="forms" w:enforcement="1" w:cryptProviderType="rsaAES" w:cryptAlgorithmClass="hash" w:cryptAlgorithmType="typeAny" w:cryptAlgorithmSid="14" w:cryptSpinCount="100000" w:hash="LX0QNVxjMmpXB8i0XNlgx3Z1DO4MgQjYUMGyALUopI2sVQLMfmMVe8OcPNagmX5Gc3WxGmDIIuVReLgNJ6wUIg==" w:salt="s2690MmXo0R6tWamji8jW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D1"/>
    <w:rsid w:val="0000040A"/>
    <w:rsid w:val="00000A94"/>
    <w:rsid w:val="00001972"/>
    <w:rsid w:val="00001D9A"/>
    <w:rsid w:val="00005CA5"/>
    <w:rsid w:val="00007B3A"/>
    <w:rsid w:val="000107E0"/>
    <w:rsid w:val="00011FDE"/>
    <w:rsid w:val="00012DEF"/>
    <w:rsid w:val="00012FFD"/>
    <w:rsid w:val="00014162"/>
    <w:rsid w:val="00014340"/>
    <w:rsid w:val="00016A9C"/>
    <w:rsid w:val="00022184"/>
    <w:rsid w:val="00022762"/>
    <w:rsid w:val="000238E0"/>
    <w:rsid w:val="000249DB"/>
    <w:rsid w:val="0002595E"/>
    <w:rsid w:val="00025CB0"/>
    <w:rsid w:val="0002705A"/>
    <w:rsid w:val="000303C3"/>
    <w:rsid w:val="000331D3"/>
    <w:rsid w:val="000346A5"/>
    <w:rsid w:val="000359C3"/>
    <w:rsid w:val="00035A7D"/>
    <w:rsid w:val="000365ED"/>
    <w:rsid w:val="0004249A"/>
    <w:rsid w:val="00043282"/>
    <w:rsid w:val="00044286"/>
    <w:rsid w:val="000458A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F5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051"/>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962"/>
    <w:rsid w:val="000D753B"/>
    <w:rsid w:val="000E4C9E"/>
    <w:rsid w:val="000E6FD7"/>
    <w:rsid w:val="000F06E1"/>
    <w:rsid w:val="000F0E3C"/>
    <w:rsid w:val="000F19D5"/>
    <w:rsid w:val="000F4AEA"/>
    <w:rsid w:val="000F5259"/>
    <w:rsid w:val="000F633F"/>
    <w:rsid w:val="000F67E9"/>
    <w:rsid w:val="000F7E1A"/>
    <w:rsid w:val="00103CC2"/>
    <w:rsid w:val="00104926"/>
    <w:rsid w:val="00113B1E"/>
    <w:rsid w:val="00114AD9"/>
    <w:rsid w:val="0011711C"/>
    <w:rsid w:val="0012059C"/>
    <w:rsid w:val="00124E4F"/>
    <w:rsid w:val="001260B7"/>
    <w:rsid w:val="001265CB"/>
    <w:rsid w:val="0013152E"/>
    <w:rsid w:val="00131D77"/>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019"/>
    <w:rsid w:val="00153C7E"/>
    <w:rsid w:val="00156B25"/>
    <w:rsid w:val="00156E1A"/>
    <w:rsid w:val="00157894"/>
    <w:rsid w:val="00157B55"/>
    <w:rsid w:val="00164210"/>
    <w:rsid w:val="001642FA"/>
    <w:rsid w:val="001649EB"/>
    <w:rsid w:val="00164BAF"/>
    <w:rsid w:val="00164FA8"/>
    <w:rsid w:val="00165065"/>
    <w:rsid w:val="00165434"/>
    <w:rsid w:val="0016580B"/>
    <w:rsid w:val="00165F49"/>
    <w:rsid w:val="00166B88"/>
    <w:rsid w:val="00166FF3"/>
    <w:rsid w:val="0016770A"/>
    <w:rsid w:val="00170804"/>
    <w:rsid w:val="001708E9"/>
    <w:rsid w:val="0017340B"/>
    <w:rsid w:val="00173FB1"/>
    <w:rsid w:val="00175013"/>
    <w:rsid w:val="001752D3"/>
    <w:rsid w:val="00176DFD"/>
    <w:rsid w:val="001835E4"/>
    <w:rsid w:val="001852C9"/>
    <w:rsid w:val="00190087"/>
    <w:rsid w:val="001913C4"/>
    <w:rsid w:val="0019348F"/>
    <w:rsid w:val="00193A07"/>
    <w:rsid w:val="00194C95"/>
    <w:rsid w:val="00195C34"/>
    <w:rsid w:val="00196EF5"/>
    <w:rsid w:val="001A1A53"/>
    <w:rsid w:val="001A234A"/>
    <w:rsid w:val="001A4CF3"/>
    <w:rsid w:val="001A500A"/>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5D1"/>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A42"/>
    <w:rsid w:val="002331B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674"/>
    <w:rsid w:val="00270CB8"/>
    <w:rsid w:val="00272411"/>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F4D"/>
    <w:rsid w:val="002A3AAB"/>
    <w:rsid w:val="002A4CEA"/>
    <w:rsid w:val="002A5977"/>
    <w:rsid w:val="002A5A13"/>
    <w:rsid w:val="002A757F"/>
    <w:rsid w:val="002A7F44"/>
    <w:rsid w:val="002B0A4B"/>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8C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F80"/>
    <w:rsid w:val="003331E4"/>
    <w:rsid w:val="00336C64"/>
    <w:rsid w:val="00337162"/>
    <w:rsid w:val="0034194F"/>
    <w:rsid w:val="00344605"/>
    <w:rsid w:val="003474AA"/>
    <w:rsid w:val="00350572"/>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643"/>
    <w:rsid w:val="003B0474"/>
    <w:rsid w:val="003B09AD"/>
    <w:rsid w:val="003B1F18"/>
    <w:rsid w:val="003B2104"/>
    <w:rsid w:val="003B3D63"/>
    <w:rsid w:val="003B5BF0"/>
    <w:rsid w:val="003B60BF"/>
    <w:rsid w:val="003B6BE3"/>
    <w:rsid w:val="003C010C"/>
    <w:rsid w:val="003C0A6C"/>
    <w:rsid w:val="003C14F8"/>
    <w:rsid w:val="003C5A43"/>
    <w:rsid w:val="003C735C"/>
    <w:rsid w:val="003D0519"/>
    <w:rsid w:val="003D0FF6"/>
    <w:rsid w:val="003D262C"/>
    <w:rsid w:val="003D5705"/>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5F8A"/>
    <w:rsid w:val="004467FB"/>
    <w:rsid w:val="00452D6B"/>
    <w:rsid w:val="00454484"/>
    <w:rsid w:val="0045517B"/>
    <w:rsid w:val="00457A80"/>
    <w:rsid w:val="00463B77"/>
    <w:rsid w:val="00463C7B"/>
    <w:rsid w:val="004644A6"/>
    <w:rsid w:val="004659BD"/>
    <w:rsid w:val="00470775"/>
    <w:rsid w:val="00472160"/>
    <w:rsid w:val="004746B1"/>
    <w:rsid w:val="0047583F"/>
    <w:rsid w:val="00475DE8"/>
    <w:rsid w:val="00481C44"/>
    <w:rsid w:val="00484936"/>
    <w:rsid w:val="00485C89"/>
    <w:rsid w:val="00486BE3"/>
    <w:rsid w:val="004905E4"/>
    <w:rsid w:val="00490A89"/>
    <w:rsid w:val="00490AB4"/>
    <w:rsid w:val="00492F02"/>
    <w:rsid w:val="004939AE"/>
    <w:rsid w:val="004958D7"/>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5D6"/>
    <w:rsid w:val="004D4406"/>
    <w:rsid w:val="004D7C42"/>
    <w:rsid w:val="004E0465"/>
    <w:rsid w:val="004E127B"/>
    <w:rsid w:val="004E1C0A"/>
    <w:rsid w:val="004E2B06"/>
    <w:rsid w:val="004E30C5"/>
    <w:rsid w:val="004E4AA5"/>
    <w:rsid w:val="004E4AEE"/>
    <w:rsid w:val="004E59E3"/>
    <w:rsid w:val="004E67C0"/>
    <w:rsid w:val="004F391A"/>
    <w:rsid w:val="004F3A8C"/>
    <w:rsid w:val="004F3CFB"/>
    <w:rsid w:val="004F6456"/>
    <w:rsid w:val="004F696E"/>
    <w:rsid w:val="004F6C71"/>
    <w:rsid w:val="00501139"/>
    <w:rsid w:val="0050363E"/>
    <w:rsid w:val="005039BC"/>
    <w:rsid w:val="00504022"/>
    <w:rsid w:val="005043BB"/>
    <w:rsid w:val="00504A3D"/>
    <w:rsid w:val="00505767"/>
    <w:rsid w:val="005073F0"/>
    <w:rsid w:val="00510A7B"/>
    <w:rsid w:val="00510A8E"/>
    <w:rsid w:val="00512F6E"/>
    <w:rsid w:val="00513038"/>
    <w:rsid w:val="00514174"/>
    <w:rsid w:val="00516088"/>
    <w:rsid w:val="00516B0B"/>
    <w:rsid w:val="005220EC"/>
    <w:rsid w:val="00523961"/>
    <w:rsid w:val="00523F95"/>
    <w:rsid w:val="0052498E"/>
    <w:rsid w:val="00524D65"/>
    <w:rsid w:val="00525B16"/>
    <w:rsid w:val="00533D04"/>
    <w:rsid w:val="00534804"/>
    <w:rsid w:val="00534BDF"/>
    <w:rsid w:val="00534CDC"/>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F09"/>
    <w:rsid w:val="00573D9E"/>
    <w:rsid w:val="005769E9"/>
    <w:rsid w:val="005801E3"/>
    <w:rsid w:val="00581802"/>
    <w:rsid w:val="00582416"/>
    <w:rsid w:val="005836A8"/>
    <w:rsid w:val="0058409C"/>
    <w:rsid w:val="00584262"/>
    <w:rsid w:val="00586630"/>
    <w:rsid w:val="00587ADD"/>
    <w:rsid w:val="00591841"/>
    <w:rsid w:val="00596160"/>
    <w:rsid w:val="005966E2"/>
    <w:rsid w:val="00597007"/>
    <w:rsid w:val="005A0966"/>
    <w:rsid w:val="005A11B7"/>
    <w:rsid w:val="005A260B"/>
    <w:rsid w:val="005A4A1B"/>
    <w:rsid w:val="005A57A9"/>
    <w:rsid w:val="005A7830"/>
    <w:rsid w:val="005A7FCE"/>
    <w:rsid w:val="005B0F3F"/>
    <w:rsid w:val="005B4903"/>
    <w:rsid w:val="005B51CE"/>
    <w:rsid w:val="005B5885"/>
    <w:rsid w:val="005B5CD7"/>
    <w:rsid w:val="005B6CF6"/>
    <w:rsid w:val="005B7422"/>
    <w:rsid w:val="005B768A"/>
    <w:rsid w:val="005C13DD"/>
    <w:rsid w:val="005C29B8"/>
    <w:rsid w:val="005C49F1"/>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FC8"/>
    <w:rsid w:val="0062371B"/>
    <w:rsid w:val="006252D8"/>
    <w:rsid w:val="006259BC"/>
    <w:rsid w:val="0062636B"/>
    <w:rsid w:val="00632182"/>
    <w:rsid w:val="00632AE0"/>
    <w:rsid w:val="00633C17"/>
    <w:rsid w:val="0063469B"/>
    <w:rsid w:val="00634D9E"/>
    <w:rsid w:val="00636E3E"/>
    <w:rsid w:val="006379F7"/>
    <w:rsid w:val="00637E4D"/>
    <w:rsid w:val="00640620"/>
    <w:rsid w:val="00641A1F"/>
    <w:rsid w:val="00645904"/>
    <w:rsid w:val="006466DA"/>
    <w:rsid w:val="00651ACB"/>
    <w:rsid w:val="00651C47"/>
    <w:rsid w:val="00652AB2"/>
    <w:rsid w:val="00653FED"/>
    <w:rsid w:val="00654EC0"/>
    <w:rsid w:val="0065525B"/>
    <w:rsid w:val="006555D7"/>
    <w:rsid w:val="00655D4F"/>
    <w:rsid w:val="00656D29"/>
    <w:rsid w:val="006640E5"/>
    <w:rsid w:val="006646F1"/>
    <w:rsid w:val="00664929"/>
    <w:rsid w:val="00664F62"/>
    <w:rsid w:val="006655E1"/>
    <w:rsid w:val="00672060"/>
    <w:rsid w:val="00672BFD"/>
    <w:rsid w:val="00676FA3"/>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502"/>
    <w:rsid w:val="006B2672"/>
    <w:rsid w:val="006B54BF"/>
    <w:rsid w:val="006B5F44"/>
    <w:rsid w:val="006B5F90"/>
    <w:rsid w:val="006B62E4"/>
    <w:rsid w:val="006C1BBA"/>
    <w:rsid w:val="006C2079"/>
    <w:rsid w:val="006C3FC4"/>
    <w:rsid w:val="006C5A62"/>
    <w:rsid w:val="006C5D68"/>
    <w:rsid w:val="006C6976"/>
    <w:rsid w:val="006C6DD0"/>
    <w:rsid w:val="006D04EA"/>
    <w:rsid w:val="006D16C4"/>
    <w:rsid w:val="006D3E96"/>
    <w:rsid w:val="006D4515"/>
    <w:rsid w:val="006D4BB1"/>
    <w:rsid w:val="006D6593"/>
    <w:rsid w:val="006E23EA"/>
    <w:rsid w:val="006E4306"/>
    <w:rsid w:val="006F03A8"/>
    <w:rsid w:val="006F05AF"/>
    <w:rsid w:val="006F168A"/>
    <w:rsid w:val="006F2ACA"/>
    <w:rsid w:val="006F2ADC"/>
    <w:rsid w:val="006F2BFE"/>
    <w:rsid w:val="006F31E9"/>
    <w:rsid w:val="006F6284"/>
    <w:rsid w:val="007002C5"/>
    <w:rsid w:val="00704387"/>
    <w:rsid w:val="00707669"/>
    <w:rsid w:val="00711CBA"/>
    <w:rsid w:val="00711FB5"/>
    <w:rsid w:val="00712A01"/>
    <w:rsid w:val="00714F58"/>
    <w:rsid w:val="00722F5C"/>
    <w:rsid w:val="00722FBF"/>
    <w:rsid w:val="00722FC2"/>
    <w:rsid w:val="00724879"/>
    <w:rsid w:val="00724E1B"/>
    <w:rsid w:val="00725949"/>
    <w:rsid w:val="00725AA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1E6"/>
    <w:rsid w:val="00765C43"/>
    <w:rsid w:val="00765EFB"/>
    <w:rsid w:val="007671CA"/>
    <w:rsid w:val="00767C61"/>
    <w:rsid w:val="0077008A"/>
    <w:rsid w:val="00773C1F"/>
    <w:rsid w:val="00774DA4"/>
    <w:rsid w:val="00776599"/>
    <w:rsid w:val="0078114B"/>
    <w:rsid w:val="00781DD2"/>
    <w:rsid w:val="00783ECF"/>
    <w:rsid w:val="0078413A"/>
    <w:rsid w:val="00791F94"/>
    <w:rsid w:val="00793908"/>
    <w:rsid w:val="0079551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971"/>
    <w:rsid w:val="007F0ED8"/>
    <w:rsid w:val="007F0F63"/>
    <w:rsid w:val="007F75CE"/>
    <w:rsid w:val="008013A4"/>
    <w:rsid w:val="008027CE"/>
    <w:rsid w:val="00802F42"/>
    <w:rsid w:val="00804383"/>
    <w:rsid w:val="00804BB7"/>
    <w:rsid w:val="00804D41"/>
    <w:rsid w:val="00810257"/>
    <w:rsid w:val="008104F5"/>
    <w:rsid w:val="00811072"/>
    <w:rsid w:val="00811369"/>
    <w:rsid w:val="00813E9D"/>
    <w:rsid w:val="00815419"/>
    <w:rsid w:val="008163C8"/>
    <w:rsid w:val="008164A1"/>
    <w:rsid w:val="00817325"/>
    <w:rsid w:val="008209E6"/>
    <w:rsid w:val="00823303"/>
    <w:rsid w:val="008233B2"/>
    <w:rsid w:val="00823A9F"/>
    <w:rsid w:val="00823C85"/>
    <w:rsid w:val="00825138"/>
    <w:rsid w:val="008269DD"/>
    <w:rsid w:val="008300EB"/>
    <w:rsid w:val="00830621"/>
    <w:rsid w:val="0083348C"/>
    <w:rsid w:val="008373D3"/>
    <w:rsid w:val="00840617"/>
    <w:rsid w:val="00840F84"/>
    <w:rsid w:val="00842A47"/>
    <w:rsid w:val="00843C13"/>
    <w:rsid w:val="008454F8"/>
    <w:rsid w:val="00850C83"/>
    <w:rsid w:val="0085173A"/>
    <w:rsid w:val="00856316"/>
    <w:rsid w:val="00857343"/>
    <w:rsid w:val="008603CE"/>
    <w:rsid w:val="008620FC"/>
    <w:rsid w:val="008627A5"/>
    <w:rsid w:val="00863E05"/>
    <w:rsid w:val="00864D77"/>
    <w:rsid w:val="00865ACA"/>
    <w:rsid w:val="00865D28"/>
    <w:rsid w:val="00865F85"/>
    <w:rsid w:val="00867C10"/>
    <w:rsid w:val="00870439"/>
    <w:rsid w:val="00870DA1"/>
    <w:rsid w:val="00883F93"/>
    <w:rsid w:val="00884DB3"/>
    <w:rsid w:val="00885A9D"/>
    <w:rsid w:val="008864F6"/>
    <w:rsid w:val="00887925"/>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117"/>
    <w:rsid w:val="008B166D"/>
    <w:rsid w:val="008B17F4"/>
    <w:rsid w:val="008B3615"/>
    <w:rsid w:val="008B4AC4"/>
    <w:rsid w:val="008B50C8"/>
    <w:rsid w:val="008B5281"/>
    <w:rsid w:val="008B7E05"/>
    <w:rsid w:val="008C1797"/>
    <w:rsid w:val="008C219C"/>
    <w:rsid w:val="008C475E"/>
    <w:rsid w:val="008C619A"/>
    <w:rsid w:val="008C620F"/>
    <w:rsid w:val="008C7C7C"/>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3B7"/>
    <w:rsid w:val="00911BE5"/>
    <w:rsid w:val="00912CF4"/>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99D"/>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2B97"/>
    <w:rsid w:val="009E4A58"/>
    <w:rsid w:val="009E5A2D"/>
    <w:rsid w:val="009E5AB2"/>
    <w:rsid w:val="009E6219"/>
    <w:rsid w:val="009E7D8F"/>
    <w:rsid w:val="009F03B3"/>
    <w:rsid w:val="00A0096C"/>
    <w:rsid w:val="00A01757"/>
    <w:rsid w:val="00A028C0"/>
    <w:rsid w:val="00A02BAE"/>
    <w:rsid w:val="00A038C2"/>
    <w:rsid w:val="00A06A6B"/>
    <w:rsid w:val="00A07E47"/>
    <w:rsid w:val="00A129D0"/>
    <w:rsid w:val="00A12C33"/>
    <w:rsid w:val="00A138BA"/>
    <w:rsid w:val="00A139AF"/>
    <w:rsid w:val="00A14C8E"/>
    <w:rsid w:val="00A153D9"/>
    <w:rsid w:val="00A15F09"/>
    <w:rsid w:val="00A169B6"/>
    <w:rsid w:val="00A17529"/>
    <w:rsid w:val="00A2271D"/>
    <w:rsid w:val="00A237D5"/>
    <w:rsid w:val="00A30EFC"/>
    <w:rsid w:val="00A31984"/>
    <w:rsid w:val="00A32D73"/>
    <w:rsid w:val="00A3367B"/>
    <w:rsid w:val="00A3597D"/>
    <w:rsid w:val="00A36B70"/>
    <w:rsid w:val="00A36DD1"/>
    <w:rsid w:val="00A4006C"/>
    <w:rsid w:val="00A40091"/>
    <w:rsid w:val="00A4030F"/>
    <w:rsid w:val="00A41C79"/>
    <w:rsid w:val="00A41CB5"/>
    <w:rsid w:val="00A42CDF"/>
    <w:rsid w:val="00A42D4D"/>
    <w:rsid w:val="00A4452E"/>
    <w:rsid w:val="00A4472C"/>
    <w:rsid w:val="00A44E69"/>
    <w:rsid w:val="00A4661E"/>
    <w:rsid w:val="00A55BD6"/>
    <w:rsid w:val="00A55D50"/>
    <w:rsid w:val="00A57142"/>
    <w:rsid w:val="00A6346A"/>
    <w:rsid w:val="00A648CD"/>
    <w:rsid w:val="00A6537A"/>
    <w:rsid w:val="00A67866"/>
    <w:rsid w:val="00A70B07"/>
    <w:rsid w:val="00A723F8"/>
    <w:rsid w:val="00A77CCB"/>
    <w:rsid w:val="00A83D8D"/>
    <w:rsid w:val="00A8446B"/>
    <w:rsid w:val="00A8473F"/>
    <w:rsid w:val="00A862D6"/>
    <w:rsid w:val="00A8715E"/>
    <w:rsid w:val="00A90E8B"/>
    <w:rsid w:val="00A9295B"/>
    <w:rsid w:val="00A93B09"/>
    <w:rsid w:val="00A94247"/>
    <w:rsid w:val="00A952D7"/>
    <w:rsid w:val="00A963F7"/>
    <w:rsid w:val="00A96AD8"/>
    <w:rsid w:val="00AA052C"/>
    <w:rsid w:val="00AA1E45"/>
    <w:rsid w:val="00AA4286"/>
    <w:rsid w:val="00AA456B"/>
    <w:rsid w:val="00AA57F5"/>
    <w:rsid w:val="00AA672E"/>
    <w:rsid w:val="00AA6E1D"/>
    <w:rsid w:val="00AA6EC9"/>
    <w:rsid w:val="00AB41D5"/>
    <w:rsid w:val="00AB6309"/>
    <w:rsid w:val="00AB6C5F"/>
    <w:rsid w:val="00AB7129"/>
    <w:rsid w:val="00AC1583"/>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5B92"/>
    <w:rsid w:val="00B16893"/>
    <w:rsid w:val="00B21F61"/>
    <w:rsid w:val="00B261F1"/>
    <w:rsid w:val="00B265BC"/>
    <w:rsid w:val="00B31FB1"/>
    <w:rsid w:val="00B33952"/>
    <w:rsid w:val="00B33C5E"/>
    <w:rsid w:val="00B342F4"/>
    <w:rsid w:val="00B34369"/>
    <w:rsid w:val="00B34DC2"/>
    <w:rsid w:val="00B3586F"/>
    <w:rsid w:val="00B378E5"/>
    <w:rsid w:val="00B4346D"/>
    <w:rsid w:val="00B440F4"/>
    <w:rsid w:val="00B447A5"/>
    <w:rsid w:val="00B4654C"/>
    <w:rsid w:val="00B47293"/>
    <w:rsid w:val="00B50E50"/>
    <w:rsid w:val="00B52120"/>
    <w:rsid w:val="00B54ABC"/>
    <w:rsid w:val="00B54DDE"/>
    <w:rsid w:val="00B56FBE"/>
    <w:rsid w:val="00B60ACF"/>
    <w:rsid w:val="00B629DE"/>
    <w:rsid w:val="00B62B58"/>
    <w:rsid w:val="00B65149"/>
    <w:rsid w:val="00B66567"/>
    <w:rsid w:val="00B66F52"/>
    <w:rsid w:val="00B66FE5"/>
    <w:rsid w:val="00B72880"/>
    <w:rsid w:val="00B758BF"/>
    <w:rsid w:val="00B77EC8"/>
    <w:rsid w:val="00B827A6"/>
    <w:rsid w:val="00B82BA6"/>
    <w:rsid w:val="00B831CE"/>
    <w:rsid w:val="00B86677"/>
    <w:rsid w:val="00B87131"/>
    <w:rsid w:val="00B939B1"/>
    <w:rsid w:val="00B96D40"/>
    <w:rsid w:val="00B97386"/>
    <w:rsid w:val="00BA263B"/>
    <w:rsid w:val="00BA3CE3"/>
    <w:rsid w:val="00BA42B2"/>
    <w:rsid w:val="00BA58D4"/>
    <w:rsid w:val="00BA5B9E"/>
    <w:rsid w:val="00BA7C9A"/>
    <w:rsid w:val="00BB5F8F"/>
    <w:rsid w:val="00BB657A"/>
    <w:rsid w:val="00BC1A4E"/>
    <w:rsid w:val="00BC39CE"/>
    <w:rsid w:val="00BC5DC7"/>
    <w:rsid w:val="00BC6B8B"/>
    <w:rsid w:val="00BC73D8"/>
    <w:rsid w:val="00BD1D2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0CF"/>
    <w:rsid w:val="00C71372"/>
    <w:rsid w:val="00C72410"/>
    <w:rsid w:val="00C7287F"/>
    <w:rsid w:val="00C737DA"/>
    <w:rsid w:val="00C80CB8"/>
    <w:rsid w:val="00C819F8"/>
    <w:rsid w:val="00C8248C"/>
    <w:rsid w:val="00C84E33"/>
    <w:rsid w:val="00C86D6F"/>
    <w:rsid w:val="00C905FC"/>
    <w:rsid w:val="00C92D03"/>
    <w:rsid w:val="00C9319C"/>
    <w:rsid w:val="00C9435D"/>
    <w:rsid w:val="00C94DF2"/>
    <w:rsid w:val="00C96741"/>
    <w:rsid w:val="00CA129A"/>
    <w:rsid w:val="00CA2D1B"/>
    <w:rsid w:val="00CA375D"/>
    <w:rsid w:val="00CA58E1"/>
    <w:rsid w:val="00CA662A"/>
    <w:rsid w:val="00CA6AC3"/>
    <w:rsid w:val="00CA7AFD"/>
    <w:rsid w:val="00CA7C3C"/>
    <w:rsid w:val="00CB0189"/>
    <w:rsid w:val="00CB0BA2"/>
    <w:rsid w:val="00CB1A42"/>
    <w:rsid w:val="00CB1B0C"/>
    <w:rsid w:val="00CB2C0B"/>
    <w:rsid w:val="00CB3523"/>
    <w:rsid w:val="00CB517D"/>
    <w:rsid w:val="00CC038D"/>
    <w:rsid w:val="00CC08DB"/>
    <w:rsid w:val="00CC2365"/>
    <w:rsid w:val="00CC39FF"/>
    <w:rsid w:val="00CC3C2F"/>
    <w:rsid w:val="00CC4070"/>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A2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112"/>
    <w:rsid w:val="00D352A2"/>
    <w:rsid w:val="00D4162B"/>
    <w:rsid w:val="00D4514F"/>
    <w:rsid w:val="00D451E2"/>
    <w:rsid w:val="00D45E89"/>
    <w:rsid w:val="00D45E8D"/>
    <w:rsid w:val="00D466AE"/>
    <w:rsid w:val="00D4734F"/>
    <w:rsid w:val="00D51BF3"/>
    <w:rsid w:val="00D66846"/>
    <w:rsid w:val="00D675FB"/>
    <w:rsid w:val="00D71F25"/>
    <w:rsid w:val="00D72A9C"/>
    <w:rsid w:val="00D7683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6CAF"/>
    <w:rsid w:val="00DE0A4B"/>
    <w:rsid w:val="00DE2410"/>
    <w:rsid w:val="00DE2939"/>
    <w:rsid w:val="00DE6E81"/>
    <w:rsid w:val="00DE703F"/>
    <w:rsid w:val="00DE7595"/>
    <w:rsid w:val="00DE7B1F"/>
    <w:rsid w:val="00DF1961"/>
    <w:rsid w:val="00DF44DE"/>
    <w:rsid w:val="00DF5F11"/>
    <w:rsid w:val="00DF7B08"/>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04B"/>
    <w:rsid w:val="00E664CC"/>
    <w:rsid w:val="00E70388"/>
    <w:rsid w:val="00E70700"/>
    <w:rsid w:val="00E70F92"/>
    <w:rsid w:val="00E74C54"/>
    <w:rsid w:val="00E77A03"/>
    <w:rsid w:val="00E822E8"/>
    <w:rsid w:val="00E82554"/>
    <w:rsid w:val="00E82606"/>
    <w:rsid w:val="00E846C8"/>
    <w:rsid w:val="00E84957"/>
    <w:rsid w:val="00E84A55"/>
    <w:rsid w:val="00E85BFF"/>
    <w:rsid w:val="00E86308"/>
    <w:rsid w:val="00E90391"/>
    <w:rsid w:val="00E906C2"/>
    <w:rsid w:val="00E927B0"/>
    <w:rsid w:val="00E9311F"/>
    <w:rsid w:val="00E934D1"/>
    <w:rsid w:val="00E94AF0"/>
    <w:rsid w:val="00E95D13"/>
    <w:rsid w:val="00E95DD3"/>
    <w:rsid w:val="00E969D5"/>
    <w:rsid w:val="00EA58D1"/>
    <w:rsid w:val="00EA61BC"/>
    <w:rsid w:val="00EA681A"/>
    <w:rsid w:val="00EA735B"/>
    <w:rsid w:val="00EB17DE"/>
    <w:rsid w:val="00EB1E69"/>
    <w:rsid w:val="00EB2086"/>
    <w:rsid w:val="00EB24D3"/>
    <w:rsid w:val="00EB5EDF"/>
    <w:rsid w:val="00EB60FE"/>
    <w:rsid w:val="00EB74DB"/>
    <w:rsid w:val="00EC5359"/>
    <w:rsid w:val="00EC562A"/>
    <w:rsid w:val="00ED067A"/>
    <w:rsid w:val="00ED1249"/>
    <w:rsid w:val="00ED1C62"/>
    <w:rsid w:val="00ED2B50"/>
    <w:rsid w:val="00EE0350"/>
    <w:rsid w:val="00EE0719"/>
    <w:rsid w:val="00EE0E80"/>
    <w:rsid w:val="00EE54A6"/>
    <w:rsid w:val="00EE613F"/>
    <w:rsid w:val="00EE7295"/>
    <w:rsid w:val="00EE7869"/>
    <w:rsid w:val="00EF054A"/>
    <w:rsid w:val="00EF3235"/>
    <w:rsid w:val="00EF7E72"/>
    <w:rsid w:val="00F03374"/>
    <w:rsid w:val="00F06D37"/>
    <w:rsid w:val="00F07B9D"/>
    <w:rsid w:val="00F11586"/>
    <w:rsid w:val="00F1183B"/>
    <w:rsid w:val="00F11C9F"/>
    <w:rsid w:val="00F12263"/>
    <w:rsid w:val="00F1409D"/>
    <w:rsid w:val="00F14214"/>
    <w:rsid w:val="00F157A9"/>
    <w:rsid w:val="00F21484"/>
    <w:rsid w:val="00F25BB6"/>
    <w:rsid w:val="00F26B7E"/>
    <w:rsid w:val="00F27A3B"/>
    <w:rsid w:val="00F33817"/>
    <w:rsid w:val="00F420D5"/>
    <w:rsid w:val="00F451EA"/>
    <w:rsid w:val="00F45447"/>
    <w:rsid w:val="00F456C6"/>
    <w:rsid w:val="00F4577B"/>
    <w:rsid w:val="00F46496"/>
    <w:rsid w:val="00F474D0"/>
    <w:rsid w:val="00F50179"/>
    <w:rsid w:val="00F515EE"/>
    <w:rsid w:val="00F542BF"/>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F85"/>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50C"/>
    <w:rsid w:val="00FC4090"/>
    <w:rsid w:val="00FC55B4"/>
    <w:rsid w:val="00FD00E6"/>
    <w:rsid w:val="00FD09A1"/>
    <w:rsid w:val="00FD2A7C"/>
    <w:rsid w:val="00FD59EB"/>
    <w:rsid w:val="00FD6C44"/>
    <w:rsid w:val="00FD7299"/>
    <w:rsid w:val="00FE1FBE"/>
    <w:rsid w:val="00FE25CD"/>
    <w:rsid w:val="00FE3901"/>
    <w:rsid w:val="00FE39D3"/>
    <w:rsid w:val="00FE4BCE"/>
    <w:rsid w:val="00FE54AE"/>
    <w:rsid w:val="00FE576A"/>
    <w:rsid w:val="00FE7E79"/>
    <w:rsid w:val="00FF3E7D"/>
    <w:rsid w:val="00FF5B99"/>
    <w:rsid w:val="00FF730C"/>
    <w:rsid w:val="00FF73F4"/>
    <w:rsid w:val="00FF7CE4"/>
    <w:rsid w:val="00FF7E39"/>
    <w:rsid w:val="0950366A"/>
    <w:rsid w:val="0EF302AE"/>
    <w:rsid w:val="1C785BCF"/>
    <w:rsid w:val="5F5C5706"/>
    <w:rsid w:val="791B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uiPriority w:val="0"/>
    <w:rPr>
      <w:rFonts w:ascii="黑体" w:eastAsia="黑体"/>
      <w:spacing w:val="85"/>
      <w:w w:val="100"/>
      <w:position w:val="3"/>
      <w:sz w:val="28"/>
      <w:szCs w:val="28"/>
    </w:rPr>
  </w:style>
  <w:style w:type="table" w:customStyle="1" w:styleId="230">
    <w:name w:val="Table Normal"/>
    <w:basedOn w:val="32"/>
    <w:uiPriority w:val="0"/>
    <w:rPr>
      <w:rFonts w:ascii="Times New Roman" w:hAnsi="Times New Roman" w:eastAsia="Times New Roman"/>
    </w:rPr>
    <w:tblPr>
      <w:tblLayout w:type="fixed"/>
      <w:tblCellMar>
        <w:top w:w="0" w:type="dxa"/>
        <w:left w:w="0" w:type="dxa"/>
        <w:bottom w:w="0" w:type="dxa"/>
        <w:right w:w="0" w:type="dxa"/>
      </w:tblCellMar>
    </w:tblPr>
  </w:style>
  <w:style w:type="character" w:customStyle="1" w:styleId="231">
    <w:name w:val="15"/>
    <w:basedOn w:val="26"/>
    <w:uiPriority w:val="0"/>
    <w:rPr>
      <w:rFonts w:hint="eastAsia" w:ascii="宋体" w:hAnsi="宋体" w:eastAsia="宋体"/>
      <w:color w:val="000000"/>
      <w:sz w:val="20"/>
      <w:szCs w:val="20"/>
    </w:rPr>
  </w:style>
  <w:style w:type="paragraph" w:customStyle="1" w:styleId="232">
    <w:name w:val="表格文件"/>
    <w:basedOn w:val="1"/>
    <w:uiPriority w:val="0"/>
    <w:pPr>
      <w:shd w:val="clear" w:color="auto" w:fill="FFFFFF"/>
      <w:adjustRightInd/>
      <w:spacing w:line="240" w:lineRule="auto"/>
      <w:jc w:val="center"/>
    </w:pPr>
    <w:rPr>
      <w:rFonts w:ascii="宋体" w:hAnsi="宋体" w:cs="宋体"/>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909EE2957F4AB3A3A7C94846709E5E"/>
        <w:style w:val=""/>
        <w:category>
          <w:name w:val="常规"/>
          <w:gallery w:val="placeholder"/>
        </w:category>
        <w:types>
          <w:type w:val="bbPlcHdr"/>
        </w:types>
        <w:behaviors>
          <w:behavior w:val="content"/>
        </w:behaviors>
        <w:description w:val=""/>
        <w:guid w:val="{9FEAB9E2-0BE2-4EB1-A333-CBCEFF4EFD21}"/>
      </w:docPartPr>
      <w:docPartBody>
        <w:p>
          <w:pPr>
            <w:pStyle w:val="5"/>
          </w:pPr>
          <w:r>
            <w:rPr>
              <w:rStyle w:val="4"/>
              <w:rFonts w:hint="eastAsia"/>
            </w:rPr>
            <w:t>单击或点击此处输入文字。</w:t>
          </w:r>
        </w:p>
      </w:docPartBody>
    </w:docPart>
    <w:docPart>
      <w:docPartPr>
        <w:name w:val="323AECE699174D6FBD513F793AA9A2D4"/>
        <w:style w:val=""/>
        <w:category>
          <w:name w:val="常规"/>
          <w:gallery w:val="placeholder"/>
        </w:category>
        <w:types>
          <w:type w:val="bbPlcHdr"/>
        </w:types>
        <w:behaviors>
          <w:behavior w:val="content"/>
        </w:behaviors>
        <w:description w:val=""/>
        <w:guid w:val="{E93750A6-78D8-4F09-816E-F08975076355}"/>
      </w:docPartPr>
      <w:docPartBody>
        <w:p>
          <w:pPr>
            <w:pStyle w:val="6"/>
          </w:pPr>
          <w:r>
            <w:rPr>
              <w:rStyle w:val="4"/>
              <w:rFonts w:hint="eastAsia"/>
            </w:rPr>
            <w:t>选择一项。</w:t>
          </w:r>
        </w:p>
      </w:docPartBody>
    </w:docPart>
    <w:docPart>
      <w:docPartPr>
        <w:name w:val="5666158C519E43278C2187F2C5EA6B65"/>
        <w:style w:val=""/>
        <w:category>
          <w:name w:val="常规"/>
          <w:gallery w:val="placeholder"/>
        </w:category>
        <w:types>
          <w:type w:val="bbPlcHdr"/>
        </w:types>
        <w:behaviors>
          <w:behavior w:val="content"/>
        </w:behaviors>
        <w:description w:val=""/>
        <w:guid w:val="{B1D11C0F-6611-41D4-BF72-E6A21FD4CB8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33"/>
    <w:rsid w:val="002C7FEE"/>
    <w:rsid w:val="002E6700"/>
    <w:rsid w:val="002F6333"/>
    <w:rsid w:val="0037257A"/>
    <w:rsid w:val="006E5FEA"/>
    <w:rsid w:val="008569F4"/>
    <w:rsid w:val="00DE3BD2"/>
    <w:rsid w:val="00EE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C6909EE2957F4AB3A3A7C94846709E5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23AECE699174D6FBD513F793AA9A2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666158C519E43278C2187F2C5EA6B6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ED402-19F2-4D80-B70C-3B43C4A3EC4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19</Pages>
  <Words>1744</Words>
  <Characters>2200</Characters>
  <Lines>101</Lines>
  <Paragraphs>28</Paragraphs>
  <TotalTime>0</TotalTime>
  <ScaleCrop>false</ScaleCrop>
  <LinksUpToDate>false</LinksUpToDate>
  <CharactersWithSpaces>2355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2024-01-09T13:16:00Z</dcterms:created>
  <dc:creator>李玮</dc:creator>
  <dc:description>&lt;config cover="true" show_menu="true" version="1.0.0" doctype="SDKXY"&gt;_x000d_
&lt;/config&gt;</dc:description>
  <cp:lastModifiedBy>段向阳</cp:lastModifiedBy>
  <cp:lastPrinted>2020-08-30T10:00:00Z</cp:lastPrinted>
  <dcterms:modified xsi:type="dcterms:W3CDTF">2025-07-07T01:22:26Z</dcterms:modified>
  <dc:title>地方标准</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eyJoZGlkIjoiNzJhNmVkMzhkZjBiMTEyNTM5NjVjNzViYzgxMzJhODEiLCJ1c2VySWQiOiIzNTgzMDc5ODkifQ==</vt:lpwstr>
  </property>
  <property fmtid="{D5CDD505-2E9C-101B-9397-08002B2CF9AE}" pid="15" name="KSOProductBuildVer">
    <vt:lpwstr>2052-10.8.0.6423</vt:lpwstr>
  </property>
  <property fmtid="{D5CDD505-2E9C-101B-9397-08002B2CF9AE}" pid="16" name="ICV">
    <vt:lpwstr>5D55E93DC25F4266A016FEF3E7204F5D_12</vt:lpwstr>
  </property>
</Properties>
</file>