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FD7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D1168C">
            <w:pPr>
              <w:pStyle w:val="18"/>
              <w:framePr w:wrap="notBeside" w:vAnchor="page" w:hAnchor="page" w:x="1372" w:y="568"/>
              <w:tabs>
                <w:tab w:val="clear" w:pos="4153"/>
                <w:tab w:val="clear" w:pos="8306"/>
              </w:tabs>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55B04E6">
            <w:pPr>
              <w:pStyle w:val="18"/>
              <w:framePr w:wrap="notBeside" w:vAnchor="page" w:hAnchor="page" w:x="1372" w:y="568"/>
              <w:tabs>
                <w:tab w:val="clear" w:pos="4153"/>
                <w:tab w:val="clear" w:pos="8306"/>
              </w:tabs>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03.100.01</w:t>
            </w:r>
            <w:r>
              <w:rPr>
                <w:rFonts w:ascii="黑体" w:hAnsi="黑体" w:eastAsia="黑体"/>
                <w:sz w:val="21"/>
                <w:szCs w:val="21"/>
              </w:rPr>
              <w:fldChar w:fldCharType="end"/>
            </w:r>
            <w:bookmarkEnd w:id="0"/>
          </w:p>
        </w:tc>
      </w:tr>
      <w:tr w14:paraId="3E60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68B2508">
            <w:pPr>
              <w:pStyle w:val="18"/>
              <w:framePr w:wrap="notBeside" w:vAnchor="page" w:hAnchor="page" w:x="1372" w:y="568"/>
              <w:tabs>
                <w:tab w:val="clear" w:pos="4153"/>
                <w:tab w:val="clear" w:pos="8306"/>
              </w:tabs>
              <w:spacing w:before="40"/>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31882D7">
            <w:pPr>
              <w:pStyle w:val="18"/>
              <w:framePr w:wrap="notBeside" w:vAnchor="page" w:hAnchor="page" w:x="1372" w:y="568"/>
              <w:tabs>
                <w:tab w:val="clear" w:pos="4153"/>
                <w:tab w:val="clear" w:pos="8306"/>
              </w:tabs>
              <w:spacing w:before="40"/>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09736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01A6B68">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240405BA">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95C6877">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14:paraId="79208A66">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06A5DD8">
      <w:pPr>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B9F0BCC">
      <w:pPr>
        <w:pStyle w:val="50"/>
        <w:framePr w:w="9639" w:h="6976" w:hRule="exact" w:hSpace="0" w:vSpace="0" w:wrap="around" w:hAnchor="page" w:y="6408"/>
        <w:jc w:val="center"/>
        <w:rPr>
          <w:rFonts w:hint="eastAsia" w:ascii="黑体" w:hAnsi="黑体" w:eastAsia="黑体"/>
          <w:b w:val="0"/>
          <w:bCs w:val="0"/>
          <w:w w:val="100"/>
        </w:rPr>
      </w:pPr>
    </w:p>
    <w:p w14:paraId="5F94735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企业应对337调查管理规范</w:t>
      </w:r>
      <w:r>
        <w:fldChar w:fldCharType="end"/>
      </w:r>
      <w:bookmarkEnd w:id="9"/>
    </w:p>
    <w:p w14:paraId="5D19AF77">
      <w:pPr>
        <w:framePr w:w="9639" w:h="6974" w:hRule="exact" w:wrap="around" w:vAnchor="page" w:hAnchor="page" w:x="1419" w:y="6408" w:anchorLock="1"/>
        <w:ind w:left="-1418"/>
      </w:pPr>
    </w:p>
    <w:p w14:paraId="3D6D406C">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Management specification for enterprises to respond to section 337 investigations</w:t>
      </w:r>
      <w:r>
        <w:rPr>
          <w:rFonts w:eastAsia="黑体"/>
          <w:szCs w:val="28"/>
        </w:rPr>
        <w:fldChar w:fldCharType="end"/>
      </w:r>
      <w:bookmarkEnd w:id="10"/>
    </w:p>
    <w:p w14:paraId="234D410F">
      <w:pPr>
        <w:framePr w:w="9639" w:h="6974" w:hRule="exact" w:wrap="around" w:vAnchor="page" w:hAnchor="page" w:x="1419" w:y="6408" w:anchorLock="1"/>
        <w:spacing w:line="760" w:lineRule="exact"/>
        <w:ind w:left="-1418"/>
      </w:pPr>
    </w:p>
    <w:p w14:paraId="65C59D69">
      <w:pPr>
        <w:pStyle w:val="125"/>
        <w:framePr w:w="9639" w:h="6974" w:hRule="exact" w:wrap="around" w:vAnchor="page" w:hAnchor="page" w:x="1419" w:y="6408" w:anchorLock="1"/>
        <w:textAlignment w:val="bottom"/>
        <w:rPr>
          <w:rFonts w:eastAsia="黑体"/>
          <w:szCs w:val="28"/>
        </w:rPr>
      </w:pPr>
    </w:p>
    <w:p w14:paraId="6934B17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589FB4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（本草案完成时间：2025年5月29日）</w:t>
      </w:r>
      <w:r>
        <w:rPr>
          <w:sz w:val="21"/>
          <w:szCs w:val="28"/>
        </w:rPr>
        <w:fldChar w:fldCharType="end"/>
      </w:r>
      <w:bookmarkEnd w:id="12"/>
    </w:p>
    <w:p w14:paraId="397997BA">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08BE989C">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12F14A94">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C1E28D9">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D14B501">
      <w:pPr>
        <w:pStyle w:val="91"/>
        <w:spacing w:after="468"/>
      </w:pPr>
      <w:bookmarkStart w:id="20" w:name="BookMark1"/>
      <w:bookmarkStart w:id="21" w:name="_Toc175239580"/>
      <w:bookmarkStart w:id="22" w:name="_Toc171351159"/>
      <w:bookmarkStart w:id="23" w:name="_Toc180492051"/>
      <w:bookmarkStart w:id="24" w:name="_Toc180398752"/>
      <w:bookmarkStart w:id="25" w:name="_Toc180400017"/>
      <w:bookmarkStart w:id="26" w:name="_Toc180398655"/>
      <w:bookmarkStart w:id="27" w:name="_Toc175238788"/>
      <w:bookmarkStart w:id="28" w:name="_Toc180398429"/>
      <w:bookmarkStart w:id="29" w:name="_Toc172543287"/>
      <w:bookmarkStart w:id="30" w:name="_Toc179994863"/>
      <w:bookmarkStart w:id="31" w:name="_Toc180394898"/>
      <w:r>
        <w:rPr>
          <w:rFonts w:hint="eastAsia"/>
          <w:spacing w:val="320"/>
        </w:rPr>
        <w:t>目</w:t>
      </w:r>
      <w:r>
        <w:rPr>
          <w:rFonts w:hint="eastAsia"/>
        </w:rPr>
        <w:t>次</w:t>
      </w:r>
    </w:p>
    <w:p w14:paraId="7E70D415">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"_Toc200117560" </w:instrText>
      </w:r>
      <w:r>
        <w:fldChar w:fldCharType="separate"/>
      </w:r>
      <w:r>
        <w:rPr>
          <w:rStyle w:val="32"/>
          <w:rFonts w:hint="eastAsia"/>
        </w:rPr>
        <w:t>前言</w:t>
      </w:r>
      <w:r>
        <w:tab/>
      </w:r>
      <w:r>
        <w:fldChar w:fldCharType="begin"/>
      </w:r>
      <w:r>
        <w:instrText xml:space="preserve"> PAGEREF _Toc200117560 \h </w:instrText>
      </w:r>
      <w:r>
        <w:fldChar w:fldCharType="separate"/>
      </w:r>
      <w:r>
        <w:t>II</w:t>
      </w:r>
      <w:r>
        <w:fldChar w:fldCharType="end"/>
      </w:r>
      <w:r>
        <w:fldChar w:fldCharType="end"/>
      </w:r>
    </w:p>
    <w:p w14:paraId="498518F9">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"_Toc200117561" </w:instrText>
      </w:r>
      <w:r>
        <w:fldChar w:fldCharType="separate"/>
      </w:r>
      <w:r>
        <w:rPr>
          <w:rStyle w:val="32"/>
        </w:rPr>
        <w:t xml:space="preserve">1 </w:t>
      </w:r>
      <w:r>
        <w:rPr>
          <w:rStyle w:val="32"/>
          <w:rFonts w:hint="eastAsia"/>
        </w:rPr>
        <w:t xml:space="preserve"> 范围</w:t>
      </w:r>
      <w:r>
        <w:tab/>
      </w:r>
      <w:r>
        <w:fldChar w:fldCharType="begin"/>
      </w:r>
      <w:r>
        <w:instrText xml:space="preserve"> PAGEREF _Toc200117561 \h </w:instrText>
      </w:r>
      <w:r>
        <w:fldChar w:fldCharType="separate"/>
      </w:r>
      <w:r>
        <w:t>1</w:t>
      </w:r>
      <w:r>
        <w:fldChar w:fldCharType="end"/>
      </w:r>
      <w:r>
        <w:fldChar w:fldCharType="end"/>
      </w:r>
    </w:p>
    <w:p w14:paraId="121BDF4D">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"_Toc200117562"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_Toc200117562 \h </w:instrText>
      </w:r>
      <w:r>
        <w:fldChar w:fldCharType="separate"/>
      </w:r>
      <w:r>
        <w:t>1</w:t>
      </w:r>
      <w:r>
        <w:fldChar w:fldCharType="end"/>
      </w:r>
      <w:r>
        <w:fldChar w:fldCharType="end"/>
      </w:r>
    </w:p>
    <w:p w14:paraId="52525474">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"_Toc200117563"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_Toc200117563 \h </w:instrText>
      </w:r>
      <w:r>
        <w:fldChar w:fldCharType="separate"/>
      </w:r>
      <w:r>
        <w:t>1</w:t>
      </w:r>
      <w:r>
        <w:fldChar w:fldCharType="end"/>
      </w:r>
      <w:r>
        <w:fldChar w:fldCharType="end"/>
      </w:r>
    </w:p>
    <w:p w14:paraId="3B7ECAEB">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"_Toc200117564" </w:instrText>
      </w:r>
      <w:r>
        <w:fldChar w:fldCharType="separate"/>
      </w:r>
      <w:r>
        <w:rPr>
          <w:rStyle w:val="32"/>
        </w:rPr>
        <w:t xml:space="preserve">4 </w:t>
      </w:r>
      <w:r>
        <w:rPr>
          <w:rStyle w:val="32"/>
          <w:rFonts w:hint="eastAsia"/>
        </w:rPr>
        <w:t xml:space="preserve"> 基本原则</w:t>
      </w:r>
      <w:r>
        <w:tab/>
      </w:r>
      <w:r>
        <w:fldChar w:fldCharType="begin"/>
      </w:r>
      <w:r>
        <w:instrText xml:space="preserve"> PAGEREF _Toc200117564 \h </w:instrText>
      </w:r>
      <w:r>
        <w:fldChar w:fldCharType="separate"/>
      </w:r>
      <w:r>
        <w:t>2</w:t>
      </w:r>
      <w:r>
        <w:fldChar w:fldCharType="end"/>
      </w:r>
      <w:r>
        <w:fldChar w:fldCharType="end"/>
      </w:r>
    </w:p>
    <w:p w14:paraId="0A3B7EFA">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"_Toc200117565" </w:instrText>
      </w:r>
      <w:r>
        <w:fldChar w:fldCharType="separate"/>
      </w:r>
      <w:r>
        <w:rPr>
          <w:rStyle w:val="32"/>
        </w:rPr>
        <w:t xml:space="preserve">5 </w:t>
      </w:r>
      <w:r>
        <w:rPr>
          <w:rStyle w:val="32"/>
          <w:rFonts w:hint="eastAsia"/>
        </w:rPr>
        <w:t xml:space="preserve"> 预防措施管理</w:t>
      </w:r>
      <w:r>
        <w:tab/>
      </w:r>
      <w:r>
        <w:fldChar w:fldCharType="begin"/>
      </w:r>
      <w:r>
        <w:instrText xml:space="preserve"> PAGEREF _Toc200117565 \h </w:instrText>
      </w:r>
      <w:r>
        <w:fldChar w:fldCharType="separate"/>
      </w:r>
      <w:r>
        <w:t>3</w:t>
      </w:r>
      <w:r>
        <w:fldChar w:fldCharType="end"/>
      </w:r>
      <w:r>
        <w:fldChar w:fldCharType="end"/>
      </w:r>
    </w:p>
    <w:p w14:paraId="2782FBFD">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"_Toc200117566" </w:instrText>
      </w:r>
      <w:r>
        <w:fldChar w:fldCharType="separate"/>
      </w:r>
      <w:r>
        <w:rPr>
          <w:rStyle w:val="32"/>
        </w:rPr>
        <w:t xml:space="preserve">6 </w:t>
      </w:r>
      <w:r>
        <w:rPr>
          <w:rStyle w:val="32"/>
          <w:rFonts w:hint="eastAsia"/>
        </w:rPr>
        <w:t xml:space="preserve"> 调查程序管理</w:t>
      </w:r>
      <w:r>
        <w:tab/>
      </w:r>
      <w:r>
        <w:fldChar w:fldCharType="begin"/>
      </w:r>
      <w:r>
        <w:instrText xml:space="preserve"> PAGEREF _Toc200117566 \h </w:instrText>
      </w:r>
      <w:r>
        <w:fldChar w:fldCharType="separate"/>
      </w:r>
      <w:r>
        <w:t>3</w:t>
      </w:r>
      <w:r>
        <w:fldChar w:fldCharType="end"/>
      </w:r>
      <w:r>
        <w:fldChar w:fldCharType="end"/>
      </w:r>
    </w:p>
    <w:p w14:paraId="6709D11B">
      <w:pPr>
        <w:pStyle w:val="19"/>
        <w:tabs>
          <w:tab w:val="right" w:leader="dot" w:pos="9344"/>
        </w:tabs>
      </w:pPr>
      <w:r>
        <w:fldChar w:fldCharType="begin"/>
      </w:r>
      <w:r>
        <w:instrText xml:space="preserve"> HYPERLINK \l "_Toc200117567" </w:instrText>
      </w:r>
      <w:r>
        <w:fldChar w:fldCharType="separate"/>
      </w:r>
      <w:r>
        <w:rPr>
          <w:rStyle w:val="32"/>
        </w:rPr>
        <w:t xml:space="preserve">7 </w:t>
      </w:r>
      <w:r>
        <w:rPr>
          <w:rStyle w:val="32"/>
          <w:rFonts w:hint="eastAsia"/>
        </w:rPr>
        <w:t xml:space="preserve"> 应对策略管理</w:t>
      </w:r>
      <w:r>
        <w:tab/>
      </w:r>
      <w:r>
        <w:fldChar w:fldCharType="begin"/>
      </w:r>
      <w:r>
        <w:instrText xml:space="preserve"> PAGEREF _Toc200117567 \h </w:instrText>
      </w:r>
      <w:r>
        <w:fldChar w:fldCharType="separate"/>
      </w:r>
      <w:r>
        <w:t>6</w:t>
      </w:r>
      <w:r>
        <w:fldChar w:fldCharType="end"/>
      </w:r>
      <w:r>
        <w:fldChar w:fldCharType="end"/>
      </w:r>
    </w:p>
    <w:p w14:paraId="7EA7DB7C">
      <w:pPr>
        <w:pStyle w:val="19"/>
        <w:tabs>
          <w:tab w:val="right" w:leader="dot" w:pos="9344"/>
        </w:tabs>
      </w:pPr>
      <w:r>
        <w:rPr>
          <w:color w:val="auto"/>
        </w:rPr>
        <w:fldChar w:fldCharType="begin"/>
      </w:r>
      <w:r>
        <w:rPr>
          <w:color w:val="auto"/>
        </w:rPr>
        <w:instrText xml:space="preserve"> HYPERLINK \l "_Toc200117567" </w:instrText>
      </w:r>
      <w:r>
        <w:rPr>
          <w:color w:val="auto"/>
        </w:rPr>
        <w:fldChar w:fldCharType="separate"/>
      </w:r>
      <w:r>
        <w:rPr>
          <w:rFonts w:hint="eastAsia"/>
          <w:color w:val="auto"/>
        </w:rPr>
        <w:t>8</w:t>
      </w:r>
      <w:r>
        <w:rPr>
          <w:rStyle w:val="32"/>
          <w:color w:val="auto"/>
        </w:rPr>
        <w:t xml:space="preserve"> </w:t>
      </w:r>
      <w:r>
        <w:rPr>
          <w:rStyle w:val="32"/>
          <w:rFonts w:hint="eastAsia"/>
          <w:color w:val="auto"/>
        </w:rPr>
        <w:t xml:space="preserve"> 案件预算管理</w:t>
      </w:r>
      <w:r>
        <w:rPr>
          <w:color w:val="auto"/>
        </w:rPr>
        <w:tab/>
      </w:r>
      <w:r>
        <w:rPr>
          <w:rFonts w:hint="eastAsia"/>
          <w:color w:val="auto"/>
        </w:rPr>
        <w:t>6</w:t>
      </w:r>
      <w:r>
        <w:rPr>
          <w:rFonts w:hint="eastAsia"/>
          <w:color w:val="auto"/>
        </w:rPr>
        <w:fldChar w:fldCharType="end"/>
      </w:r>
    </w:p>
    <w:p w14:paraId="089C2CB8">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"_Toc200117568" </w:instrText>
      </w:r>
      <w:r>
        <w:fldChar w:fldCharType="separate"/>
      </w:r>
      <w:r>
        <w:rPr>
          <w:rFonts w:hint="eastAsia"/>
        </w:rPr>
        <w:t>9</w:t>
      </w:r>
      <w:r>
        <w:rPr>
          <w:rStyle w:val="32"/>
        </w:rPr>
        <w:t xml:space="preserve"> </w:t>
      </w:r>
      <w:r>
        <w:rPr>
          <w:rStyle w:val="32"/>
          <w:rFonts w:hint="eastAsia"/>
        </w:rPr>
        <w:t xml:space="preserve"> 监督检查管理</w:t>
      </w:r>
      <w:r>
        <w:tab/>
      </w:r>
      <w:r>
        <w:rPr>
          <w:rFonts w:hint="eastAsia"/>
        </w:rPr>
        <w:t>7</w:t>
      </w:r>
      <w:r>
        <w:rPr>
          <w:rFonts w:hint="eastAsia"/>
        </w:rPr>
        <w:fldChar w:fldCharType="end"/>
      </w:r>
    </w:p>
    <w:p w14:paraId="6A6C4E4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"_Toc200117569" </w:instrText>
      </w:r>
      <w:r>
        <w:fldChar w:fldCharType="separate"/>
      </w:r>
      <w:r>
        <w:rPr>
          <w:rStyle w:val="32"/>
          <w:rFonts w:hint="eastAsia"/>
        </w:rPr>
        <w:t>附录A（资料性）</w:t>
      </w:r>
      <w:r>
        <w:rPr>
          <w:rStyle w:val="32"/>
        </w:rPr>
        <w:t xml:space="preserve">  337</w:t>
      </w:r>
      <w:r>
        <w:rPr>
          <w:rStyle w:val="32"/>
          <w:rFonts w:hint="eastAsia"/>
        </w:rPr>
        <w:t>调查基本程序及时间表</w:t>
      </w:r>
      <w:r>
        <w:tab/>
      </w:r>
      <w:r>
        <w:rPr>
          <w:rFonts w:hint="eastAsia"/>
        </w:rPr>
        <w:t>8</w:t>
      </w:r>
      <w:r>
        <w:rPr>
          <w:rFonts w:hint="eastAsia"/>
        </w:rPr>
        <w:fldChar w:fldCharType="end"/>
      </w:r>
    </w:p>
    <w:p w14:paraId="580500C5">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"_Toc200117570" </w:instrText>
      </w:r>
      <w:r>
        <w:fldChar w:fldCharType="separate"/>
      </w:r>
      <w:r>
        <w:rPr>
          <w:rStyle w:val="32"/>
          <w:rFonts w:hint="eastAsia"/>
        </w:rPr>
        <w:t>附录B（资料性）</w:t>
      </w:r>
      <w:r>
        <w:rPr>
          <w:rStyle w:val="32"/>
        </w:rPr>
        <w:t xml:space="preserve">  </w:t>
      </w:r>
      <w:r>
        <w:rPr>
          <w:rStyle w:val="32"/>
          <w:rFonts w:hint="eastAsia"/>
        </w:rPr>
        <w:t>专利侵权风险分析报告（参考文本）</w:t>
      </w:r>
      <w:r>
        <w:tab/>
      </w:r>
      <w:r>
        <w:rPr>
          <w:rFonts w:hint="eastAsia"/>
        </w:rPr>
        <w:t>9</w:t>
      </w:r>
      <w:r>
        <w:rPr>
          <w:rFonts w:hint="eastAsia"/>
        </w:rPr>
        <w:fldChar w:fldCharType="end"/>
      </w:r>
    </w:p>
    <w:p w14:paraId="52FB57C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"_Toc200117572" </w:instrText>
      </w:r>
      <w:r>
        <w:fldChar w:fldCharType="separate"/>
      </w:r>
      <w:r>
        <w:rPr>
          <w:rStyle w:val="32"/>
          <w:rFonts w:hint="eastAsia"/>
        </w:rPr>
        <w:t>参考文献</w:t>
      </w:r>
      <w:r>
        <w:tab/>
      </w:r>
      <w:r>
        <w:fldChar w:fldCharType="begin"/>
      </w:r>
      <w:r>
        <w:instrText xml:space="preserve"> PAGEREF _Toc200117572 \h </w:instrText>
      </w:r>
      <w:r>
        <w:fldChar w:fldCharType="separate"/>
      </w:r>
      <w:r>
        <w:t>1</w:t>
      </w:r>
      <w:r>
        <w:rPr>
          <w:rFonts w:hint="eastAsia"/>
        </w:rPr>
        <w:t>1</w:t>
      </w:r>
      <w:r>
        <w:fldChar w:fldCharType="end"/>
      </w:r>
      <w:r>
        <w:fldChar w:fldCharType="end"/>
      </w:r>
    </w:p>
    <w:p w14:paraId="3D5785D5">
      <w:pPr>
        <w:pStyle w:val="91"/>
        <w:spacing w:after="468"/>
        <w:jc w:val="both"/>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0"/>
    <w:p w14:paraId="592C0CAE">
      <w:pPr>
        <w:pStyle w:val="89"/>
        <w:spacing w:after="468"/>
      </w:pPr>
      <w:bookmarkStart w:id="32" w:name="_Toc200117560"/>
      <w:bookmarkStart w:id="33" w:name="BookMark2"/>
      <w:r>
        <w:rPr>
          <w:spacing w:val="320"/>
        </w:rPr>
        <w:t>前</w:t>
      </w:r>
      <w:r>
        <w:t>言</w:t>
      </w:r>
      <w:bookmarkEnd w:id="21"/>
      <w:bookmarkEnd w:id="22"/>
      <w:bookmarkEnd w:id="23"/>
      <w:bookmarkEnd w:id="24"/>
      <w:bookmarkEnd w:id="25"/>
      <w:bookmarkEnd w:id="26"/>
      <w:bookmarkEnd w:id="27"/>
      <w:bookmarkEnd w:id="28"/>
      <w:bookmarkEnd w:id="29"/>
      <w:bookmarkEnd w:id="30"/>
      <w:bookmarkEnd w:id="31"/>
      <w:bookmarkEnd w:id="32"/>
    </w:p>
    <w:p w14:paraId="09EF63F4">
      <w:pPr>
        <w:pStyle w:val="56"/>
        <w:shd w:val="clear"/>
        <w:ind w:firstLine="420"/>
        <w:rPr>
          <w:highlight w:val="none"/>
        </w:rPr>
      </w:pPr>
      <w:r>
        <w:rPr>
          <w:rFonts w:hint="eastAsia"/>
          <w:highlight w:val="none"/>
        </w:rPr>
        <w:t>本文件按照GB/T 1.1—2020《标准化工作导则  第1部分：标准化文件的结构和起草规则》的规定起草。</w:t>
      </w:r>
    </w:p>
    <w:p w14:paraId="3FDA3AF8">
      <w:pPr>
        <w:pStyle w:val="56"/>
        <w:shd w:val="clear"/>
        <w:ind w:firstLine="420"/>
        <w:rPr>
          <w:highlight w:val="none"/>
        </w:rPr>
      </w:pPr>
      <w:r>
        <w:rPr>
          <w:rFonts w:hint="eastAsia"/>
          <w:highlight w:val="none"/>
        </w:rPr>
        <w:t>请注意本文件的某些内容可能涉及专利。本文件的发布机构不承担识别专利的责任。</w:t>
      </w:r>
    </w:p>
    <w:p w14:paraId="3214FFD5">
      <w:pPr>
        <w:pStyle w:val="56"/>
        <w:shd w:val="clear"/>
        <w:ind w:firstLine="420"/>
        <w:rPr>
          <w:highlight w:val="none"/>
        </w:rPr>
      </w:pPr>
      <w:r>
        <w:rPr>
          <w:rFonts w:hint="eastAsia"/>
          <w:highlight w:val="none"/>
        </w:rPr>
        <w:t>本文件由湖南省市场监督管理局提出并归口。</w:t>
      </w:r>
    </w:p>
    <w:p w14:paraId="6AA749A5">
      <w:pPr>
        <w:pStyle w:val="56"/>
        <w:shd w:val="clear"/>
        <w:ind w:firstLine="420"/>
        <w:rPr>
          <w:highlight w:val="none"/>
        </w:rPr>
      </w:pPr>
      <w:r>
        <w:rPr>
          <w:rFonts w:hint="eastAsia"/>
          <w:highlight w:val="none"/>
        </w:rPr>
        <w:t>本文件起草单位：湖南省知识产权协会、湖南省发明人协会、</w:t>
      </w:r>
      <w:r>
        <w:rPr>
          <w:rFonts w:hint="eastAsia"/>
          <w:color w:val="auto"/>
          <w:highlight w:val="none"/>
        </w:rPr>
        <w:t>中车株洲电力机车研究所有限公司</w:t>
      </w:r>
      <w:r>
        <w:rPr>
          <w:rFonts w:hint="eastAsia"/>
          <w:color w:val="auto"/>
          <w:highlight w:val="none"/>
          <w:lang w:eastAsia="zh-CN"/>
        </w:rPr>
        <w:t>、株洲时代华鑫新材料技术股份有限公司</w:t>
      </w:r>
      <w:r>
        <w:rPr>
          <w:rFonts w:hint="eastAsia"/>
          <w:highlight w:val="none"/>
        </w:rPr>
        <w:t>。</w:t>
      </w:r>
    </w:p>
    <w:p w14:paraId="2EC132C8">
      <w:pPr>
        <w:pStyle w:val="56"/>
        <w:shd w:val="clear"/>
        <w:ind w:firstLine="420"/>
        <w:rPr>
          <w:rFonts w:hint="default" w:eastAsia="宋体"/>
          <w:highlight w:val="none"/>
          <w:lang w:val="en-US" w:eastAsia="zh-CN"/>
        </w:rPr>
      </w:pPr>
      <w:r>
        <w:rPr>
          <w:rFonts w:hint="eastAsia"/>
          <w:highlight w:val="none"/>
        </w:rPr>
        <w:t>本文件主要起草人：耿立刚、言琳芝、</w:t>
      </w:r>
      <w:r>
        <w:rPr>
          <w:rFonts w:hint="eastAsia"/>
          <w:highlight w:val="none"/>
          <w:lang w:val="en-US" w:eastAsia="zh-CN"/>
        </w:rPr>
        <w:t>张步峰、</w:t>
      </w:r>
      <w:r>
        <w:rPr>
          <w:rFonts w:hint="eastAsia"/>
          <w:highlight w:val="none"/>
        </w:rPr>
        <w:t>言艳毛、曹梦颐、李若璇、黄伟才</w:t>
      </w:r>
      <w:r>
        <w:rPr>
          <w:rFonts w:hint="eastAsia"/>
          <w:highlight w:val="none"/>
          <w:lang w:eastAsia="zh-CN"/>
        </w:rPr>
        <w:t>、</w:t>
      </w:r>
      <w:r>
        <w:rPr>
          <w:rFonts w:hint="eastAsia"/>
          <w:highlight w:val="none"/>
        </w:rPr>
        <w:t>哈斯、张永红、鲁鹏、贺俊宾、</w:t>
      </w:r>
      <w:r>
        <w:rPr>
          <w:rFonts w:hint="eastAsia"/>
          <w:highlight w:val="none"/>
          <w:lang w:val="en-US" w:eastAsia="zh-CN"/>
        </w:rPr>
        <w:t>戴孙强、</w:t>
      </w:r>
      <w:r>
        <w:rPr>
          <w:rFonts w:hint="eastAsia"/>
          <w:highlight w:val="none"/>
        </w:rPr>
        <w:t>肖坤立、邱飞云</w:t>
      </w:r>
      <w:r>
        <w:rPr>
          <w:rFonts w:hint="eastAsia"/>
          <w:highlight w:val="none"/>
          <w:lang w:eastAsia="zh-CN"/>
        </w:rPr>
        <w:t>。</w:t>
      </w:r>
    </w:p>
    <w:p w14:paraId="21F31CD9">
      <w:pPr>
        <w:pStyle w:val="56"/>
        <w:shd w:val="clear"/>
        <w:ind w:firstLine="420"/>
        <w:rPr>
          <w:rFonts w:hint="default" w:eastAsia="宋体"/>
          <w:highlight w:val="none"/>
          <w:lang w:val="en-US" w:eastAsia="zh-CN"/>
        </w:rPr>
      </w:pPr>
      <w:r>
        <w:rPr>
          <w:rFonts w:hint="eastAsia"/>
          <w:highlight w:val="none"/>
          <w:lang w:val="en-US" w:eastAsia="zh-CN"/>
        </w:rPr>
        <w:t>——本文件为首次制定。</w:t>
      </w:r>
    </w:p>
    <w:p w14:paraId="2E1B1C0E">
      <w:pPr>
        <w:pStyle w:val="56"/>
        <w:rPr>
          <w:rFonts w:hint="default" w:eastAsia="宋体"/>
          <w:lang w:val="en-US" w:eastAsia="zh-CN"/>
        </w:rPr>
        <w:sectPr>
          <w:pgSz w:w="11906" w:h="16838"/>
          <w:pgMar w:top="567" w:right="1134" w:bottom="1134" w:left="1134" w:header="1418" w:footer="1134" w:gutter="284"/>
          <w:pgNumType w:fmt="upperRoman"/>
          <w:cols w:space="425" w:num="1"/>
          <w:formProt w:val="0"/>
          <w:docGrid w:type="lines" w:linePitch="312" w:charSpace="0"/>
        </w:sectPr>
      </w:pPr>
    </w:p>
    <w:bookmarkEnd w:id="33"/>
    <w:p w14:paraId="796631F6">
      <w:pPr>
        <w:spacing w:line="20" w:lineRule="exact"/>
        <w:jc w:val="center"/>
        <w:rPr>
          <w:rFonts w:hint="eastAsia" w:ascii="黑体" w:hAnsi="黑体" w:eastAsia="黑体"/>
          <w:sz w:val="32"/>
          <w:szCs w:val="32"/>
        </w:rPr>
      </w:pPr>
      <w:bookmarkStart w:id="34" w:name="BookMark4"/>
    </w:p>
    <w:p w14:paraId="6097ADDD">
      <w:pPr>
        <w:spacing w:line="20" w:lineRule="exact"/>
        <w:jc w:val="center"/>
        <w:rPr>
          <w:rFonts w:hint="eastAsia" w:ascii="黑体" w:hAnsi="黑体" w:eastAsia="黑体"/>
          <w:sz w:val="32"/>
          <w:szCs w:val="32"/>
        </w:rPr>
      </w:pPr>
    </w:p>
    <w:sdt>
      <w:sdtPr>
        <w:tag w:val="NEW_STAND_NAME"/>
        <w:id w:val="595910757"/>
        <w:lock w:val="sdtLocked"/>
        <w:placeholder>
          <w:docPart w:val="9981D6A5734942BE934101389717431C"/>
        </w:placeholder>
      </w:sdtPr>
      <w:sdtContent>
        <w:p w14:paraId="35F5EF19">
          <w:pPr>
            <w:pStyle w:val="177"/>
            <w:spacing w:before="3" w:beforeLines="1" w:after="686" w:afterLines="220"/>
            <w:rPr>
              <w:rFonts w:hint="eastAsia"/>
            </w:rPr>
          </w:pPr>
          <w:bookmarkStart w:id="35" w:name="_Hlk179441284"/>
          <w:bookmarkStart w:id="36" w:name="NEW_STAND_NAME"/>
          <w:r>
            <w:rPr>
              <w:rFonts w:hint="eastAsia"/>
            </w:rPr>
            <w:t>企业应对337调查管理规范</w:t>
          </w:r>
        </w:p>
      </w:sdtContent>
    </w:sdt>
    <w:bookmarkEnd w:id="35"/>
    <w:bookmarkEnd w:id="36"/>
    <w:p w14:paraId="36E25691">
      <w:pPr>
        <w:pStyle w:val="104"/>
        <w:spacing w:before="312" w:after="312"/>
      </w:pPr>
      <w:bookmarkStart w:id="37" w:name="_Toc172543288"/>
      <w:bookmarkStart w:id="38" w:name="_Toc180394899"/>
      <w:bookmarkStart w:id="39" w:name="_Toc26986771"/>
      <w:bookmarkStart w:id="40" w:name="_Toc179994864"/>
      <w:bookmarkStart w:id="41" w:name="_Toc17233333"/>
      <w:bookmarkStart w:id="42" w:name="_Toc17233325"/>
      <w:bookmarkStart w:id="43" w:name="_Toc180398753"/>
      <w:bookmarkStart w:id="44" w:name="_Toc175238789"/>
      <w:bookmarkStart w:id="45" w:name="_Toc180400018"/>
      <w:bookmarkStart w:id="46" w:name="_Toc24884218"/>
      <w:bookmarkStart w:id="47" w:name="_Toc175239581"/>
      <w:bookmarkStart w:id="48" w:name="_Toc26986530"/>
      <w:bookmarkStart w:id="49" w:name="_Toc26718930"/>
      <w:bookmarkStart w:id="50" w:name="_Toc171351160"/>
      <w:bookmarkStart w:id="51" w:name="_Toc24884211"/>
      <w:bookmarkStart w:id="52" w:name="_Toc180398430"/>
      <w:bookmarkStart w:id="53" w:name="_Toc180492052"/>
      <w:bookmarkStart w:id="54" w:name="_Toc180398656"/>
      <w:bookmarkStart w:id="55" w:name="_Toc26648465"/>
      <w:bookmarkStart w:id="56" w:name="_Toc200117561"/>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41FD344">
      <w:pPr>
        <w:pStyle w:val="56"/>
        <w:ind w:firstLine="420"/>
        <w:rPr>
          <w:color w:val="auto"/>
        </w:rPr>
      </w:pPr>
      <w:bookmarkStart w:id="57" w:name="_Toc24884219"/>
      <w:bookmarkStart w:id="58" w:name="_Toc17233326"/>
      <w:bookmarkStart w:id="59" w:name="_Toc17233334"/>
      <w:bookmarkStart w:id="60" w:name="_Toc24884212"/>
      <w:bookmarkStart w:id="61" w:name="_Toc26648466"/>
      <w:r>
        <w:rPr>
          <w:rFonts w:hint="eastAsia"/>
          <w:color w:val="auto"/>
        </w:rPr>
        <w:t>本文件规定了企业应对337调查的基本原则、预防措施管理、调查程序管理、应对策略管理、案件预算管理、监督检查管理等内容。</w:t>
      </w:r>
    </w:p>
    <w:p w14:paraId="73F8A254">
      <w:pPr>
        <w:pStyle w:val="56"/>
        <w:ind w:firstLine="420"/>
        <w:rPr>
          <w:color w:val="auto"/>
        </w:rPr>
      </w:pPr>
      <w:r>
        <w:rPr>
          <w:rFonts w:hint="eastAsia"/>
          <w:color w:val="auto"/>
        </w:rPr>
        <w:t>本文件适用于企业应对337调查的管理，企业集聚的园区、行业协会、具有应对337调查需求的其他组织可参照本文件执行。</w:t>
      </w:r>
    </w:p>
    <w:p w14:paraId="24786D6C">
      <w:pPr>
        <w:pStyle w:val="104"/>
        <w:spacing w:before="312" w:after="312"/>
        <w:rPr>
          <w:color w:val="auto"/>
        </w:rPr>
      </w:pPr>
      <w:bookmarkStart w:id="62" w:name="_Toc180394900"/>
      <w:bookmarkStart w:id="63" w:name="_Toc200117562"/>
      <w:bookmarkStart w:id="64" w:name="_Toc171351161"/>
      <w:bookmarkStart w:id="65" w:name="_Toc175238790"/>
      <w:bookmarkStart w:id="66" w:name="_Toc26718931"/>
      <w:bookmarkStart w:id="67" w:name="_Toc180400019"/>
      <w:bookmarkStart w:id="68" w:name="_Toc180398657"/>
      <w:bookmarkStart w:id="69" w:name="_Toc172543289"/>
      <w:bookmarkStart w:id="70" w:name="_Toc180398754"/>
      <w:bookmarkStart w:id="71" w:name="_Toc26986772"/>
      <w:bookmarkStart w:id="72" w:name="_Toc180398431"/>
      <w:bookmarkStart w:id="73" w:name="_Toc179994865"/>
      <w:bookmarkStart w:id="74" w:name="_Toc175239582"/>
      <w:bookmarkStart w:id="75" w:name="_Toc180492053"/>
      <w:bookmarkStart w:id="76" w:name="_Toc26986531"/>
      <w:r>
        <w:rPr>
          <w:rFonts w:hint="eastAsia"/>
          <w:color w:val="auto"/>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B0A9A48">
      <w:pPr>
        <w:pStyle w:val="56"/>
        <w:ind w:firstLine="420"/>
        <w:rPr>
          <w:color w:val="auto"/>
        </w:rPr>
      </w:pPr>
      <w:r>
        <w:rPr>
          <w:rFonts w:hint="eastAsia"/>
          <w:color w:val="auto"/>
        </w:rPr>
        <w:t>本文件没有规范性引用文件。</w:t>
      </w:r>
    </w:p>
    <w:p w14:paraId="20CD9207">
      <w:pPr>
        <w:pStyle w:val="104"/>
        <w:spacing w:before="312" w:after="312"/>
        <w:rPr>
          <w:color w:val="auto"/>
        </w:rPr>
      </w:pPr>
      <w:bookmarkStart w:id="77" w:name="_Toc180398658"/>
      <w:bookmarkStart w:id="78" w:name="_Toc200117563"/>
      <w:bookmarkStart w:id="79" w:name="_Toc175239583"/>
      <w:bookmarkStart w:id="80" w:name="_Toc180400020"/>
      <w:bookmarkStart w:id="81" w:name="_Toc180492054"/>
      <w:bookmarkStart w:id="82" w:name="_Toc180398432"/>
      <w:bookmarkStart w:id="83" w:name="_Toc180394901"/>
      <w:bookmarkStart w:id="84" w:name="_Toc180398755"/>
      <w:bookmarkStart w:id="85" w:name="_Toc172543290"/>
      <w:bookmarkStart w:id="86" w:name="_Toc171351162"/>
      <w:bookmarkStart w:id="87" w:name="_Toc175238791"/>
      <w:bookmarkStart w:id="88" w:name="_Toc179994866"/>
      <w:r>
        <w:rPr>
          <w:rFonts w:hint="eastAsia"/>
          <w:color w:val="auto"/>
          <w:szCs w:val="21"/>
        </w:rPr>
        <w:t>术语和定义</w:t>
      </w:r>
      <w:bookmarkEnd w:id="77"/>
      <w:bookmarkEnd w:id="78"/>
      <w:bookmarkEnd w:id="79"/>
      <w:bookmarkEnd w:id="80"/>
      <w:bookmarkEnd w:id="81"/>
      <w:bookmarkEnd w:id="82"/>
      <w:bookmarkEnd w:id="83"/>
      <w:bookmarkEnd w:id="84"/>
      <w:bookmarkEnd w:id="85"/>
      <w:bookmarkEnd w:id="86"/>
      <w:bookmarkEnd w:id="87"/>
      <w:bookmarkEnd w:id="88"/>
    </w:p>
    <w:sdt>
      <w:sdtPr>
        <w:rPr>
          <w:rFonts w:hint="eastAsia"/>
          <w:color w:val="auto"/>
        </w:rPr>
        <w:id w:val="-1909835108"/>
        <w:placeholder>
          <w:docPart w:val="2312F66432024F33A4B8E57A04BE16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auto"/>
        </w:rPr>
      </w:sdtEndPr>
      <w:sdtContent>
        <w:p w14:paraId="0967D02B">
          <w:pPr>
            <w:pStyle w:val="56"/>
            <w:ind w:firstLine="420"/>
            <w:rPr>
              <w:color w:val="auto"/>
            </w:rPr>
          </w:pPr>
          <w:bookmarkStart w:id="89" w:name="_Toc26986532"/>
          <w:bookmarkEnd w:id="89"/>
          <w:r>
            <w:rPr>
              <w:rFonts w:hint="eastAsia"/>
              <w:color w:val="auto"/>
            </w:rPr>
            <w:t>下列术语和定义适用于本文件。</w:t>
          </w:r>
        </w:p>
      </w:sdtContent>
    </w:sdt>
    <w:p w14:paraId="6EA9A8E2">
      <w:pPr>
        <w:pStyle w:val="223"/>
        <w:ind w:left="420" w:hanging="420" w:hangingChars="200"/>
        <w:rPr>
          <w:rFonts w:hint="eastAsia" w:ascii="黑体" w:hAnsi="黑体" w:eastAsia="黑体"/>
          <w:color w:val="auto"/>
        </w:rPr>
      </w:pPr>
      <w:bookmarkStart w:id="90" w:name="_Toc171351163"/>
      <w:r>
        <w:rPr>
          <w:rFonts w:ascii="黑体" w:hAnsi="黑体" w:eastAsia="黑体"/>
          <w:color w:val="auto"/>
        </w:rPr>
        <w:br w:type="textWrapping"/>
      </w:r>
      <w:r>
        <w:rPr>
          <w:rFonts w:hint="eastAsia" w:ascii="黑体" w:hAnsi="黑体" w:eastAsia="黑体"/>
          <w:color w:val="auto"/>
        </w:rPr>
        <w:t>337调查 337 Investigations</w:t>
      </w:r>
    </w:p>
    <w:p w14:paraId="7DC0C6D5">
      <w:pPr>
        <w:pStyle w:val="56"/>
        <w:ind w:firstLine="420"/>
        <w:rPr>
          <w:rFonts w:hint="default" w:eastAsia="宋体"/>
          <w:color w:val="auto"/>
          <w:highlight w:val="none"/>
          <w:lang w:val="en-US" w:eastAsia="zh-CN"/>
        </w:rPr>
      </w:pPr>
      <w:r>
        <w:rPr>
          <w:rFonts w:hint="eastAsia"/>
          <w:color w:val="auto"/>
          <w:highlight w:val="none"/>
        </w:rPr>
        <w:t>美国国际贸易委员会（United States International Trade Commission，ITC）应申请或自行决定对进口贸易中的知识产权侵权以及其他不公平竞争行为启动调查并采取制裁措施的制度。337调查基本程序及时间表</w:t>
      </w:r>
      <w:r>
        <w:rPr>
          <w:rFonts w:hint="eastAsia"/>
          <w:color w:val="auto"/>
          <w:highlight w:val="none"/>
          <w:lang w:val="en-US" w:eastAsia="zh-CN"/>
        </w:rPr>
        <w:t>见附录A。</w:t>
      </w:r>
    </w:p>
    <w:p w14:paraId="6798C666">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行政法官 Administrative Law Judge；ALJ</w:t>
      </w:r>
    </w:p>
    <w:p w14:paraId="6B001BFB">
      <w:pPr>
        <w:pStyle w:val="56"/>
        <w:ind w:firstLine="420"/>
        <w:rPr>
          <w:color w:val="auto"/>
          <w:highlight w:val="none"/>
        </w:rPr>
      </w:pPr>
      <w:r>
        <w:rPr>
          <w:rFonts w:hint="eastAsia"/>
          <w:color w:val="auto"/>
          <w:highlight w:val="none"/>
        </w:rPr>
        <w:t>由ITC任命</w:t>
      </w:r>
      <w:r>
        <w:rPr>
          <w:color w:val="auto"/>
          <w:highlight w:val="none"/>
        </w:rPr>
        <w:t>的官员，负责</w:t>
      </w:r>
      <w:r>
        <w:rPr>
          <w:rFonts w:hint="eastAsia"/>
          <w:color w:val="auto"/>
          <w:highlight w:val="none"/>
        </w:rPr>
        <w:t>对</w:t>
      </w:r>
      <w:r>
        <w:rPr>
          <w:color w:val="auto"/>
          <w:highlight w:val="none"/>
        </w:rPr>
        <w:t>案件</w:t>
      </w:r>
      <w:r>
        <w:rPr>
          <w:rFonts w:hint="eastAsia"/>
          <w:color w:val="auto"/>
          <w:highlight w:val="none"/>
        </w:rPr>
        <w:t>进行审理以及对被告是否</w:t>
      </w:r>
      <w:bookmarkStart w:id="91" w:name="OLE_LINK3"/>
      <w:r>
        <w:rPr>
          <w:rFonts w:hint="eastAsia"/>
          <w:color w:val="auto"/>
          <w:highlight w:val="none"/>
        </w:rPr>
        <w:t>违反337条款</w:t>
      </w:r>
      <w:bookmarkEnd w:id="91"/>
      <w:r>
        <w:rPr>
          <w:rFonts w:hint="eastAsia"/>
          <w:color w:val="auto"/>
          <w:highlight w:val="none"/>
        </w:rPr>
        <w:t>作出初步裁定</w:t>
      </w:r>
      <w:r>
        <w:rPr>
          <w:color w:val="auto"/>
          <w:highlight w:val="none"/>
        </w:rPr>
        <w:t>。</w:t>
      </w:r>
    </w:p>
    <w:p w14:paraId="7E3E5FB8">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证据开示 Discovery</w:t>
      </w:r>
    </w:p>
    <w:p w14:paraId="39EB19A5">
      <w:pPr>
        <w:pStyle w:val="56"/>
        <w:ind w:firstLine="420"/>
        <w:rPr>
          <w:color w:val="auto"/>
          <w:highlight w:val="none"/>
        </w:rPr>
      </w:pPr>
      <w:r>
        <w:rPr>
          <w:color w:val="auto"/>
          <w:highlight w:val="none"/>
        </w:rPr>
        <w:t>当事人双方（原告和被告）依据ITC程序规则，通过强制性信息交换获取与案件相关证据的程序。</w:t>
      </w:r>
      <w:r>
        <w:rPr>
          <w:rFonts w:hint="eastAsia"/>
          <w:color w:val="auto"/>
          <w:highlight w:val="none"/>
        </w:rPr>
        <w:t xml:space="preserve"> </w:t>
      </w:r>
    </w:p>
    <w:p w14:paraId="0B4395E7">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听证会 Trial</w:t>
      </w:r>
    </w:p>
    <w:p w14:paraId="3ADA72EB">
      <w:pPr>
        <w:pStyle w:val="56"/>
        <w:ind w:firstLine="420"/>
        <w:rPr>
          <w:color w:val="auto"/>
          <w:highlight w:val="none"/>
        </w:rPr>
      </w:pPr>
      <w:r>
        <w:rPr>
          <w:color w:val="auto"/>
          <w:highlight w:val="none"/>
        </w:rPr>
        <w:t>由</w:t>
      </w:r>
      <w:r>
        <w:rPr>
          <w:rFonts w:hint="eastAsia"/>
          <w:color w:val="auto"/>
          <w:highlight w:val="none"/>
        </w:rPr>
        <w:t>ALJ</w:t>
      </w:r>
      <w:r>
        <w:rPr>
          <w:color w:val="auto"/>
          <w:highlight w:val="none"/>
        </w:rPr>
        <w:t>主持，通过举证、质证、询问、辩论等环节查明案件事实</w:t>
      </w:r>
      <w:r>
        <w:rPr>
          <w:rFonts w:hint="eastAsia"/>
          <w:color w:val="auto"/>
          <w:highlight w:val="none"/>
        </w:rPr>
        <w:t>的程序</w:t>
      </w:r>
      <w:r>
        <w:rPr>
          <w:color w:val="auto"/>
          <w:highlight w:val="none"/>
        </w:rPr>
        <w:t>。</w:t>
      </w:r>
    </w:p>
    <w:p w14:paraId="69777D75">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初步裁定 </w:t>
      </w:r>
      <w:bookmarkStart w:id="92" w:name="OLE_LINK1"/>
      <w:r>
        <w:rPr>
          <w:rFonts w:hint="eastAsia" w:ascii="黑体" w:hAnsi="黑体" w:eastAsia="黑体"/>
          <w:color w:val="auto"/>
          <w:highlight w:val="none"/>
        </w:rPr>
        <w:t>Initial Determination</w:t>
      </w:r>
      <w:bookmarkEnd w:id="92"/>
    </w:p>
    <w:p w14:paraId="2814D469">
      <w:pPr>
        <w:pStyle w:val="56"/>
        <w:ind w:firstLine="420"/>
        <w:rPr>
          <w:color w:val="auto"/>
          <w:highlight w:val="none"/>
        </w:rPr>
      </w:pPr>
      <w:r>
        <w:rPr>
          <w:rFonts w:hint="eastAsia"/>
          <w:color w:val="auto"/>
          <w:highlight w:val="none"/>
        </w:rPr>
        <w:t>在听证会结束后，</w:t>
      </w:r>
      <w:r>
        <w:rPr>
          <w:color w:val="auto"/>
          <w:highlight w:val="none"/>
        </w:rPr>
        <w:t>由</w:t>
      </w:r>
      <w:r>
        <w:rPr>
          <w:rFonts w:hint="eastAsia"/>
          <w:color w:val="auto"/>
          <w:highlight w:val="none"/>
        </w:rPr>
        <w:t>ALJ就被告的行为是否违反337条款作出的裁定。</w:t>
      </w:r>
    </w:p>
    <w:p w14:paraId="422590FE">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复审 </w:t>
      </w:r>
      <w:r>
        <w:rPr>
          <w:rFonts w:ascii="黑体" w:hAnsi="黑体" w:eastAsia="黑体"/>
          <w:color w:val="auto"/>
          <w:highlight w:val="none"/>
        </w:rPr>
        <w:t>review</w:t>
      </w:r>
    </w:p>
    <w:p w14:paraId="363839BD">
      <w:pPr>
        <w:pStyle w:val="56"/>
        <w:ind w:firstLine="420"/>
        <w:rPr>
          <w:color w:val="auto"/>
          <w:highlight w:val="none"/>
        </w:rPr>
      </w:pPr>
      <w:r>
        <w:rPr>
          <w:rFonts w:hint="eastAsia"/>
          <w:color w:val="auto"/>
          <w:highlight w:val="none"/>
        </w:rPr>
        <w:t>在ALJ作出初步裁定后，</w:t>
      </w:r>
      <w:r>
        <w:rPr>
          <w:color w:val="auto"/>
          <w:highlight w:val="none"/>
        </w:rPr>
        <w:t>ITC</w:t>
      </w:r>
      <w:r>
        <w:rPr>
          <w:rFonts w:hint="eastAsia"/>
          <w:color w:val="auto"/>
          <w:highlight w:val="none"/>
        </w:rPr>
        <w:t>应当事人申请或自行决定对初步裁定进行审查的程序。</w:t>
      </w:r>
    </w:p>
    <w:p w14:paraId="260BDCDB">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总统审查 </w:t>
      </w:r>
      <w:r>
        <w:rPr>
          <w:rFonts w:ascii="黑体" w:hAnsi="黑体" w:eastAsia="黑体"/>
          <w:color w:val="auto"/>
          <w:highlight w:val="none"/>
        </w:rPr>
        <w:t>Presidential Review</w:t>
      </w:r>
    </w:p>
    <w:p w14:paraId="30248531">
      <w:pPr>
        <w:pStyle w:val="56"/>
        <w:ind w:firstLine="420"/>
        <w:rPr>
          <w:color w:val="auto"/>
          <w:highlight w:val="none"/>
        </w:rPr>
      </w:pPr>
      <w:r>
        <w:rPr>
          <w:color w:val="auto"/>
          <w:highlight w:val="none"/>
        </w:rPr>
        <w:t>若ITC裁定</w:t>
      </w:r>
      <w:r>
        <w:rPr>
          <w:rFonts w:hint="eastAsia"/>
          <w:color w:val="auto"/>
          <w:highlight w:val="none"/>
        </w:rPr>
        <w:t>被告</w:t>
      </w:r>
      <w:r>
        <w:rPr>
          <w:color w:val="auto"/>
          <w:highlight w:val="none"/>
        </w:rPr>
        <w:t>存在</w:t>
      </w:r>
      <w:r>
        <w:rPr>
          <w:rFonts w:hint="eastAsia"/>
          <w:color w:val="auto"/>
          <w:highlight w:val="none"/>
        </w:rPr>
        <w:t>违反337条款的</w:t>
      </w:r>
      <w:r>
        <w:rPr>
          <w:color w:val="auto"/>
          <w:highlight w:val="none"/>
        </w:rPr>
        <w:t>行为，将</w:t>
      </w:r>
      <w:r>
        <w:rPr>
          <w:rFonts w:hint="eastAsia"/>
          <w:color w:val="auto"/>
          <w:highlight w:val="none"/>
        </w:rPr>
        <w:t>裁定</w:t>
      </w:r>
      <w:r>
        <w:rPr>
          <w:color w:val="auto"/>
          <w:highlight w:val="none"/>
        </w:rPr>
        <w:t>提交美国总统</w:t>
      </w:r>
      <w:r>
        <w:rPr>
          <w:rFonts w:hint="eastAsia"/>
          <w:color w:val="auto"/>
          <w:highlight w:val="none"/>
        </w:rPr>
        <w:t>审查的程序</w:t>
      </w:r>
      <w:r>
        <w:rPr>
          <w:color w:val="auto"/>
          <w:highlight w:val="none"/>
        </w:rPr>
        <w:t>。</w:t>
      </w:r>
    </w:p>
    <w:p w14:paraId="04167528">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最终裁定 Final Determination</w:t>
      </w:r>
    </w:p>
    <w:p w14:paraId="6C993687">
      <w:pPr>
        <w:pStyle w:val="56"/>
        <w:ind w:firstLine="420"/>
        <w:rPr>
          <w:color w:val="auto"/>
          <w:highlight w:val="none"/>
        </w:rPr>
      </w:pPr>
      <w:r>
        <w:rPr>
          <w:rFonts w:hint="eastAsia"/>
          <w:color w:val="auto"/>
          <w:highlight w:val="none"/>
        </w:rPr>
        <w:t>经初步裁决、复审、总统审查等程序后作出的具有法律约束力的裁定。</w:t>
      </w:r>
    </w:p>
    <w:p w14:paraId="4CCDBF52">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lang w:eastAsia="zh-CN"/>
        </w:rPr>
        <w:t>有限排除令</w:t>
      </w:r>
      <w:r>
        <w:rPr>
          <w:rFonts w:hint="eastAsia" w:ascii="黑体" w:hAnsi="黑体" w:eastAsia="黑体"/>
          <w:color w:val="auto"/>
          <w:highlight w:val="none"/>
        </w:rPr>
        <w:t xml:space="preserve"> </w:t>
      </w:r>
      <w:r>
        <w:rPr>
          <w:rFonts w:ascii="黑体" w:hAnsi="黑体" w:eastAsia="黑体"/>
          <w:color w:val="auto"/>
          <w:highlight w:val="none"/>
        </w:rPr>
        <w:t>Limited Exclusion Order</w:t>
      </w:r>
      <w:r>
        <w:rPr>
          <w:rFonts w:hint="eastAsia" w:ascii="黑体" w:hAnsi="黑体" w:eastAsia="黑体"/>
          <w:color w:val="auto"/>
          <w:highlight w:val="none"/>
        </w:rPr>
        <w:t>；LEO</w:t>
      </w:r>
    </w:p>
    <w:p w14:paraId="0C318462">
      <w:pPr>
        <w:pStyle w:val="56"/>
        <w:ind w:firstLine="420"/>
        <w:rPr>
          <w:color w:val="auto"/>
          <w:highlight w:val="none"/>
        </w:rPr>
      </w:pPr>
      <w:r>
        <w:rPr>
          <w:rFonts w:hint="eastAsia"/>
          <w:color w:val="auto"/>
          <w:highlight w:val="none"/>
        </w:rPr>
        <w:t>最终裁定被告违反337条款后，禁止被告的侵权产品进入美国市场的强制性措施。</w:t>
      </w:r>
    </w:p>
    <w:p w14:paraId="62B0640A">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lang w:eastAsia="zh-CN"/>
        </w:rPr>
        <w:t>普遍排除令</w:t>
      </w:r>
      <w:r>
        <w:rPr>
          <w:rFonts w:hint="eastAsia" w:ascii="黑体" w:hAnsi="黑体" w:eastAsia="黑体"/>
          <w:color w:val="auto"/>
          <w:highlight w:val="none"/>
        </w:rPr>
        <w:t xml:space="preserve"> </w:t>
      </w:r>
      <w:r>
        <w:rPr>
          <w:rFonts w:ascii="黑体" w:hAnsi="黑体" w:eastAsia="黑体"/>
          <w:color w:val="auto"/>
          <w:highlight w:val="none"/>
        </w:rPr>
        <w:t>General Exclusion Order</w:t>
      </w:r>
      <w:r>
        <w:rPr>
          <w:rFonts w:hint="eastAsia" w:ascii="黑体" w:hAnsi="黑体" w:eastAsia="黑体"/>
          <w:color w:val="auto"/>
          <w:highlight w:val="none"/>
        </w:rPr>
        <w:t>；GEO</w:t>
      </w:r>
    </w:p>
    <w:p w14:paraId="23FAB591">
      <w:pPr>
        <w:pStyle w:val="56"/>
        <w:ind w:firstLine="420"/>
        <w:rPr>
          <w:color w:val="auto"/>
          <w:highlight w:val="none"/>
        </w:rPr>
      </w:pPr>
      <w:bookmarkStart w:id="93" w:name="OLE_LINK4"/>
      <w:r>
        <w:rPr>
          <w:rFonts w:hint="eastAsia"/>
          <w:color w:val="auto"/>
          <w:highlight w:val="none"/>
        </w:rPr>
        <w:t>最终裁定被告违反337条款后，</w:t>
      </w:r>
      <w:bookmarkEnd w:id="93"/>
      <w:r>
        <w:rPr>
          <w:rFonts w:hint="eastAsia"/>
          <w:color w:val="auto"/>
          <w:highlight w:val="none"/>
        </w:rPr>
        <w:t>禁止所有同类侵权产品进入美国市场的强制措施。</w:t>
      </w:r>
    </w:p>
    <w:p w14:paraId="64143EA9">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禁止令 </w:t>
      </w:r>
      <w:r>
        <w:rPr>
          <w:rFonts w:ascii="黑体" w:hAnsi="黑体" w:eastAsia="黑体"/>
          <w:color w:val="auto"/>
          <w:highlight w:val="none"/>
        </w:rPr>
        <w:t>Cease and Desist Order</w:t>
      </w:r>
      <w:r>
        <w:rPr>
          <w:rFonts w:hint="eastAsia" w:ascii="黑体" w:hAnsi="黑体" w:eastAsia="黑体"/>
          <w:color w:val="auto"/>
          <w:highlight w:val="none"/>
        </w:rPr>
        <w:t>；GDO</w:t>
      </w:r>
    </w:p>
    <w:p w14:paraId="77B4C211">
      <w:pPr>
        <w:pStyle w:val="56"/>
        <w:ind w:firstLine="420"/>
        <w:rPr>
          <w:color w:val="auto"/>
          <w:highlight w:val="none"/>
        </w:rPr>
      </w:pPr>
      <w:r>
        <w:rPr>
          <w:rFonts w:hint="eastAsia"/>
          <w:color w:val="auto"/>
          <w:highlight w:val="none"/>
        </w:rPr>
        <w:t>最终裁定被告违反337条款后，针对已经进入美国的侵权产品禁止被告</w:t>
      </w:r>
      <w:r>
        <w:rPr>
          <w:color w:val="auto"/>
          <w:highlight w:val="none"/>
        </w:rPr>
        <w:t>继续销售、库存、宣传或广告</w:t>
      </w:r>
      <w:r>
        <w:rPr>
          <w:rFonts w:hint="eastAsia"/>
          <w:color w:val="auto"/>
          <w:highlight w:val="none"/>
        </w:rPr>
        <w:t>的禁止性措施。</w:t>
      </w:r>
    </w:p>
    <w:p w14:paraId="6C85FCDC">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百日速裁 </w:t>
      </w:r>
      <w:r>
        <w:rPr>
          <w:rFonts w:ascii="黑体" w:hAnsi="黑体" w:eastAsia="黑体"/>
          <w:color w:val="auto"/>
          <w:highlight w:val="none"/>
        </w:rPr>
        <w:t>100-Day Program</w:t>
      </w:r>
    </w:p>
    <w:p w14:paraId="6B427955">
      <w:pPr>
        <w:pStyle w:val="56"/>
        <w:ind w:firstLine="420"/>
        <w:rPr>
          <w:color w:val="auto"/>
          <w:highlight w:val="none"/>
        </w:rPr>
      </w:pPr>
      <w:r>
        <w:rPr>
          <w:rFonts w:hint="eastAsia"/>
          <w:color w:val="auto"/>
          <w:highlight w:val="none"/>
        </w:rPr>
        <w:t>ALJ在立案后的100天内</w:t>
      </w:r>
      <w:r>
        <w:rPr>
          <w:color w:val="auto"/>
          <w:highlight w:val="none"/>
        </w:rPr>
        <w:t>对案件的核心争议问题作出初步</w:t>
      </w:r>
      <w:r>
        <w:rPr>
          <w:rFonts w:hint="eastAsia"/>
          <w:color w:val="auto"/>
          <w:highlight w:val="none"/>
        </w:rPr>
        <w:t>裁定的快速审理程序。</w:t>
      </w:r>
    </w:p>
    <w:p w14:paraId="7035A3FE">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同意令 Consent Order</w:t>
      </w:r>
    </w:p>
    <w:p w14:paraId="54E139B0">
      <w:pPr>
        <w:pStyle w:val="56"/>
        <w:ind w:firstLine="420"/>
        <w:rPr>
          <w:color w:val="auto"/>
          <w:highlight w:val="none"/>
        </w:rPr>
      </w:pPr>
      <w:r>
        <w:rPr>
          <w:rFonts w:hint="eastAsia"/>
          <w:color w:val="auto"/>
          <w:highlight w:val="none"/>
        </w:rPr>
        <w:t>由被告单方面申请或由各当事人共同申请，被告表达可满足原告的救济措施要求的意向，由ITC批准后终止案件调查的法律文件。</w:t>
      </w:r>
    </w:p>
    <w:p w14:paraId="5F6EFCDD">
      <w:pPr>
        <w:pStyle w:val="223"/>
        <w:ind w:left="420" w:hanging="420" w:hangingChars="200"/>
        <w:rPr>
          <w:rFonts w:hint="eastAsia"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临时救济措施 T</w:t>
      </w:r>
      <w:r>
        <w:rPr>
          <w:rFonts w:ascii="黑体" w:hAnsi="黑体" w:eastAsia="黑体"/>
          <w:color w:val="auto"/>
          <w:highlight w:val="none"/>
        </w:rPr>
        <w:t xml:space="preserve">emporary </w:t>
      </w:r>
      <w:r>
        <w:rPr>
          <w:rFonts w:hint="eastAsia" w:ascii="黑体" w:hAnsi="黑体" w:eastAsia="黑体"/>
          <w:color w:val="auto"/>
          <w:highlight w:val="none"/>
        </w:rPr>
        <w:t>R</w:t>
      </w:r>
      <w:r>
        <w:rPr>
          <w:rFonts w:ascii="黑体" w:hAnsi="黑体" w:eastAsia="黑体"/>
          <w:color w:val="auto"/>
          <w:highlight w:val="none"/>
        </w:rPr>
        <w:t xml:space="preserve">elief </w:t>
      </w:r>
      <w:r>
        <w:rPr>
          <w:rFonts w:hint="eastAsia" w:ascii="黑体" w:hAnsi="黑体" w:eastAsia="黑体"/>
          <w:color w:val="auto"/>
          <w:highlight w:val="none"/>
        </w:rPr>
        <w:t>M</w:t>
      </w:r>
      <w:r>
        <w:rPr>
          <w:rFonts w:ascii="黑体" w:hAnsi="黑体" w:eastAsia="黑体"/>
          <w:color w:val="auto"/>
          <w:highlight w:val="none"/>
        </w:rPr>
        <w:t>easures</w:t>
      </w:r>
    </w:p>
    <w:p w14:paraId="3FE781A7">
      <w:pPr>
        <w:pStyle w:val="56"/>
        <w:ind w:firstLine="420"/>
        <w:rPr>
          <w:color w:val="auto"/>
          <w:highlight w:val="none"/>
        </w:rPr>
      </w:pPr>
      <w:r>
        <w:rPr>
          <w:rFonts w:hint="eastAsia"/>
          <w:color w:val="auto"/>
          <w:highlight w:val="none"/>
        </w:rPr>
        <w:t>应原告申请，ITC在初步认定被告</w:t>
      </w:r>
      <w:r>
        <w:rPr>
          <w:color w:val="auto"/>
          <w:highlight w:val="none"/>
        </w:rPr>
        <w:t>存在违反337条款行为的前提下，为防止美国国内产业因进口产品的涉嫌侵权行为而遭受立即的、实质性的损害或国内产业设立受威胁</w:t>
      </w:r>
      <w:r>
        <w:rPr>
          <w:rFonts w:hint="eastAsia"/>
          <w:color w:val="auto"/>
          <w:highlight w:val="none"/>
        </w:rPr>
        <w:t>采取的临时性救济手段。包括临时排除令和临时禁止令。</w:t>
      </w:r>
    </w:p>
    <w:p w14:paraId="2F65B591">
      <w:pPr>
        <w:pStyle w:val="223"/>
        <w:ind w:left="420" w:hanging="420" w:hangingChars="200"/>
        <w:rPr>
          <w:rFonts w:hint="eastAsia" w:ascii="黑体" w:hAnsi="黑体" w:eastAsia="黑体"/>
          <w:color w:val="auto"/>
          <w:highlight w:val="none"/>
        </w:rPr>
      </w:pPr>
      <w:bookmarkStart w:id="94" w:name="_Hlk199674860"/>
      <w:r>
        <w:rPr>
          <w:rFonts w:ascii="黑体" w:hAnsi="黑体" w:eastAsia="黑体"/>
          <w:color w:val="auto"/>
          <w:highlight w:val="none"/>
        </w:rPr>
        <w:br w:type="textWrapping"/>
      </w:r>
      <w:r>
        <w:rPr>
          <w:rFonts w:hint="eastAsia" w:ascii="黑体" w:hAnsi="黑体" w:eastAsia="黑体"/>
          <w:color w:val="auto"/>
          <w:highlight w:val="none"/>
        </w:rPr>
        <w:t>国内产业要求</w:t>
      </w:r>
      <w:bookmarkEnd w:id="94"/>
      <w:r>
        <w:rPr>
          <w:rFonts w:hint="eastAsia" w:ascii="黑体" w:hAnsi="黑体" w:eastAsia="黑体"/>
          <w:color w:val="auto"/>
          <w:highlight w:val="none"/>
        </w:rPr>
        <w:t xml:space="preserve">  Domestic Industry Requirement</w:t>
      </w:r>
    </w:p>
    <w:p w14:paraId="6BF3439B">
      <w:pPr>
        <w:pStyle w:val="56"/>
        <w:ind w:firstLine="420"/>
        <w:rPr>
          <w:color w:val="auto"/>
          <w:highlight w:val="none"/>
        </w:rPr>
      </w:pPr>
      <w:r>
        <w:rPr>
          <w:rFonts w:hint="eastAsia"/>
          <w:color w:val="auto"/>
          <w:highlight w:val="none"/>
        </w:rPr>
        <w:t>原告提起337调查时，需证明其本身或其授权人在美国存在与涉案知识产权相关的、正在运行或正在建立中的产业，包括经济和技术两个方面。经济方面，需证明在美国存在实质性或重要的经济活动，如对工厂和设备的重大投资、大量雇佣劳动力或资本、对其开发进行的大量投资等。技术方面，需证明</w:t>
      </w:r>
      <w:r>
        <w:rPr>
          <w:color w:val="auto"/>
          <w:highlight w:val="none"/>
        </w:rPr>
        <w:br w:type="textWrapping"/>
      </w:r>
      <w:r>
        <w:rPr>
          <w:rFonts w:hint="eastAsia"/>
          <w:color w:val="auto"/>
          <w:highlight w:val="none"/>
        </w:rPr>
        <w:t>其投资与涉案知识产权有关。</w:t>
      </w:r>
    </w:p>
    <w:p w14:paraId="6E757988">
      <w:pPr>
        <w:pStyle w:val="104"/>
        <w:spacing w:before="312" w:after="312"/>
        <w:rPr>
          <w:color w:val="auto"/>
          <w:highlight w:val="none"/>
        </w:rPr>
      </w:pPr>
      <w:bookmarkStart w:id="95" w:name="_Toc180398433"/>
      <w:bookmarkStart w:id="96" w:name="_Toc175238792"/>
      <w:bookmarkStart w:id="97" w:name="_Toc180492055"/>
      <w:bookmarkStart w:id="98" w:name="_Toc180398659"/>
      <w:bookmarkStart w:id="99" w:name="_Toc180394902"/>
      <w:bookmarkStart w:id="100" w:name="_Toc172543291"/>
      <w:bookmarkStart w:id="101" w:name="_Toc180400021"/>
      <w:bookmarkStart w:id="102" w:name="_Toc180398756"/>
      <w:bookmarkStart w:id="103" w:name="_Toc200117564"/>
      <w:bookmarkStart w:id="104" w:name="_Toc179994867"/>
      <w:bookmarkStart w:id="105" w:name="_Toc175239584"/>
      <w:r>
        <w:rPr>
          <w:rFonts w:hint="eastAsia"/>
          <w:color w:val="auto"/>
          <w:highlight w:val="none"/>
        </w:rPr>
        <w:t>基本原则</w:t>
      </w:r>
      <w:bookmarkEnd w:id="90"/>
      <w:bookmarkEnd w:id="95"/>
      <w:bookmarkEnd w:id="96"/>
      <w:bookmarkEnd w:id="97"/>
      <w:bookmarkEnd w:id="98"/>
      <w:bookmarkEnd w:id="99"/>
      <w:bookmarkEnd w:id="100"/>
      <w:bookmarkEnd w:id="101"/>
      <w:bookmarkEnd w:id="102"/>
      <w:bookmarkEnd w:id="103"/>
      <w:bookmarkEnd w:id="104"/>
      <w:bookmarkEnd w:id="105"/>
    </w:p>
    <w:p w14:paraId="2BC449B9">
      <w:pPr>
        <w:pStyle w:val="105"/>
        <w:spacing w:before="156" w:after="156"/>
        <w:rPr>
          <w:color w:val="auto"/>
          <w:highlight w:val="none"/>
        </w:rPr>
      </w:pPr>
      <w:r>
        <w:rPr>
          <w:color w:val="auto"/>
          <w:highlight w:val="none"/>
        </w:rPr>
        <w:t>前置防控，全链合规</w:t>
      </w:r>
    </w:p>
    <w:p w14:paraId="244D06AA">
      <w:pPr>
        <w:pStyle w:val="56"/>
        <w:ind w:firstLine="420"/>
        <w:rPr>
          <w:color w:val="auto"/>
          <w:highlight w:val="none"/>
        </w:rPr>
      </w:pPr>
      <w:r>
        <w:rPr>
          <w:color w:val="auto"/>
          <w:highlight w:val="none"/>
        </w:rPr>
        <w:t>建立覆盖研发、采购、生产及出口的全流程知识产权</w:t>
      </w:r>
      <w:r>
        <w:rPr>
          <w:rFonts w:hint="eastAsia"/>
          <w:color w:val="auto"/>
          <w:highlight w:val="none"/>
        </w:rPr>
        <w:t>风险防控</w:t>
      </w:r>
      <w:r>
        <w:rPr>
          <w:color w:val="auto"/>
          <w:highlight w:val="none"/>
        </w:rPr>
        <w:t>体系，强化技术、产品与供应链的侵权风险筛查，源头阻断潜在纠纷。</w:t>
      </w:r>
    </w:p>
    <w:p w14:paraId="3A057409">
      <w:pPr>
        <w:pStyle w:val="105"/>
        <w:spacing w:before="156" w:after="156"/>
        <w:rPr>
          <w:color w:val="auto"/>
          <w:highlight w:val="none"/>
        </w:rPr>
      </w:pPr>
      <w:r>
        <w:rPr>
          <w:color w:val="auto"/>
          <w:highlight w:val="none"/>
        </w:rPr>
        <w:t>高效反应，机制先行</w:t>
      </w:r>
    </w:p>
    <w:p w14:paraId="7E4153A9">
      <w:pPr>
        <w:pStyle w:val="56"/>
        <w:ind w:firstLine="420"/>
        <w:rPr>
          <w:color w:val="auto"/>
          <w:highlight w:val="none"/>
        </w:rPr>
      </w:pPr>
      <w:r>
        <w:rPr>
          <w:color w:val="auto"/>
          <w:highlight w:val="none"/>
        </w:rPr>
        <w:t>制定标准化应急流程，明确跨部门职责分工，确保收到调查通知后</w:t>
      </w:r>
      <w:r>
        <w:rPr>
          <w:rFonts w:hint="eastAsia"/>
          <w:color w:val="auto"/>
          <w:highlight w:val="none"/>
        </w:rPr>
        <w:t>迅速</w:t>
      </w:r>
      <w:r>
        <w:rPr>
          <w:color w:val="auto"/>
          <w:highlight w:val="none"/>
        </w:rPr>
        <w:t>启动证据收集、律师对接等核心应对动作。</w:t>
      </w:r>
    </w:p>
    <w:p w14:paraId="2B3364CB">
      <w:pPr>
        <w:pStyle w:val="105"/>
        <w:spacing w:before="156" w:after="156"/>
        <w:rPr>
          <w:color w:val="auto"/>
          <w:highlight w:val="none"/>
        </w:rPr>
      </w:pPr>
      <w:r>
        <w:rPr>
          <w:color w:val="auto"/>
          <w:highlight w:val="none"/>
        </w:rPr>
        <w:t>协同联动，整合资源</w:t>
      </w:r>
    </w:p>
    <w:p w14:paraId="6DAE96E3">
      <w:pPr>
        <w:pStyle w:val="56"/>
        <w:ind w:firstLine="420"/>
        <w:rPr>
          <w:color w:val="auto"/>
          <w:highlight w:val="none"/>
        </w:rPr>
      </w:pPr>
      <w:r>
        <w:rPr>
          <w:color w:val="auto"/>
          <w:highlight w:val="none"/>
        </w:rPr>
        <w:t>联合行业协会、政府机构及产业链伙伴，共享信息与应对经验，借力政策工具与专业支持，形成多层次防御合力。</w:t>
      </w:r>
    </w:p>
    <w:p w14:paraId="5DDF65D1">
      <w:pPr>
        <w:pStyle w:val="105"/>
        <w:spacing w:before="156" w:after="156"/>
        <w:rPr>
          <w:color w:val="auto"/>
          <w:highlight w:val="none"/>
        </w:rPr>
      </w:pPr>
      <w:r>
        <w:rPr>
          <w:color w:val="auto"/>
          <w:highlight w:val="none"/>
        </w:rPr>
        <w:t>底线思维，依法博弈</w:t>
      </w:r>
    </w:p>
    <w:p w14:paraId="5E51FDBB">
      <w:pPr>
        <w:pStyle w:val="56"/>
        <w:ind w:firstLine="420"/>
        <w:rPr>
          <w:color w:val="auto"/>
          <w:highlight w:val="none"/>
        </w:rPr>
      </w:pPr>
      <w:r>
        <w:rPr>
          <w:color w:val="auto"/>
          <w:highlight w:val="none"/>
        </w:rPr>
        <w:t>恪守国际规则与中美法律，平衡合规经营与权益维护，避免因不当抗辩引发次生风险，同时捍卫市场公平竞争秩序。</w:t>
      </w:r>
    </w:p>
    <w:p w14:paraId="0A7FE3FA">
      <w:pPr>
        <w:pStyle w:val="104"/>
        <w:spacing w:before="312" w:after="312"/>
        <w:rPr>
          <w:color w:val="auto"/>
          <w:highlight w:val="none"/>
        </w:rPr>
      </w:pPr>
      <w:bookmarkStart w:id="106" w:name="_Toc200117565"/>
      <w:r>
        <w:rPr>
          <w:rFonts w:hint="eastAsia"/>
          <w:color w:val="auto"/>
          <w:highlight w:val="none"/>
        </w:rPr>
        <w:t>预防措施管理</w:t>
      </w:r>
      <w:bookmarkEnd w:id="106"/>
    </w:p>
    <w:p w14:paraId="675996A7">
      <w:pPr>
        <w:pStyle w:val="162"/>
        <w:rPr>
          <w:color w:val="auto"/>
          <w:highlight w:val="none"/>
        </w:rPr>
      </w:pPr>
      <w:r>
        <w:rPr>
          <w:rFonts w:hint="eastAsia"/>
          <w:color w:val="auto"/>
          <w:highlight w:val="none"/>
        </w:rPr>
        <w:t>企业应</w:t>
      </w:r>
      <w:r>
        <w:rPr>
          <w:color w:val="auto"/>
          <w:highlight w:val="none"/>
        </w:rPr>
        <w:t>强化知识产权主动布局</w:t>
      </w:r>
      <w:r>
        <w:rPr>
          <w:rFonts w:hint="eastAsia"/>
          <w:color w:val="auto"/>
          <w:highlight w:val="none"/>
        </w:rPr>
        <w:t>，</w:t>
      </w:r>
      <w:r>
        <w:rPr>
          <w:color w:val="auto"/>
          <w:highlight w:val="none"/>
        </w:rPr>
        <w:t>提前在美国完成核心专利、商标、版权</w:t>
      </w:r>
      <w:r>
        <w:rPr>
          <w:rFonts w:hint="eastAsia"/>
          <w:color w:val="auto"/>
          <w:highlight w:val="none"/>
        </w:rPr>
        <w:t>等知识产权的</w:t>
      </w:r>
      <w:r>
        <w:rPr>
          <w:color w:val="auto"/>
          <w:highlight w:val="none"/>
        </w:rPr>
        <w:t>申请与保护，结合定期专利检索和</w:t>
      </w:r>
      <w:r>
        <w:rPr>
          <w:rFonts w:hint="eastAsia"/>
          <w:color w:val="auto"/>
          <w:highlight w:val="none"/>
        </w:rPr>
        <w:t>专利侵权风险分析（Freedom To Operate，</w:t>
      </w:r>
      <w:r>
        <w:rPr>
          <w:color w:val="auto"/>
          <w:highlight w:val="none"/>
        </w:rPr>
        <w:t>FTO</w:t>
      </w:r>
      <w:r>
        <w:rPr>
          <w:rFonts w:hint="eastAsia"/>
          <w:color w:val="auto"/>
          <w:highlight w:val="none"/>
        </w:rPr>
        <w:t>）</w:t>
      </w:r>
      <w:r>
        <w:rPr>
          <w:color w:val="auto"/>
          <w:highlight w:val="none"/>
        </w:rPr>
        <w:t>，排查</w:t>
      </w:r>
      <w:r>
        <w:rPr>
          <w:rFonts w:hint="eastAsia"/>
          <w:color w:val="auto"/>
          <w:highlight w:val="none"/>
        </w:rPr>
        <w:t>知识产权</w:t>
      </w:r>
      <w:r>
        <w:rPr>
          <w:color w:val="auto"/>
          <w:highlight w:val="none"/>
        </w:rPr>
        <w:t>侵权风险并针对性调整方案，构建攻防一体的知识产权矩阵</w:t>
      </w:r>
      <w:r>
        <w:rPr>
          <w:rFonts w:hint="eastAsia"/>
          <w:color w:val="auto"/>
          <w:highlight w:val="none"/>
          <w:lang w:eastAsia="zh-CN"/>
        </w:rPr>
        <w:t>，</w:t>
      </w:r>
      <w:r>
        <w:rPr>
          <w:rFonts w:hint="eastAsia"/>
          <w:color w:val="auto"/>
          <w:highlight w:val="none"/>
        </w:rPr>
        <w:t>专利侵权风险分析报告（参考文本）</w:t>
      </w:r>
      <w:r>
        <w:rPr>
          <w:rFonts w:hint="eastAsia"/>
          <w:color w:val="auto"/>
          <w:highlight w:val="none"/>
          <w:lang w:val="en-US" w:eastAsia="zh-CN"/>
        </w:rPr>
        <w:t>见附录B</w:t>
      </w:r>
      <w:r>
        <w:rPr>
          <w:color w:val="auto"/>
          <w:highlight w:val="none"/>
        </w:rPr>
        <w:t>。</w:t>
      </w:r>
    </w:p>
    <w:p w14:paraId="72F584A5">
      <w:pPr>
        <w:pStyle w:val="162"/>
        <w:rPr>
          <w:color w:val="auto"/>
          <w:highlight w:val="none"/>
        </w:rPr>
      </w:pPr>
      <w:r>
        <w:rPr>
          <w:rFonts w:hint="eastAsia"/>
          <w:color w:val="auto"/>
          <w:highlight w:val="none"/>
        </w:rPr>
        <w:t>企业应</w:t>
      </w:r>
      <w:r>
        <w:rPr>
          <w:color w:val="auto"/>
          <w:highlight w:val="none"/>
        </w:rPr>
        <w:t>构建市场动态风险评估体系</w:t>
      </w:r>
      <w:r>
        <w:rPr>
          <w:rFonts w:hint="eastAsia"/>
          <w:color w:val="auto"/>
          <w:highlight w:val="none"/>
        </w:rPr>
        <w:t>，</w:t>
      </w:r>
      <w:r>
        <w:rPr>
          <w:color w:val="auto"/>
          <w:highlight w:val="none"/>
        </w:rPr>
        <w:t>通过持续监控美国市场竞品技术动态、专利布局及诉讼案例，分析供应链上下游合规性，预判潜在侵权冲突，及时调整产品策略以规避连带风险。</w:t>
      </w:r>
    </w:p>
    <w:p w14:paraId="4FEE9112">
      <w:pPr>
        <w:pStyle w:val="162"/>
        <w:rPr>
          <w:color w:val="auto"/>
          <w:highlight w:val="none"/>
        </w:rPr>
      </w:pPr>
      <w:r>
        <w:rPr>
          <w:rFonts w:hint="eastAsia"/>
          <w:color w:val="auto"/>
          <w:highlight w:val="none"/>
        </w:rPr>
        <w:t>企业应完善供应链合规管控机制，与供应商签订知识产权</w:t>
      </w:r>
      <w:r>
        <w:rPr>
          <w:rFonts w:hint="eastAsia"/>
          <w:color w:val="auto"/>
          <w:highlight w:val="none"/>
          <w:lang w:val="en-US" w:eastAsia="zh-CN"/>
        </w:rPr>
        <w:t>(本文件中主要指专利)</w:t>
      </w:r>
      <w:r>
        <w:rPr>
          <w:rFonts w:hint="eastAsia"/>
          <w:color w:val="auto"/>
          <w:highlight w:val="none"/>
        </w:rPr>
        <w:t>担保协议，明确侵权责任划分，并对关键供应商开展技术来源合法性尽调，要求其提供FTO证明文件，确保供应链全链条合规。</w:t>
      </w:r>
    </w:p>
    <w:p w14:paraId="0E40455F">
      <w:pPr>
        <w:pStyle w:val="162"/>
        <w:rPr>
          <w:color w:val="auto"/>
          <w:highlight w:val="none"/>
        </w:rPr>
      </w:pPr>
      <w:r>
        <w:rPr>
          <w:rFonts w:hint="eastAsia"/>
          <w:color w:val="auto"/>
          <w:highlight w:val="none"/>
        </w:rPr>
        <w:t>企业应</w:t>
      </w:r>
      <w:r>
        <w:rPr>
          <w:color w:val="auto"/>
          <w:highlight w:val="none"/>
        </w:rPr>
        <w:t>建立337调查应急响应预案</w:t>
      </w:r>
      <w:r>
        <w:rPr>
          <w:rFonts w:hint="eastAsia"/>
          <w:color w:val="auto"/>
          <w:highlight w:val="none"/>
        </w:rPr>
        <w:t>，</w:t>
      </w:r>
      <w:r>
        <w:rPr>
          <w:color w:val="auto"/>
          <w:highlight w:val="none"/>
        </w:rPr>
        <w:t>提前组建跨部门应对小组（法务、技术、</w:t>
      </w:r>
      <w:r>
        <w:rPr>
          <w:rFonts w:hint="eastAsia"/>
          <w:color w:val="auto"/>
          <w:highlight w:val="none"/>
          <w:lang w:eastAsia="zh-CN"/>
        </w:rPr>
        <w:t>知识产权、</w:t>
      </w:r>
      <w:r>
        <w:rPr>
          <w:color w:val="auto"/>
          <w:highlight w:val="none"/>
        </w:rPr>
        <w:t>市场</w:t>
      </w:r>
      <w:r>
        <w:rPr>
          <w:rFonts w:hint="eastAsia"/>
          <w:color w:val="auto"/>
          <w:highlight w:val="none"/>
          <w:lang w:val="en-US" w:eastAsia="zh-CN"/>
        </w:rPr>
        <w:t>和财务</w:t>
      </w:r>
      <w:r>
        <w:rPr>
          <w:color w:val="auto"/>
          <w:highlight w:val="none"/>
        </w:rPr>
        <w:t>），制定快速决策流程，储备美国337条款专业律师资源，确保案件触发后</w:t>
      </w:r>
      <w:r>
        <w:rPr>
          <w:rFonts w:hint="eastAsia"/>
          <w:color w:val="auto"/>
          <w:highlight w:val="none"/>
        </w:rPr>
        <w:t>及时</w:t>
      </w:r>
      <w:r>
        <w:rPr>
          <w:color w:val="auto"/>
          <w:highlight w:val="none"/>
        </w:rPr>
        <w:t>启动法律反制程序。</w:t>
      </w:r>
    </w:p>
    <w:p w14:paraId="52B1FB38">
      <w:pPr>
        <w:pStyle w:val="162"/>
        <w:rPr>
          <w:color w:val="auto"/>
          <w:highlight w:val="none"/>
        </w:rPr>
      </w:pPr>
      <w:r>
        <w:rPr>
          <w:rFonts w:hint="eastAsia"/>
          <w:color w:val="auto"/>
          <w:highlight w:val="none"/>
        </w:rPr>
        <w:t>企业应</w:t>
      </w:r>
      <w:r>
        <w:rPr>
          <w:color w:val="auto"/>
          <w:highlight w:val="none"/>
        </w:rPr>
        <w:t>加强合规培训与内部风控</w:t>
      </w:r>
      <w:r>
        <w:rPr>
          <w:rFonts w:hint="eastAsia"/>
          <w:color w:val="auto"/>
          <w:highlight w:val="none"/>
        </w:rPr>
        <w:t>，</w:t>
      </w:r>
      <w:r>
        <w:rPr>
          <w:color w:val="auto"/>
          <w:highlight w:val="none"/>
        </w:rPr>
        <w:t>定期开展美国知识产权法规培训，强化员工侵权风险意识，规范研发文档（如实验记录、技术日志）管理，确保遭遇调查时可高效举证自主创新证据链。</w:t>
      </w:r>
    </w:p>
    <w:p w14:paraId="10FF658B">
      <w:pPr>
        <w:pStyle w:val="104"/>
        <w:spacing w:before="312" w:after="312"/>
        <w:rPr>
          <w:color w:val="auto"/>
          <w:highlight w:val="none"/>
        </w:rPr>
      </w:pPr>
      <w:bookmarkStart w:id="107" w:name="_Toc200117566"/>
      <w:r>
        <w:rPr>
          <w:rFonts w:hint="eastAsia"/>
          <w:color w:val="auto"/>
          <w:highlight w:val="none"/>
        </w:rPr>
        <w:t>调查程序管理</w:t>
      </w:r>
      <w:bookmarkEnd w:id="107"/>
    </w:p>
    <w:p w14:paraId="30E742F0">
      <w:pPr>
        <w:pStyle w:val="105"/>
        <w:spacing w:before="156" w:after="156"/>
        <w:rPr>
          <w:color w:val="auto"/>
          <w:highlight w:val="none"/>
        </w:rPr>
      </w:pPr>
      <w:bookmarkStart w:id="108" w:name="_Hlk199675938"/>
      <w:bookmarkStart w:id="109" w:name="_Hlk195108814"/>
      <w:r>
        <w:rPr>
          <w:rFonts w:hint="eastAsia"/>
          <w:color w:val="auto"/>
          <w:highlight w:val="none"/>
        </w:rPr>
        <w:t>起诉后至调查启动前管理</w:t>
      </w:r>
      <w:bookmarkEnd w:id="108"/>
    </w:p>
    <w:p w14:paraId="32FFC8EE">
      <w:pPr>
        <w:pStyle w:val="165"/>
        <w:ind w:left="0"/>
        <w:rPr>
          <w:color w:val="auto"/>
          <w:highlight w:val="none"/>
        </w:rPr>
      </w:pPr>
      <w:r>
        <w:rPr>
          <w:rFonts w:hint="eastAsia"/>
          <w:color w:val="auto"/>
          <w:highlight w:val="none"/>
        </w:rPr>
        <w:t>企业应综合考虑下列因素后决定是否应诉：</w:t>
      </w:r>
    </w:p>
    <w:p w14:paraId="19CC20D7">
      <w:pPr>
        <w:pStyle w:val="132"/>
        <w:rPr>
          <w:color w:val="auto"/>
          <w:highlight w:val="none"/>
        </w:rPr>
      </w:pPr>
      <w:r>
        <w:rPr>
          <w:rFonts w:hint="eastAsia"/>
          <w:color w:val="auto"/>
          <w:highlight w:val="none"/>
        </w:rPr>
        <w:t>美国市场对企业的重要程度；</w:t>
      </w:r>
    </w:p>
    <w:p w14:paraId="47148B6E">
      <w:pPr>
        <w:pStyle w:val="132"/>
        <w:rPr>
          <w:color w:val="auto"/>
          <w:highlight w:val="none"/>
        </w:rPr>
      </w:pPr>
      <w:r>
        <w:rPr>
          <w:rFonts w:hint="eastAsia"/>
          <w:color w:val="auto"/>
          <w:highlight w:val="none"/>
        </w:rPr>
        <w:t>是否存在不侵权的可能性和</w:t>
      </w:r>
      <w:r>
        <w:rPr>
          <w:rFonts w:hint="eastAsia"/>
          <w:color w:val="auto"/>
          <w:highlight w:val="none"/>
          <w:lang w:val="en-US" w:eastAsia="zh-CN"/>
        </w:rPr>
        <w:t>/或</w:t>
      </w:r>
      <w:r>
        <w:rPr>
          <w:rFonts w:hint="eastAsia"/>
          <w:color w:val="auto"/>
          <w:highlight w:val="none"/>
        </w:rPr>
        <w:t>侵权的程度；</w:t>
      </w:r>
    </w:p>
    <w:p w14:paraId="7A35E50E">
      <w:pPr>
        <w:pStyle w:val="132"/>
        <w:rPr>
          <w:color w:val="auto"/>
          <w:highlight w:val="none"/>
        </w:rPr>
      </w:pPr>
      <w:r>
        <w:rPr>
          <w:rFonts w:hint="eastAsia"/>
          <w:color w:val="auto"/>
          <w:highlight w:val="none"/>
        </w:rPr>
        <w:t>败诉、胜诉的可能性；</w:t>
      </w:r>
    </w:p>
    <w:p w14:paraId="00A15216">
      <w:pPr>
        <w:pStyle w:val="132"/>
        <w:rPr>
          <w:color w:val="auto"/>
          <w:highlight w:val="none"/>
        </w:rPr>
      </w:pPr>
      <w:r>
        <w:rPr>
          <w:rFonts w:hint="eastAsia"/>
          <w:color w:val="auto"/>
          <w:highlight w:val="none"/>
        </w:rPr>
        <w:t>原告的真实意图；</w:t>
      </w:r>
    </w:p>
    <w:p w14:paraId="47D6BD2E">
      <w:pPr>
        <w:pStyle w:val="132"/>
        <w:rPr>
          <w:color w:val="auto"/>
          <w:highlight w:val="none"/>
        </w:rPr>
      </w:pPr>
      <w:r>
        <w:rPr>
          <w:rFonts w:hint="eastAsia"/>
          <w:color w:val="auto"/>
          <w:highlight w:val="none"/>
        </w:rPr>
        <w:t>不应诉对企业的影响和风险；</w:t>
      </w:r>
    </w:p>
    <w:p w14:paraId="1424677B">
      <w:pPr>
        <w:pStyle w:val="132"/>
        <w:rPr>
          <w:color w:val="auto"/>
          <w:highlight w:val="none"/>
        </w:rPr>
      </w:pPr>
      <w:r>
        <w:rPr>
          <w:rFonts w:hint="eastAsia"/>
          <w:color w:val="auto"/>
          <w:highlight w:val="none"/>
        </w:rPr>
        <w:t>企业应诉的准备能力；</w:t>
      </w:r>
    </w:p>
    <w:p w14:paraId="53A2897D">
      <w:pPr>
        <w:pStyle w:val="132"/>
        <w:rPr>
          <w:color w:val="auto"/>
          <w:highlight w:val="none"/>
        </w:rPr>
      </w:pPr>
      <w:r>
        <w:rPr>
          <w:rFonts w:hint="eastAsia"/>
          <w:color w:val="auto"/>
          <w:highlight w:val="none"/>
        </w:rPr>
        <w:t>企业诉讼费用的承受能力。</w:t>
      </w:r>
    </w:p>
    <w:p w14:paraId="1D8155E8">
      <w:pPr>
        <w:pStyle w:val="165"/>
        <w:ind w:left="0"/>
        <w:rPr>
          <w:color w:val="auto"/>
          <w:highlight w:val="none"/>
        </w:rPr>
      </w:pPr>
      <w:bookmarkStart w:id="110" w:name="OLE_LINK2"/>
      <w:r>
        <w:rPr>
          <w:rFonts w:hint="eastAsia"/>
          <w:color w:val="auto"/>
          <w:highlight w:val="none"/>
        </w:rPr>
        <w:t>企业应组建应诉团队,主要包括：</w:t>
      </w:r>
    </w:p>
    <w:bookmarkEnd w:id="110"/>
    <w:p w14:paraId="05C9626D">
      <w:pPr>
        <w:pStyle w:val="132"/>
        <w:rPr>
          <w:color w:val="auto"/>
          <w:highlight w:val="none"/>
        </w:rPr>
      </w:pPr>
      <w:bookmarkStart w:id="111" w:name="_Hlk195103469"/>
      <w:r>
        <w:rPr>
          <w:color w:val="auto"/>
          <w:highlight w:val="none"/>
        </w:rPr>
        <w:t>由企业负责人领导的跨部门</w:t>
      </w:r>
      <w:r>
        <w:rPr>
          <w:rFonts w:hint="eastAsia"/>
          <w:color w:val="auto"/>
          <w:highlight w:val="none"/>
        </w:rPr>
        <w:t>的内部团队</w:t>
      </w:r>
      <w:r>
        <w:rPr>
          <w:color w:val="auto"/>
          <w:highlight w:val="none"/>
        </w:rPr>
        <w:t>，包括法律、技术、</w:t>
      </w:r>
      <w:r>
        <w:rPr>
          <w:rFonts w:hint="eastAsia"/>
          <w:color w:val="auto"/>
          <w:highlight w:val="none"/>
          <w:lang w:val="en-US" w:eastAsia="zh-CN"/>
        </w:rPr>
        <w:t>知识产权、</w:t>
      </w:r>
      <w:r>
        <w:rPr>
          <w:color w:val="auto"/>
          <w:highlight w:val="none"/>
        </w:rPr>
        <w:t>市场和</w:t>
      </w:r>
      <w:r>
        <w:rPr>
          <w:rFonts w:hint="eastAsia"/>
          <w:strike w:val="0"/>
          <w:dstrike w:val="0"/>
          <w:color w:val="auto"/>
          <w:highlight w:val="none"/>
          <w:lang w:val="en-US" w:eastAsia="zh-CN"/>
        </w:rPr>
        <w:t>财务</w:t>
      </w:r>
      <w:r>
        <w:rPr>
          <w:color w:val="auto"/>
          <w:highlight w:val="none"/>
        </w:rPr>
        <w:t>，明确分工（如</w:t>
      </w:r>
      <w:r>
        <w:rPr>
          <w:rFonts w:hint="eastAsia"/>
          <w:color w:val="auto"/>
          <w:highlight w:val="none"/>
        </w:rPr>
        <w:t>证据收集、</w:t>
      </w:r>
      <w:r>
        <w:rPr>
          <w:color w:val="auto"/>
          <w:highlight w:val="none"/>
        </w:rPr>
        <w:t>技术分析、市场数据整理、文件管理等）</w:t>
      </w:r>
      <w:r>
        <w:rPr>
          <w:rFonts w:hint="eastAsia"/>
          <w:color w:val="auto"/>
          <w:highlight w:val="none"/>
        </w:rPr>
        <w:t>；</w:t>
      </w:r>
      <w:bookmarkEnd w:id="111"/>
      <w:bookmarkStart w:id="112" w:name="_Hlk195103478"/>
    </w:p>
    <w:p w14:paraId="19D1AB78">
      <w:pPr>
        <w:pStyle w:val="132"/>
        <w:rPr>
          <w:color w:val="auto"/>
          <w:highlight w:val="none"/>
        </w:rPr>
      </w:pPr>
      <w:r>
        <w:rPr>
          <w:color w:val="auto"/>
          <w:highlight w:val="none"/>
        </w:rPr>
        <w:t>熟悉中美知识产权法律差异、具备337调查经验的</w:t>
      </w:r>
      <w:r>
        <w:rPr>
          <w:rFonts w:hint="eastAsia"/>
          <w:color w:val="auto"/>
          <w:highlight w:val="none"/>
        </w:rPr>
        <w:t>外部</w:t>
      </w:r>
      <w:r>
        <w:rPr>
          <w:color w:val="auto"/>
          <w:highlight w:val="none"/>
        </w:rPr>
        <w:t>律师团队，评估侵权风险和应诉可行性</w:t>
      </w:r>
      <w:r>
        <w:rPr>
          <w:rFonts w:hint="eastAsia"/>
          <w:color w:val="auto"/>
          <w:highlight w:val="none"/>
        </w:rPr>
        <w:t>。</w:t>
      </w:r>
      <w:bookmarkEnd w:id="112"/>
    </w:p>
    <w:p w14:paraId="1BABD318">
      <w:pPr>
        <w:pStyle w:val="165"/>
        <w:ind w:left="0"/>
        <w:rPr>
          <w:color w:val="auto"/>
          <w:highlight w:val="none"/>
        </w:rPr>
      </w:pPr>
      <w:r>
        <w:rPr>
          <w:rFonts w:hint="eastAsia"/>
          <w:color w:val="auto"/>
          <w:highlight w:val="none"/>
        </w:rPr>
        <w:t>企业应综合考虑下列因素后选定专家证人：</w:t>
      </w:r>
    </w:p>
    <w:p w14:paraId="29CDF18C">
      <w:pPr>
        <w:pStyle w:val="132"/>
        <w:rPr>
          <w:color w:val="auto"/>
          <w:highlight w:val="none"/>
        </w:rPr>
      </w:pPr>
      <w:r>
        <w:rPr>
          <w:rFonts w:hint="eastAsia"/>
          <w:color w:val="auto"/>
          <w:highlight w:val="none"/>
        </w:rPr>
        <w:t>是否存在利益冲突；</w:t>
      </w:r>
    </w:p>
    <w:p w14:paraId="5CB859AE">
      <w:pPr>
        <w:pStyle w:val="132"/>
        <w:rPr>
          <w:color w:val="auto"/>
          <w:highlight w:val="none"/>
        </w:rPr>
      </w:pPr>
      <w:r>
        <w:rPr>
          <w:rFonts w:hint="eastAsia"/>
          <w:color w:val="auto"/>
          <w:highlight w:val="none"/>
        </w:rPr>
        <w:t xml:space="preserve">个人信誉度； </w:t>
      </w:r>
    </w:p>
    <w:p w14:paraId="27554F8A">
      <w:pPr>
        <w:pStyle w:val="132"/>
        <w:rPr>
          <w:color w:val="auto"/>
          <w:highlight w:val="none"/>
        </w:rPr>
      </w:pPr>
      <w:r>
        <w:rPr>
          <w:rFonts w:hint="eastAsia"/>
          <w:color w:val="auto"/>
          <w:highlight w:val="none"/>
        </w:rPr>
        <w:t>技术水平和诉讼经验；</w:t>
      </w:r>
    </w:p>
    <w:p w14:paraId="0ED9271F">
      <w:pPr>
        <w:pStyle w:val="132"/>
        <w:rPr>
          <w:color w:val="auto"/>
          <w:highlight w:val="none"/>
        </w:rPr>
      </w:pPr>
      <w:r>
        <w:rPr>
          <w:rFonts w:hint="eastAsia"/>
          <w:color w:val="auto"/>
          <w:highlight w:val="none"/>
        </w:rPr>
        <w:t>表达能力和写作能力；</w:t>
      </w:r>
    </w:p>
    <w:p w14:paraId="3BBE7667">
      <w:pPr>
        <w:pStyle w:val="132"/>
        <w:rPr>
          <w:color w:val="auto"/>
          <w:highlight w:val="none"/>
        </w:rPr>
      </w:pPr>
      <w:r>
        <w:rPr>
          <w:rFonts w:hint="eastAsia"/>
          <w:color w:val="auto"/>
          <w:highlight w:val="none"/>
        </w:rPr>
        <w:t>独立思考和抗压能力；</w:t>
      </w:r>
    </w:p>
    <w:p w14:paraId="14D1125B">
      <w:pPr>
        <w:pStyle w:val="132"/>
        <w:rPr>
          <w:color w:val="auto"/>
          <w:highlight w:val="none"/>
        </w:rPr>
      </w:pPr>
      <w:r>
        <w:rPr>
          <w:rFonts w:hint="eastAsia"/>
          <w:color w:val="auto"/>
          <w:highlight w:val="none"/>
        </w:rPr>
        <w:t>是否与原告或原告关联方存在未披露的历史合作或经济关联。</w:t>
      </w:r>
    </w:p>
    <w:p w14:paraId="33B9E4BB">
      <w:pPr>
        <w:pStyle w:val="165"/>
        <w:ind w:left="0"/>
        <w:rPr>
          <w:color w:val="auto"/>
          <w:highlight w:val="none"/>
        </w:rPr>
      </w:pPr>
      <w:r>
        <w:rPr>
          <w:rFonts w:hint="eastAsia"/>
          <w:color w:val="auto"/>
          <w:highlight w:val="none"/>
        </w:rPr>
        <w:t>企业应准备证据开示所需材料，主要包括：</w:t>
      </w:r>
    </w:p>
    <w:p w14:paraId="7D88B232">
      <w:pPr>
        <w:pStyle w:val="132"/>
        <w:rPr>
          <w:color w:val="auto"/>
          <w:highlight w:val="none"/>
        </w:rPr>
      </w:pPr>
      <w:r>
        <w:rPr>
          <w:rFonts w:hint="eastAsia"/>
          <w:color w:val="auto"/>
          <w:highlight w:val="none"/>
        </w:rPr>
        <w:t>被控产品对美出口数量及价格数据；</w:t>
      </w:r>
    </w:p>
    <w:p w14:paraId="00292752">
      <w:pPr>
        <w:pStyle w:val="132"/>
        <w:rPr>
          <w:color w:val="auto"/>
          <w:highlight w:val="none"/>
        </w:rPr>
      </w:pPr>
      <w:r>
        <w:rPr>
          <w:rFonts w:hint="eastAsia"/>
          <w:color w:val="auto"/>
          <w:highlight w:val="none"/>
        </w:rPr>
        <w:t>被告企业的生产能力数据；</w:t>
      </w:r>
    </w:p>
    <w:p w14:paraId="45D631B5">
      <w:pPr>
        <w:pStyle w:val="132"/>
        <w:rPr>
          <w:color w:val="auto"/>
          <w:highlight w:val="none"/>
        </w:rPr>
      </w:pPr>
      <w:r>
        <w:rPr>
          <w:rFonts w:hint="eastAsia"/>
          <w:color w:val="auto"/>
          <w:highlight w:val="none"/>
        </w:rPr>
        <w:t>被控产品的美国进口报关记录；</w:t>
      </w:r>
    </w:p>
    <w:p w14:paraId="453DBA15">
      <w:pPr>
        <w:pStyle w:val="132"/>
        <w:rPr>
          <w:color w:val="auto"/>
          <w:highlight w:val="none"/>
        </w:rPr>
      </w:pPr>
      <w:r>
        <w:rPr>
          <w:rFonts w:hint="eastAsia"/>
          <w:color w:val="auto"/>
          <w:highlight w:val="none"/>
        </w:rPr>
        <w:t>被控产品的美国海关关税编码；</w:t>
      </w:r>
    </w:p>
    <w:p w14:paraId="6C188ADF">
      <w:pPr>
        <w:pStyle w:val="132"/>
        <w:rPr>
          <w:color w:val="auto"/>
          <w:highlight w:val="none"/>
        </w:rPr>
      </w:pPr>
      <w:r>
        <w:rPr>
          <w:rFonts w:hint="eastAsia"/>
          <w:color w:val="auto"/>
          <w:highlight w:val="none"/>
        </w:rPr>
        <w:t>被控产品零部件/原料供应商名录；</w:t>
      </w:r>
    </w:p>
    <w:p w14:paraId="049485A6">
      <w:pPr>
        <w:pStyle w:val="132"/>
        <w:rPr>
          <w:color w:val="auto"/>
          <w:highlight w:val="none"/>
        </w:rPr>
      </w:pPr>
      <w:r>
        <w:rPr>
          <w:rFonts w:hint="eastAsia"/>
          <w:color w:val="auto"/>
          <w:highlight w:val="none"/>
        </w:rPr>
        <w:t>相关技术授权协议；</w:t>
      </w:r>
    </w:p>
    <w:p w14:paraId="50D7F5DD">
      <w:pPr>
        <w:pStyle w:val="132"/>
        <w:rPr>
          <w:rFonts w:hint="eastAsia"/>
          <w:color w:val="auto"/>
          <w:highlight w:val="none"/>
        </w:rPr>
      </w:pPr>
      <w:r>
        <w:rPr>
          <w:rFonts w:hint="eastAsia"/>
          <w:color w:val="auto"/>
          <w:highlight w:val="none"/>
        </w:rPr>
        <w:t>被控产品技术规格及设计文档；</w:t>
      </w:r>
    </w:p>
    <w:p w14:paraId="080000D8">
      <w:pPr>
        <w:pStyle w:val="132"/>
        <w:rPr>
          <w:rFonts w:hint="eastAsia"/>
          <w:color w:val="auto"/>
          <w:highlight w:val="none"/>
        </w:rPr>
      </w:pPr>
      <w:r>
        <w:rPr>
          <w:rFonts w:hint="eastAsia"/>
          <w:color w:val="auto"/>
          <w:highlight w:val="none"/>
        </w:rPr>
        <w:t>涉及专利权利要求功能的部件供应商信息；</w:t>
      </w:r>
    </w:p>
    <w:p w14:paraId="032D24FB">
      <w:pPr>
        <w:pStyle w:val="132"/>
        <w:rPr>
          <w:rFonts w:hint="eastAsia"/>
          <w:color w:val="auto"/>
          <w:highlight w:val="none"/>
        </w:rPr>
      </w:pPr>
      <w:r>
        <w:rPr>
          <w:rFonts w:hint="eastAsia"/>
          <w:color w:val="auto"/>
          <w:highlight w:val="none"/>
        </w:rPr>
        <w:t>与涉案技术相关的现有专利及文献；</w:t>
      </w:r>
    </w:p>
    <w:p w14:paraId="75F061BC">
      <w:pPr>
        <w:pStyle w:val="132"/>
        <w:rPr>
          <w:color w:val="auto"/>
          <w:highlight w:val="none"/>
        </w:rPr>
      </w:pPr>
      <w:r>
        <w:rPr>
          <w:rFonts w:hint="eastAsia"/>
          <w:color w:val="auto"/>
          <w:highlight w:val="none"/>
        </w:rPr>
        <w:t>与原告方的往来函件及会谈记录；</w:t>
      </w:r>
    </w:p>
    <w:p w14:paraId="21E25E1D">
      <w:pPr>
        <w:pStyle w:val="132"/>
        <w:rPr>
          <w:color w:val="auto"/>
          <w:highlight w:val="none"/>
        </w:rPr>
      </w:pPr>
      <w:r>
        <w:rPr>
          <w:rFonts w:hint="eastAsia"/>
          <w:color w:val="auto"/>
          <w:highlight w:val="none"/>
        </w:rPr>
        <w:t>负责相关业务的核心人员信息；</w:t>
      </w:r>
    </w:p>
    <w:p w14:paraId="04414FD6">
      <w:pPr>
        <w:pStyle w:val="132"/>
        <w:rPr>
          <w:color w:val="auto"/>
          <w:highlight w:val="none"/>
        </w:rPr>
      </w:pPr>
      <w:r>
        <w:rPr>
          <w:rFonts w:hint="eastAsia"/>
          <w:color w:val="auto"/>
          <w:highlight w:val="none"/>
        </w:rPr>
        <w:t>技术专家聘用记录及沟通资料。</w:t>
      </w:r>
    </w:p>
    <w:p w14:paraId="58A07B4A">
      <w:pPr>
        <w:pStyle w:val="165"/>
        <w:ind w:left="0"/>
        <w:rPr>
          <w:color w:val="auto"/>
          <w:highlight w:val="none"/>
        </w:rPr>
      </w:pPr>
      <w:r>
        <w:rPr>
          <w:rFonts w:hint="eastAsia"/>
          <w:color w:val="auto"/>
          <w:highlight w:val="none"/>
        </w:rPr>
        <w:t>企业应谨慎对待和非美国律师就案件内容进行讨论与交流，避免这些交流内容因不具备律师与客户保密特权而被要求作为证据提供。</w:t>
      </w:r>
    </w:p>
    <w:p w14:paraId="1FA6A8B7">
      <w:pPr>
        <w:pStyle w:val="165"/>
        <w:ind w:left="0"/>
        <w:rPr>
          <w:color w:val="auto"/>
          <w:highlight w:val="none"/>
        </w:rPr>
      </w:pPr>
      <w:r>
        <w:rPr>
          <w:rFonts w:hint="eastAsia"/>
          <w:color w:val="auto"/>
          <w:highlight w:val="none"/>
        </w:rPr>
        <w:t>企业应通知相关员工禁止删除与诉讼相关的任何文件资料，避免被指控有意删除敏感文件而受到惩罚。</w:t>
      </w:r>
    </w:p>
    <w:p w14:paraId="57A33E5C">
      <w:pPr>
        <w:pStyle w:val="165"/>
        <w:ind w:left="0"/>
        <w:rPr>
          <w:color w:val="auto"/>
          <w:highlight w:val="none"/>
        </w:rPr>
      </w:pPr>
      <w:bookmarkStart w:id="113" w:name="_Hlk195103563"/>
      <w:r>
        <w:rPr>
          <w:rFonts w:hint="eastAsia"/>
          <w:color w:val="auto"/>
          <w:highlight w:val="none"/>
        </w:rPr>
        <w:t>企业应提前着手准备相关法律文件</w:t>
      </w:r>
      <w:bookmarkEnd w:id="113"/>
      <w:r>
        <w:rPr>
          <w:rFonts w:hint="eastAsia"/>
          <w:color w:val="auto"/>
          <w:highlight w:val="none"/>
        </w:rPr>
        <w:t>（如答辩状、证据清单、现有技术抗辩、证据开示请求等）。</w:t>
      </w:r>
    </w:p>
    <w:bookmarkEnd w:id="109"/>
    <w:p w14:paraId="2C9C2D02">
      <w:pPr>
        <w:pStyle w:val="105"/>
        <w:spacing w:before="156" w:after="156"/>
        <w:rPr>
          <w:color w:val="auto"/>
          <w:highlight w:val="none"/>
        </w:rPr>
      </w:pPr>
      <w:bookmarkStart w:id="114" w:name="_Hlk199675949"/>
      <w:r>
        <w:rPr>
          <w:rFonts w:hint="eastAsia"/>
          <w:color w:val="auto"/>
          <w:highlight w:val="none"/>
        </w:rPr>
        <w:t>调查中管理</w:t>
      </w:r>
      <w:bookmarkEnd w:id="114"/>
    </w:p>
    <w:p w14:paraId="7E777A8B">
      <w:pPr>
        <w:pStyle w:val="65"/>
        <w:spacing w:before="156" w:after="156"/>
        <w:rPr>
          <w:color w:val="auto"/>
          <w:highlight w:val="none"/>
        </w:rPr>
      </w:pPr>
      <w:r>
        <w:rPr>
          <w:rFonts w:hint="eastAsia"/>
          <w:color w:val="auto"/>
          <w:highlight w:val="none"/>
        </w:rPr>
        <w:t>答辩</w:t>
      </w:r>
    </w:p>
    <w:p w14:paraId="48A51803">
      <w:pPr>
        <w:pStyle w:val="164"/>
        <w:rPr>
          <w:color w:val="auto"/>
          <w:highlight w:val="none"/>
        </w:rPr>
      </w:pPr>
      <w:r>
        <w:rPr>
          <w:rFonts w:hint="eastAsia"/>
          <w:color w:val="auto"/>
          <w:highlight w:val="none"/>
        </w:rPr>
        <w:t>企业应在收到起诉书后20日内提交答辩状（非美国当事人可延长期限至30日）。</w:t>
      </w:r>
    </w:p>
    <w:p w14:paraId="00970C20">
      <w:pPr>
        <w:pStyle w:val="164"/>
        <w:rPr>
          <w:color w:val="auto"/>
          <w:highlight w:val="none"/>
        </w:rPr>
      </w:pPr>
      <w:r>
        <w:rPr>
          <w:color w:val="auto"/>
          <w:highlight w:val="none"/>
        </w:rPr>
        <w:t>若原告同时申请临时救济措施，</w:t>
      </w:r>
      <w:r>
        <w:rPr>
          <w:rFonts w:hint="eastAsia"/>
          <w:color w:val="auto"/>
          <w:highlight w:val="none"/>
        </w:rPr>
        <w:t>企业应</w:t>
      </w:r>
      <w:r>
        <w:rPr>
          <w:color w:val="auto"/>
          <w:highlight w:val="none"/>
        </w:rPr>
        <w:t>在收到申请书后10日内（复杂案件为20日）提交针对临时措施的答辩状</w:t>
      </w:r>
      <w:r>
        <w:rPr>
          <w:rFonts w:hint="eastAsia"/>
          <w:color w:val="auto"/>
          <w:highlight w:val="none"/>
        </w:rPr>
        <w:t>。</w:t>
      </w:r>
    </w:p>
    <w:p w14:paraId="3DB8E3B8">
      <w:pPr>
        <w:pStyle w:val="164"/>
        <w:rPr>
          <w:color w:val="auto"/>
          <w:highlight w:val="none"/>
        </w:rPr>
      </w:pPr>
      <w:r>
        <w:rPr>
          <w:rFonts w:hint="eastAsia"/>
          <w:color w:val="auto"/>
          <w:highlight w:val="none"/>
        </w:rPr>
        <w:t>答辩状应包含以下内容：</w:t>
      </w:r>
    </w:p>
    <w:p w14:paraId="7904D73E">
      <w:pPr>
        <w:pStyle w:val="132"/>
        <w:rPr>
          <w:color w:val="auto"/>
          <w:highlight w:val="none"/>
        </w:rPr>
      </w:pPr>
      <w:r>
        <w:rPr>
          <w:rFonts w:hint="eastAsia"/>
          <w:color w:val="auto"/>
          <w:highlight w:val="none"/>
        </w:rPr>
        <w:t>对起诉书中的每一项指控作出回应，且每条答辩意见中须简要陈述所依据的事实；</w:t>
      </w:r>
    </w:p>
    <w:p w14:paraId="49C2632E">
      <w:pPr>
        <w:pStyle w:val="132"/>
        <w:rPr>
          <w:color w:val="auto"/>
          <w:highlight w:val="none"/>
        </w:rPr>
      </w:pPr>
      <w:r>
        <w:rPr>
          <w:rFonts w:hint="eastAsia"/>
          <w:color w:val="auto"/>
          <w:highlight w:val="none"/>
        </w:rPr>
        <w:t>对起诉书中所指控的每一项事实予以承认、否认，或者解释说明，或者指出并不知晓相关事实详情；</w:t>
      </w:r>
    </w:p>
    <w:p w14:paraId="4163A6B7">
      <w:pPr>
        <w:pStyle w:val="132"/>
        <w:rPr>
          <w:color w:val="auto"/>
          <w:highlight w:val="none"/>
        </w:rPr>
      </w:pPr>
      <w:r>
        <w:rPr>
          <w:rFonts w:hint="eastAsia"/>
          <w:color w:val="auto"/>
          <w:highlight w:val="none"/>
        </w:rPr>
        <w:t>关于涉案产品对美出口量、出口金额及被告生产能力的数据，以及关于美国市场对该被告的重要性的陈述；</w:t>
      </w:r>
    </w:p>
    <w:p w14:paraId="26FF8D81">
      <w:pPr>
        <w:pStyle w:val="132"/>
        <w:rPr>
          <w:color w:val="auto"/>
          <w:highlight w:val="none"/>
        </w:rPr>
      </w:pPr>
      <w:r>
        <w:rPr>
          <w:rFonts w:hint="eastAsia"/>
          <w:color w:val="auto"/>
          <w:highlight w:val="none"/>
        </w:rPr>
        <w:t>其它任何积极抗辩并尽可能具体阐明，如不满足国内产业要求抗辩、不侵权抗辩、专利无效抗辩、专利不可实施抗辩等。</w:t>
      </w:r>
    </w:p>
    <w:p w14:paraId="34E44B3B">
      <w:pPr>
        <w:pStyle w:val="65"/>
        <w:spacing w:before="156" w:after="156"/>
        <w:rPr>
          <w:color w:val="auto"/>
          <w:highlight w:val="none"/>
        </w:rPr>
      </w:pPr>
      <w:r>
        <w:rPr>
          <w:rFonts w:hint="eastAsia"/>
          <w:color w:val="auto"/>
          <w:highlight w:val="none"/>
        </w:rPr>
        <w:t>调查取证</w:t>
      </w:r>
    </w:p>
    <w:p w14:paraId="3526E735">
      <w:pPr>
        <w:pStyle w:val="164"/>
        <w:rPr>
          <w:color w:val="auto"/>
          <w:highlight w:val="none"/>
        </w:rPr>
      </w:pPr>
      <w:r>
        <w:rPr>
          <w:rFonts w:hint="eastAsia"/>
          <w:color w:val="auto"/>
          <w:highlight w:val="none"/>
        </w:rPr>
        <w:t>调查公告在《美国联邦纪事》上公布后，一方当事人可以向任何其他方送达调查取证的要求。整个调查取证的过程包括事实调查取证、专家证人调查取证和第三方的调查取证等。</w:t>
      </w:r>
    </w:p>
    <w:p w14:paraId="3080AEC0">
      <w:pPr>
        <w:pStyle w:val="164"/>
        <w:rPr>
          <w:color w:val="auto"/>
          <w:highlight w:val="none"/>
        </w:rPr>
      </w:pPr>
      <w:r>
        <w:rPr>
          <w:rFonts w:hint="eastAsia"/>
          <w:color w:val="auto"/>
          <w:highlight w:val="none"/>
        </w:rPr>
        <w:t>企业在收到书面质询的要求后10日内或ALJ规定的日期内，应予以答复：</w:t>
      </w:r>
    </w:p>
    <w:p w14:paraId="53BCD510">
      <w:pPr>
        <w:pStyle w:val="132"/>
        <w:rPr>
          <w:color w:val="auto"/>
          <w:highlight w:val="none"/>
        </w:rPr>
      </w:pPr>
      <w:r>
        <w:rPr>
          <w:rFonts w:hint="eastAsia"/>
          <w:color w:val="auto"/>
          <w:highlight w:val="none"/>
        </w:rPr>
        <w:t>在答复之前把书面质询的问题重复一遍；</w:t>
      </w:r>
    </w:p>
    <w:p w14:paraId="0E46B470">
      <w:pPr>
        <w:pStyle w:val="132"/>
        <w:rPr>
          <w:color w:val="auto"/>
          <w:highlight w:val="none"/>
        </w:rPr>
      </w:pPr>
      <w:r>
        <w:rPr>
          <w:rFonts w:hint="eastAsia"/>
          <w:color w:val="auto"/>
          <w:highlight w:val="none"/>
        </w:rPr>
        <w:t>每一个问题都应该有单独完整的书面答复；</w:t>
      </w:r>
    </w:p>
    <w:p w14:paraId="4984D633">
      <w:pPr>
        <w:pStyle w:val="132"/>
        <w:rPr>
          <w:color w:val="auto"/>
          <w:highlight w:val="none"/>
        </w:rPr>
      </w:pPr>
      <w:r>
        <w:rPr>
          <w:rFonts w:hint="eastAsia"/>
          <w:color w:val="auto"/>
          <w:highlight w:val="none"/>
        </w:rPr>
        <w:t>若反对该问题则应当陈述反对理由以代替回答该问题；</w:t>
      </w:r>
    </w:p>
    <w:p w14:paraId="081A2E22">
      <w:pPr>
        <w:pStyle w:val="132"/>
        <w:rPr>
          <w:color w:val="auto"/>
          <w:highlight w:val="none"/>
        </w:rPr>
      </w:pPr>
      <w:r>
        <w:rPr>
          <w:rFonts w:hint="eastAsia"/>
          <w:color w:val="auto"/>
          <w:highlight w:val="none"/>
        </w:rPr>
        <w:t>答复应当由答复人签字，对问题的反对应当由提出该反对意见的律师签字；</w:t>
      </w:r>
    </w:p>
    <w:p w14:paraId="6F688C64">
      <w:pPr>
        <w:pStyle w:val="132"/>
        <w:rPr>
          <w:color w:val="auto"/>
          <w:highlight w:val="none"/>
        </w:rPr>
      </w:pPr>
      <w:r>
        <w:rPr>
          <w:rFonts w:hint="eastAsia"/>
          <w:color w:val="auto"/>
          <w:highlight w:val="none"/>
        </w:rPr>
        <w:t>如果详细、具体的文件或记录可以直接得出问题的答案，可以用该文件或记录作为答复。</w:t>
      </w:r>
    </w:p>
    <w:p w14:paraId="18DEC175">
      <w:pPr>
        <w:pStyle w:val="164"/>
        <w:rPr>
          <w:color w:val="auto"/>
          <w:highlight w:val="none"/>
        </w:rPr>
      </w:pPr>
      <w:r>
        <w:rPr>
          <w:rFonts w:hint="eastAsia"/>
          <w:color w:val="auto"/>
          <w:highlight w:val="none"/>
        </w:rPr>
        <w:t>企业在收到出示文件的要求后10日内或ALJ规定的日期内，应予以答复：</w:t>
      </w:r>
    </w:p>
    <w:p w14:paraId="34B052FD">
      <w:pPr>
        <w:pStyle w:val="132"/>
        <w:rPr>
          <w:color w:val="auto"/>
          <w:highlight w:val="none"/>
        </w:rPr>
      </w:pPr>
      <w:r>
        <w:rPr>
          <w:rFonts w:hint="eastAsia"/>
          <w:color w:val="auto"/>
          <w:highlight w:val="none"/>
        </w:rPr>
        <w:t>应按照“日常业务运营中保存的一样”的要求出示；</w:t>
      </w:r>
    </w:p>
    <w:p w14:paraId="6B6C7133">
      <w:pPr>
        <w:pStyle w:val="132"/>
        <w:rPr>
          <w:color w:val="auto"/>
          <w:highlight w:val="none"/>
        </w:rPr>
      </w:pPr>
      <w:r>
        <w:rPr>
          <w:rFonts w:hint="eastAsia"/>
          <w:color w:val="auto"/>
          <w:highlight w:val="none"/>
        </w:rPr>
        <w:t>或者“和文件要求的具体类别相对应”的要求出示。</w:t>
      </w:r>
    </w:p>
    <w:p w14:paraId="3A3FA1B2">
      <w:pPr>
        <w:pStyle w:val="164"/>
        <w:rPr>
          <w:color w:val="auto"/>
          <w:highlight w:val="none"/>
        </w:rPr>
      </w:pPr>
      <w:r>
        <w:rPr>
          <w:rFonts w:hint="eastAsia"/>
          <w:color w:val="auto"/>
          <w:highlight w:val="none"/>
        </w:rPr>
        <w:t>企业在收到承认某些事实的要求后10日内或ALJ规定的日期内，应予以答复：</w:t>
      </w:r>
    </w:p>
    <w:p w14:paraId="362B005B">
      <w:pPr>
        <w:pStyle w:val="132"/>
        <w:rPr>
          <w:color w:val="auto"/>
          <w:highlight w:val="none"/>
        </w:rPr>
      </w:pPr>
      <w:r>
        <w:rPr>
          <w:rFonts w:hint="eastAsia"/>
          <w:color w:val="auto"/>
          <w:highlight w:val="none"/>
        </w:rPr>
        <w:t>对要求承认某些事实的请求中所描述的事项进行整体性承认；</w:t>
      </w:r>
    </w:p>
    <w:p w14:paraId="2AB982F8">
      <w:pPr>
        <w:pStyle w:val="132"/>
        <w:rPr>
          <w:color w:val="auto"/>
          <w:highlight w:val="none"/>
        </w:rPr>
      </w:pPr>
      <w:r>
        <w:rPr>
          <w:rFonts w:hint="eastAsia"/>
          <w:color w:val="auto"/>
          <w:highlight w:val="none"/>
        </w:rPr>
        <w:t>对要求承认某些事实的请求中所描述的事项进行整体性否认；</w:t>
      </w:r>
    </w:p>
    <w:p w14:paraId="29E22AC1">
      <w:pPr>
        <w:pStyle w:val="132"/>
        <w:rPr>
          <w:color w:val="auto"/>
          <w:highlight w:val="none"/>
        </w:rPr>
      </w:pPr>
      <w:r>
        <w:rPr>
          <w:rFonts w:hint="eastAsia"/>
          <w:color w:val="auto"/>
          <w:highlight w:val="none"/>
        </w:rPr>
        <w:t>承认部分事项，否认其余事项；</w:t>
      </w:r>
    </w:p>
    <w:p w14:paraId="648EEC9A">
      <w:pPr>
        <w:pStyle w:val="132"/>
        <w:rPr>
          <w:color w:val="auto"/>
          <w:highlight w:val="none"/>
        </w:rPr>
      </w:pPr>
      <w:r>
        <w:rPr>
          <w:rFonts w:hint="eastAsia"/>
          <w:color w:val="auto"/>
          <w:highlight w:val="none"/>
        </w:rPr>
        <w:t>反对或者否认承认某些事实的请求，必须对为</w:t>
      </w:r>
      <w:r>
        <w:rPr>
          <w:rFonts w:hint="eastAsia"/>
          <w:color w:val="auto"/>
          <w:highlight w:val="none"/>
          <w:lang w:val="en-US" w:eastAsia="zh-CN"/>
        </w:rPr>
        <w:t>何</w:t>
      </w:r>
      <w:r>
        <w:rPr>
          <w:rFonts w:hint="eastAsia"/>
          <w:color w:val="auto"/>
          <w:highlight w:val="none"/>
        </w:rPr>
        <w:t>不能承认或否认该事项作出详细的解释。</w:t>
      </w:r>
    </w:p>
    <w:p w14:paraId="5A17BC84">
      <w:pPr>
        <w:pStyle w:val="164"/>
        <w:rPr>
          <w:color w:val="auto"/>
          <w:highlight w:val="none"/>
        </w:rPr>
      </w:pPr>
      <w:r>
        <w:rPr>
          <w:rFonts w:hint="eastAsia"/>
          <w:color w:val="auto"/>
          <w:highlight w:val="none"/>
        </w:rPr>
        <w:t>企业在收到进入现场勘察的请求后10日内或ALJ规定的日期内，应予以答复：</w:t>
      </w:r>
    </w:p>
    <w:p w14:paraId="5BA7F55C">
      <w:pPr>
        <w:pStyle w:val="132"/>
        <w:rPr>
          <w:color w:val="auto"/>
          <w:highlight w:val="none"/>
        </w:rPr>
      </w:pPr>
      <w:r>
        <w:rPr>
          <w:rFonts w:hint="eastAsia"/>
          <w:color w:val="auto"/>
          <w:highlight w:val="none"/>
        </w:rPr>
        <w:t>同意进入其土地或者工厂进行勘察；</w:t>
      </w:r>
    </w:p>
    <w:p w14:paraId="557CA95B">
      <w:pPr>
        <w:pStyle w:val="132"/>
        <w:rPr>
          <w:color w:val="auto"/>
          <w:highlight w:val="none"/>
        </w:rPr>
      </w:pPr>
      <w:r>
        <w:rPr>
          <w:rFonts w:hint="eastAsia"/>
          <w:color w:val="auto"/>
          <w:highlight w:val="none"/>
        </w:rPr>
        <w:t>或者反对进入其土地或者工厂进行勘察并作出详细的解释。</w:t>
      </w:r>
    </w:p>
    <w:p w14:paraId="2A79E738">
      <w:pPr>
        <w:pStyle w:val="164"/>
        <w:rPr>
          <w:color w:val="auto"/>
          <w:highlight w:val="none"/>
        </w:rPr>
      </w:pPr>
      <w:r>
        <w:rPr>
          <w:rFonts w:hint="eastAsia"/>
          <w:color w:val="auto"/>
          <w:highlight w:val="none"/>
        </w:rPr>
        <w:t>证人质询通常在出示文件基本完成后进行，应注意：</w:t>
      </w:r>
    </w:p>
    <w:p w14:paraId="21A81D0C">
      <w:pPr>
        <w:pStyle w:val="132"/>
        <w:rPr>
          <w:color w:val="auto"/>
          <w:highlight w:val="none"/>
        </w:rPr>
      </w:pPr>
      <w:r>
        <w:rPr>
          <w:rFonts w:hint="eastAsia"/>
          <w:color w:val="auto"/>
          <w:highlight w:val="none"/>
        </w:rPr>
        <w:t>不能让非美国律师协助证人准备证人质询程序；</w:t>
      </w:r>
    </w:p>
    <w:p w14:paraId="496F16B2">
      <w:pPr>
        <w:pStyle w:val="132"/>
        <w:rPr>
          <w:color w:val="auto"/>
          <w:highlight w:val="none"/>
        </w:rPr>
      </w:pPr>
      <w:r>
        <w:rPr>
          <w:rFonts w:hint="eastAsia"/>
          <w:color w:val="auto"/>
          <w:highlight w:val="none"/>
        </w:rPr>
        <w:t>不能将非由自己亲历的事实通过别人讲述的方式变成自己的经历；</w:t>
      </w:r>
    </w:p>
    <w:p w14:paraId="45C6937D">
      <w:pPr>
        <w:pStyle w:val="132"/>
        <w:rPr>
          <w:color w:val="auto"/>
          <w:highlight w:val="none"/>
        </w:rPr>
      </w:pPr>
      <w:r>
        <w:rPr>
          <w:rFonts w:hint="eastAsia"/>
          <w:color w:val="auto"/>
          <w:highlight w:val="none"/>
        </w:rPr>
        <w:t>不能对别人准备的证人证言进行死记硬背；</w:t>
      </w:r>
    </w:p>
    <w:p w14:paraId="6E1500AB">
      <w:pPr>
        <w:pStyle w:val="132"/>
        <w:rPr>
          <w:color w:val="auto"/>
          <w:highlight w:val="none"/>
        </w:rPr>
      </w:pPr>
      <w:r>
        <w:rPr>
          <w:rFonts w:hint="eastAsia"/>
          <w:color w:val="auto"/>
          <w:highlight w:val="none"/>
        </w:rPr>
        <w:t>对事实情况的陈述不能与书面陈述不一致；</w:t>
      </w:r>
    </w:p>
    <w:p w14:paraId="36C78D4B">
      <w:pPr>
        <w:pStyle w:val="132"/>
        <w:rPr>
          <w:color w:val="auto"/>
          <w:highlight w:val="none"/>
        </w:rPr>
      </w:pPr>
      <w:r>
        <w:rPr>
          <w:rFonts w:hint="eastAsia"/>
          <w:color w:val="auto"/>
          <w:highlight w:val="none"/>
        </w:rPr>
        <w:t>应熟悉对方律师可能提出的问题类型。</w:t>
      </w:r>
    </w:p>
    <w:p w14:paraId="0ABC7464">
      <w:pPr>
        <w:pStyle w:val="164"/>
        <w:rPr>
          <w:color w:val="auto"/>
          <w:highlight w:val="none"/>
        </w:rPr>
      </w:pPr>
      <w:r>
        <w:rPr>
          <w:rFonts w:hint="eastAsia"/>
          <w:color w:val="auto"/>
          <w:highlight w:val="none"/>
        </w:rPr>
        <w:t>企业应在事实调查结束后的1至2周内提供专家报告，在这之后的1至2周内对对方提供的专家报告提交反驳意见。</w:t>
      </w:r>
    </w:p>
    <w:p w14:paraId="0D0184B0">
      <w:pPr>
        <w:pStyle w:val="164"/>
        <w:rPr>
          <w:color w:val="auto"/>
          <w:highlight w:val="none"/>
        </w:rPr>
      </w:pPr>
      <w:r>
        <w:rPr>
          <w:rFonts w:hint="eastAsia"/>
          <w:color w:val="auto"/>
          <w:highlight w:val="none"/>
        </w:rPr>
        <w:t>专家质询通常在反驳</w:t>
      </w:r>
      <w:r>
        <w:rPr>
          <w:rFonts w:hint="eastAsia"/>
          <w:color w:val="auto"/>
          <w:highlight w:val="none"/>
          <w:lang w:val="en-US" w:eastAsia="zh-CN"/>
        </w:rPr>
        <w:t>意见</w:t>
      </w:r>
      <w:r>
        <w:rPr>
          <w:rFonts w:hint="eastAsia"/>
          <w:color w:val="auto"/>
          <w:highlight w:val="none"/>
        </w:rPr>
        <w:t>提交后进行，应注意：</w:t>
      </w:r>
    </w:p>
    <w:p w14:paraId="0E4C0B9D">
      <w:pPr>
        <w:pStyle w:val="132"/>
        <w:rPr>
          <w:color w:val="auto"/>
          <w:highlight w:val="none"/>
        </w:rPr>
      </w:pPr>
      <w:r>
        <w:rPr>
          <w:rFonts w:hint="eastAsia"/>
          <w:color w:val="auto"/>
          <w:highlight w:val="none"/>
        </w:rPr>
        <w:t>发表的证言不得超出之前提交的专家报告</w:t>
      </w:r>
      <w:r>
        <w:rPr>
          <w:rFonts w:hint="eastAsia"/>
          <w:color w:val="auto"/>
          <w:highlight w:val="none"/>
          <w:lang w:val="en-US" w:eastAsia="zh-CN"/>
        </w:rPr>
        <w:t>记载的</w:t>
      </w:r>
      <w:r>
        <w:rPr>
          <w:rFonts w:hint="eastAsia"/>
          <w:color w:val="auto"/>
          <w:highlight w:val="none"/>
        </w:rPr>
        <w:t>范围；</w:t>
      </w:r>
    </w:p>
    <w:p w14:paraId="166637F1">
      <w:pPr>
        <w:pStyle w:val="132"/>
        <w:rPr>
          <w:color w:val="auto"/>
          <w:highlight w:val="none"/>
        </w:rPr>
      </w:pPr>
      <w:r>
        <w:rPr>
          <w:rFonts w:hint="eastAsia"/>
          <w:color w:val="auto"/>
          <w:highlight w:val="none"/>
        </w:rPr>
        <w:t>当对方专家证人发表了之前未披露的证言时，应申请排除；</w:t>
      </w:r>
    </w:p>
    <w:p w14:paraId="6A7CCAFA">
      <w:pPr>
        <w:pStyle w:val="132"/>
        <w:rPr>
          <w:color w:val="auto"/>
          <w:highlight w:val="none"/>
        </w:rPr>
      </w:pPr>
      <w:r>
        <w:rPr>
          <w:rFonts w:hint="eastAsia"/>
          <w:color w:val="auto"/>
          <w:highlight w:val="none"/>
        </w:rPr>
        <w:t>应熟悉对方律师可能提出的问题类型；</w:t>
      </w:r>
    </w:p>
    <w:p w14:paraId="5083BC06">
      <w:pPr>
        <w:pStyle w:val="132"/>
        <w:rPr>
          <w:color w:val="auto"/>
          <w:highlight w:val="none"/>
        </w:rPr>
      </w:pPr>
      <w:r>
        <w:rPr>
          <w:rFonts w:hint="eastAsia"/>
          <w:color w:val="auto"/>
          <w:highlight w:val="none"/>
        </w:rPr>
        <w:t>应聘请熟悉涉案技术所在领域中英文专业技术术语的翻译团队。</w:t>
      </w:r>
    </w:p>
    <w:p w14:paraId="68D11EE6">
      <w:pPr>
        <w:pStyle w:val="164"/>
        <w:rPr>
          <w:color w:val="auto"/>
          <w:highlight w:val="none"/>
        </w:rPr>
      </w:pPr>
      <w:r>
        <w:rPr>
          <w:rFonts w:hint="eastAsia"/>
          <w:color w:val="auto"/>
          <w:highlight w:val="none"/>
        </w:rPr>
        <w:t>当无法从对方当事人处获得相关信息之后，企业可以申请ITC通过传票从第三方处获得相同信息。</w:t>
      </w:r>
    </w:p>
    <w:p w14:paraId="399B4CE6">
      <w:pPr>
        <w:pStyle w:val="164"/>
        <w:rPr>
          <w:color w:val="auto"/>
          <w:highlight w:val="none"/>
        </w:rPr>
      </w:pPr>
      <w:r>
        <w:rPr>
          <w:rFonts w:hint="eastAsia"/>
          <w:color w:val="auto"/>
          <w:highlight w:val="none"/>
        </w:rPr>
        <w:t>与美国律师之间的交流内容</w:t>
      </w:r>
      <w:r>
        <w:rPr>
          <w:rFonts w:hint="eastAsia"/>
          <w:color w:val="auto"/>
          <w:highlight w:val="none"/>
          <w:lang w:val="en-US" w:eastAsia="zh-CN"/>
        </w:rPr>
        <w:t>应</w:t>
      </w:r>
      <w:r>
        <w:rPr>
          <w:rFonts w:hint="eastAsia"/>
          <w:color w:val="auto"/>
          <w:highlight w:val="none"/>
        </w:rPr>
        <w:t>受保密特权保护，企业可以拒绝在调查取证中提供此内容。</w:t>
      </w:r>
    </w:p>
    <w:p w14:paraId="15E1EA40">
      <w:pPr>
        <w:pStyle w:val="65"/>
        <w:spacing w:before="156" w:after="156"/>
        <w:rPr>
          <w:color w:val="auto"/>
          <w:highlight w:val="none"/>
        </w:rPr>
      </w:pPr>
      <w:r>
        <w:rPr>
          <w:rFonts w:hint="eastAsia"/>
          <w:color w:val="auto"/>
          <w:highlight w:val="none"/>
        </w:rPr>
        <w:t>听证会</w:t>
      </w:r>
    </w:p>
    <w:p w14:paraId="16E452CC">
      <w:pPr>
        <w:pStyle w:val="94"/>
        <w:spacing w:before="156" w:after="156"/>
        <w:rPr>
          <w:color w:val="auto"/>
          <w:highlight w:val="none"/>
        </w:rPr>
      </w:pPr>
      <w:r>
        <w:rPr>
          <w:rFonts w:hint="eastAsia" w:ascii="宋体" w:eastAsia="宋体"/>
          <w:color w:val="auto"/>
          <w:highlight w:val="none"/>
        </w:rPr>
        <w:t>听证会开始前，企业应提交审前陈述和法律意见书，内容主要包括：</w:t>
      </w:r>
    </w:p>
    <w:p w14:paraId="504922C4">
      <w:pPr>
        <w:pStyle w:val="132"/>
        <w:rPr>
          <w:color w:val="auto"/>
          <w:highlight w:val="none"/>
        </w:rPr>
      </w:pPr>
      <w:r>
        <w:rPr>
          <w:rFonts w:hint="eastAsia"/>
          <w:color w:val="auto"/>
          <w:highlight w:val="none"/>
        </w:rPr>
        <w:t>证人名单；</w:t>
      </w:r>
    </w:p>
    <w:p w14:paraId="20C79E0F">
      <w:pPr>
        <w:pStyle w:val="132"/>
        <w:rPr>
          <w:color w:val="auto"/>
          <w:highlight w:val="none"/>
        </w:rPr>
      </w:pPr>
      <w:r>
        <w:rPr>
          <w:rFonts w:hint="eastAsia"/>
          <w:color w:val="auto"/>
          <w:highlight w:val="none"/>
        </w:rPr>
        <w:t>证物附件清单；</w:t>
      </w:r>
    </w:p>
    <w:p w14:paraId="25076BA9">
      <w:pPr>
        <w:pStyle w:val="132"/>
        <w:rPr>
          <w:color w:val="auto"/>
          <w:highlight w:val="none"/>
        </w:rPr>
      </w:pPr>
      <w:r>
        <w:rPr>
          <w:rFonts w:hint="eastAsia"/>
          <w:color w:val="auto"/>
          <w:highlight w:val="none"/>
        </w:rPr>
        <w:t>共同约定事项；</w:t>
      </w:r>
    </w:p>
    <w:p w14:paraId="28B9ED71">
      <w:pPr>
        <w:pStyle w:val="132"/>
        <w:rPr>
          <w:color w:val="auto"/>
          <w:highlight w:val="none"/>
        </w:rPr>
      </w:pPr>
      <w:r>
        <w:rPr>
          <w:rFonts w:hint="eastAsia"/>
          <w:color w:val="auto"/>
          <w:highlight w:val="none"/>
        </w:rPr>
        <w:t>关于争议问题的主张；</w:t>
      </w:r>
    </w:p>
    <w:p w14:paraId="7FD6C09E">
      <w:pPr>
        <w:pStyle w:val="132"/>
        <w:rPr>
          <w:color w:val="auto"/>
          <w:highlight w:val="none"/>
        </w:rPr>
      </w:pPr>
      <w:r>
        <w:rPr>
          <w:rFonts w:hint="eastAsia"/>
          <w:color w:val="auto"/>
          <w:highlight w:val="none"/>
        </w:rPr>
        <w:t>拟定的审前会议议程；</w:t>
      </w:r>
    </w:p>
    <w:p w14:paraId="6CA872EB">
      <w:pPr>
        <w:pStyle w:val="132"/>
        <w:rPr>
          <w:color w:val="auto"/>
          <w:highlight w:val="none"/>
        </w:rPr>
      </w:pPr>
      <w:r>
        <w:rPr>
          <w:rFonts w:hint="eastAsia"/>
          <w:color w:val="auto"/>
          <w:highlight w:val="none"/>
        </w:rPr>
        <w:t>为达成和解而作出善意努力的陈述。</w:t>
      </w:r>
    </w:p>
    <w:p w14:paraId="154D9596">
      <w:pPr>
        <w:pStyle w:val="164"/>
        <w:rPr>
          <w:color w:val="auto"/>
          <w:highlight w:val="none"/>
        </w:rPr>
      </w:pPr>
      <w:r>
        <w:rPr>
          <w:rFonts w:hint="eastAsia"/>
          <w:color w:val="auto"/>
          <w:highlight w:val="none"/>
        </w:rPr>
        <w:t>听证会通常按照以下程序进行，企业应提前统筹证人证言与证据材料：</w:t>
      </w:r>
    </w:p>
    <w:p w14:paraId="5C706AD7">
      <w:pPr>
        <w:pStyle w:val="132"/>
        <w:rPr>
          <w:color w:val="auto"/>
          <w:highlight w:val="none"/>
        </w:rPr>
      </w:pPr>
      <w:r>
        <w:rPr>
          <w:rFonts w:hint="eastAsia"/>
          <w:color w:val="auto"/>
          <w:highlight w:val="none"/>
        </w:rPr>
        <w:t>开庭陈词；</w:t>
      </w:r>
    </w:p>
    <w:p w14:paraId="5FBFA1A8">
      <w:pPr>
        <w:pStyle w:val="132"/>
        <w:rPr>
          <w:color w:val="auto"/>
          <w:highlight w:val="none"/>
        </w:rPr>
      </w:pPr>
      <w:r>
        <w:rPr>
          <w:rFonts w:hint="eastAsia"/>
          <w:color w:val="auto"/>
          <w:highlight w:val="none"/>
        </w:rPr>
        <w:t>原告举证；</w:t>
      </w:r>
    </w:p>
    <w:p w14:paraId="55A984EB">
      <w:pPr>
        <w:pStyle w:val="132"/>
        <w:rPr>
          <w:color w:val="auto"/>
          <w:highlight w:val="none"/>
        </w:rPr>
      </w:pPr>
      <w:r>
        <w:rPr>
          <w:rFonts w:hint="eastAsia"/>
          <w:color w:val="auto"/>
          <w:highlight w:val="none"/>
        </w:rPr>
        <w:t>被告举证；</w:t>
      </w:r>
    </w:p>
    <w:p w14:paraId="635D11DF">
      <w:pPr>
        <w:pStyle w:val="132"/>
        <w:rPr>
          <w:color w:val="auto"/>
          <w:highlight w:val="none"/>
        </w:rPr>
      </w:pPr>
      <w:r>
        <w:rPr>
          <w:rFonts w:hint="eastAsia"/>
          <w:color w:val="auto"/>
          <w:highlight w:val="none"/>
        </w:rPr>
        <w:t>公职方陈述立场；</w:t>
      </w:r>
    </w:p>
    <w:p w14:paraId="04838470">
      <w:pPr>
        <w:pStyle w:val="132"/>
        <w:rPr>
          <w:color w:val="auto"/>
          <w:highlight w:val="none"/>
        </w:rPr>
      </w:pPr>
      <w:r>
        <w:rPr>
          <w:rFonts w:hint="eastAsia"/>
          <w:color w:val="auto"/>
          <w:highlight w:val="none"/>
        </w:rPr>
        <w:t>原告反驳；</w:t>
      </w:r>
    </w:p>
    <w:p w14:paraId="447C69CB">
      <w:pPr>
        <w:pStyle w:val="132"/>
        <w:rPr>
          <w:color w:val="auto"/>
          <w:highlight w:val="none"/>
        </w:rPr>
      </w:pPr>
      <w:r>
        <w:rPr>
          <w:rFonts w:hint="eastAsia"/>
          <w:color w:val="auto"/>
          <w:highlight w:val="none"/>
        </w:rPr>
        <w:t>被告反驳。</w:t>
      </w:r>
    </w:p>
    <w:p w14:paraId="73F377EB">
      <w:pPr>
        <w:pStyle w:val="164"/>
        <w:rPr>
          <w:color w:val="auto"/>
          <w:highlight w:val="none"/>
        </w:rPr>
      </w:pPr>
      <w:r>
        <w:rPr>
          <w:rFonts w:hint="eastAsia"/>
          <w:color w:val="auto"/>
          <w:highlight w:val="none"/>
        </w:rPr>
        <w:t>听证会结束后，企业应按照ALJ的要求提交审后法律意见书和针对对方审后法律意见书的回复意见书。</w:t>
      </w:r>
    </w:p>
    <w:p w14:paraId="5E4C7724">
      <w:pPr>
        <w:pStyle w:val="65"/>
        <w:spacing w:before="156" w:after="156"/>
        <w:rPr>
          <w:color w:val="auto"/>
          <w:highlight w:val="none"/>
        </w:rPr>
      </w:pPr>
      <w:r>
        <w:rPr>
          <w:rFonts w:hint="eastAsia"/>
          <w:color w:val="auto"/>
          <w:highlight w:val="none"/>
        </w:rPr>
        <w:t>复审</w:t>
      </w:r>
    </w:p>
    <w:p w14:paraId="36839B30">
      <w:pPr>
        <w:pStyle w:val="164"/>
        <w:rPr>
          <w:color w:val="auto"/>
          <w:highlight w:val="none"/>
        </w:rPr>
      </w:pPr>
      <w:r>
        <w:rPr>
          <w:rFonts w:hint="eastAsia"/>
          <w:color w:val="auto"/>
          <w:highlight w:val="none"/>
        </w:rPr>
        <w:t>企业可在ALJ颁布初步裁定后向ITC申请复审，复审的理由：</w:t>
      </w:r>
    </w:p>
    <w:p w14:paraId="71E5449F">
      <w:pPr>
        <w:pStyle w:val="132"/>
        <w:rPr>
          <w:color w:val="auto"/>
          <w:highlight w:val="none"/>
        </w:rPr>
      </w:pPr>
      <w:r>
        <w:rPr>
          <w:rFonts w:hint="eastAsia"/>
          <w:color w:val="auto"/>
          <w:highlight w:val="none"/>
        </w:rPr>
        <w:t>对重要事实的认定或者结论明显错误；</w:t>
      </w:r>
    </w:p>
    <w:p w14:paraId="03866CD8">
      <w:pPr>
        <w:pStyle w:val="132"/>
        <w:rPr>
          <w:color w:val="auto"/>
          <w:highlight w:val="none"/>
        </w:rPr>
      </w:pPr>
      <w:r>
        <w:rPr>
          <w:rFonts w:hint="eastAsia"/>
          <w:color w:val="auto"/>
          <w:highlight w:val="none"/>
        </w:rPr>
        <w:t>法律结论错误，没有先例、规则或者法律依据，或者构成滥用自由裁量权；</w:t>
      </w:r>
    </w:p>
    <w:p w14:paraId="570A4F4B">
      <w:pPr>
        <w:pStyle w:val="132"/>
        <w:rPr>
          <w:color w:val="auto"/>
          <w:highlight w:val="none"/>
        </w:rPr>
      </w:pPr>
      <w:r>
        <w:rPr>
          <w:rFonts w:hint="eastAsia"/>
          <w:color w:val="auto"/>
          <w:highlight w:val="none"/>
        </w:rPr>
        <w:t>该决策会影响ITC的政策。</w:t>
      </w:r>
    </w:p>
    <w:p w14:paraId="4190CC42">
      <w:pPr>
        <w:pStyle w:val="105"/>
        <w:spacing w:before="156" w:after="156"/>
        <w:rPr>
          <w:color w:val="auto"/>
          <w:highlight w:val="none"/>
        </w:rPr>
      </w:pPr>
      <w:bookmarkStart w:id="115" w:name="_Hlk199675964"/>
      <w:r>
        <w:rPr>
          <w:rFonts w:hint="eastAsia"/>
          <w:color w:val="auto"/>
          <w:highlight w:val="none"/>
        </w:rPr>
        <w:t>调查结束后管理</w:t>
      </w:r>
      <w:bookmarkEnd w:id="115"/>
    </w:p>
    <w:p w14:paraId="6AF8DBE9">
      <w:pPr>
        <w:pStyle w:val="165"/>
        <w:ind w:left="0"/>
        <w:rPr>
          <w:color w:val="auto"/>
          <w:highlight w:val="none"/>
        </w:rPr>
      </w:pPr>
      <w:r>
        <w:rPr>
          <w:rFonts w:hint="eastAsia"/>
          <w:color w:val="auto"/>
          <w:highlight w:val="none"/>
        </w:rPr>
        <w:t>在总统审查期内，企业可以通过缴纳保证金的方式暂停ITC的LEO、GEO、CDO等制裁措施的执行。</w:t>
      </w:r>
    </w:p>
    <w:p w14:paraId="681974F9">
      <w:pPr>
        <w:pStyle w:val="165"/>
        <w:ind w:left="0"/>
        <w:rPr>
          <w:color w:val="auto"/>
          <w:highlight w:val="none"/>
        </w:rPr>
      </w:pPr>
      <w:r>
        <w:rPr>
          <w:rFonts w:hint="eastAsia"/>
          <w:color w:val="auto"/>
          <w:highlight w:val="none"/>
        </w:rPr>
        <w:t>企业可在ITC最终裁定作出之日起60日内向美国联邦巡回上诉法院提起上诉，该法院对ITC裁定具有专属管辖权。</w:t>
      </w:r>
    </w:p>
    <w:p w14:paraId="33A97410">
      <w:pPr>
        <w:pStyle w:val="104"/>
        <w:spacing w:before="312" w:after="312"/>
        <w:rPr>
          <w:color w:val="auto"/>
          <w:highlight w:val="none"/>
        </w:rPr>
      </w:pPr>
      <w:bookmarkStart w:id="116" w:name="_Toc200117567"/>
      <w:r>
        <w:rPr>
          <w:rFonts w:hint="eastAsia"/>
          <w:color w:val="auto"/>
          <w:highlight w:val="none"/>
        </w:rPr>
        <w:t>应对策略管理</w:t>
      </w:r>
      <w:bookmarkEnd w:id="116"/>
    </w:p>
    <w:p w14:paraId="06D64A1B">
      <w:pPr>
        <w:pStyle w:val="162"/>
        <w:rPr>
          <w:color w:val="auto"/>
          <w:highlight w:val="none"/>
        </w:rPr>
      </w:pPr>
      <w:bookmarkStart w:id="117" w:name="_Toc180398761"/>
      <w:bookmarkStart w:id="118" w:name="_Toc180394907"/>
      <w:bookmarkStart w:id="119" w:name="_Toc179994872"/>
      <w:bookmarkStart w:id="120" w:name="_Toc180492060"/>
      <w:bookmarkStart w:id="121" w:name="_Toc180400026"/>
      <w:bookmarkStart w:id="122" w:name="_Toc171351169"/>
      <w:bookmarkStart w:id="123" w:name="_Toc180398438"/>
      <w:bookmarkStart w:id="124" w:name="_Toc175239589"/>
      <w:bookmarkStart w:id="125" w:name="_Toc175238797"/>
      <w:bookmarkStart w:id="126" w:name="_Toc180398664"/>
      <w:bookmarkStart w:id="127" w:name="_Toc172543296"/>
      <w:r>
        <w:rPr>
          <w:rFonts w:hint="eastAsia"/>
          <w:color w:val="auto"/>
          <w:highlight w:val="none"/>
        </w:rPr>
        <w:t>企业可联合多家涉案企业，通过整合资源、共享信息、费用分摊等机制共同应诉。</w:t>
      </w:r>
    </w:p>
    <w:p w14:paraId="65E59B70">
      <w:pPr>
        <w:pStyle w:val="162"/>
        <w:rPr>
          <w:color w:val="auto"/>
          <w:highlight w:val="none"/>
        </w:rPr>
      </w:pPr>
      <w:r>
        <w:rPr>
          <w:rFonts w:hint="eastAsia"/>
          <w:color w:val="auto"/>
          <w:highlight w:val="none"/>
        </w:rPr>
        <w:t>企业可向ALJ申请启动百日速裁程序，就是否满足国内产业要求、是否满足进口要件、原告是否适格等决定性问题快速作出裁决。</w:t>
      </w:r>
    </w:p>
    <w:p w14:paraId="34890948">
      <w:pPr>
        <w:pStyle w:val="162"/>
        <w:rPr>
          <w:color w:val="auto"/>
          <w:highlight w:val="none"/>
        </w:rPr>
      </w:pPr>
      <w:r>
        <w:rPr>
          <w:rFonts w:hint="eastAsia"/>
          <w:color w:val="auto"/>
          <w:highlight w:val="none"/>
        </w:rPr>
        <w:t>企业可对被控侵权产品进行规避设计，以避免其新的产品被禁止进入美国市场。</w:t>
      </w:r>
    </w:p>
    <w:p w14:paraId="0835D0B9">
      <w:pPr>
        <w:pStyle w:val="132"/>
        <w:rPr>
          <w:color w:val="auto"/>
          <w:highlight w:val="none"/>
        </w:rPr>
      </w:pPr>
      <w:r>
        <w:rPr>
          <w:rFonts w:hint="eastAsia"/>
          <w:color w:val="auto"/>
          <w:highlight w:val="none"/>
        </w:rPr>
        <w:t>企业可在调查期间进行规避设计，请求ITC裁定其规避设计的新产品是否侵权；</w:t>
      </w:r>
    </w:p>
    <w:p w14:paraId="1394FA37">
      <w:pPr>
        <w:pStyle w:val="132"/>
        <w:rPr>
          <w:color w:val="auto"/>
          <w:highlight w:val="none"/>
        </w:rPr>
      </w:pPr>
      <w:r>
        <w:rPr>
          <w:rFonts w:hint="eastAsia"/>
          <w:color w:val="auto"/>
          <w:highlight w:val="none"/>
        </w:rPr>
        <w:t>企业可在调查程序结束后进行规避设计，请求ITC出具咨询意见书以明确该规避设计的新产品是否侵权。</w:t>
      </w:r>
    </w:p>
    <w:p w14:paraId="554FBB83">
      <w:pPr>
        <w:pStyle w:val="132"/>
        <w:rPr>
          <w:color w:val="auto"/>
          <w:highlight w:val="none"/>
        </w:rPr>
      </w:pPr>
      <w:r>
        <w:rPr>
          <w:rFonts w:hint="eastAsia"/>
          <w:color w:val="auto"/>
          <w:highlight w:val="none"/>
        </w:rPr>
        <w:t>企业可在调查程序结束后进行规避设计，请求美国海关作出决定以明确该规避设计的新产品是否侵权。</w:t>
      </w:r>
    </w:p>
    <w:p w14:paraId="6ED97EE2">
      <w:pPr>
        <w:pStyle w:val="162"/>
        <w:rPr>
          <w:color w:val="auto"/>
          <w:highlight w:val="none"/>
        </w:rPr>
      </w:pPr>
      <w:r>
        <w:rPr>
          <w:rFonts w:hint="eastAsia"/>
          <w:color w:val="auto"/>
          <w:highlight w:val="none"/>
        </w:rPr>
        <w:t>企业可与原告达成和解并向ITC申请终止调查。</w:t>
      </w:r>
    </w:p>
    <w:p w14:paraId="28E58C54">
      <w:pPr>
        <w:pStyle w:val="162"/>
        <w:rPr>
          <w:color w:val="auto"/>
          <w:highlight w:val="none"/>
        </w:rPr>
      </w:pPr>
      <w:r>
        <w:rPr>
          <w:rFonts w:hint="eastAsia"/>
          <w:color w:val="auto"/>
          <w:highlight w:val="none"/>
        </w:rPr>
        <w:t>企业可向ITC申请同意令而终止调查程序。</w:t>
      </w:r>
    </w:p>
    <w:p w14:paraId="09453F78">
      <w:pPr>
        <w:pStyle w:val="162"/>
        <w:rPr>
          <w:color w:val="auto"/>
          <w:highlight w:val="none"/>
        </w:rPr>
      </w:pPr>
      <w:r>
        <w:rPr>
          <w:rFonts w:hint="eastAsia"/>
          <w:color w:val="auto"/>
          <w:highlight w:val="none"/>
        </w:rPr>
        <w:t>企业可向美国专利商标局的专利审判和上诉委员会（Patent Trial and Appeal Board，PTAB）发起多方复审、授权后复审或单方复审等专利无效程序，对原告的专利进行无效挑战。</w:t>
      </w:r>
    </w:p>
    <w:p w14:paraId="40A0A6FA">
      <w:pPr>
        <w:pStyle w:val="162"/>
        <w:rPr>
          <w:color w:val="auto"/>
          <w:highlight w:val="none"/>
        </w:rPr>
      </w:pPr>
      <w:r>
        <w:rPr>
          <w:rFonts w:hint="eastAsia"/>
          <w:color w:val="auto"/>
          <w:highlight w:val="none"/>
        </w:rPr>
        <w:t>企业可向美国联邦地区法院对原告的专利提出无效诉讼，或者确认企业的不侵权之诉。</w:t>
      </w:r>
    </w:p>
    <w:p w14:paraId="6E328A20">
      <w:pPr>
        <w:pStyle w:val="162"/>
        <w:rPr>
          <w:color w:val="auto"/>
          <w:highlight w:val="none"/>
        </w:rPr>
      </w:pPr>
      <w:r>
        <w:rPr>
          <w:rFonts w:hint="eastAsia"/>
          <w:color w:val="auto"/>
          <w:highlight w:val="none"/>
        </w:rPr>
        <w:t>企业可向美国联邦地区法院对原告提起反垄断审查。</w:t>
      </w:r>
    </w:p>
    <w:p w14:paraId="23E9EE81">
      <w:pPr>
        <w:pStyle w:val="162"/>
        <w:rPr>
          <w:color w:val="auto"/>
          <w:highlight w:val="none"/>
        </w:rPr>
      </w:pPr>
      <w:r>
        <w:rPr>
          <w:rFonts w:hint="eastAsia"/>
          <w:color w:val="auto"/>
          <w:highlight w:val="none"/>
        </w:rPr>
        <w:t>企业可在美国之外的其他国家对原告提起知识产权诉讼。</w:t>
      </w:r>
    </w:p>
    <w:p w14:paraId="606F8E86">
      <w:pPr>
        <w:pStyle w:val="162"/>
        <w:rPr>
          <w:color w:val="auto"/>
          <w:highlight w:val="none"/>
        </w:rPr>
      </w:pPr>
      <w:r>
        <w:rPr>
          <w:rFonts w:hint="eastAsia"/>
          <w:color w:val="auto"/>
          <w:highlight w:val="none"/>
        </w:rPr>
        <w:t>企业可作为新的申诉方向ITC针对原告相关产品提出新的337调查申请。</w:t>
      </w:r>
    </w:p>
    <w:p w14:paraId="32BB8558">
      <w:pPr>
        <w:pStyle w:val="104"/>
        <w:spacing w:before="312" w:after="312"/>
        <w:rPr>
          <w:color w:val="auto"/>
          <w:highlight w:val="none"/>
        </w:rPr>
      </w:pPr>
      <w:r>
        <w:rPr>
          <w:rFonts w:hint="eastAsia"/>
          <w:color w:val="auto"/>
          <w:highlight w:val="none"/>
        </w:rPr>
        <w:t>案件预算管理</w:t>
      </w:r>
    </w:p>
    <w:p w14:paraId="5EF75290">
      <w:pPr>
        <w:pStyle w:val="162"/>
        <w:rPr>
          <w:color w:val="auto"/>
          <w:highlight w:val="none"/>
        </w:rPr>
      </w:pPr>
      <w:r>
        <w:rPr>
          <w:rFonts w:hint="eastAsia"/>
          <w:color w:val="auto"/>
          <w:highlight w:val="none"/>
        </w:rPr>
        <w:t>企业应高度重视337调查应对过程中的预算管理工作，统筹考虑谈判金额与律师费用之间的动态关系。在收到337调查通知后，应迅速组建由法务、技术、</w:t>
      </w:r>
      <w:r>
        <w:rPr>
          <w:rFonts w:hint="eastAsia"/>
          <w:color w:val="auto"/>
          <w:highlight w:val="none"/>
          <w:lang w:eastAsia="zh-CN"/>
        </w:rPr>
        <w:t>知识产权、</w:t>
      </w:r>
      <w:r>
        <w:rPr>
          <w:rFonts w:hint="eastAsia"/>
          <w:color w:val="auto"/>
          <w:highlight w:val="none"/>
        </w:rPr>
        <w:t>市场和财务等部门组成的跨部门团队，制定详尽的预算计划，并报请公司高层管理人员审批。</w:t>
      </w:r>
    </w:p>
    <w:p w14:paraId="51275719">
      <w:pPr>
        <w:pStyle w:val="162"/>
        <w:rPr>
          <w:color w:val="auto"/>
          <w:highlight w:val="none"/>
        </w:rPr>
      </w:pPr>
      <w:r>
        <w:rPr>
          <w:rFonts w:hint="eastAsia"/>
          <w:color w:val="auto"/>
          <w:highlight w:val="none"/>
        </w:rPr>
        <w:t>预算编制应重点关注以下方面：</w:t>
      </w:r>
    </w:p>
    <w:p w14:paraId="6D452C6D">
      <w:pPr>
        <w:pStyle w:val="132"/>
        <w:rPr>
          <w:color w:val="auto"/>
          <w:highlight w:val="none"/>
        </w:rPr>
      </w:pPr>
      <w:r>
        <w:rPr>
          <w:rFonts w:hint="eastAsia"/>
          <w:color w:val="auto"/>
          <w:highlight w:val="none"/>
        </w:rPr>
        <w:t>法律咨询费用，包括聘请专业律师团队的费用；</w:t>
      </w:r>
    </w:p>
    <w:p w14:paraId="11C64358">
      <w:pPr>
        <w:pStyle w:val="132"/>
        <w:rPr>
          <w:color w:val="auto"/>
          <w:highlight w:val="none"/>
        </w:rPr>
      </w:pPr>
      <w:r>
        <w:rPr>
          <w:rFonts w:hint="eastAsia"/>
          <w:color w:val="auto"/>
          <w:highlight w:val="none"/>
        </w:rPr>
        <w:t>专家咨询费用，包括聘请专家证人和撰写报告的费用；</w:t>
      </w:r>
    </w:p>
    <w:p w14:paraId="7E123040">
      <w:pPr>
        <w:pStyle w:val="132"/>
        <w:rPr>
          <w:color w:val="auto"/>
        </w:rPr>
      </w:pPr>
      <w:r>
        <w:rPr>
          <w:rFonts w:hint="eastAsia"/>
          <w:color w:val="auto"/>
        </w:rPr>
        <w:t>谈判和解费用，包括根据案件进展评估可能涉及的和解谈判成本；</w:t>
      </w:r>
    </w:p>
    <w:p w14:paraId="1AD20AAD">
      <w:pPr>
        <w:pStyle w:val="132"/>
        <w:rPr>
          <w:color w:val="auto"/>
        </w:rPr>
      </w:pPr>
      <w:r>
        <w:rPr>
          <w:rFonts w:hint="eastAsia"/>
          <w:color w:val="auto"/>
        </w:rPr>
        <w:t>其他费用，包括证据收集和分析费用、诉讼费用、文件整理及翻译服务费用、市场调研费用等。</w:t>
      </w:r>
    </w:p>
    <w:p w14:paraId="06F05968">
      <w:pPr>
        <w:pStyle w:val="162"/>
        <w:rPr>
          <w:color w:val="auto"/>
        </w:rPr>
      </w:pPr>
      <w:r>
        <w:rPr>
          <w:rFonts w:hint="eastAsia"/>
          <w:color w:val="auto"/>
        </w:rPr>
        <w:t>为避免不必要的开支，企业应建立专门的预算监控机制，定期对预算执行情况进行审查与分析，确保每一项支出都经过审慎评估。应特别关注律师费用的变化趋势，评估律师协作方式的有效性及参与人员的必要性，及时调整资源配置策略，实现成本优化。如果律师费用条款未作上限约定，则可以考虑与律师明确在预算超过同期计划时的处理机制。</w:t>
      </w:r>
    </w:p>
    <w:p w14:paraId="4DA293FE">
      <w:pPr>
        <w:pStyle w:val="162"/>
        <w:rPr>
          <w:color w:val="auto"/>
        </w:rPr>
      </w:pPr>
      <w:r>
        <w:rPr>
          <w:rFonts w:hint="eastAsia"/>
          <w:color w:val="auto"/>
        </w:rPr>
        <w:t>企业应建立透明的成本跟踪与反馈机制，定期向高层管理人员及相关利益方汇报预算执行情况，确保决策层能够及时掌握案件进展及其对财务状况的影响，从而作出快速、有效的应对决策。</w:t>
      </w:r>
    </w:p>
    <w:bookmarkEnd w:id="117"/>
    <w:bookmarkEnd w:id="118"/>
    <w:bookmarkEnd w:id="119"/>
    <w:bookmarkEnd w:id="120"/>
    <w:bookmarkEnd w:id="121"/>
    <w:bookmarkEnd w:id="122"/>
    <w:bookmarkEnd w:id="123"/>
    <w:bookmarkEnd w:id="124"/>
    <w:bookmarkEnd w:id="125"/>
    <w:bookmarkEnd w:id="126"/>
    <w:bookmarkEnd w:id="127"/>
    <w:p w14:paraId="71144D5D">
      <w:pPr>
        <w:pStyle w:val="104"/>
        <w:spacing w:before="312" w:after="312"/>
        <w:rPr>
          <w:color w:val="auto"/>
        </w:rPr>
      </w:pPr>
      <w:bookmarkStart w:id="128" w:name="_Toc200117568"/>
      <w:r>
        <w:rPr>
          <w:rFonts w:hint="eastAsia"/>
          <w:color w:val="auto"/>
        </w:rPr>
        <w:t>监督检查管理</w:t>
      </w:r>
      <w:bookmarkEnd w:id="128"/>
    </w:p>
    <w:p w14:paraId="32E8DDAD">
      <w:pPr>
        <w:pStyle w:val="162"/>
        <w:rPr>
          <w:color w:val="auto"/>
        </w:rPr>
      </w:pPr>
      <w:r>
        <w:rPr>
          <w:rFonts w:hint="eastAsia"/>
          <w:color w:val="auto"/>
        </w:rPr>
        <w:t>企业应建立并执行监督检查准则，主要包括：</w:t>
      </w:r>
    </w:p>
    <w:p w14:paraId="2A8CF71D">
      <w:pPr>
        <w:pStyle w:val="132"/>
        <w:rPr>
          <w:color w:val="auto"/>
        </w:rPr>
      </w:pPr>
      <w:r>
        <w:rPr>
          <w:rFonts w:hint="eastAsia"/>
          <w:color w:val="auto"/>
        </w:rPr>
        <w:t>监督检查的内容和方法；</w:t>
      </w:r>
    </w:p>
    <w:p w14:paraId="7CF0CF06">
      <w:pPr>
        <w:pStyle w:val="132"/>
        <w:rPr>
          <w:color w:val="auto"/>
        </w:rPr>
      </w:pPr>
      <w:r>
        <w:rPr>
          <w:rFonts w:hint="eastAsia"/>
          <w:color w:val="auto"/>
        </w:rPr>
        <w:t>监督检查的各级职责和权限；</w:t>
      </w:r>
    </w:p>
    <w:p w14:paraId="3D4321ED">
      <w:pPr>
        <w:pStyle w:val="132"/>
        <w:rPr>
          <w:color w:val="auto"/>
        </w:rPr>
      </w:pPr>
      <w:r>
        <w:rPr>
          <w:rFonts w:hint="eastAsia"/>
          <w:color w:val="auto"/>
        </w:rPr>
        <w:t>执行监督检查的频次和时限。</w:t>
      </w:r>
    </w:p>
    <w:p w14:paraId="5379479B">
      <w:pPr>
        <w:pStyle w:val="162"/>
        <w:rPr>
          <w:color w:val="auto"/>
        </w:rPr>
      </w:pPr>
      <w:r>
        <w:rPr>
          <w:rFonts w:hint="eastAsia"/>
          <w:color w:val="auto"/>
        </w:rPr>
        <w:t>监督检查的内容包括企业应对337调查管理的各项制度的实施情况、奖惩落实情况等。</w:t>
      </w:r>
    </w:p>
    <w:p w14:paraId="6EBCDC39">
      <w:pPr>
        <w:pStyle w:val="162"/>
        <w:rPr>
          <w:color w:val="auto"/>
        </w:rPr>
      </w:pPr>
      <w:r>
        <w:rPr>
          <w:rFonts w:hint="eastAsia"/>
          <w:color w:val="auto"/>
        </w:rPr>
        <w:t>监督检查的方法包括但不限于随机临检、抽查文档、人员询问、电子监控等。</w:t>
      </w:r>
    </w:p>
    <w:p w14:paraId="33F91659">
      <w:pPr>
        <w:pStyle w:val="162"/>
        <w:sectPr>
          <w:pgSz w:w="11906" w:h="16838"/>
          <w:pgMar w:top="567" w:right="1134" w:bottom="1134" w:left="1134" w:header="1418" w:footer="1134" w:gutter="284"/>
          <w:pgNumType w:start="1"/>
          <w:cols w:space="425" w:num="1"/>
          <w:formProt w:val="0"/>
          <w:docGrid w:type="lines" w:linePitch="312" w:charSpace="0"/>
        </w:sectPr>
      </w:pPr>
      <w:r>
        <w:rPr>
          <w:rFonts w:hint="eastAsia"/>
          <w:color w:val="auto"/>
        </w:rPr>
        <w:t>企业应强化监督检查结果运用，建立完善应对337调查的奖惩激励、应急处置等日常工作机制。</w:t>
      </w:r>
    </w:p>
    <w:bookmarkEnd w:id="34"/>
    <w:p w14:paraId="277EAE0D">
      <w:pPr>
        <w:pStyle w:val="198"/>
        <w:ind w:left="0"/>
        <w:rPr>
          <w:rFonts w:hint="eastAsia"/>
          <w:vanish w:val="0"/>
        </w:rPr>
      </w:pPr>
      <w:bookmarkStart w:id="129" w:name="BookMark5"/>
    </w:p>
    <w:p w14:paraId="41E7EF4E">
      <w:pPr>
        <w:pStyle w:val="199"/>
        <w:ind w:left="0"/>
        <w:rPr>
          <w:vanish w:val="0"/>
        </w:rPr>
      </w:pPr>
    </w:p>
    <w:p w14:paraId="79D46138">
      <w:pPr>
        <w:pStyle w:val="76"/>
        <w:spacing w:before="78" w:after="156"/>
        <w:ind w:left="0"/>
      </w:pPr>
      <w:r>
        <w:br w:type="textWrapping"/>
      </w:r>
      <w:r>
        <w:rPr>
          <w:rFonts w:hint="eastAsia"/>
        </w:rPr>
        <w:t>（资料性）</w:t>
      </w:r>
      <w:r>
        <w:br w:type="textWrapping"/>
      </w:r>
      <w:r>
        <w:rPr>
          <w:rFonts w:hint="eastAsia"/>
        </w:rPr>
        <w:t>337调查基本程序及时间表</w:t>
      </w:r>
    </w:p>
    <w:p w14:paraId="63A29209">
      <w:pPr>
        <w:pStyle w:val="56"/>
        <w:ind w:firstLine="420"/>
      </w:pPr>
      <w:r>
        <w:rPr>
          <w:rFonts w:hint="eastAsia"/>
        </w:rPr>
        <w:t>337调查基本程序及时间表参见图A.1所示。</w:t>
      </w:r>
    </w:p>
    <w:p w14:paraId="6EC9444D">
      <w:pPr>
        <w:pStyle w:val="56"/>
        <w:ind w:firstLine="420"/>
      </w:pPr>
      <w:r>
        <w:rPr>
          <w:rFonts w:hint="eastAsia"/>
        </w:rPr>
        <w:drawing>
          <wp:inline distT="0" distB="0" distL="114300" distR="114300">
            <wp:extent cx="4693920" cy="6765925"/>
            <wp:effectExtent l="0" t="0" r="0" b="0"/>
            <wp:docPr id="2" name="图片 2" descr="附录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录A"/>
                    <pic:cNvPicPr>
                      <a:picLocks noChangeAspect="1"/>
                    </pic:cNvPicPr>
                  </pic:nvPicPr>
                  <pic:blipFill>
                    <a:blip r:embed="rId14"/>
                    <a:stretch>
                      <a:fillRect/>
                    </a:stretch>
                  </pic:blipFill>
                  <pic:spPr>
                    <a:xfrm>
                      <a:off x="0" y="0"/>
                      <a:ext cx="4697408" cy="6771082"/>
                    </a:xfrm>
                    <a:prstGeom prst="rect">
                      <a:avLst/>
                    </a:prstGeom>
                  </pic:spPr>
                </pic:pic>
              </a:graphicData>
            </a:graphic>
          </wp:inline>
        </w:drawing>
      </w:r>
    </w:p>
    <w:p w14:paraId="7900A594">
      <w:pPr>
        <w:pStyle w:val="83"/>
        <w:spacing w:before="156" w:after="156"/>
        <w:sectPr>
          <w:pgSz w:w="11906" w:h="16838"/>
          <w:pgMar w:top="567" w:right="1134" w:bottom="1134" w:left="1134" w:header="1418" w:footer="1134" w:gutter="284"/>
          <w:pgNumType w:start="1"/>
          <w:cols w:space="425" w:num="1"/>
          <w:formProt w:val="0"/>
          <w:docGrid w:type="lines" w:linePitch="312" w:charSpace="0"/>
        </w:sectPr>
      </w:pPr>
      <w:r>
        <w:rPr>
          <w:rFonts w:hint="eastAsia"/>
        </w:rPr>
        <w:t>337调查基本程序及时间表</w:t>
      </w:r>
    </w:p>
    <w:p w14:paraId="623EE983">
      <w:pPr>
        <w:pStyle w:val="198"/>
        <w:rPr>
          <w:rFonts w:hint="eastAsia"/>
          <w:vanish w:val="0"/>
        </w:rPr>
      </w:pPr>
    </w:p>
    <w:p w14:paraId="2291205B">
      <w:pPr>
        <w:pStyle w:val="199"/>
        <w:rPr>
          <w:vanish w:val="0"/>
        </w:rPr>
      </w:pPr>
    </w:p>
    <w:p w14:paraId="34930DC3">
      <w:pPr>
        <w:pStyle w:val="76"/>
        <w:spacing w:before="78" w:after="156"/>
        <w:ind w:left="0"/>
      </w:pPr>
      <w:r>
        <w:br w:type="textWrapping"/>
      </w:r>
      <w:r>
        <w:rPr>
          <w:rFonts w:hint="eastAsia"/>
        </w:rPr>
        <w:t>（资料性）</w:t>
      </w:r>
      <w:r>
        <w:br w:type="textWrapping"/>
      </w:r>
      <w:r>
        <w:rPr>
          <w:rFonts w:hint="eastAsia"/>
        </w:rPr>
        <w:t>专利侵权风险分析报告（参考文本）</w:t>
      </w:r>
    </w:p>
    <w:p w14:paraId="0883CF5B">
      <w:pPr>
        <w:pStyle w:val="198"/>
        <w:rPr>
          <w:rFonts w:hint="eastAsia"/>
        </w:rPr>
      </w:pPr>
    </w:p>
    <w:p w14:paraId="43B67D8C">
      <w:pPr>
        <w:pStyle w:val="199"/>
      </w:pPr>
    </w:p>
    <w:p w14:paraId="4AFB3322">
      <w:pPr>
        <w:pStyle w:val="78"/>
        <w:spacing w:before="156" w:after="156"/>
      </w:pPr>
      <w:r>
        <w:rPr>
          <w:rFonts w:hint="eastAsia"/>
        </w:rPr>
        <w:t>报告背景</w:t>
      </w:r>
    </w:p>
    <w:p w14:paraId="21E57FF0">
      <w:pPr>
        <w:pStyle w:val="56"/>
        <w:ind w:firstLine="420"/>
        <w:rPr>
          <w:highlight w:val="none"/>
        </w:rPr>
      </w:pPr>
      <w:r>
        <w:rPr>
          <w:rFonts w:hint="eastAsia"/>
          <w:highlight w:val="none"/>
        </w:rPr>
        <w:t>介绍开展专利侵权风险分析（FTO）的由来和目的，项目组人员组成等。</w:t>
      </w:r>
    </w:p>
    <w:p w14:paraId="7C69D2D4">
      <w:pPr>
        <w:pStyle w:val="78"/>
        <w:spacing w:before="156" w:after="156"/>
        <w:rPr>
          <w:highlight w:val="none"/>
        </w:rPr>
      </w:pPr>
      <w:r>
        <w:rPr>
          <w:rFonts w:hint="eastAsia"/>
          <w:highlight w:val="none"/>
        </w:rPr>
        <w:t>报告针对的产品和技术</w:t>
      </w:r>
    </w:p>
    <w:p w14:paraId="02CA1B83">
      <w:pPr>
        <w:pStyle w:val="56"/>
        <w:ind w:firstLine="420"/>
        <w:rPr>
          <w:highlight w:val="none"/>
        </w:rPr>
      </w:pPr>
      <w:r>
        <w:rPr>
          <w:rFonts w:hint="eastAsia"/>
          <w:szCs w:val="24"/>
          <w:highlight w:val="none"/>
        </w:rPr>
        <w:t>介绍有关产品及其对应的技术特征，明确需要进行FTO分析的技术特征细节。企业往往需要聚焦作为创新点的技术特征开展FTO分析。对于复杂产品，还需要进行技术分解，拆分出的每个技术点即为需要关注的风险点，针对每个技术点分别进行专利检索和风险分析。</w:t>
      </w:r>
    </w:p>
    <w:p w14:paraId="1E8E13E2">
      <w:pPr>
        <w:pStyle w:val="78"/>
        <w:spacing w:before="156" w:after="156"/>
        <w:rPr>
          <w:highlight w:val="none"/>
        </w:rPr>
      </w:pPr>
      <w:r>
        <w:rPr>
          <w:rFonts w:hint="eastAsia"/>
          <w:highlight w:val="none"/>
        </w:rPr>
        <w:t>地域范围</w:t>
      </w:r>
    </w:p>
    <w:p w14:paraId="4B9D8DC9">
      <w:pPr>
        <w:pStyle w:val="56"/>
        <w:ind w:firstLine="420"/>
        <w:rPr>
          <w:highlight w:val="none"/>
        </w:rPr>
      </w:pPr>
      <w:r>
        <w:rPr>
          <w:rFonts w:hint="eastAsia"/>
          <w:highlight w:val="none"/>
        </w:rPr>
        <w:t>明确产品生产或销售的国别或地区。因专利有地域性，据此明确FTO分析的地域范围。</w:t>
      </w:r>
    </w:p>
    <w:p w14:paraId="765529D7">
      <w:pPr>
        <w:pStyle w:val="78"/>
        <w:spacing w:before="156" w:after="156"/>
        <w:rPr>
          <w:highlight w:val="none"/>
        </w:rPr>
      </w:pPr>
      <w:r>
        <w:rPr>
          <w:rFonts w:hint="eastAsia"/>
          <w:highlight w:val="none"/>
        </w:rPr>
        <w:t>专利检索策略</w:t>
      </w:r>
    </w:p>
    <w:p w14:paraId="3C33046F">
      <w:pPr>
        <w:pStyle w:val="212"/>
        <w:rPr>
          <w:highlight w:val="none"/>
        </w:rPr>
      </w:pPr>
      <w:r>
        <w:rPr>
          <w:rFonts w:hint="eastAsia"/>
          <w:kern w:val="0"/>
          <w:szCs w:val="24"/>
          <w:highlight w:val="none"/>
        </w:rPr>
        <w:t>给出专利检索采用的数据库。专利数据库需要覆盖产品进入国家或地区的最新专利数据，注意商业数据库和国家或地区官方专利数据库的结合使用，特别是涉及专利法律状态时应经过官方专利数据库的核实。</w:t>
      </w:r>
    </w:p>
    <w:p w14:paraId="0C3DDC63">
      <w:pPr>
        <w:pStyle w:val="212"/>
        <w:rPr>
          <w:highlight w:val="none"/>
        </w:rPr>
      </w:pPr>
      <w:r>
        <w:rPr>
          <w:rFonts w:hint="eastAsia"/>
          <w:kern w:val="0"/>
          <w:szCs w:val="24"/>
          <w:highlight w:val="none"/>
        </w:rPr>
        <w:t>列出专利检索式。检索策略合理，检索式中应该包括关键词、分类号及其组合复配。一般应该列出一定数量的检索式，展现专利检索的范围和程度，且专利检索的结果应满足一定的查全率要求，以证明发起FTO分析的主体尽到了应该的注意义务而不是轻率的。</w:t>
      </w:r>
    </w:p>
    <w:p w14:paraId="3C3C6F12">
      <w:pPr>
        <w:pStyle w:val="78"/>
        <w:spacing w:before="156" w:after="156"/>
        <w:rPr>
          <w:highlight w:val="none"/>
        </w:rPr>
      </w:pPr>
      <w:r>
        <w:rPr>
          <w:rFonts w:hint="eastAsia"/>
          <w:highlight w:val="none"/>
        </w:rPr>
        <w:t>相关专利筛选</w:t>
      </w:r>
    </w:p>
    <w:p w14:paraId="757DECB6">
      <w:pPr>
        <w:pStyle w:val="212"/>
        <w:rPr>
          <w:highlight w:val="none"/>
        </w:rPr>
      </w:pPr>
      <w:r>
        <w:rPr>
          <w:rFonts w:hint="eastAsia"/>
          <w:kern w:val="0"/>
          <w:highlight w:val="none"/>
        </w:rPr>
        <w:t>筛选出与FTO分析针对的产品和技术相关的</w:t>
      </w:r>
      <w:r>
        <w:rPr>
          <w:rFonts w:hint="eastAsia"/>
          <w:kern w:val="0"/>
          <w:highlight w:val="none"/>
          <w:lang w:bidi="ar"/>
        </w:rPr>
        <w:t>专利。FTO分析不仅关注有效专利，失效的专利、尚未授权的专利申请也应该被关注。</w:t>
      </w:r>
    </w:p>
    <w:p w14:paraId="7AEF06E3">
      <w:pPr>
        <w:pStyle w:val="212"/>
        <w:rPr>
          <w:highlight w:val="none"/>
        </w:rPr>
      </w:pPr>
      <w:r>
        <w:rPr>
          <w:rFonts w:hint="eastAsia"/>
          <w:kern w:val="0"/>
          <w:highlight w:val="none"/>
          <w:lang w:bidi="ar"/>
        </w:rPr>
        <w:t>将可能的相关专利分成若干等级。</w:t>
      </w:r>
    </w:p>
    <w:p w14:paraId="3EE82D93">
      <w:pPr>
        <w:pStyle w:val="212"/>
        <w:rPr>
          <w:highlight w:val="none"/>
        </w:rPr>
      </w:pPr>
      <w:r>
        <w:rPr>
          <w:rFonts w:hint="eastAsia"/>
          <w:kern w:val="0"/>
          <w:highlight w:val="none"/>
          <w:lang w:bidi="ar"/>
        </w:rPr>
        <w:t>可以适当说明专利筛选的过程、方法和依据。</w:t>
      </w:r>
    </w:p>
    <w:p w14:paraId="6C2924A9">
      <w:pPr>
        <w:pStyle w:val="78"/>
        <w:spacing w:before="156" w:after="156"/>
        <w:rPr>
          <w:highlight w:val="none"/>
        </w:rPr>
      </w:pPr>
      <w:r>
        <w:rPr>
          <w:rFonts w:hint="eastAsia"/>
          <w:highlight w:val="none"/>
        </w:rPr>
        <w:t>权利要求比对分析</w:t>
      </w:r>
    </w:p>
    <w:p w14:paraId="01705372">
      <w:pPr>
        <w:pStyle w:val="56"/>
        <w:ind w:firstLine="420"/>
      </w:pPr>
      <w:r>
        <w:rPr>
          <w:rFonts w:hint="eastAsia"/>
          <w:highlight w:val="none"/>
        </w:rPr>
        <w:t>采用全面覆盖原则，将所排查产品的技术特征与所筛选的专利权利要求的技术特征进行对比，分析是否落入保护范围。除了进行字面侵权分析外，还需要考虑等同侵权分析。一般应提供技术特征比对表</w:t>
      </w:r>
      <w:r>
        <w:rPr>
          <w:rFonts w:hint="eastAsia"/>
          <w:highlight w:val="none"/>
          <w:lang w:val="en-US" w:eastAsia="zh-CN"/>
        </w:rPr>
        <w:t>如表B.1</w:t>
      </w:r>
      <w:r>
        <w:rPr>
          <w:rFonts w:hint="eastAsia"/>
          <w:highlight w:val="none"/>
        </w:rPr>
        <w:t>。</w:t>
      </w:r>
    </w:p>
    <w:p w14:paraId="4D3DED31">
      <w:pPr>
        <w:pStyle w:val="199"/>
      </w:pPr>
      <w:r>
        <w:rPr>
          <w:rFonts w:hint="eastAsia"/>
        </w:rPr>
        <w:t>技术特征比对表（示例）</w:t>
      </w:r>
    </w:p>
    <w:p w14:paraId="5BC15428">
      <w:pPr>
        <w:pStyle w:val="199"/>
      </w:pPr>
      <w:r>
        <w:rPr>
          <w:rFonts w:hint="eastAsia"/>
        </w:rPr>
        <w:t>技术特征比对表（示例）</w:t>
      </w:r>
    </w:p>
    <w:p w14:paraId="22C6624B">
      <w:pPr>
        <w:pStyle w:val="199"/>
      </w:pPr>
      <w:r>
        <w:rPr>
          <w:rFonts w:hint="eastAsia"/>
        </w:rPr>
        <w:t>技术特征比对表（示例）</w:t>
      </w:r>
    </w:p>
    <w:p w14:paraId="2FB58FF8">
      <w:pPr>
        <w:pStyle w:val="199"/>
      </w:pPr>
      <w:r>
        <w:rPr>
          <w:rFonts w:hint="eastAsia"/>
        </w:rPr>
        <w:t>技术特征比对表（示例）</w:t>
      </w:r>
    </w:p>
    <w:p w14:paraId="6360E3D3">
      <w:pPr>
        <w:pStyle w:val="199"/>
      </w:pPr>
      <w:r>
        <w:rPr>
          <w:rFonts w:hint="eastAsia"/>
        </w:rPr>
        <w:t>技术特征比对表（示例）</w:t>
      </w:r>
    </w:p>
    <w:p w14:paraId="1711017A">
      <w:pPr>
        <w:pStyle w:val="199"/>
      </w:pPr>
      <w:r>
        <w:rPr>
          <w:rFonts w:hint="eastAsia"/>
        </w:rPr>
        <w:t>技术特征比对表（示例）</w:t>
      </w:r>
    </w:p>
    <w:p w14:paraId="02726769">
      <w:pPr>
        <w:pStyle w:val="199"/>
      </w:pPr>
      <w:r>
        <w:rPr>
          <w:rFonts w:hint="eastAsia"/>
        </w:rPr>
        <w:t>技术特征比对表（示例）</w:t>
      </w:r>
    </w:p>
    <w:p w14:paraId="79F5E28F">
      <w:pPr>
        <w:pStyle w:val="199"/>
      </w:pPr>
      <w:r>
        <w:rPr>
          <w:rFonts w:hint="eastAsia"/>
        </w:rPr>
        <w:t>技术特征比对表（示例）</w:t>
      </w:r>
    </w:p>
    <w:p w14:paraId="690189BA">
      <w:pPr>
        <w:pStyle w:val="199"/>
      </w:pPr>
      <w:r>
        <w:rPr>
          <w:rFonts w:hint="eastAsia"/>
        </w:rPr>
        <w:t>技术特征比对表（示例）</w:t>
      </w:r>
    </w:p>
    <w:p w14:paraId="7B0D8633">
      <w:pPr>
        <w:pStyle w:val="199"/>
      </w:pPr>
      <w:r>
        <w:rPr>
          <w:rFonts w:hint="eastAsia"/>
        </w:rPr>
        <w:t>技术特征比对表（示例）</w:t>
      </w:r>
    </w:p>
    <w:p w14:paraId="50E2465E">
      <w:pPr>
        <w:pStyle w:val="199"/>
      </w:pPr>
      <w:r>
        <w:rPr>
          <w:rFonts w:hint="eastAsia"/>
        </w:rPr>
        <w:t>技术特征比对表（示例）</w:t>
      </w:r>
    </w:p>
    <w:p w14:paraId="13B25719">
      <w:pPr>
        <w:pStyle w:val="199"/>
      </w:pPr>
      <w:r>
        <w:rPr>
          <w:rFonts w:hint="eastAsia"/>
        </w:rPr>
        <w:t>技术特征比对表（示例）</w:t>
      </w:r>
    </w:p>
    <w:p w14:paraId="3BC4107B">
      <w:pPr>
        <w:pStyle w:val="199"/>
      </w:pPr>
      <w:r>
        <w:rPr>
          <w:rFonts w:hint="eastAsia"/>
        </w:rPr>
        <w:t>技术特征比对表（示例）</w:t>
      </w:r>
    </w:p>
    <w:p w14:paraId="6BB91393">
      <w:pPr>
        <w:pStyle w:val="199"/>
      </w:pPr>
      <w:r>
        <w:rPr>
          <w:rFonts w:hint="eastAsia"/>
        </w:rPr>
        <w:t>技术特征比对表（示例）</w:t>
      </w:r>
    </w:p>
    <w:p w14:paraId="3630E6E3">
      <w:pPr>
        <w:pStyle w:val="199"/>
      </w:pPr>
      <w:r>
        <w:rPr>
          <w:rFonts w:hint="eastAsia"/>
        </w:rPr>
        <w:t>技术特征比对表（示例）</w:t>
      </w:r>
    </w:p>
    <w:p w14:paraId="0D166F4E">
      <w:pPr>
        <w:pStyle w:val="199"/>
      </w:pPr>
      <w:r>
        <w:rPr>
          <w:rFonts w:hint="eastAsia"/>
        </w:rPr>
        <w:t>技术特征比对表（示例）</w:t>
      </w:r>
    </w:p>
    <w:p w14:paraId="30B8B8D6">
      <w:pPr>
        <w:pStyle w:val="199"/>
      </w:pPr>
      <w:r>
        <w:rPr>
          <w:rFonts w:hint="eastAsia"/>
        </w:rPr>
        <w:t>技术特征比对表（示例）</w:t>
      </w:r>
    </w:p>
    <w:p w14:paraId="3997B7BE">
      <w:pPr>
        <w:pStyle w:val="199"/>
      </w:pPr>
      <w:r>
        <w:rPr>
          <w:rFonts w:hint="eastAsia"/>
        </w:rPr>
        <w:t>技术特征比对表（示例）</w:t>
      </w:r>
    </w:p>
    <w:p w14:paraId="0C70D13D">
      <w:pPr>
        <w:pStyle w:val="199"/>
      </w:pPr>
      <w:r>
        <w:rPr>
          <w:rFonts w:hint="eastAsia"/>
        </w:rPr>
        <w:t>技术特征比对表（示例）</w:t>
      </w:r>
    </w:p>
    <w:p w14:paraId="5F17C323">
      <w:pPr>
        <w:pStyle w:val="199"/>
      </w:pPr>
      <w:r>
        <w:rPr>
          <w:rFonts w:hint="eastAsia"/>
        </w:rPr>
        <w:t>技术特征比对表（示例）</w:t>
      </w:r>
    </w:p>
    <w:p w14:paraId="2DA5F57A">
      <w:pPr>
        <w:pStyle w:val="199"/>
      </w:pPr>
      <w:r>
        <w:rPr>
          <w:rFonts w:hint="eastAsia"/>
        </w:rPr>
        <w:t>技术特征比对表（示例）</w:t>
      </w:r>
    </w:p>
    <w:p w14:paraId="52C7020A">
      <w:pPr>
        <w:pStyle w:val="199"/>
      </w:pPr>
      <w:r>
        <w:rPr>
          <w:rFonts w:hint="eastAsia"/>
        </w:rPr>
        <w:t>技术特征比对表（示例）</w:t>
      </w:r>
    </w:p>
    <w:p w14:paraId="37A626BB">
      <w:pPr>
        <w:pStyle w:val="199"/>
      </w:pPr>
      <w:r>
        <w:rPr>
          <w:rFonts w:hint="eastAsia"/>
        </w:rPr>
        <w:t>技术特征比对表（示例）</w:t>
      </w:r>
    </w:p>
    <w:p w14:paraId="7C289964">
      <w:pPr>
        <w:pStyle w:val="199"/>
      </w:pPr>
      <w:r>
        <w:rPr>
          <w:rFonts w:hint="eastAsia"/>
        </w:rPr>
        <w:t>技术特征比对表（示例）</w:t>
      </w:r>
    </w:p>
    <w:p w14:paraId="3C9179C7">
      <w:pPr>
        <w:pStyle w:val="199"/>
      </w:pPr>
      <w:r>
        <w:rPr>
          <w:rFonts w:hint="eastAsia"/>
        </w:rPr>
        <w:t>技术特征比对表（示例）</w:t>
      </w:r>
    </w:p>
    <w:p w14:paraId="33F9A93A">
      <w:pPr>
        <w:pStyle w:val="199"/>
      </w:pPr>
      <w:r>
        <w:rPr>
          <w:rFonts w:hint="eastAsia"/>
        </w:rPr>
        <w:t>技术特征比对表（示例）</w:t>
      </w:r>
    </w:p>
    <w:p w14:paraId="0BDDD90F">
      <w:pPr>
        <w:pStyle w:val="77"/>
        <w:numPr>
          <w:ilvl w:val="0"/>
          <w:numId w:val="0"/>
        </w:numPr>
        <w:spacing w:before="156" w:after="156"/>
        <w:ind w:firstLine="420"/>
      </w:pPr>
      <w:r>
        <w:rPr>
          <w:rFonts w:hint="eastAsia"/>
        </w:rPr>
        <w:t>表B.1 技术特征比对表（示例）</w:t>
      </w:r>
    </w:p>
    <w:tbl>
      <w:tblPr>
        <w:tblStyle w:val="23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21"/>
        <w:gridCol w:w="1282"/>
        <w:gridCol w:w="2952"/>
        <w:gridCol w:w="2839"/>
        <w:gridCol w:w="1272"/>
      </w:tblGrid>
      <w:tr w14:paraId="53C0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545" w:type="pct"/>
          </w:tcPr>
          <w:p w14:paraId="58DCD6C2">
            <w:pPr>
              <w:spacing w:before="208" w:line="211" w:lineRule="auto"/>
              <w:jc w:val="center"/>
              <w:rPr>
                <w:rFonts w:ascii="宋体" w:hAnsi="Times New Roman" w:eastAsia="等线" w:cs="Arial"/>
                <w:snapToGrid w:val="0"/>
                <w:color w:val="000000"/>
                <w:kern w:val="0"/>
                <w:sz w:val="18"/>
                <w:szCs w:val="18"/>
                <w:lang w:eastAsia="en-US"/>
              </w:rPr>
            </w:pPr>
            <w:r>
              <w:rPr>
                <w:rFonts w:hint="eastAsia" w:ascii="宋体" w:hAnsi="Times New Roman" w:eastAsia="等线" w:cs="Arial"/>
                <w:snapToGrid w:val="0"/>
                <w:color w:val="000000"/>
                <w:kern w:val="0"/>
                <w:sz w:val="18"/>
                <w:szCs w:val="18"/>
                <w:lang w:eastAsia="en-US"/>
              </w:rPr>
              <w:t>序号</w:t>
            </w:r>
          </w:p>
        </w:tc>
        <w:tc>
          <w:tcPr>
            <w:tcW w:w="684" w:type="pct"/>
          </w:tcPr>
          <w:p w14:paraId="2B27C72A">
            <w:pPr>
              <w:spacing w:before="180" w:line="225" w:lineRule="auto"/>
              <w:jc w:val="center"/>
              <w:rPr>
                <w:rFonts w:ascii="宋体" w:hAnsi="Times New Roman" w:eastAsia="等线" w:cs="Arial"/>
                <w:snapToGrid w:val="0"/>
                <w:color w:val="000000"/>
                <w:kern w:val="0"/>
                <w:sz w:val="18"/>
                <w:szCs w:val="18"/>
                <w:lang w:eastAsia="en-US"/>
              </w:rPr>
            </w:pPr>
            <w:r>
              <w:rPr>
                <w:rFonts w:hint="eastAsia" w:ascii="宋体" w:hAnsi="Times New Roman" w:eastAsia="等线" w:cs="Arial"/>
                <w:snapToGrid w:val="0"/>
                <w:color w:val="000000"/>
                <w:kern w:val="0"/>
                <w:sz w:val="18"/>
                <w:szCs w:val="18"/>
                <w:lang w:eastAsia="en-US"/>
              </w:rPr>
              <w:t>权利要求</w:t>
            </w:r>
          </w:p>
        </w:tc>
        <w:tc>
          <w:tcPr>
            <w:tcW w:w="1575" w:type="pct"/>
          </w:tcPr>
          <w:p w14:paraId="3010654F">
            <w:pPr>
              <w:spacing w:before="181" w:line="283" w:lineRule="auto"/>
              <w:ind w:left="788" w:right="124" w:hanging="645"/>
              <w:jc w:val="center"/>
              <w:rPr>
                <w:rFonts w:ascii="宋体" w:hAnsi="Times New Roman" w:eastAsia="等线" w:cs="Arial"/>
                <w:snapToGrid w:val="0"/>
                <w:color w:val="000000"/>
                <w:kern w:val="0"/>
                <w:sz w:val="18"/>
                <w:szCs w:val="18"/>
                <w:lang w:eastAsia="en-US"/>
              </w:rPr>
            </w:pPr>
            <w:r>
              <w:rPr>
                <w:rFonts w:hint="eastAsia" w:ascii="宋体" w:hAnsi="Times New Roman" w:eastAsia="等线" w:cs="Arial"/>
                <w:snapToGrid w:val="0"/>
                <w:color w:val="000000"/>
                <w:kern w:val="0"/>
                <w:sz w:val="18"/>
                <w:szCs w:val="18"/>
                <w:lang w:eastAsia="en-US"/>
              </w:rPr>
              <w:t>权利要求的技术特征</w:t>
            </w:r>
          </w:p>
        </w:tc>
        <w:tc>
          <w:tcPr>
            <w:tcW w:w="1515" w:type="pct"/>
          </w:tcPr>
          <w:p w14:paraId="000B5362">
            <w:pPr>
              <w:spacing w:before="181" w:line="283" w:lineRule="auto"/>
              <w:ind w:left="651" w:right="136" w:hanging="483"/>
              <w:jc w:val="center"/>
              <w:rPr>
                <w:rFonts w:ascii="宋体" w:hAnsi="Times New Roman" w:eastAsia="等线" w:cs="Arial"/>
                <w:snapToGrid w:val="0"/>
                <w:color w:val="000000"/>
                <w:kern w:val="0"/>
                <w:sz w:val="18"/>
                <w:szCs w:val="18"/>
                <w:lang w:eastAsia="en-US"/>
              </w:rPr>
            </w:pPr>
            <w:r>
              <w:rPr>
                <w:rFonts w:hint="eastAsia" w:ascii="宋体" w:hAnsi="Times New Roman" w:eastAsia="等线" w:cs="Arial"/>
                <w:snapToGrid w:val="0"/>
                <w:color w:val="000000"/>
                <w:kern w:val="0"/>
                <w:sz w:val="18"/>
                <w:szCs w:val="18"/>
                <w:lang w:eastAsia="en-US"/>
              </w:rPr>
              <w:t>排查产品的技术特征</w:t>
            </w:r>
          </w:p>
        </w:tc>
        <w:tc>
          <w:tcPr>
            <w:tcW w:w="679" w:type="pct"/>
          </w:tcPr>
          <w:p w14:paraId="4D8A753F">
            <w:pPr>
              <w:spacing w:before="180" w:line="225" w:lineRule="auto"/>
              <w:jc w:val="center"/>
              <w:rPr>
                <w:rFonts w:ascii="宋体" w:hAnsi="Times New Roman" w:eastAsia="等线" w:cs="Arial"/>
                <w:snapToGrid w:val="0"/>
                <w:color w:val="000000"/>
                <w:kern w:val="0"/>
                <w:sz w:val="18"/>
                <w:szCs w:val="18"/>
                <w:lang w:eastAsia="en-US"/>
              </w:rPr>
            </w:pPr>
            <w:r>
              <w:rPr>
                <w:rFonts w:hint="eastAsia" w:ascii="宋体" w:hAnsi="Times New Roman" w:eastAsia="等线" w:cs="Arial"/>
                <w:snapToGrid w:val="0"/>
                <w:color w:val="000000"/>
                <w:kern w:val="0"/>
                <w:sz w:val="18"/>
                <w:szCs w:val="18"/>
                <w:lang w:eastAsia="en-US"/>
              </w:rPr>
              <w:t>结论</w:t>
            </w:r>
          </w:p>
        </w:tc>
      </w:tr>
      <w:tr w14:paraId="2A97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545" w:type="pct"/>
          </w:tcPr>
          <w:p w14:paraId="2800CA9D">
            <w:pPr>
              <w:spacing w:before="173" w:line="229" w:lineRule="auto"/>
              <w:jc w:val="center"/>
              <w:rPr>
                <w:rFonts w:ascii="宋体" w:hAnsi="Times New Roman" w:eastAsia="等线" w:cs="Arial"/>
                <w:snapToGrid w:val="0"/>
                <w:color w:val="000000"/>
                <w:kern w:val="0"/>
                <w:sz w:val="18"/>
                <w:szCs w:val="18"/>
                <w:lang w:eastAsia="en-US"/>
              </w:rPr>
            </w:pPr>
            <w:r>
              <w:rPr>
                <w:rFonts w:hint="eastAsia" w:ascii="宋体" w:hAnsi="Times New Roman" w:eastAsia="等线" w:cs="Arial"/>
                <w:snapToGrid w:val="0"/>
                <w:color w:val="000000"/>
                <w:kern w:val="0"/>
                <w:sz w:val="18"/>
                <w:szCs w:val="18"/>
                <w:lang w:eastAsia="en-US"/>
              </w:rPr>
              <w:t>1</w:t>
            </w:r>
          </w:p>
        </w:tc>
        <w:tc>
          <w:tcPr>
            <w:tcW w:w="684" w:type="pct"/>
          </w:tcPr>
          <w:p w14:paraId="41699E16">
            <w:pPr>
              <w:jc w:val="center"/>
              <w:rPr>
                <w:rFonts w:ascii="宋体" w:hAnsi="Times New Roman" w:eastAsia="等线" w:cs="Arial"/>
                <w:snapToGrid w:val="0"/>
                <w:color w:val="000000"/>
                <w:kern w:val="0"/>
                <w:sz w:val="18"/>
                <w:szCs w:val="18"/>
                <w:lang w:eastAsia="en-US"/>
              </w:rPr>
            </w:pPr>
          </w:p>
        </w:tc>
        <w:tc>
          <w:tcPr>
            <w:tcW w:w="1575" w:type="pct"/>
          </w:tcPr>
          <w:p w14:paraId="0BE27C8D">
            <w:pPr>
              <w:jc w:val="center"/>
              <w:rPr>
                <w:rFonts w:ascii="宋体" w:hAnsi="Times New Roman" w:eastAsia="等线" w:cs="Arial"/>
                <w:snapToGrid w:val="0"/>
                <w:color w:val="000000"/>
                <w:kern w:val="0"/>
                <w:sz w:val="18"/>
                <w:szCs w:val="18"/>
                <w:lang w:eastAsia="en-US"/>
              </w:rPr>
            </w:pPr>
          </w:p>
        </w:tc>
        <w:tc>
          <w:tcPr>
            <w:tcW w:w="1515" w:type="pct"/>
          </w:tcPr>
          <w:p w14:paraId="0AD0D670">
            <w:pPr>
              <w:jc w:val="center"/>
              <w:rPr>
                <w:rFonts w:ascii="宋体" w:hAnsi="Times New Roman" w:eastAsia="等线" w:cs="Arial"/>
                <w:snapToGrid w:val="0"/>
                <w:color w:val="000000"/>
                <w:kern w:val="0"/>
                <w:sz w:val="18"/>
                <w:szCs w:val="18"/>
                <w:lang w:eastAsia="en-US"/>
              </w:rPr>
            </w:pPr>
          </w:p>
        </w:tc>
        <w:tc>
          <w:tcPr>
            <w:tcW w:w="679" w:type="pct"/>
          </w:tcPr>
          <w:p w14:paraId="08BF366C">
            <w:pPr>
              <w:jc w:val="center"/>
              <w:rPr>
                <w:rFonts w:ascii="宋体" w:hAnsi="Times New Roman" w:eastAsia="等线" w:cs="Arial"/>
                <w:snapToGrid w:val="0"/>
                <w:color w:val="000000"/>
                <w:kern w:val="0"/>
                <w:sz w:val="18"/>
                <w:szCs w:val="18"/>
                <w:lang w:eastAsia="en-US"/>
              </w:rPr>
            </w:pPr>
          </w:p>
        </w:tc>
      </w:tr>
      <w:tr w14:paraId="3A83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545" w:type="pct"/>
          </w:tcPr>
          <w:p w14:paraId="0F7F8B52">
            <w:pPr>
              <w:spacing w:before="176" w:line="228" w:lineRule="auto"/>
              <w:jc w:val="center"/>
              <w:rPr>
                <w:rFonts w:ascii="宋体" w:hAnsi="Times New Roman" w:eastAsia="等线" w:cs="Arial"/>
                <w:snapToGrid w:val="0"/>
                <w:color w:val="000000"/>
                <w:kern w:val="0"/>
                <w:sz w:val="18"/>
                <w:szCs w:val="18"/>
                <w:lang w:eastAsia="en-US"/>
              </w:rPr>
            </w:pPr>
          </w:p>
        </w:tc>
        <w:tc>
          <w:tcPr>
            <w:tcW w:w="684" w:type="pct"/>
          </w:tcPr>
          <w:p w14:paraId="2B108449">
            <w:pPr>
              <w:jc w:val="center"/>
              <w:rPr>
                <w:rFonts w:ascii="宋体" w:hAnsi="Times New Roman" w:eastAsia="等线" w:cs="Arial"/>
                <w:snapToGrid w:val="0"/>
                <w:color w:val="000000"/>
                <w:kern w:val="0"/>
                <w:sz w:val="18"/>
                <w:szCs w:val="18"/>
                <w:lang w:eastAsia="en-US"/>
              </w:rPr>
            </w:pPr>
          </w:p>
        </w:tc>
        <w:tc>
          <w:tcPr>
            <w:tcW w:w="1575" w:type="pct"/>
          </w:tcPr>
          <w:p w14:paraId="33AFA08A">
            <w:pPr>
              <w:jc w:val="center"/>
              <w:rPr>
                <w:rFonts w:ascii="宋体" w:hAnsi="Times New Roman" w:eastAsia="等线" w:cs="Arial"/>
                <w:snapToGrid w:val="0"/>
                <w:color w:val="000000"/>
                <w:kern w:val="0"/>
                <w:sz w:val="18"/>
                <w:szCs w:val="18"/>
                <w:lang w:eastAsia="en-US"/>
              </w:rPr>
            </w:pPr>
          </w:p>
        </w:tc>
        <w:tc>
          <w:tcPr>
            <w:tcW w:w="1515" w:type="pct"/>
          </w:tcPr>
          <w:p w14:paraId="73AE9490">
            <w:pPr>
              <w:jc w:val="center"/>
              <w:rPr>
                <w:rFonts w:ascii="宋体" w:hAnsi="Times New Roman" w:eastAsia="等线" w:cs="Arial"/>
                <w:snapToGrid w:val="0"/>
                <w:color w:val="000000"/>
                <w:kern w:val="0"/>
                <w:sz w:val="18"/>
                <w:szCs w:val="18"/>
                <w:lang w:eastAsia="en-US"/>
              </w:rPr>
            </w:pPr>
          </w:p>
        </w:tc>
        <w:tc>
          <w:tcPr>
            <w:tcW w:w="679" w:type="pct"/>
          </w:tcPr>
          <w:p w14:paraId="0B864EA1">
            <w:pPr>
              <w:jc w:val="center"/>
              <w:rPr>
                <w:rFonts w:ascii="宋体" w:hAnsi="Times New Roman" w:eastAsia="等线" w:cs="Arial"/>
                <w:snapToGrid w:val="0"/>
                <w:color w:val="000000"/>
                <w:kern w:val="0"/>
                <w:sz w:val="18"/>
                <w:szCs w:val="18"/>
                <w:lang w:eastAsia="en-US"/>
              </w:rPr>
            </w:pPr>
          </w:p>
        </w:tc>
      </w:tr>
      <w:tr w14:paraId="6E45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545" w:type="pct"/>
          </w:tcPr>
          <w:p w14:paraId="53D9C6D1">
            <w:pPr>
              <w:spacing w:before="173" w:line="229" w:lineRule="auto"/>
              <w:jc w:val="center"/>
              <w:rPr>
                <w:rFonts w:ascii="宋体" w:hAnsi="Times New Roman" w:eastAsia="等线" w:cs="Arial"/>
                <w:snapToGrid w:val="0"/>
                <w:color w:val="000000"/>
                <w:kern w:val="0"/>
                <w:sz w:val="18"/>
                <w:szCs w:val="18"/>
                <w:lang w:eastAsia="en-US"/>
              </w:rPr>
            </w:pPr>
            <w:r>
              <w:rPr>
                <w:rFonts w:hint="eastAsia" w:ascii="宋体" w:hAnsi="Times New Roman" w:eastAsia="等线" w:cs="Arial"/>
                <w:snapToGrid w:val="0"/>
                <w:color w:val="000000"/>
                <w:kern w:val="0"/>
                <w:sz w:val="18"/>
                <w:szCs w:val="18"/>
                <w:lang w:eastAsia="en-US"/>
              </w:rPr>
              <w:t>X</w:t>
            </w:r>
          </w:p>
        </w:tc>
        <w:tc>
          <w:tcPr>
            <w:tcW w:w="684" w:type="pct"/>
          </w:tcPr>
          <w:p w14:paraId="64AD254D">
            <w:pPr>
              <w:spacing w:before="173" w:line="229" w:lineRule="auto"/>
              <w:jc w:val="center"/>
              <w:rPr>
                <w:rFonts w:ascii="宋体" w:hAnsi="Times New Roman" w:eastAsia="等线" w:cs="Arial"/>
                <w:snapToGrid w:val="0"/>
                <w:color w:val="000000"/>
                <w:kern w:val="0"/>
                <w:sz w:val="18"/>
                <w:szCs w:val="18"/>
                <w:lang w:eastAsia="en-US"/>
              </w:rPr>
            </w:pPr>
          </w:p>
        </w:tc>
        <w:tc>
          <w:tcPr>
            <w:tcW w:w="1575" w:type="pct"/>
          </w:tcPr>
          <w:p w14:paraId="617CF1F5">
            <w:pPr>
              <w:spacing w:before="173" w:line="229" w:lineRule="auto"/>
              <w:jc w:val="center"/>
              <w:rPr>
                <w:rFonts w:ascii="宋体" w:hAnsi="Times New Roman" w:eastAsia="等线" w:cs="Arial"/>
                <w:snapToGrid w:val="0"/>
                <w:color w:val="000000"/>
                <w:kern w:val="0"/>
                <w:sz w:val="18"/>
                <w:szCs w:val="18"/>
                <w:lang w:eastAsia="en-US"/>
              </w:rPr>
            </w:pPr>
          </w:p>
        </w:tc>
        <w:tc>
          <w:tcPr>
            <w:tcW w:w="1515" w:type="pct"/>
          </w:tcPr>
          <w:p w14:paraId="115B2EEE">
            <w:pPr>
              <w:spacing w:before="173" w:line="229" w:lineRule="auto"/>
              <w:jc w:val="center"/>
              <w:rPr>
                <w:rFonts w:ascii="宋体" w:hAnsi="Times New Roman" w:eastAsia="等线" w:cs="Arial"/>
                <w:snapToGrid w:val="0"/>
                <w:color w:val="000000"/>
                <w:kern w:val="0"/>
                <w:sz w:val="18"/>
                <w:szCs w:val="18"/>
                <w:lang w:eastAsia="en-US"/>
              </w:rPr>
            </w:pPr>
          </w:p>
        </w:tc>
        <w:tc>
          <w:tcPr>
            <w:tcW w:w="679" w:type="pct"/>
          </w:tcPr>
          <w:p w14:paraId="72241BA7">
            <w:pPr>
              <w:spacing w:before="173" w:line="229" w:lineRule="auto"/>
              <w:jc w:val="center"/>
              <w:rPr>
                <w:rFonts w:ascii="宋体" w:hAnsi="Times New Roman" w:eastAsia="等线" w:cs="Arial"/>
                <w:snapToGrid w:val="0"/>
                <w:color w:val="000000"/>
                <w:kern w:val="0"/>
                <w:sz w:val="18"/>
                <w:szCs w:val="18"/>
                <w:lang w:eastAsia="en-US"/>
              </w:rPr>
            </w:pPr>
          </w:p>
        </w:tc>
      </w:tr>
    </w:tbl>
    <w:p w14:paraId="0544FF21">
      <w:pPr>
        <w:pStyle w:val="78"/>
        <w:spacing w:before="156" w:after="156"/>
      </w:pPr>
      <w:r>
        <w:rPr>
          <w:rFonts w:hint="eastAsia"/>
        </w:rPr>
        <w:t>结论</w:t>
      </w:r>
    </w:p>
    <w:p w14:paraId="42FC441E">
      <w:pPr>
        <w:pStyle w:val="56"/>
        <w:ind w:firstLine="420"/>
        <w:rPr>
          <w:color w:val="auto"/>
        </w:rPr>
      </w:pPr>
      <w:bookmarkStart w:id="136" w:name="_GoBack"/>
      <w:r>
        <w:rPr>
          <w:rFonts w:hint="eastAsia"/>
          <w:color w:val="auto"/>
        </w:rPr>
        <w:t>对排查产品的侵权风险作出明确结论。</w:t>
      </w:r>
    </w:p>
    <w:p w14:paraId="62CE1667">
      <w:pPr>
        <w:pStyle w:val="56"/>
        <w:ind w:firstLine="420"/>
        <w:rPr>
          <w:color w:val="auto"/>
        </w:rPr>
      </w:pPr>
      <w:r>
        <w:rPr>
          <w:rFonts w:hint="eastAsia"/>
          <w:color w:val="auto"/>
        </w:rPr>
        <w:t>注意：</w:t>
      </w:r>
      <w:r>
        <w:rPr>
          <w:color w:val="auto"/>
        </w:rPr>
        <w:t>FTO的结论需要</w:t>
      </w:r>
      <w:r>
        <w:rPr>
          <w:rFonts w:hint="eastAsia"/>
          <w:color w:val="auto"/>
        </w:rPr>
        <w:t>客观和</w:t>
      </w:r>
      <w:r>
        <w:rPr>
          <w:color w:val="auto"/>
        </w:rPr>
        <w:t>谨慎</w:t>
      </w:r>
      <w:r>
        <w:rPr>
          <w:rFonts w:hint="eastAsia"/>
          <w:color w:val="auto"/>
        </w:rPr>
        <w:t>，需要与相关业务部门反复论证和商量。经FTO分析后，公司的相应产品应尽量排除侵权风险。若FTO报告</w:t>
      </w:r>
      <w:r>
        <w:rPr>
          <w:rFonts w:hint="eastAsia"/>
          <w:color w:val="auto"/>
          <w:lang w:val="en-US" w:eastAsia="zh-CN"/>
        </w:rPr>
        <w:t>结论已提示为</w:t>
      </w:r>
      <w:r>
        <w:rPr>
          <w:rFonts w:hint="eastAsia"/>
          <w:color w:val="auto"/>
        </w:rPr>
        <w:t>高风险，企业依然故意实施，则存在故意侵权嫌疑。</w:t>
      </w:r>
    </w:p>
    <w:bookmarkEnd w:id="136"/>
    <w:p w14:paraId="173E4FA7">
      <w:pPr>
        <w:kinsoku w:val="0"/>
        <w:autoSpaceDE w:val="0"/>
        <w:autoSpaceDN w:val="0"/>
        <w:snapToGrid w:val="0"/>
        <w:spacing w:line="297" w:lineRule="auto"/>
        <w:jc w:val="center"/>
        <w:textAlignment w:val="baseline"/>
      </w:pPr>
    </w:p>
    <w:p w14:paraId="4C82722A">
      <w:pPr>
        <w:pStyle w:val="199"/>
      </w:pPr>
    </w:p>
    <w:p w14:paraId="324B82A9">
      <w:pPr>
        <w:pStyle w:val="56"/>
        <w:ind w:firstLine="420"/>
        <w:sectPr>
          <w:pgSz w:w="11906" w:h="16838"/>
          <w:pgMar w:top="567" w:right="1134" w:bottom="1134" w:left="1134" w:header="1418" w:footer="1134" w:gutter="284"/>
          <w:cols w:space="425" w:num="1"/>
          <w:formProt w:val="0"/>
          <w:docGrid w:type="lines" w:linePitch="312" w:charSpace="0"/>
        </w:sectPr>
      </w:pPr>
    </w:p>
    <w:p w14:paraId="36D9469A">
      <w:pPr>
        <w:pStyle w:val="198"/>
        <w:rPr>
          <w:rFonts w:hint="eastAsia"/>
        </w:rPr>
      </w:pPr>
    </w:p>
    <w:p w14:paraId="487642E8">
      <w:pPr>
        <w:pStyle w:val="199"/>
      </w:pPr>
    </w:p>
    <w:bookmarkEnd w:id="129"/>
    <w:p w14:paraId="7BF1AAA0">
      <w:pPr>
        <w:pStyle w:val="63"/>
        <w:spacing w:before="124" w:after="156"/>
      </w:pPr>
      <w:bookmarkStart w:id="130" w:name="_Toc180400033"/>
      <w:bookmarkStart w:id="131" w:name="_Toc180492067"/>
      <w:bookmarkStart w:id="132" w:name="_Toc200117572"/>
      <w:bookmarkStart w:id="133" w:name="BookMark6"/>
      <w:r>
        <w:rPr>
          <w:rFonts w:hint="eastAsia"/>
          <w:spacing w:val="105"/>
        </w:rPr>
        <w:t>参考文</w:t>
      </w:r>
      <w:r>
        <w:rPr>
          <w:rFonts w:hint="eastAsia"/>
        </w:rPr>
        <w:t>献</w:t>
      </w:r>
      <w:bookmarkEnd w:id="130"/>
      <w:bookmarkEnd w:id="131"/>
      <w:bookmarkEnd w:id="132"/>
    </w:p>
    <w:p w14:paraId="012BAEFF">
      <w:pPr>
        <w:pStyle w:val="56"/>
        <w:ind w:firstLine="420"/>
      </w:pPr>
      <w:r>
        <w:rPr>
          <w:rFonts w:hint="eastAsia"/>
        </w:rPr>
        <w:t>[</w:t>
      </w:r>
      <w:r>
        <w:t>1</w:t>
      </w:r>
      <w:r>
        <w:rPr>
          <w:rFonts w:hint="eastAsia"/>
        </w:rPr>
        <w:t>]</w:t>
      </w:r>
      <w:r>
        <w:t xml:space="preserve"> 19 U.S.C. § 1337</w:t>
      </w:r>
      <w:r>
        <w:rPr>
          <w:rFonts w:hint="eastAsia"/>
        </w:rPr>
        <w:t xml:space="preserve">  《美国法典》第19编 第1337条</w:t>
      </w:r>
    </w:p>
    <w:p w14:paraId="03E50B49">
      <w:pPr>
        <w:pStyle w:val="56"/>
        <w:ind w:firstLine="420"/>
      </w:pPr>
      <w:r>
        <w:rPr>
          <w:rFonts w:hint="eastAsia"/>
        </w:rPr>
        <w:t>[</w:t>
      </w:r>
      <w:r>
        <w:t>2]</w:t>
      </w:r>
      <w:r>
        <w:rPr>
          <w:rFonts w:hint="eastAsia"/>
        </w:rPr>
        <w:t xml:space="preserve"> </w:t>
      </w:r>
      <w:r>
        <w:t>19 CFR § 210</w:t>
      </w:r>
      <w:r>
        <w:rPr>
          <w:rFonts w:hint="eastAsia"/>
        </w:rPr>
        <w:t xml:space="preserve">  </w:t>
      </w:r>
      <w:r>
        <w:t>《美国联邦法规》第19编</w:t>
      </w:r>
      <w:r>
        <w:rPr>
          <w:rFonts w:hint="eastAsia"/>
        </w:rPr>
        <w:t xml:space="preserve"> </w:t>
      </w:r>
      <w:r>
        <w:t>第210条</w:t>
      </w:r>
    </w:p>
    <w:p w14:paraId="04EEAE2A">
      <w:pPr>
        <w:pStyle w:val="56"/>
        <w:ind w:firstLine="420"/>
      </w:pPr>
      <w:r>
        <w:rPr>
          <w:rFonts w:hint="eastAsia"/>
        </w:rPr>
        <w:t>[</w:t>
      </w:r>
      <w:r>
        <w:t>3]</w:t>
      </w:r>
      <w:r>
        <w:rPr>
          <w:rFonts w:hint="eastAsia"/>
        </w:rPr>
        <w:t xml:space="preserve"> </w:t>
      </w:r>
      <w:bookmarkStart w:id="134" w:name="_Hlk199675300"/>
      <w:r>
        <w:rPr>
          <w:rFonts w:hint="eastAsia"/>
        </w:rPr>
        <w:t>《美国国际贸易委员会337调查律师实践指南》（第四版）</w:t>
      </w:r>
      <w:bookmarkEnd w:id="134"/>
    </w:p>
    <w:p w14:paraId="539C3A89">
      <w:pPr>
        <w:pStyle w:val="56"/>
        <w:ind w:firstLine="420"/>
      </w:pPr>
      <w:r>
        <w:t xml:space="preserve">[4] </w:t>
      </w:r>
      <w:r>
        <w:rPr>
          <w:rFonts w:hint="eastAsia"/>
        </w:rPr>
        <w:t>国家知识产权局《美国“337调查”实务指引》</w:t>
      </w:r>
    </w:p>
    <w:p w14:paraId="2B7E79F5">
      <w:pPr>
        <w:pStyle w:val="56"/>
        <w:ind w:firstLine="420"/>
      </w:pPr>
      <w:r>
        <w:rPr>
          <w:rFonts w:hint="eastAsia"/>
        </w:rPr>
        <w:t>[</w:t>
      </w:r>
      <w:r>
        <w:t xml:space="preserve">5] </w:t>
      </w:r>
      <w:r>
        <w:rPr>
          <w:rFonts w:hint="eastAsia"/>
        </w:rPr>
        <w:t>东莞市商务局《美国337调查应诉指南》</w:t>
      </w:r>
    </w:p>
    <w:p w14:paraId="2E196866">
      <w:pPr>
        <w:pStyle w:val="56"/>
        <w:ind w:firstLine="420"/>
      </w:pPr>
      <w:r>
        <w:rPr>
          <w:rFonts w:hint="eastAsia"/>
        </w:rPr>
        <w:t>[</w:t>
      </w:r>
      <w:r>
        <w:t>6</w:t>
      </w:r>
      <w:r>
        <w:rPr>
          <w:rFonts w:hint="eastAsia"/>
        </w:rPr>
        <w:t>]</w:t>
      </w:r>
      <w:r>
        <w:t xml:space="preserve"> </w:t>
      </w:r>
      <w:r>
        <w:rPr>
          <w:rFonts w:hint="eastAsia"/>
        </w:rPr>
        <w:t>中国（深圳）知识产权保护中心《美国337调查制度概述和企业应对策略研究报告》</w:t>
      </w:r>
    </w:p>
    <w:bookmarkEnd w:id="133"/>
    <w:p w14:paraId="1FC6D3F8">
      <w:pPr>
        <w:kinsoku w:val="0"/>
        <w:autoSpaceDE w:val="0"/>
        <w:autoSpaceDN w:val="0"/>
        <w:snapToGrid w:val="0"/>
        <w:spacing w:line="297" w:lineRule="auto"/>
        <w:jc w:val="center"/>
        <w:textAlignment w:val="baseline"/>
      </w:pPr>
      <w:bookmarkStart w:id="135"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stretch>
                      <a:fillRect/>
                    </a:stretch>
                  </pic:blipFill>
                  <pic:spPr>
                    <a:xfrm>
                      <a:off x="0" y="0"/>
                      <a:ext cx="1485900" cy="317500"/>
                    </a:xfrm>
                    <a:prstGeom prst="rect">
                      <a:avLst/>
                    </a:prstGeom>
                  </pic:spPr>
                </pic:pic>
              </a:graphicData>
            </a:graphic>
          </wp:inline>
        </w:drawing>
      </w:r>
      <w:bookmarkEnd w:id="135"/>
    </w:p>
    <w:sectPr>
      <w:pgSz w:w="11906" w:h="16838"/>
      <w:pgMar w:top="567"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78C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396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24B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8DC9">
    <w:pPr>
      <w:pStyle w:val="52"/>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423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341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1C8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F4F8F">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6B59">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1560"/>
        </w:tabs>
        <w:ind w:left="1560"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3544"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4536"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567"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426" w:firstLine="0"/>
      </w:pPr>
      <w:rPr>
        <w:rFonts w:hint="eastAsia" w:ascii="黑体" w:eastAsia="黑体"/>
        <w:b w:val="0"/>
        <w:i w:val="0"/>
        <w:strike w:val="0"/>
        <w:color w:val="auto"/>
        <w:sz w:val="21"/>
      </w:rPr>
    </w:lvl>
    <w:lvl w:ilvl="4" w:tentative="0">
      <w:start w:val="1"/>
      <w:numFmt w:val="decimal"/>
      <w:pStyle w:val="94"/>
      <w:suff w:val="nothing"/>
      <w:lvlText w:val="%1%2.%3.%4.%5　"/>
      <w:lvlJc w:val="left"/>
      <w:pPr>
        <w:ind w:left="142"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Full" w:cryptAlgorithmClass="hash" w:cryptAlgorithmType="typeAny" w:cryptAlgorithmSid="4" w:cryptSpinCount="100000" w:hash="4qrnL2hxqmqe2EC/Z6XSsJqbQNQ=" w:salt="ZD55OsW2n/8/4DpTENTQ3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NDZmNzYwZGYzYTk4MDhlZTZhNGVlZWRhMGE0MGQifQ=="/>
  </w:docVars>
  <w:rsids>
    <w:rsidRoot w:val="00FC40F3"/>
    <w:rsid w:val="0000040A"/>
    <w:rsid w:val="00000A94"/>
    <w:rsid w:val="00001972"/>
    <w:rsid w:val="00001D9A"/>
    <w:rsid w:val="00002C8E"/>
    <w:rsid w:val="000039E9"/>
    <w:rsid w:val="0000665D"/>
    <w:rsid w:val="00007B3A"/>
    <w:rsid w:val="000107E0"/>
    <w:rsid w:val="00011FDE"/>
    <w:rsid w:val="00012FFD"/>
    <w:rsid w:val="00014162"/>
    <w:rsid w:val="00014340"/>
    <w:rsid w:val="00016A9C"/>
    <w:rsid w:val="00022184"/>
    <w:rsid w:val="00022762"/>
    <w:rsid w:val="00022A87"/>
    <w:rsid w:val="000238E0"/>
    <w:rsid w:val="000249DB"/>
    <w:rsid w:val="0002595E"/>
    <w:rsid w:val="00025A53"/>
    <w:rsid w:val="00027C26"/>
    <w:rsid w:val="000303C3"/>
    <w:rsid w:val="00030ED5"/>
    <w:rsid w:val="00032BA6"/>
    <w:rsid w:val="000331D3"/>
    <w:rsid w:val="000346A5"/>
    <w:rsid w:val="000359C3"/>
    <w:rsid w:val="00035A7D"/>
    <w:rsid w:val="000365ED"/>
    <w:rsid w:val="0004108B"/>
    <w:rsid w:val="0004249A"/>
    <w:rsid w:val="00043282"/>
    <w:rsid w:val="00044286"/>
    <w:rsid w:val="00047F28"/>
    <w:rsid w:val="00050357"/>
    <w:rsid w:val="000503AA"/>
    <w:rsid w:val="000506A1"/>
    <w:rsid w:val="000515DD"/>
    <w:rsid w:val="0005265A"/>
    <w:rsid w:val="000539DD"/>
    <w:rsid w:val="00053BD3"/>
    <w:rsid w:val="0005466C"/>
    <w:rsid w:val="0005528F"/>
    <w:rsid w:val="000556ED"/>
    <w:rsid w:val="00055FE2"/>
    <w:rsid w:val="0005616F"/>
    <w:rsid w:val="00060C2E"/>
    <w:rsid w:val="00061033"/>
    <w:rsid w:val="000619E9"/>
    <w:rsid w:val="000622D4"/>
    <w:rsid w:val="0006357D"/>
    <w:rsid w:val="00067F1E"/>
    <w:rsid w:val="00071CC0"/>
    <w:rsid w:val="00073C8C"/>
    <w:rsid w:val="00076EF8"/>
    <w:rsid w:val="00077B64"/>
    <w:rsid w:val="00080A1C"/>
    <w:rsid w:val="00082317"/>
    <w:rsid w:val="00083D2C"/>
    <w:rsid w:val="00086AA1"/>
    <w:rsid w:val="00087A77"/>
    <w:rsid w:val="00090CA6"/>
    <w:rsid w:val="00092B8A"/>
    <w:rsid w:val="00092FB0"/>
    <w:rsid w:val="000934C5"/>
    <w:rsid w:val="00093D25"/>
    <w:rsid w:val="00093DAB"/>
    <w:rsid w:val="000947C8"/>
    <w:rsid w:val="00094D73"/>
    <w:rsid w:val="00096D63"/>
    <w:rsid w:val="000A0B60"/>
    <w:rsid w:val="000A0EB8"/>
    <w:rsid w:val="000A19FC"/>
    <w:rsid w:val="000A1CBE"/>
    <w:rsid w:val="000A296B"/>
    <w:rsid w:val="000A52C3"/>
    <w:rsid w:val="000A7311"/>
    <w:rsid w:val="000B060F"/>
    <w:rsid w:val="000B1592"/>
    <w:rsid w:val="000B1A03"/>
    <w:rsid w:val="000B1FF2"/>
    <w:rsid w:val="000B3CDA"/>
    <w:rsid w:val="000B6A0B"/>
    <w:rsid w:val="000C0F6C"/>
    <w:rsid w:val="000C11DB"/>
    <w:rsid w:val="000C1492"/>
    <w:rsid w:val="000C258B"/>
    <w:rsid w:val="000C2FBD"/>
    <w:rsid w:val="000C4B41"/>
    <w:rsid w:val="000C57D6"/>
    <w:rsid w:val="000C6362"/>
    <w:rsid w:val="000C7666"/>
    <w:rsid w:val="000C772D"/>
    <w:rsid w:val="000D0A9C"/>
    <w:rsid w:val="000D1795"/>
    <w:rsid w:val="000D187C"/>
    <w:rsid w:val="000D329A"/>
    <w:rsid w:val="000D4B9C"/>
    <w:rsid w:val="000D4EB6"/>
    <w:rsid w:val="000D753B"/>
    <w:rsid w:val="000E0DC0"/>
    <w:rsid w:val="000E4C9E"/>
    <w:rsid w:val="000E6FD7"/>
    <w:rsid w:val="000F06E1"/>
    <w:rsid w:val="000F0E3C"/>
    <w:rsid w:val="000F19D5"/>
    <w:rsid w:val="000F22F2"/>
    <w:rsid w:val="000F4AEA"/>
    <w:rsid w:val="000F51DA"/>
    <w:rsid w:val="000F633F"/>
    <w:rsid w:val="000F67E9"/>
    <w:rsid w:val="0010288D"/>
    <w:rsid w:val="00103A2B"/>
    <w:rsid w:val="00104926"/>
    <w:rsid w:val="00107181"/>
    <w:rsid w:val="00110154"/>
    <w:rsid w:val="00110899"/>
    <w:rsid w:val="001110B9"/>
    <w:rsid w:val="00111317"/>
    <w:rsid w:val="00113B1E"/>
    <w:rsid w:val="0011711C"/>
    <w:rsid w:val="0012059C"/>
    <w:rsid w:val="00121F73"/>
    <w:rsid w:val="00124319"/>
    <w:rsid w:val="00124E4F"/>
    <w:rsid w:val="00125941"/>
    <w:rsid w:val="001260B7"/>
    <w:rsid w:val="001265CB"/>
    <w:rsid w:val="001321C6"/>
    <w:rsid w:val="001325C4"/>
    <w:rsid w:val="00133010"/>
    <w:rsid w:val="001338EE"/>
    <w:rsid w:val="00133AAE"/>
    <w:rsid w:val="00134460"/>
    <w:rsid w:val="0013448A"/>
    <w:rsid w:val="00134DDB"/>
    <w:rsid w:val="00135323"/>
    <w:rsid w:val="001356C4"/>
    <w:rsid w:val="00141114"/>
    <w:rsid w:val="00141163"/>
    <w:rsid w:val="00142969"/>
    <w:rsid w:val="001446C2"/>
    <w:rsid w:val="001457E7"/>
    <w:rsid w:val="00145D9D"/>
    <w:rsid w:val="00146388"/>
    <w:rsid w:val="001529E5"/>
    <w:rsid w:val="001536DE"/>
    <w:rsid w:val="00153C7E"/>
    <w:rsid w:val="00156B25"/>
    <w:rsid w:val="00156E1A"/>
    <w:rsid w:val="00157894"/>
    <w:rsid w:val="001578B1"/>
    <w:rsid w:val="00157B55"/>
    <w:rsid w:val="001642FA"/>
    <w:rsid w:val="001649EB"/>
    <w:rsid w:val="00164BAF"/>
    <w:rsid w:val="00164FA8"/>
    <w:rsid w:val="00165065"/>
    <w:rsid w:val="00165434"/>
    <w:rsid w:val="0016580B"/>
    <w:rsid w:val="00165F49"/>
    <w:rsid w:val="00166B88"/>
    <w:rsid w:val="0016770A"/>
    <w:rsid w:val="0017073E"/>
    <w:rsid w:val="00170804"/>
    <w:rsid w:val="001708E9"/>
    <w:rsid w:val="001719AB"/>
    <w:rsid w:val="0017340B"/>
    <w:rsid w:val="00173FB1"/>
    <w:rsid w:val="00176DFD"/>
    <w:rsid w:val="001852C9"/>
    <w:rsid w:val="0018573D"/>
    <w:rsid w:val="00190087"/>
    <w:rsid w:val="001913C4"/>
    <w:rsid w:val="0019348F"/>
    <w:rsid w:val="00193A07"/>
    <w:rsid w:val="00194C95"/>
    <w:rsid w:val="00195C34"/>
    <w:rsid w:val="00196593"/>
    <w:rsid w:val="00196EF5"/>
    <w:rsid w:val="001A1A53"/>
    <w:rsid w:val="001A234A"/>
    <w:rsid w:val="001A36F1"/>
    <w:rsid w:val="001A4CF3"/>
    <w:rsid w:val="001B06E8"/>
    <w:rsid w:val="001B4AF2"/>
    <w:rsid w:val="001B60AD"/>
    <w:rsid w:val="001B71D0"/>
    <w:rsid w:val="001B71EE"/>
    <w:rsid w:val="001C04A8"/>
    <w:rsid w:val="001C2A85"/>
    <w:rsid w:val="001C2C03"/>
    <w:rsid w:val="001C42F7"/>
    <w:rsid w:val="001C49E5"/>
    <w:rsid w:val="001C680C"/>
    <w:rsid w:val="001C7FEA"/>
    <w:rsid w:val="001D0499"/>
    <w:rsid w:val="001D0BBE"/>
    <w:rsid w:val="001D0ED4"/>
    <w:rsid w:val="001D1E81"/>
    <w:rsid w:val="001D1EF5"/>
    <w:rsid w:val="001D212F"/>
    <w:rsid w:val="001D28C1"/>
    <w:rsid w:val="001D29D7"/>
    <w:rsid w:val="001D2DE7"/>
    <w:rsid w:val="001D411C"/>
    <w:rsid w:val="001E07DD"/>
    <w:rsid w:val="001E1B6A"/>
    <w:rsid w:val="001E2484"/>
    <w:rsid w:val="001E2A01"/>
    <w:rsid w:val="001E3CC4"/>
    <w:rsid w:val="001E4882"/>
    <w:rsid w:val="001E73AB"/>
    <w:rsid w:val="001F092D"/>
    <w:rsid w:val="001F1349"/>
    <w:rsid w:val="001F143A"/>
    <w:rsid w:val="001F1605"/>
    <w:rsid w:val="001F2508"/>
    <w:rsid w:val="001F4816"/>
    <w:rsid w:val="001F4EE9"/>
    <w:rsid w:val="001F69B4"/>
    <w:rsid w:val="001F77C7"/>
    <w:rsid w:val="00200183"/>
    <w:rsid w:val="00200333"/>
    <w:rsid w:val="0020107D"/>
    <w:rsid w:val="00202164"/>
    <w:rsid w:val="00202AA4"/>
    <w:rsid w:val="002031F7"/>
    <w:rsid w:val="0020379D"/>
    <w:rsid w:val="002040E6"/>
    <w:rsid w:val="00204DE2"/>
    <w:rsid w:val="0020527B"/>
    <w:rsid w:val="00205F2C"/>
    <w:rsid w:val="00207316"/>
    <w:rsid w:val="00210B15"/>
    <w:rsid w:val="00213F5C"/>
    <w:rsid w:val="002142EA"/>
    <w:rsid w:val="00217C57"/>
    <w:rsid w:val="002204BB"/>
    <w:rsid w:val="00221B79"/>
    <w:rsid w:val="00221C6B"/>
    <w:rsid w:val="002253A1"/>
    <w:rsid w:val="00225CF8"/>
    <w:rsid w:val="00226ECD"/>
    <w:rsid w:val="0022794E"/>
    <w:rsid w:val="00233936"/>
    <w:rsid w:val="00233D64"/>
    <w:rsid w:val="0023482A"/>
    <w:rsid w:val="002359CB"/>
    <w:rsid w:val="002431C0"/>
    <w:rsid w:val="00243540"/>
    <w:rsid w:val="0024497B"/>
    <w:rsid w:val="00244DE1"/>
    <w:rsid w:val="0024515B"/>
    <w:rsid w:val="00246021"/>
    <w:rsid w:val="0024666E"/>
    <w:rsid w:val="00247F52"/>
    <w:rsid w:val="00250B25"/>
    <w:rsid w:val="00250BBE"/>
    <w:rsid w:val="002515C2"/>
    <w:rsid w:val="0025194F"/>
    <w:rsid w:val="002519C0"/>
    <w:rsid w:val="00260CCB"/>
    <w:rsid w:val="0026148A"/>
    <w:rsid w:val="00262696"/>
    <w:rsid w:val="002631F4"/>
    <w:rsid w:val="00263D25"/>
    <w:rsid w:val="002643C3"/>
    <w:rsid w:val="00264A0C"/>
    <w:rsid w:val="00266EEB"/>
    <w:rsid w:val="00267871"/>
    <w:rsid w:val="00267EF4"/>
    <w:rsid w:val="00267F4A"/>
    <w:rsid w:val="00270CB8"/>
    <w:rsid w:val="00271F05"/>
    <w:rsid w:val="00272462"/>
    <w:rsid w:val="00272B08"/>
    <w:rsid w:val="00272B26"/>
    <w:rsid w:val="00274E65"/>
    <w:rsid w:val="00281BB8"/>
    <w:rsid w:val="00281E9E"/>
    <w:rsid w:val="00282405"/>
    <w:rsid w:val="00285170"/>
    <w:rsid w:val="00285361"/>
    <w:rsid w:val="002920CD"/>
    <w:rsid w:val="002922B8"/>
    <w:rsid w:val="00292D60"/>
    <w:rsid w:val="00292DD3"/>
    <w:rsid w:val="00293B30"/>
    <w:rsid w:val="00294D34"/>
    <w:rsid w:val="00294E3B"/>
    <w:rsid w:val="00296193"/>
    <w:rsid w:val="00296C42"/>
    <w:rsid w:val="00296C66"/>
    <w:rsid w:val="00296EBE"/>
    <w:rsid w:val="002974E3"/>
    <w:rsid w:val="002A084B"/>
    <w:rsid w:val="002A1260"/>
    <w:rsid w:val="002A1589"/>
    <w:rsid w:val="002A1608"/>
    <w:rsid w:val="002A25DC"/>
    <w:rsid w:val="002A2F52"/>
    <w:rsid w:val="002A3AAB"/>
    <w:rsid w:val="002A4CEA"/>
    <w:rsid w:val="002A5977"/>
    <w:rsid w:val="002A5A13"/>
    <w:rsid w:val="002A757F"/>
    <w:rsid w:val="002A7F44"/>
    <w:rsid w:val="002B0C40"/>
    <w:rsid w:val="002B0D15"/>
    <w:rsid w:val="002B1966"/>
    <w:rsid w:val="002B2F23"/>
    <w:rsid w:val="002B4508"/>
    <w:rsid w:val="002B5214"/>
    <w:rsid w:val="002B5779"/>
    <w:rsid w:val="002B7332"/>
    <w:rsid w:val="002B7F51"/>
    <w:rsid w:val="002C08C0"/>
    <w:rsid w:val="002C09E7"/>
    <w:rsid w:val="002C1E06"/>
    <w:rsid w:val="002C1E1C"/>
    <w:rsid w:val="002C3F07"/>
    <w:rsid w:val="002C5278"/>
    <w:rsid w:val="002C7EBB"/>
    <w:rsid w:val="002D06C1"/>
    <w:rsid w:val="002D0B6C"/>
    <w:rsid w:val="002D403E"/>
    <w:rsid w:val="002D42B5"/>
    <w:rsid w:val="002D4F1A"/>
    <w:rsid w:val="002D6EC6"/>
    <w:rsid w:val="002D79AC"/>
    <w:rsid w:val="002E0300"/>
    <w:rsid w:val="002E039D"/>
    <w:rsid w:val="002E3914"/>
    <w:rsid w:val="002E4D5A"/>
    <w:rsid w:val="002E6326"/>
    <w:rsid w:val="002E6A2D"/>
    <w:rsid w:val="002F30E0"/>
    <w:rsid w:val="002F35E4"/>
    <w:rsid w:val="002F3730"/>
    <w:rsid w:val="002F38E1"/>
    <w:rsid w:val="002F6B73"/>
    <w:rsid w:val="002F7AF6"/>
    <w:rsid w:val="00300E63"/>
    <w:rsid w:val="00301035"/>
    <w:rsid w:val="0030245F"/>
    <w:rsid w:val="00302F5F"/>
    <w:rsid w:val="0030441D"/>
    <w:rsid w:val="00306063"/>
    <w:rsid w:val="00313848"/>
    <w:rsid w:val="00313B85"/>
    <w:rsid w:val="00315C77"/>
    <w:rsid w:val="00317686"/>
    <w:rsid w:val="00317988"/>
    <w:rsid w:val="003221B4"/>
    <w:rsid w:val="0032258D"/>
    <w:rsid w:val="00322E62"/>
    <w:rsid w:val="003235A4"/>
    <w:rsid w:val="00324D13"/>
    <w:rsid w:val="00324D2A"/>
    <w:rsid w:val="00324EDD"/>
    <w:rsid w:val="003331E4"/>
    <w:rsid w:val="00334380"/>
    <w:rsid w:val="00336C64"/>
    <w:rsid w:val="00337162"/>
    <w:rsid w:val="0034194F"/>
    <w:rsid w:val="0034362D"/>
    <w:rsid w:val="00344605"/>
    <w:rsid w:val="00345BEB"/>
    <w:rsid w:val="003474AA"/>
    <w:rsid w:val="00350D1D"/>
    <w:rsid w:val="00351291"/>
    <w:rsid w:val="00352C83"/>
    <w:rsid w:val="00353B86"/>
    <w:rsid w:val="00355B75"/>
    <w:rsid w:val="00356C88"/>
    <w:rsid w:val="003615D2"/>
    <w:rsid w:val="0036429C"/>
    <w:rsid w:val="00364A53"/>
    <w:rsid w:val="003654CB"/>
    <w:rsid w:val="00365AA9"/>
    <w:rsid w:val="00365F86"/>
    <w:rsid w:val="00365F87"/>
    <w:rsid w:val="00366E89"/>
    <w:rsid w:val="003705F4"/>
    <w:rsid w:val="00370D58"/>
    <w:rsid w:val="00371316"/>
    <w:rsid w:val="00372819"/>
    <w:rsid w:val="00372FA0"/>
    <w:rsid w:val="00376713"/>
    <w:rsid w:val="00381815"/>
    <w:rsid w:val="003819AF"/>
    <w:rsid w:val="003820E9"/>
    <w:rsid w:val="0038263F"/>
    <w:rsid w:val="00382DE7"/>
    <w:rsid w:val="00383276"/>
    <w:rsid w:val="00384FFC"/>
    <w:rsid w:val="003872FC"/>
    <w:rsid w:val="00387ADC"/>
    <w:rsid w:val="00390020"/>
    <w:rsid w:val="003903D6"/>
    <w:rsid w:val="00390BDB"/>
    <w:rsid w:val="00390EE6"/>
    <w:rsid w:val="0039118F"/>
    <w:rsid w:val="00391E4F"/>
    <w:rsid w:val="00392AD7"/>
    <w:rsid w:val="003938D9"/>
    <w:rsid w:val="00394376"/>
    <w:rsid w:val="003943FF"/>
    <w:rsid w:val="00395700"/>
    <w:rsid w:val="00395C56"/>
    <w:rsid w:val="003974EB"/>
    <w:rsid w:val="00397CC5"/>
    <w:rsid w:val="003A1582"/>
    <w:rsid w:val="003A2B14"/>
    <w:rsid w:val="003A4077"/>
    <w:rsid w:val="003B09AD"/>
    <w:rsid w:val="003B1F18"/>
    <w:rsid w:val="003B38FB"/>
    <w:rsid w:val="003B5A27"/>
    <w:rsid w:val="003B5BF0"/>
    <w:rsid w:val="003B60BF"/>
    <w:rsid w:val="003B63DD"/>
    <w:rsid w:val="003B6BE3"/>
    <w:rsid w:val="003C010C"/>
    <w:rsid w:val="003C0A6C"/>
    <w:rsid w:val="003C14F8"/>
    <w:rsid w:val="003C5A43"/>
    <w:rsid w:val="003C70C3"/>
    <w:rsid w:val="003D0519"/>
    <w:rsid w:val="003D0FF6"/>
    <w:rsid w:val="003D262C"/>
    <w:rsid w:val="003D58D2"/>
    <w:rsid w:val="003D6D61"/>
    <w:rsid w:val="003E091D"/>
    <w:rsid w:val="003E1C53"/>
    <w:rsid w:val="003E21EB"/>
    <w:rsid w:val="003E2A69"/>
    <w:rsid w:val="003E2D49"/>
    <w:rsid w:val="003E2FD4"/>
    <w:rsid w:val="003E49F6"/>
    <w:rsid w:val="003E660F"/>
    <w:rsid w:val="003F0841"/>
    <w:rsid w:val="003F23D3"/>
    <w:rsid w:val="003F3F08"/>
    <w:rsid w:val="003F49F1"/>
    <w:rsid w:val="003F57AD"/>
    <w:rsid w:val="003F6272"/>
    <w:rsid w:val="003F65FF"/>
    <w:rsid w:val="00400E72"/>
    <w:rsid w:val="00401400"/>
    <w:rsid w:val="00403ED6"/>
    <w:rsid w:val="00404869"/>
    <w:rsid w:val="00405884"/>
    <w:rsid w:val="00407D39"/>
    <w:rsid w:val="00412E29"/>
    <w:rsid w:val="0041375A"/>
    <w:rsid w:val="0041477A"/>
    <w:rsid w:val="00414E97"/>
    <w:rsid w:val="004158BC"/>
    <w:rsid w:val="004167A3"/>
    <w:rsid w:val="0041693C"/>
    <w:rsid w:val="00417415"/>
    <w:rsid w:val="0042384D"/>
    <w:rsid w:val="00423A92"/>
    <w:rsid w:val="00423D78"/>
    <w:rsid w:val="00430C29"/>
    <w:rsid w:val="00432DAA"/>
    <w:rsid w:val="00434305"/>
    <w:rsid w:val="00435238"/>
    <w:rsid w:val="00435DF7"/>
    <w:rsid w:val="0044083F"/>
    <w:rsid w:val="00441AE7"/>
    <w:rsid w:val="00443952"/>
    <w:rsid w:val="00445574"/>
    <w:rsid w:val="004467FB"/>
    <w:rsid w:val="00452D6B"/>
    <w:rsid w:val="004531CA"/>
    <w:rsid w:val="00454484"/>
    <w:rsid w:val="0045517B"/>
    <w:rsid w:val="00455DEF"/>
    <w:rsid w:val="00456CDC"/>
    <w:rsid w:val="00463B77"/>
    <w:rsid w:val="00463C7B"/>
    <w:rsid w:val="00463CD3"/>
    <w:rsid w:val="004644A6"/>
    <w:rsid w:val="004659BD"/>
    <w:rsid w:val="00466750"/>
    <w:rsid w:val="00467711"/>
    <w:rsid w:val="00467F55"/>
    <w:rsid w:val="00470775"/>
    <w:rsid w:val="004746B1"/>
    <w:rsid w:val="0047583F"/>
    <w:rsid w:val="00475DE8"/>
    <w:rsid w:val="00481AC6"/>
    <w:rsid w:val="00481C44"/>
    <w:rsid w:val="004827AC"/>
    <w:rsid w:val="00484936"/>
    <w:rsid w:val="00485906"/>
    <w:rsid w:val="00485BF9"/>
    <w:rsid w:val="00485C89"/>
    <w:rsid w:val="00486BE3"/>
    <w:rsid w:val="004905E4"/>
    <w:rsid w:val="00490A89"/>
    <w:rsid w:val="00490AB4"/>
    <w:rsid w:val="00492F02"/>
    <w:rsid w:val="0049371F"/>
    <w:rsid w:val="004939AE"/>
    <w:rsid w:val="004A12DF"/>
    <w:rsid w:val="004A17E6"/>
    <w:rsid w:val="004A1BA8"/>
    <w:rsid w:val="004A4B57"/>
    <w:rsid w:val="004A540C"/>
    <w:rsid w:val="004A63FA"/>
    <w:rsid w:val="004B0272"/>
    <w:rsid w:val="004B1364"/>
    <w:rsid w:val="004B2701"/>
    <w:rsid w:val="004B2E1B"/>
    <w:rsid w:val="004B3AA8"/>
    <w:rsid w:val="004B3E93"/>
    <w:rsid w:val="004B459D"/>
    <w:rsid w:val="004C1FBC"/>
    <w:rsid w:val="004C3F1D"/>
    <w:rsid w:val="004C458D"/>
    <w:rsid w:val="004C7556"/>
    <w:rsid w:val="004C7B73"/>
    <w:rsid w:val="004C7E8B"/>
    <w:rsid w:val="004C7E9D"/>
    <w:rsid w:val="004C7F67"/>
    <w:rsid w:val="004D076D"/>
    <w:rsid w:val="004D0EF1"/>
    <w:rsid w:val="004D20AA"/>
    <w:rsid w:val="004D2253"/>
    <w:rsid w:val="004D4406"/>
    <w:rsid w:val="004D7C42"/>
    <w:rsid w:val="004E0465"/>
    <w:rsid w:val="004E127B"/>
    <w:rsid w:val="004E18CE"/>
    <w:rsid w:val="004E1C0A"/>
    <w:rsid w:val="004E2B06"/>
    <w:rsid w:val="004E30C5"/>
    <w:rsid w:val="004E3ED3"/>
    <w:rsid w:val="004E4AA5"/>
    <w:rsid w:val="004E4AEE"/>
    <w:rsid w:val="004E59E3"/>
    <w:rsid w:val="004E67C0"/>
    <w:rsid w:val="004E6D64"/>
    <w:rsid w:val="004F391A"/>
    <w:rsid w:val="004F3CFB"/>
    <w:rsid w:val="004F6456"/>
    <w:rsid w:val="004F696E"/>
    <w:rsid w:val="004F6C71"/>
    <w:rsid w:val="004F7DA0"/>
    <w:rsid w:val="00501139"/>
    <w:rsid w:val="0050363E"/>
    <w:rsid w:val="005039BC"/>
    <w:rsid w:val="005043BB"/>
    <w:rsid w:val="005049EB"/>
    <w:rsid w:val="00504A3D"/>
    <w:rsid w:val="0050504C"/>
    <w:rsid w:val="00505767"/>
    <w:rsid w:val="005073F0"/>
    <w:rsid w:val="00510A7B"/>
    <w:rsid w:val="0051255F"/>
    <w:rsid w:val="00512F6E"/>
    <w:rsid w:val="00513038"/>
    <w:rsid w:val="00514174"/>
    <w:rsid w:val="00516088"/>
    <w:rsid w:val="00516B0B"/>
    <w:rsid w:val="005215A9"/>
    <w:rsid w:val="005220EC"/>
    <w:rsid w:val="00522E1D"/>
    <w:rsid w:val="0052307A"/>
    <w:rsid w:val="00523F95"/>
    <w:rsid w:val="00524D65"/>
    <w:rsid w:val="00524F27"/>
    <w:rsid w:val="00525B16"/>
    <w:rsid w:val="00531345"/>
    <w:rsid w:val="0053260A"/>
    <w:rsid w:val="00533593"/>
    <w:rsid w:val="00533D04"/>
    <w:rsid w:val="00534804"/>
    <w:rsid w:val="00534BDF"/>
    <w:rsid w:val="005354EA"/>
    <w:rsid w:val="0053585F"/>
    <w:rsid w:val="00535EC4"/>
    <w:rsid w:val="00535ED9"/>
    <w:rsid w:val="005361ED"/>
    <w:rsid w:val="0053692B"/>
    <w:rsid w:val="0053776C"/>
    <w:rsid w:val="00541853"/>
    <w:rsid w:val="00542964"/>
    <w:rsid w:val="00543BDA"/>
    <w:rsid w:val="005441CC"/>
    <w:rsid w:val="00546E03"/>
    <w:rsid w:val="005479DA"/>
    <w:rsid w:val="00547BCC"/>
    <w:rsid w:val="0055013B"/>
    <w:rsid w:val="00551F6F"/>
    <w:rsid w:val="00554AE3"/>
    <w:rsid w:val="00555044"/>
    <w:rsid w:val="00557F45"/>
    <w:rsid w:val="00561475"/>
    <w:rsid w:val="0056487B"/>
    <w:rsid w:val="00564E9A"/>
    <w:rsid w:val="00564FB9"/>
    <w:rsid w:val="00565DF3"/>
    <w:rsid w:val="005673C8"/>
    <w:rsid w:val="00573D9E"/>
    <w:rsid w:val="00577377"/>
    <w:rsid w:val="005801E3"/>
    <w:rsid w:val="00581802"/>
    <w:rsid w:val="005836A8"/>
    <w:rsid w:val="0058409C"/>
    <w:rsid w:val="00584262"/>
    <w:rsid w:val="00586630"/>
    <w:rsid w:val="00587ADD"/>
    <w:rsid w:val="005930A1"/>
    <w:rsid w:val="00596094"/>
    <w:rsid w:val="00596160"/>
    <w:rsid w:val="005966E2"/>
    <w:rsid w:val="00596E8B"/>
    <w:rsid w:val="00597007"/>
    <w:rsid w:val="005A0966"/>
    <w:rsid w:val="005A0B3E"/>
    <w:rsid w:val="005A11B7"/>
    <w:rsid w:val="005A1EED"/>
    <w:rsid w:val="005A260B"/>
    <w:rsid w:val="005A4A1B"/>
    <w:rsid w:val="005A7830"/>
    <w:rsid w:val="005A7FCE"/>
    <w:rsid w:val="005B0F3F"/>
    <w:rsid w:val="005B2A4A"/>
    <w:rsid w:val="005B3A2C"/>
    <w:rsid w:val="005B4903"/>
    <w:rsid w:val="005B51CE"/>
    <w:rsid w:val="005B5885"/>
    <w:rsid w:val="005B5CD7"/>
    <w:rsid w:val="005B6CF6"/>
    <w:rsid w:val="005B7422"/>
    <w:rsid w:val="005C29B8"/>
    <w:rsid w:val="005C30D3"/>
    <w:rsid w:val="005C5F21"/>
    <w:rsid w:val="005C7156"/>
    <w:rsid w:val="005D0C75"/>
    <w:rsid w:val="005D3BD2"/>
    <w:rsid w:val="005D4171"/>
    <w:rsid w:val="005D5E3A"/>
    <w:rsid w:val="005D6A95"/>
    <w:rsid w:val="005D6B2C"/>
    <w:rsid w:val="005D6D9C"/>
    <w:rsid w:val="005E2335"/>
    <w:rsid w:val="005E34CA"/>
    <w:rsid w:val="005E3C18"/>
    <w:rsid w:val="005E6812"/>
    <w:rsid w:val="005E6D85"/>
    <w:rsid w:val="005E7076"/>
    <w:rsid w:val="005E7881"/>
    <w:rsid w:val="005E78E0"/>
    <w:rsid w:val="005F0D9C"/>
    <w:rsid w:val="005F284E"/>
    <w:rsid w:val="005F3669"/>
    <w:rsid w:val="005F4712"/>
    <w:rsid w:val="006015CE"/>
    <w:rsid w:val="00601DC4"/>
    <w:rsid w:val="00604784"/>
    <w:rsid w:val="00606419"/>
    <w:rsid w:val="00607D29"/>
    <w:rsid w:val="006114A0"/>
    <w:rsid w:val="00612952"/>
    <w:rsid w:val="00614CC1"/>
    <w:rsid w:val="00615A9D"/>
    <w:rsid w:val="0061600A"/>
    <w:rsid w:val="00617387"/>
    <w:rsid w:val="006205D6"/>
    <w:rsid w:val="00621B47"/>
    <w:rsid w:val="006252D8"/>
    <w:rsid w:val="006259BC"/>
    <w:rsid w:val="0062636B"/>
    <w:rsid w:val="00632182"/>
    <w:rsid w:val="00632AE0"/>
    <w:rsid w:val="00633C17"/>
    <w:rsid w:val="00634D9E"/>
    <w:rsid w:val="00636434"/>
    <w:rsid w:val="00636E3E"/>
    <w:rsid w:val="006379F7"/>
    <w:rsid w:val="00637E4D"/>
    <w:rsid w:val="00640620"/>
    <w:rsid w:val="00641A1F"/>
    <w:rsid w:val="006452E8"/>
    <w:rsid w:val="00645513"/>
    <w:rsid w:val="00645904"/>
    <w:rsid w:val="00647C45"/>
    <w:rsid w:val="00650AD6"/>
    <w:rsid w:val="00650D6E"/>
    <w:rsid w:val="00651ACB"/>
    <w:rsid w:val="00651C47"/>
    <w:rsid w:val="00652AB2"/>
    <w:rsid w:val="00653FED"/>
    <w:rsid w:val="00654894"/>
    <w:rsid w:val="00654EC0"/>
    <w:rsid w:val="0065525B"/>
    <w:rsid w:val="00655D4F"/>
    <w:rsid w:val="00656D29"/>
    <w:rsid w:val="006640E5"/>
    <w:rsid w:val="006646F1"/>
    <w:rsid w:val="00664929"/>
    <w:rsid w:val="00664F62"/>
    <w:rsid w:val="006652E3"/>
    <w:rsid w:val="006655E1"/>
    <w:rsid w:val="00672060"/>
    <w:rsid w:val="00672BFD"/>
    <w:rsid w:val="006770F4"/>
    <w:rsid w:val="00677A84"/>
    <w:rsid w:val="0068026D"/>
    <w:rsid w:val="00680A27"/>
    <w:rsid w:val="006816A4"/>
    <w:rsid w:val="006819B8"/>
    <w:rsid w:val="00683A0F"/>
    <w:rsid w:val="006840A6"/>
    <w:rsid w:val="006850CD"/>
    <w:rsid w:val="00685AAB"/>
    <w:rsid w:val="006A07AA"/>
    <w:rsid w:val="006A25E5"/>
    <w:rsid w:val="006A2B46"/>
    <w:rsid w:val="006A336D"/>
    <w:rsid w:val="006A37B9"/>
    <w:rsid w:val="006B2672"/>
    <w:rsid w:val="006B28DC"/>
    <w:rsid w:val="006B38A4"/>
    <w:rsid w:val="006B43AB"/>
    <w:rsid w:val="006B54BF"/>
    <w:rsid w:val="006B5F44"/>
    <w:rsid w:val="006B5F90"/>
    <w:rsid w:val="006B62E4"/>
    <w:rsid w:val="006B74D3"/>
    <w:rsid w:val="006C02C5"/>
    <w:rsid w:val="006C1466"/>
    <w:rsid w:val="006C1BBA"/>
    <w:rsid w:val="006C2079"/>
    <w:rsid w:val="006C3FAE"/>
    <w:rsid w:val="006C5A62"/>
    <w:rsid w:val="006C5D68"/>
    <w:rsid w:val="006C6976"/>
    <w:rsid w:val="006C6DD0"/>
    <w:rsid w:val="006C7B44"/>
    <w:rsid w:val="006D04EA"/>
    <w:rsid w:val="006D16C4"/>
    <w:rsid w:val="006D211A"/>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DC1"/>
    <w:rsid w:val="00711CBA"/>
    <w:rsid w:val="00711FB5"/>
    <w:rsid w:val="00712A01"/>
    <w:rsid w:val="00714F58"/>
    <w:rsid w:val="0071622C"/>
    <w:rsid w:val="00722FBF"/>
    <w:rsid w:val="00722FC2"/>
    <w:rsid w:val="00724879"/>
    <w:rsid w:val="00724E1B"/>
    <w:rsid w:val="00725949"/>
    <w:rsid w:val="00727FA2"/>
    <w:rsid w:val="007322D9"/>
    <w:rsid w:val="00732693"/>
    <w:rsid w:val="00732BC0"/>
    <w:rsid w:val="00735CCA"/>
    <w:rsid w:val="00735D9B"/>
    <w:rsid w:val="0073720F"/>
    <w:rsid w:val="00737796"/>
    <w:rsid w:val="0074165C"/>
    <w:rsid w:val="00741701"/>
    <w:rsid w:val="00742C35"/>
    <w:rsid w:val="007432CA"/>
    <w:rsid w:val="007439EB"/>
    <w:rsid w:val="00743CB4"/>
    <w:rsid w:val="00743F0A"/>
    <w:rsid w:val="007444E8"/>
    <w:rsid w:val="0074548E"/>
    <w:rsid w:val="00745773"/>
    <w:rsid w:val="00746800"/>
    <w:rsid w:val="007501A8"/>
    <w:rsid w:val="00750D61"/>
    <w:rsid w:val="00750EE1"/>
    <w:rsid w:val="007526F0"/>
    <w:rsid w:val="00752B4D"/>
    <w:rsid w:val="00753D65"/>
    <w:rsid w:val="00755402"/>
    <w:rsid w:val="00756B26"/>
    <w:rsid w:val="00756EDF"/>
    <w:rsid w:val="007600E3"/>
    <w:rsid w:val="00762449"/>
    <w:rsid w:val="0076535D"/>
    <w:rsid w:val="00765C43"/>
    <w:rsid w:val="00765EFB"/>
    <w:rsid w:val="007671CA"/>
    <w:rsid w:val="00767C61"/>
    <w:rsid w:val="0077008A"/>
    <w:rsid w:val="00773C1F"/>
    <w:rsid w:val="00774DA4"/>
    <w:rsid w:val="00776599"/>
    <w:rsid w:val="0078114B"/>
    <w:rsid w:val="00781DD2"/>
    <w:rsid w:val="00783411"/>
    <w:rsid w:val="00783ECF"/>
    <w:rsid w:val="0078413A"/>
    <w:rsid w:val="007944E2"/>
    <w:rsid w:val="007959E8"/>
    <w:rsid w:val="00795C30"/>
    <w:rsid w:val="00795E9C"/>
    <w:rsid w:val="00795F29"/>
    <w:rsid w:val="007A0521"/>
    <w:rsid w:val="007A0E43"/>
    <w:rsid w:val="007A2E12"/>
    <w:rsid w:val="007A3475"/>
    <w:rsid w:val="007A41C8"/>
    <w:rsid w:val="007A54CE"/>
    <w:rsid w:val="007A6FD9"/>
    <w:rsid w:val="007A7FFA"/>
    <w:rsid w:val="007B04EB"/>
    <w:rsid w:val="007B0D4F"/>
    <w:rsid w:val="007B3DE8"/>
    <w:rsid w:val="007B55A1"/>
    <w:rsid w:val="007B5A3D"/>
    <w:rsid w:val="007B5B95"/>
    <w:rsid w:val="007B68EA"/>
    <w:rsid w:val="007B7453"/>
    <w:rsid w:val="007C1E8B"/>
    <w:rsid w:val="007C2D89"/>
    <w:rsid w:val="007C3DD4"/>
    <w:rsid w:val="007C3DFF"/>
    <w:rsid w:val="007C4194"/>
    <w:rsid w:val="007C4593"/>
    <w:rsid w:val="007C5309"/>
    <w:rsid w:val="007C6069"/>
    <w:rsid w:val="007D02D0"/>
    <w:rsid w:val="007D06C4"/>
    <w:rsid w:val="007D1352"/>
    <w:rsid w:val="007D2508"/>
    <w:rsid w:val="007D346A"/>
    <w:rsid w:val="007D497C"/>
    <w:rsid w:val="007D6518"/>
    <w:rsid w:val="007D76BD"/>
    <w:rsid w:val="007E0BF1"/>
    <w:rsid w:val="007E5C43"/>
    <w:rsid w:val="007E640B"/>
    <w:rsid w:val="007F0ED8"/>
    <w:rsid w:val="007F0F63"/>
    <w:rsid w:val="007F75CE"/>
    <w:rsid w:val="008013A4"/>
    <w:rsid w:val="008027CE"/>
    <w:rsid w:val="00802F42"/>
    <w:rsid w:val="00803D23"/>
    <w:rsid w:val="00804383"/>
    <w:rsid w:val="00804BB7"/>
    <w:rsid w:val="00804D41"/>
    <w:rsid w:val="00810257"/>
    <w:rsid w:val="008104F5"/>
    <w:rsid w:val="00811072"/>
    <w:rsid w:val="0081129D"/>
    <w:rsid w:val="00811369"/>
    <w:rsid w:val="00814827"/>
    <w:rsid w:val="00815419"/>
    <w:rsid w:val="008163C8"/>
    <w:rsid w:val="008164A1"/>
    <w:rsid w:val="00817325"/>
    <w:rsid w:val="008209E6"/>
    <w:rsid w:val="008226AE"/>
    <w:rsid w:val="00823303"/>
    <w:rsid w:val="008233B2"/>
    <w:rsid w:val="00823A9F"/>
    <w:rsid w:val="00823C85"/>
    <w:rsid w:val="00825138"/>
    <w:rsid w:val="00826114"/>
    <w:rsid w:val="008269DD"/>
    <w:rsid w:val="00830621"/>
    <w:rsid w:val="0083348C"/>
    <w:rsid w:val="008338C1"/>
    <w:rsid w:val="008373D3"/>
    <w:rsid w:val="00840617"/>
    <w:rsid w:val="00840770"/>
    <w:rsid w:val="00840F68"/>
    <w:rsid w:val="00840F84"/>
    <w:rsid w:val="00842A47"/>
    <w:rsid w:val="00843C13"/>
    <w:rsid w:val="00845210"/>
    <w:rsid w:val="008454F8"/>
    <w:rsid w:val="0085173A"/>
    <w:rsid w:val="00856316"/>
    <w:rsid w:val="00856714"/>
    <w:rsid w:val="00856E9B"/>
    <w:rsid w:val="008603CE"/>
    <w:rsid w:val="00861C41"/>
    <w:rsid w:val="008620FC"/>
    <w:rsid w:val="0086246E"/>
    <w:rsid w:val="008627A5"/>
    <w:rsid w:val="00863E05"/>
    <w:rsid w:val="00865ACA"/>
    <w:rsid w:val="00865D28"/>
    <w:rsid w:val="00865F85"/>
    <w:rsid w:val="00867C10"/>
    <w:rsid w:val="00870439"/>
    <w:rsid w:val="00870DA1"/>
    <w:rsid w:val="00875AC5"/>
    <w:rsid w:val="00875C93"/>
    <w:rsid w:val="00880F82"/>
    <w:rsid w:val="00881BFA"/>
    <w:rsid w:val="00883139"/>
    <w:rsid w:val="00883F93"/>
    <w:rsid w:val="008849FC"/>
    <w:rsid w:val="00884DB3"/>
    <w:rsid w:val="00884E37"/>
    <w:rsid w:val="00885A9D"/>
    <w:rsid w:val="008864F6"/>
    <w:rsid w:val="0089049D"/>
    <w:rsid w:val="00891F09"/>
    <w:rsid w:val="00892577"/>
    <w:rsid w:val="008928C9"/>
    <w:rsid w:val="008930CB"/>
    <w:rsid w:val="008938DC"/>
    <w:rsid w:val="00893FD1"/>
    <w:rsid w:val="00894836"/>
    <w:rsid w:val="00895172"/>
    <w:rsid w:val="00895680"/>
    <w:rsid w:val="00896DFF"/>
    <w:rsid w:val="0089762C"/>
    <w:rsid w:val="00897ED5"/>
    <w:rsid w:val="008A1625"/>
    <w:rsid w:val="008A1893"/>
    <w:rsid w:val="008A3215"/>
    <w:rsid w:val="008A57E6"/>
    <w:rsid w:val="008A6F81"/>
    <w:rsid w:val="008A72A0"/>
    <w:rsid w:val="008A769A"/>
    <w:rsid w:val="008B0B0E"/>
    <w:rsid w:val="008B0C9C"/>
    <w:rsid w:val="008B166D"/>
    <w:rsid w:val="008B17F4"/>
    <w:rsid w:val="008B3615"/>
    <w:rsid w:val="008B4AC4"/>
    <w:rsid w:val="008B50C8"/>
    <w:rsid w:val="008B5281"/>
    <w:rsid w:val="008B6602"/>
    <w:rsid w:val="008B7E05"/>
    <w:rsid w:val="008C1797"/>
    <w:rsid w:val="008C1FBD"/>
    <w:rsid w:val="008C219C"/>
    <w:rsid w:val="008C475E"/>
    <w:rsid w:val="008C619A"/>
    <w:rsid w:val="008D0CE8"/>
    <w:rsid w:val="008D2D1D"/>
    <w:rsid w:val="008D453D"/>
    <w:rsid w:val="008D53AD"/>
    <w:rsid w:val="008D562B"/>
    <w:rsid w:val="008D5733"/>
    <w:rsid w:val="008D622B"/>
    <w:rsid w:val="008D666C"/>
    <w:rsid w:val="008D7B54"/>
    <w:rsid w:val="008E083F"/>
    <w:rsid w:val="008E0C9D"/>
    <w:rsid w:val="008E1648"/>
    <w:rsid w:val="008E1706"/>
    <w:rsid w:val="008E1B3E"/>
    <w:rsid w:val="008E2319"/>
    <w:rsid w:val="008E36E0"/>
    <w:rsid w:val="008E42CC"/>
    <w:rsid w:val="008E4BB6"/>
    <w:rsid w:val="008E5518"/>
    <w:rsid w:val="008E6A84"/>
    <w:rsid w:val="008E6E1B"/>
    <w:rsid w:val="008F0CDC"/>
    <w:rsid w:val="008F16A9"/>
    <w:rsid w:val="008F17A3"/>
    <w:rsid w:val="008F1ED3"/>
    <w:rsid w:val="008F23A5"/>
    <w:rsid w:val="008F4C29"/>
    <w:rsid w:val="008F70BD"/>
    <w:rsid w:val="008F788F"/>
    <w:rsid w:val="008F7EA2"/>
    <w:rsid w:val="00902722"/>
    <w:rsid w:val="009027BC"/>
    <w:rsid w:val="00904636"/>
    <w:rsid w:val="009062E6"/>
    <w:rsid w:val="00911BE5"/>
    <w:rsid w:val="00913CA9"/>
    <w:rsid w:val="009145AE"/>
    <w:rsid w:val="009146CE"/>
    <w:rsid w:val="00914CA7"/>
    <w:rsid w:val="00915C3E"/>
    <w:rsid w:val="009161A8"/>
    <w:rsid w:val="0091646B"/>
    <w:rsid w:val="0092409D"/>
    <w:rsid w:val="009245F5"/>
    <w:rsid w:val="009249EC"/>
    <w:rsid w:val="009273B3"/>
    <w:rsid w:val="009305B5"/>
    <w:rsid w:val="00940529"/>
    <w:rsid w:val="009405F3"/>
    <w:rsid w:val="009429D5"/>
    <w:rsid w:val="00942BF1"/>
    <w:rsid w:val="00945180"/>
    <w:rsid w:val="00945428"/>
    <w:rsid w:val="0094607B"/>
    <w:rsid w:val="00946F74"/>
    <w:rsid w:val="00947D5D"/>
    <w:rsid w:val="00950426"/>
    <w:rsid w:val="00953604"/>
    <w:rsid w:val="00954839"/>
    <w:rsid w:val="0095496B"/>
    <w:rsid w:val="009610DC"/>
    <w:rsid w:val="00961490"/>
    <w:rsid w:val="0096381A"/>
    <w:rsid w:val="00965E04"/>
    <w:rsid w:val="009667A5"/>
    <w:rsid w:val="009674AD"/>
    <w:rsid w:val="00970CDC"/>
    <w:rsid w:val="00976F8A"/>
    <w:rsid w:val="00977010"/>
    <w:rsid w:val="00977D02"/>
    <w:rsid w:val="009809BB"/>
    <w:rsid w:val="0098364B"/>
    <w:rsid w:val="00984680"/>
    <w:rsid w:val="00986361"/>
    <w:rsid w:val="009911AF"/>
    <w:rsid w:val="00991875"/>
    <w:rsid w:val="00991F92"/>
    <w:rsid w:val="00992985"/>
    <w:rsid w:val="00992F6E"/>
    <w:rsid w:val="00993889"/>
    <w:rsid w:val="0099551B"/>
    <w:rsid w:val="009976CC"/>
    <w:rsid w:val="00997BF1"/>
    <w:rsid w:val="009A089C"/>
    <w:rsid w:val="009A08D8"/>
    <w:rsid w:val="009A118E"/>
    <w:rsid w:val="009A21CD"/>
    <w:rsid w:val="009A278C"/>
    <w:rsid w:val="009A2BC2"/>
    <w:rsid w:val="009A42C1"/>
    <w:rsid w:val="009A4F6B"/>
    <w:rsid w:val="009A5429"/>
    <w:rsid w:val="009A6284"/>
    <w:rsid w:val="009A6294"/>
    <w:rsid w:val="009A72AD"/>
    <w:rsid w:val="009B09E0"/>
    <w:rsid w:val="009B0BC5"/>
    <w:rsid w:val="009B1247"/>
    <w:rsid w:val="009B6029"/>
    <w:rsid w:val="009B6971"/>
    <w:rsid w:val="009C27F1"/>
    <w:rsid w:val="009C3152"/>
    <w:rsid w:val="009C4CFA"/>
    <w:rsid w:val="009C5070"/>
    <w:rsid w:val="009C5565"/>
    <w:rsid w:val="009C604A"/>
    <w:rsid w:val="009D112C"/>
    <w:rsid w:val="009D36F4"/>
    <w:rsid w:val="009D47FA"/>
    <w:rsid w:val="009D4C5B"/>
    <w:rsid w:val="009D50D2"/>
    <w:rsid w:val="009D6BCA"/>
    <w:rsid w:val="009E0F62"/>
    <w:rsid w:val="009E4A58"/>
    <w:rsid w:val="009E5A2D"/>
    <w:rsid w:val="009E5AB2"/>
    <w:rsid w:val="009E6219"/>
    <w:rsid w:val="009E7D58"/>
    <w:rsid w:val="009F03B3"/>
    <w:rsid w:val="009F07EC"/>
    <w:rsid w:val="009F5B8C"/>
    <w:rsid w:val="00A00601"/>
    <w:rsid w:val="00A0096C"/>
    <w:rsid w:val="00A01757"/>
    <w:rsid w:val="00A028C0"/>
    <w:rsid w:val="00A02BAE"/>
    <w:rsid w:val="00A06A6B"/>
    <w:rsid w:val="00A07734"/>
    <w:rsid w:val="00A07E47"/>
    <w:rsid w:val="00A129D0"/>
    <w:rsid w:val="00A12C33"/>
    <w:rsid w:val="00A138BA"/>
    <w:rsid w:val="00A1435A"/>
    <w:rsid w:val="00A14C8E"/>
    <w:rsid w:val="00A14FE7"/>
    <w:rsid w:val="00A153D9"/>
    <w:rsid w:val="00A15F09"/>
    <w:rsid w:val="00A169B6"/>
    <w:rsid w:val="00A2271D"/>
    <w:rsid w:val="00A237D5"/>
    <w:rsid w:val="00A23F01"/>
    <w:rsid w:val="00A245E7"/>
    <w:rsid w:val="00A2510F"/>
    <w:rsid w:val="00A277DD"/>
    <w:rsid w:val="00A30EFC"/>
    <w:rsid w:val="00A31984"/>
    <w:rsid w:val="00A32D73"/>
    <w:rsid w:val="00A3367B"/>
    <w:rsid w:val="00A33A84"/>
    <w:rsid w:val="00A34A38"/>
    <w:rsid w:val="00A3597D"/>
    <w:rsid w:val="00A36DD1"/>
    <w:rsid w:val="00A4006C"/>
    <w:rsid w:val="00A40091"/>
    <w:rsid w:val="00A4030F"/>
    <w:rsid w:val="00A41014"/>
    <w:rsid w:val="00A41C79"/>
    <w:rsid w:val="00A41CB5"/>
    <w:rsid w:val="00A42CDF"/>
    <w:rsid w:val="00A4452E"/>
    <w:rsid w:val="00A4472C"/>
    <w:rsid w:val="00A44E69"/>
    <w:rsid w:val="00A4661E"/>
    <w:rsid w:val="00A46A19"/>
    <w:rsid w:val="00A5073B"/>
    <w:rsid w:val="00A52920"/>
    <w:rsid w:val="00A53D9B"/>
    <w:rsid w:val="00A55288"/>
    <w:rsid w:val="00A55BD6"/>
    <w:rsid w:val="00A55D50"/>
    <w:rsid w:val="00A56B97"/>
    <w:rsid w:val="00A57142"/>
    <w:rsid w:val="00A6162B"/>
    <w:rsid w:val="00A63EAB"/>
    <w:rsid w:val="00A648CD"/>
    <w:rsid w:val="00A6537A"/>
    <w:rsid w:val="00A67866"/>
    <w:rsid w:val="00A70A45"/>
    <w:rsid w:val="00A70B07"/>
    <w:rsid w:val="00A723F8"/>
    <w:rsid w:val="00A77CCB"/>
    <w:rsid w:val="00A83D8D"/>
    <w:rsid w:val="00A8446B"/>
    <w:rsid w:val="00A8473F"/>
    <w:rsid w:val="00A84D5E"/>
    <w:rsid w:val="00A862D6"/>
    <w:rsid w:val="00A8660B"/>
    <w:rsid w:val="00A8715E"/>
    <w:rsid w:val="00A9295B"/>
    <w:rsid w:val="00A935A9"/>
    <w:rsid w:val="00A93B09"/>
    <w:rsid w:val="00A94247"/>
    <w:rsid w:val="00A952D7"/>
    <w:rsid w:val="00A96089"/>
    <w:rsid w:val="00A963F7"/>
    <w:rsid w:val="00A96AD8"/>
    <w:rsid w:val="00AA0055"/>
    <w:rsid w:val="00AA052C"/>
    <w:rsid w:val="00AA1E45"/>
    <w:rsid w:val="00AA4286"/>
    <w:rsid w:val="00AA456B"/>
    <w:rsid w:val="00AA57F5"/>
    <w:rsid w:val="00AA672E"/>
    <w:rsid w:val="00AA6EC9"/>
    <w:rsid w:val="00AA727A"/>
    <w:rsid w:val="00AB41D5"/>
    <w:rsid w:val="00AB6309"/>
    <w:rsid w:val="00AB6C5F"/>
    <w:rsid w:val="00AB7129"/>
    <w:rsid w:val="00AC027C"/>
    <w:rsid w:val="00AC1EF5"/>
    <w:rsid w:val="00AC27A6"/>
    <w:rsid w:val="00AC2F92"/>
    <w:rsid w:val="00AC2FCB"/>
    <w:rsid w:val="00AC30F7"/>
    <w:rsid w:val="00AC3A5A"/>
    <w:rsid w:val="00AC4D95"/>
    <w:rsid w:val="00AC5DF4"/>
    <w:rsid w:val="00AD09AB"/>
    <w:rsid w:val="00AD0AEF"/>
    <w:rsid w:val="00AD11B7"/>
    <w:rsid w:val="00AD1A94"/>
    <w:rsid w:val="00AD1C05"/>
    <w:rsid w:val="00AD2199"/>
    <w:rsid w:val="00AD3725"/>
    <w:rsid w:val="00AD3FBB"/>
    <w:rsid w:val="00AD4126"/>
    <w:rsid w:val="00AD421C"/>
    <w:rsid w:val="00AD44FA"/>
    <w:rsid w:val="00AE070A"/>
    <w:rsid w:val="00AE101C"/>
    <w:rsid w:val="00AE1D04"/>
    <w:rsid w:val="00AE37E5"/>
    <w:rsid w:val="00AE5605"/>
    <w:rsid w:val="00AE5EB4"/>
    <w:rsid w:val="00AF0C18"/>
    <w:rsid w:val="00AF1C0B"/>
    <w:rsid w:val="00AF3C32"/>
    <w:rsid w:val="00AF47C5"/>
    <w:rsid w:val="00AF5080"/>
    <w:rsid w:val="00AF5398"/>
    <w:rsid w:val="00AF5517"/>
    <w:rsid w:val="00AF6313"/>
    <w:rsid w:val="00B01060"/>
    <w:rsid w:val="00B049AF"/>
    <w:rsid w:val="00B05847"/>
    <w:rsid w:val="00B065E5"/>
    <w:rsid w:val="00B06B1E"/>
    <w:rsid w:val="00B07242"/>
    <w:rsid w:val="00B10534"/>
    <w:rsid w:val="00B113DB"/>
    <w:rsid w:val="00B11D8A"/>
    <w:rsid w:val="00B12751"/>
    <w:rsid w:val="00B12981"/>
    <w:rsid w:val="00B14248"/>
    <w:rsid w:val="00B147DD"/>
    <w:rsid w:val="00B149DE"/>
    <w:rsid w:val="00B156FD"/>
    <w:rsid w:val="00B21F61"/>
    <w:rsid w:val="00B261F1"/>
    <w:rsid w:val="00B265BC"/>
    <w:rsid w:val="00B27AA4"/>
    <w:rsid w:val="00B31450"/>
    <w:rsid w:val="00B31D56"/>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C8C"/>
    <w:rsid w:val="00B66F52"/>
    <w:rsid w:val="00B66FE5"/>
    <w:rsid w:val="00B72880"/>
    <w:rsid w:val="00B73960"/>
    <w:rsid w:val="00B758BF"/>
    <w:rsid w:val="00B76985"/>
    <w:rsid w:val="00B77EC8"/>
    <w:rsid w:val="00B819DD"/>
    <w:rsid w:val="00B827A6"/>
    <w:rsid w:val="00B831CE"/>
    <w:rsid w:val="00B84AC5"/>
    <w:rsid w:val="00B86677"/>
    <w:rsid w:val="00B87131"/>
    <w:rsid w:val="00B939B1"/>
    <w:rsid w:val="00B96118"/>
    <w:rsid w:val="00B96D40"/>
    <w:rsid w:val="00B9704D"/>
    <w:rsid w:val="00B97386"/>
    <w:rsid w:val="00B97751"/>
    <w:rsid w:val="00BA263B"/>
    <w:rsid w:val="00BA42B2"/>
    <w:rsid w:val="00BA58D4"/>
    <w:rsid w:val="00BA5B9E"/>
    <w:rsid w:val="00BA5F71"/>
    <w:rsid w:val="00BA7C9A"/>
    <w:rsid w:val="00BB1C69"/>
    <w:rsid w:val="00BB5D8D"/>
    <w:rsid w:val="00BB5F8F"/>
    <w:rsid w:val="00BB657A"/>
    <w:rsid w:val="00BC0126"/>
    <w:rsid w:val="00BC1A4E"/>
    <w:rsid w:val="00BC2056"/>
    <w:rsid w:val="00BC5DC7"/>
    <w:rsid w:val="00BC683F"/>
    <w:rsid w:val="00BC6B8B"/>
    <w:rsid w:val="00BC73D8"/>
    <w:rsid w:val="00BD52D7"/>
    <w:rsid w:val="00BD5AD2"/>
    <w:rsid w:val="00BE22F3"/>
    <w:rsid w:val="00BE4967"/>
    <w:rsid w:val="00BE4A63"/>
    <w:rsid w:val="00BE5064"/>
    <w:rsid w:val="00BE5B52"/>
    <w:rsid w:val="00BE7B8D"/>
    <w:rsid w:val="00BF0993"/>
    <w:rsid w:val="00BF10A9"/>
    <w:rsid w:val="00BF1703"/>
    <w:rsid w:val="00BF1974"/>
    <w:rsid w:val="00BF231C"/>
    <w:rsid w:val="00BF4B6A"/>
    <w:rsid w:val="00BF51E5"/>
    <w:rsid w:val="00BF7411"/>
    <w:rsid w:val="00BF74A6"/>
    <w:rsid w:val="00C00F09"/>
    <w:rsid w:val="00C013AD"/>
    <w:rsid w:val="00C015C4"/>
    <w:rsid w:val="00C04904"/>
    <w:rsid w:val="00C056B3"/>
    <w:rsid w:val="00C06F9D"/>
    <w:rsid w:val="00C103E5"/>
    <w:rsid w:val="00C10F43"/>
    <w:rsid w:val="00C13319"/>
    <w:rsid w:val="00C13EE9"/>
    <w:rsid w:val="00C16B91"/>
    <w:rsid w:val="00C21540"/>
    <w:rsid w:val="00C21906"/>
    <w:rsid w:val="00C21BFA"/>
    <w:rsid w:val="00C22148"/>
    <w:rsid w:val="00C238BE"/>
    <w:rsid w:val="00C24C87"/>
    <w:rsid w:val="00C24C8D"/>
    <w:rsid w:val="00C25FE2"/>
    <w:rsid w:val="00C263FB"/>
    <w:rsid w:val="00C26AF5"/>
    <w:rsid w:val="00C26B53"/>
    <w:rsid w:val="00C26CDF"/>
    <w:rsid w:val="00C279B2"/>
    <w:rsid w:val="00C30AD9"/>
    <w:rsid w:val="00C33E50"/>
    <w:rsid w:val="00C34C20"/>
    <w:rsid w:val="00C35A3E"/>
    <w:rsid w:val="00C414A0"/>
    <w:rsid w:val="00C42130"/>
    <w:rsid w:val="00C423A4"/>
    <w:rsid w:val="00C43B5C"/>
    <w:rsid w:val="00C4461B"/>
    <w:rsid w:val="00C44BF5"/>
    <w:rsid w:val="00C521D6"/>
    <w:rsid w:val="00C525C5"/>
    <w:rsid w:val="00C55232"/>
    <w:rsid w:val="00C553A4"/>
    <w:rsid w:val="00C55A06"/>
    <w:rsid w:val="00C55D03"/>
    <w:rsid w:val="00C601BC"/>
    <w:rsid w:val="00C6329F"/>
    <w:rsid w:val="00C63340"/>
    <w:rsid w:val="00C643F9"/>
    <w:rsid w:val="00C64E95"/>
    <w:rsid w:val="00C67867"/>
    <w:rsid w:val="00C71372"/>
    <w:rsid w:val="00C72410"/>
    <w:rsid w:val="00C7287F"/>
    <w:rsid w:val="00C73646"/>
    <w:rsid w:val="00C80CB8"/>
    <w:rsid w:val="00C81409"/>
    <w:rsid w:val="00C819F8"/>
    <w:rsid w:val="00C8248C"/>
    <w:rsid w:val="00C8451F"/>
    <w:rsid w:val="00C84564"/>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969"/>
    <w:rsid w:val="00CB4044"/>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2E1"/>
    <w:rsid w:val="00CD76C7"/>
    <w:rsid w:val="00CE0C4F"/>
    <w:rsid w:val="00CE2918"/>
    <w:rsid w:val="00CE30EA"/>
    <w:rsid w:val="00CE4A85"/>
    <w:rsid w:val="00CE4E6A"/>
    <w:rsid w:val="00CE574B"/>
    <w:rsid w:val="00CF048A"/>
    <w:rsid w:val="00CF155A"/>
    <w:rsid w:val="00CF1664"/>
    <w:rsid w:val="00CF2947"/>
    <w:rsid w:val="00CF5977"/>
    <w:rsid w:val="00CF686F"/>
    <w:rsid w:val="00CF6E60"/>
    <w:rsid w:val="00CF7BCA"/>
    <w:rsid w:val="00D008FD"/>
    <w:rsid w:val="00D01CAE"/>
    <w:rsid w:val="00D0321C"/>
    <w:rsid w:val="00D035EC"/>
    <w:rsid w:val="00D038D3"/>
    <w:rsid w:val="00D06AB1"/>
    <w:rsid w:val="00D072ED"/>
    <w:rsid w:val="00D07A16"/>
    <w:rsid w:val="00D1067E"/>
    <w:rsid w:val="00D10F50"/>
    <w:rsid w:val="00D11272"/>
    <w:rsid w:val="00D126F5"/>
    <w:rsid w:val="00D1489E"/>
    <w:rsid w:val="00D206D1"/>
    <w:rsid w:val="00D20737"/>
    <w:rsid w:val="00D21E81"/>
    <w:rsid w:val="00D223DE"/>
    <w:rsid w:val="00D23F20"/>
    <w:rsid w:val="00D25E37"/>
    <w:rsid w:val="00D2661A"/>
    <w:rsid w:val="00D27582"/>
    <w:rsid w:val="00D27EC4"/>
    <w:rsid w:val="00D32719"/>
    <w:rsid w:val="00D33333"/>
    <w:rsid w:val="00D33457"/>
    <w:rsid w:val="00D352A2"/>
    <w:rsid w:val="00D40723"/>
    <w:rsid w:val="00D40AA6"/>
    <w:rsid w:val="00D4162B"/>
    <w:rsid w:val="00D41CC7"/>
    <w:rsid w:val="00D41ED9"/>
    <w:rsid w:val="00D4230F"/>
    <w:rsid w:val="00D4470D"/>
    <w:rsid w:val="00D4514F"/>
    <w:rsid w:val="00D451E2"/>
    <w:rsid w:val="00D45E89"/>
    <w:rsid w:val="00D45E8D"/>
    <w:rsid w:val="00D466AE"/>
    <w:rsid w:val="00D46858"/>
    <w:rsid w:val="00D4734F"/>
    <w:rsid w:val="00D51BF3"/>
    <w:rsid w:val="00D66846"/>
    <w:rsid w:val="00D675FB"/>
    <w:rsid w:val="00D6795C"/>
    <w:rsid w:val="00D71043"/>
    <w:rsid w:val="00D71F25"/>
    <w:rsid w:val="00D72A9C"/>
    <w:rsid w:val="00D77031"/>
    <w:rsid w:val="00D802ED"/>
    <w:rsid w:val="00D80BE8"/>
    <w:rsid w:val="00D84941"/>
    <w:rsid w:val="00D84FA1"/>
    <w:rsid w:val="00D851F0"/>
    <w:rsid w:val="00D86DB7"/>
    <w:rsid w:val="00D86F85"/>
    <w:rsid w:val="00D926D0"/>
    <w:rsid w:val="00D93030"/>
    <w:rsid w:val="00D950E1"/>
    <w:rsid w:val="00D952A6"/>
    <w:rsid w:val="00D95C89"/>
    <w:rsid w:val="00D96D70"/>
    <w:rsid w:val="00D973DC"/>
    <w:rsid w:val="00D97F99"/>
    <w:rsid w:val="00DA1E08"/>
    <w:rsid w:val="00DA24F8"/>
    <w:rsid w:val="00DA28E8"/>
    <w:rsid w:val="00DA37AD"/>
    <w:rsid w:val="00DA38D3"/>
    <w:rsid w:val="00DA3932"/>
    <w:rsid w:val="00DA3AFC"/>
    <w:rsid w:val="00DA64F8"/>
    <w:rsid w:val="00DA6C15"/>
    <w:rsid w:val="00DA713C"/>
    <w:rsid w:val="00DB0258"/>
    <w:rsid w:val="00DB30F1"/>
    <w:rsid w:val="00DB38EE"/>
    <w:rsid w:val="00DB498B"/>
    <w:rsid w:val="00DB665D"/>
    <w:rsid w:val="00DB66CA"/>
    <w:rsid w:val="00DB6BCA"/>
    <w:rsid w:val="00DB73F7"/>
    <w:rsid w:val="00DB7F6D"/>
    <w:rsid w:val="00DC0321"/>
    <w:rsid w:val="00DC06FC"/>
    <w:rsid w:val="00DC1826"/>
    <w:rsid w:val="00DC3067"/>
    <w:rsid w:val="00DC370B"/>
    <w:rsid w:val="00DC5B90"/>
    <w:rsid w:val="00DD00FF"/>
    <w:rsid w:val="00DD0619"/>
    <w:rsid w:val="00DD07FB"/>
    <w:rsid w:val="00DD25C6"/>
    <w:rsid w:val="00DD4FE5"/>
    <w:rsid w:val="00DD54B0"/>
    <w:rsid w:val="00DD57EE"/>
    <w:rsid w:val="00DD6BCC"/>
    <w:rsid w:val="00DD73DB"/>
    <w:rsid w:val="00DE0A4B"/>
    <w:rsid w:val="00DE2410"/>
    <w:rsid w:val="00DE268D"/>
    <w:rsid w:val="00DE2939"/>
    <w:rsid w:val="00DE6E81"/>
    <w:rsid w:val="00DE6F93"/>
    <w:rsid w:val="00DE703F"/>
    <w:rsid w:val="00DE7595"/>
    <w:rsid w:val="00DF1961"/>
    <w:rsid w:val="00DF2232"/>
    <w:rsid w:val="00DF44DE"/>
    <w:rsid w:val="00DF5F11"/>
    <w:rsid w:val="00DF6FA6"/>
    <w:rsid w:val="00E01138"/>
    <w:rsid w:val="00E02DFB"/>
    <w:rsid w:val="00E030F9"/>
    <w:rsid w:val="00E0311A"/>
    <w:rsid w:val="00E03138"/>
    <w:rsid w:val="00E045D8"/>
    <w:rsid w:val="00E06404"/>
    <w:rsid w:val="00E06464"/>
    <w:rsid w:val="00E11679"/>
    <w:rsid w:val="00E11A85"/>
    <w:rsid w:val="00E12495"/>
    <w:rsid w:val="00E15CCD"/>
    <w:rsid w:val="00E202EF"/>
    <w:rsid w:val="00E210B5"/>
    <w:rsid w:val="00E23D99"/>
    <w:rsid w:val="00E245FC"/>
    <w:rsid w:val="00E2552F"/>
    <w:rsid w:val="00E25853"/>
    <w:rsid w:val="00E3137A"/>
    <w:rsid w:val="00E32CCF"/>
    <w:rsid w:val="00E33811"/>
    <w:rsid w:val="00E33DE5"/>
    <w:rsid w:val="00E34A98"/>
    <w:rsid w:val="00E3547D"/>
    <w:rsid w:val="00E35D1E"/>
    <w:rsid w:val="00E364F9"/>
    <w:rsid w:val="00E365FA"/>
    <w:rsid w:val="00E36789"/>
    <w:rsid w:val="00E3736D"/>
    <w:rsid w:val="00E44A83"/>
    <w:rsid w:val="00E502C1"/>
    <w:rsid w:val="00E502DD"/>
    <w:rsid w:val="00E50D3A"/>
    <w:rsid w:val="00E51387"/>
    <w:rsid w:val="00E51E68"/>
    <w:rsid w:val="00E52EFD"/>
    <w:rsid w:val="00E5408A"/>
    <w:rsid w:val="00E56800"/>
    <w:rsid w:val="00E575B1"/>
    <w:rsid w:val="00E60C63"/>
    <w:rsid w:val="00E62FF9"/>
    <w:rsid w:val="00E635D6"/>
    <w:rsid w:val="00E639BC"/>
    <w:rsid w:val="00E664CC"/>
    <w:rsid w:val="00E70388"/>
    <w:rsid w:val="00E70F92"/>
    <w:rsid w:val="00E713B4"/>
    <w:rsid w:val="00E74C54"/>
    <w:rsid w:val="00E77A03"/>
    <w:rsid w:val="00E822E8"/>
    <w:rsid w:val="00E82554"/>
    <w:rsid w:val="00E82606"/>
    <w:rsid w:val="00E846C8"/>
    <w:rsid w:val="00E84957"/>
    <w:rsid w:val="00E84A55"/>
    <w:rsid w:val="00E85BFF"/>
    <w:rsid w:val="00E90391"/>
    <w:rsid w:val="00E906C2"/>
    <w:rsid w:val="00E90F9D"/>
    <w:rsid w:val="00E915A5"/>
    <w:rsid w:val="00E9311F"/>
    <w:rsid w:val="00E934D1"/>
    <w:rsid w:val="00E94AF0"/>
    <w:rsid w:val="00E95D13"/>
    <w:rsid w:val="00E95DD3"/>
    <w:rsid w:val="00E969D5"/>
    <w:rsid w:val="00EA3EF5"/>
    <w:rsid w:val="00EA58D1"/>
    <w:rsid w:val="00EA61BC"/>
    <w:rsid w:val="00EA681A"/>
    <w:rsid w:val="00EA735B"/>
    <w:rsid w:val="00EA7FCB"/>
    <w:rsid w:val="00EB17DE"/>
    <w:rsid w:val="00EB1E69"/>
    <w:rsid w:val="00EB2086"/>
    <w:rsid w:val="00EB5EDF"/>
    <w:rsid w:val="00EB60FE"/>
    <w:rsid w:val="00EB7452"/>
    <w:rsid w:val="00EB74DB"/>
    <w:rsid w:val="00EC5359"/>
    <w:rsid w:val="00EC562A"/>
    <w:rsid w:val="00EC67C1"/>
    <w:rsid w:val="00ED067A"/>
    <w:rsid w:val="00ED0B1B"/>
    <w:rsid w:val="00ED2B50"/>
    <w:rsid w:val="00ED4FE1"/>
    <w:rsid w:val="00ED7FFA"/>
    <w:rsid w:val="00EE0350"/>
    <w:rsid w:val="00EE0719"/>
    <w:rsid w:val="00EE0E80"/>
    <w:rsid w:val="00EE3662"/>
    <w:rsid w:val="00EE54A6"/>
    <w:rsid w:val="00EE613F"/>
    <w:rsid w:val="00EE7043"/>
    <w:rsid w:val="00EE7295"/>
    <w:rsid w:val="00EE7869"/>
    <w:rsid w:val="00EF054A"/>
    <w:rsid w:val="00EF2866"/>
    <w:rsid w:val="00EF3235"/>
    <w:rsid w:val="00EF6F5B"/>
    <w:rsid w:val="00EF7213"/>
    <w:rsid w:val="00EF76EF"/>
    <w:rsid w:val="00EF7E72"/>
    <w:rsid w:val="00F06D37"/>
    <w:rsid w:val="00F07B9D"/>
    <w:rsid w:val="00F11586"/>
    <w:rsid w:val="00F1183B"/>
    <w:rsid w:val="00F11C9F"/>
    <w:rsid w:val="00F12263"/>
    <w:rsid w:val="00F127D5"/>
    <w:rsid w:val="00F1409D"/>
    <w:rsid w:val="00F14214"/>
    <w:rsid w:val="00F15439"/>
    <w:rsid w:val="00F157A9"/>
    <w:rsid w:val="00F25BB6"/>
    <w:rsid w:val="00F26B7E"/>
    <w:rsid w:val="00F27A3B"/>
    <w:rsid w:val="00F3059F"/>
    <w:rsid w:val="00F30B10"/>
    <w:rsid w:val="00F33293"/>
    <w:rsid w:val="00F33817"/>
    <w:rsid w:val="00F35A3D"/>
    <w:rsid w:val="00F4159A"/>
    <w:rsid w:val="00F41DA5"/>
    <w:rsid w:val="00F420D5"/>
    <w:rsid w:val="00F435EE"/>
    <w:rsid w:val="00F444F0"/>
    <w:rsid w:val="00F44A21"/>
    <w:rsid w:val="00F451EA"/>
    <w:rsid w:val="00F45447"/>
    <w:rsid w:val="00F456C6"/>
    <w:rsid w:val="00F4577B"/>
    <w:rsid w:val="00F46496"/>
    <w:rsid w:val="00F474D0"/>
    <w:rsid w:val="00F47F8A"/>
    <w:rsid w:val="00F50179"/>
    <w:rsid w:val="00F515EE"/>
    <w:rsid w:val="00F5315D"/>
    <w:rsid w:val="00F53502"/>
    <w:rsid w:val="00F56511"/>
    <w:rsid w:val="00F61485"/>
    <w:rsid w:val="00F6194E"/>
    <w:rsid w:val="00F623AC"/>
    <w:rsid w:val="00F62636"/>
    <w:rsid w:val="00F6412A"/>
    <w:rsid w:val="00F64DB9"/>
    <w:rsid w:val="00F65893"/>
    <w:rsid w:val="00F66A4A"/>
    <w:rsid w:val="00F71E22"/>
    <w:rsid w:val="00F71FFA"/>
    <w:rsid w:val="00F72142"/>
    <w:rsid w:val="00F72AE7"/>
    <w:rsid w:val="00F77CAA"/>
    <w:rsid w:val="00F81141"/>
    <w:rsid w:val="00F822D3"/>
    <w:rsid w:val="00F824FC"/>
    <w:rsid w:val="00F833BA"/>
    <w:rsid w:val="00F84FD0"/>
    <w:rsid w:val="00F859A8"/>
    <w:rsid w:val="00F86D87"/>
    <w:rsid w:val="00F90CD5"/>
    <w:rsid w:val="00F9108B"/>
    <w:rsid w:val="00F91349"/>
    <w:rsid w:val="00F93A8A"/>
    <w:rsid w:val="00F93B66"/>
    <w:rsid w:val="00F95248"/>
    <w:rsid w:val="00F956A9"/>
    <w:rsid w:val="00F963ED"/>
    <w:rsid w:val="00F966CF"/>
    <w:rsid w:val="00F96CAE"/>
    <w:rsid w:val="00F97C99"/>
    <w:rsid w:val="00FA40B8"/>
    <w:rsid w:val="00FA4DAC"/>
    <w:rsid w:val="00FA662D"/>
    <w:rsid w:val="00FA73B1"/>
    <w:rsid w:val="00FB0CB9"/>
    <w:rsid w:val="00FB231D"/>
    <w:rsid w:val="00FB33B9"/>
    <w:rsid w:val="00FB45F1"/>
    <w:rsid w:val="00FB4A72"/>
    <w:rsid w:val="00FB54E8"/>
    <w:rsid w:val="00FB69FF"/>
    <w:rsid w:val="00FB7054"/>
    <w:rsid w:val="00FC17B7"/>
    <w:rsid w:val="00FC1A37"/>
    <w:rsid w:val="00FC2CB7"/>
    <w:rsid w:val="00FC4090"/>
    <w:rsid w:val="00FC40F3"/>
    <w:rsid w:val="00FC55B4"/>
    <w:rsid w:val="00FC635C"/>
    <w:rsid w:val="00FC7577"/>
    <w:rsid w:val="00FC7F1B"/>
    <w:rsid w:val="00FD00E6"/>
    <w:rsid w:val="00FD09A1"/>
    <w:rsid w:val="00FD2A7C"/>
    <w:rsid w:val="00FD38CA"/>
    <w:rsid w:val="00FD460A"/>
    <w:rsid w:val="00FD59EB"/>
    <w:rsid w:val="00FD728E"/>
    <w:rsid w:val="00FD7299"/>
    <w:rsid w:val="00FE1D0B"/>
    <w:rsid w:val="00FE1FBE"/>
    <w:rsid w:val="00FE3901"/>
    <w:rsid w:val="00FE39D3"/>
    <w:rsid w:val="00FE4BCE"/>
    <w:rsid w:val="00FE50EB"/>
    <w:rsid w:val="00FE54AE"/>
    <w:rsid w:val="00FE576A"/>
    <w:rsid w:val="00FE7E79"/>
    <w:rsid w:val="00FF3E7D"/>
    <w:rsid w:val="00FF5B99"/>
    <w:rsid w:val="00FF5D98"/>
    <w:rsid w:val="00FF730C"/>
    <w:rsid w:val="00FF73F4"/>
    <w:rsid w:val="00FF7CE4"/>
    <w:rsid w:val="00FF7E39"/>
    <w:rsid w:val="01A544B3"/>
    <w:rsid w:val="01CE0284"/>
    <w:rsid w:val="02093B24"/>
    <w:rsid w:val="02387A06"/>
    <w:rsid w:val="030A0BA7"/>
    <w:rsid w:val="04C924C0"/>
    <w:rsid w:val="0861474E"/>
    <w:rsid w:val="09227725"/>
    <w:rsid w:val="0A6268B4"/>
    <w:rsid w:val="0B6251C3"/>
    <w:rsid w:val="0C063CE5"/>
    <w:rsid w:val="0EDD7052"/>
    <w:rsid w:val="0F3F06B2"/>
    <w:rsid w:val="117417AC"/>
    <w:rsid w:val="13194752"/>
    <w:rsid w:val="14107EB2"/>
    <w:rsid w:val="192B4E46"/>
    <w:rsid w:val="1C7B60E4"/>
    <w:rsid w:val="1CAB37D4"/>
    <w:rsid w:val="21280461"/>
    <w:rsid w:val="26557E3C"/>
    <w:rsid w:val="273D0B66"/>
    <w:rsid w:val="2A375D41"/>
    <w:rsid w:val="2AF0593E"/>
    <w:rsid w:val="2B116B3E"/>
    <w:rsid w:val="2C037F84"/>
    <w:rsid w:val="2C5C383D"/>
    <w:rsid w:val="300A498A"/>
    <w:rsid w:val="30F91BC0"/>
    <w:rsid w:val="35873B2D"/>
    <w:rsid w:val="360D7EFB"/>
    <w:rsid w:val="36733954"/>
    <w:rsid w:val="36F8572D"/>
    <w:rsid w:val="38B60726"/>
    <w:rsid w:val="38E83343"/>
    <w:rsid w:val="3AAA5D2B"/>
    <w:rsid w:val="3C401D19"/>
    <w:rsid w:val="3DC4771F"/>
    <w:rsid w:val="3EA911D2"/>
    <w:rsid w:val="3F647A14"/>
    <w:rsid w:val="3F7E18C4"/>
    <w:rsid w:val="3FC90D91"/>
    <w:rsid w:val="44734A5C"/>
    <w:rsid w:val="4B7E5126"/>
    <w:rsid w:val="4CB52948"/>
    <w:rsid w:val="4CD45A3E"/>
    <w:rsid w:val="4EB61872"/>
    <w:rsid w:val="4F702FD7"/>
    <w:rsid w:val="53B7481A"/>
    <w:rsid w:val="54053936"/>
    <w:rsid w:val="55FB4364"/>
    <w:rsid w:val="563B140D"/>
    <w:rsid w:val="5971703E"/>
    <w:rsid w:val="5B646707"/>
    <w:rsid w:val="5BAF0E88"/>
    <w:rsid w:val="5E385C13"/>
    <w:rsid w:val="606D70BF"/>
    <w:rsid w:val="61D75138"/>
    <w:rsid w:val="621E034A"/>
    <w:rsid w:val="642B3C6A"/>
    <w:rsid w:val="677D4646"/>
    <w:rsid w:val="67CA2F43"/>
    <w:rsid w:val="68FD7A4A"/>
    <w:rsid w:val="6907420C"/>
    <w:rsid w:val="691F13AB"/>
    <w:rsid w:val="6BEB618E"/>
    <w:rsid w:val="6D0126C3"/>
    <w:rsid w:val="6D7E53B7"/>
    <w:rsid w:val="6F427DA3"/>
    <w:rsid w:val="73F42301"/>
    <w:rsid w:val="73FC27F5"/>
    <w:rsid w:val="753007CB"/>
    <w:rsid w:val="77137A8E"/>
    <w:rsid w:val="782B1F79"/>
    <w:rsid w:val="7B6A44CF"/>
    <w:rsid w:val="7CD249DE"/>
    <w:rsid w:val="7DF02EBE"/>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spacing w:before="280" w:after="290" w:line="376" w:lineRule="auto"/>
      <w:outlineLvl w:val="4"/>
    </w:pPr>
    <w:rPr>
      <w:b/>
      <w:bCs/>
      <w:sz w:val="28"/>
      <w:szCs w:val="28"/>
    </w:rPr>
  </w:style>
  <w:style w:type="paragraph" w:styleId="7">
    <w:name w:val="heading 6"/>
    <w:basedOn w:val="1"/>
    <w:next w:val="1"/>
    <w:link w:val="39"/>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spacing w:before="240" w:after="64" w:line="320" w:lineRule="auto"/>
      <w:outlineLvl w:val="6"/>
    </w:pPr>
    <w:rPr>
      <w:b/>
      <w:bCs/>
      <w:sz w:val="24"/>
      <w:szCs w:val="24"/>
    </w:rPr>
  </w:style>
  <w:style w:type="paragraph" w:styleId="9">
    <w:name w:val="heading 8"/>
    <w:basedOn w:val="1"/>
    <w:next w:val="1"/>
    <w:link w:val="4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snapToGrid w:val="0"/>
      <w:jc w:val="right"/>
    </w:pPr>
    <w:rPr>
      <w:rFonts w:ascii="宋体"/>
      <w:sz w:val="18"/>
      <w:szCs w:val="18"/>
    </w:rPr>
  </w:style>
  <w:style w:type="paragraph" w:styleId="18">
    <w:name w:val="header"/>
    <w:basedOn w:val="1"/>
    <w:link w:val="43"/>
    <w:qFormat/>
    <w:uiPriority w:val="99"/>
    <w:pPr>
      <w:tabs>
        <w:tab w:val="center" w:pos="4153"/>
        <w:tab w:val="right" w:pos="8306"/>
      </w:tabs>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snapToGrid w:val="0"/>
      <w:spacing w:line="300" w:lineRule="exact"/>
      <w:ind w:left="400" w:leftChars="200" w:hanging="200" w:hangingChars="200"/>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shd w:val="clear" w:color="FFFFFF" w:fill="FFFFFF"/>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shd w:val="clear" w:color="FFFFFF" w:fill="FFFFFF"/>
      <w:spacing w:before="40" w:beforeLines="40" w:after="50" w:afterLines="50"/>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jc w:val="center"/>
    </w:pPr>
    <w:rPr>
      <w:rFonts w:ascii="黑体" w:eastAsia="黑体"/>
      <w:kern w:val="0"/>
      <w:sz w:val="52"/>
    </w:rPr>
  </w:style>
  <w:style w:type="paragraph" w:customStyle="1" w:styleId="71">
    <w:name w:val="标准文件_封面标准英文名称"/>
    <w:basedOn w:val="1"/>
    <w:qFormat/>
    <w:uiPriority w:val="0"/>
    <w:pPr>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ind w:left="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left="0"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snapToGrid/>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ordWrap w:val="0"/>
      <w:overflowPunct w:val="0"/>
      <w:autoSpaceDE w:val="0"/>
      <w:autoSpaceDN w:val="0"/>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tabs>
        <w:tab w:val="left" w:pos="851"/>
        <w:tab w:val="clear" w:pos="1560"/>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rPr>
      <w:bCs/>
      <w:iCs/>
    </w:rPr>
  </w:style>
  <w:style w:type="paragraph" w:customStyle="1" w:styleId="143">
    <w:name w:val="目录 31"/>
    <w:basedOn w:val="1"/>
    <w:next w:val="1"/>
    <w:autoRedefine/>
    <w:semiHidden/>
    <w:qFormat/>
    <w:uiPriority w:val="0"/>
    <w:rPr>
      <w:rFonts w:ascii="宋体" w:hAnsi="宋体"/>
      <w:iCs/>
    </w:rPr>
  </w:style>
  <w:style w:type="paragraph" w:customStyle="1" w:styleId="144">
    <w:name w:val="目录 41"/>
    <w:basedOn w:val="1"/>
    <w:next w:val="1"/>
    <w:autoRedefine/>
    <w:semiHidden/>
    <w:qFormat/>
    <w:uiPriority w:val="0"/>
  </w:style>
  <w:style w:type="paragraph" w:customStyle="1" w:styleId="145">
    <w:name w:val="目录 51"/>
    <w:basedOn w:val="1"/>
    <w:next w:val="1"/>
    <w:autoRedefine/>
    <w:semiHidden/>
    <w:qFormat/>
    <w:uiPriority w:val="0"/>
    <w:rPr>
      <w:rFonts w:ascii="宋体" w:hAnsi="宋体"/>
    </w:rPr>
  </w:style>
  <w:style w:type="paragraph" w:customStyle="1" w:styleId="146">
    <w:name w:val="目录 61"/>
    <w:basedOn w:val="1"/>
    <w:next w:val="1"/>
    <w:autoRedefine/>
    <w:semiHidden/>
    <w:qFormat/>
    <w:uiPriority w:val="0"/>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pPr>
    <w:rPr>
      <w:szCs w:val="24"/>
    </w:rPr>
  </w:style>
  <w:style w:type="paragraph" w:customStyle="1" w:styleId="159">
    <w:name w:val="一级无标题条"/>
    <w:basedOn w:val="1"/>
    <w:qFormat/>
    <w:uiPriority w:val="0"/>
    <w:pPr>
      <w:numPr>
        <w:ilvl w:val="2"/>
        <w:numId w:val="20"/>
      </w:numPr>
      <w:spacing w:before="10" w:after="10"/>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ind w:left="426"/>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numPr>
        <w:ilvl w:val="0"/>
        <w:numId w:val="29"/>
      </w:numPr>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pPr>
      <w:ind w:left="993"/>
    </w:pPr>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semiHidden/>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table" w:customStyle="1" w:styleId="231">
    <w:name w:val="Table Normal1"/>
    <w:basedOn w:val="26"/>
    <w:qFormat/>
    <w:uiPriority w:val="0"/>
    <w:rPr>
      <w:rFonts w:eastAsia="Times New Roman"/>
    </w:rPr>
    <w:tblPr>
      <w:tblCellMar>
        <w:left w:w="0" w:type="dxa"/>
        <w:right w:w="0" w:type="dxa"/>
      </w:tblCellMar>
    </w:tblPr>
  </w:style>
  <w:style w:type="paragraph" w:customStyle="1" w:styleId="232">
    <w:name w:val="Table Text"/>
    <w:basedOn w:val="1"/>
    <w:semiHidden/>
    <w:qFormat/>
    <w:uiPriority w:val="0"/>
    <w:rPr>
      <w:rFonts w:ascii="Arial" w:hAnsi="Arial" w:eastAsia="Arial" w:cs="Arial"/>
      <w:lang w:eastAsia="en-US"/>
    </w:rPr>
  </w:style>
  <w:style w:type="paragraph" w:customStyle="1" w:styleId="23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981D6A5734942BE934101389717431C"/>
        <w:style w:val=""/>
        <w:category>
          <w:name w:val="常规"/>
          <w:gallery w:val="placeholder"/>
        </w:category>
        <w:types>
          <w:type w:val="bbPlcHdr"/>
        </w:types>
        <w:behaviors>
          <w:behavior w:val="content"/>
        </w:behaviors>
        <w:description w:val=""/>
        <w:guid w:val="{C6B7BD8B-85ED-4202-9E1B-5DEB72B55440}"/>
      </w:docPartPr>
      <w:docPartBody>
        <w:p w14:paraId="50205BDA">
          <w:pPr>
            <w:pStyle w:val="5"/>
            <w:rPr>
              <w:rFonts w:hint="eastAsia"/>
            </w:rPr>
          </w:pPr>
          <w:r>
            <w:rPr>
              <w:rStyle w:val="4"/>
              <w:rFonts w:hint="eastAsia"/>
            </w:rPr>
            <w:t>单击或点击此处输入文字。</w:t>
          </w:r>
        </w:p>
      </w:docPartBody>
    </w:docPart>
    <w:docPart>
      <w:docPartPr>
        <w:name w:val="2312F66432024F33A4B8E57A04BE16E9"/>
        <w:style w:val=""/>
        <w:category>
          <w:name w:val="常规"/>
          <w:gallery w:val="placeholder"/>
        </w:category>
        <w:types>
          <w:type w:val="bbPlcHdr"/>
        </w:types>
        <w:behaviors>
          <w:behavior w:val="content"/>
        </w:behaviors>
        <w:description w:val=""/>
        <w:guid w:val="{38DE3CE9-DDC2-402E-8BAC-BADD9F05B771}"/>
      </w:docPartPr>
      <w:docPartBody>
        <w:p w14:paraId="65FAD040">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CC"/>
    <w:rsid w:val="00026BDE"/>
    <w:rsid w:val="000521D1"/>
    <w:rsid w:val="00081775"/>
    <w:rsid w:val="000C62C6"/>
    <w:rsid w:val="000E0DC0"/>
    <w:rsid w:val="00111317"/>
    <w:rsid w:val="001A17A5"/>
    <w:rsid w:val="001A4AFF"/>
    <w:rsid w:val="001C2A85"/>
    <w:rsid w:val="00211957"/>
    <w:rsid w:val="002577A1"/>
    <w:rsid w:val="00267F4A"/>
    <w:rsid w:val="00296C42"/>
    <w:rsid w:val="002C08C0"/>
    <w:rsid w:val="002C15DF"/>
    <w:rsid w:val="002E3914"/>
    <w:rsid w:val="002F6B73"/>
    <w:rsid w:val="00344EB6"/>
    <w:rsid w:val="00375B6C"/>
    <w:rsid w:val="00383276"/>
    <w:rsid w:val="003B38FB"/>
    <w:rsid w:val="003B63DD"/>
    <w:rsid w:val="003F57AD"/>
    <w:rsid w:val="0041375A"/>
    <w:rsid w:val="0041693C"/>
    <w:rsid w:val="00466750"/>
    <w:rsid w:val="004827AC"/>
    <w:rsid w:val="004D57EC"/>
    <w:rsid w:val="004E73F1"/>
    <w:rsid w:val="005252A5"/>
    <w:rsid w:val="005361ED"/>
    <w:rsid w:val="00564E9A"/>
    <w:rsid w:val="00596E8B"/>
    <w:rsid w:val="005C30D3"/>
    <w:rsid w:val="00631AD6"/>
    <w:rsid w:val="00634BE7"/>
    <w:rsid w:val="00647C45"/>
    <w:rsid w:val="00657AF7"/>
    <w:rsid w:val="006644C6"/>
    <w:rsid w:val="00671B8A"/>
    <w:rsid w:val="00675F9E"/>
    <w:rsid w:val="006F684F"/>
    <w:rsid w:val="0071622C"/>
    <w:rsid w:val="00762449"/>
    <w:rsid w:val="007A0E43"/>
    <w:rsid w:val="007A329D"/>
    <w:rsid w:val="007B3E59"/>
    <w:rsid w:val="007C63A3"/>
    <w:rsid w:val="007D5A26"/>
    <w:rsid w:val="007E71F7"/>
    <w:rsid w:val="007F2F7F"/>
    <w:rsid w:val="00812C01"/>
    <w:rsid w:val="00834BA2"/>
    <w:rsid w:val="00855D99"/>
    <w:rsid w:val="00861730"/>
    <w:rsid w:val="00867BCC"/>
    <w:rsid w:val="008B6602"/>
    <w:rsid w:val="00917C33"/>
    <w:rsid w:val="00946F74"/>
    <w:rsid w:val="00954839"/>
    <w:rsid w:val="009737D9"/>
    <w:rsid w:val="00992F6E"/>
    <w:rsid w:val="009B56F9"/>
    <w:rsid w:val="009B6127"/>
    <w:rsid w:val="00A41A98"/>
    <w:rsid w:val="00A632F4"/>
    <w:rsid w:val="00A72D76"/>
    <w:rsid w:val="00AC2132"/>
    <w:rsid w:val="00AF5517"/>
    <w:rsid w:val="00B271A7"/>
    <w:rsid w:val="00B33523"/>
    <w:rsid w:val="00B513F8"/>
    <w:rsid w:val="00B70447"/>
    <w:rsid w:val="00BB1C69"/>
    <w:rsid w:val="00C105E1"/>
    <w:rsid w:val="00C73646"/>
    <w:rsid w:val="00C95DDC"/>
    <w:rsid w:val="00CB5C70"/>
    <w:rsid w:val="00CD7F83"/>
    <w:rsid w:val="00CE4E6A"/>
    <w:rsid w:val="00CF1664"/>
    <w:rsid w:val="00D151C0"/>
    <w:rsid w:val="00D40723"/>
    <w:rsid w:val="00D51C6D"/>
    <w:rsid w:val="00D76505"/>
    <w:rsid w:val="00D80BE8"/>
    <w:rsid w:val="00D91638"/>
    <w:rsid w:val="00DB7F6D"/>
    <w:rsid w:val="00DE5DDE"/>
    <w:rsid w:val="00E0017C"/>
    <w:rsid w:val="00E51115"/>
    <w:rsid w:val="00E520FD"/>
    <w:rsid w:val="00E559D0"/>
    <w:rsid w:val="00E84128"/>
    <w:rsid w:val="00EB3758"/>
    <w:rsid w:val="00EB7452"/>
    <w:rsid w:val="00EC67C1"/>
    <w:rsid w:val="00F20FEF"/>
    <w:rsid w:val="00F30BD2"/>
    <w:rsid w:val="00F52A62"/>
    <w:rsid w:val="00F60032"/>
    <w:rsid w:val="00F73CA7"/>
    <w:rsid w:val="00F80994"/>
    <w:rsid w:val="00FB442D"/>
    <w:rsid w:val="00FC08EE"/>
    <w:rsid w:val="00FF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981D6A5734942BE934101389717431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312F66432024F33A4B8E57A04BE16E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7935D-731C-4BB6-ADCE-4BD55E00C69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6288</Words>
  <Characters>6853</Characters>
  <Lines>236</Lines>
  <Paragraphs>303</Paragraphs>
  <TotalTime>15</TotalTime>
  <ScaleCrop>false</ScaleCrop>
  <LinksUpToDate>false</LinksUpToDate>
  <CharactersWithSpaces>6964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2024-12-19T08:51:00Z</dcterms:created>
  <dc:creator>标准化协会</dc:creator>
  <cp:lastModifiedBy>有点怕热</cp:lastModifiedBy>
  <cp:lastPrinted>2025-06-04T03:06:00Z</cp:lastPrinted>
  <dcterms:modified xsi:type="dcterms:W3CDTF">2025-06-19T02:28:38Z</dcterms:modified>
  <dc:title>地方标准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eyJoZGlkIjoiOGM0YmFjYTFiNWMxOTNkMzQ5NGQ0NWZjNDZjZWUwNWMiLCJ1c2VySWQiOiIyNTEzNDEzMCJ9</vt:lpwstr>
  </property>
  <property fmtid="{D5CDD505-2E9C-101B-9397-08002B2CF9AE}" pid="15" name="KSOProductBuildVer">
    <vt:lpwstr>2052-12.1.0.21541</vt:lpwstr>
  </property>
  <property fmtid="{D5CDD505-2E9C-101B-9397-08002B2CF9AE}" pid="16" name="ICV">
    <vt:lpwstr>8666C1C5016F4BC7A21196D0252F527F_13</vt:lpwstr>
  </property>
</Properties>
</file>