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13.220.20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lang w:val="en-US" w:eastAsia="zh-CN"/>
              </w:rPr>
              <w:t>XXXXXX</w:t>
            </w:r>
            <w:r>
              <w:rPr>
                <w:rFonts w:ascii="黑体" w:hAnsi="黑体" w:eastAsia="黑体"/>
                <w:sz w:val="21"/>
                <w:szCs w:val="21"/>
              </w:rPr>
              <w:fldChar w:fldCharType="end"/>
            </w:r>
            <w:bookmarkEnd w:id="1"/>
          </w:p>
        </w:tc>
      </w:tr>
    </w:tbl>
    <w:tbl>
      <w:tblPr>
        <w:tblStyle w:val="34"/>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lang w:val="en-US" w:eastAsia="zh-CN"/>
              </w:rPr>
              <w:t>43</w:t>
            </w:r>
            <w:r>
              <w:fldChar w:fldCharType="end"/>
            </w:r>
            <w:bookmarkEnd w:id="3"/>
          </w:p>
        </w:tc>
      </w:tr>
    </w:tbl>
    <w:p>
      <w:pPr>
        <w:pStyle w:val="51"/>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lang w:eastAsia="zh-CN"/>
        </w:rPr>
        <w:t>湖南省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w:t>
      </w:r>
      <w:r>
        <w:rPr>
          <w:rFonts w:hint="eastAsia"/>
          <w:lang w:val="en-US" w:eastAsia="zh-CN"/>
        </w:rPr>
        <w:t>3</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w:t>
      </w:r>
      <w:r>
        <w:rPr>
          <w:rFonts w:hint="eastAsia"/>
          <w:lang w:val="en-US" w:eastAsia="zh-CN"/>
        </w:rPr>
        <w:t>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商业类经营性</w:t>
      </w:r>
      <w:r>
        <w:rPr>
          <w:rFonts w:hint="eastAsia"/>
          <w:lang w:eastAsia="zh-CN"/>
        </w:rPr>
        <w:t>居民自建房消防安全管理规范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lang w:eastAsia="zh-CN"/>
        </w:rPr>
        <w:t>Code for fire safety management of self-built houses for business residents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lang w:eastAsia="zh-CN"/>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92"/>
        <w:spacing w:after="468"/>
        <w:rPr>
          <w:rFonts w:hint="default" w:eastAsia="黑体"/>
          <w:lang w:val="en-US" w:eastAsia="zh-CN"/>
        </w:rPr>
      </w:pPr>
      <w:bookmarkStart w:id="21" w:name="BookMark1"/>
      <w:bookmarkStart w:id="22" w:name="_Toc79569760"/>
      <w:r>
        <w:rPr>
          <w:rFonts w:hint="eastAsia" w:ascii="黑体" w:hAnsi="Times New Roman" w:eastAsia="黑体" w:cs="Times New Roman"/>
          <w:spacing w:val="320"/>
          <w:sz w:val="32"/>
          <w:lang w:val="en-US" w:eastAsia="zh-CN" w:bidi="ar-SA"/>
        </w:rPr>
        <w:t xml:space="preserve">目 </w:t>
      </w:r>
      <w:r>
        <w:rPr>
          <w:rFonts w:hint="eastAsia" w:ascii="黑体" w:hAnsi="Times New Roman" w:eastAsia="黑体" w:cs="Times New Roman"/>
          <w:sz w:val="32"/>
          <w:lang w:val="en-US" w:eastAsia="zh-CN" w:bidi="ar-SA"/>
        </w:rPr>
        <w:t>次</w:t>
      </w:r>
    </w:p>
    <w:p>
      <w:pPr>
        <w:pStyle w:val="19"/>
        <w:tabs>
          <w:tab w:val="right" w:leader="dot" w:pos="9354"/>
        </w:tabs>
      </w:pPr>
      <w:r>
        <w:fldChar w:fldCharType="begin"/>
      </w:r>
      <w:r>
        <w:instrText xml:space="preserve"> TOC \o "1-1" \h </w:instrText>
      </w:r>
      <w:r>
        <w:fldChar w:fldCharType="separate"/>
      </w:r>
      <w:r>
        <w:fldChar w:fldCharType="begin"/>
      </w:r>
      <w:r>
        <w:instrText xml:space="preserve"> HYPERLINK \l _Toc750 </w:instrText>
      </w:r>
      <w:r>
        <w:fldChar w:fldCharType="separate"/>
      </w:r>
      <w:r>
        <w:rPr>
          <w:spacing w:val="320"/>
        </w:rPr>
        <w:t>前</w:t>
      </w:r>
      <w:r>
        <w:t>言</w:t>
      </w:r>
      <w:r>
        <w:tab/>
      </w:r>
      <w:r>
        <w:fldChar w:fldCharType="begin"/>
      </w:r>
      <w:r>
        <w:instrText xml:space="preserve"> PAGEREF _Toc750 \h </w:instrText>
      </w:r>
      <w:r>
        <w:fldChar w:fldCharType="separate"/>
      </w:r>
      <w:r>
        <w:t>II</w:t>
      </w:r>
      <w:r>
        <w:fldChar w:fldCharType="end"/>
      </w:r>
      <w:r>
        <w:fldChar w:fldCharType="end"/>
      </w:r>
    </w:p>
    <w:p>
      <w:pPr>
        <w:pStyle w:val="19"/>
        <w:tabs>
          <w:tab w:val="right" w:leader="dot" w:pos="9354"/>
        </w:tabs>
      </w:pPr>
      <w:r>
        <w:fldChar w:fldCharType="begin"/>
      </w:r>
      <w:r>
        <w:instrText xml:space="preserve"> HYPERLINK \l _Toc27989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_Toc27989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_Toc8347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_Toc8347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_Toc10694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_Toc10694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_Toc30208 </w:instrText>
      </w:r>
      <w:r>
        <w:fldChar w:fldCharType="separate"/>
      </w:r>
      <w:r>
        <w:rPr>
          <w:rFonts w:hint="eastAsia" w:ascii="黑体" w:eastAsia="黑体"/>
          <w:i w:val="0"/>
          <w:szCs w:val="21"/>
        </w:rPr>
        <w:t xml:space="preserve">4 </w:t>
      </w:r>
      <w:r>
        <w:rPr>
          <w:rFonts w:hint="eastAsia"/>
          <w:szCs w:val="21"/>
        </w:rPr>
        <w:t>总则</w:t>
      </w:r>
      <w:r>
        <w:tab/>
      </w:r>
      <w:r>
        <w:fldChar w:fldCharType="begin"/>
      </w:r>
      <w:r>
        <w:instrText xml:space="preserve"> PAGEREF _Toc30208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_Toc10257 </w:instrText>
      </w:r>
      <w:r>
        <w:fldChar w:fldCharType="separate"/>
      </w:r>
      <w:r>
        <w:rPr>
          <w:rFonts w:hint="eastAsia" w:ascii="黑体" w:eastAsia="黑体"/>
          <w:i w:val="0"/>
          <w:szCs w:val="21"/>
        </w:rPr>
        <w:t xml:space="preserve">5 </w:t>
      </w:r>
      <w:r>
        <w:rPr>
          <w:rFonts w:hint="eastAsia"/>
          <w:szCs w:val="21"/>
          <w:lang w:val="en-US" w:eastAsia="zh-CN"/>
        </w:rPr>
        <w:t>消防安全基本要求</w:t>
      </w:r>
      <w:r>
        <w:tab/>
      </w:r>
      <w:r>
        <w:fldChar w:fldCharType="begin"/>
      </w:r>
      <w:r>
        <w:instrText xml:space="preserve"> PAGEREF _Toc10257 \h </w:instrText>
      </w:r>
      <w:r>
        <w:fldChar w:fldCharType="separate"/>
      </w:r>
      <w:r>
        <w:t>4</w:t>
      </w:r>
      <w:r>
        <w:fldChar w:fldCharType="end"/>
      </w:r>
      <w:r>
        <w:fldChar w:fldCharType="end"/>
      </w:r>
    </w:p>
    <w:p>
      <w:pPr>
        <w:pStyle w:val="19"/>
        <w:tabs>
          <w:tab w:val="right" w:leader="dot" w:pos="9354"/>
        </w:tabs>
      </w:pPr>
      <w:r>
        <w:fldChar w:fldCharType="begin"/>
      </w:r>
      <w:r>
        <w:instrText xml:space="preserve"> HYPERLINK \l _Toc9166 </w:instrText>
      </w:r>
      <w:r>
        <w:fldChar w:fldCharType="separate"/>
      </w:r>
      <w:r>
        <w:rPr>
          <w:rFonts w:hint="eastAsia" w:ascii="黑体" w:eastAsia="黑体"/>
          <w:i w:val="0"/>
          <w:szCs w:val="21"/>
          <w:lang w:val="en-US" w:eastAsia="zh-CN"/>
        </w:rPr>
        <w:t xml:space="preserve">6 </w:t>
      </w:r>
      <w:r>
        <w:rPr>
          <w:rFonts w:hint="eastAsia"/>
          <w:szCs w:val="21"/>
          <w:lang w:val="en-US" w:eastAsia="zh-CN"/>
        </w:rPr>
        <w:t>建筑消防设施配备和维护要求</w:t>
      </w:r>
      <w:r>
        <w:tab/>
      </w:r>
      <w:r>
        <w:rPr>
          <w:rFonts w:hint="eastAsia"/>
          <w:lang w:val="en-US" w:eastAsia="zh-CN"/>
        </w:rPr>
        <w:t>6</w:t>
      </w:r>
      <w:r>
        <w:fldChar w:fldCharType="end"/>
      </w:r>
    </w:p>
    <w:p>
      <w:pPr>
        <w:pStyle w:val="19"/>
        <w:tabs>
          <w:tab w:val="right" w:leader="dot" w:pos="9354"/>
        </w:tabs>
      </w:pPr>
      <w:r>
        <w:fldChar w:fldCharType="begin"/>
      </w:r>
      <w:r>
        <w:instrText xml:space="preserve"> HYPERLINK \l _Toc14389 </w:instrText>
      </w:r>
      <w:r>
        <w:fldChar w:fldCharType="separate"/>
      </w:r>
      <w:r>
        <w:rPr>
          <w:rFonts w:hint="eastAsia" w:ascii="黑体" w:eastAsia="黑体"/>
          <w:i w:val="0"/>
          <w:szCs w:val="21"/>
          <w:lang w:val="en-US" w:eastAsia="zh-CN"/>
        </w:rPr>
        <w:t xml:space="preserve">7 </w:t>
      </w:r>
      <w:r>
        <w:rPr>
          <w:rFonts w:hint="eastAsia"/>
          <w:szCs w:val="21"/>
          <w:lang w:val="en-US" w:eastAsia="zh-CN"/>
        </w:rPr>
        <w:t>安全疏散要求</w:t>
      </w:r>
      <w:r>
        <w:tab/>
      </w:r>
      <w:r>
        <w:fldChar w:fldCharType="begin"/>
      </w:r>
      <w:r>
        <w:instrText xml:space="preserve"> PAGEREF _Toc14389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_Toc27606 </w:instrText>
      </w:r>
      <w:r>
        <w:fldChar w:fldCharType="separate"/>
      </w:r>
      <w:r>
        <w:rPr>
          <w:rFonts w:hint="eastAsia" w:ascii="黑体" w:eastAsia="黑体"/>
          <w:i w:val="0"/>
          <w:szCs w:val="21"/>
          <w:lang w:val="en-US" w:eastAsia="zh-CN"/>
        </w:rPr>
        <w:t xml:space="preserve">8 </w:t>
      </w:r>
      <w:r>
        <w:rPr>
          <w:rFonts w:hint="eastAsia"/>
          <w:szCs w:val="21"/>
          <w:lang w:val="en-US" w:eastAsia="zh-CN"/>
        </w:rPr>
        <w:t>消防安全基本职责</w:t>
      </w:r>
      <w:r>
        <w:tab/>
      </w:r>
      <w:r>
        <w:rPr>
          <w:rFonts w:hint="eastAsia"/>
          <w:lang w:val="en-US" w:eastAsia="zh-CN"/>
        </w:rPr>
        <w:t>7</w:t>
      </w:r>
      <w:r>
        <w:fldChar w:fldCharType="end"/>
      </w:r>
    </w:p>
    <w:p>
      <w:pPr>
        <w:pStyle w:val="19"/>
        <w:tabs>
          <w:tab w:val="right" w:leader="dot" w:pos="9354"/>
        </w:tabs>
      </w:pPr>
      <w:r>
        <w:fldChar w:fldCharType="begin"/>
      </w:r>
      <w:r>
        <w:instrText xml:space="preserve"> HYPERLINK \l _Toc10083 </w:instrText>
      </w:r>
      <w:r>
        <w:fldChar w:fldCharType="separate"/>
      </w:r>
      <w:r>
        <w:rPr>
          <w:rFonts w:hint="eastAsia" w:ascii="黑体" w:eastAsia="黑体"/>
          <w:i w:val="0"/>
          <w:szCs w:val="21"/>
          <w:lang w:val="en-US" w:eastAsia="zh-CN"/>
        </w:rPr>
        <w:t xml:space="preserve">9 </w:t>
      </w:r>
      <w:r>
        <w:rPr>
          <w:rFonts w:hint="eastAsia"/>
          <w:szCs w:val="21"/>
          <w:lang w:val="en-US" w:eastAsia="zh-CN"/>
        </w:rPr>
        <w:t>消防安全日常管理</w:t>
      </w:r>
      <w:r>
        <w:tab/>
      </w:r>
      <w:r>
        <w:rPr>
          <w:rFonts w:hint="eastAsia"/>
          <w:lang w:val="en-US" w:eastAsia="zh-CN"/>
        </w:rPr>
        <w:t>8</w:t>
      </w:r>
      <w:r>
        <w:fldChar w:fldCharType="end"/>
      </w:r>
    </w:p>
    <w:p>
      <w:pPr>
        <w:pStyle w:val="19"/>
        <w:tabs>
          <w:tab w:val="right" w:leader="dot" w:pos="9354"/>
        </w:tabs>
        <w:rPr>
          <w:rFonts w:hint="default" w:eastAsia="宋体"/>
          <w:lang w:val="en-US" w:eastAsia="zh-CN"/>
        </w:rPr>
      </w:pPr>
      <w:r>
        <w:fldChar w:fldCharType="begin"/>
      </w:r>
      <w:r>
        <w:instrText xml:space="preserve"> HYPERLINK \l _Toc13982 </w:instrText>
      </w:r>
      <w:r>
        <w:fldChar w:fldCharType="separate"/>
      </w:r>
      <w:r>
        <w:rPr>
          <w:rFonts w:hint="eastAsia"/>
          <w:spacing w:val="100"/>
        </w:rPr>
        <w:t xml:space="preserve">附录A </w:t>
      </w:r>
      <w:r>
        <w:t xml:space="preserve"> </w:t>
      </w:r>
      <w:r>
        <w:rPr>
          <w:rFonts w:hint="eastAsia"/>
        </w:rPr>
        <w:t>（资料性）</w:t>
      </w:r>
      <w:r>
        <w:t xml:space="preserve"> </w:t>
      </w:r>
      <w:r>
        <w:rPr>
          <w:rFonts w:hint="eastAsia"/>
          <w:lang w:eastAsia="zh-CN"/>
        </w:rPr>
        <w:t>经营性居民自建房禁止类限制类项目</w:t>
      </w:r>
      <w:r>
        <w:tab/>
      </w:r>
      <w:r>
        <w:rPr>
          <w:rFonts w:hint="eastAsia"/>
          <w:lang w:val="en-US" w:eastAsia="zh-CN"/>
        </w:rPr>
        <w:t>1</w:t>
      </w:r>
      <w:r>
        <w:fldChar w:fldCharType="end"/>
      </w:r>
      <w:r>
        <w:rPr>
          <w:rFonts w:hint="eastAsia"/>
          <w:lang w:val="en-US" w:eastAsia="zh-CN"/>
        </w:rPr>
        <w:t>0</w:t>
      </w:r>
    </w:p>
    <w:p>
      <w:pPr>
        <w:pStyle w:val="19"/>
        <w:tabs>
          <w:tab w:val="right" w:leader="dot" w:pos="9354"/>
        </w:tabs>
        <w:rPr>
          <w:rFonts w:hint="eastAsia" w:eastAsia="宋体"/>
          <w:lang w:val="en-US" w:eastAsia="zh-CN"/>
        </w:rPr>
      </w:pPr>
      <w:r>
        <w:fldChar w:fldCharType="begin"/>
      </w:r>
      <w:r>
        <w:instrText xml:space="preserve"> HYPERLINK \l _Toc13242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经营性居民自建房人数限定标准</w:t>
      </w:r>
      <w:r>
        <w:tab/>
      </w:r>
      <w:r>
        <w:rPr>
          <w:rFonts w:hint="eastAsia"/>
          <w:lang w:val="en-US" w:eastAsia="zh-CN"/>
        </w:rPr>
        <w:t>1</w:t>
      </w:r>
      <w:r>
        <w:fldChar w:fldCharType="end"/>
      </w:r>
      <w:r>
        <w:rPr>
          <w:rFonts w:hint="eastAsia"/>
          <w:lang w:val="en-US" w:eastAsia="zh-CN"/>
        </w:rPr>
        <w:t>4</w:t>
      </w:r>
    </w:p>
    <w:p>
      <w:pPr>
        <w:pStyle w:val="19"/>
        <w:tabs>
          <w:tab w:val="right" w:leader="dot" w:pos="9354"/>
        </w:tabs>
        <w:rPr>
          <w:rFonts w:hint="eastAsia" w:eastAsia="宋体"/>
          <w:lang w:val="en-US" w:eastAsia="zh-CN"/>
        </w:rPr>
      </w:pPr>
      <w:r>
        <w:fldChar w:fldCharType="begin"/>
      </w:r>
      <w:r>
        <w:instrText xml:space="preserve"> HYPERLINK \l _Toc13982 </w:instrText>
      </w:r>
      <w:r>
        <w:fldChar w:fldCharType="separate"/>
      </w:r>
      <w:r>
        <w:rPr>
          <w:rFonts w:hint="eastAsia"/>
          <w:spacing w:val="100"/>
        </w:rPr>
        <w:t>附录</w:t>
      </w:r>
      <w:r>
        <w:rPr>
          <w:rFonts w:hint="eastAsia"/>
          <w:spacing w:val="100"/>
          <w:lang w:val="en-US" w:eastAsia="zh-CN"/>
        </w:rPr>
        <w:t>C</w:t>
      </w:r>
      <w:r>
        <w:rPr>
          <w:rFonts w:hint="eastAsia"/>
          <w:spacing w:val="100"/>
        </w:rPr>
        <w:t xml:space="preserve"> </w:t>
      </w:r>
      <w:r>
        <w:t xml:space="preserve"> </w:t>
      </w:r>
      <w:r>
        <w:rPr>
          <w:rFonts w:hint="eastAsia"/>
        </w:rPr>
        <w:t>防火巡查记录表</w:t>
      </w:r>
      <w:r>
        <w:tab/>
      </w:r>
      <w:r>
        <w:rPr>
          <w:rFonts w:hint="eastAsia"/>
          <w:lang w:val="en-US" w:eastAsia="zh-CN"/>
        </w:rPr>
        <w:t>1</w:t>
      </w:r>
      <w:r>
        <w:fldChar w:fldCharType="end"/>
      </w:r>
      <w:r>
        <w:rPr>
          <w:rFonts w:hint="eastAsia"/>
          <w:lang w:val="en-US" w:eastAsia="zh-CN"/>
        </w:rPr>
        <w:t>6</w:t>
      </w:r>
    </w:p>
    <w:p>
      <w:pPr>
        <w:pStyle w:val="19"/>
        <w:tabs>
          <w:tab w:val="right" w:leader="dot" w:pos="9354"/>
        </w:tabs>
        <w:rPr>
          <w:rFonts w:hint="eastAsia"/>
          <w:lang w:val="en-US" w:eastAsia="zh-CN"/>
        </w:rPr>
      </w:pPr>
      <w:r>
        <w:fldChar w:fldCharType="begin"/>
      </w:r>
      <w:r>
        <w:instrText xml:space="preserve"> HYPERLINK \l _Toc13242 </w:instrText>
      </w:r>
      <w:r>
        <w:fldChar w:fldCharType="separate"/>
      </w:r>
      <w:r>
        <w:rPr>
          <w:rFonts w:hint="eastAsia"/>
          <w:spacing w:val="100"/>
        </w:rPr>
        <w:t>附录</w:t>
      </w:r>
      <w:r>
        <w:rPr>
          <w:rFonts w:hint="eastAsia"/>
          <w:spacing w:val="100"/>
          <w:lang w:val="en-US" w:eastAsia="zh-CN"/>
        </w:rPr>
        <w:t>D</w:t>
      </w:r>
      <w:r>
        <w:rPr>
          <w:rFonts w:hint="eastAsia"/>
          <w:spacing w:val="100"/>
        </w:rPr>
        <w:t xml:space="preserve"> </w:t>
      </w:r>
      <w:r>
        <w:t xml:space="preserve"> </w:t>
      </w:r>
      <w:r>
        <w:rPr>
          <w:rFonts w:hint="eastAsia"/>
        </w:rPr>
        <w:t>防火</w:t>
      </w:r>
      <w:r>
        <w:rPr>
          <w:rFonts w:hint="eastAsia"/>
          <w:lang w:val="en-US" w:eastAsia="zh-CN"/>
        </w:rPr>
        <w:t>检查</w:t>
      </w:r>
      <w:r>
        <w:rPr>
          <w:rFonts w:hint="eastAsia"/>
        </w:rPr>
        <w:t>记录表</w:t>
      </w:r>
      <w:r>
        <w:tab/>
      </w:r>
      <w:r>
        <w:rPr>
          <w:rFonts w:hint="eastAsia"/>
          <w:lang w:val="en-US" w:eastAsia="zh-CN"/>
        </w:rPr>
        <w:t>1</w:t>
      </w:r>
      <w:r>
        <w:fldChar w:fldCharType="end"/>
      </w:r>
      <w:r>
        <w:rPr>
          <w:rFonts w:hint="eastAsia"/>
          <w:lang w:val="en-US" w:eastAsia="zh-CN"/>
        </w:rPr>
        <w:t>7</w:t>
      </w:r>
    </w:p>
    <w:p>
      <w:pPr>
        <w:rPr>
          <w:rFonts w:hint="eastAsia"/>
          <w:lang w:val="en-US" w:eastAsia="zh-CN"/>
        </w:rPr>
      </w:pPr>
    </w:p>
    <w:p>
      <w:pPr>
        <w:pStyle w:val="92"/>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1"/>
    <w:p>
      <w:pPr>
        <w:pStyle w:val="90"/>
        <w:spacing w:after="468"/>
      </w:pPr>
      <w:bookmarkStart w:id="23" w:name="_Toc750"/>
      <w:bookmarkStart w:id="24" w:name="BookMark2"/>
      <w:r>
        <w:rPr>
          <w:spacing w:val="320"/>
        </w:rPr>
        <w:t>前</w:t>
      </w:r>
      <w:r>
        <w:t>言</w:t>
      </w:r>
      <w:bookmarkEnd w:id="22"/>
      <w:bookmarkEnd w:id="23"/>
    </w:p>
    <w:p>
      <w:pPr>
        <w:pStyle w:val="57"/>
        <w:ind w:firstLine="420"/>
      </w:pPr>
      <w:r>
        <w:rPr>
          <w:rFonts w:hint="eastAsia"/>
        </w:rPr>
        <w:t>本文件按照GB/T 1.1—2020《标准化工作导则  第1部分：标准化文件的结构和起草规则》的规定起草。</w:t>
      </w:r>
    </w:p>
    <w:p>
      <w:pPr>
        <w:pStyle w:val="57"/>
        <w:ind w:firstLine="420"/>
        <w:rPr>
          <w:color w:val="auto"/>
        </w:rPr>
      </w:pPr>
      <w:r>
        <w:rPr>
          <w:rFonts w:hint="eastAsia"/>
          <w:color w:val="auto"/>
        </w:rPr>
        <w:t>本文件</w:t>
      </w:r>
      <w:r>
        <w:rPr>
          <w:rFonts w:hint="eastAsia" w:hAnsi="Times New Roman" w:cs="Times New Roman"/>
          <w:color w:val="auto"/>
        </w:rPr>
        <w:t>由</w:t>
      </w:r>
      <w:r>
        <w:rPr>
          <w:rFonts w:hint="eastAsia" w:hAnsi="Times New Roman" w:cs="Times New Roman"/>
          <w:color w:val="auto"/>
          <w:lang w:eastAsia="zh-CN"/>
        </w:rPr>
        <w:t>湖南省消防救援总队</w:t>
      </w:r>
      <w:r>
        <w:rPr>
          <w:rFonts w:hint="eastAsia" w:hAnsi="Times New Roman" w:cs="Times New Roman"/>
          <w:color w:val="auto"/>
        </w:rPr>
        <w:t>提</w:t>
      </w:r>
      <w:r>
        <w:rPr>
          <w:rFonts w:hint="eastAsia"/>
          <w:color w:val="auto"/>
        </w:rPr>
        <w:t>出</w:t>
      </w:r>
      <w:r>
        <w:rPr>
          <w:rFonts w:hint="eastAsia"/>
          <w:color w:val="auto"/>
          <w:lang w:eastAsia="zh-CN"/>
        </w:rPr>
        <w:t>并归口</w:t>
      </w:r>
      <w:r>
        <w:rPr>
          <w:rFonts w:hint="eastAsia"/>
          <w:color w:val="auto"/>
        </w:rPr>
        <w:t>。</w:t>
      </w:r>
    </w:p>
    <w:p>
      <w:pPr>
        <w:pStyle w:val="57"/>
        <w:ind w:firstLine="420"/>
        <w:rPr>
          <w:color w:val="auto"/>
        </w:rPr>
      </w:pPr>
      <w:r>
        <w:rPr>
          <w:rFonts w:hint="eastAsia"/>
          <w:color w:val="auto"/>
        </w:rPr>
        <w:t>本文件起草单位：</w:t>
      </w:r>
      <w:r>
        <w:rPr>
          <w:rFonts w:hint="eastAsia" w:hAnsi="Times New Roman" w:cs="Times New Roman"/>
          <w:color w:val="auto"/>
          <w:lang w:eastAsia="zh-CN"/>
        </w:rPr>
        <w:t>湖南省消防救援总队</w:t>
      </w:r>
      <w:r>
        <w:rPr>
          <w:rFonts w:hint="eastAsia" w:cs="Times New Roman"/>
          <w:color w:val="auto"/>
          <w:lang w:eastAsia="zh-CN"/>
        </w:rPr>
        <w:t>，</w:t>
      </w:r>
      <w:r>
        <w:rPr>
          <w:rFonts w:hint="eastAsia"/>
          <w:color w:val="auto"/>
        </w:rPr>
        <w:t>湖南人人居安消防安全服务集团有限公司。</w:t>
      </w:r>
    </w:p>
    <w:p>
      <w:pPr>
        <w:pStyle w:val="57"/>
        <w:ind w:firstLine="420"/>
        <w:rPr>
          <w:color w:val="auto"/>
        </w:rPr>
      </w:pPr>
      <w:r>
        <w:rPr>
          <w:rFonts w:hint="eastAsia"/>
          <w:color w:val="auto"/>
        </w:rPr>
        <w:t>本文件主要起草人：</w:t>
      </w:r>
    </w:p>
    <w:p>
      <w:pPr>
        <w:pStyle w:val="57"/>
        <w:ind w:firstLine="420"/>
        <w:sectPr>
          <w:pgSz w:w="11906" w:h="16838"/>
          <w:pgMar w:top="2410" w:right="1134" w:bottom="1134" w:left="1134" w:header="1418" w:footer="1134" w:gutter="284"/>
          <w:pgNumType w:fmt="upperRoman"/>
          <w:cols w:space="425" w:num="1"/>
          <w:formProt w:val="0"/>
          <w:docGrid w:type="lines" w:linePitch="312" w:charSpace="0"/>
        </w:sectPr>
      </w:pPr>
      <w:r>
        <w:rPr>
          <w:rFonts w:hint="eastAsia"/>
        </w:rPr>
        <w:t>本文件系首次发布的</w:t>
      </w:r>
      <w:r>
        <w:rPr>
          <w:rFonts w:hint="eastAsia"/>
          <w:lang w:val="en-US" w:eastAsia="zh-CN"/>
        </w:rPr>
        <w:t>湖南省</w:t>
      </w:r>
      <w:r>
        <w:rPr>
          <w:rFonts w:hint="eastAsia"/>
        </w:rPr>
        <w:t>地方标准。</w:t>
      </w:r>
      <w:bookmarkStart w:id="83" w:name="_GoBack"/>
      <w:bookmarkEnd w:id="83"/>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63A24B37598E4C44B3A4542BFB1ED6B0"/>
        </w:placeholder>
      </w:sdtPr>
      <w:sdtContent>
        <w:p>
          <w:pPr>
            <w:pStyle w:val="178"/>
            <w:spacing w:before="3" w:beforeLines="1" w:after="686" w:afterLines="220"/>
          </w:pPr>
          <w:bookmarkStart w:id="26" w:name="NEW_STAND_NAME"/>
          <w:r>
            <w:rPr>
              <w:rFonts w:hint="eastAsia"/>
              <w:lang w:eastAsia="zh-CN"/>
            </w:rPr>
            <w:t>商业类</w:t>
          </w:r>
          <w:r>
            <w:rPr>
              <w:rFonts w:hint="eastAsia"/>
            </w:rPr>
            <w:t>经营性居民自建房消防安全管理规范</w:t>
          </w:r>
        </w:p>
      </w:sdtContent>
    </w:sdt>
    <w:bookmarkEnd w:id="26"/>
    <w:p>
      <w:pPr>
        <w:pStyle w:val="105"/>
        <w:spacing w:before="312" w:after="312"/>
      </w:pPr>
      <w:bookmarkStart w:id="27" w:name="_Toc26718930"/>
      <w:bookmarkStart w:id="28" w:name="_Toc27989"/>
      <w:bookmarkStart w:id="29" w:name="_Toc24884218"/>
      <w:bookmarkStart w:id="30" w:name="_Toc79569169"/>
      <w:bookmarkStart w:id="31" w:name="_Toc26986530"/>
      <w:bookmarkStart w:id="32" w:name="_Toc79569219"/>
      <w:bookmarkStart w:id="33" w:name="_Toc17233333"/>
      <w:bookmarkStart w:id="34" w:name="_Toc26648465"/>
      <w:bookmarkStart w:id="35" w:name="_Toc26986771"/>
      <w:bookmarkStart w:id="36" w:name="_Toc79569761"/>
      <w:bookmarkStart w:id="37" w:name="_Toc24884211"/>
      <w:bookmarkStart w:id="38" w:name="_Toc1723332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7"/>
        <w:ind w:firstLine="420"/>
      </w:pPr>
      <w:bookmarkStart w:id="39" w:name="_Toc17233326"/>
      <w:bookmarkStart w:id="40" w:name="_Toc17233334"/>
      <w:bookmarkStart w:id="41" w:name="_Toc24884219"/>
      <w:bookmarkStart w:id="42" w:name="_Toc24884212"/>
      <w:bookmarkStart w:id="43" w:name="_Toc26648466"/>
      <w:r>
        <w:rPr>
          <w:rFonts w:hint="eastAsia"/>
        </w:rPr>
        <w:t>本文件提出了商业类</w:t>
      </w:r>
      <w:r>
        <w:rPr>
          <w:rFonts w:hint="eastAsia"/>
          <w:lang w:val="en-US" w:eastAsia="zh-CN"/>
        </w:rPr>
        <w:t>经营性居民自建房</w:t>
      </w:r>
      <w:r>
        <w:rPr>
          <w:rFonts w:hint="eastAsia"/>
        </w:rPr>
        <w:t>的限定条件，并就商业类</w:t>
      </w:r>
      <w:r>
        <w:rPr>
          <w:rFonts w:hint="eastAsia"/>
          <w:lang w:val="en-US" w:eastAsia="zh-CN"/>
        </w:rPr>
        <w:t>经营性居民自建房</w:t>
      </w:r>
      <w:r>
        <w:rPr>
          <w:rFonts w:hint="eastAsia"/>
        </w:rPr>
        <w:t>的消防安全</w:t>
      </w:r>
      <w:r>
        <w:rPr>
          <w:rFonts w:hint="eastAsia"/>
          <w:lang w:val="en-US" w:eastAsia="zh-CN"/>
        </w:rPr>
        <w:t>基本要求</w:t>
      </w:r>
      <w:r>
        <w:rPr>
          <w:rFonts w:hint="eastAsia"/>
        </w:rPr>
        <w:t>、</w:t>
      </w:r>
      <w:r>
        <w:rPr>
          <w:rFonts w:hint="eastAsia"/>
          <w:lang w:val="en-US" w:eastAsia="zh-CN"/>
        </w:rPr>
        <w:t>建筑消防设施配备和维护要求</w:t>
      </w:r>
      <w:r>
        <w:rPr>
          <w:rFonts w:hint="eastAsia"/>
        </w:rPr>
        <w:t>、</w:t>
      </w:r>
      <w:r>
        <w:rPr>
          <w:rFonts w:hint="eastAsia"/>
          <w:lang w:val="en-US" w:eastAsia="zh-CN"/>
        </w:rPr>
        <w:t>安全疏散</w:t>
      </w:r>
      <w:r>
        <w:rPr>
          <w:rFonts w:hint="eastAsia"/>
        </w:rPr>
        <w:t>要求、消防</w:t>
      </w:r>
      <w:r>
        <w:rPr>
          <w:rFonts w:hint="eastAsia"/>
          <w:lang w:val="en-US" w:eastAsia="zh-CN"/>
        </w:rPr>
        <w:t>安全基本职责、消防安全管理要求</w:t>
      </w:r>
      <w:r>
        <w:rPr>
          <w:rFonts w:hint="eastAsia"/>
        </w:rPr>
        <w:t>等方面作出了规定。</w:t>
      </w:r>
    </w:p>
    <w:p>
      <w:pPr>
        <w:pStyle w:val="57"/>
        <w:ind w:firstLine="420"/>
        <w:rPr>
          <w:color w:val="FF0000"/>
        </w:rPr>
      </w:pPr>
      <w:r>
        <w:rPr>
          <w:rFonts w:hint="eastAsia"/>
        </w:rPr>
        <w:t>本</w:t>
      </w:r>
      <w:r>
        <w:rPr>
          <w:rFonts w:hint="eastAsia"/>
          <w:color w:val="auto"/>
        </w:rPr>
        <w:t>文件适用于</w:t>
      </w:r>
      <w:r>
        <w:rPr>
          <w:rFonts w:hint="eastAsia"/>
          <w:color w:val="auto"/>
          <w:lang w:val="en-US" w:eastAsia="zh-CN"/>
        </w:rPr>
        <w:t>湖南省内商业类经营性居民自建房</w:t>
      </w:r>
      <w:r>
        <w:rPr>
          <w:rFonts w:hint="eastAsia"/>
          <w:color w:val="auto"/>
          <w:lang w:eastAsia="zh-CN"/>
        </w:rPr>
        <w:t>，不适用于从事生产加工、仓储等类似用途的居民自建房</w:t>
      </w:r>
      <w:r>
        <w:rPr>
          <w:rFonts w:hint="eastAsia"/>
          <w:color w:val="auto"/>
        </w:rPr>
        <w:t>。</w:t>
      </w:r>
    </w:p>
    <w:p>
      <w:pPr>
        <w:pStyle w:val="105"/>
        <w:spacing w:before="312" w:after="312"/>
      </w:pPr>
      <w:bookmarkStart w:id="44" w:name="_Toc79569220"/>
      <w:bookmarkStart w:id="45" w:name="_Toc79569762"/>
      <w:bookmarkStart w:id="46" w:name="_Toc26718931"/>
      <w:bookmarkStart w:id="47" w:name="_Toc26986772"/>
      <w:bookmarkStart w:id="48" w:name="_Toc26986531"/>
      <w:bookmarkStart w:id="49" w:name="_Toc8347"/>
      <w:bookmarkStart w:id="50" w:name="_Toc79569170"/>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BBD5103770254B94B1B8CD0EED915BE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2"/>
        <w:numPr>
          <w:ilvl w:val="0"/>
          <w:numId w:val="0"/>
        </w:numPr>
        <w:ind w:firstLine="420" w:firstLineChars="200"/>
        <w:rPr>
          <w:rFonts w:hint="eastAsia"/>
        </w:rPr>
      </w:pPr>
      <w:r>
        <w:rPr>
          <w:rFonts w:hint="eastAsia"/>
        </w:rPr>
        <w:t>GB 13495.1 消防安全标志 第1部分：标志</w:t>
      </w:r>
    </w:p>
    <w:p>
      <w:pPr>
        <w:pStyle w:val="232"/>
        <w:numPr>
          <w:ilvl w:val="0"/>
          <w:numId w:val="0"/>
        </w:numPr>
        <w:ind w:firstLine="420" w:firstLineChars="200"/>
        <w:rPr>
          <w:rFonts w:hint="eastAsia"/>
        </w:rPr>
      </w:pPr>
      <w:r>
        <w:rPr>
          <w:rFonts w:hint="eastAsia"/>
        </w:rPr>
        <w:t>GB 15630 消防安全标志设置要求</w:t>
      </w:r>
    </w:p>
    <w:p>
      <w:pPr>
        <w:pStyle w:val="232"/>
        <w:numPr>
          <w:ilvl w:val="0"/>
          <w:numId w:val="0"/>
        </w:numPr>
        <w:ind w:firstLine="420" w:firstLineChars="200"/>
        <w:rPr>
          <w:rFonts w:hint="eastAsia"/>
        </w:rPr>
      </w:pPr>
      <w:r>
        <w:rPr>
          <w:rFonts w:hint="eastAsia"/>
        </w:rPr>
        <w:t>GB 17945 消防应急照明和疏散指示系统</w:t>
      </w:r>
    </w:p>
    <w:p>
      <w:pPr>
        <w:pStyle w:val="232"/>
        <w:numPr>
          <w:ilvl w:val="0"/>
          <w:numId w:val="0"/>
        </w:numPr>
        <w:ind w:firstLine="420" w:firstLineChars="200"/>
        <w:rPr>
          <w:rFonts w:hint="eastAsia"/>
        </w:rPr>
      </w:pPr>
      <w:r>
        <w:rPr>
          <w:rFonts w:hint="eastAsia"/>
        </w:rPr>
        <w:t>GB 20517 独立式感烟火灾探测器报警器</w:t>
      </w:r>
    </w:p>
    <w:p>
      <w:pPr>
        <w:pStyle w:val="57"/>
        <w:ind w:firstLine="420"/>
        <w:rPr>
          <w:rFonts w:hint="eastAsia"/>
        </w:rPr>
      </w:pPr>
      <w:r>
        <w:rPr>
          <w:rFonts w:hint="eastAsia"/>
        </w:rPr>
        <w:t>GB 50016 建筑设计防火规范</w:t>
      </w:r>
    </w:p>
    <w:p>
      <w:pPr>
        <w:pStyle w:val="57"/>
        <w:ind w:firstLine="420"/>
        <w:rPr>
          <w:rFonts w:hint="eastAsia"/>
          <w:lang w:val="en-US" w:eastAsia="zh-CN"/>
        </w:rPr>
      </w:pPr>
      <w:r>
        <w:rPr>
          <w:rFonts w:hint="eastAsia"/>
          <w:lang w:val="en-US" w:eastAsia="zh-CN"/>
        </w:rPr>
        <w:t>GB 55036 消防设施通用规范</w:t>
      </w:r>
    </w:p>
    <w:p>
      <w:pPr>
        <w:pStyle w:val="57"/>
        <w:ind w:firstLine="420"/>
        <w:rPr>
          <w:rFonts w:hint="eastAsia"/>
          <w:lang w:val="en-US" w:eastAsia="zh-CN"/>
        </w:rPr>
      </w:pPr>
      <w:r>
        <w:rPr>
          <w:rFonts w:hint="eastAsia"/>
          <w:lang w:val="en-US" w:eastAsia="zh-CN"/>
        </w:rPr>
        <w:t>GB 55037 建筑防火通用规范</w:t>
      </w:r>
    </w:p>
    <w:p>
      <w:pPr>
        <w:pStyle w:val="232"/>
        <w:numPr>
          <w:ilvl w:val="0"/>
          <w:numId w:val="0"/>
        </w:numPr>
        <w:ind w:firstLine="420" w:firstLineChars="200"/>
        <w:rPr>
          <w:rFonts w:hint="eastAsia"/>
        </w:rPr>
      </w:pPr>
      <w:r>
        <w:rPr>
          <w:rFonts w:hint="eastAsia"/>
        </w:rPr>
        <w:t>GB 50084 自动喷水灭火系统设计规范</w:t>
      </w:r>
    </w:p>
    <w:p>
      <w:pPr>
        <w:pStyle w:val="232"/>
        <w:numPr>
          <w:ilvl w:val="0"/>
          <w:numId w:val="0"/>
        </w:numPr>
        <w:ind w:firstLine="420" w:firstLineChars="200"/>
        <w:rPr>
          <w:rFonts w:hint="eastAsia"/>
        </w:rPr>
      </w:pPr>
      <w:r>
        <w:rPr>
          <w:rFonts w:hint="eastAsia"/>
        </w:rPr>
        <w:t>GB 50116 火灾自动报警系统设计规范</w:t>
      </w:r>
    </w:p>
    <w:p>
      <w:pPr>
        <w:pStyle w:val="57"/>
        <w:ind w:firstLine="420"/>
        <w:rPr>
          <w:rFonts w:hint="default"/>
          <w:lang w:val="en-US" w:eastAsia="zh-CN"/>
        </w:rPr>
      </w:pPr>
      <w:r>
        <w:rPr>
          <w:rFonts w:hint="eastAsia"/>
        </w:rPr>
        <w:t xml:space="preserve">GB 50140 建筑灭火器配置设计规范  </w:t>
      </w:r>
    </w:p>
    <w:p>
      <w:pPr>
        <w:pStyle w:val="57"/>
        <w:ind w:firstLine="420"/>
        <w:rPr>
          <w:rFonts w:hint="eastAsia"/>
        </w:rPr>
      </w:pPr>
      <w:r>
        <w:rPr>
          <w:rFonts w:hint="eastAsia"/>
        </w:rPr>
        <w:t>GB 50222 建筑内部装修设计防火规范</w:t>
      </w:r>
    </w:p>
    <w:p>
      <w:pPr>
        <w:pStyle w:val="232"/>
        <w:numPr>
          <w:ilvl w:val="0"/>
          <w:numId w:val="0"/>
        </w:numPr>
        <w:ind w:firstLine="420" w:firstLineChars="200"/>
        <w:rPr>
          <w:rFonts w:hint="default"/>
          <w:color w:val="auto"/>
          <w:lang w:val="en-US" w:eastAsia="zh-CN"/>
        </w:rPr>
      </w:pPr>
      <w:r>
        <w:rPr>
          <w:rFonts w:hint="eastAsia"/>
          <w:color w:val="auto"/>
        </w:rPr>
        <w:t>GB 50974 消防给水及消火栓系统技术规范</w:t>
      </w:r>
    </w:p>
    <w:p>
      <w:pPr>
        <w:pStyle w:val="57"/>
        <w:ind w:firstLine="420"/>
        <w:rPr>
          <w:rFonts w:hint="eastAsia"/>
          <w:color w:val="auto"/>
          <w:lang w:val="en-US" w:eastAsia="zh-CN"/>
        </w:rPr>
      </w:pPr>
      <w:r>
        <w:rPr>
          <w:rFonts w:hint="eastAsia"/>
          <w:color w:val="auto"/>
          <w:lang w:val="en-US" w:eastAsia="zh-CN"/>
        </w:rPr>
        <w:t>XF 703 住宿与生产储存经营合用场所消防安全技术要求</w:t>
      </w:r>
    </w:p>
    <w:p>
      <w:pPr>
        <w:pStyle w:val="57"/>
        <w:ind w:firstLine="420"/>
        <w:rPr>
          <w:color w:val="auto"/>
        </w:rPr>
      </w:pPr>
      <w:r>
        <w:rPr>
          <w:rFonts w:hint="eastAsia"/>
          <w:color w:val="auto"/>
          <w:lang w:val="en-US" w:eastAsia="zh-CN"/>
        </w:rPr>
        <w:t xml:space="preserve">DB43/T 2525 </w:t>
      </w:r>
      <w:r>
        <w:rPr>
          <w:color w:val="auto"/>
        </w:rPr>
        <w:t>既有居住建筑出租房屋消防安全管理规范</w:t>
      </w:r>
    </w:p>
    <w:p>
      <w:pPr>
        <w:pStyle w:val="57"/>
        <w:ind w:firstLine="420"/>
        <w:rPr>
          <w:rFonts w:hint="default"/>
          <w:color w:val="auto"/>
          <w:lang w:val="en-US" w:eastAsia="zh-CN"/>
        </w:rPr>
      </w:pPr>
      <w:r>
        <w:rPr>
          <w:rFonts w:hint="default"/>
          <w:color w:val="auto"/>
          <w:lang w:val="en-US" w:eastAsia="zh-CN"/>
        </w:rPr>
        <w:t>DB43/T</w:t>
      </w:r>
      <w:r>
        <w:rPr>
          <w:rFonts w:hint="eastAsia"/>
          <w:color w:val="auto"/>
          <w:lang w:val="en-US" w:eastAsia="zh-CN"/>
        </w:rPr>
        <w:t xml:space="preserve"> </w:t>
      </w:r>
      <w:r>
        <w:rPr>
          <w:rFonts w:hint="default"/>
          <w:color w:val="auto"/>
          <w:lang w:val="en-US" w:eastAsia="zh-CN"/>
        </w:rPr>
        <w:t>1781</w:t>
      </w:r>
      <w:r>
        <w:rPr>
          <w:rFonts w:hint="eastAsia"/>
          <w:color w:val="auto"/>
          <w:lang w:val="en-US" w:eastAsia="zh-CN"/>
        </w:rPr>
        <w:t xml:space="preserve"> </w:t>
      </w:r>
      <w:r>
        <w:rPr>
          <w:rFonts w:hint="default"/>
          <w:color w:val="auto"/>
          <w:lang w:val="en-US" w:eastAsia="zh-CN"/>
        </w:rPr>
        <w:t>餐饮用醇基液体燃料使用安全规程</w:t>
      </w:r>
    </w:p>
    <w:p>
      <w:pPr>
        <w:pStyle w:val="105"/>
        <w:spacing w:before="312" w:after="312"/>
      </w:pPr>
      <w:bookmarkStart w:id="51" w:name="_Toc79569221"/>
      <w:bookmarkStart w:id="52" w:name="_Toc79569763"/>
      <w:bookmarkStart w:id="53" w:name="_Toc10694"/>
      <w:bookmarkStart w:id="54" w:name="_Toc79569171"/>
      <w:r>
        <w:rPr>
          <w:rFonts w:hint="eastAsia"/>
          <w:szCs w:val="21"/>
        </w:rPr>
        <w:t>术语和定义</w:t>
      </w:r>
      <w:bookmarkEnd w:id="51"/>
      <w:bookmarkEnd w:id="52"/>
      <w:bookmarkEnd w:id="53"/>
      <w:bookmarkEnd w:id="54"/>
    </w:p>
    <w:sdt>
      <w:sdtPr>
        <w:rPr>
          <w:rFonts w:ascii="黑体" w:hAnsi="黑体" w:eastAsia="黑体"/>
        </w:rPr>
        <w:id w:val="-1909835108"/>
        <w:placeholder>
          <w:docPart w:val="0F91D31E814D4B758AAE53A17DE5061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黑体" w:hAnsi="黑体" w:eastAsia="黑体"/>
        </w:rPr>
      </w:sdtEndPr>
      <w:sdtContent>
        <w:p>
          <w:pPr>
            <w:pStyle w:val="57"/>
            <w:ind w:firstLine="0" w:firstLineChars="0"/>
            <w:rPr>
              <w:rFonts w:ascii="黑体" w:hAnsi="黑体" w:eastAsia="黑体"/>
            </w:rPr>
          </w:pPr>
          <w:bookmarkStart w:id="55" w:name="_Toc26986532"/>
          <w:bookmarkEnd w:id="55"/>
          <w:r>
            <w:rPr>
              <w:rFonts w:ascii="黑体" w:hAnsi="黑体" w:eastAsia="黑体"/>
            </w:rPr>
            <w:t>下列术语和定义适用于本文件。</w:t>
          </w:r>
        </w:p>
      </w:sdtContent>
    </w:sdt>
    <w:p>
      <w:pPr>
        <w:pStyle w:val="224"/>
        <w:ind w:left="420" w:hanging="420" w:hangingChars="200"/>
        <w:rPr>
          <w:rFonts w:ascii="黑体" w:hAnsi="黑体" w:eastAsia="黑体"/>
        </w:rPr>
      </w:pPr>
      <w:bookmarkStart w:id="56" w:name="_Toc79569172"/>
      <w:bookmarkStart w:id="57" w:name="_Toc79569222"/>
      <w:r>
        <w:rPr>
          <w:rFonts w:ascii="黑体" w:hAnsi="黑体" w:eastAsia="黑体"/>
        </w:rPr>
        <w:br w:type="textWrapping"/>
      </w:r>
      <w:r>
        <w:rPr>
          <w:rFonts w:hint="eastAsia" w:ascii="黑体" w:hAnsi="黑体" w:eastAsia="黑体"/>
          <w:lang w:val="en-US" w:eastAsia="zh-CN"/>
        </w:rPr>
        <w:t>居民</w:t>
      </w:r>
      <w:r>
        <w:rPr>
          <w:rFonts w:hint="eastAsia" w:ascii="黑体" w:hAnsi="黑体" w:eastAsia="黑体"/>
        </w:rPr>
        <w:t xml:space="preserve">自建房  </w:t>
      </w:r>
      <w:r>
        <w:rPr>
          <w:rFonts w:ascii="黑体" w:hAnsi="黑体" w:eastAsia="黑体"/>
        </w:rPr>
        <w:t>Self-built houses</w:t>
      </w:r>
    </w:p>
    <w:p>
      <w:pPr>
        <w:pStyle w:val="57"/>
        <w:ind w:firstLine="420"/>
      </w:pPr>
      <w:r>
        <w:rPr>
          <w:rFonts w:hint="eastAsia"/>
        </w:rPr>
        <w:t>城乡居民自行组织建设的私有住房（包括附属建筑物、构筑物及其他设施）。</w:t>
      </w:r>
    </w:p>
    <w:p>
      <w:pPr>
        <w:pStyle w:val="224"/>
        <w:ind w:left="420" w:hanging="420" w:hangingChars="200"/>
        <w:rPr>
          <w:rFonts w:ascii="黑体" w:hAnsi="黑体" w:eastAsia="黑体"/>
          <w:color w:val="auto"/>
        </w:rPr>
      </w:pPr>
      <w:r>
        <w:rPr>
          <w:rFonts w:ascii="黑体" w:hAnsi="黑体" w:eastAsia="黑体"/>
        </w:rPr>
        <w:br w:type="textWrapping"/>
      </w:r>
      <w:bookmarkEnd w:id="56"/>
      <w:bookmarkEnd w:id="57"/>
      <w:r>
        <w:rPr>
          <w:rFonts w:hint="eastAsia" w:ascii="黑体" w:hAnsi="黑体" w:eastAsia="黑体"/>
          <w:lang w:eastAsia="zh-CN"/>
        </w:rPr>
        <w:t>商业类</w:t>
      </w:r>
      <w:r>
        <w:rPr>
          <w:rFonts w:hint="eastAsia" w:ascii="黑体" w:hAnsi="黑体" w:eastAsia="黑体"/>
          <w:lang w:val="en-US" w:eastAsia="zh-CN"/>
        </w:rPr>
        <w:t>经营性居民自</w:t>
      </w:r>
      <w:r>
        <w:rPr>
          <w:rFonts w:hint="eastAsia" w:ascii="黑体" w:hAnsi="黑体" w:eastAsia="黑体"/>
          <w:color w:val="auto"/>
          <w:lang w:val="en-US" w:eastAsia="zh-CN"/>
        </w:rPr>
        <w:t>建房</w:t>
      </w:r>
      <w:r>
        <w:rPr>
          <w:rFonts w:hint="eastAsia" w:ascii="黑体" w:hAnsi="黑体" w:eastAsia="黑体"/>
          <w:color w:val="auto"/>
        </w:rPr>
        <w:t xml:space="preserve">  </w:t>
      </w:r>
      <w:r>
        <w:rPr>
          <w:rFonts w:ascii="黑体" w:hAnsi="黑体" w:eastAsia="黑体"/>
          <w:color w:val="auto"/>
        </w:rPr>
        <w:t>Self-built houses for business premises</w:t>
      </w:r>
    </w:p>
    <w:p>
      <w:pPr>
        <w:pStyle w:val="57"/>
        <w:ind w:firstLine="420"/>
      </w:pPr>
      <w:r>
        <w:rPr>
          <w:rFonts w:hint="eastAsia"/>
          <w:lang w:eastAsia="zh-CN"/>
        </w:rPr>
        <w:t>将房屋的全部或部分区域，</w:t>
      </w:r>
      <w:r>
        <w:rPr>
          <w:rFonts w:hint="eastAsia"/>
        </w:rPr>
        <w:t>用</w:t>
      </w:r>
      <w:r>
        <w:rPr>
          <w:rFonts w:hint="eastAsia"/>
          <w:lang w:val="en-US" w:eastAsia="zh-CN"/>
        </w:rPr>
        <w:t>于零售、住宿、餐饮、教育、卫生和社会工作、文化娱乐、居民服务等经营性用途的居民自建房。</w:t>
      </w:r>
    </w:p>
    <w:p>
      <w:pPr>
        <w:pStyle w:val="105"/>
        <w:spacing w:before="312" w:after="312"/>
        <w:rPr>
          <w:rFonts w:hint="eastAsia"/>
          <w:szCs w:val="21"/>
        </w:rPr>
      </w:pPr>
      <w:bookmarkStart w:id="58" w:name="_Toc79569225"/>
      <w:bookmarkStart w:id="59" w:name="_Toc79569175"/>
      <w:bookmarkStart w:id="60" w:name="_Toc30208"/>
      <w:bookmarkStart w:id="61" w:name="_Toc79569764"/>
      <w:r>
        <w:rPr>
          <w:rFonts w:hint="eastAsia"/>
          <w:szCs w:val="21"/>
        </w:rPr>
        <w:t>总则</w:t>
      </w:r>
      <w:bookmarkEnd w:id="58"/>
      <w:bookmarkEnd w:id="59"/>
      <w:bookmarkEnd w:id="60"/>
      <w:bookmarkEnd w:id="61"/>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lang w:val="en-US" w:eastAsia="zh-CN"/>
        </w:rPr>
        <w:t>商业类经营性居民自建房的</w:t>
      </w:r>
      <w:r>
        <w:rPr>
          <w:rFonts w:hint="eastAsia"/>
        </w:rPr>
        <w:t>消防安全要求除应符合本文件的规定外，还应符合国家和当地现行有关规范及标准的规定。</w:t>
      </w:r>
    </w:p>
    <w:p>
      <w:pPr>
        <w:pStyle w:val="163"/>
        <w:keepNext w:val="0"/>
        <w:keepLines w:val="0"/>
        <w:pageBreakBefore w:val="0"/>
        <w:kinsoku/>
        <w:wordWrap/>
        <w:overflowPunct/>
        <w:topLinePunct w:val="0"/>
        <w:bidi w:val="0"/>
        <w:snapToGrid/>
        <w:spacing w:before="157" w:beforeLines="50" w:after="0" w:afterLines="0"/>
        <w:ind w:left="0" w:leftChars="0"/>
        <w:textAlignment w:val="auto"/>
        <w:rPr>
          <w:rFonts w:hint="eastAsia"/>
          <w:color w:val="auto"/>
          <w:highlight w:val="none"/>
          <w:lang w:val="en-US" w:eastAsia="zh-CN"/>
        </w:rPr>
      </w:pPr>
      <w:r>
        <w:rPr>
          <w:rFonts w:hint="eastAsia"/>
          <w:lang w:val="en-US" w:eastAsia="zh-CN"/>
        </w:rPr>
        <w:t>商业类</w:t>
      </w:r>
      <w:r>
        <w:rPr>
          <w:rFonts w:hint="eastAsia"/>
          <w:color w:val="auto"/>
          <w:highlight w:val="none"/>
          <w:lang w:val="en-US" w:eastAsia="zh-CN"/>
        </w:rPr>
        <w:t>经营性居民自建房在经营场所投入使用前应确保具备消防安全条件并取得相关合法手续。</w:t>
      </w:r>
    </w:p>
    <w:p>
      <w:pPr>
        <w:pStyle w:val="163"/>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color w:val="auto"/>
          <w:highlight w:val="none"/>
        </w:rPr>
        <w:t>出租后用作人员居住用途的居民自建房还应符合《既有居住建筑出租房屋消防安全管理规范》（DB43/T 2525）要求。</w:t>
      </w:r>
    </w:p>
    <w:p>
      <w:pPr>
        <w:pStyle w:val="105"/>
        <w:spacing w:before="312" w:after="312"/>
        <w:rPr>
          <w:rFonts w:hint="eastAsia"/>
          <w:szCs w:val="21"/>
        </w:rPr>
      </w:pPr>
      <w:bookmarkStart w:id="62" w:name="_Toc10257"/>
      <w:r>
        <w:rPr>
          <w:rFonts w:hint="eastAsia"/>
          <w:szCs w:val="21"/>
          <w:lang w:val="en-US" w:eastAsia="zh-CN"/>
        </w:rPr>
        <w:t>消防安全基本要求</w:t>
      </w:r>
      <w:bookmarkEnd w:id="62"/>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color w:val="auto"/>
          <w:highlight w:val="none"/>
        </w:rPr>
      </w:pPr>
      <w:bookmarkStart w:id="63" w:name="_Toc79569765"/>
      <w:bookmarkStart w:id="64" w:name="_Toc79569176"/>
      <w:bookmarkStart w:id="65" w:name="_Toc79569226"/>
      <w:r>
        <w:rPr>
          <w:rFonts w:hint="eastAsia"/>
          <w:color w:val="auto"/>
          <w:highlight w:val="none"/>
        </w:rPr>
        <w:t>一般规定</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eastAsia="宋体"/>
          <w:color w:val="auto"/>
          <w:highlight w:val="none"/>
          <w:lang w:val="en-US" w:eastAsia="zh-CN"/>
        </w:rPr>
        <w:t>下列情形之一的居民自建房，不得设置商业类经营场所</w:t>
      </w:r>
      <w:r>
        <w:rPr>
          <w:rFonts w:hint="eastAsia" w:ascii="宋体" w:eastAsia="宋体"/>
          <w:color w:val="auto"/>
          <w:highlight w:val="none"/>
        </w:rPr>
        <w:t>：</w:t>
      </w:r>
    </w:p>
    <w:p>
      <w:pPr>
        <w:pStyle w:val="175"/>
        <w:keepNext w:val="0"/>
        <w:keepLines w:val="0"/>
        <w:pageBreakBefore w:val="0"/>
        <w:widowControl/>
        <w:numPr>
          <w:ilvl w:val="0"/>
          <w:numId w:val="33"/>
        </w:numPr>
        <w:kinsoku/>
        <w:wordWrap/>
        <w:overflowPunct/>
        <w:topLinePunct w:val="0"/>
        <w:autoSpaceDE/>
        <w:autoSpaceDN/>
        <w:bidi w:val="0"/>
        <w:adjustRightInd/>
        <w:snapToGrid/>
        <w:spacing w:before="157" w:beforeLines="50"/>
        <w:ind w:leftChars="200"/>
        <w:textAlignment w:val="auto"/>
        <w:rPr>
          <w:color w:val="auto"/>
          <w:highlight w:val="none"/>
        </w:rPr>
      </w:pPr>
      <w:r>
        <w:rPr>
          <w:rFonts w:hint="eastAsia"/>
          <w:color w:val="auto"/>
          <w:highlight w:val="none"/>
        </w:rPr>
        <w:t>擅自加层或者拆改房屋主体承重结构</w:t>
      </w:r>
      <w:r>
        <w:rPr>
          <w:rFonts w:hint="eastAsia"/>
          <w:color w:val="auto"/>
          <w:highlight w:val="none"/>
          <w:lang w:val="en-US" w:eastAsia="zh-CN"/>
        </w:rPr>
        <w:t>的</w:t>
      </w:r>
      <w:r>
        <w:rPr>
          <w:rFonts w:hint="eastAsia"/>
          <w:color w:val="auto"/>
          <w:highlight w:val="none"/>
          <w:lang w:eastAsia="zh-CN"/>
        </w:rPr>
        <w:t>；</w:t>
      </w:r>
    </w:p>
    <w:p>
      <w:pPr>
        <w:pStyle w:val="175"/>
        <w:keepNext w:val="0"/>
        <w:keepLines w:val="0"/>
        <w:pageBreakBefore w:val="0"/>
        <w:widowControl/>
        <w:numPr>
          <w:ilvl w:val="0"/>
          <w:numId w:val="33"/>
        </w:numPr>
        <w:kinsoku/>
        <w:wordWrap/>
        <w:overflowPunct/>
        <w:topLinePunct w:val="0"/>
        <w:autoSpaceDE/>
        <w:autoSpaceDN/>
        <w:bidi w:val="0"/>
        <w:adjustRightInd/>
        <w:snapToGrid/>
        <w:spacing w:before="157" w:beforeLines="50"/>
        <w:ind w:leftChars="200"/>
        <w:textAlignment w:val="auto"/>
        <w:rPr>
          <w:color w:val="auto"/>
          <w:highlight w:val="none"/>
        </w:rPr>
      </w:pPr>
      <w:r>
        <w:rPr>
          <w:rFonts w:hint="eastAsia"/>
          <w:color w:val="auto"/>
          <w:highlight w:val="none"/>
          <w:lang w:val="en-US" w:eastAsia="zh-CN"/>
        </w:rPr>
        <w:t>经房屋安全鉴定为C级和D级且有垮塌危险的；</w:t>
      </w:r>
    </w:p>
    <w:p>
      <w:pPr>
        <w:pStyle w:val="175"/>
        <w:keepNext w:val="0"/>
        <w:keepLines w:val="0"/>
        <w:pageBreakBefore w:val="0"/>
        <w:widowControl/>
        <w:numPr>
          <w:ilvl w:val="0"/>
          <w:numId w:val="33"/>
        </w:numPr>
        <w:kinsoku/>
        <w:wordWrap/>
        <w:overflowPunct/>
        <w:topLinePunct w:val="0"/>
        <w:autoSpaceDE/>
        <w:autoSpaceDN/>
        <w:bidi w:val="0"/>
        <w:adjustRightInd/>
        <w:snapToGrid/>
        <w:spacing w:before="157" w:beforeLines="50"/>
        <w:ind w:leftChars="200"/>
        <w:textAlignment w:val="auto"/>
        <w:rPr>
          <w:color w:val="auto"/>
          <w:highlight w:val="none"/>
        </w:rPr>
      </w:pPr>
      <w:r>
        <w:rPr>
          <w:rFonts w:hint="eastAsia"/>
          <w:color w:val="auto"/>
          <w:highlight w:val="none"/>
          <w:lang w:eastAsia="zh-CN"/>
        </w:rPr>
        <w:t>未</w:t>
      </w:r>
      <w:r>
        <w:rPr>
          <w:rFonts w:hint="eastAsia"/>
          <w:color w:val="auto"/>
          <w:highlight w:val="none"/>
        </w:rPr>
        <w:t>组织竣工验收或者竣工验收不合格的</w:t>
      </w:r>
      <w:r>
        <w:rPr>
          <w:rFonts w:hint="eastAsia"/>
          <w:color w:val="auto"/>
          <w:highlight w:val="none"/>
          <w:lang w:eastAsia="zh-CN"/>
        </w:rPr>
        <w:t>；</w:t>
      </w:r>
    </w:p>
    <w:p>
      <w:pPr>
        <w:pStyle w:val="175"/>
        <w:keepNext w:val="0"/>
        <w:keepLines w:val="0"/>
        <w:pageBreakBefore w:val="0"/>
        <w:widowControl/>
        <w:numPr>
          <w:ilvl w:val="0"/>
          <w:numId w:val="33"/>
        </w:numPr>
        <w:kinsoku/>
        <w:wordWrap/>
        <w:overflowPunct/>
        <w:topLinePunct w:val="0"/>
        <w:autoSpaceDE/>
        <w:autoSpaceDN/>
        <w:bidi w:val="0"/>
        <w:adjustRightInd/>
        <w:snapToGrid/>
        <w:spacing w:before="157" w:beforeLines="50"/>
        <w:ind w:leftChars="200"/>
        <w:textAlignment w:val="auto"/>
        <w:rPr>
          <w:color w:val="auto"/>
        </w:rPr>
      </w:pPr>
      <w:r>
        <w:rPr>
          <w:rFonts w:hint="eastAsia"/>
          <w:color w:val="auto"/>
          <w:highlight w:val="none"/>
          <w:lang w:val="en-US" w:eastAsia="zh-CN"/>
        </w:rPr>
        <w:t>其他</w:t>
      </w:r>
      <w:r>
        <w:rPr>
          <w:rFonts w:hint="eastAsia"/>
          <w:color w:val="auto"/>
          <w:highlight w:val="none"/>
          <w:lang w:eastAsia="zh-CN"/>
        </w:rPr>
        <w:t>法律法规、</w:t>
      </w:r>
      <w:r>
        <w:rPr>
          <w:rFonts w:hint="eastAsia"/>
          <w:color w:val="auto"/>
          <w:highlight w:val="none"/>
          <w:lang w:val="en-US" w:eastAsia="zh-CN"/>
        </w:rPr>
        <w:t>规章</w:t>
      </w:r>
      <w:r>
        <w:rPr>
          <w:rFonts w:hint="eastAsia"/>
          <w:color w:val="auto"/>
          <w:highlight w:val="none"/>
          <w:lang w:eastAsia="zh-CN"/>
        </w:rPr>
        <w:t>禁止设置在居民自建房内的</w:t>
      </w:r>
      <w:r>
        <w:rPr>
          <w:rFonts w:hint="eastAsia"/>
          <w:color w:val="auto"/>
          <w:highlight w:val="none"/>
          <w:lang w:val="en-US" w:eastAsia="zh-CN"/>
        </w:rPr>
        <w:t>情形。</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eastAsia="宋体"/>
          <w:color w:val="auto"/>
          <w:highlight w:val="none"/>
        </w:rPr>
      </w:pPr>
      <w:r>
        <w:rPr>
          <w:rFonts w:hint="eastAsia" w:ascii="宋体" w:eastAsia="宋体"/>
          <w:color w:val="auto"/>
          <w:highlight w:val="none"/>
        </w:rPr>
        <w:t>从事人员密集型经营活动的，应当取得与经营业态要求相符合的房屋安全鉴定合格证明或者根据经营业态要求改（扩）建、重建后的竣工验收合格证明</w:t>
      </w:r>
      <w:r>
        <w:rPr>
          <w:rFonts w:hint="eastAsia" w:ascii="宋体" w:eastAsia="宋体"/>
          <w:color w:val="auto"/>
          <w:highlight w:val="none"/>
          <w:lang w:eastAsia="zh-CN"/>
        </w:rPr>
        <w:t>。</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rPr>
      </w:pPr>
      <w:r>
        <w:rPr>
          <w:rFonts w:hint="eastAsia" w:ascii="宋体" w:eastAsia="宋体"/>
          <w:color w:val="auto"/>
          <w:highlight w:val="none"/>
        </w:rPr>
        <w:t>居民自建房</w:t>
      </w:r>
      <w:r>
        <w:rPr>
          <w:rFonts w:hint="eastAsia" w:ascii="宋体" w:eastAsia="宋体"/>
          <w:color w:val="auto"/>
          <w:highlight w:val="none"/>
          <w:lang w:eastAsia="zh-CN"/>
        </w:rPr>
        <w:t>内设置的经营场所</w:t>
      </w:r>
      <w:r>
        <w:rPr>
          <w:rFonts w:hint="eastAsia" w:ascii="宋体" w:eastAsia="宋体"/>
          <w:color w:val="auto"/>
          <w:highlight w:val="none"/>
        </w:rPr>
        <w:t>不得违反法律法规和行业规范的禁止性限制性规定。（</w:t>
      </w:r>
      <w:r>
        <w:rPr>
          <w:rFonts w:hint="eastAsia" w:ascii="宋体" w:eastAsia="宋体"/>
          <w:color w:val="auto"/>
          <w:highlight w:val="none"/>
          <w:lang w:eastAsia="zh-CN"/>
        </w:rPr>
        <w:t>参考</w:t>
      </w:r>
      <w:r>
        <w:rPr>
          <w:rFonts w:hint="eastAsia" w:ascii="宋体" w:eastAsia="宋体"/>
          <w:color w:val="auto"/>
          <w:highlight w:val="none"/>
        </w:rPr>
        <w:t>附录</w:t>
      </w:r>
      <w:r>
        <w:rPr>
          <w:rFonts w:hint="eastAsia" w:ascii="宋体" w:eastAsia="宋体"/>
          <w:color w:val="auto"/>
          <w:highlight w:val="none"/>
          <w:lang w:val="en-US" w:eastAsia="zh-CN"/>
        </w:rPr>
        <w:t>A</w:t>
      </w:r>
      <w:r>
        <w:rPr>
          <w:rFonts w:hint="eastAsia" w:ascii="宋体" w:eastAsia="宋体"/>
          <w:color w:val="auto"/>
          <w:highlight w:val="none"/>
        </w:rPr>
        <w:t>）</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default"/>
          <w:color w:val="auto"/>
          <w:highlight w:val="none"/>
          <w:lang w:val="en-US" w:eastAsia="zh-CN"/>
        </w:rPr>
      </w:pPr>
      <w:r>
        <w:rPr>
          <w:rFonts w:hint="eastAsia" w:ascii="宋体" w:eastAsia="宋体"/>
          <w:color w:val="auto"/>
          <w:highlight w:val="none"/>
          <w:lang w:val="en-US" w:eastAsia="zh-CN"/>
        </w:rPr>
        <w:t>每户居民自建房经营业态一般不得超过三种。</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color w:val="auto"/>
          <w:highlight w:val="none"/>
        </w:rPr>
        <w:t>平面布置和防火分隔要求</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ascii="宋体" w:eastAsia="宋体"/>
          <w:color w:val="auto"/>
          <w:highlight w:val="none"/>
        </w:rPr>
      </w:pPr>
      <w:r>
        <w:rPr>
          <w:rFonts w:hint="eastAsia" w:ascii="宋体" w:eastAsia="宋体"/>
          <w:color w:val="auto"/>
          <w:highlight w:val="none"/>
          <w:lang w:val="en-US" w:eastAsia="zh-CN"/>
        </w:rPr>
        <w:t>商业类经营性居民自建房内不同使用功能场所之间、住宿与非住宿部分之间应采用耐火极限不低于2.00h的防火隔墙、耐火极限不低于1.50h的楼板、常闭式乙级防火门窗等进行分隔。</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ascii="宋体" w:eastAsia="宋体"/>
          <w:color w:val="auto"/>
          <w:highlight w:val="none"/>
        </w:rPr>
      </w:pPr>
      <w:r>
        <w:rPr>
          <w:rFonts w:hint="eastAsia" w:ascii="宋体" w:eastAsia="宋体"/>
          <w:color w:val="auto"/>
          <w:highlight w:val="none"/>
          <w:lang w:val="en-US" w:eastAsia="zh-CN"/>
        </w:rPr>
        <w:t>商业类经营性居民自建房内采用室内封闭楼梯间时，封闭楼梯间的门应采用常闭乙级防火门，且封闭楼梯间首层应直通室外或采用扩大封闭楼梯间直通室外；住宿内部隔墙应采用不燃烧体，并应砌筑至楼板底部。</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ascii="宋体" w:eastAsia="宋体"/>
          <w:color w:val="auto"/>
          <w:highlight w:val="none"/>
        </w:rPr>
      </w:pPr>
      <w:r>
        <w:rPr>
          <w:rFonts w:hint="eastAsia" w:ascii="宋体" w:eastAsia="宋体"/>
          <w:color w:val="auto"/>
          <w:highlight w:val="none"/>
          <w:lang w:val="en-US" w:eastAsia="zh-CN"/>
        </w:rPr>
        <w:t>除住宅套内自用厨房外，商业类经营性居民自建房内的厨房，应采用乙级防火门窗、耐火极限不低于2.00h的防火隔墙和耐火极限不低于1.00h的楼板与其他区域分隔。</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color w:val="auto"/>
          <w:highlight w:val="none"/>
        </w:rPr>
        <w:t>电气安全要求</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rPr>
      </w:pPr>
      <w:r>
        <w:rPr>
          <w:rFonts w:hint="eastAsia" w:ascii="宋体" w:hAnsi="宋体" w:eastAsia="宋体" w:cs="宋体"/>
          <w:color w:val="auto"/>
          <w:kern w:val="0"/>
          <w:sz w:val="21"/>
          <w:szCs w:val="21"/>
          <w:highlight w:val="none"/>
          <w:lang w:val="en-US" w:eastAsia="zh-CN" w:bidi="ar"/>
        </w:rPr>
        <w:t>建筑内的供配电应满足GB 50052、GB 50054、GB 51348 等要求；建筑内的消防配电线路敷设应符合GB 50016和GB 50222 的要求。</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电器、配电箱、电缆及相关配件等应选择符合相关安全标准的合格产品；</w:t>
      </w:r>
      <w:r>
        <w:rPr>
          <w:rFonts w:hint="eastAsia" w:ascii="宋体" w:hAnsi="宋体" w:eastAsia="宋体" w:cs="宋体"/>
          <w:color w:val="auto"/>
          <w:kern w:val="0"/>
          <w:sz w:val="21"/>
          <w:szCs w:val="21"/>
          <w:highlight w:val="none"/>
          <w:lang w:val="en-US" w:eastAsia="zh-Hans" w:bidi="ar"/>
        </w:rPr>
        <w:t>房屋的</w:t>
      </w:r>
      <w:r>
        <w:rPr>
          <w:rFonts w:hint="eastAsia" w:ascii="宋体" w:hAnsi="宋体" w:eastAsia="宋体" w:cs="宋体"/>
          <w:color w:val="auto"/>
          <w:kern w:val="0"/>
          <w:sz w:val="21"/>
          <w:szCs w:val="21"/>
          <w:highlight w:val="none"/>
          <w:lang w:val="en-US" w:eastAsia="zh-CN" w:bidi="ar"/>
        </w:rPr>
        <w:t>电气线路应由取得相应资格的电工进行安装、维护。</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hAnsi="宋体" w:eastAsia="宋体" w:cs="宋体"/>
          <w:color w:val="auto"/>
          <w:kern w:val="0"/>
          <w:sz w:val="21"/>
          <w:szCs w:val="21"/>
          <w:highlight w:val="none"/>
          <w:lang w:val="en-US" w:eastAsia="zh-CN" w:bidi="ar"/>
        </w:rPr>
        <w:t>配电箱、控制面板、接线盒、开关、插座等不应直接安装在燃烧性能等级低于B1级的装修材料上。</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hAnsi="宋体" w:eastAsia="宋体" w:cs="宋体"/>
          <w:color w:val="auto"/>
          <w:kern w:val="0"/>
          <w:sz w:val="21"/>
          <w:szCs w:val="21"/>
          <w:highlight w:val="none"/>
          <w:lang w:val="en-US" w:eastAsia="zh-CN" w:bidi="ar"/>
        </w:rPr>
        <w:t>电气线路的敷设应避开可燃材料，应采取穿金属管、难燃材料的塑料管或采用封闭式金属线槽等防火保护措施。其他敷设措施，应符合 GB 51348、GB 50016 相关要求</w:t>
      </w:r>
      <w:r>
        <w:rPr>
          <w:rFonts w:hint="eastAsia" w:ascii="宋体" w:hAnsi="宋体" w:cs="宋体"/>
          <w:color w:val="auto"/>
          <w:kern w:val="0"/>
          <w:sz w:val="21"/>
          <w:szCs w:val="21"/>
          <w:highlight w:val="none"/>
          <w:lang w:val="en-US" w:eastAsia="zh-CN" w:bidi="ar"/>
        </w:rPr>
        <w:t>。</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hAnsi="宋体" w:eastAsia="宋体" w:cs="宋体"/>
          <w:color w:val="auto"/>
          <w:kern w:val="0"/>
          <w:sz w:val="21"/>
          <w:szCs w:val="21"/>
          <w:highlight w:val="none"/>
          <w:lang w:val="en-US" w:eastAsia="zh-CN" w:bidi="ar"/>
        </w:rPr>
        <w:t>应严格核算房屋总用电负荷量、主要电气回路负荷量，用电回路中的导线截面积、电源插座载荷容量等均应满足所接入用电设备的最大输出功率，并留有一定余量</w:t>
      </w:r>
      <w:r>
        <w:rPr>
          <w:rFonts w:hint="eastAsia" w:ascii="sans-serif" w:hAnsi="sans-serif" w:eastAsia="宋体" w:cs="sans-serif"/>
          <w:i w:val="0"/>
          <w:iCs w:val="0"/>
          <w:caps w:val="0"/>
          <w:color w:val="auto"/>
          <w:spacing w:val="0"/>
          <w:sz w:val="20"/>
          <w:szCs w:val="20"/>
          <w:shd w:val="clear" w:fill="FFFFFF"/>
          <w:lang w:val="en-US" w:eastAsia="zh-CN"/>
        </w:rPr>
        <w:t>。</w:t>
      </w:r>
      <w:r>
        <w:rPr>
          <w:rFonts w:hint="eastAsia" w:ascii="宋体" w:hAnsi="宋体" w:eastAsia="宋体" w:cs="宋体"/>
          <w:color w:val="auto"/>
          <w:kern w:val="0"/>
          <w:sz w:val="21"/>
          <w:szCs w:val="21"/>
          <w:highlight w:val="none"/>
          <w:lang w:val="en-US" w:eastAsia="zh-CN" w:bidi="ar"/>
        </w:rPr>
        <w:t>更换或新增电气设备时，应根据实际负荷重新效核、布置电气线路并设置保护措施。</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hAnsi="宋体" w:eastAsia="宋体" w:cs="宋体"/>
          <w:color w:val="auto"/>
          <w:kern w:val="0"/>
          <w:sz w:val="21"/>
          <w:szCs w:val="21"/>
          <w:highlight w:val="none"/>
          <w:lang w:val="en-US" w:eastAsia="zh-CN" w:bidi="ar"/>
        </w:rPr>
        <w:t>电源总配电箱、分配电箱和用户开关箱中应分别设置剩余电流保护器，其额定动作电流和额定动作时间应合理配合，使之具有分级保护的功能。配电箱空气保护开关容量大小应与其所接入电气设备负荷保持匹配。</w:t>
      </w:r>
    </w:p>
    <w:p>
      <w:pPr>
        <w:pStyle w:val="6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hAnsi="宋体" w:eastAsia="宋体" w:cs="宋体"/>
          <w:color w:val="auto"/>
          <w:kern w:val="0"/>
          <w:sz w:val="21"/>
          <w:szCs w:val="21"/>
          <w:highlight w:val="none"/>
          <w:lang w:val="en-US" w:eastAsia="zh-CN" w:bidi="ar"/>
        </w:rPr>
        <w:t>应定期对电气线路、设备、剩余电流保护器进行检查、检测；当电气线路或电器发生故障时，应及时检查维修，排除故障后方可继续使用。</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应当选用符合国家标准的插线板，电源线长度不宜超过3m，且不应直接敷设在木质板材等可燃易燃材料上。一个固定插座不应连接一个以上插线板，不应接力串联插座或插线板。</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靠近可燃物的电器，应采取隔热、散热等防火保护措施。</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不应随意乱接电线，不应超负荷使用用电设备。</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电动自行车、电动摩托车、电动三轮车等应在室外停放或充电。</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color w:val="auto"/>
          <w:highlight w:val="none"/>
        </w:rPr>
        <w:t>用火</w:t>
      </w:r>
      <w:r>
        <w:rPr>
          <w:rFonts w:hint="eastAsia"/>
          <w:color w:val="auto"/>
          <w:highlight w:val="none"/>
          <w:lang w:eastAsia="zh-CN"/>
        </w:rPr>
        <w:t>用气</w:t>
      </w:r>
      <w:r>
        <w:rPr>
          <w:rFonts w:hint="eastAsia"/>
          <w:color w:val="auto"/>
          <w:highlight w:val="none"/>
        </w:rPr>
        <w:t>管理</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业类经营性居民自建房营业期间禁止动火作业。动火作业应办理动火许可证；动火许可证的签发人收到动火申请后，应前往现场查验并确认动火作业的防火措施落实后，再签发动火许可证。动火操作人员应具有相应资格。</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焊接、切割、烘烤或加热等动火作业前，应对作业现场的可燃物进行清理；作业现场及其附近无法移走的可燃物应采用不燃材料对其覆盖或隔离。裸露的可燃材料上严禁直接进行动火作业。焊接、切割、烘烤或加热等动火作业应配备灭火器材，并应设置动火监护人进行现场监护，每个动火作业点均应设置1个监护人。动火作业后，应对现场进行检查，并应在确认无火灾危险后，动火操作人员再离开。</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经营区域严禁使用明火照明或取暖，如特殊情况需要时，应有专人看护；使用电取暖器具时应严格遵守使用安全规定，不应使用未安装温控装置等安全性能不达标的电取暖器具。</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对产生高温或使用明火的电器，应采取隔热、散热等防火保护措施，与可燃物保持一定的距离，使用期间有人监护。</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hAnsi="宋体" w:eastAsia="宋体" w:cs="宋体"/>
          <w:color w:val="auto"/>
          <w:kern w:val="0"/>
          <w:sz w:val="21"/>
          <w:szCs w:val="21"/>
          <w:highlight w:val="none"/>
          <w:lang w:val="en-US" w:eastAsia="zh-CN" w:bidi="ar"/>
        </w:rPr>
        <w:t>使用燃气作为燃料时，应安装可燃气体探测器及燃气紧急切断阀，用气设备应有熄火保护装置。燃气用户不得将两种或两种以上燃料在同一场所使用或存放，严禁天然气、液化气、醇基液体燃料、煤炉、柴灶等明火炊具同时使用。</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hAnsi="宋体" w:eastAsia="宋体" w:cs="宋体"/>
          <w:color w:val="auto"/>
          <w:kern w:val="0"/>
          <w:sz w:val="21"/>
          <w:szCs w:val="21"/>
          <w:highlight w:val="none"/>
          <w:lang w:val="en-US" w:eastAsia="zh-CN" w:bidi="ar"/>
        </w:rPr>
        <w:t>燃具连接软管不应穿越墙体、门窗、顶棚和地面，长度不应大于2.0m且不应有接头，严禁在软管上开设“三通”分流。</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hAnsi="宋体" w:eastAsia="宋体" w:cs="宋体"/>
          <w:color w:val="auto"/>
          <w:kern w:val="0"/>
          <w:sz w:val="21"/>
          <w:szCs w:val="21"/>
          <w:highlight w:val="none"/>
          <w:lang w:val="en-US" w:eastAsia="zh-CN" w:bidi="ar"/>
        </w:rPr>
        <w:t>液化石油气气瓶间、瓶组气化间、用气设备不得设置于地下、半地下空间和通风不良的场所。存放液化石油气气瓶总重量超过100公斤，应当设置专用气瓶间，并采用防火措施；使用气瓶和备用钢瓶应当分开设置或者用防火墙隔开。</w:t>
      </w:r>
    </w:p>
    <w:p>
      <w:pPr>
        <w:pStyle w:val="6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餐</w:t>
      </w:r>
      <w:r>
        <w:rPr>
          <w:rFonts w:hint="default" w:ascii="宋体" w:hAnsi="宋体" w:eastAsia="宋体" w:cs="宋体"/>
          <w:color w:val="auto"/>
          <w:kern w:val="0"/>
          <w:sz w:val="21"/>
          <w:szCs w:val="21"/>
          <w:highlight w:val="none"/>
          <w:lang w:val="en-US" w:eastAsia="zh-CN" w:bidi="ar"/>
        </w:rPr>
        <w:t>饮用醇基液体燃料</w:t>
      </w:r>
      <w:r>
        <w:rPr>
          <w:rFonts w:hint="eastAsia" w:ascii="宋体" w:hAnsi="宋体" w:eastAsia="宋体" w:cs="宋体"/>
          <w:color w:val="auto"/>
          <w:kern w:val="0"/>
          <w:sz w:val="21"/>
          <w:szCs w:val="21"/>
          <w:highlight w:val="none"/>
          <w:lang w:val="en-US" w:eastAsia="zh-CN" w:bidi="ar"/>
        </w:rPr>
        <w:t>的</w:t>
      </w:r>
      <w:r>
        <w:rPr>
          <w:rFonts w:hint="default" w:ascii="宋体" w:hAnsi="宋体" w:eastAsia="宋体" w:cs="宋体"/>
          <w:color w:val="auto"/>
          <w:kern w:val="0"/>
          <w:sz w:val="21"/>
          <w:szCs w:val="21"/>
          <w:highlight w:val="none"/>
          <w:lang w:val="en-US" w:eastAsia="zh-CN" w:bidi="ar"/>
        </w:rPr>
        <w:t>使用</w:t>
      </w:r>
      <w:r>
        <w:rPr>
          <w:rFonts w:hint="eastAsia" w:ascii="宋体" w:hAnsi="宋体" w:eastAsia="宋体" w:cs="宋体"/>
          <w:color w:val="auto"/>
          <w:kern w:val="0"/>
          <w:sz w:val="21"/>
          <w:szCs w:val="21"/>
          <w:highlight w:val="none"/>
          <w:lang w:val="en-US" w:eastAsia="zh-CN" w:bidi="ar"/>
        </w:rPr>
        <w:t>应符合</w:t>
      </w:r>
      <w:r>
        <w:rPr>
          <w:rFonts w:hint="default" w:ascii="宋体" w:hAnsi="宋体" w:eastAsia="宋体" w:cs="宋体"/>
          <w:color w:val="auto"/>
          <w:kern w:val="0"/>
          <w:sz w:val="21"/>
          <w:szCs w:val="21"/>
          <w:highlight w:val="none"/>
          <w:lang w:val="en-US" w:eastAsia="zh-CN" w:bidi="ar"/>
        </w:rPr>
        <w:t>DB43/T</w:t>
      </w:r>
      <w:r>
        <w:rPr>
          <w:rFonts w:hint="eastAsia" w:ascii="宋体" w:hAnsi="宋体" w:eastAsia="宋体" w:cs="宋体"/>
          <w:color w:val="auto"/>
          <w:kern w:val="0"/>
          <w:sz w:val="21"/>
          <w:szCs w:val="21"/>
          <w:highlight w:val="none"/>
          <w:lang w:val="en-US" w:eastAsia="zh-CN" w:bidi="ar"/>
        </w:rPr>
        <w:t xml:space="preserve"> </w:t>
      </w:r>
      <w:r>
        <w:rPr>
          <w:rFonts w:hint="default" w:ascii="宋体" w:hAnsi="宋体" w:eastAsia="宋体" w:cs="宋体"/>
          <w:color w:val="auto"/>
          <w:kern w:val="0"/>
          <w:sz w:val="21"/>
          <w:szCs w:val="21"/>
          <w:highlight w:val="none"/>
          <w:lang w:val="en-US" w:eastAsia="zh-CN" w:bidi="ar"/>
        </w:rPr>
        <w:t>1781</w:t>
      </w:r>
      <w:r>
        <w:rPr>
          <w:rFonts w:hint="eastAsia" w:ascii="宋体" w:hAnsi="宋体" w:eastAsia="宋体" w:cs="宋体"/>
          <w:color w:val="auto"/>
          <w:kern w:val="0"/>
          <w:sz w:val="21"/>
          <w:szCs w:val="21"/>
          <w:highlight w:val="none"/>
          <w:lang w:val="en-US" w:eastAsia="zh-CN" w:bidi="ar"/>
        </w:rPr>
        <w:t xml:space="preserve"> 要求。</w:t>
      </w:r>
      <w:r>
        <w:rPr>
          <w:rFonts w:hint="default" w:ascii="宋体" w:hAnsi="宋体" w:eastAsia="宋体" w:cs="宋体"/>
          <w:color w:val="auto"/>
          <w:kern w:val="0"/>
          <w:sz w:val="21"/>
          <w:szCs w:val="21"/>
          <w:highlight w:val="none"/>
          <w:lang w:val="en-US" w:eastAsia="zh-CN" w:bidi="ar"/>
        </w:rPr>
        <w:t>醇基液体燃料</w:t>
      </w:r>
      <w:r>
        <w:rPr>
          <w:rFonts w:hint="eastAsia" w:ascii="宋体" w:hAnsi="宋体" w:eastAsia="宋体" w:cs="宋体"/>
          <w:color w:val="auto"/>
          <w:kern w:val="0"/>
          <w:sz w:val="21"/>
          <w:szCs w:val="21"/>
          <w:highlight w:val="none"/>
          <w:lang w:val="en-US" w:eastAsia="zh-CN" w:bidi="ar"/>
        </w:rPr>
        <w:t>箱宜室外布置，且应设置防止日晒雨淋的措施；设置在室内时，应有专门的储存间，储存间应采用耐火极限不低于3.00h的防火隔墙与其他部位分隔。</w:t>
      </w:r>
    </w:p>
    <w:p>
      <w:pPr>
        <w:pStyle w:val="6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hAnsi="宋体" w:eastAsia="宋体" w:cs="宋体"/>
          <w:color w:val="auto"/>
          <w:kern w:val="0"/>
          <w:sz w:val="21"/>
          <w:szCs w:val="21"/>
          <w:highlight w:val="none"/>
          <w:lang w:val="en-US" w:eastAsia="zh-CN" w:bidi="ar"/>
        </w:rPr>
        <w:t>宾馆、餐饮等场所的厨房烟道应至少每季度清洗一次；进入建筑内以及厨房、锅炉房等部位内的燃油、燃气管道，应经常检查、检测和保养。</w:t>
      </w:r>
    </w:p>
    <w:p>
      <w:pPr>
        <w:pStyle w:val="105"/>
        <w:spacing w:before="312" w:after="312"/>
        <w:rPr>
          <w:rFonts w:hint="eastAsia"/>
          <w:szCs w:val="21"/>
          <w:lang w:val="en-US" w:eastAsia="zh-CN"/>
        </w:rPr>
      </w:pPr>
      <w:bookmarkStart w:id="66" w:name="_Toc9166"/>
      <w:bookmarkStart w:id="67" w:name="_Toc83545526"/>
      <w:r>
        <w:rPr>
          <w:rFonts w:hint="eastAsia"/>
          <w:szCs w:val="21"/>
          <w:lang w:val="en-US" w:eastAsia="zh-CN"/>
        </w:rPr>
        <w:t>建筑消防设施配备和维护要求</w:t>
      </w:r>
      <w:bookmarkEnd w:id="66"/>
      <w:bookmarkEnd w:id="67"/>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color w:val="auto"/>
          <w:highlight w:val="none"/>
          <w:lang w:val="en-US" w:eastAsia="zh-CN"/>
        </w:rPr>
        <w:t>商业类经营性居民自建房的使用人应加强消防设施、灭火器材的日常管理，保证消防设施、灭火器材配置齐全，并定期检验、维修，确保完好有效。</w:t>
      </w:r>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color w:val="auto"/>
          <w:highlight w:val="none"/>
          <w:lang w:eastAsia="zh-CN"/>
        </w:rPr>
        <w:t>建筑内部装修不应擅自减少、改动、拆除、遮挡消防设施、疏散指示标志、安全出口、疏散出口、疏散走道和防火分区、防烟分区等。</w:t>
      </w:r>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color w:val="auto"/>
          <w:highlight w:val="none"/>
          <w:lang w:val="en-US" w:eastAsia="zh-CN"/>
        </w:rPr>
        <w:t>商业类经营性居民自建房</w:t>
      </w:r>
      <w:r>
        <w:rPr>
          <w:rFonts w:hint="eastAsia" w:ascii="宋体" w:eastAsia="宋体"/>
          <w:color w:val="auto"/>
          <w:highlight w:val="none"/>
        </w:rPr>
        <w:t>内应按照GB 50140</w:t>
      </w:r>
      <w:r>
        <w:rPr>
          <w:rFonts w:hint="eastAsia"/>
          <w:color w:val="auto"/>
          <w:highlight w:val="none"/>
          <w:lang w:val="en-US" w:eastAsia="zh-CN"/>
        </w:rPr>
        <w:t xml:space="preserve"> </w:t>
      </w:r>
      <w:r>
        <w:rPr>
          <w:rFonts w:hint="eastAsia"/>
          <w:color w:val="auto"/>
          <w:highlight w:val="none"/>
          <w:lang w:eastAsia="zh-CN"/>
        </w:rPr>
        <w:t>要求</w:t>
      </w:r>
      <w:r>
        <w:rPr>
          <w:rFonts w:hint="eastAsia" w:ascii="宋体" w:eastAsia="宋体"/>
          <w:color w:val="auto"/>
          <w:highlight w:val="none"/>
        </w:rPr>
        <w:t>配置灭火器，场所每50㎡应配置至少一组2具</w:t>
      </w:r>
      <w:r>
        <w:rPr>
          <w:rFonts w:hint="eastAsia"/>
          <w:color w:val="auto"/>
          <w:highlight w:val="none"/>
          <w:lang w:val="en-US" w:eastAsia="zh-CN"/>
        </w:rPr>
        <w:t>4</w:t>
      </w:r>
      <w:r>
        <w:rPr>
          <w:rFonts w:hint="eastAsia" w:ascii="宋体" w:eastAsia="宋体"/>
          <w:color w:val="auto"/>
          <w:highlight w:val="none"/>
        </w:rPr>
        <w:t>Kg以上ABC类干粉灭火器</w:t>
      </w:r>
      <w:r>
        <w:rPr>
          <w:rFonts w:hint="eastAsia"/>
          <w:color w:val="auto"/>
          <w:highlight w:val="none"/>
          <w:lang w:eastAsia="zh-CN"/>
        </w:rPr>
        <w:t>，不足</w:t>
      </w:r>
      <w:r>
        <w:rPr>
          <w:rFonts w:hint="eastAsia" w:ascii="宋体" w:eastAsia="宋体"/>
          <w:color w:val="auto"/>
          <w:highlight w:val="none"/>
        </w:rPr>
        <w:t>50㎡应配置至少一组</w:t>
      </w:r>
      <w:r>
        <w:rPr>
          <w:rFonts w:hint="eastAsia"/>
          <w:color w:val="auto"/>
          <w:highlight w:val="none"/>
          <w:lang w:eastAsia="zh-CN"/>
        </w:rPr>
        <w:t>。</w:t>
      </w:r>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color w:val="auto"/>
          <w:highlight w:val="none"/>
          <w:lang w:val="en-US" w:eastAsia="zh-CN"/>
        </w:rPr>
        <w:t>商业类</w:t>
      </w:r>
      <w:r>
        <w:rPr>
          <w:rFonts w:hint="eastAsia" w:ascii="宋体" w:eastAsia="宋体"/>
          <w:color w:val="auto"/>
          <w:highlight w:val="none"/>
          <w:lang w:val="en-US" w:eastAsia="zh-CN"/>
        </w:rPr>
        <w:t>经营性居民</w:t>
      </w:r>
      <w:r>
        <w:rPr>
          <w:rFonts w:hint="eastAsia" w:ascii="宋体" w:eastAsia="宋体"/>
          <w:color w:val="auto"/>
          <w:highlight w:val="none"/>
        </w:rPr>
        <w:t>自建房集中区域，消防给水设施应符合GB 50974</w:t>
      </w:r>
      <w:r>
        <w:rPr>
          <w:rFonts w:hint="eastAsia"/>
          <w:color w:val="auto"/>
          <w:highlight w:val="none"/>
          <w:lang w:val="en-US" w:eastAsia="zh-CN"/>
        </w:rPr>
        <w:t xml:space="preserve"> </w:t>
      </w:r>
      <w:r>
        <w:rPr>
          <w:rFonts w:hint="eastAsia" w:ascii="宋体" w:eastAsia="宋体"/>
          <w:color w:val="auto"/>
          <w:highlight w:val="none"/>
        </w:rPr>
        <w:t>的相关规定，并应设置室外消火栓或室外专用或合用的消防水池</w:t>
      </w:r>
      <w:r>
        <w:rPr>
          <w:rFonts w:hint="eastAsia"/>
          <w:color w:val="auto"/>
          <w:highlight w:val="none"/>
        </w:rPr>
        <w:t>。</w:t>
      </w:r>
    </w:p>
    <w:p>
      <w:pPr>
        <w:pStyle w:val="163"/>
        <w:keepNext w:val="0"/>
        <w:keepLines w:val="0"/>
        <w:pageBreakBefore w:val="0"/>
        <w:kinsoku/>
        <w:wordWrap/>
        <w:overflowPunct/>
        <w:topLinePunct w:val="0"/>
        <w:bidi w:val="0"/>
        <w:snapToGrid/>
        <w:spacing w:before="157" w:beforeLines="50" w:after="0" w:afterLines="0"/>
        <w:ind w:left="0" w:leftChars="0"/>
        <w:textAlignment w:val="auto"/>
      </w:pPr>
      <w:r>
        <w:rPr>
          <w:rFonts w:hint="eastAsia"/>
          <w:color w:val="auto"/>
          <w:highlight w:val="none"/>
          <w:lang w:val="en-US" w:eastAsia="zh-CN"/>
        </w:rPr>
        <w:t>商业类</w:t>
      </w:r>
      <w:r>
        <w:rPr>
          <w:rFonts w:hint="eastAsia" w:ascii="宋体" w:eastAsia="宋体"/>
          <w:color w:val="auto"/>
          <w:highlight w:val="none"/>
          <w:lang w:val="en-US" w:eastAsia="zh-CN"/>
        </w:rPr>
        <w:t>经营性居民自建房应按照GB 5503</w:t>
      </w:r>
      <w:r>
        <w:rPr>
          <w:rFonts w:hint="eastAsia"/>
          <w:color w:val="auto"/>
          <w:highlight w:val="none"/>
          <w:lang w:val="en-US" w:eastAsia="zh-CN"/>
        </w:rPr>
        <w:t>6、</w:t>
      </w:r>
      <w:r>
        <w:rPr>
          <w:rFonts w:hint="eastAsia" w:ascii="宋体" w:eastAsia="宋体"/>
          <w:color w:val="auto"/>
          <w:highlight w:val="none"/>
          <w:lang w:val="en-US" w:eastAsia="zh-CN"/>
        </w:rPr>
        <w:t>GB 55037的相关规定设置室内消火栓系统</w:t>
      </w:r>
      <w:r>
        <w:rPr>
          <w:rFonts w:hint="eastAsia"/>
          <w:color w:val="auto"/>
          <w:highlight w:val="none"/>
          <w:lang w:eastAsia="zh-CN"/>
        </w:rPr>
        <w:t>、</w:t>
      </w:r>
      <w:r>
        <w:rPr>
          <w:rFonts w:hint="eastAsia"/>
          <w:color w:val="auto"/>
          <w:highlight w:val="none"/>
          <w:lang w:val="en-US" w:eastAsia="zh-CN"/>
        </w:rPr>
        <w:t>自动喷水灭火</w:t>
      </w:r>
      <w:r>
        <w:rPr>
          <w:rFonts w:hint="eastAsia"/>
          <w:color w:val="auto"/>
          <w:highlight w:val="none"/>
        </w:rPr>
        <w:t>系统</w:t>
      </w:r>
      <w:r>
        <w:rPr>
          <w:rFonts w:hint="eastAsia"/>
          <w:color w:val="auto"/>
          <w:highlight w:val="none"/>
          <w:lang w:eastAsia="zh-CN"/>
        </w:rPr>
        <w:t>、</w:t>
      </w:r>
      <w:r>
        <w:rPr>
          <w:rFonts w:hint="eastAsia"/>
          <w:color w:val="auto"/>
          <w:highlight w:val="none"/>
          <w:lang w:val="en-US" w:eastAsia="zh-CN"/>
        </w:rPr>
        <w:t>火灾自动报警</w:t>
      </w:r>
      <w:r>
        <w:rPr>
          <w:rFonts w:hint="eastAsia"/>
          <w:color w:val="auto"/>
          <w:highlight w:val="none"/>
        </w:rPr>
        <w:t>系统，</w:t>
      </w:r>
      <w:r>
        <w:rPr>
          <w:rFonts w:hint="eastAsia"/>
          <w:color w:val="auto"/>
          <w:highlight w:val="none"/>
          <w:lang w:eastAsia="zh-CN"/>
        </w:rPr>
        <w:t>并按要求定期进行测试和维护保养。</w:t>
      </w:r>
    </w:p>
    <w:p>
      <w:pPr>
        <w:pStyle w:val="163"/>
        <w:keepNext w:val="0"/>
        <w:keepLines w:val="0"/>
        <w:pageBreakBefore w:val="0"/>
        <w:kinsoku/>
        <w:wordWrap/>
        <w:overflowPunct/>
        <w:topLinePunct w:val="0"/>
        <w:bidi w:val="0"/>
        <w:snapToGrid/>
        <w:spacing w:before="157" w:beforeLines="50" w:after="0" w:afterLines="0"/>
        <w:ind w:left="0" w:leftChars="0"/>
        <w:textAlignment w:val="auto"/>
        <w:rPr>
          <w:rFonts w:hint="eastAsia"/>
          <w:color w:val="auto"/>
          <w:highlight w:val="none"/>
        </w:rPr>
      </w:pPr>
      <w:r>
        <w:rPr>
          <w:rFonts w:hint="eastAsia"/>
          <w:color w:val="auto"/>
          <w:highlight w:val="none"/>
          <w:lang w:val="en-US" w:eastAsia="zh-CN"/>
        </w:rPr>
        <w:t>按规定不需安装自动喷水灭火系统和火灾自动报警系统的商业类经营性</w:t>
      </w:r>
      <w:r>
        <w:rPr>
          <w:rFonts w:hint="eastAsia"/>
          <w:color w:val="auto"/>
          <w:highlight w:val="none"/>
        </w:rPr>
        <w:t>居民自建房</w:t>
      </w:r>
      <w:r>
        <w:rPr>
          <w:rFonts w:hint="eastAsia"/>
          <w:color w:val="auto"/>
          <w:highlight w:val="none"/>
          <w:lang w:val="en-US" w:eastAsia="zh-CN"/>
        </w:rPr>
        <w:t>，应在经营区域内安装独立式感烟火灾探测报警器，并宜安装自动喷水灭火局部应用系统。</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eastAsia="宋体"/>
          <w:color w:val="auto"/>
          <w:highlight w:val="none"/>
          <w:lang w:val="en-US" w:eastAsia="zh-CN"/>
        </w:rPr>
      </w:pPr>
      <w:r>
        <w:rPr>
          <w:rFonts w:hint="eastAsia" w:ascii="宋体" w:eastAsia="宋体"/>
          <w:color w:val="auto"/>
          <w:highlight w:val="none"/>
          <w:lang w:val="en-US" w:eastAsia="zh-CN"/>
        </w:rPr>
        <w:t>建筑消防设施的维护保养应制定计划，列明消防设施的名称、维护保养的内容和周期。</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color w:val="auto"/>
          <w:highlight w:val="none"/>
        </w:rPr>
      </w:pPr>
      <w:r>
        <w:rPr>
          <w:rFonts w:hint="eastAsia" w:ascii="宋体" w:eastAsia="宋体"/>
          <w:color w:val="auto"/>
          <w:highlight w:val="none"/>
          <w:lang w:val="en-US" w:eastAsia="zh-CN"/>
        </w:rPr>
        <w:t>建筑消防设施应每年至少进行1</w:t>
      </w:r>
      <w:r>
        <w:rPr>
          <w:rFonts w:hint="eastAsia" w:ascii="宋体" w:eastAsia="宋体"/>
          <w:color w:val="auto"/>
          <w:highlight w:val="none"/>
          <w:u w:val="none"/>
          <w:lang w:val="en-US" w:eastAsia="zh-CN"/>
        </w:rPr>
        <w:t>次全面检查测试</w:t>
      </w:r>
      <w:r>
        <w:rPr>
          <w:rFonts w:hint="eastAsia" w:ascii="宋体" w:eastAsia="宋体"/>
          <w:color w:val="auto"/>
          <w:highlight w:val="none"/>
          <w:lang w:val="en-US" w:eastAsia="zh-CN"/>
        </w:rPr>
        <w:t>，对其功能进行综合检验、评定，并按照规定填写检查记录。不具备消防设施检查条件的单位，可以委托具有建筑消防设施检测资格的单位进行，检测单位对检测结果负责。</w:t>
      </w:r>
    </w:p>
    <w:p>
      <w:pPr>
        <w:pStyle w:val="105"/>
        <w:spacing w:before="312" w:after="312"/>
        <w:rPr>
          <w:rFonts w:hint="eastAsia"/>
          <w:szCs w:val="21"/>
          <w:lang w:val="en-US" w:eastAsia="zh-CN"/>
        </w:rPr>
      </w:pPr>
      <w:bookmarkStart w:id="68" w:name="_Toc14389"/>
      <w:r>
        <w:rPr>
          <w:rFonts w:hint="eastAsia"/>
          <w:szCs w:val="21"/>
          <w:lang w:val="en-US" w:eastAsia="zh-CN"/>
        </w:rPr>
        <w:t>安全疏散要求</w:t>
      </w:r>
      <w:bookmarkEnd w:id="68"/>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lang w:val="en-US" w:eastAsia="zh-CN"/>
        </w:rPr>
        <w:t>商业类经营性居民自建房的住宿与非住宿部分</w:t>
      </w:r>
      <w:r>
        <w:rPr>
          <w:rFonts w:hint="eastAsia" w:ascii="宋体" w:eastAsia="宋体"/>
          <w:color w:val="auto"/>
          <w:highlight w:val="none"/>
        </w:rPr>
        <w:t>应分别设置独立疏散设施</w:t>
      </w:r>
      <w:r>
        <w:rPr>
          <w:rFonts w:hint="eastAsia" w:ascii="宋体" w:eastAsia="宋体"/>
          <w:color w:val="auto"/>
          <w:highlight w:val="none"/>
          <w:lang w:eastAsia="zh-CN"/>
        </w:rPr>
        <w:t>，</w:t>
      </w:r>
      <w:r>
        <w:rPr>
          <w:rFonts w:hint="eastAsia" w:ascii="宋体" w:eastAsia="宋体"/>
          <w:color w:val="auto"/>
          <w:highlight w:val="none"/>
          <w:lang w:val="en-US" w:eastAsia="zh-CN"/>
        </w:rPr>
        <w:t>并加强安全疏散设施的管理</w:t>
      </w:r>
      <w:r>
        <w:rPr>
          <w:rFonts w:hint="eastAsia" w:ascii="宋体" w:eastAsia="宋体"/>
          <w:color w:val="auto"/>
          <w:highlight w:val="none"/>
        </w:rPr>
        <w:t>。</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lang w:val="en-US" w:eastAsia="zh-CN"/>
        </w:rPr>
        <w:t>商业类经营性居民自建房</w:t>
      </w:r>
      <w:r>
        <w:rPr>
          <w:rFonts w:hint="eastAsia" w:ascii="宋体" w:eastAsia="宋体"/>
          <w:color w:val="auto"/>
          <w:highlight w:val="none"/>
        </w:rPr>
        <w:t>的阳台或外窗不得设置广告牌、防盗网等影响疏散逃生和灭火救援的障碍物</w:t>
      </w:r>
      <w:r>
        <w:rPr>
          <w:rFonts w:hint="eastAsia" w:ascii="宋体" w:eastAsia="宋体"/>
          <w:color w:val="auto"/>
          <w:highlight w:val="none"/>
          <w:lang w:eastAsia="zh-CN"/>
        </w:rPr>
        <w:t>。</w:t>
      </w:r>
      <w:r>
        <w:rPr>
          <w:rFonts w:hint="eastAsia" w:ascii="宋体" w:eastAsia="宋体"/>
          <w:color w:val="auto"/>
          <w:highlight w:val="none"/>
        </w:rPr>
        <w:t>确需设置防盗网的，应开设</w:t>
      </w:r>
      <w:r>
        <w:rPr>
          <w:rFonts w:hint="eastAsia" w:ascii="宋体" w:eastAsia="宋体"/>
          <w:color w:val="auto"/>
          <w:highlight w:val="none"/>
          <w:lang w:val="en-US" w:eastAsia="zh-CN"/>
        </w:rPr>
        <w:t>净高度和净宽度不小于1m且下沿距室内地面不大于1.2m的救援</w:t>
      </w:r>
      <w:r>
        <w:rPr>
          <w:rFonts w:hint="eastAsia" w:ascii="宋体" w:eastAsia="宋体"/>
          <w:color w:val="auto"/>
          <w:highlight w:val="none"/>
        </w:rPr>
        <w:t>逃生口，并</w:t>
      </w:r>
      <w:r>
        <w:rPr>
          <w:rFonts w:hint="eastAsia" w:ascii="宋体" w:eastAsia="宋体"/>
          <w:color w:val="auto"/>
          <w:highlight w:val="none"/>
          <w:lang w:eastAsia="zh-CN"/>
        </w:rPr>
        <w:t>宜</w:t>
      </w:r>
      <w:r>
        <w:rPr>
          <w:rFonts w:hint="eastAsia" w:ascii="宋体" w:eastAsia="宋体"/>
          <w:color w:val="auto"/>
          <w:highlight w:val="none"/>
        </w:rPr>
        <w:t>配备消防绳梯等辅助疏散设施。</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lang w:val="en-US" w:eastAsia="zh-CN"/>
        </w:rPr>
        <w:t>商业类经营性居民自建房的经营区域内，疏散出口数量、位置和宽度，疏散楼梯（间）的形式和宽度，均应满足</w:t>
      </w:r>
      <w:r>
        <w:rPr>
          <w:rFonts w:hint="eastAsia" w:ascii="宋体" w:eastAsia="宋体"/>
          <w:color w:val="auto"/>
          <w:highlight w:val="none"/>
        </w:rPr>
        <w:t>GB 55037</w:t>
      </w:r>
      <w:r>
        <w:rPr>
          <w:rFonts w:hint="eastAsia" w:ascii="宋体" w:eastAsia="宋体"/>
          <w:color w:val="auto"/>
          <w:highlight w:val="none"/>
          <w:lang w:val="en-US" w:eastAsia="zh-CN"/>
        </w:rPr>
        <w:t xml:space="preserve"> 关于公共建筑的相关要求</w:t>
      </w:r>
      <w:r>
        <w:rPr>
          <w:rFonts w:hint="eastAsia" w:ascii="宋体" w:eastAsia="宋体"/>
          <w:color w:val="auto"/>
          <w:highlight w:val="none"/>
        </w:rPr>
        <w:t>。</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rPr>
        <w:t>安全出口、疏散走道上不应安装</w:t>
      </w:r>
      <w:r>
        <w:rPr>
          <w:rFonts w:hint="eastAsia" w:ascii="宋体" w:eastAsia="宋体"/>
          <w:color w:val="auto"/>
          <w:highlight w:val="none"/>
          <w:lang w:eastAsia="zh-CN"/>
        </w:rPr>
        <w:t>影响安全疏散的</w:t>
      </w:r>
      <w:r>
        <w:rPr>
          <w:rFonts w:hint="eastAsia" w:ascii="宋体" w:eastAsia="宋体"/>
          <w:color w:val="auto"/>
          <w:highlight w:val="none"/>
        </w:rPr>
        <w:t>栅栏或其他影响疏散的障碍物</w:t>
      </w:r>
      <w:r>
        <w:rPr>
          <w:rFonts w:hint="eastAsia" w:ascii="宋体" w:eastAsia="宋体"/>
          <w:color w:val="auto"/>
          <w:highlight w:val="none"/>
          <w:lang w:eastAsia="zh-CN"/>
        </w:rPr>
        <w:t>，</w:t>
      </w:r>
      <w:r>
        <w:rPr>
          <w:rFonts w:hint="eastAsia" w:ascii="宋体" w:eastAsia="宋体"/>
          <w:color w:val="auto"/>
          <w:highlight w:val="none"/>
          <w:lang w:val="en-US" w:eastAsia="zh-CN"/>
        </w:rPr>
        <w:t>属于人员密集场所的在</w:t>
      </w:r>
      <w:r>
        <w:rPr>
          <w:rFonts w:hint="eastAsia" w:ascii="宋体" w:eastAsia="宋体"/>
          <w:color w:val="auto"/>
          <w:highlight w:val="none"/>
        </w:rPr>
        <w:t>安全出口、疏散门</w:t>
      </w:r>
      <w:r>
        <w:rPr>
          <w:rFonts w:hint="eastAsia" w:ascii="宋体" w:eastAsia="宋体"/>
          <w:color w:val="auto"/>
          <w:highlight w:val="none"/>
          <w:lang w:val="en-US" w:eastAsia="zh-CN"/>
        </w:rPr>
        <w:t>1.4m范围内不应设置台阶</w:t>
      </w:r>
      <w:r>
        <w:rPr>
          <w:rFonts w:hint="eastAsia" w:ascii="宋体" w:eastAsia="宋体"/>
          <w:color w:val="auto"/>
          <w:highlight w:val="none"/>
        </w:rPr>
        <w:t>。</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lang w:eastAsia="zh-CN"/>
        </w:rPr>
        <w:t>除</w:t>
      </w:r>
      <w:r>
        <w:rPr>
          <w:rFonts w:hint="eastAsia" w:ascii="宋体" w:eastAsia="宋体"/>
          <w:color w:val="auto"/>
          <w:highlight w:val="none"/>
          <w:lang w:val="en-US" w:eastAsia="zh-CN"/>
        </w:rPr>
        <w:t>3层及3层以下建筑的室外疏散楼梯可采用难燃性材料或木结构外，室外疏散楼梯的梯段和平台均应采用不燃材料。</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lang w:val="en-US" w:eastAsia="zh-CN"/>
        </w:rPr>
        <w:t>经营场所</w:t>
      </w:r>
      <w:r>
        <w:rPr>
          <w:rFonts w:hint="eastAsia" w:ascii="宋体" w:eastAsia="宋体"/>
          <w:color w:val="auto"/>
          <w:highlight w:val="none"/>
        </w:rPr>
        <w:t>在使用和营业期间，</w:t>
      </w:r>
      <w:r>
        <w:rPr>
          <w:rFonts w:hint="eastAsia" w:ascii="宋体" w:eastAsia="宋体"/>
          <w:color w:val="auto"/>
          <w:highlight w:val="none"/>
          <w:lang w:val="en-US" w:eastAsia="zh-CN"/>
        </w:rPr>
        <w:t>应确保疏散走道、安全出口和疏散门等疏散通道的畅通，禁止占用、堵塞、封闭疏散通道和安全出口</w:t>
      </w:r>
      <w:r>
        <w:rPr>
          <w:rFonts w:hint="eastAsia" w:ascii="宋体" w:eastAsia="宋体"/>
          <w:color w:val="auto"/>
          <w:highlight w:val="none"/>
        </w:rPr>
        <w:t>。</w:t>
      </w:r>
      <w:r>
        <w:rPr>
          <w:rFonts w:hint="eastAsia" w:ascii="宋体" w:eastAsia="宋体"/>
          <w:color w:val="auto"/>
          <w:highlight w:val="none"/>
          <w:lang w:val="en-US" w:eastAsia="zh-CN"/>
        </w:rPr>
        <w:t>确因防盗等需要对安全出口临时关闭的，应</w:t>
      </w:r>
      <w:r>
        <w:rPr>
          <w:rFonts w:hint="eastAsia" w:ascii="宋体" w:eastAsia="宋体"/>
          <w:color w:val="auto"/>
          <w:highlight w:val="none"/>
        </w:rPr>
        <w:t>采取火灾时不需使用钥匙等任何工具即能从内部易于打开的措施，并应在明显位置设置含有使用提示的标识。</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hAnsi="宋体" w:cs="宋体"/>
          <w:color w:val="auto"/>
          <w:kern w:val="0"/>
          <w:sz w:val="21"/>
          <w:szCs w:val="21"/>
          <w:highlight w:val="none"/>
          <w:lang w:val="en-US" w:eastAsia="zh-CN" w:bidi="ar"/>
        </w:rPr>
      </w:pPr>
      <w:r>
        <w:rPr>
          <w:rFonts w:hint="eastAsia" w:ascii="宋体" w:eastAsia="宋体"/>
          <w:color w:val="auto"/>
          <w:highlight w:val="none"/>
        </w:rPr>
        <w:t>封闭楼梯间、防烟楼梯间及其前室的门应保持完好，门上明显位置应设置提示正确启闭状态的标识。应保持常闭式防火门处于关闭状态，常开防火门应能在火灾时自行关闭，并应具有信号反馈的功能。</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hAnsi="宋体" w:eastAsia="宋体" w:cs="宋体"/>
          <w:color w:val="auto"/>
          <w:kern w:val="0"/>
          <w:sz w:val="21"/>
          <w:szCs w:val="21"/>
          <w:highlight w:val="none"/>
          <w:lang w:val="en-US" w:eastAsia="zh-CN" w:bidi="ar"/>
        </w:rPr>
        <w:t>用作宾馆、商场、公共娱乐等场所的商业类经营性居民自建房，应在各楼层的</w:t>
      </w:r>
      <w:r>
        <w:rPr>
          <w:rFonts w:hint="eastAsia" w:ascii="宋体" w:eastAsia="宋体"/>
          <w:color w:val="auto"/>
          <w:highlight w:val="none"/>
        </w:rPr>
        <w:t>明显位置设置安全疏散指示图，疏散指示图上应标明疏散路线、安全出口和疏散门、人员所在位置和必要的文字说明</w:t>
      </w:r>
      <w:r>
        <w:rPr>
          <w:rFonts w:hint="eastAsia" w:ascii="宋体" w:eastAsia="宋体"/>
          <w:color w:val="auto"/>
          <w:highlight w:val="none"/>
          <w:lang w:eastAsia="zh-CN"/>
        </w:rPr>
        <w:t>；设置疏散引导箱，配备过滤式消防自救呼吸器、瓶装水、毛巾、救援哨、发光指挥棒、疏散用手电筒等安全疏散辅助器材。</w:t>
      </w:r>
    </w:p>
    <w:bookmarkEnd w:id="63"/>
    <w:bookmarkEnd w:id="64"/>
    <w:bookmarkEnd w:id="65"/>
    <w:p>
      <w:pPr>
        <w:pStyle w:val="105"/>
        <w:spacing w:before="312" w:after="312"/>
        <w:rPr>
          <w:rFonts w:hint="eastAsia"/>
          <w:szCs w:val="21"/>
          <w:lang w:val="en-US" w:eastAsia="zh-CN"/>
        </w:rPr>
      </w:pPr>
      <w:bookmarkStart w:id="69" w:name="_Toc14971"/>
      <w:bookmarkStart w:id="70" w:name="_Toc27606"/>
      <w:r>
        <w:rPr>
          <w:rFonts w:hint="eastAsia"/>
          <w:szCs w:val="21"/>
          <w:lang w:val="en-US" w:eastAsia="zh-CN"/>
        </w:rPr>
        <w:t>消防安全基本职责</w:t>
      </w:r>
      <w:bookmarkEnd w:id="69"/>
      <w:bookmarkEnd w:id="70"/>
    </w:p>
    <w:p>
      <w:pPr>
        <w:pStyle w:val="163"/>
        <w:keepNext w:val="0"/>
        <w:keepLines w:val="0"/>
        <w:pageBreakBefore w:val="0"/>
        <w:kinsoku/>
        <w:wordWrap/>
        <w:overflowPunct/>
        <w:topLinePunct w:val="0"/>
        <w:bidi w:val="0"/>
        <w:snapToGrid/>
        <w:spacing w:before="157" w:beforeLines="50" w:after="0" w:afterLines="0"/>
        <w:ind w:left="0" w:leftChars="0"/>
        <w:textAlignment w:val="auto"/>
        <w:rPr>
          <w:color w:val="auto"/>
        </w:rPr>
      </w:pPr>
      <w:r>
        <w:rPr>
          <w:rFonts w:hint="eastAsia" w:ascii="宋体" w:eastAsia="宋体"/>
          <w:color w:val="auto"/>
          <w:highlight w:val="none"/>
          <w:lang w:val="en-US" w:eastAsia="zh-CN"/>
        </w:rPr>
        <w:t>商业类</w:t>
      </w:r>
      <w:r>
        <w:rPr>
          <w:rFonts w:hint="eastAsia"/>
          <w:lang w:val="en-US" w:eastAsia="zh-CN"/>
        </w:rPr>
        <w:t>经营性居民自建房的所有权人为消防安全责任人。所有权人和使用人不一致的，所有权人与使用人可书面约定消防安全责任，确定消防安全责任人；没有约定或约定不明确的，由所有权人承担使用消防安全责任。房屋所有权人下落不明或者房屋权属</w:t>
      </w:r>
      <w:r>
        <w:rPr>
          <w:rFonts w:hint="eastAsia"/>
          <w:color w:val="auto"/>
          <w:lang w:val="en-US" w:eastAsia="zh-CN"/>
        </w:rPr>
        <w:t>不清的，房屋使用人或者管理人承担房屋使用消防安全责任。</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rPr>
      </w:pPr>
      <w:r>
        <w:rPr>
          <w:rFonts w:hint="eastAsia" w:ascii="宋体" w:eastAsia="宋体"/>
          <w:color w:val="auto"/>
          <w:highlight w:val="none"/>
          <w:lang w:val="en-US" w:eastAsia="zh-CN"/>
        </w:rPr>
        <w:t>商业类经营性居民自建房</w:t>
      </w:r>
      <w:r>
        <w:rPr>
          <w:rFonts w:hint="eastAsia" w:ascii="宋体" w:eastAsia="宋体"/>
          <w:color w:val="auto"/>
          <w:highlight w:val="none"/>
          <w:lang w:eastAsia="zh-CN"/>
        </w:rPr>
        <w:t>消防安全责任人</w:t>
      </w:r>
      <w:r>
        <w:rPr>
          <w:rFonts w:hint="eastAsia" w:ascii="宋体" w:eastAsia="宋体"/>
          <w:color w:val="auto"/>
          <w:highlight w:val="none"/>
        </w:rPr>
        <w:t>应</w:t>
      </w:r>
      <w:r>
        <w:rPr>
          <w:rFonts w:hint="eastAsia" w:ascii="宋体" w:eastAsia="宋体"/>
          <w:color w:val="auto"/>
          <w:highlight w:val="none"/>
          <w:lang w:val="en-US" w:eastAsia="zh-CN"/>
        </w:rPr>
        <w:t>负责本建筑的</w:t>
      </w:r>
      <w:r>
        <w:rPr>
          <w:rFonts w:hint="eastAsia" w:ascii="宋体" w:eastAsia="宋体"/>
          <w:color w:val="auto"/>
          <w:highlight w:val="none"/>
        </w:rPr>
        <w:t>消防安全制度</w:t>
      </w:r>
      <w:r>
        <w:rPr>
          <w:rFonts w:hint="eastAsia" w:ascii="宋体" w:eastAsia="宋体"/>
          <w:color w:val="auto"/>
          <w:highlight w:val="none"/>
          <w:lang w:val="en-US" w:eastAsia="zh-CN"/>
        </w:rPr>
        <w:t>建立、建筑消防设施维护管理、火灾</w:t>
      </w:r>
      <w:r>
        <w:rPr>
          <w:rFonts w:hint="eastAsia" w:ascii="宋体" w:eastAsia="宋体"/>
          <w:color w:val="auto"/>
          <w:highlight w:val="none"/>
        </w:rPr>
        <w:t>隐患整改</w:t>
      </w:r>
      <w:r>
        <w:rPr>
          <w:rFonts w:hint="eastAsia" w:ascii="宋体" w:eastAsia="宋体"/>
          <w:color w:val="auto"/>
          <w:highlight w:val="none"/>
          <w:lang w:val="en-US" w:eastAsia="zh-CN"/>
        </w:rPr>
        <w:t>等工作</w:t>
      </w:r>
      <w:r>
        <w:rPr>
          <w:rFonts w:hint="eastAsia" w:ascii="宋体" w:eastAsia="宋体"/>
          <w:color w:val="auto"/>
          <w:highlight w:val="none"/>
          <w:lang w:eastAsia="zh-CN"/>
        </w:rPr>
        <w:t>；</w:t>
      </w:r>
      <w:r>
        <w:rPr>
          <w:rFonts w:hint="eastAsia" w:ascii="宋体" w:eastAsia="宋体"/>
          <w:color w:val="auto"/>
          <w:highlight w:val="none"/>
          <w:lang w:val="en-US" w:eastAsia="zh-CN"/>
        </w:rPr>
        <w:t>组织</w:t>
      </w:r>
      <w:r>
        <w:rPr>
          <w:rFonts w:hint="eastAsia" w:ascii="宋体" w:eastAsia="宋体"/>
          <w:color w:val="auto"/>
          <w:highlight w:val="none"/>
        </w:rPr>
        <w:t>对本建筑物进行定期的</w:t>
      </w:r>
      <w:r>
        <w:rPr>
          <w:rFonts w:hint="eastAsia" w:ascii="宋体" w:eastAsia="宋体"/>
          <w:color w:val="auto"/>
          <w:highlight w:val="none"/>
          <w:lang w:eastAsia="zh-CN"/>
        </w:rPr>
        <w:t>防火</w:t>
      </w:r>
      <w:r>
        <w:rPr>
          <w:rFonts w:hint="eastAsia" w:ascii="宋体" w:eastAsia="宋体"/>
          <w:color w:val="auto"/>
          <w:highlight w:val="none"/>
        </w:rPr>
        <w:t>检查，发现并及时消除火灾隐患，确保公共疏散通道、安全出口、疏散楼梯等公共疏散区域畅通</w:t>
      </w:r>
      <w:r>
        <w:rPr>
          <w:rFonts w:hint="eastAsia" w:ascii="宋体" w:eastAsia="宋体"/>
          <w:color w:val="auto"/>
          <w:highlight w:val="none"/>
          <w:lang w:eastAsia="zh-CN"/>
        </w:rPr>
        <w:t>；</w:t>
      </w:r>
      <w:r>
        <w:rPr>
          <w:rFonts w:hint="eastAsia" w:ascii="宋体" w:eastAsia="宋体"/>
          <w:color w:val="auto"/>
          <w:highlight w:val="none"/>
          <w:lang w:val="en-US" w:eastAsia="zh-CN"/>
        </w:rPr>
        <w:t>组织</w:t>
      </w:r>
      <w:r>
        <w:rPr>
          <w:rFonts w:hint="eastAsia" w:ascii="宋体" w:eastAsia="宋体"/>
          <w:color w:val="auto"/>
          <w:highlight w:val="none"/>
        </w:rPr>
        <w:t>开展消防安全培训、灭火和应急疏散演练。</w:t>
      </w:r>
    </w:p>
    <w:p>
      <w:pPr>
        <w:pStyle w:val="10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eastAsia="宋体"/>
          <w:color w:val="auto"/>
          <w:highlight w:val="none"/>
          <w:lang w:val="en-US" w:eastAsia="zh-CN"/>
        </w:rPr>
        <w:t>商业类经营性居民自建房用于出租时应在订立合同时明确各方的消防安全责任。同一建筑由两个以上经营主体使用的，应当在租赁合同、管理规约中明确各方消防安全责任，并确定责任人对共用的疏散通道、安全出口、建筑消防设施和消防车通道进行统一管理。各经营主体应当在其使用、管理范围内履行消防安全职责。</w:t>
      </w:r>
    </w:p>
    <w:p>
      <w:pPr>
        <w:pStyle w:val="106"/>
        <w:keepNext w:val="0"/>
        <w:keepLines w:val="0"/>
        <w:pageBreakBefore w:val="0"/>
        <w:kinsoku/>
        <w:wordWrap/>
        <w:overflowPunct/>
        <w:topLinePunct w:val="0"/>
        <w:bidi w:val="0"/>
        <w:snapToGrid/>
        <w:spacing w:before="157" w:beforeLines="50" w:after="0" w:afterLines="0"/>
        <w:ind w:left="0" w:leftChars="0"/>
        <w:textAlignment w:val="auto"/>
      </w:pPr>
      <w:r>
        <w:rPr>
          <w:rFonts w:hint="eastAsia" w:ascii="宋体" w:eastAsia="宋体"/>
          <w:color w:val="auto"/>
          <w:highlight w:val="none"/>
          <w:lang w:val="en-US" w:eastAsia="zh-CN"/>
        </w:rPr>
        <w:t>商业类经营性居民自建房用于出租时未以书面形式明确各方消防安全责任的，居民自建房所有权人对共用的疏散通道、安全出口、建筑消防设施和消防车通道负责统一管理，承租人对承租场所的消防安全负责。</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FF0000"/>
        </w:rPr>
      </w:pPr>
      <w:r>
        <w:rPr>
          <w:rFonts w:hint="eastAsia" w:ascii="宋体" w:eastAsia="宋体"/>
          <w:color w:val="auto"/>
          <w:highlight w:val="none"/>
          <w:lang w:val="en-US" w:eastAsia="zh-CN"/>
        </w:rPr>
        <w:t>商业类经营性居民自建房应控制容纳人数，防止人员过度聚集。各类经营场所的容纳人数应符合法律法规规定和行业管理要求</w:t>
      </w:r>
      <w:r>
        <w:rPr>
          <w:rFonts w:hint="eastAsia" w:ascii="宋体" w:eastAsia="宋体"/>
          <w:color w:val="auto"/>
          <w:highlight w:val="none"/>
        </w:rPr>
        <w:t>（</w:t>
      </w:r>
      <w:r>
        <w:rPr>
          <w:rFonts w:hint="eastAsia" w:ascii="宋体" w:eastAsia="宋体"/>
          <w:color w:val="auto"/>
          <w:highlight w:val="none"/>
          <w:lang w:eastAsia="zh-CN"/>
        </w:rPr>
        <w:t>参考</w:t>
      </w:r>
      <w:r>
        <w:rPr>
          <w:rFonts w:hint="eastAsia" w:ascii="宋体" w:eastAsia="宋体"/>
          <w:color w:val="auto"/>
          <w:highlight w:val="none"/>
        </w:rPr>
        <w:t>附录</w:t>
      </w:r>
      <w:r>
        <w:rPr>
          <w:rFonts w:hint="eastAsia" w:ascii="宋体" w:eastAsia="宋体"/>
          <w:color w:val="auto"/>
          <w:highlight w:val="none"/>
          <w:lang w:val="en-US" w:eastAsia="zh-CN"/>
        </w:rPr>
        <w:t>B</w:t>
      </w:r>
      <w:r>
        <w:rPr>
          <w:rFonts w:hint="eastAsia" w:ascii="宋体" w:eastAsia="宋体"/>
          <w:color w:val="auto"/>
          <w:highlight w:val="none"/>
        </w:rPr>
        <w:t>）</w:t>
      </w:r>
      <w:r>
        <w:rPr>
          <w:rFonts w:hint="eastAsia" w:ascii="宋体" w:eastAsia="宋体"/>
          <w:color w:val="auto"/>
          <w:highlight w:val="none"/>
          <w:lang w:val="en-US" w:eastAsia="zh-CN"/>
        </w:rPr>
        <w:t>。</w:t>
      </w:r>
    </w:p>
    <w:p>
      <w:pPr>
        <w:pStyle w:val="105"/>
        <w:spacing w:before="312" w:after="312"/>
        <w:rPr>
          <w:rFonts w:hint="eastAsia"/>
          <w:szCs w:val="21"/>
          <w:lang w:val="en-US" w:eastAsia="zh-CN"/>
        </w:rPr>
      </w:pPr>
      <w:bookmarkStart w:id="71" w:name="_Toc15519"/>
      <w:bookmarkStart w:id="72" w:name="_Toc10083"/>
      <w:r>
        <w:rPr>
          <w:rFonts w:hint="eastAsia"/>
          <w:szCs w:val="21"/>
          <w:lang w:val="en-US" w:eastAsia="zh-CN"/>
        </w:rPr>
        <w:t>消防安全日常管理</w:t>
      </w:r>
      <w:bookmarkEnd w:id="71"/>
      <w:bookmarkEnd w:id="72"/>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eastAsia="宋体"/>
          <w:color w:val="auto"/>
          <w:highlight w:val="none"/>
          <w:lang w:val="en-US" w:eastAsia="zh-CN"/>
        </w:rPr>
      </w:pPr>
      <w:r>
        <w:rPr>
          <w:rFonts w:hint="eastAsia" w:ascii="宋体" w:eastAsia="宋体"/>
          <w:color w:val="auto"/>
          <w:highlight w:val="none"/>
          <w:lang w:val="en-US" w:eastAsia="zh-CN"/>
        </w:rPr>
        <w:t>商业类经营性居民自建房应建立防火巡查、防火检查制度，确定巡查、检查的人员、内容、部位和频次，配备防火巡查、检查所必须的器材。对于有两个以上使用单位或管理单位的经营性居民自建房，使用或管理单位应划定防火巡查、检查区域。</w:t>
      </w:r>
    </w:p>
    <w:p>
      <w:pPr>
        <w:pStyle w:val="106"/>
        <w:keepNext w:val="0"/>
        <w:keepLines w:val="0"/>
        <w:pageBreakBefore w:val="0"/>
        <w:kinsoku/>
        <w:wordWrap/>
        <w:overflowPunct/>
        <w:topLinePunct w:val="0"/>
        <w:bidi w:val="0"/>
        <w:snapToGrid/>
        <w:spacing w:before="157" w:beforeLines="50" w:after="0" w:afterLines="0"/>
        <w:ind w:left="0" w:leftChars="0"/>
        <w:textAlignment w:val="auto"/>
        <w:rPr>
          <w:rFonts w:hint="eastAsia" w:ascii="宋体" w:eastAsia="宋体"/>
          <w:color w:val="auto"/>
          <w:highlight w:val="none"/>
          <w:lang w:val="en-US" w:eastAsia="zh-CN"/>
        </w:rPr>
      </w:pPr>
      <w:r>
        <w:rPr>
          <w:rFonts w:hint="eastAsia" w:ascii="宋体" w:eastAsia="宋体"/>
          <w:color w:val="auto"/>
          <w:highlight w:val="none"/>
          <w:lang w:val="en-US" w:eastAsia="zh-CN"/>
        </w:rPr>
        <w:t>防火巡查、检查时，应及时纠正违规行为，立即消除火灾隐患；火灾隐患无法立即消除的，应明确火灾隐患整改责任人、整改时限和火灾防范措施。防火巡查、检查时，应填写巡查、检查记录（</w:t>
      </w:r>
      <w:r>
        <w:rPr>
          <w:rFonts w:hint="eastAsia" w:ascii="宋体" w:eastAsia="宋体"/>
          <w:color w:val="auto"/>
          <w:highlight w:val="none"/>
          <w:lang w:eastAsia="zh-CN"/>
        </w:rPr>
        <w:t>参考</w:t>
      </w:r>
      <w:r>
        <w:rPr>
          <w:rFonts w:hint="eastAsia" w:ascii="宋体" w:eastAsia="宋体"/>
          <w:color w:val="auto"/>
          <w:highlight w:val="none"/>
          <w:lang w:val="en-US" w:eastAsia="zh-CN"/>
        </w:rPr>
        <w:t>附录C、附录D），巡查、检查人员及建筑消防安全责任人应在记录上签名。巡查、检查记录表应包括部位、时间、人员和存在的问题。</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eastAsia="宋体"/>
          <w:color w:val="auto"/>
          <w:highlight w:val="none"/>
          <w:lang w:val="en-US" w:eastAsia="zh-CN"/>
        </w:rPr>
        <w:t>防火巡查应符合下列要求：</w:t>
      </w:r>
    </w:p>
    <w:p>
      <w:pPr>
        <w:pStyle w:val="57"/>
        <w:keepNext w:val="0"/>
        <w:keepLines w:val="0"/>
        <w:pageBreakBefore w:val="0"/>
        <w:numPr>
          <w:ilvl w:val="0"/>
          <w:numId w:val="34"/>
        </w:numPr>
        <w:kinsoku/>
        <w:wordWrap/>
        <w:overflowPunct/>
        <w:topLinePunct w:val="0"/>
        <w:bidi w:val="0"/>
        <w:snapToGrid/>
        <w:spacing w:before="157" w:beforeLines="50"/>
        <w:ind w:left="0" w:leftChars="0"/>
        <w:textAlignment w:val="auto"/>
        <w:rPr>
          <w:rFonts w:hint="default" w:eastAsia="宋体"/>
          <w:color w:val="auto"/>
          <w:highlight w:val="none"/>
          <w:lang w:val="en-US" w:eastAsia="zh-CN"/>
        </w:rPr>
      </w:pPr>
      <w:r>
        <w:rPr>
          <w:rFonts w:hint="eastAsia"/>
          <w:color w:val="auto"/>
          <w:highlight w:val="none"/>
          <w:lang w:val="en-US" w:eastAsia="zh-CN"/>
        </w:rPr>
        <w:t xml:space="preserve"> 商业类经营性居民自建房应每日进行防火巡查；</w:t>
      </w:r>
    </w:p>
    <w:p>
      <w:pPr>
        <w:pStyle w:val="57"/>
        <w:keepNext w:val="0"/>
        <w:keepLines w:val="0"/>
        <w:pageBreakBefore w:val="0"/>
        <w:numPr>
          <w:ilvl w:val="0"/>
          <w:numId w:val="34"/>
        </w:numPr>
        <w:kinsoku/>
        <w:wordWrap/>
        <w:overflowPunct/>
        <w:topLinePunct w:val="0"/>
        <w:bidi w:val="0"/>
        <w:snapToGrid/>
        <w:spacing w:before="157" w:beforeLines="50"/>
        <w:ind w:left="0" w:leftChars="0"/>
        <w:textAlignment w:val="auto"/>
        <w:rPr>
          <w:rFonts w:hint="default" w:eastAsia="宋体"/>
          <w:color w:val="auto"/>
          <w:highlight w:val="none"/>
          <w:lang w:val="en-US" w:eastAsia="zh-CN"/>
        </w:rPr>
      </w:pPr>
      <w:r>
        <w:rPr>
          <w:rFonts w:hint="eastAsia"/>
          <w:color w:val="auto"/>
          <w:highlight w:val="none"/>
          <w:lang w:val="en-US" w:eastAsia="zh-CN"/>
        </w:rPr>
        <w:t>公众聚集场所在营业期间，至少每2h巡查一次；</w:t>
      </w:r>
    </w:p>
    <w:p>
      <w:pPr>
        <w:pStyle w:val="57"/>
        <w:keepNext w:val="0"/>
        <w:keepLines w:val="0"/>
        <w:pageBreakBefore w:val="0"/>
        <w:numPr>
          <w:ilvl w:val="0"/>
          <w:numId w:val="34"/>
        </w:numPr>
        <w:kinsoku/>
        <w:wordWrap/>
        <w:overflowPunct/>
        <w:topLinePunct w:val="0"/>
        <w:bidi w:val="0"/>
        <w:snapToGrid/>
        <w:spacing w:before="157" w:beforeLines="50"/>
        <w:ind w:left="0" w:leftChars="0"/>
        <w:textAlignment w:val="auto"/>
        <w:rPr>
          <w:rFonts w:hint="default" w:eastAsia="宋体"/>
          <w:color w:val="auto"/>
          <w:highlight w:val="none"/>
          <w:lang w:val="en-US" w:eastAsia="zh-CN"/>
        </w:rPr>
      </w:pPr>
      <w:r>
        <w:rPr>
          <w:rFonts w:hint="eastAsia"/>
          <w:color w:val="auto"/>
          <w:highlight w:val="none"/>
          <w:lang w:val="en-US" w:eastAsia="zh-CN"/>
        </w:rPr>
        <w:t xml:space="preserve"> 宾馆、医院、养老院和寄宿制的学校、托儿所、幼儿园、校外培训机构等类似场所应当加强夜间防火巡查，其他场所结合实际确定巡查频次，组织夜间防火巡查；</w:t>
      </w:r>
    </w:p>
    <w:p>
      <w:pPr>
        <w:pStyle w:val="57"/>
        <w:keepNext w:val="0"/>
        <w:keepLines w:val="0"/>
        <w:pageBreakBefore w:val="0"/>
        <w:numPr>
          <w:ilvl w:val="0"/>
          <w:numId w:val="34"/>
        </w:numPr>
        <w:kinsoku/>
        <w:wordWrap/>
        <w:overflowPunct/>
        <w:topLinePunct w:val="0"/>
        <w:bidi w:val="0"/>
        <w:snapToGrid/>
        <w:spacing w:before="157" w:beforeLines="50"/>
        <w:ind w:left="0" w:leftChars="0"/>
        <w:textAlignment w:val="auto"/>
        <w:rPr>
          <w:color w:val="auto"/>
          <w:highlight w:val="none"/>
        </w:rPr>
      </w:pPr>
      <w:r>
        <w:rPr>
          <w:rFonts w:hint="eastAsia"/>
          <w:color w:val="auto"/>
          <w:highlight w:val="none"/>
          <w:lang w:val="en-US" w:eastAsia="zh-CN"/>
        </w:rPr>
        <w:t xml:space="preserve"> 经营场所营业结束后，应切断非必要用电设备电源，检查并消除遗留火种；</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eastAsia="宋体"/>
          <w:color w:val="auto"/>
          <w:highlight w:val="none"/>
          <w:lang w:val="en-US" w:eastAsia="zh-CN"/>
        </w:rPr>
        <w:t>防火巡查应包括下列内容：</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用火、用电、用油、用气有无违章情况；</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安全出口、疏散通道是否畅通，有无锁闭；安全疏散指示标志、应急照明是否完好；</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常闭式防火门是否保持常闭状态，防火卷帘下部是否有障碍物；</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消防设施、器材是否在位、完好有效；消火栓、灭火器等消防设施器材是否被遮挡；</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消防安全重点部位的人员是否在岗，是否落实特殊防范措施和重点措施；</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消防车通道是否畅通；</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电动自行车、电动摩托车、电动三轮车等是否违规停放、充电；</w:t>
      </w:r>
    </w:p>
    <w:p>
      <w:pPr>
        <w:pStyle w:val="57"/>
        <w:keepNext w:val="0"/>
        <w:keepLines w:val="0"/>
        <w:pageBreakBefore w:val="0"/>
        <w:numPr>
          <w:ilvl w:val="0"/>
          <w:numId w:val="35"/>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其他消防安全情况。</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eastAsia="宋体"/>
          <w:color w:val="auto"/>
          <w:highlight w:val="none"/>
          <w:lang w:val="en-US" w:eastAsia="zh-CN"/>
        </w:rPr>
        <w:t>商业类经营性居民自建房应至少每月进行一次防火检查，防火检查由消防安全责任人组织或委托组织实施。</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eastAsia="宋体"/>
          <w:color w:val="auto"/>
          <w:highlight w:val="none"/>
          <w:lang w:val="en-US" w:eastAsia="zh-CN"/>
        </w:rPr>
        <w:t>防火检查包括下列内容：</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消防车通道、室外消火栓、天然水源及消防车取水设施情况；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安全疏散通道、楼梯，安全出口及其疏散指示标志、应急照明情况；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消防安全标志的设置情况，灭火器材配置及完好情况；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楼板、防火墙、防火隔墙和竖井孔洞的封堵情况；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消防设施运行情况；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消防控制室值班情况、消防控制设备运行和记录情况；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专职或志愿消防队、微型消防站人员值班值守、训练演练情况，器材、装备设备完备情况；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用火、用电、用油、用气安全管理及操作规程执行情况；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 xml:space="preserve"> 消防安全重点部位的管理情况、防火巡查落实和记录情况；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火灾隐患的整改以及防范措施的落实情况；</w:t>
      </w:r>
    </w:p>
    <w:p>
      <w:pPr>
        <w:pStyle w:val="57"/>
        <w:keepNext w:val="0"/>
        <w:keepLines w:val="0"/>
        <w:pageBreakBefore w:val="0"/>
        <w:numPr>
          <w:ilvl w:val="0"/>
          <w:numId w:val="36"/>
        </w:numPr>
        <w:kinsoku/>
        <w:wordWrap/>
        <w:overflowPunct/>
        <w:topLinePunct w:val="0"/>
        <w:bidi w:val="0"/>
        <w:snapToGrid/>
        <w:spacing w:before="157" w:beforeLines="50"/>
        <w:ind w:left="0" w:leftChars="0" w:firstLine="420" w:firstLineChars="200"/>
        <w:textAlignment w:val="auto"/>
        <w:rPr>
          <w:rFonts w:hint="default" w:eastAsia="宋体"/>
          <w:color w:val="auto"/>
          <w:highlight w:val="none"/>
          <w:lang w:val="en-US" w:eastAsia="zh-CN"/>
        </w:rPr>
      </w:pPr>
      <w:r>
        <w:rPr>
          <w:rFonts w:hint="eastAsia"/>
          <w:color w:val="auto"/>
          <w:highlight w:val="none"/>
          <w:lang w:val="en-US" w:eastAsia="zh-CN"/>
        </w:rPr>
        <w:t>消防安全重点部位人员以及其他员工消防知识的掌握情况。</w:t>
      </w:r>
    </w:p>
    <w:p>
      <w:pPr>
        <w:pStyle w:val="106"/>
        <w:keepNext w:val="0"/>
        <w:keepLines w:val="0"/>
        <w:pageBreakBefore w:val="0"/>
        <w:kinsoku/>
        <w:wordWrap/>
        <w:overflowPunct/>
        <w:topLinePunct w:val="0"/>
        <w:bidi w:val="0"/>
        <w:snapToGrid/>
        <w:spacing w:before="157" w:beforeLines="50" w:after="0" w:afterLines="0"/>
        <w:ind w:left="0" w:leftChars="0"/>
        <w:textAlignment w:val="auto"/>
        <w:rPr>
          <w:color w:val="auto"/>
          <w:highlight w:val="none"/>
        </w:rPr>
      </w:pPr>
      <w:r>
        <w:rPr>
          <w:rFonts w:hint="eastAsia" w:ascii="宋体" w:eastAsia="宋体"/>
          <w:color w:val="auto"/>
          <w:highlight w:val="none"/>
          <w:lang w:val="en-US" w:eastAsia="zh-CN"/>
        </w:rPr>
        <w:t>在火灾隐患整改期间，应采取相应的安全保障措施；在火灾隐患未消除之前，经营场所应加大巡查频次、安排专人看护、增加消防设施器材等防范措施，保障消防安全。</w:t>
      </w:r>
    </w:p>
    <w:p>
      <w:pPr>
        <w:pStyle w:val="166"/>
        <w:keepNext w:val="0"/>
        <w:keepLines w:val="0"/>
        <w:pageBreakBefore w:val="0"/>
        <w:widowControl w:val="0"/>
        <w:numPr>
          <w:ilvl w:val="0"/>
          <w:numId w:val="37"/>
        </w:numPr>
        <w:kinsoku/>
        <w:wordWrap/>
        <w:overflowPunct/>
        <w:topLinePunct w:val="0"/>
        <w:autoSpaceDE/>
        <w:autoSpaceDN/>
        <w:bidi w:val="0"/>
        <w:adjustRightInd/>
        <w:snapToGrid/>
        <w:spacing w:before="0" w:beforeLines="0" w:after="0" w:afterLines="0"/>
        <w:ind w:leftChars="100"/>
        <w:textAlignment w:val="auto"/>
      </w:pPr>
      <w:r>
        <w:rPr>
          <w:rFonts w:hint="eastAsia" w:ascii="宋体" w:eastAsia="宋体"/>
        </w:rPr>
        <w:br w:type="page"/>
      </w:r>
    </w:p>
    <w:bookmarkEnd w:id="25"/>
    <w:p>
      <w:pPr>
        <w:pStyle w:val="77"/>
        <w:spacing w:before="78" w:after="156"/>
        <w:jc w:val="center"/>
        <w:rPr>
          <w:rFonts w:hint="default"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pPr>
      <w:bookmarkStart w:id="73" w:name="_Toc13242"/>
      <w:bookmarkStart w:id="74" w:name="BookMark5"/>
      <w:r>
        <w:rPr>
          <w:rFonts w:hint="default"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br w:type="textWrapping"/>
      </w:r>
      <w:r>
        <w:rPr>
          <w:rFonts w:hint="eastAsia"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t>（</w:t>
      </w:r>
      <w:r>
        <w:rPr>
          <w:rFonts w:hint="eastAsia" w:ascii="宋体" w:hAnsi="Times New Roman" w:eastAsia="宋体" w:cs="Times New Roman"/>
          <w:b/>
          <w:bCs/>
          <w:kern w:val="0"/>
          <w:sz w:val="21"/>
          <w:szCs w:val="20"/>
          <w:vertAlign w:val="baseline"/>
          <w:lang w:val="en-US" w:eastAsia="zh-CN" w:bidi="ar-SA"/>
        </w:rPr>
        <w:t>资</w:t>
      </w:r>
      <w:r>
        <w:rPr>
          <w:rFonts w:hint="eastAsia"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t>料性）</w:t>
      </w:r>
      <w:bookmarkEnd w:id="73"/>
    </w:p>
    <w:p>
      <w:pPr>
        <w:jc w:val="center"/>
        <w:outlineLvl w:val="2"/>
        <w:rPr>
          <w:rFonts w:hint="default"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pPr>
      <w:r>
        <w:rPr>
          <w:rFonts w:hint="eastAsia" w:ascii="宋体" w:hAnsi="Times New Roman" w:cs="Times New Roman"/>
          <w:b/>
          <w:bCs/>
          <w:color w:val="000000" w:themeColor="text1"/>
          <w:kern w:val="0"/>
          <w:sz w:val="21"/>
          <w:szCs w:val="20"/>
          <w:highlight w:val="none"/>
          <w:lang w:val="en-US" w:eastAsia="zh-CN" w:bidi="ar-SA"/>
          <w14:textFill>
            <w14:solidFill>
              <w14:schemeClr w14:val="tx1"/>
            </w14:solidFill>
          </w14:textFill>
        </w:rPr>
        <w:t>经营性居民自建房</w:t>
      </w:r>
      <w:r>
        <w:rPr>
          <w:rFonts w:hint="default" w:ascii="宋体" w:hAnsi="Times New Roman" w:eastAsia="宋体" w:cs="Times New Roman"/>
          <w:b/>
          <w:bCs/>
          <w:color w:val="000000" w:themeColor="text1"/>
          <w:kern w:val="0"/>
          <w:sz w:val="21"/>
          <w:szCs w:val="20"/>
          <w:highlight w:val="none"/>
          <w:lang w:val="en-US" w:eastAsia="zh-CN" w:bidi="ar-SA"/>
          <w14:textFill>
            <w14:solidFill>
              <w14:schemeClr w14:val="tx1"/>
            </w14:solidFill>
          </w14:textFill>
        </w:rPr>
        <w:t>禁止类限制类项目</w:t>
      </w:r>
    </w:p>
    <w:p>
      <w:pPr>
        <w:pStyle w:val="57"/>
        <w:ind w:left="0" w:leftChars="0" w:firstLine="0" w:firstLineChars="0"/>
        <w:rPr>
          <w:rFonts w:hint="default"/>
          <w:lang w:val="en-US" w:eastAsia="zh-CN"/>
        </w:rPr>
      </w:pPr>
    </w:p>
    <w:tbl>
      <w:tblPr>
        <w:tblStyle w:val="34"/>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3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30" w:type="dxa"/>
            <w:vAlign w:val="center"/>
          </w:tcPr>
          <w:p>
            <w:pPr>
              <w:jc w:val="cente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pPr>
            <w: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t>序号</w:t>
            </w:r>
          </w:p>
        </w:tc>
        <w:tc>
          <w:tcPr>
            <w:tcW w:w="1537" w:type="dxa"/>
            <w:vAlign w:val="center"/>
          </w:tcPr>
          <w:p>
            <w:pPr>
              <w:jc w:val="cente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pPr>
            <w: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t>行业类别</w:t>
            </w:r>
          </w:p>
        </w:tc>
        <w:tc>
          <w:tcPr>
            <w:tcW w:w="7208" w:type="dxa"/>
            <w:vAlign w:val="center"/>
          </w:tcPr>
          <w:p>
            <w:pPr>
              <w:jc w:val="cente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pPr>
            <w:r>
              <w:rPr>
                <w:rFonts w:hint="default" w:ascii="宋体" w:hAnsi="Times New Roman" w:cs="Times New Roman"/>
                <w:b/>
                <w:bCs/>
                <w:color w:val="000000" w:themeColor="text1"/>
                <w:kern w:val="0"/>
                <w:sz w:val="21"/>
                <w:szCs w:val="20"/>
                <w:highlight w:val="none"/>
                <w:lang w:val="en-US" w:eastAsia="zh-CN" w:bidi="ar-SA"/>
                <w14:textFill>
                  <w14:solidFill>
                    <w14:schemeClr w14:val="tx1"/>
                  </w14:solidFill>
                </w14:textFill>
              </w:rPr>
              <w:t>禁止或限制性规定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85"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全部行业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对非法建筑、危险房屋、被征收房屋、不符合安全防灾等工程建设强制性标准的房屋等依法不得作为住所（经营场所）的，申请人不得申请登记为住所（经营场所）。受自然灾害隐患威胁的房屋不得作为经营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2</w:t>
            </w:r>
          </w:p>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p>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危险品行业</w:t>
            </w:r>
          </w:p>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经营易燃易爆危险品的场所不得与居住场所设置在同一建筑物内，并应当与居住场所保持安全距离。经营其他物品的场所与居住场所设置在同一建筑物内的，应当符合国家工程建设消防技术标准。</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从事危险化学品经营的单位应当依法登记注册为企业，并具备下列基本条件：经营和储存场所、设施、建筑物符合《建筑设计防火规范》（GB50016）、《石油化工企业设计防火规范》（GB50160）、《汽车加油加气站设计与施工规范》（GB50156）、《石油库设计规范》（GB50074）等相关国家标准、行业标准规定。</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经营、使用危险物品商店不得与员工宿舍在同一座建筑物内，并应当与员工宿舍保持安全距离。经营场所和员工宿舍应当设有符合紧急疏散要求、标志明显、保持畅通的出口、疏散通道。禁止占用、锁闭、封堵生产经营场所或者员工宿舍的出口、疏散通道。</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销售、使用、销毁易燃易爆危险品，必须执行消防技术标准和管理规定。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3</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烟花爆竹</w:t>
            </w:r>
          </w:p>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严格控制城市建成区内烟花爆竹零售点数量</w:t>
            </w:r>
            <w:r>
              <w:rPr>
                <w:rFonts w:hint="eastAsia" w:ascii="Times New Roman" w:hAnsi="Times New Roman"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烟花爆竹零售点不得与居民居住场所设置在同一建筑物内。</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零售场所的面积不小于10平方米，其周边50米范围内没有其他烟花爆竹零售点，并与学校、幼儿园、医院、集贸市场等人员密集场所和加油站等易燃易爆物品生产、储存设施等重点建筑物保持100米以上的安全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4</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娱乐行业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娱乐场所不得设立在下列地点：</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房屋用途中含有住宅的建筑内；</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博物馆、图书馆和被核定为文物保护单位的建筑物内；</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居民住宅区；</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《中华人民共和国未成年保护法》规定的学校、幼儿园周围；</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（5）</w:t>
            </w:r>
            <w:r>
              <w:rPr>
                <w:rFonts w:hint="default" w:ascii="Times New Roman" w:hAnsi="Times New Roman" w:eastAsia="宋体" w:cs="Times New Roman"/>
                <w:kern w:val="0"/>
                <w:sz w:val="21"/>
                <w:szCs w:val="20"/>
                <w:vertAlign w:val="baseline"/>
                <w:lang w:val="en-US" w:eastAsia="zh-CN" w:bidi="ar-SA"/>
              </w:rPr>
              <w:t>依照《医疗机构管理条例》及实施细则规定取得《医疗机构执业许可证》的医院周围；</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（6）</w:t>
            </w:r>
            <w:r>
              <w:rPr>
                <w:rFonts w:hint="default" w:ascii="Times New Roman" w:hAnsi="Times New Roman" w:eastAsia="宋体" w:cs="Times New Roman"/>
                <w:kern w:val="0"/>
                <w:sz w:val="21"/>
                <w:szCs w:val="20"/>
                <w:vertAlign w:val="baseline"/>
                <w:lang w:val="en-US" w:eastAsia="zh-CN" w:bidi="ar-SA"/>
              </w:rPr>
              <w:t>建筑物地下一层以下（不含地下一层）；</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（7）</w:t>
            </w:r>
            <w:r>
              <w:rPr>
                <w:rFonts w:hint="default" w:ascii="Times New Roman" w:hAnsi="Times New Roman" w:eastAsia="宋体" w:cs="Times New Roman"/>
                <w:kern w:val="0"/>
                <w:sz w:val="21"/>
                <w:szCs w:val="20"/>
                <w:vertAlign w:val="baseline"/>
                <w:lang w:val="en-US" w:eastAsia="zh-CN" w:bidi="ar-SA"/>
              </w:rPr>
              <w:t>与危险化学品仓库毗连的区域，与危险化学品仓库的距离必须符合《危险化学品安全管理条例》的有关规定。</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娱乐场所的使用面积，不得低于国务院文化主管部门规定的最低标准；设立含有电子游戏机的游艺娱乐场所，应当符合国务院文化主管部门关于总量和布局的要求。</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公共娱乐场所不得设置在文物古建筑和博物馆、图书馆建筑内，不得毗连重要仓库或者危险物品仓库；不得在居民住宅楼内改建公共娱乐场所。</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5.</w:t>
            </w:r>
            <w:r>
              <w:rPr>
                <w:rFonts w:hint="default" w:ascii="Times New Roman" w:hAnsi="Times New Roman" w:eastAsia="宋体" w:cs="Times New Roman"/>
                <w:kern w:val="0"/>
                <w:sz w:val="21"/>
                <w:szCs w:val="20"/>
                <w:vertAlign w:val="baseline"/>
                <w:lang w:val="en-US" w:eastAsia="zh-CN" w:bidi="ar-SA"/>
              </w:rPr>
              <w:t>儿童游乐厅宜设置在独立的建筑内，且不应设置在地下或半地下；当采用一、二级耐火等级的建筑时，不应超过3层；采用三级耐火等级的建筑时，不应超过2层；采用四级耐火等级的建筑时，应为单层。</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6.</w:t>
            </w:r>
            <w:r>
              <w:rPr>
                <w:rFonts w:hint="default" w:ascii="Times New Roman" w:hAnsi="Times New Roman" w:eastAsia="宋体" w:cs="Times New Roman"/>
                <w:kern w:val="0"/>
                <w:sz w:val="21"/>
                <w:szCs w:val="20"/>
                <w:vertAlign w:val="baseline"/>
                <w:lang w:val="en-US" w:eastAsia="zh-CN" w:bidi="ar-SA"/>
              </w:rPr>
              <w:t>除农家乐（民宿）场所外，公共娱乐场所、公共餐饮住宿场所、公共休闲场所、公共体育运动健身场所禁止在居民住宅楼内改建。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5</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教育培训行业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在中小学校、幼儿园周边一定范围内进行规划建设活动，应当遵守下列规定：周边三百米范围内，不得新建车站、码头、集贸市场等嘈杂场所；不得进行其他可能影响中小学校、幼儿园教学秩序和安全的规划建设活动。高压电线、长输天然气管道、输油管道或者市政道路等不得穿越或者跨越中小学校、幼儿园；易燃易爆、剧毒、放射性、腐蚀性等危险物品生产、经营、储存、使用场所或者设施与中小学校、幼儿园的间隔距离应当符合国家和省有关规定。</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在中小学校、幼儿园周边二百米范围内，不得设立互联网上网服务营业场所、营业性电子游戏室、桌球室、歌舞厅等影响正常教学秩序和青少年身心健康的经营性场所。</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凡不符合国家抗震设防、消防技术、环保等相关标准的居民自建房（含居民住宅楼），不得用于举办各级各类民办学校（含幼儿园和培训机构）的场所。</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凡不符合国家和地方制定的各级各类学校（含幼儿园和培训机构）建设标准和设置标准的居民自建房（含居民住宅楼），不得用于举办各级各类民办学校（含幼儿园和培训机构）。</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学校不应该与集贸市场、公共娱乐场所、医院传染病房、太平间、公安看守所等不利于学生学习和身心健康，以及危机学生安全的场所毗邻。</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5.</w:t>
            </w:r>
            <w:r>
              <w:rPr>
                <w:rFonts w:hint="default" w:ascii="Times New Roman" w:hAnsi="Times New Roman" w:eastAsia="宋体" w:cs="Times New Roman"/>
                <w:kern w:val="0"/>
                <w:sz w:val="21"/>
                <w:szCs w:val="20"/>
                <w:vertAlign w:val="baseline"/>
                <w:lang w:val="en-US" w:eastAsia="zh-CN" w:bidi="ar-SA"/>
              </w:rPr>
              <w:t>面向小学生的培训机构不应设置在除一、二、三层之外的其他楼层，面向初中学生的培训机构应在五层以下（含五层）。</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6.</w:t>
            </w:r>
            <w:r>
              <w:rPr>
                <w:rFonts w:hint="default" w:ascii="Times New Roman" w:hAnsi="Times New Roman" w:eastAsia="宋体" w:cs="Times New Roman"/>
                <w:kern w:val="0"/>
                <w:sz w:val="21"/>
                <w:szCs w:val="20"/>
                <w:vertAlign w:val="baseline"/>
                <w:lang w:val="en-US" w:eastAsia="zh-CN" w:bidi="ar-SA"/>
              </w:rPr>
              <w:t>面向中小学生的校外培训机构不应与集贸市场，娱乐场所，生产、经营、贮藏有毒有害危险品、易燃易爆物品的场所，噪音等污染源，医院太平间，殡仪馆，消防站等不利于学生学习、身心健康和危及学生安全的场所毗邻。</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7.</w:t>
            </w:r>
            <w:r>
              <w:rPr>
                <w:rFonts w:hint="default" w:ascii="Times New Roman" w:hAnsi="Times New Roman" w:eastAsia="宋体" w:cs="Times New Roman"/>
                <w:kern w:val="0"/>
                <w:sz w:val="21"/>
                <w:szCs w:val="20"/>
                <w:vertAlign w:val="baseline"/>
                <w:lang w:val="en-US" w:eastAsia="zh-CN" w:bidi="ar-SA"/>
              </w:rPr>
              <w:t>幼儿园的儿童用房宜设置在独立的建筑内，且不应设置在地下或半地下；当采用一、二级耐火等级的建筑时，不应超过3层；采用三级耐火等级的建筑时，不应超过2层；采用四级耐火等级的建筑时，应为单层。</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8.</w:t>
            </w:r>
            <w:r>
              <w:rPr>
                <w:rFonts w:hint="default" w:ascii="Times New Roman" w:hAnsi="Times New Roman" w:eastAsia="宋体" w:cs="Times New Roman"/>
                <w:kern w:val="0"/>
                <w:sz w:val="21"/>
                <w:szCs w:val="20"/>
                <w:vertAlign w:val="baseline"/>
                <w:lang w:val="en-US" w:eastAsia="zh-CN" w:bidi="ar-SA"/>
              </w:rPr>
              <w:t>校外培训机构原则上不设置集体宿舍；确需设置时，应当设置在独立建筑内，且不得设置在地下和半地下建筑内。</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9.</w:t>
            </w:r>
            <w:r>
              <w:rPr>
                <w:rFonts w:hint="default" w:ascii="Times New Roman" w:hAnsi="Times New Roman" w:eastAsia="宋体" w:cs="Times New Roman"/>
                <w:kern w:val="0"/>
                <w:sz w:val="21"/>
                <w:szCs w:val="20"/>
                <w:vertAlign w:val="baseline"/>
                <w:lang w:val="en-US" w:eastAsia="zh-CN" w:bidi="ar-SA"/>
              </w:rPr>
              <w:t>若开办体育、舞蹈、科技等非学科类培训项目的，应按相关规定提高生均面积标准。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7</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托育行业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托育机构不得设置在四层及四层以上、地下或半地下，具体设置楼层应符合《建筑设计防火规范》(GB50016)的有关规定。</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托育机构不得设置在</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三合一</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场所(住宿与生产、储存、经营合用场所)和彩钢板建筑内不得与生产、储存、经营易燃易爆危险品场所设置在同一建筑物内。</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托儿所宜设置在独立的建筑内，且不应设置在除一、二、三层之外的其他楼层。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9</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互联网上网服务行业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中学、小学校园周围200米范围内和居民住宅楼</w:t>
            </w:r>
            <w:r>
              <w:rPr>
                <w:rFonts w:hint="eastAsia" w:ascii="Times New Roman" w:hAnsi="Times New Roman" w:cs="Times New Roman"/>
                <w:kern w:val="0"/>
                <w:sz w:val="21"/>
                <w:szCs w:val="20"/>
                <w:vertAlign w:val="baseline"/>
                <w:lang w:val="en-US" w:eastAsia="zh-CN" w:bidi="ar-SA"/>
              </w:rPr>
              <w:t>（院）</w:t>
            </w:r>
            <w:r>
              <w:rPr>
                <w:rFonts w:hint="default" w:ascii="Times New Roman" w:hAnsi="Times New Roman" w:eastAsia="宋体" w:cs="Times New Roman"/>
                <w:kern w:val="0"/>
                <w:sz w:val="21"/>
                <w:szCs w:val="20"/>
                <w:vertAlign w:val="baseline"/>
                <w:lang w:val="en-US" w:eastAsia="zh-CN" w:bidi="ar-SA"/>
              </w:rPr>
              <w:t>内不得设立互联网上网服务营业场所。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10</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医疗用品及器材批发行业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医疗器械经营企业的经营场所不得设在居民住宅内。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11</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烟草制品零售行业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学校、幼儿园周边不得设置烟草零售点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0" w:hRule="atLeast"/>
        </w:trPr>
        <w:tc>
          <w:tcPr>
            <w:tcW w:w="730" w:type="dxa"/>
            <w:vMerge w:val="restart"/>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12</w:t>
            </w:r>
          </w:p>
        </w:tc>
        <w:tc>
          <w:tcPr>
            <w:tcW w:w="1537" w:type="dxa"/>
            <w:vMerge w:val="restart"/>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电子烟零售行业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母婴用品店、文具店、玩具店、游乐场所等容易诱导未成年人关注、购买、吸食电子烟的经营场所不准予设置电子烟零售点。</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主营业务通信器材、电子商品、汽车维修、美容美甲、保健按摩、药妆医械等专业性较强，与电子烟零售业务没有直接或间接互补营销关系的业态类型不准予设置电子烟零售点</w:t>
            </w:r>
            <w:r>
              <w:rPr>
                <w:rFonts w:hint="eastAsia" w:ascii="Times New Roman" w:hAnsi="Times New Roman"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普通中小学、特殊教育学校、中等职业学校、专门学校、幼儿园周边不得设置电子烟产品销售网点</w:t>
            </w:r>
            <w:r>
              <w:rPr>
                <w:rFonts w:hint="eastAsia" w:ascii="Times New Roman" w:hAnsi="Times New Roman"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存在法律法规和规章、国家烟草专卖局规定的不予核发烟草专卖零售许可证的情形的，不得从事电子烟零售业务</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申请人的经营场所与住所不相独立的</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经营场所基于安全因素不适宜经营电子烟的，包括但不限于生产、存储、运输、销售化工、农药、化肥、油漆、香精香料、鞭炮、石油、天然气等不适宜经营电子烟的场所</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位于中小学校、幼儿园周围的</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（4）</w:t>
            </w:r>
            <w:r>
              <w:rPr>
                <w:rFonts w:hint="default" w:ascii="Times New Roman" w:hAnsi="Times New Roman" w:eastAsia="宋体" w:cs="Times New Roman"/>
                <w:kern w:val="0"/>
                <w:sz w:val="21"/>
                <w:szCs w:val="20"/>
                <w:vertAlign w:val="baseline"/>
                <w:lang w:val="en-US" w:eastAsia="zh-CN" w:bidi="ar-SA"/>
              </w:rPr>
              <w:t>位于党政机关、医院内部的</w:t>
            </w:r>
            <w:r>
              <w:rPr>
                <w:rFonts w:hint="eastAsia" w:ascii="Times New Roman" w:hAnsi="Times New Roman" w:cs="Times New Roman"/>
                <w:kern w:val="0"/>
                <w:sz w:val="21"/>
                <w:szCs w:val="20"/>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3" w:hRule="atLeast"/>
        </w:trPr>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13</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农药行业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农药经营者应当具备下列条件</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有与其他商品以及饮用水水源、生活区域等有效隔离的营业场所，并配备与所申请经营农药相适应的防护设施</w:t>
            </w:r>
            <w:r>
              <w:rPr>
                <w:rFonts w:hint="eastAsia" w:ascii="Times New Roman" w:hAnsi="Times New Roman"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有不少于三十平方米的营业场所，并与其他商品、生活区域、饮用水源有效隔离；兼营其他农业投入品的</w:t>
            </w:r>
            <w:r>
              <w:rPr>
                <w:rFonts w:hint="eastAsia" w:ascii="Times New Roman" w:hAnsi="Times New Roman" w:eastAsia="宋体"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应当具有相对独立的农药经营区域</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（3）</w:t>
            </w:r>
            <w:r>
              <w:rPr>
                <w:rFonts w:hint="default" w:ascii="Times New Roman" w:hAnsi="Times New Roman" w:eastAsia="宋体" w:cs="Times New Roman"/>
                <w:kern w:val="0"/>
                <w:sz w:val="21"/>
                <w:szCs w:val="20"/>
                <w:vertAlign w:val="baseline"/>
                <w:lang w:val="en-US" w:eastAsia="zh-CN" w:bidi="ar-SA"/>
              </w:rPr>
              <w:t>营业场所应当配备通风、消防</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预防中毒等设施，有与所经营农药品种、类别相适应的货架、柜台等展示、陈列的设施设备</w:t>
            </w:r>
            <w:r>
              <w:rPr>
                <w:rFonts w:hint="eastAsia" w:ascii="Times New Roman" w:hAnsi="Times New Roman"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经营限制使用农药的，还应当具备下列条件</w:t>
            </w:r>
            <w:r>
              <w:rPr>
                <w:rFonts w:hint="eastAsia" w:ascii="Times New Roman" w:hAnsi="Times New Roman" w:eastAsia="宋体" w:cs="Times New Roman"/>
                <w:kern w:val="0"/>
                <w:sz w:val="21"/>
                <w:szCs w:val="20"/>
                <w:vertAlign w:val="baseline"/>
                <w:lang w:val="en-US" w:eastAsia="zh-CN" w:bidi="ar-SA"/>
              </w:rPr>
              <w:t>：</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（1）</w:t>
            </w:r>
            <w:r>
              <w:rPr>
                <w:rFonts w:hint="default" w:ascii="Times New Roman" w:hAnsi="Times New Roman" w:eastAsia="宋体" w:cs="Times New Roman"/>
                <w:kern w:val="0"/>
                <w:sz w:val="21"/>
                <w:szCs w:val="20"/>
                <w:vertAlign w:val="baseline"/>
                <w:lang w:val="en-US" w:eastAsia="zh-CN" w:bidi="ar-SA"/>
              </w:rPr>
              <w:t>有明显标识的销售专柜及其配套的安全保障设施、设备；</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（2）</w:t>
            </w:r>
            <w:r>
              <w:rPr>
                <w:rFonts w:hint="default" w:ascii="Times New Roman" w:hAnsi="Times New Roman" w:eastAsia="宋体" w:cs="Times New Roman"/>
                <w:kern w:val="0"/>
                <w:sz w:val="21"/>
                <w:szCs w:val="20"/>
                <w:vertAlign w:val="baseline"/>
                <w:lang w:val="en-US" w:eastAsia="zh-CN" w:bidi="ar-SA"/>
              </w:rPr>
              <w:t>符合省级农业部门制定的限制使用农药的定点经营布局。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default"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14</w:t>
            </w:r>
          </w:p>
        </w:tc>
        <w:tc>
          <w:tcPr>
            <w:tcW w:w="153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体育行业</w:t>
            </w:r>
          </w:p>
        </w:tc>
        <w:tc>
          <w:tcPr>
            <w:tcW w:w="720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设置公共体育运动健身场所应遵守下列规定：禁止在居民住宅楼内改建。</w:t>
            </w:r>
          </w:p>
        </w:tc>
      </w:tr>
    </w:tbl>
    <w:p>
      <w:pPr>
        <w:rPr>
          <w:rFonts w:hint="default" w:ascii="宋体" w:hAnsi="Times New Roman" w:eastAsia="宋体" w:cs="Times New Roman"/>
          <w:b/>
          <w:bCs/>
          <w:kern w:val="0"/>
          <w:sz w:val="21"/>
          <w:szCs w:val="20"/>
          <w:vertAlign w:val="baseline"/>
          <w:lang w:val="en-US" w:eastAsia="zh-CN" w:bidi="ar-SA"/>
        </w:rPr>
      </w:pPr>
      <w:r>
        <w:rPr>
          <w:rFonts w:hint="default" w:ascii="宋体" w:hAnsi="Times New Roman" w:eastAsia="宋体" w:cs="Times New Roman"/>
          <w:b/>
          <w:bCs/>
          <w:kern w:val="0"/>
          <w:sz w:val="21"/>
          <w:szCs w:val="20"/>
          <w:vertAlign w:val="baseline"/>
          <w:lang w:val="en-US" w:eastAsia="zh-CN" w:bidi="ar-SA"/>
        </w:rPr>
        <w:br w:type="page"/>
      </w:r>
    </w:p>
    <w:p>
      <w:pPr>
        <w:pStyle w:val="77"/>
        <w:spacing w:before="78" w:after="156"/>
        <w:rPr>
          <w:rFonts w:hint="eastAsia" w:ascii="宋体" w:hAnsi="Times New Roman" w:eastAsia="宋体" w:cs="Times New Roman"/>
          <w:b/>
          <w:bCs/>
          <w:kern w:val="0"/>
          <w:sz w:val="21"/>
          <w:szCs w:val="20"/>
          <w:vertAlign w:val="baseline"/>
          <w:lang w:val="en-US" w:eastAsia="zh-CN" w:bidi="ar-SA"/>
        </w:rPr>
      </w:pPr>
      <w:bookmarkStart w:id="75" w:name="_Toc10929"/>
      <w:r>
        <w:rPr>
          <w:rFonts w:hint="eastAsia" w:ascii="宋体" w:hAnsi="Times New Roman" w:eastAsia="宋体" w:cs="Times New Roman"/>
          <w:b/>
          <w:bCs/>
          <w:kern w:val="0"/>
          <w:sz w:val="21"/>
          <w:szCs w:val="20"/>
          <w:vertAlign w:val="baseline"/>
          <w:lang w:val="en-US" w:eastAsia="zh-CN" w:bidi="ar-SA"/>
        </w:rPr>
        <w:br w:type="textWrapping"/>
      </w:r>
      <w:r>
        <w:rPr>
          <w:rFonts w:hint="eastAsia" w:ascii="宋体" w:hAnsi="Times New Roman" w:eastAsia="宋体" w:cs="Times New Roman"/>
          <w:b/>
          <w:bCs/>
          <w:kern w:val="0"/>
          <w:sz w:val="21"/>
          <w:szCs w:val="20"/>
          <w:vertAlign w:val="baseline"/>
          <w:lang w:val="en-US" w:eastAsia="zh-CN" w:bidi="ar-SA"/>
        </w:rPr>
        <w:t>（资料性）</w:t>
      </w:r>
    </w:p>
    <w:p>
      <w:pPr>
        <w:pStyle w:val="77"/>
        <w:numPr>
          <w:ilvl w:val="0"/>
          <w:numId w:val="0"/>
        </w:numPr>
        <w:spacing w:before="78" w:after="156"/>
        <w:ind w:leftChars="0"/>
        <w:jc w:val="center"/>
        <w:rPr>
          <w:rFonts w:hint="eastAsia" w:ascii="宋体" w:hAnsi="Times New Roman" w:eastAsia="宋体" w:cs="Times New Roman"/>
          <w:b/>
          <w:bCs/>
          <w:sz w:val="21"/>
          <w:vertAlign w:val="baseline"/>
          <w:lang w:val="en-US" w:eastAsia="zh-CN" w:bidi="ar-SA"/>
        </w:rPr>
      </w:pPr>
      <w:r>
        <w:rPr>
          <w:rFonts w:hint="eastAsia" w:ascii="宋体" w:hAnsi="Times New Roman" w:eastAsia="宋体" w:cs="Times New Roman"/>
          <w:b/>
          <w:bCs/>
          <w:sz w:val="21"/>
          <w:vertAlign w:val="baseline"/>
          <w:lang w:val="en-US" w:eastAsia="zh-CN" w:bidi="ar-SA"/>
        </w:rPr>
        <w:t>经营性居民自建房人数限定标准</w:t>
      </w:r>
      <w:bookmarkEnd w:id="75"/>
    </w:p>
    <w:tbl>
      <w:tblPr>
        <w:tblStyle w:val="34"/>
        <w:tblW w:w="9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1"/>
        <w:gridCol w:w="5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1" w:type="dxa"/>
            <w:vAlign w:val="center"/>
          </w:tcPr>
          <w:p>
            <w:pPr>
              <w:pStyle w:val="57"/>
              <w:ind w:left="0" w:leftChars="0" w:firstLine="0" w:firstLineChars="0"/>
              <w:jc w:val="center"/>
              <w:rPr>
                <w:rFonts w:hint="eastAsia" w:eastAsia="宋体"/>
                <w:b/>
                <w:bCs/>
                <w:vertAlign w:val="baseline"/>
                <w:lang w:val="en-US" w:eastAsia="zh-CN"/>
              </w:rPr>
            </w:pPr>
            <w:r>
              <w:rPr>
                <w:rFonts w:hint="eastAsia"/>
                <w:b/>
                <w:bCs/>
                <w:vertAlign w:val="baseline"/>
                <w:lang w:val="en-US" w:eastAsia="zh-CN"/>
              </w:rPr>
              <w:t>序号</w:t>
            </w:r>
          </w:p>
        </w:tc>
        <w:tc>
          <w:tcPr>
            <w:tcW w:w="2411" w:type="dxa"/>
            <w:vAlign w:val="center"/>
          </w:tcPr>
          <w:p>
            <w:pPr>
              <w:pStyle w:val="57"/>
              <w:ind w:left="0" w:leftChars="0" w:firstLine="0" w:firstLineChars="0"/>
              <w:jc w:val="center"/>
              <w:rPr>
                <w:rFonts w:hint="default" w:eastAsia="宋体"/>
                <w:b/>
                <w:bCs/>
                <w:vertAlign w:val="baseline"/>
                <w:lang w:val="en-US" w:eastAsia="zh-CN"/>
              </w:rPr>
            </w:pPr>
            <w:r>
              <w:rPr>
                <w:rFonts w:hint="eastAsia"/>
                <w:b/>
                <w:bCs/>
                <w:vertAlign w:val="baseline"/>
                <w:lang w:val="en-US" w:eastAsia="zh-CN"/>
              </w:rPr>
              <w:t>经营项目</w:t>
            </w:r>
          </w:p>
        </w:tc>
        <w:tc>
          <w:tcPr>
            <w:tcW w:w="5849" w:type="dxa"/>
            <w:vAlign w:val="center"/>
          </w:tcPr>
          <w:p>
            <w:pPr>
              <w:pStyle w:val="57"/>
              <w:ind w:left="0" w:leftChars="0" w:firstLine="0" w:firstLineChars="0"/>
              <w:jc w:val="center"/>
              <w:rPr>
                <w:rFonts w:hint="eastAsia" w:eastAsia="宋体"/>
                <w:b/>
                <w:bCs/>
                <w:vertAlign w:val="baseline"/>
                <w:lang w:val="en-US" w:eastAsia="zh-CN"/>
              </w:rPr>
            </w:pPr>
            <w:r>
              <w:rPr>
                <w:rFonts w:hint="eastAsia" w:eastAsia="宋体"/>
                <w:b/>
                <w:bCs/>
                <w:vertAlign w:val="baseline"/>
                <w:lang w:val="en-US" w:eastAsia="zh-CN"/>
              </w:rPr>
              <w:t>人数控制规定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1</w:t>
            </w:r>
          </w:p>
        </w:tc>
        <w:tc>
          <w:tcPr>
            <w:tcW w:w="2411" w:type="dxa"/>
            <w:vAlign w:val="center"/>
          </w:tcPr>
          <w:p>
            <w:pPr>
              <w:pStyle w:val="57"/>
              <w:ind w:left="0" w:leftChars="0" w:firstLine="0" w:firstLineChars="0"/>
              <w:jc w:val="center"/>
              <w:rPr>
                <w:vertAlign w:val="baseline"/>
              </w:rPr>
            </w:pPr>
            <w:r>
              <w:rPr>
                <w:rFonts w:hint="eastAsia"/>
                <w:vertAlign w:val="baseline"/>
              </w:rPr>
              <w:t>餐饮服务</w:t>
            </w:r>
          </w:p>
        </w:tc>
        <w:tc>
          <w:tcPr>
            <w:tcW w:w="5849" w:type="dxa"/>
            <w:vAlign w:val="center"/>
          </w:tcPr>
          <w:p>
            <w:pPr>
              <w:pStyle w:val="57"/>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vertAlign w:val="baseline"/>
              </w:rPr>
              <w:t>饮食建筑中用餐区域的疏散人数宜按每个座位占用面积计算确定：餐馆1.3m²/座，快餐店1.0m²/座，饮品店1.5m²/座。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2</w:t>
            </w:r>
          </w:p>
        </w:tc>
        <w:tc>
          <w:tcPr>
            <w:tcW w:w="2411" w:type="dxa"/>
            <w:vMerge w:val="restart"/>
            <w:vAlign w:val="center"/>
          </w:tcPr>
          <w:p>
            <w:pPr>
              <w:pStyle w:val="57"/>
              <w:ind w:left="0" w:leftChars="0" w:firstLine="0" w:firstLineChars="0"/>
              <w:jc w:val="center"/>
              <w:rPr>
                <w:vertAlign w:val="baseline"/>
              </w:rPr>
            </w:pPr>
            <w:r>
              <w:rPr>
                <w:rFonts w:hint="eastAsia"/>
                <w:vertAlign w:val="baseline"/>
              </w:rPr>
              <w:t>娱乐服务</w:t>
            </w: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歌舞娱乐放映游艺场所中录像厅的疏散人数，应根据厅、室的建筑面积按不小于1.0人/</w:t>
            </w:r>
            <w:r>
              <w:rPr>
                <w:rFonts w:hint="default" w:ascii="Times New Roman" w:hAnsi="Times New Roman" w:cs="Times New Roman"/>
                <w:vertAlign w:val="baseline"/>
              </w:rPr>
              <w:t>m²</w:t>
            </w:r>
            <w:r>
              <w:rPr>
                <w:rFonts w:hint="default" w:ascii="Times New Roman" w:hAnsi="Times New Roman" w:eastAsia="宋体" w:cs="Times New Roman"/>
                <w:kern w:val="0"/>
                <w:sz w:val="21"/>
                <w:szCs w:val="20"/>
                <w:vertAlign w:val="baseline"/>
                <w:lang w:val="en-US" w:eastAsia="zh-CN" w:bidi="ar-SA"/>
              </w:rPr>
              <w:t>计算，其他歌舞娱乐放映游艺场所的疏散人数，应根据厅、室的建筑面积按不小于0.5人/</w:t>
            </w:r>
            <w:r>
              <w:rPr>
                <w:rFonts w:hint="default" w:ascii="Times New Roman" w:hAnsi="Times New Roman" w:cs="Times New Roman"/>
                <w:vertAlign w:val="baseline"/>
              </w:rPr>
              <w:t>m²</w:t>
            </w:r>
            <w:r>
              <w:rPr>
                <w:rFonts w:hint="default" w:ascii="Times New Roman" w:hAnsi="Times New Roman" w:eastAsia="宋体" w:cs="Times New Roman"/>
                <w:kern w:val="0"/>
                <w:sz w:val="21"/>
                <w:szCs w:val="20"/>
                <w:vertAlign w:val="baseline"/>
                <w:lang w:val="en-US" w:eastAsia="zh-CN" w:bidi="ar-SA"/>
              </w:rPr>
              <w:t>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pStyle w:val="57"/>
              <w:ind w:left="0" w:leftChars="0" w:firstLine="0" w:firstLineChars="0"/>
              <w:jc w:val="center"/>
              <w:rPr>
                <w:rFonts w:hint="eastAsia"/>
                <w:vertAlign w:val="baseline"/>
                <w:lang w:val="en-US" w:eastAsia="zh-CN"/>
              </w:rPr>
            </w:pPr>
          </w:p>
        </w:tc>
        <w:tc>
          <w:tcPr>
            <w:tcW w:w="2411" w:type="dxa"/>
            <w:vMerge w:val="continue"/>
            <w:vAlign w:val="center"/>
          </w:tcPr>
          <w:p>
            <w:pPr>
              <w:pStyle w:val="57"/>
              <w:ind w:left="0" w:leftChars="0" w:firstLine="0" w:firstLineChars="0"/>
              <w:jc w:val="center"/>
              <w:rPr>
                <w:rFonts w:hint="eastAsia"/>
                <w:vertAlign w:val="baseline"/>
              </w:rPr>
            </w:pP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新设立的歌舞娱乐场所营业面积不得少于200平方米，设包厢、包间的，每个包厢、包间营业面积不得少于8平方米。单个消费者人均占有营业面积不得低于1.5平方米。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3</w:t>
            </w:r>
          </w:p>
        </w:tc>
        <w:tc>
          <w:tcPr>
            <w:tcW w:w="2411" w:type="dxa"/>
            <w:vAlign w:val="center"/>
          </w:tcPr>
          <w:p>
            <w:pPr>
              <w:pStyle w:val="57"/>
              <w:ind w:left="0" w:leftChars="0" w:firstLine="0" w:firstLineChars="0"/>
              <w:jc w:val="center"/>
              <w:rPr>
                <w:vertAlign w:val="baseline"/>
              </w:rPr>
            </w:pPr>
            <w:r>
              <w:rPr>
                <w:rFonts w:hint="eastAsia"/>
                <w:vertAlign w:val="baseline"/>
              </w:rPr>
              <w:t>互联网上网服务</w:t>
            </w:r>
          </w:p>
        </w:tc>
        <w:tc>
          <w:tcPr>
            <w:tcW w:w="5849" w:type="dxa"/>
            <w:vAlign w:val="center"/>
          </w:tcPr>
          <w:p>
            <w:pPr>
              <w:pStyle w:val="57"/>
              <w:keepNext w:val="0"/>
              <w:keepLines w:val="0"/>
              <w:pageBreakBefore w:val="0"/>
              <w:kinsoku/>
              <w:wordWrap/>
              <w:overflowPunct/>
              <w:topLinePunct w:val="0"/>
              <w:bidi w:val="0"/>
              <w:snapToGrid/>
              <w:spacing w:line="360" w:lineRule="exact"/>
              <w:ind w:left="0" w:leftChars="0" w:firstLine="0" w:firstLineChars="0"/>
              <w:jc w:val="both"/>
              <w:textAlignment w:val="auto"/>
              <w:rPr>
                <w:rFonts w:hint="default" w:ascii="Times New Roman" w:hAnsi="Times New Roman" w:cs="Times New Roman"/>
                <w:vertAlign w:val="baseline"/>
              </w:rPr>
            </w:pPr>
            <w:r>
              <w:rPr>
                <w:rFonts w:hint="default" w:ascii="Times New Roman" w:hAnsi="Times New Roman" w:cs="Times New Roman"/>
                <w:vertAlign w:val="baseline"/>
              </w:rPr>
              <w:t>场所最低营业面积不低于20平方米，计算机单机面积不低于2平方米。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4</w:t>
            </w:r>
          </w:p>
        </w:tc>
        <w:tc>
          <w:tcPr>
            <w:tcW w:w="2411" w:type="dxa"/>
            <w:vAlign w:val="center"/>
          </w:tcPr>
          <w:p>
            <w:pPr>
              <w:pStyle w:val="57"/>
              <w:ind w:left="0" w:leftChars="0" w:firstLine="0" w:firstLineChars="0"/>
              <w:jc w:val="center"/>
              <w:rPr>
                <w:rFonts w:hint="eastAsia"/>
                <w:vertAlign w:val="baseline"/>
              </w:rPr>
            </w:pPr>
            <w:r>
              <w:rPr>
                <w:rFonts w:hint="eastAsia"/>
                <w:vertAlign w:val="baseline"/>
              </w:rPr>
              <w:t>商店</w:t>
            </w:r>
          </w:p>
        </w:tc>
        <w:tc>
          <w:tcPr>
            <w:tcW w:w="5849"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商店的疏散人数应按每层营业厅 的建筑面积乘以人员密度计算，地下第二层、地下第一层、地上第一层和第二层、地上第三层、地上第四层及以上各层的商店营业厅内的人员密度分别为0.56人/m²、0.60人/m²、0.43～0.60人/m²、0.39~0.54人/m²、0.30～0.42人/m²。对于建材商店、家具和灯饰展示建筑，其人员密度可按上述值的30%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5</w:t>
            </w:r>
          </w:p>
        </w:tc>
        <w:tc>
          <w:tcPr>
            <w:tcW w:w="2411" w:type="dxa"/>
            <w:vMerge w:val="restart"/>
            <w:vAlign w:val="center"/>
          </w:tcPr>
          <w:p>
            <w:pPr>
              <w:pStyle w:val="57"/>
              <w:ind w:left="0" w:leftChars="0" w:firstLine="0" w:firstLineChars="0"/>
              <w:jc w:val="center"/>
              <w:rPr>
                <w:rFonts w:hint="eastAsia"/>
                <w:vertAlign w:val="baseline"/>
              </w:rPr>
            </w:pPr>
            <w:r>
              <w:rPr>
                <w:rFonts w:hint="eastAsia"/>
                <w:vertAlign w:val="baseline"/>
              </w:rPr>
              <w:t>校外培训</w:t>
            </w: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校外培训机构必须有符合安全条件的固定场所，同一培训时段内生均面积不低于3平方米，确保不拥挤、易疏散。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pStyle w:val="57"/>
              <w:ind w:left="0" w:leftChars="0" w:firstLine="0" w:firstLineChars="0"/>
              <w:jc w:val="center"/>
              <w:rPr>
                <w:rFonts w:hint="eastAsia"/>
                <w:vertAlign w:val="baseline"/>
                <w:lang w:val="en-US" w:eastAsia="zh-CN"/>
              </w:rPr>
            </w:pPr>
          </w:p>
        </w:tc>
        <w:tc>
          <w:tcPr>
            <w:tcW w:w="2411" w:type="dxa"/>
            <w:vMerge w:val="continue"/>
            <w:vAlign w:val="center"/>
          </w:tcPr>
          <w:p>
            <w:pPr>
              <w:pStyle w:val="57"/>
              <w:ind w:left="0" w:leftChars="0" w:firstLine="0" w:firstLineChars="0"/>
              <w:jc w:val="center"/>
              <w:rPr>
                <w:rFonts w:hint="eastAsia"/>
                <w:vertAlign w:val="baseline"/>
              </w:rPr>
            </w:pP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校外培训机构集体宿舍每室居住人数最多不得超过6人，人均使用面积不应小于5平方米。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pStyle w:val="57"/>
              <w:ind w:left="0" w:leftChars="0" w:firstLine="0" w:firstLineChars="0"/>
              <w:jc w:val="center"/>
              <w:rPr>
                <w:rFonts w:hint="eastAsia"/>
                <w:vertAlign w:val="baseline"/>
                <w:lang w:val="en-US" w:eastAsia="zh-CN"/>
              </w:rPr>
            </w:pPr>
          </w:p>
        </w:tc>
        <w:tc>
          <w:tcPr>
            <w:tcW w:w="2411" w:type="dxa"/>
            <w:vMerge w:val="continue"/>
            <w:vAlign w:val="center"/>
          </w:tcPr>
          <w:p>
            <w:pPr>
              <w:pStyle w:val="57"/>
              <w:ind w:left="0" w:leftChars="0" w:firstLine="0" w:firstLineChars="0"/>
              <w:jc w:val="center"/>
              <w:rPr>
                <w:rFonts w:hint="eastAsia"/>
                <w:vertAlign w:val="baseline"/>
              </w:rPr>
            </w:pP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若开办体育、舞蹈、科技等非学科类培训项目的，应按相关规定提高生均面积标准。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6</w:t>
            </w:r>
          </w:p>
        </w:tc>
        <w:tc>
          <w:tcPr>
            <w:tcW w:w="2411" w:type="dxa"/>
            <w:vAlign w:val="center"/>
          </w:tcPr>
          <w:p>
            <w:pPr>
              <w:pStyle w:val="57"/>
              <w:ind w:left="0" w:leftChars="0" w:firstLine="0" w:firstLineChars="0"/>
              <w:jc w:val="center"/>
              <w:rPr>
                <w:rFonts w:hint="eastAsia"/>
                <w:vertAlign w:val="baseline"/>
              </w:rPr>
            </w:pPr>
            <w:r>
              <w:rPr>
                <w:rFonts w:hint="eastAsia"/>
                <w:vertAlign w:val="baseline"/>
              </w:rPr>
              <w:t>托育服务</w:t>
            </w:r>
          </w:p>
        </w:tc>
        <w:tc>
          <w:tcPr>
            <w:tcW w:w="5849"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托育机构一般设置乳儿班（6-12个月，10人以下）、托小班（12-24个月，15人以下）、托大班（24-36个月，20人以下）三种班型。18个月以上的婴幼儿可混合编班，每个班不超过18人。每个班的生活单元应当独立使用。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vAlign w:val="center"/>
          </w:tcPr>
          <w:p>
            <w:pPr>
              <w:pStyle w:val="57"/>
              <w:ind w:left="0" w:leftChars="0" w:firstLine="0" w:firstLineChars="0"/>
              <w:jc w:val="center"/>
              <w:rPr>
                <w:rFonts w:hint="eastAsia" w:eastAsia="宋体"/>
                <w:vertAlign w:val="baseline"/>
                <w:lang w:eastAsia="zh-CN"/>
              </w:rPr>
            </w:pPr>
            <w:r>
              <w:rPr>
                <w:rFonts w:hint="eastAsia"/>
                <w:vertAlign w:val="baseline"/>
                <w:lang w:val="en-US" w:eastAsia="zh-CN"/>
              </w:rPr>
              <w:t>7</w:t>
            </w:r>
          </w:p>
        </w:tc>
        <w:tc>
          <w:tcPr>
            <w:tcW w:w="2411" w:type="dxa"/>
            <w:vMerge w:val="restart"/>
            <w:vAlign w:val="center"/>
          </w:tcPr>
          <w:p>
            <w:pPr>
              <w:pStyle w:val="57"/>
              <w:ind w:left="0" w:leftChars="0" w:firstLine="0" w:firstLineChars="0"/>
              <w:jc w:val="center"/>
              <w:rPr>
                <w:rFonts w:hint="eastAsia"/>
                <w:vertAlign w:val="baseline"/>
              </w:rPr>
            </w:pPr>
            <w:r>
              <w:rPr>
                <w:rFonts w:hint="eastAsia"/>
                <w:vertAlign w:val="baseline"/>
              </w:rPr>
              <w:t>养老服务</w:t>
            </w: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当老年人照料设施中的老年人公共活动用房、康复与医疗用房设置在地下、半地下时，应设置在地下一层，每间用房的建筑面积不应大于200m²且使用人数不应大于30人。</w:t>
            </w:r>
          </w:p>
          <w:p>
            <w:pPr>
              <w:keepNext w:val="0"/>
              <w:keepLines w:val="0"/>
              <w:pageBreakBefore w:val="0"/>
              <w:kinsoku/>
              <w:wordWrap/>
              <w:overflowPunct/>
              <w:topLinePunct w:val="0"/>
              <w:bidi w:val="0"/>
              <w:snapToGrid/>
              <w:spacing w:line="360" w:lineRule="exact"/>
              <w:ind w:left="0" w:leftChars="0"/>
              <w:jc w:val="both"/>
              <w:textAlignment w:val="auto"/>
              <w:rPr>
                <w:rFonts w:hint="default"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老年人照料设施中的老年人公共活动用房、康复与医疗用房设置在地上四层及以上时</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每间用房的建筑面积不应大于200m²且使用人数不应大于30人。</w:t>
            </w:r>
          </w:p>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本规范条文中的</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老年人照料设施</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是指现行行业标准《老年人照料设施建筑设计标准》JGJ450</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2018中床位总数</w:t>
            </w:r>
            <w:r>
              <w:rPr>
                <w:rFonts w:hint="eastAsia" w:ascii="Times New Roman" w:hAnsi="Times New Roman" w:cs="Times New Roman"/>
                <w:kern w:val="0"/>
                <w:sz w:val="21"/>
                <w:szCs w:val="20"/>
                <w:vertAlign w:val="baseline"/>
                <w:lang w:val="en-US" w:eastAsia="zh-CN" w:bidi="ar-SA"/>
              </w:rPr>
              <w:t>（可容纳老年人总数）</w:t>
            </w:r>
            <w:r>
              <w:rPr>
                <w:rFonts w:hint="default" w:ascii="Times New Roman" w:hAnsi="Times New Roman" w:eastAsia="宋体" w:cs="Times New Roman"/>
                <w:kern w:val="0"/>
                <w:sz w:val="21"/>
                <w:szCs w:val="20"/>
                <w:vertAlign w:val="baseline"/>
                <w:lang w:val="en-US" w:eastAsia="zh-CN" w:bidi="ar-SA"/>
              </w:rPr>
              <w:t>大于或等于20床</w:t>
            </w:r>
            <w:r>
              <w:rPr>
                <w:rFonts w:hint="eastAsia" w:ascii="Times New Roman" w:hAnsi="Times New Roman" w:cs="Times New Roman"/>
                <w:kern w:val="0"/>
                <w:sz w:val="21"/>
                <w:szCs w:val="20"/>
                <w:vertAlign w:val="baseline"/>
                <w:lang w:val="en-US" w:eastAsia="zh-CN" w:bidi="ar-SA"/>
              </w:rPr>
              <w:t>（人），</w:t>
            </w:r>
            <w:r>
              <w:rPr>
                <w:rFonts w:hint="default" w:ascii="Times New Roman" w:hAnsi="Times New Roman" w:eastAsia="宋体" w:cs="Times New Roman"/>
                <w:kern w:val="0"/>
                <w:sz w:val="21"/>
                <w:szCs w:val="20"/>
                <w:vertAlign w:val="baseline"/>
                <w:lang w:val="en-US" w:eastAsia="zh-CN" w:bidi="ar-SA"/>
              </w:rPr>
              <w:t>为老年人提供集中照料服务的公共建筑，包括老年人全日照料设施和老年人日间照料设施。其他专供老年人使用的、非集中照料的设施或场所，如老年大学、老年活动中心等不属于老年人照料设施。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vAlign w:val="center"/>
          </w:tcPr>
          <w:p>
            <w:pPr>
              <w:pStyle w:val="57"/>
              <w:ind w:left="0" w:leftChars="0" w:firstLine="0" w:firstLineChars="0"/>
              <w:jc w:val="center"/>
              <w:rPr>
                <w:rFonts w:hint="eastAsia"/>
                <w:vertAlign w:val="baseline"/>
                <w:lang w:val="en-US" w:eastAsia="zh-CN"/>
              </w:rPr>
            </w:pPr>
            <w:bookmarkStart w:id="76" w:name="_Toc530475148"/>
            <w:bookmarkStart w:id="77" w:name="_Toc532820462"/>
            <w:bookmarkStart w:id="78" w:name="_Toc532820497"/>
            <w:bookmarkStart w:id="79" w:name="BKCKWX"/>
            <w:bookmarkStart w:id="80" w:name="_Toc533435881"/>
            <w:bookmarkStart w:id="81" w:name="_Toc28375"/>
          </w:p>
        </w:tc>
        <w:tc>
          <w:tcPr>
            <w:tcW w:w="2411" w:type="dxa"/>
            <w:vMerge w:val="continue"/>
            <w:vAlign w:val="center"/>
          </w:tcPr>
          <w:p>
            <w:pPr>
              <w:pStyle w:val="57"/>
              <w:ind w:left="0" w:leftChars="0" w:firstLine="0" w:firstLineChars="0"/>
              <w:jc w:val="center"/>
              <w:rPr>
                <w:rFonts w:hint="eastAsia"/>
                <w:vertAlign w:val="baseline"/>
              </w:rPr>
            </w:pPr>
          </w:p>
        </w:tc>
        <w:tc>
          <w:tcPr>
            <w:tcW w:w="5849" w:type="dxa"/>
            <w:vAlign w:val="top"/>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default" w:ascii="Times New Roman" w:hAnsi="Times New Roman" w:eastAsia="宋体" w:cs="Times New Roman"/>
                <w:kern w:val="0"/>
                <w:sz w:val="21"/>
                <w:szCs w:val="20"/>
                <w:vertAlign w:val="baseline"/>
                <w:lang w:val="en-US" w:eastAsia="zh-CN" w:bidi="ar-SA"/>
              </w:rPr>
              <w:t>养老机构建筑中老年人生活区域的疏散人数，应根据生活用房单人间居室使用面积不应小于10.00m²</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床，双人间居室使用面积不应小于16.00m²/床，多人间居室应按使用面积不应小于6.00m²/床的面积计算；护理型床位的多人间居室，床位数不应大于6床，非护理型床位的多人间居室，床位数不应大于4床；床均建筑面积大于25m²</w:t>
            </w:r>
            <w:r>
              <w:rPr>
                <w:rFonts w:hint="eastAsia" w:ascii="Times New Roman" w:hAnsi="Times New Roman" w:cs="Times New Roman"/>
                <w:kern w:val="0"/>
                <w:sz w:val="21"/>
                <w:szCs w:val="20"/>
                <w:vertAlign w:val="baseline"/>
                <w:lang w:val="en-US" w:eastAsia="zh-CN" w:bidi="ar-SA"/>
              </w:rPr>
              <w:t>；</w:t>
            </w:r>
            <w:r>
              <w:rPr>
                <w:rFonts w:hint="default" w:ascii="Times New Roman" w:hAnsi="Times New Roman" w:eastAsia="宋体" w:cs="Times New Roman"/>
                <w:kern w:val="0"/>
                <w:sz w:val="21"/>
                <w:szCs w:val="20"/>
                <w:vertAlign w:val="baseline"/>
                <w:lang w:val="en-US" w:eastAsia="zh-CN" w:bidi="ar-SA"/>
              </w:rPr>
              <w:t>老年人照料设施的老年人居室和老年人休息室不应设置在地下室和半地下室。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default"/>
                <w:vertAlign w:val="baseline"/>
                <w:lang w:val="en-US" w:eastAsia="zh-CN"/>
              </w:rPr>
            </w:pPr>
            <w:r>
              <w:rPr>
                <w:rFonts w:hint="eastAsia"/>
                <w:vertAlign w:val="baseline"/>
                <w:lang w:val="en-US" w:eastAsia="zh-CN"/>
              </w:rPr>
              <w:t>8</w:t>
            </w:r>
          </w:p>
        </w:tc>
        <w:tc>
          <w:tcPr>
            <w:tcW w:w="2411" w:type="dxa"/>
            <w:vAlign w:val="center"/>
          </w:tcPr>
          <w:p>
            <w:pPr>
              <w:pStyle w:val="57"/>
              <w:ind w:left="0" w:leftChars="0" w:firstLine="0" w:firstLineChars="0"/>
              <w:jc w:val="center"/>
              <w:rPr>
                <w:rFonts w:hint="eastAsia"/>
                <w:vertAlign w:val="baseline"/>
              </w:rPr>
            </w:pPr>
            <w:r>
              <w:rPr>
                <w:rFonts w:hint="eastAsia"/>
                <w:vertAlign w:val="baseline"/>
              </w:rPr>
              <w:t>智力、精神和重度肢体残疾人托养机构</w:t>
            </w:r>
          </w:p>
        </w:tc>
        <w:tc>
          <w:tcPr>
            <w:tcW w:w="5849" w:type="dxa"/>
            <w:vAlign w:val="center"/>
          </w:tcPr>
          <w:p>
            <w:pPr>
              <w:pStyle w:val="57"/>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eastAsia="宋体"/>
                <w:vertAlign w:val="baseline"/>
                <w:lang w:eastAsia="zh-CN"/>
              </w:rPr>
            </w:pPr>
            <w:r>
              <w:rPr>
                <w:rFonts w:hint="eastAsia"/>
                <w:vertAlign w:val="baseline"/>
              </w:rPr>
              <w:t>有固定的服务场所，服务对象人均房屋使用面积不少于8平米</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pStyle w:val="57"/>
              <w:ind w:left="0" w:leftChars="0" w:firstLine="0" w:firstLineChars="0"/>
              <w:jc w:val="center"/>
              <w:rPr>
                <w:rFonts w:hint="default"/>
                <w:vertAlign w:val="baseline"/>
                <w:lang w:val="en-US" w:eastAsia="zh-CN"/>
              </w:rPr>
            </w:pPr>
            <w:r>
              <w:rPr>
                <w:rFonts w:hint="eastAsia"/>
                <w:vertAlign w:val="baseline"/>
                <w:lang w:val="en-US" w:eastAsia="zh-CN"/>
              </w:rPr>
              <w:t>9</w:t>
            </w:r>
          </w:p>
        </w:tc>
        <w:tc>
          <w:tcPr>
            <w:tcW w:w="2411" w:type="dxa"/>
            <w:vAlign w:val="center"/>
          </w:tcPr>
          <w:p>
            <w:pPr>
              <w:pStyle w:val="57"/>
              <w:ind w:left="0" w:leftChars="0" w:firstLine="0" w:firstLineChars="0"/>
              <w:jc w:val="center"/>
              <w:rPr>
                <w:rFonts w:hint="eastAsia"/>
                <w:vertAlign w:val="baseline"/>
              </w:rPr>
            </w:pPr>
            <w:r>
              <w:rPr>
                <w:rFonts w:hint="eastAsia"/>
                <w:vertAlign w:val="baseline"/>
              </w:rPr>
              <w:t>儿童福利院</w:t>
            </w:r>
          </w:p>
        </w:tc>
        <w:tc>
          <w:tcPr>
            <w:tcW w:w="5849" w:type="dxa"/>
            <w:vAlign w:val="center"/>
          </w:tcPr>
          <w:p>
            <w:pPr>
              <w:pStyle w:val="57"/>
              <w:keepNext w:val="0"/>
              <w:keepLines w:val="0"/>
              <w:pageBreakBefore w:val="0"/>
              <w:kinsoku/>
              <w:wordWrap/>
              <w:overflowPunct/>
              <w:topLinePunct w:val="0"/>
              <w:bidi w:val="0"/>
              <w:snapToGrid/>
              <w:spacing w:line="360" w:lineRule="exact"/>
              <w:ind w:left="0" w:leftChars="0" w:firstLine="0" w:firstLineChars="0"/>
              <w:jc w:val="both"/>
              <w:textAlignment w:val="auto"/>
              <w:rPr>
                <w:rFonts w:hint="eastAsia" w:eastAsia="宋体"/>
                <w:vertAlign w:val="baseline"/>
                <w:lang w:eastAsia="zh-CN"/>
              </w:rPr>
            </w:pPr>
            <w:r>
              <w:rPr>
                <w:rFonts w:hint="eastAsia"/>
                <w:vertAlign w:val="baseline"/>
              </w:rPr>
              <w:t>控制入住儿童数=总建筑面积×70</w:t>
            </w:r>
            <w:r>
              <w:rPr>
                <w:rFonts w:hint="eastAsia"/>
                <w:vertAlign w:val="baseline"/>
                <w:lang w:val="en-US" w:eastAsia="zh-CN"/>
              </w:rPr>
              <w:t>%</w:t>
            </w:r>
            <w:r>
              <w:rPr>
                <w:rFonts w:hint="eastAsia"/>
                <w:vertAlign w:val="baseline"/>
              </w:rPr>
              <w:t>÷35</w:t>
            </w:r>
            <w:r>
              <w:rPr>
                <w:rFonts w:hint="default" w:ascii="Times New Roman" w:hAnsi="Times New Roman" w:eastAsia="宋体" w:cs="Times New Roman"/>
                <w:kern w:val="0"/>
                <w:sz w:val="21"/>
                <w:szCs w:val="20"/>
                <w:vertAlign w:val="baseline"/>
                <w:lang w:val="en-US" w:eastAsia="zh-CN" w:bidi="ar-SA"/>
              </w:rPr>
              <w:t>m²</w:t>
            </w:r>
            <w:r>
              <w:rPr>
                <w:rFonts w:hint="eastAsia"/>
                <w:vertAlign w:val="baseline"/>
                <w:lang w:eastAsia="zh-CN"/>
              </w:rPr>
              <w:t>。</w:t>
            </w:r>
          </w:p>
        </w:tc>
      </w:tr>
    </w:tbl>
    <w:p>
      <w:pPr>
        <w:pStyle w:val="232"/>
        <w:jc w:val="center"/>
        <w:rPr>
          <w:rFonts w:hint="eastAsia" w:ascii="宋体" w:hAnsi="宋体" w:eastAsia="宋体" w:cs="宋体"/>
          <w:b/>
          <w:bCs/>
          <w:sz w:val="21"/>
          <w:szCs w:val="21"/>
          <w:lang w:val="en-US" w:eastAsia="zh-CN"/>
        </w:rPr>
      </w:pPr>
    </w:p>
    <w:p>
      <w:pPr>
        <w:pStyle w:val="232"/>
        <w:jc w:val="center"/>
        <w:rPr>
          <w:rFonts w:hint="eastAsia" w:ascii="宋体" w:hAnsi="宋体" w:eastAsia="宋体" w:cs="宋体"/>
          <w:b/>
          <w:bCs/>
          <w:sz w:val="21"/>
          <w:szCs w:val="21"/>
          <w:lang w:val="en-US" w:eastAsia="zh-CN"/>
        </w:rPr>
      </w:pPr>
    </w:p>
    <w:p>
      <w:pPr>
        <w:pStyle w:val="232"/>
        <w:jc w:val="center"/>
        <w:rPr>
          <w:rFonts w:hint="eastAsia" w:ascii="宋体" w:hAnsi="宋体" w:eastAsia="宋体" w:cs="宋体"/>
          <w:b/>
          <w:bCs/>
          <w:sz w:val="21"/>
          <w:szCs w:val="21"/>
          <w:lang w:val="en-US" w:eastAsia="zh-CN"/>
        </w:rPr>
      </w:pPr>
    </w:p>
    <w:p>
      <w:pPr>
        <w:pStyle w:val="232"/>
        <w:jc w:val="cente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br w:type="page"/>
      </w:r>
    </w:p>
    <w:p>
      <w:pPr>
        <w:pStyle w:val="77"/>
        <w:spacing w:before="78" w:after="156"/>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br w:type="textWrapping"/>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2"/>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防火巡查记录表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 xml:space="preserve">                       </w:t>
      </w:r>
      <w:r>
        <w:rPr>
          <w:rFonts w:hint="eastAsia" w:ascii="宋体" w:hAnsi="Times New Roman" w:cs="Times New Roman"/>
          <w:b/>
          <w:bCs/>
          <w:kern w:val="0"/>
          <w:sz w:val="21"/>
          <w:szCs w:val="20"/>
          <w:vertAlign w:val="baseline"/>
          <w:lang w:val="en-US" w:eastAsia="zh-CN" w:bidi="ar-SA"/>
        </w:rPr>
        <w:t xml:space="preserve">                                              </w:t>
      </w:r>
      <w:r>
        <w:rPr>
          <w:rFonts w:hint="eastAsia" w:ascii="宋体" w:hAnsi="Times New Roman" w:eastAsia="宋体" w:cs="Times New Roman"/>
          <w:b/>
          <w:bCs/>
          <w:kern w:val="0"/>
          <w:sz w:val="21"/>
          <w:szCs w:val="20"/>
          <w:vertAlign w:val="baseline"/>
          <w:lang w:val="en-US" w:eastAsia="zh-CN" w:bidi="ar-SA"/>
        </w:rPr>
        <w:t>日期：      年    月</w:t>
      </w:r>
    </w:p>
    <w:tbl>
      <w:tblPr>
        <w:tblStyle w:val="34"/>
        <w:tblW w:w="10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691"/>
        <w:gridCol w:w="717"/>
        <w:gridCol w:w="895"/>
        <w:gridCol w:w="877"/>
        <w:gridCol w:w="911"/>
        <w:gridCol w:w="850"/>
        <w:gridCol w:w="708"/>
        <w:gridCol w:w="735"/>
        <w:gridCol w:w="690"/>
        <w:gridCol w:w="915"/>
        <w:gridCol w:w="76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2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日期</w:t>
            </w:r>
            <w:r>
              <w:rPr>
                <w:rFonts w:hint="eastAsia" w:ascii="宋体" w:hAnsi="Times New Roman" w:cs="Times New Roman"/>
                <w:b/>
                <w:bCs/>
                <w:color w:val="auto"/>
                <w:kern w:val="0"/>
                <w:sz w:val="21"/>
                <w:szCs w:val="20"/>
                <w:highlight w:val="none"/>
                <w:vertAlign w:val="baseline"/>
                <w:lang w:val="en-US" w:eastAsia="zh-CN" w:bidi="ar-SA"/>
              </w:rPr>
              <w:t>及时间</w:t>
            </w:r>
          </w:p>
        </w:tc>
        <w:tc>
          <w:tcPr>
            <w:tcW w:w="69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疏散</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通道</w:t>
            </w:r>
          </w:p>
        </w:tc>
        <w:tc>
          <w:tcPr>
            <w:tcW w:w="717"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安全</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出口</w:t>
            </w:r>
          </w:p>
        </w:tc>
        <w:tc>
          <w:tcPr>
            <w:tcW w:w="89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防火门</w:t>
            </w:r>
          </w:p>
        </w:tc>
        <w:tc>
          <w:tcPr>
            <w:tcW w:w="877"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灭火器</w:t>
            </w:r>
          </w:p>
        </w:tc>
        <w:tc>
          <w:tcPr>
            <w:tcW w:w="911"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应急照明</w:t>
            </w:r>
            <w:r>
              <w:rPr>
                <w:rFonts w:hint="eastAsia" w:ascii="宋体" w:hAnsi="Times New Roman" w:cs="Times New Roman"/>
                <w:b/>
                <w:bCs/>
                <w:color w:val="auto"/>
                <w:kern w:val="0"/>
                <w:sz w:val="21"/>
                <w:szCs w:val="20"/>
                <w:highlight w:val="none"/>
                <w:vertAlign w:val="baseline"/>
                <w:lang w:val="en-US" w:eastAsia="zh-CN" w:bidi="ar-SA"/>
              </w:rPr>
              <w:t>及</w:t>
            </w:r>
            <w:r>
              <w:rPr>
                <w:rFonts w:hint="eastAsia" w:ascii="宋体" w:hAnsi="Times New Roman" w:eastAsia="宋体" w:cs="Times New Roman"/>
                <w:b/>
                <w:bCs/>
                <w:color w:val="auto"/>
                <w:kern w:val="0"/>
                <w:sz w:val="21"/>
                <w:szCs w:val="20"/>
                <w:highlight w:val="none"/>
                <w:vertAlign w:val="baseline"/>
                <w:lang w:val="en-US" w:eastAsia="zh-CN" w:bidi="ar-SA"/>
              </w:rPr>
              <w:t>疏散指示标志</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cs="Times New Roman"/>
                <w:b/>
                <w:bCs/>
                <w:color w:val="auto"/>
                <w:kern w:val="0"/>
                <w:sz w:val="21"/>
                <w:szCs w:val="20"/>
                <w:highlight w:val="none"/>
                <w:vertAlign w:val="baseline"/>
                <w:lang w:val="en-US" w:eastAsia="zh-CN" w:bidi="ar-SA"/>
              </w:rPr>
              <w:t>其他消防设施</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用火</w:t>
            </w:r>
          </w:p>
        </w:tc>
        <w:tc>
          <w:tcPr>
            <w:tcW w:w="73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用电</w:t>
            </w:r>
          </w:p>
        </w:tc>
        <w:tc>
          <w:tcPr>
            <w:tcW w:w="69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cs="Times New Roman"/>
                <w:b/>
                <w:bCs/>
                <w:color w:val="auto"/>
                <w:kern w:val="0"/>
                <w:sz w:val="21"/>
                <w:szCs w:val="20"/>
                <w:highlight w:val="none"/>
                <w:vertAlign w:val="baseline"/>
                <w:lang w:val="en-US" w:eastAsia="zh-CN" w:bidi="ar-SA"/>
              </w:rPr>
              <w:t>用气</w:t>
            </w:r>
          </w:p>
        </w:tc>
        <w:tc>
          <w:tcPr>
            <w:tcW w:w="91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default" w:ascii="宋体" w:hAnsi="Times New Roman" w:cs="Times New Roman"/>
                <w:b/>
                <w:bCs/>
                <w:color w:val="auto"/>
                <w:kern w:val="0"/>
                <w:sz w:val="21"/>
                <w:szCs w:val="20"/>
                <w:highlight w:val="none"/>
                <w:vertAlign w:val="baseline"/>
                <w:lang w:val="en-US" w:eastAsia="zh-CN" w:bidi="ar-SA"/>
              </w:rPr>
            </w:pPr>
            <w:r>
              <w:rPr>
                <w:rFonts w:hint="eastAsia" w:ascii="宋体" w:hAnsi="Times New Roman" w:cs="Times New Roman"/>
                <w:b/>
                <w:bCs/>
                <w:color w:val="auto"/>
                <w:kern w:val="0"/>
                <w:sz w:val="21"/>
                <w:szCs w:val="20"/>
                <w:highlight w:val="none"/>
                <w:vertAlign w:val="baseline"/>
                <w:lang w:val="en-US" w:eastAsia="zh-CN" w:bidi="ar-SA"/>
              </w:rPr>
              <w:t>重点部位人员在岗情况</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其他</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color w:val="auto"/>
                <w:kern w:val="0"/>
                <w:sz w:val="21"/>
                <w:szCs w:val="20"/>
                <w:highlight w:val="none"/>
                <w:vertAlign w:val="baseline"/>
                <w:lang w:val="en-US" w:eastAsia="zh-CN" w:bidi="ar-SA"/>
              </w:rPr>
            </w:pPr>
            <w:r>
              <w:rPr>
                <w:rFonts w:hint="eastAsia" w:ascii="宋体" w:hAnsi="Times New Roman" w:eastAsia="宋体" w:cs="Times New Roman"/>
                <w:b/>
                <w:bCs/>
                <w:color w:val="auto"/>
                <w:kern w:val="0"/>
                <w:sz w:val="21"/>
                <w:szCs w:val="20"/>
                <w:highlight w:val="none"/>
                <w:vertAlign w:val="baseline"/>
                <w:lang w:val="en-US" w:eastAsia="zh-CN" w:bidi="ar-SA"/>
              </w:rPr>
              <w:t>巡查人签名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92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1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9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77"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1"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8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08"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3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69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91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65"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c>
          <w:tcPr>
            <w:tcW w:w="750" w:type="dxa"/>
            <w:vAlign w:val="center"/>
          </w:tcPr>
          <w:p>
            <w:pPr>
              <w:keepNext w:val="0"/>
              <w:keepLines w:val="0"/>
              <w:pageBreakBefore w:val="0"/>
              <w:kinsoku/>
              <w:wordWrap/>
              <w:overflowPunct/>
              <w:topLinePunct w:val="0"/>
              <w:bidi w:val="0"/>
              <w:snapToGrid/>
              <w:spacing w:line="360" w:lineRule="exact"/>
              <w:ind w:left="0" w:leftChars="0"/>
              <w:jc w:val="center"/>
              <w:textAlignment w:val="auto"/>
              <w:rPr>
                <w:rFonts w:hint="eastAsia" w:ascii="Times New Roman" w:hAnsi="Times New Roman" w:eastAsia="宋体" w:cs="Times New Roman"/>
                <w:kern w:val="0"/>
                <w:sz w:val="21"/>
                <w:szCs w:val="20"/>
                <w:vertAlign w:val="baseline"/>
                <w:lang w:val="en-US" w:eastAsia="zh-CN" w:bidi="ar-SA"/>
              </w:rPr>
            </w:pPr>
          </w:p>
        </w:tc>
      </w:tr>
    </w:tbl>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cs="Times New Roman"/>
          <w:kern w:val="0"/>
          <w:sz w:val="21"/>
          <w:szCs w:val="20"/>
          <w:vertAlign w:val="baseline"/>
          <w:lang w:val="en-US" w:eastAsia="zh-CN" w:bidi="ar-SA"/>
        </w:rPr>
        <w:t>备注：</w:t>
      </w:r>
      <w:r>
        <w:rPr>
          <w:rFonts w:hint="eastAsia" w:ascii="Times New Roman" w:hAnsi="Times New Roman" w:eastAsia="宋体" w:cs="Times New Roman"/>
          <w:kern w:val="0"/>
          <w:sz w:val="21"/>
          <w:szCs w:val="20"/>
          <w:vertAlign w:val="baseline"/>
          <w:lang w:val="en-US" w:eastAsia="zh-CN" w:bidi="ar-SA"/>
        </w:rPr>
        <w:t>进行防火巡查时，未发现问题可直接在表格对应栏上打“√”；发现问题应在表格上对应栏上如实记录相关问题。</w:t>
      </w:r>
    </w:p>
    <w:p>
      <w:pPr>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br w:type="page"/>
      </w:r>
    </w:p>
    <w:p>
      <w:pPr>
        <w:pStyle w:val="77"/>
        <w:spacing w:before="78" w:after="156"/>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br w:type="textWrapping"/>
      </w:r>
      <w:r>
        <w:rPr>
          <w:rFonts w:hint="eastAsia" w:ascii="宋体" w:hAnsi="Times New Roman" w:eastAsia="宋体" w:cs="Times New Roman"/>
          <w:b/>
          <w:bCs/>
          <w:kern w:val="0"/>
          <w:sz w:val="21"/>
          <w:szCs w:val="20"/>
          <w:vertAlign w:val="baseline"/>
          <w:lang w:val="en-US" w:eastAsia="zh-CN" w:bidi="ar-SA"/>
        </w:rPr>
        <w:t>（资料性）</w:t>
      </w:r>
    </w:p>
    <w:p>
      <w:pPr>
        <w:pStyle w:val="77"/>
        <w:numPr>
          <w:ilvl w:val="0"/>
          <w:numId w:val="0"/>
        </w:numPr>
        <w:spacing w:before="78" w:after="156"/>
        <w:ind w:leftChars="0" w:firstLine="4006" w:firstLineChars="1900"/>
        <w:jc w:val="both"/>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防火检查记录</w:t>
      </w:r>
      <w:r>
        <w:rPr>
          <w:rFonts w:hint="eastAsia" w:ascii="宋体" w:hAnsi="Times New Roman" w:cs="Times New Roman"/>
          <w:b/>
          <w:bCs/>
          <w:kern w:val="0"/>
          <w:sz w:val="21"/>
          <w:szCs w:val="20"/>
          <w:vertAlign w:val="baseline"/>
          <w:lang w:val="en-US" w:eastAsia="zh-CN" w:bidi="ar-SA"/>
        </w:rPr>
        <w:t>表</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535" w:firstLineChars="3100"/>
        <w:jc w:val="left"/>
        <w:textAlignment w:val="auto"/>
        <w:outlineLvl w:val="9"/>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日期：      年    月    日</w:t>
      </w:r>
    </w:p>
    <w:tbl>
      <w:tblPr>
        <w:tblStyle w:val="34"/>
        <w:tblW w:w="10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7"/>
        <w:gridCol w:w="3435"/>
        <w:gridCol w:w="3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3557"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检查项目</w:t>
            </w:r>
          </w:p>
        </w:tc>
        <w:tc>
          <w:tcPr>
            <w:tcW w:w="3435"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检查情况</w:t>
            </w:r>
          </w:p>
        </w:tc>
        <w:tc>
          <w:tcPr>
            <w:tcW w:w="3268" w:type="dxa"/>
            <w:vAlign w:val="center"/>
          </w:tcPr>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宋体" w:hAnsi="Times New Roman" w:eastAsia="宋体" w:cs="Times New Roman"/>
                <w:b/>
                <w:bCs/>
                <w:kern w:val="0"/>
                <w:sz w:val="21"/>
                <w:szCs w:val="20"/>
                <w:vertAlign w:val="baseline"/>
                <w:lang w:val="en-US" w:eastAsia="zh-CN" w:bidi="ar-SA"/>
              </w:rPr>
            </w:pPr>
            <w:r>
              <w:rPr>
                <w:rFonts w:hint="eastAsia" w:ascii="宋体" w:hAnsi="Times New Roman" w:eastAsia="宋体" w:cs="Times New Roman"/>
                <w:b/>
                <w:bCs/>
                <w:kern w:val="0"/>
                <w:sz w:val="21"/>
                <w:szCs w:val="20"/>
                <w:vertAlign w:val="baseline"/>
                <w:lang w:val="en-US" w:eastAsia="zh-CN" w:bidi="ar-SA"/>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一、火灾隐患的整改情况以及防范措施的落实情况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二、安全疏散通道、疏散指示标志、应急照明和安全出口情况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三、消防车通道、消防水源情况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四、灭火器材配置及有效情况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五、用火、用电有无违章情况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六、重点工种人员以及其他员工消防知识的掌握情况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七、消防安全重点部位的管理情况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八、易燃易爆危险物品和场所防火防爆措施的落实情况以及其他重要物资的防火安全情况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九、消防控制室值班情况和设施运行、记录情况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十、防火巡查情况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十一、消防安全标志的设置情况和完好、有效情况</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3557"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十二、其他检查的内容</w:t>
            </w:r>
          </w:p>
        </w:tc>
        <w:tc>
          <w:tcPr>
            <w:tcW w:w="3435"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c>
          <w:tcPr>
            <w:tcW w:w="3268" w:type="dxa"/>
            <w:vAlign w:val="center"/>
          </w:tcPr>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p>
        </w:tc>
      </w:tr>
    </w:tbl>
    <w:p>
      <w:pPr>
        <w:keepNext w:val="0"/>
        <w:keepLines w:val="0"/>
        <w:pageBreakBefore w:val="0"/>
        <w:kinsoku/>
        <w:wordWrap/>
        <w:overflowPunct/>
        <w:topLinePunct w:val="0"/>
        <w:bidi w:val="0"/>
        <w:snapToGrid/>
        <w:spacing w:line="360" w:lineRule="exact"/>
        <w:ind w:left="0" w:leftChars="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备注：检查发现问题较多的情况下，可另附页写明。</w:t>
      </w:r>
    </w:p>
    <w:p>
      <w:pPr>
        <w:keepNext w:val="0"/>
        <w:keepLines w:val="0"/>
        <w:pageBreakBefore w:val="0"/>
        <w:kinsoku/>
        <w:wordWrap/>
        <w:overflowPunct/>
        <w:topLinePunct w:val="0"/>
        <w:bidi w:val="0"/>
        <w:snapToGrid/>
        <w:spacing w:line="360" w:lineRule="exact"/>
        <w:ind w:left="0" w:leftChars="0" w:firstLine="6510" w:firstLineChars="3100"/>
        <w:jc w:val="both"/>
        <w:textAlignment w:val="auto"/>
        <w:rPr>
          <w:rFonts w:hint="eastAsia" w:ascii="Times New Roman" w:hAnsi="Times New Roman" w:eastAsia="宋体" w:cs="Times New Roman"/>
          <w:kern w:val="0"/>
          <w:sz w:val="21"/>
          <w:szCs w:val="20"/>
          <w:vertAlign w:val="baseline"/>
          <w:lang w:val="en-US" w:eastAsia="zh-CN" w:bidi="ar-SA"/>
        </w:rPr>
      </w:pPr>
      <w:r>
        <w:rPr>
          <w:rFonts w:hint="eastAsia" w:ascii="Times New Roman" w:hAnsi="Times New Roman" w:eastAsia="宋体" w:cs="Times New Roman"/>
          <w:kern w:val="0"/>
          <w:sz w:val="21"/>
          <w:szCs w:val="20"/>
          <w:vertAlign w:val="baseline"/>
          <w:lang w:val="en-US" w:eastAsia="zh-CN" w:bidi="ar-SA"/>
        </w:rPr>
        <w:t>消防安全管理人/责任人签字：</w:t>
      </w:r>
    </w:p>
    <w:p>
      <w:pPr>
        <w:keepNext w:val="0"/>
        <w:keepLines w:val="0"/>
        <w:pageBreakBefore w:val="0"/>
        <w:kinsoku/>
        <w:wordWrap/>
        <w:overflowPunct/>
        <w:topLinePunct w:val="0"/>
        <w:bidi w:val="0"/>
        <w:snapToGrid/>
        <w:spacing w:line="360" w:lineRule="exact"/>
        <w:ind w:left="0" w:leftChars="0" w:firstLine="6510" w:firstLineChars="3100"/>
        <w:jc w:val="both"/>
        <w:textAlignment w:val="auto"/>
        <w:rPr>
          <w:rFonts w:hint="eastAsia" w:ascii="Times New Roman" w:hAnsi="Times New Roman" w:eastAsia="宋体" w:cs="Times New Roman"/>
          <w:kern w:val="0"/>
          <w:sz w:val="21"/>
          <w:szCs w:val="20"/>
          <w:vertAlign w:val="baseline"/>
          <w:lang w:val="en-US" w:eastAsia="zh-CN" w:bidi="ar-SA"/>
        </w:rPr>
      </w:pPr>
    </w:p>
    <w:p>
      <w:pPr>
        <w:keepNext w:val="0"/>
        <w:keepLines w:val="0"/>
        <w:pageBreakBefore w:val="0"/>
        <w:kinsoku/>
        <w:wordWrap/>
        <w:overflowPunct/>
        <w:topLinePunct w:val="0"/>
        <w:bidi w:val="0"/>
        <w:snapToGrid/>
        <w:spacing w:line="360" w:lineRule="exact"/>
        <w:ind w:left="0" w:leftChars="0" w:firstLine="6510" w:firstLineChars="3100"/>
        <w:jc w:val="both"/>
        <w:textAlignment w:val="auto"/>
        <w:rPr>
          <w:rFonts w:hint="eastAsia" w:ascii="Times New Roman" w:hAnsi="Times New Roman" w:eastAsia="宋体" w:cs="Times New Roman"/>
          <w:kern w:val="0"/>
          <w:sz w:val="21"/>
          <w:szCs w:val="20"/>
          <w:vertAlign w:val="baseline"/>
          <w:lang w:val="en-US" w:eastAsia="zh-CN" w:bidi="ar-SA"/>
        </w:rPr>
      </w:pPr>
    </w:p>
    <w:p>
      <w:pPr>
        <w:keepNext w:val="0"/>
        <w:keepLines w:val="0"/>
        <w:pageBreakBefore w:val="0"/>
        <w:kinsoku/>
        <w:wordWrap/>
        <w:overflowPunct/>
        <w:topLinePunct w:val="0"/>
        <w:bidi w:val="0"/>
        <w:snapToGrid/>
        <w:spacing w:line="360" w:lineRule="exact"/>
        <w:ind w:left="0" w:leftChars="0" w:firstLine="6510" w:firstLineChars="3100"/>
        <w:jc w:val="both"/>
        <w:textAlignment w:val="auto"/>
        <w:rPr>
          <w:rFonts w:hint="eastAsia" w:ascii="Times New Roman" w:hAnsi="Times New Roman" w:eastAsia="宋体" w:cs="Times New Roman"/>
          <w:kern w:val="0"/>
          <w:sz w:val="21"/>
          <w:szCs w:val="20"/>
          <w:vertAlign w:val="baseline"/>
          <w:lang w:val="en-US" w:eastAsia="zh-CN" w:bidi="ar-SA"/>
        </w:rPr>
      </w:pPr>
    </w:p>
    <w:p>
      <w:pPr>
        <w:keepNext w:val="0"/>
        <w:keepLines w:val="0"/>
        <w:pageBreakBefore w:val="0"/>
        <w:kinsoku/>
        <w:wordWrap/>
        <w:overflowPunct/>
        <w:topLinePunct w:val="0"/>
        <w:bidi w:val="0"/>
        <w:snapToGrid/>
        <w:spacing w:line="360" w:lineRule="exact"/>
        <w:ind w:left="0" w:leftChars="0" w:firstLine="6510" w:firstLineChars="3100"/>
        <w:jc w:val="both"/>
        <w:textAlignment w:val="auto"/>
        <w:rPr>
          <w:rFonts w:hint="eastAsia" w:ascii="Times New Roman" w:hAnsi="Times New Roman" w:eastAsia="宋体" w:cs="Times New Roman"/>
          <w:kern w:val="0"/>
          <w:sz w:val="21"/>
          <w:szCs w:val="20"/>
          <w:vertAlign w:val="baseline"/>
          <w:lang w:val="en-US" w:eastAsia="zh-CN" w:bidi="ar-SA"/>
        </w:rPr>
      </w:pPr>
    </w:p>
    <w:p>
      <w:pPr>
        <w:pStyle w:val="231"/>
        <w:rPr>
          <w:rFonts w:hint="eastAsia"/>
          <w:highlight w:val="none"/>
        </w:rPr>
      </w:pPr>
      <w:r>
        <w:rPr>
          <w:rFonts w:hint="eastAsia"/>
          <w:highlight w:val="none"/>
        </w:rPr>
        <w:t>参</w:t>
      </w:r>
      <w:r>
        <w:rPr>
          <w:rFonts w:hAnsi="黑体"/>
          <w:highlight w:val="none"/>
        </w:rPr>
        <w:t> </w:t>
      </w:r>
      <w:r>
        <w:rPr>
          <w:rFonts w:hint="eastAsia"/>
          <w:highlight w:val="none"/>
        </w:rPr>
        <w:t>考</w:t>
      </w:r>
      <w:r>
        <w:rPr>
          <w:rFonts w:hAnsi="黑体"/>
          <w:highlight w:val="none"/>
        </w:rPr>
        <w:t> </w:t>
      </w:r>
      <w:r>
        <w:rPr>
          <w:rFonts w:hint="eastAsia"/>
          <w:highlight w:val="none"/>
        </w:rPr>
        <w:t>文</w:t>
      </w:r>
      <w:r>
        <w:rPr>
          <w:rFonts w:hAnsi="黑体"/>
          <w:highlight w:val="none"/>
        </w:rPr>
        <w:t> </w:t>
      </w:r>
      <w:r>
        <w:rPr>
          <w:rFonts w:hint="eastAsia"/>
          <w:highlight w:val="none"/>
        </w:rPr>
        <w:t>献</w:t>
      </w:r>
      <w:bookmarkEnd w:id="76"/>
      <w:bookmarkEnd w:id="77"/>
      <w:bookmarkEnd w:id="78"/>
      <w:bookmarkEnd w:id="79"/>
      <w:bookmarkEnd w:id="80"/>
      <w:bookmarkEnd w:id="81"/>
    </w:p>
    <w:bookmarkEnd w:id="74"/>
    <w:p>
      <w:pPr>
        <w:pStyle w:val="232"/>
        <w:numPr>
          <w:ilvl w:val="0"/>
          <w:numId w:val="38"/>
        </w:numPr>
        <w:rPr>
          <w:rFonts w:hint="eastAsia"/>
          <w:color w:val="auto"/>
          <w:highlight w:val="none"/>
          <w:lang w:val="en-US" w:eastAsia="zh-CN"/>
        </w:rPr>
      </w:pPr>
      <w:bookmarkStart w:id="82" w:name="BookMark8"/>
      <w:r>
        <w:rPr>
          <w:rFonts w:hint="eastAsia"/>
          <w:color w:val="auto"/>
          <w:highlight w:val="none"/>
          <w:lang w:val="en-US" w:eastAsia="zh-CN"/>
        </w:rPr>
        <w:t>机关、团体、企业、事业单位消防安全管理规定（公安部令第61号）</w:t>
      </w:r>
    </w:p>
    <w:p>
      <w:pPr>
        <w:pStyle w:val="232"/>
        <w:numPr>
          <w:ilvl w:val="0"/>
          <w:numId w:val="38"/>
        </w:numPr>
        <w:rPr>
          <w:rFonts w:hint="eastAsia"/>
          <w:highlight w:val="none"/>
        </w:rPr>
      </w:pPr>
      <w:r>
        <w:rPr>
          <w:rFonts w:hint="eastAsia"/>
          <w:highlight w:val="none"/>
        </w:rPr>
        <w:t>湖南省居民自建房安全管理若干规定</w:t>
      </w:r>
    </w:p>
    <w:p>
      <w:pPr>
        <w:pStyle w:val="232"/>
        <w:numPr>
          <w:ilvl w:val="0"/>
          <w:numId w:val="38"/>
        </w:numPr>
        <w:rPr>
          <w:rFonts w:hint="eastAsia"/>
          <w:color w:val="auto"/>
          <w:highlight w:val="none"/>
          <w:lang w:val="en-US" w:eastAsia="zh-CN"/>
        </w:rPr>
      </w:pPr>
      <w:r>
        <w:rPr>
          <w:rFonts w:hint="eastAsia"/>
          <w:highlight w:val="none"/>
          <w:lang w:val="en-US" w:eastAsia="zh-CN"/>
        </w:rPr>
        <w:t>湖南省市场监督管理局等15部门关于印发《湖南省居民自建房用作市场主体住所（经营场所）》管理办法（试行）》的通知</w:t>
      </w:r>
    </w:p>
    <w:p>
      <w:pPr>
        <w:pStyle w:val="232"/>
        <w:numPr>
          <w:ilvl w:val="0"/>
          <w:numId w:val="38"/>
        </w:numPr>
        <w:rPr>
          <w:rFonts w:hint="eastAsia"/>
          <w:highlight w:val="none"/>
        </w:rPr>
      </w:pPr>
      <w:r>
        <w:rPr>
          <w:rFonts w:hint="eastAsia"/>
          <w:highlight w:val="none"/>
          <w:lang w:val="en-US" w:eastAsia="zh-CN"/>
        </w:rPr>
        <w:t>GB/T40248 人员密集场所消防安全管理</w:t>
      </w:r>
    </w:p>
    <w:p>
      <w:pPr>
        <w:pStyle w:val="232"/>
        <w:numPr>
          <w:ilvl w:val="0"/>
          <w:numId w:val="38"/>
        </w:numPr>
        <w:rPr>
          <w:rFonts w:hint="eastAsia"/>
          <w:highlight w:val="none"/>
        </w:rPr>
      </w:pPr>
      <w:r>
        <w:rPr>
          <w:rFonts w:hint="eastAsia"/>
          <w:highlight w:val="none"/>
          <w:lang w:val="en-US" w:eastAsia="zh-CN"/>
        </w:rPr>
        <w:t>GB35181 重大火灾隐患判定方法</w:t>
      </w:r>
    </w:p>
    <w:p>
      <w:pPr>
        <w:pStyle w:val="232"/>
        <w:numPr>
          <w:ilvl w:val="0"/>
          <w:numId w:val="38"/>
        </w:numPr>
        <w:rPr>
          <w:rFonts w:hint="eastAsia"/>
          <w:highlight w:val="none"/>
        </w:rPr>
      </w:pPr>
      <w:r>
        <w:rPr>
          <w:rFonts w:hint="eastAsia"/>
          <w:highlight w:val="none"/>
        </w:rPr>
        <w:t>GB25201-2010</w:t>
      </w:r>
      <w:r>
        <w:rPr>
          <w:rFonts w:hint="eastAsia"/>
          <w:highlight w:val="none"/>
          <w:lang w:val="en-US" w:eastAsia="zh-CN"/>
        </w:rPr>
        <w:t xml:space="preserve"> </w:t>
      </w:r>
      <w:r>
        <w:rPr>
          <w:rFonts w:hint="eastAsia"/>
          <w:highlight w:val="none"/>
        </w:rPr>
        <w:t>建筑消防设施的维护管理</w:t>
      </w:r>
    </w:p>
    <w:p>
      <w:pPr>
        <w:pStyle w:val="232"/>
        <w:numPr>
          <w:ilvl w:val="0"/>
          <w:numId w:val="38"/>
        </w:numPr>
        <w:rPr>
          <w:rFonts w:hint="eastAsia"/>
          <w:highlight w:val="none"/>
        </w:rPr>
      </w:pPr>
      <w:r>
        <w:rPr>
          <w:rFonts w:hint="eastAsia"/>
          <w:highlight w:val="none"/>
          <w:lang w:val="en-US" w:eastAsia="zh-CN"/>
        </w:rPr>
        <w:t>GB/T4754-2-17 国民经济行业分类</w:t>
      </w:r>
    </w:p>
    <w:p>
      <w:pPr>
        <w:pStyle w:val="232"/>
        <w:numPr>
          <w:ilvl w:val="0"/>
          <w:numId w:val="38"/>
        </w:numPr>
        <w:rPr>
          <w:rFonts w:hint="eastAsia"/>
          <w:highlight w:val="none"/>
        </w:rPr>
      </w:pPr>
      <w:r>
        <w:rPr>
          <w:rFonts w:hint="eastAsia"/>
          <w:highlight w:val="none"/>
        </w:rPr>
        <w:t>GB50028-2006</w:t>
      </w:r>
      <w:r>
        <w:rPr>
          <w:rFonts w:hint="eastAsia"/>
          <w:highlight w:val="none"/>
          <w:lang w:val="en-US" w:eastAsia="zh-CN"/>
        </w:rPr>
        <w:t xml:space="preserve"> </w:t>
      </w:r>
      <w:r>
        <w:rPr>
          <w:rFonts w:hint="eastAsia"/>
          <w:highlight w:val="none"/>
        </w:rPr>
        <w:fldChar w:fldCharType="begin"/>
      </w:r>
      <w:r>
        <w:rPr>
          <w:rFonts w:hint="eastAsia"/>
          <w:highlight w:val="none"/>
        </w:rPr>
        <w:instrText xml:space="preserve"> HYPERLINK "https://gf.1190119.com/list-360.htm" </w:instrText>
      </w:r>
      <w:r>
        <w:rPr>
          <w:rFonts w:hint="eastAsia"/>
          <w:highlight w:val="none"/>
        </w:rPr>
        <w:fldChar w:fldCharType="separate"/>
      </w:r>
      <w:r>
        <w:rPr>
          <w:rFonts w:hint="eastAsia"/>
          <w:highlight w:val="none"/>
        </w:rPr>
        <w:t xml:space="preserve">城镇燃气设计规范 </w:t>
      </w:r>
      <w:r>
        <w:rPr>
          <w:rFonts w:hint="eastAsia"/>
          <w:highlight w:val="none"/>
        </w:rPr>
        <w:fldChar w:fldCharType="end"/>
      </w:r>
    </w:p>
    <w:p>
      <w:pPr>
        <w:pStyle w:val="232"/>
        <w:numPr>
          <w:ilvl w:val="0"/>
          <w:numId w:val="38"/>
        </w:numPr>
        <w:rPr>
          <w:rFonts w:hint="eastAsia"/>
          <w:highlight w:val="none"/>
        </w:rPr>
      </w:pPr>
      <w:r>
        <w:rPr>
          <w:rFonts w:hint="eastAsia"/>
          <w:highlight w:val="none"/>
        </w:rPr>
        <w:t>XF703-2007</w:t>
      </w:r>
      <w:r>
        <w:rPr>
          <w:rFonts w:hint="eastAsia"/>
          <w:highlight w:val="none"/>
          <w:lang w:val="en-US" w:eastAsia="zh-CN"/>
        </w:rPr>
        <w:t xml:space="preserve"> </w:t>
      </w:r>
      <w:r>
        <w:rPr>
          <w:rFonts w:hint="eastAsia"/>
          <w:highlight w:val="none"/>
        </w:rPr>
        <w:fldChar w:fldCharType="begin"/>
      </w:r>
      <w:r>
        <w:rPr>
          <w:rFonts w:hint="eastAsia"/>
          <w:highlight w:val="none"/>
        </w:rPr>
        <w:instrText xml:space="preserve"> HYPERLINK "https://gf.1190119.com/list-604.htm" </w:instrText>
      </w:r>
      <w:r>
        <w:rPr>
          <w:rFonts w:hint="eastAsia"/>
          <w:highlight w:val="none"/>
        </w:rPr>
        <w:fldChar w:fldCharType="separate"/>
      </w:r>
      <w:r>
        <w:rPr>
          <w:rFonts w:hint="eastAsia"/>
          <w:highlight w:val="none"/>
        </w:rPr>
        <w:t>住宿与生产储存经营合用场所消防安全技术要求</w:t>
      </w:r>
      <w:r>
        <w:rPr>
          <w:rFonts w:hint="eastAsia"/>
          <w:highlight w:val="none"/>
        </w:rPr>
        <w:fldChar w:fldCharType="end"/>
      </w:r>
    </w:p>
    <w:p>
      <w:pPr>
        <w:pStyle w:val="232"/>
        <w:numPr>
          <w:ilvl w:val="0"/>
          <w:numId w:val="38"/>
        </w:numPr>
        <w:rPr>
          <w:rFonts w:hint="eastAsia"/>
          <w:highlight w:val="none"/>
        </w:rPr>
      </w:pPr>
      <w:r>
        <w:rPr>
          <w:rFonts w:hint="eastAsia"/>
          <w:highlight w:val="none"/>
        </w:rPr>
        <w:t>JGJ 36 《宿舍建筑设计规范》</w:t>
      </w:r>
    </w:p>
    <w:p>
      <w:pPr>
        <w:pStyle w:val="232"/>
        <w:numPr>
          <w:ilvl w:val="0"/>
          <w:numId w:val="38"/>
        </w:numPr>
        <w:rPr>
          <w:rFonts w:hint="eastAsia"/>
          <w:highlight w:val="none"/>
        </w:rPr>
      </w:pPr>
      <w:r>
        <w:rPr>
          <w:highlight w:val="none"/>
        </w:rPr>
        <w:t>DB</w:t>
      </w:r>
      <w:r>
        <w:rPr>
          <w:rFonts w:hint="eastAsia"/>
          <w:highlight w:val="none"/>
        </w:rPr>
        <w:t xml:space="preserve"> </w:t>
      </w:r>
      <w:r>
        <w:rPr>
          <w:highlight w:val="none"/>
        </w:rPr>
        <w:t>45/T 1553</w:t>
      </w:r>
      <w:r>
        <w:rPr>
          <w:rFonts w:hint="eastAsia"/>
          <w:highlight w:val="none"/>
        </w:rPr>
        <w:t xml:space="preserve"> 电动自行车停放充电场所消防安全规范</w:t>
      </w:r>
    </w:p>
    <w:p>
      <w:pPr>
        <w:pStyle w:val="232"/>
        <w:numPr>
          <w:ilvl w:val="0"/>
          <w:numId w:val="38"/>
        </w:numPr>
        <w:rPr>
          <w:rFonts w:hint="eastAsia"/>
          <w:highlight w:val="none"/>
        </w:rPr>
      </w:pPr>
      <w:r>
        <w:rPr>
          <w:rFonts w:hint="eastAsia"/>
          <w:highlight w:val="none"/>
          <w:lang w:val="en-US" w:eastAsia="zh-CN"/>
        </w:rPr>
        <w:t>DB33/T 1251-2021 燃气用户设施安全检查标准</w:t>
      </w:r>
    </w:p>
    <w:p>
      <w:pPr>
        <w:pStyle w:val="232"/>
        <w:numPr>
          <w:ilvl w:val="0"/>
          <w:numId w:val="0"/>
        </w:numPr>
        <w:jc w:val="center"/>
        <w:rPr>
          <w:rFonts w:hint="eastAsia"/>
          <w:highlight w:val="none"/>
        </w:rPr>
      </w:pPr>
    </w:p>
    <w:p>
      <w:pPr>
        <w:pStyle w:val="57"/>
        <w:ind w:firstLine="0" w:firstLineChars="0"/>
        <w:jc w:val="center"/>
      </w:pPr>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4"/>
                    <a:stretch>
                      <a:fillRect/>
                    </a:stretch>
                  </pic:blipFill>
                  <pic:spPr>
                    <a:xfrm>
                      <a:off x="0" y="0"/>
                      <a:ext cx="1485900" cy="317500"/>
                    </a:xfrm>
                    <a:prstGeom prst="rect">
                      <a:avLst/>
                    </a:prstGeom>
                  </pic:spPr>
                </pic:pic>
              </a:graphicData>
            </a:graphic>
          </wp:inline>
        </w:drawing>
      </w:r>
      <w:bookmarkEnd w:id="82"/>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43/T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43/T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854493"/>
    <w:multiLevelType w:val="singleLevel"/>
    <w:tmpl w:val="A8854493"/>
    <w:lvl w:ilvl="0" w:tentative="0">
      <w:start w:val="1"/>
      <w:numFmt w:val="lowerLetter"/>
      <w:suff w:val="space"/>
      <w:lvlText w:val="%1)"/>
      <w:lvlJc w:val="left"/>
    </w:lvl>
  </w:abstractNum>
  <w:abstractNum w:abstractNumId="1">
    <w:nsid w:val="AC0D655F"/>
    <w:multiLevelType w:val="singleLevel"/>
    <w:tmpl w:val="AC0D655F"/>
    <w:lvl w:ilvl="0" w:tentative="0">
      <w:start w:val="1"/>
      <w:numFmt w:val="decimal"/>
      <w:suff w:val="space"/>
      <w:lvlText w:val="[%1]"/>
      <w:lvlJc w:val="left"/>
    </w:lvl>
  </w:abstractNum>
  <w:abstractNum w:abstractNumId="2">
    <w:nsid w:val="C33709AE"/>
    <w:multiLevelType w:val="singleLevel"/>
    <w:tmpl w:val="C33709AE"/>
    <w:lvl w:ilvl="0" w:tentative="0">
      <w:start w:val="1"/>
      <w:numFmt w:val="lowerLetter"/>
      <w:suff w:val="space"/>
      <w:lvlText w:val="%1)"/>
      <w:lvlJc w:val="left"/>
    </w:lvl>
  </w:abstractNum>
  <w:abstractNum w:abstractNumId="3">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433D4AF"/>
    <w:multiLevelType w:val="singleLevel"/>
    <w:tmpl w:val="1433D4AF"/>
    <w:lvl w:ilvl="0" w:tentative="0">
      <w:start w:val="1"/>
      <w:numFmt w:val="lowerLetter"/>
      <w:suff w:val="space"/>
      <w:lvlText w:val="%1)"/>
      <w:lvlJc w:val="left"/>
    </w:lvl>
  </w:abstractNum>
  <w:abstractNum w:abstractNumId="11">
    <w:nsid w:val="17A378F3"/>
    <w:multiLevelType w:val="singleLevel"/>
    <w:tmpl w:val="17A378F3"/>
    <w:lvl w:ilvl="0" w:tentative="0">
      <w:start w:val="1"/>
      <w:numFmt w:val="lowerLetter"/>
      <w:suff w:val="space"/>
      <w:lvlText w:val="%1)"/>
      <w:lvlJc w:val="left"/>
    </w:lvl>
  </w:abstractNum>
  <w:abstractNum w:abstractNumId="12">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4">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5">
    <w:nsid w:val="295FA17E"/>
    <w:multiLevelType w:val="singleLevel"/>
    <w:tmpl w:val="295FA17E"/>
    <w:lvl w:ilvl="0" w:tentative="0">
      <w:start w:val="1"/>
      <w:numFmt w:val="lowerLetter"/>
      <w:suff w:val="space"/>
      <w:lvlText w:val="%1)"/>
      <w:lvlJc w:val="left"/>
    </w:lvl>
  </w:abstractNum>
  <w:abstractNum w:abstractNumId="16">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7">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3">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4">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7">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8">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9">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8042E83"/>
    <w:multiLevelType w:val="multilevel"/>
    <w:tmpl w:val="68042E83"/>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236"/>
      <w:suff w:val="nothing"/>
      <w:lvlText w:val="%1%2.%3　"/>
      <w:lvlJc w:val="left"/>
      <w:pPr>
        <w:ind w:left="0" w:firstLine="0"/>
      </w:pPr>
      <w:rPr>
        <w:rFonts w:hint="eastAsia" w:ascii="黑体" w:hAnsi="Times New Roman" w:eastAsia="黑体"/>
        <w:b w:val="0"/>
        <w:i w:val="0"/>
        <w:sz w:val="21"/>
      </w:rPr>
    </w:lvl>
    <w:lvl w:ilvl="3" w:tentative="0">
      <w:start w:val="1"/>
      <w:numFmt w:val="decimal"/>
      <w:pStyle w:val="235"/>
      <w:suff w:val="nothing"/>
      <w:lvlText w:val="%1%2.%3.%4　"/>
      <w:lvlJc w:val="left"/>
      <w:pPr>
        <w:ind w:left="0" w:firstLine="0"/>
      </w:pPr>
      <w:rPr>
        <w:rFonts w:hint="eastAsia" w:ascii="黑体" w:hAnsi="Times New Roman" w:eastAsia="黑体"/>
        <w:b w:val="0"/>
        <w:i w:val="0"/>
        <w:sz w:val="21"/>
      </w:rPr>
    </w:lvl>
    <w:lvl w:ilvl="4" w:tentative="0">
      <w:start w:val="1"/>
      <w:numFmt w:val="lowerLetter"/>
      <w:lvlText w:val="%5）"/>
      <w:lvlJc w:val="left"/>
      <w:pPr>
        <w:tabs>
          <w:tab w:val="left" w:pos="420"/>
        </w:tabs>
        <w:ind w:left="420" w:hanging="420"/>
      </w:pPr>
      <w:rPr>
        <w:rFonts w:hint="eastAsia"/>
      </w:rPr>
    </w:lvl>
    <w:lvl w:ilvl="5" w:tentative="0">
      <w:start w:val="1"/>
      <w:numFmt w:val="lowerLetter"/>
      <w:lvlText w:val="%6）"/>
      <w:lvlJc w:val="left"/>
      <w:pPr>
        <w:tabs>
          <w:tab w:val="left" w:pos="420"/>
        </w:tabs>
        <w:ind w:left="420" w:hanging="420"/>
      </w:pPr>
      <w:rPr>
        <w:rFonts w:hint="eastAsia"/>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2">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1134"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5">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6">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7">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34"/>
  </w:num>
  <w:num w:numId="3">
    <w:abstractNumId w:val="8"/>
  </w:num>
  <w:num w:numId="4">
    <w:abstractNumId w:val="29"/>
  </w:num>
  <w:num w:numId="5">
    <w:abstractNumId w:val="24"/>
  </w:num>
  <w:num w:numId="6">
    <w:abstractNumId w:val="19"/>
  </w:num>
  <w:num w:numId="7">
    <w:abstractNumId w:val="13"/>
  </w:num>
  <w:num w:numId="8">
    <w:abstractNumId w:val="6"/>
  </w:num>
  <w:num w:numId="9">
    <w:abstractNumId w:val="14"/>
  </w:num>
  <w:num w:numId="10">
    <w:abstractNumId w:val="22"/>
  </w:num>
  <w:num w:numId="11">
    <w:abstractNumId w:val="32"/>
  </w:num>
  <w:num w:numId="12">
    <w:abstractNumId w:val="17"/>
  </w:num>
  <w:num w:numId="13">
    <w:abstractNumId w:val="18"/>
  </w:num>
  <w:num w:numId="14">
    <w:abstractNumId w:val="12"/>
  </w:num>
  <w:num w:numId="15">
    <w:abstractNumId w:val="25"/>
  </w:num>
  <w:num w:numId="16">
    <w:abstractNumId w:val="27"/>
  </w:num>
  <w:num w:numId="17">
    <w:abstractNumId w:val="23"/>
  </w:num>
  <w:num w:numId="18">
    <w:abstractNumId w:val="36"/>
  </w:num>
  <w:num w:numId="19">
    <w:abstractNumId w:val="21"/>
  </w:num>
  <w:num w:numId="20">
    <w:abstractNumId w:val="4"/>
  </w:num>
  <w:num w:numId="21">
    <w:abstractNumId w:val="16"/>
  </w:num>
  <w:num w:numId="22">
    <w:abstractNumId w:val="37"/>
  </w:num>
  <w:num w:numId="23">
    <w:abstractNumId w:val="26"/>
  </w:num>
  <w:num w:numId="24">
    <w:abstractNumId w:val="9"/>
  </w:num>
  <w:num w:numId="25">
    <w:abstractNumId w:val="33"/>
  </w:num>
  <w:num w:numId="26">
    <w:abstractNumId w:val="35"/>
  </w:num>
  <w:num w:numId="27">
    <w:abstractNumId w:val="5"/>
  </w:num>
  <w:num w:numId="28">
    <w:abstractNumId w:val="7"/>
  </w:num>
  <w:num w:numId="29">
    <w:abstractNumId w:val="20"/>
  </w:num>
  <w:num w:numId="30">
    <w:abstractNumId w:val="31"/>
  </w:num>
  <w:num w:numId="31">
    <w:abstractNumId w:val="28"/>
  </w:num>
  <w:num w:numId="32">
    <w:abstractNumId w:val="30"/>
  </w:num>
  <w:num w:numId="33">
    <w:abstractNumId w:val="2"/>
  </w:num>
  <w:num w:numId="34">
    <w:abstractNumId w:val="0"/>
  </w:num>
  <w:num w:numId="35">
    <w:abstractNumId w:val="10"/>
  </w:num>
  <w:num w:numId="36">
    <w:abstractNumId w:val="11"/>
  </w:num>
  <w:num w:numId="37">
    <w:abstractNumId w:val="15"/>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0"/>
  <w:bordersDoNotSurroundFooter w:val="0"/>
  <w:attachedTemplate r:id="rId1"/>
  <w:documentProtection w:edit="forms" w:enforcement="1" w:cryptProviderType="rsaFull" w:cryptAlgorithmClass="hash" w:cryptAlgorithmType="typeAny" w:cryptAlgorithmSid="4" w:cryptSpinCount="100000" w:hash="wW8ooTlHMhOi0GskPhR+G4pTcj0=" w:salt="NIhhJd0V199ray4aU6h6T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YzFjYTUyODQ5ZGFlZjliZWVhNzc3N2Q4ZWMxNjYifQ=="/>
  </w:docVars>
  <w:rsids>
    <w:rsidRoot w:val="00157B0F"/>
    <w:rsid w:val="0000040A"/>
    <w:rsid w:val="00000A94"/>
    <w:rsid w:val="00000BA2"/>
    <w:rsid w:val="00001972"/>
    <w:rsid w:val="00001D9A"/>
    <w:rsid w:val="000045AE"/>
    <w:rsid w:val="00007B3A"/>
    <w:rsid w:val="000107E0"/>
    <w:rsid w:val="00011947"/>
    <w:rsid w:val="00011FDE"/>
    <w:rsid w:val="00012FFD"/>
    <w:rsid w:val="0001341E"/>
    <w:rsid w:val="00014162"/>
    <w:rsid w:val="00014340"/>
    <w:rsid w:val="00016A9C"/>
    <w:rsid w:val="00017797"/>
    <w:rsid w:val="00022184"/>
    <w:rsid w:val="00022762"/>
    <w:rsid w:val="000238E0"/>
    <w:rsid w:val="00023F30"/>
    <w:rsid w:val="00023FC6"/>
    <w:rsid w:val="000249DB"/>
    <w:rsid w:val="0002595E"/>
    <w:rsid w:val="000303C3"/>
    <w:rsid w:val="000313B4"/>
    <w:rsid w:val="00031D4D"/>
    <w:rsid w:val="000331D3"/>
    <w:rsid w:val="000346A5"/>
    <w:rsid w:val="000359C3"/>
    <w:rsid w:val="00035A7D"/>
    <w:rsid w:val="000365ED"/>
    <w:rsid w:val="00036F62"/>
    <w:rsid w:val="0004249A"/>
    <w:rsid w:val="00042507"/>
    <w:rsid w:val="00043282"/>
    <w:rsid w:val="00044286"/>
    <w:rsid w:val="00047F28"/>
    <w:rsid w:val="000503AA"/>
    <w:rsid w:val="000506A1"/>
    <w:rsid w:val="000515DD"/>
    <w:rsid w:val="0005265A"/>
    <w:rsid w:val="000539DD"/>
    <w:rsid w:val="00053AE5"/>
    <w:rsid w:val="00053BD3"/>
    <w:rsid w:val="000556ED"/>
    <w:rsid w:val="00055FE2"/>
    <w:rsid w:val="0005616F"/>
    <w:rsid w:val="00060C2E"/>
    <w:rsid w:val="00061033"/>
    <w:rsid w:val="000619E9"/>
    <w:rsid w:val="000622D4"/>
    <w:rsid w:val="0006357D"/>
    <w:rsid w:val="000639BB"/>
    <w:rsid w:val="00067F1E"/>
    <w:rsid w:val="00071CC0"/>
    <w:rsid w:val="00073C8C"/>
    <w:rsid w:val="00077B64"/>
    <w:rsid w:val="00080A1C"/>
    <w:rsid w:val="00082317"/>
    <w:rsid w:val="00083D2C"/>
    <w:rsid w:val="00086AA1"/>
    <w:rsid w:val="00087A77"/>
    <w:rsid w:val="000906CA"/>
    <w:rsid w:val="00090CA6"/>
    <w:rsid w:val="00092B8A"/>
    <w:rsid w:val="00092FB0"/>
    <w:rsid w:val="000934C5"/>
    <w:rsid w:val="00093D25"/>
    <w:rsid w:val="00093DAB"/>
    <w:rsid w:val="00094113"/>
    <w:rsid w:val="00094D73"/>
    <w:rsid w:val="00094DBF"/>
    <w:rsid w:val="00096D63"/>
    <w:rsid w:val="000A0B60"/>
    <w:rsid w:val="000A0EB8"/>
    <w:rsid w:val="000A19FC"/>
    <w:rsid w:val="000A296B"/>
    <w:rsid w:val="000A2C13"/>
    <w:rsid w:val="000A31A4"/>
    <w:rsid w:val="000A611E"/>
    <w:rsid w:val="000A6AD9"/>
    <w:rsid w:val="000A7311"/>
    <w:rsid w:val="000A7AC1"/>
    <w:rsid w:val="000B060F"/>
    <w:rsid w:val="000B0CCD"/>
    <w:rsid w:val="000B1592"/>
    <w:rsid w:val="000B1FF2"/>
    <w:rsid w:val="000B3CDA"/>
    <w:rsid w:val="000B6A0B"/>
    <w:rsid w:val="000C0265"/>
    <w:rsid w:val="000C0F6C"/>
    <w:rsid w:val="000C11DB"/>
    <w:rsid w:val="000C1492"/>
    <w:rsid w:val="000C2FBD"/>
    <w:rsid w:val="000C4B41"/>
    <w:rsid w:val="000C57D6"/>
    <w:rsid w:val="000C6362"/>
    <w:rsid w:val="000C7666"/>
    <w:rsid w:val="000D0A9C"/>
    <w:rsid w:val="000D1795"/>
    <w:rsid w:val="000D329A"/>
    <w:rsid w:val="000D4B9C"/>
    <w:rsid w:val="000D4EB6"/>
    <w:rsid w:val="000D4FFE"/>
    <w:rsid w:val="000D6CD0"/>
    <w:rsid w:val="000D753B"/>
    <w:rsid w:val="000E4838"/>
    <w:rsid w:val="000E487A"/>
    <w:rsid w:val="000E4C9E"/>
    <w:rsid w:val="000E6FD7"/>
    <w:rsid w:val="000F06E1"/>
    <w:rsid w:val="000F0E3C"/>
    <w:rsid w:val="000F19D5"/>
    <w:rsid w:val="000F3F88"/>
    <w:rsid w:val="000F4AEA"/>
    <w:rsid w:val="000F633F"/>
    <w:rsid w:val="000F67E9"/>
    <w:rsid w:val="00104926"/>
    <w:rsid w:val="00112DD1"/>
    <w:rsid w:val="00113B1E"/>
    <w:rsid w:val="0011625C"/>
    <w:rsid w:val="0011711C"/>
    <w:rsid w:val="0012059C"/>
    <w:rsid w:val="00122AB5"/>
    <w:rsid w:val="00124E4F"/>
    <w:rsid w:val="001260B7"/>
    <w:rsid w:val="001265CB"/>
    <w:rsid w:val="00127092"/>
    <w:rsid w:val="00127E90"/>
    <w:rsid w:val="001321C6"/>
    <w:rsid w:val="001325C4"/>
    <w:rsid w:val="00133010"/>
    <w:rsid w:val="001338EE"/>
    <w:rsid w:val="00133AAE"/>
    <w:rsid w:val="00134DF8"/>
    <w:rsid w:val="00135323"/>
    <w:rsid w:val="001356C4"/>
    <w:rsid w:val="00137FE2"/>
    <w:rsid w:val="001410E8"/>
    <w:rsid w:val="00141114"/>
    <w:rsid w:val="00142969"/>
    <w:rsid w:val="0014378F"/>
    <w:rsid w:val="001446C2"/>
    <w:rsid w:val="001457E7"/>
    <w:rsid w:val="00145D9D"/>
    <w:rsid w:val="00146388"/>
    <w:rsid w:val="00150B96"/>
    <w:rsid w:val="001529E5"/>
    <w:rsid w:val="00153C7E"/>
    <w:rsid w:val="00156B25"/>
    <w:rsid w:val="00156E1A"/>
    <w:rsid w:val="00157894"/>
    <w:rsid w:val="00157B0F"/>
    <w:rsid w:val="00157B55"/>
    <w:rsid w:val="00160418"/>
    <w:rsid w:val="001623C4"/>
    <w:rsid w:val="00163EB7"/>
    <w:rsid w:val="001642FA"/>
    <w:rsid w:val="001649EB"/>
    <w:rsid w:val="00164BAF"/>
    <w:rsid w:val="00164FA8"/>
    <w:rsid w:val="00165065"/>
    <w:rsid w:val="00165434"/>
    <w:rsid w:val="0016580B"/>
    <w:rsid w:val="00165F49"/>
    <w:rsid w:val="00166B88"/>
    <w:rsid w:val="0016770A"/>
    <w:rsid w:val="00170804"/>
    <w:rsid w:val="001708E9"/>
    <w:rsid w:val="001712B1"/>
    <w:rsid w:val="0017340B"/>
    <w:rsid w:val="00173FB1"/>
    <w:rsid w:val="00176496"/>
    <w:rsid w:val="00176DFD"/>
    <w:rsid w:val="001804F1"/>
    <w:rsid w:val="0018155D"/>
    <w:rsid w:val="00181D03"/>
    <w:rsid w:val="001852C9"/>
    <w:rsid w:val="00190087"/>
    <w:rsid w:val="0019099A"/>
    <w:rsid w:val="001913C4"/>
    <w:rsid w:val="0019348F"/>
    <w:rsid w:val="00193A07"/>
    <w:rsid w:val="00193CB3"/>
    <w:rsid w:val="00194C95"/>
    <w:rsid w:val="00195B5F"/>
    <w:rsid w:val="00195C34"/>
    <w:rsid w:val="00196EF5"/>
    <w:rsid w:val="001A1A53"/>
    <w:rsid w:val="001A234A"/>
    <w:rsid w:val="001A4CF3"/>
    <w:rsid w:val="001A4E1F"/>
    <w:rsid w:val="001B06E8"/>
    <w:rsid w:val="001B4DAF"/>
    <w:rsid w:val="001B71D0"/>
    <w:rsid w:val="001B71EE"/>
    <w:rsid w:val="001C01CF"/>
    <w:rsid w:val="001C04A8"/>
    <w:rsid w:val="001C156E"/>
    <w:rsid w:val="001C2C03"/>
    <w:rsid w:val="001C42F7"/>
    <w:rsid w:val="001C4816"/>
    <w:rsid w:val="001C49E5"/>
    <w:rsid w:val="001C680C"/>
    <w:rsid w:val="001C7FEA"/>
    <w:rsid w:val="001D0499"/>
    <w:rsid w:val="001D0BBE"/>
    <w:rsid w:val="001D0ED4"/>
    <w:rsid w:val="001D212F"/>
    <w:rsid w:val="001D29D7"/>
    <w:rsid w:val="001D2DE7"/>
    <w:rsid w:val="001D3D79"/>
    <w:rsid w:val="001D411C"/>
    <w:rsid w:val="001E1B6A"/>
    <w:rsid w:val="001E1E53"/>
    <w:rsid w:val="001E2484"/>
    <w:rsid w:val="001E3CC4"/>
    <w:rsid w:val="001E4882"/>
    <w:rsid w:val="001E73AB"/>
    <w:rsid w:val="001F092D"/>
    <w:rsid w:val="001F143A"/>
    <w:rsid w:val="001F1605"/>
    <w:rsid w:val="001F2508"/>
    <w:rsid w:val="001F4816"/>
    <w:rsid w:val="001F4D61"/>
    <w:rsid w:val="001F4EE9"/>
    <w:rsid w:val="001F5E7D"/>
    <w:rsid w:val="001F69B4"/>
    <w:rsid w:val="001F77C7"/>
    <w:rsid w:val="00200183"/>
    <w:rsid w:val="00200333"/>
    <w:rsid w:val="002003E1"/>
    <w:rsid w:val="0020107D"/>
    <w:rsid w:val="002015E0"/>
    <w:rsid w:val="002020D6"/>
    <w:rsid w:val="00202AA4"/>
    <w:rsid w:val="002031F7"/>
    <w:rsid w:val="002040E6"/>
    <w:rsid w:val="0020527B"/>
    <w:rsid w:val="00205A91"/>
    <w:rsid w:val="00205F2C"/>
    <w:rsid w:val="002101E4"/>
    <w:rsid w:val="002106D6"/>
    <w:rsid w:val="00210B15"/>
    <w:rsid w:val="0021225D"/>
    <w:rsid w:val="002142EA"/>
    <w:rsid w:val="002204BB"/>
    <w:rsid w:val="00221B79"/>
    <w:rsid w:val="00221C6B"/>
    <w:rsid w:val="002253A1"/>
    <w:rsid w:val="00225CF8"/>
    <w:rsid w:val="0022794E"/>
    <w:rsid w:val="00233D64"/>
    <w:rsid w:val="0023482A"/>
    <w:rsid w:val="00235308"/>
    <w:rsid w:val="002359CB"/>
    <w:rsid w:val="00236CB2"/>
    <w:rsid w:val="00237CE8"/>
    <w:rsid w:val="00237D1C"/>
    <w:rsid w:val="00237E9F"/>
    <w:rsid w:val="00240F44"/>
    <w:rsid w:val="002417F9"/>
    <w:rsid w:val="00242B3B"/>
    <w:rsid w:val="00243540"/>
    <w:rsid w:val="0024497B"/>
    <w:rsid w:val="0024515B"/>
    <w:rsid w:val="00246021"/>
    <w:rsid w:val="00246443"/>
    <w:rsid w:val="0024666E"/>
    <w:rsid w:val="00247F52"/>
    <w:rsid w:val="00250B25"/>
    <w:rsid w:val="00250BBE"/>
    <w:rsid w:val="00250D7D"/>
    <w:rsid w:val="002515C2"/>
    <w:rsid w:val="0025194F"/>
    <w:rsid w:val="0026148A"/>
    <w:rsid w:val="00262696"/>
    <w:rsid w:val="002634E2"/>
    <w:rsid w:val="00263D25"/>
    <w:rsid w:val="002643C3"/>
    <w:rsid w:val="00264A0C"/>
    <w:rsid w:val="00265BA3"/>
    <w:rsid w:val="00266DC8"/>
    <w:rsid w:val="00266EEB"/>
    <w:rsid w:val="00267EF4"/>
    <w:rsid w:val="00270CB8"/>
    <w:rsid w:val="00271931"/>
    <w:rsid w:val="002728F7"/>
    <w:rsid w:val="00272B08"/>
    <w:rsid w:val="002819F5"/>
    <w:rsid w:val="00281BB8"/>
    <w:rsid w:val="00281E9E"/>
    <w:rsid w:val="00282405"/>
    <w:rsid w:val="00285170"/>
    <w:rsid w:val="00285361"/>
    <w:rsid w:val="00285758"/>
    <w:rsid w:val="0028628D"/>
    <w:rsid w:val="0029055B"/>
    <w:rsid w:val="0029239E"/>
    <w:rsid w:val="00292D60"/>
    <w:rsid w:val="00293B30"/>
    <w:rsid w:val="00294651"/>
    <w:rsid w:val="00294D34"/>
    <w:rsid w:val="00294E3B"/>
    <w:rsid w:val="0029587F"/>
    <w:rsid w:val="00296193"/>
    <w:rsid w:val="00296C66"/>
    <w:rsid w:val="00296EBE"/>
    <w:rsid w:val="00297330"/>
    <w:rsid w:val="002974E3"/>
    <w:rsid w:val="00297CEB"/>
    <w:rsid w:val="002A084B"/>
    <w:rsid w:val="002A1260"/>
    <w:rsid w:val="002A1589"/>
    <w:rsid w:val="002A1608"/>
    <w:rsid w:val="002A25DC"/>
    <w:rsid w:val="002A37FB"/>
    <w:rsid w:val="002A3AAB"/>
    <w:rsid w:val="002A4CEA"/>
    <w:rsid w:val="002A5977"/>
    <w:rsid w:val="002A5A13"/>
    <w:rsid w:val="002A757F"/>
    <w:rsid w:val="002A7F44"/>
    <w:rsid w:val="002B0C40"/>
    <w:rsid w:val="002B18D6"/>
    <w:rsid w:val="002B1966"/>
    <w:rsid w:val="002B4508"/>
    <w:rsid w:val="002B4DF7"/>
    <w:rsid w:val="002B51EA"/>
    <w:rsid w:val="002B5779"/>
    <w:rsid w:val="002B7332"/>
    <w:rsid w:val="002B7F51"/>
    <w:rsid w:val="002C023E"/>
    <w:rsid w:val="002C09E7"/>
    <w:rsid w:val="002C1E06"/>
    <w:rsid w:val="002C1E1C"/>
    <w:rsid w:val="002C2735"/>
    <w:rsid w:val="002C3F07"/>
    <w:rsid w:val="002C5278"/>
    <w:rsid w:val="002C5E08"/>
    <w:rsid w:val="002C7EBB"/>
    <w:rsid w:val="002D06C1"/>
    <w:rsid w:val="002D42B5"/>
    <w:rsid w:val="002D4F1A"/>
    <w:rsid w:val="002D5819"/>
    <w:rsid w:val="002D6EC6"/>
    <w:rsid w:val="002D79AC"/>
    <w:rsid w:val="002E039D"/>
    <w:rsid w:val="002E077D"/>
    <w:rsid w:val="002E416E"/>
    <w:rsid w:val="002E4B12"/>
    <w:rsid w:val="002E4D5A"/>
    <w:rsid w:val="002E6326"/>
    <w:rsid w:val="002F18DB"/>
    <w:rsid w:val="002F30E0"/>
    <w:rsid w:val="002F35E4"/>
    <w:rsid w:val="002F3730"/>
    <w:rsid w:val="002F38E1"/>
    <w:rsid w:val="002F462C"/>
    <w:rsid w:val="002F4844"/>
    <w:rsid w:val="002F7AF6"/>
    <w:rsid w:val="002F7D5D"/>
    <w:rsid w:val="00300E63"/>
    <w:rsid w:val="00302F5F"/>
    <w:rsid w:val="0030441D"/>
    <w:rsid w:val="00306063"/>
    <w:rsid w:val="00310B42"/>
    <w:rsid w:val="00311346"/>
    <w:rsid w:val="003114DD"/>
    <w:rsid w:val="00313B85"/>
    <w:rsid w:val="00317988"/>
    <w:rsid w:val="003221B4"/>
    <w:rsid w:val="0032258D"/>
    <w:rsid w:val="00322E62"/>
    <w:rsid w:val="00324D13"/>
    <w:rsid w:val="00324D2A"/>
    <w:rsid w:val="00324EDD"/>
    <w:rsid w:val="003331E4"/>
    <w:rsid w:val="00336C64"/>
    <w:rsid w:val="00337162"/>
    <w:rsid w:val="0034194F"/>
    <w:rsid w:val="00341E67"/>
    <w:rsid w:val="00344605"/>
    <w:rsid w:val="003474AA"/>
    <w:rsid w:val="00350D1D"/>
    <w:rsid w:val="00352C83"/>
    <w:rsid w:val="00356826"/>
    <w:rsid w:val="0036123B"/>
    <w:rsid w:val="003615D2"/>
    <w:rsid w:val="0036312C"/>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AAC"/>
    <w:rsid w:val="003872FC"/>
    <w:rsid w:val="00387ADC"/>
    <w:rsid w:val="00390020"/>
    <w:rsid w:val="003903D6"/>
    <w:rsid w:val="00390EE6"/>
    <w:rsid w:val="0039118F"/>
    <w:rsid w:val="00391D9A"/>
    <w:rsid w:val="00392AD7"/>
    <w:rsid w:val="0039339C"/>
    <w:rsid w:val="003938D9"/>
    <w:rsid w:val="00394376"/>
    <w:rsid w:val="003943FF"/>
    <w:rsid w:val="0039514D"/>
    <w:rsid w:val="00395700"/>
    <w:rsid w:val="0039599F"/>
    <w:rsid w:val="00396E0B"/>
    <w:rsid w:val="003974EB"/>
    <w:rsid w:val="00397CC5"/>
    <w:rsid w:val="003A1582"/>
    <w:rsid w:val="003A3D8E"/>
    <w:rsid w:val="003A4077"/>
    <w:rsid w:val="003B09AD"/>
    <w:rsid w:val="003B1176"/>
    <w:rsid w:val="003B1BBF"/>
    <w:rsid w:val="003B1F18"/>
    <w:rsid w:val="003B3F53"/>
    <w:rsid w:val="003B5BF0"/>
    <w:rsid w:val="003B60BF"/>
    <w:rsid w:val="003B6958"/>
    <w:rsid w:val="003B6BE3"/>
    <w:rsid w:val="003C010C"/>
    <w:rsid w:val="003C0997"/>
    <w:rsid w:val="003C0A6C"/>
    <w:rsid w:val="003C14F8"/>
    <w:rsid w:val="003C5A43"/>
    <w:rsid w:val="003C6B67"/>
    <w:rsid w:val="003C7C38"/>
    <w:rsid w:val="003D0519"/>
    <w:rsid w:val="003D0FF6"/>
    <w:rsid w:val="003D262C"/>
    <w:rsid w:val="003D6C90"/>
    <w:rsid w:val="003D6D61"/>
    <w:rsid w:val="003E091D"/>
    <w:rsid w:val="003E1C53"/>
    <w:rsid w:val="003E2A69"/>
    <w:rsid w:val="003E2D49"/>
    <w:rsid w:val="003E2FD4"/>
    <w:rsid w:val="003E49F6"/>
    <w:rsid w:val="003E660F"/>
    <w:rsid w:val="003F0841"/>
    <w:rsid w:val="003F23D3"/>
    <w:rsid w:val="003F3F08"/>
    <w:rsid w:val="003F49F1"/>
    <w:rsid w:val="003F5638"/>
    <w:rsid w:val="003F6272"/>
    <w:rsid w:val="00400E72"/>
    <w:rsid w:val="00401400"/>
    <w:rsid w:val="0040374C"/>
    <w:rsid w:val="00404869"/>
    <w:rsid w:val="00405884"/>
    <w:rsid w:val="00407D39"/>
    <w:rsid w:val="0041477A"/>
    <w:rsid w:val="004167A3"/>
    <w:rsid w:val="004174D6"/>
    <w:rsid w:val="004211C2"/>
    <w:rsid w:val="004272B7"/>
    <w:rsid w:val="00432DAA"/>
    <w:rsid w:val="00434305"/>
    <w:rsid w:val="00435DF7"/>
    <w:rsid w:val="00440227"/>
    <w:rsid w:val="004407F5"/>
    <w:rsid w:val="0044083F"/>
    <w:rsid w:val="00441AE7"/>
    <w:rsid w:val="004427A8"/>
    <w:rsid w:val="0044337F"/>
    <w:rsid w:val="00445574"/>
    <w:rsid w:val="00446134"/>
    <w:rsid w:val="004467FB"/>
    <w:rsid w:val="00452D17"/>
    <w:rsid w:val="00452D6B"/>
    <w:rsid w:val="00454484"/>
    <w:rsid w:val="0045517B"/>
    <w:rsid w:val="00460F79"/>
    <w:rsid w:val="00463B77"/>
    <w:rsid w:val="00463C7B"/>
    <w:rsid w:val="004644A6"/>
    <w:rsid w:val="004659BD"/>
    <w:rsid w:val="0046656E"/>
    <w:rsid w:val="00470227"/>
    <w:rsid w:val="00470775"/>
    <w:rsid w:val="004746B1"/>
    <w:rsid w:val="004749F4"/>
    <w:rsid w:val="0047583F"/>
    <w:rsid w:val="00475DE8"/>
    <w:rsid w:val="00481C44"/>
    <w:rsid w:val="004832B7"/>
    <w:rsid w:val="00484936"/>
    <w:rsid w:val="00485C89"/>
    <w:rsid w:val="00486BE3"/>
    <w:rsid w:val="004905E4"/>
    <w:rsid w:val="00490A89"/>
    <w:rsid w:val="00490AB4"/>
    <w:rsid w:val="00492545"/>
    <w:rsid w:val="00492F02"/>
    <w:rsid w:val="004939AE"/>
    <w:rsid w:val="004A12DF"/>
    <w:rsid w:val="004A17E6"/>
    <w:rsid w:val="004A1BA8"/>
    <w:rsid w:val="004A4B57"/>
    <w:rsid w:val="004A63FA"/>
    <w:rsid w:val="004B0272"/>
    <w:rsid w:val="004B14C0"/>
    <w:rsid w:val="004B26D5"/>
    <w:rsid w:val="004B2701"/>
    <w:rsid w:val="004B2E1B"/>
    <w:rsid w:val="004B3AA8"/>
    <w:rsid w:val="004B3E93"/>
    <w:rsid w:val="004B66F6"/>
    <w:rsid w:val="004C1B71"/>
    <w:rsid w:val="004C1FBC"/>
    <w:rsid w:val="004C2C7C"/>
    <w:rsid w:val="004C3F1D"/>
    <w:rsid w:val="004C458D"/>
    <w:rsid w:val="004C7556"/>
    <w:rsid w:val="004C7E8B"/>
    <w:rsid w:val="004C7E9D"/>
    <w:rsid w:val="004C7F67"/>
    <w:rsid w:val="004D076D"/>
    <w:rsid w:val="004D0EF1"/>
    <w:rsid w:val="004D2253"/>
    <w:rsid w:val="004D279A"/>
    <w:rsid w:val="004D4406"/>
    <w:rsid w:val="004D7C42"/>
    <w:rsid w:val="004E00E8"/>
    <w:rsid w:val="004E0465"/>
    <w:rsid w:val="004E0863"/>
    <w:rsid w:val="004E127B"/>
    <w:rsid w:val="004E1C0A"/>
    <w:rsid w:val="004E2969"/>
    <w:rsid w:val="004E2B06"/>
    <w:rsid w:val="004E30C5"/>
    <w:rsid w:val="004E4AA5"/>
    <w:rsid w:val="004E4AEE"/>
    <w:rsid w:val="004E59E3"/>
    <w:rsid w:val="004E5E93"/>
    <w:rsid w:val="004E67C0"/>
    <w:rsid w:val="004F391A"/>
    <w:rsid w:val="004F3CFB"/>
    <w:rsid w:val="004F6456"/>
    <w:rsid w:val="004F696E"/>
    <w:rsid w:val="004F6C71"/>
    <w:rsid w:val="004F7F09"/>
    <w:rsid w:val="005005EE"/>
    <w:rsid w:val="00501139"/>
    <w:rsid w:val="00501ADE"/>
    <w:rsid w:val="0050363E"/>
    <w:rsid w:val="005039BC"/>
    <w:rsid w:val="005043BB"/>
    <w:rsid w:val="00504644"/>
    <w:rsid w:val="00504A3D"/>
    <w:rsid w:val="00505131"/>
    <w:rsid w:val="00505767"/>
    <w:rsid w:val="005073F0"/>
    <w:rsid w:val="005105F7"/>
    <w:rsid w:val="00510A7B"/>
    <w:rsid w:val="00512F6E"/>
    <w:rsid w:val="00513038"/>
    <w:rsid w:val="00514174"/>
    <w:rsid w:val="00516088"/>
    <w:rsid w:val="00516877"/>
    <w:rsid w:val="00516B0B"/>
    <w:rsid w:val="005220EC"/>
    <w:rsid w:val="00523879"/>
    <w:rsid w:val="00523F95"/>
    <w:rsid w:val="00524D65"/>
    <w:rsid w:val="00525B16"/>
    <w:rsid w:val="005309E0"/>
    <w:rsid w:val="00533D04"/>
    <w:rsid w:val="00534804"/>
    <w:rsid w:val="00534BDF"/>
    <w:rsid w:val="00534E1C"/>
    <w:rsid w:val="005354EA"/>
    <w:rsid w:val="0053585F"/>
    <w:rsid w:val="00535EC4"/>
    <w:rsid w:val="00535ED9"/>
    <w:rsid w:val="0053692B"/>
    <w:rsid w:val="00541853"/>
    <w:rsid w:val="00543BDA"/>
    <w:rsid w:val="005441CC"/>
    <w:rsid w:val="00546B50"/>
    <w:rsid w:val="005479DA"/>
    <w:rsid w:val="00547BCC"/>
    <w:rsid w:val="00547F04"/>
    <w:rsid w:val="0055013B"/>
    <w:rsid w:val="00551F6F"/>
    <w:rsid w:val="00552819"/>
    <w:rsid w:val="00553F63"/>
    <w:rsid w:val="005547D7"/>
    <w:rsid w:val="00555044"/>
    <w:rsid w:val="00556226"/>
    <w:rsid w:val="00556FB1"/>
    <w:rsid w:val="00561475"/>
    <w:rsid w:val="0056487B"/>
    <w:rsid w:val="00564FB9"/>
    <w:rsid w:val="00567116"/>
    <w:rsid w:val="00573075"/>
    <w:rsid w:val="00573D9E"/>
    <w:rsid w:val="005748E8"/>
    <w:rsid w:val="0057574D"/>
    <w:rsid w:val="005765A8"/>
    <w:rsid w:val="005801E3"/>
    <w:rsid w:val="00580949"/>
    <w:rsid w:val="00581802"/>
    <w:rsid w:val="005836A8"/>
    <w:rsid w:val="0058409C"/>
    <w:rsid w:val="00584262"/>
    <w:rsid w:val="00586630"/>
    <w:rsid w:val="00587ADD"/>
    <w:rsid w:val="00591E27"/>
    <w:rsid w:val="00592E81"/>
    <w:rsid w:val="00593043"/>
    <w:rsid w:val="005934DB"/>
    <w:rsid w:val="00596160"/>
    <w:rsid w:val="005966E2"/>
    <w:rsid w:val="00596FB7"/>
    <w:rsid w:val="00597007"/>
    <w:rsid w:val="005A0966"/>
    <w:rsid w:val="005A11B7"/>
    <w:rsid w:val="005A1697"/>
    <w:rsid w:val="005A260B"/>
    <w:rsid w:val="005A4A1B"/>
    <w:rsid w:val="005A7830"/>
    <w:rsid w:val="005A7FCE"/>
    <w:rsid w:val="005B0F3F"/>
    <w:rsid w:val="005B4903"/>
    <w:rsid w:val="005B51CE"/>
    <w:rsid w:val="005B5885"/>
    <w:rsid w:val="005B5CD7"/>
    <w:rsid w:val="005B6673"/>
    <w:rsid w:val="005B6CF6"/>
    <w:rsid w:val="005B7422"/>
    <w:rsid w:val="005C1077"/>
    <w:rsid w:val="005C2250"/>
    <w:rsid w:val="005C29B8"/>
    <w:rsid w:val="005C3614"/>
    <w:rsid w:val="005C5F21"/>
    <w:rsid w:val="005C7156"/>
    <w:rsid w:val="005D0C75"/>
    <w:rsid w:val="005D4171"/>
    <w:rsid w:val="005D4B70"/>
    <w:rsid w:val="005D6A95"/>
    <w:rsid w:val="005D6B2C"/>
    <w:rsid w:val="005D6D9C"/>
    <w:rsid w:val="005E2335"/>
    <w:rsid w:val="005E34CA"/>
    <w:rsid w:val="005E3C18"/>
    <w:rsid w:val="005E417B"/>
    <w:rsid w:val="005E6812"/>
    <w:rsid w:val="005E7881"/>
    <w:rsid w:val="005E78E0"/>
    <w:rsid w:val="005F0AC7"/>
    <w:rsid w:val="005F0D9C"/>
    <w:rsid w:val="005F257A"/>
    <w:rsid w:val="005F284E"/>
    <w:rsid w:val="005F4712"/>
    <w:rsid w:val="005F57D6"/>
    <w:rsid w:val="005F5F12"/>
    <w:rsid w:val="006015CE"/>
    <w:rsid w:val="00602343"/>
    <w:rsid w:val="00603FF2"/>
    <w:rsid w:val="00604784"/>
    <w:rsid w:val="006057CE"/>
    <w:rsid w:val="00606158"/>
    <w:rsid w:val="00606419"/>
    <w:rsid w:val="00606746"/>
    <w:rsid w:val="00607D29"/>
    <w:rsid w:val="0061004E"/>
    <w:rsid w:val="00612952"/>
    <w:rsid w:val="00612B49"/>
    <w:rsid w:val="00614CC1"/>
    <w:rsid w:val="00615A9D"/>
    <w:rsid w:val="00617387"/>
    <w:rsid w:val="006205D6"/>
    <w:rsid w:val="00620B25"/>
    <w:rsid w:val="00622382"/>
    <w:rsid w:val="0062332B"/>
    <w:rsid w:val="006252D8"/>
    <w:rsid w:val="006259BC"/>
    <w:rsid w:val="0062636B"/>
    <w:rsid w:val="00626A04"/>
    <w:rsid w:val="00632182"/>
    <w:rsid w:val="00632AE0"/>
    <w:rsid w:val="006335E6"/>
    <w:rsid w:val="00633C17"/>
    <w:rsid w:val="00634D9E"/>
    <w:rsid w:val="00636E3E"/>
    <w:rsid w:val="006379F7"/>
    <w:rsid w:val="00637E4D"/>
    <w:rsid w:val="00640620"/>
    <w:rsid w:val="006406B9"/>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3C04"/>
    <w:rsid w:val="006840A6"/>
    <w:rsid w:val="006850CD"/>
    <w:rsid w:val="00685AAB"/>
    <w:rsid w:val="00690B80"/>
    <w:rsid w:val="00691C91"/>
    <w:rsid w:val="00695D22"/>
    <w:rsid w:val="006A07AA"/>
    <w:rsid w:val="006A0A93"/>
    <w:rsid w:val="006A25E5"/>
    <w:rsid w:val="006A2B46"/>
    <w:rsid w:val="006A336D"/>
    <w:rsid w:val="006A37B9"/>
    <w:rsid w:val="006B05BB"/>
    <w:rsid w:val="006B2672"/>
    <w:rsid w:val="006B54BF"/>
    <w:rsid w:val="006B5D78"/>
    <w:rsid w:val="006B5F44"/>
    <w:rsid w:val="006B5F90"/>
    <w:rsid w:val="006B62E4"/>
    <w:rsid w:val="006C1BBA"/>
    <w:rsid w:val="006C2079"/>
    <w:rsid w:val="006C2456"/>
    <w:rsid w:val="006C3BD3"/>
    <w:rsid w:val="006C4D98"/>
    <w:rsid w:val="006C5A62"/>
    <w:rsid w:val="006C5D68"/>
    <w:rsid w:val="006C6976"/>
    <w:rsid w:val="006C6DD0"/>
    <w:rsid w:val="006D04EA"/>
    <w:rsid w:val="006D16C4"/>
    <w:rsid w:val="006D3E96"/>
    <w:rsid w:val="006D44AA"/>
    <w:rsid w:val="006D4515"/>
    <w:rsid w:val="006D4BB1"/>
    <w:rsid w:val="006D5A90"/>
    <w:rsid w:val="006D6593"/>
    <w:rsid w:val="006E23EA"/>
    <w:rsid w:val="006F03A8"/>
    <w:rsid w:val="006F20D0"/>
    <w:rsid w:val="006F2ACA"/>
    <w:rsid w:val="006F2ADC"/>
    <w:rsid w:val="006F2BFE"/>
    <w:rsid w:val="006F31E9"/>
    <w:rsid w:val="006F6284"/>
    <w:rsid w:val="007002C5"/>
    <w:rsid w:val="00701781"/>
    <w:rsid w:val="00704387"/>
    <w:rsid w:val="007054F9"/>
    <w:rsid w:val="0070562E"/>
    <w:rsid w:val="00707669"/>
    <w:rsid w:val="00711CBA"/>
    <w:rsid w:val="00711FB5"/>
    <w:rsid w:val="00712A01"/>
    <w:rsid w:val="00712D74"/>
    <w:rsid w:val="00714238"/>
    <w:rsid w:val="00714F58"/>
    <w:rsid w:val="00722FBF"/>
    <w:rsid w:val="00722FC2"/>
    <w:rsid w:val="007230AC"/>
    <w:rsid w:val="00724879"/>
    <w:rsid w:val="00724E1B"/>
    <w:rsid w:val="00725949"/>
    <w:rsid w:val="00727FA2"/>
    <w:rsid w:val="007322D9"/>
    <w:rsid w:val="00732BC0"/>
    <w:rsid w:val="007338A7"/>
    <w:rsid w:val="0073720F"/>
    <w:rsid w:val="00737796"/>
    <w:rsid w:val="0074144F"/>
    <w:rsid w:val="007415B1"/>
    <w:rsid w:val="0074165C"/>
    <w:rsid w:val="00741D90"/>
    <w:rsid w:val="007422E7"/>
    <w:rsid w:val="00742C35"/>
    <w:rsid w:val="007432CA"/>
    <w:rsid w:val="007439EB"/>
    <w:rsid w:val="00743CB4"/>
    <w:rsid w:val="00743F0A"/>
    <w:rsid w:val="007444E8"/>
    <w:rsid w:val="0074548E"/>
    <w:rsid w:val="00745773"/>
    <w:rsid w:val="00746800"/>
    <w:rsid w:val="007501A8"/>
    <w:rsid w:val="00750D61"/>
    <w:rsid w:val="00750EE1"/>
    <w:rsid w:val="00751B81"/>
    <w:rsid w:val="00752B4D"/>
    <w:rsid w:val="007542B3"/>
    <w:rsid w:val="00755402"/>
    <w:rsid w:val="00755EA0"/>
    <w:rsid w:val="00756B26"/>
    <w:rsid w:val="00756EDF"/>
    <w:rsid w:val="007600E3"/>
    <w:rsid w:val="00762A27"/>
    <w:rsid w:val="00762CB0"/>
    <w:rsid w:val="00763B43"/>
    <w:rsid w:val="007659BA"/>
    <w:rsid w:val="00765C43"/>
    <w:rsid w:val="00765EFB"/>
    <w:rsid w:val="007661BE"/>
    <w:rsid w:val="007671CA"/>
    <w:rsid w:val="00767B9C"/>
    <w:rsid w:val="00767C61"/>
    <w:rsid w:val="0077008A"/>
    <w:rsid w:val="00773C1F"/>
    <w:rsid w:val="00774DA4"/>
    <w:rsid w:val="00776599"/>
    <w:rsid w:val="00777B84"/>
    <w:rsid w:val="0078114B"/>
    <w:rsid w:val="00781DD2"/>
    <w:rsid w:val="00783ECF"/>
    <w:rsid w:val="0078413A"/>
    <w:rsid w:val="007870C8"/>
    <w:rsid w:val="00787AF3"/>
    <w:rsid w:val="00794EE0"/>
    <w:rsid w:val="007959E8"/>
    <w:rsid w:val="00795E9C"/>
    <w:rsid w:val="00796AC5"/>
    <w:rsid w:val="007A0521"/>
    <w:rsid w:val="007A09A3"/>
    <w:rsid w:val="007A2BB4"/>
    <w:rsid w:val="007A2E12"/>
    <w:rsid w:val="007A3475"/>
    <w:rsid w:val="007A41C8"/>
    <w:rsid w:val="007A54CE"/>
    <w:rsid w:val="007A6FD9"/>
    <w:rsid w:val="007A7FFA"/>
    <w:rsid w:val="007B04EB"/>
    <w:rsid w:val="007B0D4F"/>
    <w:rsid w:val="007B3BC6"/>
    <w:rsid w:val="007B5192"/>
    <w:rsid w:val="007B5A3D"/>
    <w:rsid w:val="007B5B95"/>
    <w:rsid w:val="007B68EA"/>
    <w:rsid w:val="007B7453"/>
    <w:rsid w:val="007C0233"/>
    <w:rsid w:val="007C1E8B"/>
    <w:rsid w:val="007C2D89"/>
    <w:rsid w:val="007C4593"/>
    <w:rsid w:val="007C5309"/>
    <w:rsid w:val="007C6069"/>
    <w:rsid w:val="007D06C4"/>
    <w:rsid w:val="007D1352"/>
    <w:rsid w:val="007D1FE2"/>
    <w:rsid w:val="007D2508"/>
    <w:rsid w:val="007D2BD3"/>
    <w:rsid w:val="007D346A"/>
    <w:rsid w:val="007D4D4D"/>
    <w:rsid w:val="007D5733"/>
    <w:rsid w:val="007D6518"/>
    <w:rsid w:val="007D6D46"/>
    <w:rsid w:val="007D76BD"/>
    <w:rsid w:val="007E0BF1"/>
    <w:rsid w:val="007F0ED8"/>
    <w:rsid w:val="007F0F63"/>
    <w:rsid w:val="007F69D9"/>
    <w:rsid w:val="007F75CE"/>
    <w:rsid w:val="008013A4"/>
    <w:rsid w:val="008027CE"/>
    <w:rsid w:val="00802F42"/>
    <w:rsid w:val="00803326"/>
    <w:rsid w:val="00804383"/>
    <w:rsid w:val="00804BB7"/>
    <w:rsid w:val="00804D41"/>
    <w:rsid w:val="00805C30"/>
    <w:rsid w:val="00810257"/>
    <w:rsid w:val="008104F5"/>
    <w:rsid w:val="00811072"/>
    <w:rsid w:val="00811369"/>
    <w:rsid w:val="0081517C"/>
    <w:rsid w:val="00815419"/>
    <w:rsid w:val="008163C8"/>
    <w:rsid w:val="00816411"/>
    <w:rsid w:val="008164A1"/>
    <w:rsid w:val="00817325"/>
    <w:rsid w:val="008209E6"/>
    <w:rsid w:val="00823303"/>
    <w:rsid w:val="008233B2"/>
    <w:rsid w:val="00823A9F"/>
    <w:rsid w:val="00823C85"/>
    <w:rsid w:val="00825138"/>
    <w:rsid w:val="008262BC"/>
    <w:rsid w:val="008269DD"/>
    <w:rsid w:val="00826D19"/>
    <w:rsid w:val="00830621"/>
    <w:rsid w:val="0083348C"/>
    <w:rsid w:val="008373D3"/>
    <w:rsid w:val="008379F0"/>
    <w:rsid w:val="00840617"/>
    <w:rsid w:val="00840F84"/>
    <w:rsid w:val="00842A47"/>
    <w:rsid w:val="00843358"/>
    <w:rsid w:val="00843C13"/>
    <w:rsid w:val="008454F8"/>
    <w:rsid w:val="008515A4"/>
    <w:rsid w:val="0085173A"/>
    <w:rsid w:val="0085565D"/>
    <w:rsid w:val="008561F5"/>
    <w:rsid w:val="00856316"/>
    <w:rsid w:val="0085646E"/>
    <w:rsid w:val="008603CE"/>
    <w:rsid w:val="008620FC"/>
    <w:rsid w:val="00862563"/>
    <w:rsid w:val="008627A5"/>
    <w:rsid w:val="00863E05"/>
    <w:rsid w:val="00865ACA"/>
    <w:rsid w:val="00865D28"/>
    <w:rsid w:val="00865F85"/>
    <w:rsid w:val="00866F9C"/>
    <w:rsid w:val="00867C10"/>
    <w:rsid w:val="00870439"/>
    <w:rsid w:val="00870DA1"/>
    <w:rsid w:val="008733DC"/>
    <w:rsid w:val="00876F32"/>
    <w:rsid w:val="00880E09"/>
    <w:rsid w:val="00883F93"/>
    <w:rsid w:val="00884DB3"/>
    <w:rsid w:val="00885A9D"/>
    <w:rsid w:val="008864F6"/>
    <w:rsid w:val="0089049D"/>
    <w:rsid w:val="008928C9"/>
    <w:rsid w:val="008930CB"/>
    <w:rsid w:val="008938DC"/>
    <w:rsid w:val="00893FD1"/>
    <w:rsid w:val="00894836"/>
    <w:rsid w:val="00895172"/>
    <w:rsid w:val="00895680"/>
    <w:rsid w:val="00896D3E"/>
    <w:rsid w:val="00896DFF"/>
    <w:rsid w:val="0089762C"/>
    <w:rsid w:val="008A1893"/>
    <w:rsid w:val="008A3215"/>
    <w:rsid w:val="008A57E6"/>
    <w:rsid w:val="008A6BD4"/>
    <w:rsid w:val="008A6F81"/>
    <w:rsid w:val="008A769A"/>
    <w:rsid w:val="008A7EA8"/>
    <w:rsid w:val="008B0C9C"/>
    <w:rsid w:val="008B166D"/>
    <w:rsid w:val="008B17F4"/>
    <w:rsid w:val="008B3615"/>
    <w:rsid w:val="008B4AC4"/>
    <w:rsid w:val="008B50C8"/>
    <w:rsid w:val="008B5281"/>
    <w:rsid w:val="008B6EA5"/>
    <w:rsid w:val="008B7E05"/>
    <w:rsid w:val="008C1797"/>
    <w:rsid w:val="008C219C"/>
    <w:rsid w:val="008C475E"/>
    <w:rsid w:val="008C619A"/>
    <w:rsid w:val="008C6DB6"/>
    <w:rsid w:val="008D0CE8"/>
    <w:rsid w:val="008D2812"/>
    <w:rsid w:val="008D2D1D"/>
    <w:rsid w:val="008D33E0"/>
    <w:rsid w:val="008D453D"/>
    <w:rsid w:val="008D53AD"/>
    <w:rsid w:val="008D562B"/>
    <w:rsid w:val="008D5733"/>
    <w:rsid w:val="008D622B"/>
    <w:rsid w:val="008D666C"/>
    <w:rsid w:val="008D7B54"/>
    <w:rsid w:val="008D7F70"/>
    <w:rsid w:val="008E0C9D"/>
    <w:rsid w:val="008E1648"/>
    <w:rsid w:val="008E1B3E"/>
    <w:rsid w:val="008E2319"/>
    <w:rsid w:val="008E4BB6"/>
    <w:rsid w:val="008E5518"/>
    <w:rsid w:val="008E6A84"/>
    <w:rsid w:val="008F0CDC"/>
    <w:rsid w:val="008F17A3"/>
    <w:rsid w:val="008F1ED3"/>
    <w:rsid w:val="008F23A5"/>
    <w:rsid w:val="008F4277"/>
    <w:rsid w:val="008F4C29"/>
    <w:rsid w:val="008F70BD"/>
    <w:rsid w:val="008F788F"/>
    <w:rsid w:val="008F7EA2"/>
    <w:rsid w:val="00901F89"/>
    <w:rsid w:val="00902722"/>
    <w:rsid w:val="009027BC"/>
    <w:rsid w:val="009062E6"/>
    <w:rsid w:val="00911BE5"/>
    <w:rsid w:val="00911C89"/>
    <w:rsid w:val="00913CA9"/>
    <w:rsid w:val="009145AE"/>
    <w:rsid w:val="009146CE"/>
    <w:rsid w:val="00914CA7"/>
    <w:rsid w:val="00915C3E"/>
    <w:rsid w:val="009161A8"/>
    <w:rsid w:val="00917748"/>
    <w:rsid w:val="0092221F"/>
    <w:rsid w:val="00924290"/>
    <w:rsid w:val="009245F5"/>
    <w:rsid w:val="009249EC"/>
    <w:rsid w:val="009273B3"/>
    <w:rsid w:val="009305B5"/>
    <w:rsid w:val="009315F4"/>
    <w:rsid w:val="00931AD8"/>
    <w:rsid w:val="00932717"/>
    <w:rsid w:val="00940285"/>
    <w:rsid w:val="009407B4"/>
    <w:rsid w:val="00940E2B"/>
    <w:rsid w:val="0094111E"/>
    <w:rsid w:val="009429D5"/>
    <w:rsid w:val="009429E4"/>
    <w:rsid w:val="00942BF1"/>
    <w:rsid w:val="00945180"/>
    <w:rsid w:val="00945428"/>
    <w:rsid w:val="0094607B"/>
    <w:rsid w:val="00951C91"/>
    <w:rsid w:val="009529D7"/>
    <w:rsid w:val="00953604"/>
    <w:rsid w:val="009545B8"/>
    <w:rsid w:val="0095496B"/>
    <w:rsid w:val="009610DC"/>
    <w:rsid w:val="00961490"/>
    <w:rsid w:val="0096381A"/>
    <w:rsid w:val="00965E04"/>
    <w:rsid w:val="009674AD"/>
    <w:rsid w:val="00967839"/>
    <w:rsid w:val="00970CDC"/>
    <w:rsid w:val="00972073"/>
    <w:rsid w:val="0097650F"/>
    <w:rsid w:val="00977010"/>
    <w:rsid w:val="00977363"/>
    <w:rsid w:val="00977D02"/>
    <w:rsid w:val="009809BB"/>
    <w:rsid w:val="009819B8"/>
    <w:rsid w:val="0098364B"/>
    <w:rsid w:val="0098633B"/>
    <w:rsid w:val="00986357"/>
    <w:rsid w:val="00987D70"/>
    <w:rsid w:val="009911AF"/>
    <w:rsid w:val="00991875"/>
    <w:rsid w:val="00991F92"/>
    <w:rsid w:val="00992985"/>
    <w:rsid w:val="009930A7"/>
    <w:rsid w:val="00993889"/>
    <w:rsid w:val="00994DAE"/>
    <w:rsid w:val="0099551B"/>
    <w:rsid w:val="00997BF1"/>
    <w:rsid w:val="00997F83"/>
    <w:rsid w:val="009A089C"/>
    <w:rsid w:val="009A118E"/>
    <w:rsid w:val="009A21CD"/>
    <w:rsid w:val="009A278C"/>
    <w:rsid w:val="009A2BC2"/>
    <w:rsid w:val="009A42C1"/>
    <w:rsid w:val="009A51EB"/>
    <w:rsid w:val="009A5429"/>
    <w:rsid w:val="009A6D7E"/>
    <w:rsid w:val="009A72AD"/>
    <w:rsid w:val="009B09E0"/>
    <w:rsid w:val="009B0BC5"/>
    <w:rsid w:val="009B1247"/>
    <w:rsid w:val="009B6029"/>
    <w:rsid w:val="009B6971"/>
    <w:rsid w:val="009C09EE"/>
    <w:rsid w:val="009C0D93"/>
    <w:rsid w:val="009C168C"/>
    <w:rsid w:val="009C27F1"/>
    <w:rsid w:val="009C3152"/>
    <w:rsid w:val="009C4057"/>
    <w:rsid w:val="009C4CFA"/>
    <w:rsid w:val="009C5070"/>
    <w:rsid w:val="009D112C"/>
    <w:rsid w:val="009D33D7"/>
    <w:rsid w:val="009D47FA"/>
    <w:rsid w:val="009D4C5B"/>
    <w:rsid w:val="009D50D2"/>
    <w:rsid w:val="009D6BCA"/>
    <w:rsid w:val="009E0019"/>
    <w:rsid w:val="009E0F62"/>
    <w:rsid w:val="009E358F"/>
    <w:rsid w:val="009E4A58"/>
    <w:rsid w:val="009E584D"/>
    <w:rsid w:val="009E5A2D"/>
    <w:rsid w:val="009E5AB2"/>
    <w:rsid w:val="009E6219"/>
    <w:rsid w:val="009F03B3"/>
    <w:rsid w:val="009F0B68"/>
    <w:rsid w:val="009F5D3A"/>
    <w:rsid w:val="00A0096C"/>
    <w:rsid w:val="00A01205"/>
    <w:rsid w:val="00A01757"/>
    <w:rsid w:val="00A028C0"/>
    <w:rsid w:val="00A02BAE"/>
    <w:rsid w:val="00A06A6B"/>
    <w:rsid w:val="00A07E47"/>
    <w:rsid w:val="00A07E95"/>
    <w:rsid w:val="00A10196"/>
    <w:rsid w:val="00A11319"/>
    <w:rsid w:val="00A129D0"/>
    <w:rsid w:val="00A12C33"/>
    <w:rsid w:val="00A138BA"/>
    <w:rsid w:val="00A14C8E"/>
    <w:rsid w:val="00A153D9"/>
    <w:rsid w:val="00A15F09"/>
    <w:rsid w:val="00A169B6"/>
    <w:rsid w:val="00A17B43"/>
    <w:rsid w:val="00A2162F"/>
    <w:rsid w:val="00A2271D"/>
    <w:rsid w:val="00A237D5"/>
    <w:rsid w:val="00A26649"/>
    <w:rsid w:val="00A30EFC"/>
    <w:rsid w:val="00A31984"/>
    <w:rsid w:val="00A32D73"/>
    <w:rsid w:val="00A3328B"/>
    <w:rsid w:val="00A3367B"/>
    <w:rsid w:val="00A3597D"/>
    <w:rsid w:val="00A36DD1"/>
    <w:rsid w:val="00A37FAA"/>
    <w:rsid w:val="00A4006C"/>
    <w:rsid w:val="00A40091"/>
    <w:rsid w:val="00A4030F"/>
    <w:rsid w:val="00A41C79"/>
    <w:rsid w:val="00A41CB5"/>
    <w:rsid w:val="00A42CDF"/>
    <w:rsid w:val="00A4452E"/>
    <w:rsid w:val="00A4472C"/>
    <w:rsid w:val="00A44E69"/>
    <w:rsid w:val="00A455B3"/>
    <w:rsid w:val="00A4661E"/>
    <w:rsid w:val="00A50DF5"/>
    <w:rsid w:val="00A51912"/>
    <w:rsid w:val="00A55BD6"/>
    <w:rsid w:val="00A55D50"/>
    <w:rsid w:val="00A57142"/>
    <w:rsid w:val="00A648CD"/>
    <w:rsid w:val="00A6537A"/>
    <w:rsid w:val="00A6602A"/>
    <w:rsid w:val="00A67111"/>
    <w:rsid w:val="00A67866"/>
    <w:rsid w:val="00A70B07"/>
    <w:rsid w:val="00A723F8"/>
    <w:rsid w:val="00A73E31"/>
    <w:rsid w:val="00A76258"/>
    <w:rsid w:val="00A77CCB"/>
    <w:rsid w:val="00A83D8D"/>
    <w:rsid w:val="00A8446B"/>
    <w:rsid w:val="00A8473F"/>
    <w:rsid w:val="00A849DB"/>
    <w:rsid w:val="00A862D6"/>
    <w:rsid w:val="00A8715E"/>
    <w:rsid w:val="00A9295B"/>
    <w:rsid w:val="00A93B09"/>
    <w:rsid w:val="00A94247"/>
    <w:rsid w:val="00A952D7"/>
    <w:rsid w:val="00A963F7"/>
    <w:rsid w:val="00A96AD8"/>
    <w:rsid w:val="00AA052C"/>
    <w:rsid w:val="00AA1E45"/>
    <w:rsid w:val="00AA3499"/>
    <w:rsid w:val="00AA4286"/>
    <w:rsid w:val="00AA456B"/>
    <w:rsid w:val="00AA57F5"/>
    <w:rsid w:val="00AA672E"/>
    <w:rsid w:val="00AA6EC9"/>
    <w:rsid w:val="00AB41D5"/>
    <w:rsid w:val="00AB6309"/>
    <w:rsid w:val="00AB6C5F"/>
    <w:rsid w:val="00AB6DE6"/>
    <w:rsid w:val="00AB7129"/>
    <w:rsid w:val="00AC27A6"/>
    <w:rsid w:val="00AC30F7"/>
    <w:rsid w:val="00AC3A5A"/>
    <w:rsid w:val="00AC45F8"/>
    <w:rsid w:val="00AC4D95"/>
    <w:rsid w:val="00AC5DF4"/>
    <w:rsid w:val="00AC71A4"/>
    <w:rsid w:val="00AD0AEF"/>
    <w:rsid w:val="00AD0E09"/>
    <w:rsid w:val="00AD11B7"/>
    <w:rsid w:val="00AD1A94"/>
    <w:rsid w:val="00AD1C05"/>
    <w:rsid w:val="00AD3BAA"/>
    <w:rsid w:val="00AD4126"/>
    <w:rsid w:val="00AD421C"/>
    <w:rsid w:val="00AD44FA"/>
    <w:rsid w:val="00AE0218"/>
    <w:rsid w:val="00AE070A"/>
    <w:rsid w:val="00AE101C"/>
    <w:rsid w:val="00AE32B1"/>
    <w:rsid w:val="00AE37E5"/>
    <w:rsid w:val="00AE4064"/>
    <w:rsid w:val="00AE4F4F"/>
    <w:rsid w:val="00AE5EB4"/>
    <w:rsid w:val="00AE621C"/>
    <w:rsid w:val="00AE7298"/>
    <w:rsid w:val="00AF026D"/>
    <w:rsid w:val="00AF0C18"/>
    <w:rsid w:val="00AF47C5"/>
    <w:rsid w:val="00AF5398"/>
    <w:rsid w:val="00B02C5E"/>
    <w:rsid w:val="00B0428D"/>
    <w:rsid w:val="00B049AF"/>
    <w:rsid w:val="00B07242"/>
    <w:rsid w:val="00B10534"/>
    <w:rsid w:val="00B113DB"/>
    <w:rsid w:val="00B11D8A"/>
    <w:rsid w:val="00B12981"/>
    <w:rsid w:val="00B147DD"/>
    <w:rsid w:val="00B156FD"/>
    <w:rsid w:val="00B21F61"/>
    <w:rsid w:val="00B261F1"/>
    <w:rsid w:val="00B265BC"/>
    <w:rsid w:val="00B30502"/>
    <w:rsid w:val="00B31FB1"/>
    <w:rsid w:val="00B327CC"/>
    <w:rsid w:val="00B33952"/>
    <w:rsid w:val="00B33C5E"/>
    <w:rsid w:val="00B342F4"/>
    <w:rsid w:val="00B34369"/>
    <w:rsid w:val="00B34DC2"/>
    <w:rsid w:val="00B378E5"/>
    <w:rsid w:val="00B41262"/>
    <w:rsid w:val="00B4346D"/>
    <w:rsid w:val="00B440F4"/>
    <w:rsid w:val="00B447A5"/>
    <w:rsid w:val="00B4654C"/>
    <w:rsid w:val="00B47293"/>
    <w:rsid w:val="00B50E50"/>
    <w:rsid w:val="00B51E98"/>
    <w:rsid w:val="00B52120"/>
    <w:rsid w:val="00B54905"/>
    <w:rsid w:val="00B54ABC"/>
    <w:rsid w:val="00B54DDE"/>
    <w:rsid w:val="00B56FBE"/>
    <w:rsid w:val="00B5764F"/>
    <w:rsid w:val="00B57ED5"/>
    <w:rsid w:val="00B6001B"/>
    <w:rsid w:val="00B60ACF"/>
    <w:rsid w:val="00B62B58"/>
    <w:rsid w:val="00B645B9"/>
    <w:rsid w:val="00B65149"/>
    <w:rsid w:val="00B65FE1"/>
    <w:rsid w:val="00B66567"/>
    <w:rsid w:val="00B66D5E"/>
    <w:rsid w:val="00B66F52"/>
    <w:rsid w:val="00B66FE5"/>
    <w:rsid w:val="00B72880"/>
    <w:rsid w:val="00B73108"/>
    <w:rsid w:val="00B733CB"/>
    <w:rsid w:val="00B737E0"/>
    <w:rsid w:val="00B74112"/>
    <w:rsid w:val="00B74A29"/>
    <w:rsid w:val="00B74F7E"/>
    <w:rsid w:val="00B758BF"/>
    <w:rsid w:val="00B76CBC"/>
    <w:rsid w:val="00B76CE6"/>
    <w:rsid w:val="00B77EC8"/>
    <w:rsid w:val="00B8062B"/>
    <w:rsid w:val="00B827A6"/>
    <w:rsid w:val="00B831C5"/>
    <w:rsid w:val="00B831CE"/>
    <w:rsid w:val="00B85967"/>
    <w:rsid w:val="00B86399"/>
    <w:rsid w:val="00B86677"/>
    <w:rsid w:val="00B87131"/>
    <w:rsid w:val="00B926F3"/>
    <w:rsid w:val="00B939B1"/>
    <w:rsid w:val="00B951A6"/>
    <w:rsid w:val="00B96134"/>
    <w:rsid w:val="00B96D40"/>
    <w:rsid w:val="00B97386"/>
    <w:rsid w:val="00BA1D37"/>
    <w:rsid w:val="00BA263B"/>
    <w:rsid w:val="00BA4169"/>
    <w:rsid w:val="00BA42B2"/>
    <w:rsid w:val="00BA58D4"/>
    <w:rsid w:val="00BA5B9E"/>
    <w:rsid w:val="00BA7C9A"/>
    <w:rsid w:val="00BB0902"/>
    <w:rsid w:val="00BB2587"/>
    <w:rsid w:val="00BB332D"/>
    <w:rsid w:val="00BB5F8F"/>
    <w:rsid w:val="00BB657A"/>
    <w:rsid w:val="00BC116A"/>
    <w:rsid w:val="00BC139F"/>
    <w:rsid w:val="00BC1A4E"/>
    <w:rsid w:val="00BC372F"/>
    <w:rsid w:val="00BC5DC7"/>
    <w:rsid w:val="00BC6B8B"/>
    <w:rsid w:val="00BC73D8"/>
    <w:rsid w:val="00BD4F3C"/>
    <w:rsid w:val="00BD52D7"/>
    <w:rsid w:val="00BD5AD2"/>
    <w:rsid w:val="00BD5E56"/>
    <w:rsid w:val="00BD790F"/>
    <w:rsid w:val="00BE22F3"/>
    <w:rsid w:val="00BE5B52"/>
    <w:rsid w:val="00BE7B8D"/>
    <w:rsid w:val="00BF0993"/>
    <w:rsid w:val="00BF10A9"/>
    <w:rsid w:val="00BF1703"/>
    <w:rsid w:val="00BF231C"/>
    <w:rsid w:val="00BF319A"/>
    <w:rsid w:val="00BF4830"/>
    <w:rsid w:val="00BF51E5"/>
    <w:rsid w:val="00BF74A6"/>
    <w:rsid w:val="00C01044"/>
    <w:rsid w:val="00C013AD"/>
    <w:rsid w:val="00C04904"/>
    <w:rsid w:val="00C056B3"/>
    <w:rsid w:val="00C103E5"/>
    <w:rsid w:val="00C11029"/>
    <w:rsid w:val="00C1160D"/>
    <w:rsid w:val="00C13319"/>
    <w:rsid w:val="00C13EE9"/>
    <w:rsid w:val="00C17F55"/>
    <w:rsid w:val="00C21540"/>
    <w:rsid w:val="00C21906"/>
    <w:rsid w:val="00C21BFA"/>
    <w:rsid w:val="00C22148"/>
    <w:rsid w:val="00C24C8D"/>
    <w:rsid w:val="00C25FE2"/>
    <w:rsid w:val="00C26B53"/>
    <w:rsid w:val="00C26E68"/>
    <w:rsid w:val="00C279B2"/>
    <w:rsid w:val="00C31C07"/>
    <w:rsid w:val="00C33E50"/>
    <w:rsid w:val="00C34C20"/>
    <w:rsid w:val="00C35A3E"/>
    <w:rsid w:val="00C373E1"/>
    <w:rsid w:val="00C40E70"/>
    <w:rsid w:val="00C42130"/>
    <w:rsid w:val="00C423A4"/>
    <w:rsid w:val="00C44684"/>
    <w:rsid w:val="00C44BF5"/>
    <w:rsid w:val="00C50ED8"/>
    <w:rsid w:val="00C521D6"/>
    <w:rsid w:val="00C52C55"/>
    <w:rsid w:val="00C52CE1"/>
    <w:rsid w:val="00C55232"/>
    <w:rsid w:val="00C553A4"/>
    <w:rsid w:val="00C55A06"/>
    <w:rsid w:val="00C55D03"/>
    <w:rsid w:val="00C56F6B"/>
    <w:rsid w:val="00C601BC"/>
    <w:rsid w:val="00C63082"/>
    <w:rsid w:val="00C6329F"/>
    <w:rsid w:val="00C63340"/>
    <w:rsid w:val="00C643F9"/>
    <w:rsid w:val="00C64E95"/>
    <w:rsid w:val="00C70F57"/>
    <w:rsid w:val="00C71372"/>
    <w:rsid w:val="00C72410"/>
    <w:rsid w:val="00C7287F"/>
    <w:rsid w:val="00C74EF3"/>
    <w:rsid w:val="00C75B50"/>
    <w:rsid w:val="00C80543"/>
    <w:rsid w:val="00C80CB8"/>
    <w:rsid w:val="00C811AD"/>
    <w:rsid w:val="00C819F8"/>
    <w:rsid w:val="00C8248C"/>
    <w:rsid w:val="00C84E33"/>
    <w:rsid w:val="00C86D6F"/>
    <w:rsid w:val="00C8750B"/>
    <w:rsid w:val="00C905FC"/>
    <w:rsid w:val="00C91CAD"/>
    <w:rsid w:val="00C92D03"/>
    <w:rsid w:val="00C9319C"/>
    <w:rsid w:val="00C9435D"/>
    <w:rsid w:val="00C94DF2"/>
    <w:rsid w:val="00C96741"/>
    <w:rsid w:val="00CA264F"/>
    <w:rsid w:val="00CA2D1B"/>
    <w:rsid w:val="00CA375D"/>
    <w:rsid w:val="00CA3956"/>
    <w:rsid w:val="00CA662A"/>
    <w:rsid w:val="00CA7AFD"/>
    <w:rsid w:val="00CA7C3C"/>
    <w:rsid w:val="00CB0189"/>
    <w:rsid w:val="00CB0BA2"/>
    <w:rsid w:val="00CB1A42"/>
    <w:rsid w:val="00CB1B0C"/>
    <w:rsid w:val="00CB2C0B"/>
    <w:rsid w:val="00CB517D"/>
    <w:rsid w:val="00CB70F5"/>
    <w:rsid w:val="00CC038D"/>
    <w:rsid w:val="00CC08DB"/>
    <w:rsid w:val="00CC207A"/>
    <w:rsid w:val="00CC2E66"/>
    <w:rsid w:val="00CC39FF"/>
    <w:rsid w:val="00CC3C2F"/>
    <w:rsid w:val="00CC4AC8"/>
    <w:rsid w:val="00CC5233"/>
    <w:rsid w:val="00CC53C2"/>
    <w:rsid w:val="00CC5DE6"/>
    <w:rsid w:val="00CC67DD"/>
    <w:rsid w:val="00CC6E4E"/>
    <w:rsid w:val="00CC6FE8"/>
    <w:rsid w:val="00CC7202"/>
    <w:rsid w:val="00CD2808"/>
    <w:rsid w:val="00CD28BF"/>
    <w:rsid w:val="00CD3F86"/>
    <w:rsid w:val="00CD4092"/>
    <w:rsid w:val="00CD4A20"/>
    <w:rsid w:val="00CD50A1"/>
    <w:rsid w:val="00CD519E"/>
    <w:rsid w:val="00CD74EE"/>
    <w:rsid w:val="00CE0C4F"/>
    <w:rsid w:val="00CE30EA"/>
    <w:rsid w:val="00CF048A"/>
    <w:rsid w:val="00CF155A"/>
    <w:rsid w:val="00CF2947"/>
    <w:rsid w:val="00CF5ACE"/>
    <w:rsid w:val="00CF686F"/>
    <w:rsid w:val="00CF6E60"/>
    <w:rsid w:val="00CF7BCA"/>
    <w:rsid w:val="00D008FD"/>
    <w:rsid w:val="00D00C72"/>
    <w:rsid w:val="00D0321C"/>
    <w:rsid w:val="00D035EC"/>
    <w:rsid w:val="00D06AB1"/>
    <w:rsid w:val="00D072ED"/>
    <w:rsid w:val="00D07A16"/>
    <w:rsid w:val="00D1067E"/>
    <w:rsid w:val="00D10F50"/>
    <w:rsid w:val="00D11272"/>
    <w:rsid w:val="00D126F5"/>
    <w:rsid w:val="00D1489E"/>
    <w:rsid w:val="00D203A2"/>
    <w:rsid w:val="00D20737"/>
    <w:rsid w:val="00D21E81"/>
    <w:rsid w:val="00D223DE"/>
    <w:rsid w:val="00D25E37"/>
    <w:rsid w:val="00D2661A"/>
    <w:rsid w:val="00D27582"/>
    <w:rsid w:val="00D27EC4"/>
    <w:rsid w:val="00D302E0"/>
    <w:rsid w:val="00D3247C"/>
    <w:rsid w:val="00D32719"/>
    <w:rsid w:val="00D33333"/>
    <w:rsid w:val="00D33457"/>
    <w:rsid w:val="00D352A2"/>
    <w:rsid w:val="00D4162B"/>
    <w:rsid w:val="00D4514F"/>
    <w:rsid w:val="00D451E2"/>
    <w:rsid w:val="00D45E89"/>
    <w:rsid w:val="00D45E8D"/>
    <w:rsid w:val="00D466AE"/>
    <w:rsid w:val="00D4734F"/>
    <w:rsid w:val="00D47B3D"/>
    <w:rsid w:val="00D51BF3"/>
    <w:rsid w:val="00D57A56"/>
    <w:rsid w:val="00D61861"/>
    <w:rsid w:val="00D62456"/>
    <w:rsid w:val="00D630A8"/>
    <w:rsid w:val="00D66846"/>
    <w:rsid w:val="00D67133"/>
    <w:rsid w:val="00D675FB"/>
    <w:rsid w:val="00D67A15"/>
    <w:rsid w:val="00D71DF5"/>
    <w:rsid w:val="00D71F25"/>
    <w:rsid w:val="00D72A9C"/>
    <w:rsid w:val="00D72B98"/>
    <w:rsid w:val="00D77031"/>
    <w:rsid w:val="00D7711A"/>
    <w:rsid w:val="00D77184"/>
    <w:rsid w:val="00D82595"/>
    <w:rsid w:val="00D84941"/>
    <w:rsid w:val="00D84FA1"/>
    <w:rsid w:val="00D851F0"/>
    <w:rsid w:val="00D855CF"/>
    <w:rsid w:val="00D86DB7"/>
    <w:rsid w:val="00D926D0"/>
    <w:rsid w:val="00D93030"/>
    <w:rsid w:val="00D950E1"/>
    <w:rsid w:val="00D952A6"/>
    <w:rsid w:val="00D979AC"/>
    <w:rsid w:val="00D97F99"/>
    <w:rsid w:val="00DA1E04"/>
    <w:rsid w:val="00DA1E08"/>
    <w:rsid w:val="00DA24F8"/>
    <w:rsid w:val="00DA28E8"/>
    <w:rsid w:val="00DA38D3"/>
    <w:rsid w:val="00DA3932"/>
    <w:rsid w:val="00DA3AFC"/>
    <w:rsid w:val="00DA64F8"/>
    <w:rsid w:val="00DA6C15"/>
    <w:rsid w:val="00DB0258"/>
    <w:rsid w:val="00DB38EE"/>
    <w:rsid w:val="00DB498B"/>
    <w:rsid w:val="00DB66CA"/>
    <w:rsid w:val="00DB6A1F"/>
    <w:rsid w:val="00DB6BCA"/>
    <w:rsid w:val="00DB73F7"/>
    <w:rsid w:val="00DC0321"/>
    <w:rsid w:val="00DC3067"/>
    <w:rsid w:val="00DC370B"/>
    <w:rsid w:val="00DC5B90"/>
    <w:rsid w:val="00DD00FF"/>
    <w:rsid w:val="00DD0619"/>
    <w:rsid w:val="00DD07FB"/>
    <w:rsid w:val="00DD1B7A"/>
    <w:rsid w:val="00DD25C6"/>
    <w:rsid w:val="00DD3459"/>
    <w:rsid w:val="00DD4FE5"/>
    <w:rsid w:val="00DD54B0"/>
    <w:rsid w:val="00DD57EE"/>
    <w:rsid w:val="00DD6BCC"/>
    <w:rsid w:val="00DE0A4B"/>
    <w:rsid w:val="00DE2410"/>
    <w:rsid w:val="00DE2939"/>
    <w:rsid w:val="00DE29F1"/>
    <w:rsid w:val="00DE3254"/>
    <w:rsid w:val="00DE6E81"/>
    <w:rsid w:val="00DE703F"/>
    <w:rsid w:val="00DE7595"/>
    <w:rsid w:val="00DF1961"/>
    <w:rsid w:val="00DF1ECB"/>
    <w:rsid w:val="00DF44DE"/>
    <w:rsid w:val="00DF5F11"/>
    <w:rsid w:val="00E01138"/>
    <w:rsid w:val="00E02DFB"/>
    <w:rsid w:val="00E030F9"/>
    <w:rsid w:val="00E0311A"/>
    <w:rsid w:val="00E03138"/>
    <w:rsid w:val="00E03AFD"/>
    <w:rsid w:val="00E03B4A"/>
    <w:rsid w:val="00E06404"/>
    <w:rsid w:val="00E06F02"/>
    <w:rsid w:val="00E11A85"/>
    <w:rsid w:val="00E12495"/>
    <w:rsid w:val="00E14704"/>
    <w:rsid w:val="00E152B9"/>
    <w:rsid w:val="00E15B0C"/>
    <w:rsid w:val="00E15CCD"/>
    <w:rsid w:val="00E176BC"/>
    <w:rsid w:val="00E202EF"/>
    <w:rsid w:val="00E210B5"/>
    <w:rsid w:val="00E23D99"/>
    <w:rsid w:val="00E254CB"/>
    <w:rsid w:val="00E2552F"/>
    <w:rsid w:val="00E30C17"/>
    <w:rsid w:val="00E3137A"/>
    <w:rsid w:val="00E322AB"/>
    <w:rsid w:val="00E32CCF"/>
    <w:rsid w:val="00E34A98"/>
    <w:rsid w:val="00E35D1E"/>
    <w:rsid w:val="00E364F9"/>
    <w:rsid w:val="00E365FA"/>
    <w:rsid w:val="00E36789"/>
    <w:rsid w:val="00E378D7"/>
    <w:rsid w:val="00E42EC3"/>
    <w:rsid w:val="00E43BC7"/>
    <w:rsid w:val="00E44A83"/>
    <w:rsid w:val="00E502C1"/>
    <w:rsid w:val="00E502DD"/>
    <w:rsid w:val="00E50D3A"/>
    <w:rsid w:val="00E51387"/>
    <w:rsid w:val="00E51E68"/>
    <w:rsid w:val="00E52B42"/>
    <w:rsid w:val="00E52EFD"/>
    <w:rsid w:val="00E532AA"/>
    <w:rsid w:val="00E5408A"/>
    <w:rsid w:val="00E56800"/>
    <w:rsid w:val="00E60C63"/>
    <w:rsid w:val="00E62FF9"/>
    <w:rsid w:val="00E635D6"/>
    <w:rsid w:val="00E639BC"/>
    <w:rsid w:val="00E664CC"/>
    <w:rsid w:val="00E70388"/>
    <w:rsid w:val="00E70F92"/>
    <w:rsid w:val="00E72C68"/>
    <w:rsid w:val="00E72CED"/>
    <w:rsid w:val="00E73696"/>
    <w:rsid w:val="00E74C54"/>
    <w:rsid w:val="00E76CD9"/>
    <w:rsid w:val="00E77A03"/>
    <w:rsid w:val="00E822E8"/>
    <w:rsid w:val="00E82554"/>
    <w:rsid w:val="00E82606"/>
    <w:rsid w:val="00E83227"/>
    <w:rsid w:val="00E846C8"/>
    <w:rsid w:val="00E84957"/>
    <w:rsid w:val="00E84A55"/>
    <w:rsid w:val="00E85073"/>
    <w:rsid w:val="00E85BFF"/>
    <w:rsid w:val="00E90391"/>
    <w:rsid w:val="00E906C2"/>
    <w:rsid w:val="00E9286B"/>
    <w:rsid w:val="00E9311F"/>
    <w:rsid w:val="00E934D1"/>
    <w:rsid w:val="00E94AF0"/>
    <w:rsid w:val="00E95D13"/>
    <w:rsid w:val="00E95DD3"/>
    <w:rsid w:val="00E969D5"/>
    <w:rsid w:val="00E971F0"/>
    <w:rsid w:val="00EA2AE8"/>
    <w:rsid w:val="00EA3067"/>
    <w:rsid w:val="00EA3F24"/>
    <w:rsid w:val="00EA432E"/>
    <w:rsid w:val="00EA58D1"/>
    <w:rsid w:val="00EA61BC"/>
    <w:rsid w:val="00EA681A"/>
    <w:rsid w:val="00EA735B"/>
    <w:rsid w:val="00EB17DE"/>
    <w:rsid w:val="00EB1E69"/>
    <w:rsid w:val="00EB2086"/>
    <w:rsid w:val="00EB465F"/>
    <w:rsid w:val="00EB5EDF"/>
    <w:rsid w:val="00EB60FE"/>
    <w:rsid w:val="00EB74DB"/>
    <w:rsid w:val="00EC1E54"/>
    <w:rsid w:val="00EC5359"/>
    <w:rsid w:val="00EC562A"/>
    <w:rsid w:val="00EC690D"/>
    <w:rsid w:val="00ED067A"/>
    <w:rsid w:val="00ED0E51"/>
    <w:rsid w:val="00ED2B50"/>
    <w:rsid w:val="00EE0350"/>
    <w:rsid w:val="00EE0719"/>
    <w:rsid w:val="00EE0E80"/>
    <w:rsid w:val="00EE279B"/>
    <w:rsid w:val="00EE54A6"/>
    <w:rsid w:val="00EE613F"/>
    <w:rsid w:val="00EE7295"/>
    <w:rsid w:val="00EE7869"/>
    <w:rsid w:val="00EF054A"/>
    <w:rsid w:val="00EF0B83"/>
    <w:rsid w:val="00EF1A0C"/>
    <w:rsid w:val="00EF2FF3"/>
    <w:rsid w:val="00EF3235"/>
    <w:rsid w:val="00EF7E72"/>
    <w:rsid w:val="00F06D37"/>
    <w:rsid w:val="00F0798A"/>
    <w:rsid w:val="00F07B9D"/>
    <w:rsid w:val="00F1060A"/>
    <w:rsid w:val="00F11586"/>
    <w:rsid w:val="00F1183B"/>
    <w:rsid w:val="00F11C9F"/>
    <w:rsid w:val="00F12263"/>
    <w:rsid w:val="00F1409D"/>
    <w:rsid w:val="00F14214"/>
    <w:rsid w:val="00F1450B"/>
    <w:rsid w:val="00F157A9"/>
    <w:rsid w:val="00F2430F"/>
    <w:rsid w:val="00F258FD"/>
    <w:rsid w:val="00F25BB6"/>
    <w:rsid w:val="00F26B7E"/>
    <w:rsid w:val="00F27A3B"/>
    <w:rsid w:val="00F32203"/>
    <w:rsid w:val="00F32656"/>
    <w:rsid w:val="00F33817"/>
    <w:rsid w:val="00F36C82"/>
    <w:rsid w:val="00F420D5"/>
    <w:rsid w:val="00F4428D"/>
    <w:rsid w:val="00F451EA"/>
    <w:rsid w:val="00F45447"/>
    <w:rsid w:val="00F456C6"/>
    <w:rsid w:val="00F4577B"/>
    <w:rsid w:val="00F45801"/>
    <w:rsid w:val="00F459C3"/>
    <w:rsid w:val="00F46496"/>
    <w:rsid w:val="00F474D0"/>
    <w:rsid w:val="00F50179"/>
    <w:rsid w:val="00F515EE"/>
    <w:rsid w:val="00F51B05"/>
    <w:rsid w:val="00F56511"/>
    <w:rsid w:val="00F568A9"/>
    <w:rsid w:val="00F56C5E"/>
    <w:rsid w:val="00F56F0B"/>
    <w:rsid w:val="00F6194E"/>
    <w:rsid w:val="00F623AC"/>
    <w:rsid w:val="00F6412A"/>
    <w:rsid w:val="00F65893"/>
    <w:rsid w:val="00F65EB5"/>
    <w:rsid w:val="00F66A4A"/>
    <w:rsid w:val="00F71E22"/>
    <w:rsid w:val="00F72142"/>
    <w:rsid w:val="00F72AE7"/>
    <w:rsid w:val="00F76BE2"/>
    <w:rsid w:val="00F80DD4"/>
    <w:rsid w:val="00F81141"/>
    <w:rsid w:val="00F833BA"/>
    <w:rsid w:val="00F84FD0"/>
    <w:rsid w:val="00F859A8"/>
    <w:rsid w:val="00F86D87"/>
    <w:rsid w:val="00F87064"/>
    <w:rsid w:val="00F9108B"/>
    <w:rsid w:val="00F91349"/>
    <w:rsid w:val="00F93A8A"/>
    <w:rsid w:val="00F95248"/>
    <w:rsid w:val="00F956A9"/>
    <w:rsid w:val="00F963ED"/>
    <w:rsid w:val="00F966CF"/>
    <w:rsid w:val="00F96CAE"/>
    <w:rsid w:val="00F97C99"/>
    <w:rsid w:val="00FA3361"/>
    <w:rsid w:val="00FA4DAC"/>
    <w:rsid w:val="00FA64E4"/>
    <w:rsid w:val="00FA662D"/>
    <w:rsid w:val="00FA73B1"/>
    <w:rsid w:val="00FB041B"/>
    <w:rsid w:val="00FB0CB9"/>
    <w:rsid w:val="00FB162C"/>
    <w:rsid w:val="00FB231D"/>
    <w:rsid w:val="00FB45F1"/>
    <w:rsid w:val="00FB4A72"/>
    <w:rsid w:val="00FB54E8"/>
    <w:rsid w:val="00FB58E3"/>
    <w:rsid w:val="00FB6A24"/>
    <w:rsid w:val="00FB7054"/>
    <w:rsid w:val="00FC17B7"/>
    <w:rsid w:val="00FC2CB7"/>
    <w:rsid w:val="00FC4090"/>
    <w:rsid w:val="00FC55B4"/>
    <w:rsid w:val="00FD00E6"/>
    <w:rsid w:val="00FD09A1"/>
    <w:rsid w:val="00FD0B19"/>
    <w:rsid w:val="00FD2A75"/>
    <w:rsid w:val="00FD2A7C"/>
    <w:rsid w:val="00FD3184"/>
    <w:rsid w:val="00FD32C7"/>
    <w:rsid w:val="00FD59EB"/>
    <w:rsid w:val="00FD7299"/>
    <w:rsid w:val="00FE00F1"/>
    <w:rsid w:val="00FE1FBE"/>
    <w:rsid w:val="00FE32B9"/>
    <w:rsid w:val="00FE3901"/>
    <w:rsid w:val="00FE39D3"/>
    <w:rsid w:val="00FE4BCE"/>
    <w:rsid w:val="00FE54AE"/>
    <w:rsid w:val="00FE576A"/>
    <w:rsid w:val="00FE7E79"/>
    <w:rsid w:val="00FF016C"/>
    <w:rsid w:val="00FF3E7D"/>
    <w:rsid w:val="00FF5989"/>
    <w:rsid w:val="00FF5B99"/>
    <w:rsid w:val="00FF730C"/>
    <w:rsid w:val="00FF73F4"/>
    <w:rsid w:val="00FF7CE4"/>
    <w:rsid w:val="00FF7E39"/>
    <w:rsid w:val="010E68BB"/>
    <w:rsid w:val="02054EE3"/>
    <w:rsid w:val="02105DD0"/>
    <w:rsid w:val="023C41F5"/>
    <w:rsid w:val="027A76EE"/>
    <w:rsid w:val="03575C81"/>
    <w:rsid w:val="03B87024"/>
    <w:rsid w:val="03DF0C09"/>
    <w:rsid w:val="03EC461B"/>
    <w:rsid w:val="03ED4C90"/>
    <w:rsid w:val="04D330E5"/>
    <w:rsid w:val="04F5536B"/>
    <w:rsid w:val="05151C19"/>
    <w:rsid w:val="06311DC5"/>
    <w:rsid w:val="06782196"/>
    <w:rsid w:val="06845204"/>
    <w:rsid w:val="06A967F3"/>
    <w:rsid w:val="07333066"/>
    <w:rsid w:val="079A3A52"/>
    <w:rsid w:val="07A46E98"/>
    <w:rsid w:val="087C7AFE"/>
    <w:rsid w:val="088C017B"/>
    <w:rsid w:val="08AA5755"/>
    <w:rsid w:val="08AB6853"/>
    <w:rsid w:val="08D519CD"/>
    <w:rsid w:val="09E92D0A"/>
    <w:rsid w:val="0AA310EC"/>
    <w:rsid w:val="0AA3568F"/>
    <w:rsid w:val="0AB80DB3"/>
    <w:rsid w:val="0B610EA8"/>
    <w:rsid w:val="0B8B28A0"/>
    <w:rsid w:val="0C2F1549"/>
    <w:rsid w:val="0C3A245F"/>
    <w:rsid w:val="0CA6506A"/>
    <w:rsid w:val="0D350DE1"/>
    <w:rsid w:val="0D6A4FA1"/>
    <w:rsid w:val="0D8F04EE"/>
    <w:rsid w:val="0D957AD2"/>
    <w:rsid w:val="0E027806"/>
    <w:rsid w:val="0E181A8A"/>
    <w:rsid w:val="0E680D42"/>
    <w:rsid w:val="0E687E7A"/>
    <w:rsid w:val="0EA24254"/>
    <w:rsid w:val="0ECD554D"/>
    <w:rsid w:val="117F160D"/>
    <w:rsid w:val="11AC7198"/>
    <w:rsid w:val="11DC5317"/>
    <w:rsid w:val="122467C5"/>
    <w:rsid w:val="123C051C"/>
    <w:rsid w:val="129E11D6"/>
    <w:rsid w:val="12CC3BAB"/>
    <w:rsid w:val="1360023A"/>
    <w:rsid w:val="137D46C4"/>
    <w:rsid w:val="13BA3196"/>
    <w:rsid w:val="13BD78BC"/>
    <w:rsid w:val="13EE1CEA"/>
    <w:rsid w:val="14190021"/>
    <w:rsid w:val="14860174"/>
    <w:rsid w:val="151B0033"/>
    <w:rsid w:val="157960C5"/>
    <w:rsid w:val="164B4E49"/>
    <w:rsid w:val="167E5FF1"/>
    <w:rsid w:val="168E1562"/>
    <w:rsid w:val="16D21E80"/>
    <w:rsid w:val="17464F72"/>
    <w:rsid w:val="179C0DD4"/>
    <w:rsid w:val="17D548FF"/>
    <w:rsid w:val="19600F94"/>
    <w:rsid w:val="199B785E"/>
    <w:rsid w:val="19A31463"/>
    <w:rsid w:val="1A4062D0"/>
    <w:rsid w:val="1A4F0F0E"/>
    <w:rsid w:val="1A9F789A"/>
    <w:rsid w:val="1AC92A69"/>
    <w:rsid w:val="1B541017"/>
    <w:rsid w:val="1C252021"/>
    <w:rsid w:val="1C784846"/>
    <w:rsid w:val="1D335D84"/>
    <w:rsid w:val="1DCB7A2E"/>
    <w:rsid w:val="1DD97567"/>
    <w:rsid w:val="1E434F41"/>
    <w:rsid w:val="1EAA05EF"/>
    <w:rsid w:val="1ED362AE"/>
    <w:rsid w:val="20543337"/>
    <w:rsid w:val="213B69BD"/>
    <w:rsid w:val="2182467D"/>
    <w:rsid w:val="21DF4B8F"/>
    <w:rsid w:val="231352C9"/>
    <w:rsid w:val="23270C12"/>
    <w:rsid w:val="2350382F"/>
    <w:rsid w:val="23847980"/>
    <w:rsid w:val="23BD69A6"/>
    <w:rsid w:val="23CC45C0"/>
    <w:rsid w:val="249D12EE"/>
    <w:rsid w:val="24AA7567"/>
    <w:rsid w:val="24D3392A"/>
    <w:rsid w:val="253634F0"/>
    <w:rsid w:val="25592D3B"/>
    <w:rsid w:val="25987D07"/>
    <w:rsid w:val="25DF0C46"/>
    <w:rsid w:val="2677791D"/>
    <w:rsid w:val="26E66850"/>
    <w:rsid w:val="277D5407"/>
    <w:rsid w:val="27DA531A"/>
    <w:rsid w:val="27F22781"/>
    <w:rsid w:val="283B1D3B"/>
    <w:rsid w:val="29022E22"/>
    <w:rsid w:val="2904099F"/>
    <w:rsid w:val="290E6E89"/>
    <w:rsid w:val="29114058"/>
    <w:rsid w:val="2920429C"/>
    <w:rsid w:val="29596641"/>
    <w:rsid w:val="297025B0"/>
    <w:rsid w:val="298F0CB3"/>
    <w:rsid w:val="29C410CB"/>
    <w:rsid w:val="29D81A29"/>
    <w:rsid w:val="2AEA6BDC"/>
    <w:rsid w:val="2B3566B0"/>
    <w:rsid w:val="2C34429F"/>
    <w:rsid w:val="2C7F39CF"/>
    <w:rsid w:val="2CA61C7A"/>
    <w:rsid w:val="2CCB6A29"/>
    <w:rsid w:val="2D2F2CFF"/>
    <w:rsid w:val="2D4C3936"/>
    <w:rsid w:val="2D4D425C"/>
    <w:rsid w:val="2DB416B1"/>
    <w:rsid w:val="2DE41CA7"/>
    <w:rsid w:val="2E206A9A"/>
    <w:rsid w:val="2E374840"/>
    <w:rsid w:val="2E450300"/>
    <w:rsid w:val="2ECD0A22"/>
    <w:rsid w:val="2F7130C3"/>
    <w:rsid w:val="2F9C7D9E"/>
    <w:rsid w:val="2FA710BF"/>
    <w:rsid w:val="304C3303"/>
    <w:rsid w:val="305940EF"/>
    <w:rsid w:val="30813DA4"/>
    <w:rsid w:val="31470958"/>
    <w:rsid w:val="316F146D"/>
    <w:rsid w:val="31DA6FD6"/>
    <w:rsid w:val="321E1594"/>
    <w:rsid w:val="32476D3D"/>
    <w:rsid w:val="32C57C62"/>
    <w:rsid w:val="33CF6D21"/>
    <w:rsid w:val="343C3F54"/>
    <w:rsid w:val="34420C73"/>
    <w:rsid w:val="34925255"/>
    <w:rsid w:val="34973C7F"/>
    <w:rsid w:val="34BD5094"/>
    <w:rsid w:val="34C558A6"/>
    <w:rsid w:val="350823BA"/>
    <w:rsid w:val="355622A5"/>
    <w:rsid w:val="357A60AF"/>
    <w:rsid w:val="35AE4228"/>
    <w:rsid w:val="35D15451"/>
    <w:rsid w:val="36533F02"/>
    <w:rsid w:val="366643CD"/>
    <w:rsid w:val="36867BE2"/>
    <w:rsid w:val="36A864C7"/>
    <w:rsid w:val="375C5F0A"/>
    <w:rsid w:val="376C3932"/>
    <w:rsid w:val="37DA399F"/>
    <w:rsid w:val="38042FD6"/>
    <w:rsid w:val="38696DDD"/>
    <w:rsid w:val="3994527F"/>
    <w:rsid w:val="3A0E6198"/>
    <w:rsid w:val="3A1B2D0E"/>
    <w:rsid w:val="3A3953EC"/>
    <w:rsid w:val="3A5C3E46"/>
    <w:rsid w:val="3AF5710F"/>
    <w:rsid w:val="3B6531A9"/>
    <w:rsid w:val="3B8F0893"/>
    <w:rsid w:val="3C2105EF"/>
    <w:rsid w:val="3C461E13"/>
    <w:rsid w:val="3CA80CC7"/>
    <w:rsid w:val="3CB444F7"/>
    <w:rsid w:val="3D346F52"/>
    <w:rsid w:val="3D87344A"/>
    <w:rsid w:val="3DFA1B76"/>
    <w:rsid w:val="3F0B2159"/>
    <w:rsid w:val="3F2D63A9"/>
    <w:rsid w:val="3F4D0F80"/>
    <w:rsid w:val="3FB55E30"/>
    <w:rsid w:val="40332B8E"/>
    <w:rsid w:val="403916BB"/>
    <w:rsid w:val="407822F5"/>
    <w:rsid w:val="40796B82"/>
    <w:rsid w:val="41073A64"/>
    <w:rsid w:val="4125763B"/>
    <w:rsid w:val="412F08A6"/>
    <w:rsid w:val="415D5411"/>
    <w:rsid w:val="418F600A"/>
    <w:rsid w:val="41A97408"/>
    <w:rsid w:val="41B43DFF"/>
    <w:rsid w:val="420D79AC"/>
    <w:rsid w:val="42802AD2"/>
    <w:rsid w:val="43082DFA"/>
    <w:rsid w:val="43191142"/>
    <w:rsid w:val="43B334E4"/>
    <w:rsid w:val="44590106"/>
    <w:rsid w:val="446948F1"/>
    <w:rsid w:val="44CB3942"/>
    <w:rsid w:val="44F16B4E"/>
    <w:rsid w:val="44FA19ED"/>
    <w:rsid w:val="452B7DF8"/>
    <w:rsid w:val="45321187"/>
    <w:rsid w:val="45F041FF"/>
    <w:rsid w:val="45FB208D"/>
    <w:rsid w:val="470B6133"/>
    <w:rsid w:val="484C15BE"/>
    <w:rsid w:val="48664DAC"/>
    <w:rsid w:val="48A66783"/>
    <w:rsid w:val="48CC7A48"/>
    <w:rsid w:val="4968161B"/>
    <w:rsid w:val="496D6C31"/>
    <w:rsid w:val="49E50EBD"/>
    <w:rsid w:val="4A5F2BCA"/>
    <w:rsid w:val="4A655B5A"/>
    <w:rsid w:val="4A856721"/>
    <w:rsid w:val="4C673E0C"/>
    <w:rsid w:val="4E772517"/>
    <w:rsid w:val="4E86609F"/>
    <w:rsid w:val="4EBC7DAA"/>
    <w:rsid w:val="4EFD0A57"/>
    <w:rsid w:val="4F986DFC"/>
    <w:rsid w:val="4FA61264"/>
    <w:rsid w:val="5003209D"/>
    <w:rsid w:val="506D3383"/>
    <w:rsid w:val="50C6541C"/>
    <w:rsid w:val="512A7A40"/>
    <w:rsid w:val="51473F06"/>
    <w:rsid w:val="51A76A58"/>
    <w:rsid w:val="52585AF8"/>
    <w:rsid w:val="527F1783"/>
    <w:rsid w:val="52EB0BC7"/>
    <w:rsid w:val="536C1D08"/>
    <w:rsid w:val="53A72D40"/>
    <w:rsid w:val="53D00867"/>
    <w:rsid w:val="53D53444"/>
    <w:rsid w:val="53E75832"/>
    <w:rsid w:val="543E7BEB"/>
    <w:rsid w:val="54901A26"/>
    <w:rsid w:val="55AF412E"/>
    <w:rsid w:val="55B26AD6"/>
    <w:rsid w:val="55BB20B9"/>
    <w:rsid w:val="56161BD4"/>
    <w:rsid w:val="56905D0D"/>
    <w:rsid w:val="56EB0E38"/>
    <w:rsid w:val="57C6723B"/>
    <w:rsid w:val="580469B3"/>
    <w:rsid w:val="583B614D"/>
    <w:rsid w:val="58433D30"/>
    <w:rsid w:val="58535244"/>
    <w:rsid w:val="58B731EA"/>
    <w:rsid w:val="58FF3E7B"/>
    <w:rsid w:val="59262959"/>
    <w:rsid w:val="593626CC"/>
    <w:rsid w:val="59995821"/>
    <w:rsid w:val="59D42852"/>
    <w:rsid w:val="59FB6B97"/>
    <w:rsid w:val="5A461504"/>
    <w:rsid w:val="5A5F25C6"/>
    <w:rsid w:val="5AE4717C"/>
    <w:rsid w:val="5B0E4A8D"/>
    <w:rsid w:val="5B4A6DD2"/>
    <w:rsid w:val="5E092A99"/>
    <w:rsid w:val="5E3C4684"/>
    <w:rsid w:val="5EE70DDC"/>
    <w:rsid w:val="60405A0D"/>
    <w:rsid w:val="60655F06"/>
    <w:rsid w:val="606F2E37"/>
    <w:rsid w:val="6075770C"/>
    <w:rsid w:val="60C158C2"/>
    <w:rsid w:val="60D07DC8"/>
    <w:rsid w:val="61482192"/>
    <w:rsid w:val="61514CCD"/>
    <w:rsid w:val="621609D0"/>
    <w:rsid w:val="62744F32"/>
    <w:rsid w:val="62FA4143"/>
    <w:rsid w:val="62FD68B3"/>
    <w:rsid w:val="63381C06"/>
    <w:rsid w:val="644A2F34"/>
    <w:rsid w:val="646675CA"/>
    <w:rsid w:val="646C1E9E"/>
    <w:rsid w:val="64E262CE"/>
    <w:rsid w:val="64FD3107"/>
    <w:rsid w:val="6516562F"/>
    <w:rsid w:val="65660CAD"/>
    <w:rsid w:val="672F460B"/>
    <w:rsid w:val="67893B83"/>
    <w:rsid w:val="679D472E"/>
    <w:rsid w:val="67BE3D42"/>
    <w:rsid w:val="67DA6633"/>
    <w:rsid w:val="688A63C1"/>
    <w:rsid w:val="6964204C"/>
    <w:rsid w:val="69801D1B"/>
    <w:rsid w:val="69C83A2A"/>
    <w:rsid w:val="69E71C90"/>
    <w:rsid w:val="69EE74C3"/>
    <w:rsid w:val="6A305469"/>
    <w:rsid w:val="6A4B66C3"/>
    <w:rsid w:val="6A576D7A"/>
    <w:rsid w:val="6ABD0474"/>
    <w:rsid w:val="6ACF0610"/>
    <w:rsid w:val="6AD430A8"/>
    <w:rsid w:val="6C044D7B"/>
    <w:rsid w:val="6C5D3BA3"/>
    <w:rsid w:val="6C9D0D2C"/>
    <w:rsid w:val="6C9F5C5A"/>
    <w:rsid w:val="6CFF5543"/>
    <w:rsid w:val="6D303445"/>
    <w:rsid w:val="6D391A82"/>
    <w:rsid w:val="6D394C17"/>
    <w:rsid w:val="6D3E250F"/>
    <w:rsid w:val="6D68133A"/>
    <w:rsid w:val="6D8170A2"/>
    <w:rsid w:val="6DA2484C"/>
    <w:rsid w:val="6E245E0F"/>
    <w:rsid w:val="6E75354B"/>
    <w:rsid w:val="6EB56801"/>
    <w:rsid w:val="6EEB3DC4"/>
    <w:rsid w:val="6EED6CA3"/>
    <w:rsid w:val="6F14478F"/>
    <w:rsid w:val="6F1A2EBA"/>
    <w:rsid w:val="6F383820"/>
    <w:rsid w:val="6F4831D1"/>
    <w:rsid w:val="6F7348BF"/>
    <w:rsid w:val="6FC13DD0"/>
    <w:rsid w:val="70035F19"/>
    <w:rsid w:val="70043D79"/>
    <w:rsid w:val="70076BE8"/>
    <w:rsid w:val="708869DE"/>
    <w:rsid w:val="71177976"/>
    <w:rsid w:val="71B72672"/>
    <w:rsid w:val="71E013F9"/>
    <w:rsid w:val="71FE6149"/>
    <w:rsid w:val="72592D74"/>
    <w:rsid w:val="72924D43"/>
    <w:rsid w:val="72ED3BC3"/>
    <w:rsid w:val="73021078"/>
    <w:rsid w:val="73463A1A"/>
    <w:rsid w:val="73A90E3E"/>
    <w:rsid w:val="73CC7E1B"/>
    <w:rsid w:val="73D77CA0"/>
    <w:rsid w:val="74237D69"/>
    <w:rsid w:val="743B159C"/>
    <w:rsid w:val="749307AE"/>
    <w:rsid w:val="74CB6B3C"/>
    <w:rsid w:val="74ED6FD6"/>
    <w:rsid w:val="74FF74A2"/>
    <w:rsid w:val="752B1153"/>
    <w:rsid w:val="752F0976"/>
    <w:rsid w:val="75705230"/>
    <w:rsid w:val="75AF26D0"/>
    <w:rsid w:val="76026A27"/>
    <w:rsid w:val="760C3105"/>
    <w:rsid w:val="7621652A"/>
    <w:rsid w:val="78417E73"/>
    <w:rsid w:val="79632C35"/>
    <w:rsid w:val="796E03AE"/>
    <w:rsid w:val="7984574E"/>
    <w:rsid w:val="7B191EC6"/>
    <w:rsid w:val="7B3715D1"/>
    <w:rsid w:val="7C3E1BE4"/>
    <w:rsid w:val="7C8D4919"/>
    <w:rsid w:val="7CDD764F"/>
    <w:rsid w:val="7D417F82"/>
    <w:rsid w:val="7DBF4FA6"/>
    <w:rsid w:val="7DCE75E7"/>
    <w:rsid w:val="7E0B01EB"/>
    <w:rsid w:val="7E1B2E11"/>
    <w:rsid w:val="7E327D58"/>
    <w:rsid w:val="7F2F3506"/>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7">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character" w:styleId="28">
    <w:name w:val="Strong"/>
    <w:qFormat/>
    <w:uiPriority w:val="22"/>
    <w:rPr>
      <w:b/>
      <w:bCs/>
    </w:rPr>
  </w:style>
  <w:style w:type="character" w:styleId="29">
    <w:name w:val="page number"/>
    <w:qFormat/>
    <w:uiPriority w:val="0"/>
    <w:rPr>
      <w:rFonts w:ascii="宋体" w:hAnsi="Times New Roman" w:eastAsia="宋体"/>
      <w:sz w:val="18"/>
    </w:rPr>
  </w:style>
  <w:style w:type="character" w:styleId="30">
    <w:name w:val="Emphasis"/>
    <w:qFormat/>
    <w:uiPriority w:val="20"/>
    <w:rPr>
      <w:i/>
      <w:iCs/>
    </w:rPr>
  </w:style>
  <w:style w:type="character" w:styleId="31">
    <w:name w:val="Hyperlink"/>
    <w:qFormat/>
    <w:uiPriority w:val="99"/>
    <w:rPr>
      <w:rFonts w:ascii="宋体" w:hAnsi="Times New Roman" w:eastAsia="宋体"/>
      <w:color w:val="auto"/>
      <w:spacing w:val="0"/>
      <w:w w:val="100"/>
      <w:position w:val="0"/>
      <w:sz w:val="21"/>
      <w:u w:val="none"/>
      <w:vertAlign w:val="baseline"/>
    </w:rPr>
  </w:style>
  <w:style w:type="character" w:styleId="32">
    <w:name w:val="footnote reference"/>
    <w:semiHidden/>
    <w:qFormat/>
    <w:uiPriority w:val="0"/>
    <w:rPr>
      <w:rFonts w:ascii="宋体" w:hAnsi="宋体" w:eastAsia="宋体" w:cs="Times New Roman"/>
      <w:spacing w:val="0"/>
      <w:sz w:val="18"/>
      <w:vertAlign w:val="superscript"/>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标题 3 Char"/>
    <w:link w:val="4"/>
    <w:qFormat/>
    <w:uiPriority w:val="0"/>
    <w:rPr>
      <w:rFonts w:ascii="Times New Roman" w:hAnsi="Times New Roman" w:eastAsia="宋体" w:cs="Times New Roman"/>
      <w:b/>
      <w:bCs/>
      <w:sz w:val="32"/>
      <w:szCs w:val="32"/>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customStyle="1"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customStyle="1" w:styleId="187">
    <w:name w:val="Placeholder Text"/>
    <w:basedOn w:val="27"/>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7"/>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7"/>
    <w:qFormat/>
    <w:uiPriority w:val="0"/>
    <w:rPr>
      <w:rFonts w:ascii="黑体" w:eastAsia="黑体"/>
      <w:spacing w:val="85"/>
      <w:w w:val="100"/>
      <w:position w:val="3"/>
      <w:sz w:val="28"/>
      <w:szCs w:val="28"/>
    </w:rPr>
  </w:style>
  <w:style w:type="paragraph" w:customStyle="1" w:styleId="231">
    <w:name w:val="参考文献"/>
    <w:basedOn w:val="1"/>
    <w:next w:val="23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3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233">
    <w:name w:val="Table Normal"/>
    <w:unhideWhenUsed/>
    <w:qFormat/>
    <w:uiPriority w:val="0"/>
    <w:tblPr>
      <w:tblLayout w:type="fixed"/>
      <w:tblCellMar>
        <w:top w:w="0" w:type="dxa"/>
        <w:left w:w="0" w:type="dxa"/>
        <w:bottom w:w="0" w:type="dxa"/>
        <w:right w:w="0" w:type="dxa"/>
      </w:tblCellMar>
    </w:tblPr>
  </w:style>
  <w:style w:type="paragraph" w:customStyle="1" w:styleId="234">
    <w:name w:val="三级条标题"/>
    <w:basedOn w:val="235"/>
    <w:next w:val="232"/>
    <w:qFormat/>
    <w:uiPriority w:val="0"/>
    <w:pPr>
      <w:numPr>
        <w:ilvl w:val="0"/>
        <w:numId w:val="0"/>
      </w:numPr>
      <w:outlineLvl w:val="4"/>
    </w:pPr>
  </w:style>
  <w:style w:type="paragraph" w:customStyle="1" w:styleId="235">
    <w:name w:val="二级条标题"/>
    <w:basedOn w:val="236"/>
    <w:next w:val="232"/>
    <w:qFormat/>
    <w:uiPriority w:val="0"/>
    <w:pPr>
      <w:numPr>
        <w:ilvl w:val="3"/>
        <w:numId w:val="32"/>
      </w:numPr>
      <w:outlineLvl w:val="3"/>
    </w:pPr>
    <w:rPr>
      <w:rFonts w:ascii="宋体" w:hAnsi="宋体" w:eastAsia="宋体"/>
      <w:szCs w:val="21"/>
    </w:rPr>
  </w:style>
  <w:style w:type="paragraph" w:customStyle="1" w:styleId="236">
    <w:name w:val="一级条标题"/>
    <w:next w:val="232"/>
    <w:qFormat/>
    <w:uiPriority w:val="0"/>
    <w:pPr>
      <w:numPr>
        <w:ilvl w:val="2"/>
        <w:numId w:val="32"/>
      </w:numPr>
      <w:outlineLvl w:val="2"/>
    </w:pPr>
    <w:rPr>
      <w:rFonts w:ascii="Times New Roman" w:hAnsi="Times New Roman" w:eastAsia="黑体" w:cs="Times New Roman"/>
      <w:sz w:val="21"/>
      <w:lang w:val="en-US" w:eastAsia="zh-CN" w:bidi="ar-SA"/>
    </w:rPr>
  </w:style>
  <w:style w:type="paragraph" w:customStyle="1" w:styleId="23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A24B37598E4C44B3A4542BFB1ED6B0"/>
        <w:style w:val=""/>
        <w:category>
          <w:name w:val="常规"/>
          <w:gallery w:val="placeholder"/>
        </w:category>
        <w:types>
          <w:type w:val="bbPlcHdr"/>
        </w:types>
        <w:behaviors>
          <w:behavior w:val="content"/>
        </w:behaviors>
        <w:description w:val=""/>
        <w:guid w:val="{79989C2A-E041-4765-BB53-35C12041E4E9}"/>
      </w:docPartPr>
      <w:docPartBody>
        <w:p>
          <w:pPr>
            <w:pStyle w:val="5"/>
          </w:pPr>
          <w:r>
            <w:rPr>
              <w:rStyle w:val="4"/>
              <w:rFonts w:hint="eastAsia"/>
            </w:rPr>
            <w:t>单击或点击此处输入文字。</w:t>
          </w:r>
        </w:p>
      </w:docPartBody>
    </w:docPart>
    <w:docPart>
      <w:docPartPr>
        <w:name w:val="BBD5103770254B94B1B8CD0EED915BE4"/>
        <w:style w:val=""/>
        <w:category>
          <w:name w:val="常规"/>
          <w:gallery w:val="placeholder"/>
        </w:category>
        <w:types>
          <w:type w:val="bbPlcHdr"/>
        </w:types>
        <w:behaviors>
          <w:behavior w:val="content"/>
        </w:behaviors>
        <w:description w:val=""/>
        <w:guid w:val="{8799ED5C-7927-4EDF-ACEF-CCD2288E1746}"/>
      </w:docPartPr>
      <w:docPartBody>
        <w:p>
          <w:pPr>
            <w:pStyle w:val="6"/>
          </w:pPr>
          <w:r>
            <w:rPr>
              <w:rStyle w:val="4"/>
              <w:rFonts w:hint="eastAsia"/>
            </w:rPr>
            <w:t>选择一项。</w:t>
          </w:r>
        </w:p>
      </w:docPartBody>
    </w:docPart>
    <w:docPart>
      <w:docPartPr>
        <w:name w:val="0F91D31E814D4B758AAE53A17DE50619"/>
        <w:style w:val=""/>
        <w:category>
          <w:name w:val="常规"/>
          <w:gallery w:val="placeholder"/>
        </w:category>
        <w:types>
          <w:type w:val="bbPlcHdr"/>
        </w:types>
        <w:behaviors>
          <w:behavior w:val="content"/>
        </w:behaviors>
        <w:description w:val=""/>
        <w:guid w:val="{EB0AB0BA-28A0-405C-B5BD-68E276F3DA7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24"/>
    <w:rsid w:val="000B5D7D"/>
    <w:rsid w:val="0010030A"/>
    <w:rsid w:val="0016578E"/>
    <w:rsid w:val="001A027C"/>
    <w:rsid w:val="001A4773"/>
    <w:rsid w:val="001E52BC"/>
    <w:rsid w:val="00316D09"/>
    <w:rsid w:val="00407024"/>
    <w:rsid w:val="00486D3D"/>
    <w:rsid w:val="00505A59"/>
    <w:rsid w:val="005C04F2"/>
    <w:rsid w:val="00647AF1"/>
    <w:rsid w:val="006A14BD"/>
    <w:rsid w:val="00701C7E"/>
    <w:rsid w:val="007A7370"/>
    <w:rsid w:val="007C5F8F"/>
    <w:rsid w:val="00814AB3"/>
    <w:rsid w:val="00834213"/>
    <w:rsid w:val="0090117A"/>
    <w:rsid w:val="00920B19"/>
    <w:rsid w:val="009A54FE"/>
    <w:rsid w:val="00AE1D06"/>
    <w:rsid w:val="00B35C3C"/>
    <w:rsid w:val="00B74518"/>
    <w:rsid w:val="00BC6D34"/>
    <w:rsid w:val="00D21695"/>
    <w:rsid w:val="00DE2AB1"/>
    <w:rsid w:val="00E5144B"/>
    <w:rsid w:val="00E53AFF"/>
    <w:rsid w:val="00EF3962"/>
    <w:rsid w:val="00FA50D3"/>
    <w:rsid w:val="00FB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63A24B37598E4C44B3A4542BFB1ED6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BD5103770254B94B1B8CD0EED915B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F91D31E814D4B758AAE53A17DE506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3FCBE36B05E94D56B94556B1204998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07A3F121E91B4BA7A6F79BD52808230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2E562F-739E-4D3E-BE1B-BAAC8843927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19</Pages>
  <Words>3121</Words>
  <Characters>3440</Characters>
  <Lines>70</Lines>
  <Paragraphs>19</Paragraphs>
  <TotalTime>5</TotalTime>
  <ScaleCrop>false</ScaleCrop>
  <LinksUpToDate>false</LinksUpToDate>
  <CharactersWithSpaces>3552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2021-11-02T05:58:00Z</dcterms:created>
  <dc:creator>Administrator</dc:creator>
  <dc:description>&lt;config cover="true" show_menu="true" version="1.0.0" doctype="SDKXY"&gt;_x000d_
&lt;/config&gt;</dc:description>
  <cp:lastModifiedBy>admin</cp:lastModifiedBy>
  <cp:lastPrinted>2023-10-24T01:35:00Z</cp:lastPrinted>
  <dcterms:modified xsi:type="dcterms:W3CDTF">2025-03-20T01:34:45Z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A0AF69E6CBA7493EBE2D7C68F136AB26</vt:lpwstr>
  </property>
  <property fmtid="{D5CDD505-2E9C-101B-9397-08002B2CF9AE}" pid="16" name="KSOTemplateDocerSaveRecord">
    <vt:lpwstr>eyJoZGlkIjoiYmMwMzhjODFiODRlMWZmNjVmNDIzZmQ2YThkYjRiY2QiLCJ1c2VySWQiOiI1MTI5MTcyNjQifQ==</vt:lpwstr>
  </property>
</Properties>
</file>