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2025</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湘莲连作障碍消减技术规程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Code of practice for reduction of continuous cropping obstacle of Hunan lotus seeds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"_Toc187824995"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_Toc187824995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"_Toc187824996"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_Toc187824996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"_Toc187824997"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_Toc187824997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"_Toc187824998"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_Toc187824998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"_Toc187824999" </w:instrText>
      </w:r>
      <w:r>
        <w:fldChar w:fldCharType="separate"/>
      </w:r>
      <w:r>
        <w:rPr>
          <w:rStyle w:val="32"/>
          <w:rFonts w:hint="eastAsia"/>
        </w:rPr>
        <w:t>4</w:t>
      </w:r>
      <w:r>
        <w:rPr>
          <w:rStyle w:val="32"/>
        </w:rPr>
        <w:t xml:space="preserve"> </w:t>
      </w:r>
      <w:r>
        <w:rPr>
          <w:rStyle w:val="32"/>
          <w:rFonts w:hint="eastAsia"/>
        </w:rPr>
        <w:t xml:space="preserve"> 消减对象</w:t>
      </w:r>
      <w:r>
        <w:rPr>
          <w:rFonts w:hint="eastAsia"/>
        </w:rPr>
        <w:tab/>
      </w:r>
      <w:r>
        <w:rPr>
          <w:rFonts w:hint="eastAsia"/>
        </w:rPr>
        <w:fldChar w:fldCharType="begin"/>
      </w:r>
      <w:r>
        <w:rPr>
          <w:rFonts w:hint="eastAsia"/>
        </w:rPr>
        <w:instrText xml:space="preserve"> </w:instrText>
      </w:r>
      <w:r>
        <w:instrText xml:space="preserve">PAGEREF _Toc187824999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"_Toc187825000" </w:instrText>
      </w:r>
      <w:r>
        <w:fldChar w:fldCharType="separate"/>
      </w:r>
      <w:r>
        <w:rPr>
          <w:rStyle w:val="32"/>
          <w:rFonts w:hint="eastAsia"/>
        </w:rPr>
        <w:t>5</w:t>
      </w:r>
      <w:r>
        <w:rPr>
          <w:rStyle w:val="32"/>
        </w:rPr>
        <w:t xml:space="preserve"> </w:t>
      </w:r>
      <w:r>
        <w:rPr>
          <w:rStyle w:val="32"/>
          <w:rFonts w:hint="eastAsia" w:ascii="Times New Roman"/>
        </w:rPr>
        <w:t xml:space="preserve"> 消减技术</w:t>
      </w:r>
      <w:r>
        <w:rPr>
          <w:rFonts w:hint="eastAsia"/>
        </w:rPr>
        <w:tab/>
      </w:r>
      <w:r>
        <w:rPr>
          <w:rFonts w:hint="eastAsia"/>
        </w:rPr>
        <w:fldChar w:fldCharType="begin"/>
      </w:r>
      <w:r>
        <w:rPr>
          <w:rFonts w:hint="eastAsia"/>
        </w:rPr>
        <w:instrText xml:space="preserve"> </w:instrText>
      </w:r>
      <w:r>
        <w:instrText xml:space="preserve">PAGEREF _Toc187825000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"_Toc187825001" </w:instrText>
      </w:r>
      <w:r>
        <w:fldChar w:fldCharType="separate"/>
      </w:r>
      <w:r>
        <w:rPr>
          <w:rStyle w:val="32"/>
          <w:rFonts w:hint="eastAsia"/>
        </w:rPr>
        <w:t>6</w:t>
      </w:r>
      <w:r>
        <w:rPr>
          <w:rStyle w:val="32"/>
        </w:rPr>
        <w:t xml:space="preserve"> </w:t>
      </w:r>
      <w:r>
        <w:rPr>
          <w:rStyle w:val="32"/>
          <w:rFonts w:hint="eastAsia" w:ascii="Times New Roman"/>
        </w:rPr>
        <w:t xml:space="preserve"> 病虫害防治</w:t>
      </w:r>
      <w:r>
        <w:rPr>
          <w:rFonts w:hint="eastAsia"/>
        </w:rPr>
        <w:tab/>
      </w:r>
      <w:r>
        <w:rPr>
          <w:rFonts w:hint="eastAsia"/>
        </w:rPr>
        <w:fldChar w:fldCharType="begin"/>
      </w:r>
      <w:r>
        <w:rPr>
          <w:rFonts w:hint="eastAsia"/>
        </w:rPr>
        <w:instrText xml:space="preserve"> </w:instrText>
      </w:r>
      <w:r>
        <w:instrText xml:space="preserve">PAGEREF _Toc187825001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"_Toc187825002" </w:instrText>
      </w:r>
      <w:r>
        <w:fldChar w:fldCharType="separate"/>
      </w:r>
      <w:r>
        <w:rPr>
          <w:rStyle w:val="32"/>
          <w:rFonts w:hint="eastAsia"/>
        </w:rPr>
        <w:t>7</w:t>
      </w:r>
      <w:r>
        <w:rPr>
          <w:rStyle w:val="32"/>
        </w:rPr>
        <w:t xml:space="preserve"> </w:t>
      </w:r>
      <w:r>
        <w:rPr>
          <w:rStyle w:val="32"/>
          <w:rFonts w:hint="eastAsia" w:ascii="Times New Roman"/>
        </w:rPr>
        <w:t xml:space="preserve"> 废弃物处理</w:t>
      </w:r>
      <w:r>
        <w:rPr>
          <w:rFonts w:hint="eastAsia"/>
        </w:rPr>
        <w:tab/>
      </w:r>
      <w:r>
        <w:rPr>
          <w:rFonts w:hint="eastAsia"/>
        </w:rPr>
        <w:fldChar w:fldCharType="begin"/>
      </w:r>
      <w:r>
        <w:rPr>
          <w:rFonts w:hint="eastAsia"/>
        </w:rPr>
        <w:instrText xml:space="preserve"> </w:instrText>
      </w:r>
      <w:r>
        <w:instrText xml:space="preserve">PAGEREF _Toc187825002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"_Toc187825003" </w:instrText>
      </w:r>
      <w:r>
        <w:fldChar w:fldCharType="separate"/>
      </w:r>
      <w:r>
        <w:rPr>
          <w:rStyle w:val="32"/>
          <w:rFonts w:hint="eastAsia"/>
        </w:rPr>
        <w:t>8</w:t>
      </w:r>
      <w:r>
        <w:rPr>
          <w:rStyle w:val="32"/>
        </w:rPr>
        <w:t xml:space="preserve"> </w:t>
      </w:r>
      <w:r>
        <w:rPr>
          <w:rStyle w:val="32"/>
          <w:rFonts w:hint="eastAsia" w:ascii="Times New Roman"/>
        </w:rPr>
        <w:t xml:space="preserve"> 档案管理</w:t>
      </w:r>
      <w:r>
        <w:rPr>
          <w:rFonts w:hint="eastAsia"/>
        </w:rPr>
        <w:tab/>
      </w:r>
      <w:r>
        <w:rPr>
          <w:rFonts w:hint="eastAsia"/>
        </w:rPr>
        <w:fldChar w:fldCharType="begin"/>
      </w:r>
      <w:r>
        <w:rPr>
          <w:rFonts w:hint="eastAsia"/>
        </w:rPr>
        <w:instrText xml:space="preserve"> </w:instrText>
      </w:r>
      <w:r>
        <w:instrText xml:space="preserve">PAGEREF _Toc187825003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"_Toc187825004" </w:instrText>
      </w:r>
      <w:r>
        <w:fldChar w:fldCharType="separate"/>
      </w:r>
      <w:r>
        <w:rPr>
          <w:rStyle w:val="32"/>
          <w:rFonts w:hint="eastAsia"/>
        </w:rPr>
        <w:t>附录A（规范性）</w:t>
      </w:r>
      <w:r>
        <w:rPr>
          <w:rStyle w:val="32"/>
        </w:rPr>
        <w:t xml:space="preserve"> </w:t>
      </w:r>
      <w:r>
        <w:rPr>
          <w:rFonts w:hint="eastAsia"/>
        </w:rPr>
        <w:tab/>
      </w:r>
      <w:r>
        <w:rPr>
          <w:rFonts w:hint="eastAsia"/>
        </w:rPr>
        <w:fldChar w:fldCharType="begin"/>
      </w:r>
      <w:r>
        <w:rPr>
          <w:rFonts w:hint="eastAsia"/>
        </w:rPr>
        <w:instrText xml:space="preserve"> </w:instrText>
      </w:r>
      <w:r>
        <w:instrText xml:space="preserve">PAGEREF _Toc187825004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"_Toc187825005" </w:instrText>
      </w:r>
      <w:r>
        <w:fldChar w:fldCharType="separate"/>
      </w:r>
      <w:r>
        <w:rPr>
          <w:rStyle w:val="32"/>
          <w:rFonts w:hint="eastAsia"/>
        </w:rPr>
        <w:t>附录B（规范性）</w:t>
      </w:r>
      <w:r>
        <w:rPr>
          <w:rStyle w:val="32"/>
        </w:rPr>
        <w:t xml:space="preserve"> </w:t>
      </w:r>
      <w:r>
        <w:rPr>
          <w:rFonts w:hint="eastAsia"/>
        </w:rPr>
        <w:tab/>
      </w:r>
      <w:r>
        <w:rPr>
          <w:rFonts w:hint="eastAsia"/>
        </w:rPr>
        <w:fldChar w:fldCharType="begin"/>
      </w:r>
      <w:r>
        <w:rPr>
          <w:rFonts w:hint="eastAsia"/>
        </w:rPr>
        <w:instrText xml:space="preserve"> </w:instrText>
      </w:r>
      <w:r>
        <w:instrText xml:space="preserve">PAGEREF _Toc187825005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560" w:after="468"/>
        <w:rPr>
          <w:rFonts w:hint="eastAsia"/>
        </w:rPr>
      </w:pPr>
      <w:bookmarkStart w:id="22" w:name="_Toc187824995"/>
      <w:bookmarkStart w:id="23" w:name="BookMark2"/>
      <w:r>
        <w:rPr>
          <w:rFonts w:hint="eastAsia"/>
          <w:spacing w:val="320"/>
        </w:rPr>
        <w:t>前</w:t>
      </w:r>
      <w:r>
        <w:rPr>
          <w:rFonts w:hint="eastAsia"/>
        </w:rP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r>
        <w:t>请注意本文件的某些内容可能涉及专利</w:t>
      </w:r>
      <w:r>
        <w:rPr>
          <w:rFonts w:hint="eastAsia"/>
        </w:rPr>
        <w:t>，</w:t>
      </w:r>
      <w:r>
        <w:t>本文件的发布机构不承担识别这些专利的责任。</w:t>
      </w:r>
    </w:p>
    <w:p>
      <w:pPr>
        <w:pStyle w:val="56"/>
        <w:ind w:firstLine="420"/>
        <w:rPr>
          <w:rFonts w:hint="eastAsia"/>
        </w:rPr>
      </w:pPr>
      <w:r>
        <w:rPr>
          <w:rFonts w:hint="eastAsia"/>
        </w:rPr>
        <w:t>本文件由湖南省农业农村厅提出。</w:t>
      </w:r>
    </w:p>
    <w:p>
      <w:pPr>
        <w:pStyle w:val="56"/>
        <w:ind w:firstLine="420"/>
        <w:rPr>
          <w:rFonts w:hint="eastAsia"/>
        </w:rPr>
      </w:pPr>
      <w:r>
        <w:rPr>
          <w:rFonts w:hint="eastAsia"/>
        </w:rPr>
        <w:t>本文件由</w:t>
      </w:r>
      <w:r>
        <w:t>湖南省农业标准化技术委员会</w:t>
      </w:r>
      <w:r>
        <w:rPr>
          <w:rFonts w:hint="eastAsia"/>
        </w:rPr>
        <w:t>归口。</w:t>
      </w:r>
    </w:p>
    <w:p>
      <w:pPr>
        <w:pStyle w:val="56"/>
        <w:ind w:firstLine="420"/>
        <w:rPr>
          <w:rFonts w:hint="eastAsia"/>
        </w:rPr>
      </w:pPr>
      <w:r>
        <w:rPr>
          <w:rFonts w:hint="eastAsia"/>
        </w:rPr>
        <w:t>本文件起草单位：</w:t>
      </w:r>
      <w:r>
        <w:t>湖南省植物保护研究所</w:t>
      </w:r>
      <w:r>
        <w:rPr>
          <w:rFonts w:hint="eastAsia"/>
        </w:rPr>
        <w:t>、</w:t>
      </w:r>
      <w:r>
        <w:t>湘潭县农业农村局湘莲发展中心</w:t>
      </w:r>
      <w:r>
        <w:rPr>
          <w:rFonts w:hint="eastAsia"/>
        </w:rPr>
        <w:t>、岳阳嘉联生态农业股份有限公司、湘潭县花石镇农业综合服务中心</w:t>
      </w:r>
      <w:r>
        <w:t>。</w:t>
      </w:r>
    </w:p>
    <w:p>
      <w:pPr>
        <w:pStyle w:val="56"/>
        <w:ind w:firstLine="420"/>
      </w:pPr>
      <w:r>
        <w:rPr>
          <w:rFonts w:hint="eastAsia"/>
        </w:rPr>
        <w:t>本文件主要起草人：魏林、梁志怀、崔看、李伟、黄洪、曾粮斌、肖俭平、郝晓斌、周金林、徐志德、唐炎英、冯新民。</w:t>
      </w:r>
    </w:p>
    <w:p>
      <w:pPr>
        <w:pStyle w:val="56"/>
        <w:ind w:firstLine="420"/>
        <w:rPr>
          <w:rFonts w:hint="eastAsia"/>
        </w:rPr>
      </w:pPr>
    </w:p>
    <w:p>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730ECCE32C94A0ABFF8DA53450FB87E"/>
        </w:placeholder>
      </w:sdtPr>
      <w:sdtContent>
        <w:p>
          <w:pPr>
            <w:pStyle w:val="177"/>
            <w:spacing w:before="3" w:beforeLines="1" w:after="686" w:afterLines="220"/>
            <w:rPr>
              <w:rFonts w:hint="eastAsia"/>
            </w:rPr>
          </w:pPr>
          <w:bookmarkStart w:id="25" w:name="NEW_STAND_NAME"/>
          <w:r>
            <w:rPr>
              <w:rFonts w:hint="eastAsia"/>
            </w:rPr>
            <w:t>湘莲连作障碍消减技术规程</w:t>
          </w:r>
        </w:p>
      </w:sdtContent>
    </w:sdt>
    <w:bookmarkEnd w:id="25"/>
    <w:p>
      <w:pPr>
        <w:pStyle w:val="104"/>
        <w:spacing w:before="312" w:after="312"/>
      </w:pPr>
      <w:bookmarkStart w:id="26" w:name="_Toc17233333"/>
      <w:bookmarkStart w:id="27" w:name="_Toc97191423"/>
      <w:bookmarkStart w:id="28" w:name="_Toc26986530"/>
      <w:bookmarkStart w:id="29" w:name="_Toc26648465"/>
      <w:bookmarkStart w:id="30" w:name="_Toc187824996"/>
      <w:bookmarkStart w:id="31" w:name="_Toc24884211"/>
      <w:bookmarkStart w:id="32" w:name="_Toc24884218"/>
      <w:bookmarkStart w:id="33" w:name="_Toc17233325"/>
      <w:bookmarkStart w:id="34" w:name="_Toc26986771"/>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rPr>
          <w:rFonts w:hint="eastAsia"/>
        </w:rPr>
      </w:pPr>
      <w:bookmarkStart w:id="36" w:name="_Toc24884212"/>
      <w:bookmarkStart w:id="37" w:name="_Toc17233326"/>
      <w:bookmarkStart w:id="38" w:name="_Toc17233334"/>
      <w:bookmarkStart w:id="39" w:name="_Toc24884219"/>
      <w:bookmarkStart w:id="40" w:name="_Toc26648466"/>
      <w:r>
        <w:rPr>
          <w:rFonts w:hint="eastAsia"/>
        </w:rPr>
        <w:t>本文件规定了湘莲连作障碍消减对象、土壤处理、种藕选择与处理、病虫害防治、档案管理等技术要求。</w:t>
      </w:r>
    </w:p>
    <w:p>
      <w:pPr>
        <w:pStyle w:val="56"/>
        <w:ind w:firstLine="420"/>
      </w:pPr>
      <w:r>
        <w:rPr>
          <w:rFonts w:hint="eastAsia"/>
        </w:rPr>
        <w:t>本文件适用于湘莲种植区连作障碍的消减。</w:t>
      </w:r>
    </w:p>
    <w:p>
      <w:pPr>
        <w:pStyle w:val="104"/>
        <w:spacing w:before="312" w:after="312"/>
      </w:pPr>
      <w:bookmarkStart w:id="41" w:name="_Toc26718931"/>
      <w:bookmarkStart w:id="42" w:name="_Toc26986772"/>
      <w:bookmarkStart w:id="43" w:name="_Toc97191424"/>
      <w:bookmarkStart w:id="44" w:name="_Toc26986531"/>
      <w:bookmarkStart w:id="45" w:name="_Toc187824997"/>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2F0C5681E8046259D64C145DD254D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GB/T 8321（所有部分）农药合理使用准则</w:t>
      </w:r>
    </w:p>
    <w:p>
      <w:pPr>
        <w:pStyle w:val="56"/>
        <w:ind w:firstLine="420"/>
        <w:rPr>
          <w:rFonts w:ascii="Times New Roman"/>
        </w:rPr>
      </w:pPr>
      <w:r>
        <w:rPr>
          <w:rFonts w:ascii="Times New Roman"/>
        </w:rPr>
        <w:t>DB43/T 2667-2023 子莲-油菜轮作高效栽培技术规程</w:t>
      </w:r>
    </w:p>
    <w:p>
      <w:pPr>
        <w:pStyle w:val="104"/>
        <w:spacing w:before="312" w:after="312"/>
      </w:pPr>
      <w:bookmarkStart w:id="46" w:name="_Toc187824998"/>
      <w:bookmarkStart w:id="47" w:name="_Toc97191425"/>
      <w:r>
        <w:rPr>
          <w:rFonts w:hint="eastAsia"/>
          <w:szCs w:val="21"/>
        </w:rPr>
        <w:t>术语和定义</w:t>
      </w:r>
      <w:bookmarkEnd w:id="46"/>
      <w:bookmarkEnd w:id="47"/>
    </w:p>
    <w:sdt>
      <w:sdtPr>
        <w:id w:val="-1909835108"/>
        <w:placeholder>
          <w:docPart w:val="4DD1A44EEE3E4ABEB57CB1C8DEA45C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183"/>
        <w:numPr>
          <w:ilvl w:val="0"/>
          <w:numId w:val="0"/>
        </w:numPr>
        <w:rPr>
          <w:rFonts w:hint="eastAsia"/>
          <w:b/>
          <w:bCs/>
          <w:sz w:val="21"/>
          <w:szCs w:val="21"/>
          <w:lang w:val="en-US" w:eastAsia="zh-CN"/>
        </w:rPr>
      </w:pPr>
      <w:r>
        <w:rPr>
          <w:rFonts w:hint="eastAsia"/>
          <w:b/>
          <w:bCs/>
          <w:sz w:val="21"/>
          <w:szCs w:val="21"/>
          <w:lang w:val="en-US" w:eastAsia="zh-CN"/>
        </w:rPr>
        <w:t xml:space="preserve">3.1 </w:t>
      </w:r>
    </w:p>
    <w:p>
      <w:pPr>
        <w:pStyle w:val="183"/>
        <w:numPr>
          <w:ilvl w:val="0"/>
          <w:numId w:val="0"/>
        </w:numPr>
        <w:ind w:firstLine="421" w:firstLineChars="200"/>
        <w:rPr>
          <w:b/>
          <w:bCs/>
          <w:sz w:val="21"/>
          <w:szCs w:val="21"/>
        </w:rPr>
      </w:pPr>
      <w:bookmarkStart w:id="58" w:name="_GoBack"/>
      <w:bookmarkEnd w:id="58"/>
      <w:r>
        <w:rPr>
          <w:rFonts w:hint="eastAsia"/>
          <w:b/>
          <w:bCs/>
          <w:sz w:val="21"/>
          <w:szCs w:val="21"/>
        </w:rPr>
        <w:t>连作障碍 continuous cropping obstacle</w:t>
      </w:r>
    </w:p>
    <w:p>
      <w:pPr>
        <w:pStyle w:val="56"/>
        <w:ind w:firstLine="420"/>
        <w:rPr>
          <w:rFonts w:ascii="Times New Roman"/>
        </w:rPr>
      </w:pPr>
      <w:r>
        <w:rPr>
          <w:rFonts w:ascii="Times New Roman"/>
        </w:rPr>
        <w:t>指连续在同一土壤上栽培同种作物或近缘作物引起的作物生长发育异常。这种障碍会导致作物生长发育不良、产量降低、品质变劣甚至绝收等现象。</w:t>
      </w:r>
    </w:p>
    <w:p>
      <w:pPr>
        <w:pStyle w:val="104"/>
        <w:spacing w:before="312" w:after="312"/>
      </w:pPr>
      <w:bookmarkStart w:id="49" w:name="_Toc187824999"/>
      <w:r>
        <w:rPr>
          <w:rFonts w:hint="eastAsia"/>
        </w:rPr>
        <w:t>消减对象</w:t>
      </w:r>
      <w:bookmarkEnd w:id="49"/>
    </w:p>
    <w:p>
      <w:pPr>
        <w:pStyle w:val="56"/>
        <w:ind w:firstLine="420"/>
        <w:rPr>
          <w:rFonts w:hint="eastAsia"/>
        </w:rPr>
      </w:pPr>
      <w:r>
        <w:rPr>
          <w:rFonts w:hint="eastAsia"/>
        </w:rPr>
        <w:t>连续种植2年及以上且存在连作障碍的莲田。</w:t>
      </w:r>
    </w:p>
    <w:p>
      <w:pPr>
        <w:pStyle w:val="104"/>
        <w:spacing w:before="312" w:after="312"/>
        <w:rPr>
          <w:rFonts w:ascii="Times New Roman"/>
        </w:rPr>
      </w:pPr>
      <w:bookmarkStart w:id="50" w:name="_Toc187825000"/>
      <w:r>
        <w:rPr>
          <w:rFonts w:ascii="Times New Roman"/>
        </w:rPr>
        <w:t>消减技术</w:t>
      </w:r>
      <w:bookmarkEnd w:id="50"/>
    </w:p>
    <w:p>
      <w:pPr>
        <w:pStyle w:val="223"/>
        <w:rPr>
          <w:rFonts w:ascii="Times New Roman" w:eastAsia="黑体"/>
        </w:rPr>
      </w:pPr>
      <w:r>
        <w:rPr>
          <w:rFonts w:ascii="Times New Roman" w:eastAsia="黑体"/>
        </w:rPr>
        <w:t>覆水越冬</w:t>
      </w:r>
    </w:p>
    <w:p>
      <w:pPr>
        <w:pStyle w:val="56"/>
        <w:ind w:firstLine="420"/>
        <w:rPr>
          <w:rFonts w:ascii="Times New Roman"/>
        </w:rPr>
      </w:pPr>
      <w:r>
        <w:rPr>
          <w:rFonts w:ascii="Times New Roman"/>
        </w:rPr>
        <w:t>连作田宜田间覆水15 cm</w:t>
      </w:r>
      <w:r>
        <w:rPr>
          <w:rFonts w:hint="eastAsia" w:ascii="Times New Roman"/>
        </w:rPr>
        <w:t>~</w:t>
      </w:r>
      <w:r>
        <w:rPr>
          <w:rFonts w:ascii="Times New Roman"/>
        </w:rPr>
        <w:t>20 cm越冬减少腐败病初侵染菌源。</w:t>
      </w:r>
    </w:p>
    <w:p>
      <w:pPr>
        <w:pStyle w:val="223"/>
        <w:rPr>
          <w:rFonts w:ascii="Times New Roman" w:eastAsia="黑体"/>
        </w:rPr>
      </w:pPr>
      <w:r>
        <w:rPr>
          <w:rFonts w:ascii="Times New Roman" w:eastAsia="黑体"/>
        </w:rPr>
        <w:t>土壤消毒</w:t>
      </w:r>
    </w:p>
    <w:p>
      <w:pPr>
        <w:pStyle w:val="56"/>
        <w:ind w:firstLine="420"/>
        <w:rPr>
          <w:rFonts w:ascii="Times New Roman"/>
        </w:rPr>
      </w:pPr>
      <w:r>
        <w:rPr>
          <w:rFonts w:ascii="Times New Roman"/>
        </w:rPr>
        <w:t>连作藕田每2</w:t>
      </w:r>
      <w:r>
        <w:rPr>
          <w:rFonts w:hint="eastAsia" w:ascii="Times New Roman"/>
        </w:rPr>
        <w:t>~</w:t>
      </w:r>
      <w:r>
        <w:rPr>
          <w:rFonts w:ascii="Times New Roman"/>
        </w:rPr>
        <w:t>3年，结合翻耕整地，按每667 m</w:t>
      </w:r>
      <w:r>
        <w:rPr>
          <w:rFonts w:ascii="Times New Roman"/>
          <w:vertAlign w:val="superscript"/>
        </w:rPr>
        <w:t>2</w:t>
      </w:r>
      <w:r>
        <w:rPr>
          <w:rFonts w:ascii="Times New Roman"/>
        </w:rPr>
        <w:t xml:space="preserve"> 满田撒施80 kg生石灰，翻地耙平后，再施水3 cm</w:t>
      </w:r>
      <w:r>
        <w:rPr>
          <w:rFonts w:hint="eastAsia" w:ascii="Times New Roman"/>
        </w:rPr>
        <w:t>~</w:t>
      </w:r>
      <w:r>
        <w:rPr>
          <w:rFonts w:ascii="Times New Roman"/>
        </w:rPr>
        <w:t>5 cm，让水自然渗透入田。</w:t>
      </w:r>
    </w:p>
    <w:p>
      <w:pPr>
        <w:pStyle w:val="223"/>
        <w:ind w:left="420" w:hanging="420" w:hangingChars="200"/>
        <w:rPr>
          <w:rFonts w:ascii="Times New Roman" w:eastAsia="黑体"/>
        </w:rPr>
      </w:pPr>
      <w:r>
        <w:rPr>
          <w:rFonts w:ascii="Times New Roman" w:eastAsia="黑体"/>
        </w:rPr>
        <w:t>种藕选择与消毒</w:t>
      </w:r>
    </w:p>
    <w:p>
      <w:pPr>
        <w:pStyle w:val="224"/>
        <w:rPr>
          <w:rFonts w:ascii="Times New Roman"/>
        </w:rPr>
      </w:pPr>
      <w:r>
        <w:rPr>
          <w:rFonts w:ascii="Times New Roman" w:eastAsia="黑体"/>
        </w:rPr>
        <w:t>种藕选择</w:t>
      </w:r>
    </w:p>
    <w:p>
      <w:pPr>
        <w:pStyle w:val="224"/>
        <w:numPr>
          <w:ilvl w:val="0"/>
          <w:numId w:val="0"/>
        </w:numPr>
        <w:ind w:firstLine="420" w:firstLineChars="200"/>
        <w:rPr>
          <w:rFonts w:ascii="Times New Roman"/>
        </w:rPr>
      </w:pPr>
      <w:r>
        <w:rPr>
          <w:rFonts w:ascii="Times New Roman"/>
        </w:rPr>
        <w:t>单个藕支至少具有1个完整顶芽、2个节间和3个节，未受病虫为害，无损伤，完整、新鲜。</w:t>
      </w:r>
    </w:p>
    <w:p>
      <w:pPr>
        <w:pStyle w:val="224"/>
        <w:rPr>
          <w:rFonts w:ascii="Times New Roman" w:eastAsia="黑体"/>
        </w:rPr>
      </w:pPr>
      <w:r>
        <w:rPr>
          <w:rFonts w:ascii="Times New Roman" w:eastAsia="黑体"/>
        </w:rPr>
        <w:t>种藕消毒</w:t>
      </w:r>
    </w:p>
    <w:p>
      <w:pPr>
        <w:pStyle w:val="56"/>
        <w:ind w:firstLine="420"/>
        <w:rPr>
          <w:rFonts w:ascii="Times New Roman"/>
        </w:rPr>
      </w:pPr>
      <w:r>
        <w:rPr>
          <w:rFonts w:ascii="Times New Roman"/>
        </w:rPr>
        <w:t>在种植藕田中，每</w:t>
      </w:r>
      <w:r>
        <w:rPr>
          <w:rFonts w:hint="eastAsia" w:ascii="Times New Roman"/>
        </w:rPr>
        <w:t>667 m</w:t>
      </w:r>
      <w:r>
        <w:rPr>
          <w:rFonts w:hint="eastAsia" w:ascii="Times New Roman"/>
          <w:vertAlign w:val="superscript"/>
        </w:rPr>
        <w:t>2</w:t>
      </w:r>
      <w:r>
        <w:rPr>
          <w:rFonts w:ascii="Times New Roman"/>
        </w:rPr>
        <w:t>建4个水氹，规格为1.5</w:t>
      </w:r>
      <w:r>
        <w:rPr>
          <w:rFonts w:hint="eastAsia" w:ascii="Times New Roman"/>
        </w:rPr>
        <w:t xml:space="preserve"> </w:t>
      </w:r>
      <w:r>
        <w:rPr>
          <w:rFonts w:ascii="Times New Roman"/>
        </w:rPr>
        <w:t>m×2 m×30 cm，每池内放药剂99％噁霉灵原粉和50％多菌灵可湿性粉剂，使得噁霉灵终浓度为3000倍液，多菌灵终浓度为1000倍液，再放入种藕40枝，浸泡1 h～2 h消毒。</w:t>
      </w:r>
    </w:p>
    <w:p>
      <w:pPr>
        <w:pStyle w:val="223"/>
        <w:rPr>
          <w:rFonts w:ascii="Times New Roman" w:eastAsia="黑体"/>
        </w:rPr>
      </w:pPr>
      <w:r>
        <w:rPr>
          <w:rFonts w:ascii="Times New Roman" w:eastAsia="黑体"/>
        </w:rPr>
        <w:t>土壤改良</w:t>
      </w:r>
    </w:p>
    <w:p>
      <w:pPr>
        <w:pStyle w:val="224"/>
        <w:rPr>
          <w:rFonts w:ascii="Times New Roman" w:eastAsia="黑体"/>
        </w:rPr>
      </w:pPr>
      <w:r>
        <w:rPr>
          <w:rFonts w:ascii="Times New Roman" w:eastAsia="黑体"/>
        </w:rPr>
        <w:t>莲-油菜套作</w:t>
      </w:r>
    </w:p>
    <w:p>
      <w:pPr>
        <w:pStyle w:val="225"/>
        <w:rPr>
          <w:rFonts w:ascii="Times New Roman" w:eastAsia="黑体"/>
        </w:rPr>
      </w:pPr>
      <w:r>
        <w:rPr>
          <w:rFonts w:ascii="Times New Roman" w:eastAsia="黑体"/>
        </w:rPr>
        <w:t>油菜播种前整地与施肥</w:t>
      </w:r>
    </w:p>
    <w:p>
      <w:pPr>
        <w:pStyle w:val="56"/>
        <w:ind w:firstLine="420"/>
        <w:rPr>
          <w:rFonts w:ascii="Times New Roman"/>
        </w:rPr>
      </w:pPr>
      <w:r>
        <w:rPr>
          <w:rFonts w:ascii="Times New Roman"/>
        </w:rPr>
        <w:t>10月上旬莲田莲蓬收获后，用旋耕机旋耕莲田表土层10 cm左右，整地时要削高补低，使田面整平、土壤细碎、土质松软。按包沟2 m（即厢面宽1.67 m、沟宽0.33 m）左右进行开沟整地；开好三沟，其中畦沟深0.2 m、腰沟深0.3 m、围沟深0.4 m。</w:t>
      </w:r>
    </w:p>
    <w:p>
      <w:pPr>
        <w:pStyle w:val="56"/>
        <w:ind w:firstLine="420"/>
        <w:rPr>
          <w:rFonts w:ascii="Times New Roman"/>
        </w:rPr>
      </w:pPr>
      <w:r>
        <w:rPr>
          <w:rFonts w:ascii="Times New Roman"/>
        </w:rPr>
        <w:t>结合整地，每667 m</w:t>
      </w:r>
      <w:r>
        <w:rPr>
          <w:rFonts w:ascii="Times New Roman"/>
          <w:vertAlign w:val="superscript"/>
        </w:rPr>
        <w:t>2</w:t>
      </w:r>
      <w:r>
        <w:rPr>
          <w:rFonts w:ascii="Times New Roman"/>
        </w:rPr>
        <w:t>施入N、P、K比例为15:15:15的复合肥30 kg，另加硼肥1 kg。</w:t>
      </w:r>
    </w:p>
    <w:p>
      <w:pPr>
        <w:pStyle w:val="225"/>
        <w:rPr>
          <w:rFonts w:ascii="Times New Roman" w:eastAsia="黑体"/>
        </w:rPr>
      </w:pPr>
      <w:r>
        <w:rPr>
          <w:rFonts w:ascii="Times New Roman" w:eastAsia="黑体"/>
        </w:rPr>
        <w:t>油菜播种</w:t>
      </w:r>
    </w:p>
    <w:p>
      <w:pPr>
        <w:pStyle w:val="56"/>
        <w:ind w:firstLine="420"/>
        <w:rPr>
          <w:rFonts w:ascii="Times New Roman"/>
        </w:rPr>
      </w:pPr>
      <w:r>
        <w:rPr>
          <w:rFonts w:ascii="Times New Roman"/>
        </w:rPr>
        <w:t>油菜直播播种时田土应保持湿润，每667 m</w:t>
      </w:r>
      <w:r>
        <w:rPr>
          <w:rFonts w:ascii="Times New Roman"/>
          <w:vertAlign w:val="superscript"/>
        </w:rPr>
        <w:t>2</w:t>
      </w:r>
      <w:r>
        <w:rPr>
          <w:rFonts w:ascii="Times New Roman"/>
        </w:rPr>
        <w:t>撒播用种量300 g</w:t>
      </w:r>
      <w:r>
        <w:rPr>
          <w:rFonts w:hint="eastAsia" w:ascii="Times New Roman"/>
        </w:rPr>
        <w:t>~</w:t>
      </w:r>
      <w:r>
        <w:rPr>
          <w:rFonts w:ascii="Times New Roman"/>
        </w:rPr>
        <w:t>400 g。4 片</w:t>
      </w:r>
      <w:r>
        <w:rPr>
          <w:rFonts w:hint="eastAsia" w:ascii="Times New Roman"/>
        </w:rPr>
        <w:t>~</w:t>
      </w:r>
      <w:r>
        <w:rPr>
          <w:rFonts w:ascii="Times New Roman"/>
        </w:rPr>
        <w:t>5 片真叶时定苗，一般早播的每667 m</w:t>
      </w:r>
      <w:r>
        <w:rPr>
          <w:rFonts w:ascii="Times New Roman"/>
          <w:vertAlign w:val="superscript"/>
        </w:rPr>
        <w:t>2</w:t>
      </w:r>
      <w:r>
        <w:rPr>
          <w:rFonts w:ascii="Times New Roman"/>
        </w:rPr>
        <w:t>留足2 万株</w:t>
      </w:r>
      <w:r>
        <w:rPr>
          <w:rFonts w:hint="eastAsia" w:ascii="Times New Roman"/>
        </w:rPr>
        <w:t>~</w:t>
      </w:r>
      <w:r>
        <w:rPr>
          <w:rFonts w:ascii="Times New Roman"/>
        </w:rPr>
        <w:t>2.5 万株成苗，迟播的留苗3 万株以上。</w:t>
      </w:r>
    </w:p>
    <w:p>
      <w:pPr>
        <w:pStyle w:val="225"/>
        <w:ind w:left="420" w:hanging="420" w:hangingChars="200"/>
        <w:rPr>
          <w:rFonts w:ascii="Times New Roman" w:eastAsia="黑体"/>
        </w:rPr>
      </w:pPr>
      <w:r>
        <w:rPr>
          <w:rFonts w:ascii="Times New Roman" w:eastAsia="黑体"/>
        </w:rPr>
        <w:t>肥水管理</w:t>
      </w:r>
    </w:p>
    <w:p>
      <w:pPr>
        <w:pStyle w:val="56"/>
        <w:ind w:firstLine="420"/>
        <w:rPr>
          <w:rFonts w:ascii="Times New Roman"/>
        </w:rPr>
      </w:pPr>
      <w:r>
        <w:rPr>
          <w:rFonts w:ascii="Times New Roman"/>
        </w:rPr>
        <w:t>套作莲田肥水按非套作莲田日常管理，油菜生长期间肥水参照DB43/T 2667—2023执行。</w:t>
      </w:r>
    </w:p>
    <w:p>
      <w:pPr>
        <w:pStyle w:val="224"/>
        <w:ind w:left="420" w:hanging="420" w:hangingChars="200"/>
        <w:rPr>
          <w:rFonts w:ascii="Times New Roman" w:eastAsia="黑体"/>
        </w:rPr>
      </w:pPr>
      <w:r>
        <w:rPr>
          <w:rFonts w:ascii="Times New Roman" w:eastAsia="黑体"/>
        </w:rPr>
        <w:t>莲-紫云英套作</w:t>
      </w:r>
    </w:p>
    <w:p>
      <w:pPr>
        <w:pStyle w:val="225"/>
        <w:rPr>
          <w:rFonts w:ascii="Times New Roman" w:eastAsia="黑体"/>
        </w:rPr>
      </w:pPr>
      <w:r>
        <w:rPr>
          <w:rFonts w:ascii="Times New Roman" w:eastAsia="黑体"/>
        </w:rPr>
        <w:t>紫云英播种</w:t>
      </w:r>
    </w:p>
    <w:p>
      <w:pPr>
        <w:pStyle w:val="56"/>
        <w:ind w:firstLine="420"/>
        <w:rPr>
          <w:rFonts w:ascii="Times New Roman"/>
        </w:rPr>
      </w:pPr>
      <w:r>
        <w:rPr>
          <w:rFonts w:ascii="Times New Roman"/>
        </w:rPr>
        <w:t>10月上旬莲田莲蓬收获后，用旋耕机旋耕莲田表土层10 cm左右，使田面整平、土壤细碎、土质松软后，按每667 m</w:t>
      </w:r>
      <w:r>
        <w:rPr>
          <w:rFonts w:ascii="Times New Roman"/>
          <w:vertAlign w:val="superscript"/>
        </w:rPr>
        <w:t>2</w:t>
      </w:r>
      <w:r>
        <w:rPr>
          <w:rFonts w:ascii="Times New Roman"/>
        </w:rPr>
        <w:t>用种3 kg</w:t>
      </w:r>
      <w:r>
        <w:rPr>
          <w:rFonts w:hint="eastAsia" w:ascii="Times New Roman"/>
        </w:rPr>
        <w:t>~</w:t>
      </w:r>
      <w:r>
        <w:rPr>
          <w:rFonts w:ascii="Times New Roman"/>
        </w:rPr>
        <w:t>5 kg的量全田均匀撒播。</w:t>
      </w:r>
    </w:p>
    <w:p>
      <w:pPr>
        <w:pStyle w:val="225"/>
        <w:ind w:left="420" w:hanging="420" w:hangingChars="200"/>
        <w:rPr>
          <w:rFonts w:ascii="Times New Roman" w:eastAsia="黑体"/>
        </w:rPr>
      </w:pPr>
      <w:r>
        <w:rPr>
          <w:rFonts w:ascii="Times New Roman" w:eastAsia="黑体"/>
        </w:rPr>
        <w:t>紫云英返田</w:t>
      </w:r>
    </w:p>
    <w:p>
      <w:pPr>
        <w:pStyle w:val="56"/>
        <w:ind w:firstLine="420"/>
        <w:rPr>
          <w:rFonts w:ascii="Times New Roman"/>
        </w:rPr>
      </w:pPr>
      <w:r>
        <w:rPr>
          <w:rFonts w:ascii="Times New Roman"/>
        </w:rPr>
        <w:t>翌年4月初，结合莲田整地，将盛花期的紫云英翻入田中。</w:t>
      </w:r>
    </w:p>
    <w:p>
      <w:pPr>
        <w:pStyle w:val="224"/>
        <w:ind w:left="420" w:hanging="420" w:hangingChars="200"/>
        <w:rPr>
          <w:rFonts w:ascii="Times New Roman" w:eastAsia="黑体"/>
        </w:rPr>
      </w:pPr>
      <w:r>
        <w:rPr>
          <w:rFonts w:ascii="Times New Roman" w:eastAsia="黑体"/>
        </w:rPr>
        <w:t>增施有机（微生物菌）肥</w:t>
      </w:r>
    </w:p>
    <w:p>
      <w:pPr>
        <w:pStyle w:val="56"/>
        <w:ind w:firstLine="420"/>
        <w:rPr>
          <w:rFonts w:ascii="Times New Roman"/>
        </w:rPr>
      </w:pPr>
      <w:r>
        <w:rPr>
          <w:rFonts w:ascii="Times New Roman"/>
        </w:rPr>
        <w:t xml:space="preserve">结合莲田整地每667 </w:t>
      </w:r>
      <w:r>
        <w:rPr>
          <w:rFonts w:hint="eastAsia" w:ascii="Times New Roman"/>
        </w:rPr>
        <w:t>m</w:t>
      </w:r>
      <w:r>
        <w:rPr>
          <w:rFonts w:hint="eastAsia" w:ascii="Times New Roman"/>
          <w:vertAlign w:val="superscript"/>
        </w:rPr>
        <w:t>2</w:t>
      </w:r>
      <w:r>
        <w:rPr>
          <w:rFonts w:ascii="Times New Roman"/>
        </w:rPr>
        <w:t>藕田施商品生物有机肥500 ㎏</w:t>
      </w:r>
      <w:r>
        <w:rPr>
          <w:rFonts w:hint="eastAsia" w:ascii="Times New Roman"/>
        </w:rPr>
        <w:t>~</w:t>
      </w:r>
      <w:r>
        <w:rPr>
          <w:rFonts w:ascii="Times New Roman"/>
        </w:rPr>
        <w:t>600 ㎏、腐熟菜籽饼肥100 ㎏</w:t>
      </w:r>
      <w:r>
        <w:rPr>
          <w:rFonts w:hint="eastAsia" w:ascii="Times New Roman"/>
        </w:rPr>
        <w:t>~</w:t>
      </w:r>
      <w:r>
        <w:rPr>
          <w:rFonts w:ascii="Times New Roman"/>
        </w:rPr>
        <w:t>150 ㎏、过磷酸钙20 kg</w:t>
      </w:r>
      <w:r>
        <w:rPr>
          <w:rFonts w:hint="eastAsia" w:ascii="Times New Roman"/>
        </w:rPr>
        <w:t>~</w:t>
      </w:r>
      <w:r>
        <w:rPr>
          <w:rFonts w:ascii="Times New Roman"/>
        </w:rPr>
        <w:t>25 kg。</w:t>
      </w:r>
    </w:p>
    <w:p>
      <w:pPr>
        <w:pStyle w:val="104"/>
        <w:spacing w:before="312" w:after="312"/>
        <w:rPr>
          <w:rFonts w:ascii="Times New Roman"/>
        </w:rPr>
      </w:pPr>
      <w:bookmarkStart w:id="51" w:name="_Toc187825001"/>
      <w:r>
        <w:rPr>
          <w:rFonts w:ascii="Times New Roman"/>
        </w:rPr>
        <w:t>病虫害防治</w:t>
      </w:r>
      <w:bookmarkEnd w:id="51"/>
    </w:p>
    <w:p>
      <w:pPr>
        <w:pStyle w:val="223"/>
        <w:rPr>
          <w:rFonts w:ascii="Times New Roman" w:eastAsia="黑体"/>
        </w:rPr>
      </w:pPr>
      <w:r>
        <w:rPr>
          <w:rFonts w:ascii="Times New Roman" w:eastAsia="黑体"/>
        </w:rPr>
        <w:t>主要病虫草害</w:t>
      </w:r>
    </w:p>
    <w:p>
      <w:pPr>
        <w:pStyle w:val="56"/>
        <w:ind w:firstLine="420"/>
        <w:rPr>
          <w:rFonts w:ascii="Times New Roman"/>
        </w:rPr>
      </w:pPr>
      <w:r>
        <w:rPr>
          <w:rFonts w:ascii="Times New Roman"/>
        </w:rPr>
        <w:t>主要病害有腐败病、叶斑病、脐黑腐病等。</w:t>
      </w:r>
    </w:p>
    <w:p>
      <w:pPr>
        <w:pStyle w:val="56"/>
        <w:ind w:firstLine="420"/>
        <w:rPr>
          <w:rFonts w:ascii="Times New Roman"/>
        </w:rPr>
      </w:pPr>
      <w:r>
        <w:rPr>
          <w:rFonts w:ascii="Times New Roman"/>
        </w:rPr>
        <w:t>主要虫害有蚜虫、斜纹夜蛾等。</w:t>
      </w:r>
    </w:p>
    <w:p>
      <w:pPr>
        <w:pStyle w:val="223"/>
        <w:rPr>
          <w:rFonts w:ascii="Times New Roman" w:eastAsia="黑体"/>
        </w:rPr>
      </w:pPr>
      <w:r>
        <w:rPr>
          <w:rFonts w:ascii="Times New Roman" w:eastAsia="黑体"/>
        </w:rPr>
        <w:t>防治原则</w:t>
      </w:r>
    </w:p>
    <w:p>
      <w:pPr>
        <w:pStyle w:val="56"/>
        <w:ind w:firstLine="420"/>
        <w:rPr>
          <w:rFonts w:ascii="Times New Roman"/>
        </w:rPr>
      </w:pPr>
      <w:r>
        <w:rPr>
          <w:rFonts w:ascii="Times New Roman"/>
        </w:rPr>
        <w:t>按照</w:t>
      </w:r>
      <w:r>
        <w:rPr>
          <w:rFonts w:hint="eastAsia" w:ascii="Times New Roman"/>
        </w:rPr>
        <w:t>“</w:t>
      </w:r>
      <w:r>
        <w:rPr>
          <w:rFonts w:ascii="Times New Roman"/>
        </w:rPr>
        <w:t>预防为主、综合防治”的植保方针，坚持“以农业防治、物理防治、生物防治为主，化学药剂防治为辅</w:t>
      </w:r>
      <w:r>
        <w:rPr>
          <w:rFonts w:hint="eastAsia" w:ascii="Times New Roman"/>
        </w:rPr>
        <w:t>”</w:t>
      </w:r>
      <w:r>
        <w:rPr>
          <w:rFonts w:ascii="Times New Roman"/>
        </w:rPr>
        <w:t>的原则。</w:t>
      </w:r>
    </w:p>
    <w:p>
      <w:pPr>
        <w:pStyle w:val="223"/>
        <w:rPr>
          <w:rFonts w:ascii="Times New Roman" w:eastAsia="黑体"/>
        </w:rPr>
      </w:pPr>
      <w:r>
        <w:rPr>
          <w:rFonts w:ascii="Times New Roman" w:eastAsia="黑体"/>
        </w:rPr>
        <w:t>防治措施</w:t>
      </w:r>
    </w:p>
    <w:p>
      <w:pPr>
        <w:pStyle w:val="224"/>
        <w:rPr>
          <w:rFonts w:ascii="Times New Roman" w:eastAsia="黑体"/>
        </w:rPr>
      </w:pPr>
      <w:r>
        <w:rPr>
          <w:rFonts w:ascii="Times New Roman" w:eastAsia="黑体"/>
        </w:rPr>
        <w:t>农业防治</w:t>
      </w:r>
    </w:p>
    <w:p>
      <w:pPr>
        <w:pStyle w:val="56"/>
        <w:ind w:firstLine="420"/>
        <w:rPr>
          <w:rFonts w:ascii="Times New Roman"/>
        </w:rPr>
      </w:pPr>
      <w:r>
        <w:rPr>
          <w:rFonts w:ascii="Times New Roman"/>
        </w:rPr>
        <w:t>与水稻等进行轮作；田中覆浅水越冬；清除田间杂草减少病虫害越冬场所；斜纹夜蛾产卵高峰期至初孵期，在低龄幼虫集中为害时，人工摘除卵块和初孵幼虫为害叶片，带出田外集中销毁；合理安排种植茬口避免与斜纹夜蛾寄主作物连作。</w:t>
      </w:r>
    </w:p>
    <w:p>
      <w:pPr>
        <w:pStyle w:val="224"/>
        <w:rPr>
          <w:rFonts w:ascii="Times New Roman" w:eastAsia="黑体"/>
        </w:rPr>
      </w:pPr>
      <w:r>
        <w:rPr>
          <w:rFonts w:ascii="Times New Roman" w:eastAsia="黑体"/>
        </w:rPr>
        <w:t>理化诱控</w:t>
      </w:r>
    </w:p>
    <w:p>
      <w:pPr>
        <w:pStyle w:val="56"/>
        <w:ind w:firstLine="420"/>
        <w:rPr>
          <w:rFonts w:ascii="Times New Roman"/>
        </w:rPr>
      </w:pPr>
      <w:r>
        <w:rPr>
          <w:rFonts w:ascii="Times New Roman"/>
        </w:rPr>
        <w:t>利用杀虫灯或性引诱剂诱杀斜纹夜蛾成虫。</w:t>
      </w:r>
    </w:p>
    <w:p>
      <w:pPr>
        <w:pStyle w:val="224"/>
        <w:rPr>
          <w:rFonts w:ascii="Times New Roman" w:eastAsia="黑体"/>
        </w:rPr>
      </w:pPr>
      <w:r>
        <w:rPr>
          <w:rFonts w:ascii="Times New Roman" w:eastAsia="黑体"/>
        </w:rPr>
        <w:t>化学防治</w:t>
      </w:r>
    </w:p>
    <w:p>
      <w:pPr>
        <w:pStyle w:val="56"/>
        <w:ind w:firstLine="420"/>
        <w:rPr>
          <w:rFonts w:ascii="Times New Roman"/>
        </w:rPr>
      </w:pPr>
      <w:r>
        <w:rPr>
          <w:rFonts w:ascii="Times New Roman"/>
        </w:rPr>
        <w:t>农药使用应符合GB/T 8321（所有部分）要求，主要防治方法见附录A</w:t>
      </w:r>
      <w:r>
        <w:rPr>
          <w:rFonts w:hint="eastAsia" w:ascii="Times New Roman"/>
        </w:rPr>
        <w:t>。</w:t>
      </w:r>
    </w:p>
    <w:p>
      <w:pPr>
        <w:pStyle w:val="104"/>
        <w:spacing w:before="312" w:after="312"/>
        <w:rPr>
          <w:rFonts w:ascii="Times New Roman"/>
        </w:rPr>
      </w:pPr>
      <w:bookmarkStart w:id="52" w:name="_Toc187825002"/>
      <w:r>
        <w:rPr>
          <w:rFonts w:ascii="Times New Roman"/>
        </w:rPr>
        <w:t>废弃物处理</w:t>
      </w:r>
      <w:bookmarkEnd w:id="52"/>
    </w:p>
    <w:p>
      <w:pPr>
        <w:pStyle w:val="56"/>
        <w:ind w:firstLine="420"/>
        <w:rPr>
          <w:rFonts w:ascii="Times New Roman"/>
        </w:rPr>
      </w:pPr>
      <w:r>
        <w:rPr>
          <w:rFonts w:ascii="Times New Roman"/>
        </w:rPr>
        <w:t>农药包装等废弃物统一回收并集中处理。</w:t>
      </w:r>
    </w:p>
    <w:p>
      <w:pPr>
        <w:pStyle w:val="104"/>
        <w:spacing w:before="312" w:after="312"/>
        <w:rPr>
          <w:rFonts w:ascii="Times New Roman"/>
        </w:rPr>
      </w:pPr>
      <w:bookmarkStart w:id="53" w:name="_Toc187825003"/>
      <w:r>
        <w:rPr>
          <w:rFonts w:ascii="Times New Roman"/>
        </w:rPr>
        <w:t>档案管理</w:t>
      </w:r>
      <w:bookmarkEnd w:id="53"/>
    </w:p>
    <w:p>
      <w:pPr>
        <w:pStyle w:val="56"/>
        <w:ind w:firstLine="420"/>
        <w:rPr>
          <w:rFonts w:ascii="Times New Roman"/>
        </w:rPr>
      </w:pPr>
      <w:r>
        <w:rPr>
          <w:rFonts w:ascii="Times New Roman"/>
        </w:rPr>
        <w:t>湘莲连作障碍消减过程应建立档案记录（见附录B），档案应放在干燥、防潮的地方并由专人管理，保存2年以上。</w:t>
      </w:r>
    </w:p>
    <w:p>
      <w:pPr>
        <w:pStyle w:val="56"/>
        <w:ind w:firstLine="420"/>
        <w:rPr>
          <w:rFonts w:ascii="Times New Roman"/>
        </w:rPr>
        <w:sectPr>
          <w:pgSz w:w="11906" w:h="16838"/>
          <w:pgMar w:top="1928" w:right="1134" w:bottom="1134" w:left="1134" w:header="1418" w:footer="1134" w:gutter="284"/>
          <w:pgNumType w:start="1"/>
          <w:cols w:space="425" w:num="1"/>
          <w:formProt w:val="0"/>
          <w:docGrid w:type="lines" w:linePitch="312" w:charSpace="0"/>
        </w:sectPr>
      </w:pPr>
    </w:p>
    <w:bookmarkEnd w:id="24"/>
    <w:p>
      <w:pPr>
        <w:pStyle w:val="198"/>
      </w:pPr>
      <w:bookmarkStart w:id="54" w:name="BookMark5"/>
    </w:p>
    <w:p>
      <w:pPr>
        <w:pStyle w:val="199"/>
      </w:pPr>
    </w:p>
    <w:p>
      <w:pPr>
        <w:pStyle w:val="76"/>
        <w:spacing w:after="156"/>
        <w:ind w:left="0"/>
      </w:pPr>
      <w:r>
        <w:br w:type="textWrapping"/>
      </w:r>
      <w:bookmarkStart w:id="55" w:name="_Toc187825004"/>
      <w:r>
        <w:rPr>
          <w:rFonts w:hint="eastAsia"/>
        </w:rPr>
        <w:t>（规范性）</w:t>
      </w:r>
      <w:bookmarkEnd w:id="55"/>
    </w:p>
    <w:p>
      <w:pPr>
        <w:pStyle w:val="77"/>
        <w:spacing w:before="156" w:after="156"/>
        <w:rPr>
          <w:rFonts w:hint="eastAsia"/>
        </w:rPr>
      </w:pPr>
      <w:r>
        <w:rPr>
          <w:rFonts w:hint="eastAsia"/>
        </w:rPr>
        <w:t>湘莲主要病虫草害防治药剂及使用方法</w:t>
      </w:r>
    </w:p>
    <w:tbl>
      <w:tblPr>
        <w:tblStyle w:val="27"/>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2"/>
        <w:gridCol w:w="2334"/>
        <w:gridCol w:w="2334"/>
        <w:gridCol w:w="2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2" w:type="dxa"/>
            <w:tcBorders>
              <w:top w:val="single" w:color="auto" w:sz="8" w:space="0"/>
              <w:bottom w:val="single" w:color="auto" w:sz="8" w:space="0"/>
            </w:tcBorders>
            <w:shd w:val="clear" w:color="auto" w:fill="auto"/>
            <w:vAlign w:val="center"/>
          </w:tcPr>
          <w:p>
            <w:pPr>
              <w:pStyle w:val="178"/>
            </w:pPr>
          </w:p>
        </w:tc>
        <w:tc>
          <w:tcPr>
            <w:tcW w:w="2334" w:type="dxa"/>
            <w:tcBorders>
              <w:top w:val="single" w:color="auto" w:sz="8" w:space="0"/>
              <w:bottom w:val="single" w:color="auto" w:sz="8" w:space="0"/>
            </w:tcBorders>
            <w:shd w:val="clear" w:color="auto" w:fill="auto"/>
            <w:vAlign w:val="center"/>
          </w:tcPr>
          <w:p>
            <w:pPr>
              <w:pStyle w:val="178"/>
              <w:rPr>
                <w:rFonts w:hint="eastAsia"/>
              </w:rPr>
            </w:pPr>
            <w:r>
              <w:rPr>
                <w:rFonts w:hint="eastAsia"/>
              </w:rPr>
              <w:t>防治药剂</w:t>
            </w:r>
          </w:p>
        </w:tc>
        <w:tc>
          <w:tcPr>
            <w:tcW w:w="2334" w:type="dxa"/>
            <w:tcBorders>
              <w:top w:val="single" w:color="auto" w:sz="8" w:space="0"/>
              <w:bottom w:val="single" w:color="auto" w:sz="8" w:space="0"/>
            </w:tcBorders>
            <w:shd w:val="clear" w:color="auto" w:fill="auto"/>
            <w:vAlign w:val="center"/>
          </w:tcPr>
          <w:p>
            <w:pPr>
              <w:pStyle w:val="178"/>
              <w:rPr>
                <w:rFonts w:hint="eastAsia"/>
              </w:rPr>
            </w:pPr>
            <w:r>
              <w:rPr>
                <w:rFonts w:hint="eastAsia"/>
              </w:rPr>
              <w:t>使用剂量</w:t>
            </w:r>
          </w:p>
        </w:tc>
        <w:tc>
          <w:tcPr>
            <w:tcW w:w="2488" w:type="dxa"/>
            <w:tcBorders>
              <w:top w:val="single" w:color="auto" w:sz="8" w:space="0"/>
              <w:bottom w:val="single" w:color="auto" w:sz="8" w:space="0"/>
            </w:tcBorders>
            <w:shd w:val="clear" w:color="auto" w:fill="auto"/>
            <w:vAlign w:val="center"/>
          </w:tcPr>
          <w:p>
            <w:pPr>
              <w:pStyle w:val="178"/>
              <w:ind w:firstLine="180" w:firstLineChars="100"/>
              <w:rPr>
                <w:rFonts w:hint="eastAsia"/>
              </w:rPr>
            </w:pPr>
            <w:r>
              <w:rPr>
                <w:rFonts w:hint="eastAsia"/>
              </w:rPr>
              <w:t>使用方法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restart"/>
            <w:tcBorders>
              <w:top w:val="single" w:color="auto" w:sz="8" w:space="0"/>
            </w:tcBorders>
            <w:shd w:val="clear" w:color="auto" w:fill="auto"/>
            <w:vAlign w:val="center"/>
          </w:tcPr>
          <w:p>
            <w:pPr>
              <w:pStyle w:val="178"/>
            </w:pPr>
            <w:r>
              <w:rPr>
                <w:rFonts w:hint="eastAsia"/>
              </w:rPr>
              <w:t>腐败病</w:t>
            </w:r>
          </w:p>
        </w:tc>
        <w:tc>
          <w:tcPr>
            <w:tcW w:w="2334" w:type="dxa"/>
            <w:tcBorders>
              <w:top w:val="single" w:color="auto" w:sz="8" w:space="0"/>
            </w:tcBorders>
            <w:shd w:val="clear" w:color="auto" w:fill="auto"/>
            <w:vAlign w:val="center"/>
          </w:tcPr>
          <w:p>
            <w:pPr>
              <w:pStyle w:val="178"/>
            </w:pPr>
            <w:r>
              <w:rPr>
                <w:rFonts w:hint="eastAsia"/>
              </w:rPr>
              <w:t>99％噁霉灵原药</w:t>
            </w:r>
          </w:p>
        </w:tc>
        <w:tc>
          <w:tcPr>
            <w:tcW w:w="2334" w:type="dxa"/>
            <w:tcBorders>
              <w:top w:val="single" w:color="auto" w:sz="8" w:space="0"/>
            </w:tcBorders>
            <w:shd w:val="clear" w:color="auto" w:fill="auto"/>
            <w:vAlign w:val="center"/>
          </w:tcPr>
          <w:p>
            <w:pPr>
              <w:pStyle w:val="178"/>
            </w:pPr>
            <w:r>
              <w:rPr>
                <w:rFonts w:hint="eastAsia"/>
              </w:rPr>
              <w:t>100～150克/亩</w:t>
            </w:r>
          </w:p>
        </w:tc>
        <w:tc>
          <w:tcPr>
            <w:tcW w:w="2488" w:type="dxa"/>
            <w:vMerge w:val="restart"/>
            <w:tcBorders>
              <w:top w:val="single" w:color="auto" w:sz="8" w:space="0"/>
            </w:tcBorders>
            <w:shd w:val="clear" w:color="auto" w:fill="auto"/>
            <w:vAlign w:val="center"/>
          </w:tcPr>
          <w:p>
            <w:pPr>
              <w:pStyle w:val="178"/>
              <w:ind w:firstLine="180" w:firstLineChars="100"/>
              <w:jc w:val="left"/>
            </w:pPr>
            <w:r>
              <w:rPr>
                <w:rFonts w:hint="eastAsia"/>
              </w:rPr>
              <w:t>药剂拌细土25～30千克，堆闷3～4小时后制成药土团塞于浅水发病藕兜中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50% 多菌灵可湿性粉剂</w:t>
            </w:r>
          </w:p>
        </w:tc>
        <w:tc>
          <w:tcPr>
            <w:tcW w:w="2334" w:type="dxa"/>
            <w:shd w:val="clear" w:color="auto" w:fill="auto"/>
            <w:vAlign w:val="center"/>
          </w:tcPr>
          <w:p>
            <w:pPr>
              <w:pStyle w:val="178"/>
            </w:pPr>
            <w:r>
              <w:rPr>
                <w:rFonts w:hint="eastAsia"/>
              </w:rPr>
              <w:t>500克/亩</w:t>
            </w:r>
          </w:p>
        </w:tc>
        <w:tc>
          <w:tcPr>
            <w:tcW w:w="2488" w:type="dxa"/>
            <w:vMerge w:val="continue"/>
            <w:shd w:val="clear" w:color="auto" w:fill="auto"/>
            <w:vAlign w:val="center"/>
          </w:tcPr>
          <w:p>
            <w:pPr>
              <w:pStyle w:val="178"/>
              <w:ind w:firstLine="180" w:firstLineChars="100"/>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restart"/>
            <w:shd w:val="clear" w:color="auto" w:fill="auto"/>
            <w:vAlign w:val="center"/>
          </w:tcPr>
          <w:p>
            <w:pPr>
              <w:pStyle w:val="178"/>
            </w:pPr>
            <w:r>
              <w:rPr>
                <w:rFonts w:hint="eastAsia"/>
              </w:rPr>
              <w:t>叶斑病</w:t>
            </w:r>
          </w:p>
        </w:tc>
        <w:tc>
          <w:tcPr>
            <w:tcW w:w="2334" w:type="dxa"/>
            <w:shd w:val="clear" w:color="auto" w:fill="auto"/>
            <w:vAlign w:val="center"/>
          </w:tcPr>
          <w:p>
            <w:pPr>
              <w:pStyle w:val="178"/>
            </w:pPr>
            <w:r>
              <w:rPr>
                <w:rFonts w:hint="eastAsia"/>
              </w:rPr>
              <w:t>30% 嘧菌酯悬浮剂</w:t>
            </w:r>
          </w:p>
        </w:tc>
        <w:tc>
          <w:tcPr>
            <w:tcW w:w="2334" w:type="dxa"/>
            <w:shd w:val="clear" w:color="auto" w:fill="auto"/>
            <w:vAlign w:val="center"/>
          </w:tcPr>
          <w:p>
            <w:pPr>
              <w:pStyle w:val="178"/>
            </w:pPr>
            <w:r>
              <w:rPr>
                <w:rFonts w:hint="eastAsia"/>
              </w:rPr>
              <w:t>稀释1800～2400倍液</w:t>
            </w:r>
          </w:p>
        </w:tc>
        <w:tc>
          <w:tcPr>
            <w:tcW w:w="2488" w:type="dxa"/>
            <w:vMerge w:val="restart"/>
            <w:shd w:val="clear" w:color="auto" w:fill="auto"/>
            <w:vAlign w:val="center"/>
          </w:tcPr>
          <w:p>
            <w:pPr>
              <w:pStyle w:val="178"/>
              <w:ind w:firstLine="180" w:firstLineChars="100"/>
              <w:jc w:val="left"/>
            </w:pPr>
            <w:r>
              <w:rPr>
                <w:rFonts w:hint="eastAsia"/>
              </w:rPr>
              <w:t>于病害发生前或初期施药，间隔7天，喷药2～3次，对莲藕茎、叶均匀喷雾，药后保水2天。安全间隔期21天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25% 嘧菌酯悬浮剂</w:t>
            </w:r>
          </w:p>
        </w:tc>
        <w:tc>
          <w:tcPr>
            <w:tcW w:w="2334" w:type="dxa"/>
            <w:shd w:val="clear" w:color="auto" w:fill="auto"/>
            <w:vAlign w:val="center"/>
          </w:tcPr>
          <w:p>
            <w:pPr>
              <w:pStyle w:val="178"/>
            </w:pPr>
            <w:r>
              <w:rPr>
                <w:rFonts w:hint="eastAsia"/>
              </w:rPr>
              <w:t>稀释1500倍液</w:t>
            </w:r>
          </w:p>
        </w:tc>
        <w:tc>
          <w:tcPr>
            <w:tcW w:w="2488" w:type="dxa"/>
            <w:vMerge w:val="continue"/>
            <w:shd w:val="clear" w:color="auto" w:fill="auto"/>
            <w:vAlign w:val="center"/>
          </w:tcPr>
          <w:p>
            <w:pPr>
              <w:pStyle w:val="178"/>
              <w:ind w:firstLine="180" w:firstLineChars="100"/>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250克/升 嘧菌酯悬浮剂</w:t>
            </w:r>
          </w:p>
        </w:tc>
        <w:tc>
          <w:tcPr>
            <w:tcW w:w="2334" w:type="dxa"/>
            <w:shd w:val="clear" w:color="auto" w:fill="auto"/>
            <w:vAlign w:val="center"/>
          </w:tcPr>
          <w:p>
            <w:pPr>
              <w:pStyle w:val="178"/>
            </w:pPr>
            <w:r>
              <w:rPr>
                <w:rFonts w:hint="eastAsia"/>
              </w:rPr>
              <w:t>稀释1500倍液</w:t>
            </w:r>
          </w:p>
        </w:tc>
        <w:tc>
          <w:tcPr>
            <w:tcW w:w="2488" w:type="dxa"/>
            <w:vMerge w:val="continue"/>
            <w:shd w:val="clear" w:color="auto" w:fill="auto"/>
            <w:vAlign w:val="center"/>
          </w:tcPr>
          <w:p>
            <w:pPr>
              <w:pStyle w:val="178"/>
              <w:ind w:firstLine="180" w:firstLineChars="100"/>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80% 多菌灵可湿性粉剂</w:t>
            </w:r>
          </w:p>
        </w:tc>
        <w:tc>
          <w:tcPr>
            <w:tcW w:w="2334" w:type="dxa"/>
            <w:shd w:val="clear" w:color="auto" w:fill="auto"/>
            <w:vAlign w:val="center"/>
          </w:tcPr>
          <w:p>
            <w:pPr>
              <w:pStyle w:val="178"/>
            </w:pPr>
            <w:r>
              <w:rPr>
                <w:rFonts w:hint="eastAsia"/>
              </w:rPr>
              <w:t>30～37克/亩</w:t>
            </w:r>
          </w:p>
        </w:tc>
        <w:tc>
          <w:tcPr>
            <w:tcW w:w="2488" w:type="dxa"/>
            <w:vMerge w:val="restart"/>
            <w:shd w:val="clear" w:color="auto" w:fill="auto"/>
            <w:vAlign w:val="center"/>
          </w:tcPr>
          <w:p>
            <w:pPr>
              <w:pStyle w:val="178"/>
              <w:ind w:firstLine="180" w:firstLineChars="100"/>
              <w:jc w:val="left"/>
              <w:rPr>
                <w:rFonts w:hint="eastAsia"/>
              </w:rPr>
            </w:pPr>
            <w:r>
              <w:rPr>
                <w:rFonts w:hint="eastAsia"/>
              </w:rPr>
              <w:t>在莲藕叶斑病初发前期均匀喷雾，兑水40升/亩，连用2～3次，安全间隔期为21天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50% 多菌灵可湿性粉剂</w:t>
            </w:r>
          </w:p>
        </w:tc>
        <w:tc>
          <w:tcPr>
            <w:tcW w:w="2334" w:type="dxa"/>
            <w:shd w:val="clear" w:color="auto" w:fill="auto"/>
            <w:vAlign w:val="center"/>
          </w:tcPr>
          <w:p>
            <w:pPr>
              <w:pStyle w:val="178"/>
            </w:pPr>
            <w:r>
              <w:rPr>
                <w:rFonts w:hint="eastAsia"/>
              </w:rPr>
              <w:t>50～60克/亩</w:t>
            </w:r>
          </w:p>
        </w:tc>
        <w:tc>
          <w:tcPr>
            <w:tcW w:w="2488" w:type="dxa"/>
            <w:vMerge w:val="continue"/>
            <w:shd w:val="clear" w:color="auto" w:fill="auto"/>
            <w:vAlign w:val="center"/>
          </w:tcPr>
          <w:p>
            <w:pPr>
              <w:pStyle w:val="178"/>
              <w:ind w:firstLine="180" w:firstLineChars="100"/>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250克/升 丙环唑乳油</w:t>
            </w:r>
          </w:p>
        </w:tc>
        <w:tc>
          <w:tcPr>
            <w:tcW w:w="2334" w:type="dxa"/>
            <w:shd w:val="clear" w:color="auto" w:fill="auto"/>
            <w:vAlign w:val="center"/>
          </w:tcPr>
          <w:p>
            <w:pPr>
              <w:pStyle w:val="178"/>
            </w:pPr>
            <w:r>
              <w:rPr>
                <w:rFonts w:hint="eastAsia"/>
              </w:rPr>
              <w:t>20～30毫升/亩</w:t>
            </w:r>
          </w:p>
        </w:tc>
        <w:tc>
          <w:tcPr>
            <w:tcW w:w="2488" w:type="dxa"/>
            <w:vMerge w:val="restart"/>
            <w:shd w:val="clear" w:color="auto" w:fill="auto"/>
            <w:vAlign w:val="center"/>
          </w:tcPr>
          <w:p>
            <w:pPr>
              <w:pStyle w:val="178"/>
              <w:ind w:firstLine="180" w:firstLineChars="100"/>
              <w:jc w:val="left"/>
              <w:rPr>
                <w:rFonts w:hint="eastAsia"/>
              </w:rPr>
            </w:pPr>
            <w:r>
              <w:rPr>
                <w:rFonts w:hint="eastAsia"/>
              </w:rPr>
              <w:t>按推荐剂量，于发病初期施药，兑水均匀喷雾，每季最多使用3次，安全间隔期21天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25% 丙环唑乳油</w:t>
            </w:r>
          </w:p>
        </w:tc>
        <w:tc>
          <w:tcPr>
            <w:tcW w:w="2334" w:type="dxa"/>
            <w:shd w:val="clear" w:color="auto" w:fill="auto"/>
            <w:vAlign w:val="center"/>
          </w:tcPr>
          <w:p>
            <w:pPr>
              <w:pStyle w:val="178"/>
            </w:pPr>
            <w:r>
              <w:rPr>
                <w:rFonts w:hint="eastAsia"/>
              </w:rPr>
              <w:t>20～30毫升/亩</w:t>
            </w:r>
          </w:p>
        </w:tc>
        <w:tc>
          <w:tcPr>
            <w:tcW w:w="2488" w:type="dxa"/>
            <w:vMerge w:val="continue"/>
            <w:shd w:val="clear" w:color="auto" w:fill="auto"/>
            <w:vAlign w:val="center"/>
          </w:tcPr>
          <w:p>
            <w:pPr>
              <w:pStyle w:val="178"/>
              <w:ind w:firstLine="180" w:firstLineChars="100"/>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restart"/>
            <w:shd w:val="clear" w:color="auto" w:fill="auto"/>
            <w:vAlign w:val="center"/>
          </w:tcPr>
          <w:p>
            <w:pPr>
              <w:pStyle w:val="178"/>
              <w:rPr>
                <w:rFonts w:hint="eastAsia"/>
              </w:rPr>
            </w:pPr>
            <w:r>
              <w:rPr>
                <w:rFonts w:hint="eastAsia"/>
              </w:rPr>
              <w:t>莲缢管蚜</w:t>
            </w:r>
          </w:p>
        </w:tc>
        <w:tc>
          <w:tcPr>
            <w:tcW w:w="2334" w:type="dxa"/>
            <w:shd w:val="clear" w:color="auto" w:fill="auto"/>
            <w:vAlign w:val="center"/>
          </w:tcPr>
          <w:p>
            <w:pPr>
              <w:pStyle w:val="178"/>
            </w:pPr>
            <w:r>
              <w:rPr>
                <w:rFonts w:hint="eastAsia"/>
              </w:rPr>
              <w:t>25% 吡蚜酮可湿性粉剂</w:t>
            </w:r>
          </w:p>
        </w:tc>
        <w:tc>
          <w:tcPr>
            <w:tcW w:w="2334" w:type="dxa"/>
            <w:shd w:val="clear" w:color="auto" w:fill="auto"/>
            <w:vAlign w:val="center"/>
          </w:tcPr>
          <w:p>
            <w:pPr>
              <w:pStyle w:val="178"/>
            </w:pPr>
            <w:r>
              <w:rPr>
                <w:rFonts w:hint="eastAsia"/>
              </w:rPr>
              <w:t>12～18克/亩</w:t>
            </w:r>
          </w:p>
        </w:tc>
        <w:tc>
          <w:tcPr>
            <w:tcW w:w="2488" w:type="dxa"/>
            <w:shd w:val="clear" w:color="auto" w:fill="auto"/>
          </w:tcPr>
          <w:p>
            <w:pPr>
              <w:pStyle w:val="178"/>
              <w:ind w:firstLine="180" w:firstLineChars="100"/>
              <w:jc w:val="left"/>
            </w:pPr>
            <w:r>
              <w:rPr>
                <w:rFonts w:hint="eastAsia"/>
              </w:rPr>
              <w:t>在蚜虫发生初盛期施药，在莲藕上的安全间隔期为14天，每季最多施药1次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5% 啶虫脒乳油</w:t>
            </w:r>
          </w:p>
        </w:tc>
        <w:tc>
          <w:tcPr>
            <w:tcW w:w="2334" w:type="dxa"/>
            <w:shd w:val="clear" w:color="auto" w:fill="auto"/>
            <w:vAlign w:val="center"/>
          </w:tcPr>
          <w:p>
            <w:pPr>
              <w:pStyle w:val="178"/>
            </w:pPr>
            <w:r>
              <w:rPr>
                <w:rFonts w:hint="eastAsia"/>
              </w:rPr>
              <w:t>20～30毫升/亩</w:t>
            </w:r>
          </w:p>
        </w:tc>
        <w:tc>
          <w:tcPr>
            <w:tcW w:w="2488" w:type="dxa"/>
            <w:shd w:val="clear" w:color="auto" w:fill="auto"/>
          </w:tcPr>
          <w:p>
            <w:pPr>
              <w:pStyle w:val="178"/>
              <w:ind w:firstLine="180" w:firstLineChars="100"/>
              <w:jc w:val="left"/>
            </w:pPr>
            <w:r>
              <w:rPr>
                <w:rFonts w:hint="eastAsia"/>
              </w:rPr>
              <w:t>在莲藕莲缢管蚜发生始盛期均匀喷雾1次，在莲藕上安全间隔期为14天，每季最多施药1次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10% 吡虫啉可湿性粉剂</w:t>
            </w:r>
          </w:p>
        </w:tc>
        <w:tc>
          <w:tcPr>
            <w:tcW w:w="2334" w:type="dxa"/>
            <w:shd w:val="clear" w:color="auto" w:fill="auto"/>
            <w:vAlign w:val="center"/>
          </w:tcPr>
          <w:p>
            <w:pPr>
              <w:pStyle w:val="178"/>
            </w:pPr>
            <w:r>
              <w:rPr>
                <w:rFonts w:hint="eastAsia"/>
              </w:rPr>
              <w:t>10～20克/亩</w:t>
            </w:r>
          </w:p>
        </w:tc>
        <w:tc>
          <w:tcPr>
            <w:tcW w:w="2488" w:type="dxa"/>
            <w:shd w:val="clear" w:color="auto" w:fill="auto"/>
          </w:tcPr>
          <w:p>
            <w:pPr>
              <w:pStyle w:val="178"/>
              <w:ind w:firstLine="180" w:firstLineChars="100"/>
              <w:jc w:val="left"/>
            </w:pPr>
            <w:r>
              <w:rPr>
                <w:rFonts w:hint="eastAsia"/>
              </w:rPr>
              <w:t>发生盛始期施药，使用时尽量用二次稀释，以便于施药均匀，充分发挥药效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2" w:type="dxa"/>
            <w:vMerge w:val="restart"/>
            <w:shd w:val="clear" w:color="auto" w:fill="auto"/>
            <w:vAlign w:val="center"/>
          </w:tcPr>
          <w:p>
            <w:pPr>
              <w:pStyle w:val="178"/>
            </w:pPr>
            <w:r>
              <w:rPr>
                <w:rFonts w:hint="eastAsia"/>
              </w:rPr>
              <w:t>斜纹夜蛾</w:t>
            </w:r>
          </w:p>
        </w:tc>
        <w:tc>
          <w:tcPr>
            <w:tcW w:w="2334" w:type="dxa"/>
            <w:shd w:val="clear" w:color="auto" w:fill="auto"/>
            <w:vAlign w:val="center"/>
          </w:tcPr>
          <w:p>
            <w:pPr>
              <w:pStyle w:val="178"/>
            </w:pPr>
            <w:r>
              <w:rPr>
                <w:rFonts w:hint="eastAsia"/>
              </w:rPr>
              <w:t>5%氯虫苯甲酰胺悬浮剂</w:t>
            </w:r>
          </w:p>
        </w:tc>
        <w:tc>
          <w:tcPr>
            <w:tcW w:w="2334" w:type="dxa"/>
            <w:shd w:val="clear" w:color="auto" w:fill="auto"/>
            <w:vAlign w:val="center"/>
          </w:tcPr>
          <w:p>
            <w:pPr>
              <w:pStyle w:val="178"/>
            </w:pPr>
            <w:r>
              <w:rPr>
                <w:rFonts w:hint="eastAsia"/>
              </w:rPr>
              <w:t>45～54毫升/亩</w:t>
            </w:r>
          </w:p>
        </w:tc>
        <w:tc>
          <w:tcPr>
            <w:tcW w:w="2488" w:type="dxa"/>
            <w:shd w:val="clear" w:color="auto" w:fill="auto"/>
          </w:tcPr>
          <w:p>
            <w:pPr>
              <w:pStyle w:val="178"/>
              <w:ind w:firstLine="180" w:firstLineChars="100"/>
              <w:jc w:val="left"/>
            </w:pPr>
            <w:r>
              <w:rPr>
                <w:rFonts w:hint="eastAsia"/>
              </w:rPr>
              <w:t>2龄幼虫前喷洒药剂，在莲藕上的安全间隔期为14天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2%甲氨基阿维菌素苯甲酸盐</w:t>
            </w:r>
          </w:p>
        </w:tc>
        <w:tc>
          <w:tcPr>
            <w:tcW w:w="2334" w:type="dxa"/>
            <w:shd w:val="clear" w:color="auto" w:fill="auto"/>
            <w:vAlign w:val="center"/>
          </w:tcPr>
          <w:p>
            <w:pPr>
              <w:pStyle w:val="178"/>
            </w:pPr>
            <w:r>
              <w:rPr>
                <w:rFonts w:hint="eastAsia"/>
              </w:rPr>
              <w:t>10～15毫升/亩</w:t>
            </w:r>
          </w:p>
        </w:tc>
        <w:tc>
          <w:tcPr>
            <w:tcW w:w="2488" w:type="dxa"/>
            <w:shd w:val="clear" w:color="auto" w:fill="auto"/>
          </w:tcPr>
          <w:p>
            <w:pPr>
              <w:pStyle w:val="178"/>
              <w:ind w:firstLine="180" w:firstLineChars="100"/>
              <w:jc w:val="left"/>
            </w:pPr>
            <w:r>
              <w:rPr>
                <w:rFonts w:hint="eastAsia"/>
              </w:rPr>
              <w:t>2龄幼虫期前均匀喷雾，尽量不要在烈日下施药，宜在傍晚前施药，每季最多使用2次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78"/>
            </w:pPr>
            <w:r>
              <w:rPr>
                <w:rFonts w:hint="eastAsia"/>
              </w:rPr>
              <w:t>一年生杂草</w:t>
            </w:r>
          </w:p>
        </w:tc>
        <w:tc>
          <w:tcPr>
            <w:tcW w:w="2334" w:type="dxa"/>
            <w:shd w:val="clear" w:color="auto" w:fill="auto"/>
            <w:vAlign w:val="center"/>
          </w:tcPr>
          <w:p>
            <w:pPr>
              <w:pStyle w:val="178"/>
              <w:rPr>
                <w:rFonts w:hint="eastAsia"/>
              </w:rPr>
            </w:pPr>
            <w:r>
              <w:rPr>
                <w:rFonts w:hint="eastAsia"/>
              </w:rPr>
              <w:t>10% 异·异丙·扑净颗粒剂</w:t>
            </w:r>
          </w:p>
        </w:tc>
        <w:tc>
          <w:tcPr>
            <w:tcW w:w="2334" w:type="dxa"/>
            <w:shd w:val="clear" w:color="auto" w:fill="auto"/>
            <w:vAlign w:val="center"/>
          </w:tcPr>
          <w:p>
            <w:pPr>
              <w:pStyle w:val="178"/>
              <w:rPr>
                <w:rFonts w:hint="eastAsia"/>
              </w:rPr>
            </w:pPr>
            <w:r>
              <w:rPr>
                <w:rFonts w:hint="eastAsia"/>
              </w:rPr>
              <w:t>300～400克/亩</w:t>
            </w:r>
          </w:p>
        </w:tc>
        <w:tc>
          <w:tcPr>
            <w:tcW w:w="2488" w:type="dxa"/>
            <w:shd w:val="clear" w:color="auto" w:fill="auto"/>
            <w:vAlign w:val="center"/>
          </w:tcPr>
          <w:p>
            <w:pPr>
              <w:pStyle w:val="178"/>
              <w:ind w:firstLine="180" w:firstLineChars="100"/>
              <w:jc w:val="left"/>
              <w:rPr>
                <w:rFonts w:hint="eastAsia"/>
              </w:rPr>
            </w:pPr>
            <w:r>
              <w:rPr>
                <w:rFonts w:hint="eastAsia"/>
              </w:rPr>
              <w:t>水层保持10～20厘米左右，莲藕立叶高出水面20～30厘米时施药；施药时水温应在20℃以上，施药之后莲藕田之间不宜串灌；不要超量使用本品</w:t>
            </w:r>
          </w:p>
        </w:tc>
      </w:tr>
    </w:tbl>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ind w:left="0"/>
      </w:pPr>
      <w:r>
        <w:br w:type="textWrapping"/>
      </w:r>
      <w:bookmarkStart w:id="56" w:name="_Toc187825005"/>
      <w:r>
        <w:rPr>
          <w:rFonts w:hint="eastAsia"/>
        </w:rPr>
        <w:t>（规范性）</w:t>
      </w:r>
      <w:bookmarkEnd w:id="56"/>
    </w:p>
    <w:p>
      <w:pPr>
        <w:pStyle w:val="77"/>
        <w:spacing w:before="156" w:after="156"/>
      </w:pPr>
      <w:r>
        <w:rPr>
          <w:rFonts w:hint="eastAsia"/>
        </w:rPr>
        <w:t>田间连作障碍消减生产档案</w:t>
      </w:r>
    </w:p>
    <w:p>
      <w:pPr>
        <w:pStyle w:val="56"/>
        <w:ind w:firstLine="420"/>
        <w:rPr>
          <w:rFonts w:hint="eastAsia"/>
        </w:rPr>
      </w:pPr>
      <w:r>
        <w:rPr>
          <w:rFonts w:hint="eastAsia"/>
        </w:rPr>
        <w:t>记载人：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8"/>
        <w:gridCol w:w="1869"/>
        <w:gridCol w:w="1869"/>
        <w:gridCol w:w="1869"/>
        <w:gridCol w:w="1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8" w:type="dxa"/>
            <w:tcBorders>
              <w:top w:val="single" w:color="auto" w:sz="8" w:space="0"/>
              <w:bottom w:val="single" w:color="auto" w:sz="8" w:space="0"/>
            </w:tcBorders>
            <w:shd w:val="clear" w:color="auto" w:fill="auto"/>
            <w:vAlign w:val="center"/>
          </w:tcPr>
          <w:p>
            <w:pPr>
              <w:pStyle w:val="178"/>
              <w:rPr>
                <w:rFonts w:hint="eastAsia"/>
              </w:rPr>
            </w:pPr>
            <w:r>
              <w:rPr>
                <w:rFonts w:hint="eastAsia"/>
              </w:rPr>
              <w:t>田块序号</w:t>
            </w:r>
          </w:p>
        </w:tc>
        <w:tc>
          <w:tcPr>
            <w:tcW w:w="1869" w:type="dxa"/>
            <w:tcBorders>
              <w:top w:val="single" w:color="auto" w:sz="8" w:space="0"/>
              <w:bottom w:val="single" w:color="auto" w:sz="8" w:space="0"/>
            </w:tcBorders>
            <w:shd w:val="clear" w:color="auto" w:fill="auto"/>
            <w:vAlign w:val="center"/>
          </w:tcPr>
          <w:p>
            <w:pPr>
              <w:pStyle w:val="178"/>
              <w:rPr>
                <w:rFonts w:hint="eastAsia"/>
              </w:rPr>
            </w:pPr>
            <w:r>
              <w:rPr>
                <w:rFonts w:hint="eastAsia"/>
              </w:rPr>
              <w:t>连作年限</w:t>
            </w:r>
          </w:p>
        </w:tc>
        <w:tc>
          <w:tcPr>
            <w:tcW w:w="1869" w:type="dxa"/>
            <w:tcBorders>
              <w:top w:val="single" w:color="auto" w:sz="8" w:space="0"/>
              <w:bottom w:val="single" w:color="auto" w:sz="8" w:space="0"/>
            </w:tcBorders>
            <w:shd w:val="clear" w:color="auto" w:fill="auto"/>
            <w:vAlign w:val="center"/>
          </w:tcPr>
          <w:p>
            <w:pPr>
              <w:pStyle w:val="178"/>
              <w:rPr>
                <w:rFonts w:hint="eastAsia"/>
              </w:rPr>
            </w:pPr>
            <w:r>
              <w:rPr>
                <w:rFonts w:hint="eastAsia"/>
              </w:rPr>
              <w:t>实施日期</w:t>
            </w:r>
          </w:p>
        </w:tc>
        <w:tc>
          <w:tcPr>
            <w:tcW w:w="1869" w:type="dxa"/>
            <w:tcBorders>
              <w:top w:val="single" w:color="auto" w:sz="8" w:space="0"/>
              <w:bottom w:val="single" w:color="auto" w:sz="8" w:space="0"/>
            </w:tcBorders>
            <w:shd w:val="clear" w:color="auto" w:fill="auto"/>
            <w:vAlign w:val="center"/>
          </w:tcPr>
          <w:p>
            <w:pPr>
              <w:pStyle w:val="178"/>
              <w:rPr>
                <w:rFonts w:hint="eastAsia"/>
              </w:rPr>
            </w:pPr>
            <w:r>
              <w:rPr>
                <w:rFonts w:hint="eastAsia"/>
              </w:rPr>
              <w:t>操作内容与方法</w:t>
            </w:r>
          </w:p>
        </w:tc>
        <w:tc>
          <w:tcPr>
            <w:tcW w:w="1869" w:type="dxa"/>
            <w:tcBorders>
              <w:top w:val="single" w:color="auto" w:sz="8" w:space="0"/>
              <w:bottom w:val="single" w:color="auto" w:sz="8" w:space="0"/>
            </w:tcBorders>
            <w:shd w:val="clear" w:color="auto" w:fill="auto"/>
            <w:vAlign w:val="center"/>
          </w:tcPr>
          <w:p>
            <w:pPr>
              <w:pStyle w:val="178"/>
              <w:rPr>
                <w:rFonts w:hint="eastAsia"/>
              </w:rPr>
            </w:pPr>
            <w:r>
              <w:rPr>
                <w:rFonts w:hint="eastAsia"/>
              </w:rPr>
              <w:t>消减效果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8" w:type="dxa"/>
            <w:tcBorders>
              <w:top w:val="single" w:color="auto" w:sz="8" w:space="0"/>
            </w:tcBorders>
            <w:shd w:val="clear" w:color="auto" w:fill="auto"/>
            <w:vAlign w:val="center"/>
          </w:tcPr>
          <w:p>
            <w:pPr>
              <w:pStyle w:val="178"/>
            </w:pPr>
            <w:r>
              <w:rPr>
                <w:rFonts w:hint="eastAsia"/>
              </w:rPr>
              <w:t>1</w:t>
            </w:r>
          </w:p>
        </w:tc>
        <w:tc>
          <w:tcPr>
            <w:tcW w:w="1869" w:type="dxa"/>
            <w:tcBorders>
              <w:top w:val="single" w:color="auto" w:sz="8" w:space="0"/>
            </w:tcBorders>
            <w:shd w:val="clear" w:color="auto" w:fill="auto"/>
            <w:vAlign w:val="center"/>
          </w:tcPr>
          <w:p>
            <w:pPr>
              <w:pStyle w:val="178"/>
            </w:pPr>
          </w:p>
        </w:tc>
        <w:tc>
          <w:tcPr>
            <w:tcW w:w="1869" w:type="dxa"/>
            <w:tcBorders>
              <w:top w:val="single" w:color="auto" w:sz="8" w:space="0"/>
            </w:tcBorders>
            <w:shd w:val="clear" w:color="auto" w:fill="auto"/>
            <w:vAlign w:val="center"/>
          </w:tcPr>
          <w:p>
            <w:pPr>
              <w:pStyle w:val="178"/>
            </w:pPr>
          </w:p>
        </w:tc>
        <w:tc>
          <w:tcPr>
            <w:tcW w:w="1869" w:type="dxa"/>
            <w:tcBorders>
              <w:top w:val="single" w:color="auto" w:sz="8" w:space="0"/>
            </w:tcBorders>
            <w:shd w:val="clear" w:color="auto" w:fill="auto"/>
            <w:vAlign w:val="center"/>
          </w:tcPr>
          <w:p>
            <w:pPr>
              <w:pStyle w:val="178"/>
            </w:pPr>
          </w:p>
        </w:tc>
        <w:tc>
          <w:tcPr>
            <w:tcW w:w="1869"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8" w:type="dxa"/>
            <w:shd w:val="clear" w:color="auto" w:fill="auto"/>
            <w:vAlign w:val="center"/>
          </w:tcPr>
          <w:p>
            <w:pPr>
              <w:pStyle w:val="178"/>
            </w:pPr>
            <w:r>
              <w:rPr>
                <w:rFonts w:hint="eastAsia"/>
              </w:rPr>
              <w:t>2</w:t>
            </w: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8" w:type="dxa"/>
            <w:shd w:val="clear" w:color="auto" w:fill="auto"/>
            <w:vAlign w:val="center"/>
          </w:tcPr>
          <w:p>
            <w:pPr>
              <w:pStyle w:val="178"/>
            </w:pPr>
            <w:r>
              <w:rPr>
                <w:rFonts w:hint="eastAsia"/>
              </w:rPr>
              <w:t>3</w:t>
            </w: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8" w:type="dxa"/>
            <w:shd w:val="clear" w:color="auto" w:fill="auto"/>
            <w:vAlign w:val="center"/>
          </w:tcPr>
          <w:p>
            <w:pPr>
              <w:pStyle w:val="178"/>
              <w:rPr>
                <w:rFonts w:hint="eastAsia"/>
              </w:rPr>
            </w:pPr>
            <w:r>
              <w:t>…</w:t>
            </w: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8"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8"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c>
          <w:tcPr>
            <w:tcW w:w="1869" w:type="dxa"/>
            <w:shd w:val="clear" w:color="auto" w:fill="auto"/>
            <w:vAlign w:val="center"/>
          </w:tcPr>
          <w:p>
            <w:pPr>
              <w:pStyle w:val="178"/>
            </w:pPr>
          </w:p>
        </w:tc>
      </w:tr>
    </w:tbl>
    <w:p>
      <w:pPr>
        <w:pStyle w:val="56"/>
        <w:ind w:firstLine="420"/>
      </w:pPr>
    </w:p>
    <w:p>
      <w:pPr>
        <w:pStyle w:val="56"/>
        <w:ind w:firstLine="420"/>
      </w:pPr>
    </w:p>
    <w:p>
      <w:pPr>
        <w:pStyle w:val="56"/>
        <w:ind w:firstLine="420"/>
      </w:pPr>
    </w:p>
    <w:p>
      <w:pPr>
        <w:pStyle w:val="56"/>
        <w:ind w:firstLine="420"/>
      </w:pPr>
    </w:p>
    <w:p>
      <w:pPr>
        <w:pStyle w:val="56"/>
        <w:ind w:firstLine="420"/>
      </w:pPr>
    </w:p>
    <w:bookmarkEnd w:id="54"/>
    <w:p>
      <w:pPr>
        <w:pStyle w:val="56"/>
        <w:ind w:firstLine="0" w:firstLineChars="0"/>
        <w:jc w:val="center"/>
      </w:pPr>
      <w:bookmarkStart w:id="57" w:name="BookMark8"/>
      <w:r>
        <w:drawing>
          <wp:inline distT="0" distB="0" distL="0" distR="0">
            <wp:extent cx="1485900" cy="317500"/>
            <wp:effectExtent l="0" t="0" r="0" b="6350"/>
            <wp:docPr id="1582766703" name="图片 1"/>
            <wp:cNvGraphicFramePr/>
            <a:graphic xmlns:a="http://schemas.openxmlformats.org/drawingml/2006/main">
              <a:graphicData uri="http://schemas.openxmlformats.org/drawingml/2006/picture">
                <pic:pic xmlns:pic="http://schemas.openxmlformats.org/drawingml/2006/picture">
                  <pic:nvPicPr>
                    <pic:cNvPr id="1582766703"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5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43/T 2025—XXXX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2694"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8JbHCYPEbSfFS5AErh8/l6K4Opl3sxl2piMlRxrIeEKQnQHaFpdogWHrpdF1ehCe01Eg4prt0XsJRA3ecq7brA==" w:salt="EC29Eg2/d6P0Z9H/mDZ1Q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D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EE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094"/>
    <w:rsid w:val="003E6591"/>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586"/>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FEE"/>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51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D8D"/>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5E7E"/>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531"/>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BF7"/>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3DB"/>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1FB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30ECCE32C94A0ABFF8DA53450FB87E"/>
        <w:style w:val=""/>
        <w:category>
          <w:name w:val="常规"/>
          <w:gallery w:val="placeholder"/>
        </w:category>
        <w:types>
          <w:type w:val="bbPlcHdr"/>
        </w:types>
        <w:behaviors>
          <w:behavior w:val="content"/>
        </w:behaviors>
        <w:description w:val=""/>
        <w:guid w:val="{1442A3E0-B4F1-4AD2-8CCD-A9A6ED30C3CB}"/>
      </w:docPartPr>
      <w:docPartBody>
        <w:p>
          <w:pPr>
            <w:pStyle w:val="5"/>
          </w:pPr>
          <w:r>
            <w:rPr>
              <w:rStyle w:val="4"/>
              <w:rFonts w:hint="eastAsia"/>
            </w:rPr>
            <w:t>单击或点击此处输入文字。</w:t>
          </w:r>
        </w:p>
      </w:docPartBody>
    </w:docPart>
    <w:docPart>
      <w:docPartPr>
        <w:name w:val="32F0C5681E8046259D64C145DD254DFA"/>
        <w:style w:val=""/>
        <w:category>
          <w:name w:val="常规"/>
          <w:gallery w:val="placeholder"/>
        </w:category>
        <w:types>
          <w:type w:val="bbPlcHdr"/>
        </w:types>
        <w:behaviors>
          <w:behavior w:val="content"/>
        </w:behaviors>
        <w:description w:val=""/>
        <w:guid w:val="{187C1866-2645-4B25-ACC1-920FB354BB56}"/>
      </w:docPartPr>
      <w:docPartBody>
        <w:p>
          <w:pPr>
            <w:pStyle w:val="6"/>
          </w:pPr>
          <w:r>
            <w:rPr>
              <w:rStyle w:val="4"/>
              <w:rFonts w:hint="eastAsia"/>
            </w:rPr>
            <w:t>选择一项。</w:t>
          </w:r>
        </w:p>
      </w:docPartBody>
    </w:docPart>
    <w:docPart>
      <w:docPartPr>
        <w:name w:val="4DD1A44EEE3E4ABEB57CB1C8DEA45C4A"/>
        <w:style w:val=""/>
        <w:category>
          <w:name w:val="常规"/>
          <w:gallery w:val="placeholder"/>
        </w:category>
        <w:types>
          <w:type w:val="bbPlcHdr"/>
        </w:types>
        <w:behaviors>
          <w:behavior w:val="content"/>
        </w:behaviors>
        <w:description w:val=""/>
        <w:guid w:val="{3C0A6DA0-33EE-48A3-8715-D6DF5C76166C}"/>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51"/>
    <w:rsid w:val="00124F51"/>
    <w:rsid w:val="0056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730ECCE32C94A0ABFF8DA53450FB87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2F0C5681E8046259D64C145DD254DF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4DD1A44EEE3E4ABEB57CB1C8DEA45C4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1870</Words>
  <Characters>2339</Characters>
  <Lines>389</Lines>
  <Paragraphs>350</Paragraphs>
  <TotalTime>999</TotalTime>
  <ScaleCrop>false</ScaleCrop>
  <LinksUpToDate>false</LinksUpToDate>
  <CharactersWithSpaces>3859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2025-01-14T16:48:00Z</dcterms:created>
  <dc:creator>Look</dc:creator>
  <dc:description>&lt;config cover="true" show_menu="true" version="1.0.0" doctype="SDKXY"&gt;_x000d_
&lt;/config&gt;</dc:description>
  <cp:lastModifiedBy>greatwall</cp:lastModifiedBy>
  <cp:lastPrinted>2020-08-30T18:00:00Z</cp:lastPrinted>
  <dcterms:modified xsi:type="dcterms:W3CDTF">2025-01-15T16:08:42Z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ies>
</file>