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BD3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F04C3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02156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9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bookmarkEnd w:id="92"/>
          </w:p>
        </w:tc>
      </w:tr>
      <w:tr w14:paraId="36C0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208C10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A2EA5C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CA62CE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F6F635A">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1359CEF8">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D1D3102">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86A2DF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051049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CE3DA69">
      <w:pPr>
        <w:pStyle w:val="50"/>
        <w:framePr w:w="9639" w:h="6976" w:hRule="exact" w:hSpace="0" w:vSpace="0" w:wrap="around" w:hAnchor="page" w:y="6408"/>
        <w:jc w:val="center"/>
        <w:rPr>
          <w:rFonts w:ascii="黑体" w:hAnsi="黑体" w:eastAsia="黑体"/>
          <w:b w:val="0"/>
          <w:bCs w:val="0"/>
          <w:w w:val="100"/>
        </w:rPr>
      </w:pPr>
    </w:p>
    <w:p w14:paraId="0A6B524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    农村互助养老设施管理服务规范  </w:t>
      </w:r>
      <w:r>
        <w:fldChar w:fldCharType="end"/>
      </w:r>
      <w:bookmarkEnd w:id="9"/>
    </w:p>
    <w:p w14:paraId="097988EC">
      <w:pPr>
        <w:framePr w:w="9639" w:h="6974" w:hRule="exact" w:wrap="around" w:vAnchor="page" w:hAnchor="page" w:x="1419" w:y="6408" w:anchorLock="1"/>
        <w:ind w:left="-1418"/>
      </w:pPr>
    </w:p>
    <w:p w14:paraId="239E27DB">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Rural mutual-aid elderly care facilities management and service standard     </w:t>
      </w:r>
      <w:r>
        <w:rPr>
          <w:rFonts w:ascii="黑体" w:hAnsi="黑体" w:eastAsia="黑体"/>
          <w:szCs w:val="28"/>
        </w:rPr>
        <w:fldChar w:fldCharType="end"/>
      </w:r>
      <w:bookmarkEnd w:id="10"/>
    </w:p>
    <w:p w14:paraId="40B1455D">
      <w:pPr>
        <w:framePr w:w="9639" w:h="6974" w:hRule="exact" w:wrap="around" w:vAnchor="page" w:hAnchor="page" w:x="1419" w:y="6408" w:anchorLock="1"/>
        <w:spacing w:line="760" w:lineRule="exact"/>
        <w:ind w:left="-1418"/>
      </w:pPr>
    </w:p>
    <w:p w14:paraId="03BF59F2">
      <w:pPr>
        <w:pStyle w:val="125"/>
        <w:framePr w:w="9639" w:h="6974" w:hRule="exact" w:wrap="around" w:vAnchor="page" w:hAnchor="page" w:x="1419" w:y="6408" w:anchorLock="1"/>
        <w:textAlignment w:val="bottom"/>
        <w:rPr>
          <w:rFonts w:eastAsia="黑体"/>
          <w:szCs w:val="28"/>
        </w:rPr>
      </w:pPr>
    </w:p>
    <w:p w14:paraId="2560B8E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CF2687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AB4527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E4B8AB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425682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65D557C">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C34A97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DE82258">
      <w:pPr>
        <w:pStyle w:val="91"/>
        <w:spacing w:after="468"/>
      </w:pPr>
      <w:bookmarkStart w:id="21" w:name="BookMark1"/>
      <w:bookmarkStart w:id="22" w:name="_Toc182320695"/>
      <w:bookmarkStart w:id="23" w:name="_Toc182321224"/>
      <w:bookmarkStart w:id="24" w:name="_Toc182321249"/>
      <w:r>
        <w:rPr>
          <w:rFonts w:hint="eastAsia"/>
          <w:spacing w:val="320"/>
        </w:rPr>
        <w:t>目</w:t>
      </w:r>
      <w:r>
        <w:rPr>
          <w:rFonts w:hint="eastAsia"/>
        </w:rPr>
        <w:t>次</w:t>
      </w:r>
    </w:p>
    <w:p w14:paraId="52A192C0">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"_Toc182322324" </w:instrText>
      </w:r>
      <w:r>
        <w:fldChar w:fldCharType="separate"/>
      </w:r>
      <w:r>
        <w:rPr>
          <w:rStyle w:val="32"/>
        </w:rPr>
        <w:t>前言</w:t>
      </w:r>
      <w:r>
        <w:tab/>
      </w:r>
      <w:r>
        <w:fldChar w:fldCharType="begin"/>
      </w:r>
      <w:r>
        <w:instrText xml:space="preserve"> PAGEREF _Toc182322324 \h </w:instrText>
      </w:r>
      <w:r>
        <w:fldChar w:fldCharType="separate"/>
      </w:r>
      <w:r>
        <w:t>II</w:t>
      </w:r>
      <w:r>
        <w:fldChar w:fldCharType="end"/>
      </w:r>
      <w:r>
        <w:fldChar w:fldCharType="end"/>
      </w:r>
    </w:p>
    <w:p w14:paraId="6C27EA1F">
      <w:pPr>
        <w:pStyle w:val="19"/>
        <w:tabs>
          <w:tab w:val="right" w:leader="dot" w:pos="9344"/>
        </w:tabs>
        <w:rPr>
          <w:rFonts w:asciiTheme="minorHAnsi" w:hAnsiTheme="minorHAnsi" w:eastAsiaTheme="minorEastAsia" w:cstheme="minorBidi"/>
          <w:szCs w:val="22"/>
        </w:rPr>
      </w:pPr>
      <w:r>
        <w:fldChar w:fldCharType="begin"/>
      </w:r>
      <w:r>
        <w:instrText xml:space="preserve"> HYPERLINK \l "_Toc182322325" </w:instrText>
      </w:r>
      <w:r>
        <w:fldChar w:fldCharType="separate"/>
      </w:r>
      <w:r>
        <w:rPr>
          <w:rStyle w:val="32"/>
        </w:rPr>
        <w:t>1  范围</w:t>
      </w:r>
      <w:r>
        <w:tab/>
      </w:r>
      <w:r>
        <w:fldChar w:fldCharType="begin"/>
      </w:r>
      <w:r>
        <w:instrText xml:space="preserve"> PAGEREF _Toc182322325 \h </w:instrText>
      </w:r>
      <w:r>
        <w:fldChar w:fldCharType="separate"/>
      </w:r>
      <w:r>
        <w:t>1</w:t>
      </w:r>
      <w:r>
        <w:fldChar w:fldCharType="end"/>
      </w:r>
      <w:r>
        <w:fldChar w:fldCharType="end"/>
      </w:r>
    </w:p>
    <w:p w14:paraId="0FA85C3B">
      <w:pPr>
        <w:pStyle w:val="19"/>
        <w:tabs>
          <w:tab w:val="right" w:leader="dot" w:pos="9344"/>
        </w:tabs>
        <w:rPr>
          <w:rFonts w:asciiTheme="minorHAnsi" w:hAnsiTheme="minorHAnsi" w:eastAsiaTheme="minorEastAsia" w:cstheme="minorBidi"/>
          <w:szCs w:val="22"/>
        </w:rPr>
      </w:pPr>
      <w:r>
        <w:fldChar w:fldCharType="begin"/>
      </w:r>
      <w:r>
        <w:instrText xml:space="preserve"> HYPERLINK \l "_Toc182322326" </w:instrText>
      </w:r>
      <w:r>
        <w:fldChar w:fldCharType="separate"/>
      </w:r>
      <w:r>
        <w:rPr>
          <w:rStyle w:val="32"/>
        </w:rPr>
        <w:t>2  规范性引用文件</w:t>
      </w:r>
      <w:r>
        <w:tab/>
      </w:r>
      <w:r>
        <w:fldChar w:fldCharType="begin"/>
      </w:r>
      <w:r>
        <w:instrText xml:space="preserve"> PAGEREF _Toc182322326 \h </w:instrText>
      </w:r>
      <w:r>
        <w:fldChar w:fldCharType="separate"/>
      </w:r>
      <w:r>
        <w:t>1</w:t>
      </w:r>
      <w:r>
        <w:fldChar w:fldCharType="end"/>
      </w:r>
      <w:r>
        <w:fldChar w:fldCharType="end"/>
      </w:r>
    </w:p>
    <w:p w14:paraId="67C5BCEF">
      <w:pPr>
        <w:pStyle w:val="19"/>
        <w:tabs>
          <w:tab w:val="right" w:leader="dot" w:pos="9344"/>
        </w:tabs>
        <w:rPr>
          <w:rFonts w:asciiTheme="minorHAnsi" w:hAnsiTheme="minorHAnsi" w:eastAsiaTheme="minorEastAsia" w:cstheme="minorBidi"/>
          <w:szCs w:val="22"/>
        </w:rPr>
      </w:pPr>
      <w:r>
        <w:fldChar w:fldCharType="begin"/>
      </w:r>
      <w:r>
        <w:instrText xml:space="preserve"> HYPERLINK \l "_Toc182322327" </w:instrText>
      </w:r>
      <w:r>
        <w:fldChar w:fldCharType="separate"/>
      </w:r>
      <w:r>
        <w:rPr>
          <w:rStyle w:val="32"/>
        </w:rPr>
        <w:t>3  术语和定义</w:t>
      </w:r>
      <w:r>
        <w:tab/>
      </w:r>
      <w:r>
        <w:fldChar w:fldCharType="begin"/>
      </w:r>
      <w:r>
        <w:instrText xml:space="preserve"> PAGEREF _Toc182322327 \h </w:instrText>
      </w:r>
      <w:r>
        <w:fldChar w:fldCharType="separate"/>
      </w:r>
      <w:r>
        <w:t>1</w:t>
      </w:r>
      <w:r>
        <w:fldChar w:fldCharType="end"/>
      </w:r>
      <w:r>
        <w:fldChar w:fldCharType="end"/>
      </w:r>
    </w:p>
    <w:p w14:paraId="399F70C4">
      <w:pPr>
        <w:pStyle w:val="19"/>
        <w:tabs>
          <w:tab w:val="right" w:leader="dot" w:pos="9344"/>
        </w:tabs>
        <w:rPr>
          <w:rFonts w:asciiTheme="minorHAnsi" w:hAnsiTheme="minorHAnsi" w:eastAsiaTheme="minorEastAsia" w:cstheme="minorBidi"/>
          <w:szCs w:val="22"/>
        </w:rPr>
      </w:pPr>
      <w:r>
        <w:fldChar w:fldCharType="begin"/>
      </w:r>
      <w:r>
        <w:instrText xml:space="preserve"> HYPERLINK \l "_Toc182322328" </w:instrText>
      </w:r>
      <w:r>
        <w:fldChar w:fldCharType="separate"/>
      </w:r>
      <w:r>
        <w:rPr>
          <w:rStyle w:val="32"/>
        </w:rPr>
        <w:t>4  基本要求</w:t>
      </w:r>
      <w:r>
        <w:tab/>
      </w:r>
      <w:r>
        <w:fldChar w:fldCharType="begin"/>
      </w:r>
      <w:r>
        <w:instrText xml:space="preserve"> PAGEREF _Toc182322328 \h </w:instrText>
      </w:r>
      <w:r>
        <w:fldChar w:fldCharType="separate"/>
      </w:r>
      <w:r>
        <w:t>1</w:t>
      </w:r>
      <w:r>
        <w:fldChar w:fldCharType="end"/>
      </w:r>
      <w:r>
        <w:fldChar w:fldCharType="end"/>
      </w:r>
    </w:p>
    <w:p w14:paraId="733BDB2B">
      <w:pPr>
        <w:pStyle w:val="19"/>
        <w:tabs>
          <w:tab w:val="right" w:leader="dot" w:pos="9344"/>
        </w:tabs>
        <w:rPr>
          <w:rFonts w:asciiTheme="minorHAnsi" w:hAnsiTheme="minorHAnsi" w:eastAsiaTheme="minorEastAsia" w:cstheme="minorBidi"/>
          <w:szCs w:val="22"/>
        </w:rPr>
      </w:pPr>
      <w:r>
        <w:fldChar w:fldCharType="begin"/>
      </w:r>
      <w:r>
        <w:instrText xml:space="preserve"> HYPERLINK \l "_Toc182322329" </w:instrText>
      </w:r>
      <w:r>
        <w:fldChar w:fldCharType="separate"/>
      </w:r>
      <w:r>
        <w:rPr>
          <w:rStyle w:val="32"/>
        </w:rPr>
        <w:t>5  服务内容及要求</w:t>
      </w:r>
      <w:r>
        <w:tab/>
      </w:r>
      <w:r>
        <w:fldChar w:fldCharType="begin"/>
      </w:r>
      <w:r>
        <w:instrText xml:space="preserve"> PAGEREF _Toc182322329 \h </w:instrText>
      </w:r>
      <w:r>
        <w:fldChar w:fldCharType="separate"/>
      </w:r>
      <w:r>
        <w:t>2</w:t>
      </w:r>
      <w:r>
        <w:fldChar w:fldCharType="end"/>
      </w:r>
      <w:r>
        <w:fldChar w:fldCharType="end"/>
      </w:r>
    </w:p>
    <w:p w14:paraId="7B808C48">
      <w:pPr>
        <w:pStyle w:val="19"/>
        <w:tabs>
          <w:tab w:val="right" w:leader="dot" w:pos="9344"/>
        </w:tabs>
        <w:rPr>
          <w:rFonts w:asciiTheme="minorHAnsi" w:hAnsiTheme="minorHAnsi" w:eastAsiaTheme="minorEastAsia" w:cstheme="minorBidi"/>
          <w:szCs w:val="22"/>
        </w:rPr>
      </w:pPr>
      <w:r>
        <w:fldChar w:fldCharType="begin"/>
      </w:r>
      <w:r>
        <w:instrText xml:space="preserve"> HYPERLINK \l "_Toc182322330" </w:instrText>
      </w:r>
      <w:r>
        <w:fldChar w:fldCharType="separate"/>
      </w:r>
      <w:r>
        <w:rPr>
          <w:rStyle w:val="32"/>
        </w:rPr>
        <w:t>6  管理要求</w:t>
      </w:r>
      <w:r>
        <w:tab/>
      </w:r>
      <w:r>
        <w:fldChar w:fldCharType="begin"/>
      </w:r>
      <w:r>
        <w:instrText xml:space="preserve"> PAGEREF _Toc182322330 \h </w:instrText>
      </w:r>
      <w:r>
        <w:fldChar w:fldCharType="separate"/>
      </w:r>
      <w:r>
        <w:t>3</w:t>
      </w:r>
      <w:r>
        <w:fldChar w:fldCharType="end"/>
      </w:r>
      <w:r>
        <w:fldChar w:fldCharType="end"/>
      </w:r>
    </w:p>
    <w:p w14:paraId="2060D5ED">
      <w:pPr>
        <w:pStyle w:val="19"/>
        <w:tabs>
          <w:tab w:val="right" w:leader="dot" w:pos="9344"/>
        </w:tabs>
      </w:pPr>
      <w:r>
        <w:fldChar w:fldCharType="begin"/>
      </w:r>
      <w:r>
        <w:instrText xml:space="preserve"> HYPERLINK \l "_Toc182322331" </w:instrText>
      </w:r>
      <w:r>
        <w:fldChar w:fldCharType="separate"/>
      </w:r>
      <w:r>
        <w:rPr>
          <w:rStyle w:val="32"/>
        </w:rPr>
        <w:t>7  服务评价与改进</w:t>
      </w:r>
      <w:r>
        <w:tab/>
      </w:r>
      <w:r>
        <w:fldChar w:fldCharType="begin"/>
      </w:r>
      <w:r>
        <w:instrText xml:space="preserve"> PAGEREF _Toc182322331 \h </w:instrText>
      </w:r>
      <w:r>
        <w:fldChar w:fldCharType="separate"/>
      </w:r>
      <w:r>
        <w:t>4</w:t>
      </w:r>
      <w:r>
        <w:fldChar w:fldCharType="end"/>
      </w:r>
      <w:r>
        <w:fldChar w:fldCharType="end"/>
      </w:r>
    </w:p>
    <w:p w14:paraId="1BF48CC8">
      <w:pPr>
        <w:rPr>
          <w:rFonts w:hint="default" w:eastAsia="宋体"/>
          <w:lang w:val="en-US" w:eastAsia="zh-CN"/>
        </w:rPr>
      </w:pPr>
      <w:r>
        <w:rPr>
          <w:rFonts w:hint="eastAsia"/>
          <w:lang w:val="en-US" w:eastAsia="zh-CN"/>
        </w:rPr>
        <w:t>附录A  管理服务用表</w:t>
      </w:r>
    </w:p>
    <w:p w14:paraId="307361A4">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DA41D29">
      <w:pPr>
        <w:pStyle w:val="89"/>
        <w:spacing w:before="900" w:after="468"/>
      </w:pPr>
      <w:bookmarkStart w:id="25" w:name="_Toc182322324"/>
      <w:bookmarkStart w:id="26" w:name="BookMark2"/>
      <w:r>
        <w:rPr>
          <w:spacing w:val="320"/>
        </w:rPr>
        <w:t>前</w:t>
      </w:r>
      <w:r>
        <w:t>言</w:t>
      </w:r>
      <w:bookmarkEnd w:id="22"/>
      <w:bookmarkEnd w:id="23"/>
      <w:bookmarkEnd w:id="24"/>
      <w:bookmarkEnd w:id="25"/>
    </w:p>
    <w:p w14:paraId="49A5D1B5">
      <w:pPr>
        <w:pStyle w:val="56"/>
        <w:ind w:firstLine="420"/>
      </w:pPr>
      <w:r>
        <w:rPr>
          <w:rFonts w:hint="eastAsia"/>
        </w:rPr>
        <w:t>本文件按照GB/T 1.1—2020《标准化工作导则  第1部分：标准化文件的结构和起草规则》的规定起草。</w:t>
      </w:r>
    </w:p>
    <w:p w14:paraId="546B7742">
      <w:pPr>
        <w:adjustRightInd/>
        <w:spacing w:line="240" w:lineRule="auto"/>
        <w:ind w:firstLine="420" w:firstLineChars="200"/>
        <w:jc w:val="left"/>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14:paraId="6152BE65">
      <w:pPr>
        <w:adjustRightInd/>
        <w:spacing w:line="240" w:lineRule="auto"/>
        <w:ind w:firstLine="420" w:firstLineChars="200"/>
        <w:jc w:val="left"/>
        <w:rPr>
          <w:rFonts w:ascii="宋体" w:hAnsi="Times New Roman"/>
          <w:kern w:val="0"/>
          <w:szCs w:val="20"/>
        </w:rPr>
      </w:pPr>
      <w:r>
        <w:rPr>
          <w:rFonts w:hint="eastAsia" w:ascii="宋体" w:hAnsi="Times New Roman"/>
          <w:szCs w:val="20"/>
        </w:rPr>
        <w:t>本文件由湖南省民政厅提出。</w:t>
      </w:r>
    </w:p>
    <w:p w14:paraId="63E79D8D">
      <w:pPr>
        <w:pStyle w:val="56"/>
        <w:ind w:firstLine="420"/>
      </w:pPr>
      <w:r>
        <w:rPr>
          <w:rFonts w:hint="eastAsia"/>
        </w:rPr>
        <w:t>本文件由湖南省养老服务标准化技术委员会归口。</w:t>
      </w:r>
    </w:p>
    <w:p w14:paraId="78CCBCD7">
      <w:pPr>
        <w:pStyle w:val="56"/>
        <w:ind w:firstLine="420"/>
      </w:pPr>
      <w:r>
        <w:rPr>
          <w:rFonts w:hint="eastAsia"/>
        </w:rPr>
        <w:t>本文件起草单位：</w:t>
      </w:r>
    </w:p>
    <w:p w14:paraId="187B61EF">
      <w:pPr>
        <w:pStyle w:val="56"/>
        <w:ind w:firstLine="420"/>
      </w:pPr>
      <w:r>
        <w:rPr>
          <w:rFonts w:hint="eastAsia"/>
        </w:rPr>
        <w:t>本文件主要起草人：</w:t>
      </w:r>
    </w:p>
    <w:p w14:paraId="587294A0">
      <w:pPr>
        <w:pStyle w:val="56"/>
        <w:ind w:firstLine="420"/>
      </w:pPr>
    </w:p>
    <w:p w14:paraId="2BAF713F">
      <w:pPr>
        <w:pStyle w:val="56"/>
        <w:ind w:firstLine="420"/>
      </w:pPr>
    </w:p>
    <w:p w14:paraId="3CF3A463">
      <w:pPr>
        <w:pStyle w:val="56"/>
        <w:ind w:firstLine="420"/>
      </w:pPr>
    </w:p>
    <w:p w14:paraId="34D701D7">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14:paraId="6D276586">
      <w:pPr>
        <w:spacing w:line="20" w:lineRule="exact"/>
        <w:jc w:val="center"/>
        <w:rPr>
          <w:rFonts w:ascii="黑体" w:hAnsi="黑体" w:eastAsia="黑体"/>
          <w:sz w:val="32"/>
          <w:szCs w:val="32"/>
        </w:rPr>
      </w:pPr>
      <w:bookmarkStart w:id="27" w:name="BookMark4"/>
    </w:p>
    <w:p w14:paraId="4B035F02">
      <w:pPr>
        <w:spacing w:line="20" w:lineRule="exact"/>
        <w:jc w:val="center"/>
        <w:rPr>
          <w:rFonts w:ascii="黑体" w:hAnsi="黑体" w:eastAsia="黑体"/>
          <w:sz w:val="32"/>
          <w:szCs w:val="32"/>
        </w:rPr>
      </w:pPr>
    </w:p>
    <w:sdt>
      <w:sdtPr>
        <w:tag w:val="NEW_STAND_NAME"/>
        <w:id w:val="595910757"/>
        <w:lock w:val="sdtLocked"/>
        <w:placeholder>
          <w:docPart w:val="A063314DD44A41839E4EC115DC38B4F4"/>
        </w:placeholder>
      </w:sdtPr>
      <w:sdtContent>
        <w:p w14:paraId="17BB4D93">
          <w:pPr>
            <w:pStyle w:val="177"/>
            <w:spacing w:before="3" w:beforeLines="1" w:after="686" w:afterLines="220"/>
          </w:pPr>
          <w:bookmarkStart w:id="28" w:name="NEW_STAND_NAME"/>
          <w:r>
            <w:t xml:space="preserve">    农村互助养老设施管理服务规范  </w:t>
          </w:r>
        </w:p>
      </w:sdtContent>
    </w:sdt>
    <w:bookmarkEnd w:id="28"/>
    <w:p w14:paraId="29D2D9BC">
      <w:pPr>
        <w:pStyle w:val="104"/>
        <w:numPr>
          <w:ilvl w:val="0"/>
          <w:numId w:val="0"/>
        </w:numPr>
        <w:spacing w:before="312" w:after="312"/>
      </w:pPr>
      <w:bookmarkStart w:id="29" w:name="_Toc26648465"/>
      <w:bookmarkStart w:id="30" w:name="_Toc182320630"/>
      <w:bookmarkStart w:id="31" w:name="_Toc182322325"/>
      <w:bookmarkStart w:id="32" w:name="_Toc24884218"/>
      <w:bookmarkStart w:id="33" w:name="_Toc26986771"/>
      <w:bookmarkStart w:id="34" w:name="_Toc97191423"/>
      <w:bookmarkStart w:id="35" w:name="_Toc26718930"/>
      <w:bookmarkStart w:id="36" w:name="_Toc17233325"/>
      <w:bookmarkStart w:id="37" w:name="_Toc182320696"/>
      <w:bookmarkStart w:id="38" w:name="_Toc17233333"/>
      <w:bookmarkStart w:id="39" w:name="_Toc182321225"/>
      <w:bookmarkStart w:id="40" w:name="_Toc26986530"/>
      <w:bookmarkStart w:id="41" w:name="_Toc24884211"/>
      <w:bookmarkStart w:id="42" w:name="_Toc182321250"/>
      <w:r>
        <w:rPr>
          <w:rFonts w:hint="eastAsia"/>
        </w:rPr>
        <w:t>1</w:t>
      </w:r>
      <w:r>
        <w:t xml:space="preserve">  </w:t>
      </w:r>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7A3260F">
      <w:pPr>
        <w:widowControl/>
        <w:adjustRightInd/>
        <w:spacing w:line="360" w:lineRule="exact"/>
        <w:ind w:firstLine="420" w:firstLineChars="200"/>
        <w:jc w:val="left"/>
        <w:rPr>
          <w:rFonts w:ascii="宋体" w:hAnsi="宋体"/>
        </w:rPr>
      </w:pPr>
      <w:bookmarkStart w:id="43" w:name="_Toc182321251"/>
      <w:bookmarkStart w:id="44" w:name="_Toc182320631"/>
      <w:bookmarkStart w:id="45" w:name="_Toc182321226"/>
      <w:bookmarkStart w:id="46" w:name="_Toc182320697"/>
      <w:bookmarkStart w:id="47" w:name="_Toc17233326"/>
      <w:bookmarkStart w:id="48" w:name="_Toc24884212"/>
      <w:bookmarkStart w:id="49" w:name="_Toc26648466"/>
      <w:bookmarkStart w:id="50" w:name="_Toc17233334"/>
      <w:bookmarkStart w:id="51" w:name="_Toc24884219"/>
      <w:r>
        <w:rPr>
          <w:rFonts w:hint="eastAsia" w:ascii="宋体" w:hAnsi="宋体"/>
        </w:rPr>
        <w:t>本文件规定了农村互助养老设施的基本要求、服务内容及要求、管理要求及服务评价和改进。</w:t>
      </w:r>
      <w:bookmarkEnd w:id="43"/>
      <w:bookmarkEnd w:id="44"/>
      <w:bookmarkEnd w:id="45"/>
      <w:bookmarkEnd w:id="46"/>
      <w:bookmarkStart w:id="52" w:name="_Toc182321227"/>
      <w:bookmarkStart w:id="53" w:name="_Toc182320632"/>
      <w:bookmarkStart w:id="54" w:name="_Toc182321252"/>
      <w:bookmarkStart w:id="55" w:name="_Toc182320698"/>
    </w:p>
    <w:p w14:paraId="1241876E">
      <w:pPr>
        <w:widowControl/>
        <w:adjustRightInd/>
        <w:spacing w:line="360" w:lineRule="exact"/>
        <w:ind w:firstLine="420" w:firstLineChars="200"/>
        <w:jc w:val="left"/>
        <w:rPr>
          <w:rFonts w:ascii="宋体" w:hAnsi="宋体"/>
        </w:rPr>
      </w:pPr>
      <w:r>
        <w:rPr>
          <w:rFonts w:hint="eastAsia" w:ascii="宋体" w:hAnsi="宋体"/>
        </w:rPr>
        <w:t>本文件适用于农村互助养老设施的管理与服务。</w:t>
      </w:r>
      <w:bookmarkEnd w:id="52"/>
      <w:bookmarkEnd w:id="53"/>
      <w:bookmarkEnd w:id="54"/>
      <w:bookmarkEnd w:id="55"/>
    </w:p>
    <w:p w14:paraId="30C03631">
      <w:pPr>
        <w:pStyle w:val="104"/>
        <w:numPr>
          <w:ilvl w:val="0"/>
          <w:numId w:val="0"/>
        </w:numPr>
        <w:spacing w:before="312" w:after="312"/>
      </w:pPr>
      <w:bookmarkStart w:id="56" w:name="_Toc182321228"/>
      <w:bookmarkStart w:id="57" w:name="_Toc182321253"/>
      <w:bookmarkStart w:id="58" w:name="_Toc182322326"/>
      <w:bookmarkStart w:id="59" w:name="_Toc26718931"/>
      <w:bookmarkStart w:id="60" w:name="_Toc26986772"/>
      <w:bookmarkStart w:id="61" w:name="_Toc97191424"/>
      <w:bookmarkStart w:id="62" w:name="_Toc182320699"/>
      <w:bookmarkStart w:id="63" w:name="_Toc26986531"/>
      <w:bookmarkStart w:id="64" w:name="_Toc182320633"/>
      <w:r>
        <w:rPr>
          <w:rFonts w:hint="eastAsia"/>
        </w:rPr>
        <w:t>2</w:t>
      </w:r>
      <w:r>
        <w:t xml:space="preserve">  </w:t>
      </w:r>
      <w:r>
        <w:rPr>
          <w:rFonts w:hint="eastAsia"/>
        </w:rPr>
        <w:t>规范性引用文件</w:t>
      </w:r>
      <w:bookmarkEnd w:id="47"/>
      <w:bookmarkEnd w:id="48"/>
      <w:bookmarkEnd w:id="49"/>
      <w:bookmarkEnd w:id="50"/>
      <w:bookmarkEnd w:id="51"/>
      <w:bookmarkEnd w:id="56"/>
      <w:bookmarkEnd w:id="57"/>
      <w:bookmarkEnd w:id="58"/>
      <w:bookmarkEnd w:id="59"/>
      <w:bookmarkEnd w:id="60"/>
      <w:bookmarkEnd w:id="61"/>
      <w:bookmarkEnd w:id="62"/>
      <w:bookmarkEnd w:id="63"/>
      <w:bookmarkEnd w:id="64"/>
    </w:p>
    <w:p w14:paraId="5C37114B">
      <w:pPr>
        <w:pStyle w:val="230"/>
        <w:spacing w:line="288" w:lineRule="auto"/>
        <w:jc w:val="left"/>
      </w:pPr>
      <w:sdt>
        <w:sdtPr>
          <w:rPr>
            <w:rFonts w:hint="eastAsia"/>
          </w:rPr>
          <w:id w:val="715848253"/>
          <w:placeholder>
            <w:docPart w:val="B79FF49E32284312993CE81D18FF55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tbl>
      <w:tblPr>
        <w:tblStyle w:val="231"/>
        <w:tblW w:w="8505" w:type="dxa"/>
        <w:tblInd w:w="675"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6378"/>
      </w:tblGrid>
      <w:tr w14:paraId="47FECA0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PrEx>
        <w:tc>
          <w:tcPr>
            <w:tcW w:w="2127" w:type="dxa"/>
            <w:tcBorders>
              <w:top w:val="nil"/>
              <w:left w:val="nil"/>
              <w:bottom w:val="nil"/>
              <w:right w:val="nil"/>
            </w:tcBorders>
          </w:tcPr>
          <w:p w14:paraId="78B80C9D">
            <w:pPr>
              <w:widowControl/>
              <w:autoSpaceDE w:val="0"/>
              <w:autoSpaceDN w:val="0"/>
              <w:adjustRightInd/>
              <w:spacing w:line="288" w:lineRule="auto"/>
              <w:jc w:val="left"/>
              <w:rPr>
                <w:rFonts w:ascii="宋体" w:hAnsi="Times New Roman" w:eastAsia="Times New Roman"/>
              </w:rPr>
            </w:pPr>
            <w:r>
              <w:rPr>
                <w:rFonts w:hint="eastAsia" w:ascii="宋体" w:hAnsi="宋体" w:eastAsia="Times New Roman"/>
              </w:rPr>
              <w:t>GB 14934</w:t>
            </w:r>
          </w:p>
        </w:tc>
        <w:tc>
          <w:tcPr>
            <w:tcW w:w="6378" w:type="dxa"/>
            <w:tcBorders>
              <w:top w:val="nil"/>
              <w:left w:val="nil"/>
              <w:bottom w:val="nil"/>
              <w:right w:val="nil"/>
            </w:tcBorders>
          </w:tcPr>
          <w:p w14:paraId="31672F67">
            <w:pPr>
              <w:widowControl/>
              <w:autoSpaceDE w:val="0"/>
              <w:autoSpaceDN w:val="0"/>
              <w:adjustRightInd/>
              <w:spacing w:line="288" w:lineRule="auto"/>
              <w:jc w:val="left"/>
              <w:rPr>
                <w:rFonts w:ascii="宋体" w:hAnsi="Times New Roman" w:eastAsia="Times New Roman"/>
              </w:rPr>
            </w:pPr>
            <w:r>
              <w:rPr>
                <w:rFonts w:hint="eastAsia" w:ascii="宋体" w:hAnsi="宋体" w:eastAsia="Times New Roman"/>
              </w:rPr>
              <w:t>食品安全国家标准 消毒餐（饮）具</w:t>
            </w:r>
          </w:p>
        </w:tc>
      </w:tr>
      <w:tr w14:paraId="605ED56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127" w:type="dxa"/>
            <w:tcBorders>
              <w:top w:val="nil"/>
              <w:left w:val="nil"/>
              <w:bottom w:val="nil"/>
              <w:right w:val="nil"/>
            </w:tcBorders>
          </w:tcPr>
          <w:p w14:paraId="47152A27">
            <w:pPr>
              <w:widowControl/>
              <w:autoSpaceDE w:val="0"/>
              <w:autoSpaceDN w:val="0"/>
              <w:adjustRightInd/>
              <w:spacing w:line="288" w:lineRule="auto"/>
              <w:jc w:val="left"/>
              <w:rPr>
                <w:rFonts w:ascii="宋体" w:hAnsi="Times New Roman" w:eastAsia="Times New Roman"/>
              </w:rPr>
            </w:pPr>
            <w:r>
              <w:rPr>
                <w:rFonts w:hint="eastAsia" w:ascii="宋体" w:hAnsi="宋体" w:eastAsia="Times New Roman"/>
              </w:rPr>
              <w:t>GB 50763</w:t>
            </w:r>
          </w:p>
        </w:tc>
        <w:tc>
          <w:tcPr>
            <w:tcW w:w="6378" w:type="dxa"/>
            <w:tcBorders>
              <w:top w:val="nil"/>
              <w:left w:val="nil"/>
              <w:bottom w:val="nil"/>
              <w:right w:val="nil"/>
            </w:tcBorders>
          </w:tcPr>
          <w:p w14:paraId="509E68C0">
            <w:pPr>
              <w:widowControl/>
              <w:autoSpaceDE w:val="0"/>
              <w:autoSpaceDN w:val="0"/>
              <w:adjustRightInd/>
              <w:spacing w:line="288" w:lineRule="auto"/>
              <w:jc w:val="left"/>
              <w:rPr>
                <w:rFonts w:ascii="宋体" w:hAnsi="Times New Roman" w:eastAsia="Times New Roman"/>
              </w:rPr>
            </w:pPr>
            <w:r>
              <w:rPr>
                <w:rFonts w:hint="eastAsia" w:ascii="宋体" w:hAnsi="宋体" w:eastAsia="Times New Roman"/>
              </w:rPr>
              <w:t>无障碍设计规范</w:t>
            </w:r>
          </w:p>
        </w:tc>
      </w:tr>
      <w:tr w14:paraId="3E9D3D8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127" w:type="dxa"/>
            <w:tcBorders>
              <w:top w:val="nil"/>
              <w:left w:val="nil"/>
              <w:bottom w:val="nil"/>
              <w:right w:val="nil"/>
            </w:tcBorders>
            <w:shd w:val="clear" w:color="auto" w:fill="auto"/>
          </w:tcPr>
          <w:p w14:paraId="53E356CA">
            <w:pPr>
              <w:widowControl/>
              <w:autoSpaceDE w:val="0"/>
              <w:autoSpaceDN w:val="0"/>
              <w:adjustRightInd/>
              <w:spacing w:line="288" w:lineRule="auto"/>
              <w:jc w:val="left"/>
              <w:rPr>
                <w:rFonts w:ascii="宋体" w:hAnsi="Times New Roman" w:eastAsia="Times New Roman"/>
              </w:rPr>
            </w:pPr>
            <w:r>
              <w:rPr>
                <w:rFonts w:hint="eastAsia" w:ascii="宋体" w:hAnsi="Times New Roman" w:eastAsia="Times New Roman"/>
              </w:rPr>
              <w:t>JGJ</w:t>
            </w:r>
            <w:r>
              <w:rPr>
                <w:rFonts w:ascii="宋体" w:hAnsi="Times New Roman" w:eastAsia="Times New Roman"/>
              </w:rPr>
              <w:t xml:space="preserve"> </w:t>
            </w:r>
            <w:r>
              <w:rPr>
                <w:rFonts w:hint="eastAsia" w:ascii="宋体" w:hAnsi="Times New Roman" w:eastAsia="Times New Roman"/>
              </w:rPr>
              <w:t>450</w:t>
            </w:r>
          </w:p>
        </w:tc>
        <w:tc>
          <w:tcPr>
            <w:tcW w:w="6378" w:type="dxa"/>
            <w:tcBorders>
              <w:top w:val="nil"/>
              <w:left w:val="nil"/>
              <w:bottom w:val="nil"/>
              <w:right w:val="nil"/>
            </w:tcBorders>
            <w:shd w:val="clear" w:color="auto" w:fill="auto"/>
          </w:tcPr>
          <w:p w14:paraId="3D249C06">
            <w:pPr>
              <w:widowControl/>
              <w:autoSpaceDE w:val="0"/>
              <w:autoSpaceDN w:val="0"/>
              <w:adjustRightInd/>
              <w:spacing w:line="288" w:lineRule="auto"/>
              <w:jc w:val="left"/>
              <w:rPr>
                <w:rFonts w:ascii="宋体" w:hAnsi="Times New Roman" w:eastAsia="Times New Roman"/>
              </w:rPr>
            </w:pPr>
            <w:r>
              <w:rPr>
                <w:rFonts w:hint="eastAsia" w:ascii="宋体" w:hAnsi="宋体" w:eastAsia="Times New Roman"/>
              </w:rPr>
              <w:t>老年人照料设施建筑设计标准</w:t>
            </w:r>
          </w:p>
        </w:tc>
      </w:tr>
    </w:tbl>
    <w:p w14:paraId="45B67DB0">
      <w:pPr>
        <w:pStyle w:val="56"/>
        <w:ind w:firstLine="0" w:firstLineChars="0"/>
      </w:pPr>
    </w:p>
    <w:p w14:paraId="2E867311">
      <w:pPr>
        <w:pStyle w:val="104"/>
        <w:numPr>
          <w:ilvl w:val="0"/>
          <w:numId w:val="0"/>
        </w:numPr>
        <w:spacing w:before="312" w:after="312"/>
      </w:pPr>
      <w:bookmarkStart w:id="65" w:name="_Toc182321254"/>
      <w:bookmarkStart w:id="66" w:name="_Toc182321229"/>
      <w:bookmarkStart w:id="67" w:name="_Toc182320634"/>
      <w:bookmarkStart w:id="68" w:name="_Toc97191425"/>
      <w:bookmarkStart w:id="69" w:name="_Toc182320700"/>
      <w:bookmarkStart w:id="70" w:name="_Toc182322327"/>
      <w:r>
        <w:rPr>
          <w:szCs w:val="21"/>
        </w:rPr>
        <w:t xml:space="preserve">3  </w:t>
      </w:r>
      <w:r>
        <w:rPr>
          <w:rFonts w:hint="eastAsia"/>
          <w:szCs w:val="21"/>
        </w:rPr>
        <w:t>术语和定义</w:t>
      </w:r>
      <w:bookmarkEnd w:id="65"/>
      <w:bookmarkEnd w:id="66"/>
      <w:bookmarkEnd w:id="67"/>
      <w:bookmarkEnd w:id="68"/>
      <w:bookmarkEnd w:id="69"/>
      <w:bookmarkEnd w:id="70"/>
    </w:p>
    <w:p w14:paraId="3D317603">
      <w:pPr>
        <w:pStyle w:val="232"/>
        <w:spacing w:before="156" w:after="156" w:line="360" w:lineRule="auto"/>
        <w:ind w:left="0" w:firstLine="420" w:firstLineChars="200"/>
      </w:pPr>
      <w:bookmarkStart w:id="71" w:name="_Toc26986532"/>
      <w:bookmarkEnd w:id="71"/>
      <w:sdt>
        <w:sdtPr>
          <w:id w:val="-1909835108"/>
          <w:placeholder>
            <w:docPart w:val="34A2D6A6DAA34B409E6C42440E8D4D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14:paraId="362BF94F">
      <w:pPr>
        <w:adjustRightInd/>
        <w:spacing w:line="240" w:lineRule="auto"/>
        <w:rPr>
          <w:rFonts w:ascii="黑体" w:hAnsi="黑体" w:eastAsia="黑体"/>
        </w:rPr>
      </w:pPr>
      <w:r>
        <w:rPr>
          <w:rFonts w:hint="eastAsia" w:ascii="黑体" w:hAnsi="黑体" w:eastAsia="黑体"/>
          <w:lang w:val="en-US" w:eastAsia="zh-CN"/>
        </w:rPr>
        <w:t xml:space="preserve">3.1 </w:t>
      </w:r>
      <w:r>
        <w:rPr>
          <w:rFonts w:hint="eastAsia" w:ascii="黑体" w:hAnsi="黑体" w:eastAsia="黑体"/>
        </w:rPr>
        <w:t>农村互助养老设施Rural mutual assistance facilities for the elderly</w:t>
      </w:r>
    </w:p>
    <w:p w14:paraId="116818D2">
      <w:pPr>
        <w:widowControl/>
        <w:adjustRightInd/>
        <w:spacing w:line="360" w:lineRule="exact"/>
        <w:ind w:firstLine="420" w:firstLineChars="200"/>
        <w:jc w:val="left"/>
        <w:rPr>
          <w:rFonts w:ascii="system-ui" w:hAnsi="system-ui" w:eastAsia="system-ui" w:cs="system-ui"/>
          <w:i w:val="0"/>
          <w:iCs w:val="0"/>
          <w:caps w:val="0"/>
          <w:color w:val="000000"/>
          <w:spacing w:val="0"/>
          <w:sz w:val="16"/>
          <w:szCs w:val="16"/>
          <w:shd w:val="clear" w:fill="FFFFFF"/>
        </w:rPr>
      </w:pPr>
      <w:r>
        <w:rPr>
          <w:rFonts w:hint="eastAsia" w:ascii="宋体" w:hAnsi="宋体"/>
        </w:rPr>
        <w:t>由</w:t>
      </w:r>
      <w:r>
        <w:rPr>
          <w:rFonts w:hint="eastAsia" w:ascii="宋体" w:hAnsi="宋体"/>
          <w:lang w:val="en-US" w:eastAsia="zh-CN"/>
        </w:rPr>
        <w:t>县或</w:t>
      </w:r>
      <w:r>
        <w:rPr>
          <w:rFonts w:hint="eastAsia" w:ascii="宋体" w:hAnsi="宋体"/>
        </w:rPr>
        <w:t>乡镇统筹指导</w:t>
      </w:r>
      <w:r>
        <w:rPr>
          <w:rFonts w:hint="eastAsia" w:ascii="宋体" w:hAnsi="宋体"/>
          <w:lang w:eastAsia="zh-CN"/>
        </w:rPr>
        <w:t>、</w:t>
      </w:r>
      <w:r>
        <w:rPr>
          <w:rFonts w:hint="eastAsia" w:ascii="宋体" w:hAnsi="宋体"/>
        </w:rPr>
        <w:t>村级组织</w:t>
      </w:r>
      <w:r>
        <w:rPr>
          <w:rFonts w:hint="eastAsia" w:ascii="宋体" w:hAnsi="宋体"/>
          <w:lang w:eastAsia="zh-CN"/>
        </w:rPr>
        <w:t>，</w:t>
      </w:r>
      <w:r>
        <w:rPr>
          <w:rFonts w:hint="eastAsia" w:ascii="宋体" w:hAnsi="宋体"/>
        </w:rPr>
        <w:t>通过低龄助高龄、健康助失能</w:t>
      </w:r>
      <w:r>
        <w:rPr>
          <w:rFonts w:hint="eastAsia" w:ascii="宋体" w:hAnsi="宋体"/>
          <w:lang w:eastAsia="zh-CN"/>
        </w:rPr>
        <w:t>、</w:t>
      </w:r>
      <w:r>
        <w:rPr>
          <w:rFonts w:hint="eastAsia" w:ascii="宋体" w:hAnsi="宋体"/>
          <w:lang w:val="en-US" w:eastAsia="zh-CN"/>
        </w:rPr>
        <w:t>邻里帮扶</w:t>
      </w:r>
      <w:r>
        <w:rPr>
          <w:rFonts w:hint="eastAsia" w:ascii="宋体" w:hAnsi="宋体"/>
        </w:rPr>
        <w:t>等互助方式，为辖区内农村有需求老年人提供助餐、探访关爱等服务的公益性</w:t>
      </w:r>
      <w:r>
        <w:rPr>
          <w:rFonts w:hint="eastAsia" w:ascii="宋体" w:hAnsi="宋体"/>
          <w:lang w:val="en-US" w:eastAsia="zh-CN"/>
        </w:rPr>
        <w:t>活动</w:t>
      </w:r>
      <w:r>
        <w:rPr>
          <w:rFonts w:hint="eastAsia" w:ascii="宋体" w:hAnsi="宋体"/>
        </w:rPr>
        <w:t>场所，包括但不限于村级邻里互助点。</w:t>
      </w:r>
    </w:p>
    <w:p w14:paraId="7CD15817">
      <w:pPr>
        <w:pStyle w:val="104"/>
        <w:numPr>
          <w:ilvl w:val="0"/>
          <w:numId w:val="0"/>
        </w:numPr>
        <w:spacing w:before="312" w:after="312"/>
        <w:rPr>
          <w:szCs w:val="21"/>
        </w:rPr>
      </w:pPr>
      <w:bookmarkStart w:id="72" w:name="_Toc182320701"/>
      <w:bookmarkStart w:id="73" w:name="_Toc182320635"/>
      <w:bookmarkStart w:id="74" w:name="_Toc182321230"/>
      <w:bookmarkStart w:id="75" w:name="_Toc182322328"/>
      <w:bookmarkStart w:id="76" w:name="_Toc182321255"/>
      <w:r>
        <w:rPr>
          <w:szCs w:val="21"/>
        </w:rPr>
        <w:t xml:space="preserve">4  </w:t>
      </w:r>
      <w:r>
        <w:rPr>
          <w:rFonts w:hint="eastAsia"/>
          <w:szCs w:val="21"/>
        </w:rPr>
        <w:t>基本要求</w:t>
      </w:r>
      <w:bookmarkEnd w:id="72"/>
      <w:bookmarkEnd w:id="73"/>
      <w:bookmarkEnd w:id="74"/>
      <w:bookmarkEnd w:id="75"/>
      <w:bookmarkEnd w:id="76"/>
    </w:p>
    <w:p w14:paraId="22DBA51D">
      <w:pPr>
        <w:pStyle w:val="3"/>
        <w:rPr>
          <w:rFonts w:ascii="黑体" w:hAnsi="黑体"/>
          <w:b w:val="0"/>
          <w:sz w:val="21"/>
          <w:szCs w:val="21"/>
        </w:rPr>
      </w:pPr>
      <w:r>
        <w:rPr>
          <w:rFonts w:hint="eastAsia" w:ascii="黑体" w:hAnsi="黑体"/>
          <w:b w:val="0"/>
          <w:sz w:val="21"/>
          <w:szCs w:val="21"/>
        </w:rPr>
        <w:t>4.1场所及设施要求</w:t>
      </w:r>
    </w:p>
    <w:p w14:paraId="19171F17">
      <w:pPr>
        <w:widowControl/>
        <w:adjustRightInd/>
        <w:spacing w:line="360" w:lineRule="exact"/>
        <w:jc w:val="left"/>
        <w:rPr>
          <w:rFonts w:ascii="宋体" w:hAnsi="宋体"/>
        </w:rPr>
      </w:pPr>
      <w:r>
        <w:rPr>
          <w:rFonts w:hint="eastAsia" w:ascii="宋体" w:hAnsi="宋体"/>
        </w:rPr>
        <w:t xml:space="preserve">4.1.1 </w:t>
      </w:r>
      <w:r>
        <w:rPr>
          <w:rFonts w:ascii="宋体" w:hAnsi="宋体"/>
        </w:rPr>
        <w:t xml:space="preserve"> </w:t>
      </w:r>
      <w:r>
        <w:rPr>
          <w:rFonts w:hint="eastAsia" w:ascii="宋体" w:hAnsi="宋体"/>
        </w:rPr>
        <w:t>场所应为合法建筑，宜符合《老年人照料设施建筑设计标准》要求。</w:t>
      </w:r>
    </w:p>
    <w:p w14:paraId="374C3425">
      <w:pPr>
        <w:widowControl/>
        <w:adjustRightInd/>
        <w:spacing w:line="360" w:lineRule="exact"/>
        <w:jc w:val="left"/>
        <w:rPr>
          <w:rFonts w:ascii="宋体" w:hAnsi="宋体"/>
        </w:rPr>
      </w:pPr>
      <w:r>
        <w:rPr>
          <w:rFonts w:hint="eastAsia" w:ascii="宋体" w:hAnsi="宋体"/>
        </w:rPr>
        <w:t xml:space="preserve">4.1.2 </w:t>
      </w:r>
      <w:r>
        <w:rPr>
          <w:rFonts w:ascii="宋体" w:hAnsi="宋体"/>
        </w:rPr>
        <w:t xml:space="preserve"> </w:t>
      </w:r>
      <w:r>
        <w:rPr>
          <w:rFonts w:hint="eastAsia" w:ascii="宋体" w:hAnsi="宋体"/>
        </w:rPr>
        <w:t>场所应选择地质条件稳定、不受洪涝灾害，地势较平，少陡坡的位置。</w:t>
      </w:r>
    </w:p>
    <w:p w14:paraId="484B7BFD">
      <w:pPr>
        <w:widowControl/>
        <w:adjustRightInd/>
        <w:spacing w:line="360" w:lineRule="exact"/>
        <w:jc w:val="left"/>
        <w:rPr>
          <w:rFonts w:ascii="宋体" w:hAnsi="宋体"/>
        </w:rPr>
      </w:pPr>
      <w:r>
        <w:rPr>
          <w:rFonts w:hint="eastAsia" w:ascii="宋体" w:hAnsi="宋体"/>
        </w:rPr>
        <w:t xml:space="preserve">4.1.3 </w:t>
      </w:r>
      <w:r>
        <w:rPr>
          <w:rFonts w:ascii="宋体" w:hAnsi="宋体"/>
        </w:rPr>
        <w:t xml:space="preserve"> </w:t>
      </w:r>
      <w:r>
        <w:rPr>
          <w:rFonts w:hint="eastAsia" w:ascii="宋体" w:hAnsi="宋体"/>
        </w:rPr>
        <w:t>场所应选择楼栋一楼或低层，符合无障碍设计规范，地面平整，亮度适宜。</w:t>
      </w:r>
    </w:p>
    <w:p w14:paraId="27897E39">
      <w:pPr>
        <w:widowControl/>
        <w:adjustRightInd/>
        <w:spacing w:line="360" w:lineRule="exact"/>
        <w:jc w:val="left"/>
        <w:rPr>
          <w:rFonts w:ascii="宋体" w:hAnsi="宋体"/>
        </w:rPr>
      </w:pPr>
      <w:r>
        <w:rPr>
          <w:rFonts w:hint="eastAsia" w:ascii="宋体" w:hAnsi="宋体"/>
        </w:rPr>
        <w:t xml:space="preserve">4.1.4 </w:t>
      </w:r>
      <w:r>
        <w:rPr>
          <w:rFonts w:ascii="宋体" w:hAnsi="宋体"/>
        </w:rPr>
        <w:t xml:space="preserve"> </w:t>
      </w:r>
      <w:r>
        <w:rPr>
          <w:rFonts w:hint="eastAsia" w:ascii="宋体" w:hAnsi="宋体"/>
        </w:rPr>
        <w:t>场所宜选择老年人相对集中、交通方便，邻近村卫生室、村服务中心等公共服务设施的位置。</w:t>
      </w:r>
    </w:p>
    <w:p w14:paraId="2A87C23D">
      <w:pPr>
        <w:widowControl/>
        <w:adjustRightInd/>
        <w:spacing w:line="360" w:lineRule="exact"/>
        <w:jc w:val="left"/>
        <w:rPr>
          <w:rFonts w:ascii="宋体" w:hAnsi="宋体"/>
        </w:rPr>
      </w:pPr>
      <w:r>
        <w:rPr>
          <w:rFonts w:hint="eastAsia" w:ascii="宋体" w:hAnsi="宋体"/>
        </w:rPr>
        <w:t xml:space="preserve">4.1.5 </w:t>
      </w:r>
      <w:r>
        <w:rPr>
          <w:rFonts w:ascii="宋体" w:hAnsi="宋体"/>
        </w:rPr>
        <w:t xml:space="preserve"> </w:t>
      </w:r>
      <w:r>
        <w:rPr>
          <w:rFonts w:hint="eastAsia" w:ascii="宋体" w:hAnsi="宋体"/>
        </w:rPr>
        <w:t>场所宜整合利用农村现有闲置校舍、村部、民房、农家大院等资源，因地制宜转型。</w:t>
      </w:r>
    </w:p>
    <w:p w14:paraId="2785C92F">
      <w:pPr>
        <w:widowControl/>
        <w:adjustRightInd/>
        <w:spacing w:line="360" w:lineRule="exact"/>
        <w:jc w:val="left"/>
        <w:rPr>
          <w:rFonts w:ascii="宋体" w:hAnsi="宋体"/>
        </w:rPr>
      </w:pPr>
      <w:r>
        <w:rPr>
          <w:rFonts w:hint="eastAsia" w:ascii="宋体" w:hAnsi="宋体"/>
        </w:rPr>
        <w:t>4.1.6</w:t>
      </w:r>
      <w:r>
        <w:rPr>
          <w:rFonts w:ascii="宋体" w:hAnsi="宋体"/>
        </w:rPr>
        <w:t xml:space="preserve">  </w:t>
      </w:r>
      <w:r>
        <w:rPr>
          <w:rFonts w:hint="eastAsia" w:ascii="宋体" w:hAnsi="宋体"/>
        </w:rPr>
        <w:t>场所宜包括但不限于生活服务用房、娱乐用房、辅助用房等，有条件的地区可结合实际配置康复保健设施、户外活动设施等。</w:t>
      </w:r>
    </w:p>
    <w:p w14:paraId="0E9FF67B">
      <w:pPr>
        <w:widowControl/>
        <w:adjustRightInd/>
        <w:spacing w:line="360" w:lineRule="exact"/>
        <w:jc w:val="left"/>
        <w:rPr>
          <w:rFonts w:ascii="宋体" w:hAnsi="宋体"/>
        </w:rPr>
      </w:pPr>
      <w:r>
        <w:rPr>
          <w:rFonts w:hint="eastAsia" w:ascii="宋体" w:hAnsi="宋体"/>
        </w:rPr>
        <w:t>4.1.7</w:t>
      </w:r>
      <w:r>
        <w:rPr>
          <w:rFonts w:ascii="宋体" w:hAnsi="宋体"/>
        </w:rPr>
        <w:t xml:space="preserve">  </w:t>
      </w:r>
      <w:r>
        <w:rPr>
          <w:rFonts w:hint="eastAsia" w:ascii="宋体" w:hAnsi="宋体"/>
        </w:rPr>
        <w:t>场所应配备灭火器等消防设施，并定期进行维护。</w:t>
      </w:r>
    </w:p>
    <w:p w14:paraId="6C2B9E86">
      <w:pPr>
        <w:pStyle w:val="3"/>
        <w:rPr>
          <w:rFonts w:ascii="黑体" w:hAnsi="黑体"/>
          <w:b w:val="0"/>
          <w:sz w:val="21"/>
          <w:szCs w:val="21"/>
        </w:rPr>
      </w:pPr>
      <w:r>
        <w:rPr>
          <w:rFonts w:hint="eastAsia" w:ascii="黑体" w:hAnsi="黑体"/>
          <w:b w:val="0"/>
          <w:sz w:val="21"/>
          <w:szCs w:val="21"/>
        </w:rPr>
        <w:t xml:space="preserve">4.2 服务人员要求 </w:t>
      </w:r>
    </w:p>
    <w:p w14:paraId="755B597A">
      <w:pPr>
        <w:widowControl/>
        <w:adjustRightInd/>
        <w:spacing w:line="360" w:lineRule="exact"/>
        <w:jc w:val="left"/>
        <w:rPr>
          <w:rFonts w:ascii="宋体" w:hAnsi="宋体"/>
        </w:rPr>
      </w:pPr>
      <w:r>
        <w:rPr>
          <w:rFonts w:hint="eastAsia" w:ascii="宋体" w:hAnsi="宋体"/>
        </w:rPr>
        <w:t>4.2.1  人员配备应满足日常管理与服务的需求，至少设1名专兼职人员。</w:t>
      </w:r>
    </w:p>
    <w:p w14:paraId="1FE82FB4">
      <w:pPr>
        <w:widowControl/>
        <w:adjustRightInd/>
        <w:spacing w:line="360" w:lineRule="exact"/>
        <w:jc w:val="left"/>
        <w:rPr>
          <w:rFonts w:ascii="宋体" w:hAnsi="宋体"/>
        </w:rPr>
      </w:pPr>
      <w:r>
        <w:rPr>
          <w:rFonts w:hint="eastAsia" w:ascii="宋体" w:hAnsi="宋体"/>
        </w:rPr>
        <w:t>4.2.2  餐饮服务人员应提供健康证，其他服务人员</w:t>
      </w:r>
      <w:r>
        <w:rPr>
          <w:rFonts w:hint="eastAsia" w:ascii="宋体" w:hAnsi="宋体"/>
          <w:lang w:eastAsia="zh-CN"/>
        </w:rPr>
        <w:t>宜</w:t>
      </w:r>
      <w:r>
        <w:rPr>
          <w:rFonts w:hint="eastAsia" w:ascii="宋体" w:hAnsi="宋体"/>
        </w:rPr>
        <w:t>提供有效的健康证明。</w:t>
      </w:r>
    </w:p>
    <w:p w14:paraId="2A164B16">
      <w:pPr>
        <w:widowControl/>
        <w:adjustRightInd/>
        <w:spacing w:line="360" w:lineRule="exact"/>
        <w:jc w:val="left"/>
        <w:rPr>
          <w:rFonts w:ascii="宋体" w:hAnsi="宋体"/>
        </w:rPr>
      </w:pPr>
      <w:r>
        <w:rPr>
          <w:rFonts w:hint="eastAsia" w:ascii="宋体" w:hAnsi="宋体"/>
        </w:rPr>
        <w:t>4.2.3  如有</w:t>
      </w:r>
      <w:r>
        <w:rPr>
          <w:rFonts w:ascii="宋体" w:hAnsi="宋体"/>
        </w:rPr>
        <w:t>提供养老护理、康复</w:t>
      </w:r>
      <w:r>
        <w:rPr>
          <w:rFonts w:hint="eastAsia" w:ascii="宋体" w:hAnsi="宋体"/>
        </w:rPr>
        <w:t>训练</w:t>
      </w:r>
      <w:r>
        <w:rPr>
          <w:rFonts w:ascii="宋体" w:hAnsi="宋体"/>
        </w:rPr>
        <w:t>、心理</w:t>
      </w:r>
      <w:r>
        <w:rPr>
          <w:rFonts w:hint="eastAsia" w:ascii="宋体" w:hAnsi="宋体"/>
        </w:rPr>
        <w:t>咨询</w:t>
      </w:r>
      <w:r>
        <w:rPr>
          <w:rFonts w:ascii="宋体" w:hAnsi="宋体"/>
        </w:rPr>
        <w:t>等专业服务</w:t>
      </w:r>
      <w:r>
        <w:rPr>
          <w:rFonts w:hint="eastAsia" w:ascii="宋体" w:hAnsi="宋体"/>
        </w:rPr>
        <w:t>的人员，则</w:t>
      </w:r>
      <w:r>
        <w:rPr>
          <w:rFonts w:hint="eastAsia" w:ascii="宋体" w:hAnsi="宋体"/>
          <w:lang w:eastAsia="zh-CN"/>
        </w:rPr>
        <w:t>宜</w:t>
      </w:r>
      <w:r>
        <w:rPr>
          <w:rFonts w:ascii="宋体" w:hAnsi="宋体"/>
        </w:rPr>
        <w:t>具备相应</w:t>
      </w:r>
      <w:r>
        <w:rPr>
          <w:rFonts w:hint="eastAsia" w:ascii="宋体" w:hAnsi="宋体"/>
        </w:rPr>
        <w:t>的</w:t>
      </w:r>
      <w:r>
        <w:rPr>
          <w:rFonts w:ascii="宋体" w:hAnsi="宋体"/>
        </w:rPr>
        <w:t>职业资格</w:t>
      </w:r>
      <w:r>
        <w:rPr>
          <w:rFonts w:hint="eastAsia" w:ascii="宋体" w:hAnsi="宋体"/>
        </w:rPr>
        <w:t>证。</w:t>
      </w:r>
    </w:p>
    <w:p w14:paraId="478AB260">
      <w:pPr>
        <w:widowControl/>
        <w:adjustRightInd/>
        <w:spacing w:line="360" w:lineRule="exact"/>
        <w:jc w:val="left"/>
        <w:rPr>
          <w:rFonts w:ascii="宋体" w:hAnsi="宋体"/>
        </w:rPr>
      </w:pPr>
      <w:r>
        <w:rPr>
          <w:rFonts w:hint="eastAsia" w:ascii="宋体" w:hAnsi="宋体"/>
        </w:rPr>
        <w:t>4.2.4  鼓励农村党员、邻里等提供志愿服务。</w:t>
      </w:r>
    </w:p>
    <w:p w14:paraId="2D8BC097">
      <w:pPr>
        <w:widowControl/>
        <w:adjustRightInd/>
        <w:spacing w:line="360" w:lineRule="exact"/>
        <w:jc w:val="left"/>
        <w:rPr>
          <w:rFonts w:ascii="宋体" w:hAnsi="宋体"/>
        </w:rPr>
      </w:pPr>
      <w:r>
        <w:rPr>
          <w:rFonts w:hint="eastAsia" w:ascii="宋体" w:hAnsi="宋体"/>
        </w:rPr>
        <w:t>4.2.5  引导</w:t>
      </w:r>
      <w:r>
        <w:rPr>
          <w:rFonts w:hint="eastAsia" w:ascii="宋体" w:hAnsi="宋体"/>
          <w:lang w:eastAsia="zh-CN"/>
        </w:rPr>
        <w:t>农村老年协会、</w:t>
      </w:r>
      <w:r>
        <w:rPr>
          <w:rFonts w:hint="eastAsia" w:ascii="宋体" w:hAnsi="宋体"/>
        </w:rPr>
        <w:t>社会组织、志愿服务团体以及爱心人士提供志愿服务。</w:t>
      </w:r>
    </w:p>
    <w:p w14:paraId="69B5690B">
      <w:pPr>
        <w:widowControl/>
        <w:adjustRightInd/>
        <w:spacing w:line="360" w:lineRule="exact"/>
        <w:jc w:val="left"/>
        <w:rPr>
          <w:rFonts w:ascii="宋体" w:hAnsi="宋体"/>
        </w:rPr>
      </w:pPr>
      <w:r>
        <w:rPr>
          <w:rFonts w:hint="eastAsia" w:ascii="宋体" w:hAnsi="宋体"/>
        </w:rPr>
        <w:t>4.2.6  鼓励成立以低龄健康老年人、农村留守妇女为主体的农村养老互助服务队；鼓励参加互助养老的老年人，承担力所能及的工作。</w:t>
      </w:r>
    </w:p>
    <w:p w14:paraId="11AD4B9F">
      <w:pPr>
        <w:pStyle w:val="104"/>
        <w:numPr>
          <w:ilvl w:val="0"/>
          <w:numId w:val="0"/>
        </w:numPr>
        <w:spacing w:before="312" w:after="312"/>
        <w:rPr>
          <w:szCs w:val="21"/>
        </w:rPr>
      </w:pPr>
      <w:bookmarkStart w:id="77" w:name="_Toc182321256"/>
      <w:bookmarkStart w:id="78" w:name="_Toc182322329"/>
      <w:bookmarkStart w:id="79" w:name="_Toc182320702"/>
      <w:bookmarkStart w:id="80" w:name="_Toc182320636"/>
      <w:bookmarkStart w:id="81" w:name="_Toc182321231"/>
      <w:r>
        <w:rPr>
          <w:rFonts w:hint="eastAsia"/>
          <w:szCs w:val="21"/>
        </w:rPr>
        <w:t xml:space="preserve">5 </w:t>
      </w:r>
      <w:r>
        <w:rPr>
          <w:szCs w:val="21"/>
        </w:rPr>
        <w:t xml:space="preserve"> </w:t>
      </w:r>
      <w:r>
        <w:rPr>
          <w:rFonts w:hint="eastAsia"/>
          <w:szCs w:val="21"/>
        </w:rPr>
        <w:t>服务内容及要求</w:t>
      </w:r>
      <w:bookmarkEnd w:id="77"/>
      <w:bookmarkEnd w:id="78"/>
      <w:bookmarkEnd w:id="79"/>
      <w:bookmarkEnd w:id="80"/>
      <w:bookmarkEnd w:id="81"/>
    </w:p>
    <w:p w14:paraId="4836DE40">
      <w:pPr>
        <w:pStyle w:val="3"/>
        <w:rPr>
          <w:rFonts w:ascii="黑体" w:hAnsi="黑体"/>
          <w:b w:val="0"/>
          <w:sz w:val="21"/>
          <w:szCs w:val="21"/>
        </w:rPr>
      </w:pPr>
      <w:r>
        <w:rPr>
          <w:rFonts w:hint="eastAsia" w:ascii="黑体" w:hAnsi="黑体"/>
          <w:b w:val="0"/>
          <w:sz w:val="21"/>
          <w:szCs w:val="21"/>
        </w:rPr>
        <w:t>5.1 助餐服务</w:t>
      </w:r>
    </w:p>
    <w:p w14:paraId="1FA7050E">
      <w:pPr>
        <w:widowControl/>
        <w:adjustRightInd/>
        <w:spacing w:line="360" w:lineRule="exact"/>
        <w:jc w:val="left"/>
        <w:rPr>
          <w:rFonts w:ascii="宋体" w:hAnsi="宋体"/>
        </w:rPr>
      </w:pPr>
      <w:r>
        <w:rPr>
          <w:rFonts w:hint="eastAsia" w:ascii="宋体" w:hAnsi="宋体"/>
        </w:rPr>
        <w:t>5.1.1</w:t>
      </w:r>
      <w:r>
        <w:rPr>
          <w:rFonts w:ascii="宋体" w:hAnsi="宋体"/>
        </w:rPr>
        <w:t xml:space="preserve">  </w:t>
      </w:r>
      <w:r>
        <w:rPr>
          <w:rFonts w:hint="eastAsia" w:ascii="宋体" w:hAnsi="宋体"/>
        </w:rPr>
        <w:t>因地制宜设置老年食堂、老年餐桌、邻里助餐点等，为农村留守老年人、分散供养特困人员等</w:t>
      </w:r>
    </w:p>
    <w:p w14:paraId="2094F3BF">
      <w:pPr>
        <w:widowControl/>
        <w:adjustRightInd/>
        <w:spacing w:line="360" w:lineRule="exact"/>
        <w:jc w:val="left"/>
        <w:rPr>
          <w:rFonts w:ascii="宋体" w:hAnsi="宋体"/>
        </w:rPr>
      </w:pPr>
      <w:r>
        <w:rPr>
          <w:rFonts w:hint="eastAsia" w:ascii="宋体" w:hAnsi="宋体"/>
        </w:rPr>
        <w:t>提供必要的用餐服务，有条件的互助点可根据实际提供送餐服务。</w:t>
      </w:r>
    </w:p>
    <w:p w14:paraId="6FFFC276">
      <w:pPr>
        <w:widowControl/>
        <w:adjustRightInd/>
        <w:spacing w:line="360" w:lineRule="exact"/>
        <w:jc w:val="left"/>
        <w:rPr>
          <w:rFonts w:ascii="宋体" w:hAnsi="宋体"/>
        </w:rPr>
      </w:pPr>
      <w:r>
        <w:rPr>
          <w:rFonts w:hint="eastAsia" w:ascii="宋体" w:hAnsi="宋体"/>
        </w:rPr>
        <w:t>5.1.2</w:t>
      </w:r>
      <w:r>
        <w:rPr>
          <w:rFonts w:ascii="宋体" w:hAnsi="宋体"/>
        </w:rPr>
        <w:t xml:space="preserve">  </w:t>
      </w:r>
      <w:r>
        <w:rPr>
          <w:rFonts w:hint="eastAsia" w:ascii="宋体" w:hAnsi="宋体"/>
          <w:lang w:eastAsia="zh-CN"/>
        </w:rPr>
        <w:t>宜</w:t>
      </w:r>
      <w:r>
        <w:rPr>
          <w:rFonts w:hint="eastAsia" w:ascii="宋体" w:hAnsi="宋体"/>
        </w:rPr>
        <w:t>为就餐的老年人合理安排餐位；保证用餐环境的清洁卫生，餐具应符合GB14934的规定。</w:t>
      </w:r>
    </w:p>
    <w:p w14:paraId="332E96FD">
      <w:pPr>
        <w:widowControl/>
        <w:adjustRightInd/>
        <w:spacing w:line="360" w:lineRule="exact"/>
        <w:jc w:val="left"/>
        <w:rPr>
          <w:rFonts w:ascii="宋体" w:hAnsi="宋体"/>
        </w:rPr>
      </w:pPr>
      <w:r>
        <w:rPr>
          <w:rFonts w:hint="eastAsia" w:ascii="宋体" w:hAnsi="宋体"/>
        </w:rPr>
        <w:t>5.1.3</w:t>
      </w:r>
      <w:r>
        <w:rPr>
          <w:rFonts w:ascii="宋体" w:hAnsi="宋体"/>
        </w:rPr>
        <w:t xml:space="preserve">  </w:t>
      </w:r>
      <w:r>
        <w:rPr>
          <w:rFonts w:hint="eastAsia" w:ascii="宋体" w:hAnsi="宋体"/>
          <w:lang w:eastAsia="zh-CN"/>
        </w:rPr>
        <w:t>宜</w:t>
      </w:r>
      <w:r>
        <w:rPr>
          <w:rFonts w:hint="eastAsia" w:ascii="宋体" w:hAnsi="宋体"/>
        </w:rPr>
        <w:t>提供中晚餐为主，有条件的互助点可按需求提供早餐服务。</w:t>
      </w:r>
    </w:p>
    <w:p w14:paraId="1B4B9EC3">
      <w:pPr>
        <w:widowControl/>
        <w:adjustRightInd/>
        <w:spacing w:line="360" w:lineRule="exact"/>
        <w:jc w:val="left"/>
        <w:rPr>
          <w:rFonts w:ascii="宋体" w:hAnsi="宋体"/>
        </w:rPr>
      </w:pPr>
      <w:r>
        <w:rPr>
          <w:rFonts w:hint="eastAsia" w:ascii="宋体" w:hAnsi="宋体"/>
        </w:rPr>
        <w:t>5</w:t>
      </w:r>
      <w:r>
        <w:rPr>
          <w:rFonts w:ascii="宋体" w:hAnsi="宋体"/>
        </w:rPr>
        <w:t xml:space="preserve">.1.4  </w:t>
      </w:r>
      <w:r>
        <w:rPr>
          <w:rFonts w:hint="eastAsia" w:ascii="宋体" w:hAnsi="宋体"/>
        </w:rPr>
        <w:t>宜结合老年人生理特点、身体状况等因素，科学合理做好膳食搭配和营养调剂。</w:t>
      </w:r>
    </w:p>
    <w:p w14:paraId="0B6B1578">
      <w:pPr>
        <w:widowControl/>
        <w:adjustRightInd/>
        <w:spacing w:line="360" w:lineRule="exact"/>
        <w:jc w:val="left"/>
        <w:rPr>
          <w:rFonts w:ascii="宋体" w:hAnsi="宋体"/>
        </w:rPr>
      </w:pPr>
      <w:r>
        <w:rPr>
          <w:rFonts w:hint="eastAsia" w:ascii="宋体" w:hAnsi="宋体"/>
        </w:rPr>
        <w:t>5.1.</w:t>
      </w:r>
      <w:r>
        <w:rPr>
          <w:rFonts w:ascii="宋体" w:hAnsi="宋体"/>
        </w:rPr>
        <w:t xml:space="preserve">5  </w:t>
      </w:r>
      <w:r>
        <w:rPr>
          <w:rFonts w:hint="eastAsia" w:ascii="宋体" w:hAnsi="宋体"/>
        </w:rPr>
        <w:t>食品原材料应符合国家食品安全要求。</w:t>
      </w:r>
    </w:p>
    <w:p w14:paraId="032FB0D2">
      <w:pPr>
        <w:widowControl/>
        <w:adjustRightInd/>
        <w:spacing w:line="360" w:lineRule="exact"/>
        <w:jc w:val="left"/>
        <w:rPr>
          <w:rFonts w:ascii="宋体" w:hAnsi="宋体"/>
        </w:rPr>
      </w:pPr>
      <w:r>
        <w:rPr>
          <w:rFonts w:hint="eastAsia" w:ascii="宋体" w:hAnsi="宋体"/>
        </w:rPr>
        <w:t>5.1.</w:t>
      </w:r>
      <w:r>
        <w:rPr>
          <w:rFonts w:ascii="宋体" w:hAnsi="宋体"/>
        </w:rPr>
        <w:t xml:space="preserve">6  </w:t>
      </w:r>
      <w:r>
        <w:rPr>
          <w:rFonts w:hint="eastAsia" w:ascii="宋体" w:hAnsi="宋体"/>
          <w:lang w:eastAsia="zh-CN"/>
        </w:rPr>
        <w:t>应</w:t>
      </w:r>
      <w:r>
        <w:rPr>
          <w:rFonts w:hint="eastAsia" w:ascii="宋体" w:hAnsi="宋体"/>
        </w:rPr>
        <w:t>落实食品留样制度，并做好留样记录。</w:t>
      </w:r>
    </w:p>
    <w:p w14:paraId="3EED8A6D">
      <w:pPr>
        <w:pStyle w:val="3"/>
        <w:rPr>
          <w:rFonts w:ascii="黑体" w:hAnsi="黑体"/>
          <w:b w:val="0"/>
          <w:sz w:val="21"/>
          <w:szCs w:val="21"/>
        </w:rPr>
      </w:pPr>
      <w:r>
        <w:rPr>
          <w:rFonts w:hint="eastAsia" w:ascii="黑体" w:hAnsi="黑体"/>
          <w:b w:val="0"/>
          <w:sz w:val="21"/>
          <w:szCs w:val="21"/>
        </w:rPr>
        <w:t>5.2助娱服务</w:t>
      </w:r>
    </w:p>
    <w:p w14:paraId="0FFD48B4">
      <w:pPr>
        <w:widowControl/>
        <w:adjustRightInd/>
        <w:spacing w:line="360" w:lineRule="exact"/>
        <w:jc w:val="left"/>
        <w:rPr>
          <w:rFonts w:ascii="宋体" w:hAnsi="宋体"/>
        </w:rPr>
      </w:pPr>
      <w:r>
        <w:rPr>
          <w:rFonts w:hint="eastAsia" w:ascii="宋体" w:hAnsi="宋体"/>
        </w:rPr>
        <w:t>5.2.1</w:t>
      </w:r>
      <w:r>
        <w:rPr>
          <w:rFonts w:ascii="宋体" w:hAnsi="宋体"/>
        </w:rPr>
        <w:t xml:space="preserve">  </w:t>
      </w:r>
      <w:r>
        <w:rPr>
          <w:rFonts w:hint="eastAsia" w:ascii="宋体" w:hAnsi="宋体"/>
          <w:lang w:eastAsia="zh-CN"/>
        </w:rPr>
        <w:t>宜</w:t>
      </w:r>
      <w:r>
        <w:rPr>
          <w:rFonts w:hint="eastAsia" w:ascii="宋体" w:hAnsi="宋体"/>
        </w:rPr>
        <w:t xml:space="preserve">为老年人文化娱乐活动提供必要的娱乐活动场所及设施设备。 </w:t>
      </w:r>
    </w:p>
    <w:p w14:paraId="706518DC">
      <w:pPr>
        <w:widowControl/>
        <w:adjustRightInd/>
        <w:spacing w:line="360" w:lineRule="exact"/>
        <w:jc w:val="left"/>
        <w:rPr>
          <w:rFonts w:ascii="宋体" w:hAnsi="宋体"/>
        </w:rPr>
      </w:pPr>
      <w:r>
        <w:rPr>
          <w:rFonts w:hint="eastAsia" w:ascii="宋体" w:hAnsi="宋体"/>
        </w:rPr>
        <w:t>5.2.2</w:t>
      </w:r>
      <w:r>
        <w:rPr>
          <w:rFonts w:ascii="宋体" w:hAnsi="宋体"/>
        </w:rPr>
        <w:t xml:space="preserve">  </w:t>
      </w:r>
      <w:r>
        <w:rPr>
          <w:rFonts w:hint="eastAsia" w:ascii="宋体" w:hAnsi="宋体"/>
        </w:rPr>
        <w:t>服务包括但不限于唱歌、阅读、绘画、上网、棋牌、游戏等内容，支持老年人积极参与活动。</w:t>
      </w:r>
    </w:p>
    <w:p w14:paraId="0CD2DB6A">
      <w:pPr>
        <w:widowControl/>
        <w:adjustRightInd/>
        <w:spacing w:line="360" w:lineRule="exact"/>
        <w:jc w:val="left"/>
        <w:rPr>
          <w:rFonts w:ascii="宋体" w:hAnsi="宋体"/>
        </w:rPr>
      </w:pPr>
      <w:r>
        <w:rPr>
          <w:rFonts w:hint="eastAsia" w:ascii="宋体" w:hAnsi="宋体"/>
        </w:rPr>
        <w:t>5.2.</w:t>
      </w:r>
      <w:r>
        <w:rPr>
          <w:rFonts w:ascii="宋体" w:hAnsi="宋体"/>
        </w:rPr>
        <w:t xml:space="preserve">3  </w:t>
      </w:r>
      <w:r>
        <w:rPr>
          <w:rFonts w:hint="eastAsia" w:ascii="宋体" w:hAnsi="宋体"/>
        </w:rPr>
        <w:t>集体活动时，工作人员应做好老年人安全管理。</w:t>
      </w:r>
    </w:p>
    <w:p w14:paraId="0513A2F2">
      <w:pPr>
        <w:pStyle w:val="3"/>
        <w:rPr>
          <w:rFonts w:ascii="黑体" w:hAnsi="黑体"/>
          <w:b w:val="0"/>
          <w:sz w:val="21"/>
          <w:szCs w:val="21"/>
        </w:rPr>
      </w:pPr>
      <w:r>
        <w:rPr>
          <w:rFonts w:hint="eastAsia" w:ascii="黑体" w:hAnsi="黑体"/>
          <w:b w:val="0"/>
          <w:sz w:val="21"/>
          <w:szCs w:val="21"/>
        </w:rPr>
        <w:t>5.3助安服务</w:t>
      </w:r>
    </w:p>
    <w:p w14:paraId="3CDA1F1D">
      <w:pPr>
        <w:widowControl/>
        <w:adjustRightInd/>
        <w:spacing w:line="360" w:lineRule="exact"/>
        <w:jc w:val="left"/>
        <w:rPr>
          <w:rFonts w:ascii="宋体" w:hAnsi="宋体"/>
        </w:rPr>
      </w:pPr>
      <w:r>
        <w:rPr>
          <w:rFonts w:hint="eastAsia" w:ascii="宋体" w:hAnsi="宋体"/>
        </w:rPr>
        <w:t>5.3.1</w:t>
      </w:r>
      <w:r>
        <w:rPr>
          <w:rFonts w:ascii="宋体" w:hAnsi="宋体"/>
        </w:rPr>
        <w:t xml:space="preserve">  </w:t>
      </w:r>
      <w:r>
        <w:rPr>
          <w:rFonts w:hint="eastAsia" w:ascii="宋体" w:hAnsi="宋体"/>
          <w:lang w:eastAsia="zh-CN"/>
        </w:rPr>
        <w:t>宜</w:t>
      </w:r>
      <w:r>
        <w:rPr>
          <w:rFonts w:hint="eastAsia" w:ascii="宋体" w:hAnsi="宋体"/>
        </w:rPr>
        <w:t>每日统计服务老年人数量，了解老年人安全状况。</w:t>
      </w:r>
    </w:p>
    <w:p w14:paraId="565350C9">
      <w:pPr>
        <w:widowControl/>
        <w:adjustRightInd/>
        <w:spacing w:line="360" w:lineRule="exact"/>
        <w:jc w:val="left"/>
        <w:rPr>
          <w:rFonts w:ascii="宋体" w:hAnsi="宋体"/>
        </w:rPr>
      </w:pPr>
      <w:r>
        <w:rPr>
          <w:rFonts w:hint="eastAsia" w:ascii="宋体" w:hAnsi="宋体"/>
        </w:rPr>
        <w:t>5</w:t>
      </w:r>
      <w:r>
        <w:rPr>
          <w:rFonts w:ascii="宋体" w:hAnsi="宋体"/>
        </w:rPr>
        <w:t xml:space="preserve">.3.2  </w:t>
      </w:r>
      <w:r>
        <w:rPr>
          <w:rFonts w:hint="eastAsia" w:ascii="宋体" w:hAnsi="宋体"/>
          <w:lang w:eastAsia="zh-CN"/>
        </w:rPr>
        <w:t>宜</w:t>
      </w:r>
      <w:r>
        <w:rPr>
          <w:rFonts w:hint="eastAsia" w:ascii="宋体" w:hAnsi="宋体"/>
        </w:rPr>
        <w:t>定期为农村空巢、独居、特殊困难老年人等提供探访关爱服务，每周探访服务1次。</w:t>
      </w:r>
    </w:p>
    <w:p w14:paraId="402590A5">
      <w:pPr>
        <w:widowControl/>
        <w:adjustRightInd/>
        <w:spacing w:line="360" w:lineRule="exact"/>
        <w:jc w:val="left"/>
        <w:rPr>
          <w:rFonts w:ascii="宋体" w:hAnsi="宋体"/>
        </w:rPr>
      </w:pPr>
      <w:r>
        <w:rPr>
          <w:rFonts w:hint="eastAsia" w:ascii="宋体" w:hAnsi="宋体"/>
        </w:rPr>
        <w:t>5.3.</w:t>
      </w:r>
      <w:r>
        <w:rPr>
          <w:rFonts w:ascii="宋体" w:hAnsi="宋体"/>
        </w:rPr>
        <w:t xml:space="preserve">3  </w:t>
      </w:r>
      <w:r>
        <w:rPr>
          <w:rFonts w:hint="eastAsia" w:ascii="宋体" w:hAnsi="宋体"/>
        </w:rPr>
        <w:t>探访包括但不限于上门入户、电话视频等方式，并公布互助点紧急联系人和联系电话。</w:t>
      </w:r>
    </w:p>
    <w:p w14:paraId="723A5FD2">
      <w:pPr>
        <w:widowControl/>
        <w:adjustRightInd/>
        <w:spacing w:line="360" w:lineRule="exact"/>
        <w:jc w:val="left"/>
        <w:rPr>
          <w:rFonts w:ascii="宋体" w:hAnsi="宋体"/>
        </w:rPr>
      </w:pPr>
      <w:r>
        <w:rPr>
          <w:rFonts w:hint="eastAsia" w:ascii="宋体" w:hAnsi="宋体"/>
        </w:rPr>
        <w:t>5.3.</w:t>
      </w:r>
      <w:r>
        <w:rPr>
          <w:rFonts w:ascii="宋体" w:hAnsi="宋体"/>
        </w:rPr>
        <w:t xml:space="preserve">4  </w:t>
      </w:r>
      <w:r>
        <w:rPr>
          <w:rFonts w:hint="eastAsia" w:ascii="宋体" w:hAnsi="宋体"/>
          <w:lang w:eastAsia="zh-CN"/>
        </w:rPr>
        <w:t>宜</w:t>
      </w:r>
      <w:r>
        <w:rPr>
          <w:rFonts w:hint="eastAsia" w:ascii="宋体" w:hAnsi="宋体"/>
        </w:rPr>
        <w:t>提供必要的应急援助和安全保障，做好防滑防摔、防火防寒等安全管理工作。</w:t>
      </w:r>
    </w:p>
    <w:p w14:paraId="14B5C4B6">
      <w:pPr>
        <w:widowControl/>
        <w:adjustRightInd/>
        <w:spacing w:line="360" w:lineRule="exact"/>
        <w:jc w:val="left"/>
        <w:rPr>
          <w:rFonts w:ascii="宋体" w:hAnsi="宋体"/>
        </w:rPr>
      </w:pPr>
      <w:r>
        <w:rPr>
          <w:rFonts w:hint="eastAsia" w:ascii="宋体" w:hAnsi="宋体"/>
        </w:rPr>
        <w:t>5.3.5</w:t>
      </w:r>
      <w:r>
        <w:rPr>
          <w:rFonts w:ascii="宋体" w:hAnsi="宋体"/>
        </w:rPr>
        <w:t xml:space="preserve">  </w:t>
      </w:r>
      <w:r>
        <w:rPr>
          <w:rFonts w:hint="eastAsia" w:ascii="宋体" w:hAnsi="宋体"/>
        </w:rPr>
        <w:t>如遇恶劣天气，</w:t>
      </w:r>
      <w:r>
        <w:rPr>
          <w:rFonts w:hint="eastAsia" w:ascii="宋体" w:hAnsi="宋体"/>
          <w:lang w:eastAsia="zh-CN"/>
        </w:rPr>
        <w:t>宜</w:t>
      </w:r>
      <w:r>
        <w:rPr>
          <w:rFonts w:hint="eastAsia" w:ascii="宋体" w:hAnsi="宋体"/>
        </w:rPr>
        <w:t>由亲属等负责接送或改为工作人员上门服务老年人。</w:t>
      </w:r>
    </w:p>
    <w:p w14:paraId="2434303B">
      <w:pPr>
        <w:pStyle w:val="3"/>
        <w:rPr>
          <w:rFonts w:ascii="黑体" w:hAnsi="黑体"/>
          <w:b w:val="0"/>
          <w:sz w:val="21"/>
          <w:szCs w:val="21"/>
        </w:rPr>
      </w:pPr>
      <w:r>
        <w:rPr>
          <w:rFonts w:hint="eastAsia" w:ascii="黑体" w:hAnsi="黑体"/>
          <w:b w:val="0"/>
          <w:sz w:val="21"/>
          <w:szCs w:val="21"/>
        </w:rPr>
        <w:t>5.4助医服务</w:t>
      </w:r>
    </w:p>
    <w:p w14:paraId="6272668C">
      <w:pPr>
        <w:widowControl/>
        <w:adjustRightInd/>
        <w:spacing w:line="360" w:lineRule="exact"/>
        <w:jc w:val="left"/>
        <w:rPr>
          <w:rFonts w:ascii="宋体" w:hAnsi="宋体"/>
        </w:rPr>
      </w:pPr>
      <w:r>
        <w:rPr>
          <w:rFonts w:hint="eastAsia" w:ascii="宋体" w:hAnsi="宋体"/>
        </w:rPr>
        <w:t>5.4.1</w:t>
      </w:r>
      <w:r>
        <w:rPr>
          <w:rFonts w:ascii="宋体" w:hAnsi="宋体"/>
        </w:rPr>
        <w:t xml:space="preserve">  </w:t>
      </w:r>
      <w:r>
        <w:rPr>
          <w:rFonts w:hint="eastAsia" w:ascii="宋体" w:hAnsi="宋体"/>
          <w:lang w:eastAsia="zh-CN"/>
        </w:rPr>
        <w:t>宜</w:t>
      </w:r>
      <w:r>
        <w:rPr>
          <w:rFonts w:hint="eastAsia" w:ascii="宋体" w:hAnsi="宋体"/>
        </w:rPr>
        <w:t>协助老年人按时服用自带药品，并提供血压、体温测量等便民服务。</w:t>
      </w:r>
    </w:p>
    <w:p w14:paraId="7C576EA7">
      <w:pPr>
        <w:widowControl/>
        <w:adjustRightInd/>
        <w:spacing w:line="360" w:lineRule="exact"/>
        <w:jc w:val="left"/>
        <w:rPr>
          <w:rFonts w:ascii="宋体" w:hAnsi="宋体"/>
        </w:rPr>
      </w:pPr>
      <w:r>
        <w:rPr>
          <w:rFonts w:hint="eastAsia" w:ascii="宋体" w:hAnsi="宋体"/>
        </w:rPr>
        <w:t>5.4.2</w:t>
      </w:r>
      <w:r>
        <w:rPr>
          <w:rFonts w:ascii="宋体" w:hAnsi="宋体"/>
        </w:rPr>
        <w:t xml:space="preserve">  </w:t>
      </w:r>
      <w:r>
        <w:rPr>
          <w:rFonts w:hint="eastAsia" w:ascii="宋体" w:hAnsi="宋体"/>
        </w:rPr>
        <w:t>老年人出现异常情况时，应及时联系其紧急联系人和医疗卫生机构，并如实记录。</w:t>
      </w:r>
    </w:p>
    <w:p w14:paraId="4A07DADB">
      <w:pPr>
        <w:widowControl/>
        <w:adjustRightInd/>
        <w:spacing w:line="360" w:lineRule="exact"/>
        <w:jc w:val="left"/>
        <w:rPr>
          <w:rFonts w:ascii="宋体" w:hAnsi="宋体"/>
        </w:rPr>
      </w:pPr>
      <w:r>
        <w:rPr>
          <w:rFonts w:hint="eastAsia" w:ascii="宋体" w:hAnsi="宋体"/>
        </w:rPr>
        <w:t>5.4.3</w:t>
      </w:r>
      <w:r>
        <w:rPr>
          <w:rFonts w:ascii="宋体" w:hAnsi="宋体"/>
        </w:rPr>
        <w:t xml:space="preserve">  </w:t>
      </w:r>
      <w:r>
        <w:rPr>
          <w:rFonts w:hint="eastAsia" w:ascii="宋体" w:hAnsi="宋体"/>
        </w:rPr>
        <w:t>有条件的互助点，可为有需求的老年人提供陪医、陪诊服务。</w:t>
      </w:r>
    </w:p>
    <w:p w14:paraId="389F4473">
      <w:pPr>
        <w:widowControl/>
        <w:adjustRightInd/>
        <w:spacing w:line="360" w:lineRule="exact"/>
        <w:jc w:val="left"/>
        <w:rPr>
          <w:rFonts w:ascii="宋体" w:hAnsi="宋体"/>
        </w:rPr>
      </w:pPr>
      <w:r>
        <w:rPr>
          <w:rFonts w:hint="eastAsia" w:ascii="宋体" w:hAnsi="宋体"/>
        </w:rPr>
        <w:t>5.4.4</w:t>
      </w:r>
      <w:r>
        <w:rPr>
          <w:rFonts w:ascii="宋体" w:hAnsi="宋体"/>
        </w:rPr>
        <w:t xml:space="preserve">  </w:t>
      </w:r>
      <w:r>
        <w:rPr>
          <w:rFonts w:hint="eastAsia" w:ascii="宋体" w:hAnsi="宋体"/>
          <w:lang w:eastAsia="zh-CN"/>
        </w:rPr>
        <w:t>宜</w:t>
      </w:r>
      <w:r>
        <w:rPr>
          <w:rFonts w:hint="eastAsia" w:ascii="宋体" w:hAnsi="宋体"/>
        </w:rPr>
        <w:t>协助村级卫生室定期为老年人提供健康监测和健康管理服务。</w:t>
      </w:r>
    </w:p>
    <w:p w14:paraId="06BBE833">
      <w:pPr>
        <w:pStyle w:val="3"/>
        <w:rPr>
          <w:rFonts w:ascii="黑体" w:hAnsi="黑体"/>
          <w:bCs w:val="0"/>
        </w:rPr>
      </w:pPr>
      <w:r>
        <w:rPr>
          <w:rFonts w:hint="eastAsia" w:ascii="黑体" w:hAnsi="黑体"/>
          <w:b w:val="0"/>
          <w:sz w:val="21"/>
          <w:szCs w:val="21"/>
        </w:rPr>
        <w:t>5.5其他服务</w:t>
      </w:r>
      <w:r>
        <w:rPr>
          <w:rFonts w:hint="eastAsia" w:ascii="黑体" w:hAnsi="黑体"/>
        </w:rPr>
        <w:t xml:space="preserve"> </w:t>
      </w:r>
    </w:p>
    <w:p w14:paraId="51B4AADF">
      <w:pPr>
        <w:widowControl/>
        <w:adjustRightInd/>
        <w:spacing w:line="360" w:lineRule="exact"/>
        <w:jc w:val="left"/>
        <w:rPr>
          <w:rFonts w:ascii="宋体" w:hAnsi="宋体"/>
        </w:rPr>
      </w:pPr>
      <w:r>
        <w:rPr>
          <w:rFonts w:hint="eastAsia" w:ascii="宋体" w:hAnsi="宋体"/>
        </w:rPr>
        <w:t>5.5.1</w:t>
      </w:r>
      <w:r>
        <w:rPr>
          <w:rFonts w:ascii="宋体" w:hAnsi="宋体"/>
        </w:rPr>
        <w:t xml:space="preserve">  </w:t>
      </w:r>
      <w:r>
        <w:rPr>
          <w:rFonts w:hint="eastAsia" w:ascii="宋体" w:hAnsi="宋体"/>
        </w:rPr>
        <w:t xml:space="preserve">个人照护服务。可提供包括但不限于理发、剃须、剪指（趾）甲、衣物洗涤等。 </w:t>
      </w:r>
    </w:p>
    <w:p w14:paraId="48F15E82">
      <w:pPr>
        <w:widowControl/>
        <w:adjustRightInd/>
        <w:spacing w:line="360" w:lineRule="exact"/>
        <w:jc w:val="left"/>
        <w:rPr>
          <w:rFonts w:ascii="宋体" w:hAnsi="宋体"/>
        </w:rPr>
      </w:pPr>
      <w:r>
        <w:rPr>
          <w:rFonts w:hint="eastAsia" w:ascii="宋体" w:hAnsi="宋体"/>
        </w:rPr>
        <w:t xml:space="preserve">5.5.2 </w:t>
      </w:r>
      <w:r>
        <w:rPr>
          <w:rFonts w:ascii="宋体" w:hAnsi="宋体"/>
        </w:rPr>
        <w:t xml:space="preserve"> </w:t>
      </w:r>
      <w:r>
        <w:rPr>
          <w:rFonts w:hint="eastAsia" w:ascii="宋体" w:hAnsi="宋体"/>
        </w:rPr>
        <w:t>代办服务。可提供包括但不限于代购、代缴等。</w:t>
      </w:r>
    </w:p>
    <w:p w14:paraId="1A26B0AD">
      <w:pPr>
        <w:widowControl/>
        <w:adjustRightInd/>
        <w:spacing w:line="360" w:lineRule="exact"/>
        <w:jc w:val="left"/>
        <w:rPr>
          <w:rFonts w:hint="eastAsia" w:ascii="宋体" w:hAnsi="宋体"/>
        </w:rPr>
      </w:pPr>
      <w:r>
        <w:rPr>
          <w:rFonts w:hint="eastAsia" w:ascii="宋体" w:hAnsi="宋体"/>
        </w:rPr>
        <w:t>5.5.3</w:t>
      </w:r>
      <w:r>
        <w:rPr>
          <w:rFonts w:ascii="宋体" w:hAnsi="宋体"/>
        </w:rPr>
        <w:t xml:space="preserve">  </w:t>
      </w:r>
      <w:r>
        <w:rPr>
          <w:rFonts w:hint="eastAsia" w:ascii="宋体" w:hAnsi="宋体"/>
        </w:rPr>
        <w:t>咨询服务。可提供包括但不限于常见疾病预防及康复、法律法规、心理慰籍等。</w:t>
      </w:r>
    </w:p>
    <w:p w14:paraId="0C3B393F">
      <w:pPr>
        <w:widowControl/>
        <w:adjustRightInd/>
        <w:spacing w:line="360" w:lineRule="exact"/>
        <w:jc w:val="left"/>
        <w:rPr>
          <w:rFonts w:hint="eastAsia" w:ascii="宋体" w:hAnsi="宋体" w:eastAsia="宋体"/>
          <w:lang w:eastAsia="zh-CN"/>
        </w:rPr>
      </w:pPr>
      <w:r>
        <w:rPr>
          <w:rFonts w:hint="eastAsia" w:ascii="宋体" w:hAnsi="宋体"/>
        </w:rPr>
        <w:t>5.5.</w:t>
      </w:r>
      <w:r>
        <w:rPr>
          <w:rFonts w:hint="eastAsia" w:ascii="宋体" w:hAnsi="宋体"/>
          <w:lang w:val="en-US" w:eastAsia="zh-CN"/>
        </w:rPr>
        <w:t>4  居家上门服务。可根据条件提供包括</w:t>
      </w:r>
      <w:r>
        <w:rPr>
          <w:rFonts w:hint="eastAsia" w:ascii="宋体" w:hAnsi="宋体"/>
        </w:rPr>
        <w:t>但不限于</w:t>
      </w:r>
      <w:r>
        <w:rPr>
          <w:rFonts w:hint="eastAsia" w:ascii="宋体" w:hAnsi="宋体"/>
          <w:lang w:eastAsia="zh-CN"/>
        </w:rPr>
        <w:t>生活照料、心理支持、家政服务等。</w:t>
      </w:r>
    </w:p>
    <w:p w14:paraId="045B271C">
      <w:pPr>
        <w:pStyle w:val="104"/>
        <w:numPr>
          <w:ilvl w:val="0"/>
          <w:numId w:val="0"/>
        </w:numPr>
        <w:spacing w:before="312" w:after="312"/>
        <w:rPr>
          <w:szCs w:val="21"/>
        </w:rPr>
      </w:pPr>
      <w:bookmarkStart w:id="82" w:name="_Toc182321232"/>
      <w:bookmarkStart w:id="83" w:name="_Toc182320637"/>
      <w:bookmarkStart w:id="84" w:name="_Toc182320703"/>
      <w:bookmarkStart w:id="85" w:name="_Toc182322330"/>
      <w:bookmarkStart w:id="86" w:name="_Toc182321257"/>
      <w:r>
        <w:rPr>
          <w:rFonts w:hint="eastAsia"/>
          <w:szCs w:val="21"/>
        </w:rPr>
        <w:t xml:space="preserve">6 </w:t>
      </w:r>
      <w:r>
        <w:rPr>
          <w:szCs w:val="21"/>
        </w:rPr>
        <w:t xml:space="preserve"> </w:t>
      </w:r>
      <w:r>
        <w:rPr>
          <w:rFonts w:hint="eastAsia"/>
          <w:szCs w:val="21"/>
        </w:rPr>
        <w:t>管理要求</w:t>
      </w:r>
      <w:bookmarkEnd w:id="82"/>
      <w:bookmarkEnd w:id="83"/>
      <w:bookmarkEnd w:id="84"/>
      <w:bookmarkEnd w:id="85"/>
      <w:bookmarkEnd w:id="86"/>
    </w:p>
    <w:p w14:paraId="33A89D72">
      <w:pPr>
        <w:widowControl/>
        <w:adjustRightInd/>
        <w:spacing w:line="360" w:lineRule="exact"/>
        <w:jc w:val="left"/>
        <w:rPr>
          <w:rFonts w:ascii="宋体" w:hAnsi="宋体"/>
        </w:rPr>
      </w:pPr>
      <w:r>
        <w:rPr>
          <w:rFonts w:hint="eastAsia" w:ascii="宋体" w:hAnsi="宋体"/>
        </w:rPr>
        <w:t>6.1</w:t>
      </w:r>
      <w:r>
        <w:rPr>
          <w:rFonts w:ascii="宋体" w:hAnsi="宋体"/>
        </w:rPr>
        <w:t xml:space="preserve">  </w:t>
      </w:r>
      <w:r>
        <w:rPr>
          <w:rFonts w:hint="eastAsia" w:ascii="宋体" w:hAnsi="宋体"/>
        </w:rPr>
        <w:t>应配备必要的灭火装置，休息室无明火，禁止在休息区及活动区加热、加工食物。</w:t>
      </w:r>
    </w:p>
    <w:p w14:paraId="01936DF3">
      <w:pPr>
        <w:widowControl/>
        <w:adjustRightInd/>
        <w:spacing w:line="360" w:lineRule="exact"/>
        <w:jc w:val="left"/>
        <w:rPr>
          <w:rFonts w:ascii="宋体" w:hAnsi="宋体"/>
        </w:rPr>
      </w:pPr>
      <w:r>
        <w:rPr>
          <w:rFonts w:hint="eastAsia" w:ascii="宋体" w:hAnsi="宋体"/>
        </w:rPr>
        <w:t>6.2</w:t>
      </w:r>
      <w:r>
        <w:rPr>
          <w:rFonts w:ascii="宋体" w:hAnsi="宋体"/>
        </w:rPr>
        <w:t xml:space="preserve">  </w:t>
      </w:r>
      <w:r>
        <w:rPr>
          <w:rFonts w:hint="eastAsia" w:ascii="宋体" w:hAnsi="宋体"/>
        </w:rPr>
        <w:t>应定期检查设施设备的安全性，及时进行维修和更换等。</w:t>
      </w:r>
    </w:p>
    <w:p w14:paraId="6EE24E91">
      <w:pPr>
        <w:widowControl/>
        <w:adjustRightInd/>
        <w:spacing w:line="360" w:lineRule="exact"/>
        <w:jc w:val="left"/>
        <w:rPr>
          <w:rFonts w:hint="eastAsia" w:ascii="宋体" w:hAnsi="宋体"/>
        </w:rPr>
      </w:pPr>
      <w:r>
        <w:rPr>
          <w:rFonts w:hint="eastAsia" w:ascii="宋体" w:hAnsi="宋体"/>
        </w:rPr>
        <w:t>6.3</w:t>
      </w:r>
      <w:r>
        <w:rPr>
          <w:rFonts w:ascii="宋体" w:hAnsi="宋体"/>
        </w:rPr>
        <w:t xml:space="preserve">  </w:t>
      </w:r>
      <w:r>
        <w:rPr>
          <w:rFonts w:hint="eastAsia" w:ascii="宋体" w:hAnsi="宋体"/>
        </w:rPr>
        <w:t>应做好信息管理，对老年人相关信息严格保密，不得泄露、出售或者非法向第三方提供。</w:t>
      </w:r>
    </w:p>
    <w:p w14:paraId="5D2E3F79">
      <w:pPr>
        <w:widowControl/>
        <w:adjustRightInd/>
        <w:spacing w:line="360" w:lineRule="exact"/>
        <w:jc w:val="left"/>
        <w:rPr>
          <w:rFonts w:ascii="宋体" w:hAnsi="宋体"/>
        </w:rPr>
      </w:pPr>
      <w:r>
        <w:rPr>
          <w:rFonts w:hint="eastAsia" w:ascii="宋体" w:hAnsi="宋体"/>
        </w:rPr>
        <w:t>6.4</w:t>
      </w:r>
      <w:r>
        <w:rPr>
          <w:rFonts w:ascii="宋体" w:hAnsi="宋体"/>
        </w:rPr>
        <w:t xml:space="preserve">  </w:t>
      </w:r>
      <w:r>
        <w:rPr>
          <w:rFonts w:hint="eastAsia" w:ascii="宋体" w:hAnsi="宋体"/>
          <w:lang w:eastAsia="zh-CN"/>
        </w:rPr>
        <w:t>宜</w:t>
      </w:r>
      <w:r>
        <w:rPr>
          <w:rFonts w:hint="eastAsia" w:ascii="宋体" w:hAnsi="宋体"/>
        </w:rPr>
        <w:t>对工作人员、老年人开展安全宣传教育。</w:t>
      </w:r>
    </w:p>
    <w:p w14:paraId="1E8D54E2">
      <w:pPr>
        <w:widowControl/>
        <w:adjustRightInd/>
        <w:spacing w:line="360" w:lineRule="exact"/>
        <w:jc w:val="left"/>
        <w:rPr>
          <w:rFonts w:ascii="宋体" w:hAnsi="宋体"/>
        </w:rPr>
      </w:pPr>
      <w:r>
        <w:rPr>
          <w:rFonts w:hint="eastAsia" w:ascii="宋体" w:hAnsi="宋体"/>
        </w:rPr>
        <w:t>6.</w:t>
      </w:r>
      <w:r>
        <w:rPr>
          <w:rFonts w:ascii="宋体" w:hAnsi="宋体"/>
        </w:rPr>
        <w:t xml:space="preserve">5  </w:t>
      </w:r>
      <w:r>
        <w:rPr>
          <w:rFonts w:hint="eastAsia" w:ascii="宋体" w:hAnsi="宋体"/>
          <w:lang w:eastAsia="zh-CN"/>
        </w:rPr>
        <w:t>宜</w:t>
      </w:r>
      <w:r>
        <w:rPr>
          <w:rFonts w:hint="eastAsia" w:ascii="宋体" w:hAnsi="宋体"/>
        </w:rPr>
        <w:t>建立安全应急预案，并依托村级组织组建应急保障队伍。</w:t>
      </w:r>
    </w:p>
    <w:p w14:paraId="5E5F1FD2">
      <w:pPr>
        <w:widowControl/>
        <w:adjustRightInd/>
        <w:spacing w:line="360" w:lineRule="exact"/>
        <w:jc w:val="left"/>
        <w:rPr>
          <w:rFonts w:ascii="宋体" w:hAnsi="宋体"/>
        </w:rPr>
      </w:pPr>
      <w:r>
        <w:rPr>
          <w:rFonts w:hint="eastAsia" w:ascii="宋体" w:hAnsi="宋体"/>
        </w:rPr>
        <w:t>6.</w:t>
      </w:r>
      <w:r>
        <w:rPr>
          <w:rFonts w:hint="eastAsia" w:ascii="宋体" w:hAnsi="宋体"/>
          <w:lang w:val="en-US" w:eastAsia="zh-CN"/>
        </w:rPr>
        <w:t>6</w:t>
      </w:r>
      <w:r>
        <w:rPr>
          <w:rFonts w:ascii="宋体" w:hAnsi="宋体"/>
        </w:rPr>
        <w:t xml:space="preserve">  </w:t>
      </w:r>
      <w:r>
        <w:rPr>
          <w:rFonts w:hint="eastAsia" w:ascii="宋体" w:hAnsi="宋体"/>
          <w:lang w:val="en-US" w:eastAsia="zh-CN"/>
        </w:rPr>
        <w:t>宜</w:t>
      </w:r>
      <w:r>
        <w:rPr>
          <w:rFonts w:hint="eastAsia" w:ascii="宋体" w:hAnsi="宋体"/>
        </w:rPr>
        <w:t xml:space="preserve">建立相关管理制度，包括但不限于日常管理、安全管理、人员管理等制度。 </w:t>
      </w:r>
    </w:p>
    <w:p w14:paraId="7155B091">
      <w:pPr>
        <w:widowControl/>
        <w:adjustRightInd/>
        <w:spacing w:line="360" w:lineRule="exact"/>
        <w:jc w:val="left"/>
        <w:rPr>
          <w:rFonts w:ascii="宋体" w:hAnsi="宋体"/>
        </w:rPr>
      </w:pPr>
      <w:r>
        <w:rPr>
          <w:rFonts w:hint="eastAsia" w:ascii="宋体" w:hAnsi="宋体"/>
        </w:rPr>
        <w:t>6.</w:t>
      </w:r>
      <w:r>
        <w:rPr>
          <w:rFonts w:hint="eastAsia" w:ascii="宋体" w:hAnsi="宋体"/>
          <w:lang w:val="en-US" w:eastAsia="zh-CN"/>
        </w:rPr>
        <w:t>7</w:t>
      </w:r>
      <w:r>
        <w:rPr>
          <w:rFonts w:ascii="宋体" w:hAnsi="宋体"/>
        </w:rPr>
        <w:t xml:space="preserve">  </w:t>
      </w:r>
      <w:r>
        <w:rPr>
          <w:rFonts w:hint="eastAsia" w:ascii="宋体" w:hAnsi="宋体"/>
          <w:lang w:val="en-US" w:eastAsia="zh-CN"/>
        </w:rPr>
        <w:t>宜</w:t>
      </w:r>
      <w:r>
        <w:rPr>
          <w:rFonts w:hint="eastAsia" w:ascii="宋体" w:hAnsi="宋体"/>
        </w:rPr>
        <w:t>与老年人签订服务协议并存档。</w:t>
      </w:r>
    </w:p>
    <w:p w14:paraId="5B9D6997">
      <w:pPr>
        <w:widowControl/>
        <w:adjustRightInd/>
        <w:spacing w:line="360" w:lineRule="exact"/>
        <w:jc w:val="left"/>
        <w:rPr>
          <w:rFonts w:ascii="宋体" w:hAnsi="宋体"/>
        </w:rPr>
      </w:pPr>
      <w:r>
        <w:rPr>
          <w:rFonts w:hint="eastAsia" w:ascii="宋体" w:hAnsi="宋体"/>
        </w:rPr>
        <w:t>6.</w:t>
      </w:r>
      <w:r>
        <w:rPr>
          <w:rFonts w:hint="eastAsia" w:ascii="宋体" w:hAnsi="宋体"/>
          <w:lang w:val="en-US" w:eastAsia="zh-CN"/>
        </w:rPr>
        <w:t>8</w:t>
      </w:r>
      <w:r>
        <w:rPr>
          <w:rFonts w:ascii="宋体" w:hAnsi="宋体"/>
        </w:rPr>
        <w:t xml:space="preserve">  </w:t>
      </w:r>
      <w:r>
        <w:rPr>
          <w:rFonts w:hint="eastAsia" w:ascii="宋体" w:hAnsi="宋体"/>
        </w:rPr>
        <w:t>建立适宜的财务管理制度，应定期公布社会捐赠、经费使用、物资账目等信息；</w:t>
      </w:r>
      <w:r>
        <w:rPr>
          <w:rFonts w:hint="eastAsia" w:ascii="宋体" w:hAnsi="宋体"/>
          <w:lang w:val="en-US" w:eastAsia="zh-CN"/>
        </w:rPr>
        <w:t>有条件的</w:t>
      </w:r>
      <w:r>
        <w:rPr>
          <w:rFonts w:hint="eastAsia" w:ascii="宋体" w:hAnsi="宋体"/>
        </w:rPr>
        <w:t>可设立专门账户，实行专款专用。</w:t>
      </w:r>
    </w:p>
    <w:p w14:paraId="3EE49A57">
      <w:pPr>
        <w:widowControl/>
        <w:adjustRightInd/>
        <w:spacing w:line="360" w:lineRule="exact"/>
        <w:jc w:val="left"/>
        <w:rPr>
          <w:rFonts w:ascii="宋体" w:hAnsi="宋体"/>
        </w:rPr>
      </w:pPr>
      <w:r>
        <w:rPr>
          <w:rFonts w:hint="eastAsia" w:ascii="宋体" w:hAnsi="宋体"/>
        </w:rPr>
        <w:t>6.</w:t>
      </w:r>
      <w:r>
        <w:rPr>
          <w:rFonts w:hint="eastAsia" w:ascii="宋体" w:hAnsi="宋体"/>
          <w:lang w:val="en-US" w:eastAsia="zh-CN"/>
        </w:rPr>
        <w:t>9</w:t>
      </w:r>
      <w:r>
        <w:rPr>
          <w:rFonts w:ascii="宋体" w:hAnsi="宋体"/>
        </w:rPr>
        <w:t xml:space="preserve"> </w:t>
      </w:r>
      <w:r>
        <w:rPr>
          <w:rFonts w:hint="eastAsia" w:ascii="宋体" w:hAnsi="宋体"/>
        </w:rPr>
        <w:t>宜</w:t>
      </w:r>
      <w:r>
        <w:rPr>
          <w:rFonts w:ascii="宋体" w:hAnsi="宋体"/>
        </w:rPr>
        <w:t>鼓励村民互帮互助</w:t>
      </w:r>
      <w:r>
        <w:rPr>
          <w:rFonts w:hint="eastAsia" w:ascii="宋体" w:hAnsi="宋体"/>
        </w:rPr>
        <w:t>，引导乡贤发挥引领作用。</w:t>
      </w:r>
    </w:p>
    <w:p w14:paraId="76F2BDAB">
      <w:pPr>
        <w:widowControl/>
        <w:adjustRightInd/>
        <w:spacing w:line="360" w:lineRule="exact"/>
        <w:jc w:val="left"/>
        <w:rPr>
          <w:rFonts w:ascii="宋体" w:hAnsi="宋体"/>
        </w:rPr>
      </w:pPr>
      <w:r>
        <w:rPr>
          <w:rFonts w:hint="eastAsia" w:ascii="宋体" w:hAnsi="宋体"/>
        </w:rPr>
        <w:t>6.</w:t>
      </w:r>
      <w:r>
        <w:rPr>
          <w:rFonts w:hint="eastAsia" w:ascii="宋体" w:hAnsi="宋体"/>
          <w:lang w:val="en-US" w:eastAsia="zh-CN"/>
        </w:rPr>
        <w:t>10</w:t>
      </w:r>
      <w:r>
        <w:rPr>
          <w:rFonts w:hint="eastAsia" w:ascii="宋体" w:hAnsi="宋体"/>
        </w:rPr>
        <w:t xml:space="preserve"> </w:t>
      </w:r>
      <w:r>
        <w:rPr>
          <w:rFonts w:ascii="宋体" w:hAnsi="宋体"/>
        </w:rPr>
        <w:t xml:space="preserve"> </w:t>
      </w:r>
      <w:r>
        <w:rPr>
          <w:rFonts w:hint="eastAsia" w:ascii="宋体" w:hAnsi="宋体"/>
        </w:rPr>
        <w:t>营造农村养老助老良好氛围，</w:t>
      </w:r>
      <w:r>
        <w:rPr>
          <w:rFonts w:hint="eastAsia" w:ascii="宋体" w:hAnsi="宋体"/>
          <w:lang w:eastAsia="zh-CN"/>
        </w:rPr>
        <w:t>宜</w:t>
      </w:r>
      <w:r>
        <w:rPr>
          <w:rFonts w:hint="eastAsia" w:ascii="宋体" w:hAnsi="宋体"/>
        </w:rPr>
        <w:t>将农村互助养老服务纳入文明村镇测评体系并加大考核力度。</w:t>
      </w:r>
    </w:p>
    <w:p w14:paraId="431BFE68">
      <w:pPr>
        <w:widowControl/>
        <w:adjustRightInd/>
        <w:spacing w:line="360" w:lineRule="exact"/>
        <w:jc w:val="left"/>
        <w:rPr>
          <w:rFonts w:ascii="宋体" w:hAnsi="宋体"/>
        </w:rPr>
      </w:pPr>
      <w:r>
        <w:rPr>
          <w:rFonts w:hint="eastAsia" w:ascii="宋体" w:hAnsi="宋体"/>
        </w:rPr>
        <w:t>6.</w:t>
      </w:r>
      <w:r>
        <w:rPr>
          <w:rFonts w:hint="eastAsia" w:ascii="宋体" w:hAnsi="宋体"/>
          <w:lang w:val="en-US" w:eastAsia="zh-CN"/>
        </w:rPr>
        <w:t>11</w:t>
      </w:r>
      <w:r>
        <w:rPr>
          <w:rFonts w:ascii="宋体" w:hAnsi="宋体"/>
        </w:rPr>
        <w:t xml:space="preserve"> </w:t>
      </w:r>
      <w:r>
        <w:rPr>
          <w:rFonts w:hint="eastAsia" w:ascii="宋体" w:hAnsi="宋体"/>
        </w:rPr>
        <w:t>探索建立养老志愿服务激励与评价机制，推广“积分超市”、“志愿＋信用”等模式。</w:t>
      </w:r>
    </w:p>
    <w:p w14:paraId="45723F7C">
      <w:pPr>
        <w:pStyle w:val="104"/>
        <w:numPr>
          <w:ilvl w:val="0"/>
          <w:numId w:val="0"/>
        </w:numPr>
        <w:spacing w:before="312" w:after="312"/>
        <w:rPr>
          <w:szCs w:val="21"/>
        </w:rPr>
      </w:pPr>
      <w:bookmarkStart w:id="87" w:name="_Toc182320704"/>
      <w:bookmarkStart w:id="88" w:name="_Toc182322331"/>
      <w:bookmarkStart w:id="89" w:name="_Toc182320638"/>
      <w:bookmarkStart w:id="90" w:name="_Toc182321233"/>
      <w:bookmarkStart w:id="91" w:name="_Toc182321258"/>
      <w:r>
        <w:rPr>
          <w:rFonts w:hint="eastAsia"/>
          <w:szCs w:val="21"/>
        </w:rPr>
        <w:t xml:space="preserve">7 </w:t>
      </w:r>
      <w:r>
        <w:rPr>
          <w:szCs w:val="21"/>
        </w:rPr>
        <w:t xml:space="preserve"> </w:t>
      </w:r>
      <w:r>
        <w:rPr>
          <w:rFonts w:hint="eastAsia"/>
          <w:szCs w:val="21"/>
        </w:rPr>
        <w:t>服务评价与改进</w:t>
      </w:r>
      <w:bookmarkEnd w:id="87"/>
      <w:bookmarkEnd w:id="88"/>
      <w:bookmarkEnd w:id="89"/>
      <w:bookmarkEnd w:id="90"/>
      <w:bookmarkEnd w:id="91"/>
    </w:p>
    <w:p w14:paraId="449FE250">
      <w:pPr>
        <w:pStyle w:val="3"/>
        <w:rPr>
          <w:rFonts w:ascii="黑体" w:hAnsi="黑体"/>
          <w:b w:val="0"/>
          <w:sz w:val="21"/>
          <w:szCs w:val="21"/>
        </w:rPr>
      </w:pPr>
      <w:r>
        <w:rPr>
          <w:rFonts w:hint="eastAsia" w:ascii="黑体" w:hAnsi="黑体"/>
          <w:b w:val="0"/>
          <w:sz w:val="21"/>
          <w:szCs w:val="21"/>
        </w:rPr>
        <w:t>7.1服务评价</w:t>
      </w:r>
    </w:p>
    <w:p w14:paraId="60EA250C">
      <w:pPr>
        <w:widowControl/>
        <w:adjustRightInd/>
        <w:spacing w:line="360" w:lineRule="exact"/>
        <w:jc w:val="left"/>
        <w:rPr>
          <w:rFonts w:ascii="宋体" w:hAnsi="宋体"/>
        </w:rPr>
      </w:pPr>
      <w:r>
        <w:rPr>
          <w:rFonts w:hint="eastAsia" w:ascii="宋体" w:hAnsi="宋体"/>
        </w:rPr>
        <w:t>7.1.1</w:t>
      </w:r>
      <w:r>
        <w:rPr>
          <w:rFonts w:ascii="宋体" w:hAnsi="宋体"/>
        </w:rPr>
        <w:t xml:space="preserve">  </w:t>
      </w:r>
      <w:r>
        <w:rPr>
          <w:rFonts w:hint="eastAsia" w:ascii="宋体" w:hAnsi="宋体"/>
          <w:lang w:val="en-US" w:eastAsia="zh-CN"/>
        </w:rPr>
        <w:t>宜</w:t>
      </w:r>
      <w:r>
        <w:rPr>
          <w:rFonts w:hint="eastAsia" w:ascii="宋体" w:hAnsi="宋体"/>
        </w:rPr>
        <w:t>建立有效的服务投诉渠道，如投诉电话、意见箱等。</w:t>
      </w:r>
    </w:p>
    <w:p w14:paraId="6DD0DFFF">
      <w:pPr>
        <w:widowControl/>
        <w:adjustRightInd/>
        <w:spacing w:line="360" w:lineRule="exact"/>
        <w:jc w:val="left"/>
        <w:rPr>
          <w:rFonts w:ascii="宋体" w:hAnsi="宋体"/>
        </w:rPr>
      </w:pPr>
      <w:r>
        <w:rPr>
          <w:rFonts w:hint="eastAsia" w:ascii="宋体" w:hAnsi="宋体"/>
        </w:rPr>
        <w:t>7.1.2</w:t>
      </w:r>
      <w:r>
        <w:rPr>
          <w:rFonts w:ascii="宋体" w:hAnsi="宋体"/>
        </w:rPr>
        <w:t xml:space="preserve">  </w:t>
      </w:r>
      <w:r>
        <w:rPr>
          <w:rFonts w:hint="eastAsia" w:ascii="宋体" w:hAnsi="宋体"/>
        </w:rPr>
        <w:t>宜采取日常检查、定期检查等方式进行内部评价；每年开展至少1次的自我检查并形成报告。</w:t>
      </w:r>
    </w:p>
    <w:p w14:paraId="0F2FF629">
      <w:pPr>
        <w:widowControl/>
        <w:adjustRightInd/>
        <w:spacing w:line="360" w:lineRule="exact"/>
        <w:jc w:val="left"/>
        <w:rPr>
          <w:rFonts w:ascii="宋体" w:hAnsi="宋体"/>
        </w:rPr>
      </w:pPr>
      <w:r>
        <w:rPr>
          <w:rFonts w:hint="eastAsia" w:ascii="宋体" w:hAnsi="宋体"/>
        </w:rPr>
        <w:t>7.1.3</w:t>
      </w:r>
      <w:r>
        <w:rPr>
          <w:rFonts w:ascii="宋体" w:hAnsi="宋体"/>
        </w:rPr>
        <w:t xml:space="preserve">  </w:t>
      </w:r>
      <w:r>
        <w:rPr>
          <w:rFonts w:hint="eastAsia" w:ascii="宋体" w:hAnsi="宋体"/>
        </w:rPr>
        <w:t>评价指标包括但不限于服务数量、服务对象满意度、服务项目完成度、服务设施完善度等。</w:t>
      </w:r>
    </w:p>
    <w:p w14:paraId="7B18DB8B">
      <w:pPr>
        <w:pStyle w:val="3"/>
        <w:rPr>
          <w:rFonts w:ascii="黑体" w:hAnsi="黑体"/>
          <w:b w:val="0"/>
          <w:sz w:val="21"/>
          <w:szCs w:val="21"/>
        </w:rPr>
      </w:pPr>
      <w:r>
        <w:rPr>
          <w:rFonts w:hint="eastAsia" w:ascii="黑体" w:hAnsi="黑体"/>
          <w:b w:val="0"/>
          <w:sz w:val="21"/>
          <w:szCs w:val="21"/>
        </w:rPr>
        <w:t>7.2 持续改进</w:t>
      </w:r>
    </w:p>
    <w:p w14:paraId="11E51C81">
      <w:pPr>
        <w:widowControl/>
        <w:adjustRightInd/>
        <w:spacing w:line="360" w:lineRule="exact"/>
        <w:jc w:val="left"/>
        <w:rPr>
          <w:rFonts w:ascii="宋体" w:hAnsi="宋体"/>
        </w:rPr>
      </w:pPr>
      <w:r>
        <w:rPr>
          <w:rFonts w:hint="eastAsia" w:ascii="宋体" w:hAnsi="宋体"/>
        </w:rPr>
        <w:t>7.2.1</w:t>
      </w:r>
      <w:r>
        <w:rPr>
          <w:rFonts w:ascii="宋体" w:hAnsi="宋体"/>
        </w:rPr>
        <w:t xml:space="preserve">  </w:t>
      </w:r>
      <w:r>
        <w:rPr>
          <w:rFonts w:hint="eastAsia" w:ascii="宋体" w:hAnsi="宋体"/>
          <w:lang w:eastAsia="zh-CN"/>
        </w:rPr>
        <w:t>宜</w:t>
      </w:r>
      <w:r>
        <w:rPr>
          <w:rFonts w:hint="eastAsia" w:ascii="宋体" w:hAnsi="宋体"/>
        </w:rPr>
        <w:t>建立不合格服务管理制度，对出现的不合格服务进行纠正。</w:t>
      </w:r>
    </w:p>
    <w:p w14:paraId="11F02AF5">
      <w:pPr>
        <w:widowControl/>
        <w:adjustRightInd/>
        <w:spacing w:line="360" w:lineRule="exact"/>
        <w:jc w:val="left"/>
        <w:rPr>
          <w:rFonts w:ascii="宋体" w:hAnsi="宋体"/>
        </w:rPr>
      </w:pPr>
      <w:r>
        <w:rPr>
          <w:rFonts w:hint="eastAsia" w:ascii="宋体" w:hAnsi="宋体"/>
        </w:rPr>
        <w:t xml:space="preserve">7.2.2 </w:t>
      </w:r>
      <w:r>
        <w:rPr>
          <w:rFonts w:ascii="宋体" w:hAnsi="宋体"/>
        </w:rPr>
        <w:t xml:space="preserve"> </w:t>
      </w:r>
      <w:r>
        <w:rPr>
          <w:rFonts w:hint="eastAsia" w:ascii="宋体" w:hAnsi="宋体"/>
          <w:lang w:eastAsia="zh-CN"/>
        </w:rPr>
        <w:t>宜</w:t>
      </w:r>
      <w:r>
        <w:rPr>
          <w:rFonts w:hint="eastAsia" w:ascii="宋体" w:hAnsi="宋体"/>
        </w:rPr>
        <w:t>分析不合格服务、投诉等问题产生的原因。</w:t>
      </w:r>
    </w:p>
    <w:p w14:paraId="476C1709">
      <w:pPr>
        <w:widowControl/>
        <w:adjustRightInd/>
        <w:spacing w:line="360" w:lineRule="exact"/>
        <w:jc w:val="left"/>
        <w:rPr>
          <w:rFonts w:hint="eastAsia" w:ascii="宋体" w:hAnsi="宋体"/>
        </w:rPr>
      </w:pPr>
      <w:r>
        <w:rPr>
          <w:rFonts w:hint="eastAsia" w:ascii="宋体" w:hAnsi="宋体"/>
        </w:rPr>
        <w:t>7.2.3</w:t>
      </w:r>
      <w:r>
        <w:rPr>
          <w:rFonts w:ascii="宋体" w:hAnsi="宋体"/>
        </w:rPr>
        <w:t xml:space="preserve">  </w:t>
      </w:r>
      <w:r>
        <w:rPr>
          <w:rFonts w:hint="eastAsia" w:ascii="宋体" w:hAnsi="宋体"/>
        </w:rPr>
        <w:t xml:space="preserve">制定整改措施，并跟踪整改措施的落实情况。 </w:t>
      </w:r>
    </w:p>
    <w:p w14:paraId="73709FDD">
      <w:pPr>
        <w:widowControl/>
        <w:adjustRightInd/>
        <w:spacing w:line="360" w:lineRule="exact"/>
        <w:jc w:val="left"/>
        <w:rPr>
          <w:rFonts w:hint="eastAsia" w:ascii="宋体" w:hAnsi="宋体"/>
        </w:rPr>
      </w:pPr>
    </w:p>
    <w:p w14:paraId="358CFCEC">
      <w:pPr>
        <w:widowControl/>
        <w:adjustRightInd/>
        <w:spacing w:line="360" w:lineRule="exact"/>
        <w:jc w:val="left"/>
        <w:rPr>
          <w:rFonts w:hint="eastAsia" w:ascii="宋体" w:hAnsi="宋体"/>
        </w:rPr>
      </w:pPr>
    </w:p>
    <w:p w14:paraId="2BA7C23A">
      <w:pPr>
        <w:widowControl/>
        <w:adjustRightInd/>
        <w:spacing w:line="240" w:lineRule="auto"/>
        <w:jc w:val="left"/>
        <w:rPr>
          <w:rFonts w:ascii="宋体"/>
        </w:rPr>
      </w:pPr>
      <w:r>
        <w:rPr>
          <w:rFonts w:hint="eastAsia" w:ascii="宋体"/>
        </w:rPr>
        <w:t xml:space="preserve"> </w:t>
      </w:r>
    </w:p>
    <w:p w14:paraId="7162F1DD">
      <w:pPr>
        <w:adjustRightInd/>
        <w:spacing w:line="240" w:lineRule="auto"/>
      </w:pPr>
    </w:p>
    <w:p w14:paraId="606D4BAB">
      <w:pPr>
        <w:adjustRightInd/>
        <w:spacing w:line="240" w:lineRule="auto"/>
      </w:pPr>
    </w:p>
    <w:p w14:paraId="229894DB">
      <w:pPr>
        <w:adjustRightInd/>
        <w:spacing w:line="240" w:lineRule="auto"/>
      </w:pPr>
    </w:p>
    <w:p w14:paraId="4B6D242F">
      <w:pPr>
        <w:adjustRightInd/>
        <w:spacing w:line="240" w:lineRule="auto"/>
      </w:pPr>
    </w:p>
    <w:p w14:paraId="36D6812B">
      <w:pPr>
        <w:adjustRightInd/>
        <w:spacing w:line="240" w:lineRule="auto"/>
      </w:pPr>
    </w:p>
    <w:p w14:paraId="731F7EDA">
      <w:pPr>
        <w:adjustRightInd/>
        <w:spacing w:line="240" w:lineRule="auto"/>
      </w:pPr>
    </w:p>
    <w:p w14:paraId="03C148B0">
      <w:pPr>
        <w:adjustRightInd/>
        <w:spacing w:line="240" w:lineRule="auto"/>
      </w:pPr>
    </w:p>
    <w:p w14:paraId="4C07B8E7">
      <w:pPr>
        <w:adjustRightInd/>
        <w:spacing w:line="240" w:lineRule="auto"/>
      </w:pPr>
    </w:p>
    <w:p w14:paraId="1BF7C5EF">
      <w:pPr>
        <w:adjustRightInd/>
        <w:spacing w:line="240" w:lineRule="auto"/>
      </w:pPr>
    </w:p>
    <w:p w14:paraId="71009CB5">
      <w:pPr>
        <w:adjustRightInd/>
        <w:spacing w:line="240" w:lineRule="auto"/>
      </w:pPr>
    </w:p>
    <w:p w14:paraId="51D4866F">
      <w:pPr>
        <w:adjustRightInd/>
        <w:spacing w:line="240" w:lineRule="auto"/>
      </w:pPr>
    </w:p>
    <w:p w14:paraId="3F148B69">
      <w:pPr>
        <w:adjustRightInd/>
        <w:spacing w:line="240" w:lineRule="auto"/>
      </w:pPr>
    </w:p>
    <w:p w14:paraId="348284BA">
      <w:pPr>
        <w:adjustRightInd/>
        <w:spacing w:line="240" w:lineRule="auto"/>
      </w:pPr>
    </w:p>
    <w:p w14:paraId="6AFF6F13">
      <w:pPr>
        <w:adjustRightInd/>
        <w:spacing w:line="240" w:lineRule="auto"/>
      </w:pPr>
    </w:p>
    <w:p w14:paraId="09CB2917">
      <w:pPr>
        <w:adjustRightInd/>
        <w:spacing w:line="240" w:lineRule="auto"/>
      </w:pPr>
    </w:p>
    <w:p w14:paraId="58C9B54A">
      <w:pPr>
        <w:adjustRightInd/>
        <w:spacing w:line="240" w:lineRule="auto"/>
      </w:pPr>
    </w:p>
    <w:p w14:paraId="2033D6CD">
      <w:pPr>
        <w:adjustRightInd/>
        <w:spacing w:line="240" w:lineRule="auto"/>
      </w:pPr>
    </w:p>
    <w:p w14:paraId="317A4A66">
      <w:pPr>
        <w:adjustRightInd/>
        <w:spacing w:line="240" w:lineRule="auto"/>
      </w:pPr>
    </w:p>
    <w:p w14:paraId="3008D755">
      <w:pPr>
        <w:adjustRightInd/>
        <w:spacing w:line="240" w:lineRule="auto"/>
      </w:pPr>
    </w:p>
    <w:p w14:paraId="3DC6B895">
      <w:pPr>
        <w:adjustRightInd/>
        <w:spacing w:line="240" w:lineRule="auto"/>
      </w:pPr>
    </w:p>
    <w:p w14:paraId="5AF90F51">
      <w:pPr>
        <w:adjustRightInd/>
        <w:spacing w:line="240" w:lineRule="auto"/>
      </w:pPr>
    </w:p>
    <w:p w14:paraId="7DFD400E">
      <w:pPr>
        <w:adjustRightInd/>
        <w:spacing w:line="240" w:lineRule="auto"/>
      </w:pPr>
    </w:p>
    <w:p w14:paraId="38E639A9">
      <w:pPr>
        <w:adjustRightInd/>
        <w:spacing w:line="240" w:lineRule="auto"/>
      </w:pPr>
    </w:p>
    <w:p w14:paraId="1AF27D1D">
      <w:pPr>
        <w:adjustRightInd/>
        <w:spacing w:line="240" w:lineRule="auto"/>
      </w:pPr>
    </w:p>
    <w:p w14:paraId="7F998F23">
      <w:pPr>
        <w:adjustRightInd/>
        <w:spacing w:line="240" w:lineRule="auto"/>
      </w:pPr>
    </w:p>
    <w:p w14:paraId="7F9C55D2">
      <w:pPr>
        <w:adjustRightInd/>
        <w:spacing w:line="240" w:lineRule="auto"/>
      </w:pPr>
    </w:p>
    <w:p w14:paraId="4B545410">
      <w:pPr>
        <w:adjustRightInd/>
        <w:spacing w:line="240" w:lineRule="auto"/>
      </w:pPr>
    </w:p>
    <w:p w14:paraId="22C50BD3">
      <w:pPr>
        <w:adjustRightInd/>
        <w:spacing w:line="240" w:lineRule="auto"/>
      </w:pPr>
    </w:p>
    <w:p w14:paraId="17737387">
      <w:pPr>
        <w:adjustRightInd/>
        <w:spacing w:line="240" w:lineRule="auto"/>
      </w:pPr>
    </w:p>
    <w:p w14:paraId="5EB5DE9A">
      <w:pPr>
        <w:adjustRightInd/>
        <w:spacing w:line="240" w:lineRule="auto"/>
      </w:pPr>
    </w:p>
    <w:p w14:paraId="39F14594">
      <w:pPr>
        <w:adjustRightInd/>
        <w:spacing w:line="240" w:lineRule="auto"/>
      </w:pPr>
    </w:p>
    <w:p w14:paraId="4238DA04">
      <w:pPr>
        <w:adjustRightInd/>
        <w:spacing w:line="240" w:lineRule="auto"/>
      </w:pPr>
    </w:p>
    <w:p w14:paraId="628DC45A">
      <w:pPr>
        <w:adjustRightInd/>
        <w:spacing w:line="240" w:lineRule="auto"/>
      </w:pPr>
    </w:p>
    <w:p w14:paraId="05EDA5E6">
      <w:pPr>
        <w:adjustRightInd/>
        <w:spacing w:line="240" w:lineRule="auto"/>
      </w:pPr>
    </w:p>
    <w:p w14:paraId="248D9F85">
      <w:pPr>
        <w:adjustRightInd/>
        <w:spacing w:line="240" w:lineRule="auto"/>
        <w:rPr>
          <w:rFonts w:hint="default" w:eastAsia="宋体"/>
          <w:b/>
          <w:bCs/>
          <w:lang w:val="en-US" w:eastAsia="zh-CN"/>
        </w:rPr>
      </w:pPr>
      <w:r>
        <w:rPr>
          <w:rFonts w:hint="eastAsia"/>
          <w:b/>
          <w:bCs/>
          <w:lang w:val="en-US" w:eastAsia="zh-CN"/>
        </w:rPr>
        <w:t>附录A</w:t>
      </w:r>
    </w:p>
    <w:p w14:paraId="0A41D499">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4B880CE0">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2EEE0297">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lang w:val="en-US" w:eastAsia="zh-CN"/>
        </w:rPr>
      </w:pPr>
      <w:r>
        <w:rPr>
          <w:rFonts w:hint="eastAsia"/>
          <w:lang w:val="en-US" w:eastAsia="zh-CN"/>
        </w:rPr>
        <w:t>A1  设施登记表</w:t>
      </w:r>
    </w:p>
    <w:tbl>
      <w:tblPr>
        <w:tblStyle w:val="2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029"/>
        <w:gridCol w:w="1496"/>
        <w:gridCol w:w="1125"/>
        <w:gridCol w:w="973"/>
        <w:gridCol w:w="1168"/>
        <w:gridCol w:w="1168"/>
      </w:tblGrid>
      <w:tr w14:paraId="389D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97" w:type="dxa"/>
            <w:vAlign w:val="center"/>
          </w:tcPr>
          <w:p w14:paraId="54617485">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序号</w:t>
            </w:r>
          </w:p>
        </w:tc>
        <w:tc>
          <w:tcPr>
            <w:tcW w:w="2029" w:type="dxa"/>
            <w:vAlign w:val="center"/>
          </w:tcPr>
          <w:p w14:paraId="4442406C">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lang w:val="en-US" w:eastAsia="zh-CN"/>
              </w:rPr>
              <w:t>设施名称</w:t>
            </w:r>
          </w:p>
        </w:tc>
        <w:tc>
          <w:tcPr>
            <w:tcW w:w="1496" w:type="dxa"/>
            <w:vAlign w:val="center"/>
          </w:tcPr>
          <w:p w14:paraId="0AC393E2">
            <w:pPr>
              <w:pStyle w:val="5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规格</w:t>
            </w:r>
          </w:p>
        </w:tc>
        <w:tc>
          <w:tcPr>
            <w:tcW w:w="1125" w:type="dxa"/>
            <w:vAlign w:val="center"/>
          </w:tcPr>
          <w:p w14:paraId="20F34E5B">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单位</w:t>
            </w:r>
          </w:p>
        </w:tc>
        <w:tc>
          <w:tcPr>
            <w:tcW w:w="973" w:type="dxa"/>
            <w:vAlign w:val="center"/>
          </w:tcPr>
          <w:p w14:paraId="608BA7AD">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数量</w:t>
            </w:r>
          </w:p>
        </w:tc>
        <w:tc>
          <w:tcPr>
            <w:tcW w:w="1168" w:type="dxa"/>
            <w:vAlign w:val="center"/>
          </w:tcPr>
          <w:p w14:paraId="2E442532">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lang w:val="en-US" w:eastAsia="zh-CN"/>
              </w:rPr>
              <w:t>登记</w:t>
            </w:r>
            <w:r>
              <w:rPr>
                <w:rFonts w:hint="eastAsia"/>
                <w:vertAlign w:val="baseline"/>
                <w:lang w:val="en-US" w:eastAsia="zh-CN"/>
              </w:rPr>
              <w:t>人</w:t>
            </w:r>
          </w:p>
        </w:tc>
        <w:tc>
          <w:tcPr>
            <w:tcW w:w="1168" w:type="dxa"/>
            <w:vAlign w:val="center"/>
          </w:tcPr>
          <w:p w14:paraId="4C56D1B7">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vertAlign w:val="baseline"/>
                <w:lang w:val="en-US" w:eastAsia="zh-CN"/>
              </w:rPr>
            </w:pPr>
            <w:r>
              <w:rPr>
                <w:rFonts w:hint="eastAsia"/>
                <w:lang w:val="en-US" w:eastAsia="zh-CN"/>
              </w:rPr>
              <w:t>登记时间</w:t>
            </w:r>
          </w:p>
        </w:tc>
      </w:tr>
      <w:tr w14:paraId="25A2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97" w:type="dxa"/>
          </w:tcPr>
          <w:p w14:paraId="11E46237">
            <w:pPr>
              <w:pStyle w:val="56"/>
              <w:rPr>
                <w:vertAlign w:val="baseline"/>
              </w:rPr>
            </w:pPr>
          </w:p>
        </w:tc>
        <w:tc>
          <w:tcPr>
            <w:tcW w:w="2029" w:type="dxa"/>
          </w:tcPr>
          <w:p w14:paraId="7CEA2F34">
            <w:pPr>
              <w:pStyle w:val="56"/>
              <w:rPr>
                <w:vertAlign w:val="baseline"/>
              </w:rPr>
            </w:pPr>
          </w:p>
        </w:tc>
        <w:tc>
          <w:tcPr>
            <w:tcW w:w="1496" w:type="dxa"/>
          </w:tcPr>
          <w:p w14:paraId="1C1873C2">
            <w:pPr>
              <w:pStyle w:val="56"/>
              <w:rPr>
                <w:vertAlign w:val="baseline"/>
              </w:rPr>
            </w:pPr>
          </w:p>
        </w:tc>
        <w:tc>
          <w:tcPr>
            <w:tcW w:w="1125" w:type="dxa"/>
          </w:tcPr>
          <w:p w14:paraId="19D6C676">
            <w:pPr>
              <w:pStyle w:val="56"/>
              <w:rPr>
                <w:vertAlign w:val="baseline"/>
              </w:rPr>
            </w:pPr>
          </w:p>
        </w:tc>
        <w:tc>
          <w:tcPr>
            <w:tcW w:w="973" w:type="dxa"/>
          </w:tcPr>
          <w:p w14:paraId="7A1DFB59">
            <w:pPr>
              <w:pStyle w:val="56"/>
              <w:rPr>
                <w:vertAlign w:val="baseline"/>
              </w:rPr>
            </w:pPr>
          </w:p>
        </w:tc>
        <w:tc>
          <w:tcPr>
            <w:tcW w:w="1168" w:type="dxa"/>
          </w:tcPr>
          <w:p w14:paraId="654CA99F">
            <w:pPr>
              <w:pStyle w:val="56"/>
              <w:rPr>
                <w:vertAlign w:val="baseline"/>
              </w:rPr>
            </w:pPr>
          </w:p>
        </w:tc>
        <w:tc>
          <w:tcPr>
            <w:tcW w:w="1168" w:type="dxa"/>
          </w:tcPr>
          <w:p w14:paraId="097126BC">
            <w:pPr>
              <w:pStyle w:val="56"/>
              <w:rPr>
                <w:vertAlign w:val="baseline"/>
              </w:rPr>
            </w:pPr>
          </w:p>
        </w:tc>
      </w:tr>
      <w:tr w14:paraId="4875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97" w:type="dxa"/>
          </w:tcPr>
          <w:p w14:paraId="04F9B710">
            <w:pPr>
              <w:pStyle w:val="56"/>
              <w:rPr>
                <w:vertAlign w:val="baseline"/>
              </w:rPr>
            </w:pPr>
          </w:p>
        </w:tc>
        <w:tc>
          <w:tcPr>
            <w:tcW w:w="2029" w:type="dxa"/>
          </w:tcPr>
          <w:p w14:paraId="511176D6">
            <w:pPr>
              <w:pStyle w:val="56"/>
              <w:rPr>
                <w:vertAlign w:val="baseline"/>
              </w:rPr>
            </w:pPr>
          </w:p>
        </w:tc>
        <w:tc>
          <w:tcPr>
            <w:tcW w:w="1496" w:type="dxa"/>
          </w:tcPr>
          <w:p w14:paraId="709DA926">
            <w:pPr>
              <w:pStyle w:val="56"/>
              <w:rPr>
                <w:vertAlign w:val="baseline"/>
              </w:rPr>
            </w:pPr>
          </w:p>
        </w:tc>
        <w:tc>
          <w:tcPr>
            <w:tcW w:w="1125" w:type="dxa"/>
          </w:tcPr>
          <w:p w14:paraId="6F4D095F">
            <w:pPr>
              <w:pStyle w:val="56"/>
              <w:rPr>
                <w:vertAlign w:val="baseline"/>
              </w:rPr>
            </w:pPr>
          </w:p>
        </w:tc>
        <w:tc>
          <w:tcPr>
            <w:tcW w:w="973" w:type="dxa"/>
          </w:tcPr>
          <w:p w14:paraId="3860D980">
            <w:pPr>
              <w:pStyle w:val="56"/>
              <w:rPr>
                <w:vertAlign w:val="baseline"/>
              </w:rPr>
            </w:pPr>
          </w:p>
        </w:tc>
        <w:tc>
          <w:tcPr>
            <w:tcW w:w="1168" w:type="dxa"/>
          </w:tcPr>
          <w:p w14:paraId="2BF31D6C">
            <w:pPr>
              <w:pStyle w:val="56"/>
              <w:rPr>
                <w:vertAlign w:val="baseline"/>
              </w:rPr>
            </w:pPr>
          </w:p>
        </w:tc>
        <w:tc>
          <w:tcPr>
            <w:tcW w:w="1168" w:type="dxa"/>
          </w:tcPr>
          <w:p w14:paraId="3728FDE6">
            <w:pPr>
              <w:pStyle w:val="56"/>
              <w:rPr>
                <w:vertAlign w:val="baseline"/>
              </w:rPr>
            </w:pPr>
          </w:p>
        </w:tc>
      </w:tr>
      <w:tr w14:paraId="1CDC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97" w:type="dxa"/>
          </w:tcPr>
          <w:p w14:paraId="15AF0A26">
            <w:pPr>
              <w:pStyle w:val="56"/>
              <w:rPr>
                <w:vertAlign w:val="baseline"/>
              </w:rPr>
            </w:pPr>
          </w:p>
        </w:tc>
        <w:tc>
          <w:tcPr>
            <w:tcW w:w="2029" w:type="dxa"/>
          </w:tcPr>
          <w:p w14:paraId="79F441C5">
            <w:pPr>
              <w:pStyle w:val="56"/>
              <w:rPr>
                <w:vertAlign w:val="baseline"/>
              </w:rPr>
            </w:pPr>
          </w:p>
        </w:tc>
        <w:tc>
          <w:tcPr>
            <w:tcW w:w="1496" w:type="dxa"/>
          </w:tcPr>
          <w:p w14:paraId="4EFC419F">
            <w:pPr>
              <w:pStyle w:val="56"/>
              <w:rPr>
                <w:vertAlign w:val="baseline"/>
              </w:rPr>
            </w:pPr>
          </w:p>
        </w:tc>
        <w:tc>
          <w:tcPr>
            <w:tcW w:w="1125" w:type="dxa"/>
          </w:tcPr>
          <w:p w14:paraId="312BCCAF">
            <w:pPr>
              <w:pStyle w:val="56"/>
              <w:rPr>
                <w:vertAlign w:val="baseline"/>
              </w:rPr>
            </w:pPr>
          </w:p>
        </w:tc>
        <w:tc>
          <w:tcPr>
            <w:tcW w:w="973" w:type="dxa"/>
          </w:tcPr>
          <w:p w14:paraId="01DB52F5">
            <w:pPr>
              <w:pStyle w:val="56"/>
              <w:rPr>
                <w:vertAlign w:val="baseline"/>
              </w:rPr>
            </w:pPr>
          </w:p>
        </w:tc>
        <w:tc>
          <w:tcPr>
            <w:tcW w:w="1168" w:type="dxa"/>
          </w:tcPr>
          <w:p w14:paraId="7667B603">
            <w:pPr>
              <w:pStyle w:val="56"/>
              <w:rPr>
                <w:vertAlign w:val="baseline"/>
              </w:rPr>
            </w:pPr>
          </w:p>
        </w:tc>
        <w:tc>
          <w:tcPr>
            <w:tcW w:w="1168" w:type="dxa"/>
          </w:tcPr>
          <w:p w14:paraId="5FF0E8B5">
            <w:pPr>
              <w:pStyle w:val="56"/>
              <w:rPr>
                <w:vertAlign w:val="baseline"/>
              </w:rPr>
            </w:pPr>
          </w:p>
        </w:tc>
      </w:tr>
    </w:tbl>
    <w:p w14:paraId="66370D4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54AE700A">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0E2F0DCB">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58DA0896">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lang w:val="en-US" w:eastAsia="zh-CN"/>
        </w:rPr>
      </w:pPr>
      <w:r>
        <w:rPr>
          <w:rFonts w:hint="eastAsia"/>
          <w:lang w:val="en-US" w:eastAsia="zh-CN"/>
        </w:rPr>
        <w:t>A2  设施检查维护表</w:t>
      </w:r>
    </w:p>
    <w:tbl>
      <w:tblPr>
        <w:tblStyle w:val="2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3245"/>
        <w:gridCol w:w="2724"/>
        <w:gridCol w:w="1516"/>
      </w:tblGrid>
      <w:tr w14:paraId="749A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trPr>
        <w:tc>
          <w:tcPr>
            <w:tcW w:w="1332" w:type="dxa"/>
            <w:vAlign w:val="center"/>
          </w:tcPr>
          <w:p w14:paraId="7900F5FB">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日期</w:t>
            </w:r>
          </w:p>
        </w:tc>
        <w:tc>
          <w:tcPr>
            <w:tcW w:w="3245" w:type="dxa"/>
            <w:vAlign w:val="center"/>
          </w:tcPr>
          <w:p w14:paraId="35656A84">
            <w:pPr>
              <w:pStyle w:val="5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eastAsia="宋体"/>
                <w:vertAlign w:val="baseline"/>
                <w:lang w:val="en-US" w:eastAsia="zh-CN"/>
              </w:rPr>
            </w:pPr>
            <w:r>
              <w:rPr>
                <w:rFonts w:hint="eastAsia"/>
                <w:lang w:val="en-US" w:eastAsia="zh-CN"/>
              </w:rPr>
              <w:t>设施名称</w:t>
            </w:r>
          </w:p>
        </w:tc>
        <w:tc>
          <w:tcPr>
            <w:tcW w:w="2724" w:type="dxa"/>
            <w:vAlign w:val="center"/>
          </w:tcPr>
          <w:p w14:paraId="39B57A13">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lang w:val="en-US" w:eastAsia="zh-CN"/>
              </w:rPr>
              <w:t>检查维护情况</w:t>
            </w:r>
          </w:p>
        </w:tc>
        <w:tc>
          <w:tcPr>
            <w:tcW w:w="1516" w:type="dxa"/>
            <w:vAlign w:val="center"/>
          </w:tcPr>
          <w:p w14:paraId="6DF5661B">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lang w:val="en-US" w:eastAsia="zh-CN"/>
              </w:rPr>
              <w:t>负责</w:t>
            </w:r>
            <w:r>
              <w:rPr>
                <w:rFonts w:hint="eastAsia"/>
                <w:vertAlign w:val="baseline"/>
                <w:lang w:val="en-US" w:eastAsia="zh-CN"/>
              </w:rPr>
              <w:t>人</w:t>
            </w:r>
          </w:p>
        </w:tc>
      </w:tr>
      <w:tr w14:paraId="6BD2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32" w:type="dxa"/>
            <w:vAlign w:val="center"/>
          </w:tcPr>
          <w:p w14:paraId="48C6AB33">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vertAlign w:val="baseline"/>
                <w:lang w:val="en-US" w:eastAsia="zh-CN"/>
              </w:rPr>
            </w:pPr>
          </w:p>
        </w:tc>
        <w:tc>
          <w:tcPr>
            <w:tcW w:w="3245" w:type="dxa"/>
            <w:vAlign w:val="center"/>
          </w:tcPr>
          <w:p w14:paraId="4FF2EE1F">
            <w:pPr>
              <w:pStyle w:val="5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lang w:val="en-US" w:eastAsia="zh-CN"/>
              </w:rPr>
            </w:pPr>
          </w:p>
        </w:tc>
        <w:tc>
          <w:tcPr>
            <w:tcW w:w="2724" w:type="dxa"/>
            <w:vAlign w:val="center"/>
          </w:tcPr>
          <w:p w14:paraId="0A39E322">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tc>
        <w:tc>
          <w:tcPr>
            <w:tcW w:w="1516" w:type="dxa"/>
            <w:vAlign w:val="center"/>
          </w:tcPr>
          <w:p w14:paraId="4FAFB7C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tc>
      </w:tr>
      <w:tr w14:paraId="0384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32" w:type="dxa"/>
            <w:vAlign w:val="center"/>
          </w:tcPr>
          <w:p w14:paraId="54CB8813">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vertAlign w:val="baseline"/>
                <w:lang w:val="en-US" w:eastAsia="zh-CN"/>
              </w:rPr>
            </w:pPr>
          </w:p>
        </w:tc>
        <w:tc>
          <w:tcPr>
            <w:tcW w:w="3245" w:type="dxa"/>
            <w:vAlign w:val="center"/>
          </w:tcPr>
          <w:p w14:paraId="74575977">
            <w:pPr>
              <w:pStyle w:val="5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lang w:val="en-US" w:eastAsia="zh-CN"/>
              </w:rPr>
            </w:pPr>
          </w:p>
        </w:tc>
        <w:tc>
          <w:tcPr>
            <w:tcW w:w="2724" w:type="dxa"/>
            <w:vAlign w:val="center"/>
          </w:tcPr>
          <w:p w14:paraId="7151419A">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tc>
        <w:tc>
          <w:tcPr>
            <w:tcW w:w="1516" w:type="dxa"/>
            <w:vAlign w:val="center"/>
          </w:tcPr>
          <w:p w14:paraId="05A4A95D">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tc>
      </w:tr>
      <w:tr w14:paraId="4E07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32" w:type="dxa"/>
            <w:vAlign w:val="center"/>
          </w:tcPr>
          <w:p w14:paraId="4C9E9F0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vertAlign w:val="baseline"/>
                <w:lang w:val="en-US" w:eastAsia="zh-CN"/>
              </w:rPr>
            </w:pPr>
          </w:p>
        </w:tc>
        <w:tc>
          <w:tcPr>
            <w:tcW w:w="3245" w:type="dxa"/>
            <w:vAlign w:val="center"/>
          </w:tcPr>
          <w:p w14:paraId="402729C9">
            <w:pPr>
              <w:pStyle w:val="5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lang w:val="en-US" w:eastAsia="zh-CN"/>
              </w:rPr>
            </w:pPr>
          </w:p>
        </w:tc>
        <w:tc>
          <w:tcPr>
            <w:tcW w:w="2724" w:type="dxa"/>
            <w:vAlign w:val="center"/>
          </w:tcPr>
          <w:p w14:paraId="094BF6BE">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tc>
        <w:tc>
          <w:tcPr>
            <w:tcW w:w="1516" w:type="dxa"/>
            <w:vAlign w:val="center"/>
          </w:tcPr>
          <w:p w14:paraId="6CDA0381">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tc>
      </w:tr>
    </w:tbl>
    <w:p w14:paraId="6C823224">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53FC33EC">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35E4B041">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731D6FF8">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237078D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78C2923A">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1B7E5F24">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62BB664C">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634031C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0E7527AD">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lang w:val="en-US" w:eastAsia="zh-CN"/>
        </w:rPr>
      </w:pPr>
      <w:r>
        <w:rPr>
          <w:rFonts w:hint="eastAsia"/>
          <w:lang w:val="en-US" w:eastAsia="zh-CN"/>
        </w:rPr>
        <w:t>A3  持续改进表</w:t>
      </w:r>
    </w:p>
    <w:bookmarkEnd w:id="27"/>
    <w:tbl>
      <w:tblPr>
        <w:tblStyle w:val="27"/>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824"/>
        <w:gridCol w:w="4120"/>
        <w:gridCol w:w="881"/>
        <w:gridCol w:w="1140"/>
        <w:gridCol w:w="925"/>
      </w:tblGrid>
      <w:tr w14:paraId="692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07" w:type="dxa"/>
            <w:vAlign w:val="center"/>
          </w:tcPr>
          <w:p w14:paraId="3DA8207E">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序号</w:t>
            </w:r>
          </w:p>
        </w:tc>
        <w:tc>
          <w:tcPr>
            <w:tcW w:w="1824" w:type="dxa"/>
            <w:vAlign w:val="center"/>
          </w:tcPr>
          <w:p w14:paraId="701909C0">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改进的项目</w:t>
            </w:r>
          </w:p>
        </w:tc>
        <w:tc>
          <w:tcPr>
            <w:tcW w:w="4120" w:type="dxa"/>
            <w:vAlign w:val="center"/>
          </w:tcPr>
          <w:p w14:paraId="746CAE84">
            <w:pPr>
              <w:pStyle w:val="56"/>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采取的措施</w:t>
            </w:r>
          </w:p>
        </w:tc>
        <w:tc>
          <w:tcPr>
            <w:tcW w:w="881" w:type="dxa"/>
            <w:vAlign w:val="center"/>
          </w:tcPr>
          <w:p w14:paraId="3FCB24AB">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负责人</w:t>
            </w:r>
          </w:p>
        </w:tc>
        <w:tc>
          <w:tcPr>
            <w:tcW w:w="1140" w:type="dxa"/>
            <w:vAlign w:val="center"/>
          </w:tcPr>
          <w:p w14:paraId="06AA070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完成日期</w:t>
            </w:r>
          </w:p>
        </w:tc>
        <w:tc>
          <w:tcPr>
            <w:tcW w:w="925" w:type="dxa"/>
            <w:vAlign w:val="center"/>
          </w:tcPr>
          <w:p w14:paraId="30F1FCDF">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eastAsia="宋体"/>
                <w:vertAlign w:val="baseline"/>
                <w:lang w:val="en-US" w:eastAsia="zh-CN"/>
              </w:rPr>
            </w:pPr>
            <w:r>
              <w:rPr>
                <w:rFonts w:hint="eastAsia"/>
                <w:vertAlign w:val="baseline"/>
                <w:lang w:val="en-US" w:eastAsia="zh-CN"/>
              </w:rPr>
              <w:t>检查人</w:t>
            </w:r>
          </w:p>
        </w:tc>
      </w:tr>
      <w:tr w14:paraId="090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07" w:type="dxa"/>
          </w:tcPr>
          <w:p w14:paraId="4CBC961C">
            <w:pPr>
              <w:pStyle w:val="56"/>
              <w:rPr>
                <w:vertAlign w:val="baseline"/>
              </w:rPr>
            </w:pPr>
          </w:p>
        </w:tc>
        <w:tc>
          <w:tcPr>
            <w:tcW w:w="1824" w:type="dxa"/>
          </w:tcPr>
          <w:p w14:paraId="784F0321">
            <w:pPr>
              <w:pStyle w:val="56"/>
              <w:rPr>
                <w:vertAlign w:val="baseline"/>
              </w:rPr>
            </w:pPr>
          </w:p>
        </w:tc>
        <w:tc>
          <w:tcPr>
            <w:tcW w:w="4120" w:type="dxa"/>
          </w:tcPr>
          <w:p w14:paraId="22F83C11">
            <w:pPr>
              <w:pStyle w:val="56"/>
              <w:rPr>
                <w:vertAlign w:val="baseline"/>
              </w:rPr>
            </w:pPr>
          </w:p>
        </w:tc>
        <w:tc>
          <w:tcPr>
            <w:tcW w:w="881" w:type="dxa"/>
          </w:tcPr>
          <w:p w14:paraId="74922D0C">
            <w:pPr>
              <w:pStyle w:val="56"/>
              <w:rPr>
                <w:vertAlign w:val="baseline"/>
              </w:rPr>
            </w:pPr>
          </w:p>
        </w:tc>
        <w:tc>
          <w:tcPr>
            <w:tcW w:w="1140" w:type="dxa"/>
          </w:tcPr>
          <w:p w14:paraId="61DFEF80">
            <w:pPr>
              <w:pStyle w:val="56"/>
              <w:rPr>
                <w:vertAlign w:val="baseline"/>
              </w:rPr>
            </w:pPr>
          </w:p>
        </w:tc>
        <w:tc>
          <w:tcPr>
            <w:tcW w:w="925" w:type="dxa"/>
          </w:tcPr>
          <w:p w14:paraId="3C5DC44A">
            <w:pPr>
              <w:pStyle w:val="56"/>
              <w:rPr>
                <w:vertAlign w:val="baseline"/>
              </w:rPr>
            </w:pPr>
          </w:p>
        </w:tc>
      </w:tr>
      <w:tr w14:paraId="47C2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07" w:type="dxa"/>
          </w:tcPr>
          <w:p w14:paraId="1F152CD5">
            <w:pPr>
              <w:pStyle w:val="56"/>
              <w:rPr>
                <w:vertAlign w:val="baseline"/>
              </w:rPr>
            </w:pPr>
          </w:p>
        </w:tc>
        <w:tc>
          <w:tcPr>
            <w:tcW w:w="1824" w:type="dxa"/>
          </w:tcPr>
          <w:p w14:paraId="160EF7CC">
            <w:pPr>
              <w:pStyle w:val="56"/>
              <w:rPr>
                <w:vertAlign w:val="baseline"/>
              </w:rPr>
            </w:pPr>
          </w:p>
        </w:tc>
        <w:tc>
          <w:tcPr>
            <w:tcW w:w="4120" w:type="dxa"/>
          </w:tcPr>
          <w:p w14:paraId="47B1FD7F">
            <w:pPr>
              <w:pStyle w:val="56"/>
              <w:rPr>
                <w:vertAlign w:val="baseline"/>
              </w:rPr>
            </w:pPr>
          </w:p>
        </w:tc>
        <w:tc>
          <w:tcPr>
            <w:tcW w:w="881" w:type="dxa"/>
          </w:tcPr>
          <w:p w14:paraId="402743C0">
            <w:pPr>
              <w:pStyle w:val="56"/>
              <w:rPr>
                <w:vertAlign w:val="baseline"/>
              </w:rPr>
            </w:pPr>
          </w:p>
        </w:tc>
        <w:tc>
          <w:tcPr>
            <w:tcW w:w="1140" w:type="dxa"/>
          </w:tcPr>
          <w:p w14:paraId="57B9E35B">
            <w:pPr>
              <w:pStyle w:val="56"/>
              <w:rPr>
                <w:vertAlign w:val="baseline"/>
              </w:rPr>
            </w:pPr>
          </w:p>
        </w:tc>
        <w:tc>
          <w:tcPr>
            <w:tcW w:w="925" w:type="dxa"/>
          </w:tcPr>
          <w:p w14:paraId="01C750EE">
            <w:pPr>
              <w:pStyle w:val="56"/>
              <w:rPr>
                <w:vertAlign w:val="baseline"/>
              </w:rPr>
            </w:pPr>
          </w:p>
        </w:tc>
      </w:tr>
      <w:tr w14:paraId="4789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07" w:type="dxa"/>
          </w:tcPr>
          <w:p w14:paraId="72E3A206">
            <w:pPr>
              <w:pStyle w:val="56"/>
              <w:rPr>
                <w:vertAlign w:val="baseline"/>
              </w:rPr>
            </w:pPr>
          </w:p>
        </w:tc>
        <w:tc>
          <w:tcPr>
            <w:tcW w:w="1824" w:type="dxa"/>
          </w:tcPr>
          <w:p w14:paraId="6AF8A6E8">
            <w:pPr>
              <w:pStyle w:val="56"/>
              <w:rPr>
                <w:vertAlign w:val="baseline"/>
              </w:rPr>
            </w:pPr>
          </w:p>
        </w:tc>
        <w:tc>
          <w:tcPr>
            <w:tcW w:w="4120" w:type="dxa"/>
          </w:tcPr>
          <w:p w14:paraId="5EBE9D99">
            <w:pPr>
              <w:pStyle w:val="56"/>
              <w:rPr>
                <w:vertAlign w:val="baseline"/>
              </w:rPr>
            </w:pPr>
          </w:p>
        </w:tc>
        <w:tc>
          <w:tcPr>
            <w:tcW w:w="881" w:type="dxa"/>
          </w:tcPr>
          <w:p w14:paraId="2F8034AA">
            <w:pPr>
              <w:pStyle w:val="56"/>
              <w:rPr>
                <w:vertAlign w:val="baseline"/>
              </w:rPr>
            </w:pPr>
          </w:p>
        </w:tc>
        <w:tc>
          <w:tcPr>
            <w:tcW w:w="1140" w:type="dxa"/>
          </w:tcPr>
          <w:p w14:paraId="621C46C5">
            <w:pPr>
              <w:pStyle w:val="56"/>
              <w:rPr>
                <w:vertAlign w:val="baseline"/>
              </w:rPr>
            </w:pPr>
          </w:p>
        </w:tc>
        <w:tc>
          <w:tcPr>
            <w:tcW w:w="925" w:type="dxa"/>
          </w:tcPr>
          <w:p w14:paraId="72B975BA">
            <w:pPr>
              <w:pStyle w:val="56"/>
              <w:rPr>
                <w:vertAlign w:val="baseline"/>
              </w:rPr>
            </w:pPr>
          </w:p>
        </w:tc>
      </w:tr>
      <w:tr w14:paraId="31B5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07" w:type="dxa"/>
          </w:tcPr>
          <w:p w14:paraId="7927FFD7">
            <w:pPr>
              <w:pStyle w:val="56"/>
              <w:rPr>
                <w:vertAlign w:val="baseline"/>
              </w:rPr>
            </w:pPr>
          </w:p>
        </w:tc>
        <w:tc>
          <w:tcPr>
            <w:tcW w:w="1824" w:type="dxa"/>
          </w:tcPr>
          <w:p w14:paraId="4173E2B2">
            <w:pPr>
              <w:pStyle w:val="56"/>
              <w:rPr>
                <w:vertAlign w:val="baseline"/>
              </w:rPr>
            </w:pPr>
          </w:p>
        </w:tc>
        <w:tc>
          <w:tcPr>
            <w:tcW w:w="4120" w:type="dxa"/>
          </w:tcPr>
          <w:p w14:paraId="2104C301">
            <w:pPr>
              <w:pStyle w:val="56"/>
              <w:rPr>
                <w:vertAlign w:val="baseline"/>
              </w:rPr>
            </w:pPr>
          </w:p>
        </w:tc>
        <w:tc>
          <w:tcPr>
            <w:tcW w:w="881" w:type="dxa"/>
          </w:tcPr>
          <w:p w14:paraId="53ADBA42">
            <w:pPr>
              <w:pStyle w:val="56"/>
              <w:rPr>
                <w:vertAlign w:val="baseline"/>
              </w:rPr>
            </w:pPr>
          </w:p>
        </w:tc>
        <w:tc>
          <w:tcPr>
            <w:tcW w:w="1140" w:type="dxa"/>
          </w:tcPr>
          <w:p w14:paraId="1A723A9F">
            <w:pPr>
              <w:pStyle w:val="56"/>
              <w:rPr>
                <w:vertAlign w:val="baseline"/>
              </w:rPr>
            </w:pPr>
          </w:p>
        </w:tc>
        <w:tc>
          <w:tcPr>
            <w:tcW w:w="925" w:type="dxa"/>
          </w:tcPr>
          <w:p w14:paraId="414186DE">
            <w:pPr>
              <w:pStyle w:val="56"/>
              <w:rPr>
                <w:vertAlign w:val="baseline"/>
              </w:rPr>
            </w:pPr>
          </w:p>
        </w:tc>
      </w:tr>
      <w:tr w14:paraId="77A4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07" w:type="dxa"/>
          </w:tcPr>
          <w:p w14:paraId="5189C5B3">
            <w:pPr>
              <w:pStyle w:val="56"/>
              <w:rPr>
                <w:vertAlign w:val="baseline"/>
              </w:rPr>
            </w:pPr>
          </w:p>
        </w:tc>
        <w:tc>
          <w:tcPr>
            <w:tcW w:w="1824" w:type="dxa"/>
          </w:tcPr>
          <w:p w14:paraId="692B8CB5">
            <w:pPr>
              <w:pStyle w:val="56"/>
              <w:rPr>
                <w:vertAlign w:val="baseline"/>
              </w:rPr>
            </w:pPr>
          </w:p>
        </w:tc>
        <w:tc>
          <w:tcPr>
            <w:tcW w:w="4120" w:type="dxa"/>
          </w:tcPr>
          <w:p w14:paraId="771E27CC">
            <w:pPr>
              <w:pStyle w:val="56"/>
              <w:rPr>
                <w:vertAlign w:val="baseline"/>
              </w:rPr>
            </w:pPr>
          </w:p>
        </w:tc>
        <w:tc>
          <w:tcPr>
            <w:tcW w:w="881" w:type="dxa"/>
          </w:tcPr>
          <w:p w14:paraId="20D51B64">
            <w:pPr>
              <w:pStyle w:val="56"/>
              <w:rPr>
                <w:vertAlign w:val="baseline"/>
              </w:rPr>
            </w:pPr>
          </w:p>
        </w:tc>
        <w:tc>
          <w:tcPr>
            <w:tcW w:w="1140" w:type="dxa"/>
          </w:tcPr>
          <w:p w14:paraId="30990831">
            <w:pPr>
              <w:pStyle w:val="56"/>
              <w:rPr>
                <w:vertAlign w:val="baseline"/>
              </w:rPr>
            </w:pPr>
          </w:p>
        </w:tc>
        <w:tc>
          <w:tcPr>
            <w:tcW w:w="925" w:type="dxa"/>
          </w:tcPr>
          <w:p w14:paraId="07636E95">
            <w:pPr>
              <w:pStyle w:val="56"/>
              <w:rPr>
                <w:vertAlign w:val="baseline"/>
              </w:rPr>
            </w:pPr>
          </w:p>
        </w:tc>
      </w:tr>
    </w:tbl>
    <w:p w14:paraId="79334CDB">
      <w:pPr>
        <w:pStyle w:val="56"/>
        <w:ind w:firstLine="0" w:firstLineChars="0"/>
      </w:pPr>
    </w:p>
    <w:p w14:paraId="08A6EBE4">
      <w:pPr>
        <w:pStyle w:val="56"/>
        <w:ind w:firstLine="0" w:firstLineChars="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B58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579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B301">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295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2D4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1215">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B477">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0"/>
  <w:bordersDoNotSurroundFooter w:val="0"/>
  <w:attachedTemplate r:id="rId1"/>
  <w:documentProtection w:edit="forms" w:enforcement="1" w:cryptProviderType="rsaAES" w:cryptAlgorithmClass="hash" w:cryptAlgorithmType="typeAny" w:cryptAlgorithmSid="14" w:cryptSpinCount="100000" w:hash="Q3aFNjHOTV6799akowTOZYhjZADWFpyqXh0idksVm59ta0w63BfXeSUG/4JR+wWEciLaW91krhY91RFE8XVHFw==" w:salt="LMZb3DDCIw418JYj2T1D9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NThkM2FiYjZlMDY0ZDJlMDBkOWE4ODcwMTdkNjcifQ=="/>
  </w:docVars>
  <w:rsids>
    <w:rsidRoot w:val="003417E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273"/>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AAC"/>
    <w:rsid w:val="000B6A0B"/>
    <w:rsid w:val="000C0F6C"/>
    <w:rsid w:val="000C11DB"/>
    <w:rsid w:val="000C1492"/>
    <w:rsid w:val="000C2FBD"/>
    <w:rsid w:val="000C4B41"/>
    <w:rsid w:val="000C57D6"/>
    <w:rsid w:val="000C6362"/>
    <w:rsid w:val="000C7666"/>
    <w:rsid w:val="000D0A9C"/>
    <w:rsid w:val="000D14F6"/>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A88"/>
    <w:rsid w:val="00313B85"/>
    <w:rsid w:val="00317988"/>
    <w:rsid w:val="003221B4"/>
    <w:rsid w:val="0032258D"/>
    <w:rsid w:val="00322E62"/>
    <w:rsid w:val="00324D13"/>
    <w:rsid w:val="00324D2A"/>
    <w:rsid w:val="00324EDD"/>
    <w:rsid w:val="003331E4"/>
    <w:rsid w:val="00336C64"/>
    <w:rsid w:val="00337162"/>
    <w:rsid w:val="003417E2"/>
    <w:rsid w:val="0034194F"/>
    <w:rsid w:val="00344605"/>
    <w:rsid w:val="003474AA"/>
    <w:rsid w:val="00347746"/>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A86"/>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57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C1C"/>
    <w:rsid w:val="00407D39"/>
    <w:rsid w:val="0041477A"/>
    <w:rsid w:val="004167A3"/>
    <w:rsid w:val="00432DAA"/>
    <w:rsid w:val="00434305"/>
    <w:rsid w:val="00435DF7"/>
    <w:rsid w:val="00440473"/>
    <w:rsid w:val="0044083F"/>
    <w:rsid w:val="00441AE7"/>
    <w:rsid w:val="00445574"/>
    <w:rsid w:val="004467FB"/>
    <w:rsid w:val="00447A44"/>
    <w:rsid w:val="00450798"/>
    <w:rsid w:val="00452D6B"/>
    <w:rsid w:val="00454484"/>
    <w:rsid w:val="0045517B"/>
    <w:rsid w:val="00457FF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AF0"/>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A63"/>
    <w:rsid w:val="005D4171"/>
    <w:rsid w:val="005D4389"/>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51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68F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ACF"/>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C26"/>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739"/>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A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7F03"/>
    <w:rsid w:val="00CA2D1B"/>
    <w:rsid w:val="00CA375D"/>
    <w:rsid w:val="00CA662A"/>
    <w:rsid w:val="00CA7AFD"/>
    <w:rsid w:val="00CA7C3C"/>
    <w:rsid w:val="00CB0076"/>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252"/>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9A1"/>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2C1"/>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5CC"/>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F3B"/>
    <w:rsid w:val="00FF3E7D"/>
    <w:rsid w:val="00FF5B99"/>
    <w:rsid w:val="00FF730C"/>
    <w:rsid w:val="00FF73F4"/>
    <w:rsid w:val="00FF7CE4"/>
    <w:rsid w:val="00FF7E39"/>
    <w:rsid w:val="2B1E32C7"/>
    <w:rsid w:val="32500481"/>
    <w:rsid w:val="37D756B0"/>
    <w:rsid w:val="591A0A69"/>
    <w:rsid w:val="5BDF468D"/>
    <w:rsid w:val="7849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rPr>
  </w:style>
  <w:style w:type="table" w:customStyle="1" w:styleId="231">
    <w:name w:val="网格型1"/>
    <w:basedOn w:val="26"/>
    <w:unhideWhenUsed/>
    <w:qFormat/>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2">
    <w:name w:val="一级条标题"/>
    <w:basedOn w:val="1"/>
    <w:next w:val="1"/>
    <w:qFormat/>
    <w:uiPriority w:val="0"/>
    <w:pPr>
      <w:widowControl/>
      <w:adjustRightInd/>
      <w:spacing w:beforeLines="50" w:afterLines="50" w:line="240" w:lineRule="auto"/>
      <w:ind w:left="1440" w:hanging="720"/>
      <w:jc w:val="left"/>
      <w:outlineLvl w:val="2"/>
    </w:pPr>
    <w:rPr>
      <w:rFonts w:ascii="黑体" w:hAnsi="Times New Roman" w:eastAsia="黑体"/>
      <w:kern w:val="0"/>
    </w:rPr>
  </w:style>
  <w:style w:type="paragraph" w:styleId="2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63314DD44A41839E4EC115DC38B4F4"/>
        <w:style w:val=""/>
        <w:category>
          <w:name w:val="常规"/>
          <w:gallery w:val="placeholder"/>
        </w:category>
        <w:types>
          <w:type w:val="bbPlcHdr"/>
        </w:types>
        <w:behaviors>
          <w:behavior w:val="content"/>
        </w:behaviors>
        <w:description w:val=""/>
        <w:guid w:val="{947006DC-8EAF-4C5C-BE57-29E21CF0385A}"/>
      </w:docPartPr>
      <w:docPartBody>
        <w:p w14:paraId="0D1EBB37">
          <w:pPr>
            <w:pStyle w:val="5"/>
          </w:pPr>
          <w:r>
            <w:rPr>
              <w:rStyle w:val="4"/>
              <w:rFonts w:hint="eastAsia"/>
            </w:rPr>
            <w:t>单击或点击此处输入文字。</w:t>
          </w:r>
        </w:p>
      </w:docPartBody>
    </w:docPart>
    <w:docPart>
      <w:docPartPr>
        <w:name w:val="B79FF49E32284312993CE81D18FF55BD"/>
        <w:style w:val=""/>
        <w:category>
          <w:name w:val="常规"/>
          <w:gallery w:val="placeholder"/>
        </w:category>
        <w:types>
          <w:type w:val="bbPlcHdr"/>
        </w:types>
        <w:behaviors>
          <w:behavior w:val="content"/>
        </w:behaviors>
        <w:description w:val=""/>
        <w:guid w:val="{FDC4D7EC-BC7B-4E08-A084-5EFB1BF50032}"/>
      </w:docPartPr>
      <w:docPartBody>
        <w:p w14:paraId="7688921C">
          <w:pPr>
            <w:pStyle w:val="6"/>
          </w:pPr>
          <w:r>
            <w:rPr>
              <w:rStyle w:val="4"/>
              <w:rFonts w:hint="eastAsia"/>
            </w:rPr>
            <w:t>选择一项。</w:t>
          </w:r>
        </w:p>
      </w:docPartBody>
    </w:docPart>
    <w:docPart>
      <w:docPartPr>
        <w:name w:val="34A2D6A6DAA34B409E6C42440E8D4D92"/>
        <w:style w:val=""/>
        <w:category>
          <w:name w:val="常规"/>
          <w:gallery w:val="placeholder"/>
        </w:category>
        <w:types>
          <w:type w:val="bbPlcHdr"/>
        </w:types>
        <w:behaviors>
          <w:behavior w:val="content"/>
        </w:behaviors>
        <w:description w:val=""/>
        <w:guid w:val="{0BC91465-2A1B-4E91-A406-E4016597772B}"/>
      </w:docPartPr>
      <w:docPartBody>
        <w:p w14:paraId="1885785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D6"/>
    <w:rsid w:val="00812CF3"/>
    <w:rsid w:val="008A137E"/>
    <w:rsid w:val="00C2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063314DD44A41839E4EC115DC38B4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79FF49E32284312993CE81D18FF55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4A2D6A6DAA34B409E6C42440E8D4D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2495</Words>
  <Characters>2875</Characters>
  <Lines>28</Lines>
  <Paragraphs>8</Paragraphs>
  <TotalTime>22</TotalTime>
  <ScaleCrop>false</ScaleCrop>
  <LinksUpToDate>false</LinksUpToDate>
  <CharactersWithSpaces>3077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2024-11-12T07:40:00Z</dcterms:created>
  <dc:creator>Administrator</dc:creator>
  <dc:description>&lt;config cover="true" show_menu="true" version="1.0.0" doctype="SDKXY"&gt;_x000d_
&lt;/config&gt;</dc:description>
  <cp:lastModifiedBy>唐莹</cp:lastModifiedBy>
  <cp:lastPrinted>2020-08-30T10:00:00Z</cp:lastPrinted>
  <dcterms:modified xsi:type="dcterms:W3CDTF">2024-11-20T00:33:01Z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9BA75A5070F04D51B28F9C0419C049C1_13</vt:lpwstr>
  </property>
</Properties>
</file>