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AF7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7C7AC7">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B7ECFD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1039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8B8F2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DFF24F5">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9479A1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ACCAE4E">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7AF011B7">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6E488BF">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685EFD8C">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F31CEDC">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4D99015">
      <w:pPr>
        <w:pStyle w:val="50"/>
        <w:framePr w:w="9639" w:h="6976" w:hRule="exact" w:hSpace="0" w:vSpace="0" w:wrap="around" w:hAnchor="page" w:y="6408"/>
        <w:jc w:val="center"/>
        <w:rPr>
          <w:rFonts w:hint="eastAsia" w:ascii="黑体" w:hAnsi="黑体" w:eastAsia="黑体"/>
          <w:b w:val="0"/>
          <w:bCs w:val="0"/>
          <w:w w:val="100"/>
        </w:rPr>
      </w:pPr>
    </w:p>
    <w:p w14:paraId="39795E61">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中医智慧康养管理规范</w:t>
      </w:r>
      <w:r>
        <w:fldChar w:fldCharType="end"/>
      </w:r>
      <w:bookmarkEnd w:id="9"/>
    </w:p>
    <w:p w14:paraId="00268689">
      <w:pPr>
        <w:framePr w:w="9639" w:h="6974" w:hRule="exact" w:wrap="around" w:vAnchor="page" w:hAnchor="page" w:x="1419" w:y="6408" w:anchorLock="1"/>
        <w:ind w:left="-1418"/>
      </w:pPr>
    </w:p>
    <w:p w14:paraId="6103DA55">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Management specification for traditional Chinese medicine intelligent health maintenance</w:t>
      </w:r>
      <w:r>
        <w:rPr>
          <w:rFonts w:ascii="黑体" w:hAnsi="黑体" w:eastAsia="黑体"/>
          <w:szCs w:val="28"/>
        </w:rPr>
        <w:fldChar w:fldCharType="end"/>
      </w:r>
      <w:bookmarkEnd w:id="10"/>
    </w:p>
    <w:p w14:paraId="6BDBE14B">
      <w:pPr>
        <w:framePr w:w="9639" w:h="6974" w:hRule="exact" w:wrap="around" w:vAnchor="page" w:hAnchor="page" w:x="1419" w:y="6408" w:anchorLock="1"/>
        <w:spacing w:line="760" w:lineRule="exact"/>
        <w:ind w:left="-1418"/>
      </w:pPr>
    </w:p>
    <w:p w14:paraId="6D5EF07B">
      <w:pPr>
        <w:pStyle w:val="125"/>
        <w:framePr w:w="9639" w:h="6974" w:hRule="exact" w:wrap="around" w:vAnchor="page" w:hAnchor="page" w:x="1419" w:y="6408" w:anchorLock="1"/>
        <w:textAlignment w:val="bottom"/>
        <w:rPr>
          <w:rFonts w:eastAsia="黑体"/>
          <w:szCs w:val="28"/>
        </w:rPr>
      </w:pPr>
    </w:p>
    <w:p w14:paraId="6E3C90C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48BD487">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365009B">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4D511A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D13EBBF">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047C664">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D5FF84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8AFB26F">
      <w:pPr>
        <w:pStyle w:val="91"/>
        <w:spacing w:after="468"/>
      </w:pPr>
      <w:bookmarkStart w:id="21" w:name="BookMark1"/>
      <w:bookmarkStart w:id="22" w:name="_Toc182922555"/>
      <w:r>
        <w:rPr>
          <w:rFonts w:hint="eastAsia"/>
          <w:spacing w:val="320"/>
        </w:rPr>
        <w:t>目</w:t>
      </w:r>
      <w:r>
        <w:rPr>
          <w:rFonts w:hint="eastAsia"/>
        </w:rPr>
        <w:t>次</w:t>
      </w:r>
    </w:p>
    <w:p w14:paraId="075D347A">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"_Toc183000641"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_Toc183000641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1DB2F261">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"_Toc183000642"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_Toc183000642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50946B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"_Toc183000643"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_Toc183000643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FEA74ED">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"_Toc183000644"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_Toc183000644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094ACF2">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"_Toc183000647"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_Toc183000647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2BB9BB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"_Toc183000653" </w:instrText>
      </w:r>
      <w:r>
        <w:fldChar w:fldCharType="separate"/>
      </w:r>
      <w:r>
        <w:rPr>
          <w:rStyle w:val="32"/>
          <w:rFonts w:hint="eastAsia"/>
        </w:rPr>
        <w:t>5</w:t>
      </w:r>
      <w:r>
        <w:rPr>
          <w:rStyle w:val="32"/>
        </w:rPr>
        <w:t xml:space="preserve"> </w:t>
      </w:r>
      <w:r>
        <w:rPr>
          <w:rStyle w:val="32"/>
          <w:rFonts w:hint="eastAsia"/>
        </w:rPr>
        <w:t xml:space="preserve"> 场地与设施设备管理</w:t>
      </w:r>
      <w:r>
        <w:rPr>
          <w:rFonts w:hint="eastAsia"/>
        </w:rPr>
        <w:tab/>
      </w:r>
      <w:r>
        <w:rPr>
          <w:rFonts w:hint="eastAsia"/>
        </w:rPr>
        <w:fldChar w:fldCharType="begin"/>
      </w:r>
      <w:r>
        <w:rPr>
          <w:rFonts w:hint="eastAsia"/>
        </w:rPr>
        <w:instrText xml:space="preserve"> </w:instrText>
      </w:r>
      <w:r>
        <w:instrText xml:space="preserve">PAGEREF _Toc183000653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2510F6C">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"_Toc183000654"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场地管理</w:t>
      </w:r>
      <w:r>
        <w:rPr>
          <w:rFonts w:hint="eastAsia"/>
        </w:rPr>
        <w:tab/>
      </w:r>
      <w:r>
        <w:rPr>
          <w:rFonts w:hint="eastAsia"/>
        </w:rPr>
        <w:fldChar w:fldCharType="begin"/>
      </w:r>
      <w:r>
        <w:rPr>
          <w:rFonts w:hint="eastAsia"/>
        </w:rPr>
        <w:instrText xml:space="preserve"> </w:instrText>
      </w:r>
      <w:r>
        <w:instrText xml:space="preserve">PAGEREF _Toc183000654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AC98390">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"_Toc183000655"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设备管理</w:t>
      </w:r>
      <w:r>
        <w:rPr>
          <w:rFonts w:hint="eastAsia"/>
        </w:rPr>
        <w:tab/>
      </w:r>
      <w:r>
        <w:rPr>
          <w:rFonts w:hint="eastAsia"/>
        </w:rPr>
        <w:fldChar w:fldCharType="begin"/>
      </w:r>
      <w:r>
        <w:rPr>
          <w:rFonts w:hint="eastAsia"/>
        </w:rPr>
        <w:instrText xml:space="preserve"> </w:instrText>
      </w:r>
      <w:r>
        <w:instrText xml:space="preserve">PAGEREF _Toc183000655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FC929A4">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"_Toc183000656" </w:instrText>
      </w:r>
      <w:r>
        <w:fldChar w:fldCharType="separate"/>
      </w:r>
      <w:r>
        <w:rPr>
          <w:rStyle w:val="32"/>
          <w:rFonts w:hint="eastAsia"/>
          <w14:scene3d w14:prst="orthographicFront">
            <w14:lightRig w14:rig="threePt" w14:dir="t">
              <w14:rot w14:lat="0" w14:lon="0" w14:rev="0"/>
            </w14:lightRig>
          </w14:scene3d>
        </w:rPr>
        <w:t>5.3</w:t>
      </w:r>
      <w:r>
        <w:rPr>
          <w:rStyle w:val="32"/>
          <w14:scene3d w14:prst="orthographicFront">
            <w14:lightRig w14:rig="threePt" w14:dir="t">
              <w14:rot w14:lat="0" w14:lon="0" w14:rev="0"/>
            </w14:lightRig>
          </w14:scene3d>
        </w:rPr>
        <w:t xml:space="preserve"> </w:t>
      </w:r>
      <w:r>
        <w:rPr>
          <w:rStyle w:val="32"/>
          <w:rFonts w:hint="eastAsia"/>
        </w:rPr>
        <w:t xml:space="preserve"> 信息安全管理</w:t>
      </w:r>
      <w:r>
        <w:rPr>
          <w:rFonts w:hint="eastAsia"/>
        </w:rPr>
        <w:tab/>
      </w:r>
      <w:r>
        <w:rPr>
          <w:rFonts w:hint="eastAsia"/>
        </w:rPr>
        <w:fldChar w:fldCharType="begin"/>
      </w:r>
      <w:r>
        <w:rPr>
          <w:rFonts w:hint="eastAsia"/>
        </w:rPr>
        <w:instrText xml:space="preserve"> </w:instrText>
      </w:r>
      <w:r>
        <w:instrText xml:space="preserve">PAGEREF _Toc183000656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34F5C01">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"_Toc183000657" </w:instrText>
      </w:r>
      <w:r>
        <w:fldChar w:fldCharType="separate"/>
      </w:r>
      <w:r>
        <w:rPr>
          <w:rStyle w:val="32"/>
          <w:rFonts w:hint="eastAsia"/>
        </w:rPr>
        <w:t>6</w:t>
      </w:r>
      <w:r>
        <w:rPr>
          <w:rStyle w:val="32"/>
        </w:rPr>
        <w:t xml:space="preserve"> </w:t>
      </w:r>
      <w:r>
        <w:rPr>
          <w:rStyle w:val="32"/>
          <w:rFonts w:hint="eastAsia"/>
        </w:rPr>
        <w:t xml:space="preserve"> 人员管理</w:t>
      </w:r>
      <w:r>
        <w:rPr>
          <w:rFonts w:hint="eastAsia"/>
        </w:rPr>
        <w:tab/>
      </w:r>
      <w:r>
        <w:rPr>
          <w:rFonts w:hint="eastAsia"/>
        </w:rPr>
        <w:fldChar w:fldCharType="begin"/>
      </w:r>
      <w:r>
        <w:rPr>
          <w:rFonts w:hint="eastAsia"/>
        </w:rPr>
        <w:instrText xml:space="preserve"> </w:instrText>
      </w:r>
      <w:r>
        <w:instrText xml:space="preserve">PAGEREF _Toc183000657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68993FD">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"_Toc183000658"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岗位设置</w:t>
      </w:r>
      <w:r>
        <w:rPr>
          <w:rFonts w:hint="eastAsia"/>
        </w:rPr>
        <w:tab/>
      </w:r>
      <w:r>
        <w:rPr>
          <w:rFonts w:hint="eastAsia"/>
        </w:rPr>
        <w:fldChar w:fldCharType="begin"/>
      </w:r>
      <w:r>
        <w:rPr>
          <w:rFonts w:hint="eastAsia"/>
        </w:rPr>
        <w:instrText xml:space="preserve"> </w:instrText>
      </w:r>
      <w:r>
        <w:instrText xml:space="preserve">PAGEREF _Toc183000658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6FF340B">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"_Toc183000659"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人员要求</w:t>
      </w:r>
      <w:r>
        <w:rPr>
          <w:rFonts w:hint="eastAsia"/>
        </w:rPr>
        <w:tab/>
      </w:r>
      <w:r>
        <w:rPr>
          <w:rFonts w:hint="eastAsia"/>
        </w:rPr>
        <w:fldChar w:fldCharType="begin"/>
      </w:r>
      <w:r>
        <w:rPr>
          <w:rFonts w:hint="eastAsia"/>
        </w:rPr>
        <w:instrText xml:space="preserve"> </w:instrText>
      </w:r>
      <w:r>
        <w:instrText xml:space="preserve">PAGEREF _Toc183000659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77C4963">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"_Toc183000660" </w:instrText>
      </w:r>
      <w:r>
        <w:fldChar w:fldCharType="separate"/>
      </w:r>
      <w:r>
        <w:rPr>
          <w:rStyle w:val="32"/>
          <w:rFonts w:hint="eastAsia"/>
        </w:rPr>
        <w:t>7</w:t>
      </w:r>
      <w:r>
        <w:rPr>
          <w:rStyle w:val="32"/>
        </w:rPr>
        <w:t xml:space="preserve"> </w:t>
      </w:r>
      <w:r>
        <w:rPr>
          <w:rStyle w:val="32"/>
          <w:rFonts w:hint="eastAsia"/>
        </w:rPr>
        <w:t xml:space="preserve"> 服务管理</w:t>
      </w:r>
      <w:r>
        <w:rPr>
          <w:rFonts w:hint="eastAsia"/>
        </w:rPr>
        <w:tab/>
      </w:r>
      <w:r>
        <w:rPr>
          <w:rFonts w:hint="eastAsia"/>
        </w:rPr>
        <w:fldChar w:fldCharType="begin"/>
      </w:r>
      <w:r>
        <w:rPr>
          <w:rFonts w:hint="eastAsia"/>
        </w:rPr>
        <w:instrText xml:space="preserve"> </w:instrText>
      </w:r>
      <w:r>
        <w:instrText xml:space="preserve">PAGEREF _Toc183000660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66182810">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"_Toc183000661" </w:instrText>
      </w:r>
      <w:r>
        <w:fldChar w:fldCharType="separate"/>
      </w:r>
      <w:r>
        <w:rPr>
          <w:rStyle w:val="32"/>
          <w:rFonts w:hint="eastAsia"/>
          <w14:scene3d w14:prst="orthographicFront">
            <w14:lightRig w14:rig="threePt" w14:dir="t">
              <w14:rot w14:lat="0" w14:lon="0" w14:rev="0"/>
            </w14:lightRig>
          </w14:scene3d>
        </w:rPr>
        <w:t>7.1</w:t>
      </w:r>
      <w:r>
        <w:rPr>
          <w:rStyle w:val="32"/>
          <w14:scene3d w14:prst="orthographicFront">
            <w14:lightRig w14:rig="threePt" w14:dir="t">
              <w14:rot w14:lat="0" w14:lon="0" w14:rev="0"/>
            </w14:lightRig>
          </w14:scene3d>
        </w:rPr>
        <w:t xml:space="preserve"> </w:t>
      </w:r>
      <w:r>
        <w:rPr>
          <w:rStyle w:val="32"/>
          <w:rFonts w:hint="eastAsia"/>
        </w:rPr>
        <w:t xml:space="preserve"> 管理制度</w:t>
      </w:r>
      <w:r>
        <w:rPr>
          <w:rFonts w:hint="eastAsia"/>
        </w:rPr>
        <w:tab/>
      </w:r>
      <w:r>
        <w:rPr>
          <w:rFonts w:hint="eastAsia"/>
        </w:rPr>
        <w:fldChar w:fldCharType="begin"/>
      </w:r>
      <w:r>
        <w:rPr>
          <w:rFonts w:hint="eastAsia"/>
        </w:rPr>
        <w:instrText xml:space="preserve"> </w:instrText>
      </w:r>
      <w:r>
        <w:instrText xml:space="preserve">PAGEREF _Toc183000661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7C5EA7E">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"_Toc183000662" </w:instrText>
      </w:r>
      <w:r>
        <w:fldChar w:fldCharType="separate"/>
      </w:r>
      <w:r>
        <w:rPr>
          <w:rStyle w:val="32"/>
          <w:rFonts w:hint="eastAsia"/>
          <w14:scene3d w14:prst="orthographicFront">
            <w14:lightRig w14:rig="threePt" w14:dir="t">
              <w14:rot w14:lat="0" w14:lon="0" w14:rev="0"/>
            </w14:lightRig>
          </w14:scene3d>
        </w:rPr>
        <w:t>7.2</w:t>
      </w:r>
      <w:r>
        <w:rPr>
          <w:rStyle w:val="32"/>
          <w14:scene3d w14:prst="orthographicFront">
            <w14:lightRig w14:rig="threePt" w14:dir="t">
              <w14:rot w14:lat="0" w14:lon="0" w14:rev="0"/>
            </w14:lightRig>
          </w14:scene3d>
        </w:rPr>
        <w:t xml:space="preserve"> </w:t>
      </w:r>
      <w:r>
        <w:rPr>
          <w:rStyle w:val="32"/>
          <w:rFonts w:hint="eastAsia"/>
        </w:rPr>
        <w:t xml:space="preserve"> 服务要求</w:t>
      </w:r>
      <w:r>
        <w:rPr>
          <w:rFonts w:hint="eastAsia"/>
        </w:rPr>
        <w:tab/>
      </w:r>
      <w:r>
        <w:rPr>
          <w:rFonts w:hint="eastAsia"/>
        </w:rPr>
        <w:fldChar w:fldCharType="begin"/>
      </w:r>
      <w:r>
        <w:rPr>
          <w:rFonts w:hint="eastAsia"/>
        </w:rPr>
        <w:instrText xml:space="preserve"> </w:instrText>
      </w:r>
      <w:r>
        <w:instrText xml:space="preserve">PAGEREF _Toc183000662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EC1C73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"_Toc183000663" </w:instrText>
      </w:r>
      <w:r>
        <w:fldChar w:fldCharType="separate"/>
      </w:r>
      <w:r>
        <w:rPr>
          <w:rStyle w:val="32"/>
          <w:rFonts w:hint="eastAsia"/>
        </w:rPr>
        <w:t>8</w:t>
      </w:r>
      <w:r>
        <w:rPr>
          <w:rStyle w:val="32"/>
        </w:rPr>
        <w:t xml:space="preserve"> </w:t>
      </w:r>
      <w:r>
        <w:rPr>
          <w:rStyle w:val="32"/>
          <w:rFonts w:hint="eastAsia"/>
        </w:rPr>
        <w:t xml:space="preserve"> 评价与改进</w:t>
      </w:r>
      <w:r>
        <w:rPr>
          <w:rFonts w:hint="eastAsia"/>
        </w:rPr>
        <w:tab/>
      </w:r>
      <w:r>
        <w:rPr>
          <w:rFonts w:hint="eastAsia"/>
        </w:rPr>
        <w:fldChar w:fldCharType="begin"/>
      </w:r>
      <w:r>
        <w:rPr>
          <w:rFonts w:hint="eastAsia"/>
        </w:rPr>
        <w:instrText xml:space="preserve"> </w:instrText>
      </w:r>
      <w:r>
        <w:instrText xml:space="preserve">PAGEREF _Toc183000663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3B03F127">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"_Toc183000664" </w:instrText>
      </w:r>
      <w:r>
        <w:fldChar w:fldCharType="separate"/>
      </w:r>
      <w:r>
        <w:rPr>
          <w:rStyle w:val="32"/>
          <w:rFonts w:hint="eastAsia"/>
          <w14:scene3d w14:prst="orthographicFront">
            <w14:lightRig w14:rig="threePt" w14:dir="t">
              <w14:rot w14:lat="0" w14:lon="0" w14:rev="0"/>
            </w14:lightRig>
          </w14:scene3d>
        </w:rPr>
        <w:t>8.1</w:t>
      </w:r>
      <w:r>
        <w:rPr>
          <w:rStyle w:val="32"/>
          <w14:scene3d w14:prst="orthographicFront">
            <w14:lightRig w14:rig="threePt" w14:dir="t">
              <w14:rot w14:lat="0" w14:lon="0" w14:rev="0"/>
            </w14:lightRig>
          </w14:scene3d>
        </w:rPr>
        <w:t xml:space="preserve"> </w:t>
      </w:r>
      <w:r>
        <w:rPr>
          <w:rStyle w:val="32"/>
          <w:rFonts w:hint="eastAsia"/>
        </w:rPr>
        <w:t xml:space="preserve"> 管理评价</w:t>
      </w:r>
      <w:r>
        <w:rPr>
          <w:rFonts w:hint="eastAsia"/>
        </w:rPr>
        <w:tab/>
      </w:r>
      <w:r>
        <w:rPr>
          <w:rFonts w:hint="eastAsia"/>
        </w:rPr>
        <w:fldChar w:fldCharType="begin"/>
      </w:r>
      <w:r>
        <w:rPr>
          <w:rFonts w:hint="eastAsia"/>
        </w:rPr>
        <w:instrText xml:space="preserve"> </w:instrText>
      </w:r>
      <w:r>
        <w:instrText xml:space="preserve">PAGEREF _Toc183000664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1474827">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"_Toc183000665" </w:instrText>
      </w:r>
      <w:r>
        <w:fldChar w:fldCharType="separate"/>
      </w:r>
      <w:r>
        <w:rPr>
          <w:rStyle w:val="32"/>
          <w:rFonts w:hint="eastAsia"/>
          <w14:scene3d w14:prst="orthographicFront">
            <w14:lightRig w14:rig="threePt" w14:dir="t">
              <w14:rot w14:lat="0" w14:lon="0" w14:rev="0"/>
            </w14:lightRig>
          </w14:scene3d>
        </w:rPr>
        <w:t>8.2</w:t>
      </w:r>
      <w:r>
        <w:rPr>
          <w:rStyle w:val="32"/>
          <w14:scene3d w14:prst="orthographicFront">
            <w14:lightRig w14:rig="threePt" w14:dir="t">
              <w14:rot w14:lat="0" w14:lon="0" w14:rev="0"/>
            </w14:lightRig>
          </w14:scene3d>
        </w:rPr>
        <w:t xml:space="preserve"> </w:t>
      </w:r>
      <w:r>
        <w:rPr>
          <w:rStyle w:val="32"/>
          <w:rFonts w:hint="eastAsia"/>
        </w:rPr>
        <w:t xml:space="preserve"> 管理改进</w:t>
      </w:r>
      <w:r>
        <w:rPr>
          <w:rFonts w:hint="eastAsia"/>
        </w:rPr>
        <w:tab/>
      </w:r>
      <w:r>
        <w:rPr>
          <w:rFonts w:hint="eastAsia"/>
        </w:rPr>
        <w:fldChar w:fldCharType="begin"/>
      </w:r>
      <w:r>
        <w:rPr>
          <w:rFonts w:hint="eastAsia"/>
        </w:rPr>
        <w:instrText xml:space="preserve"> </w:instrText>
      </w:r>
      <w:r>
        <w:instrText xml:space="preserve">PAGEREF _Toc183000665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6A7B19F">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"_Toc183000666"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_Toc183000666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1504176">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3ECF3F61">
      <w:pPr>
        <w:pStyle w:val="89"/>
        <w:spacing w:before="900" w:after="468"/>
      </w:pPr>
      <w:bookmarkStart w:id="23" w:name="_Toc183000641"/>
      <w:bookmarkStart w:id="24" w:name="BookMark2"/>
      <w:r>
        <w:rPr>
          <w:rFonts w:hint="eastAsia"/>
          <w:spacing w:val="320"/>
        </w:rPr>
        <w:t>前</w:t>
      </w:r>
      <w:r>
        <w:rPr>
          <w:rFonts w:hint="eastAsia"/>
        </w:rPr>
        <w:t>言</w:t>
      </w:r>
      <w:bookmarkEnd w:id="22"/>
      <w:bookmarkEnd w:id="23"/>
    </w:p>
    <w:p w14:paraId="2FBF3059">
      <w:pPr>
        <w:pStyle w:val="56"/>
        <w:ind w:firstLine="420"/>
      </w:pPr>
      <w:r>
        <w:rPr>
          <w:rFonts w:hint="eastAsia"/>
        </w:rPr>
        <w:t>本文件按照GB/T 1.1—2020《标准化工作导则  第1部分：标准化文件的结构和起草规则》的规定起草。</w:t>
      </w:r>
    </w:p>
    <w:p w14:paraId="54AEA471">
      <w:pPr>
        <w:ind w:firstLine="420" w:firstLineChars="200"/>
        <w:rPr>
          <w:rFonts w:hint="eastAsia" w:ascii="宋体" w:hAnsi="宋体" w:cs="宋体"/>
        </w:rPr>
      </w:pPr>
      <w:r>
        <w:rPr>
          <w:rFonts w:hint="eastAsia" w:ascii="宋体" w:hAnsi="宋体"/>
        </w:rPr>
        <w:t>请注意本文件的某些内容可能涉及专利。本文件的发布机构不承担识别专利的责任。</w:t>
      </w:r>
    </w:p>
    <w:p w14:paraId="4AE76249">
      <w:pPr>
        <w:pStyle w:val="56"/>
        <w:ind w:firstLine="420"/>
      </w:pPr>
      <w:r>
        <w:rPr>
          <w:rFonts w:hint="eastAsia"/>
        </w:rPr>
        <w:t>本文件由湖南省中医药管理局提出并归口。</w:t>
      </w:r>
    </w:p>
    <w:p w14:paraId="29B25F31">
      <w:pPr>
        <w:pStyle w:val="56"/>
        <w:ind w:firstLine="420"/>
      </w:pPr>
      <w:r>
        <w:rPr>
          <w:rFonts w:hint="eastAsia"/>
        </w:rPr>
        <w:t>本文件起草单位：</w:t>
      </w:r>
    </w:p>
    <w:p w14:paraId="3AFA9805">
      <w:pPr>
        <w:pStyle w:val="56"/>
        <w:ind w:firstLine="420"/>
      </w:pPr>
      <w:r>
        <w:rPr>
          <w:rFonts w:hint="eastAsia"/>
        </w:rPr>
        <w:t>本文件主要起草人：</w:t>
      </w:r>
    </w:p>
    <w:p w14:paraId="3AA6BAA7">
      <w:pPr>
        <w:pStyle w:val="56"/>
        <w:ind w:firstLine="420"/>
      </w:pPr>
    </w:p>
    <w:p w14:paraId="7D09D865">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14:paraId="017F355A">
      <w:pPr>
        <w:spacing w:line="20" w:lineRule="exact"/>
        <w:jc w:val="center"/>
        <w:rPr>
          <w:rFonts w:hint="eastAsia" w:ascii="黑体" w:hAnsi="黑体" w:eastAsia="黑体"/>
          <w:sz w:val="32"/>
          <w:szCs w:val="32"/>
        </w:rPr>
      </w:pPr>
      <w:bookmarkStart w:id="25" w:name="BookMark4"/>
    </w:p>
    <w:p w14:paraId="082E65A3">
      <w:pPr>
        <w:spacing w:line="20" w:lineRule="exact"/>
        <w:jc w:val="center"/>
        <w:rPr>
          <w:rFonts w:hint="eastAsia" w:ascii="黑体" w:hAnsi="黑体" w:eastAsia="黑体"/>
          <w:sz w:val="32"/>
          <w:szCs w:val="32"/>
        </w:rPr>
      </w:pPr>
    </w:p>
    <w:sdt>
      <w:sdtPr>
        <w:tag w:val="NEW_STAND_NAME"/>
        <w:id w:val="595910757"/>
        <w:lock w:val="sdtLocked"/>
        <w:placeholder>
          <w:docPart w:val="648603FD89C84EBD906E35BF79211657"/>
        </w:placeholder>
      </w:sdtPr>
      <w:sdtContent>
        <w:p w14:paraId="76FDCA92">
          <w:pPr>
            <w:pStyle w:val="177"/>
            <w:spacing w:before="312" w:beforeLines="100" w:after="686" w:afterLines="220"/>
            <w:rPr>
              <w:rFonts w:hint="eastAsia"/>
            </w:rPr>
          </w:pPr>
          <w:bookmarkStart w:id="26" w:name="NEW_STAND_NAME"/>
          <w:r>
            <w:rPr>
              <w:rFonts w:hint="eastAsia"/>
            </w:rPr>
            <w:t>中医智慧康养管理规范</w:t>
          </w:r>
        </w:p>
      </w:sdtContent>
    </w:sdt>
    <w:bookmarkEnd w:id="26"/>
    <w:p w14:paraId="01513CC4">
      <w:pPr>
        <w:pStyle w:val="104"/>
        <w:spacing w:before="312" w:after="312"/>
      </w:pPr>
      <w:bookmarkStart w:id="27" w:name="_Toc182898238"/>
      <w:bookmarkStart w:id="28" w:name="_Toc26986771"/>
      <w:bookmarkStart w:id="29" w:name="_Toc17233333"/>
      <w:bookmarkStart w:id="30" w:name="_Toc24884218"/>
      <w:bookmarkStart w:id="31" w:name="_Toc182922556"/>
      <w:bookmarkStart w:id="32" w:name="_Toc24884211"/>
      <w:bookmarkStart w:id="33" w:name="_Toc26718930"/>
      <w:bookmarkStart w:id="34" w:name="_Toc183000642"/>
      <w:bookmarkStart w:id="35" w:name="_Toc97191423"/>
      <w:bookmarkStart w:id="36" w:name="_Toc17233325"/>
      <w:bookmarkStart w:id="37" w:name="_Toc26986530"/>
      <w:bookmarkStart w:id="38" w:name="_Toc182156388"/>
      <w:bookmarkStart w:id="39" w:name="_Toc182156324"/>
      <w:bookmarkStart w:id="40" w:name="_Toc26648465"/>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494CE7F">
      <w:pPr>
        <w:pStyle w:val="56"/>
        <w:ind w:firstLine="420"/>
      </w:pPr>
      <w:bookmarkStart w:id="41" w:name="_Toc17233326"/>
      <w:bookmarkStart w:id="42" w:name="_Toc17233334"/>
      <w:bookmarkStart w:id="43" w:name="_Toc26648466"/>
      <w:bookmarkStart w:id="44" w:name="_Toc24884212"/>
      <w:bookmarkStart w:id="45" w:name="_Toc24884219"/>
      <w:r>
        <w:rPr>
          <w:rFonts w:hint="eastAsia"/>
        </w:rPr>
        <w:t>本文件规定了中医智慧康养管理的术语和定义、基本要求、场地与设施设备管理、人员管理、服务管理、评价与改进。</w:t>
      </w:r>
    </w:p>
    <w:p w14:paraId="7BC2A6D1">
      <w:pPr>
        <w:pStyle w:val="56"/>
        <w:ind w:firstLine="420"/>
      </w:pPr>
      <w:r>
        <w:rPr>
          <w:rFonts w:hint="eastAsia"/>
        </w:rPr>
        <w:t>本文件适用于提供中医智慧康养服务的机构。</w:t>
      </w:r>
    </w:p>
    <w:p w14:paraId="75868C9B">
      <w:pPr>
        <w:pStyle w:val="104"/>
        <w:spacing w:before="312" w:after="312"/>
      </w:pPr>
      <w:bookmarkStart w:id="46" w:name="_Toc182156325"/>
      <w:bookmarkStart w:id="47" w:name="_Toc26986531"/>
      <w:bookmarkStart w:id="48" w:name="_Toc182156389"/>
      <w:bookmarkStart w:id="49" w:name="_Toc26718931"/>
      <w:bookmarkStart w:id="50" w:name="_Toc182922557"/>
      <w:bookmarkStart w:id="51" w:name="_Toc182898239"/>
      <w:bookmarkStart w:id="52" w:name="_Toc97191424"/>
      <w:bookmarkStart w:id="53" w:name="_Toc26986772"/>
      <w:bookmarkStart w:id="54" w:name="_Toc183000643"/>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316FE594A423428B97FA6372CE7C3E3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5CD157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BD3325">
      <w:pPr>
        <w:pStyle w:val="56"/>
        <w:ind w:firstLine="420"/>
      </w:pPr>
      <w:bookmarkStart w:id="55" w:name="OLE_LINK1"/>
      <w:r>
        <w:rPr>
          <w:rFonts w:hint="eastAsia"/>
        </w:rPr>
        <w:t>GB/T 20271 信息安全技术信息系统通用安全技术要求</w:t>
      </w:r>
    </w:p>
    <w:p w14:paraId="60600621">
      <w:pPr>
        <w:pStyle w:val="56"/>
        <w:ind w:firstLine="420"/>
      </w:pPr>
      <w:r>
        <w:rPr>
          <w:rFonts w:hint="eastAsia"/>
        </w:rPr>
        <w:t>GB 38600</w:t>
      </w:r>
      <w:bookmarkEnd w:id="55"/>
      <w:r>
        <w:rPr>
          <w:rFonts w:hint="eastAsia"/>
        </w:rPr>
        <w:t xml:space="preserve">  养老机构服务安全基本规范</w:t>
      </w:r>
    </w:p>
    <w:p w14:paraId="5ED80B36">
      <w:pPr>
        <w:pStyle w:val="104"/>
        <w:spacing w:before="312" w:after="312"/>
      </w:pPr>
      <w:bookmarkStart w:id="56" w:name="_Toc182898240"/>
      <w:bookmarkStart w:id="57" w:name="_Toc182156326"/>
      <w:bookmarkStart w:id="58" w:name="_Toc183000644"/>
      <w:bookmarkStart w:id="59" w:name="_Toc182922558"/>
      <w:bookmarkStart w:id="60" w:name="_Toc182156390"/>
      <w:bookmarkStart w:id="61" w:name="_Toc97191425"/>
      <w:r>
        <w:rPr>
          <w:rFonts w:hint="eastAsia"/>
          <w:szCs w:val="21"/>
        </w:rPr>
        <w:t>术语和定义</w:t>
      </w:r>
      <w:bookmarkEnd w:id="56"/>
      <w:bookmarkEnd w:id="57"/>
      <w:bookmarkEnd w:id="58"/>
      <w:bookmarkEnd w:id="59"/>
      <w:bookmarkEnd w:id="60"/>
      <w:bookmarkEnd w:id="61"/>
    </w:p>
    <w:sdt>
      <w:sdtPr>
        <w:id w:val="-1909835108"/>
        <w:placeholder>
          <w:docPart w:val="C65291D704E643A0A2F4736BB961B8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132EDB0">
          <w:pPr>
            <w:pStyle w:val="56"/>
            <w:ind w:firstLine="420"/>
          </w:pPr>
          <w:bookmarkStart w:id="62" w:name="_Toc26986532"/>
          <w:bookmarkEnd w:id="62"/>
          <w:r>
            <w:t>下列术语和定义适用于本文件。</w:t>
          </w:r>
        </w:p>
      </w:sdtContent>
    </w:sdt>
    <w:p w14:paraId="39D52EF6">
      <w:pPr>
        <w:pStyle w:val="105"/>
        <w:spacing w:before="156" w:after="156"/>
      </w:pPr>
      <w:bookmarkStart w:id="63" w:name="_Toc183000645"/>
      <w:bookmarkEnd w:id="63"/>
      <w:bookmarkStart w:id="64" w:name="_Toc182922559"/>
      <w:bookmarkEnd w:id="64"/>
      <w:bookmarkStart w:id="65" w:name="_Toc182156391"/>
      <w:bookmarkStart w:id="66" w:name="_Toc182898241"/>
      <w:bookmarkStart w:id="67" w:name="_Toc182156327"/>
    </w:p>
    <w:p w14:paraId="78467685">
      <w:pPr>
        <w:pStyle w:val="105"/>
        <w:numPr>
          <w:ilvl w:val="0"/>
          <w:numId w:val="0"/>
        </w:numPr>
        <w:spacing w:before="156" w:after="156"/>
        <w:ind w:firstLine="420" w:firstLineChars="200"/>
      </w:pPr>
      <w:bookmarkStart w:id="68" w:name="_Toc183000646"/>
      <w:bookmarkStart w:id="69" w:name="_Toc182922560"/>
      <w:r>
        <w:rPr>
          <w:rFonts w:hint="eastAsia"/>
        </w:rPr>
        <w:t>中医智慧康养</w:t>
      </w:r>
      <w:bookmarkEnd w:id="65"/>
      <w:bookmarkEnd w:id="66"/>
      <w:bookmarkEnd w:id="67"/>
      <w:bookmarkEnd w:id="68"/>
      <w:bookmarkEnd w:id="69"/>
      <w:r>
        <w:rPr>
          <w:rFonts w:hint="eastAsia"/>
        </w:rPr>
        <w:t>Traditional Chinese medicine intelligent health maintenance</w:t>
      </w:r>
    </w:p>
    <w:p w14:paraId="7A6EBE61">
      <w:pPr>
        <w:pStyle w:val="105"/>
        <w:numPr>
          <w:ilvl w:val="0"/>
          <w:numId w:val="0"/>
        </w:numPr>
        <w:spacing w:before="156" w:after="156"/>
        <w:ind w:firstLine="420" w:firstLineChars="200"/>
      </w:pPr>
      <w:r>
        <w:rPr>
          <w:rFonts w:hint="eastAsia" w:ascii="宋体" w:eastAsia="宋体"/>
        </w:rPr>
        <w:t>利用现代信息技术，结合中医理论和方法，为有健康管理需求的人群提供全面、个性化的健康管理、疾病预防、健康促进等服务的全过程。</w:t>
      </w:r>
    </w:p>
    <w:p w14:paraId="058A9092">
      <w:pPr>
        <w:pStyle w:val="104"/>
        <w:spacing w:before="312" w:after="312"/>
      </w:pPr>
      <w:bookmarkStart w:id="70" w:name="_Toc182156328"/>
      <w:bookmarkStart w:id="71" w:name="_Toc182898242"/>
      <w:bookmarkStart w:id="72" w:name="_Toc182922561"/>
      <w:bookmarkStart w:id="73" w:name="_Toc183000647"/>
      <w:bookmarkStart w:id="74" w:name="_Toc182156392"/>
      <w:r>
        <w:rPr>
          <w:rFonts w:hint="eastAsia"/>
        </w:rPr>
        <w:t>基本要求</w:t>
      </w:r>
      <w:bookmarkEnd w:id="70"/>
      <w:bookmarkEnd w:id="71"/>
      <w:bookmarkEnd w:id="72"/>
      <w:bookmarkEnd w:id="73"/>
      <w:bookmarkEnd w:id="74"/>
    </w:p>
    <w:p w14:paraId="2FD8D1EF">
      <w:pPr>
        <w:pStyle w:val="105"/>
        <w:spacing w:before="156" w:after="156"/>
        <w:rPr>
          <w:rFonts w:hint="eastAsia" w:ascii="宋体" w:hAnsi="宋体" w:eastAsia="宋体"/>
        </w:rPr>
      </w:pPr>
      <w:bookmarkStart w:id="75" w:name="_Toc182156329"/>
      <w:bookmarkStart w:id="76" w:name="_Toc182922562"/>
      <w:bookmarkStart w:id="77" w:name="_Toc183000648"/>
      <w:bookmarkStart w:id="78" w:name="_Toc182898243"/>
      <w:bookmarkStart w:id="79" w:name="_Toc182156393"/>
      <w:r>
        <w:rPr>
          <w:rFonts w:hint="eastAsia" w:ascii="宋体" w:hAnsi="宋体" w:eastAsia="宋体"/>
        </w:rPr>
        <w:t>应依法持有医疗卫生机构相关资质。</w:t>
      </w:r>
      <w:bookmarkEnd w:id="75"/>
      <w:bookmarkEnd w:id="76"/>
      <w:bookmarkEnd w:id="77"/>
      <w:bookmarkEnd w:id="78"/>
      <w:bookmarkEnd w:id="79"/>
    </w:p>
    <w:p w14:paraId="2BFA8DB3">
      <w:pPr>
        <w:pStyle w:val="105"/>
        <w:spacing w:before="156" w:after="156"/>
        <w:rPr>
          <w:rFonts w:hint="eastAsia" w:ascii="宋体" w:hAnsi="宋体" w:eastAsia="宋体"/>
        </w:rPr>
      </w:pPr>
      <w:bookmarkStart w:id="80" w:name="_Toc182156394"/>
      <w:bookmarkStart w:id="81" w:name="_Toc183000649"/>
      <w:bookmarkStart w:id="82" w:name="_Toc182156330"/>
      <w:bookmarkStart w:id="83" w:name="_Toc182922563"/>
      <w:bookmarkStart w:id="84" w:name="_Toc182898244"/>
      <w:r>
        <w:rPr>
          <w:rFonts w:hint="eastAsia" w:ascii="宋体" w:hAnsi="宋体" w:eastAsia="宋体"/>
        </w:rPr>
        <w:t>应设置中医健康管理部门，具备独立、固定、专用的中医诊疗、远程医疗的操作室。</w:t>
      </w:r>
      <w:bookmarkEnd w:id="80"/>
      <w:bookmarkEnd w:id="81"/>
      <w:bookmarkEnd w:id="82"/>
      <w:bookmarkEnd w:id="83"/>
      <w:bookmarkEnd w:id="84"/>
    </w:p>
    <w:p w14:paraId="461AD7A1">
      <w:pPr>
        <w:pStyle w:val="105"/>
        <w:spacing w:before="156" w:after="156"/>
        <w:rPr>
          <w:rFonts w:hint="eastAsia" w:ascii="宋体" w:hAnsi="宋体" w:eastAsia="宋体"/>
        </w:rPr>
      </w:pPr>
      <w:bookmarkStart w:id="85" w:name="_Toc183000650"/>
      <w:bookmarkStart w:id="86" w:name="_Toc182156331"/>
      <w:bookmarkStart w:id="87" w:name="_Toc182156395"/>
      <w:bookmarkStart w:id="88" w:name="_Toc182922564"/>
      <w:bookmarkStart w:id="89" w:name="_Toc182898245"/>
      <w:r>
        <w:rPr>
          <w:rFonts w:hint="eastAsia" w:ascii="宋体" w:hAnsi="宋体" w:eastAsia="宋体"/>
        </w:rPr>
        <w:t>应具有互联互通的智慧康养平台。</w:t>
      </w:r>
      <w:bookmarkEnd w:id="85"/>
      <w:bookmarkEnd w:id="86"/>
      <w:bookmarkEnd w:id="87"/>
      <w:bookmarkEnd w:id="88"/>
      <w:bookmarkEnd w:id="89"/>
    </w:p>
    <w:p w14:paraId="0ECF1FE5">
      <w:pPr>
        <w:pStyle w:val="105"/>
        <w:spacing w:before="156" w:after="156"/>
        <w:rPr>
          <w:rFonts w:hint="eastAsia" w:ascii="宋体" w:hAnsi="宋体" w:eastAsia="宋体"/>
        </w:rPr>
      </w:pPr>
      <w:bookmarkStart w:id="90" w:name="_Toc182156396"/>
      <w:bookmarkStart w:id="91" w:name="_Toc182922565"/>
      <w:bookmarkStart w:id="92" w:name="_Toc182156332"/>
      <w:bookmarkStart w:id="93" w:name="_Toc182898246"/>
      <w:bookmarkStart w:id="94" w:name="_Toc183000651"/>
      <w:r>
        <w:rPr>
          <w:rFonts w:hint="eastAsia" w:ascii="宋体" w:hAnsi="宋体" w:eastAsia="宋体"/>
        </w:rPr>
        <w:t>应根据中医智慧康养管理的人力资源需要，合理进行人员配置。</w:t>
      </w:r>
      <w:bookmarkEnd w:id="90"/>
      <w:bookmarkEnd w:id="91"/>
      <w:bookmarkEnd w:id="92"/>
      <w:bookmarkEnd w:id="93"/>
      <w:bookmarkEnd w:id="94"/>
    </w:p>
    <w:p w14:paraId="3B0756F4">
      <w:pPr>
        <w:pStyle w:val="105"/>
        <w:spacing w:before="156" w:after="156"/>
        <w:rPr>
          <w:rFonts w:hint="eastAsia" w:ascii="宋体" w:hAnsi="宋体" w:eastAsia="宋体"/>
        </w:rPr>
      </w:pPr>
      <w:bookmarkStart w:id="95" w:name="_Toc182156333"/>
      <w:bookmarkStart w:id="96" w:name="_Toc183000652"/>
      <w:bookmarkStart w:id="97" w:name="_Toc182898247"/>
      <w:bookmarkStart w:id="98" w:name="_Toc182922566"/>
      <w:bookmarkStart w:id="99" w:name="_Toc182156397"/>
      <w:r>
        <w:rPr>
          <w:rFonts w:hint="eastAsia" w:ascii="宋体" w:hAnsi="宋体" w:eastAsia="宋体"/>
        </w:rPr>
        <w:t>应符合GB 38600的安全管理要求。</w:t>
      </w:r>
      <w:bookmarkEnd w:id="95"/>
      <w:bookmarkEnd w:id="96"/>
      <w:bookmarkEnd w:id="97"/>
      <w:bookmarkEnd w:id="98"/>
      <w:bookmarkEnd w:id="99"/>
    </w:p>
    <w:p w14:paraId="239FA26A">
      <w:pPr>
        <w:pStyle w:val="104"/>
        <w:spacing w:before="312" w:after="312"/>
      </w:pPr>
      <w:r>
        <w:rPr>
          <w:rFonts w:hint="eastAsia"/>
        </w:rPr>
        <w:t xml:space="preserve"> </w:t>
      </w:r>
      <w:bookmarkStart w:id="100" w:name="_Toc182898248"/>
      <w:bookmarkStart w:id="101" w:name="_Toc182922567"/>
      <w:bookmarkStart w:id="102" w:name="_Toc183000653"/>
      <w:bookmarkStart w:id="103" w:name="_Toc182156334"/>
      <w:bookmarkStart w:id="104" w:name="_Toc182156398"/>
      <w:r>
        <w:rPr>
          <w:rFonts w:hint="eastAsia"/>
        </w:rPr>
        <w:t>场地与设施设备管理</w:t>
      </w:r>
      <w:bookmarkEnd w:id="100"/>
      <w:bookmarkEnd w:id="101"/>
      <w:bookmarkEnd w:id="102"/>
      <w:bookmarkEnd w:id="103"/>
      <w:bookmarkEnd w:id="104"/>
    </w:p>
    <w:p w14:paraId="3E2672D5">
      <w:pPr>
        <w:pStyle w:val="105"/>
        <w:spacing w:before="156" w:after="156"/>
      </w:pPr>
      <w:bookmarkStart w:id="105" w:name="_Toc182898249"/>
      <w:bookmarkStart w:id="106" w:name="_Toc183000654"/>
      <w:bookmarkStart w:id="107" w:name="_Toc182156335"/>
      <w:bookmarkStart w:id="108" w:name="_Toc182156399"/>
      <w:bookmarkStart w:id="109" w:name="_Toc182922568"/>
      <w:r>
        <w:rPr>
          <w:rFonts w:hint="eastAsia"/>
        </w:rPr>
        <w:t>场地管理</w:t>
      </w:r>
      <w:bookmarkEnd w:id="105"/>
      <w:bookmarkEnd w:id="106"/>
      <w:bookmarkEnd w:id="107"/>
      <w:bookmarkEnd w:id="108"/>
      <w:bookmarkEnd w:id="109"/>
    </w:p>
    <w:p w14:paraId="6410234D">
      <w:pPr>
        <w:pStyle w:val="65"/>
        <w:spacing w:before="156" w:after="156"/>
        <w:rPr>
          <w:rFonts w:hint="eastAsia" w:ascii="宋体" w:hAnsi="宋体" w:eastAsia="宋体"/>
        </w:rPr>
      </w:pPr>
      <w:bookmarkStart w:id="110" w:name="_Toc182156336"/>
      <w:r>
        <w:rPr>
          <w:rFonts w:hint="eastAsia" w:ascii="宋体" w:hAnsi="宋体" w:eastAsia="宋体"/>
        </w:rPr>
        <w:t>应合理划分不同的功能区域，如咨询指导区、操作服务区、休息区等。各功能区域应相互独立，注重保护服务对象的隐私。</w:t>
      </w:r>
      <w:bookmarkEnd w:id="110"/>
    </w:p>
    <w:p w14:paraId="5A273D94">
      <w:pPr>
        <w:pStyle w:val="65"/>
        <w:spacing w:before="156" w:after="156"/>
        <w:rPr>
          <w:rFonts w:hint="eastAsia" w:ascii="宋体" w:hAnsi="宋体" w:eastAsia="宋体"/>
        </w:rPr>
      </w:pPr>
      <w:bookmarkStart w:id="111" w:name="_Toc182156337"/>
      <w:r>
        <w:rPr>
          <w:rFonts w:hint="eastAsia" w:ascii="宋体" w:hAnsi="宋体" w:eastAsia="宋体"/>
        </w:rPr>
        <w:t>诊疗室可以是独立的诊间，配备诊断床、血压计、叩诊锤等必要的体查器具，提供体格检查和综合评估。</w:t>
      </w:r>
      <w:bookmarkEnd w:id="111"/>
    </w:p>
    <w:p w14:paraId="2E72333B">
      <w:pPr>
        <w:pStyle w:val="65"/>
        <w:spacing w:before="156" w:after="156"/>
        <w:rPr>
          <w:rFonts w:hint="eastAsia" w:ascii="宋体" w:hAnsi="宋体" w:eastAsia="宋体"/>
        </w:rPr>
      </w:pPr>
      <w:bookmarkStart w:id="112" w:name="_Toc182156338"/>
      <w:r>
        <w:rPr>
          <w:rFonts w:hint="eastAsia" w:ascii="宋体" w:hAnsi="宋体" w:eastAsia="宋体"/>
        </w:rPr>
        <w:t>宜设置远程会诊室，配备相应的远程设备，保证远程医疗时语音、图像以及病历资料能够实时连接和共享。</w:t>
      </w:r>
      <w:bookmarkEnd w:id="112"/>
    </w:p>
    <w:p w14:paraId="6E241774">
      <w:pPr>
        <w:pStyle w:val="65"/>
        <w:spacing w:before="156" w:after="156"/>
        <w:rPr>
          <w:rFonts w:hint="eastAsia" w:ascii="宋体" w:hAnsi="宋体" w:eastAsia="宋体"/>
        </w:rPr>
      </w:pPr>
      <w:bookmarkStart w:id="113" w:name="_Toc182156339"/>
      <w:r>
        <w:rPr>
          <w:rFonts w:hint="eastAsia" w:ascii="宋体" w:hAnsi="宋体" w:eastAsia="宋体"/>
        </w:rPr>
        <w:t>应构建一个连接服务对象、家属、基层医疗机构、上级医疗机构的智慧康养平台，配备相关穿戴设备，实现健康数据的远程监测与诊疗。</w:t>
      </w:r>
      <w:bookmarkEnd w:id="113"/>
    </w:p>
    <w:p w14:paraId="79A49FBE">
      <w:pPr>
        <w:pStyle w:val="105"/>
        <w:spacing w:before="156" w:after="156"/>
      </w:pPr>
      <w:bookmarkStart w:id="114" w:name="_Toc182922569"/>
      <w:bookmarkStart w:id="115" w:name="_Toc182156340"/>
      <w:bookmarkStart w:id="116" w:name="_Toc182898250"/>
      <w:bookmarkStart w:id="117" w:name="_Toc183000655"/>
      <w:bookmarkStart w:id="118" w:name="_Toc182156400"/>
      <w:r>
        <w:rPr>
          <w:rFonts w:hint="eastAsia"/>
        </w:rPr>
        <w:t>设备管理</w:t>
      </w:r>
      <w:bookmarkEnd w:id="114"/>
      <w:bookmarkEnd w:id="115"/>
      <w:bookmarkEnd w:id="116"/>
      <w:bookmarkEnd w:id="117"/>
      <w:bookmarkEnd w:id="118"/>
    </w:p>
    <w:p w14:paraId="3B913DBA">
      <w:pPr>
        <w:pStyle w:val="65"/>
        <w:spacing w:before="156" w:after="156"/>
        <w:rPr>
          <w:rFonts w:hint="eastAsia" w:ascii="宋体" w:hAnsi="宋体" w:eastAsia="宋体"/>
        </w:rPr>
      </w:pPr>
      <w:bookmarkStart w:id="119" w:name="_Toc182156341"/>
      <w:r>
        <w:rPr>
          <w:rFonts w:ascii="宋体" w:hAnsi="宋体" w:eastAsia="宋体"/>
        </w:rPr>
        <w:t>应符合国家相关标准和规定，具有合法的生产许可证和产品质量证明</w:t>
      </w:r>
      <w:r>
        <w:rPr>
          <w:rFonts w:hint="eastAsia" w:ascii="宋体" w:hAnsi="宋体" w:eastAsia="宋体"/>
        </w:rPr>
        <w:t>，其中医疗器械应包括医疗器械产品注册证、医疗器械生产许可证和医疗器械经营许可证</w:t>
      </w:r>
      <w:r>
        <w:rPr>
          <w:rFonts w:ascii="宋体" w:hAnsi="宋体" w:eastAsia="宋体"/>
        </w:rPr>
        <w:t>。</w:t>
      </w:r>
      <w:bookmarkEnd w:id="119"/>
    </w:p>
    <w:p w14:paraId="4DF9CC3B">
      <w:pPr>
        <w:pStyle w:val="65"/>
        <w:spacing w:before="156" w:after="156"/>
        <w:rPr>
          <w:rFonts w:hint="eastAsia" w:ascii="宋体" w:hAnsi="宋体" w:eastAsia="宋体"/>
        </w:rPr>
      </w:pPr>
      <w:bookmarkStart w:id="120" w:name="_Toc182156342"/>
      <w:r>
        <w:rPr>
          <w:rFonts w:hint="eastAsia" w:ascii="宋体" w:hAnsi="宋体" w:eastAsia="宋体"/>
        </w:rPr>
        <w:t>应进行备案登记，定点放置、专人管理，严格按照说明书规范使用。</w:t>
      </w:r>
      <w:bookmarkEnd w:id="120"/>
    </w:p>
    <w:p w14:paraId="031CCE1A">
      <w:pPr>
        <w:pStyle w:val="65"/>
        <w:spacing w:before="156" w:after="156"/>
        <w:rPr>
          <w:rFonts w:hint="eastAsia" w:ascii="宋体" w:hAnsi="宋体" w:eastAsia="宋体"/>
        </w:rPr>
      </w:pPr>
      <w:bookmarkStart w:id="121" w:name="_Toc182156343"/>
      <w:r>
        <w:rPr>
          <w:rFonts w:hint="eastAsia" w:ascii="宋体" w:hAnsi="宋体" w:eastAsia="宋体"/>
        </w:rPr>
        <w:t>应具有检测记录、年检合格记录、维修记录、定期校正记录。</w:t>
      </w:r>
      <w:bookmarkEnd w:id="121"/>
    </w:p>
    <w:p w14:paraId="031B66AF">
      <w:pPr>
        <w:pStyle w:val="65"/>
        <w:spacing w:before="156" w:after="156"/>
        <w:rPr>
          <w:rFonts w:hint="eastAsia" w:ascii="宋体" w:hAnsi="宋体" w:eastAsia="宋体"/>
        </w:rPr>
      </w:pPr>
      <w:bookmarkStart w:id="122" w:name="_Toc182156344"/>
      <w:r>
        <w:rPr>
          <w:rFonts w:hint="eastAsia" w:ascii="宋体" w:hAnsi="宋体" w:eastAsia="宋体"/>
        </w:rPr>
        <w:t>宜设置必要的安全防护措施，如防护罩、安全警示标识等。</w:t>
      </w:r>
      <w:bookmarkEnd w:id="122"/>
    </w:p>
    <w:p w14:paraId="4D3EF3A2">
      <w:pPr>
        <w:pStyle w:val="65"/>
        <w:spacing w:before="156" w:after="156"/>
      </w:pPr>
      <w:bookmarkStart w:id="123" w:name="_Toc182156345"/>
      <w:r>
        <w:rPr>
          <w:rFonts w:hint="eastAsia" w:ascii="宋体" w:hAnsi="宋体" w:eastAsia="宋体"/>
        </w:rPr>
        <w:t>应丰富智能康养服务产品供给，针对家庭、社区、机构等不同应用环境，发展健康管理类可穿戴设备、便携式健康监测设备、自助式健康检测设备、智能监护设备、家庭服务机器人等。</w:t>
      </w:r>
      <w:bookmarkEnd w:id="123"/>
      <w:r>
        <w:rPr>
          <w:rFonts w:hint="eastAsia"/>
        </w:rPr>
        <w:t xml:space="preserve"> </w:t>
      </w:r>
    </w:p>
    <w:p w14:paraId="03157733">
      <w:pPr>
        <w:pStyle w:val="105"/>
        <w:spacing w:before="156" w:after="156"/>
      </w:pPr>
      <w:bookmarkStart w:id="124" w:name="_Toc182156346"/>
      <w:bookmarkStart w:id="125" w:name="_Toc182156401"/>
      <w:bookmarkStart w:id="126" w:name="_Toc183000656"/>
      <w:bookmarkStart w:id="127" w:name="_Toc182922570"/>
      <w:bookmarkStart w:id="128" w:name="_Toc182898251"/>
      <w:r>
        <w:rPr>
          <w:rFonts w:hint="eastAsia"/>
        </w:rPr>
        <w:t>信息安全管理</w:t>
      </w:r>
      <w:bookmarkEnd w:id="124"/>
      <w:bookmarkEnd w:id="125"/>
      <w:bookmarkEnd w:id="126"/>
      <w:bookmarkEnd w:id="127"/>
      <w:bookmarkEnd w:id="128"/>
    </w:p>
    <w:p w14:paraId="698A9A32">
      <w:pPr>
        <w:pStyle w:val="65"/>
        <w:spacing w:before="156" w:after="156"/>
        <w:rPr>
          <w:rFonts w:hint="eastAsia" w:ascii="宋体" w:hAnsi="宋体" w:eastAsia="宋体"/>
        </w:rPr>
      </w:pPr>
      <w:bookmarkStart w:id="129" w:name="_Toc182156347"/>
      <w:r>
        <w:rPr>
          <w:rFonts w:hint="eastAsia" w:ascii="宋体" w:hAnsi="宋体" w:eastAsia="宋体"/>
        </w:rPr>
        <w:t>应建立信息数据安全管理体系，制定中医智慧康养信息保护安全标准及隐私数据管理和使用规范，信息安全应符合</w:t>
      </w:r>
      <w:bookmarkStart w:id="130" w:name="OLE_LINK2"/>
      <w:r>
        <w:rPr>
          <w:rFonts w:hint="eastAsia" w:ascii="宋体" w:hAnsi="宋体" w:eastAsia="宋体"/>
        </w:rPr>
        <w:t>GB/T 20271</w:t>
      </w:r>
      <w:bookmarkEnd w:id="130"/>
      <w:r>
        <w:rPr>
          <w:rFonts w:hint="eastAsia" w:ascii="宋体" w:hAnsi="宋体" w:eastAsia="宋体"/>
        </w:rPr>
        <w:t>的要求。</w:t>
      </w:r>
      <w:bookmarkEnd w:id="129"/>
    </w:p>
    <w:p w14:paraId="054A52A0">
      <w:pPr>
        <w:pStyle w:val="65"/>
        <w:spacing w:before="156" w:after="156"/>
        <w:rPr>
          <w:rFonts w:hint="eastAsia" w:ascii="宋体" w:hAnsi="宋体" w:eastAsia="宋体"/>
        </w:rPr>
      </w:pPr>
      <w:bookmarkStart w:id="131" w:name="_Toc182156348"/>
      <w:r>
        <w:rPr>
          <w:rFonts w:hint="eastAsia" w:ascii="宋体" w:hAnsi="宋体" w:eastAsia="宋体"/>
        </w:rPr>
        <w:t>应设置专职人员负责智慧康养平台用户端、医生端管理，随时处理平台出现突发的异常运行情况。</w:t>
      </w:r>
      <w:bookmarkEnd w:id="131"/>
    </w:p>
    <w:p w14:paraId="0F50822B">
      <w:pPr>
        <w:pStyle w:val="65"/>
        <w:spacing w:before="156" w:after="156"/>
        <w:rPr>
          <w:rFonts w:hint="eastAsia" w:ascii="宋体" w:hAnsi="宋体" w:eastAsia="宋体"/>
        </w:rPr>
      </w:pPr>
      <w:bookmarkStart w:id="132" w:name="_Toc182156349"/>
      <w:r>
        <w:rPr>
          <w:rFonts w:hint="eastAsia" w:ascii="宋体" w:hAnsi="宋体" w:eastAsia="宋体"/>
        </w:rPr>
        <w:t>应以信息安全为先，通过知情同意书将相关的数据安全问题切实地告知用户，加强个人信息保护。</w:t>
      </w:r>
      <w:bookmarkEnd w:id="132"/>
      <w:r>
        <w:rPr>
          <w:rFonts w:hint="eastAsia" w:ascii="宋体" w:hAnsi="宋体" w:eastAsia="宋体"/>
        </w:rPr>
        <w:t xml:space="preserve"> </w:t>
      </w:r>
    </w:p>
    <w:p w14:paraId="1E9E6E62">
      <w:pPr>
        <w:pStyle w:val="65"/>
        <w:spacing w:before="156" w:after="156"/>
        <w:rPr>
          <w:rFonts w:hint="eastAsia" w:ascii="宋体" w:hAnsi="宋体" w:eastAsia="宋体"/>
        </w:rPr>
      </w:pPr>
      <w:bookmarkStart w:id="133" w:name="_Toc182156350"/>
      <w:r>
        <w:rPr>
          <w:rFonts w:hint="eastAsia" w:ascii="宋体" w:hAnsi="宋体" w:eastAsia="宋体"/>
        </w:rPr>
        <w:t>宜建设统一规范、互联互通的健康养老信息共享系统，积极推动各类康养机构和服务人群之间的信息共享、深度开发和合理利用。</w:t>
      </w:r>
      <w:bookmarkEnd w:id="133"/>
    </w:p>
    <w:p w14:paraId="3EFD795F">
      <w:pPr>
        <w:pStyle w:val="65"/>
        <w:spacing w:before="156" w:after="156"/>
        <w:rPr>
          <w:rFonts w:hint="eastAsia" w:ascii="宋体" w:hAnsi="宋体" w:eastAsia="宋体"/>
        </w:rPr>
      </w:pPr>
      <w:bookmarkStart w:id="134" w:name="_Toc182156351"/>
      <w:r>
        <w:rPr>
          <w:rFonts w:hint="eastAsia" w:ascii="宋体" w:hAnsi="宋体" w:eastAsia="宋体"/>
        </w:rPr>
        <w:t>应设置信息技术系统规范操作说明，确保信息化平台数据全面完整，实时更新，加强智慧康养服务网络建设和网络安全保障。</w:t>
      </w:r>
      <w:bookmarkEnd w:id="134"/>
    </w:p>
    <w:p w14:paraId="1D260E33">
      <w:pPr>
        <w:pStyle w:val="104"/>
        <w:spacing w:before="312" w:after="312"/>
      </w:pPr>
      <w:bookmarkStart w:id="135" w:name="_Toc182898252"/>
      <w:bookmarkStart w:id="136" w:name="_Toc182922571"/>
      <w:bookmarkStart w:id="137" w:name="_Toc182156402"/>
      <w:bookmarkStart w:id="138" w:name="_Toc183000657"/>
      <w:bookmarkStart w:id="139" w:name="_Toc182156352"/>
      <w:r>
        <w:rPr>
          <w:rFonts w:hint="eastAsia"/>
        </w:rPr>
        <w:t>人员管理</w:t>
      </w:r>
      <w:bookmarkEnd w:id="135"/>
      <w:bookmarkEnd w:id="136"/>
      <w:bookmarkEnd w:id="137"/>
      <w:bookmarkEnd w:id="138"/>
      <w:bookmarkEnd w:id="139"/>
    </w:p>
    <w:p w14:paraId="57FB8874">
      <w:pPr>
        <w:pStyle w:val="105"/>
        <w:spacing w:before="156" w:after="156"/>
      </w:pPr>
      <w:bookmarkStart w:id="140" w:name="_Toc182156403"/>
      <w:bookmarkStart w:id="141" w:name="_Toc183000658"/>
      <w:bookmarkStart w:id="142" w:name="_Toc182156353"/>
      <w:bookmarkStart w:id="143" w:name="_Toc182922572"/>
      <w:bookmarkStart w:id="144" w:name="_Toc182898253"/>
      <w:r>
        <w:rPr>
          <w:rFonts w:hint="eastAsia"/>
        </w:rPr>
        <w:t>岗位设置</w:t>
      </w:r>
      <w:bookmarkEnd w:id="140"/>
      <w:bookmarkEnd w:id="141"/>
      <w:bookmarkEnd w:id="142"/>
      <w:bookmarkEnd w:id="143"/>
      <w:bookmarkEnd w:id="144"/>
    </w:p>
    <w:p w14:paraId="67AEA062">
      <w:pPr>
        <w:pStyle w:val="65"/>
        <w:spacing w:before="156" w:after="156"/>
        <w:rPr>
          <w:rFonts w:hint="eastAsia" w:ascii="宋体" w:hAnsi="宋体" w:eastAsia="宋体"/>
        </w:rPr>
      </w:pPr>
      <w:bookmarkStart w:id="145" w:name="_Toc182156354"/>
      <w:r>
        <w:rPr>
          <w:rFonts w:hint="eastAsia" w:ascii="宋体" w:hAnsi="宋体" w:eastAsia="宋体"/>
        </w:rPr>
        <w:t>应组建与中医智慧康养服务规模和要求相适应的专业人才队伍，包括但不限于管理人员、专科医生、中医医师、护理人员、营养师、中医康养师、心理咨询师、信息技术人员等。</w:t>
      </w:r>
      <w:bookmarkEnd w:id="145"/>
    </w:p>
    <w:p w14:paraId="314BAC10">
      <w:pPr>
        <w:pStyle w:val="65"/>
        <w:spacing w:before="156" w:after="156"/>
        <w:rPr>
          <w:rFonts w:hint="eastAsia" w:ascii="宋体" w:hAnsi="宋体" w:eastAsia="宋体"/>
        </w:rPr>
      </w:pPr>
      <w:bookmarkStart w:id="146" w:name="_Toc182156355"/>
      <w:r>
        <w:rPr>
          <w:rFonts w:hint="eastAsia" w:ascii="宋体" w:hAnsi="宋体" w:eastAsia="宋体"/>
        </w:rPr>
        <w:t>宜按职工总人数不少于10%配备管理人员。</w:t>
      </w:r>
      <w:bookmarkEnd w:id="146"/>
    </w:p>
    <w:p w14:paraId="3F14C132">
      <w:pPr>
        <w:pStyle w:val="65"/>
        <w:spacing w:before="156" w:after="156"/>
        <w:rPr>
          <w:rFonts w:hint="eastAsia" w:ascii="宋体" w:hAnsi="宋体" w:eastAsia="宋体"/>
        </w:rPr>
      </w:pPr>
      <w:bookmarkStart w:id="147" w:name="_Toc182156356"/>
      <w:r>
        <w:rPr>
          <w:rFonts w:hint="eastAsia" w:ascii="宋体" w:hAnsi="宋体" w:eastAsia="宋体"/>
        </w:rPr>
        <w:t>应根据机构规模、服务对象能力状况、数量、服务需求、功能定位等进行人员数量的合理配备，达到满足各项技能服务工作开展的要求。</w:t>
      </w:r>
      <w:bookmarkEnd w:id="147"/>
    </w:p>
    <w:p w14:paraId="1A447DC6">
      <w:pPr>
        <w:pStyle w:val="105"/>
        <w:spacing w:before="156" w:after="156"/>
      </w:pPr>
      <w:bookmarkStart w:id="148" w:name="_Toc183000659"/>
      <w:bookmarkStart w:id="149" w:name="_Toc182156357"/>
      <w:bookmarkStart w:id="150" w:name="_Toc182898254"/>
      <w:bookmarkStart w:id="151" w:name="_Toc182156404"/>
      <w:bookmarkStart w:id="152" w:name="_Toc182922573"/>
      <w:r>
        <w:rPr>
          <w:rFonts w:hint="eastAsia"/>
        </w:rPr>
        <w:t>人员要求</w:t>
      </w:r>
      <w:bookmarkEnd w:id="148"/>
      <w:bookmarkEnd w:id="149"/>
      <w:bookmarkEnd w:id="150"/>
      <w:bookmarkEnd w:id="151"/>
      <w:bookmarkEnd w:id="152"/>
    </w:p>
    <w:p w14:paraId="5099C9E7">
      <w:pPr>
        <w:pStyle w:val="65"/>
        <w:spacing w:before="156" w:after="156"/>
        <w:rPr>
          <w:rFonts w:hint="eastAsia" w:ascii="宋体" w:hAnsi="宋体" w:eastAsia="宋体"/>
        </w:rPr>
      </w:pPr>
      <w:bookmarkStart w:id="153" w:name="_Toc182156358"/>
      <w:r>
        <w:rPr>
          <w:rFonts w:hint="eastAsia" w:ascii="宋体" w:hAnsi="宋体" w:eastAsia="宋体"/>
        </w:rPr>
        <w:t>中医智慧康养服务人员应接受专业培训，持证上岗。</w:t>
      </w:r>
      <w:bookmarkEnd w:id="153"/>
    </w:p>
    <w:p w14:paraId="36E38CDE">
      <w:pPr>
        <w:pStyle w:val="65"/>
        <w:spacing w:before="156" w:after="156"/>
        <w:rPr>
          <w:rFonts w:hint="eastAsia" w:ascii="宋体" w:hAnsi="宋体" w:eastAsia="宋体"/>
        </w:rPr>
      </w:pPr>
      <w:bookmarkStart w:id="154" w:name="_Toc182156359"/>
      <w:r>
        <w:rPr>
          <w:rFonts w:hint="eastAsia" w:ascii="宋体" w:hAnsi="宋体" w:eastAsia="宋体"/>
        </w:rPr>
        <w:t>医务人员应系统接受中医基础知识与技能培训，能够为患者提供具有中医药特色的护理服务和健康指导。</w:t>
      </w:r>
      <w:bookmarkEnd w:id="154"/>
    </w:p>
    <w:p w14:paraId="529FF458">
      <w:pPr>
        <w:pStyle w:val="65"/>
        <w:spacing w:before="156" w:after="156"/>
        <w:rPr>
          <w:rFonts w:hint="eastAsia" w:ascii="宋体" w:hAnsi="宋体" w:eastAsia="宋体"/>
        </w:rPr>
      </w:pPr>
      <w:bookmarkStart w:id="155" w:name="_Toc182156360"/>
      <w:r>
        <w:rPr>
          <w:rFonts w:hint="eastAsia" w:ascii="宋体" w:hAnsi="宋体" w:eastAsia="宋体"/>
        </w:rPr>
        <w:t>中医智慧康养服务人员的职责应包括但不限于：</w:t>
      </w:r>
      <w:r>
        <w:rPr>
          <w:rFonts w:hAnsi="黑体"/>
        </w:rPr>
        <w:br w:type="textWrapping"/>
      </w:r>
      <w:r>
        <w:rPr>
          <w:rFonts w:hint="eastAsia"/>
        </w:rPr>
        <w:t xml:space="preserve">   </w:t>
      </w:r>
      <w:r>
        <w:rPr>
          <w:rFonts w:hint="eastAsia" w:ascii="宋体" w:hAnsi="宋体" w:eastAsia="宋体"/>
        </w:rPr>
        <w:t xml:space="preserve"> a）管理岗位应承担领导职责或管理任务，负责质量监管、人员培训、各部门组织协调等；</w:t>
      </w:r>
      <w:bookmarkEnd w:id="155"/>
      <w:r>
        <w:rPr>
          <w:rFonts w:hint="eastAsia" w:ascii="宋体" w:hAnsi="宋体" w:eastAsia="宋体"/>
        </w:rPr>
        <w:t xml:space="preserve"> </w:t>
      </w:r>
    </w:p>
    <w:p w14:paraId="5A727F93">
      <w:pPr>
        <w:pStyle w:val="56"/>
        <w:spacing w:before="156" w:beforeLines="50" w:after="156" w:afterLines="50"/>
        <w:ind w:firstLine="420"/>
        <w:rPr>
          <w:rFonts w:hint="eastAsia" w:hAnsi="宋体"/>
        </w:rPr>
      </w:pPr>
      <w:r>
        <w:rPr>
          <w:rFonts w:hint="eastAsia" w:hAnsi="宋体"/>
        </w:rPr>
        <w:t>b）专科医生应负责服务对象的健康管理、医疗相关服务实施，</w:t>
      </w:r>
      <w:r>
        <w:rPr>
          <w:rFonts w:hAnsi="宋体"/>
        </w:rPr>
        <w:t>密切关注</w:t>
      </w:r>
      <w:r>
        <w:rPr>
          <w:rFonts w:hint="eastAsia" w:hAnsi="宋体"/>
        </w:rPr>
        <w:t>服务对象</w:t>
      </w:r>
      <w:r>
        <w:rPr>
          <w:rFonts w:hAnsi="宋体"/>
        </w:rPr>
        <w:t>的</w:t>
      </w:r>
      <w:r>
        <w:rPr>
          <w:rFonts w:hint="eastAsia" w:hAnsi="宋体"/>
        </w:rPr>
        <w:t>指标</w:t>
      </w:r>
      <w:r>
        <w:rPr>
          <w:rFonts w:hAnsi="宋体"/>
        </w:rPr>
        <w:t>变化，及时</w:t>
      </w:r>
      <w:r>
        <w:rPr>
          <w:rFonts w:hint="eastAsia" w:hAnsi="宋体"/>
          <w:lang w:eastAsia="zh-CN"/>
        </w:rPr>
        <w:t>处理健康问题</w:t>
      </w:r>
      <w:r>
        <w:rPr>
          <w:rFonts w:hint="eastAsia" w:hAnsi="宋体"/>
        </w:rPr>
        <w:t>；</w:t>
      </w:r>
    </w:p>
    <w:p w14:paraId="3FC37A48">
      <w:pPr>
        <w:pStyle w:val="56"/>
        <w:spacing w:before="156" w:beforeLines="50" w:after="156" w:afterLines="50"/>
        <w:ind w:firstLine="420"/>
        <w:rPr>
          <w:rFonts w:hAnsi="宋体"/>
        </w:rPr>
      </w:pPr>
      <w:r>
        <w:rPr>
          <w:rFonts w:hint="eastAsia" w:hAnsi="宋体"/>
        </w:rPr>
        <w:t>c）中医医师应运用中医理论和方法对服务对象进行诊断和治疗</w:t>
      </w:r>
      <w:r>
        <w:rPr>
          <w:rFonts w:hint="eastAsia" w:hAnsi="宋体"/>
          <w:lang w:eastAsia="zh-CN"/>
        </w:rPr>
        <w:t>指导</w:t>
      </w:r>
      <w:r>
        <w:rPr>
          <w:rFonts w:hint="eastAsia" w:hAnsi="宋体"/>
        </w:rPr>
        <w:t>，</w:t>
      </w:r>
      <w:r>
        <w:rPr>
          <w:rFonts w:hAnsi="宋体"/>
        </w:rPr>
        <w:t>制定个性化的中医康养方案</w:t>
      </w:r>
      <w:r>
        <w:rPr>
          <w:rFonts w:hint="eastAsia" w:hAnsi="宋体"/>
        </w:rPr>
        <w:t>。</w:t>
      </w:r>
    </w:p>
    <w:p w14:paraId="2E4C78D7">
      <w:pPr>
        <w:pStyle w:val="56"/>
        <w:spacing w:before="156" w:beforeLines="50" w:after="156" w:afterLines="50"/>
        <w:ind w:firstLine="420"/>
        <w:rPr>
          <w:rFonts w:hint="eastAsia" w:hAnsi="宋体"/>
        </w:rPr>
      </w:pPr>
      <w:r>
        <w:rPr>
          <w:rFonts w:hint="eastAsia" w:hAnsi="宋体"/>
        </w:rPr>
        <w:t>d） 护理人员应提供基本的护理服务指导，协助服务对象</w:t>
      </w:r>
      <w:r>
        <w:rPr>
          <w:rFonts w:hint="eastAsia" w:hAnsi="宋体"/>
          <w:lang w:eastAsia="zh-CN"/>
        </w:rPr>
        <w:t>保持</w:t>
      </w:r>
      <w:r>
        <w:rPr>
          <w:rFonts w:hint="eastAsia" w:hAnsi="宋体"/>
        </w:rPr>
        <w:t>健康/促进康复。</w:t>
      </w:r>
    </w:p>
    <w:p w14:paraId="6B02DA77">
      <w:pPr>
        <w:pStyle w:val="56"/>
        <w:spacing w:before="156" w:beforeLines="50" w:after="156" w:afterLines="50"/>
        <w:ind w:firstLine="420"/>
        <w:rPr>
          <w:rFonts w:hint="eastAsia" w:hAnsi="宋体"/>
        </w:rPr>
      </w:pPr>
      <w:r>
        <w:rPr>
          <w:rFonts w:hint="eastAsia" w:hAnsi="宋体"/>
        </w:rPr>
        <w:t>e）心理咨询师应</w:t>
      </w:r>
      <w:r>
        <w:rPr>
          <w:rFonts w:hAnsi="宋体"/>
        </w:rPr>
        <w:t>提供心理咨询服务</w:t>
      </w:r>
      <w:r>
        <w:rPr>
          <w:rFonts w:hint="eastAsia" w:hAnsi="宋体"/>
        </w:rPr>
        <w:t>，</w:t>
      </w:r>
      <w:r>
        <w:rPr>
          <w:rFonts w:hAnsi="宋体"/>
        </w:rPr>
        <w:t>评估服务对象的心理状态，</w:t>
      </w:r>
      <w:r>
        <w:rPr>
          <w:rFonts w:hint="eastAsia" w:hAnsi="宋体"/>
        </w:rPr>
        <w:t>提供必要的心理支持</w:t>
      </w:r>
      <w:r>
        <w:rPr>
          <w:rFonts w:hint="eastAsia" w:hAnsi="宋体"/>
          <w:lang w:eastAsia="zh-CN"/>
        </w:rPr>
        <w:t>，必要时</w:t>
      </w:r>
      <w:r>
        <w:rPr>
          <w:rFonts w:hAnsi="宋体"/>
        </w:rPr>
        <w:t>制定个性化的心理干预方案</w:t>
      </w:r>
      <w:r>
        <w:rPr>
          <w:rFonts w:hint="eastAsia" w:hAnsi="宋体"/>
        </w:rPr>
        <w:t>；</w:t>
      </w:r>
      <w:bookmarkStart w:id="194" w:name="_GoBack"/>
      <w:bookmarkEnd w:id="194"/>
    </w:p>
    <w:p w14:paraId="7B607B91">
      <w:pPr>
        <w:pStyle w:val="56"/>
        <w:spacing w:before="156" w:beforeLines="50" w:after="156" w:afterLines="50"/>
        <w:ind w:firstLine="420"/>
        <w:rPr>
          <w:rFonts w:hAnsi="宋体"/>
        </w:rPr>
      </w:pPr>
      <w:r>
        <w:rPr>
          <w:rFonts w:hint="eastAsia" w:hAnsi="宋体"/>
        </w:rPr>
        <w:t>f）中医康养师应熟练掌握针灸、推拿、艾灸等中医适宜技术，能够合理选择并积极应用多种中医综合治疗手段开展中医康复治疗。</w:t>
      </w:r>
    </w:p>
    <w:p w14:paraId="75BB6E31">
      <w:pPr>
        <w:pStyle w:val="56"/>
        <w:spacing w:before="156" w:beforeLines="50" w:after="156" w:afterLines="50"/>
        <w:ind w:firstLine="420"/>
        <w:rPr>
          <w:rFonts w:hAnsi="宋体"/>
        </w:rPr>
      </w:pPr>
      <w:r>
        <w:rPr>
          <w:rFonts w:hint="eastAsia" w:hAnsi="宋体"/>
        </w:rPr>
        <w:t>g）营养师应</w:t>
      </w:r>
      <w:r>
        <w:rPr>
          <w:rFonts w:hAnsi="宋体"/>
        </w:rPr>
        <w:t>提供营养咨询和指导</w:t>
      </w:r>
      <w:r>
        <w:rPr>
          <w:rFonts w:hint="eastAsia" w:hAnsi="宋体"/>
        </w:rPr>
        <w:t>，</w:t>
      </w:r>
      <w:r>
        <w:rPr>
          <w:rFonts w:hAnsi="宋体"/>
        </w:rPr>
        <w:t>监测和评估营养干预的效果，及时调整饮食计划。</w:t>
      </w:r>
    </w:p>
    <w:p w14:paraId="131A7694">
      <w:pPr>
        <w:pStyle w:val="56"/>
        <w:spacing w:before="156" w:beforeLines="50" w:after="156" w:afterLines="50"/>
        <w:ind w:firstLine="420"/>
        <w:rPr>
          <w:rFonts w:hint="eastAsia" w:hAnsi="宋体"/>
        </w:rPr>
      </w:pPr>
      <w:r>
        <w:rPr>
          <w:rFonts w:hint="eastAsia" w:hAnsi="宋体"/>
        </w:rPr>
        <w:t>h）信息技术人员应进行系统维护与管理，包括</w:t>
      </w:r>
      <w:r>
        <w:rPr>
          <w:rFonts w:hAnsi="宋体"/>
        </w:rPr>
        <w:t>监督</w:t>
      </w:r>
      <w:r>
        <w:rPr>
          <w:rFonts w:hint="eastAsia" w:hAnsi="宋体"/>
        </w:rPr>
        <w:t>平台</w:t>
      </w:r>
      <w:r>
        <w:rPr>
          <w:rFonts w:hAnsi="宋体"/>
        </w:rPr>
        <w:t>网络安全</w:t>
      </w:r>
      <w:r>
        <w:rPr>
          <w:rFonts w:hint="eastAsia" w:hAnsi="宋体"/>
        </w:rPr>
        <w:t>、维护数据安全、项目的开发与实施。</w:t>
      </w:r>
    </w:p>
    <w:p w14:paraId="7CAD5CB9">
      <w:pPr>
        <w:pStyle w:val="104"/>
        <w:spacing w:before="312" w:after="312"/>
      </w:pPr>
      <w:bookmarkStart w:id="156" w:name="_Toc182922574"/>
      <w:bookmarkStart w:id="157" w:name="_Toc182898255"/>
      <w:bookmarkStart w:id="158" w:name="_Toc182156405"/>
      <w:bookmarkStart w:id="159" w:name="_Toc183000660"/>
      <w:bookmarkStart w:id="160" w:name="_Toc182156361"/>
      <w:r>
        <w:rPr>
          <w:rFonts w:hint="eastAsia"/>
        </w:rPr>
        <w:t>服务管理</w:t>
      </w:r>
      <w:bookmarkEnd w:id="156"/>
      <w:bookmarkEnd w:id="157"/>
      <w:bookmarkEnd w:id="158"/>
      <w:bookmarkEnd w:id="159"/>
      <w:bookmarkEnd w:id="160"/>
    </w:p>
    <w:p w14:paraId="21CB2C9B">
      <w:pPr>
        <w:pStyle w:val="105"/>
        <w:spacing w:before="156" w:after="156"/>
        <w:rPr>
          <w:b/>
          <w:bCs/>
        </w:rPr>
      </w:pPr>
      <w:bookmarkStart w:id="161" w:name="_Toc182156406"/>
      <w:bookmarkStart w:id="162" w:name="_Toc182156362"/>
      <w:bookmarkStart w:id="163" w:name="_Toc183000661"/>
      <w:bookmarkStart w:id="164" w:name="_Toc182922575"/>
      <w:bookmarkStart w:id="165" w:name="_Toc182898256"/>
      <w:r>
        <w:rPr>
          <w:rFonts w:hint="eastAsia"/>
        </w:rPr>
        <w:t>管理制度</w:t>
      </w:r>
      <w:bookmarkEnd w:id="161"/>
      <w:bookmarkEnd w:id="162"/>
      <w:bookmarkEnd w:id="163"/>
      <w:bookmarkEnd w:id="164"/>
      <w:bookmarkEnd w:id="165"/>
      <w:r>
        <w:rPr>
          <w:rFonts w:hint="eastAsia"/>
          <w:b/>
          <w:bCs/>
        </w:rPr>
        <w:t xml:space="preserve"> </w:t>
      </w:r>
    </w:p>
    <w:p w14:paraId="0A7AF27B">
      <w:pPr>
        <w:pStyle w:val="65"/>
        <w:spacing w:before="156" w:after="156"/>
        <w:rPr>
          <w:rFonts w:hint="eastAsia" w:ascii="宋体" w:hAnsi="宋体" w:eastAsia="宋体"/>
        </w:rPr>
      </w:pPr>
      <w:bookmarkStart w:id="166" w:name="_Toc182156363"/>
      <w:r>
        <w:rPr>
          <w:rFonts w:hint="eastAsia" w:ascii="宋体" w:hAnsi="宋体" w:eastAsia="宋体"/>
        </w:rPr>
        <w:t>应建立中医智慧康养管理组织架构，制定各岗位工作内容及流程，明确工作标准。</w:t>
      </w:r>
      <w:bookmarkEnd w:id="166"/>
    </w:p>
    <w:p w14:paraId="29B506B1">
      <w:pPr>
        <w:pStyle w:val="65"/>
        <w:spacing w:before="156" w:after="156"/>
        <w:rPr>
          <w:rFonts w:hint="eastAsia" w:ascii="宋体" w:hAnsi="宋体" w:eastAsia="宋体"/>
        </w:rPr>
      </w:pPr>
      <w:bookmarkStart w:id="167" w:name="_Toc182156364"/>
      <w:r>
        <w:rPr>
          <w:rFonts w:hint="eastAsia" w:ascii="宋体" w:hAnsi="宋体" w:eastAsia="宋体"/>
        </w:rPr>
        <w:t>应制定中医智慧康养工作流程规范和评价指标体系。</w:t>
      </w:r>
      <w:bookmarkEnd w:id="167"/>
    </w:p>
    <w:p w14:paraId="20CE7C02">
      <w:pPr>
        <w:pStyle w:val="65"/>
        <w:spacing w:before="156" w:after="156"/>
        <w:rPr>
          <w:rFonts w:hint="eastAsia" w:ascii="宋体" w:hAnsi="宋体" w:eastAsia="宋体"/>
        </w:rPr>
      </w:pPr>
      <w:bookmarkStart w:id="168" w:name="_Toc182156365"/>
      <w:r>
        <w:rPr>
          <w:rFonts w:hint="eastAsia" w:ascii="宋体" w:hAnsi="宋体" w:eastAsia="宋体"/>
        </w:rPr>
        <w:t>应制定中医智慧康养质量持续改进计划和具体落实标准。</w:t>
      </w:r>
      <w:bookmarkEnd w:id="168"/>
    </w:p>
    <w:p w14:paraId="2C782C0C">
      <w:pPr>
        <w:pStyle w:val="105"/>
        <w:spacing w:before="156" w:after="156"/>
      </w:pPr>
      <w:bookmarkStart w:id="169" w:name="_Toc183000662"/>
      <w:bookmarkStart w:id="170" w:name="_Toc182156366"/>
      <w:bookmarkStart w:id="171" w:name="_Toc182898257"/>
      <w:bookmarkStart w:id="172" w:name="_Toc182156407"/>
      <w:bookmarkStart w:id="173" w:name="_Toc182922576"/>
      <w:r>
        <w:rPr>
          <w:rFonts w:hint="eastAsia"/>
        </w:rPr>
        <w:t>服务要求</w:t>
      </w:r>
      <w:bookmarkEnd w:id="169"/>
      <w:bookmarkEnd w:id="170"/>
      <w:bookmarkEnd w:id="171"/>
      <w:bookmarkEnd w:id="172"/>
      <w:bookmarkEnd w:id="173"/>
    </w:p>
    <w:p w14:paraId="193EA19A">
      <w:pPr>
        <w:pStyle w:val="65"/>
        <w:spacing w:before="156" w:after="156"/>
        <w:rPr>
          <w:rFonts w:hint="eastAsia" w:ascii="宋体" w:hAnsi="宋体" w:eastAsia="宋体"/>
        </w:rPr>
      </w:pPr>
      <w:bookmarkStart w:id="174" w:name="_Toc182156367"/>
      <w:r>
        <w:rPr>
          <w:rFonts w:ascii="宋体" w:hAnsi="宋体" w:eastAsia="宋体"/>
        </w:rPr>
        <w:t>应在醒目位置标识房屋结构布局、检查基本流程，工作人员应根据服务标准和操作规范对服务对象提供针对性服务和健康引导。</w:t>
      </w:r>
      <w:bookmarkEnd w:id="174"/>
    </w:p>
    <w:p w14:paraId="12CA513D">
      <w:pPr>
        <w:pStyle w:val="65"/>
        <w:spacing w:before="156" w:after="156"/>
        <w:rPr>
          <w:rFonts w:hint="eastAsia" w:ascii="宋体" w:hAnsi="宋体" w:eastAsia="宋体"/>
        </w:rPr>
      </w:pPr>
      <w:bookmarkStart w:id="175" w:name="_Toc182156368"/>
      <w:r>
        <w:rPr>
          <w:rFonts w:ascii="宋体" w:hAnsi="宋体" w:eastAsia="宋体"/>
        </w:rPr>
        <w:t>应充分运用</w:t>
      </w:r>
      <w:r>
        <w:rPr>
          <w:rFonts w:hint="eastAsia" w:ascii="宋体" w:hAnsi="宋体" w:eastAsia="宋体"/>
        </w:rPr>
        <w:t>中医</w:t>
      </w:r>
      <w:r>
        <w:rPr>
          <w:rFonts w:ascii="宋体" w:hAnsi="宋体" w:eastAsia="宋体"/>
        </w:rPr>
        <w:t>智慧康养产品，设置与服务对象相适应的多元化服务管理服务模式，包括</w:t>
      </w:r>
      <w:r>
        <w:rPr>
          <w:rFonts w:hint="eastAsia" w:ascii="宋体" w:hAnsi="宋体" w:eastAsia="宋体"/>
        </w:rPr>
        <w:t>中医康养管理、</w:t>
      </w:r>
      <w:r>
        <w:rPr>
          <w:rFonts w:ascii="宋体" w:hAnsi="宋体" w:eastAsia="宋体"/>
        </w:rPr>
        <w:t>慢性病管理、居家健康养老、个性化健康管理、互联网健康咨询、生活照护、机构信息化服务。</w:t>
      </w:r>
      <w:bookmarkEnd w:id="175"/>
    </w:p>
    <w:p w14:paraId="769B3ECA">
      <w:pPr>
        <w:pStyle w:val="65"/>
        <w:spacing w:before="156" w:after="156"/>
        <w:rPr>
          <w:rFonts w:hint="eastAsia" w:ascii="宋体" w:hAnsi="宋体" w:eastAsia="宋体"/>
        </w:rPr>
      </w:pPr>
      <w:bookmarkStart w:id="176" w:name="_Toc182156369"/>
      <w:r>
        <w:rPr>
          <w:rFonts w:hint="eastAsia" w:ascii="宋体" w:hAnsi="宋体" w:eastAsia="宋体"/>
        </w:rPr>
        <w:t>应</w:t>
      </w:r>
      <w:r>
        <w:rPr>
          <w:rFonts w:ascii="宋体" w:hAnsi="宋体" w:eastAsia="宋体"/>
        </w:rPr>
        <w:t>遵循中医康养服务指导频率进行中医智慧康养服务</w:t>
      </w:r>
      <w:r>
        <w:rPr>
          <w:rFonts w:hint="eastAsia" w:ascii="宋体" w:hAnsi="宋体" w:eastAsia="宋体"/>
        </w:rPr>
        <w:t>，并根据</w:t>
      </w:r>
      <w:r>
        <w:rPr>
          <w:rFonts w:ascii="宋体" w:hAnsi="宋体" w:eastAsia="宋体"/>
        </w:rPr>
        <w:t>健康监测</w:t>
      </w:r>
      <w:r>
        <w:rPr>
          <w:rFonts w:hint="eastAsia" w:ascii="宋体" w:hAnsi="宋体" w:eastAsia="宋体"/>
        </w:rPr>
        <w:t>结果</w:t>
      </w:r>
      <w:r>
        <w:rPr>
          <w:rFonts w:ascii="宋体" w:hAnsi="宋体" w:eastAsia="宋体"/>
        </w:rPr>
        <w:t>调整</w:t>
      </w:r>
      <w:r>
        <w:rPr>
          <w:rFonts w:hint="eastAsia" w:ascii="宋体" w:hAnsi="宋体" w:eastAsia="宋体"/>
        </w:rPr>
        <w:t>康养</w:t>
      </w:r>
      <w:r>
        <w:rPr>
          <w:rFonts w:ascii="宋体" w:hAnsi="宋体" w:eastAsia="宋体"/>
        </w:rPr>
        <w:t>方案。</w:t>
      </w:r>
      <w:bookmarkEnd w:id="176"/>
    </w:p>
    <w:p w14:paraId="3CC4BCFA">
      <w:pPr>
        <w:pStyle w:val="65"/>
        <w:spacing w:before="156" w:after="156"/>
        <w:rPr>
          <w:rFonts w:hint="eastAsia" w:ascii="宋体" w:hAnsi="宋体" w:eastAsia="宋体"/>
        </w:rPr>
      </w:pPr>
      <w:bookmarkStart w:id="177" w:name="_Toc182156370"/>
      <w:r>
        <w:rPr>
          <w:rFonts w:hint="eastAsia" w:ascii="宋体" w:hAnsi="宋体" w:eastAsia="宋体"/>
        </w:rPr>
        <w:t>应</w:t>
      </w:r>
      <w:r>
        <w:rPr>
          <w:rFonts w:ascii="宋体" w:hAnsi="宋体" w:eastAsia="宋体"/>
        </w:rPr>
        <w:t>细化健康问题，进行分层分类管理</w:t>
      </w:r>
      <w:bookmarkEnd w:id="177"/>
    </w:p>
    <w:p w14:paraId="62928461">
      <w:pPr>
        <w:pStyle w:val="65"/>
        <w:spacing w:before="156" w:after="156"/>
        <w:rPr>
          <w:rFonts w:hint="eastAsia" w:ascii="宋体" w:hAnsi="宋体" w:eastAsia="宋体"/>
        </w:rPr>
      </w:pPr>
      <w:bookmarkStart w:id="178" w:name="_Toc182156371"/>
      <w:r>
        <w:rPr>
          <w:rFonts w:hint="eastAsia" w:ascii="宋体" w:hAnsi="宋体" w:eastAsia="宋体"/>
        </w:rPr>
        <w:t>应</w:t>
      </w:r>
      <w:r>
        <w:rPr>
          <w:rFonts w:ascii="宋体" w:hAnsi="宋体" w:eastAsia="宋体"/>
        </w:rPr>
        <w:t>确保服务对象隐私保护，严格执行个人健康信息保密原则。</w:t>
      </w:r>
      <w:bookmarkEnd w:id="178"/>
    </w:p>
    <w:p w14:paraId="29ED7AF8">
      <w:pPr>
        <w:pStyle w:val="65"/>
        <w:spacing w:before="156" w:after="156"/>
        <w:rPr>
          <w:rFonts w:hint="eastAsia" w:ascii="宋体" w:hAnsi="宋体" w:eastAsia="宋体"/>
        </w:rPr>
      </w:pPr>
      <w:bookmarkStart w:id="179" w:name="_Toc182156372"/>
      <w:r>
        <w:rPr>
          <w:rFonts w:hint="eastAsia" w:ascii="宋体" w:hAnsi="宋体" w:eastAsia="宋体"/>
        </w:rPr>
        <w:t>宜定期</w:t>
      </w:r>
      <w:r>
        <w:rPr>
          <w:rFonts w:ascii="宋体" w:hAnsi="宋体" w:eastAsia="宋体"/>
        </w:rPr>
        <w:t>了解服务对象</w:t>
      </w:r>
      <w:r>
        <w:rPr>
          <w:rFonts w:hint="eastAsia" w:ascii="宋体" w:hAnsi="宋体" w:eastAsia="宋体"/>
        </w:rPr>
        <w:t>对中医智慧康养的</w:t>
      </w:r>
      <w:r>
        <w:rPr>
          <w:rFonts w:ascii="宋体" w:hAnsi="宋体" w:eastAsia="宋体"/>
        </w:rPr>
        <w:t>需求，</w:t>
      </w:r>
      <w:r>
        <w:rPr>
          <w:rFonts w:hint="eastAsia" w:ascii="宋体" w:hAnsi="宋体" w:eastAsia="宋体"/>
        </w:rPr>
        <w:t>以进行服务</w:t>
      </w:r>
      <w:r>
        <w:rPr>
          <w:rFonts w:ascii="宋体" w:hAnsi="宋体" w:eastAsia="宋体"/>
        </w:rPr>
        <w:t>内容</w:t>
      </w:r>
      <w:r>
        <w:rPr>
          <w:rFonts w:hint="eastAsia" w:ascii="宋体" w:hAnsi="宋体" w:eastAsia="宋体"/>
        </w:rPr>
        <w:t>的</w:t>
      </w:r>
      <w:r>
        <w:rPr>
          <w:rFonts w:ascii="宋体" w:hAnsi="宋体" w:eastAsia="宋体"/>
        </w:rPr>
        <w:t>更新与系统</w:t>
      </w:r>
      <w:r>
        <w:rPr>
          <w:rFonts w:hint="eastAsia" w:ascii="宋体" w:hAnsi="宋体" w:eastAsia="宋体"/>
        </w:rPr>
        <w:t>的</w:t>
      </w:r>
      <w:r>
        <w:rPr>
          <w:rFonts w:ascii="宋体" w:hAnsi="宋体" w:eastAsia="宋体"/>
        </w:rPr>
        <w:t>升级</w:t>
      </w:r>
      <w:r>
        <w:rPr>
          <w:rFonts w:hint="eastAsia" w:ascii="宋体" w:hAnsi="宋体" w:eastAsia="宋体"/>
        </w:rPr>
        <w:t>。</w:t>
      </w:r>
      <w:bookmarkEnd w:id="179"/>
    </w:p>
    <w:p w14:paraId="16934DFE">
      <w:pPr>
        <w:pStyle w:val="104"/>
        <w:spacing w:before="312" w:after="312"/>
      </w:pPr>
      <w:bookmarkStart w:id="180" w:name="_Toc182898259"/>
      <w:bookmarkStart w:id="181" w:name="_Toc182156412"/>
      <w:bookmarkStart w:id="182" w:name="_Toc182156385"/>
      <w:bookmarkStart w:id="183" w:name="_Toc183000663"/>
      <w:bookmarkStart w:id="184" w:name="_Toc182922577"/>
      <w:r>
        <w:rPr>
          <w:rFonts w:hint="eastAsia"/>
        </w:rPr>
        <w:t>评价与改进</w:t>
      </w:r>
      <w:bookmarkEnd w:id="180"/>
      <w:bookmarkEnd w:id="181"/>
      <w:bookmarkEnd w:id="182"/>
      <w:bookmarkEnd w:id="183"/>
      <w:bookmarkEnd w:id="184"/>
    </w:p>
    <w:p w14:paraId="2C23D135">
      <w:pPr>
        <w:pStyle w:val="105"/>
        <w:spacing w:before="156" w:after="156"/>
      </w:pPr>
      <w:bookmarkStart w:id="185" w:name="_Toc183000664"/>
      <w:bookmarkStart w:id="186" w:name="_Toc182921934"/>
      <w:bookmarkStart w:id="187" w:name="_Toc182921884"/>
      <w:r>
        <w:rPr>
          <w:rFonts w:hint="eastAsia"/>
        </w:rPr>
        <w:t>管理评价</w:t>
      </w:r>
      <w:bookmarkEnd w:id="185"/>
      <w:bookmarkEnd w:id="186"/>
      <w:bookmarkEnd w:id="187"/>
    </w:p>
    <w:p w14:paraId="751DA01D">
      <w:pPr>
        <w:pStyle w:val="65"/>
        <w:spacing w:before="156" w:after="156"/>
        <w:rPr>
          <w:rFonts w:hint="eastAsia" w:ascii="宋体" w:hAnsi="宋体" w:eastAsia="宋体"/>
        </w:rPr>
      </w:pPr>
      <w:r>
        <w:rPr>
          <w:rFonts w:hint="eastAsia" w:ascii="宋体" w:hAnsi="宋体" w:eastAsia="宋体"/>
        </w:rPr>
        <w:t>管理评价包括管理组织自我评价、管理对象或相关第三方评价和第三方评价。</w:t>
      </w:r>
    </w:p>
    <w:p w14:paraId="0C946BC7">
      <w:pPr>
        <w:pStyle w:val="65"/>
        <w:spacing w:before="156" w:after="156"/>
        <w:rPr>
          <w:rFonts w:hint="eastAsia" w:ascii="宋体" w:hAnsi="宋体" w:eastAsia="宋体"/>
        </w:rPr>
      </w:pPr>
      <w:r>
        <w:rPr>
          <w:rFonts w:hint="eastAsia" w:ascii="宋体" w:hAnsi="宋体" w:eastAsia="宋体"/>
        </w:rPr>
        <w:t>宜设置管理质量检查部门，配备专（兼）职的管理质量检查人员，制定管理质量检查标准、程序和要求。</w:t>
      </w:r>
    </w:p>
    <w:p w14:paraId="34F772DB">
      <w:pPr>
        <w:pStyle w:val="65"/>
        <w:spacing w:before="156" w:after="156"/>
        <w:rPr>
          <w:rFonts w:hint="eastAsia" w:ascii="宋体" w:hAnsi="宋体" w:eastAsia="宋体"/>
        </w:rPr>
      </w:pPr>
      <w:r>
        <w:rPr>
          <w:rFonts w:hint="eastAsia" w:ascii="宋体" w:hAnsi="宋体" w:eastAsia="宋体"/>
        </w:rPr>
        <w:t>宜采取日常检查、定期检查、不定期抽查、专项检查等方式进行自我评价。每年开展自我检查、内部考核与评价不少于1次，并形成检查与评价报告。</w:t>
      </w:r>
    </w:p>
    <w:p w14:paraId="13FE12EE">
      <w:pPr>
        <w:pStyle w:val="65"/>
        <w:spacing w:before="156" w:after="156"/>
        <w:rPr>
          <w:rFonts w:hint="eastAsia" w:ascii="宋体" w:hAnsi="宋体" w:eastAsia="宋体"/>
        </w:rPr>
      </w:pPr>
      <w:r>
        <w:rPr>
          <w:rFonts w:hint="eastAsia" w:ascii="宋体" w:hAnsi="宋体" w:eastAsia="宋体"/>
        </w:rPr>
        <w:t>宜建立满意度测评机制，采取设置意见箱、问卷调查、访谈、电话、微信等多种形式听取服务对象或相关第三方对服务的建议或意见，对收到的投诉和意见应及时回应和反馈。</w:t>
      </w:r>
    </w:p>
    <w:p w14:paraId="1528DFFF">
      <w:pPr>
        <w:pStyle w:val="65"/>
        <w:spacing w:before="156" w:after="156"/>
        <w:rPr>
          <w:rFonts w:hint="eastAsia" w:ascii="宋体" w:hAnsi="宋体" w:eastAsia="宋体"/>
        </w:rPr>
      </w:pPr>
      <w:r>
        <w:rPr>
          <w:rFonts w:hint="eastAsia" w:ascii="宋体" w:hAnsi="宋体" w:eastAsia="宋体"/>
        </w:rPr>
        <w:t>管理满意度测评应每年不少于 1 次，并形成评价报告。</w:t>
      </w:r>
    </w:p>
    <w:p w14:paraId="5C260191">
      <w:pPr>
        <w:pStyle w:val="65"/>
        <w:spacing w:before="156" w:after="156"/>
        <w:rPr>
          <w:rFonts w:hint="eastAsia" w:ascii="宋体" w:hAnsi="宋体" w:eastAsia="宋体"/>
        </w:rPr>
      </w:pPr>
      <w:r>
        <w:rPr>
          <w:rFonts w:hint="eastAsia" w:ascii="宋体" w:hAnsi="宋体" w:eastAsia="宋体"/>
        </w:rPr>
        <w:t>评价内容宜包括但不限于管理体系、制度建设、人员配置、服务质量、安全管理、信息化建设等各个方面。</w:t>
      </w:r>
    </w:p>
    <w:p w14:paraId="3916FFE7">
      <w:pPr>
        <w:pStyle w:val="65"/>
        <w:spacing w:before="156" w:after="156"/>
        <w:rPr>
          <w:rFonts w:hint="eastAsia" w:ascii="宋体" w:hAnsi="宋体" w:eastAsia="宋体"/>
        </w:rPr>
      </w:pPr>
      <w:r>
        <w:rPr>
          <w:rFonts w:hint="eastAsia" w:ascii="宋体" w:hAnsi="宋体" w:eastAsia="宋体"/>
        </w:rPr>
        <w:t>有条件的管理组织，可委托专业的第三方开展管理评价。</w:t>
      </w:r>
    </w:p>
    <w:p w14:paraId="42640DCB">
      <w:pPr>
        <w:pStyle w:val="105"/>
        <w:spacing w:before="156" w:after="156"/>
      </w:pPr>
      <w:bookmarkStart w:id="188" w:name="_Toc183000665"/>
      <w:r>
        <w:rPr>
          <w:rFonts w:hint="eastAsia"/>
        </w:rPr>
        <w:t>管理改进</w:t>
      </w:r>
      <w:bookmarkEnd w:id="188"/>
    </w:p>
    <w:p w14:paraId="13720C86">
      <w:pPr>
        <w:pStyle w:val="65"/>
        <w:spacing w:before="156" w:after="156"/>
        <w:rPr>
          <w:rFonts w:ascii="宋体" w:eastAsia="宋体"/>
          <w:color w:val="000000"/>
          <w:kern w:val="2"/>
          <w:szCs w:val="24"/>
        </w:rPr>
      </w:pPr>
      <w:bookmarkStart w:id="189" w:name="_Toc182922579"/>
      <w:bookmarkStart w:id="190" w:name="_Toc182156387"/>
      <w:r>
        <w:rPr>
          <w:rFonts w:hint="eastAsia" w:ascii="宋体" w:eastAsia="宋体"/>
          <w:color w:val="000000"/>
          <w:kern w:val="2"/>
          <w:szCs w:val="24"/>
        </w:rPr>
        <w:t>应定期对管理效果进行总结，对出现的质量问题进行分析，提出整改措施。</w:t>
      </w:r>
    </w:p>
    <w:p w14:paraId="19573A1D">
      <w:pPr>
        <w:pStyle w:val="65"/>
        <w:spacing w:before="156" w:after="156"/>
        <w:rPr>
          <w:rFonts w:ascii="宋体" w:eastAsia="宋体"/>
          <w:color w:val="000000"/>
          <w:kern w:val="2"/>
          <w:szCs w:val="24"/>
        </w:rPr>
      </w:pPr>
      <w:r>
        <w:rPr>
          <w:rFonts w:hint="eastAsia" w:ascii="宋体" w:eastAsia="宋体"/>
          <w:color w:val="000000"/>
          <w:kern w:val="2"/>
          <w:szCs w:val="24"/>
        </w:rPr>
        <w:t>应跟踪整改措施的落实，及时改进并评价整体效果，做到持续改进。</w:t>
      </w:r>
    </w:p>
    <w:bookmarkEnd w:id="189"/>
    <w:bookmarkEnd w:id="190"/>
    <w:p w14:paraId="425D1E50">
      <w:pPr>
        <w:pStyle w:val="56"/>
        <w:ind w:firstLine="420"/>
      </w:pPr>
    </w:p>
    <w:p w14:paraId="0960AA3F">
      <w:pPr>
        <w:pStyle w:val="56"/>
        <w:ind w:firstLine="420"/>
      </w:pPr>
      <w:r>
        <w:rPr>
          <w:rFonts w:hint="eastAsia"/>
        </w:rPr>
        <w:t xml:space="preserve"> </w:t>
      </w:r>
    </w:p>
    <w:p w14:paraId="5C6FFBCA">
      <w:pPr>
        <w:pStyle w:val="56"/>
        <w:ind w:firstLine="420"/>
      </w:pPr>
      <w:r>
        <w:rPr>
          <w:rFonts w:hint="eastAsia"/>
        </w:rPr>
        <w:t xml:space="preserve"> </w:t>
      </w:r>
    </w:p>
    <w:p w14:paraId="4F1B6A78">
      <w:pPr>
        <w:pStyle w:val="56"/>
        <w:ind w:firstLine="420"/>
      </w:pPr>
      <w:r>
        <w:rPr>
          <w:rFonts w:hint="eastAsia"/>
        </w:rPr>
        <w:t xml:space="preserve"> </w:t>
      </w:r>
    </w:p>
    <w:p w14:paraId="69D0619F">
      <w:pPr>
        <w:pStyle w:val="56"/>
        <w:ind w:firstLine="420"/>
      </w:pPr>
    </w:p>
    <w:p w14:paraId="7A3DFD68">
      <w:pPr>
        <w:pStyle w:val="56"/>
        <w:ind w:firstLine="420"/>
      </w:pPr>
    </w:p>
    <w:p w14:paraId="372F6728">
      <w:pPr>
        <w:pStyle w:val="56"/>
        <w:ind w:firstLine="420"/>
      </w:pPr>
      <w:r>
        <w:rPr>
          <w:rFonts w:hint="eastAsia"/>
        </w:rPr>
        <w:t xml:space="preserve"> </w:t>
      </w:r>
    </w:p>
    <w:bookmarkEnd w:id="25"/>
    <w:p w14:paraId="0E9FE31F">
      <w:pPr>
        <w:pStyle w:val="56"/>
        <w:ind w:firstLine="420"/>
        <w:sectPr>
          <w:pgSz w:w="11906" w:h="16838"/>
          <w:pgMar w:top="1928" w:right="1134" w:bottom="1134" w:left="1134" w:header="1418" w:footer="1134" w:gutter="284"/>
          <w:pgNumType w:start="1"/>
          <w:cols w:space="425" w:num="1"/>
          <w:formProt w:val="0"/>
          <w:docGrid w:type="lines" w:linePitch="312" w:charSpace="0"/>
        </w:sectPr>
      </w:pPr>
      <w:bookmarkStart w:id="191" w:name="BookMark6"/>
    </w:p>
    <w:p w14:paraId="696EA35F">
      <w:pPr>
        <w:pStyle w:val="63"/>
        <w:spacing w:after="156"/>
      </w:pPr>
      <w:bookmarkStart w:id="192" w:name="_Toc182922580"/>
      <w:bookmarkStart w:id="193" w:name="_Toc183000666"/>
      <w:r>
        <w:rPr>
          <w:rFonts w:hint="eastAsia"/>
          <w:spacing w:val="105"/>
        </w:rPr>
        <w:t>参考文</w:t>
      </w:r>
      <w:r>
        <w:rPr>
          <w:rFonts w:hint="eastAsia"/>
        </w:rPr>
        <w:t>献</w:t>
      </w:r>
      <w:bookmarkEnd w:id="192"/>
      <w:bookmarkEnd w:id="193"/>
    </w:p>
    <w:p w14:paraId="547E5FEF">
      <w:pPr>
        <w:pStyle w:val="230"/>
        <w:spacing w:after="0"/>
        <w:ind w:right="0"/>
        <w:jc w:val="both"/>
        <w:rPr>
          <w:rFonts w:ascii="Times New Roman" w:hAnsi="Times New Roman" w:cs="Times New Roman"/>
          <w:snapToGrid w:val="0"/>
          <w:spacing w:val="7"/>
          <w:kern w:val="0"/>
          <w:sz w:val="21"/>
          <w:szCs w:val="21"/>
        </w:rPr>
      </w:pPr>
      <w:r>
        <w:rPr>
          <w:rFonts w:hint="eastAsia" w:ascii="Times New Roman" w:hAnsi="Times New Roman" w:cs="Times New Roman"/>
          <w:snapToGrid w:val="0"/>
          <w:spacing w:val="7"/>
          <w:kern w:val="0"/>
          <w:sz w:val="21"/>
          <w:szCs w:val="21"/>
        </w:rPr>
        <w:t>[1]工业和信息化部 民政部 国家卫生计生委关于印发《智慧健康养老产业发展行动计划（2017-2020年）》的通知 工信部联电子〔2017〕25号</w:t>
      </w:r>
    </w:p>
    <w:p w14:paraId="0F33274C">
      <w:pPr>
        <w:pStyle w:val="230"/>
        <w:spacing w:after="0"/>
        <w:ind w:right="0"/>
        <w:jc w:val="both"/>
        <w:rPr>
          <w:rFonts w:ascii="Times New Roman" w:hAnsi="Times New Roman" w:cs="Times New Roman"/>
          <w:snapToGrid w:val="0"/>
          <w:spacing w:val="7"/>
          <w:kern w:val="0"/>
          <w:sz w:val="21"/>
          <w:szCs w:val="21"/>
        </w:rPr>
      </w:pPr>
      <w:r>
        <w:rPr>
          <w:rFonts w:hint="eastAsia" w:ascii="Times New Roman" w:hAnsi="Times New Roman" w:cs="Times New Roman"/>
          <w:snapToGrid w:val="0"/>
          <w:spacing w:val="7"/>
          <w:kern w:val="0"/>
          <w:sz w:val="21"/>
          <w:szCs w:val="21"/>
        </w:rPr>
        <w:t>[2]中共中央 国务院印发《“健康中国2030”规划纲要》</w:t>
      </w:r>
    </w:p>
    <w:p w14:paraId="38774F6C">
      <w:pPr>
        <w:pStyle w:val="230"/>
        <w:spacing w:after="0"/>
        <w:ind w:right="0"/>
        <w:jc w:val="both"/>
        <w:rPr>
          <w:rFonts w:ascii="Times New Roman" w:hAnsi="Times New Roman" w:cs="Times New Roman"/>
          <w:snapToGrid w:val="0"/>
          <w:spacing w:val="7"/>
          <w:kern w:val="0"/>
          <w:sz w:val="21"/>
          <w:szCs w:val="21"/>
        </w:rPr>
      </w:pPr>
      <w:r>
        <w:rPr>
          <w:rFonts w:hint="eastAsia" w:ascii="Times New Roman" w:hAnsi="Times New Roman" w:cs="Times New Roman"/>
          <w:snapToGrid w:val="0"/>
          <w:spacing w:val="7"/>
          <w:kern w:val="0"/>
          <w:sz w:val="21"/>
          <w:szCs w:val="21"/>
        </w:rPr>
        <w:t>[3]国务院办公厅关于印发“十四五”国民健康规划的通知 国办发〔2022〕11号</w:t>
      </w:r>
    </w:p>
    <w:p w14:paraId="542EC0A5">
      <w:pPr>
        <w:pStyle w:val="230"/>
        <w:spacing w:after="0"/>
        <w:ind w:right="0"/>
        <w:jc w:val="both"/>
        <w:rPr>
          <w:rFonts w:ascii="Times New Roman" w:hAnsi="Times New Roman" w:cs="Times New Roman"/>
          <w:snapToGrid w:val="0"/>
          <w:spacing w:val="7"/>
          <w:kern w:val="0"/>
          <w:sz w:val="21"/>
          <w:szCs w:val="21"/>
        </w:rPr>
      </w:pPr>
      <w:r>
        <w:rPr>
          <w:rFonts w:hint="eastAsia" w:ascii="Times New Roman" w:hAnsi="Times New Roman" w:cs="Times New Roman"/>
          <w:snapToGrid w:val="0"/>
          <w:spacing w:val="7"/>
          <w:kern w:val="0"/>
          <w:sz w:val="21"/>
          <w:szCs w:val="21"/>
        </w:rPr>
        <w:t>[4]《互联网诊疗管理办法（试行）》（国卫医发〔2018〕25号）</w:t>
      </w:r>
    </w:p>
    <w:p w14:paraId="20A14EB0">
      <w:pPr>
        <w:pStyle w:val="230"/>
        <w:spacing w:after="0"/>
        <w:ind w:right="0"/>
        <w:jc w:val="both"/>
        <w:rPr>
          <w:rFonts w:ascii="Times New Roman" w:hAnsi="Times New Roman" w:cs="Times New Roman"/>
          <w:snapToGrid w:val="0"/>
          <w:spacing w:val="7"/>
          <w:kern w:val="0"/>
          <w:sz w:val="21"/>
          <w:szCs w:val="21"/>
        </w:rPr>
      </w:pPr>
      <w:r>
        <w:rPr>
          <w:rFonts w:hint="eastAsia" w:ascii="Times New Roman" w:hAnsi="Times New Roman" w:cs="Times New Roman"/>
          <w:snapToGrid w:val="0"/>
          <w:spacing w:val="7"/>
          <w:kern w:val="0"/>
          <w:sz w:val="21"/>
          <w:szCs w:val="21"/>
        </w:rPr>
        <w:t>[5]《远程医疗服务管理规范（试行）》（国卫医发〔2018〕25号）</w:t>
      </w:r>
    </w:p>
    <w:p w14:paraId="67547A1F">
      <w:pPr>
        <w:pStyle w:val="230"/>
        <w:spacing w:after="0"/>
        <w:ind w:right="0"/>
        <w:jc w:val="both"/>
        <w:rPr>
          <w:rFonts w:ascii="Times New Roman" w:hAnsi="Times New Roman" w:cs="Times New Roman"/>
          <w:snapToGrid w:val="0"/>
          <w:spacing w:val="7"/>
          <w:kern w:val="0"/>
          <w:sz w:val="21"/>
          <w:szCs w:val="21"/>
        </w:rPr>
      </w:pPr>
      <w:r>
        <w:rPr>
          <w:rFonts w:hint="eastAsia" w:ascii="Times New Roman" w:hAnsi="Times New Roman" w:cs="Times New Roman"/>
          <w:snapToGrid w:val="0"/>
          <w:spacing w:val="7"/>
          <w:kern w:val="0"/>
          <w:sz w:val="21"/>
          <w:szCs w:val="21"/>
        </w:rPr>
        <w:t>[6]《信息安全等级保护管理办法》（公通字[2007] 43 号）</w:t>
      </w:r>
    </w:p>
    <w:p w14:paraId="2EDDDC57">
      <w:pPr>
        <w:pStyle w:val="56"/>
        <w:ind w:firstLine="420"/>
      </w:pPr>
    </w:p>
    <w:p w14:paraId="105AD0B9">
      <w:pPr>
        <w:pStyle w:val="56"/>
        <w:ind w:firstLine="420"/>
      </w:pPr>
    </w:p>
    <w:p w14:paraId="0705F7E4">
      <w:pPr>
        <w:pStyle w:val="56"/>
        <w:ind w:firstLine="420"/>
      </w:pPr>
    </w:p>
    <w:p w14:paraId="0B039F87">
      <w:pPr>
        <w:pStyle w:val="56"/>
        <w:ind w:firstLine="420"/>
      </w:pPr>
    </w:p>
    <w:bookmarkEnd w:id="191"/>
    <w:p w14:paraId="250BAC47">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52A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1D3D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4A3B">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7DAD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70F8">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1D95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C61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06713">
    <w:pPr>
      <w:pStyle w:val="61"/>
      <w:rPr>
        <w:rFonts w:hint="eastAsia"/>
      </w:rPr>
    </w:pPr>
    <w:r>
      <w:fldChar w:fldCharType="begin"/>
    </w:r>
    <w:r>
      <w:instrText xml:space="preserve"> STYLEREF  标准文件_文件编号  \* MERGEFORMAT </w:instrText>
    </w:r>
    <w:r>
      <w:fldChar w:fldCharType="separate"/>
    </w:r>
    <w:r>
      <w:t>DB 43/T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3E0AB">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1134"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REUP2qq43/yjPB49imtZQDQM0S4wN1mB2Y3Fp1MYMwNdzFIMnFW9tRECFvCbUaysdYWyBhYaN/o26SNYpNsiTA==" w:salt="pRiFDDv22WvyBmCtJCYnk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F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BC2"/>
    <w:rsid w:val="00043282"/>
    <w:rsid w:val="00044286"/>
    <w:rsid w:val="00047F28"/>
    <w:rsid w:val="000503AA"/>
    <w:rsid w:val="000506A1"/>
    <w:rsid w:val="000515DD"/>
    <w:rsid w:val="0005265A"/>
    <w:rsid w:val="000539DD"/>
    <w:rsid w:val="00053BD3"/>
    <w:rsid w:val="000556ED"/>
    <w:rsid w:val="00055FE2"/>
    <w:rsid w:val="0005616F"/>
    <w:rsid w:val="0005759A"/>
    <w:rsid w:val="00060C2E"/>
    <w:rsid w:val="00061033"/>
    <w:rsid w:val="000619E9"/>
    <w:rsid w:val="000622D4"/>
    <w:rsid w:val="0006357D"/>
    <w:rsid w:val="00067F1E"/>
    <w:rsid w:val="00071CC0"/>
    <w:rsid w:val="00073C8C"/>
    <w:rsid w:val="00077B64"/>
    <w:rsid w:val="00080A1C"/>
    <w:rsid w:val="00082317"/>
    <w:rsid w:val="00082851"/>
    <w:rsid w:val="00083D2C"/>
    <w:rsid w:val="00086AA1"/>
    <w:rsid w:val="00087A77"/>
    <w:rsid w:val="00090CA6"/>
    <w:rsid w:val="00092034"/>
    <w:rsid w:val="00092B8A"/>
    <w:rsid w:val="00092FB0"/>
    <w:rsid w:val="000934C5"/>
    <w:rsid w:val="00093D25"/>
    <w:rsid w:val="00093DAB"/>
    <w:rsid w:val="00094D73"/>
    <w:rsid w:val="00096D63"/>
    <w:rsid w:val="000A0B60"/>
    <w:rsid w:val="000A0EB8"/>
    <w:rsid w:val="000A19FC"/>
    <w:rsid w:val="000A296B"/>
    <w:rsid w:val="000A5739"/>
    <w:rsid w:val="000A7311"/>
    <w:rsid w:val="000B060F"/>
    <w:rsid w:val="000B1592"/>
    <w:rsid w:val="000B1FF2"/>
    <w:rsid w:val="000B3CDA"/>
    <w:rsid w:val="000B6A0B"/>
    <w:rsid w:val="000C04A6"/>
    <w:rsid w:val="000C0B13"/>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07C4"/>
    <w:rsid w:val="00113B1E"/>
    <w:rsid w:val="0011711C"/>
    <w:rsid w:val="0012059C"/>
    <w:rsid w:val="00124E4F"/>
    <w:rsid w:val="001260B7"/>
    <w:rsid w:val="001265CB"/>
    <w:rsid w:val="001321C6"/>
    <w:rsid w:val="001325C4"/>
    <w:rsid w:val="00132A24"/>
    <w:rsid w:val="00133010"/>
    <w:rsid w:val="001338EE"/>
    <w:rsid w:val="00133AAE"/>
    <w:rsid w:val="00135323"/>
    <w:rsid w:val="001356C4"/>
    <w:rsid w:val="00136483"/>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F64"/>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DE4"/>
    <w:rsid w:val="002253A1"/>
    <w:rsid w:val="00225CF8"/>
    <w:rsid w:val="0022794E"/>
    <w:rsid w:val="002314A5"/>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25E7"/>
    <w:rsid w:val="002A3AAB"/>
    <w:rsid w:val="002A4CEA"/>
    <w:rsid w:val="002A5977"/>
    <w:rsid w:val="002A5A13"/>
    <w:rsid w:val="002A6556"/>
    <w:rsid w:val="002A757F"/>
    <w:rsid w:val="002A7F44"/>
    <w:rsid w:val="002B0C40"/>
    <w:rsid w:val="002B1966"/>
    <w:rsid w:val="002B4508"/>
    <w:rsid w:val="002B5779"/>
    <w:rsid w:val="002B7332"/>
    <w:rsid w:val="002B7F51"/>
    <w:rsid w:val="002C09E7"/>
    <w:rsid w:val="002C1E06"/>
    <w:rsid w:val="002C1E1C"/>
    <w:rsid w:val="002C1FE1"/>
    <w:rsid w:val="002C3F07"/>
    <w:rsid w:val="002C5278"/>
    <w:rsid w:val="002C7344"/>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B9C"/>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2EB"/>
    <w:rsid w:val="003C4DB3"/>
    <w:rsid w:val="003C5A43"/>
    <w:rsid w:val="003C6556"/>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DA1"/>
    <w:rsid w:val="00432DAA"/>
    <w:rsid w:val="00432F11"/>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CD3"/>
    <w:rsid w:val="004D4406"/>
    <w:rsid w:val="004D7C42"/>
    <w:rsid w:val="004E0465"/>
    <w:rsid w:val="004E127B"/>
    <w:rsid w:val="004E1C0A"/>
    <w:rsid w:val="004E2B06"/>
    <w:rsid w:val="004E30C5"/>
    <w:rsid w:val="004E4AA5"/>
    <w:rsid w:val="004E4AEE"/>
    <w:rsid w:val="004E51AC"/>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55A4"/>
    <w:rsid w:val="00586630"/>
    <w:rsid w:val="00587ADD"/>
    <w:rsid w:val="00591E27"/>
    <w:rsid w:val="00596160"/>
    <w:rsid w:val="005966E2"/>
    <w:rsid w:val="00597007"/>
    <w:rsid w:val="005A0680"/>
    <w:rsid w:val="005A07D5"/>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8EE"/>
    <w:rsid w:val="00604784"/>
    <w:rsid w:val="006050DB"/>
    <w:rsid w:val="00606419"/>
    <w:rsid w:val="00607D29"/>
    <w:rsid w:val="00612952"/>
    <w:rsid w:val="00614CC1"/>
    <w:rsid w:val="00615A9D"/>
    <w:rsid w:val="00617387"/>
    <w:rsid w:val="006205D6"/>
    <w:rsid w:val="006252D8"/>
    <w:rsid w:val="006259BC"/>
    <w:rsid w:val="0062636B"/>
    <w:rsid w:val="00632182"/>
    <w:rsid w:val="0063251C"/>
    <w:rsid w:val="00632AE0"/>
    <w:rsid w:val="00633C17"/>
    <w:rsid w:val="00634D9E"/>
    <w:rsid w:val="00636BD2"/>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65C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9E5"/>
    <w:rsid w:val="006E23EA"/>
    <w:rsid w:val="006E66EB"/>
    <w:rsid w:val="006F03A8"/>
    <w:rsid w:val="006F2ACA"/>
    <w:rsid w:val="006F2ADC"/>
    <w:rsid w:val="006F2BFE"/>
    <w:rsid w:val="006F31E9"/>
    <w:rsid w:val="006F6284"/>
    <w:rsid w:val="007002C5"/>
    <w:rsid w:val="00704387"/>
    <w:rsid w:val="00707079"/>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4ED"/>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C3"/>
    <w:rsid w:val="0078114B"/>
    <w:rsid w:val="00781DD2"/>
    <w:rsid w:val="00783ECF"/>
    <w:rsid w:val="0078413A"/>
    <w:rsid w:val="007959E8"/>
    <w:rsid w:val="00795E9C"/>
    <w:rsid w:val="007A0521"/>
    <w:rsid w:val="007A1FAC"/>
    <w:rsid w:val="007A2E12"/>
    <w:rsid w:val="007A3475"/>
    <w:rsid w:val="007A41C8"/>
    <w:rsid w:val="007A54CE"/>
    <w:rsid w:val="007A6C1D"/>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3D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AF0"/>
    <w:rsid w:val="00853019"/>
    <w:rsid w:val="00853C8D"/>
    <w:rsid w:val="00856316"/>
    <w:rsid w:val="008603CE"/>
    <w:rsid w:val="008620FC"/>
    <w:rsid w:val="008627A5"/>
    <w:rsid w:val="00863E05"/>
    <w:rsid w:val="00865ACA"/>
    <w:rsid w:val="00865D28"/>
    <w:rsid w:val="00865F85"/>
    <w:rsid w:val="00867C10"/>
    <w:rsid w:val="00870439"/>
    <w:rsid w:val="00870DA1"/>
    <w:rsid w:val="00881814"/>
    <w:rsid w:val="00883F6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1B9"/>
    <w:rsid w:val="008E1648"/>
    <w:rsid w:val="008E1B3E"/>
    <w:rsid w:val="008E2319"/>
    <w:rsid w:val="008E4BB6"/>
    <w:rsid w:val="008E5518"/>
    <w:rsid w:val="008E6A84"/>
    <w:rsid w:val="008F0CDC"/>
    <w:rsid w:val="008F17A3"/>
    <w:rsid w:val="008F1ED3"/>
    <w:rsid w:val="008F23A5"/>
    <w:rsid w:val="008F41A4"/>
    <w:rsid w:val="008F4C29"/>
    <w:rsid w:val="008F70BD"/>
    <w:rsid w:val="008F788F"/>
    <w:rsid w:val="008F7EA2"/>
    <w:rsid w:val="00902722"/>
    <w:rsid w:val="009027BC"/>
    <w:rsid w:val="009062E6"/>
    <w:rsid w:val="00907CB9"/>
    <w:rsid w:val="00911BE5"/>
    <w:rsid w:val="00913CA9"/>
    <w:rsid w:val="009145AE"/>
    <w:rsid w:val="009146CE"/>
    <w:rsid w:val="00914CA7"/>
    <w:rsid w:val="00915C3E"/>
    <w:rsid w:val="009161A8"/>
    <w:rsid w:val="009245F5"/>
    <w:rsid w:val="009249EC"/>
    <w:rsid w:val="009273B3"/>
    <w:rsid w:val="00930062"/>
    <w:rsid w:val="009305B5"/>
    <w:rsid w:val="009429D5"/>
    <w:rsid w:val="00942BF1"/>
    <w:rsid w:val="00945180"/>
    <w:rsid w:val="00945428"/>
    <w:rsid w:val="0094607B"/>
    <w:rsid w:val="00953604"/>
    <w:rsid w:val="0095496B"/>
    <w:rsid w:val="00954DFD"/>
    <w:rsid w:val="009610DC"/>
    <w:rsid w:val="00961490"/>
    <w:rsid w:val="0096381A"/>
    <w:rsid w:val="00965E04"/>
    <w:rsid w:val="009674AD"/>
    <w:rsid w:val="00970CDC"/>
    <w:rsid w:val="00977010"/>
    <w:rsid w:val="00977D02"/>
    <w:rsid w:val="009809BB"/>
    <w:rsid w:val="0098364B"/>
    <w:rsid w:val="009911AF"/>
    <w:rsid w:val="00991875"/>
    <w:rsid w:val="00991F92"/>
    <w:rsid w:val="009925CB"/>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E53"/>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05B"/>
    <w:rsid w:val="00A55BD6"/>
    <w:rsid w:val="00A55C18"/>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60F"/>
    <w:rsid w:val="00AC27A6"/>
    <w:rsid w:val="00AC30F7"/>
    <w:rsid w:val="00AC3A5A"/>
    <w:rsid w:val="00AC4D95"/>
    <w:rsid w:val="00AC52D7"/>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733"/>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41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3F0"/>
    <w:rsid w:val="00BA58D4"/>
    <w:rsid w:val="00BA5B9E"/>
    <w:rsid w:val="00BA7C9A"/>
    <w:rsid w:val="00BB203B"/>
    <w:rsid w:val="00BB5F8F"/>
    <w:rsid w:val="00BB657A"/>
    <w:rsid w:val="00BB7C4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6EF3"/>
    <w:rsid w:val="00C279B2"/>
    <w:rsid w:val="00C33E50"/>
    <w:rsid w:val="00C34C20"/>
    <w:rsid w:val="00C35A3E"/>
    <w:rsid w:val="00C420FF"/>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AFD"/>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3417"/>
    <w:rsid w:val="00D66846"/>
    <w:rsid w:val="00D675FB"/>
    <w:rsid w:val="00D71F25"/>
    <w:rsid w:val="00D72A9C"/>
    <w:rsid w:val="00D76242"/>
    <w:rsid w:val="00D77031"/>
    <w:rsid w:val="00D8150F"/>
    <w:rsid w:val="00D84941"/>
    <w:rsid w:val="00D84B7F"/>
    <w:rsid w:val="00D84FA1"/>
    <w:rsid w:val="00D851F0"/>
    <w:rsid w:val="00D86DB7"/>
    <w:rsid w:val="00D926D0"/>
    <w:rsid w:val="00D93030"/>
    <w:rsid w:val="00D950E1"/>
    <w:rsid w:val="00D952A6"/>
    <w:rsid w:val="00D96881"/>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DF9"/>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5B7"/>
    <w:rsid w:val="00E44A83"/>
    <w:rsid w:val="00E46C83"/>
    <w:rsid w:val="00E502C1"/>
    <w:rsid w:val="00E502DD"/>
    <w:rsid w:val="00E50D3A"/>
    <w:rsid w:val="00E51387"/>
    <w:rsid w:val="00E5190F"/>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2C06"/>
    <w:rsid w:val="00E846C8"/>
    <w:rsid w:val="00E84957"/>
    <w:rsid w:val="00E84A55"/>
    <w:rsid w:val="00E85BFF"/>
    <w:rsid w:val="00E90391"/>
    <w:rsid w:val="00E906C2"/>
    <w:rsid w:val="00E9311F"/>
    <w:rsid w:val="00E934D1"/>
    <w:rsid w:val="00E94AF0"/>
    <w:rsid w:val="00E95D13"/>
    <w:rsid w:val="00E95DD3"/>
    <w:rsid w:val="00E969D5"/>
    <w:rsid w:val="00E972E6"/>
    <w:rsid w:val="00EA58D1"/>
    <w:rsid w:val="00EA61BC"/>
    <w:rsid w:val="00EA681A"/>
    <w:rsid w:val="00EA735B"/>
    <w:rsid w:val="00EB17DE"/>
    <w:rsid w:val="00EB1E69"/>
    <w:rsid w:val="00EB2086"/>
    <w:rsid w:val="00EB30B0"/>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31AB"/>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F2C"/>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9948FD"/>
    <w:rsid w:val="2B404072"/>
    <w:rsid w:val="350820F5"/>
    <w:rsid w:val="3F256DC1"/>
    <w:rsid w:val="418C02C8"/>
    <w:rsid w:val="5C793348"/>
    <w:rsid w:val="6B88385E"/>
    <w:rsid w:val="6C62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Body text|3"/>
    <w:basedOn w:val="1"/>
    <w:qFormat/>
    <w:uiPriority w:val="0"/>
    <w:pPr>
      <w:adjustRightInd/>
      <w:spacing w:after="800" w:line="240" w:lineRule="auto"/>
      <w:ind w:right="150"/>
      <w:jc w:val="right"/>
    </w:pPr>
    <w:rPr>
      <w:rFonts w:asciiTheme="minorHAnsi" w:hAnsiTheme="minorHAnsi" w:cstheme="minorBidi"/>
      <w:sz w:val="28"/>
      <w:szCs w:val="28"/>
    </w:rPr>
  </w:style>
  <w:style w:type="paragraph" w:customStyle="1" w:styleId="23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8603FD89C84EBD906E35BF79211657"/>
        <w:style w:val=""/>
        <w:category>
          <w:name w:val="常规"/>
          <w:gallery w:val="placeholder"/>
        </w:category>
        <w:types>
          <w:type w:val="bbPlcHdr"/>
        </w:types>
        <w:behaviors>
          <w:behavior w:val="content"/>
        </w:behaviors>
        <w:description w:val=""/>
        <w:guid w:val="{218C9E9A-BF19-434B-8331-73FDA84118A3}"/>
      </w:docPartPr>
      <w:docPartBody>
        <w:p w14:paraId="27171CA0">
          <w:pPr>
            <w:pStyle w:val="5"/>
            <w:rPr>
              <w:rFonts w:hint="eastAsia"/>
            </w:rPr>
          </w:pPr>
          <w:r>
            <w:rPr>
              <w:rStyle w:val="4"/>
              <w:rFonts w:hint="eastAsia"/>
            </w:rPr>
            <w:t>单击或点击此处输入文字。</w:t>
          </w:r>
        </w:p>
      </w:docPartBody>
    </w:docPart>
    <w:docPart>
      <w:docPartPr>
        <w:name w:val="316FE594A423428B97FA6372CE7C3E34"/>
        <w:style w:val=""/>
        <w:category>
          <w:name w:val="常规"/>
          <w:gallery w:val="placeholder"/>
        </w:category>
        <w:types>
          <w:type w:val="bbPlcHdr"/>
        </w:types>
        <w:behaviors>
          <w:behavior w:val="content"/>
        </w:behaviors>
        <w:description w:val=""/>
        <w:guid w:val="{EBEF0C1C-F814-43C8-9B60-328FC80B51A1}"/>
      </w:docPartPr>
      <w:docPartBody>
        <w:p w14:paraId="01AC0B61">
          <w:pPr>
            <w:pStyle w:val="6"/>
            <w:rPr>
              <w:rFonts w:hint="eastAsia"/>
            </w:rPr>
          </w:pPr>
          <w:r>
            <w:rPr>
              <w:rStyle w:val="4"/>
              <w:rFonts w:hint="eastAsia"/>
            </w:rPr>
            <w:t>选择一项。</w:t>
          </w:r>
        </w:p>
      </w:docPartBody>
    </w:docPart>
    <w:docPart>
      <w:docPartPr>
        <w:name w:val="C65291D704E643A0A2F4736BB961B875"/>
        <w:style w:val=""/>
        <w:category>
          <w:name w:val="常规"/>
          <w:gallery w:val="placeholder"/>
        </w:category>
        <w:types>
          <w:type w:val="bbPlcHdr"/>
        </w:types>
        <w:behaviors>
          <w:behavior w:val="content"/>
        </w:behaviors>
        <w:description w:val=""/>
        <w:guid w:val="{DA36A873-6B1B-4E00-8935-46D563C56740}"/>
      </w:docPartPr>
      <w:docPartBody>
        <w:p w14:paraId="103A826C">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8D"/>
    <w:rsid w:val="00042BC2"/>
    <w:rsid w:val="000A5739"/>
    <w:rsid w:val="000A6510"/>
    <w:rsid w:val="0012022B"/>
    <w:rsid w:val="001E58A3"/>
    <w:rsid w:val="002C7E61"/>
    <w:rsid w:val="002D73AD"/>
    <w:rsid w:val="002F248D"/>
    <w:rsid w:val="00316B9C"/>
    <w:rsid w:val="0049389E"/>
    <w:rsid w:val="00545FEA"/>
    <w:rsid w:val="006D60A8"/>
    <w:rsid w:val="007A1FAC"/>
    <w:rsid w:val="008832B1"/>
    <w:rsid w:val="00883F60"/>
    <w:rsid w:val="008E11B9"/>
    <w:rsid w:val="009D458C"/>
    <w:rsid w:val="00A15E53"/>
    <w:rsid w:val="00A25F0E"/>
    <w:rsid w:val="00A95783"/>
    <w:rsid w:val="00AC1A24"/>
    <w:rsid w:val="00E53EF8"/>
    <w:rsid w:val="00EB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48603FD89C84EBD906E35BF7921165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16FE594A423428B97FA6372CE7C3E34"/>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65291D704E643A0A2F4736BB961B87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3020</Words>
  <Characters>3277</Characters>
  <Lines>35</Lines>
  <Paragraphs>10</Paragraphs>
  <TotalTime>2</TotalTime>
  <ScaleCrop>false</ScaleCrop>
  <LinksUpToDate>false</LinksUpToDate>
  <CharactersWithSpaces>3392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2024-11-19T00:52:00Z</dcterms:created>
  <dc:creator>Administrator</dc:creator>
  <dc:description>&lt;config cover="true" show_menu="true" version="1.0.0" doctype="SDKXY"&gt;_x000d_
&lt;/config&gt;</dc:description>
  <cp:lastModifiedBy>Chris</cp:lastModifiedBy>
  <cp:lastPrinted>2024-11-20T05:12:00Z</cp:lastPrinted>
  <dcterms:modified xsi:type="dcterms:W3CDTF">2024-11-22T10:25:18Z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AB5BC3CD3D7F4529ABD554936E8CE017_13</vt:lpwstr>
  </property>
</Properties>
</file>