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2C5F5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223A8FAA">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p>
        </w:tc>
        <w:tc>
          <w:tcPr>
            <w:tcW w:w="8855" w:type="dxa"/>
          </w:tcPr>
          <w:p w14:paraId="4AAD382C">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fldChar w:fldCharType="end"/>
            </w:r>
            <w:bookmarkEnd w:id="0"/>
          </w:p>
        </w:tc>
      </w:tr>
      <w:tr w14:paraId="2B553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DEB9517">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CCS</w:t>
            </w:r>
          </w:p>
        </w:tc>
        <w:tc>
          <w:tcPr>
            <w:tcW w:w="8855" w:type="dxa"/>
          </w:tcPr>
          <w:p w14:paraId="21C171F6">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04A6B8B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54B9B47C">
            <w:pPr>
              <w:pStyle w:val="49"/>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43</w:t>
            </w:r>
            <w:r>
              <w:fldChar w:fldCharType="end"/>
            </w:r>
            <w:bookmarkEnd w:id="3"/>
          </w:p>
        </w:tc>
      </w:tr>
    </w:tbl>
    <w:p w14:paraId="37B01626">
      <w:pPr>
        <w:pStyle w:val="50"/>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湖南省</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14:paraId="5038283E">
      <w:pPr>
        <w:pStyle w:val="195"/>
        <w:framePr/>
        <w:rPr>
          <w:lang w:val="fr-FR"/>
        </w:rPr>
      </w:pPr>
      <w:r>
        <w:rPr>
          <w:lang w:val="fr-FR"/>
        </w:rPr>
        <w:t>DB</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lang w:val="fr-FR"/>
        </w:rPr>
        <w:t>43</w:t>
      </w:r>
      <w:r>
        <w:rPr>
          <w:lang w:val="fr-FR"/>
        </w:rPr>
        <w:t>/T</w:t>
      </w:r>
      <w:r>
        <w:fldChar w:fldCharType="end"/>
      </w:r>
      <w:bookmarkEnd w:id="5"/>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1B20C51D">
      <w:pPr>
        <w:pStyle w:val="196"/>
        <w:framePr/>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6D908F76">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4445" r="0" b="508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eD&#10;SZbYAAAADAEAAA8AAAAAAAAAAQAgAAAAIgAAAGRycy9kb3ducmV2LnhtbFBLAQIUABQAAAAIAIdO&#10;4kDurh1R6gEAALoDAAAOAAAAAAAAAAEAIAAAACcBAABkcnMvZTJvRG9jLnhtbFBLBQYAAAAABgAG&#10;AFkBAACDBQAAAAA=&#10;">
                <v:fill on="f" focussize="0,0"/>
                <v:stroke color="#000000" joinstyle="round"/>
                <v:imagedata o:title=""/>
                <o:lock v:ext="edit" aspectratio="f"/>
              </v:line>
            </w:pict>
          </mc:Fallback>
        </mc:AlternateContent>
      </w:r>
    </w:p>
    <w:p w14:paraId="205AA38A">
      <w:pPr>
        <w:pStyle w:val="50"/>
        <w:framePr w:w="9639" w:h="6976" w:hRule="exact" w:hSpace="0" w:vSpace="0" w:wrap="around" w:hAnchor="page" w:y="6408"/>
        <w:jc w:val="center"/>
        <w:rPr>
          <w:rFonts w:ascii="黑体" w:hAnsi="黑体" w:eastAsia="黑体"/>
          <w:b w:val="0"/>
          <w:bCs w:val="0"/>
          <w:w w:val="100"/>
        </w:rPr>
      </w:pPr>
    </w:p>
    <w:p w14:paraId="09F917CD">
      <w:pPr>
        <w:pStyle w:val="19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石窟寺文物摄影测量三维数字化采集规程</w:t>
      </w:r>
      <w:r>
        <w:fldChar w:fldCharType="end"/>
      </w:r>
      <w:bookmarkEnd w:id="9"/>
    </w:p>
    <w:p w14:paraId="119989B8">
      <w:pPr>
        <w:framePr w:w="9639" w:h="6974" w:hRule="exact" w:wrap="around" w:vAnchor="page" w:hAnchor="page" w:x="1419" w:y="6408" w:anchorLock="1"/>
        <w:ind w:left="-1418"/>
      </w:pPr>
    </w:p>
    <w:p w14:paraId="40F9C725">
      <w:pPr>
        <w:pStyle w:val="125"/>
        <w:framePr w:w="9639" w:h="6974" w:hRule="exact" w:wrap="around" w:vAnchor="page" w:hAnchor="page" w:x="1419" w:y="6408" w:anchorLock="1"/>
        <w:textAlignment w:val="bottom"/>
        <w:rPr>
          <w:rFonts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ascii="黑体" w:hAnsi="黑体" w:eastAsia="黑体"/>
          <w:szCs w:val="28"/>
        </w:rPr>
        <w:t>Code for 3D digital collection of photographic survey of cultural relics in grottoe</w:t>
      </w:r>
      <w:r>
        <w:rPr>
          <w:rFonts w:ascii="黑体" w:hAnsi="黑体" w:eastAsia="黑体"/>
          <w:szCs w:val="28"/>
        </w:rPr>
        <w:fldChar w:fldCharType="end"/>
      </w:r>
      <w:bookmarkEnd w:id="10"/>
    </w:p>
    <w:p w14:paraId="19BA6BE3">
      <w:pPr>
        <w:framePr w:w="9639" w:h="6974" w:hRule="exact" w:wrap="around" w:vAnchor="page" w:hAnchor="page" w:x="1419" w:y="6408" w:anchorLock="1"/>
        <w:spacing w:line="760" w:lineRule="exact"/>
        <w:ind w:left="-1418"/>
      </w:pPr>
    </w:p>
    <w:p w14:paraId="54DFD3AB">
      <w:pPr>
        <w:pStyle w:val="125"/>
        <w:framePr w:w="9639" w:h="6974" w:hRule="exact" w:wrap="around" w:vAnchor="page" w:hAnchor="page" w:x="1419" w:y="6408" w:anchorLock="1"/>
        <w:textAlignment w:val="bottom"/>
        <w:rPr>
          <w:rFonts w:eastAsia="黑体"/>
          <w:szCs w:val="28"/>
        </w:rPr>
      </w:pPr>
    </w:p>
    <w:p w14:paraId="31401343">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1AED037E">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14:paraId="12CF3FD7">
      <w:pPr>
        <w:pStyle w:val="125"/>
        <w:framePr w:w="9639" w:h="6974" w:hRule="exact" w:wrap="around" w:vAnchor="page" w:hAnchor="page" w:x="1419" w:y="6408" w:anchorLock="1"/>
        <w:spacing w:beforeLines="300"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71A938B5">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rPr>
          <w:rFonts w:ascii="黑体"/>
        </w:rPr>
        <w:t>-</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ascii="黑体"/>
        </w:rPr>
        <w:t>-</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413A060A">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rPr>
          <w:rFonts w:ascii="黑体"/>
        </w:rPr>
        <w:t>-</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ascii="黑体"/>
        </w:rPr>
        <w:t>-</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539B556A">
      <w:pPr>
        <w:pStyle w:val="15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湖南省市场监督管理局</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12114EC3">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4445" r="0" b="508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szHPvX&#10;AAAADgEAAA8AAAAAAAAAAQAgAAAAIgAAAGRycy9kb3ducmV2LnhtbFBLAQIUABQAAAAIAIdO4kB3&#10;Ymi56AEAALgDAAAOAAAAAAAAAAEAIAAAACYBAABkcnMvZTJvRG9jLnhtbFBLBQYAAAAABgAGAFkB&#10;AACABQAAAAA=&#10;">
                <v:fill on="f" focussize="0,0"/>
                <v:stroke color="#000000" joinstyle="round"/>
                <v:imagedata o:title=""/>
                <o:lock v:ext="edit" aspectratio="f"/>
                <w10:anchorlock/>
              </v:line>
            </w:pict>
          </mc:Fallback>
        </mc:AlternateContent>
      </w:r>
    </w:p>
    <w:p w14:paraId="1354CB52">
      <w:pPr>
        <w:pStyle w:val="91"/>
        <w:spacing w:after="468"/>
      </w:pPr>
      <w:bookmarkStart w:id="21" w:name="BookMark1"/>
      <w:r>
        <w:rPr>
          <w:rFonts w:hint="eastAsia"/>
          <w:spacing w:val="320"/>
        </w:rPr>
        <w:t>目</w:t>
      </w:r>
      <w:r>
        <w:rPr>
          <w:rFonts w:hint="eastAsia"/>
        </w:rPr>
        <w:t>次</w:t>
      </w:r>
    </w:p>
    <w:p w14:paraId="11019966">
      <w:pPr>
        <w:pStyle w:val="19"/>
        <w:tabs>
          <w:tab w:val="right" w:leader="dot" w:pos="9344"/>
        </w:tabs>
        <w:rPr>
          <w:rFonts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"_Toc179272139" </w:instrText>
      </w:r>
      <w:r>
        <w:fldChar w:fldCharType="separate"/>
      </w:r>
      <w:r>
        <w:rPr>
          <w:rStyle w:val="32"/>
          <w:rFonts w:hint="eastAsia"/>
        </w:rPr>
        <w:t>前言</w:t>
      </w:r>
      <w:r>
        <w:tab/>
      </w:r>
      <w:r>
        <w:fldChar w:fldCharType="begin"/>
      </w:r>
      <w:r>
        <w:instrText xml:space="preserve"> PAGEREF _Toc179272139 \h </w:instrText>
      </w:r>
      <w:r>
        <w:fldChar w:fldCharType="separate"/>
      </w:r>
      <w:r>
        <w:t>II</w:t>
      </w:r>
      <w:r>
        <w:fldChar w:fldCharType="end"/>
      </w:r>
      <w:r>
        <w:fldChar w:fldCharType="end"/>
      </w:r>
    </w:p>
    <w:p w14:paraId="09D8DF3E">
      <w:pPr>
        <w:pStyle w:val="19"/>
        <w:tabs>
          <w:tab w:val="right" w:leader="dot" w:pos="9344"/>
        </w:tabs>
        <w:rPr>
          <w:rFonts w:asciiTheme="minorHAnsi" w:hAnsiTheme="minorHAnsi" w:eastAsiaTheme="minorEastAsia" w:cstheme="minorBidi"/>
          <w:szCs w:val="22"/>
        </w:rPr>
      </w:pPr>
      <w:r>
        <w:fldChar w:fldCharType="begin"/>
      </w:r>
      <w:r>
        <w:instrText xml:space="preserve"> HYPERLINK \l "_Toc179272140" </w:instrText>
      </w:r>
      <w:r>
        <w:fldChar w:fldCharType="separate"/>
      </w:r>
      <w:r>
        <w:rPr>
          <w:rStyle w:val="32"/>
        </w:rPr>
        <w:t>1</w:t>
      </w:r>
      <w:r>
        <w:rPr>
          <w:rStyle w:val="32"/>
          <w:rFonts w:hint="eastAsia"/>
        </w:rPr>
        <w:t xml:space="preserve"> 范围</w:t>
      </w:r>
      <w:r>
        <w:tab/>
      </w:r>
      <w:r>
        <w:fldChar w:fldCharType="begin"/>
      </w:r>
      <w:r>
        <w:instrText xml:space="preserve"> PAGEREF _Toc179272140 \h </w:instrText>
      </w:r>
      <w:r>
        <w:fldChar w:fldCharType="separate"/>
      </w:r>
      <w:r>
        <w:t>1</w:t>
      </w:r>
      <w:r>
        <w:fldChar w:fldCharType="end"/>
      </w:r>
      <w:r>
        <w:fldChar w:fldCharType="end"/>
      </w:r>
    </w:p>
    <w:p w14:paraId="06F91094">
      <w:pPr>
        <w:pStyle w:val="19"/>
        <w:tabs>
          <w:tab w:val="right" w:leader="dot" w:pos="9344"/>
        </w:tabs>
        <w:rPr>
          <w:rFonts w:asciiTheme="minorHAnsi" w:hAnsiTheme="minorHAnsi" w:eastAsiaTheme="minorEastAsia" w:cstheme="minorBidi"/>
          <w:szCs w:val="22"/>
        </w:rPr>
      </w:pPr>
      <w:r>
        <w:fldChar w:fldCharType="begin"/>
      </w:r>
      <w:r>
        <w:instrText xml:space="preserve"> HYPERLINK \l "_Toc179272141" </w:instrText>
      </w:r>
      <w:r>
        <w:fldChar w:fldCharType="separate"/>
      </w:r>
      <w:r>
        <w:rPr>
          <w:rStyle w:val="32"/>
        </w:rPr>
        <w:t>2</w:t>
      </w:r>
      <w:r>
        <w:rPr>
          <w:rStyle w:val="32"/>
          <w:rFonts w:hint="eastAsia"/>
        </w:rPr>
        <w:t xml:space="preserve"> 规范性引用文件</w:t>
      </w:r>
      <w:r>
        <w:tab/>
      </w:r>
      <w:r>
        <w:fldChar w:fldCharType="begin"/>
      </w:r>
      <w:r>
        <w:instrText xml:space="preserve"> PAGEREF _Toc179272141 \h </w:instrText>
      </w:r>
      <w:r>
        <w:fldChar w:fldCharType="separate"/>
      </w:r>
      <w:r>
        <w:t>1</w:t>
      </w:r>
      <w:r>
        <w:fldChar w:fldCharType="end"/>
      </w:r>
      <w:r>
        <w:fldChar w:fldCharType="end"/>
      </w:r>
    </w:p>
    <w:p w14:paraId="73EB7405">
      <w:pPr>
        <w:pStyle w:val="19"/>
        <w:tabs>
          <w:tab w:val="right" w:leader="dot" w:pos="9344"/>
        </w:tabs>
        <w:rPr>
          <w:rFonts w:asciiTheme="minorHAnsi" w:hAnsiTheme="minorHAnsi" w:eastAsiaTheme="minorEastAsia" w:cstheme="minorBidi"/>
          <w:szCs w:val="22"/>
        </w:rPr>
      </w:pPr>
      <w:r>
        <w:fldChar w:fldCharType="begin"/>
      </w:r>
      <w:r>
        <w:instrText xml:space="preserve"> HYPERLINK \l "_Toc179272142" </w:instrText>
      </w:r>
      <w:r>
        <w:fldChar w:fldCharType="separate"/>
      </w:r>
      <w:r>
        <w:rPr>
          <w:rStyle w:val="32"/>
        </w:rPr>
        <w:t>3</w:t>
      </w:r>
      <w:r>
        <w:rPr>
          <w:rStyle w:val="32"/>
          <w:rFonts w:hint="eastAsia"/>
        </w:rPr>
        <w:t xml:space="preserve"> 术语和定义</w:t>
      </w:r>
      <w:r>
        <w:tab/>
      </w:r>
      <w:r>
        <w:fldChar w:fldCharType="begin"/>
      </w:r>
      <w:r>
        <w:instrText xml:space="preserve"> PAGEREF _Toc179272142 \h </w:instrText>
      </w:r>
      <w:r>
        <w:fldChar w:fldCharType="separate"/>
      </w:r>
      <w:r>
        <w:t>1</w:t>
      </w:r>
      <w:r>
        <w:fldChar w:fldCharType="end"/>
      </w:r>
      <w:r>
        <w:fldChar w:fldCharType="end"/>
      </w:r>
    </w:p>
    <w:p w14:paraId="159448DD">
      <w:pPr>
        <w:pStyle w:val="19"/>
        <w:tabs>
          <w:tab w:val="right" w:leader="dot" w:pos="9344"/>
        </w:tabs>
        <w:rPr>
          <w:rFonts w:asciiTheme="minorHAnsi" w:hAnsiTheme="minorHAnsi" w:eastAsiaTheme="minorEastAsia" w:cstheme="minorBidi"/>
          <w:szCs w:val="22"/>
        </w:rPr>
      </w:pPr>
      <w:r>
        <w:fldChar w:fldCharType="begin"/>
      </w:r>
      <w:r>
        <w:instrText xml:space="preserve"> HYPERLINK \l "_Toc179272144" </w:instrText>
      </w:r>
      <w:r>
        <w:fldChar w:fldCharType="separate"/>
      </w:r>
      <w:r>
        <w:rPr>
          <w:rStyle w:val="32"/>
        </w:rPr>
        <w:t>4</w:t>
      </w:r>
      <w:r>
        <w:rPr>
          <w:rStyle w:val="32"/>
          <w:rFonts w:hint="eastAsia"/>
        </w:rPr>
        <w:t xml:space="preserve"> 一般要求</w:t>
      </w:r>
      <w:r>
        <w:tab/>
      </w:r>
      <w:r>
        <w:fldChar w:fldCharType="begin"/>
      </w:r>
      <w:r>
        <w:instrText xml:space="preserve"> PAGEREF _Toc179272144 \h </w:instrText>
      </w:r>
      <w:r>
        <w:fldChar w:fldCharType="separate"/>
      </w:r>
      <w:r>
        <w:t>2</w:t>
      </w:r>
      <w:r>
        <w:fldChar w:fldCharType="end"/>
      </w:r>
      <w:r>
        <w:fldChar w:fldCharType="end"/>
      </w:r>
    </w:p>
    <w:p w14:paraId="63FD1F2F">
      <w:pPr>
        <w:pStyle w:val="19"/>
        <w:tabs>
          <w:tab w:val="right" w:leader="dot" w:pos="9344"/>
        </w:tabs>
        <w:rPr>
          <w:rFonts w:asciiTheme="minorHAnsi" w:hAnsiTheme="minorHAnsi" w:eastAsiaTheme="minorEastAsia" w:cstheme="minorBidi"/>
          <w:szCs w:val="22"/>
        </w:rPr>
      </w:pPr>
      <w:r>
        <w:fldChar w:fldCharType="begin"/>
      </w:r>
      <w:r>
        <w:instrText xml:space="preserve"> HYPERLINK \l "_Toc179272145" </w:instrText>
      </w:r>
      <w:r>
        <w:fldChar w:fldCharType="separate"/>
      </w:r>
      <w:r>
        <w:rPr>
          <w:rStyle w:val="32"/>
        </w:rPr>
        <w:t>5</w:t>
      </w:r>
      <w:r>
        <w:rPr>
          <w:rStyle w:val="32"/>
          <w:rFonts w:hint="eastAsia"/>
        </w:rPr>
        <w:t xml:space="preserve"> 采集准备</w:t>
      </w:r>
      <w:r>
        <w:tab/>
      </w:r>
      <w:r>
        <w:fldChar w:fldCharType="begin"/>
      </w:r>
      <w:r>
        <w:instrText xml:space="preserve"> PAGEREF _Toc179272145 \h </w:instrText>
      </w:r>
      <w:r>
        <w:fldChar w:fldCharType="separate"/>
      </w:r>
      <w:r>
        <w:t>2</w:t>
      </w:r>
      <w:r>
        <w:fldChar w:fldCharType="end"/>
      </w:r>
      <w:r>
        <w:fldChar w:fldCharType="end"/>
      </w:r>
    </w:p>
    <w:p w14:paraId="787ACF1D">
      <w:pPr>
        <w:pStyle w:val="19"/>
        <w:tabs>
          <w:tab w:val="right" w:leader="dot" w:pos="9344"/>
        </w:tabs>
        <w:rPr>
          <w:rFonts w:asciiTheme="minorHAnsi" w:hAnsiTheme="minorHAnsi" w:eastAsiaTheme="minorEastAsia" w:cstheme="minorBidi"/>
          <w:szCs w:val="22"/>
        </w:rPr>
      </w:pPr>
      <w:r>
        <w:fldChar w:fldCharType="begin"/>
      </w:r>
      <w:r>
        <w:instrText xml:space="preserve"> HYPERLINK \l "_Toc179272149" </w:instrText>
      </w:r>
      <w:r>
        <w:fldChar w:fldCharType="separate"/>
      </w:r>
      <w:r>
        <w:rPr>
          <w:rStyle w:val="32"/>
        </w:rPr>
        <w:t>6</w:t>
      </w:r>
      <w:r>
        <w:rPr>
          <w:rStyle w:val="32"/>
          <w:rFonts w:hint="eastAsia"/>
        </w:rPr>
        <w:t xml:space="preserve"> 数据格式</w:t>
      </w:r>
      <w:r>
        <w:tab/>
      </w:r>
      <w:r>
        <w:fldChar w:fldCharType="begin"/>
      </w:r>
      <w:r>
        <w:instrText xml:space="preserve"> PAGEREF _Toc179272149 \h </w:instrText>
      </w:r>
      <w:r>
        <w:fldChar w:fldCharType="separate"/>
      </w:r>
      <w:r>
        <w:t>3</w:t>
      </w:r>
      <w:r>
        <w:fldChar w:fldCharType="end"/>
      </w:r>
      <w:r>
        <w:fldChar w:fldCharType="end"/>
      </w:r>
    </w:p>
    <w:p w14:paraId="52F795F1">
      <w:pPr>
        <w:pStyle w:val="19"/>
        <w:tabs>
          <w:tab w:val="right" w:leader="dot" w:pos="9344"/>
        </w:tabs>
        <w:rPr>
          <w:rFonts w:asciiTheme="minorHAnsi" w:hAnsiTheme="minorHAnsi" w:eastAsiaTheme="minorEastAsia" w:cstheme="minorBidi"/>
          <w:szCs w:val="22"/>
        </w:rPr>
      </w:pPr>
      <w:r>
        <w:fldChar w:fldCharType="begin"/>
      </w:r>
      <w:r>
        <w:instrText xml:space="preserve"> HYPERLINK \l "_Toc179272150" </w:instrText>
      </w:r>
      <w:r>
        <w:fldChar w:fldCharType="separate"/>
      </w:r>
      <w:r>
        <w:rPr>
          <w:rStyle w:val="32"/>
        </w:rPr>
        <w:t>7</w:t>
      </w:r>
      <w:r>
        <w:rPr>
          <w:rStyle w:val="32"/>
          <w:rFonts w:hint="eastAsia"/>
        </w:rPr>
        <w:t xml:space="preserve"> 数据采集</w:t>
      </w:r>
      <w:r>
        <w:tab/>
      </w:r>
      <w:r>
        <w:fldChar w:fldCharType="begin"/>
      </w:r>
      <w:r>
        <w:instrText xml:space="preserve"> PAGEREF _Toc179272150 \h </w:instrText>
      </w:r>
      <w:r>
        <w:fldChar w:fldCharType="separate"/>
      </w:r>
      <w:r>
        <w:t>3</w:t>
      </w:r>
      <w:r>
        <w:fldChar w:fldCharType="end"/>
      </w:r>
      <w:r>
        <w:fldChar w:fldCharType="end"/>
      </w:r>
    </w:p>
    <w:p w14:paraId="7A52F24D">
      <w:pPr>
        <w:pStyle w:val="19"/>
        <w:tabs>
          <w:tab w:val="right" w:leader="dot" w:pos="9344"/>
        </w:tabs>
        <w:rPr>
          <w:rFonts w:asciiTheme="minorHAnsi" w:hAnsiTheme="minorHAnsi" w:eastAsiaTheme="minorEastAsia" w:cstheme="minorBidi"/>
          <w:szCs w:val="22"/>
        </w:rPr>
      </w:pPr>
      <w:r>
        <w:fldChar w:fldCharType="begin"/>
      </w:r>
      <w:r>
        <w:instrText xml:space="preserve"> HYPERLINK \l "_Toc179272155" </w:instrText>
      </w:r>
      <w:r>
        <w:fldChar w:fldCharType="separate"/>
      </w:r>
      <w:r>
        <w:rPr>
          <w:rStyle w:val="32"/>
        </w:rPr>
        <w:t>8</w:t>
      </w:r>
      <w:r>
        <w:rPr>
          <w:rStyle w:val="32"/>
          <w:rFonts w:hint="eastAsia"/>
        </w:rPr>
        <w:t xml:space="preserve"> 数据处理</w:t>
      </w:r>
      <w:r>
        <w:tab/>
      </w:r>
      <w:r>
        <w:fldChar w:fldCharType="begin"/>
      </w:r>
      <w:r>
        <w:instrText xml:space="preserve"> PAGEREF _Toc179272155 \h </w:instrText>
      </w:r>
      <w:r>
        <w:fldChar w:fldCharType="separate"/>
      </w:r>
      <w:r>
        <w:t>4</w:t>
      </w:r>
      <w:r>
        <w:fldChar w:fldCharType="end"/>
      </w:r>
      <w:r>
        <w:fldChar w:fldCharType="end"/>
      </w:r>
    </w:p>
    <w:p w14:paraId="1BCAF59F">
      <w:pPr>
        <w:pStyle w:val="19"/>
        <w:tabs>
          <w:tab w:val="right" w:leader="dot" w:pos="9344"/>
        </w:tabs>
        <w:rPr>
          <w:rFonts w:asciiTheme="minorHAnsi" w:hAnsiTheme="minorHAnsi" w:eastAsiaTheme="minorEastAsia" w:cstheme="minorBidi"/>
          <w:szCs w:val="22"/>
        </w:rPr>
      </w:pPr>
      <w:r>
        <w:fldChar w:fldCharType="begin"/>
      </w:r>
      <w:r>
        <w:instrText xml:space="preserve"> HYPERLINK \l "_Toc179272159" </w:instrText>
      </w:r>
      <w:r>
        <w:fldChar w:fldCharType="separate"/>
      </w:r>
      <w:r>
        <w:rPr>
          <w:rStyle w:val="32"/>
        </w:rPr>
        <w:t>9</w:t>
      </w:r>
      <w:r>
        <w:rPr>
          <w:rStyle w:val="32"/>
          <w:rFonts w:hint="eastAsia"/>
        </w:rPr>
        <w:t xml:space="preserve"> 成果数据</w:t>
      </w:r>
      <w:r>
        <w:tab/>
      </w:r>
      <w:r>
        <w:fldChar w:fldCharType="begin"/>
      </w:r>
      <w:r>
        <w:instrText xml:space="preserve"> PAGEREF _Toc179272159 \h </w:instrText>
      </w:r>
      <w:r>
        <w:fldChar w:fldCharType="separate"/>
      </w:r>
      <w:r>
        <w:t>4</w:t>
      </w:r>
      <w:r>
        <w:fldChar w:fldCharType="end"/>
      </w:r>
      <w:r>
        <w:fldChar w:fldCharType="end"/>
      </w:r>
    </w:p>
    <w:p w14:paraId="2AC2BF7C">
      <w:pPr>
        <w:pStyle w:val="19"/>
        <w:tabs>
          <w:tab w:val="right" w:leader="dot" w:pos="9344"/>
        </w:tabs>
        <w:rPr>
          <w:rFonts w:asciiTheme="minorHAnsi" w:hAnsiTheme="minorHAnsi" w:eastAsiaTheme="minorEastAsia" w:cstheme="minorBidi"/>
          <w:szCs w:val="22"/>
        </w:rPr>
      </w:pPr>
      <w:r>
        <w:fldChar w:fldCharType="begin"/>
      </w:r>
      <w:r>
        <w:instrText xml:space="preserve"> HYPERLINK \l "_Toc179272164" </w:instrText>
      </w:r>
      <w:r>
        <w:fldChar w:fldCharType="separate"/>
      </w:r>
      <w:r>
        <w:rPr>
          <w:rStyle w:val="32"/>
        </w:rPr>
        <w:t>10</w:t>
      </w:r>
      <w:r>
        <w:rPr>
          <w:rStyle w:val="32"/>
          <w:rFonts w:hint="eastAsia"/>
        </w:rPr>
        <w:t xml:space="preserve"> 成果评价</w:t>
      </w:r>
      <w:r>
        <w:tab/>
      </w:r>
      <w:r>
        <w:fldChar w:fldCharType="begin"/>
      </w:r>
      <w:r>
        <w:instrText xml:space="preserve"> PAGEREF _Toc179272164 \h </w:instrText>
      </w:r>
      <w:r>
        <w:fldChar w:fldCharType="separate"/>
      </w:r>
      <w:r>
        <w:t>5</w:t>
      </w:r>
      <w:r>
        <w:fldChar w:fldCharType="end"/>
      </w:r>
      <w:r>
        <w:fldChar w:fldCharType="end"/>
      </w:r>
    </w:p>
    <w:p w14:paraId="64EF3A2A">
      <w:pPr>
        <w:pStyle w:val="91"/>
        <w:spacing w:after="468"/>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21"/>
    <w:p w14:paraId="5A702A50">
      <w:pPr>
        <w:pStyle w:val="89"/>
        <w:spacing w:before="900" w:after="468"/>
      </w:pPr>
      <w:bookmarkStart w:id="22" w:name="_Toc179272139"/>
      <w:bookmarkStart w:id="23" w:name="BookMark2"/>
      <w:r>
        <w:rPr>
          <w:spacing w:val="320"/>
        </w:rPr>
        <w:t>前</w:t>
      </w:r>
      <w:r>
        <w:t>言</w:t>
      </w:r>
      <w:bookmarkEnd w:id="22"/>
    </w:p>
    <w:p w14:paraId="4F16EA45">
      <w:pPr>
        <w:pStyle w:val="56"/>
        <w:ind w:firstLine="420"/>
      </w:pPr>
      <w:r>
        <w:rPr>
          <w:rFonts w:hint="eastAsia"/>
        </w:rPr>
        <w:t>本文件按照GB/T 1.1—2020《标准化工作导则  第1部分：标准化文件的结构和起草规则》的规定起草。</w:t>
      </w:r>
    </w:p>
    <w:p w14:paraId="1C4D90A8">
      <w:pPr>
        <w:pStyle w:val="56"/>
        <w:ind w:firstLine="420"/>
      </w:pPr>
      <w:r>
        <w:rPr>
          <w:rFonts w:hint="eastAsia"/>
        </w:rPr>
        <w:t>请注意本文件的某些内容可能涉及专利。本文件的发布机构不承担识别专利的责任。</w:t>
      </w:r>
    </w:p>
    <w:p w14:paraId="34E76E90">
      <w:pPr>
        <w:pStyle w:val="56"/>
        <w:ind w:firstLine="420"/>
      </w:pPr>
      <w:r>
        <w:rPr>
          <w:rFonts w:hint="eastAsia"/>
        </w:rPr>
        <w:t>本文件由湖南省文化和旅游厅提出。</w:t>
      </w:r>
    </w:p>
    <w:p w14:paraId="3E07B4D4">
      <w:pPr>
        <w:pStyle w:val="56"/>
        <w:ind w:firstLine="420"/>
      </w:pPr>
      <w:r>
        <w:rPr>
          <w:rFonts w:hint="eastAsia"/>
        </w:rPr>
        <w:t>本文件由湖南省旅游标准化技术委员会归口。</w:t>
      </w:r>
    </w:p>
    <w:p w14:paraId="7C236609">
      <w:pPr>
        <w:pStyle w:val="56"/>
        <w:ind w:firstLine="420"/>
      </w:pPr>
      <w:r>
        <w:rPr>
          <w:rFonts w:hint="eastAsia"/>
        </w:rPr>
        <w:t>本文件起草单位：湖南省文物考古研究院、湖南省文化和旅游厅。</w:t>
      </w:r>
    </w:p>
    <w:p w14:paraId="7F88DDDE">
      <w:pPr>
        <w:pStyle w:val="56"/>
        <w:ind w:firstLine="420"/>
      </w:pPr>
      <w:r>
        <w:rPr>
          <w:rFonts w:hint="eastAsia"/>
        </w:rPr>
        <w:t>本文件主要起草人：张希慧、黄俊晶、姜猛、于冰、张晶、连江、彭杰、贾英杰、王俊豪、何山、佘柯萱。</w:t>
      </w:r>
    </w:p>
    <w:p w14:paraId="79DCCFD7">
      <w:pPr>
        <w:pStyle w:val="56"/>
        <w:ind w:firstLine="420"/>
      </w:pPr>
    </w:p>
    <w:p w14:paraId="397C5827">
      <w:pPr>
        <w:pStyle w:val="56"/>
        <w:ind w:firstLine="420"/>
        <w:sectPr>
          <w:pgSz w:w="11906" w:h="16838"/>
          <w:pgMar w:top="1928" w:right="1134" w:bottom="1134" w:left="1134" w:header="1418" w:footer="1134" w:gutter="284"/>
          <w:pgNumType w:fmt="upperRoman"/>
          <w:cols w:space="425" w:num="1"/>
          <w:formProt w:val="0"/>
          <w:docGrid w:type="lines" w:linePitch="312" w:charSpace="0"/>
        </w:sectPr>
      </w:pPr>
    </w:p>
    <w:bookmarkEnd w:id="23"/>
    <w:p w14:paraId="56A3992E">
      <w:pPr>
        <w:spacing w:line="20" w:lineRule="exact"/>
        <w:jc w:val="center"/>
        <w:rPr>
          <w:rFonts w:ascii="黑体" w:hAnsi="黑体" w:eastAsia="黑体"/>
          <w:sz w:val="32"/>
          <w:szCs w:val="32"/>
        </w:rPr>
      </w:pPr>
      <w:bookmarkStart w:id="24" w:name="BookMark4"/>
    </w:p>
    <w:p w14:paraId="0277A639">
      <w:pPr>
        <w:spacing w:line="20" w:lineRule="exact"/>
        <w:jc w:val="center"/>
        <w:rPr>
          <w:rFonts w:ascii="黑体" w:hAnsi="黑体" w:eastAsia="黑体"/>
          <w:sz w:val="32"/>
          <w:szCs w:val="32"/>
        </w:rPr>
      </w:pPr>
    </w:p>
    <w:sdt>
      <w:sdtPr>
        <w:tag w:val="NEW_STAND_NAME"/>
        <w:id w:val="595910757"/>
        <w:lock w:val="sdtLocked"/>
        <w:placeholder>
          <w:docPart w:val="082FAEAE81F642C9B9331F71D6C284A1"/>
        </w:placeholder>
      </w:sdtPr>
      <w:sdtContent>
        <w:p w14:paraId="2DDB9391">
          <w:pPr>
            <w:pStyle w:val="177"/>
            <w:spacing w:beforeLines="100" w:afterLines="220"/>
          </w:pPr>
          <w:bookmarkStart w:id="25" w:name="NEW_STAND_NAME"/>
          <w:r>
            <w:rPr>
              <w:rFonts w:hint="eastAsia"/>
            </w:rPr>
            <w:t>石窟寺文物摄影测量三维数字化采集规程</w:t>
          </w:r>
        </w:p>
      </w:sdtContent>
    </w:sdt>
    <w:bookmarkEnd w:id="25"/>
    <w:p w14:paraId="5B6FB096">
      <w:pPr>
        <w:pStyle w:val="104"/>
        <w:spacing w:before="312" w:after="312"/>
      </w:pPr>
      <w:bookmarkStart w:id="26" w:name="_Toc24884211"/>
      <w:bookmarkStart w:id="27" w:name="_Toc26718930"/>
      <w:bookmarkStart w:id="28" w:name="_Toc17233325"/>
      <w:bookmarkStart w:id="29" w:name="_Toc26986530"/>
      <w:bookmarkStart w:id="30" w:name="_Toc26986771"/>
      <w:bookmarkStart w:id="31" w:name="_Toc17233333"/>
      <w:bookmarkStart w:id="32" w:name="_Toc24884218"/>
      <w:bookmarkStart w:id="33" w:name="_Toc26648465"/>
      <w:bookmarkStart w:id="34" w:name="_Toc97191423"/>
      <w:bookmarkStart w:id="35" w:name="_Toc179272140"/>
      <w:r>
        <w:rPr>
          <w:rFonts w:hint="eastAsia"/>
        </w:rPr>
        <w:t>范围</w:t>
      </w:r>
      <w:bookmarkEnd w:id="26"/>
      <w:bookmarkEnd w:id="27"/>
      <w:bookmarkEnd w:id="28"/>
      <w:bookmarkEnd w:id="29"/>
      <w:bookmarkEnd w:id="30"/>
      <w:bookmarkEnd w:id="31"/>
      <w:bookmarkEnd w:id="32"/>
      <w:bookmarkEnd w:id="33"/>
      <w:bookmarkEnd w:id="34"/>
      <w:bookmarkEnd w:id="35"/>
    </w:p>
    <w:p w14:paraId="20909097">
      <w:pPr>
        <w:pStyle w:val="56"/>
        <w:ind w:firstLine="420"/>
      </w:pPr>
      <w:bookmarkStart w:id="36" w:name="_Toc24884212"/>
      <w:bookmarkStart w:id="37" w:name="_Toc24884219"/>
      <w:bookmarkStart w:id="38" w:name="_Toc17233326"/>
      <w:bookmarkStart w:id="39" w:name="_Toc26648466"/>
      <w:bookmarkStart w:id="40" w:name="_Toc17233334"/>
      <w:r>
        <w:rPr>
          <w:rFonts w:hint="eastAsia"/>
        </w:rPr>
        <w:t>本文件规定了石窟寺文物摄影测量三维数字化采集的一般要求、采集准备、数据格式、数据采集、数据处理、成果数据及成果评价。</w:t>
      </w:r>
    </w:p>
    <w:p w14:paraId="608C36F1">
      <w:pPr>
        <w:pStyle w:val="56"/>
        <w:ind w:firstLine="420"/>
      </w:pPr>
      <w:r>
        <w:rPr>
          <w:rFonts w:hint="eastAsia"/>
        </w:rPr>
        <w:t>本文件适用于石窟寺文物数字化采集。</w:t>
      </w:r>
    </w:p>
    <w:p w14:paraId="439ABD24">
      <w:pPr>
        <w:pStyle w:val="104"/>
        <w:spacing w:before="312" w:after="312"/>
      </w:pPr>
      <w:bookmarkStart w:id="41" w:name="_Toc26986531"/>
      <w:bookmarkStart w:id="42" w:name="_Toc26986772"/>
      <w:bookmarkStart w:id="43" w:name="_Toc26718931"/>
      <w:bookmarkStart w:id="44" w:name="_Toc179272141"/>
      <w:bookmarkStart w:id="45" w:name="_Toc97191424"/>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BF55F1676E8A49CE8114A1964EFF08E9"/>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777ED32A">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2580B20">
      <w:pPr>
        <w:pStyle w:val="56"/>
        <w:ind w:firstLine="420"/>
      </w:pPr>
      <w:r>
        <w:rPr>
          <w:rFonts w:hint="eastAsia"/>
        </w:rPr>
        <w:t>GB/T 12898 国家三、四等水准测量规范</w:t>
      </w:r>
    </w:p>
    <w:p w14:paraId="19471AC0">
      <w:pPr>
        <w:pStyle w:val="56"/>
        <w:ind w:firstLine="420"/>
      </w:pPr>
      <w:r>
        <w:rPr>
          <w:rFonts w:hint="eastAsia"/>
        </w:rPr>
        <w:t>GB/T 14950 摄影测量与遥感术语</w:t>
      </w:r>
    </w:p>
    <w:p w14:paraId="7FA65550">
      <w:pPr>
        <w:pStyle w:val="56"/>
        <w:ind w:firstLine="420"/>
      </w:pPr>
      <w:r>
        <w:rPr>
          <w:rFonts w:hint="eastAsia"/>
        </w:rPr>
        <w:t>GB/T 15314 精密工程测量规范</w:t>
      </w:r>
    </w:p>
    <w:p w14:paraId="508208B9">
      <w:pPr>
        <w:pStyle w:val="56"/>
        <w:ind w:firstLine="420"/>
      </w:pPr>
      <w:r>
        <w:rPr>
          <w:rFonts w:hint="eastAsia"/>
        </w:rPr>
        <w:t>GB/T 17941 数字测绘成果质量要求</w:t>
      </w:r>
    </w:p>
    <w:p w14:paraId="1A1744C2">
      <w:pPr>
        <w:pStyle w:val="56"/>
        <w:ind w:firstLine="420"/>
      </w:pPr>
      <w:r>
        <w:rPr>
          <w:rFonts w:hint="eastAsia"/>
        </w:rPr>
        <w:t>GB/T 18314 全球定位系统（GPS）测量规范</w:t>
      </w:r>
    </w:p>
    <w:p w14:paraId="4B912F1C">
      <w:pPr>
        <w:pStyle w:val="56"/>
        <w:ind w:firstLine="420"/>
      </w:pPr>
      <w:r>
        <w:rPr>
          <w:rFonts w:hint="eastAsia"/>
        </w:rPr>
        <w:t>GB/T 18316 数字测绘成果质量检查与验收</w:t>
      </w:r>
    </w:p>
    <w:p w14:paraId="097BC4CD">
      <w:pPr>
        <w:pStyle w:val="56"/>
        <w:ind w:firstLine="420"/>
      </w:pPr>
      <w:r>
        <w:rPr>
          <w:rFonts w:hint="eastAsia"/>
        </w:rPr>
        <w:t>GB/T 18894 电子文件归档与管理规范</w:t>
      </w:r>
    </w:p>
    <w:p w14:paraId="207FBA8E">
      <w:pPr>
        <w:pStyle w:val="56"/>
        <w:ind w:firstLine="420"/>
      </w:pPr>
      <w:r>
        <w:rPr>
          <w:rFonts w:hint="eastAsia"/>
        </w:rPr>
        <w:t>GB/T 24356 测绘成果质量检查与验收</w:t>
      </w:r>
    </w:p>
    <w:p w14:paraId="385FF924">
      <w:pPr>
        <w:pStyle w:val="56"/>
        <w:ind w:firstLine="420"/>
      </w:pPr>
      <w:r>
        <w:rPr>
          <w:rFonts w:hint="eastAsia"/>
        </w:rPr>
        <w:t>GB/T 50001 房屋建筑制图统一标准</w:t>
      </w:r>
    </w:p>
    <w:p w14:paraId="3C436965">
      <w:pPr>
        <w:pStyle w:val="56"/>
        <w:ind w:firstLine="420"/>
      </w:pPr>
      <w:r>
        <w:rPr>
          <w:rFonts w:hint="eastAsia"/>
        </w:rPr>
        <w:t>GB/T 50103 总图制图标准（附条文说明）</w:t>
      </w:r>
    </w:p>
    <w:p w14:paraId="16582439">
      <w:pPr>
        <w:pStyle w:val="56"/>
        <w:ind w:firstLine="420"/>
      </w:pPr>
      <w:r>
        <w:rPr>
          <w:rFonts w:hint="eastAsia"/>
        </w:rPr>
        <w:t>GB/T 50104 建筑制图标准</w:t>
      </w:r>
    </w:p>
    <w:p w14:paraId="783852A1">
      <w:pPr>
        <w:pStyle w:val="56"/>
        <w:ind w:firstLine="420"/>
      </w:pPr>
      <w:r>
        <w:rPr>
          <w:rFonts w:hint="eastAsia"/>
        </w:rPr>
        <w:t>CH/T 1004 测绘技术设计规定</w:t>
      </w:r>
    </w:p>
    <w:p w14:paraId="604FC475">
      <w:pPr>
        <w:pStyle w:val="56"/>
        <w:ind w:firstLine="420"/>
      </w:pPr>
      <w:r>
        <w:rPr>
          <w:rFonts w:hint="eastAsia"/>
        </w:rPr>
        <w:t>CH/T 9016 三维地理信息模型生产规范</w:t>
      </w:r>
    </w:p>
    <w:p w14:paraId="69F847ED">
      <w:pPr>
        <w:pStyle w:val="56"/>
        <w:ind w:firstLine="420"/>
      </w:pPr>
      <w:r>
        <w:rPr>
          <w:rFonts w:hint="eastAsia"/>
        </w:rPr>
        <w:t>CJJ/T 8 城市测量规范</w:t>
      </w:r>
    </w:p>
    <w:p w14:paraId="2D0FFF7F">
      <w:pPr>
        <w:pStyle w:val="56"/>
        <w:ind w:firstLine="420"/>
      </w:pPr>
      <w:r>
        <w:rPr>
          <w:rFonts w:hint="eastAsia"/>
        </w:rPr>
        <w:t>CJJ/T 73卫星定位城市测量技术规范</w:t>
      </w:r>
    </w:p>
    <w:p w14:paraId="2B25DA17">
      <w:pPr>
        <w:pStyle w:val="56"/>
        <w:ind w:firstLine="420"/>
      </w:pPr>
      <w:r>
        <w:rPr>
          <w:rFonts w:hint="eastAsia"/>
        </w:rPr>
        <w:t>JJG 100 全站型电子测速仪检定规程</w:t>
      </w:r>
    </w:p>
    <w:p w14:paraId="6BC255B7">
      <w:pPr>
        <w:pStyle w:val="56"/>
        <w:ind w:firstLine="420"/>
      </w:pPr>
      <w:r>
        <w:rPr>
          <w:rFonts w:hint="eastAsia"/>
        </w:rPr>
        <w:t>JJG 2101 数字水准仪检定规程</w:t>
      </w:r>
    </w:p>
    <w:p w14:paraId="34AB0BD2">
      <w:pPr>
        <w:pStyle w:val="104"/>
        <w:spacing w:before="312" w:after="312"/>
      </w:pPr>
      <w:bookmarkStart w:id="46" w:name="_Toc97191425"/>
      <w:bookmarkStart w:id="47" w:name="_Toc179272142"/>
      <w:r>
        <w:rPr>
          <w:rFonts w:hint="eastAsia"/>
          <w:szCs w:val="21"/>
        </w:rPr>
        <w:t>术语和定义</w:t>
      </w:r>
      <w:bookmarkEnd w:id="46"/>
      <w:bookmarkEnd w:id="47"/>
    </w:p>
    <w:sdt>
      <w:sdtPr>
        <w:id w:val="-1909835108"/>
        <w:placeholder>
          <w:docPart w:val="B6568CD12453489FA373A8F0668D38A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503FC723">
          <w:pPr>
            <w:pStyle w:val="56"/>
            <w:ind w:firstLine="420"/>
          </w:pPr>
          <w:bookmarkStart w:id="48" w:name="_Toc26986532"/>
          <w:bookmarkEnd w:id="48"/>
          <w:r>
            <w:t>下列术语和定义适用于本文件。</w:t>
          </w:r>
        </w:p>
      </w:sdtContent>
    </w:sdt>
    <w:p w14:paraId="3434407D">
      <w:pPr>
        <w:pStyle w:val="105"/>
        <w:spacing w:before="156" w:after="156"/>
        <w:rPr>
          <w:rFonts w:hAnsi="黑体"/>
        </w:rPr>
      </w:pPr>
      <w:r>
        <w:rPr>
          <w:rFonts w:hAnsi="黑体"/>
        </w:rPr>
        <w:br w:type="textWrapping"/>
      </w:r>
      <w:bookmarkStart w:id="49" w:name="_Toc179272143"/>
      <w:r>
        <w:rPr>
          <w:rFonts w:hint="eastAsia" w:hAnsi="黑体"/>
        </w:rPr>
        <w:t xml:space="preserve">    石窟寺  cave temple</w:t>
      </w:r>
      <w:bookmarkEnd w:id="49"/>
    </w:p>
    <w:p w14:paraId="540D5CCC">
      <w:pPr>
        <w:pStyle w:val="56"/>
        <w:ind w:firstLine="420"/>
      </w:pPr>
      <w:r>
        <w:rPr>
          <w:rFonts w:hint="eastAsia"/>
        </w:rPr>
        <w:t>依着山势，从山崖壁面向内部纵深开凿的庙宇建筑，内有造像、壁画等。</w:t>
      </w:r>
    </w:p>
    <w:p w14:paraId="312B3AF5">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近景摄影测量  close-range photogrammetry</w:t>
      </w:r>
    </w:p>
    <w:p w14:paraId="69C7C810">
      <w:pPr>
        <w:pStyle w:val="56"/>
        <w:ind w:firstLine="420"/>
      </w:pPr>
      <w:r>
        <w:rPr>
          <w:rFonts w:hint="eastAsia"/>
        </w:rPr>
        <w:t>利用对物距不大于300m的目标物摄取的立体像对进行的摄影测量。</w:t>
      </w:r>
    </w:p>
    <w:p w14:paraId="26C29FF7">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点云  point cloud</w:t>
      </w:r>
    </w:p>
    <w:p w14:paraId="61146269">
      <w:pPr>
        <w:pStyle w:val="56"/>
        <w:ind w:firstLine="420"/>
      </w:pPr>
      <w:r>
        <w:rPr>
          <w:rFonts w:hint="eastAsia"/>
        </w:rPr>
        <w:t>以离散方式分布在三维空间中的点的集合。</w:t>
      </w:r>
    </w:p>
    <w:p w14:paraId="730BB64B">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点云密度  point cloud density</w:t>
      </w:r>
    </w:p>
    <w:p w14:paraId="50E4BF2F">
      <w:pPr>
        <w:pStyle w:val="56"/>
        <w:ind w:firstLine="420"/>
      </w:pPr>
      <w:r>
        <w:rPr>
          <w:rFonts w:hint="eastAsia"/>
        </w:rPr>
        <w:t>单位体积上点的平均数量。</w:t>
      </w:r>
    </w:p>
    <w:p w14:paraId="02BAD06E">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点间距  pitch</w:t>
      </w:r>
    </w:p>
    <w:p w14:paraId="773C2CC4">
      <w:pPr>
        <w:pStyle w:val="56"/>
        <w:ind w:firstLine="420"/>
      </w:pPr>
      <w:r>
        <w:rPr>
          <w:rFonts w:hint="eastAsia"/>
        </w:rPr>
        <w:t>点云中相邻两点之间的距离。</w:t>
      </w:r>
    </w:p>
    <w:p w14:paraId="278860C7">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纹理模型  texture model</w:t>
      </w:r>
    </w:p>
    <w:p w14:paraId="055DDC87">
      <w:pPr>
        <w:pStyle w:val="56"/>
        <w:ind w:firstLine="420"/>
      </w:pPr>
      <w:r>
        <w:rPr>
          <w:rFonts w:hint="eastAsia"/>
        </w:rPr>
        <w:t>带有纹理信息的三维实体表面模型。</w:t>
      </w:r>
    </w:p>
    <w:p w14:paraId="260E406C">
      <w:pPr>
        <w:pStyle w:val="223"/>
        <w:ind w:left="420" w:hanging="420" w:hangingChars="200"/>
        <w:rPr>
          <w:rFonts w:ascii="黑体" w:hAnsi="黑体" w:eastAsia="黑体"/>
        </w:rPr>
      </w:pPr>
      <w:r>
        <w:rPr>
          <w:rFonts w:ascii="黑体" w:hAnsi="黑体" w:eastAsia="黑体"/>
        </w:rPr>
        <w:br w:type="textWrapping"/>
      </w:r>
      <w:r>
        <w:rPr>
          <w:rFonts w:hint="eastAsia" w:ascii="黑体" w:hAnsi="黑体" w:eastAsia="黑体"/>
        </w:rPr>
        <w:t>数字正射影像  digital orthophoto</w:t>
      </w:r>
    </w:p>
    <w:p w14:paraId="05B72605">
      <w:pPr>
        <w:pStyle w:val="56"/>
        <w:ind w:firstLine="420"/>
      </w:pPr>
      <w:r>
        <w:rPr>
          <w:rFonts w:hint="eastAsia"/>
        </w:rPr>
        <w:t>利用数字高程模型对扫描处理的数字化的航空影片、遥感影像（单色/彩色），经逐个象元进行投影差改正，再按影像镶嵌，根据图幅范围裁剪生成的影像数据。</w:t>
      </w:r>
    </w:p>
    <w:p w14:paraId="010E40C3">
      <w:pPr>
        <w:pStyle w:val="104"/>
        <w:spacing w:before="312" w:after="312"/>
      </w:pPr>
      <w:bookmarkStart w:id="50" w:name="_Toc179272144"/>
      <w:r>
        <w:rPr>
          <w:rFonts w:hint="eastAsia"/>
        </w:rPr>
        <w:t>一般要求</w:t>
      </w:r>
      <w:bookmarkEnd w:id="50"/>
    </w:p>
    <w:p w14:paraId="2B6CCE78">
      <w:pPr>
        <w:pStyle w:val="162"/>
      </w:pPr>
      <w:r>
        <w:rPr>
          <w:rFonts w:hint="eastAsia"/>
        </w:rPr>
        <w:t>平面基准采用2000国家大地坐标系。</w:t>
      </w:r>
    </w:p>
    <w:p w14:paraId="430D7100">
      <w:pPr>
        <w:pStyle w:val="162"/>
      </w:pPr>
      <w:r>
        <w:rPr>
          <w:rFonts w:hint="eastAsia"/>
        </w:rPr>
        <w:t>高程基准采用1985国家高程基准。</w:t>
      </w:r>
    </w:p>
    <w:p w14:paraId="66CB9C5B">
      <w:pPr>
        <w:pStyle w:val="162"/>
      </w:pPr>
      <w:r>
        <w:rPr>
          <w:rFonts w:hint="eastAsia"/>
        </w:rPr>
        <w:t>地面三维激光扫描作业及产品涉及的日期采用公元纪年，时间采用北京时间。</w:t>
      </w:r>
    </w:p>
    <w:p w14:paraId="5FBAF4CC">
      <w:pPr>
        <w:pStyle w:val="104"/>
        <w:spacing w:before="312" w:after="312"/>
      </w:pPr>
      <w:bookmarkStart w:id="51" w:name="_Toc179272145"/>
      <w:r>
        <w:rPr>
          <w:rFonts w:hint="eastAsia"/>
        </w:rPr>
        <w:t>采集准备</w:t>
      </w:r>
      <w:bookmarkEnd w:id="51"/>
    </w:p>
    <w:p w14:paraId="73889892">
      <w:pPr>
        <w:pStyle w:val="105"/>
        <w:spacing w:before="156" w:after="156"/>
      </w:pPr>
      <w:bookmarkStart w:id="52" w:name="_Toc179272146"/>
      <w:r>
        <w:rPr>
          <w:rFonts w:hint="eastAsia"/>
        </w:rPr>
        <w:t>技术设计</w:t>
      </w:r>
      <w:bookmarkEnd w:id="52"/>
    </w:p>
    <w:p w14:paraId="10F76E18">
      <w:pPr>
        <w:pStyle w:val="56"/>
        <w:ind w:firstLine="420"/>
      </w:pPr>
      <w:r>
        <w:rPr>
          <w:rFonts w:hint="eastAsia"/>
        </w:rPr>
        <w:t>应符合CH/T 1004的规定。</w:t>
      </w:r>
    </w:p>
    <w:p w14:paraId="7F7A240D">
      <w:pPr>
        <w:pStyle w:val="105"/>
        <w:spacing w:before="156" w:after="156"/>
      </w:pPr>
      <w:bookmarkStart w:id="53" w:name="_Toc179272147"/>
      <w:r>
        <w:rPr>
          <w:rFonts w:hint="eastAsia"/>
        </w:rPr>
        <w:t>仪器检校</w:t>
      </w:r>
      <w:bookmarkEnd w:id="53"/>
    </w:p>
    <w:p w14:paraId="06863712">
      <w:pPr>
        <w:pStyle w:val="65"/>
        <w:spacing w:before="156" w:after="156"/>
      </w:pPr>
      <w:r>
        <w:rPr>
          <w:rFonts w:hint="eastAsia"/>
        </w:rPr>
        <w:t>近景摄影测量重建软件的精度指标</w:t>
      </w:r>
    </w:p>
    <w:p w14:paraId="20E6730E">
      <w:pPr>
        <w:pStyle w:val="56"/>
        <w:ind w:firstLine="420"/>
      </w:pPr>
      <w:r>
        <w:rPr>
          <w:rFonts w:hint="eastAsia"/>
        </w:rPr>
        <w:t>根据技术设计书的精度选择适宜的近景摄影测量三维重建软件。</w:t>
      </w:r>
    </w:p>
    <w:p w14:paraId="77E1BB41">
      <w:pPr>
        <w:pStyle w:val="105"/>
        <w:spacing w:before="156" w:after="156"/>
      </w:pPr>
      <w:bookmarkStart w:id="54" w:name="_Toc179272148"/>
      <w:r>
        <w:rPr>
          <w:rFonts w:hint="eastAsia"/>
        </w:rPr>
        <w:t>数码相机</w:t>
      </w:r>
      <w:bookmarkEnd w:id="54"/>
    </w:p>
    <w:p w14:paraId="292632C1">
      <w:pPr>
        <w:pStyle w:val="56"/>
        <w:ind w:firstLine="420"/>
      </w:pPr>
      <w:r>
        <w:rPr>
          <w:rFonts w:hint="eastAsia"/>
        </w:rPr>
        <w:t>能够正常拍摄图像，内存卡容量应充足；外置同轴相机需要进行参数校正。</w:t>
      </w:r>
    </w:p>
    <w:p w14:paraId="4BB469E3">
      <w:pPr>
        <w:pStyle w:val="65"/>
        <w:spacing w:before="156" w:after="156"/>
      </w:pPr>
      <w:r>
        <w:rPr>
          <w:rFonts w:hint="eastAsia"/>
        </w:rPr>
        <w:t>全站仪</w:t>
      </w:r>
    </w:p>
    <w:p w14:paraId="7B898374">
      <w:pPr>
        <w:pStyle w:val="56"/>
        <w:ind w:firstLine="420"/>
      </w:pPr>
      <w:r>
        <w:rPr>
          <w:rFonts w:hint="eastAsia"/>
        </w:rPr>
        <w:t>应符合JJG 100的规定。</w:t>
      </w:r>
    </w:p>
    <w:p w14:paraId="38CB2832">
      <w:pPr>
        <w:pStyle w:val="65"/>
        <w:spacing w:before="156" w:after="156"/>
      </w:pPr>
      <w:r>
        <w:rPr>
          <w:rFonts w:hint="eastAsia"/>
        </w:rPr>
        <w:t>GNSS接收设备</w:t>
      </w:r>
    </w:p>
    <w:p w14:paraId="730A9DE2">
      <w:pPr>
        <w:pStyle w:val="56"/>
        <w:ind w:firstLine="420"/>
      </w:pPr>
      <w:r>
        <w:rPr>
          <w:rFonts w:hint="eastAsia"/>
        </w:rPr>
        <w:t>应符合JJG2101的规定。</w:t>
      </w:r>
    </w:p>
    <w:p w14:paraId="10225E71">
      <w:pPr>
        <w:pStyle w:val="104"/>
        <w:spacing w:before="312" w:after="312"/>
      </w:pPr>
      <w:bookmarkStart w:id="55" w:name="_Toc179272149"/>
      <w:r>
        <w:rPr>
          <w:rFonts w:hint="eastAsia"/>
        </w:rPr>
        <w:t>数据格式</w:t>
      </w:r>
      <w:bookmarkEnd w:id="55"/>
    </w:p>
    <w:p w14:paraId="20A15592">
      <w:pPr>
        <w:pStyle w:val="56"/>
        <w:ind w:firstLine="420"/>
      </w:pPr>
      <w:r>
        <w:rPr>
          <w:rFonts w:hint="eastAsia"/>
        </w:rPr>
        <w:t>应符合表1的要求。</w:t>
      </w:r>
    </w:p>
    <w:p w14:paraId="37BE5238">
      <w:pPr>
        <w:pStyle w:val="112"/>
        <w:spacing w:before="156" w:after="156"/>
      </w:pPr>
      <w:r>
        <w:rPr>
          <w:rFonts w:hint="eastAsia"/>
        </w:rPr>
        <w:t>数据格式</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666"/>
        <w:gridCol w:w="4670"/>
      </w:tblGrid>
      <w:tr w14:paraId="13471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6" w:type="dxa"/>
            <w:tcBorders>
              <w:top w:val="single" w:color="auto" w:sz="8" w:space="0"/>
              <w:bottom w:val="single" w:color="auto" w:sz="8" w:space="0"/>
            </w:tcBorders>
            <w:shd w:val="clear" w:color="auto" w:fill="auto"/>
            <w:vAlign w:val="center"/>
          </w:tcPr>
          <w:p w14:paraId="1AD4A39D">
            <w:pPr>
              <w:jc w:val="center"/>
            </w:pPr>
            <w:r>
              <w:rPr>
                <w:rFonts w:hint="eastAsia"/>
              </w:rPr>
              <w:t>数据类型</w:t>
            </w:r>
          </w:p>
        </w:tc>
        <w:tc>
          <w:tcPr>
            <w:tcW w:w="4670" w:type="dxa"/>
            <w:tcBorders>
              <w:top w:val="single" w:color="auto" w:sz="8" w:space="0"/>
              <w:bottom w:val="single" w:color="auto" w:sz="8" w:space="0"/>
            </w:tcBorders>
            <w:shd w:val="clear" w:color="auto" w:fill="auto"/>
            <w:vAlign w:val="center"/>
          </w:tcPr>
          <w:p w14:paraId="180DA493">
            <w:pPr>
              <w:jc w:val="center"/>
            </w:pPr>
            <w:r>
              <w:rPr>
                <w:rFonts w:hint="eastAsia"/>
              </w:rPr>
              <w:t>数据格式</w:t>
            </w:r>
          </w:p>
        </w:tc>
      </w:tr>
      <w:tr w14:paraId="0FD63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6" w:type="dxa"/>
            <w:tcBorders>
              <w:top w:val="single" w:color="auto" w:sz="8" w:space="0"/>
            </w:tcBorders>
            <w:shd w:val="clear" w:color="auto" w:fill="auto"/>
            <w:vAlign w:val="center"/>
          </w:tcPr>
          <w:p w14:paraId="2C6B9929">
            <w:pPr>
              <w:jc w:val="center"/>
            </w:pPr>
            <w:r>
              <w:rPr>
                <w:rFonts w:hint="eastAsia"/>
              </w:rPr>
              <w:t>点云</w:t>
            </w:r>
          </w:p>
        </w:tc>
        <w:tc>
          <w:tcPr>
            <w:tcW w:w="4670" w:type="dxa"/>
            <w:tcBorders>
              <w:top w:val="single" w:color="auto" w:sz="8" w:space="0"/>
            </w:tcBorders>
            <w:shd w:val="clear" w:color="auto" w:fill="auto"/>
            <w:vAlign w:val="center"/>
          </w:tcPr>
          <w:p w14:paraId="02A9E57F">
            <w:pPr>
              <w:jc w:val="center"/>
            </w:pPr>
            <w:r>
              <w:rPr>
                <w:rFonts w:hint="eastAsia"/>
              </w:rPr>
              <w:t>.xyz,.pts,.obj</w:t>
            </w:r>
          </w:p>
        </w:tc>
      </w:tr>
      <w:tr w14:paraId="013FC7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6" w:type="dxa"/>
            <w:shd w:val="clear" w:color="auto" w:fill="auto"/>
            <w:vAlign w:val="center"/>
          </w:tcPr>
          <w:p w14:paraId="453CD3D9">
            <w:pPr>
              <w:jc w:val="center"/>
            </w:pPr>
            <w:r>
              <w:rPr>
                <w:rFonts w:hint="eastAsia"/>
              </w:rPr>
              <w:t>控制点、标靶点</w:t>
            </w:r>
          </w:p>
        </w:tc>
        <w:tc>
          <w:tcPr>
            <w:tcW w:w="4670" w:type="dxa"/>
            <w:shd w:val="clear" w:color="auto" w:fill="auto"/>
            <w:vAlign w:val="center"/>
          </w:tcPr>
          <w:p w14:paraId="0A11742D">
            <w:pPr>
              <w:jc w:val="center"/>
            </w:pPr>
            <w:r>
              <w:rPr>
                <w:rFonts w:hint="eastAsia"/>
              </w:rPr>
              <w:t>.txt,.pts,.ptx</w:t>
            </w:r>
          </w:p>
        </w:tc>
      </w:tr>
      <w:tr w14:paraId="5C5AE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6" w:type="dxa"/>
            <w:shd w:val="clear" w:color="auto" w:fill="auto"/>
            <w:vAlign w:val="center"/>
          </w:tcPr>
          <w:p w14:paraId="354A3F94">
            <w:pPr>
              <w:jc w:val="center"/>
            </w:pPr>
            <w:r>
              <w:rPr>
                <w:rFonts w:hint="eastAsia"/>
              </w:rPr>
              <w:t>纹理模型</w:t>
            </w:r>
          </w:p>
        </w:tc>
        <w:tc>
          <w:tcPr>
            <w:tcW w:w="4670" w:type="dxa"/>
            <w:shd w:val="clear" w:color="auto" w:fill="auto"/>
            <w:vAlign w:val="center"/>
          </w:tcPr>
          <w:p w14:paraId="36F54F9D">
            <w:pPr>
              <w:jc w:val="center"/>
            </w:pPr>
            <w:r>
              <w:rPr>
                <w:rFonts w:hint="eastAsia"/>
              </w:rPr>
              <w:t>.3ds,.obj</w:t>
            </w:r>
          </w:p>
        </w:tc>
      </w:tr>
      <w:tr w14:paraId="525C7E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6" w:type="dxa"/>
            <w:shd w:val="clear" w:color="auto" w:fill="auto"/>
            <w:vAlign w:val="center"/>
          </w:tcPr>
          <w:p w14:paraId="254A39B0">
            <w:pPr>
              <w:jc w:val="center"/>
            </w:pPr>
            <w:r>
              <w:rPr>
                <w:rFonts w:hint="eastAsia"/>
              </w:rPr>
              <w:t>数字正射影像</w:t>
            </w:r>
          </w:p>
        </w:tc>
        <w:tc>
          <w:tcPr>
            <w:tcW w:w="4670" w:type="dxa"/>
            <w:shd w:val="clear" w:color="auto" w:fill="auto"/>
            <w:vAlign w:val="center"/>
          </w:tcPr>
          <w:p w14:paraId="56F6AAEC">
            <w:pPr>
              <w:jc w:val="center"/>
            </w:pPr>
            <w:r>
              <w:rPr>
                <w:rFonts w:hint="eastAsia"/>
              </w:rPr>
              <w:t>.tiff,.jpg</w:t>
            </w:r>
          </w:p>
        </w:tc>
      </w:tr>
      <w:tr w14:paraId="1D2322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666" w:type="dxa"/>
            <w:shd w:val="clear" w:color="auto" w:fill="auto"/>
            <w:vAlign w:val="center"/>
          </w:tcPr>
          <w:p w14:paraId="1E9A6719">
            <w:pPr>
              <w:jc w:val="center"/>
            </w:pPr>
            <w:r>
              <w:rPr>
                <w:rFonts w:hint="eastAsia"/>
              </w:rPr>
              <w:t>视频数据</w:t>
            </w:r>
          </w:p>
        </w:tc>
        <w:tc>
          <w:tcPr>
            <w:tcW w:w="4670" w:type="dxa"/>
            <w:shd w:val="clear" w:color="auto" w:fill="auto"/>
            <w:vAlign w:val="center"/>
          </w:tcPr>
          <w:p w14:paraId="7B622B10">
            <w:pPr>
              <w:jc w:val="center"/>
            </w:pPr>
            <w:r>
              <w:rPr>
                <w:rFonts w:hint="eastAsia"/>
              </w:rPr>
              <w:t>.avi,.mp4</w:t>
            </w:r>
          </w:p>
        </w:tc>
      </w:tr>
    </w:tbl>
    <w:p w14:paraId="364A9917">
      <w:pPr>
        <w:pStyle w:val="104"/>
        <w:spacing w:before="312" w:after="312"/>
      </w:pPr>
      <w:bookmarkStart w:id="56" w:name="_Toc179272150"/>
      <w:r>
        <w:rPr>
          <w:rFonts w:hint="eastAsia"/>
        </w:rPr>
        <w:t>数据采集</w:t>
      </w:r>
      <w:bookmarkEnd w:id="56"/>
    </w:p>
    <w:p w14:paraId="53A8A0D0">
      <w:pPr>
        <w:pStyle w:val="105"/>
        <w:spacing w:before="156" w:after="156"/>
      </w:pPr>
      <w:bookmarkStart w:id="57" w:name="_Toc179272151"/>
      <w:r>
        <w:rPr>
          <w:rFonts w:hint="eastAsia"/>
        </w:rPr>
        <w:t>采集流程</w:t>
      </w:r>
      <w:bookmarkEnd w:id="57"/>
    </w:p>
    <w:p w14:paraId="1571B05E">
      <w:pPr>
        <w:pStyle w:val="56"/>
        <w:ind w:firstLine="420"/>
      </w:pPr>
      <w:r>
        <w:rPr>
          <w:rFonts w:hint="eastAsia"/>
        </w:rPr>
        <w:t>采集流程见图1。</w:t>
      </w:r>
    </w:p>
    <w:p w14:paraId="505C1730">
      <w:pPr>
        <w:pStyle w:val="56"/>
        <w:ind w:firstLine="420"/>
        <w:jc w:val="center"/>
      </w:pPr>
      <w:r>
        <w:drawing>
          <wp:inline distT="0" distB="0" distL="0" distR="0">
            <wp:extent cx="3154680" cy="3726815"/>
            <wp:effectExtent l="0" t="0" r="0" b="0"/>
            <wp:docPr id="5306878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87870" name="图片 12"/>
                    <pic:cNvPicPr>
                      <a:picLocks noChangeAspect="1"/>
                    </pic:cNvPicPr>
                  </pic:nvPicPr>
                  <pic:blipFill>
                    <a:blip r:embed="rId16">
                      <a:extLst>
                        <a:ext uri="{28A0092B-C50C-407E-A947-70E740481C1C}">
                          <a14:useLocalDpi xmlns:a14="http://schemas.microsoft.com/office/drawing/2010/main" val="0"/>
                        </a:ext>
                      </a:extLst>
                    </a:blip>
                    <a:srcRect t="10520"/>
                    <a:stretch>
                      <a:fillRect/>
                    </a:stretch>
                  </pic:blipFill>
                  <pic:spPr>
                    <a:xfrm>
                      <a:off x="0" y="0"/>
                      <a:ext cx="3156573" cy="3726815"/>
                    </a:xfrm>
                    <a:prstGeom prst="rect">
                      <a:avLst/>
                    </a:prstGeom>
                  </pic:spPr>
                </pic:pic>
              </a:graphicData>
            </a:graphic>
          </wp:inline>
        </w:drawing>
      </w:r>
    </w:p>
    <w:p w14:paraId="03350A8A">
      <w:pPr>
        <w:pStyle w:val="114"/>
        <w:spacing w:before="156" w:after="156"/>
      </w:pPr>
      <w:r>
        <w:rPr>
          <w:rFonts w:hint="eastAsia"/>
        </w:rPr>
        <w:t>石窟寺文物近景摄影测量三维重建作业总体流程图</w:t>
      </w:r>
    </w:p>
    <w:p w14:paraId="2157DC12">
      <w:pPr>
        <w:pStyle w:val="105"/>
        <w:spacing w:before="156" w:after="156"/>
      </w:pPr>
      <w:bookmarkStart w:id="58" w:name="_Toc179272152"/>
      <w:r>
        <w:rPr>
          <w:rFonts w:hint="eastAsia"/>
        </w:rPr>
        <w:t>控制测量</w:t>
      </w:r>
      <w:bookmarkEnd w:id="58"/>
    </w:p>
    <w:p w14:paraId="2347F275">
      <w:pPr>
        <w:pStyle w:val="165"/>
      </w:pPr>
      <w:r>
        <w:rPr>
          <w:rFonts w:hint="eastAsia"/>
        </w:rPr>
        <w:t>控制测量应按照GB 50026进行。</w:t>
      </w:r>
    </w:p>
    <w:p w14:paraId="13CD1306">
      <w:pPr>
        <w:pStyle w:val="165"/>
      </w:pPr>
      <w:r>
        <w:rPr>
          <w:rFonts w:hint="eastAsia"/>
        </w:rPr>
        <w:t>控制测量与影像采集</w:t>
      </w:r>
      <w:r>
        <w:rPr>
          <w:rFonts w:hint="eastAsia"/>
          <w:lang w:val="en-US" w:eastAsia="zh-CN"/>
        </w:rPr>
        <w:t>同时</w:t>
      </w:r>
      <w:bookmarkStart w:id="73" w:name="_GoBack"/>
      <w:bookmarkEnd w:id="73"/>
      <w:r>
        <w:rPr>
          <w:rFonts w:hint="eastAsia"/>
        </w:rPr>
        <w:t>进行，关键控制点的选取结合影像采集人员的具体需求。</w:t>
      </w:r>
    </w:p>
    <w:p w14:paraId="2C8ED4BF">
      <w:pPr>
        <w:pStyle w:val="105"/>
        <w:spacing w:before="156" w:after="156"/>
      </w:pPr>
      <w:bookmarkStart w:id="59" w:name="_Toc179272153"/>
      <w:r>
        <w:rPr>
          <w:rFonts w:hint="eastAsia"/>
        </w:rPr>
        <w:t>原始图像数据采集</w:t>
      </w:r>
      <w:bookmarkEnd w:id="59"/>
    </w:p>
    <w:p w14:paraId="7757D777">
      <w:pPr>
        <w:pStyle w:val="165"/>
      </w:pPr>
      <w:r>
        <w:rPr>
          <w:rFonts w:hint="eastAsia"/>
        </w:rPr>
        <w:t>数据采集宜围绕整个场景均匀的拍摄若干照片，多角度、全方位的进行图像采集，确保数据完整性。</w:t>
      </w:r>
    </w:p>
    <w:p w14:paraId="0FA57380">
      <w:pPr>
        <w:pStyle w:val="165"/>
      </w:pPr>
      <w:r>
        <w:rPr>
          <w:rFonts w:hint="eastAsia"/>
        </w:rPr>
        <w:t>多角度对整个场景进行覆盖拍摄，避免出现拍摄死角；尽可能采用相同焦距拍摄。</w:t>
      </w:r>
    </w:p>
    <w:p w14:paraId="1B956B2A">
      <w:pPr>
        <w:pStyle w:val="105"/>
        <w:spacing w:before="156" w:after="156"/>
      </w:pPr>
      <w:bookmarkStart w:id="60" w:name="_Toc179272154"/>
      <w:r>
        <w:rPr>
          <w:rFonts w:hint="eastAsia"/>
        </w:rPr>
        <w:t>原始图像数据预处理</w:t>
      </w:r>
      <w:bookmarkEnd w:id="60"/>
    </w:p>
    <w:p w14:paraId="34D127B3">
      <w:pPr>
        <w:pStyle w:val="165"/>
      </w:pPr>
      <w:r>
        <w:rPr>
          <w:rFonts w:hint="eastAsia"/>
        </w:rPr>
        <w:t>图像数据预处理，采用专业图像处理软件进行图像的色彩调节。</w:t>
      </w:r>
    </w:p>
    <w:p w14:paraId="23E8727D">
      <w:pPr>
        <w:pStyle w:val="165"/>
      </w:pPr>
      <w:r>
        <w:rPr>
          <w:rFonts w:hint="eastAsia"/>
        </w:rPr>
        <w:t>图像预处理时，要逐一检查图像的失焦情况，应整体调节图像的曝光和色彩。</w:t>
      </w:r>
    </w:p>
    <w:p w14:paraId="184FC164">
      <w:pPr>
        <w:pStyle w:val="165"/>
      </w:pPr>
      <w:r>
        <w:rPr>
          <w:rFonts w:hint="eastAsia"/>
        </w:rPr>
        <w:t>计算数据的格式采用JPEG格式进行图像预处理。</w:t>
      </w:r>
    </w:p>
    <w:p w14:paraId="5D3F32AC">
      <w:pPr>
        <w:pStyle w:val="104"/>
        <w:spacing w:before="312" w:after="312"/>
      </w:pPr>
      <w:bookmarkStart w:id="61" w:name="_Toc179272155"/>
      <w:r>
        <w:rPr>
          <w:rFonts w:hint="eastAsia"/>
        </w:rPr>
        <w:t>数据处理</w:t>
      </w:r>
      <w:bookmarkEnd w:id="61"/>
    </w:p>
    <w:p w14:paraId="5C47E739">
      <w:pPr>
        <w:pStyle w:val="105"/>
        <w:spacing w:before="156" w:after="156"/>
      </w:pPr>
      <w:bookmarkStart w:id="62" w:name="_Toc179272156"/>
      <w:r>
        <w:rPr>
          <w:rFonts w:hint="eastAsia"/>
        </w:rPr>
        <w:t>点云数据拼接与误差改正</w:t>
      </w:r>
      <w:bookmarkEnd w:id="62"/>
    </w:p>
    <w:p w14:paraId="5269F312">
      <w:pPr>
        <w:pStyle w:val="56"/>
        <w:ind w:firstLine="420"/>
      </w:pPr>
      <w:r>
        <w:rPr>
          <w:rFonts w:hint="eastAsia"/>
        </w:rPr>
        <w:t>点云数据拼接宜结合数据采集情况和技术设计要求，可选择直接拼接法和间接拼接法；点云的战间拼接精度≤2 mm。</w:t>
      </w:r>
    </w:p>
    <w:p w14:paraId="643E2FF0">
      <w:pPr>
        <w:pStyle w:val="105"/>
        <w:spacing w:before="156" w:after="156"/>
      </w:pPr>
      <w:bookmarkStart w:id="63" w:name="_Toc179272157"/>
      <w:r>
        <w:rPr>
          <w:rFonts w:hint="eastAsia"/>
        </w:rPr>
        <w:t>坐标系统转换</w:t>
      </w:r>
      <w:bookmarkEnd w:id="63"/>
    </w:p>
    <w:p w14:paraId="54CA951A">
      <w:pPr>
        <w:pStyle w:val="165"/>
      </w:pPr>
      <w:r>
        <w:rPr>
          <w:rFonts w:hint="eastAsia"/>
        </w:rPr>
        <w:t>石窟寺文物三维扫描点云，应根据物体体量不同，选择不同坐标系统转换方式。</w:t>
      </w:r>
    </w:p>
    <w:p w14:paraId="1FF6A4BF">
      <w:pPr>
        <w:pStyle w:val="165"/>
      </w:pPr>
      <w:r>
        <w:rPr>
          <w:rFonts w:hint="eastAsia"/>
        </w:rPr>
        <w:t>使用绝对坐标的整体转换。</w:t>
      </w:r>
    </w:p>
    <w:p w14:paraId="58904C67">
      <w:pPr>
        <w:pStyle w:val="165"/>
      </w:pPr>
      <w:r>
        <w:rPr>
          <w:rFonts w:hint="eastAsia"/>
        </w:rPr>
        <w:t>应采用3个及以上、分布均匀的同名点进行坐标系转换，通过参数模型解算点云坐标系和绝对坐标系之间的转换参数，坐标转换中误差应不大于2 mm。</w:t>
      </w:r>
    </w:p>
    <w:p w14:paraId="3396FB1E">
      <w:pPr>
        <w:pStyle w:val="105"/>
        <w:spacing w:before="156" w:after="156"/>
      </w:pPr>
      <w:bookmarkStart w:id="64" w:name="_Toc179272158"/>
      <w:r>
        <w:rPr>
          <w:rFonts w:hint="eastAsia"/>
        </w:rPr>
        <w:t>降噪与抽稀</w:t>
      </w:r>
      <w:bookmarkEnd w:id="64"/>
    </w:p>
    <w:p w14:paraId="454BCCCD">
      <w:pPr>
        <w:pStyle w:val="165"/>
      </w:pPr>
      <w:r>
        <w:rPr>
          <w:rFonts w:hint="eastAsia"/>
        </w:rPr>
        <w:t>点云数据中存在脱离采集对象的异常点、孤立点，应采用滤波方法进行点云数据降噪处理。</w:t>
      </w:r>
    </w:p>
    <w:p w14:paraId="2243BFB4">
      <w:pPr>
        <w:pStyle w:val="165"/>
      </w:pPr>
      <w:r>
        <w:rPr>
          <w:rFonts w:hint="eastAsia"/>
        </w:rPr>
        <w:t>根据处理点云的软硬件条件和项目需要，对点云数据抽稀应符合下列规定：</w:t>
      </w:r>
    </w:p>
    <w:p w14:paraId="607F8A0D">
      <w:pPr>
        <w:pStyle w:val="174"/>
      </w:pPr>
      <w:r>
        <w:rPr>
          <w:rFonts w:hint="eastAsia"/>
        </w:rPr>
        <w:t>宜采用均匀抽稀，设定统一密度进行抽稀；</w:t>
      </w:r>
    </w:p>
    <w:p w14:paraId="00467CAE">
      <w:pPr>
        <w:pStyle w:val="174"/>
      </w:pPr>
      <w:r>
        <w:rPr>
          <w:rFonts w:hint="eastAsia"/>
        </w:rPr>
        <w:t>保持特征的抽稀，根据法向量变化和曲率识别特征区域，自适应进行抽稀，抽稀后点云在比较平坦的地方（法向量近似平行）保留较少的点，在表面曲率较大的地方保留多的点。</w:t>
      </w:r>
    </w:p>
    <w:p w14:paraId="2D0E2A41">
      <w:pPr>
        <w:pStyle w:val="104"/>
        <w:spacing w:before="312" w:after="312"/>
      </w:pPr>
      <w:bookmarkStart w:id="65" w:name="_Toc179272159"/>
      <w:r>
        <w:rPr>
          <w:rFonts w:hint="eastAsia"/>
        </w:rPr>
        <w:t>成果数据</w:t>
      </w:r>
      <w:bookmarkEnd w:id="65"/>
    </w:p>
    <w:p w14:paraId="50F0ABDA">
      <w:pPr>
        <w:pStyle w:val="105"/>
        <w:spacing w:before="156" w:after="156"/>
      </w:pPr>
      <w:bookmarkStart w:id="66" w:name="_Toc179272160"/>
      <w:r>
        <w:rPr>
          <w:rFonts w:hint="eastAsia"/>
        </w:rPr>
        <w:t>三维模型</w:t>
      </w:r>
      <w:bookmarkEnd w:id="66"/>
    </w:p>
    <w:p w14:paraId="6174ACE4">
      <w:pPr>
        <w:pStyle w:val="165"/>
      </w:pPr>
      <w:r>
        <w:rPr>
          <w:rFonts w:hint="eastAsia"/>
        </w:rPr>
        <w:t>采用点云三角化的方法建立初步模型。</w:t>
      </w:r>
    </w:p>
    <w:p w14:paraId="28A8BAF3">
      <w:pPr>
        <w:pStyle w:val="165"/>
      </w:pPr>
      <w:r>
        <w:rPr>
          <w:rFonts w:hint="eastAsia"/>
        </w:rPr>
        <w:t>采用孔填充、边修补、简化和细化、光滑处理等技术手段对初步模型进行优化。</w:t>
      </w:r>
    </w:p>
    <w:p w14:paraId="3B2961D1">
      <w:pPr>
        <w:pStyle w:val="105"/>
        <w:spacing w:before="156" w:after="156"/>
      </w:pPr>
      <w:bookmarkStart w:id="67" w:name="_Toc179272161"/>
      <w:r>
        <w:rPr>
          <w:rFonts w:hint="eastAsia"/>
        </w:rPr>
        <w:t>纹理映射</w:t>
      </w:r>
      <w:bookmarkEnd w:id="67"/>
    </w:p>
    <w:p w14:paraId="6971FE87">
      <w:pPr>
        <w:pStyle w:val="165"/>
      </w:pPr>
      <w:r>
        <w:rPr>
          <w:rFonts w:hint="eastAsia"/>
        </w:rPr>
        <w:t>纹理映射的阈值（三角网模型与图像的对应点偏差值）≤2 mm。</w:t>
      </w:r>
    </w:p>
    <w:p w14:paraId="1FE3FA77">
      <w:pPr>
        <w:pStyle w:val="165"/>
      </w:pPr>
      <w:r>
        <w:rPr>
          <w:rFonts w:hint="eastAsia"/>
        </w:rPr>
        <w:t>纹理映射完成后检查图像和三角网模型的匹配质量，对于超过阈值的映射成果应重新选取同名点对，重新纹理映射。</w:t>
      </w:r>
    </w:p>
    <w:p w14:paraId="3CAD77A8">
      <w:pPr>
        <w:pStyle w:val="105"/>
        <w:spacing w:before="156" w:after="156"/>
      </w:pPr>
      <w:bookmarkStart w:id="68" w:name="_Toc179272162"/>
      <w:r>
        <w:rPr>
          <w:rFonts w:hint="eastAsia"/>
        </w:rPr>
        <w:t>数字正射影像</w:t>
      </w:r>
      <w:bookmarkEnd w:id="68"/>
    </w:p>
    <w:p w14:paraId="2B56218D">
      <w:pPr>
        <w:pStyle w:val="165"/>
      </w:pPr>
      <w:r>
        <w:rPr>
          <w:rFonts w:hint="eastAsia"/>
        </w:rPr>
        <w:t>数字正射影像图的作业流程应包括点云正摄纠正、图像数据预处理、构建三角网、纹理映射、图像输出、图像融合、图像裁切等过程。</w:t>
      </w:r>
    </w:p>
    <w:p w14:paraId="6CC3D56A">
      <w:pPr>
        <w:pStyle w:val="165"/>
      </w:pPr>
      <w:r>
        <w:rPr>
          <w:rFonts w:hint="eastAsia"/>
        </w:rPr>
        <w:t>正射影像应无明显配准痕迹，图像色彩应接近真彩色，纹理应清晰、色调应均匀，反差应适中。</w:t>
      </w:r>
    </w:p>
    <w:p w14:paraId="7C6FE084">
      <w:pPr>
        <w:pStyle w:val="165"/>
      </w:pPr>
      <w:r>
        <w:rPr>
          <w:rFonts w:hint="eastAsia"/>
        </w:rPr>
        <w:t>图像输出应满足成果要求，分辨率不小于150 dpi。</w:t>
      </w:r>
    </w:p>
    <w:p w14:paraId="0262DBF5">
      <w:pPr>
        <w:pStyle w:val="165"/>
      </w:pPr>
      <w:r>
        <w:rPr>
          <w:rFonts w:hint="eastAsia"/>
        </w:rPr>
        <w:t>正射影像图按不同比例输出时，相邻两张图像不少于25%的重叠区域。</w:t>
      </w:r>
    </w:p>
    <w:p w14:paraId="31229721">
      <w:pPr>
        <w:pStyle w:val="165"/>
      </w:pPr>
      <w:r>
        <w:rPr>
          <w:rFonts w:hint="eastAsia"/>
        </w:rPr>
        <w:t>正射影像图宜采用TIFF格式存储。</w:t>
      </w:r>
    </w:p>
    <w:p w14:paraId="37CBF900">
      <w:pPr>
        <w:pStyle w:val="105"/>
        <w:spacing w:before="156" w:after="156"/>
      </w:pPr>
      <w:bookmarkStart w:id="69" w:name="_Toc179272163"/>
      <w:r>
        <w:rPr>
          <w:rFonts w:hint="eastAsia"/>
        </w:rPr>
        <w:t>平面图、立面图、剖面图</w:t>
      </w:r>
      <w:bookmarkEnd w:id="69"/>
    </w:p>
    <w:p w14:paraId="7A50D6ED">
      <w:pPr>
        <w:pStyle w:val="165"/>
      </w:pPr>
      <w:r>
        <w:rPr>
          <w:rFonts w:hint="eastAsia"/>
        </w:rPr>
        <w:t>平面图、立面图、剖面图制作应符合GB/T 50001、GB/T 50103、GB/T 50104的规定。</w:t>
      </w:r>
    </w:p>
    <w:p w14:paraId="2D7B767B">
      <w:pPr>
        <w:pStyle w:val="165"/>
      </w:pPr>
      <w:r>
        <w:rPr>
          <w:rFonts w:hint="eastAsia"/>
        </w:rPr>
        <w:t>剖面图宜采用点云切片方式绘制，使切片点云投影到平面，基于投影点云描绘。</w:t>
      </w:r>
    </w:p>
    <w:p w14:paraId="2D0F0CFD">
      <w:pPr>
        <w:pStyle w:val="165"/>
      </w:pPr>
      <w:r>
        <w:rPr>
          <w:rFonts w:hint="eastAsia"/>
        </w:rPr>
        <w:t>点云采集不全或无法准确获取结构尺寸时，对目标物交接关系明确的，根据露明部分尺寸推算隐蔽尺寸，反推算的结果应特别说明。平面图、立面图、剖面图的结构尺寸应实地检核，中误差≤5 mm。</w:t>
      </w:r>
    </w:p>
    <w:p w14:paraId="22BE796F">
      <w:pPr>
        <w:pStyle w:val="104"/>
        <w:spacing w:before="312" w:after="312"/>
      </w:pPr>
      <w:bookmarkStart w:id="70" w:name="_Toc179272164"/>
      <w:r>
        <w:rPr>
          <w:rFonts w:hint="eastAsia"/>
        </w:rPr>
        <w:t>成果评价</w:t>
      </w:r>
      <w:bookmarkEnd w:id="70"/>
    </w:p>
    <w:p w14:paraId="6576DF90">
      <w:pPr>
        <w:pStyle w:val="162"/>
        <w:rPr>
          <w:color w:val="auto"/>
        </w:rPr>
      </w:pPr>
      <w:r>
        <w:rPr>
          <w:rFonts w:hint="eastAsia"/>
          <w:color w:val="auto"/>
        </w:rPr>
        <w:t>点云数据按</w:t>
      </w:r>
      <w:r>
        <w:rPr>
          <w:rFonts w:hint="eastAsia"/>
          <w:color w:val="auto"/>
          <w:lang w:val="en-US" w:eastAsia="zh-CN"/>
        </w:rPr>
        <w:t>表2详查内容即点云覆盖情况和点云着色情况评价</w:t>
      </w:r>
      <w:r>
        <w:rPr>
          <w:rFonts w:hint="eastAsia"/>
          <w:color w:val="auto"/>
        </w:rPr>
        <w:t>。</w:t>
      </w:r>
    </w:p>
    <w:p w14:paraId="6D8FA9F0">
      <w:pPr>
        <w:pStyle w:val="162"/>
        <w:rPr>
          <w:color w:val="auto"/>
        </w:rPr>
      </w:pPr>
      <w:r>
        <w:rPr>
          <w:rFonts w:hint="eastAsia"/>
          <w:color w:val="auto"/>
        </w:rPr>
        <w:t>三维模型按表3</w:t>
      </w:r>
      <w:r>
        <w:rPr>
          <w:rFonts w:hint="eastAsia"/>
          <w:color w:val="auto"/>
          <w:lang w:val="en-US" w:eastAsia="zh-CN"/>
        </w:rPr>
        <w:t>详查内容即</w:t>
      </w:r>
      <w:r>
        <w:rPr>
          <w:rFonts w:hint="eastAsia"/>
          <w:color w:val="auto"/>
        </w:rPr>
        <w:t>点云模型正确性</w:t>
      </w:r>
      <w:r>
        <w:rPr>
          <w:rFonts w:hint="eastAsia"/>
          <w:color w:val="auto"/>
          <w:lang w:val="en-US" w:eastAsia="zh-CN"/>
        </w:rPr>
        <w:t>和</w:t>
      </w:r>
      <w:r>
        <w:rPr>
          <w:rFonts w:hint="eastAsia"/>
          <w:color w:val="auto"/>
        </w:rPr>
        <w:t>三角网模型正确性</w:t>
      </w:r>
      <w:r>
        <w:rPr>
          <w:rFonts w:hint="eastAsia"/>
          <w:color w:val="auto"/>
          <w:lang w:val="en-US" w:eastAsia="zh-CN"/>
        </w:rPr>
        <w:t>评价</w:t>
      </w:r>
      <w:r>
        <w:rPr>
          <w:rFonts w:hint="eastAsia"/>
          <w:color w:val="auto"/>
        </w:rPr>
        <w:t>。</w:t>
      </w:r>
    </w:p>
    <w:p w14:paraId="1BAEE4F9">
      <w:pPr>
        <w:pStyle w:val="162"/>
        <w:rPr>
          <w:color w:val="auto"/>
        </w:rPr>
      </w:pPr>
      <w:r>
        <w:rPr>
          <w:rFonts w:hint="eastAsia"/>
          <w:color w:val="auto"/>
        </w:rPr>
        <w:t>数字正射影像图按表4</w:t>
      </w:r>
      <w:r>
        <w:rPr>
          <w:rFonts w:hint="eastAsia"/>
          <w:color w:val="auto"/>
          <w:lang w:val="en-US" w:eastAsia="zh-CN"/>
        </w:rPr>
        <w:t>详查内容即数学精度、数据及结构正确性、图像质量和资料质量评价。</w:t>
      </w:r>
    </w:p>
    <w:p w14:paraId="17FAE342">
      <w:pPr>
        <w:pStyle w:val="162"/>
        <w:rPr>
          <w:color w:val="FF0000"/>
        </w:rPr>
      </w:pPr>
      <w:r>
        <w:rPr>
          <w:rFonts w:hint="eastAsia"/>
          <w:color w:val="auto"/>
        </w:rPr>
        <w:t>平面图、立面图、剖面图按表5</w:t>
      </w:r>
      <w:r>
        <w:rPr>
          <w:rFonts w:hint="eastAsia"/>
          <w:color w:val="auto"/>
          <w:lang w:val="en-US" w:eastAsia="zh-CN"/>
        </w:rPr>
        <w:t>详查内容即数据正确性、数据格式和资料质量评价。</w:t>
      </w:r>
    </w:p>
    <w:p w14:paraId="7AB21410">
      <w:pPr>
        <w:pStyle w:val="162"/>
      </w:pPr>
      <w:r>
        <w:rPr>
          <w:rFonts w:hint="eastAsia"/>
        </w:rPr>
        <w:t>评价方法应按照GB/T 24356、GB/T 18316 的规定进行。</w:t>
      </w:r>
    </w:p>
    <w:p w14:paraId="244EFE25">
      <w:pPr>
        <w:pStyle w:val="112"/>
        <w:spacing w:before="156" w:after="156"/>
      </w:pPr>
      <w:r>
        <w:rPr>
          <w:rFonts w:hint="eastAsia"/>
        </w:rPr>
        <w:t>点云数据检查质量元素与详查内容</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37"/>
        <w:gridCol w:w="7199"/>
      </w:tblGrid>
      <w:tr w14:paraId="4F6D0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137" w:type="dxa"/>
            <w:tcBorders>
              <w:top w:val="single" w:color="auto" w:sz="8" w:space="0"/>
              <w:bottom w:val="single" w:color="auto" w:sz="8" w:space="0"/>
            </w:tcBorders>
            <w:shd w:val="clear" w:color="auto" w:fill="auto"/>
            <w:vAlign w:val="center"/>
          </w:tcPr>
          <w:p w14:paraId="7701870B">
            <w:pPr>
              <w:jc w:val="center"/>
              <w:rPr>
                <w:b/>
              </w:rPr>
            </w:pPr>
            <w:bookmarkStart w:id="71" w:name="_Hlk173397714"/>
            <w:r>
              <w:rPr>
                <w:rFonts w:hint="eastAsia"/>
                <w:b/>
              </w:rPr>
              <w:t>质量元素</w:t>
            </w:r>
          </w:p>
        </w:tc>
        <w:tc>
          <w:tcPr>
            <w:tcW w:w="7199" w:type="dxa"/>
            <w:tcBorders>
              <w:top w:val="single" w:color="auto" w:sz="8" w:space="0"/>
              <w:bottom w:val="single" w:color="auto" w:sz="8" w:space="0"/>
            </w:tcBorders>
            <w:shd w:val="clear" w:color="auto" w:fill="auto"/>
            <w:vAlign w:val="center"/>
          </w:tcPr>
          <w:p w14:paraId="37D2BDAB">
            <w:pPr>
              <w:jc w:val="center"/>
              <w:rPr>
                <w:b/>
              </w:rPr>
            </w:pPr>
            <w:r>
              <w:rPr>
                <w:rFonts w:hint="eastAsia"/>
                <w:b/>
              </w:rPr>
              <w:t>详查内容</w:t>
            </w:r>
          </w:p>
        </w:tc>
      </w:tr>
      <w:tr w14:paraId="52840E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137" w:type="dxa"/>
            <w:tcBorders>
              <w:top w:val="single" w:color="auto" w:sz="8" w:space="0"/>
            </w:tcBorders>
            <w:shd w:val="clear" w:color="auto" w:fill="auto"/>
            <w:vAlign w:val="center"/>
          </w:tcPr>
          <w:p w14:paraId="0C626F58">
            <w:pPr>
              <w:jc w:val="center"/>
            </w:pPr>
            <w:r>
              <w:rPr>
                <w:rFonts w:hint="eastAsia"/>
              </w:rPr>
              <w:t>点云覆盖情况</w:t>
            </w:r>
          </w:p>
        </w:tc>
        <w:tc>
          <w:tcPr>
            <w:tcW w:w="7199" w:type="dxa"/>
            <w:tcBorders>
              <w:top w:val="single" w:color="auto" w:sz="8" w:space="0"/>
            </w:tcBorders>
            <w:shd w:val="clear" w:color="auto" w:fill="auto"/>
            <w:vAlign w:val="center"/>
          </w:tcPr>
          <w:p w14:paraId="54DBDD5D">
            <w:r>
              <w:rPr>
                <w:rFonts w:hint="eastAsia"/>
              </w:rPr>
              <w:t>1.原始点云密度。</w:t>
            </w:r>
          </w:p>
          <w:p w14:paraId="70DFC7FA">
            <w:r>
              <w:rPr>
                <w:rFonts w:hint="eastAsia"/>
              </w:rPr>
              <w:t>2.原始点云噪点情况。</w:t>
            </w:r>
          </w:p>
          <w:p w14:paraId="56C84F02">
            <w:r>
              <w:rPr>
                <w:rFonts w:hint="eastAsia"/>
              </w:rPr>
              <w:t>3.原始点云点间距。</w:t>
            </w:r>
          </w:p>
          <w:p w14:paraId="111703F2">
            <w:r>
              <w:rPr>
                <w:rFonts w:hint="eastAsia"/>
              </w:rPr>
              <w:t>4.处理后点云密度。</w:t>
            </w:r>
          </w:p>
          <w:p w14:paraId="78B6D7E7">
            <w:r>
              <w:rPr>
                <w:rFonts w:hint="eastAsia"/>
              </w:rPr>
              <w:t>5.处理后点云完整性。</w:t>
            </w:r>
          </w:p>
          <w:p w14:paraId="6628463A">
            <w:r>
              <w:rPr>
                <w:rFonts w:hint="eastAsia"/>
              </w:rPr>
              <w:t>6.处理后点云是否有分层，以配准精度为准。</w:t>
            </w:r>
          </w:p>
        </w:tc>
      </w:tr>
      <w:tr w14:paraId="41578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137" w:type="dxa"/>
            <w:shd w:val="clear" w:color="auto" w:fill="auto"/>
            <w:vAlign w:val="center"/>
          </w:tcPr>
          <w:p w14:paraId="5B0CF765">
            <w:pPr>
              <w:jc w:val="center"/>
            </w:pPr>
            <w:r>
              <w:rPr>
                <w:rFonts w:hint="eastAsia"/>
              </w:rPr>
              <w:t>点云着色情况</w:t>
            </w:r>
          </w:p>
        </w:tc>
        <w:tc>
          <w:tcPr>
            <w:tcW w:w="7199" w:type="dxa"/>
            <w:shd w:val="clear" w:color="auto" w:fill="auto"/>
            <w:vAlign w:val="center"/>
          </w:tcPr>
          <w:p w14:paraId="0757F39C">
            <w:r>
              <w:rPr>
                <w:rFonts w:hint="eastAsia"/>
              </w:rPr>
              <w:t>具有真实RGB信息。</w:t>
            </w:r>
          </w:p>
        </w:tc>
      </w:tr>
      <w:bookmarkEnd w:id="71"/>
    </w:tbl>
    <w:p w14:paraId="1A665422">
      <w:pPr>
        <w:pStyle w:val="112"/>
        <w:spacing w:before="156" w:after="156"/>
      </w:pPr>
      <w:r>
        <w:rPr>
          <w:rFonts w:hint="eastAsia"/>
        </w:rPr>
        <w:t>三维模型检查质量元素与详查内容</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37"/>
        <w:gridCol w:w="7199"/>
      </w:tblGrid>
      <w:tr w14:paraId="5FC9F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trPr>
        <w:tc>
          <w:tcPr>
            <w:tcW w:w="2137" w:type="dxa"/>
            <w:tcBorders>
              <w:top w:val="single" w:color="auto" w:sz="8" w:space="0"/>
              <w:bottom w:val="single" w:color="auto" w:sz="8" w:space="0"/>
            </w:tcBorders>
            <w:shd w:val="clear" w:color="auto" w:fill="auto"/>
            <w:vAlign w:val="center"/>
          </w:tcPr>
          <w:p w14:paraId="33935DE2">
            <w:pPr>
              <w:jc w:val="center"/>
              <w:rPr>
                <w:b/>
              </w:rPr>
            </w:pPr>
            <w:r>
              <w:rPr>
                <w:rFonts w:hint="eastAsia"/>
                <w:b/>
              </w:rPr>
              <w:t>质量元素</w:t>
            </w:r>
          </w:p>
        </w:tc>
        <w:tc>
          <w:tcPr>
            <w:tcW w:w="7199" w:type="dxa"/>
            <w:tcBorders>
              <w:top w:val="single" w:color="auto" w:sz="8" w:space="0"/>
              <w:bottom w:val="single" w:color="auto" w:sz="8" w:space="0"/>
            </w:tcBorders>
            <w:shd w:val="clear" w:color="auto" w:fill="auto"/>
            <w:vAlign w:val="center"/>
          </w:tcPr>
          <w:p w14:paraId="451E9AB8">
            <w:pPr>
              <w:jc w:val="center"/>
              <w:rPr>
                <w:b/>
              </w:rPr>
            </w:pPr>
            <w:r>
              <w:rPr>
                <w:rFonts w:hint="eastAsia"/>
                <w:b/>
              </w:rPr>
              <w:t>详查内容</w:t>
            </w:r>
          </w:p>
        </w:tc>
      </w:tr>
      <w:tr w14:paraId="5B19A2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2137" w:type="dxa"/>
            <w:tcBorders>
              <w:top w:val="single" w:color="auto" w:sz="8" w:space="0"/>
            </w:tcBorders>
            <w:shd w:val="clear" w:color="auto" w:fill="auto"/>
            <w:vAlign w:val="center"/>
          </w:tcPr>
          <w:p w14:paraId="6CFD6591">
            <w:pPr>
              <w:jc w:val="center"/>
            </w:pPr>
            <w:r>
              <w:rPr>
                <w:rFonts w:hint="eastAsia"/>
              </w:rPr>
              <w:t>点云模型正确性</w:t>
            </w:r>
          </w:p>
        </w:tc>
        <w:tc>
          <w:tcPr>
            <w:tcW w:w="7199" w:type="dxa"/>
            <w:tcBorders>
              <w:top w:val="single" w:color="auto" w:sz="8" w:space="0"/>
            </w:tcBorders>
            <w:shd w:val="clear" w:color="auto" w:fill="auto"/>
            <w:vAlign w:val="center"/>
          </w:tcPr>
          <w:p w14:paraId="463269F3">
            <w:r>
              <w:rPr>
                <w:rFonts w:hint="eastAsia"/>
              </w:rPr>
              <w:t>1.点云模型单位选择：mm。</w:t>
            </w:r>
          </w:p>
          <w:p w14:paraId="7D91C0DF">
            <w:r>
              <w:rPr>
                <w:rFonts w:hint="eastAsia"/>
              </w:rPr>
              <w:t>2.检查标靶点云完整性：</w:t>
            </w:r>
          </w:p>
          <w:p w14:paraId="0F5E4AF1">
            <w:pPr>
              <w:pStyle w:val="174"/>
              <w:numPr>
                <w:ilvl w:val="0"/>
                <w:numId w:val="32"/>
              </w:numPr>
            </w:pPr>
            <w:r>
              <w:rPr>
                <w:rFonts w:hint="eastAsia"/>
              </w:rPr>
              <w:t>两扫描站之间公共标靶数目；</w:t>
            </w:r>
          </w:p>
          <w:p w14:paraId="7016EF1B">
            <w:pPr>
              <w:pStyle w:val="174"/>
            </w:pPr>
            <w:r>
              <w:rPr>
                <w:rFonts w:hint="eastAsia"/>
              </w:rPr>
              <w:t>标靶分布情况；</w:t>
            </w:r>
          </w:p>
          <w:p w14:paraId="21826093">
            <w:pPr>
              <w:pStyle w:val="174"/>
            </w:pPr>
            <w:r>
              <w:rPr>
                <w:rFonts w:hint="eastAsia"/>
              </w:rPr>
              <w:t>标靶拟合精度；</w:t>
            </w:r>
          </w:p>
          <w:p w14:paraId="5B1A7DC9">
            <w:pPr>
              <w:pStyle w:val="174"/>
            </w:pPr>
            <w:r>
              <w:rPr>
                <w:rFonts w:hint="eastAsia"/>
              </w:rPr>
              <w:t>扫描站间的配准精度。</w:t>
            </w:r>
          </w:p>
          <w:p w14:paraId="500DD04A">
            <w:r>
              <w:rPr>
                <w:rFonts w:hint="eastAsia"/>
              </w:rPr>
              <w:t>3.检查点云模型的可靠性：</w:t>
            </w:r>
          </w:p>
          <w:p w14:paraId="1820873F">
            <w:pPr>
              <w:pStyle w:val="174"/>
              <w:numPr>
                <w:ilvl w:val="0"/>
                <w:numId w:val="0"/>
              </w:numPr>
              <w:ind w:left="851" w:hanging="426"/>
            </w:pPr>
            <w:r>
              <w:rPr>
                <w:rFonts w:hint="eastAsia"/>
              </w:rPr>
              <w:t>a)  单扫描站云数据无相对偏移；</w:t>
            </w:r>
          </w:p>
          <w:p w14:paraId="1573FC73">
            <w:pPr>
              <w:pStyle w:val="174"/>
              <w:numPr>
                <w:ilvl w:val="0"/>
                <w:numId w:val="0"/>
              </w:numPr>
              <w:ind w:left="851" w:hanging="426"/>
            </w:pPr>
            <w:r>
              <w:rPr>
                <w:rFonts w:hint="eastAsia"/>
              </w:rPr>
              <w:t>b)  点云数据噪声情况。</w:t>
            </w:r>
          </w:p>
          <w:p w14:paraId="3B7D1723">
            <w:r>
              <w:rPr>
                <w:rFonts w:hint="eastAsia"/>
              </w:rPr>
              <w:t>4.检查点云数据是否有分层。</w:t>
            </w:r>
          </w:p>
        </w:tc>
      </w:tr>
      <w:tr w14:paraId="12645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10" w:hRule="atLeast"/>
        </w:trPr>
        <w:tc>
          <w:tcPr>
            <w:tcW w:w="2137" w:type="dxa"/>
            <w:shd w:val="clear" w:color="auto" w:fill="auto"/>
            <w:vAlign w:val="center"/>
          </w:tcPr>
          <w:p w14:paraId="5AA463ED">
            <w:pPr>
              <w:jc w:val="center"/>
            </w:pPr>
            <w:r>
              <w:rPr>
                <w:rFonts w:hint="eastAsia"/>
              </w:rPr>
              <w:t>三角网模型正确性</w:t>
            </w:r>
          </w:p>
        </w:tc>
        <w:tc>
          <w:tcPr>
            <w:tcW w:w="7199" w:type="dxa"/>
            <w:shd w:val="clear" w:color="auto" w:fill="auto"/>
            <w:vAlign w:val="center"/>
          </w:tcPr>
          <w:p w14:paraId="3574871C">
            <w:r>
              <w:rPr>
                <w:rFonts w:hint="eastAsia"/>
              </w:rPr>
              <w:t>1.三角网模型的单位：mm。</w:t>
            </w:r>
          </w:p>
          <w:p w14:paraId="396055A2">
            <w:r>
              <w:rPr>
                <w:rFonts w:hint="eastAsia"/>
              </w:rPr>
              <w:t>2.三角网模型的空间位置是否正确，保证其与原始点云的空间位置一致。</w:t>
            </w:r>
          </w:p>
          <w:p w14:paraId="65F31A86">
            <w:r>
              <w:rPr>
                <w:rFonts w:hint="eastAsia"/>
              </w:rPr>
              <w:t>3.无关模型是否删除干净。即与被测物体不相关的点云，如行人、飞鸟、标靶球等。</w:t>
            </w:r>
          </w:p>
          <w:p w14:paraId="1AE2237D">
            <w:r>
              <w:rPr>
                <w:rFonts w:hint="eastAsia"/>
              </w:rPr>
              <w:t>4.三角网模型表面完整，无孔洞。</w:t>
            </w:r>
          </w:p>
          <w:p w14:paraId="3743AC93">
            <w:r>
              <w:rPr>
                <w:rFonts w:hint="eastAsia"/>
              </w:rPr>
              <w:t>5.三角网模型无重叠面。即模型无分层，无面的重叠，以避免模型显示、纹理映射时出错，同时减少无用模型。</w:t>
            </w:r>
          </w:p>
          <w:p w14:paraId="21BFCB8B">
            <w:r>
              <w:rPr>
                <w:rFonts w:hint="eastAsia"/>
              </w:rPr>
              <w:t>6.三角网模型表面平滑，无钉状物。</w:t>
            </w:r>
          </w:p>
          <w:p w14:paraId="4FBF3638">
            <w:r>
              <w:rPr>
                <w:rFonts w:hint="eastAsia"/>
              </w:rPr>
              <w:t>7.三角网模型要清晰体现被测物体的细节，保护模型的表面精度为2 mm以内。</w:t>
            </w:r>
          </w:p>
          <w:p w14:paraId="3830D1BB">
            <w:r>
              <w:rPr>
                <w:rFonts w:hint="eastAsia"/>
              </w:rPr>
              <w:t>8.带纹理三角网模型，其纹理需清晰，每2 mm*2 mm的范围内须有一个有效像素。</w:t>
            </w:r>
          </w:p>
          <w:p w14:paraId="7A504EC2">
            <w:r>
              <w:rPr>
                <w:rFonts w:hint="eastAsia"/>
              </w:rPr>
              <w:t>9.带纹理三角网模型，其纹理需明暗适中，不允许有接缝出现。</w:t>
            </w:r>
          </w:p>
          <w:p w14:paraId="3405A381">
            <w:r>
              <w:rPr>
                <w:rFonts w:hint="eastAsia"/>
              </w:rPr>
              <w:t>10.带纹理三角网模型，其纹理需完整，不允许有空洞出现。</w:t>
            </w:r>
          </w:p>
        </w:tc>
      </w:tr>
    </w:tbl>
    <w:p w14:paraId="0F54A3E4">
      <w:pPr>
        <w:pStyle w:val="112"/>
        <w:spacing w:before="156" w:after="156"/>
      </w:pPr>
      <w:r>
        <w:rPr>
          <w:rFonts w:hint="eastAsia"/>
        </w:rPr>
        <w:t>数字正射影像图检查质量元素与详查内容</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53"/>
        <w:gridCol w:w="7483"/>
      </w:tblGrid>
      <w:tr w14:paraId="22B60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853" w:type="dxa"/>
            <w:tcBorders>
              <w:top w:val="single" w:color="auto" w:sz="8" w:space="0"/>
              <w:bottom w:val="single" w:color="auto" w:sz="8" w:space="0"/>
            </w:tcBorders>
            <w:shd w:val="clear" w:color="auto" w:fill="auto"/>
            <w:vAlign w:val="center"/>
          </w:tcPr>
          <w:p w14:paraId="3F45C2FC">
            <w:pPr>
              <w:jc w:val="center"/>
              <w:rPr>
                <w:b/>
              </w:rPr>
            </w:pPr>
            <w:bookmarkStart w:id="72" w:name="_Hlk173397916"/>
            <w:r>
              <w:rPr>
                <w:rFonts w:hint="eastAsia"/>
                <w:b/>
              </w:rPr>
              <w:t>质量元素</w:t>
            </w:r>
          </w:p>
        </w:tc>
        <w:tc>
          <w:tcPr>
            <w:tcW w:w="7483" w:type="dxa"/>
            <w:tcBorders>
              <w:top w:val="single" w:color="auto" w:sz="8" w:space="0"/>
              <w:bottom w:val="single" w:color="auto" w:sz="8" w:space="0"/>
            </w:tcBorders>
            <w:shd w:val="clear" w:color="auto" w:fill="auto"/>
            <w:vAlign w:val="center"/>
          </w:tcPr>
          <w:p w14:paraId="5385F195">
            <w:pPr>
              <w:jc w:val="center"/>
              <w:rPr>
                <w:b/>
              </w:rPr>
            </w:pPr>
            <w:r>
              <w:rPr>
                <w:rFonts w:hint="eastAsia"/>
                <w:b/>
              </w:rPr>
              <w:t>详查内容</w:t>
            </w:r>
          </w:p>
        </w:tc>
      </w:tr>
      <w:tr w14:paraId="5058C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53" w:type="dxa"/>
            <w:tcBorders>
              <w:top w:val="single" w:color="auto" w:sz="8" w:space="0"/>
            </w:tcBorders>
            <w:shd w:val="clear" w:color="auto" w:fill="auto"/>
            <w:vAlign w:val="center"/>
          </w:tcPr>
          <w:p w14:paraId="66F6C9F6">
            <w:pPr>
              <w:jc w:val="center"/>
            </w:pPr>
            <w:r>
              <w:rPr>
                <w:rFonts w:hint="eastAsia"/>
              </w:rPr>
              <w:t>数学精度</w:t>
            </w:r>
          </w:p>
        </w:tc>
        <w:tc>
          <w:tcPr>
            <w:tcW w:w="7483" w:type="dxa"/>
            <w:tcBorders>
              <w:top w:val="single" w:color="auto" w:sz="8" w:space="0"/>
            </w:tcBorders>
            <w:shd w:val="clear" w:color="auto" w:fill="auto"/>
            <w:vAlign w:val="center"/>
          </w:tcPr>
          <w:p w14:paraId="49E5157F">
            <w:r>
              <w:rPr>
                <w:rFonts w:hint="eastAsia"/>
              </w:rPr>
              <w:t>平面位置精度</w:t>
            </w:r>
          </w:p>
        </w:tc>
      </w:tr>
      <w:tr w14:paraId="615AB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53" w:type="dxa"/>
            <w:shd w:val="clear" w:color="auto" w:fill="auto"/>
            <w:vAlign w:val="center"/>
          </w:tcPr>
          <w:p w14:paraId="6F08F386">
            <w:pPr>
              <w:jc w:val="center"/>
            </w:pPr>
            <w:r>
              <w:rPr>
                <w:rFonts w:hint="eastAsia"/>
              </w:rPr>
              <w:t>数据及结构正确性</w:t>
            </w:r>
          </w:p>
        </w:tc>
        <w:tc>
          <w:tcPr>
            <w:tcW w:w="7483" w:type="dxa"/>
            <w:shd w:val="clear" w:color="auto" w:fill="auto"/>
            <w:vAlign w:val="center"/>
          </w:tcPr>
          <w:p w14:paraId="0A1DAA3B">
            <w:r>
              <w:rPr>
                <w:rFonts w:hint="eastAsia"/>
              </w:rPr>
              <w:t>1.数据组织和文件命名的正确性。</w:t>
            </w:r>
          </w:p>
          <w:p w14:paraId="5D5F9062">
            <w:r>
              <w:rPr>
                <w:rFonts w:hint="eastAsia"/>
              </w:rPr>
              <w:t>2.数据格式的正确性。</w:t>
            </w:r>
          </w:p>
          <w:p w14:paraId="54EE7719">
            <w:r>
              <w:rPr>
                <w:rFonts w:hint="eastAsia"/>
              </w:rPr>
              <w:t>3.数据的坐标系统和投影的正确性。</w:t>
            </w:r>
          </w:p>
          <w:p w14:paraId="064A2612">
            <w:r>
              <w:rPr>
                <w:rFonts w:hint="eastAsia"/>
              </w:rPr>
              <w:t>4.原始数据使用的正确性。</w:t>
            </w:r>
          </w:p>
          <w:p w14:paraId="7ED04FBD">
            <w:r>
              <w:rPr>
                <w:rFonts w:hint="eastAsia"/>
              </w:rPr>
              <w:t>5.图像分辨率的正确性。</w:t>
            </w:r>
          </w:p>
        </w:tc>
      </w:tr>
      <w:tr w14:paraId="03C9C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63" w:hRule="atLeast"/>
          <w:jc w:val="center"/>
        </w:trPr>
        <w:tc>
          <w:tcPr>
            <w:tcW w:w="1853" w:type="dxa"/>
            <w:shd w:val="clear" w:color="auto" w:fill="auto"/>
            <w:vAlign w:val="center"/>
          </w:tcPr>
          <w:p w14:paraId="66633E7E">
            <w:pPr>
              <w:jc w:val="center"/>
            </w:pPr>
            <w:r>
              <w:rPr>
                <w:rFonts w:hint="eastAsia"/>
              </w:rPr>
              <w:t>图像质量</w:t>
            </w:r>
          </w:p>
        </w:tc>
        <w:tc>
          <w:tcPr>
            <w:tcW w:w="7483" w:type="dxa"/>
            <w:shd w:val="clear" w:color="auto" w:fill="auto"/>
            <w:vAlign w:val="center"/>
          </w:tcPr>
          <w:p w14:paraId="40D0DA2B">
            <w:r>
              <w:rPr>
                <w:rFonts w:hint="eastAsia"/>
              </w:rPr>
              <w:t>1.图像色调和反差。</w:t>
            </w:r>
          </w:p>
          <w:p w14:paraId="4A935005">
            <w:r>
              <w:rPr>
                <w:rFonts w:hint="eastAsia"/>
              </w:rPr>
              <w:t>2.图像清晰度和纹理表现。</w:t>
            </w:r>
          </w:p>
          <w:p w14:paraId="3402C2C7">
            <w:r>
              <w:rPr>
                <w:rFonts w:hint="eastAsia"/>
              </w:rPr>
              <w:t>3.图像配准和接边质量。</w:t>
            </w:r>
          </w:p>
          <w:p w14:paraId="7EE27DB3">
            <w:r>
              <w:rPr>
                <w:rFonts w:hint="eastAsia"/>
              </w:rPr>
              <w:t>4.图像外观质量（噪声、云块、划痕、斑点、污迹等）。</w:t>
            </w:r>
          </w:p>
          <w:p w14:paraId="23EBFAE4">
            <w:r>
              <w:rPr>
                <w:rFonts w:hint="eastAsia"/>
              </w:rPr>
              <w:t>5.图像色彩。</w:t>
            </w:r>
          </w:p>
        </w:tc>
      </w:tr>
      <w:tr w14:paraId="7703D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3" w:hRule="atLeast"/>
          <w:jc w:val="center"/>
        </w:trPr>
        <w:tc>
          <w:tcPr>
            <w:tcW w:w="1853" w:type="dxa"/>
            <w:shd w:val="clear" w:color="auto" w:fill="auto"/>
            <w:vAlign w:val="center"/>
          </w:tcPr>
          <w:p w14:paraId="6CE22EE2">
            <w:pPr>
              <w:jc w:val="center"/>
            </w:pPr>
            <w:r>
              <w:rPr>
                <w:rFonts w:hint="eastAsia"/>
              </w:rPr>
              <w:t>资料质量</w:t>
            </w:r>
          </w:p>
        </w:tc>
        <w:tc>
          <w:tcPr>
            <w:tcW w:w="7483" w:type="dxa"/>
            <w:shd w:val="clear" w:color="auto" w:fill="auto"/>
            <w:vAlign w:val="center"/>
          </w:tcPr>
          <w:p w14:paraId="716ADBBC">
            <w:r>
              <w:rPr>
                <w:rFonts w:hint="eastAsia"/>
              </w:rPr>
              <w:t>1.元数据文件的正确性、完整性。</w:t>
            </w:r>
          </w:p>
          <w:p w14:paraId="43CDCA2F">
            <w:r>
              <w:rPr>
                <w:rFonts w:hint="eastAsia"/>
              </w:rPr>
              <w:t>2.其他文档资料的正确性、完整性。</w:t>
            </w:r>
          </w:p>
        </w:tc>
      </w:tr>
      <w:bookmarkEnd w:id="24"/>
      <w:bookmarkEnd w:id="72"/>
    </w:tbl>
    <w:p w14:paraId="11D804E0">
      <w:pPr>
        <w:pStyle w:val="112"/>
        <w:spacing w:before="156" w:after="156"/>
      </w:pPr>
      <w:r>
        <w:rPr>
          <w:rFonts w:hint="eastAsia"/>
        </w:rPr>
        <w:t>平面图、立面图、剖面图检查质量元素与详查内容</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53"/>
        <w:gridCol w:w="7483"/>
      </w:tblGrid>
      <w:tr w14:paraId="66F99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853" w:type="dxa"/>
            <w:tcBorders>
              <w:top w:val="single" w:color="auto" w:sz="8" w:space="0"/>
              <w:bottom w:val="single" w:color="auto" w:sz="8" w:space="0"/>
            </w:tcBorders>
            <w:shd w:val="clear" w:color="auto" w:fill="auto"/>
            <w:vAlign w:val="center"/>
          </w:tcPr>
          <w:p w14:paraId="49CDD598">
            <w:pPr>
              <w:jc w:val="center"/>
              <w:rPr>
                <w:b/>
              </w:rPr>
            </w:pPr>
            <w:r>
              <w:rPr>
                <w:rFonts w:hint="eastAsia"/>
                <w:b/>
              </w:rPr>
              <w:t>质量元素</w:t>
            </w:r>
          </w:p>
        </w:tc>
        <w:tc>
          <w:tcPr>
            <w:tcW w:w="7483" w:type="dxa"/>
            <w:tcBorders>
              <w:top w:val="single" w:color="auto" w:sz="8" w:space="0"/>
              <w:bottom w:val="single" w:color="auto" w:sz="8" w:space="0"/>
            </w:tcBorders>
            <w:shd w:val="clear" w:color="auto" w:fill="auto"/>
            <w:vAlign w:val="center"/>
          </w:tcPr>
          <w:p w14:paraId="7F62CBCD">
            <w:pPr>
              <w:jc w:val="center"/>
              <w:rPr>
                <w:b/>
              </w:rPr>
            </w:pPr>
            <w:r>
              <w:rPr>
                <w:rFonts w:hint="eastAsia"/>
                <w:b/>
              </w:rPr>
              <w:t>详查内容</w:t>
            </w:r>
          </w:p>
        </w:tc>
      </w:tr>
      <w:tr w14:paraId="0BC82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53" w:type="dxa"/>
            <w:tcBorders>
              <w:top w:val="single" w:color="auto" w:sz="8" w:space="0"/>
            </w:tcBorders>
            <w:shd w:val="clear" w:color="auto" w:fill="auto"/>
            <w:vAlign w:val="center"/>
          </w:tcPr>
          <w:p w14:paraId="421D6CC3">
            <w:pPr>
              <w:jc w:val="center"/>
            </w:pPr>
            <w:r>
              <w:rPr>
                <w:rFonts w:hint="eastAsia"/>
              </w:rPr>
              <w:t>数据正确性</w:t>
            </w:r>
          </w:p>
        </w:tc>
        <w:tc>
          <w:tcPr>
            <w:tcW w:w="7483" w:type="dxa"/>
            <w:tcBorders>
              <w:top w:val="single" w:color="auto" w:sz="8" w:space="0"/>
            </w:tcBorders>
            <w:shd w:val="clear" w:color="auto" w:fill="auto"/>
            <w:vAlign w:val="center"/>
          </w:tcPr>
          <w:p w14:paraId="19AA2D4E">
            <w:r>
              <w:rPr>
                <w:rFonts w:hint="eastAsia"/>
              </w:rPr>
              <w:t>1.外形结构完整、表达清楚。</w:t>
            </w:r>
          </w:p>
          <w:p w14:paraId="7055EC12">
            <w:r>
              <w:rPr>
                <w:rFonts w:hint="eastAsia"/>
              </w:rPr>
              <w:t>2.文字描述准确性。</w:t>
            </w:r>
          </w:p>
          <w:p w14:paraId="282A50B9">
            <w:r>
              <w:rPr>
                <w:rFonts w:hint="eastAsia"/>
              </w:rPr>
              <w:t>3.尺寸标准正确性。</w:t>
            </w:r>
          </w:p>
          <w:p w14:paraId="0F4A345F">
            <w:r>
              <w:rPr>
                <w:rFonts w:hint="eastAsia"/>
              </w:rPr>
              <w:t>4.比例尺正确性。</w:t>
            </w:r>
          </w:p>
          <w:p w14:paraId="4452963F">
            <w:r>
              <w:rPr>
                <w:rFonts w:hint="eastAsia"/>
              </w:rPr>
              <w:t>5.图例表达合理性。</w:t>
            </w:r>
          </w:p>
          <w:p w14:paraId="361B2D80">
            <w:r>
              <w:rPr>
                <w:rFonts w:hint="eastAsia"/>
              </w:rPr>
              <w:t>6.与多项已有资料或多项设计资料矛盾情况。</w:t>
            </w:r>
          </w:p>
        </w:tc>
      </w:tr>
      <w:tr w14:paraId="7FEFA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53" w:type="dxa"/>
            <w:shd w:val="clear" w:color="auto" w:fill="auto"/>
            <w:vAlign w:val="center"/>
          </w:tcPr>
          <w:p w14:paraId="6B67F5A5">
            <w:pPr>
              <w:jc w:val="center"/>
            </w:pPr>
            <w:r>
              <w:rPr>
                <w:rFonts w:hint="eastAsia"/>
              </w:rPr>
              <w:t>数据格式</w:t>
            </w:r>
          </w:p>
        </w:tc>
        <w:tc>
          <w:tcPr>
            <w:tcW w:w="7483" w:type="dxa"/>
            <w:shd w:val="clear" w:color="auto" w:fill="auto"/>
            <w:vAlign w:val="center"/>
          </w:tcPr>
          <w:p w14:paraId="090A43AA">
            <w:r>
              <w:rPr>
                <w:rFonts w:hint="eastAsia"/>
              </w:rPr>
              <w:t>1.dwg、.dxf格式。</w:t>
            </w:r>
          </w:p>
          <w:p w14:paraId="2F476843">
            <w:r>
              <w:rPr>
                <w:rFonts w:hint="eastAsia"/>
              </w:rPr>
              <w:t>2.jpeg、.tga、.png、.tiff等。</w:t>
            </w:r>
          </w:p>
        </w:tc>
      </w:tr>
      <w:tr w14:paraId="4C6E3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53" w:type="dxa"/>
            <w:shd w:val="clear" w:color="auto" w:fill="auto"/>
            <w:vAlign w:val="center"/>
          </w:tcPr>
          <w:p w14:paraId="465426B3">
            <w:pPr>
              <w:jc w:val="center"/>
            </w:pPr>
            <w:r>
              <w:rPr>
                <w:rFonts w:hint="eastAsia"/>
              </w:rPr>
              <w:t>资料质量</w:t>
            </w:r>
          </w:p>
        </w:tc>
        <w:tc>
          <w:tcPr>
            <w:tcW w:w="7483" w:type="dxa"/>
            <w:shd w:val="clear" w:color="auto" w:fill="auto"/>
            <w:vAlign w:val="center"/>
          </w:tcPr>
          <w:p w14:paraId="4231D337">
            <w:r>
              <w:rPr>
                <w:rFonts w:hint="eastAsia"/>
              </w:rPr>
              <w:t>1.元数据文件的正确性、完整性。</w:t>
            </w:r>
          </w:p>
          <w:p w14:paraId="2BB663A0">
            <w:r>
              <w:rPr>
                <w:rFonts w:hint="eastAsia"/>
              </w:rPr>
              <w:t>2.其他文档资料的正确性、完整性。</w:t>
            </w:r>
          </w:p>
        </w:tc>
      </w:tr>
    </w:tbl>
    <w:p w14:paraId="1A1A84C8">
      <w:pPr>
        <w:pStyle w:val="56"/>
        <w:ind w:firstLine="420"/>
      </w:pPr>
    </w:p>
    <w:sectPr>
      <w:pgSz w:w="11906" w:h="16838"/>
      <w:pgMar w:top="1928" w:right="1134" w:bottom="1134" w:left="1134" w:header="1418" w:footer="1134" w:gutter="284"/>
      <w:pgNumType w:start="1"/>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FA53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973D5">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B0553">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E8606">
    <w:pPr>
      <w:pStyle w:val="52"/>
    </w:pPr>
    <w:r>
      <w:fldChar w:fldCharType="begin"/>
    </w:r>
    <w:r>
      <w:instrText xml:space="preserve">PAGE   \* MERGEFORMAT</w:instrText>
    </w:r>
    <w:r>
      <w:fldChar w:fldCharType="separate"/>
    </w:r>
    <w:r>
      <w:rPr>
        <w:lang w:val="zh-CN"/>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6319B">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6D41B">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32F6F">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FFE96">
    <w:pPr>
      <w:pStyle w:val="61"/>
    </w:pPr>
    <w:r>
      <w:fldChar w:fldCharType="begin"/>
    </w:r>
    <w:r>
      <w:instrText xml:space="preserve"> STYLEREF  标准文件_文件编号  \* MERGEFORMAT </w:instrText>
    </w:r>
    <w:r>
      <w:fldChar w:fldCharType="separate"/>
    </w:r>
    <w:r>
      <w:t>DB43/TXXXX—XXXX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51D7F">
    <w:pPr>
      <w:pStyle w:val="18"/>
      <w:jc w:val="right"/>
      <w:rPr>
        <w:lang w:val="fr-FR"/>
      </w:rPr>
    </w:pPr>
    <w:r>
      <w:fldChar w:fldCharType="begin"/>
    </w:r>
    <w:r>
      <w:instrText xml:space="preserve"> STYLEREF  标准文件_文件编号  \* MERGEFORMAT </w:instrText>
    </w:r>
    <w:r>
      <w:fldChar w:fldCharType="separate"/>
    </w:r>
    <w:r>
      <w:t>DB43/TXXXX—XXXX</w:t>
    </w:r>
    <w:r>
      <w:rPr>
        <w:lang w:val="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1"/>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lYTg1OGIxMTBlZTY2NzU1NDI0NDhlZGNhYWExZmUifQ=="/>
  </w:docVars>
  <w:rsids>
    <w:rsidRoot w:val="001C6DCE"/>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2656"/>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24A"/>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6DCE"/>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52E75"/>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3F6E72"/>
    <w:rsid w:val="00400E72"/>
    <w:rsid w:val="00401400"/>
    <w:rsid w:val="00404869"/>
    <w:rsid w:val="00405884"/>
    <w:rsid w:val="00407D39"/>
    <w:rsid w:val="0041477A"/>
    <w:rsid w:val="004167A3"/>
    <w:rsid w:val="00432DAA"/>
    <w:rsid w:val="00434305"/>
    <w:rsid w:val="004351D5"/>
    <w:rsid w:val="00435DF7"/>
    <w:rsid w:val="0044083F"/>
    <w:rsid w:val="00441AE7"/>
    <w:rsid w:val="00445574"/>
    <w:rsid w:val="004467FB"/>
    <w:rsid w:val="00452D6B"/>
    <w:rsid w:val="00454484"/>
    <w:rsid w:val="0045517B"/>
    <w:rsid w:val="00463B77"/>
    <w:rsid w:val="00463C23"/>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832"/>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02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465BA"/>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231F"/>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0C4B"/>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1C77"/>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2EFA"/>
    <w:rsid w:val="00C44BF5"/>
    <w:rsid w:val="00C51431"/>
    <w:rsid w:val="00C521D6"/>
    <w:rsid w:val="00C55232"/>
    <w:rsid w:val="00C553A4"/>
    <w:rsid w:val="00C55A06"/>
    <w:rsid w:val="00C55D03"/>
    <w:rsid w:val="00C601BC"/>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07BD"/>
    <w:rsid w:val="00D32719"/>
    <w:rsid w:val="00D33333"/>
    <w:rsid w:val="00D33457"/>
    <w:rsid w:val="00D352A2"/>
    <w:rsid w:val="00D3660F"/>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082A"/>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485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12C8"/>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5D92ECD"/>
    <w:rsid w:val="14072DAB"/>
    <w:rsid w:val="203B173E"/>
    <w:rsid w:val="300F0AE7"/>
    <w:rsid w:val="457E3A71"/>
    <w:rsid w:val="49465201"/>
    <w:rsid w:val="4A201EF6"/>
    <w:rsid w:val="603D7BC0"/>
    <w:rsid w:val="6440150E"/>
    <w:rsid w:val="6666235B"/>
    <w:rsid w:val="71272EDB"/>
    <w:rsid w:val="721148E6"/>
    <w:rsid w:val="7FD21AC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Char"/>
    <w:link w:val="2"/>
    <w:qFormat/>
    <w:uiPriority w:val="0"/>
    <w:rPr>
      <w:b/>
      <w:bCs/>
      <w:kern w:val="44"/>
      <w:sz w:val="44"/>
      <w:szCs w:val="44"/>
    </w:rPr>
  </w:style>
  <w:style w:type="character" w:customStyle="1" w:styleId="35">
    <w:name w:val="标题 2 Char"/>
    <w:link w:val="3"/>
    <w:qFormat/>
    <w:uiPriority w:val="0"/>
    <w:rPr>
      <w:rFonts w:ascii="Arial" w:hAnsi="Arial" w:eastAsia="黑体"/>
      <w:b/>
      <w:bCs/>
      <w:kern w:val="2"/>
      <w:sz w:val="32"/>
      <w:szCs w:val="32"/>
    </w:rPr>
  </w:style>
  <w:style w:type="character" w:customStyle="1" w:styleId="36">
    <w:name w:val="标题 3 Char"/>
    <w:link w:val="4"/>
    <w:qFormat/>
    <w:uiPriority w:val="0"/>
    <w:rPr>
      <w:b/>
      <w:bCs/>
      <w:kern w:val="2"/>
      <w:sz w:val="32"/>
      <w:szCs w:val="32"/>
    </w:rPr>
  </w:style>
  <w:style w:type="character" w:customStyle="1" w:styleId="37">
    <w:name w:val="标题 4 Char"/>
    <w:link w:val="5"/>
    <w:qFormat/>
    <w:uiPriority w:val="0"/>
    <w:rPr>
      <w:rFonts w:ascii="Arial" w:hAnsi="Arial" w:eastAsia="黑体"/>
      <w:b/>
      <w:bCs/>
      <w:kern w:val="2"/>
      <w:sz w:val="28"/>
      <w:szCs w:val="28"/>
    </w:rPr>
  </w:style>
  <w:style w:type="character" w:customStyle="1" w:styleId="38">
    <w:name w:val="标题 5 Char"/>
    <w:link w:val="6"/>
    <w:qFormat/>
    <w:uiPriority w:val="0"/>
    <w:rPr>
      <w:b/>
      <w:bCs/>
      <w:kern w:val="2"/>
      <w:sz w:val="28"/>
      <w:szCs w:val="28"/>
    </w:rPr>
  </w:style>
  <w:style w:type="character" w:customStyle="1" w:styleId="39">
    <w:name w:val="标题 6 Char"/>
    <w:link w:val="7"/>
    <w:qFormat/>
    <w:uiPriority w:val="0"/>
    <w:rPr>
      <w:rFonts w:ascii="Arial" w:hAnsi="Arial" w:eastAsia="黑体"/>
      <w:b/>
      <w:bCs/>
      <w:kern w:val="2"/>
      <w:sz w:val="24"/>
      <w:szCs w:val="24"/>
    </w:rPr>
  </w:style>
  <w:style w:type="character" w:customStyle="1" w:styleId="40">
    <w:name w:val="标题 7 Char"/>
    <w:link w:val="8"/>
    <w:qFormat/>
    <w:uiPriority w:val="0"/>
    <w:rPr>
      <w:b/>
      <w:bCs/>
      <w:kern w:val="2"/>
      <w:sz w:val="24"/>
      <w:szCs w:val="24"/>
    </w:rPr>
  </w:style>
  <w:style w:type="character" w:customStyle="1" w:styleId="41">
    <w:name w:val="标题 8 Char"/>
    <w:link w:val="9"/>
    <w:qFormat/>
    <w:uiPriority w:val="0"/>
    <w:rPr>
      <w:rFonts w:ascii="Arial" w:hAnsi="Arial" w:eastAsia="黑体"/>
      <w:kern w:val="2"/>
      <w:sz w:val="24"/>
      <w:szCs w:val="24"/>
    </w:rPr>
  </w:style>
  <w:style w:type="character" w:customStyle="1" w:styleId="42">
    <w:name w:val="标题 9 Char"/>
    <w:link w:val="10"/>
    <w:qFormat/>
    <w:uiPriority w:val="0"/>
    <w:rPr>
      <w:rFonts w:ascii="Arial" w:hAnsi="Arial" w:eastAsia="黑体"/>
      <w:kern w:val="2"/>
      <w:sz w:val="21"/>
      <w:szCs w:val="21"/>
    </w:rPr>
  </w:style>
  <w:style w:type="character" w:customStyle="1" w:styleId="43">
    <w:name w:val="页眉 Char"/>
    <w:link w:val="18"/>
    <w:qFormat/>
    <w:uiPriority w:val="99"/>
    <w:rPr>
      <w:kern w:val="2"/>
      <w:sz w:val="18"/>
      <w:szCs w:val="18"/>
    </w:rPr>
  </w:style>
  <w:style w:type="character" w:customStyle="1" w:styleId="44">
    <w:name w:val="页脚 Char"/>
    <w:link w:val="17"/>
    <w:qFormat/>
    <w:uiPriority w:val="99"/>
    <w:rPr>
      <w:rFonts w:ascii="宋体"/>
      <w:kern w:val="2"/>
      <w:sz w:val="18"/>
      <w:szCs w:val="18"/>
    </w:rPr>
  </w:style>
  <w:style w:type="character" w:customStyle="1" w:styleId="45">
    <w:name w:val="批注框文本 Char"/>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Char"/>
    <w:link w:val="46"/>
    <w:qFormat/>
    <w:uiPriority w:val="29"/>
    <w:rPr>
      <w:i/>
      <w:iCs/>
      <w:color w:val="000000"/>
      <w:kern w:val="2"/>
      <w:sz w:val="21"/>
      <w:szCs w:val="21"/>
    </w:rPr>
  </w:style>
  <w:style w:type="character" w:customStyle="1" w:styleId="48">
    <w:name w:val="标题 Char"/>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uiPriority w:val="0"/>
    <w:pPr>
      <w:jc w:val="both"/>
    </w:pPr>
    <w:rPr>
      <w:rFonts w:ascii="Times New Roman" w:hAnsi="Times New Roman" w:eastAsia="宋体" w:cs="Times New Roman"/>
      <w:lang w:val="en-US" w:eastAsia="zh-CN" w:bidi="ar-SA"/>
    </w:rPr>
  </w:style>
  <w:style w:type="paragraph" w:customStyle="1" w:styleId="54">
    <w:name w:val="标准文件_ICS"/>
    <w:basedOn w:val="1"/>
    <w:uiPriority w:val="0"/>
    <w:pPr>
      <w:spacing w:line="0" w:lineRule="atLeast"/>
    </w:pPr>
    <w:rPr>
      <w:rFonts w:ascii="黑体" w:hAnsi="宋体" w:eastAsia="黑体"/>
    </w:rPr>
  </w:style>
  <w:style w:type="paragraph" w:customStyle="1" w:styleId="55">
    <w:name w:val="标准文件_标准正文"/>
    <w:basedOn w:val="1"/>
    <w:next w:val="56"/>
    <w:uiPriority w:val="0"/>
    <w:pPr>
      <w:snapToGrid w:val="0"/>
      <w:ind w:firstLine="200" w:firstLineChars="200"/>
    </w:pPr>
    <w:rPr>
      <w:kern w:val="0"/>
    </w:rPr>
  </w:style>
  <w:style w:type="paragraph" w:customStyle="1" w:styleId="56">
    <w:name w:val="标准文件_段"/>
    <w:link w:val="184"/>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uiPriority w:val="0"/>
    <w:pPr>
      <w:jc w:val="center"/>
    </w:pPr>
    <w:rPr>
      <w:rFonts w:ascii="黑体" w:eastAsia="黑体"/>
      <w:kern w:val="0"/>
      <w:sz w:val="44"/>
    </w:rPr>
  </w:style>
  <w:style w:type="paragraph" w:customStyle="1" w:styleId="59">
    <w:name w:val="标准文件_标准代替"/>
    <w:basedOn w:val="1"/>
    <w:next w:val="1"/>
    <w:uiPriority w:val="0"/>
    <w:pPr>
      <w:spacing w:line="310" w:lineRule="exact"/>
      <w:jc w:val="right"/>
    </w:pPr>
    <w:rPr>
      <w:rFonts w:ascii="宋体" w:hAnsi="宋体"/>
      <w:kern w:val="0"/>
    </w:rPr>
  </w:style>
  <w:style w:type="paragraph" w:customStyle="1" w:styleId="60">
    <w:name w:val="标准文件_标准名称标题"/>
    <w:basedOn w:val="1"/>
    <w:next w:val="1"/>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uiPriority w:val="0"/>
    <w:pPr>
      <w:numPr>
        <w:ilvl w:val="0"/>
        <w:numId w:val="3"/>
      </w:numPr>
      <w:ind w:firstLine="0" w:firstLineChars="0"/>
    </w:pPr>
  </w:style>
  <w:style w:type="paragraph" w:customStyle="1" w:styleId="68">
    <w:name w:val="标准文件_封面标准编号"/>
    <w:basedOn w:val="1"/>
    <w:next w:val="59"/>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Lines="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Lines="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Char"/>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Subtle Reference"/>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character" w:customStyle="1" w:styleId="99">
    <w:name w:val="脚注文本 Char"/>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Lines="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qFormat/>
    <w:uiPriority w:val="0"/>
    <w:pPr>
      <w:adjustRightInd/>
      <w:spacing w:line="240" w:lineRule="auto"/>
      <w:jc w:val="left"/>
    </w:pPr>
    <w:rPr>
      <w:bCs/>
      <w:iCs/>
    </w:rPr>
  </w:style>
  <w:style w:type="paragraph" w:customStyle="1" w:styleId="143">
    <w:name w:val="目录 31"/>
    <w:basedOn w:val="1"/>
    <w:next w:val="1"/>
    <w:autoRedefine/>
    <w:semiHidden/>
    <w:qFormat/>
    <w:uiPriority w:val="0"/>
    <w:pPr>
      <w:spacing w:line="240" w:lineRule="auto"/>
    </w:pPr>
    <w:rPr>
      <w:rFonts w:ascii="宋体" w:hAnsi="宋体"/>
      <w:iCs/>
    </w:rPr>
  </w:style>
  <w:style w:type="paragraph" w:customStyle="1" w:styleId="144">
    <w:name w:val="目录 41"/>
    <w:basedOn w:val="1"/>
    <w:next w:val="1"/>
    <w:autoRedefine/>
    <w:semiHidden/>
    <w:qFormat/>
    <w:uiPriority w:val="0"/>
    <w:pPr>
      <w:adjustRightInd/>
      <w:spacing w:line="240" w:lineRule="auto"/>
      <w:jc w:val="left"/>
    </w:pPr>
  </w:style>
  <w:style w:type="paragraph" w:customStyle="1" w:styleId="145">
    <w:name w:val="目录 51"/>
    <w:basedOn w:val="1"/>
    <w:next w:val="1"/>
    <w:autoRedefine/>
    <w:semiHidden/>
    <w:qFormat/>
    <w:uiPriority w:val="0"/>
    <w:pPr>
      <w:spacing w:line="240" w:lineRule="auto"/>
    </w:pPr>
    <w:rPr>
      <w:rFonts w:ascii="宋体" w:hAnsi="宋体"/>
    </w:rPr>
  </w:style>
  <w:style w:type="paragraph" w:customStyle="1" w:styleId="146">
    <w:name w:val="目录 61"/>
    <w:basedOn w:val="1"/>
    <w:next w:val="1"/>
    <w:autoRedefine/>
    <w:semiHidden/>
    <w:qFormat/>
    <w:uiPriority w:val="0"/>
    <w:pPr>
      <w:adjustRightInd/>
      <w:spacing w:line="240" w:lineRule="auto"/>
      <w:jc w:val="left"/>
    </w:pPr>
  </w:style>
  <w:style w:type="paragraph" w:customStyle="1" w:styleId="147">
    <w:name w:val="目录 71"/>
    <w:basedOn w:val="146"/>
    <w:autoRedefine/>
    <w:semiHidden/>
    <w:qFormat/>
    <w:uiPriority w:val="0"/>
    <w:pPr>
      <w:ind w:left="1260"/>
    </w:pPr>
  </w:style>
  <w:style w:type="paragraph" w:customStyle="1" w:styleId="148">
    <w:name w:val="目录 81"/>
    <w:basedOn w:val="147"/>
    <w:autoRedefine/>
    <w:semiHidden/>
    <w:qFormat/>
    <w:uiPriority w:val="0"/>
    <w:pPr>
      <w:ind w:left="1470"/>
    </w:pPr>
  </w:style>
  <w:style w:type="paragraph" w:customStyle="1" w:styleId="149">
    <w:name w:val="目录 91"/>
    <w:basedOn w:val="148"/>
    <w:autoRedefine/>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Lines="0" w:afterLines="0"/>
      <w:outlineLvl w:val="9"/>
    </w:pPr>
    <w:rPr>
      <w:rFonts w:ascii="宋体" w:eastAsia="宋体"/>
    </w:rPr>
  </w:style>
  <w:style w:type="paragraph" w:customStyle="1" w:styleId="163">
    <w:name w:val="标准文件_五级无标题"/>
    <w:basedOn w:val="103"/>
    <w:qFormat/>
    <w:uiPriority w:val="0"/>
    <w:pPr>
      <w:spacing w:beforeLines="0" w:afterLines="0"/>
      <w:outlineLvl w:val="9"/>
    </w:pPr>
    <w:rPr>
      <w:rFonts w:ascii="宋体" w:eastAsia="宋体"/>
    </w:rPr>
  </w:style>
  <w:style w:type="paragraph" w:customStyle="1" w:styleId="164">
    <w:name w:val="标准文件_三级无标题"/>
    <w:basedOn w:val="94"/>
    <w:qFormat/>
    <w:uiPriority w:val="0"/>
    <w:pPr>
      <w:spacing w:beforeLines="0" w:afterLines="0"/>
      <w:outlineLvl w:val="9"/>
    </w:pPr>
    <w:rPr>
      <w:rFonts w:ascii="宋体" w:eastAsia="宋体"/>
    </w:rPr>
  </w:style>
  <w:style w:type="paragraph" w:customStyle="1" w:styleId="165">
    <w:name w:val="标准文件_二级无标题"/>
    <w:basedOn w:val="65"/>
    <w:qFormat/>
    <w:uiPriority w:val="0"/>
    <w:pPr>
      <w:spacing w:beforeLines="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Lines="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frame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Lines="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Lines="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Lines="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Lines="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Lines="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Lines="0" w:afterLines="0" w:line="276" w:lineRule="auto"/>
      <w:outlineLvl w:val="9"/>
    </w:pPr>
    <w:rPr>
      <w:rFonts w:ascii="宋体" w:eastAsia="宋体"/>
    </w:rPr>
  </w:style>
  <w:style w:type="paragraph" w:customStyle="1" w:styleId="212">
    <w:name w:val="标准文件_附录二级无标题"/>
    <w:basedOn w:val="79"/>
    <w:qFormat/>
    <w:uiPriority w:val="0"/>
    <w:pPr>
      <w:spacing w:beforeLines="0" w:afterLines="0" w:line="276" w:lineRule="auto"/>
      <w:outlineLvl w:val="9"/>
    </w:pPr>
    <w:rPr>
      <w:rFonts w:ascii="宋体" w:eastAsia="宋体"/>
    </w:rPr>
  </w:style>
  <w:style w:type="paragraph" w:customStyle="1" w:styleId="213">
    <w:name w:val="标准文件_附录三级无标题"/>
    <w:basedOn w:val="81"/>
    <w:qFormat/>
    <w:uiPriority w:val="0"/>
    <w:pPr>
      <w:spacing w:beforeLines="0" w:afterLines="0" w:line="276" w:lineRule="auto"/>
      <w:outlineLvl w:val="9"/>
    </w:pPr>
    <w:rPr>
      <w:rFonts w:ascii="宋体" w:eastAsia="宋体"/>
    </w:rPr>
  </w:style>
  <w:style w:type="paragraph" w:customStyle="1" w:styleId="214">
    <w:name w:val="标准文件_附录四级无标题"/>
    <w:basedOn w:val="82"/>
    <w:qFormat/>
    <w:uiPriority w:val="0"/>
    <w:pPr>
      <w:spacing w:beforeLines="0" w:afterLines="0" w:line="276" w:lineRule="auto"/>
      <w:outlineLvl w:val="9"/>
    </w:pPr>
    <w:rPr>
      <w:rFonts w:ascii="宋体" w:eastAsia="宋体"/>
    </w:rPr>
  </w:style>
  <w:style w:type="paragraph" w:customStyle="1" w:styleId="215">
    <w:name w:val="标准文件_附录五级无标题"/>
    <w:basedOn w:val="84"/>
    <w:qFormat/>
    <w:uiPriority w:val="0"/>
    <w:pPr>
      <w:spacing w:beforeLines="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Lines="0" w:afterLines="0" w:line="276" w:lineRule="auto"/>
    </w:pPr>
    <w:rPr>
      <w:rFonts w:ascii="宋体" w:eastAsia="宋体"/>
    </w:rPr>
  </w:style>
  <w:style w:type="paragraph" w:customStyle="1" w:styleId="217">
    <w:name w:val="标准文件_引言二级无标题"/>
    <w:basedOn w:val="201"/>
    <w:next w:val="56"/>
    <w:qFormat/>
    <w:uiPriority w:val="0"/>
    <w:pPr>
      <w:spacing w:beforeLines="0" w:afterLines="0" w:line="276" w:lineRule="auto"/>
    </w:pPr>
    <w:rPr>
      <w:rFonts w:ascii="宋体" w:eastAsia="宋体"/>
    </w:rPr>
  </w:style>
  <w:style w:type="paragraph" w:customStyle="1" w:styleId="218">
    <w:name w:val="标准文件_引言三级无标题"/>
    <w:basedOn w:val="202"/>
    <w:qFormat/>
    <w:uiPriority w:val="0"/>
    <w:pPr>
      <w:spacing w:beforeLines="0" w:afterLines="0" w:line="276" w:lineRule="auto"/>
    </w:pPr>
    <w:rPr>
      <w:rFonts w:ascii="宋体" w:eastAsia="宋体"/>
    </w:rPr>
  </w:style>
  <w:style w:type="paragraph" w:customStyle="1" w:styleId="219">
    <w:name w:val="标准文件_引言四级无标题"/>
    <w:basedOn w:val="203"/>
    <w:next w:val="56"/>
    <w:qFormat/>
    <w:uiPriority w:val="0"/>
    <w:pPr>
      <w:spacing w:beforeLines="0" w:afterLines="0" w:line="276" w:lineRule="auto"/>
    </w:pPr>
    <w:rPr>
      <w:rFonts w:ascii="宋体" w:eastAsia="宋体"/>
    </w:rPr>
  </w:style>
  <w:style w:type="paragraph" w:customStyle="1" w:styleId="220">
    <w:name w:val="标准文件_引言五级无标题"/>
    <w:basedOn w:val="204"/>
    <w:next w:val="56"/>
    <w:qFormat/>
    <w:uiPriority w:val="0"/>
    <w:pPr>
      <w:spacing w:beforeLines="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glossaryDocument" Target="glossary/document.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png"/><Relationship Id="rId15" Type="http://schemas.openxmlformats.org/officeDocument/2006/relationships/image" Target="media/image1.tiff"/><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82FAEAE81F642C9B9331F71D6C284A1"/>
        <w:style w:val=""/>
        <w:category>
          <w:name w:val="常规"/>
          <w:gallery w:val="placeholder"/>
        </w:category>
        <w:types>
          <w:type w:val="bbPlcHdr"/>
        </w:types>
        <w:behaviors>
          <w:behavior w:val="content"/>
        </w:behaviors>
        <w:description w:val=""/>
        <w:guid w:val="{ECF67831-2D75-432D-8904-CC2A5CDD15B3}"/>
      </w:docPartPr>
      <w:docPartBody>
        <w:p w14:paraId="52E6C55A">
          <w:pPr>
            <w:pStyle w:val="5"/>
          </w:pPr>
          <w:r>
            <w:rPr>
              <w:rStyle w:val="4"/>
              <w:rFonts w:hint="eastAsia"/>
            </w:rPr>
            <w:t>单击或点击此处输入文字。</w:t>
          </w:r>
        </w:p>
      </w:docPartBody>
    </w:docPart>
    <w:docPart>
      <w:docPartPr>
        <w:name w:val="BF55F1676E8A49CE8114A1964EFF08E9"/>
        <w:style w:val=""/>
        <w:category>
          <w:name w:val="常规"/>
          <w:gallery w:val="placeholder"/>
        </w:category>
        <w:types>
          <w:type w:val="bbPlcHdr"/>
        </w:types>
        <w:behaviors>
          <w:behavior w:val="content"/>
        </w:behaviors>
        <w:description w:val=""/>
        <w:guid w:val="{84C8AA6C-416D-4643-B872-48416A4333DC}"/>
      </w:docPartPr>
      <w:docPartBody>
        <w:p w14:paraId="7FE1B2D5">
          <w:pPr>
            <w:pStyle w:val="6"/>
          </w:pPr>
          <w:r>
            <w:rPr>
              <w:rStyle w:val="4"/>
              <w:rFonts w:hint="eastAsia"/>
            </w:rPr>
            <w:t>选择一项。</w:t>
          </w:r>
        </w:p>
      </w:docPartBody>
    </w:docPart>
    <w:docPart>
      <w:docPartPr>
        <w:name w:val="B6568CD12453489FA373A8F0668D38A9"/>
        <w:style w:val=""/>
        <w:category>
          <w:name w:val="常规"/>
          <w:gallery w:val="placeholder"/>
        </w:category>
        <w:types>
          <w:type w:val="bbPlcHdr"/>
        </w:types>
        <w:behaviors>
          <w:behavior w:val="content"/>
        </w:behaviors>
        <w:description w:val=""/>
        <w:guid w:val="{9E3DCB47-F943-40B7-940C-C8039ADFB3DC}"/>
      </w:docPartPr>
      <w:docPartBody>
        <w:p w14:paraId="6EE5BD39">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B50094"/>
    <w:rsid w:val="00582C15"/>
    <w:rsid w:val="00B50094"/>
    <w:rsid w:val="00BE68DE"/>
    <w:rsid w:val="00DE422E"/>
    <w:rsid w:val="00EF1D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082FAEAE81F642C9B9331F71D6C284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BF55F1676E8A49CE8114A1964EFF08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B6568CD12453489FA373A8F0668D38A9"/>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E45B0B-AAF9-4D20-A065-D297F0112A31}">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10</Pages>
  <Words>3387</Words>
  <Characters>3901</Characters>
  <Lines>37</Lines>
  <Paragraphs>10</Paragraphs>
  <TotalTime>5</TotalTime>
  <ScaleCrop>false</ScaleCrop>
  <LinksUpToDate>false</LinksUpToDate>
  <CharactersWithSpaces>4016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2024-10-08T01:07:00Z</dcterms:created>
  <dc:creator>webUser</dc:creator>
  <dc:description>&lt;config cover="true" show_menu="true" version="1.0.0" doctype="SDKXY"&gt;_x000d_
&lt;/config&gt;</dc:description>
  <cp:lastModifiedBy>涤之</cp:lastModifiedBy>
  <cp:lastPrinted>2020-08-30T10:00:00Z</cp:lastPrinted>
  <dcterms:modified xsi:type="dcterms:W3CDTF">2024-10-08T07:17:56Z</dcterms:modified>
  <dc:title>地方标准</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2052-12.1.0.18276</vt:lpwstr>
  </property>
  <property fmtid="{D5CDD505-2E9C-101B-9397-08002B2CF9AE}" pid="15" name="ICV">
    <vt:lpwstr>5685C83804974F8BB2D7B6FE99041D7E_12</vt:lpwstr>
  </property>
</Properties>
</file>