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经营</w:t>
      </w:r>
      <w:r>
        <w:rPr>
          <w:rFonts w:ascii="Times New Roman" w:hAnsi="Times New Roman" w:eastAsia="方正小标宋_GBK" w:cs="Times New Roman"/>
          <w:sz w:val="44"/>
          <w:szCs w:val="44"/>
        </w:rPr>
        <w:t>主体20</w:t>
      </w:r>
      <w:r>
        <w:rPr>
          <w:rFonts w:hint="eastAsia" w:ascii="Times New Roman" w:hAnsi="Times New Roman" w:eastAsia="方正小标宋_GBK" w:cs="Times New Roman"/>
          <w:sz w:val="44"/>
          <w:szCs w:val="44"/>
          <w:lang w:val="en-US" w:eastAsia="zh-CN"/>
        </w:rPr>
        <w:t>23</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2"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numPr>
          <w:ilvl w:val="0"/>
          <w:numId w:val="1"/>
        </w:num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电子营业执照登录。适用于已领取电子营业执照的企业。</w:t>
      </w:r>
    </w:p>
    <w:p>
      <w:pPr>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工商</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经营者</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。通过统一社会信用代码</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注册号/身份证号登录，请确保统一社会信用代码</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注册号/身份证号无误</w:t>
      </w:r>
      <w:r>
        <w:rPr>
          <w:rFonts w:ascii="Times New Roman" w:hAnsi="Times New Roman" w:eastAsia="仿宋_GB2312" w:cs="Times New Roman"/>
          <w:sz w:val="32"/>
          <w:szCs w:val="32"/>
        </w:rPr>
        <w:t>。</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2"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2"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★★★海关</w:t>
      </w:r>
      <w:r>
        <w:rPr>
          <w:rFonts w:ascii="仿宋_GB2312" w:hAnsi="Times New Roman" w:eastAsia="仿宋_GB2312" w:cs="Times New Roman"/>
          <w:spacing w:val="-2"/>
          <w:sz w:val="32"/>
          <w:szCs w:val="32"/>
        </w:rPr>
        <w:t>管理企业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报关</w:t>
      </w:r>
      <w:r>
        <w:rPr>
          <w:rFonts w:ascii="Times New Roman" w:hAnsi="Times New Roman" w:eastAsia="仿宋_GB2312" w:cs="Times New Roman"/>
          <w:sz w:val="32"/>
          <w:szCs w:val="32"/>
        </w:rPr>
        <w:t>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“经营补充信息”和“自律信息”为所报告年度的信息，其余信息均为报送时的信息。“自律信息”仅</w:t>
      </w:r>
      <w:r>
        <w:rPr>
          <w:rFonts w:ascii="Times New Roman" w:hAnsi="Times New Roman" w:eastAsia="仿宋_GB2312" w:cs="Times New Roman"/>
          <w:sz w:val="32"/>
          <w:szCs w:val="32"/>
        </w:rPr>
        <w:t>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、英文名称/地址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跨境贸易电子商务企业类型或非跨境贸易电子商务企业类型：根据企业情况勾选“电子</w:t>
      </w:r>
      <w:r>
        <w:rPr>
          <w:rFonts w:hint="eastAsia"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eastAsia"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★★★外商投资企业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6</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l、有效发明专利数（</w:t>
      </w:r>
      <w:r>
        <w:rPr>
          <w:rFonts w:hint="eastAsia" w:ascii="Times New Roman" w:hAnsi="Times New Roman" w:eastAsia="仿宋_GB2312" w:cs="Times New Roman"/>
          <w:sz w:val="32"/>
          <w:szCs w:val="32"/>
        </w:rPr>
        <w:t>境外知识产权</w:t>
      </w:r>
      <w:r>
        <w:rPr>
          <w:rFonts w:hint="eastAsia" w:ascii="Times New Roman" w:hAnsi="Times New Roman" w:eastAsia="仿宋_GB2312" w:cs="Times New Roman"/>
          <w:spacing w:val="-2"/>
          <w:sz w:val="32"/>
          <w:szCs w:val="32"/>
        </w:rPr>
        <w:t>行政部门授权）：指截至报</w:t>
      </w:r>
      <w:r>
        <w:rPr>
          <w:rFonts w:hint="eastAsia"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7</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8</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9</w:t>
      </w:r>
      <w:r>
        <w:rPr>
          <w:rFonts w:hint="eastAsia" w:ascii="Times New Roman" w:hAnsi="Times New Roman" w:eastAsia="仿宋_GB2312" w:cs="Times New Roman"/>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填写外商投资企业债券、债务情况数据，然后点击“保存”。</w:t>
      </w:r>
    </w:p>
    <w:p>
      <w:pPr>
        <w:spacing w:line="600" w:lineRule="exact"/>
        <w:ind w:firstLine="634"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Times New Roman"/>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填写进口设备减免税的情况，然后点击“保存”。</w:t>
      </w:r>
    </w:p>
    <w:p>
      <w:pPr>
        <w:spacing w:line="600" w:lineRule="exact"/>
        <w:ind w:firstLine="634"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Times New Roman"/>
          <w:spacing w:val="-2"/>
          <w:sz w:val="32"/>
          <w:szCs w:val="32"/>
        </w:rPr>
        <w:t>、资产负债情况</w:t>
      </w:r>
    </w:p>
    <w:p>
      <w:pPr>
        <w:spacing w:line="600" w:lineRule="exact"/>
        <w:ind w:firstLine="632" w:firstLineChars="200"/>
        <w:rPr>
          <w:rFonts w:hint="eastAsia"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还需要填报以下</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信息</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项</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p>
    <w:p>
      <w:pPr>
        <w:pStyle w:val="13"/>
        <w:rPr>
          <w:color w:val="0D0D0D" w:themeColor="text1" w:themeTint="F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窗体顶端</w:t>
      </w:r>
    </w:p>
    <w:p>
      <w:pPr>
        <w:spacing w:line="600" w:lineRule="exact"/>
        <w:ind w:firstLine="634"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eastAsia" w:ascii="仿宋_GB2312" w:hAnsi="仿宋_GB2312" w:eastAsia="仿宋_GB2312" w:cs="仿宋_GB2312"/>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2"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2"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，请拨打所属</w:t>
      </w:r>
      <w:r>
        <w:rPr>
          <w:rFonts w:ascii="仿宋_GB2312" w:hAnsi="黑体" w:eastAsia="仿宋_GB2312" w:cs="Times New Roman"/>
          <w:sz w:val="32"/>
          <w:szCs w:val="32"/>
        </w:rPr>
        <w:t>登记</w:t>
      </w:r>
      <w:r>
        <w:rPr>
          <w:rFonts w:hint="eastAsia" w:ascii="仿宋_GB2312" w:hAnsi="黑体" w:eastAsia="仿宋_GB2312" w:cs="Times New Roman"/>
          <w:sz w:val="32"/>
          <w:szCs w:val="32"/>
        </w:rPr>
        <w:t>机关电话进行咨询。</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湖南省市场监管局：0731-85693069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（业务咨询电话）、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0731-82112315（技术咨询电话）</w:t>
      </w:r>
      <w:bookmarkStart w:id="0" w:name="_GoBack"/>
      <w:bookmarkEnd w:id="0"/>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长沙市市场监管局：0731-88635572</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衡阳市市场监管局：0734-8813116、0734-8813115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株洲市市场监管局：0731-28817343、0731-28817325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湘潭市市场监管局：0731-52861649</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邵阳市市场监管局：0739-5323424</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岳阳市市场监管局：0730-8215325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常德市市场监管局：0736-7223820</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张家界市市场监管局：0744-8227065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益阳市市场监管局：0737-2218375</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郴州市市场监管局：0735-2992038、0735-2992039</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永州市市场监管局：0746-8356062</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怀化市市场监管局：0745-2235974、0745-2233270</w:t>
      </w:r>
    </w:p>
    <w:p>
      <w:pPr>
        <w:spacing w:line="600" w:lineRule="exact"/>
        <w:ind w:firstLine="645"/>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娄底市市场监管局：0738-8329845</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湘西自治州市场监管局：0743-8513609、0743-8566995</w:t>
      </w: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A937DF"/>
    <w:rsid w:val="41B827F4"/>
    <w:rsid w:val="4DE81EE1"/>
    <w:rsid w:val="59AE2032"/>
    <w:rsid w:val="61F6204C"/>
    <w:rsid w:val="6C7B2402"/>
    <w:rsid w:val="6E9D9FD3"/>
    <w:rsid w:val="7A11256C"/>
    <w:rsid w:val="7ED7E246"/>
    <w:rsid w:val="7F7EC83E"/>
    <w:rsid w:val="7FEB5371"/>
    <w:rsid w:val="9EFF005D"/>
    <w:rsid w:val="EEBC6301"/>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4</TotalTime>
  <ScaleCrop>false</ScaleCrop>
  <LinksUpToDate>false</LinksUpToDate>
  <CharactersWithSpaces>6064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2018-05-05T00:14:00Z</dcterms:created>
  <dc:creator>admin</dc:creator>
  <cp:lastModifiedBy>kylin</cp:lastModifiedBy>
  <cp:lastPrinted>2018-12-28T23:42:00Z</cp:lastPrinted>
  <dcterms:modified xsi:type="dcterms:W3CDTF">2024-01-09T16:59:34Z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