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仿宋" w:cs="Times New Roman"/>
          <w:b/>
          <w:bCs/>
          <w:sz w:val="52"/>
          <w:szCs w:val="52"/>
        </w:rPr>
      </w:pPr>
    </w:p>
    <w:p>
      <w:pPr>
        <w:tabs>
          <w:tab w:val="left" w:pos="1897"/>
        </w:tabs>
        <w:jc w:val="left"/>
        <w:rPr>
          <w:rFonts w:hint="default" w:ascii="Times New Roman" w:hAnsi="Times New Roman" w:eastAsia="仿宋" w:cs="Times New Roman"/>
          <w:b/>
          <w:bCs/>
          <w:sz w:val="52"/>
          <w:szCs w:val="52"/>
        </w:rPr>
      </w:pPr>
      <w:r>
        <w:rPr>
          <w:rFonts w:hint="default" w:ascii="Times New Roman" w:hAnsi="Times New Roman" w:eastAsia="仿宋" w:cs="Times New Roman"/>
          <w:b/>
          <w:bCs/>
          <w:sz w:val="52"/>
          <w:szCs w:val="52"/>
        </w:rPr>
        <w:tab/>
      </w:r>
    </w:p>
    <w:p>
      <w:pPr>
        <w:pStyle w:val="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48"/>
        </w:rPr>
        <w:t>湖南省地方</w:t>
      </w:r>
      <w:r>
        <w:rPr>
          <w:rFonts w:hint="default" w:ascii="Times New Roman" w:hAnsi="Times New Roman" w:cs="Times New Roman"/>
        </w:rPr>
        <w:t>标准</w:t>
      </w:r>
    </w:p>
    <w:p>
      <w:pPr>
        <w:pStyle w:val="7"/>
        <w:framePr w:w="9197" w:h="1028" w:hRule="exact" w:x="1699" w:y="2967"/>
        <w:wordWrap w:val="0"/>
        <w:rPr>
          <w:rFonts w:hint="eastAsia" w:ascii="Times New Roman" w:hAnsi="Times New Roman" w:eastAsia="黑体" w:cs="Times New Roman"/>
          <w:lang w:eastAsia="zh-CN"/>
        </w:rPr>
      </w:pPr>
      <w:r>
        <w:rPr>
          <w:rFonts w:hint="default" w:ascii="Times New Roman" w:hAnsi="Times New Roman" w:cs="Times New Roman"/>
        </w:rPr>
        <w:t>DB43/T XXXX—202</w:t>
      </w:r>
      <w:r>
        <w:rPr>
          <w:rFonts w:hint="eastAsia" w:ascii="Times New Roman" w:cs="Times New Roman"/>
          <w:lang w:val="en-US" w:eastAsia="zh-CN"/>
        </w:rPr>
        <w:t>3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pStyle w:val="8"/>
              <w:framePr w:w="9197" w:h="1028" w:hRule="exact" w:x="1699" w:y="2967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pStyle w:val="7"/>
        <w:framePr w:w="9197" w:h="1028" w:hRule="exact" w:x="1699" w:y="2967"/>
        <w:rPr>
          <w:rFonts w:hint="default" w:ascii="Times New Roman" w:hAnsi="Times New Roman" w:cs="Times New Roman"/>
        </w:rPr>
      </w:pPr>
    </w:p>
    <w:p>
      <w:pPr>
        <w:pStyle w:val="7"/>
        <w:framePr w:w="9197" w:h="1028" w:hRule="exact" w:x="1699" w:y="2967"/>
        <w:rPr>
          <w:rFonts w:hint="default" w:ascii="Times New Roman" w:hAnsi="Times New Roman" w:cs="Times New Roman"/>
        </w:rPr>
      </w:pPr>
    </w:p>
    <w:p>
      <w:pPr>
        <w:pStyle w:val="9"/>
        <w:framePr w:w="9342" w:h="6287" w:hRule="exact" w:x="1375" w:y="677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高品质鲜食短羊角形辣椒品种</w:t>
      </w:r>
    </w:p>
    <w:p>
      <w:pPr>
        <w:pStyle w:val="9"/>
        <w:framePr w:w="9342" w:h="6287" w:hRule="exact" w:x="1375" w:y="677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评价技术规程</w:t>
      </w:r>
    </w:p>
    <w:p>
      <w:pPr>
        <w:pStyle w:val="9"/>
        <w:framePr w:w="9342" w:h="6287" w:hRule="exact" w:x="1375" w:y="6776"/>
        <w:rPr>
          <w:rFonts w:hint="default" w:ascii="Times New Roman" w:hAnsi="Times New Roman" w:cs="Times New Roman"/>
        </w:rPr>
      </w:pPr>
    </w:p>
    <w:p>
      <w:pPr>
        <w:framePr w:w="9342" w:h="6287" w:hRule="exact" w:wrap="around" w:vAnchor="page" w:hAnchor="page" w:x="1375" w:y="6776" w:anchorLock="1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Technical regulations for evaluation of high quality short horn pepper</w:t>
      </w:r>
    </w:p>
    <w:p>
      <w:pPr>
        <w:framePr w:w="9342" w:h="6287" w:hRule="exact" w:wrap="around" w:vAnchor="page" w:hAnchor="page" w:x="1375" w:y="6776" w:anchorLock="1"/>
        <w:jc w:val="center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eastAsia" w:cs="Times New Roman"/>
          <w:sz w:val="28"/>
          <w:szCs w:val="28"/>
          <w:lang w:val="en-US" w:eastAsia="zh-CN"/>
        </w:rPr>
        <w:t>送审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稿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</w:t>
      </w:r>
    </w:p>
    <w:p>
      <w:pPr>
        <w:pStyle w:val="10"/>
        <w:framePr w:vAnchor="page" w:hAnchor="page" w:x="1706" w:y="14058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202</w:t>
      </w:r>
      <w:r>
        <w:rPr>
          <w:rFonts w:hint="eastAsia" w:eastAsia="黑体" w:cs="Times New Roman"/>
          <w:lang w:val="en-US" w:eastAsia="zh-CN"/>
        </w:rPr>
        <w:t>3</w:t>
      </w:r>
      <w:r>
        <w:rPr>
          <w:rFonts w:hint="default" w:ascii="Times New Roman" w:hAnsi="Times New Roman" w:eastAsia="黑体" w:cs="Times New Roman"/>
        </w:rPr>
        <w:t>- XX-XX 发布</w: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-23495</wp:posOffset>
                </wp:positionH>
                <wp:positionV relativeFrom="page">
                  <wp:posOffset>335280</wp:posOffset>
                </wp:positionV>
                <wp:extent cx="5836285" cy="635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62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85pt;margin-top:26.4pt;height:0.05pt;width:459.55pt;mso-position-vertical-relative:page;z-index:251661312;mso-width-relative:page;mso-height-relative:page;" filled="f" stroked="t" coordsize="21600,21600" o:gfxdata="UEsDBAoAAAAAAIdO4kAAAAAAAAAAAAAAAAAEAAAAZHJzL1BLAwQUAAAACACHTuJAWiaRw9cAAAAI&#10;AQAADwAAAGRycy9kb3ducmV2LnhtbE2PvU7DQBCEeyTe4bRINFFytkOAGJ9TAO5oEkC0G99iW/j2&#10;HN/lB56eTQXlzoxmvylWJ9erA42h82wgnSWgiGtvO24MvL1W03tQISJb7D2TgW8KsCovLwrMrT/y&#10;mg6b2Cgp4ZCjgTbGIdc61C05DDM/EIv36UeHUc6x0XbEo5S7XmdJcqsddiwfWhzosaX6a7N3BkL1&#10;TrvqZ1JPko954ynbPb08ozHXV2nyACrSKf6F4Ywv6FAK09bv2QbVG5jO7yRpYJHJAvGX6eIG1PYs&#10;LEGXhf4/oPwFUEsDBBQAAAAIAIdO4kBoxMbY9QEAAOYDAAAOAAAAZHJzL2Uyb0RvYy54bWytU0uO&#10;EzEQ3SNxB8t70klGiUIrnVlMGDYIIgEHqLjd3Zb8k8tJJ5fgAkjsYMWSPbdhOAZld8h82GRBL9xl&#10;1/NzvVf28vpgNNvLgMrZik9GY86kFa5Wtq34xw+3LxacYQRbg3ZWVvwokV+vnj9b9r6UU9c5XcvA&#10;iMRi2fuKdzH6sihQdNIAjpyXlpKNCwYiTUNb1AF6Yje6mI7H86J3ofbBCYlIq+shyU+M4RJC1zRK&#10;yLUTOyNtHFiD1BBJEnbKI1/laptGiviuaVBGpitOSmMe6RCKt2ksVkso2wC+U+JUAlxSwhNNBpSl&#10;Q89Ua4jAdkH9Q2WUCA5dE0fCmWIQkh0hFZPxE2/ed+Bl1kJWoz+bjv+PVrzdbwJTdcWp7RYMNfzu&#10;849fn77+/vmFxrvv39gimdR7LAl7YzfhNEO/CUnxoQkm/UkLO2Rjj2dj5SEyQYuzxdV8uphxJig3&#10;v5olxuJ+qw8YX0tnWAoqrpVNqqGE/RuMA/QvJC1ry/qKv5xNEyHQFWyo9RQaTzLQtnkvOq3qW6V1&#10;2oGh3d7owPaQrkH+TiU8gqVD1oDdgMupBIOyk1C/sjWLR08GWXoXPJVgZM2ZlvSMUpSREZS+BEnq&#10;tSUTkq+DkynauvpI7dj5oNqOnJjkKlOG2p8tO13VdL8ezjPT/fNc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aJpHD1wAAAAgBAAAPAAAAAAAAAAEAIAAAACIAAABkcnMvZG93bnJldi54bWxQSwEC&#10;FAAUAAAACACHTuJAaMTG2PUBAADmAwAADgAAAAAAAAABACAAAAAm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2"/>
        <w:framePr w:vAnchor="page" w:hAnchor="page" w:x="6896" w:y="14085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202</w:t>
      </w:r>
      <w:r>
        <w:rPr>
          <w:rFonts w:hint="eastAsia" w:eastAsia="黑体" w:cs="Times New Roman"/>
          <w:lang w:val="en-US" w:eastAsia="zh-CN"/>
        </w:rPr>
        <w:t>3</w:t>
      </w:r>
      <w:r>
        <w:rPr>
          <w:rFonts w:hint="default" w:ascii="Times New Roman" w:hAnsi="Times New Roman" w:eastAsia="黑体" w:cs="Times New Roman"/>
        </w:rPr>
        <w:t>- XX -XX实施</w:t>
      </w:r>
    </w:p>
    <w:p>
      <w:pPr>
        <w:pStyle w:val="14"/>
        <w:framePr w:x="2269" w:y="14680"/>
        <w:rPr>
          <w:rFonts w:hint="default" w:ascii="Times New Roman" w:hAnsi="Times New Roman" w:cs="Times New Roman"/>
        </w:rPr>
      </w:pPr>
      <w:bookmarkStart w:id="0" w:name="fm"/>
      <w:r>
        <w:rPr>
          <w:rFonts w:hint="default" w:ascii="Times New Roman" w:hAnsi="Times New Roman" w:cs="Times New Roman"/>
          <w:w w:val="10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7.55pt;margin-top:-585.45pt;height:18pt;width:90pt;z-index:-251657216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k0FoSswEAAGoDAAAOAAAAZHJzL2Uyb0RvYy54bWyt&#10;U82O0zAQviPxDpbvNElB1SpquoetygXBSgsP4DpOYsl/mnGb9GmQuPEQPA7iNRg7oQvLZQ+bgzN/&#10;/ma+b5Lt7WQNOytA7V3Dq1XJmXLSt9r1Df/y+fDmhjOMwrXCeKcaflHIb3evX23HUKu1H7xpFTAC&#10;cViPoeFDjKEuCpSDsgJXPihHyc6DFZFc6IsWxEjo1hTrstwUo4c2gJcKkaL7OckXRHgOoO86LdXe&#10;y5NVLs6ooIyIRAkHHZDv8rRdp2T81HWoIjMNJ6Yxn9SE7GM6i91W1D2IMGi5jCCeM8ITTlZoR02v&#10;UHsRBTuB/g/KagkefRdX0ttiJpIVIRZV+USbh0EElbmQ1BiuouPLwcqP53tgum34hjMnLC3819fv&#10;P398Y5ukzRiwppKHcA+Lh2QmolMHNr2JApuynpernmqKTFKwqt69LUuSWlJuvb7ZkE0wxePtABjf&#10;K29ZMhoOtK8sozh/wDiX/ilJzdAb3R60MdmB/nhngJ0F7faQnwX9nzLjUrHz6dqMmCJFYjZzSVac&#10;jtNC8OjbC0lyCqD7gWaqMmgqohXk4ZfPJe34bz+DPv4iu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fyYoR2gAAAA8BAAAPAAAAAAAAAAEAIAAAACIAAABkcnMvZG93bnJldi54bWxQSwECFAAUAAAA&#10;CACHTuJApNBaErMBAABqAwAADgAAAAAAAAABACAAAAAp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cs="Times New Roman"/>
          <w:w w:val="1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4445" r="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6.6pt;margin-top:-552.85pt;height:0pt;width:481.9pt;z-index:251662336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rKKtm/QBAADkAwAADgAAAGRycy9lMm9Eb2MueG1srVPN&#10;bhMxEL4j8Q6W72SToLawyqaHhnJBEAl4gInt3bXkP3mcbPISvAASNzhx5M7btDwGY2/aQrnkwB68&#10;Y8/4m/m+GS8u99awnYqovWv4bDLlTDnhpXZdwz9+uH72gjNM4CQY71TDDwr55fLpk8UQajX3vTdS&#10;RUYgDushNLxPKdRVhaJXFnDig3LkbH20kGgbu0pGGAjdmmo+nZ5Xg48yRC8UIp2uRic/IsZTAH3b&#10;aqFWXmytcmlEjcpAIkrY64B8WaptWyXSu7ZFlZhpODFNZaUkZG/yWi0XUHcRQq/FsQQ4pYRHnCxo&#10;R0nvoVaQgG2j/gfKahE9+jZNhLfVSKQoQixm00favO8hqMKFpMZwLzr+P1jxdreOTMuGX3DmwFLD&#10;bz//uPn09dfPL7Tefv/GLrJIQ8CaYq/cOh53GNYxM9630eY/cWH7IuzhXli1T0zQ4fmM2D0nzcWd&#10;r3q4GCKm18pblo2GG+0yZ6hh9wYTJaPQu5B8bBwbGv7ybH5GcEAD2FLjybSBSKDryl30RstrbUy+&#10;gbHbXJnIdpCHoHyZEuH+FZaTrAD7Ma64xvHoFchXTrJ0CCSPo1fBcwlWSc6MokeULQKEOoE2p0RS&#10;auOogqzqqGO2Nl4eqBnbEHXXkxKzUmX2UPNLvcdBzdP1574gPTzO5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7JZGg2AAAAA8BAAAPAAAAAAAAAAEAIAAAACIAAABkcnMvZG93bnJldi54bWxQSwEC&#10;FAAUAAAACACHTuJArKKtm/QBAADk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rFonts w:hint="default" w:ascii="Times New Roman" w:hAnsi="Times New Roman" w:cs="Times New Roman"/>
        </w:rPr>
        <w:t>湖南省市场监督管理局   </w:t>
      </w:r>
      <w:r>
        <w:rPr>
          <w:rStyle w:val="17"/>
          <w:rFonts w:hint="default" w:ascii="Times New Roman" w:hAnsi="Times New Roman" w:cs="Times New Roman"/>
        </w:rPr>
        <w:t>发布</w:t>
      </w:r>
    </w:p>
    <w:p>
      <w:pPr>
        <w:pStyle w:val="16"/>
        <w:rPr>
          <w:rFonts w:hint="default" w:ascii="Times New Roman" w:hAnsi="Times New Roman" w:cs="Times New Roman"/>
        </w:rPr>
        <w:sectPr>
          <w:pgSz w:w="11906" w:h="16838"/>
          <w:pgMar w:top="1985" w:right="1361" w:bottom="1701" w:left="1701" w:header="0" w:footer="0" w:gutter="0"/>
          <w:pgNumType w:start="1"/>
          <w:cols w:space="720" w:num="1"/>
          <w:docGrid w:type="lines" w:linePitch="312" w:charSpace="0"/>
        </w:sectPr>
      </w:pPr>
    </w:p>
    <w:p>
      <w:pPr>
        <w:pStyle w:val="16"/>
        <w:tabs>
          <w:tab w:val="center" w:pos="4422"/>
          <w:tab w:val="clear" w:pos="4201"/>
        </w:tabs>
        <w:spacing w:before="78" w:beforeLines="25" w:after="78" w:afterLines="25"/>
        <w:ind w:firstLine="0" w:firstLineChars="0"/>
        <w:jc w:val="center"/>
        <w:rPr>
          <w:rFonts w:hint="default" w:ascii="Times New Roman" w:hAnsi="Times New Roman" w:eastAsia="黑体" w:cs="Times New Roman"/>
          <w:sz w:val="32"/>
        </w:rPr>
      </w:pPr>
      <w:bookmarkStart w:id="1" w:name="_Toc6786"/>
      <w:bookmarkStart w:id="2" w:name="_Toc19236"/>
      <w:bookmarkStart w:id="3" w:name="_Toc32374"/>
      <w:bookmarkStart w:id="4" w:name="_Toc2755079"/>
      <w:bookmarkStart w:id="5" w:name="_Toc52"/>
      <w:bookmarkStart w:id="6" w:name="_Toc495836270"/>
      <w:bookmarkStart w:id="7" w:name="_Toc5896195"/>
      <w:bookmarkStart w:id="8" w:name="_Toc8745490"/>
      <w:bookmarkStart w:id="9" w:name="_Toc6322577"/>
      <w:bookmarkStart w:id="10" w:name="_Toc8744552"/>
      <w:bookmarkStart w:id="11" w:name="_Toc2778169"/>
      <w:bookmarkStart w:id="12" w:name="_Toc35506600"/>
      <w:bookmarkStart w:id="13" w:name="_Toc30384"/>
      <w:bookmarkStart w:id="14" w:name="_Toc5894204"/>
      <w:bookmarkStart w:id="15" w:name="_Toc20720"/>
      <w:bookmarkStart w:id="16" w:name="_Toc512279345"/>
      <w:bookmarkStart w:id="17" w:name="_Toc512279389"/>
      <w:bookmarkStart w:id="18" w:name="_Toc8737944"/>
      <w:bookmarkStart w:id="19" w:name="_Toc480493654"/>
      <w:bookmarkStart w:id="20" w:name="_Toc12211"/>
    </w:p>
    <w:bookmarkEnd w:id="1"/>
    <w:bookmarkEnd w:id="2"/>
    <w:bookmarkEnd w:id="3"/>
    <w:p>
      <w:pPr>
        <w:spacing w:line="340" w:lineRule="exact"/>
        <w:rPr>
          <w:rFonts w:hint="default" w:ascii="Times New Roman" w:hAnsi="Times New Roman" w:eastAsia="方正书宋简体" w:cs="Times New Roman"/>
          <w:b/>
          <w:bCs/>
          <w:color w:val="000000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0" r="6350" b="254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717.2pt;height:28.6pt;width:481.9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iVYG69gAAAAK&#10;AQAADwAAAGRycy9kb3ducmV2LnhtbE2PwU7DMBBE70j8g7VIXBB10kYRDXEq0cINDi1Vz268JBHx&#10;OrKdpv17tid63JnR7Lxydba9OKEPnSMF6SwBgVQ701GjYP/98fwCIkRNRveOUMEFA6yq+7tSF8ZN&#10;tMXTLjaCSygUWkEb41BIGeoWrQ4zNyCx9+O81ZFP30jj9cTltpfzJMml1R3xh1YPuG6x/t2NVkG+&#10;8eO0pfXTZv/+qb+GZn54uxyUenxIk1cQEc/xPwzX+TwdKt50dCOZIHoFDBJZzRZZBoL9Zb5glONV&#10;WqY5yKqUtwjVH1BLAwQUAAAACACHTuJAuus08SMCAAA8BAAADgAAAGRycy9lMm9Eb2MueG1srVPN&#10;jtMwEL4j8Q6W7zT9kSoUbbpaWhUhLT/SwgM4jpNYOB4zdpuUB4A34MSFO8/V52DstGVVLnsgh2js&#10;mflmvm/GN7dDZ9heoddgCz6bTDlTVkKlbVPwTx+3L15y5oOwlTBgVcEPyvPb1fNnN73L1RxaMJVC&#10;RiDW570reBuCy7PMy1Z1wk/AKUvOGrATgY7YZBWKntA7k82n02XWA1YOQSrv6XYzOvkJEZ8CCHWt&#10;pdqA3HXKhhEVlRGBKPlWO89Xqdu6VjK8r2uvAjMFJ6Yh/akI2WX8Z6sbkTcoXKvlqQXxlBauOHVC&#10;Wyp6gdqIINgO9T9QnZYIHuowkdBlI5GkCLGYTa+0eWiFU4kLSe3dRXT//2Dlu/0HZLoq+IIzKzoa&#10;+PHH9+PP38df39giytM7n1PUg6O4MLyCgZYmUfXuHuRnzyysW2EbdYcIfatERe3NYmb2KHXE8RGk&#10;7N9CRXXELkACGmrsonakBiN0Gs3hMho1BCbpcjkjfRbkkuRbLBfzeZpdJvJztkMfXivoWDQKjjT6&#10;hC729z7EbkR+DonFPBhdbbUx6YBNuTbI9oLWZJu+ROAqzNgYbCGmjYjjjUqLdioTSUeeI+MwlMNJ&#10;xBKqA9FHGJeQniAZLeBXznpawIL7LzuBijPzxpKEcVvPBp6N8mwIKym14IGz0VyHcat3DnXTEvI4&#10;JAt3JHOtkwKxtbGL03BoqZIwpwcQt/bxOUX9ffSr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lW&#10;BuvYAAAACgEAAA8AAAAAAAAAAQAgAAAAIgAAAGRycy9kb3ducmV2LnhtbFBLAQIUABQAAAAIAIdO&#10;4kC66zTxIwIAADwEAAAOAAAAAAAAAAEAIAAAACcBAABkcnMvZTJvRG9jLnhtbFBLBQYAAAAABgAG&#10;AFkBAAC8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  <w10:anchorlock/>
              </v:shape>
            </w:pict>
          </mc:Fallback>
        </mc:AlternateContent>
      </w:r>
    </w:p>
    <w:p>
      <w:pPr>
        <w:spacing w:line="360" w:lineRule="exact"/>
        <w:jc w:val="center"/>
        <w:rPr>
          <w:rFonts w:hint="default" w:ascii="Times New Roman" w:hAnsi="Times New Roman" w:eastAsia="方正黑体简体" w:cs="Times New Roman"/>
          <w:b/>
          <w:bCs/>
          <w:color w:val="000000"/>
        </w:rPr>
      </w:pPr>
      <w:r>
        <w:rPr>
          <w:rFonts w:hint="default" w:ascii="Times New Roman" w:hAnsi="Times New Roman" w:eastAsia="方正黑体简体" w:cs="Times New Roman"/>
          <w:sz w:val="32"/>
          <w:szCs w:val="32"/>
        </w:rPr>
        <w:t>目　　次</w:t>
      </w:r>
    </w:p>
    <w:p>
      <w:pPr>
        <w:spacing w:line="280" w:lineRule="exact"/>
        <w:rPr>
          <w:rFonts w:hint="default" w:ascii="Times New Roman" w:hAnsi="Times New Roman" w:eastAsia="方正黑体简体" w:cs="Times New Roman"/>
          <w:color w:val="000000"/>
        </w:rPr>
      </w:pPr>
    </w:p>
    <w:p>
      <w:pPr>
        <w:spacing w:line="280" w:lineRule="exact"/>
        <w:rPr>
          <w:rFonts w:hint="default" w:ascii="Times New Roman" w:hAnsi="Times New Roman" w:eastAsia="方正黑体简体" w:cs="Times New Roman"/>
          <w:color w:val="000000"/>
        </w:rPr>
      </w:pP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eastAsia="方正书宋简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前言</w:t>
      </w:r>
      <w:r>
        <w:rPr>
          <w:rFonts w:hint="default" w:ascii="Times New Roman" w:hAnsi="Times New Roman" w:eastAsia="方正书宋简体" w:cs="Times New Roman"/>
        </w:rPr>
        <w:tab/>
      </w:r>
      <w:r>
        <w:rPr>
          <w:rFonts w:hint="default" w:ascii="Times New Roman" w:hAnsi="Times New Roman" w:eastAsia="方正书宋简体" w:cs="Times New Roman"/>
        </w:rPr>
        <w:t xml:space="preserve"> </w:t>
      </w:r>
      <w:r>
        <w:rPr>
          <w:rFonts w:hint="eastAsia" w:eastAsia="方正书宋简体" w:cs="Times New Roman"/>
          <w:lang w:val="en-US" w:eastAsia="zh-CN"/>
        </w:rPr>
        <w:t>II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　范围</w:t>
      </w:r>
      <w:r>
        <w:rPr>
          <w:rFonts w:hint="default" w:ascii="Times New Roman" w:hAnsi="Times New Roman" w:eastAsia="方正书宋简体" w:cs="Times New Roman"/>
        </w:rPr>
        <w:tab/>
      </w:r>
      <w:r>
        <w:rPr>
          <w:rFonts w:hint="default" w:ascii="Times New Roman" w:hAnsi="Times New Roman" w:eastAsia="方正书宋简体" w:cs="Times New Roman"/>
        </w:rPr>
        <w:t xml:space="preserve"> </w:t>
      </w:r>
      <w:r>
        <w:rPr>
          <w:rFonts w:hint="default" w:ascii="Times New Roman" w:hAnsi="Times New Roman" w:cs="Times New Roman"/>
        </w:rPr>
        <w:t>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　规范性引用文件</w:t>
      </w:r>
      <w:r>
        <w:rPr>
          <w:rFonts w:hint="default" w:ascii="Times New Roman" w:hAnsi="Times New Roman" w:eastAsia="方正书宋简体" w:cs="Times New Roman"/>
        </w:rPr>
        <w:tab/>
      </w:r>
      <w:r>
        <w:rPr>
          <w:rFonts w:hint="default" w:ascii="Times New Roman" w:hAnsi="Times New Roman" w:eastAsia="方正书宋简体" w:cs="Times New Roman"/>
        </w:rPr>
        <w:t xml:space="preserve"> </w:t>
      </w:r>
      <w:r>
        <w:rPr>
          <w:rFonts w:hint="default" w:ascii="Times New Roman" w:hAnsi="Times New Roman" w:cs="Times New Roman"/>
        </w:rPr>
        <w:t>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　术语和定义</w:t>
      </w:r>
      <w:r>
        <w:rPr>
          <w:rFonts w:hint="default" w:ascii="Times New Roman" w:hAnsi="Times New Roman" w:eastAsia="方正书宋简体" w:cs="Times New Roman"/>
        </w:rPr>
        <w:tab/>
      </w:r>
      <w:r>
        <w:rPr>
          <w:rFonts w:hint="default" w:ascii="Times New Roman" w:hAnsi="Times New Roman" w:eastAsia="方正书宋简体" w:cs="Times New Roman"/>
        </w:rPr>
        <w:t xml:space="preserve"> </w:t>
      </w:r>
      <w:r>
        <w:rPr>
          <w:rFonts w:hint="default" w:ascii="Times New Roman" w:hAnsi="Times New Roman" w:cs="Times New Roman"/>
        </w:rPr>
        <w:t>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3.1　鲜辣椒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 xml:space="preserve"> 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3.2　短羊角形辣椒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 xml:space="preserve"> 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3.3  辣椒素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 xml:space="preserve"> 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3.4　纤维素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 xml:space="preserve"> 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3.5　果胶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 xml:space="preserve"> 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宋体" w:cs="Times New Roman"/>
          <w:color w:val="auto"/>
          <w:lang w:val="en-US" w:eastAsia="zh-CN"/>
        </w:rPr>
      </w:pPr>
      <w:r>
        <w:rPr>
          <w:rFonts w:hint="eastAsia" w:cs="Times New Roman"/>
          <w:color w:val="auto"/>
          <w:lang w:val="en-US" w:eastAsia="zh-CN"/>
        </w:rPr>
        <w:t>4　 品质分级</w:t>
      </w:r>
      <w:r>
        <w:rPr>
          <w:rFonts w:hint="eastAsia" w:cs="Times New Roman"/>
          <w:color w:val="auto"/>
          <w:lang w:val="en-US" w:eastAsia="zh-CN"/>
        </w:rPr>
        <w:tab/>
      </w:r>
      <w:r>
        <w:rPr>
          <w:rFonts w:hint="eastAsia" w:cs="Times New Roman"/>
          <w:color w:val="auto"/>
          <w:lang w:val="en-US" w:eastAsia="zh-CN"/>
        </w:rPr>
        <w:t xml:space="preserve"> 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　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cs="Times New Roman"/>
          <w:lang w:eastAsia="zh-CN"/>
        </w:rPr>
        <w:t>评价流程</w:t>
      </w:r>
      <w:r>
        <w:rPr>
          <w:rFonts w:hint="default" w:ascii="Times New Roman" w:hAnsi="Times New Roman" w:eastAsia="方正书宋简体" w:cs="Times New Roman"/>
        </w:rPr>
        <w:tab/>
      </w:r>
      <w:r>
        <w:rPr>
          <w:rFonts w:hint="default" w:ascii="Times New Roman" w:hAnsi="Times New Roman" w:eastAsia="方正书宋简体" w:cs="Times New Roman"/>
        </w:rPr>
        <w:t xml:space="preserve"> </w:t>
      </w:r>
      <w:r>
        <w:rPr>
          <w:rFonts w:hint="default" w:ascii="Times New Roman" w:hAnsi="Times New Roman" w:cs="Times New Roman"/>
        </w:rPr>
        <w:t>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5.1　种子准备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1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5.2　催芽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eastAsia" w:cs="Times New Roman"/>
          <w:lang w:val="en-US" w:eastAsia="zh-CN"/>
        </w:rPr>
        <w:t>2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5.3　幼苗培养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eastAsia" w:cs="Times New Roman"/>
          <w:lang w:val="en-US" w:eastAsia="zh-CN"/>
        </w:rPr>
        <w:t>2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5.4　定植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eastAsia" w:cs="Times New Roman"/>
          <w:lang w:val="en-US" w:eastAsia="zh-CN"/>
        </w:rPr>
        <w:t>2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5.5　指标测定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eastAsia" w:cs="Times New Roman"/>
          <w:lang w:val="en-US" w:eastAsia="zh-CN"/>
        </w:rPr>
        <w:t>2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5.6　指标检测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eastAsia" w:cs="Times New Roman"/>
          <w:lang w:val="en-US" w:eastAsia="zh-CN"/>
        </w:rPr>
        <w:t>2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方正书宋简体" w:cs="Times New Roman"/>
          <w:lang w:eastAsia="zh-CN"/>
        </w:rPr>
      </w:pPr>
      <w:r>
        <w:rPr>
          <w:rFonts w:hint="eastAsia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　鲜食短羊角形辣椒品质综合评价</w:t>
      </w:r>
      <w:r>
        <w:rPr>
          <w:rFonts w:hint="default" w:ascii="Times New Roman" w:hAnsi="Times New Roman" w:eastAsia="方正书宋简体" w:cs="Times New Roman"/>
        </w:rPr>
        <w:tab/>
      </w:r>
      <w:r>
        <w:rPr>
          <w:rFonts w:hint="eastAsia" w:eastAsia="方正书宋简体" w:cs="Times New Roman"/>
          <w:lang w:val="en-US" w:eastAsia="zh-CN"/>
        </w:rPr>
        <w:t>3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方正书宋简体" w:cs="Times New Roman"/>
          <w:lang w:eastAsia="zh-CN"/>
        </w:rPr>
      </w:pPr>
      <w:r>
        <w:rPr>
          <w:rFonts w:hint="eastAsia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</w:rPr>
        <w:t>　鲜食短羊角形辣椒品质分级</w:t>
      </w:r>
      <w:r>
        <w:rPr>
          <w:rFonts w:hint="default" w:ascii="Times New Roman" w:hAnsi="Times New Roman" w:eastAsia="方正书宋简体" w:cs="Times New Roman"/>
        </w:rPr>
        <w:tab/>
      </w:r>
      <w:r>
        <w:rPr>
          <w:rFonts w:hint="eastAsia" w:eastAsia="方正书宋简体" w:cs="Times New Roman"/>
          <w:lang w:val="en-US" w:eastAsia="zh-CN"/>
        </w:rPr>
        <w:t>3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eastAsia" w:ascii="Times New Roman" w:hAnsi="Times New Roman" w:eastAsia="方正书宋简体" w:cs="Times New Roman"/>
          <w:lang w:eastAsia="zh-CN"/>
        </w:rPr>
      </w:pPr>
      <w:r>
        <w:rPr>
          <w:rFonts w:hint="default" w:ascii="Times New Roman" w:hAnsi="Times New Roman" w:cs="Times New Roman"/>
        </w:rPr>
        <w:t>附录A（资料性</w:t>
      </w:r>
      <w:r>
        <w:rPr>
          <w:rFonts w:hint="eastAsia" w:ascii="Times New Roman" w:hAnsi="Times New Roman" w:cs="Times New Roman"/>
          <w:lang w:val="en-US" w:eastAsia="zh-CN"/>
        </w:rPr>
        <w:t>附录</w:t>
      </w:r>
      <w:r>
        <w:rPr>
          <w:rFonts w:hint="default" w:ascii="Times New Roman" w:hAnsi="Times New Roman" w:cs="Times New Roman"/>
        </w:rPr>
        <w:t>）高品质鲜食短羊角形辣椒品种评价技术规程记录表</w:t>
      </w:r>
      <w:r>
        <w:rPr>
          <w:rFonts w:hint="default" w:ascii="Times New Roman" w:hAnsi="Times New Roman" w:eastAsia="方正书宋简体" w:cs="Times New Roman"/>
        </w:rPr>
        <w:tab/>
      </w:r>
      <w:r>
        <w:rPr>
          <w:rFonts w:hint="default" w:ascii="Times New Roman" w:hAnsi="Times New Roman" w:eastAsia="方正书宋简体" w:cs="Times New Roman"/>
        </w:rPr>
        <w:t xml:space="preserve"> </w:t>
      </w:r>
      <w:r>
        <w:rPr>
          <w:rFonts w:hint="eastAsia" w:eastAsia="方正书宋简体" w:cs="Times New Roman"/>
          <w:lang w:val="en-US" w:eastAsia="zh-CN"/>
        </w:rPr>
        <w:t>4</w:t>
      </w: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</w:rPr>
      </w:pPr>
    </w:p>
    <w:p>
      <w:pPr>
        <w:tabs>
          <w:tab w:val="right" w:leader="middleDot" w:pos="9450"/>
        </w:tabs>
        <w:spacing w:line="360" w:lineRule="exact"/>
        <w:ind w:firstLine="315" w:firstLineChars="150"/>
        <w:rPr>
          <w:rFonts w:hint="default" w:ascii="Times New Roman" w:hAnsi="Times New Roman" w:cs="Times New Roman"/>
        </w:rPr>
      </w:pPr>
    </w:p>
    <w:p>
      <w:pPr>
        <w:pStyle w:val="3"/>
        <w:spacing w:before="78" w:after="78"/>
        <w:rPr>
          <w:rFonts w:hint="default" w:ascii="Times New Roman" w:hAnsi="Times New Roman" w:cs="Times New Roman"/>
        </w:rPr>
      </w:pPr>
    </w:p>
    <w:p>
      <w:pPr>
        <w:pStyle w:val="16"/>
        <w:rPr>
          <w:rFonts w:hint="default" w:ascii="Times New Roman" w:hAnsi="Times New Roman" w:cs="Times New Rom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18"/>
        <w:rPr>
          <w:rFonts w:hint="default" w:ascii="Times New Roman" w:hAnsi="Times New Roman" w:cs="Times New Roman"/>
        </w:rPr>
      </w:pPr>
      <w:bookmarkStart w:id="21" w:name="_Toc35588770"/>
      <w:r>
        <w:rPr>
          <w:rFonts w:hint="default" w:ascii="Times New Roman" w:hAnsi="Times New Roman" w:cs="Times New Roman"/>
        </w:rPr>
        <w:t>前</w:t>
      </w:r>
      <w:bookmarkStart w:id="22" w:name="BKQY"/>
      <w:r>
        <w:rPr>
          <w:rFonts w:hint="default" w:ascii="Times New Roman" w:hAnsi="Times New Roman" w:cs="Times New Roman"/>
        </w:rPr>
        <w:t>  言</w:t>
      </w:r>
      <w:bookmarkEnd w:id="21"/>
      <w:bookmarkEnd w:id="22"/>
    </w:p>
    <w:p>
      <w:pPr>
        <w:ind w:firstLine="420" w:firstLineChars="200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本文件按照GB/T　1.1-2</w:t>
      </w:r>
      <w:r>
        <w:rPr>
          <w:rFonts w:hint="default" w:ascii="Times New Roman" w:hAnsi="Times New Roman" w:cs="Times New Roman"/>
          <w:lang w:val="en-US" w:eastAsia="zh-CN"/>
        </w:rPr>
        <w:t>020</w:t>
      </w:r>
      <w:r>
        <w:rPr>
          <w:rFonts w:hint="default" w:ascii="Times New Roman" w:hAnsi="Times New Roman" w:cs="Times New Roman"/>
          <w:lang w:eastAsia="zh-CN"/>
        </w:rPr>
        <w:t>给出的规则起草。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请注意</w:t>
      </w:r>
      <w:r>
        <w:rPr>
          <w:rFonts w:hint="default" w:ascii="Times New Roman" w:hAnsi="Times New Roman" w:cs="Times New Roman"/>
          <w:lang w:eastAsia="zh-CN"/>
        </w:rPr>
        <w:t>本文件</w:t>
      </w:r>
      <w:r>
        <w:rPr>
          <w:rFonts w:hint="default" w:ascii="Times New Roman" w:hAnsi="Times New Roman" w:cs="Times New Roman"/>
        </w:rPr>
        <w:t>的某些内容可能涉及专利，</w:t>
      </w:r>
      <w:r>
        <w:rPr>
          <w:rFonts w:hint="default" w:ascii="Times New Roman" w:hAnsi="Times New Roman" w:cs="Times New Roman"/>
          <w:lang w:eastAsia="zh-CN"/>
        </w:rPr>
        <w:t>本文件</w:t>
      </w:r>
      <w:r>
        <w:rPr>
          <w:rFonts w:hint="default" w:ascii="Times New Roman" w:hAnsi="Times New Roman" w:cs="Times New Roman"/>
        </w:rPr>
        <w:t>的发布机构不承担识别责任。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本文件</w:t>
      </w:r>
      <w:r>
        <w:rPr>
          <w:rFonts w:hint="default" w:ascii="Times New Roman" w:hAnsi="Times New Roman" w:cs="Times New Roman"/>
        </w:rPr>
        <w:t>由湖南省农业农村厅提出。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本文件</w:t>
      </w:r>
      <w:r>
        <w:rPr>
          <w:rFonts w:hint="default" w:ascii="Times New Roman" w:hAnsi="Times New Roman" w:cs="Times New Roman"/>
        </w:rPr>
        <w:t>由湖南省农业标准化委员会归口。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jc w:val="both"/>
        <w:textAlignment w:val="auto"/>
        <w:rPr>
          <w:rFonts w:hint="default" w:ascii="Times New Roman" w:hAnsi="Times New Roman" w:cs="Times New Roman"/>
          <w:color w:val="auto"/>
          <w:lang w:eastAsia="zh-CN"/>
        </w:rPr>
      </w:pPr>
      <w:r>
        <w:rPr>
          <w:rFonts w:hint="default" w:ascii="Times New Roman" w:hAnsi="Times New Roman" w:cs="Times New Roman"/>
          <w:color w:val="auto"/>
          <w:lang w:eastAsia="zh-CN"/>
        </w:rPr>
        <w:t>本文件</w:t>
      </w:r>
      <w:r>
        <w:rPr>
          <w:rFonts w:hint="default" w:ascii="Times New Roman" w:hAnsi="Times New Roman" w:cs="Times New Roman"/>
          <w:color w:val="auto"/>
        </w:rPr>
        <w:t>主要起草</w:t>
      </w:r>
      <w:r>
        <w:rPr>
          <w:rFonts w:hint="eastAsia" w:asciiTheme="minorHAnsi" w:hAnsiTheme="minorHAnsi" w:eastAsiaTheme="minorEastAsia" w:cstheme="minorBidi"/>
          <w:color w:val="auto"/>
        </w:rPr>
        <w:t>湖</w:t>
      </w:r>
      <w:r>
        <w:rPr>
          <w:rFonts w:hint="default" w:ascii="Times New Roman" w:hAnsi="Times New Roman" w:cs="Times New Roman"/>
          <w:color w:val="auto"/>
        </w:rPr>
        <w:t>单位：</w:t>
      </w:r>
      <w:r>
        <w:rPr>
          <w:rFonts w:hint="eastAsia" w:asciiTheme="minorHAnsi" w:hAnsiTheme="minorHAnsi" w:eastAsiaTheme="minorEastAsia" w:cstheme="minorBidi"/>
          <w:color w:val="auto"/>
          <w:lang w:val="en-US" w:eastAsia="zh-CN"/>
        </w:rPr>
        <w:t>湖</w:t>
      </w:r>
      <w:r>
        <w:rPr>
          <w:rFonts w:hint="eastAsia" w:asciiTheme="minorHAnsi" w:hAnsiTheme="minorHAnsi" w:eastAsiaTheme="minorEastAsia" w:cstheme="minorBidi"/>
          <w:color w:val="auto"/>
        </w:rPr>
        <w:t>南农业大学、湖南湘研种业有限公司、宁乡市农业农村局、长沙市望城区绿地生态农庄有限公司、云南循环农业产业研究院、湖南农业大学黄埔创新研究院、湘西土家族苗族自治州农业科学研究院。</w:t>
      </w:r>
    </w:p>
    <w:p>
      <w:pPr>
        <w:ind w:firstLine="420" w:firstLineChars="200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本文件</w:t>
      </w:r>
      <w:r>
        <w:rPr>
          <w:rFonts w:hint="default" w:ascii="Times New Roman" w:hAnsi="Times New Roman" w:cs="Times New Roman"/>
        </w:rPr>
        <w:t>主要起草人</w:t>
      </w:r>
      <w:r>
        <w:rPr>
          <w:rFonts w:hint="eastAsia" w:cs="Times New Roman"/>
          <w:lang w:eastAsia="zh-CN"/>
        </w:rPr>
        <w:t>：欧立军</w:t>
      </w:r>
      <w:r>
        <w:rPr>
          <w:rFonts w:hint="default" w:ascii="Times New Roman" w:hAnsi="Times New Roman" w:cs="Times New Roman"/>
        </w:rPr>
        <w:t>、</w:t>
      </w:r>
      <w:r>
        <w:rPr>
          <w:rFonts w:hint="eastAsia" w:cs="Times New Roman"/>
          <w:lang w:val="en-US" w:eastAsia="zh-CN"/>
        </w:rPr>
        <w:t>付</w:t>
      </w:r>
      <w:r>
        <w:rPr>
          <w:rFonts w:hint="eastAsia" w:cs="Times New Roman"/>
          <w:lang w:eastAsia="zh-CN"/>
        </w:rPr>
        <w:t>稳、戴雄泽、缪武、龙慧君、邹高峰、杨博智、刘周斌、</w:t>
      </w:r>
      <w:r>
        <w:rPr>
          <w:rFonts w:hint="eastAsia"/>
        </w:rPr>
        <w:t>银晓</w:t>
      </w:r>
      <w:r>
        <w:rPr>
          <w:rFonts w:hint="eastAsia"/>
          <w:lang w:eastAsia="zh-CN"/>
        </w:rPr>
        <w:t>、雷艳、徐灿、索欢</w:t>
      </w:r>
      <w:r>
        <w:rPr>
          <w:rFonts w:hint="default" w:ascii="Times New Roman" w:hAnsi="Times New Roman" w:cs="Times New Roman"/>
          <w:lang w:eastAsia="zh-CN"/>
        </w:rPr>
        <w:t>。</w:t>
      </w:r>
    </w:p>
    <w:p>
      <w:pPr>
        <w:pStyle w:val="16"/>
        <w:ind w:firstLine="0" w:firstLineChars="0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16"/>
        <w:rPr>
          <w:rFonts w:hint="default" w:ascii="Times New Roman" w:hAnsi="Times New Roman" w:cs="Times New Roman"/>
        </w:rPr>
      </w:pPr>
    </w:p>
    <w:p>
      <w:pPr>
        <w:pStyle w:val="16"/>
        <w:spacing w:line="340" w:lineRule="exact"/>
        <w:rPr>
          <w:rFonts w:hint="default" w:ascii="Times New Roman" w:hAnsi="Times New Roman" w:cs="Times New Roman"/>
          <w:szCs w:val="21"/>
        </w:rPr>
      </w:pPr>
    </w:p>
    <w:p>
      <w:pPr>
        <w:pStyle w:val="16"/>
        <w:rPr>
          <w:rFonts w:hint="default" w:ascii="Times New Roman" w:hAnsi="Times New Roman" w:cs="Times New Roman"/>
        </w:rPr>
      </w:pPr>
    </w:p>
    <w:p>
      <w:pPr>
        <w:pStyle w:val="16"/>
        <w:rPr>
          <w:rFonts w:hint="default" w:ascii="Times New Roman" w:hAnsi="Times New Roman" w:cs="Times New Roman"/>
        </w:rPr>
        <w:sectPr>
          <w:headerReference r:id="rId3" w:type="default"/>
          <w:footerReference r:id="rId4" w:type="default"/>
          <w:pgSz w:w="11906" w:h="16838"/>
          <w:pgMar w:top="1985" w:right="1361" w:bottom="1701" w:left="1701" w:header="1418" w:footer="1134" w:gutter="0"/>
          <w:pgNumType w:fmt="upperRoman" w:start="1"/>
          <w:cols w:space="720" w:num="1"/>
          <w:docGrid w:type="lines" w:linePitch="312" w:charSpace="0"/>
        </w:sectPr>
      </w:pPr>
      <w:bookmarkStart w:id="118" w:name="_GoBack"/>
      <w:bookmarkEnd w:id="118"/>
    </w:p>
    <w:p>
      <w:pPr>
        <w:numPr>
          <w:ilvl w:val="0"/>
          <w:numId w:val="0"/>
        </w:numPr>
        <w:spacing w:before="312" w:beforeLines="100" w:after="312" w:afterLines="100"/>
        <w:ind w:leftChars="0"/>
        <w:jc w:val="center"/>
        <w:outlineLvl w:val="1"/>
        <w:rPr>
          <w:rFonts w:hint="default" w:ascii="Times New Roman" w:hAnsi="Times New Roman" w:eastAsia="宋体" w:cs="Times New Roman"/>
          <w:kern w:val="0"/>
          <w:sz w:val="32"/>
          <w:szCs w:val="32"/>
          <w:lang w:val="en-US" w:eastAsia="zh-CN" w:bidi="ar-SA"/>
        </w:rPr>
      </w:pPr>
      <w:bookmarkStart w:id="23" w:name="_Toc25506672"/>
      <w:bookmarkStart w:id="24" w:name="_Toc24911961"/>
      <w:bookmarkStart w:id="25" w:name="_Toc25506472"/>
      <w:bookmarkStart w:id="26" w:name="_Toc25506422"/>
      <w:bookmarkStart w:id="27" w:name="_Toc24912434"/>
      <w:bookmarkStart w:id="28" w:name="_Toc25506529"/>
      <w:bookmarkStart w:id="29" w:name="_Toc25044739"/>
      <w:r>
        <w:rPr>
          <w:rFonts w:hint="default" w:ascii="Times New Roman" w:hAnsi="Times New Roman" w:eastAsia="宋体" w:cs="Times New Roman"/>
          <w:kern w:val="0"/>
          <w:sz w:val="32"/>
          <w:szCs w:val="32"/>
          <w:lang w:val="en-US" w:eastAsia="zh-CN" w:bidi="ar-SA"/>
        </w:rPr>
        <w:t>高品质鲜食短羊角形辣椒品种评价技术规程</w:t>
      </w:r>
    </w:p>
    <w:p>
      <w:pPr>
        <w:numPr>
          <w:ilvl w:val="0"/>
          <w:numId w:val="4"/>
        </w:numPr>
        <w:spacing w:before="312" w:beforeLines="100" w:after="312" w:afterLines="100"/>
        <w:jc w:val="both"/>
        <w:outlineLvl w:val="1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范围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本标准规定了高品质鲜食短羊角形辣椒品种的判定标准。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本标准适用于鲜食短羊角形辣椒品种评价。</w:t>
      </w:r>
    </w:p>
    <w:p>
      <w:pPr>
        <w:numPr>
          <w:ilvl w:val="0"/>
          <w:numId w:val="4"/>
        </w:numPr>
        <w:spacing w:before="312" w:beforeLines="100" w:after="312" w:afterLines="100"/>
        <w:jc w:val="both"/>
        <w:outlineLvl w:val="1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bookmarkStart w:id="30" w:name="_Toc25506530"/>
      <w:bookmarkStart w:id="31" w:name="_Toc24911962"/>
      <w:bookmarkStart w:id="32" w:name="_Toc25506423"/>
      <w:bookmarkStart w:id="33" w:name="_Toc25506673"/>
      <w:bookmarkStart w:id="34" w:name="_Toc25506473"/>
      <w:bookmarkStart w:id="35" w:name="_Toc25044740"/>
      <w:bookmarkStart w:id="36" w:name="_Toc24912435"/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规范性引用文件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tabs>
          <w:tab w:val="center" w:pos="4201"/>
          <w:tab w:val="right" w:leader="dot" w:pos="9298"/>
        </w:tabs>
        <w:autoSpaceDE w:val="0"/>
        <w:autoSpaceDN w:val="0"/>
        <w:spacing w:line="324" w:lineRule="atLeast"/>
        <w:ind w:firstLine="420" w:firstLineChars="200"/>
        <w:jc w:val="both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GB 16715.3-2010 瓜菜作物种子 第3部分：茄果类</w:t>
      </w:r>
    </w:p>
    <w:p>
      <w:pPr>
        <w:tabs>
          <w:tab w:val="center" w:pos="4201"/>
          <w:tab w:val="right" w:leader="dot" w:pos="9298"/>
        </w:tabs>
        <w:autoSpaceDE w:val="0"/>
        <w:autoSpaceDN w:val="0"/>
        <w:spacing w:line="324" w:lineRule="atLeast"/>
        <w:ind w:firstLine="420" w:firstLineChars="200"/>
        <w:jc w:val="both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NY/T 2118 蔬菜育苗基质</w:t>
      </w:r>
    </w:p>
    <w:p>
      <w:pPr>
        <w:tabs>
          <w:tab w:val="center" w:pos="4201"/>
          <w:tab w:val="right" w:leader="dot" w:pos="9298"/>
        </w:tabs>
        <w:autoSpaceDE w:val="0"/>
        <w:autoSpaceDN w:val="0"/>
        <w:spacing w:line="324" w:lineRule="atLeast"/>
        <w:ind w:firstLine="420" w:firstLineChars="200"/>
        <w:jc w:val="both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NY/T 2119 蔬菜穴盘育苗通则</w:t>
      </w:r>
    </w:p>
    <w:p>
      <w:pPr>
        <w:numPr>
          <w:ilvl w:val="0"/>
          <w:numId w:val="4"/>
        </w:numPr>
        <w:spacing w:before="312" w:beforeLines="100" w:after="312" w:afterLines="100"/>
        <w:jc w:val="both"/>
        <w:outlineLvl w:val="1"/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</w:pPr>
      <w:bookmarkStart w:id="37" w:name="_Toc24911963"/>
      <w:bookmarkEnd w:id="37"/>
      <w:bookmarkStart w:id="38" w:name="_Toc25506424"/>
      <w:bookmarkStart w:id="39" w:name="_Toc25506674"/>
      <w:bookmarkStart w:id="40" w:name="_Toc25506474"/>
      <w:bookmarkStart w:id="41" w:name="_Toc24912436"/>
      <w:bookmarkStart w:id="42" w:name="_Toc25044741"/>
      <w:bookmarkStart w:id="43" w:name="_Toc25506531"/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  <w:t>术语和定义</w:t>
      </w:r>
      <w:bookmarkEnd w:id="38"/>
      <w:bookmarkEnd w:id="39"/>
      <w:bookmarkEnd w:id="40"/>
      <w:bookmarkEnd w:id="41"/>
      <w:bookmarkEnd w:id="42"/>
      <w:bookmarkEnd w:id="43"/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  <w:t>下列术语和定义适用于本标准。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44" w:name="_Toc25506532"/>
      <w:bookmarkStart w:id="45" w:name="_Toc25506475"/>
      <w:bookmarkStart w:id="46" w:name="_Toc25044742"/>
      <w:bookmarkStart w:id="47" w:name="_Toc24912437"/>
      <w:bookmarkStart w:id="48" w:name="_Toc25506425"/>
      <w:bookmarkStart w:id="49" w:name="_Toc25506675"/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鲜辣椒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直接从植株上采摘未经过加工处理的新鲜果实。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短羊角形辣椒</w:t>
      </w:r>
      <w:bookmarkEnd w:id="44"/>
      <w:bookmarkEnd w:id="45"/>
      <w:bookmarkEnd w:id="46"/>
      <w:bookmarkEnd w:id="47"/>
      <w:bookmarkEnd w:id="48"/>
      <w:bookmarkEnd w:id="49"/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鲜辣椒果实似短羊角一样的形状。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-SA"/>
        </w:rPr>
        <w:t>辣椒素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  <w:t>学名为反式-8-甲基-N-香草基-6-壬烯酰胺，是辣椒中的活性成分，也是辣味的来源。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-SA"/>
        </w:rPr>
        <w:t>纤维素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  <w:t>是植物细胞壁的主要成分，也是一种重要的膳食纤维</w:t>
      </w:r>
      <w:r>
        <w:rPr>
          <w:rFonts w:hint="default" w:ascii="Times New Roman" w:hAnsi="Times New Roman" w:eastAsia="宋体" w:cs="Times New Roman"/>
          <w:color w:val="FF0000"/>
          <w:kern w:val="0"/>
          <w:sz w:val="21"/>
          <w:szCs w:val="20"/>
          <w:lang w:val="en-US" w:eastAsia="zh-CN" w:bidi="ar-SA"/>
        </w:rPr>
        <w:t>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-SA"/>
        </w:rPr>
        <w:t>果胶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  <w:t>一种多糖，多存在于植物细胞壁和细胞内层。</w:t>
      </w:r>
    </w:p>
    <w:p>
      <w:pPr>
        <w:pStyle w:val="27"/>
        <w:spacing w:before="312" w:after="312"/>
        <w:rPr>
          <w:rFonts w:hint="default" w:ascii="Times New Roman" w:hAnsi="Times New Roman" w:eastAsia="宋体" w:cs="Times New Roman"/>
          <w:sz w:val="21"/>
          <w:szCs w:val="20"/>
        </w:rPr>
      </w:pPr>
      <w:bookmarkStart w:id="50" w:name="_Toc25506478"/>
      <w:bookmarkStart w:id="51" w:name="_Toc25506535"/>
      <w:bookmarkStart w:id="52" w:name="_Toc25506678"/>
      <w:bookmarkStart w:id="53" w:name="_Toc25506428"/>
      <w:r>
        <w:rPr>
          <w:rFonts w:hint="default" w:ascii="Times New Roman" w:hAnsi="Times New Roman" w:eastAsia="宋体" w:cs="Times New Roman"/>
          <w:sz w:val="21"/>
          <w:szCs w:val="20"/>
        </w:rPr>
        <w:t>品质分级</w:t>
      </w:r>
    </w:p>
    <w:p>
      <w:pPr>
        <w:pStyle w:val="16"/>
        <w:spacing w:beforeLines="0" w:afterLines="0"/>
        <w:rPr>
          <w:rFonts w:hint="default" w:ascii="Times New Roman" w:hAnsi="Times New Roman" w:eastAsia="宋体" w:cs="Times New Roman"/>
          <w:sz w:val="21"/>
          <w:szCs w:val="20"/>
        </w:rPr>
      </w:pPr>
      <w:r>
        <w:rPr>
          <w:rFonts w:hint="default" w:ascii="Times New Roman" w:hAnsi="Times New Roman" w:eastAsia="宋体" w:cs="Times New Roman"/>
          <w:sz w:val="21"/>
          <w:szCs w:val="20"/>
        </w:rPr>
        <w:t>鲜食</w:t>
      </w:r>
      <w:r>
        <w:rPr>
          <w:rFonts w:hint="default" w:ascii="Times New Roman" w:hAnsi="Times New Roman" w:eastAsia="宋体" w:cs="Times New Roman"/>
          <w:sz w:val="21"/>
          <w:szCs w:val="20"/>
          <w:lang w:val="en-US" w:eastAsia="zh-CN"/>
        </w:rPr>
        <w:t>短羊角</w:t>
      </w:r>
      <w:r>
        <w:rPr>
          <w:rFonts w:hint="default" w:ascii="Times New Roman" w:hAnsi="Times New Roman" w:eastAsia="宋体" w:cs="Times New Roman"/>
          <w:sz w:val="21"/>
          <w:szCs w:val="20"/>
        </w:rPr>
        <w:t>形辣椒品质标准从高到低依次分为3级</w:t>
      </w:r>
      <w:r>
        <w:rPr>
          <w:rFonts w:hint="default" w:ascii="Times New Roman" w:hAnsi="Times New Roman" w:eastAsia="宋体" w:cs="Times New Roman"/>
          <w:sz w:val="21"/>
          <w:szCs w:val="20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0"/>
        </w:rPr>
        <w:t>（0.6～1.0）为高品质；（0.3～0.6）为中等品质；（≤ 0.3）为低品质。</w:t>
      </w:r>
    </w:p>
    <w:p>
      <w:pPr>
        <w:numPr>
          <w:ilvl w:val="0"/>
          <w:numId w:val="4"/>
        </w:numPr>
        <w:spacing w:before="312" w:beforeLines="100" w:after="312" w:afterLines="100"/>
        <w:jc w:val="both"/>
        <w:outlineLvl w:val="1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评价流程</w:t>
      </w:r>
      <w:bookmarkEnd w:id="50"/>
      <w:bookmarkEnd w:id="51"/>
      <w:bookmarkEnd w:id="52"/>
      <w:bookmarkEnd w:id="53"/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</w:pPr>
      <w:bookmarkStart w:id="54" w:name="_Toc25506536"/>
      <w:bookmarkStart w:id="55" w:name="_Toc25506479"/>
      <w:bookmarkStart w:id="56" w:name="_Toc25506679"/>
      <w:bookmarkStart w:id="57" w:name="_Toc25506429"/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种子准备</w:t>
      </w:r>
      <w:bookmarkEnd w:id="54"/>
      <w:bookmarkEnd w:id="55"/>
      <w:bookmarkEnd w:id="56"/>
      <w:bookmarkEnd w:id="57"/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58" w:name="_Toc24912441"/>
      <w:bookmarkStart w:id="59" w:name="_Toc25044746"/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待测品种种子质量应符合GB 16715.3-2010要求，重量不少于10g，随机取出300粒进行评价测定。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60" w:name="_Toc25506480"/>
      <w:bookmarkStart w:id="61" w:name="_Toc25506537"/>
      <w:bookmarkStart w:id="62" w:name="_Toc25506680"/>
      <w:bookmarkStart w:id="63" w:name="_Toc25506430"/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催芽</w:t>
      </w:r>
      <w:bookmarkEnd w:id="60"/>
      <w:bookmarkEnd w:id="61"/>
      <w:bookmarkEnd w:id="62"/>
      <w:bookmarkEnd w:id="63"/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种子用0.1%高锰酸钾溶液浸泡20 min，清水冲洗，吸干表面附着水分后浸种6h，置于28～30℃恒温培养箱内催芽。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64" w:name="_Toc25506431"/>
      <w:bookmarkStart w:id="65" w:name="_Toc25506481"/>
      <w:bookmarkStart w:id="66" w:name="_Toc25506681"/>
      <w:bookmarkStart w:id="67" w:name="_Toc25506538"/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幼苗培养</w:t>
      </w:r>
      <w:bookmarkEnd w:id="64"/>
      <w:bookmarkEnd w:id="65"/>
      <w:bookmarkEnd w:id="66"/>
      <w:bookmarkEnd w:id="67"/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68" w:name="_Toc25506432"/>
      <w:bookmarkStart w:id="69" w:name="_Toc25506482"/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种子露白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后整齐播种在50孔穴盘中，基质应符合NY/T 2118的规定，穴盘应符合NY/T 2119的规定，播种后按常规辣椒育苗方法进行管理。</w:t>
      </w:r>
      <w:bookmarkEnd w:id="68"/>
      <w:bookmarkEnd w:id="69"/>
    </w:p>
    <w:bookmarkEnd w:id="58"/>
    <w:bookmarkEnd w:id="59"/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定植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70" w:name="_Toc25506434"/>
      <w:bookmarkStart w:id="71" w:name="_Toc25506484"/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3叶一心后在大棚中进行定植，每个品种选取40株健壮的辣椒苗移栽到花盆中，基质应符合NY/T 2118的规定。划分为3个栽植小区，每个品种在每一小区分别栽植12株苗</w:t>
      </w:r>
      <w:bookmarkEnd w:id="70"/>
      <w:bookmarkEnd w:id="71"/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72" w:name="_Toc25506683"/>
      <w:bookmarkStart w:id="73" w:name="_Toc25506540"/>
      <w:bookmarkStart w:id="74" w:name="_Toc25506435"/>
      <w:bookmarkStart w:id="75" w:name="_Toc25506485"/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指标测定</w:t>
      </w:r>
      <w:bookmarkEnd w:id="72"/>
      <w:bookmarkEnd w:id="73"/>
      <w:bookmarkEnd w:id="74"/>
      <w:bookmarkEnd w:id="75"/>
    </w:p>
    <w:p>
      <w:pPr>
        <w:spacing w:line="324" w:lineRule="exact"/>
        <w:ind w:firstLine="420" w:firstLineChars="200"/>
        <w:rPr>
          <w:rFonts w:hint="default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bookmarkStart w:id="76" w:name="_Toc24912442"/>
      <w:bookmarkStart w:id="77" w:name="_Toc25044747"/>
      <w:r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对果实</w:t>
      </w:r>
      <w:r>
        <w:rPr>
          <w:rFonts w:hint="default" w:ascii="Times New Roman" w:hAnsi="Times New Roman" w:eastAsia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至完全膨大期的60%</w:t>
      </w:r>
      <w:r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进行采收，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对采收到的果实进行评价，去除畸形果，选取大小、颜色较为一致的果实进行后续试验。一个小区内的果实为1次重复，共3次重复。每个小区内选取6个辣椒果实，对果实硬度、角质层厚度、</w:t>
      </w:r>
      <w:r>
        <w:rPr>
          <w:rFonts w:hint="default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外果皮细胞层数、果肉厚度、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辣椒素、纤维素含量、总果胶等品质指标进行测定</w:t>
      </w:r>
      <w:r>
        <w:rPr>
          <w:rFonts w:hint="default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1"/>
          <w:numId w:val="4"/>
        </w:numPr>
        <w:spacing w:before="156" w:beforeLines="50" w:after="156" w:afterLines="50"/>
        <w:outlineLvl w:val="2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</w:pPr>
      <w:bookmarkStart w:id="78" w:name="_Toc25506436"/>
      <w:bookmarkStart w:id="79" w:name="_Toc25506486"/>
      <w:bookmarkStart w:id="80" w:name="_Toc25506541"/>
      <w:bookmarkStart w:id="81" w:name="_Toc25506684"/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指标检测</w:t>
      </w:r>
      <w:bookmarkEnd w:id="76"/>
      <w:bookmarkEnd w:id="77"/>
      <w:bookmarkEnd w:id="78"/>
      <w:bookmarkEnd w:id="79"/>
      <w:bookmarkEnd w:id="80"/>
      <w:bookmarkEnd w:id="81"/>
    </w:p>
    <w:p>
      <w:pPr>
        <w:keepNext w:val="0"/>
        <w:keepLines w:val="0"/>
        <w:pageBreakBefore w:val="0"/>
        <w:widowControl w:val="0"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left="0" w:firstLine="0" w:firstLineChars="0"/>
        <w:textAlignment w:val="auto"/>
        <w:outlineLvl w:val="3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果实硬度</w:t>
      </w:r>
    </w:p>
    <w:p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采用GY-4型数显水果硬度计，测定果实上、中、下部位的硬度，取其平均值，档案记录表见附录A.1；</w:t>
      </w:r>
    </w:p>
    <w:p>
      <w:pPr>
        <w:keepNext w:val="0"/>
        <w:keepLines w:val="0"/>
        <w:pageBreakBefore w:val="0"/>
        <w:widowControl w:val="0"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left="0" w:firstLine="0" w:firstLineChars="0"/>
        <w:textAlignment w:val="auto"/>
        <w:outlineLvl w:val="3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角质层厚度</w:t>
      </w:r>
    </w:p>
    <w:p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用明美ML51-N显微镜观察辣椒果实细胞结构并拍照，用 MShot Image Analysis System软件测量角质层厚度，档案记录表见附录A.2；</w:t>
      </w:r>
    </w:p>
    <w:p>
      <w:pPr>
        <w:keepNext w:val="0"/>
        <w:keepLines w:val="0"/>
        <w:pageBreakBefore w:val="0"/>
        <w:widowControl w:val="0"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left="0" w:firstLine="0" w:firstLineChars="0"/>
        <w:textAlignment w:val="auto"/>
        <w:outlineLvl w:val="3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外果皮细胞层数</w:t>
      </w:r>
    </w:p>
    <w:p>
      <w:pPr>
        <w:keepNext w:val="0"/>
        <w:keepLines w:val="0"/>
        <w:pageBreakBefore w:val="0"/>
        <w:widowControl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用明美ML51-N显微镜观察辣椒果实细胞结构并拍照，用 MShot Image Analysis System软件测量外果皮细胞层数，档案记录表见附录A.3；</w:t>
      </w:r>
    </w:p>
    <w:p>
      <w:pPr>
        <w:keepNext w:val="0"/>
        <w:keepLines w:val="0"/>
        <w:pageBreakBefore w:val="0"/>
        <w:widowControl w:val="0"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left="0" w:firstLine="0" w:firstLineChars="0"/>
        <w:textAlignment w:val="auto"/>
        <w:outlineLvl w:val="3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果肉厚度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将果实纵切与横切（横径最大处），用Epson Perfection V33扫描仪进行切面扫描，用MShot Image Analysis System软件测量果实纵径、果实横径和果肉厚度,档案记录表见附录A.4；</w:t>
      </w:r>
    </w:p>
    <w:p>
      <w:pPr>
        <w:keepNext w:val="0"/>
        <w:keepLines w:val="0"/>
        <w:pageBreakBefore w:val="0"/>
        <w:widowControl w:val="0"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left="0"/>
        <w:textAlignment w:val="auto"/>
        <w:outlineLvl w:val="3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辣椒素</w:t>
      </w:r>
    </w:p>
    <w:p>
      <w:pPr>
        <w:numPr>
          <w:ilvl w:val="0"/>
          <w:numId w:val="0"/>
        </w:num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果实去除果柄和种子，在烘箱中50℃条件下烘干至恒重，用粉碎机研磨成均匀粉末，过0.394 mm筛，备用，采购辣椒素含量测定试剂盒。采用竞争性酶联免疫吸附检测法测定辣椒素含量。辣椒素含量正相关范围（5000-15000SHU），辣椒素含量负相关（&gt;150000SHU），档案记录表见附录A.5；</w:t>
      </w:r>
    </w:p>
    <w:p>
      <w:pPr>
        <w:keepNext w:val="0"/>
        <w:keepLines w:val="0"/>
        <w:pageBreakBefore w:val="0"/>
        <w:widowControl w:val="0"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left="0"/>
        <w:textAlignment w:val="auto"/>
        <w:outlineLvl w:val="3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纤维素含量</w:t>
      </w:r>
    </w:p>
    <w:p>
      <w:pPr>
        <w:numPr>
          <w:ilvl w:val="0"/>
          <w:numId w:val="0"/>
        </w:num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将果实去除果柄和种子，取果实中部组织，采购纤维素含量测定试剂盒。根据试剂盒中相关指标的具体测定波长，采用多功能酶标仪（TECAN/SPARK）进行测定，档案记录表见附录A.6；</w:t>
      </w:r>
    </w:p>
    <w:p>
      <w:pPr>
        <w:keepNext w:val="0"/>
        <w:keepLines w:val="0"/>
        <w:pageBreakBefore w:val="0"/>
        <w:widowControl w:val="0"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left="0"/>
        <w:textAlignment w:val="auto"/>
        <w:outlineLvl w:val="3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总果胶</w:t>
      </w:r>
    </w:p>
    <w:p>
      <w:pPr>
        <w:numPr>
          <w:ilvl w:val="0"/>
          <w:numId w:val="0"/>
        </w:numPr>
        <w:spacing w:before="156" w:beforeLines="50" w:after="156" w:afterLines="50"/>
        <w:ind w:left="142" w:firstLine="420" w:firstLineChars="200"/>
        <w:outlineLvl w:val="1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将果实去除果柄和种子，取果实中部组织，采购总果胶含量测定试剂盒。根据试剂盒中相关指标的具体测定波长，采用多功能酶标仪（TECAN/SPARK）进行测定，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档案记录表见附录A.7；</w:t>
      </w:r>
    </w:p>
    <w:p>
      <w:pPr>
        <w:numPr>
          <w:ilvl w:val="0"/>
          <w:numId w:val="4"/>
        </w:numPr>
        <w:spacing w:before="312" w:beforeLines="100" w:after="312" w:afterLines="100"/>
        <w:jc w:val="both"/>
        <w:outlineLvl w:val="1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鲜食短羊角形辣椒品质综合评价</w:t>
      </w:r>
    </w:p>
    <w:p>
      <w:pPr>
        <w:numPr>
          <w:ilvl w:val="0"/>
          <w:numId w:val="0"/>
        </w:numPr>
        <w:spacing w:before="312" w:beforeLines="100" w:after="312" w:afterLines="100" w:line="320" w:lineRule="exact"/>
        <w:ind w:firstLine="420" w:firstLineChars="200"/>
        <w:jc w:val="both"/>
        <w:outlineLvl w:val="1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采用隶属函数值方法，以地方代表性羊角椒品种为对照，求出每个品种各特征性状的具体隶属函数值。当指标性状值与品质呈正相关时，采用公式（1）；当指标性状值与品质呈负相关时，采用公式（2）；其中，R(X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ij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)为i品种j性状的隶属函数值，X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ij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为i品种j性状值的测定值，X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jmin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为各品种j性状最小值， X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jmax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为各品种j性状最大值。然后把每个品种各性状具体品质隶属值进行累加，</w:t>
      </w:r>
      <w:r>
        <w:rPr>
          <w:rFonts w:hint="default"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5" o:spt="75" type="#_x0000_t75" style="height:12.8pt;width:14.1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采用公式（</w:t>
      </w:r>
      <w:r>
        <w:rPr>
          <w:rFonts w:hint="default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）；</w:t>
      </w:r>
      <w:r>
        <w:rPr>
          <w:rFonts w:hint="default" w:ascii="Times New Roman" w:hAnsi="Times New Roman" w:eastAsia="宋体" w:cs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6" o:spt="75" type="#_x0000_t75" style="height:12.8pt;width:14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值越大，品质越高。</w:t>
      </w:r>
    </w:p>
    <w:p>
      <w:pPr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R(X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ij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)=（X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ij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-X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jmin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）/(X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jmax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- 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jmin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)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…………………………………………………（1）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R(X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ij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)=1-（X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ij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-X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jmin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）/(X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jmax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- X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jmin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)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………………………………………………（2）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position w:val="-6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27" o:spt="75" type="#_x0000_t75" style="height:12.8pt;width:14.1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=∑R(X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ij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 xml:space="preserve">)/n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……………………………………………………………………………（3）</w:t>
      </w:r>
    </w:p>
    <w:p>
      <w:pPr>
        <w:numPr>
          <w:ilvl w:val="0"/>
          <w:numId w:val="4"/>
        </w:numPr>
        <w:spacing w:before="312" w:beforeLines="100" w:after="312" w:afterLines="100"/>
        <w:jc w:val="both"/>
        <w:outlineLvl w:val="1"/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1"/>
          <w:szCs w:val="20"/>
          <w:lang w:val="en-US" w:eastAsia="zh-CN" w:bidi="ar-SA"/>
          <w14:textFill>
            <w14:solidFill>
              <w14:schemeClr w14:val="tx1"/>
            </w14:solidFill>
          </w14:textFill>
        </w:rPr>
        <w:t>鲜食短羊角形辣椒品质分级</w:t>
      </w:r>
    </w:p>
    <w:p>
      <w:pPr>
        <w:numPr>
          <w:ilvl w:val="0"/>
          <w:numId w:val="0"/>
        </w:numPr>
        <w:spacing w:before="312" w:beforeLines="100" w:after="312" w:afterLines="100"/>
        <w:ind w:left="142"/>
        <w:jc w:val="center"/>
        <w:outlineLvl w:val="1"/>
        <w:rPr>
          <w:rFonts w:hint="default" w:ascii="Times New Roman" w:hAnsi="Times New Roman" w:eastAsia="宋体" w:cs="Times New Roman"/>
          <w:color w:val="000000" w:themeColor="text1"/>
          <w:sz w:val="21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表1 鲜食短羊角形辣椒品质评价标准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1"/>
        <w:gridCol w:w="48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471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position w:val="-6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object>
                <v:shape id="_x0000_i1028" o:spt="75" type="#_x0000_t75" style="height:12.8pt;width:14.1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2">
                  <o:LockedField>false</o:LockedField>
                </o:OLEObject>
              </w:object>
            </w:r>
          </w:p>
        </w:tc>
        <w:tc>
          <w:tcPr>
            <w:tcW w:w="4860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鲜食牛角形辣椒品质等级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471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0.6～1.0</w:t>
            </w:r>
          </w:p>
        </w:tc>
        <w:tc>
          <w:tcPr>
            <w:tcW w:w="4860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高品质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471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0.3～0.6</w:t>
            </w:r>
          </w:p>
        </w:tc>
        <w:tc>
          <w:tcPr>
            <w:tcW w:w="4860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中等品质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471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 0.3</w:t>
            </w:r>
          </w:p>
        </w:tc>
        <w:tc>
          <w:tcPr>
            <w:tcW w:w="4860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低品质</w:t>
            </w:r>
          </w:p>
        </w:tc>
      </w:tr>
    </w:tbl>
    <w:p>
      <w:pPr>
        <w:spacing w:line="324" w:lineRule="exact"/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24" w:lineRule="exact"/>
        <w:rPr>
          <w:rFonts w:hint="default" w:ascii="Times New Roman" w:hAnsi="Times New Roman" w:eastAsia="宋体" w:cs="Times New Roman"/>
        </w:rPr>
      </w:pPr>
    </w:p>
    <w:p>
      <w:pPr>
        <w:spacing w:line="324" w:lineRule="exact"/>
        <w:rPr>
          <w:rFonts w:hint="default" w:ascii="Times New Roman" w:hAnsi="Times New Roman" w:eastAsia="宋体" w:cs="Times New Roman"/>
        </w:rPr>
      </w:pPr>
    </w:p>
    <w:p>
      <w:pPr>
        <w:spacing w:line="324" w:lineRule="exact"/>
        <w:rPr>
          <w:rFonts w:hint="default" w:ascii="Times New Roman" w:hAnsi="Times New Roman" w:eastAsia="宋体" w:cs="Times New Roman"/>
        </w:rPr>
      </w:pPr>
    </w:p>
    <w:p>
      <w:pPr>
        <w:spacing w:line="324" w:lineRule="exact"/>
        <w:rPr>
          <w:rFonts w:hint="default" w:ascii="Times New Roman" w:hAnsi="Times New Roman" w:eastAsia="宋体" w:cs="Times New Roman"/>
        </w:rPr>
      </w:pPr>
    </w:p>
    <w:p>
      <w:pPr>
        <w:spacing w:line="324" w:lineRule="exact"/>
        <w:rPr>
          <w:rFonts w:hint="default" w:ascii="Times New Roman" w:hAnsi="Times New Roman" w:eastAsia="宋体" w:cs="Times New Roman"/>
        </w:rPr>
      </w:pPr>
    </w:p>
    <w:p>
      <w:pPr>
        <w:spacing w:line="324" w:lineRule="exact"/>
        <w:rPr>
          <w:rFonts w:hint="default" w:ascii="Times New Roman" w:hAnsi="Times New Roman" w:eastAsia="宋体" w:cs="Times New Roman"/>
        </w:rPr>
      </w:pPr>
    </w:p>
    <w:p>
      <w:pPr>
        <w:spacing w:line="324" w:lineRule="exact"/>
        <w:rPr>
          <w:rFonts w:hint="default" w:ascii="Times New Roman" w:hAnsi="Times New Roman" w:eastAsia="宋体" w:cs="Times New Roman"/>
        </w:rPr>
      </w:pPr>
    </w:p>
    <w:p>
      <w:pPr>
        <w:keepNext/>
        <w:widowControl/>
        <w:numPr>
          <w:ilvl w:val="0"/>
          <w:numId w:val="5"/>
        </w:numPr>
        <w:shd w:val="clear" w:color="FFFFFF" w:fill="FFFFFF"/>
        <w:tabs>
          <w:tab w:val="left" w:pos="360"/>
          <w:tab w:val="left" w:pos="6405"/>
        </w:tabs>
        <w:spacing w:before="640" w:after="280"/>
        <w:jc w:val="center"/>
        <w:outlineLvl w:val="0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br w:type="textWrapping"/>
      </w:r>
      <w:bookmarkStart w:id="82" w:name="_Toc25506444"/>
      <w:bookmarkStart w:id="83" w:name="_Toc24912445"/>
      <w:bookmarkStart w:id="84" w:name="_Toc25506549"/>
      <w:bookmarkStart w:id="85" w:name="_Toc25506692"/>
      <w:bookmarkStart w:id="86" w:name="_Toc25506494"/>
      <w:bookmarkStart w:id="87" w:name="_Toc25044750"/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（资料性附录）</w:t>
      </w: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  <w:t>高品质鲜食短羊角形辣椒品种评价技术规程记录表</w:t>
      </w:r>
      <w:bookmarkEnd w:id="82"/>
      <w:bookmarkEnd w:id="83"/>
      <w:bookmarkEnd w:id="84"/>
      <w:bookmarkEnd w:id="85"/>
      <w:bookmarkEnd w:id="86"/>
      <w:bookmarkEnd w:id="87"/>
    </w:p>
    <w:p>
      <w:pPr>
        <w:numPr>
          <w:ilvl w:val="1"/>
          <w:numId w:val="5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  <w:bookmarkStart w:id="88" w:name="_Toc25506693"/>
      <w:bookmarkStart w:id="89" w:name="_Toc25506445"/>
      <w:bookmarkStart w:id="90" w:name="_Toc25044751"/>
      <w:bookmarkStart w:id="91" w:name="_Toc25506495"/>
      <w:bookmarkStart w:id="92" w:name="_Toc24912446"/>
      <w:bookmarkStart w:id="93" w:name="_Toc25506550"/>
      <w:r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  <w:t>果实硬度记录表</w:t>
      </w:r>
      <w:bookmarkEnd w:id="88"/>
      <w:bookmarkEnd w:id="89"/>
      <w:bookmarkEnd w:id="90"/>
      <w:bookmarkEnd w:id="91"/>
      <w:bookmarkEnd w:id="92"/>
      <w:bookmarkEnd w:id="93"/>
    </w:p>
    <w:tbl>
      <w:tblPr>
        <w:tblStyle w:val="4"/>
        <w:tblW w:w="93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84"/>
        <w:gridCol w:w="2085"/>
        <w:gridCol w:w="2085"/>
        <w:gridCol w:w="20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品种名称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样品来源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果实硬度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（kg/cm²）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记载人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1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2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…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</w:tbl>
    <w:p>
      <w:pPr>
        <w:numPr>
          <w:ilvl w:val="1"/>
          <w:numId w:val="5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  <w:bookmarkStart w:id="94" w:name="_Toc25506446"/>
      <w:bookmarkStart w:id="95" w:name="_Toc25506551"/>
      <w:bookmarkStart w:id="96" w:name="_Toc25506496"/>
      <w:bookmarkStart w:id="97" w:name="_Toc25044752"/>
      <w:bookmarkStart w:id="98" w:name="_Toc25506694"/>
      <w:bookmarkStart w:id="99" w:name="_Toc24912447"/>
      <w:r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  <w:t>角质层厚度记录表</w:t>
      </w:r>
      <w:bookmarkEnd w:id="94"/>
      <w:bookmarkEnd w:id="95"/>
      <w:bookmarkEnd w:id="96"/>
      <w:bookmarkEnd w:id="97"/>
      <w:bookmarkEnd w:id="98"/>
      <w:bookmarkEnd w:id="99"/>
    </w:p>
    <w:tbl>
      <w:tblPr>
        <w:tblStyle w:val="4"/>
        <w:tblW w:w="93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84"/>
        <w:gridCol w:w="2085"/>
        <w:gridCol w:w="2085"/>
        <w:gridCol w:w="20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品种名称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样品来源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角质层厚度(μm)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))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记载人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1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2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…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</w:tbl>
    <w:p>
      <w:pPr>
        <w:numPr>
          <w:ilvl w:val="1"/>
          <w:numId w:val="5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  <w:bookmarkStart w:id="100" w:name="_Toc25506695"/>
      <w:bookmarkStart w:id="101" w:name="_Toc24912448"/>
      <w:bookmarkStart w:id="102" w:name="_Toc25044753"/>
      <w:bookmarkStart w:id="103" w:name="_Toc25506552"/>
      <w:bookmarkStart w:id="104" w:name="_Toc25506447"/>
      <w:bookmarkStart w:id="105" w:name="_Toc25506497"/>
      <w:r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  <w:t>外果皮细胞层数记录表</w:t>
      </w:r>
      <w:bookmarkEnd w:id="100"/>
      <w:bookmarkEnd w:id="101"/>
      <w:bookmarkEnd w:id="102"/>
      <w:bookmarkEnd w:id="103"/>
      <w:bookmarkEnd w:id="104"/>
      <w:bookmarkEnd w:id="105"/>
    </w:p>
    <w:tbl>
      <w:tblPr>
        <w:tblStyle w:val="4"/>
        <w:tblW w:w="93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84"/>
        <w:gridCol w:w="2085"/>
        <w:gridCol w:w="2085"/>
        <w:gridCol w:w="20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品种名称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样品来源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外果皮细胞层数(层)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记载人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1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2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…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</w:tbl>
    <w:p>
      <w:pPr>
        <w:numPr>
          <w:ilvl w:val="1"/>
          <w:numId w:val="5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  <w:bookmarkStart w:id="106" w:name="_Toc25044754"/>
      <w:bookmarkStart w:id="107" w:name="_Toc25506448"/>
      <w:bookmarkStart w:id="108" w:name="_Toc25506498"/>
      <w:bookmarkStart w:id="109" w:name="_Toc25506696"/>
      <w:bookmarkStart w:id="110" w:name="_Toc24912449"/>
      <w:bookmarkStart w:id="111" w:name="_Toc25506553"/>
      <w:r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  <w:t>果肉厚记录表</w:t>
      </w:r>
      <w:bookmarkEnd w:id="106"/>
      <w:bookmarkEnd w:id="107"/>
      <w:bookmarkEnd w:id="108"/>
      <w:bookmarkEnd w:id="109"/>
      <w:bookmarkEnd w:id="110"/>
      <w:bookmarkEnd w:id="111"/>
    </w:p>
    <w:tbl>
      <w:tblPr>
        <w:tblStyle w:val="4"/>
        <w:tblW w:w="93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84"/>
        <w:gridCol w:w="2085"/>
        <w:gridCol w:w="2085"/>
        <w:gridCol w:w="20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品种名称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样品来源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果肉厚(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cm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记载人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1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2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…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</w:tbl>
    <w:p>
      <w:pPr>
        <w:tabs>
          <w:tab w:val="center" w:pos="4201"/>
          <w:tab w:val="right" w:leader="dot" w:pos="9298"/>
        </w:tabs>
        <w:autoSpaceDE w:val="0"/>
        <w:autoSpaceDN w:val="0"/>
        <w:ind w:firstLine="0" w:firstLineChars="0"/>
        <w:jc w:val="both"/>
        <w:rPr>
          <w:rFonts w:hint="default" w:ascii="Times New Roman" w:hAnsi="Times New Roman" w:eastAsia="宋体" w:cs="Times New Roman"/>
          <w:kern w:val="0"/>
          <w:sz w:val="21"/>
          <w:szCs w:val="20"/>
          <w:lang w:val="en-US" w:eastAsia="zh-CN" w:bidi="ar-SA"/>
        </w:rPr>
      </w:pPr>
    </w:p>
    <w:p>
      <w:pPr>
        <w:numPr>
          <w:ilvl w:val="1"/>
          <w:numId w:val="5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  <w:bookmarkStart w:id="112" w:name="_Toc25506449"/>
      <w:bookmarkStart w:id="113" w:name="_Toc25506554"/>
      <w:bookmarkStart w:id="114" w:name="_Toc24912450"/>
      <w:bookmarkStart w:id="115" w:name="_Toc25506697"/>
      <w:bookmarkStart w:id="116" w:name="_Toc25506499"/>
      <w:bookmarkStart w:id="117" w:name="_Toc25044755"/>
      <w:r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  <w:t>辣椒素记录表</w:t>
      </w:r>
      <w:bookmarkEnd w:id="112"/>
      <w:bookmarkEnd w:id="113"/>
      <w:bookmarkEnd w:id="114"/>
      <w:bookmarkEnd w:id="115"/>
      <w:bookmarkEnd w:id="116"/>
      <w:bookmarkEnd w:id="117"/>
    </w:p>
    <w:tbl>
      <w:tblPr>
        <w:tblStyle w:val="4"/>
        <w:tblW w:w="93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84"/>
        <w:gridCol w:w="2085"/>
        <w:gridCol w:w="2085"/>
        <w:gridCol w:w="20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品种名称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样品来源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辣椒素(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mg/g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记载人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1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2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…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ind w:leftChars="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</w:p>
    <w:p>
      <w:pPr>
        <w:numPr>
          <w:ilvl w:val="1"/>
          <w:numId w:val="5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  <w:t>纤维素记录表</w:t>
      </w:r>
    </w:p>
    <w:tbl>
      <w:tblPr>
        <w:tblStyle w:val="4"/>
        <w:tblW w:w="93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84"/>
        <w:gridCol w:w="2085"/>
        <w:gridCol w:w="2085"/>
        <w:gridCol w:w="20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品种名称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样品来源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纤维素(mg/g)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记载人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1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2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…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ind w:leftChars="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</w:p>
    <w:p>
      <w:pPr>
        <w:numPr>
          <w:ilvl w:val="1"/>
          <w:numId w:val="5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  <w:t>总果胶记录表</w:t>
      </w:r>
    </w:p>
    <w:tbl>
      <w:tblPr>
        <w:tblStyle w:val="4"/>
        <w:tblW w:w="93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084"/>
        <w:gridCol w:w="2085"/>
        <w:gridCol w:w="2085"/>
        <w:gridCol w:w="20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品种名称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样品来源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总果胶(mg/g)</w:t>
            </w: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记载人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1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2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92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  <w:t>…</w:t>
            </w:r>
          </w:p>
        </w:tc>
        <w:tc>
          <w:tcPr>
            <w:tcW w:w="2084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  <w:tc>
          <w:tcPr>
            <w:tcW w:w="2085" w:type="dxa"/>
          </w:tcPr>
          <w:p>
            <w:pPr>
              <w:tabs>
                <w:tab w:val="left" w:pos="3315"/>
                <w:tab w:val="center" w:pos="4201"/>
                <w:tab w:val="right" w:leader="dot" w:pos="9298"/>
              </w:tabs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360"/>
        </w:tabs>
        <w:wordWrap w:val="0"/>
        <w:overflowPunct w:val="0"/>
        <w:autoSpaceDE w:val="0"/>
        <w:spacing w:before="312" w:beforeLines="100" w:after="312" w:afterLines="100"/>
        <w:ind w:leftChars="0"/>
        <w:jc w:val="both"/>
        <w:textAlignment w:val="baseline"/>
        <w:outlineLvl w:val="1"/>
        <w:rPr>
          <w:rFonts w:hint="default" w:ascii="Times New Roman" w:hAnsi="Times New Roman" w:eastAsia="宋体" w:cs="Times New Roman"/>
          <w:kern w:val="21"/>
          <w:sz w:val="21"/>
          <w:szCs w:val="20"/>
          <w:lang w:val="en-US" w:eastAsia="zh-CN" w:bidi="ar-SA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jc w:val="both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jc w:val="both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rPr>
        <w:rFonts w:hint="eastAsia"/>
      </w:rPr>
    </w:pPr>
    <w:r>
      <w:t>DB43/T XXXX—202</w:t>
    </w:r>
    <w:r>
      <w:rPr>
        <w:rFonts w:hint="eastAsia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suff w:val="nothing"/>
      <w:lvlText w:val="%1　"/>
      <w:lvlJc w:val="left"/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9"/>
      <w:suff w:val="nothing"/>
      <w:lvlText w:val="%1.%2　"/>
      <w:lvlJc w:val="left"/>
      <w:pPr>
        <w:ind w:left="426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1">
    <w:nsid w:val="0000000B"/>
    <w:multiLevelType w:val="multilevel"/>
    <w:tmpl w:val="0000000B"/>
    <w:lvl w:ilvl="0" w:tentative="0">
      <w:start w:val="1"/>
      <w:numFmt w:val="decimal"/>
      <w:pStyle w:val="21"/>
      <w:suff w:val="nothing"/>
      <w:lvlText w:val="注%1："/>
      <w:lvlJc w:val="left"/>
      <w:pPr>
        <w:ind w:left="811" w:hanging="448"/>
      </w:pPr>
      <w:rPr>
        <w:rFonts w:hint="eastAsia" w:ascii="黑体" w:eastAsia="黑体" w:cs="Times New Roman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 w:cs="Times New Roman"/>
      </w:rPr>
    </w:lvl>
  </w:abstractNum>
  <w:abstractNum w:abstractNumId="2">
    <w:nsid w:val="1FC91163"/>
    <w:multiLevelType w:val="multilevel"/>
    <w:tmpl w:val="1FC91163"/>
    <w:lvl w:ilvl="0" w:tentative="0">
      <w:start w:val="1"/>
      <w:numFmt w:val="decimal"/>
      <w:pStyle w:val="2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1417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657D3FBC"/>
    <w:multiLevelType w:val="multilevel"/>
    <w:tmpl w:val="657D3FBC"/>
    <w:lvl w:ilvl="0" w:tentative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kMDFiYjUxOTQxNGYyOWZhMjA3NzJlMDViNWEwNTQifQ=="/>
  </w:docVars>
  <w:rsids>
    <w:rsidRoot w:val="00172A27"/>
    <w:rsid w:val="003532FE"/>
    <w:rsid w:val="004D5ED6"/>
    <w:rsid w:val="017D082B"/>
    <w:rsid w:val="0F1A64E0"/>
    <w:rsid w:val="1BAB04C0"/>
    <w:rsid w:val="1C50157E"/>
    <w:rsid w:val="1F934C5E"/>
    <w:rsid w:val="23441196"/>
    <w:rsid w:val="2C5114B7"/>
    <w:rsid w:val="31737549"/>
    <w:rsid w:val="337B3084"/>
    <w:rsid w:val="3F4E170B"/>
    <w:rsid w:val="54FB639C"/>
    <w:rsid w:val="5E932A32"/>
    <w:rsid w:val="5FF16916"/>
    <w:rsid w:val="60BF053C"/>
    <w:rsid w:val="697D0373"/>
    <w:rsid w:val="716018B3"/>
    <w:rsid w:val="731C6E4F"/>
    <w:rsid w:val="785E6406"/>
    <w:rsid w:val="7C83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1"/>
    <w:basedOn w:val="1"/>
    <w:next w:val="1"/>
    <w:qFormat/>
    <w:uiPriority w:val="0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customStyle="1" w:styleId="6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24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7">
    <w:name w:val="封面标准号2"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8">
    <w:name w:val="封面标准代替信息"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9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0">
    <w:name w:val="其他发布日期"/>
    <w:basedOn w:val="11"/>
    <w:qFormat/>
    <w:uiPriority w:val="0"/>
    <w:pPr>
      <w:framePr w:vAnchor="page" w:hAnchor="text" w:x="1419"/>
    </w:pPr>
    <w:rPr>
      <w:rFonts w:eastAsia="宋体"/>
    </w:rPr>
  </w:style>
  <w:style w:type="paragraph" w:customStyle="1" w:styleId="11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">
    <w:name w:val="其他实施日期"/>
    <w:basedOn w:val="13"/>
    <w:qFormat/>
    <w:uiPriority w:val="0"/>
  </w:style>
  <w:style w:type="paragraph" w:customStyle="1" w:styleId="13">
    <w:name w:val="实施日期"/>
    <w:basedOn w:val="11"/>
    <w:qFormat/>
    <w:uiPriority w:val="0"/>
    <w:pPr>
      <w:framePr w:vAnchor="page" w:hAnchor="text"/>
      <w:jc w:val="right"/>
    </w:pPr>
    <w:rPr>
      <w:rFonts w:eastAsia="宋体"/>
    </w:rPr>
  </w:style>
  <w:style w:type="paragraph" w:customStyle="1" w:styleId="14">
    <w:name w:val="其他发布部门"/>
    <w:basedOn w:val="15"/>
    <w:qFormat/>
    <w:uiPriority w:val="0"/>
    <w:pPr>
      <w:framePr w:y="15310"/>
      <w:spacing w:line="240" w:lineRule="atLeast"/>
    </w:pPr>
    <w:rPr>
      <w:rFonts w:ascii="黑体" w:eastAsia="黑体"/>
      <w:b w:val="0"/>
    </w:rPr>
  </w:style>
  <w:style w:type="paragraph" w:customStyle="1" w:styleId="15">
    <w:name w:val="发布部门"/>
    <w:next w:val="16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1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7">
    <w:name w:val="发布"/>
    <w:qFormat/>
    <w:uiPriority w:val="0"/>
    <w:rPr>
      <w:rFonts w:ascii="黑体" w:hAnsi="Times New Roman" w:eastAsia="黑体" w:cs="Times New Roman"/>
      <w:spacing w:val="85"/>
      <w:w w:val="100"/>
      <w:position w:val="3"/>
      <w:sz w:val="28"/>
      <w:szCs w:val="28"/>
    </w:rPr>
  </w:style>
  <w:style w:type="paragraph" w:customStyle="1" w:styleId="18">
    <w:name w:val="前言、引言标题"/>
    <w:next w:val="16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9">
    <w:name w:val="一级条标题"/>
    <w:next w:val="16"/>
    <w:qFormat/>
    <w:uiPriority w:val="0"/>
    <w:pPr>
      <w:numPr>
        <w:ilvl w:val="1"/>
        <w:numId w:val="1"/>
      </w:numPr>
      <w:spacing w:beforeLines="50" w:afterLines="50"/>
      <w:ind w:left="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0">
    <w:name w:val="HTML 预设格式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/>
      <w:kern w:val="0"/>
      <w:sz w:val="20"/>
      <w:szCs w:val="20"/>
    </w:rPr>
  </w:style>
  <w:style w:type="paragraph" w:customStyle="1" w:styleId="21">
    <w:name w:val="注×："/>
    <w:qFormat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2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3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标准文件_一级条标题"/>
    <w:basedOn w:val="26"/>
    <w:next w:val="24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26">
    <w:name w:val="标准文件_章标题"/>
    <w:next w:val="24"/>
    <w:qFormat/>
    <w:uiPriority w:val="0"/>
    <w:pPr>
      <w:numPr>
        <w:ilvl w:val="1"/>
        <w:numId w:val="3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">
    <w:name w:val="章标题"/>
    <w:next w:val="16"/>
    <w:unhideWhenUsed/>
    <w:qFormat/>
    <w:uiPriority w:val="0"/>
    <w:pPr>
      <w:numPr>
        <w:ilvl w:val="0"/>
        <w:numId w:val="4"/>
      </w:numPr>
      <w:spacing w:beforeLines="100" w:afterLines="100"/>
      <w:jc w:val="both"/>
      <w:outlineLvl w:val="1"/>
    </w:pPr>
    <w:rPr>
      <w:rFonts w:hint="eastAsia" w:ascii="黑体" w:hAnsi="Times New Roman" w:eastAsia="黑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2023-11-26T14:36:00Z</dcterms:created>
  <dc:creator>YBZ</dc:creator>
  <cp:lastModifiedBy>Administrator</cp:lastModifiedBy>
  <dcterms:modified xsi:type="dcterms:W3CDTF">2023-12-09T06:02:51Z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3E519158A7A04C64A00BBFBADE9B14FF_13</vt:lpwstr>
  </property>
</Properties>
</file>