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pict>
          <v:line id="直接连接符 73" o:spid="_x0000_s1027"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环境质量自动监测站防雷装置</w:t>
      </w:r>
    </w:p>
    <w:p>
      <w:pPr>
        <w:pStyle w:val="197"/>
        <w:framePr w:h="6974" w:hRule="exact" w:wrap="around" w:x="1419" w:anchorLock="1"/>
      </w:pPr>
      <w:r>
        <w:t>检测技术规范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specification for inspection of lighting protection </w:t>
      </w:r>
      <w:r>
        <w:rPr>
          <w:rFonts w:hint="eastAsia" w:ascii="黑体" w:hAnsi="黑体" w:eastAsia="黑体"/>
          <w:szCs w:val="28"/>
        </w:rPr>
        <w:t>of</w:t>
      </w:r>
      <w:r>
        <w:rPr>
          <w:rFonts w:ascii="黑体" w:hAnsi="黑体" w:eastAsia="黑体"/>
          <w:szCs w:val="28"/>
        </w:rPr>
        <w:t xml:space="preserve">  automatic monitoring station for environment quality</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w:t>
      </w:r>
      <w:r>
        <w:rPr>
          <w:sz w:val="21"/>
          <w:szCs w:val="28"/>
        </w:rPr>
        <w:t>023</w:t>
      </w:r>
      <w:r>
        <w:rPr>
          <w:rFonts w:hint="eastAsia"/>
          <w:sz w:val="21"/>
          <w:szCs w:val="28"/>
        </w:rPr>
        <w:t>年1</w:t>
      </w:r>
      <w:r>
        <w:rPr>
          <w:sz w:val="21"/>
          <w:szCs w:val="28"/>
        </w:rPr>
        <w:t>2</w:t>
      </w:r>
      <w:r>
        <w:rPr>
          <w:rFonts w:hint="eastAsia"/>
          <w:sz w:val="21"/>
          <w:szCs w:val="28"/>
        </w:rPr>
        <w:t>月）</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pict>
          <v:line id="直接连接符 5" o:spid="_x0000_s1026"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v:path arrowok="t"/>
            <v:fill focussize="0,0"/>
            <v:stroke/>
            <v:imagedata o:title=""/>
            <o:lock v:ext="edit"/>
            <w10:anchorlock/>
          </v:line>
        </w:pict>
      </w:r>
    </w:p>
    <w:p>
      <w:pPr>
        <w:pStyle w:val="91"/>
        <w:spacing w:after="468"/>
      </w:pPr>
      <w:bookmarkStart w:id="21" w:name="BookMark1"/>
      <w:bookmarkStart w:id="22" w:name="_Toc153792988"/>
      <w:bookmarkStart w:id="23" w:name="_Toc153793015"/>
      <w:bookmarkStart w:id="24" w:name="_Toc153792860"/>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"_Toc153793055" </w:instrText>
      </w:r>
      <w:r>
        <w:fldChar w:fldCharType="separate"/>
      </w:r>
      <w:r>
        <w:rPr>
          <w:rStyle w:val="32"/>
        </w:rPr>
        <w:t>前言</w:t>
      </w:r>
      <w:r>
        <w:tab/>
      </w:r>
      <w:r>
        <w:fldChar w:fldCharType="begin"/>
      </w:r>
      <w:r>
        <w:instrText xml:space="preserve"> PAGEREF _Toc153793055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"_Toc153793056" </w:instrText>
      </w:r>
      <w:r>
        <w:fldChar w:fldCharType="separate"/>
      </w:r>
      <w:r>
        <w:rPr>
          <w:rStyle w:val="32"/>
        </w:rPr>
        <w:t>1  范围</w:t>
      </w:r>
      <w:r>
        <w:tab/>
      </w:r>
      <w:r>
        <w:fldChar w:fldCharType="begin"/>
      </w:r>
      <w:r>
        <w:instrText xml:space="preserve"> PAGEREF _Toc153793056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"_Toc153793057" </w:instrText>
      </w:r>
      <w:r>
        <w:fldChar w:fldCharType="separate"/>
      </w:r>
      <w:r>
        <w:rPr>
          <w:rStyle w:val="32"/>
        </w:rPr>
        <w:t>2  术语和定义</w:t>
      </w:r>
      <w:r>
        <w:tab/>
      </w:r>
      <w:r>
        <w:fldChar w:fldCharType="begin"/>
      </w:r>
      <w:r>
        <w:instrText xml:space="preserve"> PAGEREF _Toc153793057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"_Toc153793058" </w:instrText>
      </w:r>
      <w:r>
        <w:fldChar w:fldCharType="separate"/>
      </w:r>
      <w:r>
        <w:rPr>
          <w:rStyle w:val="32"/>
          <w:rFonts w:hAnsi="宋体"/>
        </w:rPr>
        <w:t xml:space="preserve">3 </w:t>
      </w:r>
      <w:r>
        <w:rPr>
          <w:rStyle w:val="32"/>
        </w:rPr>
        <w:t xml:space="preserve"> 检测项目</w:t>
      </w:r>
      <w:r>
        <w:tab/>
      </w:r>
      <w:r>
        <w:fldChar w:fldCharType="begin"/>
      </w:r>
      <w:r>
        <w:instrText xml:space="preserve"> PAGEREF _Toc153793058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"_Toc153793059" </w:instrText>
      </w:r>
      <w:r>
        <w:fldChar w:fldCharType="separate"/>
      </w:r>
      <w:r>
        <w:rPr>
          <w:rStyle w:val="32"/>
          <w:rFonts w:hAnsi="黑体"/>
        </w:rPr>
        <w:t>4  检测要求与方法</w:t>
      </w:r>
      <w:r>
        <w:tab/>
      </w:r>
      <w:r>
        <w:fldChar w:fldCharType="begin"/>
      </w:r>
      <w:r>
        <w:instrText xml:space="preserve"> PAGEREF _Toc153793059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"_Toc153793060" </w:instrText>
      </w:r>
      <w:r>
        <w:fldChar w:fldCharType="separate"/>
      </w:r>
      <w:r>
        <w:rPr>
          <w:rStyle w:val="32"/>
        </w:rPr>
        <w:t xml:space="preserve">5 </w:t>
      </w:r>
      <w:r>
        <w:rPr>
          <w:rStyle w:val="32"/>
          <w:rFonts w:hAnsi="黑体"/>
        </w:rPr>
        <w:t xml:space="preserve"> 检测作业要求</w:t>
      </w:r>
      <w:r>
        <w:tab/>
      </w:r>
      <w:r>
        <w:fldChar w:fldCharType="begin"/>
      </w:r>
      <w:r>
        <w:instrText xml:space="preserve"> PAGEREF _Toc153793060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"_Toc153793061" </w:instrText>
      </w:r>
      <w:r>
        <w:fldChar w:fldCharType="separate"/>
      </w:r>
      <w:r>
        <w:rPr>
          <w:rStyle w:val="32"/>
          <w:rFonts w:hAnsi="黑体"/>
        </w:rPr>
        <w:t>6  检测周期</w:t>
      </w:r>
      <w:r>
        <w:tab/>
      </w:r>
      <w:r>
        <w:fldChar w:fldCharType="begin"/>
      </w:r>
      <w:r>
        <w:instrText xml:space="preserve"> PAGEREF _Toc153793061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"_Toc153793062" </w:instrText>
      </w:r>
      <w:r>
        <w:fldChar w:fldCharType="separate"/>
      </w:r>
      <w:r>
        <w:rPr>
          <w:rStyle w:val="32"/>
          <w:rFonts w:hAnsi="黑体"/>
        </w:rPr>
        <w:t>7  检测程序</w:t>
      </w:r>
      <w:r>
        <w:tab/>
      </w:r>
      <w:r>
        <w:fldChar w:fldCharType="begin"/>
      </w:r>
      <w:r>
        <w:instrText xml:space="preserve"> PAGEREF _Toc153793062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"_Toc153793063" </w:instrText>
      </w:r>
      <w:r>
        <w:fldChar w:fldCharType="separate"/>
      </w:r>
      <w:r>
        <w:rPr>
          <w:rStyle w:val="32"/>
          <w:rFonts w:hAnsi="黑体"/>
        </w:rPr>
        <w:t>8  检测报告要求</w:t>
      </w:r>
      <w:r>
        <w:tab/>
      </w:r>
      <w:r>
        <w:fldChar w:fldCharType="begin"/>
      </w:r>
      <w:r>
        <w:instrText xml:space="preserve"> PAGEREF _Toc153793063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"_Toc153793064" </w:instrText>
      </w:r>
      <w:r>
        <w:fldChar w:fldCharType="separate"/>
      </w:r>
      <w:r>
        <w:rPr>
          <w:rStyle w:val="32"/>
        </w:rPr>
        <w:t>参考文献</w:t>
      </w:r>
      <w:r>
        <w:tab/>
      </w:r>
      <w:r>
        <w:fldChar w:fldCharType="begin"/>
      </w:r>
      <w:r>
        <w:instrText xml:space="preserve"> PAGEREF _Toc153793064 \h </w:instrText>
      </w:r>
      <w:r>
        <w:fldChar w:fldCharType="separate"/>
      </w:r>
      <w:r>
        <w:t>6</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5" w:name="_Toc153793055"/>
      <w:bookmarkStart w:id="26" w:name="BookMark2"/>
      <w:r>
        <w:rPr>
          <w:spacing w:val="320"/>
        </w:rPr>
        <w:t>前</w:t>
      </w:r>
      <w:r>
        <w:t>言</w:t>
      </w:r>
      <w:bookmarkEnd w:id="22"/>
      <w:bookmarkEnd w:id="23"/>
      <w:bookmarkEnd w:id="24"/>
      <w:bookmarkEnd w:id="25"/>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本文件由湖南省气象局提出。</w:t>
      </w:r>
    </w:p>
    <w:p>
      <w:pPr>
        <w:pStyle w:val="56"/>
        <w:ind w:firstLine="420"/>
      </w:pPr>
      <w:r>
        <w:rPr>
          <w:rFonts w:hint="eastAsia"/>
        </w:rPr>
        <w:t>本文件由湖南省气象标准化技术委员会归口。</w:t>
      </w:r>
    </w:p>
    <w:p>
      <w:pPr>
        <w:pStyle w:val="56"/>
        <w:ind w:firstLine="420"/>
      </w:pPr>
      <w:r>
        <w:rPr>
          <w:rFonts w:hint="eastAsia"/>
        </w:rPr>
        <w:t>本文件起草单位：衡阳市气象局。</w:t>
      </w:r>
    </w:p>
    <w:p>
      <w:pPr>
        <w:pStyle w:val="56"/>
        <w:ind w:firstLine="420"/>
      </w:pPr>
      <w:r>
        <w:rPr>
          <w:rFonts w:hint="eastAsia"/>
        </w:rPr>
        <w:t xml:space="preserve">本文件主要起草人：谢威、彭双姿、张翔、彭莉娟 </w:t>
      </w:r>
      <w:r>
        <w:t xml:space="preserve">  。</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pPr>
        <w:spacing w:line="20" w:lineRule="exact"/>
        <w:jc w:val="center"/>
        <w:rPr>
          <w:rFonts w:ascii="黑体" w:hAnsi="黑体" w:eastAsia="黑体"/>
          <w:sz w:val="32"/>
          <w:szCs w:val="32"/>
        </w:rPr>
      </w:pPr>
      <w:bookmarkStart w:id="27" w:name="BookMark4"/>
    </w:p>
    <w:p>
      <w:pPr>
        <w:spacing w:line="20" w:lineRule="exact"/>
        <w:jc w:val="center"/>
        <w:rPr>
          <w:rFonts w:ascii="黑体" w:hAnsi="黑体" w:eastAsia="黑体"/>
          <w:sz w:val="32"/>
          <w:szCs w:val="32"/>
        </w:rPr>
      </w:pPr>
    </w:p>
    <w:sdt>
      <w:sdtPr>
        <w:tag w:val="NEW_STAND_NAME"/>
        <w:id w:val="595910757"/>
        <w:lock w:val="sdtLocked"/>
        <w:placeholder>
          <w:docPart w:val="450A4D268D0D42BC9ABD1BF281FA9C75"/>
        </w:placeholder>
      </w:sdtPr>
      <w:sdtContent>
        <w:p>
          <w:pPr>
            <w:pStyle w:val="177"/>
            <w:spacing w:before="3" w:beforeLines="1" w:after="686" w:afterLines="220"/>
          </w:pPr>
          <w:bookmarkStart w:id="28" w:name="NEW_STAND_NAME"/>
          <w:r>
            <w:rPr>
              <w:rFonts w:hint="eastAsia"/>
            </w:rPr>
            <w:t>环境质量自动监测站防雷装置检测技术规范</w:t>
          </w:r>
        </w:p>
      </w:sdtContent>
    </w:sdt>
    <w:bookmarkEnd w:id="28"/>
    <w:p>
      <w:pPr>
        <w:pStyle w:val="104"/>
        <w:spacing w:before="312" w:after="312"/>
      </w:pPr>
      <w:bookmarkStart w:id="29" w:name="_Toc17233333"/>
      <w:bookmarkStart w:id="30" w:name="_Toc26986530"/>
      <w:bookmarkStart w:id="31" w:name="_Toc26986771"/>
      <w:bookmarkStart w:id="32" w:name="_Toc24884218"/>
      <w:bookmarkStart w:id="33" w:name="_Toc153792989"/>
      <w:bookmarkStart w:id="34" w:name="_Toc97191423"/>
      <w:bookmarkStart w:id="35" w:name="_Toc153793016"/>
      <w:bookmarkStart w:id="36" w:name="_Toc153792861"/>
      <w:bookmarkStart w:id="37" w:name="_Toc24884211"/>
      <w:bookmarkStart w:id="38" w:name="_Toc153793056"/>
      <w:bookmarkStart w:id="39" w:name="_Toc26648465"/>
      <w:bookmarkStart w:id="40" w:name="_Toc17233325"/>
      <w:bookmarkStart w:id="41" w:name="_Toc26718930"/>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pPr>
        <w:widowControl/>
        <w:adjustRightInd/>
        <w:spacing w:line="240" w:lineRule="auto"/>
        <w:ind w:firstLine="420" w:firstLineChars="200"/>
        <w:jc w:val="left"/>
        <w:rPr>
          <w:rFonts w:ascii="宋体" w:hAnsi="宋体" w:cs="宋体"/>
          <w:kern w:val="0"/>
          <w:sz w:val="24"/>
          <w:szCs w:val="24"/>
        </w:rPr>
      </w:pPr>
      <w:bookmarkStart w:id="42" w:name="_Toc24884219"/>
      <w:bookmarkStart w:id="43" w:name="_Toc17233334"/>
      <w:bookmarkStart w:id="44" w:name="_Toc26648466"/>
      <w:bookmarkStart w:id="45" w:name="_Toc17233326"/>
      <w:bookmarkStart w:id="46" w:name="_Toc24884212"/>
      <w:r>
        <w:rPr>
          <w:rFonts w:hint="eastAsia" w:ascii="宋体" w:hAnsi="宋体" w:cs="宋体"/>
          <w:color w:val="000000"/>
          <w:kern w:val="0"/>
        </w:rPr>
        <w:t>本文件规定了环境质量自动监测站防雷装置检测的检测项目、检测要求与方法、检测作业要求、检测周期、检测程序和检测报告要求。</w:t>
      </w:r>
    </w:p>
    <w:p>
      <w:pPr>
        <w:pStyle w:val="56"/>
        <w:ind w:firstLine="420"/>
      </w:pPr>
      <w:r>
        <w:rPr>
          <w:rFonts w:hint="eastAsia" w:hAnsi="宋体" w:cs="宋体"/>
          <w:color w:val="000000"/>
          <w:szCs w:val="21"/>
        </w:rPr>
        <w:t>本文件适用于</w:t>
      </w:r>
      <w:r>
        <w:rPr>
          <w:rFonts w:hint="eastAsia" w:hAnsi="宋体" w:cs="宋体"/>
          <w:color w:val="000000"/>
        </w:rPr>
        <w:t>环境质量自动监测站防雷装置</w:t>
      </w:r>
      <w:r>
        <w:rPr>
          <w:rFonts w:hint="eastAsia" w:hAnsi="宋体" w:cs="宋体"/>
          <w:color w:val="000000"/>
          <w:szCs w:val="21"/>
        </w:rPr>
        <w:t>的检测。</w:t>
      </w:r>
    </w:p>
    <w:bookmarkEnd w:id="42"/>
    <w:bookmarkEnd w:id="43"/>
    <w:bookmarkEnd w:id="44"/>
    <w:bookmarkEnd w:id="45"/>
    <w:bookmarkEnd w:id="46"/>
    <w:p>
      <w:pPr>
        <w:pStyle w:val="104"/>
        <w:spacing w:before="312" w:after="312"/>
      </w:pPr>
      <w:bookmarkStart w:id="47" w:name="_Toc97191425"/>
      <w:bookmarkStart w:id="48" w:name="_Toc153792990"/>
      <w:bookmarkStart w:id="49" w:name="_Toc153792862"/>
      <w:bookmarkStart w:id="50" w:name="_Toc153793017"/>
      <w:bookmarkStart w:id="51" w:name="_Toc153793057"/>
      <w:r>
        <w:rPr>
          <w:rFonts w:hint="eastAsia"/>
          <w:szCs w:val="21"/>
        </w:rPr>
        <w:t>术语和定义</w:t>
      </w:r>
      <w:bookmarkEnd w:id="47"/>
      <w:bookmarkEnd w:id="48"/>
      <w:bookmarkEnd w:id="49"/>
      <w:bookmarkEnd w:id="50"/>
      <w:bookmarkEnd w:id="51"/>
    </w:p>
    <w:sdt>
      <w:sdtPr>
        <w:rPr>
          <w:rFonts w:hint="eastAsia" w:hAnsi="宋体" w:cs="宋体"/>
          <w:color w:val="000000"/>
        </w:rPr>
        <w:id w:val="-1909835108"/>
        <w:placeholder>
          <w:docPart w:val="E217AFB9ADEC4BBF97E80C3AD01811B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hAnsi="宋体" w:cs="宋体"/>
          <w:color w:val="000000"/>
        </w:rPr>
      </w:sdtEndPr>
      <w:sdtContent>
        <w:p>
          <w:pPr>
            <w:pStyle w:val="56"/>
            <w:ind w:firstLine="420"/>
          </w:pPr>
          <w:bookmarkStart w:id="52" w:name="_Toc26986532"/>
          <w:bookmarkEnd w:id="52"/>
          <w:r>
            <w:rPr>
              <w:rFonts w:hint="eastAsia" w:hAnsi="宋体" w:cs="宋体"/>
              <w:color w:val="000000"/>
            </w:rPr>
            <w:t>下列术语和定义适用于本文件。</w:t>
          </w:r>
        </w:p>
      </w:sdtContent>
    </w:sdt>
    <w:p>
      <w:pPr>
        <w:pStyle w:val="105"/>
        <w:spacing w:before="156" w:after="156"/>
      </w:pPr>
      <w:bookmarkStart w:id="53" w:name="_Toc153792863"/>
      <w:bookmarkEnd w:id="53"/>
      <w:bookmarkStart w:id="54" w:name="_Toc153792991"/>
      <w:bookmarkEnd w:id="54"/>
    </w:p>
    <w:p>
      <w:pPr>
        <w:pStyle w:val="105"/>
        <w:numPr>
          <w:ilvl w:val="0"/>
          <w:numId w:val="0"/>
        </w:numPr>
        <w:spacing w:before="156" w:after="156"/>
        <w:ind w:firstLine="420" w:firstLineChars="200"/>
      </w:pPr>
      <w:bookmarkStart w:id="55" w:name="_Toc153792992"/>
      <w:bookmarkStart w:id="56" w:name="_Toc153792864"/>
      <w:r>
        <w:rPr>
          <w:rFonts w:hint="eastAsia"/>
        </w:rPr>
        <w:t>环境质量自动监测站</w:t>
      </w:r>
      <w:r>
        <w:t xml:space="preserve">  automatic monitoring station </w:t>
      </w:r>
      <w:r>
        <w:rPr>
          <w:rFonts w:hint="eastAsia"/>
        </w:rPr>
        <w:t>for</w:t>
      </w:r>
      <w:r>
        <w:t xml:space="preserve"> environment quality</w:t>
      </w:r>
      <w:bookmarkEnd w:id="55"/>
      <w:bookmarkEnd w:id="56"/>
    </w:p>
    <w:p>
      <w:pPr>
        <w:pStyle w:val="56"/>
        <w:ind w:firstLine="420"/>
      </w:pPr>
      <w:r>
        <w:rPr>
          <w:rFonts w:hint="eastAsia"/>
        </w:rPr>
        <w:t>采用自动监测仪器对空气、水质、噪声、辐射等环境要素进行连续或定时采样、处理、分析及数据传输的监测站。</w:t>
      </w:r>
    </w:p>
    <w:p>
      <w:pPr>
        <w:pStyle w:val="105"/>
        <w:spacing w:before="156" w:after="156"/>
        <w:rPr>
          <w:rFonts w:ascii="宋体" w:hAnsi="宋体" w:cs="宋体"/>
          <w:sz w:val="24"/>
          <w:szCs w:val="24"/>
        </w:rPr>
      </w:pPr>
      <w:bookmarkStart w:id="57" w:name="_Toc153792865"/>
      <w:bookmarkEnd w:id="57"/>
      <w:bookmarkStart w:id="58" w:name="_Toc153792993"/>
      <w:bookmarkEnd w:id="58"/>
    </w:p>
    <w:p>
      <w:pPr>
        <w:pStyle w:val="105"/>
        <w:numPr>
          <w:ilvl w:val="0"/>
          <w:numId w:val="0"/>
        </w:numPr>
        <w:spacing w:before="156" w:after="156"/>
        <w:ind w:firstLine="420" w:firstLineChars="200"/>
        <w:rPr>
          <w:rFonts w:ascii="宋体" w:hAnsi="宋体" w:cs="宋体"/>
          <w:sz w:val="24"/>
          <w:szCs w:val="24"/>
        </w:rPr>
      </w:pPr>
      <w:bookmarkStart w:id="59" w:name="_Toc153792866"/>
      <w:bookmarkStart w:id="60" w:name="_Toc153792994"/>
      <w:r>
        <w:rPr>
          <w:rFonts w:hint="eastAsia" w:hAnsi="黑体" w:cs="宋体"/>
        </w:rPr>
        <w:t>防雷装置</w:t>
      </w:r>
      <w:r>
        <w:t xml:space="preserve"> lightning protection system (LPS)</w:t>
      </w:r>
      <w:bookmarkEnd w:id="59"/>
      <w:bookmarkEnd w:id="60"/>
      <w:r>
        <w:t xml:space="preserve">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用于减少闪击击于建（构）筑物上或建（构）筑物附近造成的物质性损害和人身伤亡，由外部防雷</w:t>
      </w:r>
      <w:r>
        <w:rPr>
          <w:rFonts w:hint="eastAsia" w:hAnsi="宋体" w:cs="宋体"/>
          <w:color w:val="000000"/>
        </w:rPr>
        <w:t>装置和内部防雷装置组成。</w:t>
      </w:r>
    </w:p>
    <w:p>
      <w:pPr>
        <w:pStyle w:val="105"/>
        <w:spacing w:before="156" w:after="156"/>
      </w:pPr>
      <w:bookmarkStart w:id="61" w:name="_Toc153792995"/>
      <w:bookmarkEnd w:id="61"/>
      <w:bookmarkStart w:id="62" w:name="_Toc153792867"/>
      <w:bookmarkEnd w:id="62"/>
    </w:p>
    <w:p>
      <w:pPr>
        <w:pStyle w:val="105"/>
        <w:numPr>
          <w:ilvl w:val="0"/>
          <w:numId w:val="0"/>
        </w:numPr>
        <w:spacing w:before="156" w:after="156"/>
        <w:ind w:firstLine="420" w:firstLineChars="200"/>
      </w:pPr>
      <w:bookmarkStart w:id="63" w:name="_Toc153792996"/>
      <w:bookmarkStart w:id="64" w:name="_Toc153792868"/>
      <w:r>
        <w:rPr>
          <w:rFonts w:hint="eastAsia" w:hAnsi="黑体"/>
        </w:rPr>
        <w:t xml:space="preserve">接地装置 </w:t>
      </w:r>
      <w:r>
        <w:t>earth-termination system</w:t>
      </w:r>
      <w:bookmarkEnd w:id="63"/>
      <w:bookmarkEnd w:id="64"/>
    </w:p>
    <w:p>
      <w:pPr>
        <w:pStyle w:val="56"/>
        <w:ind w:firstLine="420"/>
        <w:rPr>
          <w:color w:val="000000"/>
          <w:szCs w:val="21"/>
        </w:rPr>
      </w:pPr>
      <w:r>
        <w:rPr>
          <w:rFonts w:hint="eastAsia"/>
          <w:color w:val="000000"/>
          <w:szCs w:val="21"/>
        </w:rPr>
        <w:t>接地体和接地线的总合，用于传导雷电流并将其流散入大地。</w:t>
      </w:r>
    </w:p>
    <w:p>
      <w:pPr>
        <w:pStyle w:val="105"/>
        <w:spacing w:before="156" w:after="156"/>
        <w:rPr>
          <w:rFonts w:ascii="宋体" w:hAnsi="宋体" w:cs="宋体"/>
          <w:sz w:val="24"/>
          <w:szCs w:val="24"/>
        </w:rPr>
      </w:pPr>
      <w:bookmarkStart w:id="65" w:name="_Toc153792997"/>
      <w:bookmarkEnd w:id="65"/>
      <w:bookmarkStart w:id="66" w:name="_Toc153792869"/>
      <w:bookmarkEnd w:id="66"/>
    </w:p>
    <w:p>
      <w:pPr>
        <w:pStyle w:val="105"/>
        <w:numPr>
          <w:ilvl w:val="0"/>
          <w:numId w:val="0"/>
        </w:numPr>
        <w:spacing w:before="156" w:after="156"/>
        <w:ind w:firstLine="420" w:firstLineChars="200"/>
        <w:rPr>
          <w:rFonts w:ascii="宋体" w:hAnsi="宋体" w:cs="宋体"/>
          <w:sz w:val="24"/>
          <w:szCs w:val="24"/>
        </w:rPr>
      </w:pPr>
      <w:bookmarkStart w:id="67" w:name="_Toc153792998"/>
      <w:bookmarkStart w:id="68" w:name="_Toc153792870"/>
      <w:r>
        <w:rPr>
          <w:rFonts w:hint="eastAsia" w:hAnsi="黑体" w:cs="宋体"/>
        </w:rPr>
        <w:t>等电位连接</w:t>
      </w:r>
      <w:r>
        <w:rPr>
          <w:rFonts w:hint="eastAsia" w:ascii="宋体" w:hAnsi="宋体" w:cs="宋体"/>
        </w:rPr>
        <w:t xml:space="preserve"> </w:t>
      </w:r>
      <w:r>
        <w:t>lightning equipotential bonding (LEB</w:t>
      </w:r>
      <w:r>
        <w:rPr>
          <w:rFonts w:hint="eastAsia" w:ascii="宋体" w:hAnsi="宋体" w:cs="宋体"/>
        </w:rPr>
        <w:t>）</w:t>
      </w:r>
      <w:bookmarkEnd w:id="67"/>
      <w:bookmarkEnd w:id="68"/>
      <w:r>
        <w:rPr>
          <w:rFonts w:hint="eastAsia" w:ascii="宋体" w:hAnsi="宋体" w:cs="宋体"/>
        </w:rPr>
        <w:t xml:space="preserve"> </w:t>
      </w:r>
    </w:p>
    <w:p>
      <w:pPr>
        <w:widowControl/>
        <w:adjustRightInd/>
        <w:spacing w:line="240" w:lineRule="auto"/>
        <w:ind w:firstLine="420" w:firstLineChars="200"/>
        <w:jc w:val="left"/>
        <w:rPr>
          <w:rFonts w:ascii="宋体" w:hAnsi="宋体" w:cs="宋体"/>
          <w:color w:val="000000"/>
        </w:rPr>
      </w:pPr>
      <w:r>
        <w:rPr>
          <w:rFonts w:hint="eastAsia" w:ascii="宋体" w:hAnsi="宋体" w:cs="宋体"/>
          <w:color w:val="000000"/>
          <w:kern w:val="0"/>
        </w:rPr>
        <w:t>直接用连接导体或通过浪涌保护器将分离的金属部件、外来导电物、电力线路、通信线路及其他电</w:t>
      </w:r>
      <w:r>
        <w:rPr>
          <w:rFonts w:hint="eastAsia" w:ascii="宋体" w:hAnsi="宋体" w:cs="宋体"/>
          <w:color w:val="000000"/>
        </w:rPr>
        <w:t>缆连接起来以减小雷电流在它们之间产生电位差的措施。</w:t>
      </w:r>
    </w:p>
    <w:p>
      <w:pPr>
        <w:pStyle w:val="105"/>
        <w:spacing w:before="156" w:after="156"/>
        <w:rPr>
          <w:rFonts w:ascii="宋体" w:hAnsi="宋体" w:cs="宋体"/>
          <w:sz w:val="24"/>
          <w:szCs w:val="24"/>
        </w:rPr>
      </w:pPr>
      <w:bookmarkStart w:id="69" w:name="_Toc153792999"/>
      <w:bookmarkEnd w:id="69"/>
      <w:bookmarkStart w:id="70" w:name="_Toc153792871"/>
      <w:bookmarkEnd w:id="70"/>
    </w:p>
    <w:p>
      <w:pPr>
        <w:pStyle w:val="105"/>
        <w:numPr>
          <w:ilvl w:val="0"/>
          <w:numId w:val="0"/>
        </w:numPr>
        <w:spacing w:before="156" w:after="156"/>
        <w:ind w:firstLine="420" w:firstLineChars="200"/>
        <w:rPr>
          <w:rFonts w:ascii="宋体" w:hAnsi="宋体" w:cs="宋体"/>
          <w:sz w:val="24"/>
          <w:szCs w:val="24"/>
        </w:rPr>
      </w:pPr>
      <w:bookmarkStart w:id="71" w:name="_Toc153793000"/>
      <w:bookmarkStart w:id="72" w:name="_Toc153792872"/>
      <w:r>
        <w:rPr>
          <w:rFonts w:hint="eastAsia" w:hAnsi="黑体" w:cs="宋体"/>
        </w:rPr>
        <w:t>电涌保护器</w:t>
      </w:r>
      <w:r>
        <w:t xml:space="preserve"> surge protective device (SPD)</w:t>
      </w:r>
      <w:bookmarkEnd w:id="71"/>
      <w:bookmarkEnd w:id="72"/>
      <w:r>
        <w:t xml:space="preserve"> </w:t>
      </w:r>
    </w:p>
    <w:p>
      <w:pPr>
        <w:pStyle w:val="105"/>
        <w:numPr>
          <w:ilvl w:val="0"/>
          <w:numId w:val="0"/>
        </w:numPr>
        <w:spacing w:before="156" w:after="156"/>
        <w:ind w:firstLine="420" w:firstLineChars="200"/>
        <w:rPr>
          <w:rFonts w:ascii="宋体" w:hAnsi="宋体" w:cs="宋体"/>
          <w:sz w:val="24"/>
          <w:szCs w:val="24"/>
        </w:rPr>
      </w:pPr>
      <w:bookmarkStart w:id="73" w:name="_Toc153793001"/>
      <w:bookmarkStart w:id="74" w:name="_Toc153792873"/>
      <w:r>
        <w:rPr>
          <w:rFonts w:hint="eastAsia" w:ascii="宋体" w:hAnsi="宋体" w:eastAsia="宋体" w:cs="宋体"/>
          <w:color w:val="000000"/>
          <w:szCs w:val="21"/>
        </w:rPr>
        <w:t>用于限制瞬态过电压和分泄电涌电流的器件。它至少含有一个非线性元件。</w:t>
      </w:r>
      <w:bookmarkEnd w:id="73"/>
      <w:bookmarkEnd w:id="74"/>
    </w:p>
    <w:p>
      <w:pPr>
        <w:pStyle w:val="104"/>
        <w:spacing w:before="312" w:after="312"/>
        <w:rPr>
          <w:rFonts w:ascii="宋体" w:hAnsi="宋体"/>
          <w:sz w:val="24"/>
          <w:szCs w:val="24"/>
        </w:rPr>
      </w:pPr>
      <w:bookmarkStart w:id="75" w:name="_Toc153793002"/>
      <w:bookmarkStart w:id="76" w:name="_Toc153793018"/>
      <w:bookmarkStart w:id="77" w:name="_Toc153793058"/>
      <w:bookmarkStart w:id="78" w:name="_Toc153792874"/>
      <w:r>
        <w:rPr>
          <w:rFonts w:hint="eastAsia"/>
        </w:rPr>
        <w:t>检测项目</w:t>
      </w:r>
      <w:bookmarkEnd w:id="75"/>
      <w:bookmarkEnd w:id="76"/>
      <w:bookmarkEnd w:id="77"/>
      <w:bookmarkEnd w:id="78"/>
      <w:r>
        <w:rPr>
          <w:rFonts w:hint="eastAsia"/>
        </w:rPr>
        <w:t xml:space="preserve">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 xml:space="preserve">环境质量自动监测站检测项目如下：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 xml:space="preserve">a) 防雷分类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 xml:space="preserve">b) 接闪器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 xml:space="preserve">c) 引下线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d)</w:t>
      </w:r>
      <w:r>
        <w:rPr>
          <w:rFonts w:ascii="宋体" w:hAnsi="宋体" w:cs="宋体"/>
          <w:color w:val="000000"/>
          <w:kern w:val="0"/>
        </w:rPr>
        <w:t xml:space="preserve"> </w:t>
      </w:r>
      <w:r>
        <w:rPr>
          <w:rFonts w:hint="eastAsia" w:ascii="宋体" w:hAnsi="宋体" w:cs="宋体"/>
          <w:color w:val="000000"/>
          <w:kern w:val="0"/>
        </w:rPr>
        <w:t xml:space="preserve">接地装置 </w:t>
      </w:r>
    </w:p>
    <w:p>
      <w:pPr>
        <w:widowControl/>
        <w:adjustRightInd/>
        <w:spacing w:line="240" w:lineRule="auto"/>
        <w:ind w:firstLine="420" w:firstLineChars="200"/>
        <w:jc w:val="left"/>
        <w:rPr>
          <w:rFonts w:ascii="宋体" w:hAnsi="宋体" w:cs="宋体"/>
          <w:color w:val="000000"/>
        </w:rPr>
      </w:pPr>
      <w:r>
        <w:rPr>
          <w:rFonts w:hint="eastAsia" w:ascii="宋体" w:hAnsi="宋体" w:cs="宋体"/>
          <w:color w:val="000000"/>
        </w:rPr>
        <w:t>e) 等电位连接</w:t>
      </w:r>
    </w:p>
    <w:p>
      <w:pPr>
        <w:widowControl/>
        <w:adjustRightInd/>
        <w:spacing w:line="240" w:lineRule="auto"/>
        <w:ind w:firstLine="420" w:firstLineChars="200"/>
        <w:jc w:val="left"/>
        <w:rPr>
          <w:rFonts w:ascii="宋体" w:hAnsi="宋体" w:cs="宋体"/>
          <w:color w:val="000000"/>
        </w:rPr>
      </w:pPr>
      <w:r>
        <w:rPr>
          <w:rFonts w:hint="eastAsia" w:ascii="宋体" w:hAnsi="宋体" w:cs="宋体"/>
          <w:color w:val="000000"/>
        </w:rPr>
        <w:t>f) 浪涌保护器</w:t>
      </w:r>
    </w:p>
    <w:p>
      <w:pPr>
        <w:pStyle w:val="104"/>
        <w:spacing w:before="312" w:after="312"/>
        <w:rPr>
          <w:rFonts w:hAnsi="黑体"/>
          <w:color w:val="000000"/>
          <w:szCs w:val="21"/>
        </w:rPr>
      </w:pPr>
      <w:bookmarkStart w:id="79" w:name="_Toc153793003"/>
      <w:bookmarkStart w:id="80" w:name="_Toc153792875"/>
      <w:bookmarkStart w:id="81" w:name="_Toc153793059"/>
      <w:bookmarkStart w:id="82" w:name="_Toc153793019"/>
      <w:r>
        <w:rPr>
          <w:rFonts w:hint="eastAsia" w:hAnsi="黑体"/>
          <w:color w:val="000000"/>
          <w:szCs w:val="21"/>
        </w:rPr>
        <w:t>检测要求与方法</w:t>
      </w:r>
      <w:bookmarkEnd w:id="79"/>
      <w:bookmarkEnd w:id="80"/>
      <w:bookmarkEnd w:id="81"/>
      <w:bookmarkEnd w:id="82"/>
    </w:p>
    <w:p>
      <w:pPr>
        <w:pStyle w:val="105"/>
        <w:spacing w:before="156" w:after="156"/>
      </w:pPr>
      <w:bookmarkStart w:id="83" w:name="_Toc153793004"/>
      <w:bookmarkStart w:id="84" w:name="_Toc153792876"/>
      <w:r>
        <w:rPr>
          <w:rFonts w:hint="eastAsia"/>
        </w:rPr>
        <w:t>防雷分</w:t>
      </w:r>
      <w:bookmarkEnd w:id="83"/>
      <w:bookmarkEnd w:id="84"/>
      <w:r>
        <w:rPr>
          <w:rFonts w:hint="eastAsia"/>
        </w:rPr>
        <w:t>级</w:t>
      </w:r>
    </w:p>
    <w:p>
      <w:pPr>
        <w:pStyle w:val="56"/>
        <w:ind w:firstLine="420"/>
        <w:rPr>
          <w:color w:val="000000"/>
          <w:szCs w:val="21"/>
        </w:rPr>
      </w:pPr>
      <w:r>
        <w:rPr>
          <w:rFonts w:hint="eastAsia"/>
        </w:rPr>
        <w:t>根据环境质量自动监测站的重要性以及发生雷电事故的可能性和后果，将环境质量自动监测站分为</w:t>
      </w:r>
      <w:r>
        <w:rPr>
          <w:rFonts w:hint="eastAsia"/>
          <w:color w:val="000000"/>
          <w:szCs w:val="21"/>
        </w:rPr>
        <w:t>以下两个防雷等级：</w:t>
      </w:r>
    </w:p>
    <w:p>
      <w:pPr>
        <w:pStyle w:val="56"/>
        <w:numPr>
          <w:ilvl w:val="0"/>
          <w:numId w:val="32"/>
        </w:numPr>
        <w:ind w:firstLineChars="0"/>
        <w:rPr>
          <w:color w:val="000000"/>
          <w:szCs w:val="21"/>
        </w:rPr>
      </w:pPr>
      <w:r>
        <w:rPr>
          <w:rFonts w:hint="eastAsia" w:hAnsi="宋体" w:cs="宋体"/>
          <w:color w:val="000000"/>
        </w:rPr>
        <w:t>历史上遭受过雷击的或建于山顶、水边、金属矿区及空旷高地的环境质量自动监测站环境质量自动监测站的防雷等级为一级；</w:t>
      </w:r>
    </w:p>
    <w:p>
      <w:pPr>
        <w:pStyle w:val="56"/>
        <w:numPr>
          <w:ilvl w:val="0"/>
          <w:numId w:val="32"/>
        </w:numPr>
        <w:ind w:firstLineChars="0"/>
        <w:rPr>
          <w:color w:val="000000"/>
          <w:szCs w:val="21"/>
        </w:rPr>
      </w:pPr>
      <w:r>
        <w:rPr>
          <w:rFonts w:hint="eastAsia"/>
          <w:color w:val="000000"/>
          <w:szCs w:val="21"/>
        </w:rPr>
        <w:t>其余的</w:t>
      </w:r>
      <w:r>
        <w:rPr>
          <w:rFonts w:hint="eastAsia"/>
        </w:rPr>
        <w:t>环境质量自动监测站</w:t>
      </w:r>
      <w:r>
        <w:rPr>
          <w:rFonts w:hint="eastAsia" w:hAnsi="宋体" w:cs="宋体"/>
          <w:color w:val="000000"/>
        </w:rPr>
        <w:t>的防雷等级为二级。</w:t>
      </w:r>
    </w:p>
    <w:p>
      <w:pPr>
        <w:pStyle w:val="105"/>
        <w:spacing w:before="156" w:after="156"/>
      </w:pPr>
      <w:bookmarkStart w:id="85" w:name="_Toc153792877"/>
      <w:bookmarkStart w:id="86" w:name="_Toc153793005"/>
      <w:r>
        <w:rPr>
          <w:rFonts w:hint="eastAsia"/>
        </w:rPr>
        <w:t>接闪器</w:t>
      </w:r>
      <w:bookmarkEnd w:id="85"/>
      <w:bookmarkEnd w:id="86"/>
    </w:p>
    <w:p>
      <w:pPr>
        <w:pStyle w:val="65"/>
        <w:spacing w:before="156" w:after="156"/>
      </w:pPr>
      <w:r>
        <w:rPr>
          <w:rFonts w:hint="eastAsia"/>
        </w:rPr>
        <w:t>要求</w:t>
      </w:r>
    </w:p>
    <w:p>
      <w:pPr>
        <w:pStyle w:val="164"/>
      </w:pPr>
      <w:r>
        <w:rPr>
          <w:rFonts w:hint="eastAsia"/>
        </w:rPr>
        <w:t>环境质量自动监测站宜采用接闪杆、接闪带、接闪网作为接闪器，接闪器的布置，应符合表1的规定。</w:t>
      </w:r>
    </w:p>
    <w:p>
      <w:pPr>
        <w:pStyle w:val="112"/>
        <w:spacing w:before="156" w:after="156"/>
      </w:pPr>
      <w:r>
        <w:rPr>
          <w:rFonts w:hint="eastAsia"/>
        </w:rPr>
        <w:t>接闪器的布置要求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2"/>
        <w:gridCol w:w="3122"/>
        <w:gridCol w:w="31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90" w:type="dxa"/>
            <w:tcBorders>
              <w:top w:val="single" w:color="auto" w:sz="8" w:space="0"/>
              <w:bottom w:val="single" w:color="auto" w:sz="8" w:space="0"/>
            </w:tcBorders>
            <w:shd w:val="clear" w:color="auto" w:fill="auto"/>
            <w:vAlign w:val="center"/>
          </w:tcPr>
          <w:p>
            <w:pPr>
              <w:pStyle w:val="178"/>
            </w:pPr>
            <w:r>
              <w:rPr>
                <w:rFonts w:hint="eastAsia"/>
              </w:rPr>
              <w:t>防雷等级</w:t>
            </w:r>
          </w:p>
        </w:tc>
        <w:tc>
          <w:tcPr>
            <w:tcW w:w="3190" w:type="dxa"/>
            <w:tcBorders>
              <w:top w:val="single" w:color="auto" w:sz="8" w:space="0"/>
              <w:bottom w:val="single" w:color="auto" w:sz="8" w:space="0"/>
            </w:tcBorders>
            <w:shd w:val="clear" w:color="auto" w:fill="auto"/>
            <w:vAlign w:val="center"/>
          </w:tcPr>
          <w:p>
            <w:pPr>
              <w:pStyle w:val="178"/>
            </w:pPr>
            <w:r>
              <w:rPr>
                <w:rFonts w:hint="eastAsia"/>
              </w:rPr>
              <w:t>滚球半径/</w:t>
            </w:r>
            <w:r>
              <w:t>m</w:t>
            </w:r>
          </w:p>
        </w:tc>
        <w:tc>
          <w:tcPr>
            <w:tcW w:w="3190" w:type="dxa"/>
            <w:tcBorders>
              <w:top w:val="single" w:color="auto" w:sz="8" w:space="0"/>
              <w:bottom w:val="single" w:color="auto" w:sz="8" w:space="0"/>
            </w:tcBorders>
            <w:shd w:val="clear" w:color="auto" w:fill="auto"/>
            <w:vAlign w:val="center"/>
          </w:tcPr>
          <w:p>
            <w:pPr>
              <w:pStyle w:val="178"/>
            </w:pPr>
            <w:r>
              <w:rPr>
                <w:rFonts w:hint="eastAsia"/>
              </w:rPr>
              <w:t>接闪网网格尺寸/</w:t>
            </w:r>
            <w:r>
              <w:t>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90" w:type="dxa"/>
            <w:tcBorders>
              <w:top w:val="single" w:color="auto" w:sz="8" w:space="0"/>
            </w:tcBorders>
            <w:shd w:val="clear" w:color="auto" w:fill="auto"/>
            <w:vAlign w:val="center"/>
          </w:tcPr>
          <w:p>
            <w:pPr>
              <w:pStyle w:val="178"/>
            </w:pPr>
            <w:r>
              <w:rPr>
                <w:rFonts w:hint="eastAsia"/>
              </w:rPr>
              <w:t>一级</w:t>
            </w:r>
          </w:p>
        </w:tc>
        <w:tc>
          <w:tcPr>
            <w:tcW w:w="3190" w:type="dxa"/>
            <w:tcBorders>
              <w:top w:val="single" w:color="auto" w:sz="8" w:space="0"/>
            </w:tcBorders>
            <w:shd w:val="clear" w:color="auto" w:fill="auto"/>
            <w:vAlign w:val="center"/>
          </w:tcPr>
          <w:p>
            <w:pPr>
              <w:pStyle w:val="178"/>
            </w:pPr>
            <w:r>
              <w:rPr>
                <w:rFonts w:hint="eastAsia"/>
              </w:rPr>
              <w:t>4</w:t>
            </w:r>
            <w:r>
              <w:t>5</w:t>
            </w:r>
          </w:p>
        </w:tc>
        <w:tc>
          <w:tcPr>
            <w:tcW w:w="3190" w:type="dxa"/>
            <w:tcBorders>
              <w:top w:val="single" w:color="auto" w:sz="8" w:space="0"/>
            </w:tcBorders>
            <w:shd w:val="clear" w:color="auto" w:fill="auto"/>
            <w:vAlign w:val="center"/>
          </w:tcPr>
          <w:p>
            <w:pPr>
              <w:pStyle w:val="178"/>
              <w:rPr>
                <w:rFonts w:eastAsiaTheme="minorEastAsia"/>
              </w:rPr>
            </w:pPr>
            <w:r>
              <w:rPr>
                <w:rFonts w:hint="eastAsia"/>
              </w:rPr>
              <w:t>≤</w:t>
            </w:r>
            <w:r>
              <w:rPr>
                <w:rFonts w:hint="eastAsia"/>
                <w:color w:val="000000"/>
                <w:szCs w:val="18"/>
              </w:rPr>
              <w:t>10×10 或 12×8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90" w:type="dxa"/>
            <w:shd w:val="clear" w:color="auto" w:fill="auto"/>
            <w:vAlign w:val="center"/>
          </w:tcPr>
          <w:p>
            <w:pPr>
              <w:pStyle w:val="178"/>
            </w:pPr>
            <w:r>
              <w:rPr>
                <w:rFonts w:hint="eastAsia"/>
              </w:rPr>
              <w:t>二级</w:t>
            </w:r>
          </w:p>
        </w:tc>
        <w:tc>
          <w:tcPr>
            <w:tcW w:w="3190" w:type="dxa"/>
            <w:shd w:val="clear" w:color="auto" w:fill="auto"/>
            <w:vAlign w:val="center"/>
          </w:tcPr>
          <w:p>
            <w:pPr>
              <w:pStyle w:val="178"/>
            </w:pPr>
            <w:r>
              <w:rPr>
                <w:rFonts w:hint="eastAsia"/>
              </w:rPr>
              <w:t>6</w:t>
            </w:r>
            <w:r>
              <w:t>0</w:t>
            </w:r>
          </w:p>
        </w:tc>
        <w:tc>
          <w:tcPr>
            <w:tcW w:w="3190" w:type="dxa"/>
            <w:shd w:val="clear" w:color="auto" w:fill="auto"/>
            <w:vAlign w:val="center"/>
          </w:tcPr>
          <w:p>
            <w:pPr>
              <w:pStyle w:val="178"/>
            </w:pPr>
            <w:r>
              <w:rPr>
                <w:rFonts w:hint="eastAsia"/>
              </w:rPr>
              <w:t>≤</w:t>
            </w:r>
            <w:r>
              <w:rPr>
                <w:color w:val="000000"/>
                <w:szCs w:val="18"/>
              </w:rPr>
              <w:t>2</w:t>
            </w:r>
            <w:r>
              <w:rPr>
                <w:rFonts w:hint="eastAsia"/>
                <w:color w:val="000000"/>
                <w:szCs w:val="18"/>
              </w:rPr>
              <w:t>0×</w:t>
            </w:r>
            <w:r>
              <w:rPr>
                <w:color w:val="000000"/>
                <w:szCs w:val="18"/>
              </w:rPr>
              <w:t>2</w:t>
            </w:r>
            <w:r>
              <w:rPr>
                <w:rFonts w:hint="eastAsia"/>
                <w:color w:val="000000"/>
                <w:szCs w:val="18"/>
              </w:rPr>
              <w:t xml:space="preserve">0 或 </w:t>
            </w:r>
            <w:r>
              <w:rPr>
                <w:color w:val="000000"/>
                <w:szCs w:val="18"/>
              </w:rPr>
              <w:t>24</w:t>
            </w:r>
            <w:r>
              <w:rPr>
                <w:rFonts w:hint="eastAsia"/>
                <w:color w:val="000000"/>
                <w:szCs w:val="18"/>
              </w:rPr>
              <w:t>×</w:t>
            </w:r>
            <w:r>
              <w:rPr>
                <w:color w:val="000000"/>
                <w:szCs w:val="18"/>
              </w:rPr>
              <w:t>16</w:t>
            </w:r>
          </w:p>
        </w:tc>
      </w:tr>
    </w:tbl>
    <w:p>
      <w:pPr>
        <w:pStyle w:val="164"/>
      </w:pPr>
      <w:r>
        <w:rPr>
          <w:rFonts w:hint="eastAsia"/>
        </w:rPr>
        <w:t>独立环境空气质量自动监测站和辐射环境空气自动监测站应采用独立接闪杆作为防直击雷的措施，伸出站房屋面的采样管、气象监测设备、站房及护栏均应位于独立接闪杆的保护范围内，独立接闪杆与被保护物的安全距离不应小于3米；建设于建筑物屋面的环境空气质量自动监测站和辐射环境空气自动监测站宜采用接闪带与接闪杆相结合的方式，接闪杆安装于建筑物屋面，伸出站房屋面的采样管、气象监测设备、站房及护栏应位于接闪杆的保护范围，接闪杆、接闪带及金属护栏应与建筑物的外部防雷装置做防雷等电位连接。</w:t>
      </w:r>
    </w:p>
    <w:p>
      <w:pPr>
        <w:pStyle w:val="164"/>
      </w:pPr>
      <w:r>
        <w:rPr>
          <w:rFonts w:hint="eastAsia"/>
        </w:rPr>
        <w:t>地表水水质自动监测站采用固定式或简易式站房时，宜采用接闪带或接闪网作为防直击雷的措施；采用小型式站房时，应采用独立接闪杆作为防直击雷的措施，独立接闪杆与站房的安全距离不应小于3m；采用水上固定平台时，应采用独立接闪杆作为防直击雷的措施，独立接闪杆与水上固定平台站的安全距离不应小于3米。</w:t>
      </w:r>
    </w:p>
    <w:p>
      <w:pPr>
        <w:pStyle w:val="164"/>
      </w:pPr>
      <w:r>
        <w:rPr>
          <w:rFonts w:hint="eastAsia"/>
        </w:rPr>
        <w:t>建设于建筑物屋面或地面的噪声自动监测点采用独立接闪杆作为防直击雷的措施，独立接闪杆与噪声自动监测电的安全距离不应小于3米；设置于墙面的噪声自动监测点宜采用接闪带加接闪短针作为防直击雷的措施。</w:t>
      </w:r>
    </w:p>
    <w:p>
      <w:pPr>
        <w:pStyle w:val="164"/>
      </w:pPr>
      <w:r>
        <w:rPr>
          <w:rFonts w:hint="eastAsia"/>
        </w:rPr>
        <w:t>接闪器的材料规格、结构、最小截面和安装方式等应符合G</w:t>
      </w:r>
      <w:r>
        <w:t>B 50057-2010</w:t>
      </w:r>
      <w:r>
        <w:rPr>
          <w:rFonts w:hint="eastAsia"/>
        </w:rPr>
        <w:t>中4</w:t>
      </w:r>
      <w:r>
        <w:t>.2.4</w:t>
      </w:r>
      <w:r>
        <w:rPr>
          <w:rFonts w:hint="eastAsia"/>
        </w:rPr>
        <w:t>、4</w:t>
      </w:r>
      <w:r>
        <w:t>.3.1</w:t>
      </w:r>
      <w:r>
        <w:rPr>
          <w:rFonts w:hint="eastAsia"/>
        </w:rPr>
        <w:t>、4</w:t>
      </w:r>
      <w:r>
        <w:t>.4.1</w:t>
      </w:r>
      <w:r>
        <w:rPr>
          <w:rFonts w:hint="eastAsia"/>
        </w:rPr>
        <w:t>及5</w:t>
      </w:r>
      <w:r>
        <w:t>.2</w:t>
      </w:r>
      <w:r>
        <w:rPr>
          <w:rFonts w:hint="eastAsia"/>
        </w:rPr>
        <w:t>的规定。</w:t>
      </w:r>
    </w:p>
    <w:p>
      <w:pPr>
        <w:pStyle w:val="65"/>
        <w:spacing w:before="156" w:after="156"/>
      </w:pPr>
      <w:r>
        <w:rPr>
          <w:rFonts w:hint="eastAsia"/>
        </w:rPr>
        <w:t>检测</w:t>
      </w:r>
    </w:p>
    <w:p>
      <w:pPr>
        <w:pStyle w:val="164"/>
      </w:pPr>
      <w:r>
        <w:rPr>
          <w:rFonts w:hint="eastAsia"/>
        </w:rPr>
        <w:t>检查被保护物是否在接闪杆的保护范围。</w:t>
      </w:r>
    </w:p>
    <w:p>
      <w:pPr>
        <w:pStyle w:val="164"/>
      </w:pPr>
      <w:r>
        <w:rPr>
          <w:rFonts w:hint="eastAsia"/>
        </w:rPr>
        <w:t>检查接闪杆、接闪带、接闪网及金属栏杆等与建筑物外部防雷装置连接情况。</w:t>
      </w:r>
    </w:p>
    <w:p>
      <w:pPr>
        <w:pStyle w:val="164"/>
      </w:pPr>
      <w:r>
        <w:rPr>
          <w:rFonts w:hint="eastAsia"/>
        </w:rPr>
        <w:t>检查接闪器安装位置是否正确，焊接固定的焊缝是否饱满无遗漏，检查螺栓固定的应备帽等防松零件是否齐全，焊接部分补刷的油漆是否完整，接闪器截面是否锈蚀1/3以上。检查接闪带是否闭合、平正顺直，固定可靠，固定支架间距和高度应符合 GB 50057—2010 中 5.2.6 的规定。</w:t>
      </w:r>
    </w:p>
    <w:p>
      <w:pPr>
        <w:pStyle w:val="164"/>
      </w:pPr>
      <w:r>
        <w:rPr>
          <w:rFonts w:hint="eastAsia"/>
        </w:rPr>
        <w:t>检查接闪器的材料、规格和尺寸是否符合G</w:t>
      </w:r>
      <w:r>
        <w:t>B50057-2010</w:t>
      </w:r>
      <w:r>
        <w:rPr>
          <w:rFonts w:hint="eastAsia"/>
        </w:rPr>
        <w:t>中第5章的规定。</w:t>
      </w:r>
    </w:p>
    <w:p>
      <w:pPr>
        <w:pStyle w:val="164"/>
      </w:pPr>
      <w:r>
        <w:rPr>
          <w:rFonts w:hint="eastAsia"/>
        </w:rPr>
        <w:t>接闪带在转角处应作造型弯曲，其夹角应大于 90°，弯曲半径不宜小于圆钢直径 10 倍、扁钢宽度的 6 倍。</w:t>
      </w:r>
    </w:p>
    <w:p>
      <w:pPr>
        <w:pStyle w:val="164"/>
      </w:pPr>
      <w:r>
        <w:rPr>
          <w:rFonts w:hint="eastAsia"/>
        </w:rPr>
        <w:t>检查接闪器上有无附着的其他电气线路。</w:t>
      </w:r>
    </w:p>
    <w:p>
      <w:pPr>
        <w:pStyle w:val="105"/>
        <w:spacing w:before="156" w:after="156"/>
      </w:pPr>
      <w:bookmarkStart w:id="87" w:name="_Toc153792878"/>
      <w:bookmarkStart w:id="88" w:name="_Toc153793006"/>
      <w:r>
        <w:rPr>
          <w:rFonts w:hint="eastAsia"/>
        </w:rPr>
        <w:t>引下线</w:t>
      </w:r>
      <w:bookmarkEnd w:id="87"/>
      <w:bookmarkEnd w:id="88"/>
    </w:p>
    <w:p>
      <w:pPr>
        <w:pStyle w:val="65"/>
        <w:spacing w:before="156" w:after="156"/>
      </w:pPr>
      <w:r>
        <w:rPr>
          <w:rFonts w:hint="eastAsia"/>
        </w:rPr>
        <w:t>要求</w:t>
      </w:r>
    </w:p>
    <w:p>
      <w:pPr>
        <w:pStyle w:val="164"/>
      </w:pPr>
      <w:r>
        <w:rPr>
          <w:rFonts w:hint="eastAsia"/>
        </w:rPr>
        <w:t>环境质量自动监测站应站房均匀对称布置不少于两根专用引下线，引下线的间距要求应符合表2的规定。</w:t>
      </w:r>
    </w:p>
    <w:p>
      <w:pPr>
        <w:pStyle w:val="112"/>
        <w:spacing w:before="156" w:after="156"/>
      </w:pPr>
      <w:r>
        <w:rPr>
          <w:rFonts w:hint="eastAsia"/>
        </w:rPr>
        <w:t>引下线的间距要求</w:t>
      </w:r>
    </w:p>
    <w:tbl>
      <w:tblPr>
        <w:tblStyle w:val="27"/>
        <w:tblW w:w="930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438"/>
        <w:gridCol w:w="48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1" w:hRule="atLeast"/>
          <w:tblHeader/>
          <w:jc w:val="center"/>
        </w:trPr>
        <w:tc>
          <w:tcPr>
            <w:tcW w:w="4438" w:type="dxa"/>
            <w:tcBorders>
              <w:top w:val="single" w:color="auto" w:sz="8" w:space="0"/>
              <w:bottom w:val="single" w:color="auto" w:sz="8" w:space="0"/>
            </w:tcBorders>
            <w:shd w:val="clear" w:color="auto" w:fill="auto"/>
            <w:vAlign w:val="center"/>
          </w:tcPr>
          <w:p>
            <w:pPr>
              <w:pStyle w:val="178"/>
            </w:pPr>
            <w:r>
              <w:rPr>
                <w:rFonts w:hint="eastAsia"/>
              </w:rPr>
              <w:t>防雷等级</w:t>
            </w:r>
          </w:p>
        </w:tc>
        <w:tc>
          <w:tcPr>
            <w:tcW w:w="4870" w:type="dxa"/>
            <w:tcBorders>
              <w:top w:val="single" w:color="auto" w:sz="8" w:space="0"/>
              <w:bottom w:val="single" w:color="auto" w:sz="8" w:space="0"/>
            </w:tcBorders>
            <w:shd w:val="clear" w:color="auto" w:fill="auto"/>
            <w:vAlign w:val="center"/>
          </w:tcPr>
          <w:p>
            <w:pPr>
              <w:pStyle w:val="178"/>
            </w:pPr>
            <w:r>
              <w:rPr>
                <w:rFonts w:hint="eastAsia"/>
              </w:rPr>
              <w:t>间距/</w:t>
            </w:r>
            <w:r>
              <w:t>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438" w:type="dxa"/>
            <w:tcBorders>
              <w:top w:val="single" w:color="auto" w:sz="8" w:space="0"/>
            </w:tcBorders>
            <w:shd w:val="clear" w:color="auto" w:fill="auto"/>
            <w:vAlign w:val="center"/>
          </w:tcPr>
          <w:p>
            <w:pPr>
              <w:pStyle w:val="178"/>
            </w:pPr>
            <w:r>
              <w:rPr>
                <w:rFonts w:hint="eastAsia"/>
              </w:rPr>
              <w:t>一级</w:t>
            </w:r>
          </w:p>
        </w:tc>
        <w:tc>
          <w:tcPr>
            <w:tcW w:w="4870" w:type="dxa"/>
            <w:tcBorders>
              <w:top w:val="single" w:color="auto" w:sz="8" w:space="0"/>
            </w:tcBorders>
            <w:shd w:val="clear" w:color="auto" w:fill="auto"/>
            <w:vAlign w:val="center"/>
          </w:tcPr>
          <w:p>
            <w:pPr>
              <w:pStyle w:val="178"/>
            </w:pPr>
            <w:r>
              <w:rPr>
                <w:rFonts w:hint="eastAsia"/>
              </w:rPr>
              <w:t>≤18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438" w:type="dxa"/>
            <w:shd w:val="clear" w:color="auto" w:fill="auto"/>
            <w:vAlign w:val="center"/>
          </w:tcPr>
          <w:p>
            <w:pPr>
              <w:pStyle w:val="178"/>
            </w:pPr>
            <w:r>
              <w:rPr>
                <w:rFonts w:hint="eastAsia"/>
              </w:rPr>
              <w:t>二级</w:t>
            </w:r>
          </w:p>
        </w:tc>
        <w:tc>
          <w:tcPr>
            <w:tcW w:w="4870" w:type="dxa"/>
            <w:shd w:val="clear" w:color="auto" w:fill="auto"/>
            <w:vAlign w:val="center"/>
          </w:tcPr>
          <w:p>
            <w:pPr>
              <w:pStyle w:val="178"/>
            </w:pPr>
            <w:r>
              <w:rPr>
                <w:rFonts w:hint="eastAsia"/>
              </w:rPr>
              <w:t>≤25</w:t>
            </w:r>
          </w:p>
        </w:tc>
      </w:tr>
    </w:tbl>
    <w:p>
      <w:pPr>
        <w:pStyle w:val="164"/>
      </w:pPr>
      <w:r>
        <w:rPr>
          <w:rFonts w:hint="eastAsia"/>
        </w:rPr>
        <w:t>建设于建筑物屋面的环境质量自动监测站宜采用建筑物的结构钢筋作为引下线。当无法利用建筑物的结构钢筋时，也可采用明敷引下线的方式。</w:t>
      </w:r>
    </w:p>
    <w:p>
      <w:pPr>
        <w:pStyle w:val="164"/>
      </w:pPr>
      <w:r>
        <w:rPr>
          <w:rFonts w:hint="eastAsia"/>
        </w:rPr>
        <w:t>单独建设的环境质量自动监测站可采用明敷引下线的方式。</w:t>
      </w:r>
    </w:p>
    <w:p>
      <w:pPr>
        <w:pStyle w:val="65"/>
        <w:spacing w:before="156" w:after="156"/>
      </w:pPr>
      <w:r>
        <w:rPr>
          <w:rFonts w:hint="eastAsia"/>
        </w:rPr>
        <w:t>检测</w:t>
      </w:r>
    </w:p>
    <w:p>
      <w:pPr>
        <w:pStyle w:val="164"/>
      </w:pPr>
      <w:r>
        <w:rPr>
          <w:rFonts w:hint="eastAsia"/>
        </w:rPr>
        <w:t xml:space="preserve">检测引下线的材料规格应符合 GB 50057—2010 中 5.2.6 的规定。 </w:t>
      </w:r>
    </w:p>
    <w:p>
      <w:pPr>
        <w:pStyle w:val="164"/>
      </w:pPr>
      <w:r>
        <w:rPr>
          <w:rFonts w:hint="eastAsia"/>
        </w:rPr>
        <w:t xml:space="preserve">检查引下线的外观是否规整、锈蚀情况、焊接处搭接长度，检查引下线与接闪器和接地体的电气连接情况。 </w:t>
      </w:r>
    </w:p>
    <w:p>
      <w:pPr>
        <w:pStyle w:val="164"/>
      </w:pPr>
      <w:r>
        <w:rPr>
          <w:rFonts w:hint="eastAsia"/>
        </w:rPr>
        <w:t xml:space="preserve">防接触电压措施应符合 GB 50057—2010 中 4.5.6 的规定。 </w:t>
      </w:r>
    </w:p>
    <w:p>
      <w:pPr>
        <w:pStyle w:val="164"/>
      </w:pPr>
      <w:r>
        <w:rPr>
          <w:rFonts w:hint="eastAsia"/>
        </w:rPr>
        <w:t xml:space="preserve">检查明敷引下线上不应附着电气线路。 </w:t>
      </w:r>
    </w:p>
    <w:p>
      <w:pPr>
        <w:pStyle w:val="105"/>
        <w:spacing w:before="156" w:after="156"/>
      </w:pPr>
      <w:bookmarkStart w:id="89" w:name="_Toc153792879"/>
      <w:bookmarkStart w:id="90" w:name="_Toc153793007"/>
      <w:r>
        <w:rPr>
          <w:rFonts w:hint="eastAsia"/>
        </w:rPr>
        <w:t>接地装置</w:t>
      </w:r>
      <w:bookmarkEnd w:id="89"/>
      <w:bookmarkEnd w:id="90"/>
    </w:p>
    <w:p>
      <w:pPr>
        <w:pStyle w:val="65"/>
        <w:spacing w:before="156" w:after="156"/>
      </w:pPr>
      <w:r>
        <w:rPr>
          <w:rFonts w:hint="eastAsia"/>
        </w:rPr>
        <w:t>要求</w:t>
      </w:r>
    </w:p>
    <w:p>
      <w:pPr>
        <w:pStyle w:val="164"/>
      </w:pPr>
      <w:r>
        <w:rPr>
          <w:rFonts w:hint="eastAsia"/>
        </w:rPr>
        <w:t>环境质量自动监测站的接地装置接地电阻应符合表3的规定。</w:t>
      </w:r>
    </w:p>
    <w:p>
      <w:pPr>
        <w:pStyle w:val="112"/>
        <w:spacing w:before="156" w:after="156"/>
      </w:pPr>
      <w:r>
        <w:rPr>
          <w:rFonts w:hint="eastAsia"/>
        </w:rPr>
        <w:t>环境质量自动监测站接地装置接地电阻的要求</w:t>
      </w:r>
    </w:p>
    <w:tbl>
      <w:tblPr>
        <w:tblStyle w:val="27"/>
        <w:tblW w:w="930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438"/>
        <w:gridCol w:w="48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1" w:hRule="atLeast"/>
          <w:tblHeader/>
          <w:jc w:val="center"/>
        </w:trPr>
        <w:tc>
          <w:tcPr>
            <w:tcW w:w="4438" w:type="dxa"/>
            <w:tcBorders>
              <w:top w:val="single" w:color="auto" w:sz="8" w:space="0"/>
              <w:bottom w:val="single" w:color="auto" w:sz="8" w:space="0"/>
            </w:tcBorders>
            <w:shd w:val="clear" w:color="auto" w:fill="auto"/>
            <w:vAlign w:val="center"/>
          </w:tcPr>
          <w:p>
            <w:pPr>
              <w:pStyle w:val="178"/>
            </w:pPr>
            <w:r>
              <w:rPr>
                <w:rFonts w:hint="eastAsia"/>
              </w:rPr>
              <w:t>防雷等级</w:t>
            </w:r>
          </w:p>
        </w:tc>
        <w:tc>
          <w:tcPr>
            <w:tcW w:w="4870" w:type="dxa"/>
            <w:tcBorders>
              <w:top w:val="single" w:color="auto" w:sz="8" w:space="0"/>
              <w:bottom w:val="single" w:color="auto" w:sz="8" w:space="0"/>
            </w:tcBorders>
            <w:shd w:val="clear" w:color="auto" w:fill="auto"/>
            <w:vAlign w:val="center"/>
          </w:tcPr>
          <w:p>
            <w:pPr>
              <w:pStyle w:val="178"/>
            </w:pPr>
            <w:r>
              <w:rPr>
                <w:rFonts w:hint="eastAsia"/>
              </w:rPr>
              <w:t>电阻/Ω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438" w:type="dxa"/>
            <w:tcBorders>
              <w:top w:val="single" w:color="auto" w:sz="8" w:space="0"/>
            </w:tcBorders>
            <w:shd w:val="clear" w:color="auto" w:fill="auto"/>
            <w:vAlign w:val="center"/>
          </w:tcPr>
          <w:p>
            <w:pPr>
              <w:pStyle w:val="178"/>
            </w:pPr>
            <w:r>
              <w:rPr>
                <w:rFonts w:hint="eastAsia"/>
              </w:rPr>
              <w:t>一级</w:t>
            </w:r>
          </w:p>
        </w:tc>
        <w:tc>
          <w:tcPr>
            <w:tcW w:w="4870" w:type="dxa"/>
            <w:tcBorders>
              <w:top w:val="single" w:color="auto" w:sz="8" w:space="0"/>
            </w:tcBorders>
            <w:shd w:val="clear" w:color="auto" w:fill="auto"/>
            <w:vAlign w:val="center"/>
          </w:tcPr>
          <w:p>
            <w:pPr>
              <w:pStyle w:val="178"/>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438" w:type="dxa"/>
            <w:shd w:val="clear" w:color="auto" w:fill="auto"/>
            <w:vAlign w:val="center"/>
          </w:tcPr>
          <w:p>
            <w:pPr>
              <w:pStyle w:val="178"/>
            </w:pPr>
            <w:r>
              <w:rPr>
                <w:rFonts w:hint="eastAsia"/>
              </w:rPr>
              <w:t>二级</w:t>
            </w:r>
          </w:p>
        </w:tc>
        <w:tc>
          <w:tcPr>
            <w:tcW w:w="4870" w:type="dxa"/>
            <w:shd w:val="clear" w:color="auto" w:fill="auto"/>
            <w:vAlign w:val="center"/>
          </w:tcPr>
          <w:p>
            <w:pPr>
              <w:pStyle w:val="178"/>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08" w:type="dxa"/>
            <w:gridSpan w:val="2"/>
            <w:shd w:val="clear" w:color="auto" w:fill="auto"/>
            <w:vAlign w:val="center"/>
          </w:tcPr>
          <w:p>
            <w:pPr>
              <w:pStyle w:val="178"/>
              <w:ind w:firstLine="300" w:firstLineChars="200"/>
              <w:jc w:val="left"/>
              <w:rPr>
                <w:sz w:val="15"/>
                <w:szCs w:val="15"/>
              </w:rPr>
            </w:pPr>
            <w:r>
              <w:rPr>
                <w:rFonts w:hint="eastAsia"/>
                <w:sz w:val="15"/>
                <w:szCs w:val="15"/>
              </w:rPr>
              <w:t>注1：独立接闪杆的接地电阻不应大于10</w:t>
            </w:r>
            <w:r>
              <w:rPr>
                <w:rFonts w:hint="eastAsia"/>
              </w:rPr>
              <w:t>Ω</w:t>
            </w:r>
            <w:r>
              <w:rPr>
                <w:rFonts w:hint="eastAsia"/>
                <w:sz w:val="15"/>
                <w:szCs w:val="15"/>
              </w:rPr>
              <w:t>。</w:t>
            </w:r>
          </w:p>
          <w:p>
            <w:pPr>
              <w:pStyle w:val="178"/>
              <w:jc w:val="left"/>
              <w:rPr>
                <w:sz w:val="15"/>
                <w:szCs w:val="15"/>
              </w:rPr>
            </w:pPr>
            <w:r>
              <w:rPr>
                <w:rFonts w:hint="eastAsia"/>
                <w:sz w:val="15"/>
                <w:szCs w:val="15"/>
              </w:rPr>
              <w:t xml:space="preserve">    注2：采用共用接地时，接地电阻值应以最小值为准。</w:t>
            </w:r>
          </w:p>
          <w:p>
            <w:pPr>
              <w:pStyle w:val="178"/>
              <w:jc w:val="left"/>
              <w:rPr>
                <w:sz w:val="15"/>
                <w:szCs w:val="15"/>
              </w:rPr>
            </w:pPr>
            <w:r>
              <w:rPr>
                <w:rFonts w:hint="eastAsia"/>
                <w:sz w:val="15"/>
                <w:szCs w:val="15"/>
              </w:rPr>
              <w:t xml:space="preserve">    注3：当土壤电阻率&gt;1000Ω·m时，可适当放宽接地电阻的要求。</w:t>
            </w:r>
          </w:p>
        </w:tc>
      </w:tr>
    </w:tbl>
    <w:p>
      <w:pPr>
        <w:pStyle w:val="164"/>
      </w:pPr>
      <w:r>
        <w:rPr>
          <w:rFonts w:hint="eastAsia"/>
        </w:rPr>
        <w:t>环境质量自动监测站的接地电阻宜利用建筑物本身的自然接地体，当自然接地体无法满足要求时，应敷设人工接地体以进一步降低接地电阻。当与建筑物内的设备共用接地体时，接地电阻应以最小值为准。</w:t>
      </w:r>
    </w:p>
    <w:p>
      <w:pPr>
        <w:pStyle w:val="164"/>
      </w:pPr>
      <w:r>
        <w:rPr>
          <w:rFonts w:hint="eastAsia"/>
        </w:rPr>
        <w:t>人工接地体的材料、埋设深度和间距等要求应符合GB 50057—2010 中5.4.1~5.4.7的规定。</w:t>
      </w:r>
    </w:p>
    <w:p>
      <w:pPr>
        <w:pStyle w:val="164"/>
      </w:pPr>
      <w:r>
        <w:rPr>
          <w:rFonts w:hint="eastAsia"/>
        </w:rPr>
        <w:t>设置于水中浮标的地表水监测站宜采用独立铜板与多芯软线相连，铜板大小应以多芯软线稳定铅锤水面为宜，且应尽量远离水中监测仪器。</w:t>
      </w:r>
    </w:p>
    <w:p>
      <w:pPr>
        <w:pStyle w:val="164"/>
      </w:pPr>
      <w:r>
        <w:rPr>
          <w:rFonts w:hint="eastAsia"/>
        </w:rPr>
        <w:t>在高土壤电阻率的环境自动监测站降低接地电阻可采用向外延伸接地极、使用降阻剂、换土等形式进一步降低接地电阻。</w:t>
      </w:r>
    </w:p>
    <w:p>
      <w:pPr>
        <w:pStyle w:val="65"/>
        <w:spacing w:before="156" w:after="156"/>
      </w:pPr>
      <w:r>
        <w:rPr>
          <w:rFonts w:hint="eastAsia"/>
        </w:rPr>
        <w:t>检测</w:t>
      </w:r>
    </w:p>
    <w:p>
      <w:pPr>
        <w:pStyle w:val="164"/>
      </w:pPr>
      <w:r>
        <w:rPr>
          <w:rFonts w:hint="eastAsia"/>
        </w:rPr>
        <w:t>检查接地装置共用情况。</w:t>
      </w:r>
    </w:p>
    <w:p>
      <w:pPr>
        <w:pStyle w:val="164"/>
      </w:pPr>
      <w:r>
        <w:rPr>
          <w:rFonts w:hint="eastAsia"/>
        </w:rPr>
        <w:t>确定建筑物接地装置类型，校核人工接地体的接地有效面积；检查接地装置的埋设深度、材质、连接方法和防腐措施；查看人工接地装置防跨步电压是否符合GB50057-2010中4.5.6的规定。</w:t>
      </w:r>
    </w:p>
    <w:p>
      <w:pPr>
        <w:pStyle w:val="164"/>
      </w:pPr>
      <w:r>
        <w:rPr>
          <w:rFonts w:hint="eastAsia"/>
        </w:rPr>
        <w:t xml:space="preserve">查看接地装置是否遭到损坏。 </w:t>
      </w:r>
    </w:p>
    <w:p>
      <w:pPr>
        <w:pStyle w:val="164"/>
      </w:pPr>
      <w:r>
        <w:rPr>
          <w:rFonts w:hint="eastAsia"/>
        </w:rPr>
        <w:t>检测接地电阻是否符合表3的规定。</w:t>
      </w:r>
    </w:p>
    <w:p>
      <w:pPr>
        <w:pStyle w:val="105"/>
        <w:spacing w:before="156" w:after="156"/>
      </w:pPr>
      <w:bookmarkStart w:id="91" w:name="_Toc153792880"/>
      <w:bookmarkStart w:id="92" w:name="_Toc153793008"/>
      <w:r>
        <w:rPr>
          <w:rFonts w:hint="eastAsia"/>
        </w:rPr>
        <w:t>等电位连接</w:t>
      </w:r>
      <w:bookmarkEnd w:id="91"/>
      <w:bookmarkEnd w:id="92"/>
    </w:p>
    <w:p>
      <w:pPr>
        <w:pStyle w:val="65"/>
        <w:spacing w:before="156" w:after="156"/>
      </w:pPr>
      <w:r>
        <w:rPr>
          <w:rFonts w:hint="eastAsia"/>
        </w:rPr>
        <w:t>要求</w:t>
      </w:r>
    </w:p>
    <w:p>
      <w:pPr>
        <w:pStyle w:val="164"/>
      </w:pPr>
      <w:r>
        <w:rPr>
          <w:rFonts w:hint="eastAsia"/>
        </w:rPr>
        <w:t>环境质量自动监测站房宜采用M型等电位连接。</w:t>
      </w:r>
    </w:p>
    <w:p>
      <w:pPr>
        <w:pStyle w:val="164"/>
      </w:pPr>
      <w:r>
        <w:rPr>
          <w:rFonts w:hint="eastAsia"/>
        </w:rPr>
        <w:t>等电位连接导体的最小截面积应符合GB 50057-2010中表5.1.2中的要求。</w:t>
      </w:r>
    </w:p>
    <w:p>
      <w:pPr>
        <w:pStyle w:val="164"/>
      </w:pPr>
      <w:r>
        <w:rPr>
          <w:rFonts w:hint="eastAsia"/>
        </w:rPr>
        <w:t>环境质量自动监测站的总等电位接地端子应设在LPZ0区与LPZ1区的交界处，站房内的各金属设备外壳、机架、线缆金属屏蔽层、光缆金属加强筋、线槽、桥架等其他金属体应与等电位连接网络连接。</w:t>
      </w:r>
    </w:p>
    <w:p>
      <w:pPr>
        <w:pStyle w:val="164"/>
      </w:pPr>
      <w:r>
        <w:rPr>
          <w:rFonts w:hint="eastAsia"/>
        </w:rPr>
        <w:t>各连接处过渡电阻值不应大于0.2Ω。</w:t>
      </w:r>
    </w:p>
    <w:p>
      <w:pPr>
        <w:pStyle w:val="164"/>
      </w:pPr>
      <w:r>
        <w:rPr>
          <w:rFonts w:hint="eastAsia"/>
        </w:rPr>
        <w:t>当建筑物墙体采用彩钢保温层时，内外墙体的金属板应与等电位网络连接。</w:t>
      </w:r>
    </w:p>
    <w:p>
      <w:pPr>
        <w:pStyle w:val="65"/>
        <w:spacing w:before="156" w:after="156"/>
      </w:pPr>
      <w:r>
        <w:rPr>
          <w:rFonts w:hint="eastAsia"/>
        </w:rPr>
        <w:t>检测</w:t>
      </w:r>
    </w:p>
    <w:p>
      <w:pPr>
        <w:pStyle w:val="164"/>
      </w:pPr>
      <w:r>
        <w:rPr>
          <w:rFonts w:hint="eastAsia"/>
        </w:rPr>
        <w:t>检查等电位连接网络类型、材料规格、安装位置，并测量总等电位接地端子接地电阻值。</w:t>
      </w:r>
    </w:p>
    <w:p>
      <w:pPr>
        <w:pStyle w:val="164"/>
      </w:pPr>
      <w:r>
        <w:rPr>
          <w:rFonts w:hint="eastAsia"/>
        </w:rPr>
        <w:t>检测各连接处过渡电阻值是否符合5.5.1.4的规定。</w:t>
      </w:r>
    </w:p>
    <w:p>
      <w:pPr>
        <w:pStyle w:val="105"/>
        <w:spacing w:before="156" w:after="156"/>
      </w:pPr>
      <w:bookmarkStart w:id="93" w:name="_Toc153793009"/>
      <w:bookmarkStart w:id="94" w:name="_Toc153792881"/>
      <w:r>
        <w:rPr>
          <w:rFonts w:hint="eastAsia"/>
        </w:rPr>
        <w:t>浪涌保护器</w:t>
      </w:r>
      <w:bookmarkEnd w:id="93"/>
      <w:bookmarkEnd w:id="94"/>
    </w:p>
    <w:p>
      <w:pPr>
        <w:pStyle w:val="65"/>
        <w:spacing w:before="156" w:after="156"/>
      </w:pPr>
      <w:r>
        <w:rPr>
          <w:rFonts w:hint="eastAsia"/>
        </w:rPr>
        <w:t>要求</w:t>
      </w:r>
    </w:p>
    <w:p>
      <w:pPr>
        <w:pStyle w:val="164"/>
      </w:pPr>
      <w:r>
        <w:rPr>
          <w:rFonts w:hint="eastAsia"/>
        </w:rPr>
        <w:t>环境质量自动监测站安装1-3级浪涌保护器进行防雷保护，浪涌保护器其有效保护水平应小于该防雷区内被保护设备的耐压水平。</w:t>
      </w:r>
    </w:p>
    <w:p>
      <w:pPr>
        <w:pStyle w:val="164"/>
      </w:pPr>
      <w:r>
        <w:rPr>
          <w:rFonts w:hint="eastAsia"/>
        </w:rPr>
        <w:t>环境质量自动监测站中电源SPD的标称放电电流参数（I</w:t>
      </w:r>
      <w:r>
        <w:rPr>
          <w:rFonts w:hint="eastAsia"/>
          <w:vertAlign w:val="subscript"/>
        </w:rPr>
        <w:t>n</w:t>
      </w:r>
      <w:r>
        <w:rPr>
          <w:rFonts w:hint="eastAsia"/>
        </w:rPr>
        <w:t>）宜符合表4的规定。</w:t>
      </w:r>
      <w:bookmarkStart w:id="117" w:name="_GoBack"/>
      <w:bookmarkEnd w:id="117"/>
    </w:p>
    <w:p>
      <w:pPr>
        <w:pStyle w:val="112"/>
        <w:spacing w:before="156" w:after="156"/>
      </w:pPr>
      <w:r>
        <w:rPr>
          <w:rFonts w:hint="eastAsia"/>
          <w:lang w:val="en-US" w:eastAsia="zh-CN"/>
        </w:rPr>
        <w:t>浪涌保护器</w:t>
      </w:r>
      <w:r>
        <w:rPr>
          <w:rFonts w:hint="eastAsia"/>
        </w:rPr>
        <w:t>I</w:t>
      </w:r>
      <w:r>
        <w:rPr>
          <w:rFonts w:hint="eastAsia"/>
          <w:vertAlign w:val="subscript"/>
        </w:rPr>
        <w:t>n</w:t>
      </w:r>
      <w:r>
        <w:rPr>
          <w:rFonts w:hint="eastAsia"/>
          <w:vertAlign w:val="baseline"/>
          <w:lang w:val="en-US" w:eastAsia="zh-CN"/>
        </w:rPr>
        <w:t>的选择值</w:t>
      </w:r>
    </w:p>
    <w:tbl>
      <w:tblPr>
        <w:tblStyle w:val="27"/>
        <w:tblW w:w="93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8"/>
        <w:gridCol w:w="2338"/>
        <w:gridCol w:w="2338"/>
        <w:gridCol w:w="23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8" w:type="dxa"/>
            <w:vMerge w:val="restart"/>
            <w:tcBorders>
              <w:top w:val="single" w:color="auto" w:sz="8" w:space="0"/>
            </w:tcBorders>
            <w:shd w:val="clear" w:color="auto" w:fill="auto"/>
            <w:vAlign w:val="center"/>
          </w:tcPr>
          <w:p>
            <w:pPr>
              <w:pStyle w:val="178"/>
            </w:pPr>
            <w:r>
              <w:rPr>
                <w:rFonts w:hint="eastAsia"/>
              </w:rPr>
              <w:t>防雷等级</w:t>
            </w:r>
          </w:p>
        </w:tc>
        <w:tc>
          <w:tcPr>
            <w:tcW w:w="2338" w:type="dxa"/>
            <w:tcBorders>
              <w:top w:val="single" w:color="auto" w:sz="8" w:space="0"/>
              <w:bottom w:val="single" w:color="auto" w:sz="8" w:space="0"/>
            </w:tcBorders>
            <w:shd w:val="clear" w:color="auto" w:fill="auto"/>
            <w:vAlign w:val="center"/>
          </w:tcPr>
          <w:p>
            <w:pPr>
              <w:pStyle w:val="178"/>
            </w:pPr>
            <w:r>
              <w:rPr>
                <w:rFonts w:hint="eastAsia"/>
              </w:rPr>
              <w:t>LPZ0与LPZ1边界</w:t>
            </w:r>
          </w:p>
        </w:tc>
        <w:tc>
          <w:tcPr>
            <w:tcW w:w="2338" w:type="dxa"/>
            <w:tcBorders>
              <w:top w:val="single" w:color="auto" w:sz="8" w:space="0"/>
              <w:bottom w:val="single" w:color="auto" w:sz="8" w:space="0"/>
            </w:tcBorders>
            <w:shd w:val="clear" w:color="auto" w:fill="auto"/>
            <w:vAlign w:val="center"/>
          </w:tcPr>
          <w:p>
            <w:pPr>
              <w:pStyle w:val="178"/>
            </w:pPr>
            <w:r>
              <w:rPr>
                <w:rFonts w:hint="eastAsia"/>
              </w:rPr>
              <w:t>后续防护区的边界</w:t>
            </w:r>
          </w:p>
        </w:tc>
        <w:tc>
          <w:tcPr>
            <w:tcW w:w="2338" w:type="dxa"/>
            <w:tcBorders>
              <w:top w:val="single" w:color="auto" w:sz="8" w:space="0"/>
              <w:bottom w:val="single" w:color="auto" w:sz="8" w:space="0"/>
            </w:tcBorders>
            <w:shd w:val="clear" w:color="auto" w:fill="auto"/>
            <w:vAlign w:val="center"/>
          </w:tcPr>
          <w:p>
            <w:pPr>
              <w:pStyle w:val="178"/>
            </w:pPr>
            <w:r>
              <w:rPr>
                <w:rFonts w:hint="eastAsia"/>
              </w:rPr>
              <w:t>特殊重要的设备电源接口处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8" w:type="dxa"/>
            <w:vMerge w:val="continue"/>
            <w:shd w:val="clear" w:color="auto" w:fill="auto"/>
            <w:vAlign w:val="center"/>
          </w:tcPr>
          <w:p>
            <w:pPr>
              <w:pStyle w:val="178"/>
            </w:pPr>
          </w:p>
        </w:tc>
        <w:tc>
          <w:tcPr>
            <w:tcW w:w="2338" w:type="dxa"/>
            <w:tcBorders>
              <w:top w:val="single" w:color="auto" w:sz="8" w:space="0"/>
            </w:tcBorders>
            <w:shd w:val="clear" w:color="auto" w:fill="auto"/>
            <w:vAlign w:val="center"/>
          </w:tcPr>
          <w:p>
            <w:pPr>
              <w:pStyle w:val="178"/>
              <w:rPr>
                <w:rFonts w:hAnsi="宋体" w:cs="宋体"/>
              </w:rPr>
            </w:pPr>
            <w:r>
              <w:rPr>
                <w:rFonts w:hint="eastAsia" w:hAnsi="宋体" w:cs="宋体"/>
              </w:rPr>
              <w:t>Ⅱ级试验</w:t>
            </w:r>
          </w:p>
        </w:tc>
        <w:tc>
          <w:tcPr>
            <w:tcW w:w="2338" w:type="dxa"/>
            <w:tcBorders>
              <w:top w:val="single" w:color="auto" w:sz="8" w:space="0"/>
            </w:tcBorders>
            <w:shd w:val="clear" w:color="auto" w:fill="auto"/>
            <w:vAlign w:val="center"/>
          </w:tcPr>
          <w:p>
            <w:pPr>
              <w:pStyle w:val="178"/>
              <w:rPr>
                <w:rFonts w:eastAsiaTheme="minorEastAsia"/>
              </w:rPr>
            </w:pPr>
            <w:r>
              <w:rPr>
                <w:rFonts w:hint="eastAsia" w:hAnsi="宋体" w:cs="宋体"/>
              </w:rPr>
              <w:t>Ⅱ级试验</w:t>
            </w:r>
          </w:p>
        </w:tc>
        <w:tc>
          <w:tcPr>
            <w:tcW w:w="2338" w:type="dxa"/>
            <w:tcBorders>
              <w:top w:val="single" w:color="auto" w:sz="8" w:space="0"/>
            </w:tcBorders>
            <w:shd w:val="clear" w:color="auto" w:fill="auto"/>
            <w:vAlign w:val="center"/>
          </w:tcPr>
          <w:p>
            <w:pPr>
              <w:pStyle w:val="178"/>
            </w:pPr>
            <w:r>
              <w:rPr>
                <w:rFonts w:hint="eastAsia" w:hAnsi="宋体" w:cs="宋体"/>
              </w:rPr>
              <w:t>Ⅱ级试验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8" w:type="dxa"/>
            <w:vMerge w:val="continue"/>
            <w:shd w:val="clear" w:color="auto" w:fill="auto"/>
            <w:vAlign w:val="center"/>
          </w:tcPr>
          <w:p>
            <w:pPr>
              <w:pStyle w:val="178"/>
            </w:pPr>
          </w:p>
        </w:tc>
        <w:tc>
          <w:tcPr>
            <w:tcW w:w="2338" w:type="dxa"/>
            <w:shd w:val="clear" w:color="auto" w:fill="auto"/>
            <w:vAlign w:val="center"/>
          </w:tcPr>
          <w:p>
            <w:pPr>
              <w:pStyle w:val="178"/>
            </w:pPr>
            <w:r>
              <w:rPr>
                <w:rFonts w:hint="eastAsia"/>
              </w:rPr>
              <w:t>I</w:t>
            </w:r>
            <w:r>
              <w:rPr>
                <w:rFonts w:hint="eastAsia"/>
                <w:vertAlign w:val="subscript"/>
              </w:rPr>
              <w:t>n</w:t>
            </w:r>
            <w:r>
              <w:rPr>
                <w:rFonts w:hint="eastAsia"/>
              </w:rPr>
              <w:t>/kA</w:t>
            </w:r>
          </w:p>
        </w:tc>
        <w:tc>
          <w:tcPr>
            <w:tcW w:w="2338" w:type="dxa"/>
            <w:shd w:val="clear" w:color="auto" w:fill="auto"/>
            <w:vAlign w:val="center"/>
          </w:tcPr>
          <w:p>
            <w:pPr>
              <w:pStyle w:val="178"/>
            </w:pPr>
            <w:r>
              <w:rPr>
                <w:rFonts w:hint="eastAsia"/>
              </w:rPr>
              <w:t>I</w:t>
            </w:r>
            <w:r>
              <w:rPr>
                <w:rFonts w:hint="eastAsia"/>
                <w:vertAlign w:val="subscript"/>
              </w:rPr>
              <w:t>n</w:t>
            </w:r>
            <w:r>
              <w:rPr>
                <w:rFonts w:hint="eastAsia"/>
              </w:rPr>
              <w:t>/kA</w:t>
            </w:r>
          </w:p>
        </w:tc>
        <w:tc>
          <w:tcPr>
            <w:tcW w:w="2338" w:type="dxa"/>
            <w:shd w:val="clear" w:color="auto" w:fill="auto"/>
            <w:vAlign w:val="center"/>
          </w:tcPr>
          <w:p>
            <w:pPr>
              <w:pStyle w:val="178"/>
            </w:pPr>
            <w:r>
              <w:rPr>
                <w:rFonts w:hint="eastAsia"/>
              </w:rPr>
              <w:t>I</w:t>
            </w:r>
            <w:r>
              <w:rPr>
                <w:rFonts w:hint="eastAsia"/>
                <w:vertAlign w:val="subscript"/>
              </w:rPr>
              <w:t>n</w:t>
            </w:r>
            <w:r>
              <w:rPr>
                <w:rFonts w:hint="eastAsia"/>
              </w:rPr>
              <w:t>/kA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8" w:type="dxa"/>
            <w:shd w:val="clear" w:color="auto" w:fill="auto"/>
            <w:vAlign w:val="center"/>
          </w:tcPr>
          <w:p>
            <w:pPr>
              <w:pStyle w:val="178"/>
            </w:pPr>
            <w:r>
              <w:rPr>
                <w:rFonts w:hint="eastAsia"/>
              </w:rPr>
              <w:t>一级</w:t>
            </w:r>
          </w:p>
        </w:tc>
        <w:tc>
          <w:tcPr>
            <w:tcW w:w="2338" w:type="dxa"/>
            <w:shd w:val="clear" w:color="auto" w:fill="auto"/>
            <w:vAlign w:val="center"/>
          </w:tcPr>
          <w:p>
            <w:pPr>
              <w:pStyle w:val="178"/>
            </w:pPr>
            <w:r>
              <w:rPr>
                <w:rFonts w:ascii="Arial" w:hAnsi="Arial" w:cs="Arial"/>
              </w:rPr>
              <w:t>≥</w:t>
            </w:r>
            <w:r>
              <w:rPr>
                <w:rFonts w:hint="eastAsia"/>
              </w:rPr>
              <w:t>80</w:t>
            </w:r>
          </w:p>
        </w:tc>
        <w:tc>
          <w:tcPr>
            <w:tcW w:w="2338" w:type="dxa"/>
            <w:shd w:val="clear" w:color="auto" w:fill="auto"/>
            <w:vAlign w:val="center"/>
          </w:tcPr>
          <w:p>
            <w:pPr>
              <w:pStyle w:val="178"/>
            </w:pPr>
            <w:r>
              <w:rPr>
                <w:rFonts w:ascii="Arial" w:hAnsi="Arial" w:cs="Arial"/>
              </w:rPr>
              <w:t>≥</w:t>
            </w:r>
            <w:r>
              <w:rPr>
                <w:rFonts w:hint="eastAsia"/>
              </w:rPr>
              <w:t>40</w:t>
            </w:r>
          </w:p>
        </w:tc>
        <w:tc>
          <w:tcPr>
            <w:tcW w:w="2338" w:type="dxa"/>
            <w:shd w:val="clear" w:color="auto" w:fill="auto"/>
            <w:vAlign w:val="center"/>
          </w:tcPr>
          <w:p>
            <w:pPr>
              <w:pStyle w:val="178"/>
            </w:pPr>
            <w:r>
              <w:rPr>
                <w:rFonts w:ascii="Arial" w:hAnsi="Arial" w:cs="Arial"/>
              </w:rPr>
              <w:t>≥</w:t>
            </w: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8" w:type="dxa"/>
            <w:shd w:val="clear" w:color="auto" w:fill="auto"/>
            <w:vAlign w:val="center"/>
          </w:tcPr>
          <w:p>
            <w:pPr>
              <w:pStyle w:val="178"/>
            </w:pPr>
            <w:r>
              <w:rPr>
                <w:rFonts w:hint="eastAsia"/>
              </w:rPr>
              <w:t>二级</w:t>
            </w:r>
          </w:p>
        </w:tc>
        <w:tc>
          <w:tcPr>
            <w:tcW w:w="2338" w:type="dxa"/>
            <w:shd w:val="clear" w:color="auto" w:fill="auto"/>
            <w:vAlign w:val="center"/>
          </w:tcPr>
          <w:p>
            <w:pPr>
              <w:pStyle w:val="178"/>
            </w:pPr>
            <w:r>
              <w:rPr>
                <w:rFonts w:ascii="Arial" w:hAnsi="Arial" w:cs="Arial"/>
              </w:rPr>
              <w:t>≥</w:t>
            </w:r>
            <w:r>
              <w:rPr>
                <w:rFonts w:hint="eastAsia"/>
              </w:rPr>
              <w:t>60</w:t>
            </w:r>
          </w:p>
        </w:tc>
        <w:tc>
          <w:tcPr>
            <w:tcW w:w="2338" w:type="dxa"/>
            <w:shd w:val="clear" w:color="auto" w:fill="auto"/>
            <w:vAlign w:val="center"/>
          </w:tcPr>
          <w:p>
            <w:pPr>
              <w:pStyle w:val="178"/>
            </w:pPr>
            <w:r>
              <w:rPr>
                <w:rFonts w:ascii="Arial" w:hAnsi="Arial" w:cs="Arial"/>
              </w:rPr>
              <w:t>≥</w:t>
            </w:r>
            <w:r>
              <w:rPr>
                <w:rFonts w:hint="eastAsia" w:ascii="Arial" w:hAnsi="Arial" w:cs="Arial"/>
              </w:rPr>
              <w:t>20</w:t>
            </w:r>
          </w:p>
        </w:tc>
        <w:tc>
          <w:tcPr>
            <w:tcW w:w="2338" w:type="dxa"/>
            <w:shd w:val="clear" w:color="auto" w:fill="auto"/>
            <w:vAlign w:val="center"/>
          </w:tcPr>
          <w:p>
            <w:pPr>
              <w:pStyle w:val="178"/>
            </w:pPr>
            <w:r>
              <w:rPr>
                <w:rFonts w:ascii="Arial" w:hAnsi="Arial" w:cs="Arial"/>
              </w:rPr>
              <w:t>≥</w:t>
            </w:r>
            <w:r>
              <w:rPr>
                <w:rFonts w:hint="eastAsia" w:ascii="Arial" w:hAnsi="Arial" w:cs="Arial"/>
              </w:rPr>
              <w:t>5</w:t>
            </w:r>
          </w:p>
        </w:tc>
      </w:tr>
    </w:tbl>
    <w:p>
      <w:pPr>
        <w:pStyle w:val="164"/>
      </w:pPr>
      <w:r>
        <w:rPr>
          <w:rFonts w:hint="eastAsia"/>
        </w:rPr>
        <w:t>进入环境质量自动监测站的各类信号线均应在终端处线间或对地加装信号浪涌保护器。</w:t>
      </w:r>
    </w:p>
    <w:p>
      <w:pPr>
        <w:pStyle w:val="164"/>
      </w:pPr>
      <w:r>
        <w:rPr>
          <w:rFonts w:hint="eastAsia"/>
        </w:rPr>
        <w:t>各类设备的信号浪涌保护器应根据被保护设备的工作频率、输出功率、接口形式等要求进行选择，最大持续工作电压U</w:t>
      </w:r>
      <w:r>
        <w:rPr>
          <w:rFonts w:hint="eastAsia"/>
          <w:vertAlign w:val="subscript"/>
        </w:rPr>
        <w:t>C</w:t>
      </w:r>
      <w:r>
        <w:rPr>
          <w:rFonts w:hint="eastAsia"/>
        </w:rPr>
        <w:t>应大于设备工作电压的1.2倍，且插入损耗不应大于0.5dB。</w:t>
      </w:r>
    </w:p>
    <w:p>
      <w:pPr>
        <w:pStyle w:val="65"/>
        <w:spacing w:before="156" w:after="156"/>
      </w:pPr>
      <w:r>
        <w:rPr>
          <w:rFonts w:hint="eastAsia"/>
        </w:rPr>
        <w:t>检测</w:t>
      </w:r>
    </w:p>
    <w:p>
      <w:pPr>
        <w:pStyle w:val="164"/>
      </w:pPr>
      <w:r>
        <w:rPr>
          <w:rFonts w:hint="eastAsia"/>
        </w:rPr>
        <w:t>检查并记录各级SPD的安装位置，安装数量、型号、主要性能参数和安装工艺。</w:t>
      </w:r>
    </w:p>
    <w:p>
      <w:pPr>
        <w:pStyle w:val="164"/>
      </w:pPr>
      <w:r>
        <w:rPr>
          <w:rFonts w:hint="eastAsia"/>
        </w:rPr>
        <w:t>对SPD进行外观检查，SPD的表面应平整、光洁、无划痕、无裂痕和烧灼痕或变形。SPD的标志应完整和清晰。</w:t>
      </w:r>
    </w:p>
    <w:p>
      <w:pPr>
        <w:pStyle w:val="164"/>
      </w:pPr>
      <w:r>
        <w:rPr>
          <w:rFonts w:hint="eastAsia"/>
        </w:rPr>
        <w:t>检查多级SPD之间的距离是否符合GB 21431-2015第5.8.2.5条的规定。</w:t>
      </w:r>
    </w:p>
    <w:p>
      <w:pPr>
        <w:pStyle w:val="164"/>
      </w:pPr>
      <w:r>
        <w:rPr>
          <w:rFonts w:hint="eastAsia"/>
        </w:rPr>
        <w:t>检查SPD两端引线的长度是否符合GB 21431-2015第5.8.1.8条的规定。</w:t>
      </w:r>
    </w:p>
    <w:p>
      <w:pPr>
        <w:pStyle w:val="164"/>
      </w:pPr>
      <w:r>
        <w:rPr>
          <w:rFonts w:hint="eastAsia"/>
        </w:rPr>
        <w:t>检查SPD是否具有状态指示器，如有，则需确认状态指示与生产厂说明相一致。</w:t>
      </w:r>
    </w:p>
    <w:p>
      <w:pPr>
        <w:pStyle w:val="164"/>
      </w:pPr>
      <w:r>
        <w:rPr>
          <w:rFonts w:hint="eastAsia"/>
        </w:rPr>
        <w:t>检查安装在电路上的SPD限压型原件前端是否有脱离器。如SPD无内置脱离器，则检查是否有过电流保护器，检查安装的过电流保护器是否符合GB 21431-2015第5.8.2.6条的规定。</w:t>
      </w:r>
    </w:p>
    <w:p>
      <w:pPr>
        <w:pStyle w:val="164"/>
      </w:pPr>
      <w:r>
        <w:rPr>
          <w:rFonts w:hint="eastAsia"/>
        </w:rPr>
        <w:t>检查安装在配电系统中的SPD的Uc值是否符合GB 21431-2015表4的规定。</w:t>
      </w:r>
    </w:p>
    <w:p>
      <w:pPr>
        <w:pStyle w:val="164"/>
      </w:pPr>
      <w:r>
        <w:rPr>
          <w:rFonts w:hint="eastAsia"/>
        </w:rPr>
        <w:t>检查安装在信号系统中的SPD的Uc值是否符合GB 21431-2015表6的规定。</w:t>
      </w:r>
    </w:p>
    <w:p>
      <w:pPr>
        <w:pStyle w:val="164"/>
      </w:pPr>
      <w:r>
        <w:rPr>
          <w:rFonts w:hint="eastAsia"/>
        </w:rPr>
        <w:t>测量接地线与等电位连接带之间的过渡电阻，过渡电阻值应不大于0.2Ω。</w:t>
      </w:r>
    </w:p>
    <w:p>
      <w:pPr>
        <w:pStyle w:val="104"/>
        <w:spacing w:before="312" w:after="312"/>
      </w:pPr>
      <w:bookmarkStart w:id="95" w:name="_Toc153793020"/>
      <w:bookmarkStart w:id="96" w:name="_Toc153793060"/>
      <w:bookmarkStart w:id="97" w:name="_Toc153793010"/>
      <w:bookmarkStart w:id="98" w:name="_Toc153792882"/>
      <w:r>
        <w:rPr>
          <w:rFonts w:hint="eastAsia" w:hAnsi="黑体"/>
          <w:color w:val="000000"/>
          <w:szCs w:val="21"/>
        </w:rPr>
        <w:t>检测作业要求</w:t>
      </w:r>
      <w:bookmarkEnd w:id="95"/>
      <w:bookmarkEnd w:id="96"/>
      <w:bookmarkEnd w:id="97"/>
      <w:bookmarkEnd w:id="98"/>
    </w:p>
    <w:p>
      <w:pPr>
        <w:pStyle w:val="162"/>
      </w:pPr>
      <w:r>
        <w:rPr>
          <w:rFonts w:hint="eastAsia"/>
          <w:color w:val="000000"/>
          <w:szCs w:val="21"/>
        </w:rPr>
        <w:t>现场环境条件应能保证正常检测。</w:t>
      </w:r>
    </w:p>
    <w:p>
      <w:pPr>
        <w:pStyle w:val="162"/>
      </w:pPr>
      <w:r>
        <w:rPr>
          <w:rFonts w:hint="eastAsia" w:hAnsi="宋体" w:cs="宋体"/>
          <w:color w:val="000000"/>
        </w:rPr>
        <w:t xml:space="preserve">应具备保障检测员和设备的安全防护措施，雷雨天应停止检测，攀高危险作业必须遵守攀高作 </w:t>
      </w:r>
    </w:p>
    <w:p>
      <w:pPr>
        <w:pStyle w:val="162"/>
        <w:numPr>
          <w:ilvl w:val="0"/>
          <w:numId w:val="0"/>
        </w:numPr>
        <w:rPr>
          <w:rFonts w:hAnsi="宋体" w:cs="宋体"/>
          <w:color w:val="000000"/>
          <w:szCs w:val="21"/>
        </w:rPr>
      </w:pPr>
      <w:r>
        <w:rPr>
          <w:rFonts w:hint="eastAsia" w:hAnsi="宋体" w:cs="宋体"/>
          <w:color w:val="000000"/>
          <w:szCs w:val="21"/>
        </w:rPr>
        <w:t>业安全守则。检测仪表、工具等不能放置在高处，防止坠落伤人。</w:t>
      </w:r>
    </w:p>
    <w:p>
      <w:pPr>
        <w:pStyle w:val="162"/>
      </w:pPr>
      <w:r>
        <w:rPr>
          <w:rFonts w:hint="eastAsia"/>
        </w:rPr>
        <w:t>测量仪器应符合国家计量法规的规定。</w:t>
      </w:r>
    </w:p>
    <w:p>
      <w:pPr>
        <w:pStyle w:val="162"/>
      </w:pPr>
      <w:r>
        <w:rPr>
          <w:rFonts w:hint="eastAsia"/>
        </w:rPr>
        <w:t>测量仪器的接地线和其他导线应避开高、低压供电线路。</w:t>
      </w:r>
    </w:p>
    <w:p>
      <w:pPr>
        <w:pStyle w:val="162"/>
      </w:pPr>
      <w:r>
        <w:rPr>
          <w:rFonts w:hint="eastAsia"/>
        </w:rPr>
        <w:t>现场检测应严格遵守被检单位的规章制度。</w:t>
      </w:r>
    </w:p>
    <w:p>
      <w:pPr>
        <w:pStyle w:val="162"/>
      </w:pPr>
      <w:r>
        <w:rPr>
          <w:rFonts w:hint="eastAsia"/>
        </w:rPr>
        <w:t>检测环境质量自动监测站机房的防雷装置时，应穿戴绝缘鞋、绝缘手套，使用绝缘垫，以防电击。</w:t>
      </w:r>
    </w:p>
    <w:p>
      <w:pPr>
        <w:pStyle w:val="104"/>
        <w:spacing w:before="312" w:after="312"/>
        <w:rPr>
          <w:rFonts w:hAnsi="黑体"/>
          <w:color w:val="000000"/>
          <w:szCs w:val="21"/>
        </w:rPr>
      </w:pPr>
      <w:bookmarkStart w:id="99" w:name="_Toc153792883"/>
      <w:bookmarkStart w:id="100" w:name="_Toc153793061"/>
      <w:bookmarkStart w:id="101" w:name="_Toc153793011"/>
      <w:bookmarkStart w:id="102" w:name="_Toc153793021"/>
      <w:r>
        <w:rPr>
          <w:rFonts w:hint="eastAsia" w:hAnsi="黑体"/>
          <w:color w:val="000000"/>
          <w:szCs w:val="21"/>
        </w:rPr>
        <w:t>检测周期</w:t>
      </w:r>
      <w:bookmarkEnd w:id="99"/>
      <w:bookmarkEnd w:id="100"/>
      <w:bookmarkEnd w:id="101"/>
      <w:bookmarkEnd w:id="102"/>
    </w:p>
    <w:p>
      <w:pPr>
        <w:pStyle w:val="162"/>
        <w:numPr>
          <w:ilvl w:val="0"/>
          <w:numId w:val="0"/>
        </w:numPr>
        <w:ind w:firstLine="420" w:firstLineChars="200"/>
      </w:pPr>
      <w:r>
        <w:rPr>
          <w:rFonts w:hint="eastAsia"/>
        </w:rPr>
        <w:t>环境质量自动监测站防雷检测周期为 1 年。</w:t>
      </w:r>
    </w:p>
    <w:p>
      <w:pPr>
        <w:pStyle w:val="104"/>
        <w:spacing w:before="312" w:after="312"/>
        <w:rPr>
          <w:rFonts w:hAnsi="黑体"/>
          <w:color w:val="000000"/>
          <w:szCs w:val="21"/>
        </w:rPr>
      </w:pPr>
      <w:bookmarkStart w:id="103" w:name="_Toc153793012"/>
      <w:bookmarkStart w:id="104" w:name="_Toc153793062"/>
      <w:bookmarkStart w:id="105" w:name="_Toc153793022"/>
      <w:bookmarkStart w:id="106" w:name="_Toc153792884"/>
      <w:r>
        <w:rPr>
          <w:rFonts w:hint="eastAsia" w:hAnsi="黑体"/>
          <w:color w:val="000000"/>
          <w:szCs w:val="21"/>
        </w:rPr>
        <w:t>检测程序</w:t>
      </w:r>
      <w:bookmarkEnd w:id="103"/>
      <w:bookmarkEnd w:id="104"/>
      <w:bookmarkEnd w:id="105"/>
      <w:bookmarkEnd w:id="106"/>
    </w:p>
    <w:p>
      <w:pPr>
        <w:pStyle w:val="162"/>
      </w:pPr>
      <w:r>
        <w:rPr>
          <w:rFonts w:hint="eastAsia"/>
        </w:rPr>
        <w:t>检测前应对使用仪器仪表和测量工具进行检查，保证其在计量合</w:t>
      </w:r>
      <w:r>
        <w:rPr>
          <w:rFonts w:hint="eastAsia"/>
          <w:lang w:eastAsia="zh-CN"/>
        </w:rPr>
        <w:t>格</w:t>
      </w:r>
      <w:r>
        <w:rPr>
          <w:rFonts w:hint="eastAsia"/>
        </w:rPr>
        <w:t>证有效期内且能正常使用。</w:t>
      </w:r>
    </w:p>
    <w:p>
      <w:pPr>
        <w:pStyle w:val="162"/>
      </w:pPr>
      <w:r>
        <w:rPr>
          <w:rFonts w:hint="eastAsia"/>
        </w:rPr>
        <w:t>了解环境质量自动监测站是否发生过雷电灾害。</w:t>
      </w:r>
    </w:p>
    <w:p>
      <w:pPr>
        <w:pStyle w:val="162"/>
      </w:pPr>
      <w:r>
        <w:rPr>
          <w:rFonts w:hint="eastAsia"/>
          <w:color w:val="000000"/>
          <w:szCs w:val="21"/>
        </w:rPr>
        <w:t>检测本标准第</w:t>
      </w:r>
      <w:r>
        <w:rPr>
          <w:color w:val="000000"/>
          <w:szCs w:val="21"/>
        </w:rPr>
        <w:t>5</w:t>
      </w:r>
      <w:r>
        <w:rPr>
          <w:rFonts w:hint="eastAsia"/>
          <w:color w:val="000000"/>
          <w:szCs w:val="21"/>
        </w:rPr>
        <w:t>章中的全部检测项目。</w:t>
      </w:r>
    </w:p>
    <w:p>
      <w:pPr>
        <w:pStyle w:val="162"/>
      </w:pPr>
      <w:r>
        <w:rPr>
          <w:rFonts w:hint="eastAsia"/>
          <w:color w:val="000000"/>
          <w:szCs w:val="21"/>
        </w:rPr>
        <w:t>对受检单位进行定期检测，现场查阅上次检测记录，现场勘查受检单位防雷装置有无变化。</w:t>
      </w:r>
    </w:p>
    <w:p>
      <w:pPr>
        <w:pStyle w:val="162"/>
        <w:rPr>
          <w:color w:val="000000"/>
          <w:szCs w:val="21"/>
        </w:rPr>
      </w:pPr>
      <w:r>
        <w:rPr>
          <w:rFonts w:hint="eastAsia"/>
          <w:color w:val="000000"/>
          <w:szCs w:val="21"/>
        </w:rPr>
        <w:t>现场检测进行时可按先检测外部防雷装置，后检测内部防雷装置的顺序进行，每一项检测需要有二人以上共同进行，每一个检测点的检测数据需经复核无误后，填入原始记录表。</w:t>
      </w:r>
    </w:p>
    <w:p>
      <w:pPr>
        <w:pStyle w:val="162"/>
      </w:pPr>
      <w:r>
        <w:rPr>
          <w:rFonts w:hint="eastAsia"/>
          <w:color w:val="000000"/>
          <w:szCs w:val="21"/>
        </w:rPr>
        <w:t>对受检单位出具检测报告或整改意见书。</w:t>
      </w:r>
    </w:p>
    <w:p>
      <w:pPr>
        <w:pStyle w:val="104"/>
        <w:spacing w:before="312" w:after="312"/>
        <w:rPr>
          <w:rFonts w:hAnsi="黑体"/>
          <w:color w:val="000000"/>
          <w:szCs w:val="21"/>
        </w:rPr>
      </w:pPr>
      <w:bookmarkStart w:id="107" w:name="_Toc153792885"/>
      <w:bookmarkStart w:id="108" w:name="_Toc153793063"/>
      <w:bookmarkStart w:id="109" w:name="_Toc153793013"/>
      <w:bookmarkStart w:id="110" w:name="_Toc153793023"/>
      <w:r>
        <w:rPr>
          <w:rFonts w:hint="eastAsia" w:hAnsi="黑体"/>
          <w:color w:val="000000"/>
          <w:szCs w:val="21"/>
        </w:rPr>
        <w:t>检测报告要求</w:t>
      </w:r>
      <w:bookmarkEnd w:id="107"/>
      <w:bookmarkEnd w:id="108"/>
      <w:bookmarkEnd w:id="109"/>
      <w:bookmarkEnd w:id="110"/>
    </w:p>
    <w:p>
      <w:pPr>
        <w:pStyle w:val="162"/>
      </w:pPr>
      <w:r>
        <w:rPr>
          <w:rFonts w:hint="eastAsia"/>
        </w:rPr>
        <w:t>检测报告须由检测单位统一编号，检测员、校核员签字后，经技术负责人签发，应加盖检测单位印章。</w:t>
      </w:r>
    </w:p>
    <w:p>
      <w:pPr>
        <w:pStyle w:val="162"/>
      </w:pPr>
      <w:r>
        <w:rPr>
          <w:rFonts w:hint="eastAsia"/>
        </w:rPr>
        <w:t>检测报告存档应有纸质和计算机存档两种形式，至少存档两年。</w:t>
      </w:r>
    </w:p>
    <w:bookmarkEnd w:id="27"/>
    <w:p>
      <w:pPr>
        <w:pStyle w:val="164"/>
        <w:numPr>
          <w:ilvl w:val="4"/>
          <w:numId w:val="0"/>
        </w:numPr>
        <w:sectPr>
          <w:pgSz w:w="11906" w:h="16838"/>
          <w:pgMar w:top="1928" w:right="1134" w:bottom="1134" w:left="1134" w:header="1418" w:footer="1134" w:gutter="284"/>
          <w:pgNumType w:start="1"/>
          <w:cols w:space="425" w:num="1"/>
          <w:formProt w:val="0"/>
          <w:docGrid w:type="lines" w:linePitch="312" w:charSpace="0"/>
        </w:sectPr>
      </w:pPr>
      <w:bookmarkStart w:id="111" w:name="BookMark6"/>
    </w:p>
    <w:p>
      <w:pPr>
        <w:pStyle w:val="63"/>
        <w:spacing w:after="156"/>
      </w:pPr>
      <w:bookmarkStart w:id="112" w:name="_Toc153793014"/>
      <w:bookmarkStart w:id="113" w:name="_Toc153792886"/>
      <w:bookmarkStart w:id="114" w:name="_Toc153793064"/>
      <w:bookmarkStart w:id="115" w:name="_Toc153793024"/>
      <w:r>
        <w:rPr>
          <w:rFonts w:hint="eastAsia"/>
          <w:spacing w:val="105"/>
        </w:rPr>
        <w:t>参考文</w:t>
      </w:r>
      <w:r>
        <w:rPr>
          <w:rFonts w:hint="eastAsia"/>
        </w:rPr>
        <w:t>献</w:t>
      </w:r>
      <w:bookmarkEnd w:id="112"/>
      <w:bookmarkEnd w:id="113"/>
      <w:bookmarkEnd w:id="114"/>
      <w:bookmarkEnd w:id="115"/>
    </w:p>
    <w:p>
      <w:pPr>
        <w:pStyle w:val="56"/>
        <w:ind w:firstLine="420"/>
        <w:rPr>
          <w:rFonts w:hAnsi="宋体" w:cs="宋体"/>
          <w:color w:val="000000"/>
        </w:rPr>
      </w:pPr>
      <w:r>
        <w:rPr>
          <w:rFonts w:hAnsi="宋体"/>
        </w:rPr>
        <w:t>[1]</w:t>
      </w:r>
      <w:r>
        <w:rPr>
          <w:rFonts w:hint="eastAsia" w:hAnsi="宋体" w:cs="宋体"/>
          <w:color w:val="000000"/>
        </w:rPr>
        <w:t xml:space="preserve"> GB 50057—2010 建筑物防雷设计规范</w:t>
      </w:r>
    </w:p>
    <w:p>
      <w:pPr>
        <w:pStyle w:val="56"/>
        <w:ind w:firstLine="420"/>
        <w:rPr>
          <w:rFonts w:hAnsi="宋体" w:cs="宋体"/>
          <w:color w:val="000000"/>
          <w:szCs w:val="21"/>
        </w:rPr>
      </w:pPr>
      <w:r>
        <w:rPr>
          <w:rFonts w:hint="eastAsia" w:hAnsi="宋体" w:cs="宋体"/>
          <w:color w:val="000000"/>
        </w:rPr>
        <w:t>[</w:t>
      </w:r>
      <w:r>
        <w:rPr>
          <w:rFonts w:hAnsi="宋体" w:cs="宋体"/>
          <w:color w:val="000000"/>
        </w:rPr>
        <w:t xml:space="preserve">2] </w:t>
      </w:r>
      <w:r>
        <w:rPr>
          <w:rFonts w:hint="eastAsia" w:hAnsi="宋体" w:cs="宋体"/>
          <w:color w:val="000000"/>
          <w:szCs w:val="21"/>
        </w:rPr>
        <w:t>GB 50343—2012 建筑物电子信息系统防雷技术规范</w:t>
      </w:r>
    </w:p>
    <w:p>
      <w:pPr>
        <w:pStyle w:val="56"/>
        <w:ind w:firstLine="420"/>
        <w:rPr>
          <w:rFonts w:hAnsi="宋体" w:cs="宋体"/>
          <w:color w:val="000000"/>
        </w:rPr>
      </w:pPr>
      <w:r>
        <w:rPr>
          <w:rFonts w:hAnsi="宋体" w:cs="宋体"/>
          <w:color w:val="000000"/>
        </w:rPr>
        <w:t>[3] GB 21431</w:t>
      </w:r>
      <w:r>
        <w:rPr>
          <w:rFonts w:hint="eastAsia" w:hAnsi="宋体" w:cs="宋体"/>
          <w:color w:val="000000"/>
          <w:szCs w:val="21"/>
        </w:rPr>
        <w:t>—</w:t>
      </w:r>
      <w:r>
        <w:rPr>
          <w:rFonts w:hAnsi="宋体" w:cs="宋体"/>
          <w:color w:val="000000"/>
        </w:rPr>
        <w:t>2015 建筑物防雷装置检测技术规范</w:t>
      </w:r>
    </w:p>
    <w:p>
      <w:pPr>
        <w:pStyle w:val="56"/>
        <w:ind w:firstLine="420"/>
        <w:rPr>
          <w:rFonts w:hAnsi="宋体" w:cs="宋体"/>
          <w:color w:val="000000"/>
          <w:szCs w:val="21"/>
        </w:rPr>
      </w:pPr>
      <w:r>
        <w:rPr>
          <w:rFonts w:hint="eastAsia" w:hAnsi="宋体" w:cs="宋体"/>
          <w:color w:val="000000"/>
        </w:rPr>
        <w:t>[</w:t>
      </w:r>
      <w:r>
        <w:rPr>
          <w:rFonts w:hAnsi="宋体" w:cs="宋体"/>
          <w:color w:val="000000"/>
        </w:rPr>
        <w:t>4] DB 53/T 670</w:t>
      </w:r>
      <w:r>
        <w:rPr>
          <w:rFonts w:hint="eastAsia" w:hAnsi="宋体" w:cs="宋体"/>
          <w:color w:val="000000"/>
          <w:szCs w:val="21"/>
        </w:rPr>
        <w:t>—2</w:t>
      </w:r>
      <w:r>
        <w:rPr>
          <w:rFonts w:hAnsi="宋体" w:cs="宋体"/>
          <w:color w:val="000000"/>
          <w:szCs w:val="21"/>
        </w:rPr>
        <w:t xml:space="preserve">015 </w:t>
      </w:r>
      <w:r>
        <w:fldChar w:fldCharType="begin"/>
      </w:r>
      <w:r>
        <w:instrText xml:space="preserve"> HYPERLINK "http://www.cmastd.cn/standardView.jspx?id=2040" \t "_blank" </w:instrText>
      </w:r>
      <w:r>
        <w:fldChar w:fldCharType="separate"/>
      </w:r>
      <w:r>
        <w:rPr>
          <w:rStyle w:val="32"/>
          <w:rFonts w:hint="eastAsia" w:hAnsi="宋体" w:cs="宋体"/>
          <w:szCs w:val="21"/>
        </w:rPr>
        <w:t>环境自动监测站防雷技术规范</w:t>
      </w:r>
      <w:r>
        <w:rPr>
          <w:rStyle w:val="32"/>
          <w:rFonts w:hint="eastAsia" w:hAnsi="宋体" w:cs="宋体"/>
          <w:szCs w:val="21"/>
        </w:rPr>
        <w:fldChar w:fldCharType="end"/>
      </w:r>
    </w:p>
    <w:p>
      <w:pPr>
        <w:pStyle w:val="56"/>
        <w:ind w:firstLine="420"/>
        <w:rPr>
          <w:rFonts w:hAnsi="宋体" w:cs="宋体"/>
          <w:color w:val="000000"/>
        </w:rPr>
      </w:pPr>
      <w:r>
        <w:rPr>
          <w:rFonts w:hint="eastAsia" w:hAnsi="宋体" w:cs="宋体"/>
          <w:color w:val="000000"/>
          <w:szCs w:val="21"/>
        </w:rPr>
        <w:t>[</w:t>
      </w:r>
      <w:r>
        <w:rPr>
          <w:rFonts w:hAnsi="宋体" w:cs="宋体"/>
          <w:color w:val="000000"/>
          <w:szCs w:val="21"/>
        </w:rPr>
        <w:t>5] DB 15/T 2849.3</w:t>
      </w:r>
      <w:r>
        <w:rPr>
          <w:rFonts w:hint="eastAsia" w:hAnsi="宋体" w:cs="宋体"/>
          <w:color w:val="000000"/>
          <w:szCs w:val="21"/>
        </w:rPr>
        <w:t>—2</w:t>
      </w:r>
      <w:r>
        <w:rPr>
          <w:rFonts w:hAnsi="宋体" w:cs="宋体"/>
          <w:color w:val="000000"/>
          <w:szCs w:val="21"/>
        </w:rPr>
        <w:t xml:space="preserve">023 </w:t>
      </w:r>
      <w:r>
        <w:fldChar w:fldCharType="begin"/>
      </w:r>
      <w:r>
        <w:instrText xml:space="preserve"> HYPERLINK "http://www.cmastd.cn/standardView.jspx?id=4308" \t "_blank" </w:instrText>
      </w:r>
      <w:r>
        <w:fldChar w:fldCharType="separate"/>
      </w:r>
      <w:r>
        <w:rPr>
          <w:rStyle w:val="32"/>
          <w:rFonts w:hint="eastAsia" w:hAnsi="宋体" w:cs="宋体"/>
          <w:szCs w:val="21"/>
        </w:rPr>
        <w:t>防雷技术规范 第3部分：环境质量自动监测站</w:t>
      </w:r>
      <w:r>
        <w:rPr>
          <w:rStyle w:val="32"/>
          <w:rFonts w:hint="eastAsia" w:hAnsi="宋体" w:cs="宋体"/>
          <w:szCs w:val="21"/>
        </w:rPr>
        <w:fldChar w:fldCharType="end"/>
      </w:r>
    </w:p>
    <w:p>
      <w:pPr>
        <w:pStyle w:val="56"/>
        <w:ind w:firstLine="420"/>
      </w:pPr>
    </w:p>
    <w:p>
      <w:pPr>
        <w:pStyle w:val="56"/>
        <w:ind w:firstLine="0" w:firstLineChars="0"/>
      </w:pPr>
    </w:p>
    <w:p>
      <w:pPr>
        <w:pStyle w:val="56"/>
        <w:ind w:firstLine="0" w:firstLineChars="0"/>
      </w:pPr>
    </w:p>
    <w:p>
      <w:pPr>
        <w:pStyle w:val="164"/>
        <w:numPr>
          <w:ilvl w:val="4"/>
          <w:numId w:val="0"/>
        </w:numPr>
      </w:pPr>
    </w:p>
    <w:bookmarkEnd w:id="111"/>
    <w:p>
      <w:pPr>
        <w:pStyle w:val="164"/>
        <w:numPr>
          <w:ilvl w:val="4"/>
          <w:numId w:val="0"/>
        </w:numPr>
        <w:jc w:val="center"/>
      </w:pPr>
      <w:bookmarkStart w:id="116" w:name="BookMark8"/>
      <w:r>
        <w:drawing>
          <wp:inline distT="0" distB="0" distL="0" distR="0">
            <wp:extent cx="1485900" cy="317500"/>
            <wp:effectExtent l="0" t="0" r="0" b="0"/>
            <wp:docPr id="2061210339" name="图片 1"/>
            <wp:cNvGraphicFramePr/>
            <a:graphic xmlns:a="http://schemas.openxmlformats.org/drawingml/2006/main">
              <a:graphicData uri="http://schemas.openxmlformats.org/drawingml/2006/picture">
                <pic:pic xmlns:pic="http://schemas.openxmlformats.org/drawingml/2006/picture">
                  <pic:nvPicPr>
                    <pic:cNvPr id="2061210339"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509"/>
        </w:tabs>
        <w:ind w:left="1509" w:hanging="648"/>
      </w:pPr>
    </w:lvl>
    <w:lvl w:ilvl="1" w:tentative="0">
      <w:start w:val="1"/>
      <w:numFmt w:val="lowerLetter"/>
      <w:lvlText w:val="%2)"/>
      <w:lvlJc w:val="left"/>
      <w:pPr>
        <w:tabs>
          <w:tab w:val="left" w:pos="1701"/>
        </w:tabs>
        <w:ind w:left="1701" w:hanging="420"/>
      </w:pPr>
    </w:lvl>
    <w:lvl w:ilvl="2" w:tentative="0">
      <w:start w:val="1"/>
      <w:numFmt w:val="lowerRoman"/>
      <w:lvlText w:val="%3."/>
      <w:lvlJc w:val="right"/>
      <w:pPr>
        <w:tabs>
          <w:tab w:val="left" w:pos="2121"/>
        </w:tabs>
        <w:ind w:left="2121" w:hanging="420"/>
      </w:pPr>
    </w:lvl>
    <w:lvl w:ilvl="3" w:tentative="0">
      <w:start w:val="1"/>
      <w:numFmt w:val="decimal"/>
      <w:lvlText w:val="%4."/>
      <w:lvlJc w:val="left"/>
      <w:pPr>
        <w:tabs>
          <w:tab w:val="left" w:pos="2541"/>
        </w:tabs>
        <w:ind w:left="2541" w:hanging="420"/>
      </w:pPr>
    </w:lvl>
    <w:lvl w:ilvl="4" w:tentative="0">
      <w:start w:val="1"/>
      <w:numFmt w:val="lowerLetter"/>
      <w:lvlText w:val="%5)"/>
      <w:lvlJc w:val="left"/>
      <w:pPr>
        <w:tabs>
          <w:tab w:val="left" w:pos="2961"/>
        </w:tabs>
        <w:ind w:left="2961" w:hanging="420"/>
      </w:pPr>
    </w:lvl>
    <w:lvl w:ilvl="5" w:tentative="0">
      <w:start w:val="1"/>
      <w:numFmt w:val="lowerRoman"/>
      <w:lvlText w:val="%6."/>
      <w:lvlJc w:val="right"/>
      <w:pPr>
        <w:tabs>
          <w:tab w:val="left" w:pos="3381"/>
        </w:tabs>
        <w:ind w:left="3381" w:hanging="420"/>
      </w:pPr>
    </w:lvl>
    <w:lvl w:ilvl="6" w:tentative="0">
      <w:start w:val="1"/>
      <w:numFmt w:val="decimal"/>
      <w:lvlText w:val="%7."/>
      <w:lvlJc w:val="left"/>
      <w:pPr>
        <w:tabs>
          <w:tab w:val="left" w:pos="3801"/>
        </w:tabs>
        <w:ind w:left="3801" w:hanging="420"/>
      </w:pPr>
    </w:lvl>
    <w:lvl w:ilvl="7" w:tentative="0">
      <w:start w:val="1"/>
      <w:numFmt w:val="lowerLetter"/>
      <w:lvlText w:val="%8)"/>
      <w:lvlJc w:val="left"/>
      <w:pPr>
        <w:tabs>
          <w:tab w:val="left" w:pos="4221"/>
        </w:tabs>
        <w:ind w:left="4221" w:hanging="420"/>
      </w:pPr>
    </w:lvl>
    <w:lvl w:ilvl="8" w:tentative="0">
      <w:start w:val="1"/>
      <w:numFmt w:val="lowerRoman"/>
      <w:lvlText w:val="%9."/>
      <w:lvlJc w:val="right"/>
      <w:pPr>
        <w:tabs>
          <w:tab w:val="left" w:pos="4641"/>
        </w:tabs>
        <w:ind w:left="4641"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D8A20E4"/>
    <w:multiLevelType w:val="multilevel"/>
    <w:tmpl w:val="0D8A20E4"/>
    <w:lvl w:ilvl="0" w:tentative="0">
      <w:start w:val="1"/>
      <w:numFmt w:val="lowerLetter"/>
      <w:lvlText w:val="%1)"/>
      <w:lvlJc w:val="left"/>
      <w:pPr>
        <w:ind w:left="780" w:hanging="360"/>
      </w:pPr>
      <w:rPr>
        <w:rFonts w:hint="default"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F4cRxNZ4LRYxBdw0c13x0IKONqFV4E2Qk66UqT+wxHE45drzhEj4S9+4WrMgYYSRfaA0aN7+dLGPyxNR2cP3IA==" w:salt="OpemnGcKhYzmD6DTHHl2jQ=="/>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YmMzOTY5MGYyZDc0NDM3YTlmNmJlYTc5ZTFiOTg0N2UifQ=="/>
  </w:docVars>
  <w:rsids>
    <w:rsidRoot w:val="005C4C84"/>
    <w:rsid w:val="0000040A"/>
    <w:rsid w:val="00000A94"/>
    <w:rsid w:val="00001972"/>
    <w:rsid w:val="00001D9A"/>
    <w:rsid w:val="00007B3A"/>
    <w:rsid w:val="000107E0"/>
    <w:rsid w:val="00011FDE"/>
    <w:rsid w:val="00012FFD"/>
    <w:rsid w:val="00014162"/>
    <w:rsid w:val="00014340"/>
    <w:rsid w:val="00016A9C"/>
    <w:rsid w:val="00021FA4"/>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F92"/>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4FF"/>
    <w:rsid w:val="00141114"/>
    <w:rsid w:val="00142969"/>
    <w:rsid w:val="001446C2"/>
    <w:rsid w:val="001457E7"/>
    <w:rsid w:val="00145D9D"/>
    <w:rsid w:val="00146388"/>
    <w:rsid w:val="001529E5"/>
    <w:rsid w:val="00153C7E"/>
    <w:rsid w:val="0015519E"/>
    <w:rsid w:val="00156B25"/>
    <w:rsid w:val="00156E1A"/>
    <w:rsid w:val="00157894"/>
    <w:rsid w:val="00157B55"/>
    <w:rsid w:val="00162E7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120"/>
    <w:rsid w:val="001852C9"/>
    <w:rsid w:val="00190087"/>
    <w:rsid w:val="001913C4"/>
    <w:rsid w:val="00191D19"/>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335"/>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27F77"/>
    <w:rsid w:val="00233D64"/>
    <w:rsid w:val="0023482A"/>
    <w:rsid w:val="002359CB"/>
    <w:rsid w:val="00243540"/>
    <w:rsid w:val="0024497B"/>
    <w:rsid w:val="0024515B"/>
    <w:rsid w:val="00246021"/>
    <w:rsid w:val="0024666E"/>
    <w:rsid w:val="00247F52"/>
    <w:rsid w:val="00250B25"/>
    <w:rsid w:val="00250BBE"/>
    <w:rsid w:val="002515C2"/>
    <w:rsid w:val="0025194F"/>
    <w:rsid w:val="00253508"/>
    <w:rsid w:val="002550C7"/>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7A1"/>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DAC"/>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12B"/>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2A2C"/>
    <w:rsid w:val="003F3F08"/>
    <w:rsid w:val="003F49F1"/>
    <w:rsid w:val="003F6272"/>
    <w:rsid w:val="00400E72"/>
    <w:rsid w:val="00401400"/>
    <w:rsid w:val="00404869"/>
    <w:rsid w:val="00405884"/>
    <w:rsid w:val="00407D39"/>
    <w:rsid w:val="004133FB"/>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B0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E4D"/>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EB1"/>
    <w:rsid w:val="00505767"/>
    <w:rsid w:val="005073F0"/>
    <w:rsid w:val="00510A7B"/>
    <w:rsid w:val="0051192F"/>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721"/>
    <w:rsid w:val="00561475"/>
    <w:rsid w:val="0056487B"/>
    <w:rsid w:val="00564FB9"/>
    <w:rsid w:val="00570B01"/>
    <w:rsid w:val="00573D9E"/>
    <w:rsid w:val="005801E3"/>
    <w:rsid w:val="00581802"/>
    <w:rsid w:val="00581C9C"/>
    <w:rsid w:val="005836A8"/>
    <w:rsid w:val="0058409C"/>
    <w:rsid w:val="00584262"/>
    <w:rsid w:val="00584F20"/>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C84"/>
    <w:rsid w:val="005C5F21"/>
    <w:rsid w:val="005C7156"/>
    <w:rsid w:val="005D0C75"/>
    <w:rsid w:val="005D4171"/>
    <w:rsid w:val="005D6A95"/>
    <w:rsid w:val="005D6B2C"/>
    <w:rsid w:val="005D6D9C"/>
    <w:rsid w:val="005E2335"/>
    <w:rsid w:val="005E34CA"/>
    <w:rsid w:val="005E3C18"/>
    <w:rsid w:val="005E5E93"/>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7E"/>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406F"/>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C65"/>
    <w:rsid w:val="007600E3"/>
    <w:rsid w:val="00765C43"/>
    <w:rsid w:val="00765EFB"/>
    <w:rsid w:val="007671CA"/>
    <w:rsid w:val="00767C61"/>
    <w:rsid w:val="0077008A"/>
    <w:rsid w:val="00773C1F"/>
    <w:rsid w:val="00774DA4"/>
    <w:rsid w:val="00776599"/>
    <w:rsid w:val="0078114B"/>
    <w:rsid w:val="00781DD2"/>
    <w:rsid w:val="00783ECF"/>
    <w:rsid w:val="0078413A"/>
    <w:rsid w:val="00785D2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265"/>
    <w:rsid w:val="007C2D89"/>
    <w:rsid w:val="007C4593"/>
    <w:rsid w:val="007C5309"/>
    <w:rsid w:val="007C6069"/>
    <w:rsid w:val="007D06C4"/>
    <w:rsid w:val="007D1352"/>
    <w:rsid w:val="007D2508"/>
    <w:rsid w:val="007D346A"/>
    <w:rsid w:val="007D5457"/>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7D71"/>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388"/>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766"/>
    <w:rsid w:val="008B3615"/>
    <w:rsid w:val="008B4AC4"/>
    <w:rsid w:val="008B50C8"/>
    <w:rsid w:val="008B5281"/>
    <w:rsid w:val="008B666E"/>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EEB"/>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419"/>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226"/>
    <w:rsid w:val="00A06A6B"/>
    <w:rsid w:val="00A07D94"/>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21D"/>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C1B"/>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DE1"/>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D1E"/>
    <w:rsid w:val="00B72880"/>
    <w:rsid w:val="00B758BF"/>
    <w:rsid w:val="00B77EC8"/>
    <w:rsid w:val="00B827A6"/>
    <w:rsid w:val="00B831CE"/>
    <w:rsid w:val="00B86677"/>
    <w:rsid w:val="00B87131"/>
    <w:rsid w:val="00B939B1"/>
    <w:rsid w:val="00B96080"/>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310"/>
    <w:rsid w:val="00C34C20"/>
    <w:rsid w:val="00C35A3E"/>
    <w:rsid w:val="00C36D4F"/>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947"/>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ADB"/>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3F9"/>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30BF"/>
    <w:rsid w:val="00D77031"/>
    <w:rsid w:val="00D84941"/>
    <w:rsid w:val="00D84FA1"/>
    <w:rsid w:val="00D851F0"/>
    <w:rsid w:val="00D86DB7"/>
    <w:rsid w:val="00D926D0"/>
    <w:rsid w:val="00D93030"/>
    <w:rsid w:val="00D9403F"/>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D06"/>
    <w:rsid w:val="00EE0350"/>
    <w:rsid w:val="00EE0719"/>
    <w:rsid w:val="00EE0E80"/>
    <w:rsid w:val="00EE54A6"/>
    <w:rsid w:val="00EE613F"/>
    <w:rsid w:val="00EE7295"/>
    <w:rsid w:val="00EE7869"/>
    <w:rsid w:val="00EF054A"/>
    <w:rsid w:val="00EF3235"/>
    <w:rsid w:val="00EF7E72"/>
    <w:rsid w:val="00F0086F"/>
    <w:rsid w:val="00F06D37"/>
    <w:rsid w:val="00F07B9D"/>
    <w:rsid w:val="00F108A4"/>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3750"/>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645"/>
    <w:rsid w:val="00FD09A1"/>
    <w:rsid w:val="00FD2A7C"/>
    <w:rsid w:val="00FD4EF1"/>
    <w:rsid w:val="00FD59EB"/>
    <w:rsid w:val="00FD7299"/>
    <w:rsid w:val="00FD7EAE"/>
    <w:rsid w:val="00FE14DF"/>
    <w:rsid w:val="00FE1FBE"/>
    <w:rsid w:val="00FE3901"/>
    <w:rsid w:val="00FE39D3"/>
    <w:rsid w:val="00FE4BCE"/>
    <w:rsid w:val="00FE54AE"/>
    <w:rsid w:val="00FE576A"/>
    <w:rsid w:val="00FE7E79"/>
    <w:rsid w:val="00FF3E7D"/>
    <w:rsid w:val="00FF5B99"/>
    <w:rsid w:val="00FF730C"/>
    <w:rsid w:val="00FF73F4"/>
    <w:rsid w:val="00FF7CE4"/>
    <w:rsid w:val="00FF7E39"/>
    <w:rsid w:val="015C717D"/>
    <w:rsid w:val="291A6103"/>
    <w:rsid w:val="2DF76442"/>
    <w:rsid w:val="2ED202AF"/>
    <w:rsid w:val="41D04DA6"/>
    <w:rsid w:val="4E0D0D4D"/>
    <w:rsid w:val="590A6504"/>
    <w:rsid w:val="5B9E73AF"/>
    <w:rsid w:val="68DC0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character" w:customStyle="1" w:styleId="230">
    <w:name w:val="Unresolved Mention"/>
    <w:basedOn w:val="28"/>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50A4D268D0D42BC9ABD1BF281FA9C75"/>
        <w:style w:val=""/>
        <w:category>
          <w:name w:val="常规"/>
          <w:gallery w:val="placeholder"/>
        </w:category>
        <w:types>
          <w:type w:val="bbPlcHdr"/>
        </w:types>
        <w:behaviors>
          <w:behavior w:val="content"/>
        </w:behaviors>
        <w:description w:val=""/>
        <w:guid w:val="{95646145-9551-468C-88C7-F835F3F51BF2}"/>
      </w:docPartPr>
      <w:docPartBody>
        <w:p>
          <w:pPr>
            <w:pStyle w:val="5"/>
          </w:pPr>
          <w:r>
            <w:rPr>
              <w:rStyle w:val="4"/>
              <w:rFonts w:hint="eastAsia"/>
            </w:rPr>
            <w:t>单击或点击此处输入文字。</w:t>
          </w:r>
        </w:p>
      </w:docPartBody>
    </w:docPart>
    <w:docPart>
      <w:docPartPr>
        <w:name w:val="E217AFB9ADEC4BBF97E80C3AD01811B4"/>
        <w:style w:val=""/>
        <w:category>
          <w:name w:val="常规"/>
          <w:gallery w:val="placeholder"/>
        </w:category>
        <w:types>
          <w:type w:val="bbPlcHdr"/>
        </w:types>
        <w:behaviors>
          <w:behavior w:val="content"/>
        </w:behaviors>
        <w:description w:val=""/>
        <w:guid w:val="{ECD66488-372E-43F8-9645-99D82BA612CD}"/>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F15"/>
    <w:rsid w:val="0022605E"/>
    <w:rsid w:val="00382F15"/>
    <w:rsid w:val="00595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50A4D268D0D42BC9ABD1BF281FA9C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217AFB9ADEC4BBF97E80C3AD01811B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905</Words>
  <Characters>5162</Characters>
  <Lines>43</Lines>
  <Paragraphs>12</Paragraphs>
  <TotalTime>1</TotalTime>
  <ScaleCrop>false</ScaleCrop>
  <LinksUpToDate>false</LinksUpToDate>
  <CharactersWithSpaces>6055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2023-12-11T08:27:00Z</dcterms:created>
  <dc:creator>Administrator</dc:creator>
  <cp:lastModifiedBy>谢威</cp:lastModifiedBy>
  <cp:lastPrinted>2020-08-30T10:00:00Z</cp:lastPrinted>
  <dcterms:modified xsi:type="dcterms:W3CDTF">2023-12-19T07:50:16Z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2052-12.1.0.15990</vt:lpwstr>
  </property>
  <property fmtid="{D5CDD505-2E9C-101B-9397-08002B2CF9AE}" pid="15" name="ICV">
    <vt:lpwstr>D3B0CB260C914DD9A741713997D5CAC2_12</vt:lpwstr>
  </property>
</Properties>
</file>