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rPr>
          <w:rFonts w:ascii="宋体" w:hAnsi="宋体"/>
          <w:b/>
          <w:sz w:val="21"/>
          <w:szCs w:val="21"/>
        </w:rPr>
      </w:pPr>
      <w:r>
        <w:rPr>
          <w:rFonts w:hint="eastAsia" w:ascii="宋体" w:hAnsi="宋体"/>
          <w:b/>
          <w:sz w:val="21"/>
          <w:szCs w:val="21"/>
        </w:rPr>
        <w:t>ICS 83.140.30</w:t>
      </w:r>
    </w:p>
    <w:p>
      <w:pPr>
        <w:pStyle w:val="30"/>
        <w:rPr>
          <w:rFonts w:ascii="宋体" w:hAnsi="宋体"/>
          <w:b/>
          <w:sz w:val="21"/>
          <w:szCs w:val="21"/>
        </w:rPr>
      </w:pPr>
      <w:r>
        <w:rPr>
          <w:rFonts w:hint="eastAsia" w:ascii="宋体" w:hAnsi="宋体"/>
          <w:b/>
          <w:sz w:val="21"/>
          <w:szCs w:val="21"/>
        </w:rPr>
        <w:t>G 33</w:t>
      </w:r>
    </w:p>
    <w:p>
      <w:pPr>
        <w:pStyle w:val="30"/>
        <w:wordWrap w:val="0"/>
        <w:jc w:val="right"/>
        <w:rPr>
          <w:rFonts w:ascii="宋体" w:hAnsi="宋体"/>
          <w:b/>
          <w:sz w:val="36"/>
        </w:rPr>
      </w:pPr>
      <w:r>
        <w:rPr>
          <w:rFonts w:hint="eastAsia" w:ascii="宋体" w:hAnsi="宋体"/>
          <w:b/>
          <w:sz w:val="36"/>
        </w:rPr>
        <w:t>DB43</w:t>
      </w:r>
    </w:p>
    <w:p>
      <w:pPr>
        <w:pStyle w:val="30"/>
        <w:ind w:firstLine="240" w:firstLineChars="50"/>
        <w:jc w:val="distribute"/>
        <w:rPr>
          <w:rFonts w:ascii="宋体" w:hAnsi="宋体"/>
          <w:b/>
          <w:sz w:val="48"/>
          <w:szCs w:val="48"/>
        </w:rPr>
      </w:pPr>
      <w:r>
        <w:rPr>
          <w:rFonts w:hint="eastAsia" w:ascii="宋体" w:hAnsi="宋体"/>
          <w:b/>
          <w:sz w:val="48"/>
          <w:szCs w:val="48"/>
        </w:rPr>
        <w:t>湖南省地方标准</w:t>
      </w:r>
    </w:p>
    <w:p>
      <w:pPr>
        <w:pStyle w:val="30"/>
        <w:wordWrap w:val="0"/>
        <w:jc w:val="right"/>
        <w:rPr>
          <w:rFonts w:ascii="宋体" w:hAnsi="宋体"/>
          <w:b/>
          <w:sz w:val="28"/>
          <w:szCs w:val="28"/>
        </w:rPr>
      </w:pPr>
      <w:r>
        <w:rPr>
          <w:rFonts w:hint="eastAsia" w:ascii="宋体" w:hAnsi="宋体"/>
          <w:b/>
          <w:sz w:val="28"/>
          <w:szCs w:val="28"/>
        </w:rPr>
        <w:t>DB43/T xxxx-2023</w:t>
      </w:r>
    </w:p>
    <w:p>
      <w:pPr>
        <w:pStyle w:val="30"/>
        <w:rPr>
          <w:rFonts w:ascii="宋体" w:hAnsi="宋体"/>
          <w:b/>
          <w:sz w:val="30"/>
          <w:szCs w:val="30"/>
          <w:u w:val="single"/>
        </w:rPr>
      </w:pPr>
      <w:r>
        <w:rPr>
          <w:rFonts w:ascii="宋体" w:hAnsi="宋体"/>
          <w:b/>
          <w:sz w:val="30"/>
          <w:szCs w:val="30"/>
          <w:u w:val="single"/>
        </w:rPr>
        <w:t xml:space="preserve">                                                       </w:t>
      </w:r>
    </w:p>
    <w:p>
      <w:pPr>
        <w:pStyle w:val="30"/>
        <w:rPr>
          <w:rFonts w:ascii="宋体" w:hAnsi="宋体"/>
          <w:sz w:val="28"/>
          <w:szCs w:val="28"/>
          <w:u w:val="single"/>
        </w:rPr>
      </w:pPr>
    </w:p>
    <w:p>
      <w:pPr>
        <w:pStyle w:val="30"/>
        <w:rPr>
          <w:rFonts w:ascii="宋体" w:hAnsi="宋体"/>
          <w:sz w:val="28"/>
          <w:szCs w:val="28"/>
        </w:rPr>
      </w:pPr>
    </w:p>
    <w:p>
      <w:pPr>
        <w:pStyle w:val="30"/>
        <w:rPr>
          <w:rFonts w:ascii="宋体" w:hAnsi="宋体"/>
          <w:sz w:val="28"/>
          <w:szCs w:val="28"/>
        </w:rPr>
      </w:pPr>
    </w:p>
    <w:p>
      <w:pPr>
        <w:pStyle w:val="30"/>
        <w:rPr>
          <w:rFonts w:ascii="宋体" w:hAnsi="宋体"/>
          <w:sz w:val="28"/>
          <w:szCs w:val="28"/>
        </w:rPr>
      </w:pPr>
    </w:p>
    <w:p>
      <w:pPr>
        <w:spacing w:line="520" w:lineRule="exact"/>
        <w:jc w:val="center"/>
        <w:rPr>
          <w:rFonts w:ascii="宋体" w:hAnsi="宋体"/>
          <w:b/>
          <w:sz w:val="36"/>
          <w:szCs w:val="36"/>
        </w:rPr>
      </w:pPr>
      <w:r>
        <w:rPr>
          <w:rFonts w:hint="eastAsia" w:ascii="宋体" w:hAnsi="宋体"/>
          <w:b/>
          <w:sz w:val="36"/>
          <w:szCs w:val="36"/>
        </w:rPr>
        <w:t>北斗监测型接收机产品标准</w:t>
      </w:r>
    </w:p>
    <w:p>
      <w:pPr>
        <w:spacing w:line="520" w:lineRule="exact"/>
        <w:jc w:val="center"/>
        <w:rPr>
          <w:rFonts w:ascii="宋体" w:hAnsi="宋体"/>
          <w:b/>
          <w:sz w:val="36"/>
          <w:szCs w:val="36"/>
        </w:rPr>
      </w:pPr>
      <w:r>
        <w:rPr>
          <w:rFonts w:hint="eastAsia" w:ascii="宋体" w:hAnsi="宋体"/>
          <w:b/>
          <w:sz w:val="36"/>
          <w:szCs w:val="36"/>
        </w:rPr>
        <w:t>Product standard for Bei</w:t>
      </w:r>
      <w:r>
        <w:rPr>
          <w:rFonts w:ascii="宋体" w:hAnsi="宋体"/>
          <w:b/>
          <w:sz w:val="36"/>
          <w:szCs w:val="36"/>
        </w:rPr>
        <w:t>D</w:t>
      </w:r>
      <w:r>
        <w:rPr>
          <w:rFonts w:hint="eastAsia" w:ascii="宋体" w:hAnsi="宋体"/>
          <w:b/>
          <w:sz w:val="36"/>
          <w:szCs w:val="36"/>
        </w:rPr>
        <w:t>ou monitoring receive</w:t>
      </w:r>
    </w:p>
    <w:p>
      <w:pPr>
        <w:spacing w:line="520" w:lineRule="exact"/>
        <w:jc w:val="center"/>
        <w:rPr>
          <w:rFonts w:ascii="宋体" w:hAnsi="宋体"/>
          <w:b/>
          <w:sz w:val="28"/>
          <w:szCs w:val="28"/>
        </w:rPr>
      </w:pPr>
    </w:p>
    <w:p>
      <w:pPr>
        <w:pStyle w:val="30"/>
        <w:jc w:val="center"/>
        <w:rPr>
          <w:rFonts w:ascii="宋体" w:hAnsi="宋体"/>
          <w:b/>
          <w:sz w:val="52"/>
          <w:szCs w:val="52"/>
        </w:rPr>
      </w:pPr>
    </w:p>
    <w:p>
      <w:pPr>
        <w:pStyle w:val="30"/>
        <w:jc w:val="center"/>
        <w:rPr>
          <w:rFonts w:ascii="宋体" w:hAnsi="宋体"/>
          <w:b/>
          <w:sz w:val="52"/>
          <w:szCs w:val="52"/>
        </w:rPr>
      </w:pPr>
    </w:p>
    <w:p>
      <w:pPr>
        <w:pStyle w:val="30"/>
        <w:jc w:val="center"/>
        <w:rPr>
          <w:rFonts w:ascii="宋体" w:hAnsi="宋体"/>
          <w:b/>
          <w:sz w:val="52"/>
          <w:szCs w:val="52"/>
        </w:rPr>
      </w:pPr>
    </w:p>
    <w:p>
      <w:pPr>
        <w:pStyle w:val="30"/>
        <w:jc w:val="center"/>
        <w:rPr>
          <w:rFonts w:ascii="宋体" w:hAnsi="宋体"/>
          <w:b/>
          <w:sz w:val="52"/>
          <w:szCs w:val="52"/>
        </w:rPr>
      </w:pPr>
    </w:p>
    <w:p>
      <w:pPr>
        <w:pStyle w:val="30"/>
        <w:jc w:val="center"/>
        <w:rPr>
          <w:rFonts w:ascii="宋体" w:hAnsi="宋体"/>
          <w:b/>
          <w:sz w:val="52"/>
          <w:szCs w:val="52"/>
        </w:rPr>
      </w:pPr>
    </w:p>
    <w:p>
      <w:pPr>
        <w:pStyle w:val="30"/>
        <w:ind w:firstLine="274" w:firstLineChars="98"/>
        <w:rPr>
          <w:rFonts w:ascii="宋体" w:hAnsi="宋体"/>
          <w:b/>
          <w:sz w:val="28"/>
          <w:szCs w:val="28"/>
        </w:rPr>
      </w:pPr>
      <w:r>
        <w:rPr>
          <w:rFonts w:hint="eastAsia" w:ascii="宋体" w:hAnsi="宋体"/>
          <w:b/>
          <w:sz w:val="28"/>
          <w:szCs w:val="28"/>
        </w:rPr>
        <w:t>2023-xx-xx发布                           2023-xx-xx实施</w:t>
      </w:r>
    </w:p>
    <w:p>
      <w:pPr>
        <w:pStyle w:val="30"/>
        <w:spacing w:line="240" w:lineRule="exact"/>
        <w:ind w:firstLine="111" w:firstLineChars="37"/>
        <w:rPr>
          <w:rFonts w:ascii="宋体" w:hAnsi="宋体"/>
          <w:b/>
          <w:sz w:val="30"/>
          <w:szCs w:val="30"/>
        </w:rPr>
      </w:pPr>
      <w:r>
        <w:rPr>
          <w:rFonts w:ascii="宋体" w:hAnsi="宋体"/>
          <w:b/>
          <w:sz w:val="30"/>
          <w:szCs w:val="30"/>
          <w:u w:val="single"/>
        </w:rPr>
        <w:t xml:space="preserve">                                                      </w:t>
      </w:r>
    </w:p>
    <w:p>
      <w:pPr>
        <w:pStyle w:val="30"/>
        <w:jc w:val="center"/>
        <w:rPr>
          <w:rFonts w:ascii="宋体" w:hAnsi="宋体"/>
          <w:b/>
          <w:sz w:val="28"/>
          <w:szCs w:val="28"/>
        </w:rPr>
        <w:sectPr>
          <w:headerReference r:id="rId5" w:type="default"/>
          <w:footerReference r:id="rId6" w:type="even"/>
          <w:pgSz w:w="11906" w:h="16838"/>
          <w:pgMar w:top="1440" w:right="1797" w:bottom="1440" w:left="1797" w:header="851" w:footer="992" w:gutter="0"/>
          <w:cols w:space="425" w:num="1"/>
          <w:docGrid w:type="linesAndChars" w:linePitch="312" w:charSpace="0"/>
        </w:sectPr>
      </w:pPr>
      <w:r>
        <w:rPr>
          <w:rFonts w:hint="eastAsia" w:ascii="宋体" w:hAnsi="宋体"/>
          <w:b/>
          <w:sz w:val="28"/>
          <w:szCs w:val="28"/>
        </w:rPr>
        <w:t>湖南省市场监督管理局   发布</w:t>
      </w:r>
    </w:p>
    <w:p>
      <w:pPr>
        <w:pStyle w:val="16"/>
        <w:jc w:val="center"/>
        <w:rPr>
          <w:rFonts w:ascii="宋体" w:hAnsi="宋体"/>
          <w:b w:val="0"/>
          <w:sz w:val="32"/>
          <w:szCs w:val="32"/>
        </w:rPr>
      </w:pPr>
      <w:r>
        <w:rPr>
          <w:rFonts w:hint="eastAsia" w:ascii="宋体" w:hAnsi="宋体"/>
          <w:b w:val="0"/>
          <w:sz w:val="32"/>
          <w:szCs w:val="32"/>
        </w:rPr>
        <w:t>目  次</w:t>
      </w:r>
    </w:p>
    <w:p>
      <w:pPr>
        <w:pStyle w:val="16"/>
        <w:tabs>
          <w:tab w:val="right" w:leader="dot" w:pos="8302"/>
        </w:tabs>
        <w:rPr>
          <w:rFonts w:asciiTheme="minorHAnsi" w:hAnsiTheme="minorHAnsi" w:eastAsiaTheme="minorEastAsia" w:cstheme="minorBidi"/>
          <w:b w:val="0"/>
          <w:bCs w:val="0"/>
          <w:caps w:val="0"/>
          <w:sz w:val="21"/>
          <w:szCs w:val="22"/>
        </w:rPr>
      </w:pPr>
      <w:r>
        <w:rPr>
          <w:rFonts w:ascii="宋体" w:hAnsi="宋体"/>
          <w:b w:val="0"/>
          <w:sz w:val="21"/>
          <w:szCs w:val="21"/>
        </w:rPr>
        <w:fldChar w:fldCharType="begin"/>
      </w:r>
      <w:r>
        <w:rPr>
          <w:rFonts w:ascii="宋体" w:hAnsi="宋体"/>
          <w:b w:val="0"/>
          <w:sz w:val="21"/>
          <w:szCs w:val="21"/>
        </w:rPr>
        <w:instrText xml:space="preserve"> </w:instrText>
      </w:r>
      <w:r>
        <w:rPr>
          <w:rFonts w:hint="eastAsia" w:ascii="宋体" w:hAnsi="宋体"/>
          <w:b w:val="0"/>
          <w:sz w:val="21"/>
          <w:szCs w:val="21"/>
        </w:rPr>
        <w:instrText xml:space="preserve">TOC \o "1-3" \h \z \u</w:instrText>
      </w:r>
      <w:r>
        <w:rPr>
          <w:rFonts w:ascii="宋体" w:hAnsi="宋体"/>
          <w:b w:val="0"/>
          <w:sz w:val="21"/>
          <w:szCs w:val="21"/>
        </w:rPr>
        <w:instrText xml:space="preserve"> </w:instrText>
      </w:r>
      <w:r>
        <w:rPr>
          <w:rFonts w:ascii="宋体" w:hAnsi="宋体"/>
          <w:b w:val="0"/>
          <w:sz w:val="21"/>
          <w:szCs w:val="21"/>
        </w:rPr>
        <w:fldChar w:fldCharType="separate"/>
      </w:r>
      <w:r>
        <w:fldChar w:fldCharType="begin"/>
      </w:r>
      <w:r>
        <w:instrText xml:space="preserve"> HYPERLINK \l "_Toc147734685" </w:instrText>
      </w:r>
      <w:r>
        <w:fldChar w:fldCharType="separate"/>
      </w:r>
      <w:r>
        <w:rPr>
          <w:rStyle w:val="28"/>
        </w:rPr>
        <w:t>前  言</w:t>
      </w:r>
      <w:r>
        <w:tab/>
      </w:r>
      <w:r>
        <w:fldChar w:fldCharType="begin"/>
      </w:r>
      <w:r>
        <w:instrText xml:space="preserve"> PAGEREF _Toc147734685 \h </w:instrText>
      </w:r>
      <w:r>
        <w:fldChar w:fldCharType="separate"/>
      </w:r>
      <w:r>
        <w:t>1</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"_Toc147734686" </w:instrText>
      </w:r>
      <w:r>
        <w:fldChar w:fldCharType="separate"/>
      </w:r>
      <w:r>
        <w:rPr>
          <w:rStyle w:val="28"/>
          <w:rFonts w:ascii="宋体" w:hAnsi="宋体" w:cs="宋体"/>
        </w:rPr>
        <w:t>1 范围</w:t>
      </w:r>
      <w:r>
        <w:tab/>
      </w:r>
      <w:r>
        <w:fldChar w:fldCharType="begin"/>
      </w:r>
      <w:r>
        <w:instrText xml:space="preserve"> PAGEREF _Toc147734686 \h </w:instrText>
      </w:r>
      <w:r>
        <w:fldChar w:fldCharType="separate"/>
      </w:r>
      <w:r>
        <w:t>1</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"_Toc147734687" </w:instrText>
      </w:r>
      <w:r>
        <w:fldChar w:fldCharType="separate"/>
      </w:r>
      <w:r>
        <w:rPr>
          <w:rStyle w:val="28"/>
          <w:rFonts w:ascii="宋体" w:hAnsi="宋体" w:cs="宋体"/>
        </w:rPr>
        <w:t>2 规范性引用文件</w:t>
      </w:r>
      <w:r>
        <w:tab/>
      </w:r>
      <w:r>
        <w:fldChar w:fldCharType="begin"/>
      </w:r>
      <w:r>
        <w:instrText xml:space="preserve"> PAGEREF _Toc147734687 \h </w:instrText>
      </w:r>
      <w:r>
        <w:fldChar w:fldCharType="separate"/>
      </w:r>
      <w:r>
        <w:t>1</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"_Toc147734688" </w:instrText>
      </w:r>
      <w:r>
        <w:fldChar w:fldCharType="separate"/>
      </w:r>
      <w:r>
        <w:rPr>
          <w:rStyle w:val="28"/>
          <w:rFonts w:ascii="宋体" w:hAnsi="宋体" w:cs="宋体"/>
        </w:rPr>
        <w:t>3 术语和定义、缩略语</w:t>
      </w:r>
      <w:r>
        <w:tab/>
      </w:r>
      <w:r>
        <w:fldChar w:fldCharType="begin"/>
      </w:r>
      <w:r>
        <w:instrText xml:space="preserve"> PAGEREF _Toc147734688 \h </w:instrText>
      </w:r>
      <w:r>
        <w:fldChar w:fldCharType="separate"/>
      </w:r>
      <w:r>
        <w:t>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"_Toc147734689" </w:instrText>
      </w:r>
      <w:r>
        <w:fldChar w:fldCharType="separate"/>
      </w:r>
      <w:r>
        <w:rPr>
          <w:rStyle w:val="28"/>
        </w:rPr>
        <w:t>3.1术语和定义</w:t>
      </w:r>
      <w:r>
        <w:tab/>
      </w:r>
      <w:r>
        <w:fldChar w:fldCharType="begin"/>
      </w:r>
      <w:r>
        <w:instrText xml:space="preserve"> PAGEREF _Toc147734689 \h </w:instrText>
      </w:r>
      <w:r>
        <w:fldChar w:fldCharType="separate"/>
      </w:r>
      <w:r>
        <w:t>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"_Toc147734690" </w:instrText>
      </w:r>
      <w:r>
        <w:fldChar w:fldCharType="separate"/>
      </w:r>
      <w:r>
        <w:rPr>
          <w:rStyle w:val="28"/>
        </w:rPr>
        <w:t>3.2 缩略语</w:t>
      </w:r>
      <w:r>
        <w:tab/>
      </w:r>
      <w:r>
        <w:fldChar w:fldCharType="begin"/>
      </w:r>
      <w:r>
        <w:instrText xml:space="preserve"> PAGEREF _Toc147734690 \h </w:instrText>
      </w:r>
      <w:r>
        <w:fldChar w:fldCharType="separate"/>
      </w:r>
      <w:r>
        <w:t>3</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"_Toc147734691" </w:instrText>
      </w:r>
      <w:r>
        <w:fldChar w:fldCharType="separate"/>
      </w:r>
      <w:r>
        <w:rPr>
          <w:rStyle w:val="28"/>
          <w:rFonts w:ascii="宋体" w:hAnsi="宋体" w:cs="宋体"/>
        </w:rPr>
        <w:t>4 技术要求</w:t>
      </w:r>
      <w:r>
        <w:tab/>
      </w:r>
      <w:r>
        <w:fldChar w:fldCharType="begin"/>
      </w:r>
      <w:r>
        <w:instrText xml:space="preserve"> PAGEREF _Toc147734691 \h </w:instrText>
      </w:r>
      <w:r>
        <w:fldChar w:fldCharType="separate"/>
      </w:r>
      <w:r>
        <w:t>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"_Toc147734692" </w:instrText>
      </w:r>
      <w:r>
        <w:fldChar w:fldCharType="separate"/>
      </w:r>
      <w:r>
        <w:rPr>
          <w:rStyle w:val="28"/>
        </w:rPr>
        <w:t>4.1 结构与外观</w:t>
      </w:r>
      <w:r>
        <w:tab/>
      </w:r>
      <w:r>
        <w:fldChar w:fldCharType="begin"/>
      </w:r>
      <w:r>
        <w:instrText xml:space="preserve"> PAGEREF _Toc147734692 \h </w:instrText>
      </w:r>
      <w:r>
        <w:fldChar w:fldCharType="separate"/>
      </w:r>
      <w:r>
        <w:t>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"_Toc147734693" </w:instrText>
      </w:r>
      <w:r>
        <w:fldChar w:fldCharType="separate"/>
      </w:r>
      <w:r>
        <w:rPr>
          <w:rStyle w:val="28"/>
          <w:lang w:eastAsia="en-US"/>
        </w:rPr>
        <w:t xml:space="preserve">4.2 </w:t>
      </w:r>
      <w:r>
        <w:rPr>
          <w:rStyle w:val="28"/>
          <w:lang w:val="zh-TW" w:eastAsia="zh-TW"/>
        </w:rPr>
        <w:t>电气</w:t>
      </w:r>
      <w:r>
        <w:tab/>
      </w:r>
      <w:r>
        <w:fldChar w:fldCharType="begin"/>
      </w:r>
      <w:r>
        <w:instrText xml:space="preserve"> PAGEREF _Toc147734693 \h </w:instrText>
      </w:r>
      <w:r>
        <w:fldChar w:fldCharType="separate"/>
      </w:r>
      <w:r>
        <w:t>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"_Toc147734694" </w:instrText>
      </w:r>
      <w:r>
        <w:fldChar w:fldCharType="separate"/>
      </w:r>
      <w:r>
        <w:rPr>
          <w:rStyle w:val="28"/>
        </w:rPr>
        <w:t>4.3 设置及显示</w:t>
      </w:r>
      <w:r>
        <w:tab/>
      </w:r>
      <w:r>
        <w:fldChar w:fldCharType="begin"/>
      </w:r>
      <w:r>
        <w:instrText xml:space="preserve"> PAGEREF _Toc147734694 \h </w:instrText>
      </w:r>
      <w:r>
        <w:fldChar w:fldCharType="separate"/>
      </w:r>
      <w:r>
        <w:t>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"_Toc147734695" </w:instrText>
      </w:r>
      <w:r>
        <w:fldChar w:fldCharType="separate"/>
      </w:r>
      <w:r>
        <w:rPr>
          <w:rStyle w:val="28"/>
          <w:lang w:eastAsia="en-US"/>
        </w:rPr>
        <w:t>4.4</w:t>
      </w:r>
      <w:r>
        <w:rPr>
          <w:rStyle w:val="28"/>
        </w:rPr>
        <w:t xml:space="preserve"> </w:t>
      </w:r>
      <w:r>
        <w:rPr>
          <w:rStyle w:val="28"/>
          <w:lang w:eastAsia="en-US"/>
        </w:rPr>
        <w:t>接口与输出</w:t>
      </w:r>
      <w:r>
        <w:tab/>
      </w:r>
      <w:r>
        <w:fldChar w:fldCharType="begin"/>
      </w:r>
      <w:r>
        <w:instrText xml:space="preserve"> PAGEREF _Toc147734695 \h </w:instrText>
      </w:r>
      <w:r>
        <w:fldChar w:fldCharType="separate"/>
      </w:r>
      <w:r>
        <w:t>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"_Toc147734696" </w:instrText>
      </w:r>
      <w:r>
        <w:fldChar w:fldCharType="separate"/>
      </w:r>
      <w:r>
        <w:rPr>
          <w:rStyle w:val="28"/>
        </w:rPr>
        <w:t>4.5 数据存储</w:t>
      </w:r>
      <w:r>
        <w:tab/>
      </w:r>
      <w:r>
        <w:fldChar w:fldCharType="begin"/>
      </w:r>
      <w:r>
        <w:instrText xml:space="preserve"> PAGEREF _Toc147734696 \h </w:instrText>
      </w:r>
      <w:r>
        <w:fldChar w:fldCharType="separate"/>
      </w:r>
      <w:r>
        <w:t>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"_Toc147734697" </w:instrText>
      </w:r>
      <w:r>
        <w:fldChar w:fldCharType="separate"/>
      </w:r>
      <w:r>
        <w:rPr>
          <w:rStyle w:val="28"/>
        </w:rPr>
        <w:t>4.6 信号接收性能</w:t>
      </w:r>
      <w:r>
        <w:tab/>
      </w:r>
      <w:r>
        <w:fldChar w:fldCharType="begin"/>
      </w:r>
      <w:r>
        <w:instrText xml:space="preserve"> PAGEREF _Toc147734697 \h </w:instrText>
      </w:r>
      <w:r>
        <w:fldChar w:fldCharType="separate"/>
      </w:r>
      <w:r>
        <w:t>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"_Toc147734698" </w:instrText>
      </w:r>
      <w:r>
        <w:fldChar w:fldCharType="separate"/>
      </w:r>
      <w:r>
        <w:rPr>
          <w:rStyle w:val="28"/>
          <w:lang w:eastAsia="en-US"/>
        </w:rPr>
        <w:t>4.7</w:t>
      </w:r>
      <w:r>
        <w:rPr>
          <w:rStyle w:val="28"/>
        </w:rPr>
        <w:t xml:space="preserve"> </w:t>
      </w:r>
      <w:r>
        <w:rPr>
          <w:rStyle w:val="28"/>
          <w:lang w:eastAsia="en-US"/>
        </w:rPr>
        <w:t>时间特性</w:t>
      </w:r>
      <w:r>
        <w:tab/>
      </w:r>
      <w:r>
        <w:fldChar w:fldCharType="begin"/>
      </w:r>
      <w:r>
        <w:instrText xml:space="preserve"> PAGEREF _Toc147734698 \h </w:instrText>
      </w:r>
      <w:r>
        <w:fldChar w:fldCharType="separate"/>
      </w:r>
      <w:r>
        <w:t>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"_Toc147734699" </w:instrText>
      </w:r>
      <w:r>
        <w:fldChar w:fldCharType="separate"/>
      </w:r>
      <w:r>
        <w:rPr>
          <w:rStyle w:val="28"/>
        </w:rPr>
        <w:t>4.8 内部噪声水平</w:t>
      </w:r>
      <w:r>
        <w:tab/>
      </w:r>
      <w:r>
        <w:fldChar w:fldCharType="begin"/>
      </w:r>
      <w:r>
        <w:instrText xml:space="preserve"> PAGEREF _Toc147734699 \h </w:instrText>
      </w:r>
      <w:r>
        <w:fldChar w:fldCharType="separate"/>
      </w:r>
      <w:r>
        <w:t>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"_Toc147734700" </w:instrText>
      </w:r>
      <w:r>
        <w:fldChar w:fldCharType="separate"/>
      </w:r>
      <w:r>
        <w:rPr>
          <w:rStyle w:val="28"/>
        </w:rPr>
        <w:t>4.9 测量精度</w:t>
      </w:r>
      <w:r>
        <w:tab/>
      </w:r>
      <w:r>
        <w:fldChar w:fldCharType="begin"/>
      </w:r>
      <w:r>
        <w:instrText xml:space="preserve"> PAGEREF _Toc147734700 \h </w:instrText>
      </w:r>
      <w:r>
        <w:fldChar w:fldCharType="separate"/>
      </w:r>
      <w:r>
        <w:t>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"_Toc147734701" </w:instrText>
      </w:r>
      <w:r>
        <w:fldChar w:fldCharType="separate"/>
      </w:r>
      <w:r>
        <w:rPr>
          <w:rStyle w:val="28"/>
        </w:rPr>
        <w:t>4.10 天线相位中心一致性</w:t>
      </w:r>
      <w:r>
        <w:tab/>
      </w:r>
      <w:r>
        <w:fldChar w:fldCharType="begin"/>
      </w:r>
      <w:r>
        <w:instrText xml:space="preserve"> PAGEREF _Toc147734701 \h </w:instrText>
      </w:r>
      <w:r>
        <w:fldChar w:fldCharType="separate"/>
      </w:r>
      <w:r>
        <w:t>9</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"_Toc147734702" </w:instrText>
      </w:r>
      <w:r>
        <w:fldChar w:fldCharType="separate"/>
      </w:r>
      <w:r>
        <w:rPr>
          <w:rStyle w:val="28"/>
        </w:rPr>
        <w:t>4.11 数据处理软件</w:t>
      </w:r>
      <w:r>
        <w:tab/>
      </w:r>
      <w:r>
        <w:fldChar w:fldCharType="begin"/>
      </w:r>
      <w:r>
        <w:instrText xml:space="preserve"> PAGEREF _Toc147734702 \h </w:instrText>
      </w:r>
      <w:r>
        <w:fldChar w:fldCharType="separate"/>
      </w:r>
      <w:r>
        <w:t>9</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"_Toc147734703" </w:instrText>
      </w:r>
      <w:r>
        <w:fldChar w:fldCharType="separate"/>
      </w:r>
      <w:r>
        <w:rPr>
          <w:rStyle w:val="28"/>
          <w:lang w:eastAsia="en-US"/>
        </w:rPr>
        <w:t>4.1</w:t>
      </w:r>
      <w:r>
        <w:rPr>
          <w:rStyle w:val="28"/>
        </w:rPr>
        <w:t xml:space="preserve">2 </w:t>
      </w:r>
      <w:r>
        <w:rPr>
          <w:rStyle w:val="28"/>
          <w:lang w:eastAsia="en-US"/>
        </w:rPr>
        <w:t>环境适应性</w:t>
      </w:r>
      <w:r>
        <w:tab/>
      </w:r>
      <w:r>
        <w:fldChar w:fldCharType="begin"/>
      </w:r>
      <w:r>
        <w:instrText xml:space="preserve"> PAGEREF _Toc147734703 \h </w:instrText>
      </w:r>
      <w:r>
        <w:fldChar w:fldCharType="separate"/>
      </w:r>
      <w:r>
        <w:t>9</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"_Toc147734704" </w:instrText>
      </w:r>
      <w:r>
        <w:fldChar w:fldCharType="separate"/>
      </w:r>
      <w:r>
        <w:rPr>
          <w:rStyle w:val="28"/>
        </w:rPr>
        <w:t>4.13 安全防护</w:t>
      </w:r>
      <w:r>
        <w:tab/>
      </w:r>
      <w:r>
        <w:fldChar w:fldCharType="begin"/>
      </w:r>
      <w:r>
        <w:instrText xml:space="preserve"> PAGEREF _Toc147734704 \h </w:instrText>
      </w:r>
      <w:r>
        <w:fldChar w:fldCharType="separate"/>
      </w:r>
      <w:r>
        <w:t>10</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"_Toc147734705" </w:instrText>
      </w:r>
      <w:r>
        <w:fldChar w:fldCharType="separate"/>
      </w:r>
      <w:r>
        <w:rPr>
          <w:rStyle w:val="28"/>
        </w:rPr>
        <w:t>4.14 电磁兼容性</w:t>
      </w:r>
      <w:r>
        <w:tab/>
      </w:r>
      <w:r>
        <w:fldChar w:fldCharType="begin"/>
      </w:r>
      <w:r>
        <w:instrText xml:space="preserve"> PAGEREF _Toc147734705 \h </w:instrText>
      </w:r>
      <w:r>
        <w:fldChar w:fldCharType="separate"/>
      </w:r>
      <w:r>
        <w:t>10</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"_Toc147734706" </w:instrText>
      </w:r>
      <w:r>
        <w:fldChar w:fldCharType="separate"/>
      </w:r>
      <w:r>
        <w:rPr>
          <w:rStyle w:val="28"/>
        </w:rPr>
        <w:t>4.15 可靠性</w:t>
      </w:r>
      <w:r>
        <w:tab/>
      </w:r>
      <w:r>
        <w:fldChar w:fldCharType="begin"/>
      </w:r>
      <w:r>
        <w:instrText xml:space="preserve"> PAGEREF _Toc147734706 \h </w:instrText>
      </w:r>
      <w:r>
        <w:fldChar w:fldCharType="separate"/>
      </w:r>
      <w:r>
        <w:t>10</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"_Toc147734707" </w:instrText>
      </w:r>
      <w:r>
        <w:fldChar w:fldCharType="separate"/>
      </w:r>
      <w:r>
        <w:rPr>
          <w:rStyle w:val="28"/>
          <w:rFonts w:ascii="宋体" w:hAnsi="宋体" w:cs="宋体"/>
        </w:rPr>
        <w:t>5 检验方法</w:t>
      </w:r>
      <w:r>
        <w:tab/>
      </w:r>
      <w:r>
        <w:fldChar w:fldCharType="begin"/>
      </w:r>
      <w:r>
        <w:instrText xml:space="preserve"> PAGEREF _Toc147734707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"_Toc147734708" </w:instrText>
      </w:r>
      <w:r>
        <w:fldChar w:fldCharType="separate"/>
      </w:r>
      <w:r>
        <w:rPr>
          <w:rStyle w:val="28"/>
        </w:rPr>
        <w:t>5.1 通则</w:t>
      </w:r>
      <w:r>
        <w:tab/>
      </w:r>
      <w:r>
        <w:fldChar w:fldCharType="begin"/>
      </w:r>
      <w:r>
        <w:instrText xml:space="preserve"> PAGEREF _Toc147734708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"_Toc147734709" </w:instrText>
      </w:r>
      <w:r>
        <w:fldChar w:fldCharType="separate"/>
      </w:r>
      <w:r>
        <w:rPr>
          <w:rStyle w:val="28"/>
        </w:rPr>
        <w:t>5.2 检验场地和检验设备</w:t>
      </w:r>
      <w:r>
        <w:tab/>
      </w:r>
      <w:r>
        <w:fldChar w:fldCharType="begin"/>
      </w:r>
      <w:r>
        <w:instrText xml:space="preserve"> PAGEREF _Toc147734709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"_Toc147734710" </w:instrText>
      </w:r>
      <w:r>
        <w:fldChar w:fldCharType="separate"/>
      </w:r>
      <w:r>
        <w:rPr>
          <w:rStyle w:val="28"/>
        </w:rPr>
        <w:t>5.3 结构与外观</w:t>
      </w:r>
      <w:r>
        <w:tab/>
      </w:r>
      <w:r>
        <w:fldChar w:fldCharType="begin"/>
      </w:r>
      <w:r>
        <w:instrText xml:space="preserve"> PAGEREF _Toc147734710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"_Toc147734711" </w:instrText>
      </w:r>
      <w:r>
        <w:fldChar w:fldCharType="separate"/>
      </w:r>
      <w:r>
        <w:rPr>
          <w:rStyle w:val="28"/>
        </w:rPr>
        <w:t>5.4 电气</w:t>
      </w:r>
      <w:r>
        <w:tab/>
      </w:r>
      <w:r>
        <w:fldChar w:fldCharType="begin"/>
      </w:r>
      <w:r>
        <w:instrText xml:space="preserve"> PAGEREF _Toc147734711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"_Toc147734712" </w:instrText>
      </w:r>
      <w:r>
        <w:fldChar w:fldCharType="separate"/>
      </w:r>
      <w:r>
        <w:rPr>
          <w:rStyle w:val="28"/>
        </w:rPr>
        <w:t>5.5 设置及显示</w:t>
      </w:r>
      <w:r>
        <w:tab/>
      </w:r>
      <w:r>
        <w:fldChar w:fldCharType="begin"/>
      </w:r>
      <w:r>
        <w:instrText xml:space="preserve"> PAGEREF _Toc147734712 \h </w:instrText>
      </w:r>
      <w:r>
        <w:fldChar w:fldCharType="separate"/>
      </w:r>
      <w:r>
        <w:t>12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"_Toc147734713" </w:instrText>
      </w:r>
      <w:r>
        <w:fldChar w:fldCharType="separate"/>
      </w:r>
      <w:r>
        <w:rPr>
          <w:rStyle w:val="28"/>
        </w:rPr>
        <w:t>5.6 接口与输出</w:t>
      </w:r>
      <w:r>
        <w:tab/>
      </w:r>
      <w:r>
        <w:fldChar w:fldCharType="begin"/>
      </w:r>
      <w:r>
        <w:instrText xml:space="preserve"> PAGEREF _Toc147734713 \h </w:instrText>
      </w:r>
      <w:r>
        <w:fldChar w:fldCharType="separate"/>
      </w:r>
      <w:r>
        <w:t>12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"_Toc147734714" </w:instrText>
      </w:r>
      <w:r>
        <w:fldChar w:fldCharType="separate"/>
      </w:r>
      <w:r>
        <w:rPr>
          <w:rStyle w:val="28"/>
        </w:rPr>
        <w:t>5.7 数据存储</w:t>
      </w:r>
      <w:r>
        <w:tab/>
      </w:r>
      <w:r>
        <w:fldChar w:fldCharType="begin"/>
      </w:r>
      <w:r>
        <w:instrText xml:space="preserve"> PAGEREF _Toc147734714 \h </w:instrText>
      </w:r>
      <w:r>
        <w:fldChar w:fldCharType="separate"/>
      </w:r>
      <w:r>
        <w:t>12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"_Toc147734715" </w:instrText>
      </w:r>
      <w:r>
        <w:fldChar w:fldCharType="separate"/>
      </w:r>
      <w:r>
        <w:rPr>
          <w:rStyle w:val="28"/>
        </w:rPr>
        <w:t>5.8 信号接收性能</w:t>
      </w:r>
      <w:r>
        <w:tab/>
      </w:r>
      <w:r>
        <w:fldChar w:fldCharType="begin"/>
      </w:r>
      <w:r>
        <w:instrText xml:space="preserve"> PAGEREF _Toc147734715 \h </w:instrText>
      </w:r>
      <w:r>
        <w:fldChar w:fldCharType="separate"/>
      </w:r>
      <w:r>
        <w:t>12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"_Toc147734716" </w:instrText>
      </w:r>
      <w:r>
        <w:fldChar w:fldCharType="separate"/>
      </w:r>
      <w:r>
        <w:rPr>
          <w:rStyle w:val="28"/>
        </w:rPr>
        <w:t>5.9 时间特性</w:t>
      </w:r>
      <w:r>
        <w:tab/>
      </w:r>
      <w:r>
        <w:fldChar w:fldCharType="begin"/>
      </w:r>
      <w:r>
        <w:instrText xml:space="preserve"> PAGEREF _Toc147734716 \h </w:instrText>
      </w:r>
      <w:r>
        <w:fldChar w:fldCharType="separate"/>
      </w:r>
      <w:r>
        <w:t>13</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"_Toc147734717" </w:instrText>
      </w:r>
      <w:r>
        <w:fldChar w:fldCharType="separate"/>
      </w:r>
      <w:r>
        <w:rPr>
          <w:rStyle w:val="28"/>
        </w:rPr>
        <w:t>5.10 内部噪声水平</w:t>
      </w:r>
      <w:r>
        <w:tab/>
      </w:r>
      <w:r>
        <w:fldChar w:fldCharType="begin"/>
      </w:r>
      <w:r>
        <w:instrText xml:space="preserve"> PAGEREF _Toc147734717 \h </w:instrText>
      </w:r>
      <w:r>
        <w:fldChar w:fldCharType="separate"/>
      </w:r>
      <w:r>
        <w:t>14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"_Toc147734718" </w:instrText>
      </w:r>
      <w:r>
        <w:fldChar w:fldCharType="separate"/>
      </w:r>
      <w:r>
        <w:rPr>
          <w:rStyle w:val="28"/>
        </w:rPr>
        <w:t>5.11 测量精度</w:t>
      </w:r>
      <w:r>
        <w:tab/>
      </w:r>
      <w:r>
        <w:fldChar w:fldCharType="begin"/>
      </w:r>
      <w:r>
        <w:instrText xml:space="preserve"> PAGEREF _Toc147734718 \h </w:instrText>
      </w:r>
      <w:r>
        <w:fldChar w:fldCharType="separate"/>
      </w:r>
      <w:r>
        <w:t>14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"_Toc147734719" </w:instrText>
      </w:r>
      <w:r>
        <w:fldChar w:fldCharType="separate"/>
      </w:r>
      <w:r>
        <w:rPr>
          <w:rStyle w:val="28"/>
        </w:rPr>
        <w:t>5.12 天线相位中心一致性</w:t>
      </w:r>
      <w:r>
        <w:tab/>
      </w:r>
      <w:r>
        <w:fldChar w:fldCharType="begin"/>
      </w:r>
      <w:r>
        <w:instrText xml:space="preserve"> PAGEREF _Toc147734719 \h </w:instrText>
      </w:r>
      <w:r>
        <w:fldChar w:fldCharType="separate"/>
      </w:r>
      <w:r>
        <w:t>15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"_Toc147734720" </w:instrText>
      </w:r>
      <w:r>
        <w:fldChar w:fldCharType="separate"/>
      </w:r>
      <w:r>
        <w:rPr>
          <w:rStyle w:val="28"/>
        </w:rPr>
        <w:t>5.13 数据处理软件</w:t>
      </w:r>
      <w:r>
        <w:tab/>
      </w:r>
      <w:r>
        <w:fldChar w:fldCharType="begin"/>
      </w:r>
      <w:r>
        <w:instrText xml:space="preserve"> PAGEREF _Toc147734720 \h </w:instrText>
      </w:r>
      <w:r>
        <w:fldChar w:fldCharType="separate"/>
      </w:r>
      <w:r>
        <w:t>15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"_Toc147734721" </w:instrText>
      </w:r>
      <w:r>
        <w:fldChar w:fldCharType="separate"/>
      </w:r>
      <w:r>
        <w:rPr>
          <w:rStyle w:val="28"/>
        </w:rPr>
        <w:t>5.14 环境适应性</w:t>
      </w:r>
      <w:r>
        <w:tab/>
      </w:r>
      <w:r>
        <w:fldChar w:fldCharType="begin"/>
      </w:r>
      <w:r>
        <w:instrText xml:space="preserve"> PAGEREF _Toc147734721 \h </w:instrText>
      </w:r>
      <w:r>
        <w:fldChar w:fldCharType="separate"/>
      </w:r>
      <w:r>
        <w:t>16</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"_Toc147734722" </w:instrText>
      </w:r>
      <w:r>
        <w:fldChar w:fldCharType="separate"/>
      </w:r>
      <w:r>
        <w:rPr>
          <w:rStyle w:val="28"/>
        </w:rPr>
        <w:t>5.15 安全防护</w:t>
      </w:r>
      <w:r>
        <w:tab/>
      </w:r>
      <w:r>
        <w:fldChar w:fldCharType="begin"/>
      </w:r>
      <w:r>
        <w:instrText xml:space="preserve"> PAGEREF _Toc147734722 \h </w:instrText>
      </w:r>
      <w:r>
        <w:fldChar w:fldCharType="separate"/>
      </w:r>
      <w:r>
        <w:t>16</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"_Toc147734723" </w:instrText>
      </w:r>
      <w:r>
        <w:fldChar w:fldCharType="separate"/>
      </w:r>
      <w:r>
        <w:rPr>
          <w:rStyle w:val="28"/>
        </w:rPr>
        <w:t>5.16 电磁兼容性</w:t>
      </w:r>
      <w:r>
        <w:tab/>
      </w:r>
      <w:r>
        <w:fldChar w:fldCharType="begin"/>
      </w:r>
      <w:r>
        <w:instrText xml:space="preserve"> PAGEREF _Toc147734723 \h </w:instrText>
      </w:r>
      <w:r>
        <w:fldChar w:fldCharType="separate"/>
      </w:r>
      <w:r>
        <w:t>17</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"_Toc147734724" </w:instrText>
      </w:r>
      <w:r>
        <w:fldChar w:fldCharType="separate"/>
      </w:r>
      <w:r>
        <w:rPr>
          <w:rStyle w:val="28"/>
        </w:rPr>
        <w:t>5.17 可靠性</w:t>
      </w:r>
      <w:r>
        <w:tab/>
      </w:r>
      <w:r>
        <w:fldChar w:fldCharType="begin"/>
      </w:r>
      <w:r>
        <w:instrText xml:space="preserve"> PAGEREF _Toc147734724 \h </w:instrText>
      </w:r>
      <w:r>
        <w:fldChar w:fldCharType="separate"/>
      </w:r>
      <w:r>
        <w:t>17</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"_Toc147734725" </w:instrText>
      </w:r>
      <w:r>
        <w:fldChar w:fldCharType="separate"/>
      </w:r>
      <w:r>
        <w:rPr>
          <w:rStyle w:val="28"/>
          <w:rFonts w:ascii="宋体" w:hAnsi="宋体" w:cs="宋体"/>
        </w:rPr>
        <w:t>6 质量评定程序</w:t>
      </w:r>
      <w:r>
        <w:tab/>
      </w:r>
      <w:r>
        <w:fldChar w:fldCharType="begin"/>
      </w:r>
      <w:r>
        <w:instrText xml:space="preserve"> PAGEREF _Toc147734725 \h </w:instrText>
      </w:r>
      <w:r>
        <w:fldChar w:fldCharType="separate"/>
      </w:r>
      <w:r>
        <w:t>18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"_Toc147734726" </w:instrText>
      </w:r>
      <w:r>
        <w:fldChar w:fldCharType="separate"/>
      </w:r>
      <w:r>
        <w:rPr>
          <w:rStyle w:val="28"/>
        </w:rPr>
        <w:t>6.1 检验分类</w:t>
      </w:r>
      <w:r>
        <w:tab/>
      </w:r>
      <w:r>
        <w:fldChar w:fldCharType="begin"/>
      </w:r>
      <w:r>
        <w:instrText xml:space="preserve"> PAGEREF _Toc147734726 \h </w:instrText>
      </w:r>
      <w:r>
        <w:fldChar w:fldCharType="separate"/>
      </w:r>
      <w:r>
        <w:t>18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"_Toc147734727" </w:instrText>
      </w:r>
      <w:r>
        <w:fldChar w:fldCharType="separate"/>
      </w:r>
      <w:r>
        <w:rPr>
          <w:rStyle w:val="28"/>
        </w:rPr>
        <w:t>6.2 检验项目及顺序</w:t>
      </w:r>
      <w:r>
        <w:tab/>
      </w:r>
      <w:r>
        <w:fldChar w:fldCharType="begin"/>
      </w:r>
      <w:r>
        <w:instrText xml:space="preserve"> PAGEREF _Toc147734727 \h </w:instrText>
      </w:r>
      <w:r>
        <w:fldChar w:fldCharType="separate"/>
      </w:r>
      <w:r>
        <w:t>18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"_Toc147734728" </w:instrText>
      </w:r>
      <w:r>
        <w:fldChar w:fldCharType="separate"/>
      </w:r>
      <w:r>
        <w:rPr>
          <w:rStyle w:val="28"/>
        </w:rPr>
        <w:t>6.3 鉴定检验</w:t>
      </w:r>
      <w:r>
        <w:tab/>
      </w:r>
      <w:r>
        <w:fldChar w:fldCharType="begin"/>
      </w:r>
      <w:r>
        <w:instrText xml:space="preserve"> PAGEREF _Toc147734728 \h </w:instrText>
      </w:r>
      <w:r>
        <w:fldChar w:fldCharType="separate"/>
      </w:r>
      <w:r>
        <w:t>19</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"_Toc147734729" </w:instrText>
      </w:r>
      <w:r>
        <w:fldChar w:fldCharType="separate"/>
      </w:r>
      <w:r>
        <w:rPr>
          <w:rStyle w:val="28"/>
        </w:rPr>
        <w:t>6.4 质量一致性检验</w:t>
      </w:r>
      <w:r>
        <w:tab/>
      </w:r>
      <w:r>
        <w:fldChar w:fldCharType="begin"/>
      </w:r>
      <w:r>
        <w:instrText xml:space="preserve"> PAGEREF _Toc147734729 \h </w:instrText>
      </w:r>
      <w:r>
        <w:fldChar w:fldCharType="separate"/>
      </w:r>
      <w:r>
        <w:t>19</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"_Toc147734730" </w:instrText>
      </w:r>
      <w:r>
        <w:fldChar w:fldCharType="separate"/>
      </w:r>
      <w:r>
        <w:rPr>
          <w:rStyle w:val="28"/>
          <w:rFonts w:ascii="宋体" w:hAnsi="宋体" w:cs="宋体"/>
        </w:rPr>
        <w:t>7 标志、包装、运输和贮存</w:t>
      </w:r>
      <w:r>
        <w:tab/>
      </w:r>
      <w:r>
        <w:fldChar w:fldCharType="begin"/>
      </w:r>
      <w:r>
        <w:instrText xml:space="preserve"> PAGEREF _Toc147734730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"_Toc147734731" </w:instrText>
      </w:r>
      <w:r>
        <w:fldChar w:fldCharType="separate"/>
      </w:r>
      <w:r>
        <w:rPr>
          <w:rStyle w:val="28"/>
        </w:rPr>
        <w:t>7.1 标志</w:t>
      </w:r>
      <w:r>
        <w:tab/>
      </w:r>
      <w:r>
        <w:fldChar w:fldCharType="begin"/>
      </w:r>
      <w:r>
        <w:instrText xml:space="preserve"> PAGEREF _Toc147734731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"_Toc147734732" </w:instrText>
      </w:r>
      <w:r>
        <w:fldChar w:fldCharType="separate"/>
      </w:r>
      <w:r>
        <w:rPr>
          <w:rStyle w:val="28"/>
        </w:rPr>
        <w:t>7.2包装</w:t>
      </w:r>
      <w:r>
        <w:tab/>
      </w:r>
      <w:r>
        <w:fldChar w:fldCharType="begin"/>
      </w:r>
      <w:r>
        <w:instrText xml:space="preserve"> PAGEREF _Toc147734732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"_Toc147734733" </w:instrText>
      </w:r>
      <w:r>
        <w:fldChar w:fldCharType="separate"/>
      </w:r>
      <w:r>
        <w:rPr>
          <w:rStyle w:val="28"/>
        </w:rPr>
        <w:t>7.3运输</w:t>
      </w:r>
      <w:r>
        <w:tab/>
      </w:r>
      <w:r>
        <w:fldChar w:fldCharType="begin"/>
      </w:r>
      <w:r>
        <w:instrText xml:space="preserve"> PAGEREF _Toc147734733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"_Toc147734734" </w:instrText>
      </w:r>
      <w:r>
        <w:fldChar w:fldCharType="separate"/>
      </w:r>
      <w:r>
        <w:rPr>
          <w:rStyle w:val="28"/>
        </w:rPr>
        <w:t>7.4 贮存</w:t>
      </w:r>
      <w:r>
        <w:tab/>
      </w:r>
      <w:r>
        <w:fldChar w:fldCharType="begin"/>
      </w:r>
      <w:r>
        <w:instrText xml:space="preserve"> PAGEREF _Toc147734734 \h </w:instrText>
      </w:r>
      <w:r>
        <w:fldChar w:fldCharType="separate"/>
      </w:r>
      <w:r>
        <w:t>22</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"_Toc147734735" </w:instrText>
      </w:r>
      <w:r>
        <w:fldChar w:fldCharType="separate"/>
      </w:r>
      <w:r>
        <w:rPr>
          <w:rStyle w:val="28"/>
          <w:rFonts w:ascii="宋体" w:hAnsi="宋体" w:cs="宋体"/>
        </w:rPr>
        <w:t>8使用说明</w:t>
      </w:r>
      <w:r>
        <w:tab/>
      </w:r>
      <w:r>
        <w:fldChar w:fldCharType="begin"/>
      </w:r>
      <w:r>
        <w:instrText xml:space="preserve"> PAGEREF _Toc147734735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"_Toc147734736" </w:instrText>
      </w:r>
      <w:r>
        <w:fldChar w:fldCharType="separate"/>
      </w:r>
      <w:r>
        <w:rPr>
          <w:rStyle w:val="28"/>
        </w:rPr>
        <w:t>8.1 使用说明（书）的编写</w:t>
      </w:r>
      <w:r>
        <w:tab/>
      </w:r>
      <w:r>
        <w:fldChar w:fldCharType="begin"/>
      </w:r>
      <w:r>
        <w:instrText xml:space="preserve"> PAGEREF _Toc147734736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"_Toc147734737" </w:instrText>
      </w:r>
      <w:r>
        <w:fldChar w:fldCharType="separate"/>
      </w:r>
      <w:r>
        <w:rPr>
          <w:rStyle w:val="28"/>
        </w:rPr>
        <w:t>8.2使用说明的验证方法</w:t>
      </w:r>
      <w:r>
        <w:tab/>
      </w:r>
      <w:r>
        <w:fldChar w:fldCharType="begin"/>
      </w:r>
      <w:r>
        <w:instrText xml:space="preserve"> PAGEREF _Toc147734737 \h </w:instrText>
      </w:r>
      <w:r>
        <w:fldChar w:fldCharType="separate"/>
      </w:r>
      <w:r>
        <w:t>23</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"_Toc147734738" </w:instrText>
      </w:r>
      <w:r>
        <w:fldChar w:fldCharType="separate"/>
      </w:r>
      <w:r>
        <w:rPr>
          <w:rStyle w:val="28"/>
          <w:rFonts w:ascii="宋体" w:hAnsi="宋体" w:cs="宋体"/>
        </w:rPr>
        <w:t>附录A（规范性附录） 产品不合格分类</w:t>
      </w:r>
      <w:r>
        <w:tab/>
      </w:r>
      <w:r>
        <w:fldChar w:fldCharType="begin"/>
      </w:r>
      <w:r>
        <w:instrText xml:space="preserve"> PAGEREF _Toc147734738 \h </w:instrText>
      </w:r>
      <w:r>
        <w:fldChar w:fldCharType="separate"/>
      </w:r>
      <w:r>
        <w:t>24</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"_Toc147734739" </w:instrText>
      </w:r>
      <w:r>
        <w:fldChar w:fldCharType="separate"/>
      </w:r>
      <w:r>
        <w:rPr>
          <w:rStyle w:val="28"/>
          <w:rFonts w:ascii="宋体" w:hAnsi="宋体" w:cs="宋体"/>
        </w:rPr>
        <w:t>参考文献</w:t>
      </w:r>
      <w:r>
        <w:tab/>
      </w:r>
      <w:r>
        <w:fldChar w:fldCharType="begin"/>
      </w:r>
      <w:r>
        <w:instrText xml:space="preserve"> PAGEREF _Toc147734739 \h </w:instrText>
      </w:r>
      <w:r>
        <w:fldChar w:fldCharType="separate"/>
      </w:r>
      <w:r>
        <w:t>27</w:t>
      </w:r>
      <w:r>
        <w:fldChar w:fldCharType="end"/>
      </w:r>
      <w:r>
        <w:fldChar w:fldCharType="end"/>
      </w:r>
    </w:p>
    <w:p>
      <w:pPr>
        <w:pStyle w:val="30"/>
        <w:spacing w:line="400" w:lineRule="exact"/>
        <w:jc w:val="center"/>
        <w:rPr>
          <w:rFonts w:ascii="宋体" w:hAnsi="宋体"/>
          <w:sz w:val="36"/>
          <w:szCs w:val="36"/>
        </w:rPr>
      </w:pPr>
      <w:r>
        <w:rPr>
          <w:rFonts w:ascii="宋体" w:hAnsi="宋体"/>
          <w:kern w:val="2"/>
          <w:szCs w:val="21"/>
        </w:rPr>
        <w:fldChar w:fldCharType="end"/>
      </w:r>
    </w:p>
    <w:p>
      <w:pPr>
        <w:spacing w:line="520" w:lineRule="exact"/>
        <w:jc w:val="center"/>
        <w:outlineLvl w:val="0"/>
        <w:rPr>
          <w:rFonts w:ascii="宋体" w:hAnsi="宋体"/>
          <w:b/>
          <w:sz w:val="32"/>
          <w:szCs w:val="32"/>
        </w:rPr>
        <w:sectPr>
          <w:headerReference r:id="rId7" w:type="default"/>
          <w:footerReference r:id="rId8" w:type="default"/>
          <w:pgSz w:w="11906" w:h="16838"/>
          <w:pgMar w:top="1440" w:right="1797" w:bottom="1440" w:left="1797" w:header="851" w:footer="992" w:gutter="0"/>
          <w:pgNumType w:start="1"/>
          <w:cols w:space="425" w:num="1"/>
          <w:docGrid w:type="linesAndChars" w:linePitch="312" w:charSpace="0"/>
        </w:sectPr>
      </w:pPr>
    </w:p>
    <w:p>
      <w:pPr>
        <w:pStyle w:val="2"/>
        <w:spacing w:before="312" w:after="156"/>
        <w:jc w:val="center"/>
      </w:pPr>
      <w:bookmarkStart w:id="0" w:name="_Toc147734685"/>
      <w:r>
        <w:rPr>
          <w:rFonts w:hint="eastAsia"/>
        </w:rPr>
        <w:t>前  言</w:t>
      </w:r>
      <w:bookmarkEnd w:id="0"/>
    </w:p>
    <w:p>
      <w:pPr>
        <w:spacing w:line="520" w:lineRule="exact"/>
        <w:ind w:firstLine="420" w:firstLineChars="200"/>
        <w:jc w:val="left"/>
        <w:rPr>
          <w:rFonts w:ascii="宋体" w:hAnsi="宋体"/>
          <w:szCs w:val="21"/>
        </w:rPr>
      </w:pPr>
      <w:r>
        <w:rPr>
          <w:rFonts w:hint="eastAsia" w:ascii="宋体" w:hAnsi="宋体"/>
          <w:szCs w:val="21"/>
        </w:rPr>
        <w:t>为适应我国北斗卫星导航卫星系统（BDS）在结构安全监测应用场景扩展过程中对标准的需要，由湖南省市场监督管理局组织制定北斗监测型接收机产品标准，推荐有关方面参考采用。</w:t>
      </w:r>
    </w:p>
    <w:p>
      <w:pPr>
        <w:spacing w:line="520" w:lineRule="exact"/>
        <w:ind w:firstLine="420" w:firstLineChars="200"/>
        <w:jc w:val="left"/>
        <w:rPr>
          <w:rFonts w:ascii="宋体" w:hAnsi="宋体"/>
          <w:szCs w:val="21"/>
        </w:rPr>
      </w:pPr>
      <w:r>
        <w:rPr>
          <w:rFonts w:hint="eastAsia" w:ascii="宋体" w:hAnsi="宋体"/>
          <w:szCs w:val="21"/>
        </w:rPr>
        <w:t>本标准按照GB/T 1.1-2020《标准化工作导则—第1部分：标准化文件的结构和起草规则》给出的规则起草。</w:t>
      </w:r>
    </w:p>
    <w:p>
      <w:pPr>
        <w:spacing w:line="520" w:lineRule="exact"/>
        <w:ind w:firstLine="420" w:firstLineChars="200"/>
        <w:jc w:val="left"/>
        <w:rPr>
          <w:rFonts w:ascii="宋体" w:hAnsi="宋体"/>
          <w:szCs w:val="21"/>
        </w:rPr>
      </w:pPr>
      <w:r>
        <w:rPr>
          <w:rFonts w:hint="eastAsia" w:ascii="宋体" w:hAnsi="宋体"/>
          <w:szCs w:val="21"/>
        </w:rPr>
        <w:t>本标准由湖南省市工业和信息化局提出。</w:t>
      </w:r>
    </w:p>
    <w:p>
      <w:pPr>
        <w:spacing w:line="520" w:lineRule="exact"/>
        <w:ind w:firstLine="420" w:firstLineChars="200"/>
        <w:jc w:val="left"/>
        <w:rPr>
          <w:rFonts w:ascii="宋体" w:hAnsi="宋体"/>
          <w:szCs w:val="21"/>
        </w:rPr>
      </w:pPr>
      <w:r>
        <w:rPr>
          <w:rFonts w:hint="eastAsia" w:ascii="宋体" w:hAnsi="宋体"/>
          <w:szCs w:val="21"/>
        </w:rPr>
        <w:t>本标准由湖南省市工业和信息化局归口。</w:t>
      </w:r>
    </w:p>
    <w:p>
      <w:pPr>
        <w:spacing w:line="520" w:lineRule="exact"/>
        <w:ind w:firstLine="420" w:firstLineChars="200"/>
        <w:jc w:val="left"/>
        <w:rPr>
          <w:rFonts w:ascii="宋体" w:hAnsi="宋体"/>
          <w:szCs w:val="21"/>
        </w:rPr>
      </w:pPr>
      <w:r>
        <w:rPr>
          <w:rFonts w:hint="eastAsia" w:ascii="宋体" w:hAnsi="宋体"/>
          <w:szCs w:val="21"/>
        </w:rPr>
        <w:t>本标准起草单位：湖南联智科技股份有限公司、湖南大学、湖南师范大学、长沙金维信息技术有限公司、中南大学、湖南联智监测科技有限公司、湖南交通职业技术学院、深圳市集众思创科技有限公司、长沙理工大学、湘潭大学。</w:t>
      </w:r>
    </w:p>
    <w:p>
      <w:pPr>
        <w:spacing w:line="520" w:lineRule="exact"/>
        <w:ind w:firstLine="420" w:firstLineChars="200"/>
        <w:jc w:val="left"/>
        <w:rPr>
          <w:rFonts w:ascii="宋体" w:hAnsi="宋体"/>
          <w:szCs w:val="21"/>
        </w:rPr>
      </w:pPr>
      <w:r>
        <w:rPr>
          <w:rFonts w:hint="eastAsia" w:ascii="宋体" w:hAnsi="宋体"/>
          <w:szCs w:val="21"/>
        </w:rPr>
        <w:t>本标准主要起草人：熊用、梁晓东、谢鸿、陈浩、林海军、蒋洪波、邓红卫、庞浩、李鹏、汪鲁才、茅培、彭东黎、雷孟飞、刘妙群、周俊华、肖竹、陈俊名、陆勇、杨科、王文艺、刘正兴、邓龙飞、何亨武、邓畯仁、雷创业、周奇、夏明、赵世民、韩宁、董剑、</w:t>
      </w:r>
      <w:r>
        <w:rPr>
          <w:rFonts w:ascii="宋体" w:hAnsi="宋体"/>
          <w:szCs w:val="21"/>
        </w:rPr>
        <w:t>王鹏</w:t>
      </w:r>
      <w:r>
        <w:rPr>
          <w:rFonts w:hint="eastAsia" w:ascii="宋体" w:hAnsi="宋体"/>
          <w:szCs w:val="21"/>
        </w:rPr>
        <w:t>。</w:t>
      </w:r>
    </w:p>
    <w:p>
      <w:pPr>
        <w:spacing w:line="520" w:lineRule="exact"/>
        <w:ind w:firstLine="420" w:firstLineChars="200"/>
        <w:jc w:val="left"/>
        <w:rPr>
          <w:rFonts w:ascii="宋体" w:hAnsi="宋体"/>
          <w:szCs w:val="21"/>
        </w:rPr>
      </w:pPr>
      <w:r>
        <w:rPr>
          <w:rFonts w:hint="eastAsia" w:ascii="宋体" w:hAnsi="宋体"/>
          <w:szCs w:val="21"/>
        </w:rPr>
        <w:t>本标准为xxxx年xx月xx日首次发布。</w:t>
      </w:r>
    </w:p>
    <w:p>
      <w:pPr>
        <w:spacing w:line="520" w:lineRule="exact"/>
        <w:ind w:firstLine="420" w:firstLineChars="200"/>
        <w:jc w:val="left"/>
        <w:rPr>
          <w:rFonts w:ascii="宋体" w:hAnsi="宋体"/>
          <w:szCs w:val="21"/>
        </w:rPr>
      </w:pPr>
    </w:p>
    <w:p>
      <w:pPr>
        <w:spacing w:line="520" w:lineRule="exact"/>
        <w:jc w:val="center"/>
        <w:rPr>
          <w:rFonts w:ascii="宋体" w:hAnsi="宋体"/>
          <w:b/>
          <w:sz w:val="32"/>
          <w:szCs w:val="32"/>
        </w:rPr>
      </w:pPr>
    </w:p>
    <w:p>
      <w:pPr>
        <w:spacing w:before="312" w:beforeLines="100" w:line="520" w:lineRule="exact"/>
        <w:jc w:val="center"/>
        <w:rPr>
          <w:rFonts w:ascii="宋体" w:hAnsi="宋体"/>
          <w:sz w:val="32"/>
          <w:szCs w:val="32"/>
        </w:rPr>
        <w:sectPr>
          <w:footerReference r:id="rId9" w:type="default"/>
          <w:pgSz w:w="11906" w:h="16838"/>
          <w:pgMar w:top="1440" w:right="1797" w:bottom="1440" w:left="1797" w:header="851" w:footer="992" w:gutter="0"/>
          <w:pgNumType w:start="1"/>
          <w:cols w:space="425" w:num="1"/>
          <w:docGrid w:type="linesAndChars" w:linePitch="312" w:charSpace="0"/>
        </w:sectPr>
      </w:pPr>
    </w:p>
    <w:p>
      <w:pPr>
        <w:spacing w:before="240" w:beforeLines="100" w:line="520" w:lineRule="exact"/>
        <w:jc w:val="center"/>
        <w:rPr>
          <w:rFonts w:ascii="宋体" w:hAnsi="宋体"/>
          <w:b/>
          <w:bCs/>
          <w:sz w:val="32"/>
          <w:szCs w:val="32"/>
        </w:rPr>
      </w:pPr>
      <w:r>
        <w:rPr>
          <w:rFonts w:hint="eastAsia" w:ascii="宋体" w:hAnsi="宋体"/>
          <w:b/>
          <w:bCs/>
          <w:sz w:val="32"/>
          <w:szCs w:val="32"/>
        </w:rPr>
        <w:t>北斗监测型接收机产品标准</w:t>
      </w:r>
    </w:p>
    <w:p>
      <w:pPr>
        <w:pStyle w:val="2"/>
        <w:spacing w:before="120" w:beforeLines="50" w:after="120" w:line="240" w:lineRule="auto"/>
        <w:rPr>
          <w:rFonts w:ascii="宋体" w:hAnsi="宋体" w:cs="宋体"/>
        </w:rPr>
      </w:pPr>
      <w:bookmarkStart w:id="1" w:name="_Toc147734686"/>
      <w:r>
        <w:rPr>
          <w:rFonts w:hint="eastAsia" w:ascii="宋体" w:hAnsi="宋体" w:cs="宋体"/>
        </w:rPr>
        <w:t>1 范围</w:t>
      </w:r>
      <w:bookmarkEnd w:id="1"/>
    </w:p>
    <w:p>
      <w:pPr>
        <w:spacing w:before="120" w:beforeLines="50" w:after="120" w:afterLines="50"/>
        <w:ind w:firstLine="420" w:firstLineChars="200"/>
        <w:rPr>
          <w:szCs w:val="21"/>
        </w:rPr>
      </w:pPr>
      <w:r>
        <w:rPr>
          <w:rFonts w:hint="eastAsia"/>
          <w:szCs w:val="21"/>
        </w:rPr>
        <w:t>本标准规定了北斗监测型接收机（以下简称监测型接收机）的技术要求、检验方法、质量评定程序、标志、包装、运输、贮存以及使用说明。</w:t>
      </w:r>
    </w:p>
    <w:p>
      <w:pPr>
        <w:spacing w:before="120" w:beforeLines="50" w:after="120" w:afterLines="50"/>
        <w:ind w:firstLine="420" w:firstLineChars="200"/>
        <w:rPr>
          <w:szCs w:val="21"/>
        </w:rPr>
      </w:pPr>
      <w:r>
        <w:rPr>
          <w:rFonts w:hint="eastAsia"/>
          <w:szCs w:val="21"/>
        </w:rPr>
        <w:t>本标准适用于监测型接收机的研制、生产、使用和检验，其他类型接收机可参照使用。</w:t>
      </w:r>
    </w:p>
    <w:p>
      <w:pPr>
        <w:pStyle w:val="2"/>
        <w:spacing w:before="120" w:beforeLines="50" w:after="120" w:line="240" w:lineRule="auto"/>
        <w:rPr>
          <w:rFonts w:ascii="宋体" w:hAnsi="宋体" w:cs="宋体"/>
        </w:rPr>
      </w:pPr>
      <w:bookmarkStart w:id="2" w:name="_Toc147734687"/>
      <w:r>
        <w:rPr>
          <w:rFonts w:hint="eastAsia" w:ascii="宋体" w:hAnsi="宋体" w:cs="宋体"/>
        </w:rPr>
        <w:t>2 规范性引用文件</w:t>
      </w:r>
      <w:bookmarkEnd w:id="2"/>
    </w:p>
    <w:p>
      <w:pPr>
        <w:spacing w:before="120" w:beforeLines="50" w:after="120" w:afterLines="50"/>
        <w:ind w:firstLine="420" w:firstLineChars="200"/>
        <w:rPr>
          <w:szCs w:val="21"/>
        </w:rPr>
      </w:pPr>
      <w:r>
        <w:rPr>
          <w:rFonts w:hint="eastAsia"/>
          <w:szCs w:val="21"/>
        </w:rPr>
        <w:t>下列文件对于本文件的应用是必不可少的。凡是注日期的引用文件，仅注日期的版本适用于本文件。凡是不注日期的引用文件，其最新版本（包含所有的修改单）适用于本文件。</w:t>
      </w:r>
    </w:p>
    <w:p>
      <w:pPr>
        <w:spacing w:before="120" w:beforeLines="50" w:after="120" w:afterLines="50"/>
        <w:ind w:firstLine="420" w:firstLineChars="200"/>
        <w:rPr>
          <w:szCs w:val="21"/>
        </w:rPr>
      </w:pPr>
      <w:r>
        <w:rPr>
          <w:rFonts w:hint="eastAsia"/>
          <w:szCs w:val="21"/>
        </w:rPr>
        <w:t>GB/T 191 包装储运图示标志</w:t>
      </w:r>
    </w:p>
    <w:p>
      <w:pPr>
        <w:spacing w:before="120" w:beforeLines="50" w:after="120" w:afterLines="50"/>
        <w:ind w:firstLine="420" w:firstLineChars="200"/>
        <w:rPr>
          <w:szCs w:val="21"/>
        </w:rPr>
      </w:pPr>
      <w:r>
        <w:rPr>
          <w:rFonts w:hint="eastAsia"/>
          <w:szCs w:val="21"/>
        </w:rPr>
        <w:t>GB/T 2828.1-2012 计数抽样检验程序 第1部分：按接收质量限（AQL）检索的逐批检验抽样计划</w:t>
      </w:r>
    </w:p>
    <w:p>
      <w:pPr>
        <w:spacing w:before="120" w:beforeLines="50" w:after="120" w:afterLines="50"/>
        <w:ind w:firstLine="420" w:firstLineChars="200"/>
        <w:rPr>
          <w:szCs w:val="21"/>
        </w:rPr>
      </w:pPr>
      <w:r>
        <w:rPr>
          <w:rFonts w:hint="eastAsia"/>
          <w:szCs w:val="21"/>
        </w:rPr>
        <w:t>GB/T 2829 周期检验计数抽样程序及表（适用于对过程稳定性的检验）</w:t>
      </w:r>
    </w:p>
    <w:p>
      <w:pPr>
        <w:spacing w:before="120" w:beforeLines="50" w:after="120" w:afterLines="50"/>
        <w:ind w:firstLine="420" w:firstLineChars="200"/>
        <w:rPr>
          <w:szCs w:val="21"/>
        </w:rPr>
      </w:pPr>
      <w:r>
        <w:rPr>
          <w:rFonts w:hint="eastAsia"/>
          <w:szCs w:val="21"/>
        </w:rPr>
        <w:t>GB/T 4208-2017 外壳防护等级（IP代码）</w:t>
      </w:r>
    </w:p>
    <w:p>
      <w:pPr>
        <w:spacing w:before="120" w:beforeLines="50" w:after="120" w:afterLines="50"/>
        <w:ind w:firstLine="420" w:firstLineChars="200"/>
        <w:rPr>
          <w:szCs w:val="21"/>
        </w:rPr>
      </w:pPr>
      <w:r>
        <w:rPr>
          <w:rFonts w:hint="eastAsia"/>
          <w:szCs w:val="21"/>
        </w:rPr>
        <w:t>GB/T 4857.5 包装 运输包装件 跌落试验方法</w:t>
      </w:r>
    </w:p>
    <w:p>
      <w:pPr>
        <w:spacing w:before="120" w:beforeLines="50" w:after="120" w:afterLines="50"/>
        <w:ind w:firstLine="420" w:firstLineChars="200"/>
        <w:rPr>
          <w:szCs w:val="21"/>
        </w:rPr>
      </w:pPr>
      <w:r>
        <w:rPr>
          <w:rFonts w:hint="eastAsia"/>
          <w:szCs w:val="21"/>
        </w:rPr>
        <w:t>GB/T 5080.1-2012 可靠性试验 第1部分：试验条件和统计检验原理</w:t>
      </w:r>
    </w:p>
    <w:p>
      <w:pPr>
        <w:spacing w:before="120" w:beforeLines="50" w:after="120" w:afterLines="50"/>
        <w:ind w:firstLine="420" w:firstLineChars="200"/>
        <w:rPr>
          <w:szCs w:val="21"/>
        </w:rPr>
      </w:pPr>
      <w:r>
        <w:rPr>
          <w:rFonts w:hint="eastAsia"/>
          <w:szCs w:val="21"/>
        </w:rPr>
        <w:t>GB/T 5080.7 设备可靠性试验 恒定失效率假设下的失效率与平均无故障时间的验证试验方案</w:t>
      </w:r>
    </w:p>
    <w:p>
      <w:pPr>
        <w:spacing w:before="120" w:beforeLines="50" w:after="120" w:afterLines="50"/>
        <w:ind w:firstLine="420" w:firstLineChars="200"/>
        <w:rPr>
          <w:szCs w:val="21"/>
        </w:rPr>
      </w:pPr>
      <w:r>
        <w:rPr>
          <w:rFonts w:hint="eastAsia"/>
          <w:szCs w:val="21"/>
        </w:rPr>
        <w:t>GB/T 6388 运输包装收发货标志</w:t>
      </w:r>
    </w:p>
    <w:p>
      <w:pPr>
        <w:spacing w:before="120" w:beforeLines="50" w:after="120" w:afterLines="50"/>
        <w:ind w:firstLine="420" w:firstLineChars="200"/>
        <w:rPr>
          <w:szCs w:val="21"/>
        </w:rPr>
      </w:pPr>
      <w:r>
        <w:rPr>
          <w:rFonts w:hint="eastAsia"/>
          <w:szCs w:val="21"/>
        </w:rPr>
        <w:t>GB/T 9254-2008 信息技术设备的无线电骚扰限值和测量方法</w:t>
      </w:r>
    </w:p>
    <w:p>
      <w:pPr>
        <w:spacing w:before="120" w:beforeLines="50" w:after="120" w:afterLines="50"/>
        <w:ind w:firstLine="420" w:firstLineChars="200"/>
        <w:rPr>
          <w:szCs w:val="21"/>
        </w:rPr>
      </w:pPr>
      <w:r>
        <w:rPr>
          <w:rFonts w:hint="eastAsia"/>
          <w:szCs w:val="21"/>
        </w:rPr>
        <w:t>GB/T 9969 工业产品使用说明书 总则</w:t>
      </w:r>
    </w:p>
    <w:p>
      <w:pPr>
        <w:spacing w:before="120" w:beforeLines="50" w:after="120" w:afterLines="50"/>
        <w:ind w:firstLine="420" w:firstLineChars="200"/>
        <w:rPr>
          <w:szCs w:val="21"/>
        </w:rPr>
      </w:pPr>
      <w:r>
        <w:rPr>
          <w:rFonts w:hint="eastAsia"/>
          <w:szCs w:val="21"/>
        </w:rPr>
        <w:t>GB/T 13384 机电产品包装通用技术条件</w:t>
      </w:r>
    </w:p>
    <w:p>
      <w:pPr>
        <w:spacing w:before="120" w:beforeLines="50" w:after="120" w:afterLines="50"/>
        <w:ind w:firstLine="420" w:firstLineChars="200"/>
        <w:rPr>
          <w:szCs w:val="21"/>
        </w:rPr>
      </w:pPr>
      <w:r>
        <w:rPr>
          <w:rFonts w:hint="eastAsia"/>
          <w:szCs w:val="21"/>
        </w:rPr>
        <w:t>GB/T 17626.3-2016 电磁兼容 试验和测量技术 射频电磁场辐射抗扰度试验</w:t>
      </w:r>
    </w:p>
    <w:p>
      <w:pPr>
        <w:spacing w:before="120" w:beforeLines="50" w:after="120" w:afterLines="50"/>
        <w:ind w:firstLine="420" w:firstLineChars="200"/>
        <w:rPr>
          <w:szCs w:val="21"/>
        </w:rPr>
      </w:pPr>
      <w:r>
        <w:rPr>
          <w:rFonts w:hint="eastAsia"/>
          <w:szCs w:val="21"/>
        </w:rPr>
        <w:t>GB/T 39267-2020 北斗卫星导航术语</w:t>
      </w:r>
    </w:p>
    <w:p>
      <w:pPr>
        <w:spacing w:before="120" w:beforeLines="50" w:after="120" w:afterLines="50"/>
        <w:ind w:firstLine="420" w:firstLineChars="200"/>
        <w:rPr>
          <w:szCs w:val="21"/>
        </w:rPr>
      </w:pPr>
      <w:r>
        <w:rPr>
          <w:rFonts w:hint="eastAsia"/>
          <w:szCs w:val="21"/>
        </w:rPr>
        <w:t>GB/T 39399-2020 北斗卫星导航系统测量型接收机通用规范</w:t>
      </w:r>
    </w:p>
    <w:p>
      <w:pPr>
        <w:pStyle w:val="2"/>
        <w:spacing w:before="120" w:beforeLines="50" w:after="120" w:line="240" w:lineRule="auto"/>
        <w:rPr>
          <w:rFonts w:ascii="宋体" w:hAnsi="宋体" w:cs="宋体"/>
        </w:rPr>
      </w:pPr>
      <w:bookmarkStart w:id="3" w:name="_Toc147734688"/>
      <w:r>
        <w:rPr>
          <w:rFonts w:hint="eastAsia" w:ascii="宋体" w:hAnsi="宋体" w:cs="宋体"/>
        </w:rPr>
        <w:t>3 术语和定义、缩略语</w:t>
      </w:r>
      <w:bookmarkEnd w:id="3"/>
    </w:p>
    <w:p>
      <w:pPr>
        <w:pStyle w:val="3"/>
        <w:spacing w:before="240" w:after="120"/>
      </w:pPr>
      <w:bookmarkStart w:id="4" w:name="_Toc147734689"/>
      <w:r>
        <w:rPr>
          <w:rFonts w:hint="eastAsia"/>
        </w:rPr>
        <w:t>3.1术语和定义</w:t>
      </w:r>
      <w:bookmarkEnd w:id="4"/>
    </w:p>
    <w:p>
      <w:pPr>
        <w:spacing w:before="120" w:beforeLines="50" w:after="120" w:afterLines="50"/>
        <w:ind w:firstLine="420" w:firstLineChars="200"/>
        <w:rPr>
          <w:szCs w:val="21"/>
        </w:rPr>
      </w:pPr>
      <w:r>
        <w:rPr>
          <w:rFonts w:hint="eastAsia"/>
          <w:szCs w:val="21"/>
        </w:rPr>
        <w:t>GB/T 39267-2020界定的以及下列术语和定义适用于本文件。</w:t>
      </w:r>
    </w:p>
    <w:p>
      <w:pPr>
        <w:spacing w:before="120" w:beforeLines="50" w:after="120" w:afterLines="50"/>
        <w:rPr>
          <w:szCs w:val="21"/>
        </w:rPr>
      </w:pPr>
      <w:r>
        <w:rPr>
          <w:rFonts w:hint="eastAsia"/>
          <w:szCs w:val="21"/>
        </w:rPr>
        <w:t>3.1.1</w:t>
      </w:r>
    </w:p>
    <w:p>
      <w:pPr>
        <w:spacing w:before="120" w:beforeLines="50" w:after="120" w:afterLines="50"/>
        <w:ind w:firstLine="420" w:firstLineChars="200"/>
        <w:rPr>
          <w:szCs w:val="21"/>
        </w:rPr>
      </w:pPr>
      <w:r>
        <w:rPr>
          <w:rFonts w:hint="eastAsia"/>
          <w:szCs w:val="21"/>
        </w:rPr>
        <w:t>北斗卫星导航系统监测型接收机 BeiDou navigation satellite system Monitor receiver</w:t>
      </w:r>
    </w:p>
    <w:p>
      <w:pPr>
        <w:spacing w:before="120" w:beforeLines="50" w:after="120" w:afterLines="50"/>
        <w:ind w:firstLine="420" w:firstLineChars="200"/>
        <w:rPr>
          <w:szCs w:val="21"/>
        </w:rPr>
      </w:pPr>
      <w:r>
        <w:rPr>
          <w:rFonts w:hint="eastAsia"/>
          <w:szCs w:val="21"/>
        </w:rPr>
        <w:t>至少具有北斗卫星导航系统跟踪能力，用于结构安全监测的高精度定位GNSS终端设备。</w:t>
      </w:r>
    </w:p>
    <w:p>
      <w:pPr>
        <w:spacing w:before="120" w:beforeLines="50" w:after="120" w:afterLines="50"/>
        <w:ind w:firstLine="420" w:firstLineChars="200"/>
        <w:rPr>
          <w:szCs w:val="21"/>
        </w:rPr>
      </w:pPr>
      <w:r>
        <w:rPr>
          <w:rFonts w:hint="eastAsia"/>
          <w:szCs w:val="21"/>
        </w:rPr>
        <w:t>注：属于GNSS接收机的一种。</w:t>
      </w:r>
    </w:p>
    <w:p>
      <w:pPr>
        <w:spacing w:before="120" w:beforeLines="50" w:after="120" w:afterLines="50"/>
        <w:rPr>
          <w:szCs w:val="21"/>
        </w:rPr>
      </w:pPr>
      <w:r>
        <w:rPr>
          <w:rFonts w:hint="eastAsia"/>
          <w:szCs w:val="21"/>
        </w:rPr>
        <w:t>3.1.2</w:t>
      </w:r>
    </w:p>
    <w:p>
      <w:pPr>
        <w:spacing w:before="120" w:beforeLines="50" w:after="120" w:afterLines="50"/>
        <w:ind w:firstLine="420" w:firstLineChars="200"/>
        <w:rPr>
          <w:szCs w:val="21"/>
        </w:rPr>
      </w:pPr>
      <w:r>
        <w:rPr>
          <w:rFonts w:hint="eastAsia"/>
          <w:szCs w:val="21"/>
        </w:rPr>
        <w:t>数据链 data link</w:t>
      </w:r>
    </w:p>
    <w:p>
      <w:pPr>
        <w:spacing w:before="120" w:beforeLines="50" w:after="120" w:afterLines="50"/>
        <w:ind w:firstLine="420" w:firstLineChars="200"/>
        <w:rPr>
          <w:szCs w:val="21"/>
        </w:rPr>
      </w:pPr>
      <w:r>
        <w:rPr>
          <w:rFonts w:hint="eastAsia"/>
          <w:szCs w:val="21"/>
        </w:rPr>
        <w:t>接收机进行实时动态测量时所使用的通信单元。</w:t>
      </w:r>
    </w:p>
    <w:p>
      <w:pPr>
        <w:spacing w:before="120" w:beforeLines="50" w:after="120" w:afterLines="50"/>
        <w:rPr>
          <w:szCs w:val="21"/>
        </w:rPr>
      </w:pPr>
      <w:r>
        <w:rPr>
          <w:rFonts w:hint="eastAsia"/>
          <w:szCs w:val="21"/>
        </w:rPr>
        <w:t>3.1.3</w:t>
      </w:r>
    </w:p>
    <w:p>
      <w:pPr>
        <w:spacing w:before="120" w:beforeLines="50" w:after="120" w:afterLines="50"/>
        <w:ind w:firstLine="420" w:firstLineChars="200"/>
        <w:rPr>
          <w:szCs w:val="21"/>
        </w:rPr>
      </w:pPr>
      <w:r>
        <w:rPr>
          <w:rFonts w:hint="eastAsia"/>
          <w:szCs w:val="21"/>
        </w:rPr>
        <w:t>捕获灵敏度 acquisition sensitivity</w:t>
      </w:r>
    </w:p>
    <w:p>
      <w:pPr>
        <w:spacing w:before="120" w:beforeLines="50" w:after="120" w:afterLines="50"/>
        <w:ind w:firstLine="420" w:firstLineChars="200"/>
        <w:rPr>
          <w:szCs w:val="21"/>
        </w:rPr>
      </w:pPr>
      <w:r>
        <w:rPr>
          <w:rFonts w:hint="eastAsia"/>
          <w:szCs w:val="21"/>
        </w:rPr>
        <w:t>用户设备在冷启动条件下，捕获导航信号并正常定位所需的最低信号电平。</w:t>
      </w:r>
    </w:p>
    <w:p>
      <w:pPr>
        <w:spacing w:before="120" w:beforeLines="50" w:after="120" w:afterLines="50"/>
        <w:rPr>
          <w:szCs w:val="21"/>
        </w:rPr>
      </w:pPr>
      <w:r>
        <w:rPr>
          <w:rFonts w:hint="eastAsia"/>
          <w:szCs w:val="21"/>
        </w:rPr>
        <w:t>3.1.4</w:t>
      </w:r>
    </w:p>
    <w:p>
      <w:pPr>
        <w:spacing w:before="120" w:beforeLines="50" w:after="120" w:afterLines="50"/>
        <w:ind w:firstLine="420" w:firstLineChars="200"/>
        <w:rPr>
          <w:szCs w:val="21"/>
        </w:rPr>
      </w:pPr>
      <w:r>
        <w:rPr>
          <w:rFonts w:hint="eastAsia"/>
          <w:szCs w:val="21"/>
        </w:rPr>
        <w:t>跟踪灵敏度 tracking sensitivity</w:t>
      </w:r>
    </w:p>
    <w:p>
      <w:pPr>
        <w:spacing w:before="120" w:beforeLines="50" w:after="120" w:afterLines="50"/>
        <w:ind w:firstLine="420" w:firstLineChars="200"/>
        <w:rPr>
          <w:szCs w:val="21"/>
        </w:rPr>
      </w:pPr>
      <w:r>
        <w:rPr>
          <w:rFonts w:hint="eastAsia"/>
          <w:szCs w:val="21"/>
        </w:rPr>
        <w:t>用户设备在正常定位后，能够继续保持对导航信号的跟踪和定位所需的最低信号电平。</w:t>
      </w:r>
    </w:p>
    <w:p>
      <w:pPr>
        <w:spacing w:before="120" w:beforeLines="50" w:after="120" w:afterLines="50"/>
        <w:rPr>
          <w:szCs w:val="21"/>
        </w:rPr>
      </w:pPr>
      <w:r>
        <w:rPr>
          <w:rFonts w:hint="eastAsia"/>
          <w:szCs w:val="21"/>
        </w:rPr>
        <w:t>3.1.5</w:t>
      </w:r>
    </w:p>
    <w:p>
      <w:pPr>
        <w:spacing w:before="120" w:beforeLines="50" w:after="120" w:afterLines="50"/>
        <w:ind w:firstLine="420" w:firstLineChars="200"/>
        <w:rPr>
          <w:szCs w:val="21"/>
        </w:rPr>
      </w:pPr>
      <w:r>
        <w:rPr>
          <w:rFonts w:hint="eastAsia"/>
          <w:szCs w:val="21"/>
        </w:rPr>
        <w:t>冷启动首次定位时间 cold start time to first fix</w:t>
      </w:r>
    </w:p>
    <w:p>
      <w:pPr>
        <w:spacing w:before="120" w:beforeLines="50" w:after="120" w:afterLines="50"/>
        <w:ind w:firstLine="420" w:firstLineChars="200"/>
        <w:rPr>
          <w:szCs w:val="21"/>
        </w:rPr>
      </w:pPr>
      <w:r>
        <w:rPr>
          <w:rFonts w:hint="eastAsia"/>
          <w:szCs w:val="21"/>
        </w:rPr>
        <w:t>用户设备在星历、历书、概略时间和概略位置均未知的状态下，从开机到首次正常定位所需的时间。</w:t>
      </w:r>
    </w:p>
    <w:p>
      <w:pPr>
        <w:spacing w:before="120" w:beforeLines="50" w:after="120" w:afterLines="50"/>
        <w:rPr>
          <w:szCs w:val="21"/>
        </w:rPr>
      </w:pPr>
      <w:r>
        <w:rPr>
          <w:rFonts w:hint="eastAsia"/>
          <w:szCs w:val="21"/>
        </w:rPr>
        <w:t>3.1.6</w:t>
      </w:r>
    </w:p>
    <w:p>
      <w:pPr>
        <w:spacing w:before="120" w:beforeLines="50" w:after="120" w:afterLines="50"/>
        <w:ind w:firstLine="420" w:firstLineChars="200"/>
        <w:rPr>
          <w:szCs w:val="21"/>
        </w:rPr>
      </w:pPr>
      <w:r>
        <w:rPr>
          <w:rFonts w:hint="eastAsia"/>
          <w:szCs w:val="21"/>
        </w:rPr>
        <w:t>温启动首次定位时间 warm start time to first fix</w:t>
      </w:r>
    </w:p>
    <w:p>
      <w:pPr>
        <w:spacing w:before="120" w:beforeLines="50" w:after="120" w:afterLines="50"/>
        <w:ind w:firstLine="420" w:firstLineChars="200"/>
        <w:rPr>
          <w:szCs w:val="21"/>
        </w:rPr>
      </w:pPr>
      <w:r>
        <w:rPr>
          <w:rFonts w:hint="eastAsia"/>
          <w:szCs w:val="21"/>
        </w:rPr>
        <w:t>用户设备在星历未知、历书、概略时间和概略位置已知的状态下，从开机到首次正常定位所需的时间。</w:t>
      </w:r>
    </w:p>
    <w:p>
      <w:pPr>
        <w:spacing w:before="120" w:beforeLines="50" w:after="120" w:afterLines="50"/>
        <w:rPr>
          <w:szCs w:val="21"/>
        </w:rPr>
      </w:pPr>
      <w:r>
        <w:rPr>
          <w:rFonts w:hint="eastAsia"/>
          <w:szCs w:val="21"/>
        </w:rPr>
        <w:t>3.1.7</w:t>
      </w:r>
    </w:p>
    <w:p>
      <w:pPr>
        <w:spacing w:before="120" w:beforeLines="50" w:after="120" w:afterLines="50"/>
        <w:ind w:firstLine="420" w:firstLineChars="200"/>
        <w:rPr>
          <w:szCs w:val="21"/>
        </w:rPr>
      </w:pPr>
      <w:r>
        <w:rPr>
          <w:rFonts w:hint="eastAsia"/>
          <w:szCs w:val="21"/>
        </w:rPr>
        <w:t>热启动首次定位时间 hot start time to first fix</w:t>
      </w:r>
    </w:p>
    <w:p>
      <w:pPr>
        <w:spacing w:before="120" w:beforeLines="50" w:after="120" w:afterLines="50"/>
        <w:ind w:firstLine="420" w:firstLineChars="200"/>
        <w:rPr>
          <w:szCs w:val="21"/>
        </w:rPr>
      </w:pPr>
      <w:r>
        <w:rPr>
          <w:rFonts w:hint="eastAsia"/>
          <w:szCs w:val="21"/>
        </w:rPr>
        <w:t>用户设备在星历、历书、概略时间和概略位置已知的状态下，从开机到首次正常定位所需的时间。</w:t>
      </w:r>
    </w:p>
    <w:p>
      <w:pPr>
        <w:spacing w:before="120" w:beforeLines="50" w:after="120" w:afterLines="50"/>
        <w:rPr>
          <w:szCs w:val="21"/>
        </w:rPr>
      </w:pPr>
      <w:r>
        <w:rPr>
          <w:rFonts w:hint="eastAsia"/>
          <w:szCs w:val="21"/>
        </w:rPr>
        <w:t>3.1.8</w:t>
      </w:r>
    </w:p>
    <w:p>
      <w:pPr>
        <w:spacing w:before="120" w:beforeLines="50" w:after="120" w:afterLines="50"/>
        <w:ind w:firstLine="420" w:firstLineChars="200"/>
        <w:rPr>
          <w:szCs w:val="21"/>
        </w:rPr>
      </w:pPr>
      <w:r>
        <w:rPr>
          <w:rFonts w:hint="eastAsia"/>
          <w:szCs w:val="21"/>
        </w:rPr>
        <w:t>平均无故障间隔时间 mean time between failure</w:t>
      </w:r>
    </w:p>
    <w:p>
      <w:pPr>
        <w:spacing w:before="120" w:beforeLines="50" w:after="120" w:afterLines="50"/>
        <w:ind w:firstLine="420" w:firstLineChars="200"/>
        <w:rPr>
          <w:szCs w:val="21"/>
        </w:rPr>
      </w:pPr>
      <w:r>
        <w:rPr>
          <w:rFonts w:hint="eastAsia"/>
          <w:szCs w:val="21"/>
        </w:rPr>
        <w:t>相邻两次故障之间的平均工作时间。</w:t>
      </w:r>
    </w:p>
    <w:p>
      <w:pPr>
        <w:spacing w:before="120" w:beforeLines="50" w:after="120" w:afterLines="50"/>
        <w:ind w:firstLine="420" w:firstLineChars="200"/>
        <w:rPr>
          <w:szCs w:val="21"/>
        </w:rPr>
      </w:pPr>
      <w:r>
        <w:rPr>
          <w:rFonts w:hint="eastAsia"/>
          <w:szCs w:val="21"/>
        </w:rPr>
        <w:t>注：单位为小时，是衡量一个产品（尤其是电器产品）的可靠性指标，反映产品的时间质量，是体现产品在规定时间内保持功能的一种能力。</w:t>
      </w:r>
    </w:p>
    <w:p>
      <w:pPr>
        <w:spacing w:before="120" w:beforeLines="50" w:after="120" w:afterLines="50"/>
        <w:rPr>
          <w:szCs w:val="21"/>
        </w:rPr>
      </w:pPr>
      <w:r>
        <w:rPr>
          <w:rFonts w:hint="eastAsia"/>
          <w:szCs w:val="21"/>
        </w:rPr>
        <w:t>3.1.</w:t>
      </w:r>
      <w:r>
        <w:rPr>
          <w:szCs w:val="21"/>
        </w:rPr>
        <w:t>9</w:t>
      </w:r>
    </w:p>
    <w:p>
      <w:pPr>
        <w:spacing w:before="120" w:beforeLines="50" w:after="120" w:afterLines="50"/>
        <w:ind w:firstLine="420" w:firstLineChars="200"/>
        <w:rPr>
          <w:szCs w:val="21"/>
        </w:rPr>
      </w:pPr>
      <w:r>
        <w:rPr>
          <w:rFonts w:hint="eastAsia"/>
          <w:szCs w:val="21"/>
        </w:rPr>
        <w:t>数据丢包率 Data Loss Tolerance/Data Packet Loss Rate</w:t>
      </w:r>
    </w:p>
    <w:p>
      <w:pPr>
        <w:spacing w:before="120" w:beforeLines="50" w:after="120" w:afterLines="50"/>
        <w:ind w:firstLine="420" w:firstLineChars="200"/>
        <w:rPr>
          <w:szCs w:val="21"/>
        </w:rPr>
      </w:pPr>
      <w:r>
        <w:rPr>
          <w:rFonts w:hint="eastAsia"/>
          <w:szCs w:val="21"/>
        </w:rPr>
        <w:t>数据丢包率定义为每天或一段时间丢失的数据包数量占发送全部数据包数量的比例。</w:t>
      </w:r>
    </w:p>
    <w:p>
      <w:pPr>
        <w:spacing w:before="120" w:beforeLines="50" w:after="120" w:afterLines="50"/>
        <w:ind w:firstLine="420" w:firstLineChars="200"/>
        <w:rPr>
          <w:szCs w:val="21"/>
        </w:rPr>
      </w:pPr>
      <w:r>
        <w:rPr>
          <w:rFonts w:hint="eastAsia"/>
          <w:szCs w:val="21"/>
        </w:rPr>
        <w:t>注：计算公式为：（应收数据条数-实收数据条数）/应收数据条数x100%</w:t>
      </w:r>
      <w:r>
        <w:rPr>
          <w:rFonts w:hint="eastAsia"/>
          <w:szCs w:val="21"/>
          <w:lang w:val="zh-CN"/>
        </w:rPr>
        <w:t>。</w:t>
      </w:r>
      <w:r>
        <w:rPr>
          <w:rFonts w:hint="eastAsia"/>
          <w:szCs w:val="21"/>
        </w:rPr>
        <w:t>如北斗监测型接收机设置上报数据频次为15秒一次，则每天平台理论应收数据为5760条，若平台实收数据为5700条，则丢包率为：（5760-5700）/5760x100%=1.04%。</w:t>
      </w:r>
    </w:p>
    <w:p>
      <w:pPr>
        <w:spacing w:before="120" w:beforeLines="50" w:after="120" w:afterLines="50"/>
        <w:rPr>
          <w:szCs w:val="21"/>
        </w:rPr>
      </w:pPr>
      <w:r>
        <w:rPr>
          <w:rFonts w:hint="eastAsia"/>
          <w:szCs w:val="21"/>
        </w:rPr>
        <w:t>3.1.10</w:t>
      </w:r>
    </w:p>
    <w:p>
      <w:pPr>
        <w:spacing w:before="120" w:beforeLines="50" w:after="120" w:afterLines="50"/>
        <w:ind w:firstLine="420" w:firstLineChars="200"/>
        <w:rPr>
          <w:szCs w:val="21"/>
        </w:rPr>
      </w:pPr>
      <w:r>
        <w:rPr>
          <w:rFonts w:hint="eastAsia"/>
          <w:szCs w:val="21"/>
        </w:rPr>
        <w:t>内部噪声水平 interior noise level</w:t>
      </w:r>
    </w:p>
    <w:p>
      <w:pPr>
        <w:spacing w:before="120" w:beforeLines="50" w:after="120" w:afterLines="50"/>
        <w:ind w:firstLine="420" w:firstLineChars="200"/>
        <w:rPr>
          <w:szCs w:val="21"/>
        </w:rPr>
      </w:pPr>
      <w:r>
        <w:rPr>
          <w:rFonts w:hint="eastAsia"/>
          <w:szCs w:val="21"/>
        </w:rPr>
        <w:t>两台或多台接收机通过多路功分器或信号转发器接收来自同一天线的卫星信号，对采集的数据使用数据处理软件解算的基线长度。</w:t>
      </w:r>
    </w:p>
    <w:p>
      <w:pPr>
        <w:spacing w:before="120" w:beforeLines="50" w:after="120" w:afterLines="50"/>
        <w:ind w:firstLine="420" w:firstLineChars="200"/>
        <w:rPr>
          <w:szCs w:val="21"/>
        </w:rPr>
      </w:pPr>
      <w:r>
        <w:rPr>
          <w:rFonts w:hint="eastAsia"/>
          <w:szCs w:val="21"/>
        </w:rPr>
        <w:t>注：其理论值为零。</w:t>
      </w:r>
    </w:p>
    <w:p>
      <w:pPr>
        <w:spacing w:before="120" w:beforeLines="50" w:after="120" w:afterLines="50"/>
        <w:rPr>
          <w:szCs w:val="21"/>
        </w:rPr>
      </w:pPr>
      <w:r>
        <w:rPr>
          <w:rFonts w:hint="eastAsia"/>
          <w:szCs w:val="21"/>
        </w:rPr>
        <w:t>3.1.11</w:t>
      </w:r>
    </w:p>
    <w:p>
      <w:pPr>
        <w:spacing w:before="120" w:beforeLines="50" w:after="120" w:afterLines="50"/>
        <w:ind w:firstLine="420" w:firstLineChars="200"/>
        <w:rPr>
          <w:szCs w:val="21"/>
        </w:rPr>
      </w:pPr>
      <w:r>
        <w:rPr>
          <w:rFonts w:hint="eastAsia"/>
          <w:szCs w:val="21"/>
        </w:rPr>
        <w:t>参考站 reference station</w:t>
      </w:r>
    </w:p>
    <w:p>
      <w:pPr>
        <w:spacing w:before="120" w:beforeLines="50" w:after="120" w:afterLines="50"/>
        <w:ind w:firstLine="420" w:firstLineChars="200"/>
        <w:rPr>
          <w:szCs w:val="21"/>
        </w:rPr>
      </w:pPr>
      <w:r>
        <w:rPr>
          <w:rFonts w:hint="eastAsia"/>
          <w:szCs w:val="21"/>
        </w:rPr>
        <w:t>一般由GNSS接收机、天线、电源和通信设备等组成的GNSS高精度定位系统。</w:t>
      </w:r>
    </w:p>
    <w:p>
      <w:pPr>
        <w:spacing w:before="120" w:beforeLines="50" w:after="120" w:afterLines="50"/>
        <w:ind w:firstLine="420" w:firstLineChars="200"/>
        <w:rPr>
          <w:szCs w:val="21"/>
        </w:rPr>
      </w:pPr>
      <w:r>
        <w:rPr>
          <w:rFonts w:hint="eastAsia"/>
          <w:szCs w:val="21"/>
        </w:rPr>
        <w:t>注1：又称为基准站（basestation）或差分参考站。</w:t>
      </w:r>
    </w:p>
    <w:p>
      <w:pPr>
        <w:spacing w:before="120" w:beforeLines="50" w:after="120" w:afterLines="50"/>
        <w:ind w:firstLine="420" w:firstLineChars="200"/>
        <w:rPr>
          <w:szCs w:val="21"/>
        </w:rPr>
      </w:pPr>
      <w:r>
        <w:rPr>
          <w:rFonts w:hint="eastAsia"/>
          <w:szCs w:val="21"/>
        </w:rPr>
        <w:t>注2：参考站天线一般安置在已知位置上。参考站是差分技术中重要的组成部分，在一定时间内连续观测、记录卫星信号，用于提供差分改正信息。</w:t>
      </w:r>
    </w:p>
    <w:p>
      <w:pPr>
        <w:spacing w:before="120" w:beforeLines="50" w:after="120" w:afterLines="50"/>
        <w:rPr>
          <w:szCs w:val="21"/>
        </w:rPr>
      </w:pPr>
      <w:r>
        <w:rPr>
          <w:rFonts w:hint="eastAsia"/>
          <w:szCs w:val="21"/>
        </w:rPr>
        <w:t>3.1.12</w:t>
      </w:r>
    </w:p>
    <w:p>
      <w:pPr>
        <w:spacing w:before="120" w:beforeLines="50" w:after="120" w:afterLines="50"/>
        <w:ind w:firstLine="420" w:firstLineChars="200"/>
        <w:rPr>
          <w:szCs w:val="21"/>
        </w:rPr>
      </w:pPr>
      <w:r>
        <w:rPr>
          <w:rFonts w:hint="eastAsia"/>
          <w:szCs w:val="21"/>
        </w:rPr>
        <w:t>微机电系统（MEMS） Micro-Electro-Mechanical System</w:t>
      </w:r>
    </w:p>
    <w:p>
      <w:pPr>
        <w:spacing w:before="120" w:beforeLines="50" w:after="120" w:afterLines="50"/>
        <w:ind w:firstLine="420" w:firstLineChars="200"/>
        <w:rPr>
          <w:szCs w:val="21"/>
        </w:rPr>
      </w:pPr>
      <w:r>
        <w:rPr>
          <w:rFonts w:hint="eastAsia"/>
          <w:szCs w:val="21"/>
        </w:rPr>
        <w:t>微机电系统</w:t>
      </w:r>
      <w:r>
        <w:rPr>
          <w:szCs w:val="21"/>
        </w:rPr>
        <w:t>指尺寸在几毫米乃至更小的高科技电子机械器件。</w:t>
      </w:r>
    </w:p>
    <w:p>
      <w:pPr>
        <w:pStyle w:val="3"/>
        <w:spacing w:before="240" w:after="120"/>
      </w:pPr>
      <w:bookmarkStart w:id="5" w:name="_Toc147734690"/>
      <w:r>
        <w:rPr>
          <w:rFonts w:hint="eastAsia"/>
        </w:rPr>
        <w:t>3.2 缩略语</w:t>
      </w:r>
      <w:bookmarkEnd w:id="5"/>
    </w:p>
    <w:p>
      <w:pPr>
        <w:spacing w:before="120" w:beforeLines="50" w:after="120" w:afterLines="50"/>
        <w:ind w:firstLine="420" w:firstLineChars="200"/>
        <w:rPr>
          <w:szCs w:val="21"/>
        </w:rPr>
      </w:pPr>
      <w:r>
        <w:rPr>
          <w:rFonts w:hint="eastAsia"/>
          <w:szCs w:val="21"/>
        </w:rPr>
        <w:t>下列缩略语适用于本文件。</w:t>
      </w:r>
    </w:p>
    <w:p>
      <w:pPr>
        <w:spacing w:before="120" w:beforeLines="50" w:after="120" w:afterLines="50"/>
        <w:ind w:firstLine="420" w:firstLineChars="200"/>
        <w:rPr>
          <w:szCs w:val="21"/>
        </w:rPr>
      </w:pPr>
      <w:r>
        <w:rPr>
          <w:rFonts w:hint="eastAsia"/>
          <w:szCs w:val="21"/>
        </w:rPr>
        <w:t>AQL：接收质量限（Acceptance Quality Limit）</w:t>
      </w:r>
    </w:p>
    <w:p>
      <w:pPr>
        <w:spacing w:before="120" w:beforeLines="50" w:after="120" w:afterLines="50"/>
        <w:ind w:firstLine="420" w:firstLineChars="200"/>
        <w:rPr>
          <w:szCs w:val="21"/>
        </w:rPr>
      </w:pPr>
      <w:r>
        <w:rPr>
          <w:rFonts w:hint="eastAsia"/>
          <w:szCs w:val="21"/>
        </w:rPr>
        <w:t>BDS：北斗卫星导航系统（BeiDou Navigation Satellite System）</w:t>
      </w:r>
    </w:p>
    <w:p>
      <w:pPr>
        <w:spacing w:before="120" w:beforeLines="50" w:after="120" w:afterLines="50"/>
        <w:ind w:firstLine="420" w:firstLineChars="200"/>
        <w:rPr>
          <w:szCs w:val="21"/>
        </w:rPr>
      </w:pPr>
      <w:r>
        <w:rPr>
          <w:rFonts w:hint="eastAsia"/>
          <w:szCs w:val="21"/>
        </w:rPr>
        <w:t>GALILEO：伽利略卫星导航系统（Galileo Navigation Satellite System）</w:t>
      </w:r>
    </w:p>
    <w:p>
      <w:pPr>
        <w:spacing w:before="120" w:beforeLines="50" w:after="120" w:afterLines="50"/>
        <w:ind w:firstLine="420" w:firstLineChars="200"/>
        <w:rPr>
          <w:szCs w:val="21"/>
        </w:rPr>
      </w:pPr>
      <w:r>
        <w:rPr>
          <w:rFonts w:hint="eastAsia"/>
          <w:szCs w:val="21"/>
        </w:rPr>
        <w:t>GLONASS：格洛纳斯卫星导航系统（GLobal Navigation Satellite System）</w:t>
      </w:r>
    </w:p>
    <w:p>
      <w:pPr>
        <w:spacing w:before="120" w:beforeLines="50" w:after="120" w:afterLines="50"/>
        <w:ind w:firstLine="420" w:firstLineChars="200"/>
        <w:rPr>
          <w:szCs w:val="21"/>
        </w:rPr>
      </w:pPr>
      <w:r>
        <w:rPr>
          <w:rFonts w:hint="eastAsia"/>
          <w:szCs w:val="21"/>
        </w:rPr>
        <w:t>GNSS：全球卫星导航系统（Global Navigation Satellite System）</w:t>
      </w:r>
    </w:p>
    <w:p>
      <w:pPr>
        <w:spacing w:before="120" w:beforeLines="50" w:after="120" w:afterLines="50"/>
        <w:ind w:firstLine="420" w:firstLineChars="200"/>
        <w:rPr>
          <w:szCs w:val="21"/>
        </w:rPr>
      </w:pPr>
      <w:r>
        <w:rPr>
          <w:rFonts w:hint="eastAsia"/>
          <w:szCs w:val="21"/>
        </w:rPr>
        <w:t>GPS：全球定位系统（Global Positioning System）</w:t>
      </w:r>
    </w:p>
    <w:p>
      <w:pPr>
        <w:spacing w:before="120" w:beforeLines="50" w:after="120" w:afterLines="50"/>
        <w:ind w:firstLine="420" w:firstLineChars="200"/>
        <w:rPr>
          <w:szCs w:val="21"/>
        </w:rPr>
      </w:pPr>
      <w:r>
        <w:rPr>
          <w:rFonts w:hint="eastAsia"/>
          <w:szCs w:val="21"/>
        </w:rPr>
        <w:t>PDOP ：位置精度因子（Position Dilution Of Precision）</w:t>
      </w:r>
    </w:p>
    <w:p>
      <w:pPr>
        <w:spacing w:before="120" w:beforeLines="50" w:after="120" w:afterLines="50"/>
        <w:ind w:firstLine="420" w:firstLineChars="200"/>
        <w:rPr>
          <w:szCs w:val="21"/>
        </w:rPr>
      </w:pPr>
      <w:r>
        <w:rPr>
          <w:rFonts w:hint="eastAsia"/>
          <w:szCs w:val="21"/>
        </w:rPr>
        <w:t>RINEX：接收机自主交换格式（Receiver Independent Exchange Format）</w:t>
      </w:r>
    </w:p>
    <w:p>
      <w:pPr>
        <w:spacing w:before="120" w:beforeLines="50" w:after="120" w:afterLines="50"/>
        <w:ind w:firstLine="420" w:firstLineChars="200"/>
        <w:rPr>
          <w:szCs w:val="21"/>
        </w:rPr>
      </w:pPr>
      <w:r>
        <w:rPr>
          <w:rFonts w:hint="eastAsia"/>
          <w:szCs w:val="21"/>
        </w:rPr>
        <w:t>RMS：均方根（Root Mean Square）</w:t>
      </w:r>
    </w:p>
    <w:p>
      <w:pPr>
        <w:spacing w:before="120" w:beforeLines="50" w:after="120" w:afterLines="50"/>
        <w:ind w:firstLine="420" w:firstLineChars="200"/>
        <w:rPr>
          <w:szCs w:val="21"/>
        </w:rPr>
      </w:pPr>
      <w:r>
        <w:rPr>
          <w:rFonts w:hint="eastAsia"/>
          <w:szCs w:val="21"/>
        </w:rPr>
        <w:t>RQL：不合格质量水平（Rejection Quality Level）</w:t>
      </w:r>
    </w:p>
    <w:p>
      <w:pPr>
        <w:spacing w:before="120" w:beforeLines="50" w:after="120" w:afterLines="50"/>
        <w:ind w:firstLine="420" w:firstLineChars="200"/>
        <w:rPr>
          <w:szCs w:val="21"/>
        </w:rPr>
      </w:pPr>
      <w:r>
        <w:rPr>
          <w:rFonts w:hint="eastAsia"/>
          <w:szCs w:val="21"/>
        </w:rPr>
        <w:t>RTK：实时动态（Real Time Kinematic）</w:t>
      </w:r>
    </w:p>
    <w:p>
      <w:pPr>
        <w:spacing w:before="120" w:beforeLines="50" w:after="120" w:afterLines="50"/>
        <w:ind w:firstLine="420" w:firstLineChars="200"/>
        <w:rPr>
          <w:szCs w:val="21"/>
        </w:rPr>
      </w:pPr>
      <w:r>
        <w:rPr>
          <w:rFonts w:hint="eastAsia"/>
          <w:szCs w:val="21"/>
        </w:rPr>
        <w:t>MTBF：平均无故障间隔时间（MeanTimeBetweenFailure）</w:t>
      </w:r>
    </w:p>
    <w:p>
      <w:pPr>
        <w:pStyle w:val="2"/>
        <w:spacing w:before="120" w:beforeLines="50" w:after="120" w:line="240" w:lineRule="auto"/>
        <w:rPr>
          <w:rFonts w:ascii="宋体" w:hAnsi="宋体" w:cs="宋体"/>
        </w:rPr>
      </w:pPr>
      <w:bookmarkStart w:id="6" w:name="_Toc147734691"/>
      <w:r>
        <w:rPr>
          <w:rFonts w:hint="eastAsia" w:ascii="宋体" w:hAnsi="宋体" w:cs="宋体"/>
        </w:rPr>
        <w:t>4 技术要求</w:t>
      </w:r>
      <w:bookmarkEnd w:id="6"/>
    </w:p>
    <w:p>
      <w:pPr>
        <w:pStyle w:val="3"/>
        <w:spacing w:before="240" w:after="120"/>
      </w:pPr>
      <w:bookmarkStart w:id="7" w:name="_Toc147734692"/>
      <w:r>
        <w:rPr>
          <w:rFonts w:hint="eastAsia"/>
        </w:rPr>
        <w:t>4.1 结构与外观</w:t>
      </w:r>
      <w:bookmarkEnd w:id="7"/>
    </w:p>
    <w:p>
      <w:pPr>
        <w:spacing w:before="120" w:beforeLines="50" w:after="120" w:afterLines="50"/>
        <w:ind w:firstLine="420" w:firstLineChars="200"/>
        <w:rPr>
          <w:szCs w:val="21"/>
        </w:rPr>
      </w:pPr>
      <w:r>
        <w:t>监测型接收机宜由</w:t>
      </w:r>
      <w:r>
        <w:rPr>
          <w:rFonts w:hint="eastAsia"/>
        </w:rPr>
        <w:t>北斗高精度定位板卡或芯片、控制模块、充放电及电源管理模块</w:t>
      </w:r>
      <w:r>
        <w:rPr>
          <w:lang w:val="zh-CN"/>
        </w:rPr>
        <w:t>、</w:t>
      </w:r>
      <w:r>
        <w:rPr>
          <w:rFonts w:hint="eastAsia"/>
        </w:rPr>
        <w:t>MEMS模块、通信模块、</w:t>
      </w:r>
      <w:r>
        <w:rPr>
          <w:lang w:val="zh-CN"/>
        </w:rPr>
        <w:t>GNSS天线</w:t>
      </w:r>
      <w:r>
        <w:rPr>
          <w:rFonts w:hint="eastAsia"/>
          <w:lang w:val="zh-CN"/>
        </w:rPr>
        <w:t>、</w:t>
      </w:r>
      <w:r>
        <w:rPr>
          <w:rFonts w:hint="eastAsia"/>
        </w:rPr>
        <w:t>4G/5G等通信天线（可选用GNSS和4G一体式通信天线）、LoRa天线（边缘解算选配）</w:t>
      </w:r>
      <w:r>
        <w:rPr>
          <w:lang w:val="zh-CN"/>
        </w:rPr>
        <w:t>等</w:t>
      </w:r>
      <w:r>
        <w:rPr>
          <w:rFonts w:hint="eastAsia"/>
          <w:lang w:val="zh-CN"/>
        </w:rPr>
        <w:t>模块</w:t>
      </w:r>
      <w:r>
        <w:rPr>
          <w:lang w:val="zh-CN"/>
        </w:rPr>
        <w:t>及配置软件组成</w:t>
      </w:r>
      <w:r>
        <w:rPr>
          <w:rFonts w:hint="eastAsia"/>
          <w:lang w:val="zh-CN"/>
        </w:rPr>
        <w:t>，具备接收全频点定位卫星接收能力，能稳定的将数据发送到远程数据中心</w:t>
      </w:r>
      <w:r>
        <w:rPr>
          <w:lang w:val="zh-CN"/>
        </w:rPr>
        <w:t>。</w:t>
      </w:r>
      <w:r>
        <w:rPr>
          <w:rFonts w:hint="eastAsia"/>
          <w:szCs w:val="21"/>
        </w:rPr>
        <w:t>结构与外观要求如下：</w:t>
      </w:r>
    </w:p>
    <w:p>
      <w:pPr>
        <w:numPr>
          <w:ilvl w:val="0"/>
          <w:numId w:val="1"/>
        </w:numPr>
        <w:spacing w:before="120" w:beforeLines="50" w:after="120" w:afterLines="50"/>
        <w:ind w:firstLine="420" w:firstLineChars="200"/>
        <w:rPr>
          <w:szCs w:val="21"/>
        </w:rPr>
      </w:pPr>
      <w:bookmarkStart w:id="8" w:name="bookmark63"/>
      <w:bookmarkEnd w:id="8"/>
      <w:r>
        <w:rPr>
          <w:rFonts w:hint="eastAsia"/>
          <w:szCs w:val="21"/>
        </w:rPr>
        <w:t>接收机应包括下列组成：</w:t>
      </w:r>
    </w:p>
    <w:p>
      <w:pPr>
        <w:numPr>
          <w:ilvl w:val="0"/>
          <w:numId w:val="2"/>
        </w:numPr>
        <w:spacing w:before="120" w:beforeLines="50" w:after="120" w:afterLines="50"/>
        <w:ind w:firstLine="840" w:firstLineChars="400"/>
        <w:rPr>
          <w:szCs w:val="21"/>
        </w:rPr>
      </w:pPr>
      <w:bookmarkStart w:id="9" w:name="bookmark64"/>
      <w:bookmarkEnd w:id="9"/>
      <w:r>
        <w:rPr>
          <w:rFonts w:hint="eastAsia"/>
          <w:szCs w:val="21"/>
        </w:rPr>
        <w:t>接收机主机（应包含电路板、GNSS板卡、通信模组、倾角和加速度模组等）；</w:t>
      </w:r>
    </w:p>
    <w:p>
      <w:pPr>
        <w:numPr>
          <w:ilvl w:val="0"/>
          <w:numId w:val="3"/>
        </w:numPr>
        <w:spacing w:before="120" w:beforeLines="50" w:after="120" w:afterLines="50"/>
        <w:ind w:firstLine="840" w:firstLineChars="400"/>
        <w:rPr>
          <w:szCs w:val="21"/>
        </w:rPr>
      </w:pPr>
      <w:bookmarkStart w:id="10" w:name="bookmark65"/>
      <w:bookmarkEnd w:id="10"/>
      <w:r>
        <w:rPr>
          <w:rFonts w:hint="eastAsia"/>
          <w:szCs w:val="21"/>
          <w:lang w:eastAsia="en-US"/>
        </w:rPr>
        <w:t>GNSS</w:t>
      </w:r>
      <w:r>
        <w:rPr>
          <w:rFonts w:hint="eastAsia"/>
          <w:szCs w:val="21"/>
        </w:rPr>
        <w:t>、4G和LoRa等通信信道天线；</w:t>
      </w:r>
    </w:p>
    <w:p>
      <w:pPr>
        <w:numPr>
          <w:ilvl w:val="0"/>
          <w:numId w:val="3"/>
        </w:numPr>
        <w:spacing w:before="120" w:beforeLines="50" w:after="120" w:afterLines="50"/>
        <w:ind w:firstLine="840" w:firstLineChars="400"/>
        <w:rPr>
          <w:szCs w:val="21"/>
        </w:rPr>
      </w:pPr>
      <w:bookmarkStart w:id="11" w:name="bookmark66"/>
      <w:bookmarkEnd w:id="11"/>
      <w:r>
        <w:rPr>
          <w:rFonts w:hint="eastAsia"/>
          <w:szCs w:val="21"/>
        </w:rPr>
        <w:t>电源适配器、电池等配件</w:t>
      </w:r>
      <w:bookmarkStart w:id="12" w:name="bookmark67"/>
      <w:bookmarkEnd w:id="12"/>
      <w:r>
        <w:rPr>
          <w:rFonts w:hint="eastAsia"/>
          <w:szCs w:val="21"/>
        </w:rPr>
        <w:t>。</w:t>
      </w:r>
    </w:p>
    <w:p>
      <w:pPr>
        <w:numPr>
          <w:ilvl w:val="0"/>
          <w:numId w:val="1"/>
        </w:numPr>
        <w:spacing w:before="120" w:beforeLines="50" w:after="120" w:afterLines="50"/>
        <w:ind w:firstLine="420" w:firstLineChars="200"/>
        <w:rPr>
          <w:szCs w:val="21"/>
        </w:rPr>
      </w:pPr>
      <w:bookmarkStart w:id="13" w:name="bookmark68"/>
      <w:bookmarkEnd w:id="13"/>
      <w:r>
        <w:rPr>
          <w:rFonts w:hint="eastAsia"/>
          <w:szCs w:val="21"/>
        </w:rPr>
        <w:t>接收机应有参数配置、数据下载及数据格式转换的软件。</w:t>
      </w:r>
    </w:p>
    <w:p>
      <w:pPr>
        <w:numPr>
          <w:ilvl w:val="0"/>
          <w:numId w:val="1"/>
        </w:numPr>
        <w:spacing w:before="120" w:beforeLines="50" w:after="120" w:afterLines="50"/>
        <w:ind w:firstLine="420" w:firstLineChars="200"/>
        <w:rPr>
          <w:szCs w:val="21"/>
        </w:rPr>
      </w:pPr>
      <w:bookmarkStart w:id="14" w:name="bookmark69"/>
      <w:bookmarkEnd w:id="14"/>
      <w:r>
        <w:rPr>
          <w:rFonts w:hint="eastAsia"/>
          <w:szCs w:val="21"/>
        </w:rPr>
        <w:t>接收机各连接部件的连接应稳定可靠。</w:t>
      </w:r>
    </w:p>
    <w:p>
      <w:pPr>
        <w:numPr>
          <w:ilvl w:val="0"/>
          <w:numId w:val="1"/>
        </w:numPr>
        <w:spacing w:before="120" w:beforeLines="50" w:after="120" w:afterLines="50"/>
        <w:ind w:firstLine="420" w:firstLineChars="200"/>
        <w:rPr>
          <w:szCs w:val="21"/>
        </w:rPr>
      </w:pPr>
      <w:bookmarkStart w:id="15" w:name="bookmark70"/>
      <w:bookmarkEnd w:id="15"/>
      <w:r>
        <w:rPr>
          <w:rFonts w:hint="eastAsia"/>
          <w:szCs w:val="21"/>
        </w:rPr>
        <w:t>表面应无明显的划痕、裂缝和变形。</w:t>
      </w:r>
    </w:p>
    <w:p>
      <w:pPr>
        <w:spacing w:before="120" w:beforeLines="50" w:after="120" w:afterLines="50"/>
        <w:ind w:firstLine="420" w:firstLineChars="200"/>
        <w:rPr>
          <w:szCs w:val="21"/>
        </w:rPr>
      </w:pPr>
      <w:r>
        <w:rPr>
          <w:rFonts w:hint="eastAsia"/>
          <w:szCs w:val="21"/>
        </w:rPr>
        <w:t>e) 外壳应有一定的刚度和强度，其中GNSS天线的朝向卫星方向的防护材料要求介电常数≤3.9，透波率≥90%。</w:t>
      </w:r>
    </w:p>
    <w:p>
      <w:pPr>
        <w:spacing w:before="120" w:beforeLines="50" w:after="120" w:afterLines="50"/>
        <w:ind w:firstLine="420" w:firstLineChars="200"/>
        <w:rPr>
          <w:szCs w:val="21"/>
        </w:rPr>
      </w:pPr>
      <w:r>
        <w:rPr>
          <w:rFonts w:hint="eastAsia"/>
          <w:szCs w:val="21"/>
        </w:rPr>
        <w:t>f) 各按键应操作灵活、无卡滞现象（若有）。</w:t>
      </w:r>
    </w:p>
    <w:p>
      <w:pPr>
        <w:pStyle w:val="3"/>
        <w:spacing w:before="240" w:after="120"/>
        <w:rPr>
          <w:lang w:eastAsia="en-US"/>
        </w:rPr>
      </w:pPr>
      <w:bookmarkStart w:id="16" w:name="_Toc147734693"/>
      <w:r>
        <w:rPr>
          <w:rFonts w:hint="eastAsia"/>
          <w:lang w:eastAsia="en-US"/>
        </w:rPr>
        <w:t xml:space="preserve">4.2 </w:t>
      </w:r>
      <w:r>
        <w:rPr>
          <w:rFonts w:hint="eastAsia"/>
          <w:lang w:val="zh-TW" w:eastAsia="zh-TW"/>
        </w:rPr>
        <w:t>电气</w:t>
      </w:r>
      <w:bookmarkEnd w:id="16"/>
    </w:p>
    <w:p>
      <w:pPr>
        <w:spacing w:before="120" w:beforeLines="50" w:after="120" w:afterLines="50"/>
        <w:ind w:firstLine="420" w:firstLineChars="200"/>
        <w:rPr>
          <w:szCs w:val="21"/>
        </w:rPr>
      </w:pPr>
      <w:r>
        <w:rPr>
          <w:rFonts w:hint="eastAsia"/>
          <w:szCs w:val="21"/>
        </w:rPr>
        <w:t>电气要求如下：</w:t>
      </w:r>
    </w:p>
    <w:p>
      <w:pPr>
        <w:numPr>
          <w:ilvl w:val="0"/>
          <w:numId w:val="4"/>
        </w:numPr>
        <w:spacing w:before="120" w:beforeLines="50" w:after="120" w:afterLines="50"/>
        <w:ind w:firstLine="420" w:firstLineChars="200"/>
        <w:rPr>
          <w:szCs w:val="21"/>
        </w:rPr>
      </w:pPr>
      <w:bookmarkStart w:id="17" w:name="bookmark71"/>
      <w:bookmarkEnd w:id="17"/>
      <w:r>
        <w:rPr>
          <w:rFonts w:hint="eastAsia"/>
          <w:szCs w:val="21"/>
        </w:rPr>
        <w:t>接收机应有开机自检测功能。</w:t>
      </w:r>
    </w:p>
    <w:p>
      <w:pPr>
        <w:numPr>
          <w:ilvl w:val="0"/>
          <w:numId w:val="4"/>
        </w:numPr>
        <w:spacing w:before="120" w:beforeLines="50" w:after="120" w:afterLines="50"/>
        <w:ind w:firstLine="420" w:firstLineChars="200"/>
        <w:rPr>
          <w:szCs w:val="21"/>
        </w:rPr>
      </w:pPr>
      <w:bookmarkStart w:id="18" w:name="bookmark72"/>
      <w:bookmarkEnd w:id="18"/>
      <w:r>
        <w:rPr>
          <w:rFonts w:hint="eastAsia"/>
          <w:szCs w:val="21"/>
        </w:rPr>
        <w:t>接收机电源要求如下：</w:t>
      </w:r>
    </w:p>
    <w:p>
      <w:pPr>
        <w:numPr>
          <w:ilvl w:val="0"/>
          <w:numId w:val="5"/>
        </w:numPr>
        <w:spacing w:before="120" w:beforeLines="50" w:after="120" w:afterLines="50"/>
        <w:ind w:firstLine="840" w:firstLineChars="400"/>
        <w:rPr>
          <w:szCs w:val="21"/>
        </w:rPr>
      </w:pPr>
      <w:bookmarkStart w:id="19" w:name="bookmark73"/>
      <w:bookmarkEnd w:id="19"/>
      <w:r>
        <w:rPr>
          <w:rFonts w:hint="eastAsia"/>
          <w:szCs w:val="21"/>
        </w:rPr>
        <w:t>接收机应支持电源接入；</w:t>
      </w:r>
    </w:p>
    <w:p>
      <w:pPr>
        <w:numPr>
          <w:ilvl w:val="0"/>
          <w:numId w:val="5"/>
        </w:numPr>
        <w:spacing w:before="120" w:beforeLines="50" w:after="120" w:afterLines="50"/>
        <w:ind w:firstLine="840" w:firstLineChars="400"/>
        <w:rPr>
          <w:szCs w:val="21"/>
        </w:rPr>
      </w:pPr>
      <w:bookmarkStart w:id="20" w:name="bookmark74"/>
      <w:bookmarkEnd w:id="20"/>
      <w:r>
        <w:rPr>
          <w:rFonts w:hint="eastAsia"/>
          <w:szCs w:val="21"/>
        </w:rPr>
        <w:t>接收机静态测量连续工作时长不应少于15天；</w:t>
      </w:r>
    </w:p>
    <w:p>
      <w:pPr>
        <w:numPr>
          <w:ilvl w:val="0"/>
          <w:numId w:val="5"/>
        </w:numPr>
        <w:spacing w:before="120" w:beforeLines="50" w:after="120" w:afterLines="50"/>
        <w:ind w:firstLine="840" w:firstLineChars="400"/>
        <w:rPr>
          <w:szCs w:val="21"/>
        </w:rPr>
      </w:pPr>
      <w:bookmarkStart w:id="21" w:name="bookmark75"/>
      <w:bookmarkEnd w:id="21"/>
      <w:r>
        <w:rPr>
          <w:rFonts w:hint="eastAsia"/>
          <w:szCs w:val="21"/>
        </w:rPr>
        <w:t>接收机应有外部电源接入自启动功能。</w:t>
      </w:r>
    </w:p>
    <w:p>
      <w:pPr>
        <w:numPr>
          <w:ilvl w:val="0"/>
          <w:numId w:val="4"/>
        </w:numPr>
        <w:spacing w:before="120" w:beforeLines="50" w:after="120" w:afterLines="50"/>
        <w:ind w:firstLine="420" w:firstLineChars="200"/>
        <w:rPr>
          <w:szCs w:val="21"/>
        </w:rPr>
      </w:pPr>
      <w:bookmarkStart w:id="22" w:name="bookmark76"/>
      <w:bookmarkEnd w:id="22"/>
      <w:r>
        <w:rPr>
          <w:rFonts w:hint="eastAsia"/>
          <w:szCs w:val="21"/>
        </w:rPr>
        <w:t>接收机电压要求如下：</w:t>
      </w:r>
    </w:p>
    <w:p>
      <w:pPr>
        <w:numPr>
          <w:ilvl w:val="0"/>
          <w:numId w:val="6"/>
        </w:numPr>
        <w:spacing w:before="120" w:beforeLines="50" w:after="120" w:afterLines="50"/>
        <w:ind w:firstLine="840" w:firstLineChars="400"/>
        <w:rPr>
          <w:szCs w:val="21"/>
        </w:rPr>
      </w:pPr>
      <w:bookmarkStart w:id="23" w:name="bookmark77"/>
      <w:bookmarkEnd w:id="23"/>
      <w:r>
        <w:rPr>
          <w:rFonts w:hint="eastAsia"/>
          <w:szCs w:val="21"/>
        </w:rPr>
        <w:t>应有电源电压过高保护和过低报警显示功能；</w:t>
      </w:r>
    </w:p>
    <w:p>
      <w:pPr>
        <w:numPr>
          <w:ilvl w:val="0"/>
          <w:numId w:val="6"/>
        </w:numPr>
        <w:spacing w:before="120" w:beforeLines="50" w:after="120" w:afterLines="50"/>
        <w:ind w:firstLine="840" w:firstLineChars="400"/>
        <w:rPr>
          <w:szCs w:val="21"/>
        </w:rPr>
      </w:pPr>
      <w:bookmarkStart w:id="24" w:name="bookmark78"/>
      <w:bookmarkEnd w:id="24"/>
      <w:r>
        <w:rPr>
          <w:rFonts w:hint="eastAsia"/>
          <w:szCs w:val="21"/>
        </w:rPr>
        <w:t>电源电压9V〜36V范围应正常工作；</w:t>
      </w:r>
    </w:p>
    <w:p>
      <w:pPr>
        <w:numPr>
          <w:ilvl w:val="0"/>
          <w:numId w:val="6"/>
        </w:numPr>
        <w:spacing w:before="120" w:beforeLines="50" w:after="120" w:afterLines="50"/>
        <w:ind w:firstLine="840" w:firstLineChars="400"/>
        <w:rPr>
          <w:szCs w:val="21"/>
        </w:rPr>
      </w:pPr>
      <w:bookmarkStart w:id="25" w:name="bookmark79"/>
      <w:bookmarkEnd w:id="25"/>
      <w:r>
        <w:rPr>
          <w:rFonts w:hint="eastAsia"/>
          <w:szCs w:val="21"/>
        </w:rPr>
        <w:t>电源电压相对标称值变化</w:t>
      </w:r>
      <w:r>
        <w:rPr>
          <w:rFonts w:hint="eastAsia" w:ascii="微软雅黑" w:hAnsi="微软雅黑" w:eastAsia="微软雅黑" w:cs="微软雅黑"/>
          <w:szCs w:val="21"/>
        </w:rPr>
        <w:t>±</w:t>
      </w:r>
      <w:r>
        <w:rPr>
          <w:rFonts w:hint="eastAsia"/>
          <w:szCs w:val="21"/>
        </w:rPr>
        <w:t>10%的情况下，接收机应正常工作。</w:t>
      </w:r>
    </w:p>
    <w:p>
      <w:pPr>
        <w:numPr>
          <w:ilvl w:val="0"/>
          <w:numId w:val="4"/>
        </w:numPr>
        <w:spacing w:before="120" w:beforeLines="50" w:after="120" w:afterLines="50"/>
        <w:ind w:firstLine="420" w:firstLineChars="200"/>
        <w:rPr>
          <w:szCs w:val="21"/>
        </w:rPr>
      </w:pPr>
      <w:r>
        <w:rPr>
          <w:rFonts w:hint="eastAsia"/>
          <w:szCs w:val="21"/>
        </w:rPr>
        <w:t>接收机功耗与续航要求如下：</w:t>
      </w:r>
    </w:p>
    <w:p>
      <w:pPr>
        <w:numPr>
          <w:ilvl w:val="0"/>
          <w:numId w:val="7"/>
        </w:numPr>
        <w:spacing w:before="120" w:beforeLines="50" w:after="120" w:afterLines="50"/>
        <w:ind w:firstLine="840" w:firstLineChars="400"/>
        <w:rPr>
          <w:szCs w:val="21"/>
        </w:rPr>
      </w:pPr>
      <w:r>
        <w:rPr>
          <w:rFonts w:hint="eastAsia"/>
          <w:szCs w:val="21"/>
        </w:rPr>
        <w:t>接收机整机运行功耗宜</w:t>
      </w:r>
      <w:r>
        <w:rPr>
          <w:rFonts w:ascii="Arial" w:hAnsi="Arial" w:cs="Arial"/>
          <w:szCs w:val="21"/>
        </w:rPr>
        <w:t>≤</w:t>
      </w:r>
      <w:r>
        <w:rPr>
          <w:rFonts w:hint="eastAsia"/>
          <w:szCs w:val="21"/>
        </w:rPr>
        <w:t>3W；</w:t>
      </w:r>
    </w:p>
    <w:p>
      <w:pPr>
        <w:numPr>
          <w:ilvl w:val="0"/>
          <w:numId w:val="7"/>
        </w:numPr>
        <w:spacing w:before="120" w:beforeLines="50" w:after="120" w:afterLines="50"/>
        <w:ind w:firstLine="840" w:firstLineChars="400"/>
        <w:rPr>
          <w:szCs w:val="21"/>
        </w:rPr>
      </w:pPr>
      <w:r>
        <w:rPr>
          <w:rFonts w:hint="eastAsia"/>
          <w:szCs w:val="21"/>
        </w:rPr>
        <w:t>配套的电池在太阳能完全不能工作情况下应续航</w:t>
      </w:r>
      <w:r>
        <w:rPr>
          <w:rFonts w:ascii="Arial" w:hAnsi="Arial" w:cs="Arial"/>
          <w:szCs w:val="21"/>
        </w:rPr>
        <w:t>≥</w:t>
      </w:r>
      <w:r>
        <w:rPr>
          <w:rFonts w:hint="eastAsia"/>
          <w:szCs w:val="21"/>
        </w:rPr>
        <w:t>15天。</w:t>
      </w:r>
    </w:p>
    <w:p>
      <w:pPr>
        <w:pStyle w:val="3"/>
        <w:spacing w:before="240" w:after="120"/>
      </w:pPr>
      <w:bookmarkStart w:id="26" w:name="_Toc147734694"/>
      <w:r>
        <w:rPr>
          <w:rFonts w:hint="eastAsia"/>
        </w:rPr>
        <w:t>4.3 设置及显示</w:t>
      </w:r>
      <w:bookmarkEnd w:id="26"/>
    </w:p>
    <w:p>
      <w:pPr>
        <w:spacing w:before="120" w:beforeLines="50" w:after="120" w:afterLines="50"/>
        <w:ind w:firstLine="420" w:firstLineChars="200"/>
        <w:rPr>
          <w:szCs w:val="21"/>
        </w:rPr>
      </w:pPr>
      <w:r>
        <w:rPr>
          <w:rFonts w:hint="eastAsia"/>
          <w:szCs w:val="21"/>
        </w:rPr>
        <w:t>接收机可根据需要改变参数设置，包括接收卫星的截止高度角、数据采样率等。接收机应有下列信息的显示或提示功能：</w:t>
      </w:r>
    </w:p>
    <w:p>
      <w:pPr>
        <w:numPr>
          <w:ilvl w:val="0"/>
          <w:numId w:val="8"/>
        </w:numPr>
        <w:spacing w:before="120" w:beforeLines="50" w:after="120" w:afterLines="50"/>
        <w:ind w:firstLine="420" w:firstLineChars="200"/>
        <w:rPr>
          <w:szCs w:val="21"/>
        </w:rPr>
      </w:pPr>
      <w:r>
        <w:rPr>
          <w:rFonts w:hint="eastAsia"/>
          <w:szCs w:val="21"/>
        </w:rPr>
        <w:t>接收卫星状态；</w:t>
      </w:r>
    </w:p>
    <w:p>
      <w:pPr>
        <w:numPr>
          <w:ilvl w:val="0"/>
          <w:numId w:val="8"/>
        </w:numPr>
        <w:spacing w:before="120" w:beforeLines="50" w:after="120" w:afterLines="50"/>
        <w:ind w:firstLine="420" w:firstLineChars="200"/>
        <w:rPr>
          <w:szCs w:val="21"/>
        </w:rPr>
      </w:pPr>
      <w:r>
        <w:rPr>
          <w:rFonts w:hint="eastAsia"/>
          <w:szCs w:val="21"/>
        </w:rPr>
        <w:t>MEMS倾角、加速度状态，并可设置MEMS数据触发GNSS工作机制；</w:t>
      </w:r>
    </w:p>
    <w:p>
      <w:pPr>
        <w:numPr>
          <w:ilvl w:val="0"/>
          <w:numId w:val="8"/>
        </w:numPr>
        <w:spacing w:before="120" w:beforeLines="50" w:after="120" w:afterLines="50"/>
        <w:ind w:firstLine="420" w:firstLineChars="200"/>
        <w:rPr>
          <w:szCs w:val="21"/>
        </w:rPr>
      </w:pPr>
      <w:r>
        <w:rPr>
          <w:rFonts w:hint="eastAsia"/>
          <w:szCs w:val="21"/>
        </w:rPr>
        <w:t>存储状态；</w:t>
      </w:r>
    </w:p>
    <w:p>
      <w:pPr>
        <w:numPr>
          <w:ilvl w:val="0"/>
          <w:numId w:val="8"/>
        </w:numPr>
        <w:spacing w:before="120" w:beforeLines="50" w:after="120" w:afterLines="50"/>
        <w:ind w:firstLine="420" w:firstLineChars="200"/>
        <w:rPr>
          <w:szCs w:val="21"/>
        </w:rPr>
      </w:pPr>
      <w:r>
        <w:rPr>
          <w:rFonts w:hint="eastAsia"/>
          <w:szCs w:val="21"/>
        </w:rPr>
        <w:t>电源状态；</w:t>
      </w:r>
    </w:p>
    <w:p>
      <w:pPr>
        <w:numPr>
          <w:ilvl w:val="0"/>
          <w:numId w:val="8"/>
        </w:numPr>
        <w:spacing w:before="120" w:beforeLines="50" w:after="120" w:afterLines="50"/>
        <w:ind w:firstLine="420" w:firstLineChars="200"/>
        <w:rPr>
          <w:szCs w:val="21"/>
        </w:rPr>
      </w:pPr>
      <w:r>
        <w:rPr>
          <w:rFonts w:hint="eastAsia"/>
          <w:szCs w:val="21"/>
        </w:rPr>
        <w:t>故障状态；</w:t>
      </w:r>
    </w:p>
    <w:p>
      <w:pPr>
        <w:numPr>
          <w:ilvl w:val="0"/>
          <w:numId w:val="8"/>
        </w:numPr>
        <w:spacing w:before="120" w:beforeLines="50" w:after="120" w:afterLines="50"/>
        <w:ind w:firstLine="420" w:firstLineChars="200"/>
        <w:rPr>
          <w:szCs w:val="21"/>
        </w:rPr>
      </w:pPr>
      <w:r>
        <w:rPr>
          <w:rFonts w:hint="eastAsia"/>
          <w:szCs w:val="21"/>
        </w:rPr>
        <w:t>工作模式状态。</w:t>
      </w:r>
    </w:p>
    <w:p>
      <w:pPr>
        <w:pStyle w:val="3"/>
        <w:spacing w:before="240" w:after="120"/>
        <w:rPr>
          <w:lang w:eastAsia="en-US"/>
        </w:rPr>
      </w:pPr>
      <w:bookmarkStart w:id="27" w:name="_Toc147734695"/>
      <w:r>
        <w:rPr>
          <w:rFonts w:hint="eastAsia"/>
          <w:lang w:eastAsia="en-US"/>
        </w:rPr>
        <w:t>4.4</w:t>
      </w:r>
      <w:r>
        <w:rPr>
          <w:rFonts w:hint="eastAsia"/>
        </w:rPr>
        <w:t xml:space="preserve"> </w:t>
      </w:r>
      <w:r>
        <w:rPr>
          <w:rFonts w:hint="eastAsia"/>
          <w:lang w:eastAsia="en-US"/>
        </w:rPr>
        <w:t>接口与输出</w:t>
      </w:r>
      <w:bookmarkEnd w:id="27"/>
    </w:p>
    <w:p>
      <w:pPr>
        <w:spacing w:before="120" w:beforeLines="50" w:after="120" w:afterLines="50"/>
        <w:ind w:firstLine="420" w:firstLineChars="200"/>
        <w:rPr>
          <w:szCs w:val="21"/>
        </w:rPr>
      </w:pPr>
      <w:r>
        <w:rPr>
          <w:rFonts w:hint="eastAsia"/>
          <w:szCs w:val="21"/>
        </w:rPr>
        <w:t>接口与输出要求如下：</w:t>
      </w:r>
    </w:p>
    <w:p>
      <w:pPr>
        <w:numPr>
          <w:ilvl w:val="0"/>
          <w:numId w:val="9"/>
        </w:numPr>
        <w:spacing w:before="120" w:beforeLines="50" w:after="120" w:afterLines="50"/>
        <w:ind w:firstLine="420" w:firstLineChars="200"/>
        <w:rPr>
          <w:szCs w:val="21"/>
        </w:rPr>
      </w:pPr>
      <w:r>
        <w:rPr>
          <w:rFonts w:hint="eastAsia"/>
          <w:szCs w:val="21"/>
        </w:rPr>
        <w:t>接收机应把记录的观测数据输出到外部设备；</w:t>
      </w:r>
    </w:p>
    <w:p>
      <w:pPr>
        <w:numPr>
          <w:ilvl w:val="0"/>
          <w:numId w:val="9"/>
        </w:numPr>
        <w:spacing w:before="120" w:beforeLines="50" w:after="120" w:afterLines="50"/>
        <w:ind w:firstLine="420" w:firstLineChars="200"/>
        <w:rPr>
          <w:szCs w:val="21"/>
        </w:rPr>
      </w:pPr>
      <w:r>
        <w:rPr>
          <w:rFonts w:hint="eastAsia"/>
          <w:szCs w:val="21"/>
        </w:rPr>
        <w:t>接收机应有电源接口、天线接口、串行数据接口等；</w:t>
      </w:r>
    </w:p>
    <w:p>
      <w:pPr>
        <w:pStyle w:val="3"/>
        <w:spacing w:before="240" w:after="120"/>
      </w:pPr>
      <w:bookmarkStart w:id="28" w:name="_Toc147734696"/>
      <w:r>
        <w:rPr>
          <w:rFonts w:hint="eastAsia"/>
        </w:rPr>
        <w:t>4.5 数据存储</w:t>
      </w:r>
      <w:bookmarkEnd w:id="28"/>
    </w:p>
    <w:p>
      <w:pPr>
        <w:spacing w:before="120" w:beforeLines="50" w:after="120" w:afterLines="50"/>
        <w:ind w:firstLine="420" w:firstLineChars="200"/>
        <w:rPr>
          <w:szCs w:val="21"/>
        </w:rPr>
      </w:pPr>
      <w:r>
        <w:rPr>
          <w:rFonts w:hint="eastAsia"/>
          <w:szCs w:val="21"/>
        </w:rPr>
        <w:t>数据存储要求如下：</w:t>
      </w:r>
    </w:p>
    <w:p>
      <w:pPr>
        <w:numPr>
          <w:ilvl w:val="0"/>
          <w:numId w:val="10"/>
        </w:numPr>
        <w:spacing w:before="120" w:beforeLines="50" w:after="120" w:afterLines="50"/>
        <w:ind w:firstLine="420" w:firstLineChars="200"/>
        <w:rPr>
          <w:szCs w:val="21"/>
        </w:rPr>
      </w:pPr>
      <w:r>
        <w:rPr>
          <w:rFonts w:hint="eastAsia"/>
          <w:szCs w:val="21"/>
        </w:rPr>
        <w:t>接收机在采样间隔为1s，卫星截止高度角10°，进行原始观测数据存储，参考站型接收机连续存储时间长度不应少于7d，其他接收机连续存储时间长度不应少于7d。</w:t>
      </w:r>
    </w:p>
    <w:p>
      <w:pPr>
        <w:numPr>
          <w:ilvl w:val="0"/>
          <w:numId w:val="10"/>
        </w:numPr>
        <w:spacing w:before="120" w:beforeLines="50" w:after="120" w:afterLines="50"/>
        <w:ind w:firstLine="420" w:firstLineChars="200"/>
        <w:rPr>
          <w:szCs w:val="21"/>
        </w:rPr>
      </w:pPr>
      <w:r>
        <w:rPr>
          <w:rFonts w:hint="eastAsia"/>
          <w:szCs w:val="21"/>
        </w:rPr>
        <w:t>接收机在非正常断电时，应有数据保存功能。</w:t>
      </w:r>
    </w:p>
    <w:p>
      <w:pPr>
        <w:numPr>
          <w:ilvl w:val="0"/>
          <w:numId w:val="10"/>
        </w:numPr>
        <w:spacing w:before="120" w:beforeLines="50" w:after="120" w:afterLines="50"/>
        <w:ind w:firstLine="420" w:firstLineChars="200"/>
        <w:rPr>
          <w:szCs w:val="21"/>
        </w:rPr>
      </w:pPr>
      <w:r>
        <w:rPr>
          <w:rFonts w:hint="eastAsia"/>
          <w:szCs w:val="21"/>
        </w:rPr>
        <w:t>接收机数据采样率应至少达到1Hz。</w:t>
      </w:r>
    </w:p>
    <w:p>
      <w:pPr>
        <w:pStyle w:val="3"/>
        <w:spacing w:before="240" w:after="120"/>
      </w:pPr>
      <w:bookmarkStart w:id="29" w:name="_Toc147734697"/>
      <w:r>
        <w:rPr>
          <w:rFonts w:hint="eastAsia"/>
        </w:rPr>
        <w:t>4.6 信号接收性能</w:t>
      </w:r>
      <w:bookmarkEnd w:id="29"/>
    </w:p>
    <w:p>
      <w:pPr>
        <w:spacing w:before="120" w:beforeLines="50" w:after="120" w:afterLines="50"/>
        <w:rPr>
          <w:szCs w:val="21"/>
        </w:rPr>
      </w:pPr>
      <w:r>
        <w:rPr>
          <w:rFonts w:hint="eastAsia"/>
          <w:szCs w:val="21"/>
        </w:rPr>
        <w:t>4.6.1 单北斗系统工作能力</w:t>
      </w:r>
    </w:p>
    <w:p>
      <w:pPr>
        <w:spacing w:before="120" w:beforeLines="50" w:after="120" w:afterLines="50"/>
        <w:ind w:firstLine="420" w:firstLineChars="200"/>
        <w:rPr>
          <w:szCs w:val="21"/>
        </w:rPr>
      </w:pPr>
      <w:r>
        <w:rPr>
          <w:rFonts w:hint="eastAsia"/>
          <w:szCs w:val="21"/>
        </w:rPr>
        <w:t>接收机应具备在仅接收BDS播发的公开服务信号情况下正常工作能力。</w:t>
      </w:r>
    </w:p>
    <w:p>
      <w:pPr>
        <w:spacing w:before="120" w:beforeLines="50" w:after="120" w:afterLines="50"/>
        <w:rPr>
          <w:szCs w:val="21"/>
        </w:rPr>
      </w:pPr>
      <w:r>
        <w:rPr>
          <w:rFonts w:hint="eastAsia"/>
          <w:szCs w:val="21"/>
        </w:rPr>
        <w:t>4.6.2 卫星跟踪能力</w:t>
      </w:r>
    </w:p>
    <w:p>
      <w:pPr>
        <w:spacing w:before="120" w:beforeLines="50" w:after="120" w:afterLines="50"/>
        <w:ind w:firstLine="420" w:firstLineChars="200"/>
        <w:rPr>
          <w:szCs w:val="21"/>
        </w:rPr>
      </w:pPr>
      <w:r>
        <w:rPr>
          <w:rFonts w:hint="eastAsia"/>
          <w:szCs w:val="21"/>
        </w:rPr>
        <w:t>卫星跟踪信号应包括跟踪表1中部分信号，但不仅限于表1。</w:t>
      </w:r>
    </w:p>
    <w:p>
      <w:pPr>
        <w:spacing w:before="120" w:beforeLines="50" w:after="120" w:afterLines="50"/>
        <w:jc w:val="center"/>
        <w:rPr>
          <w:szCs w:val="21"/>
        </w:rPr>
      </w:pPr>
      <w:r>
        <w:rPr>
          <w:rFonts w:hint="eastAsia"/>
          <w:szCs w:val="21"/>
        </w:rPr>
        <w:t>表1接收机跟踪信号</w:t>
      </w:r>
    </w:p>
    <w:tbl>
      <w:tblPr>
        <w:tblStyle w:val="23"/>
        <w:tblW w:w="8167" w:type="dxa"/>
        <w:jc w:val="center"/>
        <w:tblLayout w:type="fixed"/>
        <w:tblCellMar>
          <w:top w:w="0" w:type="dxa"/>
          <w:left w:w="10" w:type="dxa"/>
          <w:bottom w:w="0" w:type="dxa"/>
          <w:right w:w="10" w:type="dxa"/>
        </w:tblCellMar>
      </w:tblPr>
      <w:tblGrid>
        <w:gridCol w:w="3331"/>
        <w:gridCol w:w="4836"/>
      </w:tblGrid>
      <w:tr>
        <w:tblPrEx>
          <w:tblCellMar>
            <w:top w:w="0" w:type="dxa"/>
            <w:left w:w="10" w:type="dxa"/>
            <w:bottom w:w="0" w:type="dxa"/>
            <w:right w:w="10" w:type="dxa"/>
          </w:tblCellMar>
        </w:tblPrEx>
        <w:trPr>
          <w:trHeight w:val="570" w:hRule="exact"/>
          <w:jc w:val="center"/>
        </w:trPr>
        <w:tc>
          <w:tcPr>
            <w:tcW w:w="333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GNSS</w:t>
            </w:r>
            <w:r>
              <w:rPr>
                <w:color w:val="000000"/>
                <w:sz w:val="21"/>
                <w:szCs w:val="21"/>
                <w:lang w:val="zh-TW" w:eastAsia="zh-TW" w:bidi="zh-TW"/>
              </w:rPr>
              <w:t>系统</w:t>
            </w:r>
          </w:p>
        </w:tc>
        <w:tc>
          <w:tcPr>
            <w:tcW w:w="4836"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信号类型</w:t>
            </w:r>
          </w:p>
        </w:tc>
      </w:tr>
      <w:tr>
        <w:tblPrEx>
          <w:tblCellMar>
            <w:top w:w="0" w:type="dxa"/>
            <w:left w:w="10" w:type="dxa"/>
            <w:bottom w:w="0" w:type="dxa"/>
            <w:right w:w="10" w:type="dxa"/>
          </w:tblCellMar>
        </w:tblPrEx>
        <w:trPr>
          <w:trHeight w:val="555" w:hRule="exact"/>
          <w:jc w:val="center"/>
        </w:trPr>
        <w:tc>
          <w:tcPr>
            <w:tcW w:w="333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ascii="Times New Roman" w:hAnsi="Times New Roman" w:cs="Times New Roman"/>
                <w:color w:val="000000"/>
                <w:sz w:val="21"/>
                <w:szCs w:val="21"/>
                <w:lang w:bidi="en-US"/>
              </w:rPr>
              <w:t>B</w:t>
            </w:r>
            <w:r>
              <w:rPr>
                <w:rFonts w:ascii="Times New Roman" w:hAnsi="Times New Roman" w:eastAsia="Times New Roman" w:cs="Times New Roman"/>
                <w:color w:val="000000"/>
                <w:sz w:val="21"/>
                <w:szCs w:val="21"/>
                <w:lang w:eastAsia="en-US" w:bidi="en-US"/>
              </w:rPr>
              <w:t>DS</w:t>
            </w:r>
          </w:p>
        </w:tc>
        <w:tc>
          <w:tcPr>
            <w:tcW w:w="4836" w:type="dxa"/>
            <w:tcBorders>
              <w:top w:val="single" w:color="auto" w:sz="4" w:space="0"/>
              <w:left w:val="single" w:color="auto" w:sz="4" w:space="0"/>
              <w:right w:val="single" w:color="auto" w:sz="4" w:space="0"/>
            </w:tcBorders>
            <w:shd w:val="clear" w:color="auto" w:fill="FFFFFF"/>
            <w:vAlign w:val="center"/>
          </w:tcPr>
          <w:p>
            <w:pPr>
              <w:rPr>
                <w:szCs w:val="21"/>
              </w:rPr>
            </w:pPr>
            <w:r>
              <w:rPr>
                <w:rFonts w:hint="eastAsia"/>
                <w:szCs w:val="21"/>
              </w:rPr>
              <w:t>B1I、B1C、B2I、B2b、B3I</w:t>
            </w:r>
          </w:p>
        </w:tc>
      </w:tr>
      <w:tr>
        <w:tblPrEx>
          <w:tblCellMar>
            <w:top w:w="0" w:type="dxa"/>
            <w:left w:w="10" w:type="dxa"/>
            <w:bottom w:w="0" w:type="dxa"/>
            <w:right w:w="10" w:type="dxa"/>
          </w:tblCellMar>
        </w:tblPrEx>
        <w:trPr>
          <w:trHeight w:val="555" w:hRule="exact"/>
          <w:jc w:val="center"/>
        </w:trPr>
        <w:tc>
          <w:tcPr>
            <w:tcW w:w="333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GPS</w:t>
            </w:r>
          </w:p>
        </w:tc>
        <w:tc>
          <w:tcPr>
            <w:tcW w:w="4836"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sz w:val="21"/>
                <w:szCs w:val="21"/>
              </w:rPr>
            </w:pPr>
            <w:r>
              <w:rPr>
                <w:rFonts w:ascii="Times New Roman" w:hAnsi="Times New Roman" w:eastAsia="Times New Roman" w:cs="Times New Roman"/>
                <w:color w:val="000000"/>
                <w:sz w:val="21"/>
                <w:szCs w:val="21"/>
                <w:lang w:eastAsia="en-US" w:bidi="en-US"/>
              </w:rPr>
              <w:t>L1C/A</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L1C</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L2C</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L5</w:t>
            </w:r>
          </w:p>
        </w:tc>
      </w:tr>
      <w:tr>
        <w:tblPrEx>
          <w:tblCellMar>
            <w:top w:w="0" w:type="dxa"/>
            <w:left w:w="10" w:type="dxa"/>
            <w:bottom w:w="0" w:type="dxa"/>
            <w:right w:w="10" w:type="dxa"/>
          </w:tblCellMar>
        </w:tblPrEx>
        <w:trPr>
          <w:trHeight w:val="570" w:hRule="exact"/>
          <w:jc w:val="center"/>
        </w:trPr>
        <w:tc>
          <w:tcPr>
            <w:tcW w:w="333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GLONASS</w:t>
            </w:r>
          </w:p>
        </w:tc>
        <w:tc>
          <w:tcPr>
            <w:tcW w:w="4836"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sz w:val="21"/>
                <w:szCs w:val="21"/>
              </w:rPr>
            </w:pPr>
            <w:r>
              <w:rPr>
                <w:rFonts w:ascii="Times New Roman" w:hAnsi="Times New Roman" w:eastAsia="Times New Roman" w:cs="Times New Roman"/>
                <w:color w:val="000000"/>
                <w:sz w:val="21"/>
                <w:szCs w:val="21"/>
                <w:lang w:eastAsia="en-US" w:bidi="en-US"/>
              </w:rPr>
              <w:t>G1</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G2</w:t>
            </w:r>
          </w:p>
        </w:tc>
      </w:tr>
      <w:tr>
        <w:tblPrEx>
          <w:tblCellMar>
            <w:top w:w="0" w:type="dxa"/>
            <w:left w:w="10" w:type="dxa"/>
            <w:bottom w:w="0" w:type="dxa"/>
            <w:right w:w="10" w:type="dxa"/>
          </w:tblCellMar>
        </w:tblPrEx>
        <w:trPr>
          <w:trHeight w:val="570" w:hRule="exact"/>
          <w:jc w:val="center"/>
        </w:trPr>
        <w:tc>
          <w:tcPr>
            <w:tcW w:w="3331"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GALILEO</w:t>
            </w:r>
          </w:p>
        </w:tc>
        <w:tc>
          <w:tcPr>
            <w:tcW w:w="483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rPr>
                <w:sz w:val="21"/>
                <w:szCs w:val="21"/>
              </w:rPr>
            </w:pPr>
            <w:r>
              <w:rPr>
                <w:rFonts w:ascii="Times New Roman" w:hAnsi="Times New Roman" w:eastAsia="Times New Roman" w:cs="Times New Roman"/>
                <w:color w:val="000000"/>
                <w:sz w:val="21"/>
                <w:szCs w:val="21"/>
                <w:lang w:eastAsia="en-US" w:bidi="en-US"/>
              </w:rPr>
              <w:t>El</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E5a</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E5b</w:t>
            </w:r>
          </w:p>
        </w:tc>
      </w:tr>
    </w:tbl>
    <w:p>
      <w:pPr>
        <w:spacing w:before="120" w:beforeLines="50" w:after="120" w:afterLines="50"/>
        <w:ind w:firstLine="420" w:firstLineChars="200"/>
        <w:rPr>
          <w:szCs w:val="21"/>
        </w:rPr>
      </w:pPr>
      <w:r>
        <w:rPr>
          <w:rFonts w:hint="eastAsia"/>
          <w:szCs w:val="21"/>
        </w:rPr>
        <w:t>卫星跟踪能力的要求和分类见表2。</w:t>
      </w:r>
    </w:p>
    <w:p>
      <w:pPr>
        <w:spacing w:before="120" w:beforeLines="50" w:after="120" w:afterLines="50"/>
        <w:jc w:val="center"/>
        <w:rPr>
          <w:szCs w:val="21"/>
        </w:rPr>
      </w:pPr>
      <w:r>
        <w:rPr>
          <w:rFonts w:hint="eastAsia"/>
          <w:szCs w:val="21"/>
        </w:rPr>
        <w:t>表2接收机跟踪能力</w:t>
      </w:r>
    </w:p>
    <w:tbl>
      <w:tblPr>
        <w:tblStyle w:val="23"/>
        <w:tblW w:w="8156" w:type="dxa"/>
        <w:jc w:val="center"/>
        <w:tblLayout w:type="fixed"/>
        <w:tblCellMar>
          <w:top w:w="0" w:type="dxa"/>
          <w:left w:w="10" w:type="dxa"/>
          <w:bottom w:w="0" w:type="dxa"/>
          <w:right w:w="10" w:type="dxa"/>
        </w:tblCellMar>
      </w:tblPr>
      <w:tblGrid>
        <w:gridCol w:w="1279"/>
        <w:gridCol w:w="914"/>
        <w:gridCol w:w="1745"/>
        <w:gridCol w:w="1364"/>
        <w:gridCol w:w="2854"/>
      </w:tblGrid>
      <w:tr>
        <w:tblPrEx>
          <w:tblCellMar>
            <w:top w:w="0" w:type="dxa"/>
            <w:left w:w="10" w:type="dxa"/>
            <w:bottom w:w="0" w:type="dxa"/>
            <w:right w:w="10" w:type="dxa"/>
          </w:tblCellMar>
        </w:tblPrEx>
        <w:trPr>
          <w:trHeight w:val="495"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接收机类别</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频点数</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最小系统组成</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跟踪卫星数</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备注</w:t>
            </w:r>
          </w:p>
        </w:tc>
      </w:tr>
      <w:tr>
        <w:tblPrEx>
          <w:tblCellMar>
            <w:top w:w="0" w:type="dxa"/>
            <w:left w:w="10" w:type="dxa"/>
            <w:bottom w:w="0" w:type="dxa"/>
            <w:right w:w="10" w:type="dxa"/>
          </w:tblCellMar>
        </w:tblPrEx>
        <w:trPr>
          <w:trHeight w:val="480"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单模单</w:t>
            </w:r>
            <w:r>
              <w:rPr>
                <w:rFonts w:hint="eastAsia" w:ascii="Times New Roman" w:hAnsi="Times New Roman" w:eastAsia="Times New Roman" w:cs="Times New Roman"/>
                <w:color w:val="000000"/>
                <w:sz w:val="21"/>
                <w:szCs w:val="21"/>
                <w:lang w:val="zh-TW" w:bidi="en-US"/>
              </w:rPr>
              <w:t>频</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1</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12</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仅有一个卫星系统的一个频点</w:t>
            </w:r>
          </w:p>
        </w:tc>
      </w:tr>
      <w:tr>
        <w:tblPrEx>
          <w:tblCellMar>
            <w:top w:w="0" w:type="dxa"/>
            <w:left w:w="10" w:type="dxa"/>
            <w:bottom w:w="0" w:type="dxa"/>
            <w:right w:w="10" w:type="dxa"/>
          </w:tblCellMar>
        </w:tblPrEx>
        <w:trPr>
          <w:trHeight w:val="840"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多模単频</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2</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BDS+(GPS/GLONASS/GALILEO)</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20</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宥两个及以上的卫星系统，每个卫星系统仅有一个频点</w:t>
            </w:r>
          </w:p>
        </w:tc>
      </w:tr>
      <w:tr>
        <w:tblPrEx>
          <w:tblCellMar>
            <w:top w:w="0" w:type="dxa"/>
            <w:left w:w="10" w:type="dxa"/>
            <w:bottom w:w="0" w:type="dxa"/>
            <w:right w:w="10" w:type="dxa"/>
          </w:tblCellMar>
        </w:tblPrEx>
        <w:trPr>
          <w:trHeight w:val="840"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单模多频</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2</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12</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有一个卫星系统的两个及以上的信号频点</w:t>
            </w:r>
          </w:p>
        </w:tc>
      </w:tr>
      <w:tr>
        <w:tblPrEx>
          <w:tblCellMar>
            <w:top w:w="0" w:type="dxa"/>
            <w:left w:w="10" w:type="dxa"/>
            <w:bottom w:w="0" w:type="dxa"/>
            <w:right w:w="10" w:type="dxa"/>
          </w:tblCellMar>
        </w:tblPrEx>
        <w:trPr>
          <w:trHeight w:val="840"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多模多</w:t>
            </w:r>
            <w:r>
              <w:rPr>
                <w:rFonts w:hint="eastAsia" w:ascii="Times New Roman" w:hAnsi="Times New Roman" w:eastAsia="Times New Roman" w:cs="Times New Roman"/>
                <w:color w:val="000000"/>
                <w:sz w:val="21"/>
                <w:szCs w:val="21"/>
                <w:lang w:val="zh-TW" w:bidi="en-US"/>
              </w:rPr>
              <w:t>频</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4</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BDS+(GPS/GLONASS/GALILEO)</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20</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有两个及以上卫星系统</w:t>
            </w:r>
            <w:r>
              <w:rPr>
                <w:rFonts w:hint="eastAsia" w:ascii="Times New Roman" w:hAnsi="Times New Roman" w:eastAsia="Times New Roman" w:cs="Times New Roman"/>
                <w:color w:val="000000"/>
                <w:sz w:val="21"/>
                <w:szCs w:val="21"/>
                <w:lang w:val="zh-TW" w:bidi="en-US"/>
              </w:rPr>
              <w:t>，</w:t>
            </w:r>
            <w:r>
              <w:rPr>
                <w:rFonts w:ascii="Times New Roman" w:hAnsi="Times New Roman" w:eastAsia="Times New Roman" w:cs="Times New Roman"/>
                <w:color w:val="000000"/>
                <w:sz w:val="21"/>
                <w:szCs w:val="21"/>
                <w:lang w:val="zh-TW" w:eastAsia="zh-TW" w:bidi="en-US"/>
              </w:rPr>
              <w:t>每个卫星系统有两个及以上信号频点</w:t>
            </w:r>
          </w:p>
        </w:tc>
      </w:tr>
      <w:tr>
        <w:tblPrEx>
          <w:tblCellMar>
            <w:top w:w="0" w:type="dxa"/>
            <w:left w:w="10" w:type="dxa"/>
            <w:bottom w:w="0" w:type="dxa"/>
            <w:right w:w="10" w:type="dxa"/>
          </w:tblCellMar>
        </w:tblPrEx>
        <w:trPr>
          <w:trHeight w:val="855" w:hRule="exact"/>
          <w:jc w:val="center"/>
        </w:trPr>
        <w:tc>
          <w:tcPr>
            <w:tcW w:w="1279"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全星座多频</w:t>
            </w:r>
          </w:p>
        </w:tc>
        <w:tc>
          <w:tcPr>
            <w:tcW w:w="914"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8</w:t>
            </w:r>
          </w:p>
        </w:tc>
        <w:tc>
          <w:tcPr>
            <w:tcW w:w="1745"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BDS+GPS+GLONASS+GALILEO</w:t>
            </w:r>
          </w:p>
        </w:tc>
        <w:tc>
          <w:tcPr>
            <w:tcW w:w="1364"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36</w:t>
            </w:r>
          </w:p>
        </w:tc>
        <w:tc>
          <w:tcPr>
            <w:tcW w:w="2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所有卫星系统，每个卫星系统有所有信号频点</w:t>
            </w:r>
          </w:p>
        </w:tc>
      </w:tr>
    </w:tbl>
    <w:p>
      <w:pPr>
        <w:spacing w:after="379" w:line="1" w:lineRule="exact"/>
      </w:pPr>
    </w:p>
    <w:p>
      <w:pPr>
        <w:spacing w:before="120" w:beforeLines="50" w:after="120" w:afterLines="50"/>
        <w:rPr>
          <w:szCs w:val="21"/>
        </w:rPr>
      </w:pPr>
      <w:r>
        <w:rPr>
          <w:rFonts w:hint="eastAsia"/>
          <w:szCs w:val="21"/>
        </w:rPr>
        <w:t>4.6.3 捕获灵敏度</w:t>
      </w:r>
    </w:p>
    <w:p>
      <w:pPr>
        <w:spacing w:before="120" w:beforeLines="50" w:after="120" w:afterLines="50"/>
        <w:ind w:firstLine="420" w:firstLineChars="200"/>
        <w:rPr>
          <w:szCs w:val="21"/>
        </w:rPr>
      </w:pPr>
      <w:r>
        <w:rPr>
          <w:rFonts w:hint="eastAsia"/>
          <w:szCs w:val="21"/>
        </w:rPr>
        <w:t>在卫星截止高度角大于5</w:t>
      </w:r>
      <w:r>
        <w:rPr>
          <w:rFonts w:hint="eastAsia" w:ascii="宋体" w:hAnsi="宋体" w:cs="宋体"/>
          <w:szCs w:val="21"/>
          <w:lang w:val="zh-CN"/>
        </w:rPr>
        <w:t>°</w:t>
      </w:r>
      <w:r>
        <w:rPr>
          <w:rFonts w:hint="eastAsia"/>
          <w:szCs w:val="21"/>
          <w:lang w:val="zh-CN"/>
        </w:rPr>
        <w:t>条</w:t>
      </w:r>
      <w:r>
        <w:rPr>
          <w:rFonts w:hint="eastAsia"/>
          <w:szCs w:val="21"/>
        </w:rPr>
        <w:t>件下，接收机捕获灵敏度要求见表3。</w:t>
      </w:r>
    </w:p>
    <w:p>
      <w:pPr>
        <w:spacing w:before="120" w:beforeLines="50" w:after="120" w:afterLines="50"/>
        <w:jc w:val="center"/>
        <w:rPr>
          <w:szCs w:val="21"/>
        </w:rPr>
      </w:pPr>
      <w:r>
        <w:rPr>
          <w:rFonts w:hint="eastAsia"/>
          <w:szCs w:val="21"/>
        </w:rPr>
        <w:t>表3接收机捕获灵敏度</w:t>
      </w:r>
    </w:p>
    <w:tbl>
      <w:tblPr>
        <w:tblStyle w:val="23"/>
        <w:tblW w:w="8131" w:type="dxa"/>
        <w:jc w:val="center"/>
        <w:tblLayout w:type="fixed"/>
        <w:tblCellMar>
          <w:top w:w="0" w:type="dxa"/>
          <w:left w:w="10" w:type="dxa"/>
          <w:bottom w:w="0" w:type="dxa"/>
          <w:right w:w="10" w:type="dxa"/>
        </w:tblCellMar>
      </w:tblPr>
      <w:tblGrid>
        <w:gridCol w:w="1535"/>
        <w:gridCol w:w="1899"/>
        <w:gridCol w:w="2250"/>
        <w:gridCol w:w="2447"/>
      </w:tblGrid>
      <w:tr>
        <w:tblPrEx>
          <w:tblCellMar>
            <w:top w:w="0" w:type="dxa"/>
            <w:left w:w="10" w:type="dxa"/>
            <w:bottom w:w="0" w:type="dxa"/>
            <w:right w:w="10" w:type="dxa"/>
          </w:tblCellMar>
        </w:tblPrEx>
        <w:trPr>
          <w:trHeight w:val="855" w:hRule="exact"/>
          <w:jc w:val="center"/>
        </w:trPr>
        <w:tc>
          <w:tcPr>
            <w:tcW w:w="153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GNSS</w:t>
            </w:r>
            <w:r>
              <w:rPr>
                <w:rFonts w:ascii="Times New Roman" w:hAnsi="Times New Roman" w:eastAsia="Times New Roman" w:cs="Times New Roman"/>
                <w:color w:val="000000"/>
                <w:sz w:val="21"/>
                <w:szCs w:val="21"/>
                <w:lang w:val="zh-TW" w:eastAsia="zh-TW" w:bidi="en-US"/>
              </w:rPr>
              <w:t>系统</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信号类型</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信号类型捕获灵敏度</w:t>
            </w:r>
          </w:p>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bidi="en-US"/>
              </w:rPr>
              <w:t>dBm</w:t>
            </w:r>
          </w:p>
        </w:tc>
        <w:tc>
          <w:tcPr>
            <w:tcW w:w="2447"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系统捕获灵敏度</w:t>
            </w:r>
          </w:p>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bidi="en-US"/>
              </w:rPr>
              <w:t>dBm</w:t>
            </w:r>
          </w:p>
        </w:tc>
      </w:tr>
      <w:tr>
        <w:tblPrEx>
          <w:tblCellMar>
            <w:top w:w="0" w:type="dxa"/>
            <w:left w:w="10" w:type="dxa"/>
            <w:bottom w:w="0" w:type="dxa"/>
            <w:right w:w="10" w:type="dxa"/>
          </w:tblCellMar>
        </w:tblPrEx>
        <w:trPr>
          <w:trHeight w:val="465"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BDS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B1I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B1C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B2I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hint="eastAsia" w:ascii="Times New Roman" w:hAnsi="Times New Roman" w:eastAsia="Times New Roman" w:cs="Times New Roman"/>
                <w:color w:val="000000"/>
                <w:sz w:val="21"/>
                <w:szCs w:val="21"/>
                <w:lang w:eastAsia="en-US" w:bidi="en-US"/>
              </w:rPr>
              <w:t>B</w:t>
            </w:r>
            <w:r>
              <w:rPr>
                <w:rFonts w:ascii="Times New Roman" w:hAnsi="Times New Roman" w:eastAsia="Times New Roman" w:cs="Times New Roman"/>
                <w:color w:val="000000"/>
                <w:sz w:val="21"/>
                <w:szCs w:val="21"/>
                <w:lang w:eastAsia="en-US" w:bidi="en-US"/>
              </w:rPr>
              <w:t>2</w:t>
            </w:r>
            <w:r>
              <w:rPr>
                <w:rFonts w:hint="eastAsia" w:ascii="Times New Roman" w:hAnsi="Times New Roman" w:eastAsia="Times New Roman" w:cs="Times New Roman"/>
                <w:color w:val="000000"/>
                <w:sz w:val="21"/>
                <w:szCs w:val="21"/>
                <w:lang w:eastAsia="en-US" w:bidi="en-US"/>
              </w:rPr>
              <w:t>b</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B3I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eastAsia="Times New Roman" w:cs="Arial"/>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GPS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L1C/A</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27</w:t>
            </w:r>
            <w:r>
              <w:rPr>
                <w:rFonts w:ascii="Times New Roman" w:hAnsi="Times New Roman" w:eastAsia="Times New Roman" w:cs="Times New Roman"/>
                <w:color w:val="000000"/>
                <w:sz w:val="21"/>
                <w:szCs w:val="21"/>
                <w:lang w:eastAsia="en-US" w:bidi="en-US"/>
              </w:rPr>
              <w:t>.0</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L1C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val="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27</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L2C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L2</w:t>
            </w:r>
            <w:r>
              <w:rPr>
                <w:rFonts w:hint="eastAsia" w:ascii="Times New Roman" w:hAnsi="Times New Roman" w:cs="Times New Roman"/>
                <w:color w:val="000000"/>
                <w:sz w:val="21"/>
                <w:szCs w:val="21"/>
                <w:lang w:bidi="en-US"/>
              </w:rPr>
              <w:t>P（Y）</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eastAsia="Times New Roman" w:cs="Arial"/>
                <w:color w:val="000000"/>
                <w:sz w:val="21"/>
                <w:szCs w:val="21"/>
                <w:lang w:eastAsia="en-US"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w:t>
            </w:r>
            <w:r>
              <w:rPr>
                <w:rFonts w:hint="eastAsia" w:ascii="Arial" w:hAnsi="Arial" w:cs="Arial"/>
                <w:color w:val="000000"/>
                <w:sz w:val="21"/>
                <w:szCs w:val="21"/>
                <w:lang w:bidi="en-US"/>
              </w:rPr>
              <w:t>31</w:t>
            </w:r>
            <w:r>
              <w:rPr>
                <w:rFonts w:hint="eastAsia" w:ascii="Arial" w:hAnsi="Arial" w:eastAsia="Times New Roman" w:cs="Arial"/>
                <w:color w:val="000000"/>
                <w:sz w:val="21"/>
                <w:szCs w:val="21"/>
                <w:lang w:eastAsia="en-US" w:bidi="en-US"/>
              </w:rPr>
              <w:t>.5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L5</w:t>
            </w:r>
            <w:r>
              <w:rPr>
                <w:rFonts w:hint="eastAsia" w:ascii="Times New Roman" w:hAnsi="Times New Roman" w:cs="Times New Roman"/>
                <w:color w:val="000000"/>
                <w:sz w:val="21"/>
                <w:szCs w:val="21"/>
                <w:lang w:bidi="en-US"/>
              </w:rPr>
              <w:t>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eastAsia="Times New Roman" w:cs="Arial"/>
                <w:color w:val="000000"/>
                <w:sz w:val="21"/>
                <w:szCs w:val="21"/>
                <w:lang w:eastAsia="en-US"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w:t>
            </w:r>
            <w:r>
              <w:rPr>
                <w:rFonts w:hint="eastAsia" w:ascii="Arial" w:hAnsi="Arial" w:eastAsia="Times New Roman" w:cs="Arial"/>
                <w:color w:val="000000"/>
                <w:sz w:val="21"/>
                <w:szCs w:val="21"/>
                <w:lang w:eastAsia="en-US" w:bidi="en-US"/>
              </w:rPr>
              <w:t>27</w:t>
            </w:r>
            <w:r>
              <w:rPr>
                <w:rFonts w:ascii="Arial" w:hAnsi="Arial" w:eastAsia="Times New Roman" w:cs="Arial"/>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L5</w:t>
            </w:r>
            <w:r>
              <w:rPr>
                <w:rFonts w:hint="eastAsia" w:ascii="Times New Roman" w:hAnsi="Times New Roman" w:cs="Times New Roman"/>
                <w:color w:val="000000"/>
                <w:sz w:val="21"/>
                <w:szCs w:val="21"/>
                <w:lang w:bidi="en-US"/>
              </w:rPr>
              <w:t>Q</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w:t>
            </w:r>
            <w:r>
              <w:rPr>
                <w:rFonts w:hint="eastAsia" w:ascii="Arial" w:hAnsi="Arial" w:eastAsia="Times New Roman" w:cs="Arial"/>
                <w:color w:val="000000"/>
                <w:sz w:val="21"/>
                <w:szCs w:val="21"/>
                <w:lang w:eastAsia="en-US" w:bidi="en-US"/>
              </w:rPr>
              <w:t>27</w:t>
            </w:r>
            <w:r>
              <w:rPr>
                <w:rFonts w:ascii="Arial" w:hAnsi="Arial" w:eastAsia="Times New Roman" w:cs="Arial"/>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GLONASS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G1</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G2</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hint="eastAsia" w:ascii="Times New Roman" w:hAnsi="Times New Roman" w:cs="Times New Roman"/>
                <w:color w:val="000000"/>
                <w:sz w:val="21"/>
                <w:szCs w:val="21"/>
                <w:lang w:bidi="en-US"/>
              </w:rPr>
              <w:t>G</w:t>
            </w:r>
            <w:r>
              <w:rPr>
                <w:rFonts w:ascii="Times New Roman" w:hAnsi="Times New Roman" w:eastAsia="Times New Roman" w:cs="Times New Roman"/>
                <w:color w:val="000000"/>
                <w:sz w:val="21"/>
                <w:szCs w:val="21"/>
                <w:lang w:eastAsia="en-US" w:bidi="en-US"/>
              </w:rPr>
              <w:t>AL</w:t>
            </w:r>
            <w:r>
              <w:rPr>
                <w:rFonts w:hint="eastAsia" w:ascii="Times New Roman" w:hAnsi="Times New Roman" w:cs="Times New Roman"/>
                <w:color w:val="000000"/>
                <w:sz w:val="21"/>
                <w:szCs w:val="21"/>
                <w:lang w:bidi="en-US"/>
              </w:rPr>
              <w:t>L</w:t>
            </w:r>
            <w:r>
              <w:rPr>
                <w:rFonts w:ascii="Times New Roman" w:hAnsi="Times New Roman" w:eastAsia="Times New Roman" w:cs="Times New Roman"/>
                <w:color w:val="000000"/>
                <w:sz w:val="21"/>
                <w:szCs w:val="21"/>
                <w:lang w:eastAsia="en-US" w:bidi="en-US"/>
              </w:rPr>
              <w:t>EO</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El</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27</w:t>
            </w:r>
            <w:r>
              <w:rPr>
                <w:rFonts w:ascii="Times New Roman" w:hAnsi="Times New Roman" w:eastAsia="Times New Roman" w:cs="Times New Roman"/>
                <w:color w:val="000000"/>
                <w:sz w:val="21"/>
                <w:szCs w:val="21"/>
                <w:lang w:eastAsia="en-US" w:bidi="en-US"/>
              </w:rPr>
              <w:t>.0</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25</w:t>
            </w:r>
            <w:r>
              <w:rPr>
                <w:rFonts w:ascii="Times New Roman" w:hAnsi="Times New Roman" w:eastAsia="Times New Roman" w:cs="Times New Roman"/>
                <w:color w:val="000000"/>
                <w:sz w:val="21"/>
                <w:szCs w:val="21"/>
                <w:lang w:eastAsia="en-US" w:bidi="en-US"/>
              </w:rPr>
              <w:t>.0</w:t>
            </w:r>
          </w:p>
        </w:tc>
      </w:tr>
      <w:tr>
        <w:tblPrEx>
          <w:tblCellMar>
            <w:top w:w="0" w:type="dxa"/>
            <w:left w:w="10" w:type="dxa"/>
            <w:bottom w:w="0" w:type="dxa"/>
            <w:right w:w="10" w:type="dxa"/>
          </w:tblCellMar>
        </w:tblPrEx>
        <w:trPr>
          <w:trHeight w:val="465" w:hRule="exact"/>
          <w:jc w:val="center"/>
        </w:trPr>
        <w:tc>
          <w:tcPr>
            <w:tcW w:w="1535" w:type="dxa"/>
            <w:vMerge w:val="continue"/>
            <w:tcBorders>
              <w:left w:val="single" w:color="auto" w:sz="4" w:space="0"/>
            </w:tcBorders>
            <w:shd w:val="clear" w:color="auto" w:fill="FFFFFF"/>
            <w:vAlign w:val="center"/>
          </w:tc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sz w:val="22"/>
                <w:szCs w:val="22"/>
              </w:rPr>
            </w:pPr>
            <w:r>
              <w:rPr>
                <w:rFonts w:ascii="Times New Roman" w:hAnsi="Times New Roman" w:eastAsia="Times New Roman" w:cs="Times New Roman"/>
                <w:color w:val="000000"/>
                <w:sz w:val="22"/>
                <w:szCs w:val="22"/>
                <w:lang w:eastAsia="en-US" w:bidi="en-US"/>
              </w:rPr>
              <w:t>E5a</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sz w:val="22"/>
                <w:szCs w:val="22"/>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25</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tc>
      </w:tr>
      <w:tr>
        <w:tblPrEx>
          <w:tblCellMar>
            <w:top w:w="0" w:type="dxa"/>
            <w:left w:w="10" w:type="dxa"/>
            <w:bottom w:w="0" w:type="dxa"/>
            <w:right w:w="10" w:type="dxa"/>
          </w:tblCellMar>
        </w:tblPrEx>
        <w:trPr>
          <w:trHeight w:val="510" w:hRule="exact"/>
          <w:jc w:val="center"/>
        </w:trPr>
        <w:tc>
          <w:tcPr>
            <w:tcW w:w="1535" w:type="dxa"/>
            <w:vMerge w:val="continue"/>
            <w:tcBorders>
              <w:left w:val="single" w:color="auto" w:sz="4" w:space="0"/>
              <w:bottom w:val="single" w:color="auto" w:sz="4" w:space="0"/>
            </w:tcBorders>
            <w:shd w:val="clear" w:color="auto" w:fill="FFFFFF"/>
            <w:vAlign w:val="center"/>
          </w:tcPr>
          <w:p/>
        </w:tc>
        <w:tc>
          <w:tcPr>
            <w:tcW w:w="1899"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2"/>
                <w:szCs w:val="22"/>
              </w:rPr>
            </w:pPr>
            <w:r>
              <w:rPr>
                <w:rFonts w:ascii="Times New Roman" w:hAnsi="Times New Roman" w:eastAsia="Times New Roman" w:cs="Times New Roman"/>
                <w:color w:val="000000"/>
                <w:sz w:val="22"/>
                <w:szCs w:val="22"/>
                <w:lang w:eastAsia="en-US" w:bidi="en-US"/>
              </w:rPr>
              <w:t>E5b</w:t>
            </w:r>
          </w:p>
        </w:tc>
        <w:tc>
          <w:tcPr>
            <w:tcW w:w="2250"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2"/>
                <w:szCs w:val="22"/>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25</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bottom w:val="single" w:color="auto" w:sz="4" w:space="0"/>
              <w:right w:val="single" w:color="auto" w:sz="4" w:space="0"/>
            </w:tcBorders>
            <w:shd w:val="clear" w:color="auto" w:fill="FFFFFF"/>
            <w:vAlign w:val="center"/>
          </w:tcPr>
          <w:p/>
        </w:tc>
      </w:tr>
    </w:tbl>
    <w:p>
      <w:pPr>
        <w:spacing w:after="499" w:line="1" w:lineRule="exact"/>
      </w:pPr>
    </w:p>
    <w:p>
      <w:pPr>
        <w:spacing w:before="120" w:beforeLines="50" w:after="120" w:afterLines="50"/>
        <w:rPr>
          <w:szCs w:val="21"/>
          <w:lang w:eastAsia="en-US"/>
        </w:rPr>
      </w:pPr>
      <w:r>
        <w:rPr>
          <w:rFonts w:hint="eastAsia"/>
          <w:szCs w:val="21"/>
          <w:lang w:eastAsia="en-US"/>
        </w:rPr>
        <w:t>4.6.4</w:t>
      </w:r>
      <w:r>
        <w:rPr>
          <w:rFonts w:hint="eastAsia"/>
          <w:szCs w:val="21"/>
        </w:rPr>
        <w:t xml:space="preserve"> </w:t>
      </w:r>
      <w:r>
        <w:rPr>
          <w:rFonts w:hint="eastAsia"/>
          <w:szCs w:val="21"/>
          <w:lang w:eastAsia="en-US"/>
        </w:rPr>
        <w:t>跟踪灵敏度</w:t>
      </w:r>
    </w:p>
    <w:p>
      <w:pPr>
        <w:spacing w:before="120" w:beforeLines="50" w:after="120" w:afterLines="50"/>
        <w:ind w:firstLine="420" w:firstLineChars="200"/>
        <w:rPr>
          <w:szCs w:val="21"/>
        </w:rPr>
      </w:pPr>
      <w:r>
        <w:rPr>
          <w:rFonts w:hint="eastAsia"/>
          <w:szCs w:val="21"/>
        </w:rPr>
        <w:t>在卫星截止高度角大于5°条件下，接收机跟踪灵敏度要求见表4。</w:t>
      </w:r>
    </w:p>
    <w:p>
      <w:pPr>
        <w:spacing w:before="120" w:beforeLines="50" w:after="120" w:afterLines="50"/>
        <w:jc w:val="center"/>
        <w:rPr>
          <w:szCs w:val="21"/>
        </w:rPr>
      </w:pPr>
      <w:r>
        <w:rPr>
          <w:rFonts w:hint="eastAsia"/>
          <w:szCs w:val="21"/>
        </w:rPr>
        <w:t>表</w:t>
      </w:r>
      <w:r>
        <w:rPr>
          <w:rFonts w:hint="eastAsia"/>
          <w:szCs w:val="21"/>
          <w:lang w:eastAsia="en-US"/>
        </w:rPr>
        <w:t>4</w:t>
      </w:r>
      <w:r>
        <w:rPr>
          <w:rFonts w:hint="eastAsia"/>
          <w:szCs w:val="21"/>
        </w:rPr>
        <w:t>接收机跟踪灵敏度</w:t>
      </w:r>
    </w:p>
    <w:tbl>
      <w:tblPr>
        <w:tblStyle w:val="23"/>
        <w:tblW w:w="8131" w:type="dxa"/>
        <w:jc w:val="center"/>
        <w:tblLayout w:type="fixed"/>
        <w:tblCellMar>
          <w:top w:w="0" w:type="dxa"/>
          <w:left w:w="10" w:type="dxa"/>
          <w:bottom w:w="0" w:type="dxa"/>
          <w:right w:w="10" w:type="dxa"/>
        </w:tblCellMar>
      </w:tblPr>
      <w:tblGrid>
        <w:gridCol w:w="1535"/>
        <w:gridCol w:w="1899"/>
        <w:gridCol w:w="2250"/>
        <w:gridCol w:w="2447"/>
      </w:tblGrid>
      <w:tr>
        <w:tblPrEx>
          <w:tblCellMar>
            <w:top w:w="0" w:type="dxa"/>
            <w:left w:w="10" w:type="dxa"/>
            <w:bottom w:w="0" w:type="dxa"/>
            <w:right w:w="10" w:type="dxa"/>
          </w:tblCellMar>
        </w:tblPrEx>
        <w:trPr>
          <w:trHeight w:val="855" w:hRule="exact"/>
          <w:jc w:val="center"/>
        </w:trPr>
        <w:tc>
          <w:tcPr>
            <w:tcW w:w="153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GNSS</w:t>
            </w:r>
            <w:r>
              <w:rPr>
                <w:rFonts w:ascii="Times New Roman" w:hAnsi="Times New Roman" w:eastAsia="Times New Roman" w:cs="Times New Roman"/>
                <w:color w:val="000000"/>
                <w:sz w:val="21"/>
                <w:szCs w:val="21"/>
                <w:lang w:val="zh-TW" w:eastAsia="zh-TW" w:bidi="en-US"/>
              </w:rPr>
              <w:t>系统</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信号类型</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信号类型捕获灵敏度</w:t>
            </w:r>
          </w:p>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bidi="en-US"/>
              </w:rPr>
              <w:t>dBm</w:t>
            </w:r>
          </w:p>
        </w:tc>
        <w:tc>
          <w:tcPr>
            <w:tcW w:w="2447"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系统捕获灵敏度</w:t>
            </w:r>
          </w:p>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bidi="en-US"/>
              </w:rPr>
              <w:t>dBm</w:t>
            </w:r>
          </w:p>
        </w:tc>
      </w:tr>
      <w:tr>
        <w:tblPrEx>
          <w:tblCellMar>
            <w:top w:w="0" w:type="dxa"/>
            <w:left w:w="10" w:type="dxa"/>
            <w:bottom w:w="0" w:type="dxa"/>
            <w:right w:w="10" w:type="dxa"/>
          </w:tblCellMar>
        </w:tblPrEx>
        <w:trPr>
          <w:trHeight w:val="465"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BDS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B1I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B1C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B2I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val="zh-TW" w:bidi="en-US"/>
              </w:rPr>
            </w:pPr>
            <w:r>
              <w:rPr>
                <w:rFonts w:ascii="Times New Roman" w:hAnsi="Times New Roman" w:eastAsia="Times New Roman" w:cs="Times New Roman"/>
                <w:color w:val="000000"/>
                <w:sz w:val="21"/>
                <w:szCs w:val="21"/>
                <w:lang w:eastAsia="en-US" w:bidi="en-US"/>
              </w:rPr>
              <w:t>B2</w:t>
            </w:r>
            <w:r>
              <w:rPr>
                <w:rFonts w:hint="eastAsia" w:ascii="Times New Roman" w:hAnsi="Times New Roman" w:cs="Times New Roman"/>
                <w:color w:val="000000"/>
                <w:sz w:val="21"/>
                <w:szCs w:val="21"/>
                <w:lang w:bidi="en-US"/>
              </w:rPr>
              <w:t>b</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B3I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GPS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L1C/A</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1.5</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0</w:t>
            </w:r>
            <w:r>
              <w:rPr>
                <w:rFonts w:ascii="Times New Roman" w:hAnsi="Times New Roman" w:eastAsia="Times New Roman" w:cs="Times New Roman"/>
                <w:color w:val="000000"/>
                <w:sz w:val="21"/>
                <w:szCs w:val="21"/>
                <w:lang w:eastAsia="en-US" w:bidi="en-US"/>
              </w:rPr>
              <w:t>.0</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L1C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0</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L2C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4.5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L2</w:t>
            </w:r>
            <w:r>
              <w:rPr>
                <w:rFonts w:hint="eastAsia" w:ascii="Times New Roman" w:hAnsi="Times New Roman" w:cs="Times New Roman"/>
                <w:color w:val="000000"/>
                <w:sz w:val="21"/>
                <w:szCs w:val="21"/>
                <w:lang w:bidi="en-US"/>
              </w:rPr>
              <w:t>P（Y）</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eastAsia="Times New Roman" w:cs="Arial"/>
                <w:color w:val="000000"/>
                <w:sz w:val="21"/>
                <w:szCs w:val="21"/>
                <w:lang w:eastAsia="en-US"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13</w:t>
            </w:r>
            <w:r>
              <w:rPr>
                <w:rFonts w:hint="eastAsia" w:ascii="Arial" w:hAnsi="Arial" w:cs="Arial"/>
                <w:color w:val="000000"/>
                <w:sz w:val="21"/>
                <w:szCs w:val="21"/>
                <w:lang w:bidi="en-US"/>
              </w:rPr>
              <w:t>1</w:t>
            </w:r>
            <w:r>
              <w:rPr>
                <w:rFonts w:hint="eastAsia" w:ascii="Arial" w:hAnsi="Arial" w:eastAsia="Times New Roman" w:cs="Arial"/>
                <w:color w:val="000000"/>
                <w:sz w:val="21"/>
                <w:szCs w:val="21"/>
                <w:lang w:eastAsia="en-US" w:bidi="en-US"/>
              </w:rPr>
              <w:t>.5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L5</w:t>
            </w:r>
            <w:r>
              <w:rPr>
                <w:rFonts w:hint="eastAsia" w:ascii="Times New Roman" w:hAnsi="Times New Roman" w:cs="Times New Roman"/>
                <w:color w:val="000000"/>
                <w:sz w:val="21"/>
                <w:szCs w:val="21"/>
                <w:lang w:bidi="en-US"/>
              </w:rPr>
              <w:t>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cs="Arial"/>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13</w:t>
            </w:r>
            <w:r>
              <w:rPr>
                <w:rFonts w:hint="eastAsia" w:ascii="Arial" w:hAnsi="Arial" w:cs="Arial"/>
                <w:color w:val="000000"/>
                <w:sz w:val="21"/>
                <w:szCs w:val="21"/>
                <w:lang w:bidi="en-US"/>
              </w:rPr>
              <w:t>0</w:t>
            </w:r>
            <w:r>
              <w:rPr>
                <w:rFonts w:hint="eastAsia" w:ascii="Arial" w:hAnsi="Arial" w:eastAsia="Times New Roman" w:cs="Arial"/>
                <w:color w:val="000000"/>
                <w:sz w:val="21"/>
                <w:szCs w:val="21"/>
                <w:lang w:eastAsia="en-US" w:bidi="en-US"/>
              </w:rPr>
              <w:t>.</w:t>
            </w:r>
            <w:r>
              <w:rPr>
                <w:rFonts w:hint="eastAsia" w:ascii="Arial" w:hAnsi="Arial" w:cs="Arial"/>
                <w:color w:val="000000"/>
                <w:sz w:val="21"/>
                <w:szCs w:val="21"/>
                <w:lang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L5</w:t>
            </w:r>
            <w:r>
              <w:rPr>
                <w:rFonts w:hint="eastAsia" w:ascii="Times New Roman" w:hAnsi="Times New Roman" w:cs="Times New Roman"/>
                <w:color w:val="000000"/>
                <w:sz w:val="21"/>
                <w:szCs w:val="21"/>
                <w:lang w:bidi="en-US"/>
              </w:rPr>
              <w:t>Q</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0</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GLONASS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G1</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1.5</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1.5</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G2</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1.5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hint="eastAsia" w:ascii="Times New Roman" w:hAnsi="Times New Roman" w:cs="Times New Roman"/>
                <w:color w:val="000000"/>
                <w:sz w:val="21"/>
                <w:szCs w:val="21"/>
                <w:lang w:bidi="en-US"/>
              </w:rPr>
              <w:t>G</w:t>
            </w:r>
            <w:r>
              <w:rPr>
                <w:rFonts w:ascii="Times New Roman" w:hAnsi="Times New Roman" w:eastAsia="Times New Roman" w:cs="Times New Roman"/>
                <w:color w:val="000000"/>
                <w:sz w:val="21"/>
                <w:szCs w:val="21"/>
                <w:lang w:eastAsia="en-US" w:bidi="en-US"/>
              </w:rPr>
              <w:t>AL</w:t>
            </w:r>
            <w:r>
              <w:rPr>
                <w:rFonts w:hint="eastAsia" w:ascii="Times New Roman" w:hAnsi="Times New Roman" w:cs="Times New Roman"/>
                <w:color w:val="000000"/>
                <w:sz w:val="21"/>
                <w:szCs w:val="21"/>
                <w:lang w:bidi="en-US"/>
              </w:rPr>
              <w:t>L</w:t>
            </w:r>
            <w:r>
              <w:rPr>
                <w:rFonts w:ascii="Times New Roman" w:hAnsi="Times New Roman" w:eastAsia="Times New Roman" w:cs="Times New Roman"/>
                <w:color w:val="000000"/>
                <w:sz w:val="21"/>
                <w:szCs w:val="21"/>
                <w:lang w:eastAsia="en-US" w:bidi="en-US"/>
              </w:rPr>
              <w:t>EO</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El</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0</w:t>
            </w:r>
            <w:r>
              <w:rPr>
                <w:rFonts w:ascii="Times New Roman" w:hAnsi="Times New Roman" w:eastAsia="Times New Roman" w:cs="Times New Roman"/>
                <w:color w:val="000000"/>
                <w:sz w:val="21"/>
                <w:szCs w:val="21"/>
                <w:lang w:eastAsia="en-US" w:bidi="en-US"/>
              </w:rPr>
              <w:t>.0</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w:t>
            </w:r>
            <w:r>
              <w:rPr>
                <w:rFonts w:ascii="Times New Roman" w:hAnsi="Times New Roman" w:eastAsia="Times New Roman" w:cs="Times New Roman"/>
                <w:color w:val="000000"/>
                <w:sz w:val="21"/>
                <w:szCs w:val="21"/>
                <w:lang w:eastAsia="en-US" w:bidi="en-US"/>
              </w:rPr>
              <w:t>.0</w:t>
            </w:r>
          </w:p>
        </w:tc>
      </w:tr>
      <w:tr>
        <w:tblPrEx>
          <w:tblCellMar>
            <w:top w:w="0" w:type="dxa"/>
            <w:left w:w="10" w:type="dxa"/>
            <w:bottom w:w="0" w:type="dxa"/>
            <w:right w:w="10" w:type="dxa"/>
          </w:tblCellMar>
        </w:tblPrEx>
        <w:trPr>
          <w:trHeight w:val="465" w:hRule="exact"/>
          <w:jc w:val="center"/>
        </w:trPr>
        <w:tc>
          <w:tcPr>
            <w:tcW w:w="1535" w:type="dxa"/>
            <w:vMerge w:val="continue"/>
            <w:tcBorders>
              <w:left w:val="single" w:color="auto" w:sz="4" w:space="0"/>
            </w:tcBorders>
            <w:shd w:val="clear" w:color="auto" w:fill="FFFFFF"/>
            <w:vAlign w:val="center"/>
          </w:tc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sz w:val="22"/>
                <w:szCs w:val="22"/>
              </w:rPr>
            </w:pPr>
            <w:r>
              <w:rPr>
                <w:rFonts w:ascii="Times New Roman" w:hAnsi="Times New Roman" w:eastAsia="Times New Roman" w:cs="Times New Roman"/>
                <w:color w:val="000000"/>
                <w:sz w:val="22"/>
                <w:szCs w:val="22"/>
                <w:lang w:eastAsia="en-US" w:bidi="en-US"/>
              </w:rPr>
              <w:t>E5a</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tc>
      </w:tr>
      <w:tr>
        <w:tblPrEx>
          <w:tblCellMar>
            <w:top w:w="0" w:type="dxa"/>
            <w:left w:w="10" w:type="dxa"/>
            <w:bottom w:w="0" w:type="dxa"/>
            <w:right w:w="10" w:type="dxa"/>
          </w:tblCellMar>
        </w:tblPrEx>
        <w:trPr>
          <w:trHeight w:val="510" w:hRule="exact"/>
          <w:jc w:val="center"/>
        </w:trPr>
        <w:tc>
          <w:tcPr>
            <w:tcW w:w="1535" w:type="dxa"/>
            <w:vMerge w:val="continue"/>
            <w:tcBorders>
              <w:left w:val="single" w:color="auto" w:sz="4" w:space="0"/>
              <w:bottom w:val="single" w:color="auto" w:sz="4" w:space="0"/>
            </w:tcBorders>
            <w:shd w:val="clear" w:color="auto" w:fill="FFFFFF"/>
            <w:vAlign w:val="center"/>
          </w:tcPr>
          <w:p/>
        </w:tc>
        <w:tc>
          <w:tcPr>
            <w:tcW w:w="1899"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2"/>
                <w:szCs w:val="22"/>
              </w:rPr>
            </w:pPr>
            <w:r>
              <w:rPr>
                <w:rFonts w:ascii="Times New Roman" w:hAnsi="Times New Roman" w:eastAsia="Times New Roman" w:cs="Times New Roman"/>
                <w:color w:val="000000"/>
                <w:sz w:val="22"/>
                <w:szCs w:val="22"/>
                <w:lang w:eastAsia="en-US" w:bidi="en-US"/>
              </w:rPr>
              <w:t>E5b</w:t>
            </w:r>
          </w:p>
        </w:tc>
        <w:tc>
          <w:tcPr>
            <w:tcW w:w="2250"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2"/>
                <w:szCs w:val="22"/>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bottom w:val="single" w:color="auto" w:sz="4" w:space="0"/>
              <w:right w:val="single" w:color="auto" w:sz="4" w:space="0"/>
            </w:tcBorders>
            <w:shd w:val="clear" w:color="auto" w:fill="FFFFFF"/>
            <w:vAlign w:val="center"/>
          </w:tcPr>
          <w:p/>
        </w:tc>
      </w:tr>
    </w:tbl>
    <w:p>
      <w:pPr>
        <w:pStyle w:val="3"/>
        <w:spacing w:before="240" w:after="120"/>
        <w:rPr>
          <w:lang w:eastAsia="en-US"/>
        </w:rPr>
      </w:pPr>
      <w:bookmarkStart w:id="30" w:name="_Toc147734698"/>
      <w:r>
        <w:rPr>
          <w:rFonts w:hint="eastAsia"/>
          <w:lang w:eastAsia="en-US"/>
        </w:rPr>
        <w:t>4.7</w:t>
      </w:r>
      <w:r>
        <w:rPr>
          <w:rFonts w:hint="eastAsia"/>
        </w:rPr>
        <w:t xml:space="preserve"> </w:t>
      </w:r>
      <w:r>
        <w:rPr>
          <w:rFonts w:hint="eastAsia"/>
          <w:lang w:eastAsia="en-US"/>
        </w:rPr>
        <w:t>时间特性</w:t>
      </w:r>
      <w:bookmarkEnd w:id="30"/>
    </w:p>
    <w:p>
      <w:pPr>
        <w:spacing w:before="120" w:beforeLines="50" w:after="120" w:afterLines="50"/>
        <w:rPr>
          <w:szCs w:val="21"/>
          <w:lang w:eastAsia="en-US"/>
        </w:rPr>
      </w:pPr>
      <w:r>
        <w:rPr>
          <w:rFonts w:hint="eastAsia"/>
          <w:szCs w:val="21"/>
          <w:lang w:eastAsia="en-US"/>
        </w:rPr>
        <w:t>4.7.1</w:t>
      </w:r>
      <w:r>
        <w:rPr>
          <w:rFonts w:hint="eastAsia"/>
          <w:szCs w:val="21"/>
        </w:rPr>
        <w:t xml:space="preserve"> </w:t>
      </w:r>
      <w:r>
        <w:rPr>
          <w:rFonts w:hint="eastAsia"/>
          <w:szCs w:val="21"/>
          <w:lang w:eastAsia="en-US"/>
        </w:rPr>
        <w:t>冷启动首次定位时间</w:t>
      </w:r>
    </w:p>
    <w:p>
      <w:pPr>
        <w:spacing w:before="120" w:beforeLines="50" w:after="120" w:afterLines="50"/>
        <w:ind w:firstLine="420" w:firstLineChars="200"/>
        <w:rPr>
          <w:szCs w:val="21"/>
        </w:rPr>
      </w:pPr>
      <w:r>
        <w:rPr>
          <w:rFonts w:hint="eastAsia"/>
          <w:szCs w:val="21"/>
        </w:rPr>
        <w:t>在输入卫星导航信号功率电平为-128dBm时</w:t>
      </w:r>
      <w:r>
        <w:rPr>
          <w:rFonts w:hint="eastAsia"/>
          <w:szCs w:val="21"/>
          <w:lang w:val="zh-CN"/>
        </w:rPr>
        <w:t>，接收</w:t>
      </w:r>
      <w:r>
        <w:rPr>
          <w:rFonts w:hint="eastAsia"/>
          <w:szCs w:val="21"/>
        </w:rPr>
        <w:t>机在概略位置、概略时间、星历和历书未知的状态下开机，到首次能够在其后10s连续输出三维定位误差小于100m的定位数据</w:t>
      </w:r>
      <w:r>
        <w:rPr>
          <w:rFonts w:hint="eastAsia"/>
          <w:szCs w:val="21"/>
          <w:lang w:val="zh-CN"/>
        </w:rPr>
        <w:t>，所</w:t>
      </w:r>
      <w:r>
        <w:rPr>
          <w:rFonts w:hint="eastAsia"/>
          <w:szCs w:val="21"/>
        </w:rPr>
        <w:t>需时间不应超过80s。</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4.7.2 温启动首次定位时间</w:t>
      </w:r>
    </w:p>
    <w:p>
      <w:pPr>
        <w:spacing w:before="120" w:beforeLines="50" w:after="120" w:afterLines="50"/>
        <w:ind w:firstLine="420" w:firstLineChars="200"/>
        <w:rPr>
          <w:szCs w:val="21"/>
        </w:rPr>
      </w:pPr>
      <w:r>
        <w:rPr>
          <w:rFonts w:hint="eastAsia"/>
          <w:szCs w:val="21"/>
        </w:rPr>
        <w:t>在输入卫星导航信号功率电平为-128dBm时，接收机在概略位置、概略时间及历书已知，星历未知的状态下开机，到首次能够在其后10s连续输出三维定位误差小于100m的定位数据，</w:t>
      </w:r>
      <w:r>
        <w:rPr>
          <w:rFonts w:hint="eastAsia"/>
          <w:szCs w:val="21"/>
          <w:lang w:val="zh-CN"/>
        </w:rPr>
        <w:t>所</w:t>
      </w:r>
      <w:r>
        <w:rPr>
          <w:rFonts w:hint="eastAsia"/>
          <w:szCs w:val="21"/>
        </w:rPr>
        <w:t>需时间不应超过50s。</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4.7.3 热启动首次定位时间</w:t>
      </w:r>
    </w:p>
    <w:p>
      <w:pPr>
        <w:spacing w:before="120" w:beforeLines="50" w:after="120" w:afterLines="50"/>
        <w:ind w:firstLine="420" w:firstLineChars="200"/>
        <w:rPr>
          <w:szCs w:val="21"/>
        </w:rPr>
      </w:pPr>
      <w:r>
        <w:rPr>
          <w:rFonts w:hint="eastAsia"/>
          <w:szCs w:val="21"/>
        </w:rPr>
        <w:t>在输入卫星导航信号功率电平为-128dBm时，接收机在概略位置、概略时间、星历和历书已知的状态下开机，到首次能够在其后10s连续输出三维定位误差小于100m的定位数据</w:t>
      </w:r>
      <w:r>
        <w:rPr>
          <w:rFonts w:hint="eastAsia"/>
          <w:szCs w:val="21"/>
          <w:lang w:val="zh-CN"/>
        </w:rPr>
        <w:t>，所</w:t>
      </w:r>
      <w:r>
        <w:rPr>
          <w:rFonts w:hint="eastAsia"/>
          <w:szCs w:val="21"/>
        </w:rPr>
        <w:t>需时间不应超过20s。</w:t>
      </w:r>
    </w:p>
    <w:p>
      <w:pPr>
        <w:pStyle w:val="3"/>
        <w:spacing w:before="240" w:after="120"/>
      </w:pPr>
      <w:bookmarkStart w:id="31" w:name="_Toc147734699"/>
      <w:r>
        <w:rPr>
          <w:rFonts w:hint="eastAsia"/>
        </w:rPr>
        <w:t>4.8 内部噪声水平</w:t>
      </w:r>
      <w:bookmarkEnd w:id="31"/>
    </w:p>
    <w:p>
      <w:pPr>
        <w:spacing w:before="120" w:beforeLines="50" w:after="120" w:afterLines="50"/>
        <w:ind w:firstLine="420" w:firstLineChars="200"/>
        <w:rPr>
          <w:szCs w:val="21"/>
        </w:rPr>
      </w:pPr>
      <w:r>
        <w:rPr>
          <w:rFonts w:hint="eastAsia"/>
          <w:szCs w:val="21"/>
        </w:rPr>
        <w:t>接收机内部噪声水平不应大于0.5mm。</w:t>
      </w:r>
    </w:p>
    <w:p>
      <w:pPr>
        <w:pStyle w:val="3"/>
        <w:spacing w:before="240" w:after="120"/>
      </w:pPr>
      <w:bookmarkStart w:id="32" w:name="_Toc147734700"/>
      <w:r>
        <w:rPr>
          <w:rFonts w:hint="eastAsia"/>
        </w:rPr>
        <w:t>4.9 测量精度</w:t>
      </w:r>
      <w:bookmarkEnd w:id="32"/>
    </w:p>
    <w:p>
      <w:pPr>
        <w:spacing w:before="120" w:beforeLines="50" w:after="120" w:afterLines="50"/>
        <w:ind w:firstLine="420" w:firstLineChars="200"/>
        <w:rPr>
          <w:szCs w:val="21"/>
        </w:rPr>
      </w:pPr>
      <w:r>
        <w:rPr>
          <w:rFonts w:hint="eastAsia"/>
          <w:szCs w:val="21"/>
        </w:rPr>
        <w:t>测量精度要求如下：</w:t>
      </w:r>
    </w:p>
    <w:p>
      <w:pPr>
        <w:numPr>
          <w:ilvl w:val="0"/>
          <w:numId w:val="11"/>
        </w:numPr>
        <w:spacing w:before="120" w:beforeLines="50" w:after="120" w:afterLines="50"/>
        <w:ind w:firstLine="420" w:firstLineChars="200"/>
        <w:rPr>
          <w:szCs w:val="21"/>
        </w:rPr>
      </w:pPr>
      <w:bookmarkStart w:id="33" w:name="bookmark91"/>
      <w:bookmarkEnd w:id="33"/>
      <w:bookmarkStart w:id="34" w:name="bookmark92"/>
      <w:bookmarkEnd w:id="34"/>
      <w:r>
        <w:rPr>
          <w:rFonts w:hint="eastAsia"/>
          <w:szCs w:val="21"/>
        </w:rPr>
        <w:t>接收机标称测量精度</w:t>
      </w:r>
      <w:r>
        <w:rPr>
          <w:rFonts w:hint="eastAsia"/>
          <w:position w:val="-6"/>
          <w:szCs w:val="21"/>
        </w:rPr>
        <w:object>
          <v:shape id="_x0000_i1025" o:spt="75" type="#_x0000_t75" style="height:11.25pt;width:11.9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r>
        <w:rPr>
          <w:rFonts w:hint="eastAsia"/>
          <w:szCs w:val="21"/>
          <w:lang w:val="zh-CN"/>
        </w:rPr>
        <w:t>按式</w:t>
      </w:r>
      <w:r>
        <w:rPr>
          <w:rFonts w:hint="eastAsia"/>
          <w:szCs w:val="21"/>
        </w:rPr>
        <w:t>(1)计算：</w:t>
      </w:r>
    </w:p>
    <w:p>
      <w:pPr>
        <w:spacing w:before="120" w:beforeLines="50" w:after="120" w:afterLines="50"/>
        <w:ind w:left="420" w:leftChars="200"/>
        <w:jc w:val="right"/>
        <w:rPr>
          <w:szCs w:val="21"/>
        </w:rPr>
      </w:pPr>
      <w:r>
        <w:rPr>
          <w:rFonts w:hint="eastAsia"/>
          <w:position w:val="-6"/>
          <w:szCs w:val="21"/>
          <w:lang w:val="zh-TW" w:eastAsia="zh-TW"/>
        </w:rPr>
        <w:object>
          <v:shape id="_x0000_i1026" o:spt="75" type="#_x0000_t75" style="height:13.75pt;width:65.75pt;" o:ole="t" filled="f" o:preferrelative="t" stroked="f" coordsize="21600,21600">
            <v:path/>
            <v:fill on="f" focussize="0,0"/>
            <v:stroke on="f" joinstyle="miter"/>
            <v:imagedata r:id="rId16" o:title=""/>
            <o:lock v:ext="edit" aspectratio="t"/>
            <w10:wrap type="none"/>
            <w10:anchorlock/>
          </v:shape>
          <o:OLEObject Type="Embed" ProgID="Equation.3" ShapeID="_x0000_i1026" DrawAspect="Content" ObjectID="_1468075726" r:id="rId15">
            <o:LockedField>false</o:LockedField>
          </o:OLEObject>
        </w:object>
      </w:r>
      <w:r>
        <w:rPr>
          <w:rFonts w:hint="eastAsia"/>
          <w:szCs w:val="21"/>
        </w:rPr>
        <w:t xml:space="preserve">                                 </w:t>
      </w:r>
      <w:r>
        <w:rPr>
          <w:rFonts w:hint="eastAsia"/>
          <w:szCs w:val="21"/>
          <w:lang w:val="zh-TW" w:eastAsia="zh-TW"/>
        </w:rPr>
        <w:t>(1)</w:t>
      </w:r>
    </w:p>
    <w:p>
      <w:pPr>
        <w:spacing w:before="120" w:beforeLines="50" w:after="120" w:afterLines="50"/>
        <w:ind w:left="420" w:leftChars="200" w:firstLine="420" w:firstLineChars="200"/>
        <w:rPr>
          <w:szCs w:val="21"/>
        </w:rPr>
      </w:pPr>
      <w:r>
        <w:rPr>
          <w:rFonts w:hint="eastAsia"/>
          <w:szCs w:val="21"/>
        </w:rPr>
        <w:t>式中：</w:t>
      </w:r>
    </w:p>
    <w:p>
      <w:pPr>
        <w:spacing w:before="120" w:beforeLines="50" w:after="120" w:afterLines="50"/>
        <w:ind w:left="420" w:leftChars="200" w:firstLine="420" w:firstLineChars="200"/>
        <w:rPr>
          <w:szCs w:val="21"/>
        </w:rPr>
      </w:pPr>
      <w:r>
        <w:rPr>
          <w:rFonts w:hint="eastAsia"/>
          <w:position w:val="-6"/>
          <w:szCs w:val="21"/>
        </w:rPr>
        <w:object>
          <v:shape id="_x0000_i1027" o:spt="75" type="#_x0000_t75" style="height:11.25pt;width:11.9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7" r:id="rId17">
            <o:LockedField>false</o:LockedField>
          </o:OLEObject>
        </w:object>
      </w:r>
      <w:r>
        <w:rPr>
          <w:color w:val="000000"/>
        </w:rPr>
        <w:t>——</w:t>
      </w:r>
      <w:r>
        <w:rPr>
          <w:rFonts w:hint="eastAsia"/>
          <w:szCs w:val="21"/>
        </w:rPr>
        <w:t>接收机基线标称测量精度，単位为毫米(mm)；</w:t>
      </w:r>
    </w:p>
    <w:p>
      <w:pPr>
        <w:spacing w:before="120" w:beforeLines="50" w:after="120" w:afterLines="50"/>
        <w:ind w:left="420" w:leftChars="200" w:firstLine="420" w:firstLineChars="200"/>
        <w:rPr>
          <w:szCs w:val="21"/>
        </w:rPr>
      </w:pPr>
      <w:r>
        <w:rPr>
          <w:rFonts w:hint="eastAsia" w:ascii="宋体" w:hAnsi="宋体" w:cs="宋体"/>
          <w:position w:val="-6"/>
          <w:szCs w:val="21"/>
        </w:rPr>
        <w:object>
          <v:shape id="_x0000_i1028" o:spt="75" type="#_x0000_t75" style="height:11.25pt;width:10pt;" o:ole="t" filled="f" o:preferrelative="t" stroked="f" coordsize="21600,21600">
            <v:path/>
            <v:fill on="f" focussize="0,0"/>
            <v:stroke on="f" joinstyle="miter"/>
            <v:imagedata r:id="rId19" o:title=""/>
            <o:lock v:ext="edit" aspectratio="t"/>
            <w10:wrap type="none"/>
            <w10:anchorlock/>
          </v:shape>
          <o:OLEObject Type="Embed" ProgID="Equation.3" ShapeID="_x0000_i1028" DrawAspect="Content" ObjectID="_1468075728" r:id="rId18">
            <o:LockedField>false</o:LockedField>
          </o:OLEObject>
        </w:object>
      </w:r>
      <w:r>
        <w:rPr>
          <w:color w:val="000000"/>
        </w:rPr>
        <w:t>——</w:t>
      </w:r>
      <w:r>
        <w:rPr>
          <w:rFonts w:hint="eastAsia"/>
          <w:szCs w:val="21"/>
        </w:rPr>
        <w:t>固定误差，単位为毫米(mm)；</w:t>
      </w:r>
    </w:p>
    <w:p>
      <w:pPr>
        <w:spacing w:before="120" w:beforeLines="50" w:after="120" w:afterLines="50"/>
        <w:ind w:left="420" w:leftChars="200" w:firstLine="420" w:firstLineChars="200"/>
        <w:rPr>
          <w:szCs w:val="21"/>
        </w:rPr>
      </w:pPr>
      <w:r>
        <w:rPr>
          <w:rFonts w:hint="eastAsia" w:ascii="宋体" w:hAnsi="宋体" w:cs="宋体"/>
          <w:position w:val="-6"/>
          <w:szCs w:val="21"/>
        </w:rPr>
        <w:object>
          <v:shape id="_x0000_i1029" o:spt="75" type="#_x0000_t75" style="height:13.75pt;width:10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0">
            <o:LockedField>false</o:LockedField>
          </o:OLEObject>
        </w:object>
      </w:r>
      <w:r>
        <w:rPr>
          <w:color w:val="000000"/>
        </w:rPr>
        <w:t>——</w:t>
      </w:r>
      <w:r>
        <w:rPr>
          <w:rFonts w:hint="eastAsia"/>
          <w:szCs w:val="21"/>
        </w:rPr>
        <w:t>比例误差，单位为毫米每千米(mm/km)；</w:t>
      </w:r>
    </w:p>
    <w:p>
      <w:pPr>
        <w:spacing w:before="120" w:beforeLines="50" w:after="120" w:afterLines="50"/>
        <w:ind w:left="420" w:leftChars="200" w:firstLine="420" w:firstLineChars="200"/>
        <w:rPr>
          <w:szCs w:val="21"/>
        </w:rPr>
      </w:pPr>
      <w:r>
        <w:rPr>
          <w:rFonts w:hint="eastAsia" w:ascii="宋体" w:hAnsi="宋体" w:cs="宋体"/>
          <w:position w:val="-4"/>
          <w:szCs w:val="21"/>
        </w:rPr>
        <w:object>
          <v:shape id="_x0000_i1030" o:spt="75" type="#_x0000_t75" style="height:12.5pt;width:12.5pt;" o:ole="t" filled="f" o:preferrelative="t" stroked="f" coordsize="21600,21600">
            <v:path/>
            <v:fill on="f" focussize="0,0"/>
            <v:stroke on="f" joinstyle="miter"/>
            <v:imagedata r:id="rId23" o:title=""/>
            <o:lock v:ext="edit" aspectratio="t"/>
            <w10:wrap type="none"/>
            <w10:anchorlock/>
          </v:shape>
          <o:OLEObject Type="Embed" ProgID="Equation.3" ShapeID="_x0000_i1030" DrawAspect="Content" ObjectID="_1468075730" r:id="rId22">
            <o:LockedField>false</o:LockedField>
          </o:OLEObject>
        </w:object>
      </w:r>
      <w:r>
        <w:rPr>
          <w:color w:val="000000"/>
        </w:rPr>
        <w:t>——</w:t>
      </w:r>
      <w:r>
        <w:rPr>
          <w:rFonts w:hint="eastAsia"/>
          <w:szCs w:val="21"/>
        </w:rPr>
        <w:t>基线长度，单位为千米(km)，当实际基线长度D&lt;0.5km时，取D=0.5km逬行计算。</w:t>
      </w:r>
    </w:p>
    <w:p>
      <w:pPr>
        <w:numPr>
          <w:ilvl w:val="0"/>
          <w:numId w:val="11"/>
        </w:numPr>
        <w:spacing w:before="120" w:beforeLines="50" w:after="120" w:afterLines="50"/>
        <w:ind w:firstLine="420" w:firstLineChars="200"/>
        <w:rPr>
          <w:szCs w:val="21"/>
        </w:rPr>
      </w:pPr>
      <w:bookmarkStart w:id="35" w:name="bookmark93"/>
      <w:bookmarkEnd w:id="35"/>
      <w:r>
        <w:rPr>
          <w:rFonts w:hint="eastAsia"/>
          <w:szCs w:val="21"/>
        </w:rPr>
        <w:t>接收机静态基线监测精度要求如下：</w:t>
      </w:r>
    </w:p>
    <w:p>
      <w:pPr>
        <w:spacing w:before="120" w:beforeLines="50" w:after="120" w:afterLines="50"/>
        <w:ind w:left="420" w:firstLine="420"/>
        <w:rPr>
          <w:szCs w:val="21"/>
        </w:rPr>
      </w:pPr>
      <w:bookmarkStart w:id="36" w:name="bookmark94"/>
      <w:bookmarkEnd w:id="36"/>
      <w:r>
        <w:rPr>
          <w:rFonts w:hint="eastAsia"/>
          <w:szCs w:val="21"/>
          <w:lang w:val="zh-TW" w:eastAsia="zh-TW"/>
        </w:rPr>
        <w:t>静态基线</w:t>
      </w:r>
      <w:r>
        <w:rPr>
          <w:rFonts w:hint="eastAsia"/>
          <w:szCs w:val="21"/>
        </w:rPr>
        <w:t>监测</w:t>
      </w:r>
      <w:r>
        <w:rPr>
          <w:rFonts w:hint="eastAsia"/>
          <w:szCs w:val="21"/>
          <w:lang w:val="zh-TW" w:eastAsia="zh-TW"/>
        </w:rPr>
        <w:t>水平精度应优于</w:t>
      </w:r>
      <w:r>
        <w:rPr>
          <w:rFonts w:hint="eastAsia"/>
          <w:position w:val="-10"/>
          <w:szCs w:val="21"/>
          <w:lang w:val="zh-TW" w:eastAsia="zh-TW"/>
        </w:rPr>
        <w:object>
          <v:shape id="_x0000_i1031" o:spt="75" type="#_x0000_t75" style="height:15.05pt;width:87.05pt;" o:ole="t" filled="f" o:preferrelative="t" stroked="f" coordsize="21600,21600">
            <v:path/>
            <v:fill on="f" focussize="0,0"/>
            <v:stroke on="f" joinstyle="miter"/>
            <v:imagedata r:id="rId25" o:title=""/>
            <o:lock v:ext="edit" aspectratio="t"/>
            <w10:wrap type="none"/>
            <w10:anchorlock/>
          </v:shape>
          <o:OLEObject Type="Embed" ProgID="Equation.3" ShapeID="_x0000_i1031" DrawAspect="Content" ObjectID="_1468075731" r:id="rId24">
            <o:LockedField>false</o:LockedField>
          </o:OLEObject>
        </w:object>
      </w:r>
      <w:r>
        <w:rPr>
          <w:rFonts w:hint="eastAsia"/>
          <w:szCs w:val="21"/>
        </w:rPr>
        <w:t>，</w:t>
      </w:r>
      <w:r>
        <w:rPr>
          <w:rFonts w:hint="eastAsia"/>
          <w:szCs w:val="21"/>
          <w:lang w:val="zh-CN"/>
        </w:rPr>
        <w:t>垂直精</w:t>
      </w:r>
      <w:r>
        <w:rPr>
          <w:rFonts w:hint="eastAsia"/>
          <w:szCs w:val="21"/>
          <w:lang w:val="zh-TW" w:eastAsia="zh-TW"/>
        </w:rPr>
        <w:t>度应优于</w:t>
      </w:r>
      <w:r>
        <w:rPr>
          <w:rFonts w:hint="eastAsia"/>
          <w:position w:val="-10"/>
          <w:szCs w:val="21"/>
          <w:lang w:val="zh-TW" w:eastAsia="zh-TW"/>
        </w:rPr>
        <w:object>
          <v:shape id="_x0000_i1032" o:spt="75" type="#_x0000_t75" style="height:15.05pt;width:87.05pt;" o:ole="t" filled="f" o:preferrelative="t" stroked="f" coordsize="21600,21600">
            <v:path/>
            <v:fill on="f" focussize="0,0"/>
            <v:stroke on="f" joinstyle="miter"/>
            <v:imagedata r:id="rId27" o:title=""/>
            <o:lock v:ext="edit" aspectratio="t"/>
            <w10:wrap type="none"/>
            <w10:anchorlock/>
          </v:shape>
          <o:OLEObject Type="Embed" ProgID="Equation.3" ShapeID="_x0000_i1032" DrawAspect="Content" ObjectID="_1468075732" r:id="rId26">
            <o:LockedField>false</o:LockedField>
          </o:OLEObject>
        </w:object>
      </w:r>
      <w:r>
        <w:rPr>
          <w:rFonts w:hint="eastAsia"/>
          <w:szCs w:val="21"/>
          <w:lang w:val="zh-TW" w:eastAsia="zh-TW"/>
        </w:rPr>
        <w:t>；</w:t>
      </w:r>
    </w:p>
    <w:p>
      <w:pPr>
        <w:numPr>
          <w:ilvl w:val="0"/>
          <w:numId w:val="11"/>
        </w:numPr>
        <w:spacing w:before="120" w:beforeLines="50" w:after="120" w:afterLines="50"/>
        <w:ind w:firstLine="420" w:firstLineChars="200"/>
        <w:rPr>
          <w:szCs w:val="21"/>
        </w:rPr>
      </w:pPr>
      <w:bookmarkStart w:id="37" w:name="bookmark95"/>
      <w:bookmarkEnd w:id="37"/>
      <w:r>
        <w:rPr>
          <w:rFonts w:hint="eastAsia"/>
          <w:szCs w:val="21"/>
        </w:rPr>
        <w:t>接收机倾角和加速度标称测量精度要求如下：</w:t>
      </w:r>
    </w:p>
    <w:p>
      <w:pPr>
        <w:numPr>
          <w:ilvl w:val="0"/>
          <w:numId w:val="12"/>
        </w:numPr>
        <w:spacing w:before="120" w:beforeLines="50" w:after="120" w:afterLines="50"/>
        <w:ind w:firstLine="840" w:firstLineChars="400"/>
        <w:rPr>
          <w:szCs w:val="21"/>
        </w:rPr>
      </w:pPr>
      <w:r>
        <w:rPr>
          <w:rFonts w:hint="eastAsia"/>
          <w:szCs w:val="21"/>
        </w:rPr>
        <w:t>倾角的测量范围为±45°，测量精度为0.1°；</w:t>
      </w:r>
    </w:p>
    <w:p>
      <w:pPr>
        <w:numPr>
          <w:ilvl w:val="0"/>
          <w:numId w:val="12"/>
        </w:numPr>
        <w:spacing w:before="120" w:beforeLines="50" w:after="120" w:afterLines="50"/>
        <w:ind w:firstLine="840" w:firstLineChars="400"/>
        <w:rPr>
          <w:szCs w:val="21"/>
        </w:rPr>
      </w:pPr>
      <w:r>
        <w:rPr>
          <w:rFonts w:hint="eastAsia"/>
          <w:szCs w:val="21"/>
        </w:rPr>
        <w:t>加速度的测量范围为±2g，测量精度为±1mg。</w:t>
      </w:r>
    </w:p>
    <w:p>
      <w:pPr>
        <w:pStyle w:val="3"/>
        <w:spacing w:before="240" w:after="120"/>
      </w:pPr>
      <w:bookmarkStart w:id="38" w:name="_Toc147734701"/>
      <w:r>
        <w:rPr>
          <w:rFonts w:hint="eastAsia"/>
        </w:rPr>
        <w:t>4.10 天线相位中心一致性</w:t>
      </w:r>
      <w:bookmarkEnd w:id="38"/>
    </w:p>
    <w:p>
      <w:pPr>
        <w:spacing w:before="120" w:beforeLines="50" w:after="120" w:afterLines="50"/>
        <w:ind w:firstLine="420" w:firstLineChars="200"/>
        <w:rPr>
          <w:szCs w:val="21"/>
        </w:rPr>
      </w:pPr>
      <w:r>
        <w:rPr>
          <w:rFonts w:hint="eastAsia"/>
          <w:szCs w:val="21"/>
        </w:rPr>
        <w:t>使用室外相对定位法，天线相位中心变化应小于接收机静态测量水平标称精度的1/2固定误差。</w:t>
      </w:r>
    </w:p>
    <w:p>
      <w:pPr>
        <w:pStyle w:val="3"/>
        <w:spacing w:before="240" w:after="120"/>
      </w:pPr>
      <w:bookmarkStart w:id="39" w:name="_Toc147734702"/>
      <w:r>
        <w:rPr>
          <w:rFonts w:hint="eastAsia"/>
        </w:rPr>
        <w:t>4.11 数据处理软件</w:t>
      </w:r>
      <w:bookmarkEnd w:id="39"/>
    </w:p>
    <w:p>
      <w:pPr>
        <w:spacing w:before="120" w:beforeLines="50" w:after="120" w:afterLines="50"/>
        <w:ind w:firstLine="420" w:firstLineChars="200"/>
        <w:rPr>
          <w:szCs w:val="21"/>
        </w:rPr>
      </w:pPr>
      <w:r>
        <w:rPr>
          <w:rFonts w:hint="eastAsia"/>
          <w:szCs w:val="21"/>
        </w:rPr>
        <w:t>数据处理软件要求如下：</w:t>
      </w:r>
    </w:p>
    <w:p>
      <w:pPr>
        <w:numPr>
          <w:ilvl w:val="0"/>
          <w:numId w:val="13"/>
        </w:numPr>
        <w:spacing w:before="120" w:beforeLines="50" w:after="120" w:afterLines="50"/>
        <w:ind w:firstLine="420" w:firstLineChars="200"/>
        <w:rPr>
          <w:szCs w:val="21"/>
        </w:rPr>
      </w:pPr>
      <w:bookmarkStart w:id="40" w:name="bookmark96"/>
      <w:bookmarkEnd w:id="40"/>
      <w:r>
        <w:rPr>
          <w:rFonts w:hint="eastAsia"/>
          <w:szCs w:val="21"/>
        </w:rPr>
        <w:t>软件应正常安装和卸载。</w:t>
      </w:r>
    </w:p>
    <w:p>
      <w:pPr>
        <w:numPr>
          <w:ilvl w:val="0"/>
          <w:numId w:val="13"/>
        </w:numPr>
        <w:spacing w:before="120" w:beforeLines="50" w:after="120" w:afterLines="50"/>
        <w:ind w:firstLine="420" w:firstLineChars="200"/>
        <w:rPr>
          <w:szCs w:val="21"/>
        </w:rPr>
      </w:pPr>
      <w:bookmarkStart w:id="41" w:name="bookmark97"/>
      <w:bookmarkEnd w:id="41"/>
      <w:r>
        <w:rPr>
          <w:rFonts w:hint="eastAsia"/>
          <w:szCs w:val="21"/>
        </w:rPr>
        <w:t>软件应包括下列功能：</w:t>
      </w:r>
    </w:p>
    <w:p>
      <w:pPr>
        <w:numPr>
          <w:ilvl w:val="0"/>
          <w:numId w:val="14"/>
        </w:numPr>
        <w:spacing w:before="120" w:beforeLines="50" w:after="120" w:afterLines="50"/>
        <w:ind w:firstLine="840" w:firstLineChars="400"/>
        <w:rPr>
          <w:szCs w:val="21"/>
          <w:lang w:val="zh-TW" w:eastAsia="zh-TW"/>
        </w:rPr>
      </w:pPr>
      <w:bookmarkStart w:id="42" w:name="bookmark98"/>
      <w:bookmarkEnd w:id="42"/>
      <w:r>
        <w:rPr>
          <w:rFonts w:hint="eastAsia"/>
          <w:szCs w:val="21"/>
          <w:lang w:val="zh-TW" w:eastAsia="zh-TW"/>
        </w:rPr>
        <w:t>数据传输；</w:t>
      </w:r>
    </w:p>
    <w:p>
      <w:pPr>
        <w:numPr>
          <w:ilvl w:val="0"/>
          <w:numId w:val="14"/>
        </w:numPr>
        <w:spacing w:before="120" w:beforeLines="50" w:after="120" w:afterLines="50"/>
        <w:ind w:firstLine="840" w:firstLineChars="400"/>
        <w:rPr>
          <w:szCs w:val="21"/>
          <w:lang w:val="zh-TW" w:eastAsia="zh-TW"/>
        </w:rPr>
      </w:pPr>
      <w:bookmarkStart w:id="43" w:name="bookmark99"/>
      <w:bookmarkEnd w:id="43"/>
      <w:r>
        <w:rPr>
          <w:lang w:val="zh-CN"/>
        </w:rPr>
        <w:t>RTCM32</w:t>
      </w:r>
      <w:r>
        <w:rPr>
          <w:rFonts w:hint="eastAsia"/>
          <w:lang w:val="zh-CN"/>
        </w:rPr>
        <w:t>、</w:t>
      </w:r>
      <w:r>
        <w:rPr>
          <w:rFonts w:hint="eastAsia"/>
          <w:szCs w:val="21"/>
          <w:lang w:eastAsia="en-US"/>
        </w:rPr>
        <w:t>RTNEX</w:t>
      </w:r>
      <w:r>
        <w:rPr>
          <w:rFonts w:hint="eastAsia"/>
          <w:szCs w:val="21"/>
          <w:lang w:val="zh-TW" w:eastAsia="zh-TW"/>
        </w:rPr>
        <w:t>格式转换；</w:t>
      </w:r>
    </w:p>
    <w:p>
      <w:pPr>
        <w:numPr>
          <w:ilvl w:val="0"/>
          <w:numId w:val="14"/>
        </w:numPr>
        <w:spacing w:before="120" w:beforeLines="50" w:after="120" w:afterLines="50"/>
        <w:ind w:firstLine="840" w:firstLineChars="400"/>
        <w:rPr>
          <w:szCs w:val="21"/>
          <w:lang w:val="zh-TW" w:eastAsia="zh-TW"/>
        </w:rPr>
      </w:pPr>
      <w:bookmarkStart w:id="44" w:name="bookmark100"/>
      <w:bookmarkEnd w:id="44"/>
      <w:r>
        <w:rPr>
          <w:rFonts w:hint="eastAsia"/>
          <w:szCs w:val="21"/>
          <w:lang w:val="zh-TW" w:eastAsia="zh-TW"/>
        </w:rPr>
        <w:t>卫星可用性分析；</w:t>
      </w:r>
    </w:p>
    <w:p>
      <w:pPr>
        <w:numPr>
          <w:ilvl w:val="0"/>
          <w:numId w:val="14"/>
        </w:numPr>
        <w:spacing w:before="120" w:beforeLines="50" w:after="120" w:afterLines="50"/>
        <w:ind w:firstLine="840" w:firstLineChars="400"/>
        <w:rPr>
          <w:szCs w:val="21"/>
          <w:lang w:val="zh-TW" w:eastAsia="zh-TW"/>
        </w:rPr>
      </w:pPr>
      <w:bookmarkStart w:id="45" w:name="bookmark101"/>
      <w:bookmarkEnd w:id="45"/>
      <w:r>
        <w:rPr>
          <w:rFonts w:hint="eastAsia"/>
          <w:szCs w:val="21"/>
          <w:lang w:val="zh-TW" w:eastAsia="zh-TW"/>
        </w:rPr>
        <w:t>参数设置。</w:t>
      </w:r>
    </w:p>
    <w:p>
      <w:pPr>
        <w:pStyle w:val="3"/>
        <w:spacing w:before="240" w:after="120"/>
        <w:rPr>
          <w:lang w:eastAsia="en-US"/>
        </w:rPr>
      </w:pPr>
      <w:bookmarkStart w:id="46" w:name="_Toc147734703"/>
      <w:r>
        <w:rPr>
          <w:rFonts w:hint="eastAsia"/>
          <w:lang w:eastAsia="en-US"/>
        </w:rPr>
        <w:t>4.1</w:t>
      </w:r>
      <w:r>
        <w:rPr>
          <w:rFonts w:hint="eastAsia"/>
        </w:rPr>
        <w:t xml:space="preserve">2 </w:t>
      </w:r>
      <w:r>
        <w:rPr>
          <w:rFonts w:hint="eastAsia"/>
          <w:lang w:eastAsia="en-US"/>
        </w:rPr>
        <w:t>环境适应性</w:t>
      </w:r>
      <w:bookmarkEnd w:id="46"/>
    </w:p>
    <w:p>
      <w:pPr>
        <w:pStyle w:val="39"/>
        <w:spacing w:after="200" w:line="412" w:lineRule="exact"/>
        <w:ind w:firstLine="0"/>
        <w:rPr>
          <w:rFonts w:ascii="Times New Roman" w:hAnsi="Times New Roman" w:cs="Times New Roman"/>
          <w:sz w:val="21"/>
          <w:szCs w:val="21"/>
          <w:lang w:val="en-US" w:eastAsia="en-US" w:bidi="ar-SA"/>
        </w:rPr>
      </w:pPr>
      <w:r>
        <w:rPr>
          <w:rFonts w:hint="eastAsia" w:ascii="Times New Roman" w:hAnsi="Times New Roman" w:cs="Times New Roman"/>
          <w:sz w:val="21"/>
          <w:szCs w:val="21"/>
          <w:lang w:val="en-US" w:eastAsia="en-US" w:bidi="ar-SA"/>
        </w:rPr>
        <w:t>4.1</w:t>
      </w:r>
      <w:r>
        <w:rPr>
          <w:rFonts w:hint="eastAsia" w:ascii="Times New Roman" w:hAnsi="Times New Roman" w:cs="Times New Roman"/>
          <w:sz w:val="21"/>
          <w:szCs w:val="21"/>
          <w:lang w:val="en-US" w:eastAsia="zh-CN" w:bidi="ar-SA"/>
        </w:rPr>
        <w:t>2</w:t>
      </w:r>
      <w:r>
        <w:rPr>
          <w:rFonts w:hint="eastAsia" w:ascii="Times New Roman" w:hAnsi="Times New Roman" w:cs="Times New Roman"/>
          <w:sz w:val="21"/>
          <w:szCs w:val="21"/>
          <w:lang w:val="en-US" w:eastAsia="en-US" w:bidi="ar-SA"/>
        </w:rPr>
        <w:t>.1</w:t>
      </w:r>
      <w:r>
        <w:rPr>
          <w:rFonts w:hint="eastAsia" w:ascii="Times New Roman" w:hAnsi="Times New Roman" w:cs="Times New Roman"/>
          <w:sz w:val="21"/>
          <w:szCs w:val="21"/>
          <w:lang w:val="en-US" w:eastAsia="zh-CN" w:bidi="ar-SA"/>
        </w:rPr>
        <w:t xml:space="preserve"> </w:t>
      </w:r>
      <w:r>
        <w:rPr>
          <w:rFonts w:hint="eastAsia" w:ascii="Times New Roman" w:hAnsi="Times New Roman" w:cs="Times New Roman"/>
          <w:sz w:val="21"/>
          <w:szCs w:val="21"/>
          <w:lang w:bidi="ar-SA"/>
        </w:rPr>
        <w:t>温度</w:t>
      </w:r>
    </w:p>
    <w:p>
      <w:pPr>
        <w:spacing w:before="120" w:beforeLines="50" w:after="120" w:afterLines="50"/>
        <w:ind w:firstLine="420" w:firstLineChars="200"/>
        <w:rPr>
          <w:szCs w:val="21"/>
        </w:rPr>
      </w:pPr>
      <w:r>
        <w:rPr>
          <w:rFonts w:hint="eastAsia"/>
          <w:szCs w:val="21"/>
        </w:rPr>
        <w:t>温度要求如下</w:t>
      </w:r>
      <w:r>
        <w:rPr>
          <w:rFonts w:hint="eastAsia"/>
          <w:szCs w:val="21"/>
          <w:lang w:eastAsia="en-US"/>
        </w:rPr>
        <w:t>：</w:t>
      </w:r>
    </w:p>
    <w:p>
      <w:pPr>
        <w:numPr>
          <w:ilvl w:val="0"/>
          <w:numId w:val="15"/>
        </w:numPr>
        <w:spacing w:before="120" w:beforeLines="50" w:after="120" w:afterLines="50"/>
        <w:ind w:firstLine="420" w:firstLineChars="200"/>
        <w:rPr>
          <w:szCs w:val="21"/>
        </w:rPr>
      </w:pPr>
      <w:r>
        <w:rPr>
          <w:rFonts w:hint="eastAsia"/>
          <w:szCs w:val="21"/>
          <w:lang w:val="zh-TW" w:eastAsia="zh-TW"/>
        </w:rPr>
        <w:t>工作温度范</w:t>
      </w:r>
      <w:r>
        <w:rPr>
          <w:rFonts w:hint="eastAsia"/>
          <w:szCs w:val="21"/>
          <w:lang w:val="zh-TW"/>
        </w:rPr>
        <w:t>围：</w:t>
      </w:r>
      <w:r>
        <w:rPr>
          <w:rFonts w:hint="eastAsia"/>
          <w:szCs w:val="21"/>
        </w:rPr>
        <w:t>-25</w:t>
      </w:r>
      <w:r>
        <w:rPr>
          <w:rFonts w:hint="eastAsia" w:ascii="宋体" w:hAnsi="宋体" w:cs="宋体"/>
          <w:szCs w:val="21"/>
          <w:lang w:eastAsia="en-US"/>
        </w:rPr>
        <w:t>℃</w:t>
      </w:r>
      <w:r>
        <w:rPr>
          <w:rFonts w:hint="eastAsia"/>
          <w:szCs w:val="21"/>
          <w:lang w:eastAsia="en-US"/>
        </w:rPr>
        <w:t>~</w:t>
      </w:r>
      <w:r>
        <w:rPr>
          <w:rFonts w:hint="eastAsia"/>
          <w:szCs w:val="21"/>
        </w:rPr>
        <w:t>65</w:t>
      </w:r>
      <w:r>
        <w:rPr>
          <w:rFonts w:hint="eastAsia" w:ascii="宋体" w:hAnsi="宋体" w:cs="宋体"/>
          <w:szCs w:val="21"/>
          <w:lang w:eastAsia="en-US"/>
        </w:rPr>
        <w:t>℃</w:t>
      </w:r>
      <w:r>
        <w:rPr>
          <w:rFonts w:hint="eastAsia"/>
          <w:szCs w:val="21"/>
          <w:lang w:eastAsia="en-US"/>
        </w:rPr>
        <w:t>；</w:t>
      </w:r>
    </w:p>
    <w:p>
      <w:pPr>
        <w:numPr>
          <w:ilvl w:val="0"/>
          <w:numId w:val="15"/>
        </w:numPr>
        <w:spacing w:before="120" w:beforeLines="50" w:after="120" w:afterLines="50"/>
        <w:ind w:firstLine="420" w:firstLineChars="200"/>
        <w:rPr>
          <w:szCs w:val="21"/>
        </w:rPr>
      </w:pPr>
      <w:r>
        <w:rPr>
          <w:rFonts w:hint="eastAsia"/>
          <w:szCs w:val="21"/>
          <w:lang w:val="zh-TW" w:eastAsia="zh-TW"/>
        </w:rPr>
        <w:t>贮存温度范围：</w:t>
      </w:r>
      <w:r>
        <w:rPr>
          <w:rFonts w:hint="eastAsia"/>
          <w:szCs w:val="21"/>
        </w:rPr>
        <w:t>-</w:t>
      </w:r>
      <w:r>
        <w:rPr>
          <w:rFonts w:hint="eastAsia"/>
          <w:szCs w:val="21"/>
          <w:lang w:val="zh-TW" w:eastAsia="zh-TW"/>
        </w:rPr>
        <w:t>40</w:t>
      </w:r>
      <w:r>
        <w:rPr>
          <w:rFonts w:hint="eastAsia" w:ascii="宋体" w:hAnsi="宋体" w:cs="宋体"/>
          <w:szCs w:val="21"/>
        </w:rPr>
        <w:t>℃</w:t>
      </w:r>
      <w:r>
        <w:rPr>
          <w:rFonts w:hint="eastAsia"/>
          <w:szCs w:val="21"/>
          <w:lang w:val="zh-TW" w:eastAsia="zh-TW"/>
        </w:rPr>
        <w:t>〜</w:t>
      </w:r>
      <w:r>
        <w:rPr>
          <w:rFonts w:hint="eastAsia"/>
          <w:szCs w:val="21"/>
        </w:rPr>
        <w:t>85</w:t>
      </w:r>
      <w:r>
        <w:rPr>
          <w:rFonts w:hint="eastAsia" w:ascii="宋体" w:hAnsi="宋体" w:cs="宋体"/>
          <w:szCs w:val="21"/>
        </w:rPr>
        <w:t>℃</w:t>
      </w:r>
      <w:r>
        <w:rPr>
          <w:rFonts w:hint="eastAsia"/>
          <w:szCs w:val="21"/>
          <w:lang w:val="zh-TW" w:eastAsia="zh-TW"/>
        </w:rPr>
        <w:t>。</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4.12.2 </w:t>
      </w:r>
      <w:r>
        <w:rPr>
          <w:rFonts w:hint="eastAsia" w:ascii="Times New Roman" w:hAnsi="Times New Roman" w:cs="Times New Roman"/>
          <w:sz w:val="21"/>
          <w:szCs w:val="21"/>
          <w:lang w:bidi="ar-SA"/>
        </w:rPr>
        <w:t>湿热</w:t>
      </w:r>
    </w:p>
    <w:p>
      <w:pPr>
        <w:spacing w:before="120" w:beforeLines="50" w:after="120" w:afterLines="50"/>
        <w:ind w:firstLine="420" w:firstLineChars="200"/>
        <w:rPr>
          <w:szCs w:val="21"/>
        </w:rPr>
      </w:pPr>
      <w:r>
        <w:rPr>
          <w:rFonts w:hint="eastAsia"/>
          <w:szCs w:val="21"/>
        </w:rPr>
        <w:t>接收机在温度为40</w:t>
      </w:r>
      <w:r>
        <w:rPr>
          <w:rFonts w:hint="eastAsia" w:ascii="宋体" w:hAnsi="宋体" w:cs="宋体"/>
          <w:szCs w:val="21"/>
        </w:rPr>
        <w:t>℃，</w:t>
      </w:r>
      <w:r>
        <w:rPr>
          <w:rFonts w:hint="eastAsia"/>
          <w:szCs w:val="21"/>
        </w:rPr>
        <w:t>相对湿度为93%的环境下应正常工作。</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4.12.3 </w:t>
      </w:r>
      <w:r>
        <w:rPr>
          <w:rFonts w:hint="eastAsia" w:ascii="Times New Roman" w:hAnsi="Times New Roman" w:cs="Times New Roman"/>
          <w:sz w:val="21"/>
          <w:szCs w:val="21"/>
          <w:lang w:bidi="ar-SA"/>
        </w:rPr>
        <w:t>振动</w:t>
      </w:r>
    </w:p>
    <w:p>
      <w:pPr>
        <w:spacing w:before="120" w:beforeLines="50" w:after="120" w:afterLines="50"/>
        <w:ind w:firstLine="420" w:firstLineChars="200"/>
        <w:rPr>
          <w:szCs w:val="21"/>
        </w:rPr>
      </w:pPr>
      <w:r>
        <w:rPr>
          <w:rFonts w:hint="eastAsia"/>
          <w:szCs w:val="21"/>
        </w:rPr>
        <w:t>接收机在表</w:t>
      </w:r>
      <w:r>
        <w:rPr>
          <w:rFonts w:hint="eastAsia"/>
          <w:szCs w:val="21"/>
          <w:lang w:val="zh-CN"/>
        </w:rPr>
        <w:t>5、</w:t>
      </w:r>
      <w:r>
        <w:rPr>
          <w:rFonts w:hint="eastAsia"/>
          <w:szCs w:val="21"/>
        </w:rPr>
        <w:t>表6的条件下，应正常工作，保持结构完好。</w:t>
      </w:r>
    </w:p>
    <w:p>
      <w:pPr>
        <w:spacing w:before="120" w:beforeLines="50" w:after="120" w:afterLines="50"/>
        <w:jc w:val="center"/>
        <w:rPr>
          <w:szCs w:val="21"/>
        </w:rPr>
      </w:pPr>
      <w:r>
        <w:rPr>
          <w:rFonts w:hint="eastAsia"/>
          <w:szCs w:val="21"/>
        </w:rPr>
        <w:t>表5接收机正弦振动参数</w:t>
      </w:r>
    </w:p>
    <w:tbl>
      <w:tblPr>
        <w:tblStyle w:val="23"/>
        <w:tblW w:w="8950" w:type="dxa"/>
        <w:jc w:val="center"/>
        <w:tblLayout w:type="fixed"/>
        <w:tblCellMar>
          <w:top w:w="0" w:type="dxa"/>
          <w:left w:w="10" w:type="dxa"/>
          <w:bottom w:w="0" w:type="dxa"/>
          <w:right w:w="10" w:type="dxa"/>
        </w:tblCellMar>
      </w:tblPr>
      <w:tblGrid>
        <w:gridCol w:w="1901"/>
        <w:gridCol w:w="2224"/>
        <w:gridCol w:w="2454"/>
        <w:gridCol w:w="2371"/>
      </w:tblGrid>
      <w:tr>
        <w:tblPrEx>
          <w:tblCellMar>
            <w:top w:w="0" w:type="dxa"/>
            <w:left w:w="10" w:type="dxa"/>
            <w:bottom w:w="0" w:type="dxa"/>
            <w:right w:w="10" w:type="dxa"/>
          </w:tblCellMar>
        </w:tblPrEx>
        <w:trPr>
          <w:trHeight w:val="960" w:hRule="exact"/>
          <w:jc w:val="center"/>
        </w:trPr>
        <w:tc>
          <w:tcPr>
            <w:tcW w:w="190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振动模式</w:t>
            </w:r>
          </w:p>
        </w:tc>
        <w:tc>
          <w:tcPr>
            <w:tcW w:w="2224" w:type="dxa"/>
            <w:tcBorders>
              <w:top w:val="single" w:color="auto" w:sz="4" w:space="0"/>
              <w:left w:val="single" w:color="auto" w:sz="4" w:space="0"/>
            </w:tcBorders>
            <w:shd w:val="clear" w:color="auto" w:fill="FFFFFF"/>
            <w:vAlign w:val="center"/>
          </w:tcPr>
          <w:p>
            <w:pPr>
              <w:pStyle w:val="38"/>
              <w:spacing w:after="120" w:line="240" w:lineRule="auto"/>
              <w:ind w:firstLine="0"/>
              <w:jc w:val="center"/>
              <w:rPr>
                <w:sz w:val="21"/>
                <w:szCs w:val="21"/>
              </w:rPr>
            </w:pPr>
            <w:r>
              <w:rPr>
                <w:color w:val="000000"/>
                <w:sz w:val="21"/>
                <w:szCs w:val="21"/>
                <w:lang w:val="zh-TW" w:eastAsia="zh-TW" w:bidi="zh-TW"/>
              </w:rPr>
              <w:t>位移幅值</w:t>
            </w:r>
          </w:p>
          <w:p>
            <w:pPr>
              <w:pStyle w:val="38"/>
              <w:spacing w:line="240" w:lineRule="auto"/>
              <w:ind w:firstLine="0"/>
              <w:jc w:val="center"/>
              <w:rPr>
                <w:sz w:val="21"/>
                <w:szCs w:val="21"/>
              </w:rPr>
            </w:pPr>
            <w:r>
              <w:rPr>
                <w:rFonts w:hint="eastAsia" w:ascii="Times New Roman" w:hAnsi="Times New Roman" w:cs="Times New Roman"/>
                <w:color w:val="000000"/>
                <w:sz w:val="21"/>
                <w:szCs w:val="21"/>
                <w:lang w:bidi="en-US"/>
              </w:rPr>
              <w:t>m</w:t>
            </w:r>
            <w:r>
              <w:rPr>
                <w:rFonts w:ascii="Times New Roman" w:hAnsi="Times New Roman" w:eastAsia="Times New Roman" w:cs="Times New Roman"/>
                <w:color w:val="000000"/>
                <w:sz w:val="21"/>
                <w:szCs w:val="21"/>
                <w:lang w:eastAsia="en-US" w:bidi="en-US"/>
              </w:rPr>
              <w:t>m</w:t>
            </w:r>
          </w:p>
        </w:tc>
        <w:tc>
          <w:tcPr>
            <w:tcW w:w="2454" w:type="dxa"/>
            <w:tcBorders>
              <w:top w:val="single" w:color="auto" w:sz="4" w:space="0"/>
              <w:left w:val="single" w:color="auto" w:sz="4" w:space="0"/>
            </w:tcBorders>
            <w:shd w:val="clear" w:color="auto" w:fill="FFFFFF"/>
            <w:vAlign w:val="center"/>
          </w:tcPr>
          <w:p>
            <w:pPr>
              <w:pStyle w:val="38"/>
              <w:spacing w:after="120" w:line="240" w:lineRule="auto"/>
              <w:ind w:firstLine="0"/>
              <w:jc w:val="center"/>
              <w:rPr>
                <w:sz w:val="21"/>
                <w:szCs w:val="21"/>
              </w:rPr>
            </w:pPr>
            <w:r>
              <w:rPr>
                <w:color w:val="000000"/>
                <w:sz w:val="21"/>
                <w:szCs w:val="21"/>
                <w:lang w:val="zh-TW" w:eastAsia="zh-TW" w:bidi="zh-TW"/>
              </w:rPr>
              <w:t>加速度幅值</w:t>
            </w:r>
          </w:p>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m/s</w:t>
            </w:r>
            <w:r>
              <w:rPr>
                <w:rFonts w:ascii="Times New Roman" w:hAnsi="Times New Roman" w:eastAsia="Times New Roman" w:cs="Times New Roman"/>
                <w:color w:val="000000"/>
                <w:sz w:val="21"/>
                <w:szCs w:val="21"/>
                <w:vertAlign w:val="superscript"/>
                <w:lang w:eastAsia="en-US" w:bidi="en-US"/>
              </w:rPr>
              <w:t>2</w:t>
            </w:r>
          </w:p>
        </w:tc>
        <w:tc>
          <w:tcPr>
            <w:tcW w:w="2371" w:type="dxa"/>
            <w:tcBorders>
              <w:top w:val="single" w:color="auto" w:sz="4" w:space="0"/>
              <w:left w:val="single" w:color="auto" w:sz="4" w:space="0"/>
              <w:right w:val="single" w:color="auto" w:sz="4" w:space="0"/>
            </w:tcBorders>
            <w:shd w:val="clear" w:color="auto" w:fill="FFFFFF"/>
            <w:vAlign w:val="center"/>
          </w:tcPr>
          <w:p>
            <w:pPr>
              <w:pStyle w:val="38"/>
              <w:spacing w:after="100" w:line="240" w:lineRule="auto"/>
              <w:ind w:firstLine="0"/>
              <w:jc w:val="center"/>
              <w:rPr>
                <w:sz w:val="21"/>
                <w:szCs w:val="21"/>
              </w:rPr>
            </w:pPr>
            <w:r>
              <w:rPr>
                <w:color w:val="000000"/>
                <w:sz w:val="21"/>
                <w:szCs w:val="21"/>
                <w:lang w:val="zh-TW" w:eastAsia="zh-TW" w:bidi="zh-TW"/>
              </w:rPr>
              <w:t>频率范围</w:t>
            </w:r>
          </w:p>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Hz</w:t>
            </w:r>
          </w:p>
        </w:tc>
      </w:tr>
      <w:tr>
        <w:tblPrEx>
          <w:tblCellMar>
            <w:top w:w="0" w:type="dxa"/>
            <w:left w:w="10" w:type="dxa"/>
            <w:bottom w:w="0" w:type="dxa"/>
            <w:right w:w="10" w:type="dxa"/>
          </w:tblCellMar>
        </w:tblPrEx>
        <w:trPr>
          <w:trHeight w:val="480" w:hRule="exact"/>
          <w:jc w:val="center"/>
        </w:trPr>
        <w:tc>
          <w:tcPr>
            <w:tcW w:w="19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正弦振动</w:t>
            </w:r>
          </w:p>
        </w:tc>
        <w:tc>
          <w:tcPr>
            <w:tcW w:w="222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3.5</w:t>
            </w:r>
          </w:p>
        </w:tc>
        <w:tc>
          <w:tcPr>
            <w:tcW w:w="245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w:t>
            </w:r>
          </w:p>
        </w:tc>
        <w:tc>
          <w:tcPr>
            <w:tcW w:w="2371"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2</w:t>
            </w:r>
            <w:r>
              <w:rPr>
                <w:color w:val="000000"/>
                <w:sz w:val="21"/>
                <w:szCs w:val="21"/>
                <w:lang w:val="zh-TW" w:eastAsia="zh-TW" w:bidi="zh-TW"/>
              </w:rPr>
              <w:t>〜</w:t>
            </w:r>
            <w:r>
              <w:rPr>
                <w:rFonts w:ascii="Times New Roman" w:hAnsi="Times New Roman" w:eastAsia="Times New Roman" w:cs="Times New Roman"/>
                <w:color w:val="000000"/>
                <w:sz w:val="21"/>
                <w:szCs w:val="21"/>
                <w:lang w:val="zh-TW" w:eastAsia="zh-TW" w:bidi="zh-TW"/>
              </w:rPr>
              <w:t>9</w:t>
            </w:r>
          </w:p>
        </w:tc>
      </w:tr>
      <w:tr>
        <w:tblPrEx>
          <w:tblCellMar>
            <w:top w:w="0" w:type="dxa"/>
            <w:left w:w="10" w:type="dxa"/>
            <w:bottom w:w="0" w:type="dxa"/>
            <w:right w:w="10" w:type="dxa"/>
          </w:tblCellMar>
        </w:tblPrEx>
        <w:trPr>
          <w:trHeight w:val="480" w:hRule="exact"/>
          <w:jc w:val="center"/>
        </w:trPr>
        <w:tc>
          <w:tcPr>
            <w:tcW w:w="1901" w:type="dxa"/>
            <w:vMerge w:val="continue"/>
            <w:tcBorders>
              <w:left w:val="single" w:color="auto" w:sz="4" w:space="0"/>
            </w:tcBorders>
            <w:shd w:val="clear" w:color="auto" w:fill="FFFFFF"/>
            <w:vAlign w:val="center"/>
          </w:tcPr>
          <w:p>
            <w:pPr>
              <w:rPr>
                <w:szCs w:val="21"/>
              </w:rPr>
            </w:pPr>
          </w:p>
        </w:tc>
        <w:tc>
          <w:tcPr>
            <w:tcW w:w="222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w:t>
            </w:r>
          </w:p>
        </w:tc>
        <w:tc>
          <w:tcPr>
            <w:tcW w:w="245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10</w:t>
            </w:r>
          </w:p>
        </w:tc>
        <w:tc>
          <w:tcPr>
            <w:tcW w:w="2371"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9</w:t>
            </w:r>
            <w:r>
              <w:rPr>
                <w:color w:val="000000"/>
                <w:sz w:val="21"/>
                <w:szCs w:val="21"/>
                <w:lang w:val="zh-TW" w:eastAsia="zh-TW" w:bidi="zh-TW"/>
              </w:rPr>
              <w:t>〜</w:t>
            </w:r>
            <w:r>
              <w:rPr>
                <w:rFonts w:ascii="Times New Roman" w:hAnsi="Times New Roman" w:eastAsia="Times New Roman" w:cs="Times New Roman"/>
                <w:color w:val="000000"/>
                <w:sz w:val="21"/>
                <w:szCs w:val="21"/>
                <w:lang w:eastAsia="en-US" w:bidi="en-US"/>
              </w:rPr>
              <w:t>200</w:t>
            </w:r>
          </w:p>
        </w:tc>
      </w:tr>
      <w:tr>
        <w:tblPrEx>
          <w:tblCellMar>
            <w:top w:w="0" w:type="dxa"/>
            <w:left w:w="10" w:type="dxa"/>
            <w:bottom w:w="0" w:type="dxa"/>
            <w:right w:w="10" w:type="dxa"/>
          </w:tblCellMar>
        </w:tblPrEx>
        <w:trPr>
          <w:trHeight w:val="495" w:hRule="exact"/>
          <w:jc w:val="center"/>
        </w:trPr>
        <w:tc>
          <w:tcPr>
            <w:tcW w:w="1901" w:type="dxa"/>
            <w:vMerge w:val="continue"/>
            <w:tcBorders>
              <w:left w:val="single" w:color="auto" w:sz="4" w:space="0"/>
              <w:bottom w:val="single" w:color="auto" w:sz="4" w:space="0"/>
            </w:tcBorders>
            <w:shd w:val="clear" w:color="auto" w:fill="FFFFFF"/>
            <w:vAlign w:val="center"/>
          </w:tcPr>
          <w:p>
            <w:pPr>
              <w:rPr>
                <w:szCs w:val="21"/>
              </w:rPr>
            </w:pPr>
          </w:p>
        </w:tc>
        <w:tc>
          <w:tcPr>
            <w:tcW w:w="2224"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w:t>
            </w:r>
          </w:p>
        </w:tc>
        <w:tc>
          <w:tcPr>
            <w:tcW w:w="2454"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15</w:t>
            </w:r>
          </w:p>
        </w:tc>
        <w:tc>
          <w:tcPr>
            <w:tcW w:w="237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200</w:t>
            </w:r>
            <w:r>
              <w:rPr>
                <w:color w:val="000000"/>
                <w:sz w:val="21"/>
                <w:szCs w:val="21"/>
                <w:lang w:val="zh-TW" w:eastAsia="zh-TW" w:bidi="zh-TW"/>
              </w:rPr>
              <w:t>〜</w:t>
            </w:r>
            <w:r>
              <w:rPr>
                <w:rFonts w:ascii="Times New Roman" w:hAnsi="Times New Roman" w:eastAsia="Times New Roman" w:cs="Times New Roman"/>
                <w:color w:val="000000"/>
                <w:sz w:val="21"/>
                <w:szCs w:val="21"/>
                <w:lang w:eastAsia="en-US" w:bidi="en-US"/>
              </w:rPr>
              <w:t>500</w:t>
            </w:r>
          </w:p>
        </w:tc>
      </w:tr>
    </w:tbl>
    <w:p>
      <w:pPr>
        <w:spacing w:after="539" w:line="1" w:lineRule="exact"/>
      </w:pPr>
    </w:p>
    <w:p>
      <w:pPr>
        <w:spacing w:before="120" w:beforeLines="50" w:after="120" w:afterLines="50"/>
        <w:jc w:val="center"/>
        <w:rPr>
          <w:szCs w:val="21"/>
        </w:rPr>
      </w:pPr>
      <w:r>
        <w:rPr>
          <w:rFonts w:hint="eastAsia"/>
          <w:szCs w:val="21"/>
        </w:rPr>
        <w:t>表6接收机平稳随机振动参数</w:t>
      </w:r>
    </w:p>
    <w:tbl>
      <w:tblPr>
        <w:tblStyle w:val="23"/>
        <w:tblW w:w="8927" w:type="dxa"/>
        <w:jc w:val="center"/>
        <w:tblLayout w:type="fixed"/>
        <w:tblCellMar>
          <w:top w:w="0" w:type="dxa"/>
          <w:left w:w="10" w:type="dxa"/>
          <w:bottom w:w="0" w:type="dxa"/>
          <w:right w:w="10" w:type="dxa"/>
        </w:tblCellMar>
      </w:tblPr>
      <w:tblGrid>
        <w:gridCol w:w="3028"/>
        <w:gridCol w:w="2435"/>
        <w:gridCol w:w="3464"/>
      </w:tblGrid>
      <w:tr>
        <w:tblPrEx>
          <w:tblCellMar>
            <w:top w:w="0" w:type="dxa"/>
            <w:left w:w="10" w:type="dxa"/>
            <w:bottom w:w="0" w:type="dxa"/>
            <w:right w:w="10" w:type="dxa"/>
          </w:tblCellMar>
        </w:tblPrEx>
        <w:trPr>
          <w:trHeight w:val="975" w:hRule="exact"/>
          <w:jc w:val="center"/>
        </w:trPr>
        <w:tc>
          <w:tcPr>
            <w:tcW w:w="3028"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振动模式</w:t>
            </w:r>
          </w:p>
        </w:tc>
        <w:tc>
          <w:tcPr>
            <w:tcW w:w="2435" w:type="dxa"/>
            <w:tcBorders>
              <w:top w:val="single" w:color="auto" w:sz="4" w:space="0"/>
              <w:left w:val="single" w:color="auto" w:sz="4" w:space="0"/>
            </w:tcBorders>
            <w:shd w:val="clear" w:color="auto" w:fill="FFFFFF"/>
            <w:vAlign w:val="center"/>
          </w:tcPr>
          <w:p>
            <w:pPr>
              <w:pStyle w:val="38"/>
              <w:spacing w:after="120" w:line="240" w:lineRule="auto"/>
              <w:ind w:firstLine="0"/>
              <w:jc w:val="center"/>
              <w:rPr>
                <w:sz w:val="21"/>
                <w:szCs w:val="21"/>
              </w:rPr>
            </w:pPr>
            <w:r>
              <w:rPr>
                <w:color w:val="000000"/>
                <w:sz w:val="21"/>
                <w:szCs w:val="21"/>
                <w:lang w:val="zh-TW" w:eastAsia="zh-TW" w:bidi="zh-TW"/>
              </w:rPr>
              <w:t>加速度谱密度</w:t>
            </w:r>
          </w:p>
          <w:p>
            <w:pPr>
              <w:pStyle w:val="38"/>
              <w:spacing w:line="240" w:lineRule="auto"/>
              <w:ind w:firstLine="0"/>
              <w:jc w:val="center"/>
              <w:rPr>
                <w:sz w:val="21"/>
                <w:szCs w:val="21"/>
              </w:rPr>
            </w:pPr>
            <w:r>
              <w:rPr>
                <w:rFonts w:hint="eastAsia" w:ascii="Times New Roman" w:hAnsi="Times New Roman" w:cs="Times New Roman"/>
                <w:color w:val="000000"/>
                <w:sz w:val="21"/>
                <w:szCs w:val="21"/>
                <w:lang w:bidi="en-US"/>
              </w:rPr>
              <w:t>m</w:t>
            </w:r>
            <w:r>
              <w:rPr>
                <w:rFonts w:hint="eastAsia" w:ascii="Times New Roman" w:hAnsi="Times New Roman" w:cs="Times New Roman"/>
                <w:color w:val="000000"/>
                <w:sz w:val="21"/>
                <w:szCs w:val="21"/>
                <w:vertAlign w:val="superscript"/>
                <w:lang w:bidi="en-US"/>
              </w:rPr>
              <w:t>2</w:t>
            </w:r>
            <w:r>
              <w:rPr>
                <w:rFonts w:ascii="Times New Roman" w:hAnsi="Times New Roman" w:eastAsia="Times New Roman" w:cs="Times New Roman"/>
                <w:color w:val="000000"/>
                <w:sz w:val="21"/>
                <w:szCs w:val="21"/>
                <w:lang w:eastAsia="en-US" w:bidi="en-US"/>
              </w:rPr>
              <w:t>/s</w:t>
            </w:r>
            <w:r>
              <w:rPr>
                <w:rFonts w:hint="eastAsia" w:ascii="Times New Roman" w:hAnsi="Times New Roman" w:cs="Times New Roman"/>
                <w:color w:val="000000"/>
                <w:sz w:val="21"/>
                <w:szCs w:val="21"/>
                <w:vertAlign w:val="superscript"/>
                <w:lang w:bidi="en-US"/>
              </w:rPr>
              <w:t>3</w:t>
            </w:r>
          </w:p>
        </w:tc>
        <w:tc>
          <w:tcPr>
            <w:tcW w:w="3464" w:type="dxa"/>
            <w:tcBorders>
              <w:top w:val="single" w:color="auto" w:sz="4" w:space="0"/>
              <w:left w:val="single" w:color="auto" w:sz="4" w:space="0"/>
              <w:right w:val="single" w:color="auto" w:sz="4" w:space="0"/>
            </w:tcBorders>
            <w:shd w:val="clear" w:color="auto" w:fill="FFFFFF"/>
            <w:vAlign w:val="center"/>
          </w:tcPr>
          <w:p>
            <w:pPr>
              <w:pStyle w:val="38"/>
              <w:spacing w:after="100" w:line="240" w:lineRule="auto"/>
              <w:ind w:firstLine="0"/>
              <w:jc w:val="center"/>
              <w:rPr>
                <w:sz w:val="21"/>
                <w:szCs w:val="21"/>
              </w:rPr>
            </w:pPr>
            <w:r>
              <w:rPr>
                <w:color w:val="000000"/>
                <w:sz w:val="21"/>
                <w:szCs w:val="21"/>
                <w:lang w:val="zh-TW" w:eastAsia="zh-TW" w:bidi="zh-TW"/>
              </w:rPr>
              <w:t>频率范困</w:t>
            </w:r>
          </w:p>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Hz</w:t>
            </w:r>
          </w:p>
        </w:tc>
      </w:tr>
      <w:tr>
        <w:tblPrEx>
          <w:tblCellMar>
            <w:top w:w="0" w:type="dxa"/>
            <w:left w:w="10" w:type="dxa"/>
            <w:bottom w:w="0" w:type="dxa"/>
            <w:right w:w="10" w:type="dxa"/>
          </w:tblCellMar>
        </w:tblPrEx>
        <w:trPr>
          <w:trHeight w:val="480" w:hRule="exact"/>
          <w:jc w:val="center"/>
        </w:trPr>
        <w:tc>
          <w:tcPr>
            <w:tcW w:w="3028"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平稳随机振动</w:t>
            </w:r>
          </w:p>
        </w:tc>
        <w:tc>
          <w:tcPr>
            <w:tcW w:w="2435"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1</w:t>
            </w:r>
          </w:p>
        </w:tc>
        <w:tc>
          <w:tcPr>
            <w:tcW w:w="346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10</w:t>
            </w:r>
            <w:r>
              <w:rPr>
                <w:color w:val="000000"/>
                <w:sz w:val="21"/>
                <w:szCs w:val="21"/>
                <w:lang w:val="zh-TW" w:eastAsia="zh-TW" w:bidi="zh-TW"/>
              </w:rPr>
              <w:t>〜</w:t>
            </w:r>
            <w:r>
              <w:rPr>
                <w:rFonts w:ascii="Times New Roman" w:hAnsi="Times New Roman" w:eastAsia="Times New Roman" w:cs="Times New Roman"/>
                <w:color w:val="000000"/>
                <w:sz w:val="21"/>
                <w:szCs w:val="21"/>
                <w:lang w:eastAsia="en-US" w:bidi="en-US"/>
              </w:rPr>
              <w:t>200</w:t>
            </w:r>
          </w:p>
        </w:tc>
      </w:tr>
      <w:tr>
        <w:tblPrEx>
          <w:tblCellMar>
            <w:top w:w="0" w:type="dxa"/>
            <w:left w:w="10" w:type="dxa"/>
            <w:bottom w:w="0" w:type="dxa"/>
            <w:right w:w="10" w:type="dxa"/>
          </w:tblCellMar>
        </w:tblPrEx>
        <w:trPr>
          <w:trHeight w:val="495" w:hRule="exact"/>
          <w:jc w:val="center"/>
        </w:trPr>
        <w:tc>
          <w:tcPr>
            <w:tcW w:w="3028" w:type="dxa"/>
            <w:vMerge w:val="continue"/>
            <w:tcBorders>
              <w:left w:val="single" w:color="auto" w:sz="4" w:space="0"/>
              <w:bottom w:val="single" w:color="auto" w:sz="4" w:space="0"/>
            </w:tcBorders>
            <w:shd w:val="clear" w:color="auto" w:fill="FFFFFF"/>
            <w:vAlign w:val="center"/>
          </w:tcPr>
          <w:p>
            <w:pPr>
              <w:rPr>
                <w:szCs w:val="21"/>
              </w:rPr>
            </w:pPr>
          </w:p>
        </w:tc>
        <w:tc>
          <w:tcPr>
            <w:tcW w:w="2435"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0.3</w:t>
            </w:r>
          </w:p>
        </w:tc>
        <w:tc>
          <w:tcPr>
            <w:tcW w:w="346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200</w:t>
            </w:r>
            <w:r>
              <w:rPr>
                <w:color w:val="000000"/>
                <w:sz w:val="21"/>
                <w:szCs w:val="21"/>
                <w:lang w:val="zh-TW" w:eastAsia="zh-TW" w:bidi="zh-TW"/>
              </w:rPr>
              <w:t>〜</w:t>
            </w:r>
            <w:r>
              <w:rPr>
                <w:rFonts w:ascii="Times New Roman" w:hAnsi="Times New Roman" w:eastAsia="Times New Roman" w:cs="Times New Roman"/>
                <w:color w:val="000000"/>
                <w:sz w:val="21"/>
                <w:szCs w:val="21"/>
                <w:lang w:eastAsia="en-US" w:bidi="en-US"/>
              </w:rPr>
              <w:t>2</w:t>
            </w:r>
            <w:r>
              <w:rPr>
                <w:rFonts w:ascii="Times New Roman" w:hAnsi="Times New Roman" w:eastAsia="Times New Roman" w:cs="Times New Roman"/>
                <w:color w:val="000000"/>
                <w:sz w:val="21"/>
                <w:szCs w:val="21"/>
                <w:lang w:val="zh-TW" w:eastAsia="zh-TW" w:bidi="zh-TW"/>
              </w:rPr>
              <w:t>000</w:t>
            </w:r>
          </w:p>
        </w:tc>
      </w:tr>
    </w:tbl>
    <w:p>
      <w:pPr>
        <w:pStyle w:val="39"/>
        <w:spacing w:after="200" w:line="412" w:lineRule="exact"/>
        <w:ind w:firstLine="0"/>
        <w:rPr>
          <w:rFonts w:ascii="Times New Roman" w:hAnsi="Times New Roman" w:cs="Times New Roman"/>
          <w:sz w:val="21"/>
          <w:szCs w:val="21"/>
          <w:lang w:val="en-US" w:eastAsia="en-US" w:bidi="ar-SA"/>
        </w:rPr>
      </w:pPr>
      <w:r>
        <w:rPr>
          <w:rFonts w:hint="eastAsia" w:ascii="Times New Roman" w:hAnsi="Times New Roman" w:cs="Times New Roman"/>
          <w:sz w:val="21"/>
          <w:szCs w:val="21"/>
          <w:lang w:val="en-US" w:eastAsia="en-US" w:bidi="ar-SA"/>
        </w:rPr>
        <w:t>4.1</w:t>
      </w:r>
      <w:r>
        <w:rPr>
          <w:rFonts w:hint="eastAsia" w:ascii="Times New Roman" w:hAnsi="Times New Roman" w:cs="Times New Roman"/>
          <w:sz w:val="21"/>
          <w:szCs w:val="21"/>
          <w:lang w:val="en-US" w:eastAsia="zh-CN" w:bidi="ar-SA"/>
        </w:rPr>
        <w:t>2</w:t>
      </w:r>
      <w:r>
        <w:rPr>
          <w:rFonts w:hint="eastAsia" w:ascii="Times New Roman" w:hAnsi="Times New Roman" w:cs="Times New Roman"/>
          <w:sz w:val="21"/>
          <w:szCs w:val="21"/>
          <w:lang w:val="en-US" w:eastAsia="en-US" w:bidi="ar-SA"/>
        </w:rPr>
        <w:t>.4</w:t>
      </w:r>
      <w:r>
        <w:rPr>
          <w:rFonts w:hint="eastAsia" w:ascii="Times New Roman" w:hAnsi="Times New Roman" w:cs="Times New Roman"/>
          <w:sz w:val="21"/>
          <w:szCs w:val="21"/>
          <w:lang w:val="en-US" w:eastAsia="zh-CN" w:bidi="ar-SA"/>
        </w:rPr>
        <w:t xml:space="preserve"> </w:t>
      </w:r>
      <w:r>
        <w:rPr>
          <w:rFonts w:hint="eastAsia" w:ascii="Times New Roman" w:hAnsi="Times New Roman" w:cs="Times New Roman"/>
          <w:sz w:val="21"/>
          <w:szCs w:val="21"/>
          <w:lang w:bidi="ar-SA"/>
        </w:rPr>
        <w:t>防水、防尘</w:t>
      </w:r>
    </w:p>
    <w:p>
      <w:pPr>
        <w:spacing w:before="120" w:beforeLines="50" w:after="120" w:afterLines="50"/>
        <w:ind w:firstLine="420" w:firstLineChars="200"/>
        <w:rPr>
          <w:szCs w:val="21"/>
        </w:rPr>
      </w:pPr>
      <w:r>
        <w:rPr>
          <w:rFonts w:hint="eastAsia"/>
          <w:szCs w:val="21"/>
        </w:rPr>
        <w:t>接收机不应低于GB/T 4208-2017规定的IP67外壳防护等级要求。</w:t>
      </w:r>
    </w:p>
    <w:p>
      <w:pPr>
        <w:pStyle w:val="3"/>
        <w:spacing w:before="240" w:after="120"/>
      </w:pPr>
      <w:bookmarkStart w:id="47" w:name="_Toc147734704"/>
      <w:r>
        <w:rPr>
          <w:rFonts w:hint="eastAsia"/>
        </w:rPr>
        <w:t>4.13 安全防护</w:t>
      </w:r>
      <w:bookmarkEnd w:id="47"/>
    </w:p>
    <w:p>
      <w:pPr>
        <w:spacing w:before="120" w:beforeLines="50" w:after="120" w:afterLines="50"/>
        <w:ind w:firstLine="420" w:firstLineChars="200"/>
        <w:rPr>
          <w:szCs w:val="21"/>
        </w:rPr>
      </w:pPr>
      <w:r>
        <w:rPr>
          <w:rFonts w:hint="eastAsia"/>
          <w:szCs w:val="21"/>
        </w:rPr>
        <w:t>安全防护要求如下：</w:t>
      </w:r>
    </w:p>
    <w:p>
      <w:pPr>
        <w:numPr>
          <w:ilvl w:val="0"/>
          <w:numId w:val="16"/>
        </w:numPr>
        <w:spacing w:before="120" w:beforeLines="50" w:after="120" w:afterLines="50"/>
        <w:ind w:firstLine="420" w:firstLineChars="200"/>
        <w:rPr>
          <w:szCs w:val="21"/>
          <w:lang w:val="zh-TW" w:eastAsia="zh-TW"/>
        </w:rPr>
      </w:pPr>
      <w:r>
        <w:rPr>
          <w:rFonts w:hint="eastAsia"/>
          <w:szCs w:val="21"/>
          <w:lang w:val="zh-TW" w:eastAsia="zh-TW"/>
        </w:rPr>
        <w:t>各接口端应有明显标记和防</w:t>
      </w:r>
      <w:r>
        <w:rPr>
          <w:rFonts w:hint="eastAsia"/>
          <w:szCs w:val="21"/>
        </w:rPr>
        <w:t>呆</w:t>
      </w:r>
      <w:r>
        <w:rPr>
          <w:rFonts w:hint="eastAsia"/>
          <w:szCs w:val="21"/>
          <w:lang w:val="zh-TW" w:eastAsia="zh-TW"/>
        </w:rPr>
        <w:t>措施；</w:t>
      </w:r>
    </w:p>
    <w:p>
      <w:pPr>
        <w:numPr>
          <w:ilvl w:val="0"/>
          <w:numId w:val="16"/>
        </w:numPr>
        <w:spacing w:before="120" w:beforeLines="50" w:after="120" w:afterLines="50"/>
        <w:ind w:firstLine="420" w:firstLineChars="200"/>
        <w:rPr>
          <w:szCs w:val="21"/>
          <w:lang w:val="zh-TW" w:eastAsia="zh-TW"/>
        </w:rPr>
      </w:pPr>
      <w:r>
        <w:rPr>
          <w:rFonts w:hint="eastAsia"/>
          <w:szCs w:val="21"/>
          <w:lang w:val="zh-TW" w:eastAsia="zh-TW"/>
        </w:rPr>
        <w:t>接口应有防静电功能；</w:t>
      </w:r>
    </w:p>
    <w:p>
      <w:pPr>
        <w:numPr>
          <w:ilvl w:val="0"/>
          <w:numId w:val="16"/>
        </w:numPr>
        <w:spacing w:before="120" w:beforeLines="50" w:after="120" w:afterLines="50"/>
        <w:ind w:firstLine="420" w:firstLineChars="200"/>
        <w:rPr>
          <w:szCs w:val="21"/>
          <w:lang w:val="zh-TW" w:eastAsia="zh-TW"/>
        </w:rPr>
      </w:pPr>
      <w:r>
        <w:rPr>
          <w:rFonts w:hint="eastAsia"/>
          <w:szCs w:val="21"/>
          <w:lang w:val="zh-TW" w:eastAsia="zh-TW"/>
        </w:rPr>
        <w:t>应有过流、过压、电源瞬</w:t>
      </w:r>
      <w:r>
        <w:rPr>
          <w:rFonts w:hint="eastAsia"/>
          <w:szCs w:val="21"/>
          <w:lang w:val="zh-TW"/>
        </w:rPr>
        <w:t>间</w:t>
      </w:r>
      <w:r>
        <w:rPr>
          <w:rFonts w:hint="eastAsia"/>
          <w:szCs w:val="21"/>
          <w:lang w:val="zh-TW" w:eastAsia="zh-TW"/>
        </w:rPr>
        <w:t>变化和偶然极性反接的保护装置。</w:t>
      </w:r>
    </w:p>
    <w:p>
      <w:pPr>
        <w:pStyle w:val="3"/>
        <w:spacing w:before="240" w:after="120"/>
      </w:pPr>
      <w:bookmarkStart w:id="48" w:name="_Toc147734705"/>
      <w:r>
        <w:rPr>
          <w:rFonts w:hint="eastAsia"/>
        </w:rPr>
        <w:t>4.14 电磁兼容性</w:t>
      </w:r>
      <w:bookmarkEnd w:id="48"/>
    </w:p>
    <w:p>
      <w:pPr>
        <w:spacing w:before="120" w:beforeLines="50" w:after="120" w:afterLines="50"/>
        <w:ind w:firstLine="420" w:firstLineChars="200"/>
        <w:rPr>
          <w:szCs w:val="21"/>
        </w:rPr>
      </w:pPr>
      <w:r>
        <w:rPr>
          <w:rFonts w:hint="eastAsia"/>
          <w:szCs w:val="21"/>
        </w:rPr>
        <w:t>电磁兼容性要求见表7。</w:t>
      </w:r>
    </w:p>
    <w:p>
      <w:pPr>
        <w:spacing w:before="120" w:beforeLines="50" w:after="120" w:afterLines="50"/>
        <w:jc w:val="center"/>
        <w:rPr>
          <w:szCs w:val="21"/>
        </w:rPr>
      </w:pPr>
      <w:r>
        <w:rPr>
          <w:rFonts w:hint="eastAsia"/>
          <w:szCs w:val="21"/>
        </w:rPr>
        <w:t>表7接收机电磁兼容性要求</w:t>
      </w:r>
    </w:p>
    <w:tbl>
      <w:tblPr>
        <w:tblStyle w:val="23"/>
        <w:tblW w:w="0" w:type="auto"/>
        <w:jc w:val="center"/>
        <w:tblLayout w:type="fixed"/>
        <w:tblCellMar>
          <w:top w:w="0" w:type="dxa"/>
          <w:left w:w="10" w:type="dxa"/>
          <w:bottom w:w="0" w:type="dxa"/>
          <w:right w:w="10" w:type="dxa"/>
        </w:tblCellMar>
      </w:tblPr>
      <w:tblGrid>
        <w:gridCol w:w="1407"/>
        <w:gridCol w:w="1700"/>
        <w:gridCol w:w="6020"/>
      </w:tblGrid>
      <w:tr>
        <w:tblPrEx>
          <w:tblCellMar>
            <w:top w:w="0" w:type="dxa"/>
            <w:left w:w="10" w:type="dxa"/>
            <w:bottom w:w="0" w:type="dxa"/>
            <w:right w:w="10" w:type="dxa"/>
          </w:tblCellMar>
        </w:tblPrEx>
        <w:trPr>
          <w:trHeight w:val="975" w:hRule="exact"/>
          <w:jc w:val="center"/>
        </w:trPr>
        <w:tc>
          <w:tcPr>
            <w:tcW w:w="1407"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振动模式</w:t>
            </w:r>
          </w:p>
        </w:tc>
        <w:tc>
          <w:tcPr>
            <w:tcW w:w="1700" w:type="dxa"/>
            <w:tcBorders>
              <w:top w:val="single" w:color="auto" w:sz="4" w:space="0"/>
              <w:left w:val="single" w:color="auto" w:sz="4" w:space="0"/>
            </w:tcBorders>
            <w:shd w:val="clear" w:color="auto" w:fill="FFFFFF"/>
            <w:vAlign w:val="center"/>
          </w:tcPr>
          <w:p>
            <w:pPr>
              <w:pStyle w:val="38"/>
              <w:spacing w:before="160" w:line="240" w:lineRule="auto"/>
              <w:ind w:firstLine="0"/>
              <w:jc w:val="center"/>
              <w:rPr>
                <w:color w:val="000000"/>
                <w:sz w:val="21"/>
                <w:szCs w:val="21"/>
                <w:lang w:val="zh-TW" w:eastAsia="zh-TW" w:bidi="zh-TW"/>
              </w:rPr>
            </w:pPr>
            <w:r>
              <w:rPr>
                <w:color w:val="000000"/>
                <w:sz w:val="21"/>
                <w:szCs w:val="21"/>
                <w:lang w:val="zh-TW" w:eastAsia="zh-TW" w:bidi="zh-TW"/>
              </w:rPr>
              <w:t>加速度谱密度</w:t>
            </w:r>
          </w:p>
          <w:p>
            <w:pPr>
              <w:pStyle w:val="38"/>
              <w:spacing w:before="160" w:line="240" w:lineRule="auto"/>
              <w:ind w:firstLine="0"/>
              <w:jc w:val="center"/>
              <w:rPr>
                <w:color w:val="000000"/>
                <w:sz w:val="21"/>
                <w:szCs w:val="21"/>
                <w:lang w:val="zh-TW" w:eastAsia="zh-TW" w:bidi="zh-TW"/>
              </w:rPr>
            </w:pPr>
            <w:r>
              <w:rPr>
                <w:rFonts w:hint="eastAsia" w:ascii="Times New Roman" w:hAnsi="Times New Roman" w:cs="Times New Roman"/>
                <w:color w:val="000000"/>
                <w:sz w:val="21"/>
                <w:szCs w:val="21"/>
                <w:lang w:bidi="en-US"/>
              </w:rPr>
              <w:t>m</w:t>
            </w:r>
            <w:r>
              <w:rPr>
                <w:rFonts w:hint="eastAsia" w:ascii="Times New Roman" w:hAnsi="Times New Roman" w:cs="Times New Roman"/>
                <w:color w:val="000000"/>
                <w:sz w:val="21"/>
                <w:szCs w:val="21"/>
                <w:vertAlign w:val="superscript"/>
                <w:lang w:bidi="en-US"/>
              </w:rPr>
              <w:t>2</w:t>
            </w:r>
            <w:r>
              <w:rPr>
                <w:rFonts w:ascii="Times New Roman" w:hAnsi="Times New Roman" w:eastAsia="Times New Roman" w:cs="Times New Roman"/>
                <w:color w:val="000000"/>
                <w:sz w:val="21"/>
                <w:szCs w:val="21"/>
                <w:lang w:eastAsia="en-US" w:bidi="en-US"/>
              </w:rPr>
              <w:t>/s</w:t>
            </w:r>
            <w:r>
              <w:rPr>
                <w:rFonts w:hint="eastAsia" w:ascii="Times New Roman" w:hAnsi="Times New Roman" w:cs="Times New Roman"/>
                <w:color w:val="000000"/>
                <w:sz w:val="21"/>
                <w:szCs w:val="21"/>
                <w:vertAlign w:val="superscript"/>
                <w:lang w:bidi="en-US"/>
              </w:rPr>
              <w:t>3</w:t>
            </w:r>
          </w:p>
        </w:tc>
        <w:tc>
          <w:tcPr>
            <w:tcW w:w="6020" w:type="dxa"/>
            <w:tcBorders>
              <w:top w:val="single" w:color="auto" w:sz="4" w:space="0"/>
              <w:left w:val="single" w:color="auto" w:sz="4" w:space="0"/>
              <w:right w:val="single" w:color="auto" w:sz="4" w:space="0"/>
            </w:tcBorders>
            <w:shd w:val="clear" w:color="auto" w:fill="FFFFFF"/>
            <w:vAlign w:val="center"/>
          </w:tcPr>
          <w:p>
            <w:pPr>
              <w:pStyle w:val="38"/>
              <w:spacing w:after="120" w:line="240" w:lineRule="auto"/>
              <w:ind w:firstLine="0"/>
              <w:jc w:val="center"/>
              <w:rPr>
                <w:sz w:val="21"/>
                <w:szCs w:val="21"/>
              </w:rPr>
            </w:pPr>
            <w:r>
              <w:rPr>
                <w:color w:val="000000"/>
                <w:sz w:val="21"/>
                <w:szCs w:val="21"/>
                <w:lang w:val="zh-TW" w:eastAsia="zh-TW" w:bidi="zh-TW"/>
              </w:rPr>
              <w:t>频率范围</w:t>
            </w:r>
          </w:p>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Hz</w:t>
            </w:r>
          </w:p>
        </w:tc>
      </w:tr>
      <w:tr>
        <w:tblPrEx>
          <w:tblCellMar>
            <w:top w:w="0" w:type="dxa"/>
            <w:left w:w="10" w:type="dxa"/>
            <w:bottom w:w="0" w:type="dxa"/>
            <w:right w:w="10" w:type="dxa"/>
          </w:tblCellMar>
        </w:tblPrEx>
        <w:trPr>
          <w:trHeight w:val="1941" w:hRule="exact"/>
          <w:jc w:val="center"/>
        </w:trPr>
        <w:tc>
          <w:tcPr>
            <w:tcW w:w="1407"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1</w:t>
            </w:r>
          </w:p>
        </w:tc>
        <w:tc>
          <w:tcPr>
            <w:tcW w:w="1700" w:type="dxa"/>
            <w:tcBorders>
              <w:top w:val="single" w:color="auto" w:sz="4" w:space="0"/>
              <w:left w:val="single" w:color="auto" w:sz="4" w:space="0"/>
            </w:tcBorders>
            <w:shd w:val="clear" w:color="auto" w:fill="FFFFFF"/>
            <w:vAlign w:val="center"/>
          </w:tcPr>
          <w:p>
            <w:pPr>
              <w:pStyle w:val="38"/>
              <w:spacing w:line="240" w:lineRule="auto"/>
              <w:ind w:firstLine="0"/>
              <w:rPr>
                <w:sz w:val="21"/>
                <w:szCs w:val="21"/>
              </w:rPr>
            </w:pPr>
            <w:r>
              <w:rPr>
                <w:color w:val="000000"/>
                <w:sz w:val="21"/>
                <w:szCs w:val="21"/>
                <w:lang w:val="zh-TW" w:eastAsia="zh-TW" w:bidi="zh-TW"/>
              </w:rPr>
              <w:t>辐射</w:t>
            </w:r>
            <w:r>
              <w:rPr>
                <w:rFonts w:hint="eastAsia"/>
                <w:color w:val="000000"/>
                <w:sz w:val="21"/>
                <w:szCs w:val="21"/>
                <w:lang w:val="zh-TW" w:bidi="zh-TW"/>
              </w:rPr>
              <w:t>骚</w:t>
            </w:r>
            <w:r>
              <w:rPr>
                <w:color w:val="000000"/>
                <w:sz w:val="21"/>
                <w:szCs w:val="21"/>
                <w:lang w:val="zh-TW" w:eastAsia="zh-TW" w:bidi="zh-TW"/>
              </w:rPr>
              <w:t>扰场强</w:t>
            </w:r>
          </w:p>
        </w:tc>
        <w:tc>
          <w:tcPr>
            <w:tcW w:w="6020" w:type="dxa"/>
            <w:tcBorders>
              <w:top w:val="single" w:color="auto" w:sz="4" w:space="0"/>
              <w:left w:val="single" w:color="auto" w:sz="4" w:space="0"/>
              <w:right w:val="single" w:color="auto" w:sz="4" w:space="0"/>
            </w:tcBorders>
            <w:shd w:val="clear" w:color="auto" w:fill="FFFFFF"/>
            <w:vAlign w:val="center"/>
          </w:tcPr>
          <w:p>
            <w:pPr>
              <w:pStyle w:val="38"/>
              <w:spacing w:after="120" w:line="375" w:lineRule="exact"/>
              <w:ind w:firstLine="0"/>
              <w:rPr>
                <w:sz w:val="21"/>
                <w:szCs w:val="21"/>
              </w:rPr>
            </w:pPr>
            <w:r>
              <w:rPr>
                <w:color w:val="000000"/>
                <w:sz w:val="21"/>
                <w:szCs w:val="21"/>
                <w:lang w:val="zh-TW" w:eastAsia="zh-TW" w:bidi="zh-TW"/>
              </w:rPr>
              <w:t>按</w:t>
            </w:r>
            <w:r>
              <w:rPr>
                <w:rFonts w:hint="eastAsia" w:ascii="Times New Roman" w:hAnsi="Times New Roman" w:cs="Times New Roman"/>
                <w:color w:val="000000"/>
                <w:sz w:val="21"/>
                <w:szCs w:val="21"/>
                <w:lang w:bidi="en-US"/>
              </w:rPr>
              <w:t>GB</w:t>
            </w:r>
            <w:r>
              <w:rPr>
                <w:rFonts w:ascii="Times New Roman" w:hAnsi="Times New Roman" w:eastAsia="Times New Roman" w:cs="Times New Roman"/>
                <w:color w:val="000000"/>
                <w:sz w:val="21"/>
                <w:szCs w:val="21"/>
                <w:lang w:bidi="en-US"/>
              </w:rPr>
              <w:t>/T 9254-2008</w:t>
            </w:r>
            <w:r>
              <w:rPr>
                <w:color w:val="000000"/>
                <w:sz w:val="21"/>
                <w:szCs w:val="21"/>
                <w:lang w:val="zh-TW" w:eastAsia="zh-TW" w:bidi="zh-TW"/>
              </w:rPr>
              <w:t>中等级</w:t>
            </w:r>
            <w:r>
              <w:rPr>
                <w:rFonts w:hint="eastAsia" w:ascii="Times New Roman" w:hAnsi="Times New Roman" w:cs="Times New Roman"/>
                <w:color w:val="000000"/>
                <w:sz w:val="21"/>
                <w:szCs w:val="21"/>
                <w:lang w:bidi="zh-TW"/>
              </w:rPr>
              <w:t>B</w:t>
            </w:r>
            <w:r>
              <w:rPr>
                <w:color w:val="000000"/>
                <w:sz w:val="21"/>
                <w:szCs w:val="21"/>
                <w:lang w:val="zh-TW" w:eastAsia="zh-TW" w:bidi="zh-TW"/>
              </w:rPr>
              <w:t>级信息设备</w:t>
            </w:r>
            <w:r>
              <w:rPr>
                <w:color w:val="000000"/>
                <w:sz w:val="21"/>
                <w:szCs w:val="21"/>
                <w:lang w:bidi="en-US"/>
              </w:rPr>
              <w:t>（</w:t>
            </w:r>
            <w:r>
              <w:rPr>
                <w:rFonts w:ascii="Times New Roman" w:hAnsi="Times New Roman" w:eastAsia="Times New Roman" w:cs="Times New Roman"/>
                <w:color w:val="000000"/>
                <w:sz w:val="21"/>
                <w:szCs w:val="21"/>
                <w:lang w:bidi="en-US"/>
              </w:rPr>
              <w:t>ITE）</w:t>
            </w:r>
            <w:r>
              <w:rPr>
                <w:color w:val="000000"/>
                <w:sz w:val="21"/>
                <w:szCs w:val="21"/>
                <w:lang w:val="zh-TW" w:eastAsia="zh-TW" w:bidi="zh-TW"/>
              </w:rPr>
              <w:t>规定的极限要求和</w:t>
            </w:r>
            <w:r>
              <w:rPr>
                <w:rFonts w:ascii="Times New Roman" w:hAnsi="Times New Roman" w:eastAsia="Times New Roman" w:cs="Times New Roman"/>
                <w:color w:val="000000"/>
                <w:sz w:val="21"/>
                <w:szCs w:val="21"/>
                <w:lang w:bidi="en-US"/>
              </w:rPr>
              <w:t xml:space="preserve">6.2 </w:t>
            </w:r>
            <w:r>
              <w:rPr>
                <w:rFonts w:ascii="Times New Roman" w:hAnsi="Times New Roman" w:eastAsia="Times New Roman" w:cs="Times New Roman"/>
                <w:color w:val="000000"/>
                <w:sz w:val="21"/>
                <w:szCs w:val="21"/>
                <w:lang w:val="zh-TW" w:eastAsia="zh-TW" w:bidi="zh-TW"/>
              </w:rPr>
              <w:t>1</w:t>
            </w:r>
            <w:r>
              <w:rPr>
                <w:rFonts w:ascii="Times New Roman" w:hAnsi="Times New Roman" w:eastAsia="Times New Roman" w:cs="Times New Roman"/>
                <w:color w:val="000000"/>
                <w:sz w:val="21"/>
                <w:szCs w:val="21"/>
                <w:lang w:bidi="en-US"/>
              </w:rPr>
              <w:t>GHz</w:t>
            </w:r>
            <w:r>
              <w:rPr>
                <w:color w:val="000000"/>
                <w:sz w:val="21"/>
                <w:szCs w:val="21"/>
                <w:lang w:val="zh-TW" w:eastAsia="zh-TW" w:bidi="zh-TW"/>
              </w:rPr>
              <w:t>以上的限值要求</w:t>
            </w:r>
            <w:r>
              <w:rPr>
                <w:rFonts w:hint="eastAsia"/>
                <w:color w:val="000000"/>
                <w:sz w:val="21"/>
                <w:szCs w:val="21"/>
                <w:lang w:val="zh-TW" w:bidi="zh-TW"/>
              </w:rPr>
              <w:t>，</w:t>
            </w:r>
            <w:r>
              <w:rPr>
                <w:color w:val="000000"/>
                <w:sz w:val="21"/>
                <w:szCs w:val="21"/>
                <w:lang w:val="zh-TW" w:eastAsia="zh-TW" w:bidi="zh-TW"/>
              </w:rPr>
              <w:t>如果受试设备</w:t>
            </w:r>
            <w:r>
              <w:rPr>
                <w:color w:val="000000"/>
                <w:sz w:val="21"/>
                <w:szCs w:val="21"/>
                <w:lang w:bidi="en-US"/>
              </w:rPr>
              <w:t>（</w:t>
            </w:r>
            <w:r>
              <w:rPr>
                <w:rFonts w:ascii="Times New Roman" w:hAnsi="Times New Roman" w:eastAsia="Times New Roman" w:cs="Times New Roman"/>
                <w:color w:val="000000"/>
                <w:sz w:val="21"/>
                <w:szCs w:val="21"/>
                <w:lang w:bidi="en-US"/>
              </w:rPr>
              <w:t>EUT）</w:t>
            </w:r>
            <w:r>
              <w:rPr>
                <w:color w:val="000000"/>
                <w:sz w:val="21"/>
                <w:szCs w:val="21"/>
                <w:lang w:val="zh-TW" w:eastAsia="zh-TW" w:bidi="zh-TW"/>
              </w:rPr>
              <w:t>内部源的最高频率高于</w:t>
            </w:r>
            <w:r>
              <w:rPr>
                <w:rFonts w:ascii="Times New Roman" w:hAnsi="Times New Roman" w:eastAsia="Times New Roman" w:cs="Times New Roman"/>
                <w:color w:val="000000"/>
                <w:sz w:val="21"/>
                <w:szCs w:val="21"/>
                <w:lang w:val="zh-TW" w:eastAsia="zh-TW" w:bidi="zh-TW"/>
              </w:rPr>
              <w:t>1</w:t>
            </w:r>
            <w:r>
              <w:rPr>
                <w:rFonts w:ascii="Times New Roman" w:hAnsi="Times New Roman" w:eastAsia="Times New Roman" w:cs="Times New Roman"/>
                <w:color w:val="000000"/>
                <w:sz w:val="21"/>
                <w:szCs w:val="21"/>
                <w:lang w:bidi="en-US"/>
              </w:rPr>
              <w:t>GHz</w:t>
            </w:r>
            <w:r>
              <w:rPr>
                <w:rFonts w:hint="eastAsia" w:ascii="Times New Roman" w:hAnsi="Times New Roman" w:cs="Times New Roman"/>
                <w:color w:val="000000"/>
                <w:sz w:val="21"/>
                <w:szCs w:val="21"/>
                <w:lang w:bidi="en-US"/>
              </w:rPr>
              <w:t>，</w:t>
            </w:r>
            <w:r>
              <w:rPr>
                <w:color w:val="000000"/>
                <w:sz w:val="21"/>
                <w:szCs w:val="21"/>
                <w:lang w:val="zh-TW" w:eastAsia="zh-TW" w:bidi="zh-TW"/>
              </w:rPr>
              <w:t>测量将进行到最高频率的</w:t>
            </w:r>
            <w:r>
              <w:rPr>
                <w:rFonts w:ascii="Times New Roman" w:hAnsi="Times New Roman" w:eastAsia="Times New Roman" w:cs="Times New Roman"/>
                <w:color w:val="000000"/>
                <w:sz w:val="21"/>
                <w:szCs w:val="21"/>
                <w:lang w:val="zh-TW" w:eastAsia="zh-TW" w:bidi="zh-TW"/>
              </w:rPr>
              <w:t>5</w:t>
            </w:r>
            <w:r>
              <w:rPr>
                <w:color w:val="000000"/>
                <w:sz w:val="21"/>
                <w:szCs w:val="21"/>
                <w:lang w:val="zh-TW" w:eastAsia="zh-TW" w:bidi="zh-TW"/>
              </w:rPr>
              <w:t>倍或</w:t>
            </w:r>
            <w:r>
              <w:rPr>
                <w:rFonts w:ascii="Times New Roman" w:hAnsi="Times New Roman" w:eastAsia="Times New Roman" w:cs="Times New Roman"/>
                <w:color w:val="000000"/>
                <w:sz w:val="21"/>
                <w:szCs w:val="21"/>
                <w:lang w:val="zh-TW" w:eastAsia="zh-TW" w:bidi="zh-TW"/>
              </w:rPr>
              <w:t>6</w:t>
            </w:r>
            <w:r>
              <w:rPr>
                <w:rFonts w:ascii="Times New Roman" w:hAnsi="Times New Roman" w:eastAsia="Times New Roman" w:cs="Times New Roman"/>
                <w:color w:val="000000"/>
                <w:sz w:val="21"/>
                <w:szCs w:val="21"/>
                <w:lang w:bidi="en-US"/>
              </w:rPr>
              <w:t>GHz</w:t>
            </w:r>
            <w:r>
              <w:rPr>
                <w:rFonts w:hint="eastAsia" w:ascii="Times New Roman" w:hAnsi="Times New Roman" w:cs="Times New Roman"/>
                <w:color w:val="000000"/>
                <w:sz w:val="21"/>
                <w:szCs w:val="21"/>
                <w:lang w:bidi="en-US"/>
              </w:rPr>
              <w:t>，</w:t>
            </w:r>
            <w:r>
              <w:rPr>
                <w:color w:val="000000"/>
                <w:sz w:val="21"/>
                <w:szCs w:val="21"/>
                <w:lang w:val="zh-TW" w:eastAsia="zh-TW" w:bidi="zh-TW"/>
              </w:rPr>
              <w:t>取两者中的小者</w:t>
            </w:r>
            <w:r>
              <w:rPr>
                <w:rFonts w:hint="eastAsia"/>
                <w:color w:val="000000"/>
                <w:sz w:val="21"/>
                <w:szCs w:val="21"/>
                <w:lang w:val="zh-TW" w:bidi="zh-TW"/>
              </w:rPr>
              <w:t>，</w:t>
            </w:r>
            <w:r>
              <w:rPr>
                <w:color w:val="000000"/>
                <w:sz w:val="21"/>
                <w:szCs w:val="21"/>
                <w:lang w:val="zh-TW" w:eastAsia="zh-TW" w:bidi="zh-TW"/>
              </w:rPr>
              <w:t>即频率范围为</w:t>
            </w:r>
            <w:r>
              <w:rPr>
                <w:rFonts w:ascii="Times New Roman" w:hAnsi="Times New Roman" w:eastAsia="Times New Roman" w:cs="Times New Roman"/>
                <w:color w:val="000000"/>
                <w:sz w:val="21"/>
                <w:szCs w:val="21"/>
                <w:lang w:val="zh-TW" w:eastAsia="zh-TW" w:bidi="zh-TW"/>
              </w:rPr>
              <w:t>3</w:t>
            </w:r>
            <w:r>
              <w:rPr>
                <w:rFonts w:ascii="Times New Roman" w:hAnsi="Times New Roman" w:eastAsia="Times New Roman" w:cs="Times New Roman"/>
                <w:color w:val="000000"/>
                <w:sz w:val="21"/>
                <w:szCs w:val="21"/>
                <w:lang w:bidi="en-US"/>
              </w:rPr>
              <w:t>GHz</w:t>
            </w:r>
            <w:r>
              <w:rPr>
                <w:color w:val="000000"/>
                <w:sz w:val="21"/>
                <w:szCs w:val="21"/>
                <w:lang w:val="zh-TW" w:eastAsia="zh-TW" w:bidi="zh-TW"/>
              </w:rPr>
              <w:t>〜</w:t>
            </w:r>
            <w:r>
              <w:rPr>
                <w:rFonts w:hint="eastAsia" w:ascii="Times New Roman" w:hAnsi="Times New Roman" w:cs="Times New Roman"/>
                <w:color w:val="000000"/>
                <w:sz w:val="21"/>
                <w:szCs w:val="21"/>
                <w:lang w:bidi="zh-TW"/>
              </w:rPr>
              <w:t>6</w:t>
            </w:r>
            <w:r>
              <w:rPr>
                <w:rFonts w:ascii="Times New Roman" w:hAnsi="Times New Roman" w:eastAsia="Times New Roman" w:cs="Times New Roman"/>
                <w:color w:val="000000"/>
                <w:sz w:val="21"/>
                <w:szCs w:val="21"/>
                <w:lang w:bidi="en-US"/>
              </w:rPr>
              <w:t>GHz</w:t>
            </w:r>
            <w:r>
              <w:rPr>
                <w:rFonts w:hint="eastAsia" w:ascii="Times New Roman" w:hAnsi="Times New Roman" w:cs="Times New Roman"/>
                <w:color w:val="000000"/>
                <w:sz w:val="21"/>
                <w:szCs w:val="21"/>
                <w:lang w:bidi="en-US"/>
              </w:rPr>
              <w:t>时，</w:t>
            </w:r>
            <w:r>
              <w:rPr>
                <w:color w:val="000000"/>
                <w:sz w:val="21"/>
                <w:szCs w:val="21"/>
                <w:lang w:val="zh-TW" w:eastAsia="zh-TW" w:bidi="zh-TW"/>
              </w:rPr>
              <w:t>辐射</w:t>
            </w:r>
            <w:r>
              <w:rPr>
                <w:rFonts w:hint="eastAsia"/>
                <w:color w:val="000000"/>
                <w:sz w:val="21"/>
                <w:szCs w:val="21"/>
                <w:lang w:val="zh-TW" w:bidi="zh-TW"/>
              </w:rPr>
              <w:t>骚</w:t>
            </w:r>
            <w:r>
              <w:rPr>
                <w:color w:val="000000"/>
                <w:sz w:val="21"/>
                <w:szCs w:val="21"/>
                <w:lang w:val="zh-TW" w:eastAsia="zh-TW" w:bidi="zh-TW"/>
              </w:rPr>
              <w:t>扰</w:t>
            </w:r>
            <w:r>
              <w:rPr>
                <w:rFonts w:hint="eastAsia"/>
                <w:color w:val="000000"/>
                <w:sz w:val="21"/>
                <w:szCs w:val="21"/>
                <w:lang w:val="zh-TW" w:bidi="zh-TW"/>
              </w:rPr>
              <w:t>限值平均值为</w:t>
            </w:r>
            <w:r>
              <w:rPr>
                <w:rFonts w:hint="eastAsia"/>
                <w:color w:val="000000"/>
                <w:sz w:val="21"/>
                <w:szCs w:val="21"/>
                <w:lang w:bidi="zh-TW"/>
              </w:rPr>
              <w:t>54dB(</w:t>
            </w:r>
            <w:r>
              <w:rPr>
                <w:rFonts w:ascii="Times New Roman" w:hAnsi="Times New Roman" w:cs="Times New Roman"/>
                <w:color w:val="000000"/>
                <w:sz w:val="21"/>
                <w:szCs w:val="21"/>
                <w:lang w:bidi="zh-TW"/>
              </w:rPr>
              <w:t>μ</w:t>
            </w:r>
            <w:r>
              <w:rPr>
                <w:rFonts w:hint="eastAsia"/>
                <w:color w:val="000000"/>
                <w:sz w:val="21"/>
                <w:szCs w:val="21"/>
                <w:lang w:bidi="zh-TW"/>
              </w:rPr>
              <w:t>V/m)，峰值为74dB(</w:t>
            </w:r>
            <w:r>
              <w:rPr>
                <w:rFonts w:ascii="Times New Roman" w:hAnsi="Times New Roman" w:cs="Times New Roman"/>
                <w:color w:val="000000"/>
                <w:sz w:val="21"/>
                <w:szCs w:val="21"/>
                <w:lang w:bidi="zh-TW"/>
              </w:rPr>
              <w:t>μ</w:t>
            </w:r>
            <w:r>
              <w:rPr>
                <w:rFonts w:hint="eastAsia"/>
                <w:color w:val="000000"/>
                <w:sz w:val="21"/>
                <w:szCs w:val="21"/>
                <w:lang w:bidi="zh-TW"/>
              </w:rPr>
              <w:t>V/m)</w:t>
            </w:r>
          </w:p>
          <w:p>
            <w:pPr>
              <w:pStyle w:val="38"/>
              <w:spacing w:line="360" w:lineRule="auto"/>
              <w:ind w:firstLine="0"/>
              <w:rPr>
                <w:sz w:val="21"/>
                <w:szCs w:val="21"/>
              </w:rPr>
            </w:pPr>
            <w:r>
              <w:rPr>
                <w:rFonts w:ascii="Times New Roman" w:hAnsi="Times New Roman" w:eastAsia="Times New Roman" w:cs="Times New Roman"/>
                <w:color w:val="000000"/>
                <w:sz w:val="21"/>
                <w:szCs w:val="21"/>
                <w:lang w:val="zh-TW" w:eastAsia="zh-TW" w:bidi="zh-TW"/>
              </w:rPr>
              <w:t xml:space="preserve">6 </w:t>
            </w:r>
            <w:r>
              <w:rPr>
                <w:rFonts w:ascii="Times New Roman" w:hAnsi="Times New Roman" w:eastAsia="Times New Roman" w:cs="Times New Roman"/>
                <w:color w:val="000000"/>
                <w:sz w:val="21"/>
                <w:szCs w:val="21"/>
                <w:lang w:bidi="en-US"/>
              </w:rPr>
              <w:t>GHz</w:t>
            </w:r>
            <w:r>
              <w:rPr>
                <w:color w:val="000000"/>
                <w:sz w:val="21"/>
                <w:szCs w:val="21"/>
                <w:lang w:val="zh-TW" w:eastAsia="zh-TW" w:bidi="zh-TW"/>
              </w:rPr>
              <w:t>时，辐射骚扰限值平均值为</w:t>
            </w:r>
            <w:r>
              <w:rPr>
                <w:rFonts w:ascii="Times New Roman" w:hAnsi="Times New Roman" w:eastAsia="Times New Roman" w:cs="Times New Roman"/>
                <w:color w:val="000000"/>
                <w:sz w:val="21"/>
                <w:szCs w:val="21"/>
                <w:lang w:val="zh-TW" w:eastAsia="zh-TW" w:bidi="zh-TW"/>
              </w:rPr>
              <w:t xml:space="preserve">54 </w:t>
            </w:r>
            <w:r>
              <w:rPr>
                <w:rFonts w:ascii="Times New Roman" w:hAnsi="Times New Roman" w:eastAsia="Times New Roman" w:cs="Times New Roman"/>
                <w:color w:val="000000"/>
                <w:sz w:val="21"/>
                <w:szCs w:val="21"/>
                <w:lang w:bidi="en-US"/>
              </w:rPr>
              <w:t>dB（pV/m）</w:t>
            </w:r>
            <w:r>
              <w:rPr>
                <w:rFonts w:hint="eastAsia" w:ascii="Times New Roman" w:hAnsi="Times New Roman" w:cs="Times New Roman"/>
                <w:color w:val="000000"/>
                <w:sz w:val="21"/>
                <w:szCs w:val="21"/>
                <w:lang w:bidi="en-US"/>
              </w:rPr>
              <w:t>，</w:t>
            </w:r>
            <w:r>
              <w:rPr>
                <w:color w:val="000000"/>
                <w:sz w:val="21"/>
                <w:szCs w:val="21"/>
                <w:lang w:val="zh-TW" w:eastAsia="zh-TW" w:bidi="zh-TW"/>
              </w:rPr>
              <w:t>峰值为</w:t>
            </w:r>
            <w:r>
              <w:rPr>
                <w:rFonts w:ascii="Times New Roman" w:hAnsi="Times New Roman" w:eastAsia="Times New Roman" w:cs="Times New Roman"/>
                <w:color w:val="000000"/>
                <w:sz w:val="21"/>
                <w:szCs w:val="21"/>
                <w:lang w:val="zh-TW" w:eastAsia="zh-TW" w:bidi="zh-TW"/>
              </w:rPr>
              <w:t xml:space="preserve">74 </w:t>
            </w:r>
            <w:r>
              <w:rPr>
                <w:rFonts w:ascii="Times New Roman" w:hAnsi="Times New Roman" w:eastAsia="Times New Roman" w:cs="Times New Roman"/>
                <w:color w:val="000000"/>
                <w:sz w:val="21"/>
                <w:szCs w:val="21"/>
                <w:lang w:bidi="en-US"/>
              </w:rPr>
              <w:t>dB（/*V/m）</w:t>
            </w:r>
          </w:p>
        </w:tc>
      </w:tr>
      <w:tr>
        <w:tblPrEx>
          <w:tblCellMar>
            <w:top w:w="0" w:type="dxa"/>
            <w:left w:w="10" w:type="dxa"/>
            <w:bottom w:w="0" w:type="dxa"/>
            <w:right w:w="10" w:type="dxa"/>
          </w:tblCellMar>
        </w:tblPrEx>
        <w:trPr>
          <w:trHeight w:val="990" w:hRule="exact"/>
          <w:jc w:val="center"/>
        </w:trPr>
        <w:tc>
          <w:tcPr>
            <w:tcW w:w="1407"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2</w:t>
            </w:r>
          </w:p>
        </w:tc>
        <w:tc>
          <w:tcPr>
            <w:tcW w:w="1700" w:type="dxa"/>
            <w:tcBorders>
              <w:top w:val="single" w:color="auto" w:sz="4" w:space="0"/>
              <w:left w:val="single" w:color="auto" w:sz="4" w:space="0"/>
              <w:bottom w:val="single" w:color="auto" w:sz="4" w:space="0"/>
            </w:tcBorders>
            <w:shd w:val="clear" w:color="auto" w:fill="FFFFFF"/>
            <w:vAlign w:val="center"/>
          </w:tcPr>
          <w:p>
            <w:pPr>
              <w:pStyle w:val="38"/>
              <w:spacing w:after="120" w:line="240" w:lineRule="auto"/>
              <w:ind w:firstLine="0"/>
              <w:rPr>
                <w:sz w:val="21"/>
                <w:szCs w:val="21"/>
              </w:rPr>
            </w:pPr>
            <w:r>
              <w:rPr>
                <w:color w:val="000000"/>
                <w:sz w:val="21"/>
                <w:szCs w:val="21"/>
                <w:lang w:val="zh-TW" w:eastAsia="zh-TW" w:bidi="zh-TW"/>
              </w:rPr>
              <w:t>射频电磁场辐射抗扰度</w:t>
            </w:r>
          </w:p>
        </w:tc>
        <w:tc>
          <w:tcPr>
            <w:tcW w:w="60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390" w:lineRule="exact"/>
              <w:ind w:firstLine="0"/>
              <w:rPr>
                <w:sz w:val="21"/>
                <w:szCs w:val="21"/>
              </w:rPr>
            </w:pPr>
            <w:r>
              <w:rPr>
                <w:color w:val="000000"/>
                <w:sz w:val="21"/>
                <w:szCs w:val="21"/>
                <w:lang w:val="zh-TW" w:eastAsia="zh-TW" w:bidi="zh-TW"/>
              </w:rPr>
              <w:t>按</w:t>
            </w:r>
            <w:r>
              <w:rPr>
                <w:rFonts w:hint="eastAsia" w:ascii="Times New Roman" w:hAnsi="Times New Roman" w:eastAsia="Times New Roman" w:cs="Times New Roman"/>
                <w:color w:val="000000"/>
                <w:sz w:val="21"/>
                <w:szCs w:val="21"/>
                <w:lang w:bidi="en-US"/>
              </w:rPr>
              <w:t>G</w:t>
            </w:r>
            <w:r>
              <w:rPr>
                <w:rFonts w:ascii="Times New Roman" w:hAnsi="Times New Roman" w:eastAsia="Times New Roman" w:cs="Times New Roman"/>
                <w:color w:val="000000"/>
                <w:sz w:val="21"/>
                <w:szCs w:val="21"/>
                <w:lang w:bidi="en-US"/>
              </w:rPr>
              <w:t>B/T 17626.3</w:t>
            </w:r>
            <w:r>
              <w:rPr>
                <w:rFonts w:hint="eastAsia" w:ascii="Times New Roman" w:hAnsi="Times New Roman" w:cs="Times New Roman"/>
                <w:color w:val="000000"/>
                <w:sz w:val="21"/>
                <w:szCs w:val="21"/>
                <w:lang w:bidi="en-US"/>
              </w:rPr>
              <w:t>-</w:t>
            </w:r>
            <w:r>
              <w:rPr>
                <w:rFonts w:ascii="Times New Roman" w:hAnsi="Times New Roman" w:eastAsia="Times New Roman" w:cs="Times New Roman"/>
                <w:color w:val="000000"/>
                <w:sz w:val="21"/>
                <w:szCs w:val="21"/>
                <w:lang w:val="zh-TW" w:eastAsia="zh-TW" w:bidi="zh-TW"/>
              </w:rPr>
              <w:t>2016</w:t>
            </w:r>
            <w:r>
              <w:rPr>
                <w:color w:val="000000"/>
                <w:sz w:val="21"/>
                <w:szCs w:val="21"/>
                <w:lang w:val="zh-TW" w:eastAsia="zh-TW" w:bidi="zh-TW"/>
              </w:rPr>
              <w:t>中等级</w:t>
            </w:r>
            <w:r>
              <w:rPr>
                <w:rFonts w:ascii="Times New Roman" w:hAnsi="Times New Roman" w:eastAsia="Times New Roman" w:cs="Times New Roman"/>
                <w:color w:val="000000"/>
                <w:sz w:val="21"/>
                <w:szCs w:val="21"/>
                <w:lang w:val="zh-TW" w:eastAsia="zh-TW" w:bidi="zh-TW"/>
              </w:rPr>
              <w:t>3</w:t>
            </w:r>
            <w:r>
              <w:rPr>
                <w:color w:val="000000"/>
                <w:sz w:val="21"/>
                <w:szCs w:val="21"/>
                <w:lang w:val="zh-TW" w:eastAsia="zh-TW" w:bidi="zh-TW"/>
              </w:rPr>
              <w:t>规定的要求</w:t>
            </w:r>
            <w:r>
              <w:rPr>
                <w:rFonts w:hint="eastAsia"/>
                <w:color w:val="000000"/>
                <w:sz w:val="21"/>
                <w:szCs w:val="21"/>
                <w:lang w:val="zh-TW" w:bidi="zh-TW"/>
              </w:rPr>
              <w:t>，</w:t>
            </w:r>
            <w:r>
              <w:rPr>
                <w:color w:val="000000"/>
                <w:sz w:val="21"/>
                <w:szCs w:val="21"/>
                <w:lang w:val="zh-TW" w:eastAsia="zh-TW" w:bidi="zh-TW"/>
              </w:rPr>
              <w:t>在</w:t>
            </w:r>
            <w:r>
              <w:rPr>
                <w:rFonts w:ascii="Times New Roman" w:hAnsi="Times New Roman" w:eastAsia="Times New Roman" w:cs="Times New Roman"/>
                <w:color w:val="000000"/>
                <w:sz w:val="21"/>
                <w:szCs w:val="21"/>
                <w:lang w:val="zh-TW" w:eastAsia="zh-TW" w:bidi="zh-TW"/>
              </w:rPr>
              <w:t>80</w:t>
            </w:r>
            <w:r>
              <w:rPr>
                <w:rFonts w:ascii="Times New Roman" w:hAnsi="Times New Roman" w:eastAsia="Times New Roman" w:cs="Times New Roman"/>
                <w:color w:val="000000"/>
                <w:sz w:val="21"/>
                <w:szCs w:val="21"/>
                <w:lang w:bidi="en-US"/>
              </w:rPr>
              <w:t>MHz</w:t>
            </w:r>
            <w:r>
              <w:rPr>
                <w:color w:val="000000"/>
                <w:sz w:val="21"/>
                <w:szCs w:val="21"/>
                <w:lang w:val="zh-TW" w:eastAsia="zh-TW" w:bidi="zh-TW"/>
              </w:rPr>
              <w:t>〜</w:t>
            </w:r>
            <w:r>
              <w:rPr>
                <w:rFonts w:ascii="Times New Roman" w:hAnsi="Times New Roman" w:eastAsia="Times New Roman" w:cs="Times New Roman"/>
                <w:color w:val="000000"/>
                <w:sz w:val="21"/>
                <w:szCs w:val="21"/>
                <w:lang w:val="zh-TW" w:eastAsia="zh-TW" w:bidi="zh-TW"/>
              </w:rPr>
              <w:t>1000</w:t>
            </w:r>
            <w:r>
              <w:rPr>
                <w:rFonts w:ascii="Times New Roman" w:hAnsi="Times New Roman" w:eastAsia="Times New Roman" w:cs="Times New Roman"/>
                <w:color w:val="000000"/>
                <w:sz w:val="21"/>
                <w:szCs w:val="21"/>
                <w:lang w:bidi="en-US"/>
              </w:rPr>
              <w:t>MHz</w:t>
            </w:r>
            <w:r>
              <w:rPr>
                <w:color w:val="000000"/>
                <w:sz w:val="21"/>
                <w:szCs w:val="21"/>
                <w:lang w:val="zh-TW" w:eastAsia="zh-TW" w:bidi="zh-TW"/>
              </w:rPr>
              <w:t>频率范围内，试</w:t>
            </w:r>
            <w:r>
              <w:rPr>
                <w:rFonts w:hint="eastAsia"/>
                <w:color w:val="000000"/>
                <w:sz w:val="21"/>
                <w:szCs w:val="21"/>
                <w:lang w:val="zh-TW" w:bidi="zh-TW"/>
              </w:rPr>
              <w:t>验</w:t>
            </w:r>
            <w:r>
              <w:rPr>
                <w:color w:val="000000"/>
                <w:sz w:val="21"/>
                <w:szCs w:val="21"/>
                <w:lang w:val="zh-TW" w:eastAsia="zh-TW" w:bidi="zh-TW"/>
              </w:rPr>
              <w:t>场强为</w:t>
            </w:r>
            <w:r>
              <w:rPr>
                <w:rFonts w:ascii="Times New Roman" w:hAnsi="Times New Roman" w:eastAsia="Times New Roman" w:cs="Times New Roman"/>
                <w:color w:val="000000"/>
                <w:sz w:val="21"/>
                <w:szCs w:val="21"/>
                <w:lang w:val="zh-TW" w:eastAsia="zh-TW" w:bidi="zh-TW"/>
              </w:rPr>
              <w:t>10</w:t>
            </w:r>
            <w:r>
              <w:rPr>
                <w:rFonts w:ascii="Times New Roman" w:hAnsi="Times New Roman" w:eastAsia="Times New Roman" w:cs="Times New Roman"/>
                <w:color w:val="000000"/>
                <w:sz w:val="21"/>
                <w:szCs w:val="21"/>
                <w:lang w:bidi="en-US"/>
              </w:rPr>
              <w:t>V/m</w:t>
            </w:r>
            <w:r>
              <w:rPr>
                <w:color w:val="000000"/>
                <w:sz w:val="21"/>
                <w:szCs w:val="21"/>
                <w:lang w:val="zh-TW" w:eastAsia="zh-TW" w:bidi="zh-TW"/>
              </w:rPr>
              <w:t>环境下</w:t>
            </w:r>
          </w:p>
        </w:tc>
      </w:tr>
    </w:tbl>
    <w:p>
      <w:pPr>
        <w:pStyle w:val="3"/>
        <w:spacing w:before="240" w:after="120"/>
      </w:pPr>
      <w:bookmarkStart w:id="49" w:name="_Toc147734706"/>
      <w:r>
        <w:rPr>
          <w:rFonts w:hint="eastAsia"/>
        </w:rPr>
        <w:t>4.15 可靠性</w:t>
      </w:r>
      <w:bookmarkEnd w:id="49"/>
    </w:p>
    <w:p>
      <w:pPr>
        <w:spacing w:before="120" w:beforeLines="50" w:after="120" w:afterLines="50"/>
        <w:ind w:firstLine="420" w:firstLineChars="200"/>
        <w:rPr>
          <w:szCs w:val="21"/>
        </w:rPr>
      </w:pPr>
      <w:r>
        <w:rPr>
          <w:rFonts w:hint="eastAsia"/>
          <w:szCs w:val="21"/>
        </w:rPr>
        <w:t>接收机的平均无故障间隔时间（MTBF）最低可接受值应为3000h。</w:t>
      </w:r>
    </w:p>
    <w:p>
      <w:pPr>
        <w:spacing w:before="120" w:beforeLines="50" w:after="120" w:afterLines="50"/>
        <w:ind w:firstLine="420" w:firstLineChars="200"/>
        <w:rPr>
          <w:szCs w:val="21"/>
        </w:rPr>
      </w:pPr>
      <w:r>
        <w:rPr>
          <w:rFonts w:hint="eastAsia"/>
          <w:szCs w:val="21"/>
        </w:rPr>
        <w:t>接收机的平均数据丢包率</w:t>
      </w:r>
      <w:r>
        <w:rPr>
          <w:rFonts w:ascii="Arial" w:hAnsi="Arial" w:cs="Arial"/>
          <w:szCs w:val="21"/>
        </w:rPr>
        <w:t>≤</w:t>
      </w:r>
      <w:r>
        <w:rPr>
          <w:rFonts w:hint="eastAsia"/>
          <w:szCs w:val="21"/>
        </w:rPr>
        <w:t>5%。</w:t>
      </w:r>
    </w:p>
    <w:p>
      <w:pPr>
        <w:pStyle w:val="2"/>
        <w:spacing w:before="120" w:beforeLines="50" w:after="120" w:line="240" w:lineRule="auto"/>
        <w:rPr>
          <w:rFonts w:ascii="宋体" w:hAnsi="宋体" w:cs="宋体"/>
        </w:rPr>
      </w:pPr>
      <w:bookmarkStart w:id="50" w:name="_Toc147734707"/>
      <w:r>
        <w:rPr>
          <w:rFonts w:hint="eastAsia" w:ascii="宋体" w:hAnsi="宋体" w:cs="宋体"/>
        </w:rPr>
        <w:t>5 检验方法</w:t>
      </w:r>
      <w:bookmarkEnd w:id="50"/>
    </w:p>
    <w:p>
      <w:pPr>
        <w:pStyle w:val="3"/>
        <w:spacing w:before="240" w:after="120"/>
      </w:pPr>
      <w:bookmarkStart w:id="51" w:name="_Toc147734708"/>
      <w:r>
        <w:rPr>
          <w:rFonts w:hint="eastAsia"/>
        </w:rPr>
        <w:t>5.1 通则</w:t>
      </w:r>
      <w:bookmarkEnd w:id="51"/>
    </w:p>
    <w:p>
      <w:pPr>
        <w:spacing w:before="120" w:beforeLines="50" w:after="120" w:afterLines="50"/>
        <w:ind w:firstLine="420" w:firstLineChars="200"/>
        <w:rPr>
          <w:szCs w:val="21"/>
        </w:rPr>
      </w:pPr>
      <w:r>
        <w:rPr>
          <w:rFonts w:hint="eastAsia"/>
          <w:szCs w:val="21"/>
        </w:rPr>
        <w:t>检验通则要求如下：</w:t>
      </w:r>
    </w:p>
    <w:p>
      <w:pPr>
        <w:numPr>
          <w:ilvl w:val="0"/>
          <w:numId w:val="17"/>
        </w:numPr>
        <w:spacing w:before="120" w:beforeLines="50" w:after="120" w:afterLines="50"/>
        <w:ind w:firstLine="420" w:firstLineChars="200"/>
        <w:rPr>
          <w:szCs w:val="21"/>
          <w:lang w:val="zh-TW" w:eastAsia="zh-TW"/>
        </w:rPr>
      </w:pPr>
      <w:r>
        <w:rPr>
          <w:rFonts w:hint="eastAsia"/>
          <w:szCs w:val="21"/>
          <w:lang w:val="zh-TW" w:eastAsia="zh-TW"/>
        </w:rPr>
        <w:t>检验应在卫星星座</w:t>
      </w:r>
      <w:r>
        <w:rPr>
          <w:rFonts w:hint="eastAsia"/>
          <w:szCs w:val="21"/>
        </w:rPr>
        <w:t>PDOP</w:t>
      </w:r>
      <w:r>
        <w:rPr>
          <w:rFonts w:ascii="Arial" w:hAnsi="Arial" w:cs="Arial"/>
          <w:szCs w:val="21"/>
        </w:rPr>
        <w:t>≤</w:t>
      </w:r>
      <w:r>
        <w:rPr>
          <w:rFonts w:hint="eastAsia"/>
          <w:szCs w:val="21"/>
        </w:rPr>
        <w:t>4</w:t>
      </w:r>
      <w:r>
        <w:rPr>
          <w:rFonts w:hint="eastAsia"/>
          <w:szCs w:val="21"/>
          <w:lang w:val="zh-TW" w:eastAsia="zh-TW"/>
        </w:rPr>
        <w:t>的情况下进行；</w:t>
      </w:r>
    </w:p>
    <w:p>
      <w:pPr>
        <w:numPr>
          <w:ilvl w:val="0"/>
          <w:numId w:val="17"/>
        </w:numPr>
        <w:spacing w:before="120" w:beforeLines="50" w:after="120" w:afterLines="50"/>
        <w:ind w:firstLine="420" w:firstLineChars="200"/>
        <w:rPr>
          <w:szCs w:val="21"/>
          <w:lang w:val="zh-TW" w:eastAsia="zh-TW"/>
        </w:rPr>
      </w:pPr>
      <w:r>
        <w:rPr>
          <w:rFonts w:hint="eastAsia"/>
          <w:szCs w:val="21"/>
          <w:lang w:val="zh-TW" w:eastAsia="zh-TW"/>
        </w:rPr>
        <w:t>数据处理应采用接收机供应商提供的基线数据处理软件；</w:t>
      </w:r>
    </w:p>
    <w:p>
      <w:pPr>
        <w:numPr>
          <w:ilvl w:val="0"/>
          <w:numId w:val="17"/>
        </w:numPr>
        <w:spacing w:before="120" w:beforeLines="50" w:after="120" w:afterLines="50"/>
        <w:ind w:firstLine="420" w:firstLineChars="200"/>
        <w:rPr>
          <w:szCs w:val="21"/>
          <w:lang w:val="zh-TW" w:eastAsia="zh-TW"/>
        </w:rPr>
      </w:pPr>
      <w:r>
        <w:rPr>
          <w:rFonts w:hint="eastAsia"/>
          <w:szCs w:val="21"/>
          <w:lang w:val="zh-TW" w:eastAsia="zh-TW"/>
        </w:rPr>
        <w:t>应采</w:t>
      </w:r>
      <w:bookmarkStart w:id="92" w:name="_GoBack"/>
      <w:bookmarkEnd w:id="92"/>
      <w:r>
        <w:rPr>
          <w:rFonts w:hint="eastAsia"/>
          <w:szCs w:val="21"/>
          <w:lang w:val="zh-TW" w:eastAsia="zh-TW"/>
        </w:rPr>
        <w:t>用室内卫星信号模拟器和室外实际卫星信号两种检验环境。</w:t>
      </w:r>
    </w:p>
    <w:p>
      <w:pPr>
        <w:pStyle w:val="3"/>
        <w:spacing w:before="240" w:after="120"/>
      </w:pPr>
      <w:bookmarkStart w:id="52" w:name="_Toc147734709"/>
      <w:r>
        <w:rPr>
          <w:rFonts w:hint="eastAsia"/>
        </w:rPr>
        <w:t>5.2 检验场地和检验设备</w:t>
      </w:r>
      <w:bookmarkEnd w:id="52"/>
    </w:p>
    <w:p>
      <w:pPr>
        <w:spacing w:before="120" w:beforeLines="50" w:after="120" w:afterLines="50"/>
        <w:ind w:firstLine="420" w:firstLineChars="200"/>
        <w:rPr>
          <w:szCs w:val="21"/>
        </w:rPr>
      </w:pPr>
      <w:r>
        <w:rPr>
          <w:rFonts w:hint="eastAsia"/>
          <w:szCs w:val="21"/>
        </w:rPr>
        <w:t>检验场地和检验设备要求如下：</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检验场地应选择在地质构造坚固稳定、利于长期保存、交通便利的地方建设；</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检验场地的各个观测点应位于周围无显著电磁信号干扰，且点位周围环视</w:t>
      </w:r>
      <w:r>
        <w:rPr>
          <w:rFonts w:hint="eastAsia"/>
          <w:szCs w:val="21"/>
        </w:rPr>
        <w:t>的</w:t>
      </w:r>
      <w:r>
        <w:rPr>
          <w:rFonts w:hint="eastAsia"/>
          <w:szCs w:val="21"/>
          <w:lang w:val="zh-TW" w:eastAsia="zh-TW"/>
        </w:rPr>
        <w:t>高度角10°以上无障碍物，远离水面的地方；</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w:t>
      </w:r>
      <w:r>
        <w:rPr>
          <w:rFonts w:hint="eastAsia"/>
          <w:szCs w:val="21"/>
          <w:lang w:val="zh-TW"/>
        </w:rPr>
        <w:t>验</w:t>
      </w:r>
      <w:r>
        <w:rPr>
          <w:rFonts w:hint="eastAsia"/>
          <w:szCs w:val="21"/>
          <w:lang w:val="zh-TW" w:eastAsia="zh-TW"/>
        </w:rPr>
        <w:t>场地的基线距离测定精度应优于被检验设备精度指标1/3；</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检验场地的点位测定精度应优于被检验设备精度指标1/3；</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w:t>
      </w:r>
      <w:r>
        <w:rPr>
          <w:rFonts w:hint="eastAsia"/>
          <w:szCs w:val="21"/>
          <w:lang w:val="zh-TW"/>
        </w:rPr>
        <w:t>验</w:t>
      </w:r>
      <w:r>
        <w:rPr>
          <w:rFonts w:hint="eastAsia"/>
          <w:szCs w:val="21"/>
          <w:lang w:val="zh-TW" w:eastAsia="zh-TW"/>
        </w:rPr>
        <w:t>设备如卫星信号模拟源、信号转发器等应定期检</w:t>
      </w:r>
      <w:r>
        <w:rPr>
          <w:rFonts w:hint="eastAsia"/>
          <w:szCs w:val="21"/>
          <w:lang w:val="zh-TW"/>
        </w:rPr>
        <w:t>验</w:t>
      </w:r>
      <w:r>
        <w:rPr>
          <w:rFonts w:hint="eastAsia"/>
          <w:szCs w:val="21"/>
          <w:lang w:val="zh-TW" w:eastAsia="zh-TW"/>
        </w:rPr>
        <w:t>合格，并在有效期内。</w:t>
      </w:r>
    </w:p>
    <w:p>
      <w:pPr>
        <w:pStyle w:val="3"/>
        <w:spacing w:before="240" w:after="120"/>
      </w:pPr>
      <w:bookmarkStart w:id="53" w:name="_Toc147734710"/>
      <w:r>
        <w:rPr>
          <w:rFonts w:hint="eastAsia"/>
        </w:rPr>
        <w:t>5.3 结构与外观</w:t>
      </w:r>
      <w:bookmarkEnd w:id="53"/>
    </w:p>
    <w:p>
      <w:pPr>
        <w:spacing w:before="120" w:beforeLines="50" w:after="120" w:afterLines="50"/>
        <w:ind w:firstLine="420" w:firstLineChars="200"/>
        <w:rPr>
          <w:szCs w:val="21"/>
        </w:rPr>
      </w:pPr>
      <w:r>
        <w:rPr>
          <w:rFonts w:hint="eastAsia"/>
          <w:szCs w:val="21"/>
        </w:rPr>
        <w:t>结构与外观检验方法如下：</w:t>
      </w:r>
    </w:p>
    <w:p>
      <w:pPr>
        <w:numPr>
          <w:ilvl w:val="0"/>
          <w:numId w:val="19"/>
        </w:numPr>
        <w:spacing w:before="120" w:beforeLines="50" w:after="120" w:afterLines="50"/>
        <w:ind w:firstLine="420" w:firstLineChars="200"/>
        <w:rPr>
          <w:szCs w:val="21"/>
          <w:lang w:val="zh-TW" w:eastAsia="zh-TW"/>
        </w:rPr>
      </w:pPr>
      <w:r>
        <w:rPr>
          <w:rFonts w:hint="eastAsia"/>
          <w:szCs w:val="21"/>
          <w:lang w:val="zh-TW"/>
        </w:rPr>
        <w:t>目</w:t>
      </w:r>
      <w:r>
        <w:rPr>
          <w:rFonts w:hint="eastAsia"/>
          <w:szCs w:val="21"/>
          <w:lang w:val="zh-TW" w:eastAsia="zh-TW"/>
        </w:rPr>
        <w:t>测接收机的结构是否完备；</w:t>
      </w:r>
    </w:p>
    <w:p>
      <w:pPr>
        <w:numPr>
          <w:ilvl w:val="0"/>
          <w:numId w:val="19"/>
        </w:numPr>
        <w:spacing w:before="120" w:beforeLines="50" w:after="120" w:afterLines="50"/>
        <w:ind w:firstLine="420" w:firstLineChars="200"/>
        <w:rPr>
          <w:szCs w:val="21"/>
          <w:lang w:val="zh-TW" w:eastAsia="zh-TW"/>
        </w:rPr>
      </w:pPr>
      <w:r>
        <w:rPr>
          <w:rFonts w:hint="eastAsia"/>
          <w:szCs w:val="21"/>
          <w:lang w:val="zh-CN"/>
        </w:rPr>
        <w:t>目测</w:t>
      </w:r>
      <w:r>
        <w:rPr>
          <w:rFonts w:hint="eastAsia"/>
          <w:szCs w:val="21"/>
          <w:lang w:val="zh-TW" w:eastAsia="zh-TW"/>
        </w:rPr>
        <w:t>接收机各连接部件的连接是否稳定可靠；</w:t>
      </w:r>
    </w:p>
    <w:p>
      <w:pPr>
        <w:numPr>
          <w:ilvl w:val="0"/>
          <w:numId w:val="19"/>
        </w:numPr>
        <w:spacing w:before="120" w:beforeLines="50" w:after="120" w:afterLines="50"/>
        <w:ind w:firstLine="420" w:firstLineChars="200"/>
        <w:rPr>
          <w:szCs w:val="21"/>
          <w:lang w:val="zh-TW" w:eastAsia="zh-TW"/>
        </w:rPr>
      </w:pPr>
      <w:r>
        <w:rPr>
          <w:rFonts w:hint="eastAsia"/>
          <w:szCs w:val="21"/>
          <w:lang w:val="zh-TW" w:eastAsia="zh-TW"/>
        </w:rPr>
        <w:t>目测接收机表面是否有划痕、裂缝和变形；</w:t>
      </w:r>
    </w:p>
    <w:p>
      <w:pPr>
        <w:numPr>
          <w:ilvl w:val="0"/>
          <w:numId w:val="19"/>
        </w:numPr>
        <w:spacing w:before="120" w:beforeLines="50" w:after="120" w:afterLines="50"/>
        <w:ind w:firstLine="420" w:firstLineChars="200"/>
        <w:rPr>
          <w:szCs w:val="21"/>
          <w:lang w:val="zh-TW" w:eastAsia="zh-TW"/>
        </w:rPr>
      </w:pPr>
      <w:r>
        <w:rPr>
          <w:rFonts w:hint="eastAsia"/>
          <w:szCs w:val="21"/>
          <w:lang w:val="zh-TW" w:eastAsia="zh-TW"/>
        </w:rPr>
        <w:t>实际操作检查接收机外壳是否具</w:t>
      </w:r>
      <w:r>
        <w:rPr>
          <w:rFonts w:hint="eastAsia"/>
          <w:szCs w:val="21"/>
          <w:lang w:val="zh-TW"/>
        </w:rPr>
        <w:t>有</w:t>
      </w:r>
      <w:r>
        <w:rPr>
          <w:rFonts w:hint="eastAsia"/>
          <w:szCs w:val="21"/>
          <w:lang w:val="zh-TW" w:eastAsia="zh-TW"/>
        </w:rPr>
        <w:t>一定的刚度和强度；</w:t>
      </w:r>
    </w:p>
    <w:p>
      <w:pPr>
        <w:numPr>
          <w:ilvl w:val="0"/>
          <w:numId w:val="19"/>
        </w:numPr>
        <w:spacing w:before="120" w:beforeLines="50" w:after="120" w:afterLines="50"/>
        <w:ind w:firstLine="420" w:firstLineChars="200"/>
        <w:rPr>
          <w:szCs w:val="21"/>
          <w:lang w:val="zh-TW" w:eastAsia="zh-TW"/>
        </w:rPr>
      </w:pPr>
      <w:r>
        <w:rPr>
          <w:rFonts w:hint="eastAsia"/>
          <w:szCs w:val="21"/>
          <w:lang w:val="zh-TW" w:eastAsia="zh-TW"/>
        </w:rPr>
        <w:t>实际操作</w:t>
      </w:r>
      <w:r>
        <w:rPr>
          <w:rFonts w:hint="eastAsia"/>
          <w:szCs w:val="21"/>
          <w:lang w:val="en-US" w:eastAsia="zh-CN"/>
        </w:rPr>
        <w:t>检查</w:t>
      </w:r>
      <w:r>
        <w:rPr>
          <w:rFonts w:hint="eastAsia"/>
          <w:szCs w:val="21"/>
          <w:lang w:val="zh-TW" w:eastAsia="zh-TW"/>
        </w:rPr>
        <w:t>各按键反应是否灵敏、功能是否正常。</w:t>
      </w:r>
    </w:p>
    <w:p>
      <w:pPr>
        <w:pStyle w:val="3"/>
        <w:spacing w:before="240" w:after="120"/>
      </w:pPr>
      <w:bookmarkStart w:id="54" w:name="_Toc147734711"/>
      <w:r>
        <w:rPr>
          <w:rFonts w:hint="eastAsia"/>
        </w:rPr>
        <w:t>5.4 电气</w:t>
      </w:r>
      <w:bookmarkEnd w:id="54"/>
    </w:p>
    <w:p>
      <w:pPr>
        <w:spacing w:before="120" w:beforeLines="50" w:after="120" w:afterLines="50"/>
        <w:ind w:firstLine="420" w:firstLineChars="200"/>
        <w:rPr>
          <w:szCs w:val="21"/>
        </w:rPr>
      </w:pPr>
      <w:r>
        <w:rPr>
          <w:rFonts w:hint="eastAsia"/>
          <w:szCs w:val="21"/>
        </w:rPr>
        <w:t>电气检验方法如下：</w:t>
      </w:r>
    </w:p>
    <w:p>
      <w:pPr>
        <w:numPr>
          <w:ilvl w:val="0"/>
          <w:numId w:val="20"/>
        </w:numPr>
        <w:spacing w:before="120" w:beforeLines="50" w:after="120" w:afterLines="50"/>
        <w:ind w:firstLine="420" w:firstLineChars="200"/>
        <w:rPr>
          <w:szCs w:val="21"/>
          <w:lang w:val="zh-TW"/>
        </w:rPr>
      </w:pPr>
      <w:r>
        <w:rPr>
          <w:rFonts w:hint="eastAsia"/>
          <w:szCs w:val="21"/>
          <w:lang w:val="zh-TW"/>
        </w:rPr>
        <w:t>实际操作检查接收机是否具有通电自检测功能；</w:t>
      </w:r>
    </w:p>
    <w:p>
      <w:pPr>
        <w:numPr>
          <w:ilvl w:val="0"/>
          <w:numId w:val="20"/>
        </w:numPr>
        <w:spacing w:before="120" w:beforeLines="50" w:after="120" w:afterLines="50"/>
        <w:ind w:firstLine="420" w:firstLineChars="200"/>
        <w:rPr>
          <w:szCs w:val="21"/>
          <w:lang w:val="zh-TW"/>
        </w:rPr>
      </w:pPr>
      <w:r>
        <w:rPr>
          <w:rFonts w:hint="eastAsia"/>
          <w:szCs w:val="21"/>
          <w:lang w:val="zh-TW"/>
        </w:rPr>
        <w:t>实际操作接收机是否支持外接电源接入；</w:t>
      </w:r>
    </w:p>
    <w:p>
      <w:pPr>
        <w:numPr>
          <w:ilvl w:val="0"/>
          <w:numId w:val="20"/>
        </w:numPr>
        <w:spacing w:before="120" w:beforeLines="50" w:after="120" w:afterLines="50"/>
        <w:ind w:firstLine="420" w:firstLineChars="200"/>
        <w:rPr>
          <w:szCs w:val="21"/>
          <w:lang w:val="zh-TW"/>
        </w:rPr>
      </w:pPr>
      <w:r>
        <w:rPr>
          <w:rFonts w:hint="eastAsia"/>
          <w:szCs w:val="21"/>
          <w:lang w:val="zh-TW"/>
        </w:rPr>
        <w:t>接收机进行静态测量直至内置电池耗尽，记录其连续工作时间；接收机进行</w:t>
      </w:r>
      <w:r>
        <w:rPr>
          <w:rFonts w:hint="eastAsia"/>
          <w:szCs w:val="21"/>
        </w:rPr>
        <w:t>RTK</w:t>
      </w:r>
      <w:r>
        <w:rPr>
          <w:rFonts w:hint="eastAsia"/>
          <w:szCs w:val="21"/>
          <w:lang w:val="zh-TW"/>
        </w:rPr>
        <w:t>测量直至内置电池耗尽，记录其连续工作时间；</w:t>
      </w:r>
    </w:p>
    <w:p>
      <w:pPr>
        <w:numPr>
          <w:ilvl w:val="0"/>
          <w:numId w:val="20"/>
        </w:numPr>
        <w:spacing w:before="120" w:beforeLines="50" w:after="120" w:afterLines="50"/>
        <w:ind w:firstLine="420" w:firstLineChars="200"/>
        <w:rPr>
          <w:szCs w:val="21"/>
          <w:lang w:val="zh-TW"/>
        </w:rPr>
      </w:pPr>
      <w:r>
        <w:rPr>
          <w:rFonts w:hint="eastAsia"/>
          <w:szCs w:val="21"/>
          <w:lang w:val="zh-TW"/>
        </w:rPr>
        <w:t>分别升高和降低电源电压</w:t>
      </w:r>
      <w:r>
        <w:rPr>
          <w:rFonts w:hint="eastAsia"/>
          <w:szCs w:val="21"/>
          <w:lang w:val="zh-CN"/>
        </w:rPr>
        <w:t>，检查</w:t>
      </w:r>
      <w:r>
        <w:rPr>
          <w:rFonts w:hint="eastAsia"/>
          <w:szCs w:val="21"/>
          <w:lang w:val="zh-TW"/>
        </w:rPr>
        <w:t>接收机是否具有电源电压过高保护和过低报警显示功能；</w:t>
      </w:r>
    </w:p>
    <w:p>
      <w:pPr>
        <w:numPr>
          <w:ilvl w:val="0"/>
          <w:numId w:val="20"/>
        </w:numPr>
        <w:spacing w:before="120" w:beforeLines="50" w:after="120" w:afterLines="50"/>
        <w:ind w:firstLine="420" w:firstLineChars="200"/>
        <w:rPr>
          <w:szCs w:val="21"/>
          <w:lang w:val="zh-TW"/>
        </w:rPr>
      </w:pPr>
      <w:r>
        <w:rPr>
          <w:rFonts w:hint="eastAsia"/>
          <w:szCs w:val="21"/>
          <w:lang w:val="zh-TW"/>
        </w:rPr>
        <w:t>接收机在标称电压下正常工作，将电压先后降低和升高10%，分别维持20</w:t>
      </w:r>
      <w:r>
        <w:rPr>
          <w:rFonts w:hint="eastAsia"/>
          <w:szCs w:val="21"/>
        </w:rPr>
        <w:t>min，</w:t>
      </w:r>
      <w:r>
        <w:rPr>
          <w:rFonts w:hint="eastAsia"/>
          <w:szCs w:val="21"/>
          <w:lang w:val="zh-TW"/>
        </w:rPr>
        <w:t>检查接收机是否能正常定位；</w:t>
      </w:r>
    </w:p>
    <w:p>
      <w:pPr>
        <w:numPr>
          <w:ilvl w:val="0"/>
          <w:numId w:val="20"/>
        </w:numPr>
        <w:spacing w:before="120" w:beforeLines="50" w:after="120" w:afterLines="50"/>
        <w:ind w:firstLine="420" w:firstLineChars="200"/>
        <w:rPr>
          <w:szCs w:val="21"/>
          <w:lang w:val="zh-TW"/>
        </w:rPr>
      </w:pPr>
      <w:r>
        <w:rPr>
          <w:rFonts w:hint="eastAsia"/>
          <w:szCs w:val="21"/>
          <w:lang w:val="zh-TW"/>
        </w:rPr>
        <w:t>接收机连接功耗测试仪，记录其连续工作平均功耗。</w:t>
      </w:r>
    </w:p>
    <w:p>
      <w:pPr>
        <w:pStyle w:val="3"/>
        <w:spacing w:before="240" w:after="120"/>
      </w:pPr>
      <w:bookmarkStart w:id="55" w:name="_Toc147734712"/>
      <w:r>
        <w:rPr>
          <w:rFonts w:hint="eastAsia"/>
        </w:rPr>
        <w:t>5.5 设置及显示</w:t>
      </w:r>
      <w:bookmarkEnd w:id="55"/>
    </w:p>
    <w:p>
      <w:pPr>
        <w:spacing w:before="120" w:beforeLines="50" w:after="120" w:afterLines="50"/>
        <w:ind w:firstLine="420" w:firstLineChars="200"/>
        <w:rPr>
          <w:szCs w:val="21"/>
        </w:rPr>
      </w:pPr>
      <w:r>
        <w:rPr>
          <w:rFonts w:hint="eastAsia"/>
          <w:szCs w:val="21"/>
        </w:rPr>
        <w:t>设置及显示检验方法如下：</w:t>
      </w:r>
    </w:p>
    <w:p>
      <w:pPr>
        <w:numPr>
          <w:ilvl w:val="0"/>
          <w:numId w:val="21"/>
        </w:numPr>
        <w:spacing w:before="120" w:beforeLines="50" w:after="120" w:afterLines="50"/>
        <w:ind w:firstLine="420" w:firstLineChars="200"/>
        <w:rPr>
          <w:szCs w:val="21"/>
        </w:rPr>
      </w:pPr>
      <w:r>
        <w:rPr>
          <w:rFonts w:hint="eastAsia"/>
          <w:szCs w:val="21"/>
        </w:rPr>
        <w:t>实际操作检查接收机是否具有1Hz的采样能力，能否根据需要进行参数设置；</w:t>
      </w:r>
    </w:p>
    <w:p>
      <w:pPr>
        <w:numPr>
          <w:ilvl w:val="0"/>
          <w:numId w:val="21"/>
        </w:numPr>
        <w:spacing w:before="120" w:beforeLines="50" w:after="120" w:afterLines="50"/>
        <w:ind w:firstLine="420" w:firstLineChars="200"/>
        <w:rPr>
          <w:szCs w:val="21"/>
        </w:rPr>
      </w:pPr>
      <w:r>
        <w:rPr>
          <w:rFonts w:hint="eastAsia"/>
          <w:szCs w:val="21"/>
        </w:rPr>
        <w:t>按照产品使用说明书要求检查接收机信息显示或提示功能是否完备。</w:t>
      </w:r>
    </w:p>
    <w:p>
      <w:pPr>
        <w:pStyle w:val="3"/>
        <w:spacing w:before="240" w:after="120"/>
      </w:pPr>
      <w:bookmarkStart w:id="56" w:name="_Toc147734713"/>
      <w:r>
        <w:rPr>
          <w:rFonts w:hint="eastAsia"/>
        </w:rPr>
        <w:t>5.6 接口与输出</w:t>
      </w:r>
      <w:bookmarkEnd w:id="56"/>
    </w:p>
    <w:p>
      <w:pPr>
        <w:spacing w:before="120" w:beforeLines="50" w:after="120" w:afterLines="50"/>
        <w:ind w:firstLine="420" w:firstLineChars="200"/>
        <w:rPr>
          <w:szCs w:val="21"/>
        </w:rPr>
      </w:pPr>
      <w:r>
        <w:rPr>
          <w:rFonts w:hint="eastAsia"/>
          <w:szCs w:val="21"/>
        </w:rPr>
        <w:t>接口与输出检验方法如下：</w:t>
      </w:r>
    </w:p>
    <w:p>
      <w:pPr>
        <w:numPr>
          <w:ilvl w:val="0"/>
          <w:numId w:val="22"/>
        </w:numPr>
        <w:spacing w:before="120" w:beforeLines="50" w:after="120" w:afterLines="50"/>
        <w:ind w:firstLine="420" w:firstLineChars="200"/>
        <w:rPr>
          <w:szCs w:val="21"/>
        </w:rPr>
      </w:pPr>
      <w:r>
        <w:rPr>
          <w:rFonts w:hint="eastAsia"/>
          <w:szCs w:val="21"/>
        </w:rPr>
        <w:t>目测用于参考站的接收机是否具有电源接口、天线接口、串行数据接口等；</w:t>
      </w:r>
    </w:p>
    <w:p>
      <w:pPr>
        <w:numPr>
          <w:ilvl w:val="0"/>
          <w:numId w:val="22"/>
        </w:numPr>
        <w:spacing w:before="120" w:beforeLines="50" w:after="120" w:afterLines="50"/>
        <w:ind w:firstLine="420" w:firstLineChars="200"/>
        <w:rPr>
          <w:szCs w:val="21"/>
        </w:rPr>
      </w:pPr>
      <w:r>
        <w:rPr>
          <w:rFonts w:hint="eastAsia"/>
          <w:szCs w:val="21"/>
        </w:rPr>
        <w:t>实际操作检查接收机能否把记录的观测数据输出到外部设备；</w:t>
      </w:r>
    </w:p>
    <w:p>
      <w:pPr>
        <w:numPr>
          <w:ilvl w:val="0"/>
          <w:numId w:val="22"/>
        </w:numPr>
        <w:spacing w:before="120" w:beforeLines="50" w:after="120" w:afterLines="50"/>
        <w:ind w:firstLine="420" w:firstLineChars="200"/>
        <w:rPr>
          <w:szCs w:val="21"/>
        </w:rPr>
      </w:pPr>
      <w:r>
        <w:rPr>
          <w:rFonts w:hint="eastAsia"/>
          <w:szCs w:val="21"/>
        </w:rPr>
        <w:t>实际操作检</w:t>
      </w:r>
      <w:r>
        <w:rPr>
          <w:rFonts w:hint="eastAsia"/>
          <w:szCs w:val="21"/>
          <w:lang w:val="en-US" w:eastAsia="zh-CN"/>
        </w:rPr>
        <w:t>查</w:t>
      </w:r>
      <w:r>
        <w:rPr>
          <w:rFonts w:hint="eastAsia"/>
          <w:szCs w:val="21"/>
        </w:rPr>
        <w:t>接收机数据输出频率不低于1Hz。</w:t>
      </w:r>
    </w:p>
    <w:p>
      <w:pPr>
        <w:pStyle w:val="3"/>
        <w:spacing w:before="240" w:after="120"/>
      </w:pPr>
      <w:bookmarkStart w:id="57" w:name="_Toc147734714"/>
      <w:r>
        <w:rPr>
          <w:rFonts w:hint="eastAsia"/>
        </w:rPr>
        <w:t>5.7 数据存储</w:t>
      </w:r>
      <w:bookmarkEnd w:id="57"/>
    </w:p>
    <w:p>
      <w:pPr>
        <w:spacing w:before="120" w:beforeLines="50" w:after="120" w:afterLines="50"/>
        <w:ind w:firstLine="420" w:firstLineChars="200"/>
      </w:pPr>
      <w:r>
        <w:rPr>
          <w:color w:val="000000"/>
        </w:rPr>
        <w:t>数据存储检验方法如下：</w:t>
      </w:r>
    </w:p>
    <w:p>
      <w:pPr>
        <w:numPr>
          <w:ilvl w:val="0"/>
          <w:numId w:val="23"/>
        </w:numPr>
        <w:spacing w:before="120" w:beforeLines="50" w:after="120" w:afterLines="50"/>
        <w:ind w:firstLine="420" w:firstLineChars="200"/>
        <w:rPr>
          <w:szCs w:val="21"/>
        </w:rPr>
      </w:pPr>
      <w:r>
        <w:rPr>
          <w:rFonts w:hint="eastAsia"/>
          <w:szCs w:val="21"/>
        </w:rPr>
        <w:t>将接收机的</w:t>
      </w:r>
      <w:r>
        <w:rPr>
          <w:rFonts w:hint="eastAsia"/>
          <w:szCs w:val="21"/>
          <w:lang w:val="en-US" w:eastAsia="zh-CN"/>
        </w:rPr>
        <w:t>采样</w:t>
      </w:r>
      <w:r>
        <w:rPr>
          <w:rFonts w:hint="eastAsia"/>
          <w:szCs w:val="21"/>
        </w:rPr>
        <w:t>间隔设置为1s，卫星截止高度角设定为10°，进行静态测量，观测1h。根据采集到的观测数据文件大小和接收机内存大小计算接收机可存储的数据量。</w:t>
      </w:r>
    </w:p>
    <w:p>
      <w:pPr>
        <w:numPr>
          <w:ilvl w:val="0"/>
          <w:numId w:val="23"/>
        </w:numPr>
        <w:spacing w:before="120" w:beforeLines="50" w:after="120" w:afterLines="50"/>
        <w:ind w:firstLine="420" w:firstLineChars="200"/>
        <w:rPr>
          <w:szCs w:val="21"/>
        </w:rPr>
      </w:pPr>
      <w:r>
        <w:rPr>
          <w:rFonts w:hint="eastAsia"/>
          <w:szCs w:val="21"/>
        </w:rPr>
        <w:t>在接收机正常进行静态测量时切断供电，检查接收机是否有效存储断电前的观测数据。</w:t>
      </w:r>
    </w:p>
    <w:p>
      <w:pPr>
        <w:pStyle w:val="3"/>
        <w:spacing w:before="240" w:after="120"/>
      </w:pPr>
      <w:bookmarkStart w:id="58" w:name="_Toc147734715"/>
      <w:r>
        <w:rPr>
          <w:rFonts w:hint="eastAsia"/>
        </w:rPr>
        <w:t>5.8 信号接收性能</w:t>
      </w:r>
      <w:bookmarkEnd w:id="58"/>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5.8.1 单北斗系统工作能力</w:t>
      </w:r>
    </w:p>
    <w:p>
      <w:pPr>
        <w:spacing w:before="120" w:beforeLines="50" w:after="120" w:afterLines="50"/>
        <w:ind w:firstLine="420" w:firstLineChars="200"/>
        <w:rPr>
          <w:color w:val="000000"/>
        </w:rPr>
      </w:pPr>
      <w:r>
        <w:rPr>
          <w:color w:val="000000"/>
        </w:rPr>
        <w:t>单北斗系统工作能力检验方法如下：</w:t>
      </w:r>
    </w:p>
    <w:p>
      <w:pPr>
        <w:spacing w:before="120" w:beforeLines="50" w:after="120" w:afterLines="50"/>
        <w:ind w:left="420" w:firstLine="420"/>
        <w:rPr>
          <w:szCs w:val="21"/>
        </w:rPr>
      </w:pPr>
      <w:r>
        <w:rPr>
          <w:rFonts w:hint="eastAsia"/>
          <w:szCs w:val="21"/>
        </w:rPr>
        <w:t>使用实际卫星信号或卫星信号模拟器进行定位检验，数据链路仅播发北斗数据，测量精度应满足5.11.1的要求；</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5.8.2 卫星跟踪能力</w:t>
      </w:r>
    </w:p>
    <w:p>
      <w:pPr>
        <w:spacing w:before="120" w:beforeLines="50" w:after="120" w:afterLines="50"/>
        <w:ind w:firstLine="420" w:firstLineChars="200"/>
        <w:rPr>
          <w:color w:val="000000"/>
        </w:rPr>
      </w:pPr>
      <w:r>
        <w:rPr>
          <w:color w:val="000000"/>
        </w:rPr>
        <w:t>使用卫星信号模拟器检验，设置模拟信号输出功率电平为</w:t>
      </w:r>
      <w:r>
        <w:rPr>
          <w:rFonts w:hint="eastAsia"/>
          <w:color w:val="000000"/>
        </w:rPr>
        <w:t>-</w:t>
      </w:r>
      <w:r>
        <w:rPr>
          <w:color w:val="000000"/>
        </w:rPr>
        <w:t>128dBm</w:t>
      </w:r>
      <w:r>
        <w:rPr>
          <w:rFonts w:hint="eastAsia"/>
          <w:color w:val="000000"/>
        </w:rPr>
        <w:t>，</w:t>
      </w:r>
      <w:r>
        <w:rPr>
          <w:color w:val="000000"/>
        </w:rPr>
        <w:t>通过接收机连接软件</w:t>
      </w:r>
      <w:r>
        <w:rPr>
          <w:rFonts w:hint="eastAsia"/>
          <w:color w:val="000000"/>
        </w:rPr>
        <w:t>查</w:t>
      </w:r>
      <w:r>
        <w:rPr>
          <w:color w:val="000000"/>
        </w:rPr>
        <w:t>看接收机收到卫星信号</w:t>
      </w:r>
      <w:r>
        <w:rPr>
          <w:rFonts w:hint="eastAsia"/>
          <w:color w:val="000000"/>
        </w:rPr>
        <w:t>频</w:t>
      </w:r>
      <w:r>
        <w:rPr>
          <w:color w:val="000000"/>
        </w:rPr>
        <w:t>点及观测值类型，观察并记录接收机的跟踪卫星个数。</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5.8.3 捕获灵敏度</w:t>
      </w:r>
    </w:p>
    <w:p>
      <w:pPr>
        <w:spacing w:before="120" w:beforeLines="50" w:after="120" w:afterLines="50"/>
        <w:ind w:firstLine="420" w:firstLineChars="200"/>
        <w:rPr>
          <w:color w:val="000000"/>
        </w:rPr>
      </w:pPr>
      <w:r>
        <w:rPr>
          <w:color w:val="000000"/>
        </w:rPr>
        <w:t>使用卫星信号模拟器检</w:t>
      </w:r>
      <w:r>
        <w:rPr>
          <w:rFonts w:hint="eastAsia"/>
          <w:color w:val="000000"/>
        </w:rPr>
        <w:t>验</w:t>
      </w:r>
      <w:r>
        <w:rPr>
          <w:color w:val="000000"/>
        </w:rPr>
        <w:t>，设置模拟器仿真速度不高于2m/s的直线运动用户轨迹。毎次设置模拟器输出的各颗卫星的每一通道信号电平从接收机不能捕获信号的状态开始，以1dB步进增加，若接收机的技术文件声明了捕获灵敏度量值，</w:t>
      </w:r>
      <w:r>
        <w:rPr>
          <w:rFonts w:hint="eastAsia"/>
          <w:color w:val="000000"/>
        </w:rPr>
        <w:t>且</w:t>
      </w:r>
      <w:r>
        <w:rPr>
          <w:color w:val="000000"/>
        </w:rPr>
        <w:t>优于4.6.3要求的电平值，可从其声明的捕获灵敏度量值低21dB的电平值开始。在模拟器输出信号的每个电平值下</w:t>
      </w:r>
      <w:r>
        <w:rPr>
          <w:rFonts w:hint="eastAsia"/>
          <w:color w:val="000000"/>
        </w:rPr>
        <w:t>，</w:t>
      </w:r>
      <w:r>
        <w:rPr>
          <w:color w:val="000000"/>
        </w:rPr>
        <w:t>接收机在冷启动状态下开机</w:t>
      </w:r>
      <w:r>
        <w:rPr>
          <w:rFonts w:hint="eastAsia"/>
          <w:color w:val="000000"/>
        </w:rPr>
        <w:t>，</w:t>
      </w:r>
      <w:r>
        <w:rPr>
          <w:color w:val="000000"/>
        </w:rPr>
        <w:t>检</w:t>
      </w:r>
      <w:r>
        <w:rPr>
          <w:rFonts w:hint="eastAsia"/>
          <w:color w:val="000000"/>
        </w:rPr>
        <w:t>验</w:t>
      </w:r>
      <w:r>
        <w:rPr>
          <w:color w:val="000000"/>
        </w:rPr>
        <w:t>接收机能否在300s内捕获信号，并以1Hz的</w:t>
      </w:r>
      <w:r>
        <w:rPr>
          <w:rFonts w:hint="eastAsia"/>
          <w:color w:val="000000"/>
        </w:rPr>
        <w:t>更</w:t>
      </w:r>
      <w:r>
        <w:rPr>
          <w:color w:val="000000"/>
        </w:rPr>
        <w:t>新率连续10次输出三维定位偏差小于100m的定位数据</w:t>
      </w:r>
      <w:r>
        <w:rPr>
          <w:rFonts w:hint="eastAsia"/>
          <w:color w:val="000000"/>
          <w:lang w:val="zh-CN"/>
        </w:rPr>
        <w:t>，</w:t>
      </w:r>
      <w:r>
        <w:rPr>
          <w:color w:val="000000"/>
          <w:lang w:val="zh-CN"/>
        </w:rPr>
        <w:t>找出</w:t>
      </w:r>
      <w:r>
        <w:rPr>
          <w:color w:val="000000"/>
        </w:rPr>
        <w:t>能够使接收机满足该定位要求的最低电平值。</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5.8.4 跟踪灵敏度</w:t>
      </w:r>
    </w:p>
    <w:p>
      <w:pPr>
        <w:spacing w:before="120" w:beforeLines="50" w:after="120" w:afterLines="50"/>
        <w:ind w:firstLine="420" w:firstLineChars="200"/>
        <w:rPr>
          <w:color w:val="000000"/>
        </w:rPr>
      </w:pPr>
      <w:r>
        <w:rPr>
          <w:color w:val="000000"/>
        </w:rPr>
        <w:t>使用卫星信号模拟器检</w:t>
      </w:r>
      <w:r>
        <w:rPr>
          <w:rFonts w:hint="eastAsia"/>
          <w:color w:val="000000"/>
        </w:rPr>
        <w:t>验</w:t>
      </w:r>
      <w:r>
        <w:rPr>
          <w:color w:val="000000"/>
        </w:rPr>
        <w:t>，设置模拟器仿真速度不高于2m/s的直线运动用户轨迹。在接收机正常定位的情况下</w:t>
      </w:r>
      <w:r>
        <w:rPr>
          <w:rFonts w:hint="eastAsia"/>
          <w:color w:val="000000"/>
          <w:lang w:val="zh-CN"/>
        </w:rPr>
        <w:t>，</w:t>
      </w:r>
      <w:r>
        <w:rPr>
          <w:color w:val="000000"/>
          <w:lang w:val="zh-CN"/>
        </w:rPr>
        <w:t>设</w:t>
      </w:r>
      <w:r>
        <w:rPr>
          <w:color w:val="000000"/>
        </w:rPr>
        <w:t>置模拟器输出的各颗卫星的各通道信号电平以1dB步进降低。在模拟器输出信号的每个电平值下，检验接收机能否在300s内连续以1Hz的更新率连续10次输出三维定位误差小于100m的定位数据</w:t>
      </w:r>
      <w:r>
        <w:rPr>
          <w:rFonts w:hint="eastAsia"/>
          <w:color w:val="000000"/>
        </w:rPr>
        <w:t>，</w:t>
      </w:r>
      <w:r>
        <w:rPr>
          <w:color w:val="000000"/>
        </w:rPr>
        <w:t>找出能够使接收机满足该定位要求的最低电平值。</w:t>
      </w:r>
    </w:p>
    <w:p>
      <w:pPr>
        <w:pStyle w:val="3"/>
        <w:spacing w:before="240" w:after="120"/>
      </w:pPr>
      <w:bookmarkStart w:id="59" w:name="_Toc147734716"/>
      <w:r>
        <w:rPr>
          <w:rFonts w:hint="eastAsia"/>
        </w:rPr>
        <w:t>5.9 时间特性</w:t>
      </w:r>
      <w:bookmarkEnd w:id="59"/>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5.9.1 冷启动首次定位时间</w:t>
      </w:r>
    </w:p>
    <w:p>
      <w:pPr>
        <w:spacing w:before="120" w:beforeLines="50" w:after="120" w:afterLines="50"/>
        <w:ind w:firstLine="420" w:firstLineChars="200"/>
        <w:rPr>
          <w:color w:val="000000"/>
        </w:rPr>
      </w:pPr>
      <w:r>
        <w:rPr>
          <w:color w:val="000000"/>
        </w:rPr>
        <w:t>使用卫星信号模拟器进行检验</w:t>
      </w:r>
      <w:r>
        <w:rPr>
          <w:rFonts w:hint="eastAsia"/>
          <w:color w:val="000000"/>
        </w:rPr>
        <w:t>，</w:t>
      </w:r>
      <w:r>
        <w:rPr>
          <w:color w:val="000000"/>
        </w:rPr>
        <w:t>设置模拟器仿真速度不高于2</w:t>
      </w:r>
      <w:r>
        <w:rPr>
          <w:rFonts w:hint="eastAsia"/>
          <w:color w:val="000000"/>
        </w:rPr>
        <w:t>m</w:t>
      </w:r>
      <w:r>
        <w:rPr>
          <w:color w:val="000000"/>
        </w:rPr>
        <w:t>/s的直线运动用户轨迹</w:t>
      </w:r>
      <w:r>
        <w:rPr>
          <w:rFonts w:hint="eastAsia"/>
          <w:color w:val="000000"/>
          <w:lang w:val="zh-CN"/>
        </w:rPr>
        <w:t>，</w:t>
      </w:r>
      <w:r>
        <w:rPr>
          <w:color w:val="000000"/>
          <w:lang w:val="zh-CN"/>
        </w:rPr>
        <w:t>输</w:t>
      </w:r>
      <w:r>
        <w:rPr>
          <w:color w:val="000000"/>
        </w:rPr>
        <w:t>出功率电平为</w:t>
      </w:r>
      <w:r>
        <w:rPr>
          <w:rFonts w:hint="eastAsia"/>
          <w:color w:val="000000"/>
        </w:rPr>
        <w:t>-</w:t>
      </w:r>
      <w:r>
        <w:rPr>
          <w:color w:val="000000"/>
        </w:rPr>
        <w:t>128d</w:t>
      </w:r>
      <w:r>
        <w:rPr>
          <w:rFonts w:hint="eastAsia"/>
          <w:color w:val="000000"/>
        </w:rPr>
        <w:t>B</w:t>
      </w:r>
      <w:r>
        <w:rPr>
          <w:color w:val="000000"/>
        </w:rPr>
        <w:t>m。使接收机在下述任一种状态下开机：</w:t>
      </w:r>
    </w:p>
    <w:p>
      <w:pPr>
        <w:numPr>
          <w:ilvl w:val="0"/>
          <w:numId w:val="24"/>
        </w:numPr>
        <w:spacing w:before="120" w:beforeLines="50" w:after="120" w:afterLines="50"/>
        <w:ind w:firstLine="420" w:firstLineChars="200"/>
        <w:rPr>
          <w:szCs w:val="21"/>
        </w:rPr>
      </w:pPr>
      <w:r>
        <w:rPr>
          <w:rFonts w:hint="eastAsia"/>
          <w:szCs w:val="21"/>
        </w:rPr>
        <w:t>为接收机初始化一个距实际检验位置不少于1000km但不超过10000km的伪位置，或删除当前历书数据；</w:t>
      </w:r>
    </w:p>
    <w:p>
      <w:pPr>
        <w:numPr>
          <w:ilvl w:val="0"/>
          <w:numId w:val="24"/>
        </w:numPr>
        <w:spacing w:before="120" w:beforeLines="50" w:after="120" w:afterLines="50"/>
        <w:ind w:firstLine="420" w:firstLineChars="200"/>
        <w:rPr>
          <w:szCs w:val="21"/>
          <w:lang w:eastAsia="en-US"/>
        </w:rPr>
      </w:pPr>
      <w:r>
        <w:rPr>
          <w:rFonts w:hint="eastAsia"/>
          <w:szCs w:val="21"/>
          <w:lang w:eastAsia="en-US"/>
        </w:rPr>
        <w:t>7d以上不</w:t>
      </w:r>
      <w:r>
        <w:rPr>
          <w:rFonts w:hint="eastAsia"/>
          <w:szCs w:val="21"/>
          <w:lang w:val="zh-CN"/>
        </w:rPr>
        <w:t>加电。</w:t>
      </w:r>
    </w:p>
    <w:p>
      <w:pPr>
        <w:spacing w:before="120" w:beforeLines="50" w:after="120" w:afterLines="50"/>
        <w:ind w:firstLine="420" w:firstLineChars="200"/>
        <w:rPr>
          <w:color w:val="000000"/>
        </w:rPr>
      </w:pPr>
      <w:r>
        <w:rPr>
          <w:color w:val="000000"/>
        </w:rPr>
        <w:t>以1Hz的位置更新率连续</w:t>
      </w:r>
      <w:r>
        <w:rPr>
          <w:rFonts w:hint="eastAsia"/>
          <w:color w:val="000000"/>
        </w:rPr>
        <w:t>记</w:t>
      </w:r>
      <w:r>
        <w:rPr>
          <w:color w:val="000000"/>
        </w:rPr>
        <w:t>录输出的定位数据</w:t>
      </w:r>
      <w:r>
        <w:rPr>
          <w:rFonts w:hint="eastAsia"/>
          <w:color w:val="000000"/>
        </w:rPr>
        <w:t>，</w:t>
      </w:r>
      <w:r>
        <w:rPr>
          <w:color w:val="000000"/>
        </w:rPr>
        <w:t>找出首次连续10次输出三维定位误差不超过100m的定位数据的时刻，计算从开机至上述10个输岀时刻中第1个时刻的时间间隔。</w:t>
      </w:r>
    </w:p>
    <w:p>
      <w:pPr>
        <w:spacing w:before="120" w:beforeLines="50" w:after="120" w:afterLines="50"/>
        <w:ind w:firstLine="420" w:firstLineChars="200"/>
        <w:rPr>
          <w:color w:val="000000"/>
        </w:rPr>
      </w:pPr>
      <w:r>
        <w:rPr>
          <w:rFonts w:hint="eastAsia"/>
          <w:color w:val="000000"/>
        </w:rPr>
        <w:t>连续测试1</w:t>
      </w:r>
      <w:r>
        <w:rPr>
          <w:color w:val="000000"/>
        </w:rPr>
        <w:t>0</w:t>
      </w:r>
      <w:r>
        <w:rPr>
          <w:rFonts w:hint="eastAsia"/>
          <w:color w:val="000000"/>
        </w:rPr>
        <w:t>次，取次大值作为测试结果。</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5.9.2 温启动首次定位时间</w:t>
      </w:r>
    </w:p>
    <w:p>
      <w:pPr>
        <w:spacing w:before="120" w:beforeLines="50" w:after="120" w:afterLines="50"/>
        <w:ind w:firstLine="420" w:firstLineChars="200"/>
        <w:rPr>
          <w:color w:val="000000"/>
        </w:rPr>
      </w:pPr>
      <w:r>
        <w:rPr>
          <w:color w:val="000000"/>
        </w:rPr>
        <w:t>使用卫星信号模拟器进行检验，设置模拟器仿真速度不高于2m/s的直线运行用户轨迹</w:t>
      </w:r>
      <w:r>
        <w:rPr>
          <w:rFonts w:hint="eastAsia"/>
          <w:color w:val="000000"/>
        </w:rPr>
        <w:t>，</w:t>
      </w:r>
      <w:r>
        <w:rPr>
          <w:color w:val="000000"/>
        </w:rPr>
        <w:t>输出功率电平为</w:t>
      </w:r>
      <w:r>
        <w:rPr>
          <w:rFonts w:hint="eastAsia"/>
          <w:color w:val="000000"/>
        </w:rPr>
        <w:t>-</w:t>
      </w:r>
      <w:r>
        <w:rPr>
          <w:color w:val="000000"/>
        </w:rPr>
        <w:t>128dBm。使接收机在下述任一种状态下开机：</w:t>
      </w:r>
    </w:p>
    <w:p>
      <w:pPr>
        <w:numPr>
          <w:ilvl w:val="0"/>
          <w:numId w:val="25"/>
        </w:numPr>
        <w:spacing w:before="120" w:beforeLines="50" w:after="120" w:afterLines="50"/>
        <w:ind w:firstLine="420" w:firstLineChars="200"/>
        <w:rPr>
          <w:szCs w:val="21"/>
          <w:lang w:eastAsia="en-US"/>
        </w:rPr>
      </w:pPr>
      <w:r>
        <w:rPr>
          <w:rFonts w:hint="eastAsia"/>
          <w:szCs w:val="21"/>
          <w:lang w:eastAsia="en-US"/>
        </w:rPr>
        <w:t>删除当前星历数据；</w:t>
      </w:r>
    </w:p>
    <w:p>
      <w:pPr>
        <w:numPr>
          <w:ilvl w:val="0"/>
          <w:numId w:val="25"/>
        </w:numPr>
        <w:spacing w:before="120" w:beforeLines="50" w:after="120" w:afterLines="50"/>
        <w:ind w:firstLine="420" w:firstLineChars="200"/>
        <w:rPr>
          <w:szCs w:val="21"/>
        </w:rPr>
      </w:pPr>
      <w:r>
        <w:rPr>
          <w:rFonts w:hint="eastAsia"/>
          <w:szCs w:val="21"/>
        </w:rPr>
        <w:t>将场景启动时刻距离上次定位时刻前进或后退至少4h。</w:t>
      </w:r>
    </w:p>
    <w:p>
      <w:pPr>
        <w:spacing w:before="120" w:beforeLines="50" w:after="120" w:afterLines="50"/>
        <w:ind w:firstLine="420" w:firstLineChars="200"/>
        <w:rPr>
          <w:color w:val="000000"/>
        </w:rPr>
      </w:pPr>
      <w:r>
        <w:rPr>
          <w:color w:val="000000"/>
        </w:rPr>
        <w:t>以1Hz的位置更新率连续记录输出的定位数据</w:t>
      </w:r>
      <w:r>
        <w:rPr>
          <w:rFonts w:hint="eastAsia"/>
          <w:color w:val="000000"/>
        </w:rPr>
        <w:t>，</w:t>
      </w:r>
      <w:r>
        <w:rPr>
          <w:color w:val="000000"/>
        </w:rPr>
        <w:t>找出首次连续10次输出三</w:t>
      </w:r>
      <w:r>
        <w:rPr>
          <w:rFonts w:hint="eastAsia"/>
          <w:color w:val="000000"/>
        </w:rPr>
        <w:t>维</w:t>
      </w:r>
      <w:r>
        <w:rPr>
          <w:color w:val="000000"/>
        </w:rPr>
        <w:t>定位误差不超过100m的定位数据的时刻，计算从开机至上述10个输出时刻中第1个时刻的时间间隔。</w:t>
      </w:r>
    </w:p>
    <w:p>
      <w:pPr>
        <w:spacing w:before="120" w:beforeLines="50" w:after="120" w:afterLines="50"/>
        <w:ind w:firstLine="420" w:firstLineChars="200"/>
        <w:rPr>
          <w:color w:val="000000"/>
        </w:rPr>
      </w:pPr>
      <w:r>
        <w:rPr>
          <w:rFonts w:hint="eastAsia"/>
          <w:color w:val="000000"/>
        </w:rPr>
        <w:t>连续测试1</w:t>
      </w:r>
      <w:r>
        <w:rPr>
          <w:color w:val="000000"/>
        </w:rPr>
        <w:t>0</w:t>
      </w:r>
      <w:r>
        <w:rPr>
          <w:rFonts w:hint="eastAsia"/>
          <w:color w:val="000000"/>
        </w:rPr>
        <w:t>次，取次大值作为测试结果。</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5.9.3 热启动首次定位时间</w:t>
      </w:r>
    </w:p>
    <w:p>
      <w:pPr>
        <w:spacing w:before="120" w:beforeLines="50" w:after="120" w:afterLines="50"/>
        <w:ind w:firstLine="420" w:firstLineChars="200"/>
        <w:rPr>
          <w:color w:val="000000"/>
        </w:rPr>
      </w:pPr>
      <w:r>
        <w:rPr>
          <w:color w:val="000000"/>
        </w:rPr>
        <w:t>使用</w:t>
      </w:r>
      <w:r>
        <w:rPr>
          <w:color w:val="000000"/>
          <w:lang w:val="zh-CN"/>
        </w:rPr>
        <w:t>卫星信</w:t>
      </w:r>
      <w:r>
        <w:rPr>
          <w:color w:val="000000"/>
        </w:rPr>
        <w:t>号模拟器进行检验，设置模拟器仿真速度不高于2m/s的直线运行用户轨迹</w:t>
      </w:r>
      <w:r>
        <w:rPr>
          <w:rFonts w:hint="eastAsia"/>
          <w:color w:val="000000"/>
        </w:rPr>
        <w:t>，</w:t>
      </w:r>
      <w:r>
        <w:rPr>
          <w:color w:val="000000"/>
        </w:rPr>
        <w:t>输出功率电平为</w:t>
      </w:r>
      <w:r>
        <w:rPr>
          <w:rFonts w:hint="eastAsia"/>
          <w:color w:val="000000"/>
        </w:rPr>
        <w:t>-</w:t>
      </w:r>
      <w:r>
        <w:rPr>
          <w:color w:val="000000"/>
        </w:rPr>
        <w:t>128dBm</w:t>
      </w:r>
      <w:r>
        <w:rPr>
          <w:rFonts w:hint="eastAsia"/>
          <w:color w:val="000000"/>
        </w:rPr>
        <w:t>。</w:t>
      </w:r>
      <w:r>
        <w:rPr>
          <w:color w:val="000000"/>
        </w:rPr>
        <w:t>在接收机正常定位状态下，短时断电和卫星信号60s后，接收机重新开机</w:t>
      </w:r>
      <w:r>
        <w:rPr>
          <w:rFonts w:hint="eastAsia"/>
          <w:color w:val="000000"/>
          <w:lang w:val="zh-CN"/>
        </w:rPr>
        <w:t>，</w:t>
      </w:r>
      <w:r>
        <w:rPr>
          <w:color w:val="000000"/>
          <w:lang w:val="zh-CN"/>
        </w:rPr>
        <w:t>恢</w:t>
      </w:r>
      <w:r>
        <w:rPr>
          <w:color w:val="000000"/>
        </w:rPr>
        <w:t>复卫星信号。以1Hz的位置更新率连续记录输出的定位数据，找出首次连续10次输出三维定位误差不超过100m的定位数据的时刻，计算从接收机从卫星信号恢复至上述10个输出时刻中第1个时刻的时间</w:t>
      </w:r>
      <w:r>
        <w:rPr>
          <w:rFonts w:hint="eastAsia"/>
          <w:color w:val="000000"/>
        </w:rPr>
        <w:t>间</w:t>
      </w:r>
      <w:r>
        <w:rPr>
          <w:color w:val="000000"/>
        </w:rPr>
        <w:t>隔。</w:t>
      </w:r>
    </w:p>
    <w:p>
      <w:pPr>
        <w:spacing w:before="120" w:beforeLines="50" w:after="120" w:afterLines="50"/>
        <w:ind w:firstLine="420" w:firstLineChars="200"/>
        <w:rPr>
          <w:color w:val="000000"/>
        </w:rPr>
      </w:pPr>
      <w:r>
        <w:rPr>
          <w:rFonts w:hint="eastAsia"/>
          <w:color w:val="000000"/>
        </w:rPr>
        <w:t>连续测试1</w:t>
      </w:r>
      <w:r>
        <w:rPr>
          <w:color w:val="000000"/>
        </w:rPr>
        <w:t>0</w:t>
      </w:r>
      <w:r>
        <w:rPr>
          <w:rFonts w:hint="eastAsia"/>
          <w:color w:val="000000"/>
        </w:rPr>
        <w:t>次，取次大值作为测试结果。</w:t>
      </w:r>
    </w:p>
    <w:p>
      <w:pPr>
        <w:pStyle w:val="3"/>
        <w:spacing w:before="240" w:after="120"/>
      </w:pPr>
      <w:bookmarkStart w:id="60" w:name="_Toc147734717"/>
      <w:r>
        <w:rPr>
          <w:rFonts w:hint="eastAsia"/>
        </w:rPr>
        <w:t>5.10 内部噪声水平</w:t>
      </w:r>
      <w:bookmarkEnd w:id="60"/>
    </w:p>
    <w:p>
      <w:pPr>
        <w:spacing w:before="120" w:beforeLines="50" w:after="120" w:afterLines="50"/>
        <w:ind w:firstLine="420" w:firstLineChars="200"/>
        <w:rPr>
          <w:color w:val="000000"/>
        </w:rPr>
      </w:pPr>
      <w:r>
        <w:rPr>
          <w:color w:val="000000"/>
        </w:rPr>
        <w:t>内部噪声水平检验方法如下：</w:t>
      </w:r>
    </w:p>
    <w:p>
      <w:pPr>
        <w:spacing w:before="120" w:beforeLines="50" w:after="120" w:afterLines="50"/>
        <w:ind w:firstLine="420" w:firstLineChars="200"/>
        <w:rPr>
          <w:szCs w:val="21"/>
        </w:rPr>
      </w:pPr>
      <w:r>
        <w:rPr>
          <w:rFonts w:hint="eastAsia"/>
          <w:szCs w:val="21"/>
        </w:rPr>
        <w:t>接收机采用信号转发器，将安置在室外的设备接收到的卫星信号传送至室内</w:t>
      </w:r>
      <w:r>
        <w:rPr>
          <w:rFonts w:hint="eastAsia"/>
          <w:szCs w:val="21"/>
          <w:lang w:val="zh-CN"/>
        </w:rPr>
        <w:t>，室</w:t>
      </w:r>
      <w:r>
        <w:rPr>
          <w:rFonts w:hint="eastAsia"/>
          <w:szCs w:val="21"/>
        </w:rPr>
        <w:t>内仅接收转发器传送的信号，屏蔽掉其他室外信号，接收机在静态测量模式下连续观测不少于30min</w:t>
      </w:r>
      <w:r>
        <w:rPr>
          <w:rFonts w:hint="eastAsia"/>
          <w:szCs w:val="21"/>
          <w:lang w:val="zh-CN"/>
        </w:rPr>
        <w:t>，通</w:t>
      </w:r>
      <w:r>
        <w:rPr>
          <w:rFonts w:hint="eastAsia"/>
          <w:szCs w:val="21"/>
        </w:rPr>
        <w:t>过基线处理软件解算的基线分量和长度不应大于1mm。</w:t>
      </w:r>
    </w:p>
    <w:p>
      <w:pPr>
        <w:pStyle w:val="3"/>
        <w:spacing w:before="240" w:after="120"/>
      </w:pPr>
      <w:bookmarkStart w:id="61" w:name="_Toc147734718"/>
      <w:r>
        <w:rPr>
          <w:rFonts w:hint="eastAsia"/>
        </w:rPr>
        <w:t>5.11 测量精度</w:t>
      </w:r>
      <w:bookmarkEnd w:id="61"/>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5.11.1 静态基线测量精度</w:t>
      </w:r>
    </w:p>
    <w:p>
      <w:pPr>
        <w:spacing w:before="120" w:beforeLines="50" w:after="120" w:afterLines="50"/>
        <w:ind w:firstLine="420" w:firstLineChars="200"/>
        <w:rPr>
          <w:color w:val="000000"/>
        </w:rPr>
      </w:pPr>
      <w:r>
        <w:rPr>
          <w:color w:val="000000"/>
        </w:rPr>
        <w:t>将接收机</w:t>
      </w:r>
      <w:r>
        <w:rPr>
          <w:rFonts w:hint="eastAsia"/>
          <w:color w:val="000000"/>
        </w:rPr>
        <w:t>安置</w:t>
      </w:r>
      <w:r>
        <w:rPr>
          <w:color w:val="000000"/>
        </w:rPr>
        <w:t>在已知点位上</w:t>
      </w:r>
      <w:r>
        <w:rPr>
          <w:rFonts w:hint="eastAsia"/>
          <w:color w:val="000000"/>
          <w:lang w:val="zh-CN"/>
        </w:rPr>
        <w:t>，</w:t>
      </w:r>
      <w:r>
        <w:rPr>
          <w:color w:val="000000"/>
          <w:lang w:val="zh-CN"/>
        </w:rPr>
        <w:t>基线</w:t>
      </w:r>
      <w:r>
        <w:rPr>
          <w:rFonts w:hint="eastAsia"/>
          <w:color w:val="000000"/>
        </w:rPr>
        <w:t>长</w:t>
      </w:r>
      <w:r>
        <w:rPr>
          <w:color w:val="000000"/>
        </w:rPr>
        <w:t>度8km〜</w:t>
      </w:r>
      <w:r>
        <w:rPr>
          <w:rFonts w:hint="eastAsia"/>
          <w:color w:val="000000"/>
        </w:rPr>
        <w:t>5</w:t>
      </w:r>
      <w:r>
        <w:rPr>
          <w:color w:val="000000"/>
        </w:rPr>
        <w:t>0km</w:t>
      </w:r>
      <w:r>
        <w:rPr>
          <w:rFonts w:hint="eastAsia"/>
          <w:color w:val="000000"/>
        </w:rPr>
        <w:t>，</w:t>
      </w:r>
      <w:r>
        <w:rPr>
          <w:color w:val="000000"/>
        </w:rPr>
        <w:t>观测四个时段</w:t>
      </w:r>
      <w:r>
        <w:rPr>
          <w:rFonts w:hint="eastAsia"/>
          <w:color w:val="000000"/>
          <w:lang w:val="zh-CN"/>
        </w:rPr>
        <w:t>，</w:t>
      </w:r>
      <w:r>
        <w:rPr>
          <w:color w:val="000000"/>
          <w:lang w:val="zh-CN"/>
        </w:rPr>
        <w:t>每</w:t>
      </w:r>
      <w:r>
        <w:rPr>
          <w:color w:val="000000"/>
        </w:rPr>
        <w:t>个时段的观测时</w:t>
      </w:r>
      <w:r>
        <w:rPr>
          <w:rFonts w:hint="eastAsia"/>
          <w:color w:val="000000"/>
        </w:rPr>
        <w:t>间</w:t>
      </w:r>
      <w:r>
        <w:rPr>
          <w:color w:val="000000"/>
        </w:rPr>
        <w:t>不应少于30min</w:t>
      </w:r>
      <w:r>
        <w:rPr>
          <w:rFonts w:hint="eastAsia"/>
          <w:color w:val="000000"/>
        </w:rPr>
        <w:t>，</w:t>
      </w:r>
      <w:r>
        <w:rPr>
          <w:color w:val="000000"/>
        </w:rPr>
        <w:t>设置卫星截止高度角不大于15°</w:t>
      </w:r>
      <w:r>
        <w:rPr>
          <w:rFonts w:hint="eastAsia"/>
          <w:color w:val="000000"/>
        </w:rPr>
        <w:t>，</w:t>
      </w:r>
      <w:r>
        <w:rPr>
          <w:color w:val="000000"/>
        </w:rPr>
        <w:t>采样间隔不大于15s</w:t>
      </w:r>
      <w:r>
        <w:rPr>
          <w:rFonts w:hint="eastAsia"/>
          <w:color w:val="000000"/>
        </w:rPr>
        <w:t>，</w:t>
      </w:r>
      <w:r>
        <w:rPr>
          <w:color w:val="000000"/>
        </w:rPr>
        <w:t>按式（</w:t>
      </w:r>
      <w:r>
        <w:rPr>
          <w:rFonts w:hint="eastAsia"/>
          <w:color w:val="000000"/>
        </w:rPr>
        <w:t>2</w:t>
      </w:r>
      <w:r>
        <w:rPr>
          <w:color w:val="000000"/>
        </w:rPr>
        <w:t>）、式（</w:t>
      </w:r>
      <w:r>
        <w:rPr>
          <w:rFonts w:hint="eastAsia"/>
          <w:color w:val="000000"/>
        </w:rPr>
        <w:t>3</w:t>
      </w:r>
      <w:r>
        <w:rPr>
          <w:color w:val="000000"/>
        </w:rPr>
        <w:t>）计算的静态基线测量精度应优于接收机静态基线的标称测量精度：</w:t>
      </w:r>
    </w:p>
    <w:p>
      <w:pPr>
        <w:spacing w:before="120" w:beforeLines="50" w:after="120" w:afterLines="50"/>
        <w:ind w:firstLine="420" w:firstLineChars="200"/>
        <w:jc w:val="right"/>
        <w:rPr>
          <w:color w:val="000000"/>
          <w:lang w:val="zh-TW" w:eastAsia="zh-TW"/>
        </w:rPr>
      </w:pPr>
      <w:r>
        <w:rPr>
          <w:rFonts w:hint="eastAsia"/>
          <w:color w:val="000000"/>
          <w:position w:val="-32"/>
        </w:rPr>
        <w:object>
          <v:shape id="_x0000_i1033" o:spt="75" type="#_x0000_t75" style="height:38.8pt;width:192.2pt;" o:ole="t" filled="f" o:preferrelative="t" stroked="f" coordsize="21600,21600">
            <v:path/>
            <v:fill on="f" focussize="0,0"/>
            <v:stroke on="f" joinstyle="miter"/>
            <v:imagedata r:id="rId29" o:title=""/>
            <o:lock v:ext="edit" aspectratio="t"/>
            <w10:wrap type="none"/>
            <w10:anchorlock/>
          </v:shape>
          <o:OLEObject Type="Embed" ProgID="Equation.3" ShapeID="_x0000_i1033" DrawAspect="Content" ObjectID="_1468075733" r:id="rId28">
            <o:LockedField>false</o:LockedField>
          </o:OLEObject>
        </w:object>
      </w:r>
      <w:r>
        <w:rPr>
          <w:rFonts w:hint="eastAsia"/>
          <w:color w:val="000000"/>
        </w:rPr>
        <w:t xml:space="preserve">                    </w:t>
      </w:r>
      <w:r>
        <w:rPr>
          <w:color w:val="000000"/>
          <w:lang w:val="zh-TW" w:eastAsia="zh-TW"/>
        </w:rPr>
        <w:t>（</w:t>
      </w:r>
      <w:r>
        <w:rPr>
          <w:rFonts w:hint="eastAsia"/>
          <w:color w:val="000000"/>
        </w:rPr>
        <w:t>2</w:t>
      </w:r>
      <w:r>
        <w:rPr>
          <w:color w:val="000000"/>
          <w:lang w:val="zh-TW" w:eastAsia="zh-TW"/>
        </w:rPr>
        <w:t>）</w:t>
      </w:r>
    </w:p>
    <w:p>
      <w:pPr>
        <w:spacing w:before="120" w:beforeLines="50" w:after="120" w:afterLines="50"/>
        <w:ind w:firstLine="420" w:firstLineChars="200"/>
        <w:jc w:val="right"/>
        <w:rPr>
          <w:color w:val="000000"/>
          <w:lang w:val="zh-TW"/>
        </w:rPr>
      </w:pPr>
      <w:r>
        <w:rPr>
          <w:rFonts w:hint="eastAsia"/>
          <w:color w:val="000000"/>
          <w:position w:val="-32"/>
        </w:rPr>
        <w:object>
          <v:shape id="_x0000_i1034" o:spt="75" type="#_x0000_t75" style="height:38.8pt;width:117.7pt;" o:ole="t" filled="f" o:preferrelative="t" stroked="f" coordsize="21600,21600">
            <v:path/>
            <v:fill on="f" focussize="0,0"/>
            <v:stroke on="f" joinstyle="miter"/>
            <v:imagedata r:id="rId31" o:title=""/>
            <o:lock v:ext="edit" aspectratio="t"/>
            <w10:wrap type="none"/>
            <w10:anchorlock/>
          </v:shape>
          <o:OLEObject Type="Embed" ProgID="Equation.3" ShapeID="_x0000_i1034" DrawAspect="Content" ObjectID="_1468075734" r:id="rId30">
            <o:LockedField>false</o:LockedField>
          </o:OLEObject>
        </w:object>
      </w:r>
      <w:r>
        <w:rPr>
          <w:rFonts w:hint="eastAsia"/>
          <w:color w:val="000000"/>
        </w:rPr>
        <w:t xml:space="preserve">                          </w:t>
      </w:r>
      <w:r>
        <w:rPr>
          <w:rFonts w:hint="eastAsia"/>
          <w:color w:val="000000"/>
          <w:lang w:val="zh-TW"/>
        </w:rPr>
        <w:t>（</w:t>
      </w:r>
      <w:r>
        <w:rPr>
          <w:rFonts w:hint="eastAsia"/>
          <w:color w:val="000000"/>
        </w:rPr>
        <w:t>3</w:t>
      </w:r>
      <w:r>
        <w:rPr>
          <w:rFonts w:hint="eastAsia"/>
          <w:color w:val="000000"/>
          <w:lang w:val="zh-TW"/>
        </w:rPr>
        <w:t>）</w:t>
      </w:r>
    </w:p>
    <w:p>
      <w:pPr>
        <w:spacing w:before="120" w:beforeLines="50" w:after="120" w:afterLines="50"/>
        <w:ind w:firstLine="420" w:firstLineChars="200"/>
        <w:rPr>
          <w:color w:val="000000"/>
        </w:rPr>
      </w:pPr>
      <w:r>
        <w:rPr>
          <w:rFonts w:hint="eastAsia"/>
          <w:color w:val="000000"/>
          <w:position w:val="-12"/>
        </w:rPr>
        <w:object>
          <v:shape id="_x0000_i1035" o:spt="75" type="#_x0000_t75" style="height:17.55pt;width:17.55pt;" o:ole="t" filled="f" o:preferrelative="t" stroked="f" coordsize="21600,21600">
            <v:path/>
            <v:fill on="f" focussize="0,0"/>
            <v:stroke on="f" joinstyle="miter"/>
            <v:imagedata r:id="rId33" o:title=""/>
            <o:lock v:ext="edit" aspectratio="t"/>
            <w10:wrap type="none"/>
            <w10:anchorlock/>
          </v:shape>
          <o:OLEObject Type="Embed" ProgID="Equation.3" ShapeID="_x0000_i1035" DrawAspect="Content" ObjectID="_1468075735" r:id="rId32">
            <o:LockedField>false</o:LockedField>
          </o:OLEObject>
        </w:object>
      </w:r>
      <w:r>
        <w:rPr>
          <w:color w:val="000000"/>
        </w:rPr>
        <w:t>——静态基线测量水平精度，单位为亳米（mm）；</w:t>
      </w:r>
    </w:p>
    <w:p>
      <w:pPr>
        <w:spacing w:before="120" w:beforeLines="50" w:after="120" w:afterLines="50"/>
        <w:ind w:firstLine="420" w:firstLineChars="200"/>
        <w:rPr>
          <w:color w:val="000000"/>
        </w:rPr>
      </w:pPr>
      <w:r>
        <w:rPr>
          <w:rFonts w:hint="eastAsia"/>
          <w:color w:val="000000"/>
          <w:position w:val="-10"/>
        </w:rPr>
        <w:object>
          <v:shape id="_x0000_i1036" o:spt="75" type="#_x0000_t75" style="height:15.05pt;width:10pt;" o:ole="t" filled="f" o:preferrelative="t" stroked="f" coordsize="21600,21600">
            <v:path/>
            <v:fill on="f" focussize="0,0"/>
            <v:stroke on="f" joinstyle="miter"/>
            <v:imagedata r:id="rId35" o:title=""/>
            <o:lock v:ext="edit" aspectratio="t"/>
            <w10:wrap type="none"/>
            <w10:anchorlock/>
          </v:shape>
          <o:OLEObject Type="Embed" ProgID="Equation.3" ShapeID="_x0000_i1036" DrawAspect="Content" ObjectID="_1468075736" r:id="rId34">
            <o:LockedField>false</o:LockedField>
          </o:OLEObject>
        </w:object>
      </w:r>
      <w:r>
        <w:rPr>
          <w:color w:val="000000"/>
        </w:rPr>
        <w:t>——静态基线时段号；</w:t>
      </w:r>
    </w:p>
    <w:p>
      <w:pPr>
        <w:spacing w:before="120" w:beforeLines="50" w:after="120" w:afterLines="50"/>
        <w:ind w:firstLine="420" w:firstLineChars="200"/>
        <w:rPr>
          <w:color w:val="000000"/>
        </w:rPr>
      </w:pPr>
      <w:r>
        <w:rPr>
          <w:rFonts w:hint="eastAsia"/>
          <w:color w:val="000000"/>
          <w:position w:val="-14"/>
        </w:rPr>
        <w:object>
          <v:shape id="_x0000_i1037" o:spt="75" type="#_x0000_t75" style="height:18.8pt;width:20.05pt;" o:ole="t" filled="f" o:preferrelative="t" stroked="f" coordsize="21600,21600">
            <v:path/>
            <v:fill on="f" focussize="0,0"/>
            <v:stroke on="f" joinstyle="miter"/>
            <v:imagedata r:id="rId37" o:title=""/>
            <o:lock v:ext="edit" aspectratio="t"/>
            <w10:wrap type="none"/>
            <w10:anchorlock/>
          </v:shape>
          <o:OLEObject Type="Embed" ProgID="Equation.3" ShapeID="_x0000_i1037" DrawAspect="Content" ObjectID="_1468075737" r:id="rId36">
            <o:LockedField>false</o:LockedField>
          </o:OLEObject>
        </w:object>
      </w:r>
      <w:r>
        <w:rPr>
          <w:color w:val="000000"/>
        </w:rPr>
        <w:t>——第</w:t>
      </w:r>
      <w:r>
        <w:rPr>
          <w:rFonts w:hint="eastAsia"/>
          <w:color w:val="000000"/>
          <w:position w:val="-10"/>
        </w:rPr>
        <w:object>
          <v:shape id="_x0000_i1038" o:spt="75" type="#_x0000_t75" style="height:15.05pt;width:10pt;" o:ole="t" filled="f" o:preferrelative="t" stroked="f" coordsize="21600,21600">
            <v:path/>
            <v:fill on="f" focussize="0,0"/>
            <v:stroke on="f" joinstyle="miter"/>
            <v:imagedata r:id="rId35" o:title=""/>
            <o:lock v:ext="edit" aspectratio="t"/>
            <w10:wrap type="none"/>
            <w10:anchorlock/>
          </v:shape>
          <o:OLEObject Type="Embed" ProgID="Equation.3" ShapeID="_x0000_i1038" DrawAspect="Content" ObjectID="_1468075738" r:id="rId38">
            <o:LockedField>false</o:LockedField>
          </o:OLEObject>
        </w:object>
      </w:r>
      <w:r>
        <w:rPr>
          <w:color w:val="000000"/>
        </w:rPr>
        <w:t>时段基线终点在以基线起始点为原点的站心地平坐标系下北坐标</w:t>
      </w:r>
      <w:r>
        <w:rPr>
          <w:rFonts w:hint="eastAsia"/>
          <w:color w:val="000000"/>
          <w:lang w:val="zh-CN"/>
        </w:rPr>
        <w:t>，</w:t>
      </w:r>
      <w:r>
        <w:rPr>
          <w:color w:val="000000"/>
          <w:lang w:val="zh-CN"/>
        </w:rPr>
        <w:t>单位</w:t>
      </w:r>
      <w:r>
        <w:rPr>
          <w:color w:val="000000"/>
        </w:rPr>
        <w:t>为毫米（mm）；</w:t>
      </w:r>
    </w:p>
    <w:p>
      <w:pPr>
        <w:spacing w:before="120" w:beforeLines="50" w:after="120" w:afterLines="50"/>
        <w:ind w:firstLine="420" w:firstLineChars="200"/>
        <w:rPr>
          <w:color w:val="000000"/>
        </w:rPr>
      </w:pPr>
      <w:r>
        <w:rPr>
          <w:rFonts w:hint="eastAsia"/>
          <w:color w:val="000000"/>
          <w:position w:val="-14"/>
        </w:rPr>
        <w:object>
          <v:shape id="_x0000_i1039" o:spt="75" type="#_x0000_t75" style="height:18.8pt;width:17.55pt;" o:ole="t" filled="f" o:preferrelative="t" stroked="f" coordsize="21600,21600">
            <v:path/>
            <v:fill on="f" focussize="0,0"/>
            <v:stroke on="f" joinstyle="miter"/>
            <v:imagedata r:id="rId40" o:title=""/>
            <o:lock v:ext="edit" aspectratio="t"/>
            <w10:wrap type="none"/>
            <w10:anchorlock/>
          </v:shape>
          <o:OLEObject Type="Embed" ProgID="Equation.3" ShapeID="_x0000_i1039" DrawAspect="Content" ObjectID="_1468075739" r:id="rId39">
            <o:LockedField>false</o:LockedField>
          </o:OLEObject>
        </w:object>
      </w:r>
      <w:r>
        <w:rPr>
          <w:color w:val="000000"/>
        </w:rPr>
        <w:t>——第</w:t>
      </w:r>
      <w:r>
        <w:rPr>
          <w:rFonts w:hint="eastAsia"/>
          <w:color w:val="000000"/>
          <w:position w:val="-10"/>
        </w:rPr>
        <w:object>
          <v:shape id="_x0000_i1040" o:spt="75" type="#_x0000_t75" style="height:15.05pt;width:10pt;" o:ole="t" filled="f" o:preferrelative="t" stroked="f" coordsize="21600,21600">
            <v:path/>
            <v:fill on="f" focussize="0,0"/>
            <v:stroke on="f" joinstyle="miter"/>
            <v:imagedata r:id="rId35" o:title=""/>
            <o:lock v:ext="edit" aspectratio="t"/>
            <w10:wrap type="none"/>
            <w10:anchorlock/>
          </v:shape>
          <o:OLEObject Type="Embed" ProgID="Equation.3" ShapeID="_x0000_i1040" DrawAspect="Content" ObjectID="_1468075740" r:id="rId41">
            <o:LockedField>false</o:LockedField>
          </o:OLEObject>
        </w:object>
      </w:r>
      <w:r>
        <w:rPr>
          <w:color w:val="000000"/>
        </w:rPr>
        <w:t>时段基线终点在以基线起始点为原点的站心地平坐标系下东坐标</w:t>
      </w:r>
      <w:r>
        <w:rPr>
          <w:rFonts w:hint="eastAsia"/>
          <w:color w:val="000000"/>
        </w:rPr>
        <w:t>，</w:t>
      </w:r>
      <w:r>
        <w:rPr>
          <w:color w:val="000000"/>
        </w:rPr>
        <w:t>单位为毫米（mm）；</w:t>
      </w:r>
    </w:p>
    <w:p>
      <w:pPr>
        <w:spacing w:before="120" w:beforeLines="50" w:after="120" w:afterLines="50"/>
        <w:ind w:firstLine="420" w:firstLineChars="200"/>
        <w:rPr>
          <w:color w:val="000000"/>
        </w:rPr>
      </w:pPr>
      <w:r>
        <w:rPr>
          <w:rFonts w:hint="eastAsia"/>
          <w:color w:val="000000"/>
          <w:position w:val="-12"/>
        </w:rPr>
        <w:object>
          <v:shape id="_x0000_i1041" o:spt="75" type="#_x0000_t75" style="height:17.55pt;width:20.05pt;" o:ole="t" filled="f" o:preferrelative="t" stroked="f" coordsize="21600,21600">
            <v:path/>
            <v:fill on="f" focussize="0,0"/>
            <v:stroke on="f" joinstyle="miter"/>
            <v:imagedata r:id="rId43" o:title=""/>
            <o:lock v:ext="edit" aspectratio="t"/>
            <w10:wrap type="none"/>
            <w10:anchorlock/>
          </v:shape>
          <o:OLEObject Type="Embed" ProgID="Equation.3" ShapeID="_x0000_i1041" DrawAspect="Content" ObjectID="_1468075741" r:id="rId42">
            <o:LockedField>false</o:LockedField>
          </o:OLEObject>
        </w:object>
      </w:r>
      <w:r>
        <w:rPr>
          <w:color w:val="000000"/>
        </w:rPr>
        <w:t>——已知的基线终点在以基线起始点为原点的站心地平坐标系下北坐标，单位为毫米（mm）；</w:t>
      </w:r>
    </w:p>
    <w:p>
      <w:pPr>
        <w:spacing w:before="120" w:beforeLines="50" w:after="120" w:afterLines="50"/>
        <w:ind w:firstLine="420" w:firstLineChars="200"/>
        <w:rPr>
          <w:color w:val="000000"/>
        </w:rPr>
      </w:pPr>
      <w:r>
        <w:rPr>
          <w:rFonts w:hint="eastAsia"/>
          <w:color w:val="000000"/>
          <w:position w:val="-12"/>
        </w:rPr>
        <w:object>
          <v:shape id="_x0000_i1042" o:spt="75" type="#_x0000_t75" style="height:17.55pt;width:17.55pt;" o:ole="t" filled="f" o:preferrelative="t" stroked="f" coordsize="21600,21600">
            <v:path/>
            <v:fill on="f" focussize="0,0"/>
            <v:stroke on="f" joinstyle="miter"/>
            <v:imagedata r:id="rId45" o:title=""/>
            <o:lock v:ext="edit" aspectratio="t"/>
            <w10:wrap type="none"/>
            <w10:anchorlock/>
          </v:shape>
          <o:OLEObject Type="Embed" ProgID="Equation.3" ShapeID="_x0000_i1042" DrawAspect="Content" ObjectID="_1468075742" r:id="rId44">
            <o:LockedField>false</o:LockedField>
          </o:OLEObject>
        </w:object>
      </w:r>
      <w:r>
        <w:rPr>
          <w:color w:val="000000"/>
        </w:rPr>
        <w:t>——已知的基线终点在以基线起始点为原点的站心地平坐标系下东坐标，单位为毫米（mm）：</w:t>
      </w:r>
    </w:p>
    <w:p>
      <w:pPr>
        <w:spacing w:before="120" w:beforeLines="50" w:after="120" w:afterLines="50"/>
        <w:ind w:firstLine="420" w:firstLineChars="200"/>
        <w:rPr>
          <w:color w:val="000000"/>
        </w:rPr>
      </w:pPr>
      <w:r>
        <w:rPr>
          <w:rFonts w:hint="eastAsia"/>
          <w:color w:val="000000"/>
          <w:position w:val="-12"/>
        </w:rPr>
        <w:object>
          <v:shape id="_x0000_i1043" o:spt="75" type="#_x0000_t75" style="height:17.55pt;width:17.55pt;" o:ole="t" filled="f" o:preferrelative="t" stroked="f" coordsize="21600,21600">
            <v:path/>
            <v:fill on="f" focussize="0,0"/>
            <v:stroke on="f" joinstyle="miter"/>
            <v:imagedata r:id="rId47" o:title=""/>
            <o:lock v:ext="edit" aspectratio="t"/>
            <w10:wrap type="none"/>
            <w10:anchorlock/>
          </v:shape>
          <o:OLEObject Type="Embed" ProgID="Equation.3" ShapeID="_x0000_i1043" DrawAspect="Content" ObjectID="_1468075743" r:id="rId46">
            <o:LockedField>false</o:LockedField>
          </o:OLEObject>
        </w:object>
      </w:r>
      <w:r>
        <w:rPr>
          <w:color w:val="000000"/>
        </w:rPr>
        <w:t>——静态基线测</w:t>
      </w:r>
      <w:r>
        <w:rPr>
          <w:rFonts w:hint="eastAsia"/>
          <w:color w:val="000000"/>
        </w:rPr>
        <w:t>量</w:t>
      </w:r>
      <w:r>
        <w:rPr>
          <w:color w:val="000000"/>
        </w:rPr>
        <w:t>垂直精度，单位为毫米（mm）；</w:t>
      </w:r>
    </w:p>
    <w:p>
      <w:pPr>
        <w:spacing w:before="120" w:beforeLines="50" w:after="120" w:afterLines="50"/>
        <w:ind w:firstLine="420" w:firstLineChars="200"/>
        <w:rPr>
          <w:color w:val="000000"/>
        </w:rPr>
      </w:pPr>
      <w:r>
        <w:rPr>
          <w:rFonts w:hint="eastAsia"/>
          <w:color w:val="000000"/>
          <w:position w:val="-14"/>
        </w:rPr>
        <w:object>
          <v:shape id="_x0000_i1044" o:spt="75" type="#_x0000_t75" style="height:18.8pt;width:18.8pt;" o:ole="t" filled="f" o:preferrelative="t" stroked="f" coordsize="21600,21600">
            <v:path/>
            <v:fill on="f" focussize="0,0"/>
            <v:stroke on="f" joinstyle="miter"/>
            <v:imagedata r:id="rId49" o:title=""/>
            <o:lock v:ext="edit" aspectratio="t"/>
            <w10:wrap type="none"/>
            <w10:anchorlock/>
          </v:shape>
          <o:OLEObject Type="Embed" ProgID="Equation.3" ShapeID="_x0000_i1044" DrawAspect="Content" ObjectID="_1468075744" r:id="rId48">
            <o:LockedField>false</o:LockedField>
          </o:OLEObject>
        </w:object>
      </w:r>
      <w:r>
        <w:rPr>
          <w:color w:val="000000"/>
        </w:rPr>
        <w:t>——第</w:t>
      </w:r>
      <w:r>
        <w:rPr>
          <w:rFonts w:hint="eastAsia"/>
          <w:color w:val="000000"/>
          <w:position w:val="-10"/>
        </w:rPr>
        <w:object>
          <v:shape id="_x0000_i1045" o:spt="75" type="#_x0000_t75" style="height:15.05pt;width:10pt;" o:ole="t" filled="f" o:preferrelative="t" stroked="f" coordsize="21600,21600">
            <v:path/>
            <v:fill on="f" focussize="0,0"/>
            <v:stroke on="f" joinstyle="miter"/>
            <v:imagedata r:id="rId35" o:title=""/>
            <o:lock v:ext="edit" aspectratio="t"/>
            <w10:wrap type="none"/>
            <w10:anchorlock/>
          </v:shape>
          <o:OLEObject Type="Embed" ProgID="Equation.3" ShapeID="_x0000_i1045" DrawAspect="Content" ObjectID="_1468075745" r:id="rId50">
            <o:LockedField>false</o:LockedField>
          </o:OLEObject>
        </w:object>
      </w:r>
      <w:r>
        <w:rPr>
          <w:color w:val="000000"/>
        </w:rPr>
        <w:t>时段基线终点在以基线起始点为原点的站心地平坐标系下高坐标，单位为毫米（rnrn）；</w:t>
      </w:r>
    </w:p>
    <w:p>
      <w:pPr>
        <w:spacing w:before="120" w:beforeLines="50" w:after="120" w:afterLines="50"/>
        <w:ind w:firstLine="420" w:firstLineChars="200"/>
        <w:rPr>
          <w:color w:val="000000"/>
        </w:rPr>
      </w:pPr>
      <w:r>
        <w:rPr>
          <w:rFonts w:hint="eastAsia"/>
          <w:color w:val="000000"/>
          <w:position w:val="-12"/>
        </w:rPr>
        <w:object>
          <v:shape id="_x0000_i1046" o:spt="75" type="#_x0000_t75" style="height:17.55pt;width:18.8pt;" o:ole="t" filled="f" o:preferrelative="t" stroked="f" coordsize="21600,21600">
            <v:path/>
            <v:fill on="f" focussize="0,0"/>
            <v:stroke on="f" joinstyle="miter"/>
            <v:imagedata r:id="rId52" o:title=""/>
            <o:lock v:ext="edit" aspectratio="t"/>
            <w10:wrap type="none"/>
            <w10:anchorlock/>
          </v:shape>
          <o:OLEObject Type="Embed" ProgID="Equation.3" ShapeID="_x0000_i1046" DrawAspect="Content" ObjectID="_1468075746" r:id="rId51">
            <o:LockedField>false</o:LockedField>
          </o:OLEObject>
        </w:object>
      </w:r>
      <w:r>
        <w:rPr>
          <w:color w:val="000000"/>
        </w:rPr>
        <w:t>——</w:t>
      </w:r>
      <w:r>
        <w:rPr>
          <w:rFonts w:hint="eastAsia"/>
          <w:color w:val="000000"/>
        </w:rPr>
        <w:t>已</w:t>
      </w:r>
      <w:r>
        <w:rPr>
          <w:color w:val="000000"/>
        </w:rPr>
        <w:t>知的基线终点在以基线起始点为原点的站心地平坐标系下高坐标</w:t>
      </w:r>
      <w:r>
        <w:rPr>
          <w:rFonts w:hint="eastAsia"/>
          <w:color w:val="000000"/>
          <w:lang w:val="zh-CN"/>
        </w:rPr>
        <w:t>，</w:t>
      </w:r>
      <w:r>
        <w:rPr>
          <w:color w:val="000000"/>
          <w:lang w:val="zh-CN"/>
        </w:rPr>
        <w:t>单位</w:t>
      </w:r>
      <w:r>
        <w:rPr>
          <w:color w:val="000000"/>
        </w:rPr>
        <w:t>为毫米（mm）。</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5.11.2 倾角和加速度</w:t>
      </w:r>
      <w:r>
        <w:rPr>
          <w:rFonts w:hint="eastAsia" w:ascii="Times New Roman" w:hAnsi="Times New Roman" w:cs="Times New Roman"/>
          <w:sz w:val="21"/>
          <w:szCs w:val="21"/>
          <w:lang w:bidi="ar-SA"/>
        </w:rPr>
        <w:t>测量精度</w:t>
      </w:r>
    </w:p>
    <w:p>
      <w:pPr>
        <w:spacing w:before="120" w:beforeLines="50" w:after="120" w:afterLines="50"/>
        <w:ind w:firstLine="420" w:firstLineChars="200"/>
        <w:rPr>
          <w:color w:val="000000"/>
        </w:rPr>
      </w:pPr>
      <w:r>
        <w:rPr>
          <w:color w:val="000000"/>
        </w:rPr>
        <w:t>在选取不</w:t>
      </w:r>
      <w:r>
        <w:rPr>
          <w:rFonts w:hint="eastAsia"/>
          <w:color w:val="000000"/>
        </w:rPr>
        <w:t>小于1</w:t>
      </w:r>
      <w:r>
        <w:rPr>
          <w:rFonts w:hint="eastAsia"/>
          <w:color w:val="000000"/>
          <w:position w:val="-6"/>
        </w:rPr>
        <w:object>
          <v:shape id="_x0000_i1047" o:spt="75" type="#_x0000_t75" style="height:15.05pt;width:17.55pt;" o:ole="t" filled="f" o:preferrelative="t" stroked="f" coordsize="21600,21600">
            <v:path/>
            <v:fill on="f" focussize="0,0"/>
            <v:stroke on="f" joinstyle="miter"/>
            <v:imagedata r:id="rId54" o:title=""/>
            <o:lock v:ext="edit" aspectratio="t"/>
            <w10:wrap type="none"/>
            <w10:anchorlock/>
          </v:shape>
          <o:OLEObject Type="Embed" ProgID="Equation.3" ShapeID="_x0000_i1047" DrawAspect="Content" ObjectID="_1468075747" r:id="rId53">
            <o:LockedField>false</o:LockedField>
          </o:OLEObject>
        </w:object>
      </w:r>
      <w:r>
        <w:rPr>
          <w:rFonts w:hint="eastAsia"/>
          <w:color w:val="000000"/>
        </w:rPr>
        <w:t>的可调角度及加速的台面</w:t>
      </w:r>
      <w:r>
        <w:rPr>
          <w:color w:val="000000"/>
        </w:rPr>
        <w:t>进行观测</w:t>
      </w:r>
      <w:r>
        <w:rPr>
          <w:rFonts w:hint="eastAsia"/>
          <w:color w:val="000000"/>
        </w:rPr>
        <w:t>，</w:t>
      </w:r>
      <w:r>
        <w:rPr>
          <w:color w:val="000000"/>
        </w:rPr>
        <w:t>共进行10组观测，每组采集不少于100个</w:t>
      </w:r>
      <w:r>
        <w:rPr>
          <w:rFonts w:hint="eastAsia"/>
          <w:color w:val="000000"/>
        </w:rPr>
        <w:t>倾角和加速度</w:t>
      </w:r>
      <w:r>
        <w:rPr>
          <w:color w:val="000000"/>
        </w:rPr>
        <w:t>测量结果，相邻两组之间采集时如果不更换点位，应重新</w:t>
      </w:r>
      <w:r>
        <w:rPr>
          <w:rFonts w:hint="eastAsia"/>
          <w:color w:val="000000"/>
        </w:rPr>
        <w:t>开</w:t>
      </w:r>
      <w:r>
        <w:rPr>
          <w:color w:val="000000"/>
        </w:rPr>
        <w:t>机进行初始化后进行采集</w:t>
      </w:r>
      <w:r>
        <w:rPr>
          <w:rFonts w:hint="eastAsia"/>
          <w:color w:val="000000"/>
        </w:rPr>
        <w:t>，获取的测量结果去除最大值和最小值后平均</w:t>
      </w:r>
      <w:r>
        <w:rPr>
          <w:color w:val="000000"/>
        </w:rPr>
        <w:t>。按式（</w:t>
      </w:r>
      <w:r>
        <w:rPr>
          <w:rFonts w:hint="eastAsia"/>
          <w:color w:val="000000"/>
        </w:rPr>
        <w:t>4</w:t>
      </w:r>
      <w:r>
        <w:rPr>
          <w:color w:val="000000"/>
        </w:rPr>
        <w:t>）、式（</w:t>
      </w:r>
      <w:r>
        <w:rPr>
          <w:rFonts w:hint="eastAsia"/>
          <w:color w:val="000000"/>
        </w:rPr>
        <w:t>5</w:t>
      </w:r>
      <w:r>
        <w:rPr>
          <w:color w:val="000000"/>
        </w:rPr>
        <w:t>）</w:t>
      </w:r>
      <w:r>
        <w:rPr>
          <w:rFonts w:hint="eastAsia"/>
          <w:color w:val="000000"/>
        </w:rPr>
        <w:t>分别</w:t>
      </w:r>
      <w:r>
        <w:rPr>
          <w:color w:val="000000"/>
        </w:rPr>
        <w:t>计算</w:t>
      </w:r>
      <w:r>
        <w:rPr>
          <w:rFonts w:hint="eastAsia"/>
          <w:color w:val="000000"/>
        </w:rPr>
        <w:t>倾角和加速度</w:t>
      </w:r>
      <w:r>
        <w:rPr>
          <w:color w:val="000000"/>
        </w:rPr>
        <w:t>测量</w:t>
      </w:r>
      <w:r>
        <w:rPr>
          <w:rFonts w:hint="eastAsia"/>
          <w:color w:val="000000"/>
        </w:rPr>
        <w:t>精度</w:t>
      </w:r>
      <w:r>
        <w:rPr>
          <w:color w:val="000000"/>
        </w:rPr>
        <w:t>：</w:t>
      </w:r>
    </w:p>
    <w:p>
      <w:pPr>
        <w:spacing w:before="120" w:beforeLines="50" w:after="120" w:afterLines="50"/>
        <w:ind w:firstLine="420" w:firstLineChars="200"/>
        <w:jc w:val="right"/>
        <w:rPr>
          <w:color w:val="FF0000"/>
        </w:rPr>
      </w:pPr>
      <w:r>
        <w:rPr>
          <w:rFonts w:hint="eastAsia"/>
          <w:color w:val="FF0000"/>
          <w:position w:val="-30"/>
        </w:rPr>
        <w:object>
          <v:shape id="_x0000_i1048" o:spt="75" type="#_x0000_t75" style="height:35.05pt;width:290.5pt;" o:ole="t" filled="f" o:preferrelative="t" stroked="f" coordsize="21600,21600">
            <v:path/>
            <v:fill on="f" focussize="0,0"/>
            <v:stroke on="f" joinstyle="miter"/>
            <v:imagedata r:id="rId56" o:title=""/>
            <o:lock v:ext="edit" aspectratio="t"/>
            <w10:wrap type="none"/>
            <w10:anchorlock/>
          </v:shape>
          <o:OLEObject Type="Embed" ProgID="Equation.3" ShapeID="_x0000_i1048" DrawAspect="Content" ObjectID="_1468075748" r:id="rId55">
            <o:LockedField>false</o:LockedField>
          </o:OLEObject>
        </w:object>
      </w:r>
      <w:r>
        <w:rPr>
          <w:rFonts w:hint="eastAsia"/>
          <w:color w:val="000000"/>
        </w:rPr>
        <w:t xml:space="preserve">            </w:t>
      </w:r>
      <w:r>
        <w:rPr>
          <w:rFonts w:hint="eastAsia"/>
          <w:color w:val="000000"/>
          <w:lang w:val="zh-TW"/>
        </w:rPr>
        <w:t>（</w:t>
      </w:r>
      <w:r>
        <w:rPr>
          <w:rFonts w:hint="eastAsia"/>
          <w:color w:val="000000"/>
        </w:rPr>
        <w:t>4</w:t>
      </w:r>
      <w:r>
        <w:rPr>
          <w:rFonts w:hint="eastAsia"/>
          <w:color w:val="000000"/>
          <w:lang w:val="zh-TW"/>
        </w:rPr>
        <w:t>）</w:t>
      </w:r>
    </w:p>
    <w:p>
      <w:pPr>
        <w:spacing w:before="120" w:beforeLines="50" w:after="120" w:afterLines="50"/>
        <w:ind w:firstLine="420" w:firstLineChars="200"/>
        <w:jc w:val="right"/>
        <w:rPr>
          <w:color w:val="FF0000"/>
        </w:rPr>
      </w:pPr>
      <w:r>
        <w:rPr>
          <w:rFonts w:hint="eastAsia"/>
          <w:color w:val="FF0000"/>
          <w:position w:val="-28"/>
        </w:rPr>
        <w:object>
          <v:shape id="_x0000_i1049" o:spt="75" type="#_x0000_t75" style="height:33.8pt;width:65.1pt;" o:ole="t" filled="f" o:preferrelative="t" stroked="f" coordsize="21600,21600">
            <v:path/>
            <v:fill on="f" focussize="0,0"/>
            <v:stroke on="f" joinstyle="miter"/>
            <v:imagedata r:id="rId58" o:title=""/>
            <o:lock v:ext="edit" aspectratio="t"/>
            <w10:wrap type="none"/>
            <w10:anchorlock/>
          </v:shape>
          <o:OLEObject Type="Embed" ProgID="Equation.3" ShapeID="_x0000_i1049" DrawAspect="Content" ObjectID="_1468075749" r:id="rId57">
            <o:LockedField>false</o:LockedField>
          </o:OLEObject>
        </w:object>
      </w:r>
      <w:r>
        <w:rPr>
          <w:rFonts w:hint="eastAsia"/>
          <w:color w:val="FF0000"/>
        </w:rPr>
        <w:t xml:space="preserve">                              </w:t>
      </w:r>
      <w:r>
        <w:rPr>
          <w:rFonts w:hint="eastAsia"/>
        </w:rPr>
        <w:t xml:space="preserve"> （5）</w:t>
      </w:r>
    </w:p>
    <w:p>
      <w:pPr>
        <w:spacing w:before="120" w:beforeLines="50" w:after="120" w:afterLines="50"/>
        <w:ind w:firstLine="420" w:firstLineChars="200"/>
        <w:rPr>
          <w:color w:val="000000"/>
        </w:rPr>
      </w:pPr>
      <w:r>
        <w:rPr>
          <w:rFonts w:hint="eastAsia"/>
          <w:color w:val="000000"/>
          <w:position w:val="-12"/>
        </w:rPr>
        <w:object>
          <v:shape id="_x0000_i1050" o:spt="75" type="#_x0000_t75" style="height:20.05pt;width:15.05pt;" o:ole="t" filled="f" o:preferrelative="t" stroked="f" coordsize="21600,21600">
            <v:path/>
            <v:fill on="f" focussize="0,0"/>
            <v:stroke on="f" joinstyle="miter"/>
            <v:imagedata r:id="rId60" o:title=""/>
            <o:lock v:ext="edit" aspectratio="t"/>
            <w10:wrap type="none"/>
            <w10:anchorlock/>
          </v:shape>
          <o:OLEObject Type="Embed" ProgID="Equation.3" ShapeID="_x0000_i1050" DrawAspect="Content" ObjectID="_1468075750" r:id="rId59">
            <o:LockedField>false</o:LockedField>
          </o:OLEObject>
        </w:object>
      </w:r>
      <w:r>
        <w:rPr>
          <w:color w:val="000000"/>
        </w:rPr>
        <w:t>——</w:t>
      </w:r>
      <w:r>
        <w:rPr>
          <w:rFonts w:hint="eastAsia"/>
          <w:color w:val="000000"/>
        </w:rPr>
        <w:t>平除最大值和最小值平均后的倾角和加速度</w:t>
      </w:r>
      <w:r>
        <w:rPr>
          <w:color w:val="000000"/>
        </w:rPr>
        <w:t>测量</w:t>
      </w:r>
      <w:r>
        <w:rPr>
          <w:rFonts w:hint="eastAsia"/>
          <w:color w:val="000000"/>
        </w:rPr>
        <w:t>值，</w:t>
      </w:r>
      <w:r>
        <w:rPr>
          <w:color w:val="000000"/>
        </w:rPr>
        <w:t>单位为</w:t>
      </w:r>
      <w:r>
        <w:rPr>
          <w:rFonts w:hint="eastAsia"/>
          <w:szCs w:val="21"/>
        </w:rPr>
        <w:t>°或mg</w:t>
      </w:r>
      <w:r>
        <w:rPr>
          <w:color w:val="000000"/>
        </w:rPr>
        <w:t>；</w:t>
      </w:r>
    </w:p>
    <w:p>
      <w:pPr>
        <w:spacing w:before="120" w:beforeLines="50" w:after="120" w:afterLines="50"/>
        <w:ind w:firstLine="420" w:firstLineChars="200"/>
        <w:rPr>
          <w:color w:val="000000"/>
        </w:rPr>
      </w:pPr>
      <w:r>
        <w:rPr>
          <w:rFonts w:hint="eastAsia"/>
          <w:color w:val="000000"/>
          <w:position w:val="-6"/>
        </w:rPr>
        <w:object>
          <v:shape id="_x0000_i1051" o:spt="75" type="#_x0000_t75" style="height:13.75pt;width:10pt;" o:ole="t" filled="f" o:preferrelative="t" stroked="f" coordsize="21600,21600">
            <v:path/>
            <v:fill on="f" focussize="0,0"/>
            <v:stroke on="f" joinstyle="miter"/>
            <v:imagedata r:id="rId62" o:title=""/>
            <o:lock v:ext="edit" aspectratio="t"/>
            <w10:wrap type="none"/>
            <w10:anchorlock/>
          </v:shape>
          <o:OLEObject Type="Embed" ProgID="Equation.3" ShapeID="_x0000_i1051" DrawAspect="Content" ObjectID="_1468075751" r:id="rId61">
            <o:LockedField>false</o:LockedField>
          </o:OLEObject>
        </w:object>
      </w:r>
      <w:r>
        <w:rPr>
          <w:color w:val="000000"/>
        </w:rPr>
        <w:t>——</w:t>
      </w:r>
      <w:r>
        <w:rPr>
          <w:rFonts w:hint="eastAsia"/>
          <w:color w:val="000000"/>
        </w:rPr>
        <w:t>观测组序号</w:t>
      </w:r>
      <w:r>
        <w:rPr>
          <w:color w:val="000000"/>
        </w:rPr>
        <w:t>；</w:t>
      </w:r>
    </w:p>
    <w:p>
      <w:pPr>
        <w:spacing w:before="120" w:beforeLines="50" w:after="120" w:afterLines="50"/>
        <w:ind w:firstLine="420" w:firstLineChars="200"/>
        <w:rPr>
          <w:color w:val="000000"/>
        </w:rPr>
      </w:pPr>
      <w:r>
        <w:rPr>
          <w:rFonts w:hint="eastAsia"/>
          <w:color w:val="000000"/>
          <w:position w:val="-14"/>
        </w:rPr>
        <w:object>
          <v:shape id="_x0000_i1052" o:spt="75" type="#_x0000_t75" style="height:18.8pt;width:13.75pt;" o:ole="t" filled="f" o:preferrelative="t" stroked="f" coordsize="21600,21600">
            <v:path/>
            <v:fill on="f" focussize="0,0"/>
            <v:stroke on="f" joinstyle="miter"/>
            <v:imagedata r:id="rId64" o:title=""/>
            <o:lock v:ext="edit" aspectratio="t"/>
            <w10:wrap type="none"/>
            <w10:anchorlock/>
          </v:shape>
          <o:OLEObject Type="Embed" ProgID="Equation.3" ShapeID="_x0000_i1052" DrawAspect="Content" ObjectID="_1468075752" r:id="rId63">
            <o:LockedField>false</o:LockedField>
          </o:OLEObject>
        </w:object>
      </w:r>
      <w:r>
        <w:rPr>
          <w:color w:val="000000"/>
        </w:rPr>
        <w:t>——</w:t>
      </w:r>
      <w:r>
        <w:rPr>
          <w:rFonts w:hint="eastAsia"/>
          <w:color w:val="000000"/>
        </w:rPr>
        <w:t>第</w:t>
      </w:r>
      <w:r>
        <w:rPr>
          <w:rFonts w:hint="eastAsia"/>
          <w:color w:val="000000"/>
          <w:position w:val="-6"/>
        </w:rPr>
        <w:object>
          <v:shape id="_x0000_i1053" o:spt="75" type="#_x0000_t75" style="height:13.75pt;width:10pt;" o:ole="t" filled="f" o:preferrelative="t" stroked="f" coordsize="21600,21600">
            <v:path/>
            <v:fill on="f" focussize="0,0"/>
            <v:stroke on="f" joinstyle="miter"/>
            <v:imagedata r:id="rId62" o:title=""/>
            <o:lock v:ext="edit" aspectratio="t"/>
            <w10:wrap type="none"/>
            <w10:anchorlock/>
          </v:shape>
          <o:OLEObject Type="Embed" ProgID="Equation.3" ShapeID="_x0000_i1053" DrawAspect="Content" ObjectID="_1468075753" r:id="rId65">
            <o:LockedField>false</o:LockedField>
          </o:OLEObject>
        </w:object>
      </w:r>
      <w:r>
        <w:rPr>
          <w:rFonts w:hint="eastAsia"/>
          <w:color w:val="000000"/>
          <w:position w:val="-6"/>
        </w:rPr>
        <w:t>个观测组第</w:t>
      </w:r>
      <w:r>
        <w:rPr>
          <w:rFonts w:hint="eastAsia"/>
          <w:color w:val="000000"/>
          <w:position w:val="-10"/>
        </w:rPr>
        <w:object>
          <v:shape id="_x0000_i1054" o:spt="75" type="#_x0000_t75" style="height:15.05pt;width:10pt;" o:ole="t" filled="f" o:preferrelative="t" stroked="f" coordsize="21600,21600">
            <v:path/>
            <v:fill on="f" focussize="0,0"/>
            <v:stroke on="f" joinstyle="miter"/>
            <v:imagedata r:id="rId67" o:title=""/>
            <o:lock v:ext="edit" aspectratio="t"/>
            <w10:wrap type="none"/>
            <w10:anchorlock/>
          </v:shape>
          <o:OLEObject Type="Embed" ProgID="Equation.3" ShapeID="_x0000_i1054" DrawAspect="Content" ObjectID="_1468075754" r:id="rId66">
            <o:LockedField>false</o:LockedField>
          </o:OLEObject>
        </w:object>
      </w:r>
      <w:r>
        <w:rPr>
          <w:rFonts w:hint="eastAsia"/>
          <w:color w:val="000000"/>
          <w:position w:val="-6"/>
        </w:rPr>
        <w:t>个数据点观测数据</w:t>
      </w:r>
      <w:r>
        <w:rPr>
          <w:color w:val="000000"/>
        </w:rPr>
        <w:t>；</w:t>
      </w:r>
    </w:p>
    <w:p>
      <w:pPr>
        <w:spacing w:before="120" w:beforeLines="50" w:after="120" w:afterLines="50"/>
        <w:ind w:firstLine="420" w:firstLineChars="200"/>
        <w:rPr>
          <w:color w:val="000000"/>
        </w:rPr>
      </w:pPr>
      <w:r>
        <w:rPr>
          <w:rFonts w:hint="eastAsia"/>
          <w:color w:val="000000"/>
          <w:position w:val="-6"/>
        </w:rPr>
        <w:object>
          <v:shape id="_x0000_i1055" o:spt="75" type="#_x0000_t75" style="height:13.75pt;width:10pt;" o:ole="t" filled="f" o:preferrelative="t" stroked="f" coordsize="21600,21600">
            <v:path/>
            <v:fill on="f" focussize="0,0"/>
            <v:stroke on="f" joinstyle="miter"/>
            <v:imagedata r:id="rId62" o:title=""/>
            <o:lock v:ext="edit" aspectratio="t"/>
            <w10:wrap type="none"/>
            <w10:anchorlock/>
          </v:shape>
          <o:OLEObject Type="Embed" ProgID="Equation.3" ShapeID="_x0000_i1055" DrawAspect="Content" ObjectID="_1468075755" r:id="rId68">
            <o:LockedField>false</o:LockedField>
          </o:OLEObject>
        </w:object>
      </w:r>
      <w:r>
        <w:rPr>
          <w:color w:val="000000"/>
        </w:rPr>
        <w:t>——</w:t>
      </w:r>
      <w:r>
        <w:rPr>
          <w:rFonts w:hint="eastAsia"/>
          <w:color w:val="000000"/>
        </w:rPr>
        <w:t>观测组序号</w:t>
      </w:r>
      <w:r>
        <w:rPr>
          <w:color w:val="000000"/>
        </w:rPr>
        <w:t>；</w:t>
      </w:r>
    </w:p>
    <w:p>
      <w:pPr>
        <w:spacing w:before="120" w:beforeLines="50" w:after="120" w:afterLines="50"/>
        <w:ind w:firstLine="420" w:firstLineChars="200"/>
        <w:rPr>
          <w:color w:val="000000"/>
        </w:rPr>
      </w:pPr>
      <w:r>
        <w:rPr>
          <w:rFonts w:hint="eastAsia"/>
          <w:color w:val="000000"/>
          <w:position w:val="-6"/>
        </w:rPr>
        <w:object>
          <v:shape id="_x0000_i1056" o:spt="75" type="#_x0000_t75" style="height:17.55pt;width:10pt;" o:ole="t" filled="f" o:preferrelative="t" stroked="f" coordsize="21600,21600">
            <v:path/>
            <v:fill on="f" focussize="0,0"/>
            <v:stroke on="f" joinstyle="miter"/>
            <v:imagedata r:id="rId70" o:title=""/>
            <o:lock v:ext="edit" aspectratio="t"/>
            <w10:wrap type="none"/>
            <w10:anchorlock/>
          </v:shape>
          <o:OLEObject Type="Embed" ProgID="Equation.3" ShapeID="_x0000_i1056" DrawAspect="Content" ObjectID="_1468075756" r:id="rId69">
            <o:LockedField>false</o:LockedField>
          </o:OLEObject>
        </w:object>
      </w:r>
      <w:r>
        <w:rPr>
          <w:color w:val="000000"/>
        </w:rPr>
        <w:t>——</w:t>
      </w:r>
      <w:r>
        <w:rPr>
          <w:rFonts w:hint="eastAsia"/>
          <w:color w:val="000000"/>
        </w:rPr>
        <w:t>倾角和加速度</w:t>
      </w:r>
      <w:r>
        <w:rPr>
          <w:color w:val="000000"/>
        </w:rPr>
        <w:t>测量</w:t>
      </w:r>
      <w:r>
        <w:rPr>
          <w:rFonts w:hint="eastAsia"/>
          <w:color w:val="000000"/>
        </w:rPr>
        <w:t>精度，</w:t>
      </w:r>
      <w:r>
        <w:rPr>
          <w:color w:val="000000"/>
        </w:rPr>
        <w:t>单位为</w:t>
      </w:r>
      <w:r>
        <w:rPr>
          <w:rFonts w:hint="eastAsia"/>
          <w:szCs w:val="21"/>
        </w:rPr>
        <w:t>°或mg</w:t>
      </w:r>
      <w:r>
        <w:rPr>
          <w:rFonts w:hint="eastAsia"/>
          <w:color w:val="000000"/>
        </w:rPr>
        <w:t>。</w:t>
      </w:r>
    </w:p>
    <w:p>
      <w:pPr>
        <w:pStyle w:val="3"/>
        <w:spacing w:before="240" w:after="120"/>
      </w:pPr>
      <w:bookmarkStart w:id="62" w:name="_Toc147734719"/>
      <w:r>
        <w:rPr>
          <w:rFonts w:hint="eastAsia"/>
        </w:rPr>
        <w:t>5.12 天线相位中心一致性</w:t>
      </w:r>
      <w:bookmarkEnd w:id="62"/>
    </w:p>
    <w:p>
      <w:pPr>
        <w:spacing w:before="120" w:beforeLines="50" w:after="120" w:afterLines="50"/>
        <w:ind w:firstLine="420" w:firstLineChars="200"/>
        <w:rPr>
          <w:color w:val="000000"/>
        </w:rPr>
      </w:pPr>
      <w:r>
        <w:rPr>
          <w:color w:val="000000"/>
        </w:rPr>
        <w:t>在超短基线（6m〜24m）上将接收机正确安置</w:t>
      </w:r>
      <w:r>
        <w:rPr>
          <w:rFonts w:hint="eastAsia"/>
          <w:color w:val="000000"/>
          <w:lang w:val="zh-CN"/>
        </w:rPr>
        <w:t>，</w:t>
      </w:r>
      <w:r>
        <w:rPr>
          <w:color w:val="000000"/>
          <w:lang w:val="zh-CN"/>
        </w:rPr>
        <w:t>设置</w:t>
      </w:r>
      <w:r>
        <w:rPr>
          <w:color w:val="000000"/>
        </w:rPr>
        <w:t>接收机</w:t>
      </w:r>
      <w:r>
        <w:rPr>
          <w:rFonts w:hint="eastAsia"/>
          <w:color w:val="000000"/>
        </w:rPr>
        <w:t>卫</w:t>
      </w:r>
      <w:r>
        <w:rPr>
          <w:color w:val="000000"/>
        </w:rPr>
        <w:t>星截止高度角不大于15°</w:t>
      </w:r>
      <w:r>
        <w:rPr>
          <w:rFonts w:hint="eastAsia"/>
          <w:color w:val="000000"/>
        </w:rPr>
        <w:t>，</w:t>
      </w:r>
      <w:r>
        <w:rPr>
          <w:color w:val="000000"/>
        </w:rPr>
        <w:t>采样</w:t>
      </w:r>
      <w:r>
        <w:rPr>
          <w:rFonts w:hint="eastAsia"/>
          <w:color w:val="000000"/>
        </w:rPr>
        <w:t>间</w:t>
      </w:r>
      <w:r>
        <w:rPr>
          <w:color w:val="000000"/>
        </w:rPr>
        <w:t>隔不大于15</w:t>
      </w:r>
      <w:r>
        <w:rPr>
          <w:rFonts w:hint="eastAsia"/>
          <w:color w:val="000000"/>
        </w:rPr>
        <w:t>s，</w:t>
      </w:r>
      <w:r>
        <w:rPr>
          <w:color w:val="000000"/>
        </w:rPr>
        <w:t>天线按统一约定的方向指向北，观测一个时段。然后固定一个天线，其余天线依次转动90°、180°、270°</w:t>
      </w:r>
      <w:r>
        <w:rPr>
          <w:rFonts w:hint="eastAsia"/>
          <w:color w:val="000000"/>
        </w:rPr>
        <w:t>，</w:t>
      </w:r>
      <w:r>
        <w:rPr>
          <w:color w:val="000000"/>
        </w:rPr>
        <w:t>各观测一个时段，每个时段的观测时</w:t>
      </w:r>
      <w:r>
        <w:rPr>
          <w:rFonts w:hint="eastAsia"/>
          <w:color w:val="000000"/>
        </w:rPr>
        <w:t>间</w:t>
      </w:r>
      <w:r>
        <w:rPr>
          <w:color w:val="000000"/>
        </w:rPr>
        <w:t>不应少于30min。分别求出各时段基线向量，其最大</w:t>
      </w:r>
      <w:r>
        <w:rPr>
          <w:rFonts w:hint="eastAsia"/>
          <w:color w:val="000000"/>
        </w:rPr>
        <w:t>值</w:t>
      </w:r>
      <w:r>
        <w:rPr>
          <w:color w:val="000000"/>
        </w:rPr>
        <w:t>与最小值之差的1/2作为检验结果。</w:t>
      </w:r>
    </w:p>
    <w:p>
      <w:pPr>
        <w:spacing w:after="379" w:line="1" w:lineRule="exact"/>
      </w:pPr>
    </w:p>
    <w:p>
      <w:pPr>
        <w:pStyle w:val="3"/>
        <w:spacing w:before="240" w:after="120"/>
      </w:pPr>
      <w:bookmarkStart w:id="63" w:name="_Toc147734720"/>
      <w:r>
        <w:rPr>
          <w:rFonts w:hint="eastAsia"/>
        </w:rPr>
        <w:t>5.13 数据处理软件</w:t>
      </w:r>
      <w:bookmarkEnd w:id="63"/>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5.13.1 软件安装与卸载</w:t>
      </w:r>
    </w:p>
    <w:p>
      <w:pPr>
        <w:spacing w:before="120" w:beforeLines="50" w:after="120" w:afterLines="50"/>
        <w:ind w:firstLine="420" w:firstLineChars="200"/>
        <w:rPr>
          <w:color w:val="000000"/>
        </w:rPr>
      </w:pPr>
      <w:r>
        <w:rPr>
          <w:color w:val="000000"/>
        </w:rPr>
        <w:t>按照软件说明进行软件安装。安装完毕后运行软件，至少进行一次软件运行使用；运行软件后</w:t>
      </w:r>
      <w:r>
        <w:rPr>
          <w:rFonts w:hint="eastAsia"/>
          <w:color w:val="000000"/>
          <w:lang w:val="zh-CN"/>
        </w:rPr>
        <w:t>，</w:t>
      </w:r>
      <w:r>
        <w:rPr>
          <w:color w:val="000000"/>
          <w:lang w:val="zh-CN"/>
        </w:rPr>
        <w:t>按</w:t>
      </w:r>
      <w:r>
        <w:rPr>
          <w:color w:val="000000"/>
        </w:rPr>
        <w:t>照软件提供的卸载方式卸载软件，</w:t>
      </w:r>
      <w:r>
        <w:rPr>
          <w:rFonts w:hint="eastAsia"/>
          <w:color w:val="000000"/>
        </w:rPr>
        <w:t>查</w:t>
      </w:r>
      <w:r>
        <w:rPr>
          <w:color w:val="000000"/>
        </w:rPr>
        <w:t>看是否能正常卸载。</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5.13.2 软件必备功能检查</w:t>
      </w:r>
    </w:p>
    <w:p>
      <w:pPr>
        <w:spacing w:before="120" w:beforeLines="50" w:after="120" w:afterLines="50"/>
        <w:ind w:firstLine="420" w:firstLineChars="200"/>
        <w:rPr>
          <w:color w:val="000000"/>
        </w:rPr>
      </w:pPr>
      <w:r>
        <w:rPr>
          <w:color w:val="000000"/>
        </w:rPr>
        <w:t>先进行必备功能检</w:t>
      </w:r>
      <w:r>
        <w:rPr>
          <w:rFonts w:hint="eastAsia"/>
          <w:color w:val="000000"/>
        </w:rPr>
        <w:t>查</w:t>
      </w:r>
      <w:r>
        <w:rPr>
          <w:color w:val="000000"/>
        </w:rPr>
        <w:t>，根据软件提供的功能按照数据传输、</w:t>
      </w:r>
      <w:r>
        <w:rPr>
          <w:color w:val="000000"/>
          <w:lang w:val="zh-CN"/>
        </w:rPr>
        <w:t>RTCM32</w:t>
      </w:r>
      <w:r>
        <w:rPr>
          <w:rFonts w:hint="eastAsia"/>
          <w:color w:val="000000"/>
        </w:rPr>
        <w:t>和</w:t>
      </w:r>
      <w:r>
        <w:rPr>
          <w:color w:val="000000"/>
        </w:rPr>
        <w:t>RINEX格式转换、参数设</w:t>
      </w:r>
      <w:r>
        <w:rPr>
          <w:rFonts w:hint="eastAsia"/>
          <w:color w:val="000000"/>
        </w:rPr>
        <w:t>置</w:t>
      </w:r>
      <w:r>
        <w:rPr>
          <w:color w:val="000000"/>
        </w:rPr>
        <w:t>、卫星可用性分析功能顺序进行逐项操作检</w:t>
      </w:r>
      <w:r>
        <w:rPr>
          <w:rFonts w:hint="eastAsia"/>
          <w:color w:val="000000"/>
        </w:rPr>
        <w:t>查</w:t>
      </w:r>
      <w:r>
        <w:rPr>
          <w:color w:val="000000"/>
        </w:rPr>
        <w:t>。必备功能检</w:t>
      </w:r>
      <w:r>
        <w:rPr>
          <w:rFonts w:hint="eastAsia"/>
          <w:color w:val="000000"/>
        </w:rPr>
        <w:t>查</w:t>
      </w:r>
      <w:r>
        <w:rPr>
          <w:color w:val="000000"/>
        </w:rPr>
        <w:t>通过后</w:t>
      </w:r>
      <w:r>
        <w:rPr>
          <w:rFonts w:hint="eastAsia"/>
          <w:color w:val="000000"/>
          <w:lang w:val="zh-CN"/>
        </w:rPr>
        <w:t>，</w:t>
      </w:r>
      <w:r>
        <w:rPr>
          <w:color w:val="000000"/>
          <w:lang w:val="zh-CN"/>
        </w:rPr>
        <w:t>对</w:t>
      </w:r>
      <w:r>
        <w:rPr>
          <w:color w:val="000000"/>
        </w:rPr>
        <w:t>软件说明书声称的其他功能进行逐项操作检查。</w:t>
      </w:r>
    </w:p>
    <w:p>
      <w:pPr>
        <w:pStyle w:val="3"/>
        <w:spacing w:before="240" w:after="120"/>
      </w:pPr>
      <w:bookmarkStart w:id="64" w:name="_Toc147734721"/>
      <w:r>
        <w:rPr>
          <w:rFonts w:hint="eastAsia"/>
        </w:rPr>
        <w:t>5.14 环境适应性</w:t>
      </w:r>
      <w:bookmarkEnd w:id="64"/>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5.14.1 </w:t>
      </w:r>
      <w:r>
        <w:rPr>
          <w:rFonts w:hint="eastAsia" w:ascii="Times New Roman" w:hAnsi="Times New Roman" w:cs="Times New Roman"/>
          <w:sz w:val="21"/>
          <w:szCs w:val="21"/>
          <w:lang w:bidi="ar-SA"/>
        </w:rPr>
        <w:t>工作温度</w:t>
      </w:r>
    </w:p>
    <w:p>
      <w:pPr>
        <w:spacing w:before="120" w:beforeLines="50" w:after="120" w:afterLines="50"/>
        <w:ind w:firstLine="420" w:firstLineChars="200"/>
        <w:rPr>
          <w:color w:val="000000"/>
        </w:rPr>
      </w:pPr>
      <w:r>
        <w:rPr>
          <w:color w:val="000000"/>
        </w:rPr>
        <w:t>在温度为</w:t>
      </w:r>
      <w:r>
        <w:rPr>
          <w:rFonts w:hint="eastAsia"/>
          <w:color w:val="000000"/>
        </w:rPr>
        <w:t>-25</w:t>
      </w:r>
      <w:r>
        <w:rPr>
          <w:rFonts w:hint="eastAsia" w:ascii="宋体" w:hAnsi="宋体" w:cs="宋体"/>
          <w:color w:val="000000"/>
        </w:rPr>
        <w:t>℃</w:t>
      </w:r>
      <w:r>
        <w:rPr>
          <w:color w:val="000000"/>
        </w:rPr>
        <w:t>的低温环境下进行</w:t>
      </w:r>
      <w:r>
        <w:rPr>
          <w:rFonts w:hint="eastAsia"/>
        </w:rPr>
        <w:t>静态基线精度测试</w:t>
      </w:r>
      <w:r>
        <w:rPr>
          <w:color w:val="000000"/>
        </w:rPr>
        <w:t>检验。将天线信号引入高低温试验箱</w:t>
      </w:r>
      <w:r>
        <w:rPr>
          <w:rFonts w:hint="eastAsia"/>
          <w:color w:val="000000"/>
          <w:lang w:val="zh-CN"/>
        </w:rPr>
        <w:t>，</w:t>
      </w:r>
      <w:r>
        <w:rPr>
          <w:color w:val="000000"/>
          <w:lang w:val="zh-CN"/>
        </w:rPr>
        <w:t>在</w:t>
      </w:r>
      <w:r>
        <w:rPr>
          <w:color w:val="000000"/>
        </w:rPr>
        <w:t>试验箱内温度为室温时将接收机置于试验箱内</w:t>
      </w:r>
      <w:r>
        <w:rPr>
          <w:rFonts w:hint="eastAsia"/>
          <w:color w:val="000000"/>
          <w:lang w:val="zh-CN"/>
        </w:rPr>
        <w:t>，</w:t>
      </w:r>
      <w:r>
        <w:rPr>
          <w:color w:val="000000"/>
          <w:lang w:val="zh-CN"/>
        </w:rPr>
        <w:t>并</w:t>
      </w:r>
      <w:r>
        <w:rPr>
          <w:color w:val="000000"/>
        </w:rPr>
        <w:t>开启接收机进入正常工作状态。将试验箱内温度设定为</w:t>
      </w:r>
      <w:r>
        <w:rPr>
          <w:rFonts w:hint="eastAsia"/>
          <w:color w:val="000000"/>
        </w:rPr>
        <w:t>-25</w:t>
      </w:r>
      <w:r>
        <w:rPr>
          <w:rFonts w:hint="eastAsia" w:ascii="宋体" w:hAnsi="宋体" w:cs="宋体"/>
          <w:color w:val="000000"/>
        </w:rPr>
        <w:t>℃，</w:t>
      </w:r>
      <w:r>
        <w:rPr>
          <w:color w:val="000000"/>
        </w:rPr>
        <w:t>待温度平衡后连续观测16h静态数据。采用数据处理软件解算的基</w:t>
      </w:r>
      <w:r>
        <w:rPr>
          <w:rFonts w:hint="eastAsia"/>
          <w:color w:val="000000"/>
        </w:rPr>
        <w:t>线</w:t>
      </w:r>
      <w:r>
        <w:rPr>
          <w:color w:val="000000"/>
        </w:rPr>
        <w:t>分量和长度均不大于1mm时，判定接收机在该温度下工作正常。采用同样方法将试验箱温度设定为</w:t>
      </w:r>
      <w:r>
        <w:rPr>
          <w:rFonts w:hint="eastAsia"/>
          <w:color w:val="000000"/>
        </w:rPr>
        <w:t>65</w:t>
      </w:r>
      <w:r>
        <w:rPr>
          <w:rFonts w:hint="eastAsia" w:ascii="宋体" w:hAnsi="宋体" w:cs="宋体"/>
          <w:color w:val="000000"/>
        </w:rPr>
        <w:t>℃</w:t>
      </w:r>
      <w:r>
        <w:rPr>
          <w:color w:val="000000"/>
          <w:lang w:val="zh-CN"/>
        </w:rPr>
        <w:t>进行</w:t>
      </w:r>
      <w:r>
        <w:rPr>
          <w:rFonts w:hint="eastAsia"/>
          <w:color w:val="000000"/>
        </w:rPr>
        <w:t>工</w:t>
      </w:r>
      <w:r>
        <w:rPr>
          <w:color w:val="000000"/>
        </w:rPr>
        <w:t>作高温检验。</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5.14.2 </w:t>
      </w:r>
      <w:r>
        <w:rPr>
          <w:rFonts w:hint="eastAsia" w:ascii="Times New Roman" w:hAnsi="Times New Roman" w:cs="Times New Roman"/>
          <w:sz w:val="21"/>
          <w:szCs w:val="21"/>
          <w:lang w:bidi="ar-SA"/>
        </w:rPr>
        <w:t>贮存温度</w:t>
      </w:r>
    </w:p>
    <w:p>
      <w:pPr>
        <w:spacing w:before="120" w:beforeLines="50" w:after="120" w:afterLines="50"/>
        <w:ind w:firstLine="420" w:firstLineChars="200"/>
        <w:rPr>
          <w:color w:val="000000"/>
        </w:rPr>
      </w:pPr>
      <w:r>
        <w:rPr>
          <w:color w:val="000000"/>
        </w:rPr>
        <w:t>在高低温试验箱内温度为室温时将接收机置于试验箱内。将试验箱内温度设定为</w:t>
      </w:r>
      <w:r>
        <w:rPr>
          <w:rFonts w:hint="eastAsia"/>
          <w:color w:val="000000"/>
        </w:rPr>
        <w:t>-40</w:t>
      </w:r>
      <w:r>
        <w:rPr>
          <w:rFonts w:hint="eastAsia" w:ascii="宋体" w:hAnsi="宋体" w:cs="宋体"/>
          <w:color w:val="000000"/>
        </w:rPr>
        <w:t>℃</w:t>
      </w:r>
      <w:r>
        <w:rPr>
          <w:rFonts w:hint="eastAsia"/>
          <w:color w:val="000000"/>
        </w:rPr>
        <w:t>，</w:t>
      </w:r>
      <w:r>
        <w:rPr>
          <w:color w:val="000000"/>
        </w:rPr>
        <w:t>待温度平衡后保持16</w:t>
      </w:r>
      <w:r>
        <w:rPr>
          <w:rFonts w:hint="eastAsia"/>
          <w:color w:val="000000"/>
        </w:rPr>
        <w:t>h。</w:t>
      </w:r>
      <w:r>
        <w:rPr>
          <w:color w:val="000000"/>
        </w:rPr>
        <w:t>然后将试验箱温度设定为室温，待接收机与外界温度一致后进行</w:t>
      </w:r>
      <w:r>
        <w:rPr>
          <w:rFonts w:hint="eastAsia"/>
        </w:rPr>
        <w:t>静态基线精度测试</w:t>
      </w:r>
      <w:r>
        <w:rPr>
          <w:color w:val="000000"/>
        </w:rPr>
        <w:t>检验，连续观测30min</w:t>
      </w:r>
      <w:r>
        <w:rPr>
          <w:rFonts w:hint="eastAsia"/>
          <w:color w:val="000000"/>
          <w:lang w:val="zh-CN"/>
        </w:rPr>
        <w:t>，</w:t>
      </w:r>
      <w:r>
        <w:rPr>
          <w:color w:val="000000"/>
          <w:lang w:val="zh-CN"/>
        </w:rPr>
        <w:t>采用</w:t>
      </w:r>
      <w:r>
        <w:rPr>
          <w:color w:val="000000"/>
        </w:rPr>
        <w:t>数据处理软件解算的基线分量和长度均不大于1mm时</w:t>
      </w:r>
      <w:r>
        <w:rPr>
          <w:rFonts w:hint="eastAsia"/>
          <w:color w:val="000000"/>
          <w:lang w:val="zh-CN"/>
        </w:rPr>
        <w:t>，</w:t>
      </w:r>
      <w:r>
        <w:rPr>
          <w:color w:val="000000"/>
          <w:lang w:val="zh-CN"/>
        </w:rPr>
        <w:t>判定</w:t>
      </w:r>
      <w:r>
        <w:rPr>
          <w:color w:val="000000"/>
        </w:rPr>
        <w:t>接收机在该温度下贮存后工作正常。采用同样方法将试验箱温度设定为</w:t>
      </w:r>
      <w:r>
        <w:rPr>
          <w:rFonts w:hint="eastAsia"/>
          <w:color w:val="000000"/>
        </w:rPr>
        <w:t>85</w:t>
      </w:r>
      <w:r>
        <w:rPr>
          <w:rFonts w:hint="eastAsia" w:ascii="宋体" w:hAnsi="宋体" w:cs="宋体"/>
          <w:color w:val="000000"/>
        </w:rPr>
        <w:t>℃</w:t>
      </w:r>
      <w:r>
        <w:rPr>
          <w:color w:val="000000"/>
        </w:rPr>
        <w:t>进行贮存高温检验。</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5.14.3 </w:t>
      </w:r>
      <w:r>
        <w:rPr>
          <w:rFonts w:hint="eastAsia" w:ascii="Times New Roman" w:hAnsi="Times New Roman" w:cs="Times New Roman"/>
          <w:sz w:val="21"/>
          <w:szCs w:val="21"/>
          <w:lang w:bidi="ar-SA"/>
        </w:rPr>
        <w:t>湿热</w:t>
      </w:r>
    </w:p>
    <w:p>
      <w:pPr>
        <w:spacing w:before="120" w:beforeLines="50" w:after="120" w:afterLines="50"/>
        <w:ind w:firstLine="420" w:firstLineChars="200"/>
        <w:rPr>
          <w:color w:val="000000"/>
        </w:rPr>
      </w:pPr>
      <w:r>
        <w:rPr>
          <w:color w:val="000000"/>
        </w:rPr>
        <w:t>在温度为40</w:t>
      </w:r>
      <w:r>
        <w:rPr>
          <w:rFonts w:hint="eastAsia" w:ascii="宋体" w:hAnsi="宋体" w:cs="宋体"/>
          <w:color w:val="000000"/>
        </w:rPr>
        <w:t>℃</w:t>
      </w:r>
      <w:r>
        <w:rPr>
          <w:color w:val="000000"/>
          <w:lang w:val="zh-CN"/>
        </w:rPr>
        <w:t>相</w:t>
      </w:r>
      <w:r>
        <w:rPr>
          <w:color w:val="000000"/>
        </w:rPr>
        <w:t>对湿度为93%的湿热环境下进行</w:t>
      </w:r>
      <w:r>
        <w:rPr>
          <w:rFonts w:hint="eastAsia"/>
        </w:rPr>
        <w:t>静态基线精度测试</w:t>
      </w:r>
      <w:r>
        <w:rPr>
          <w:color w:val="000000"/>
        </w:rPr>
        <w:t>检验。将天线信号引入高低温试验箱，在高低温试验箱内温度为室温时将接收机置于试验箱内，并开启接收机进入正常工作状态。将试</w:t>
      </w:r>
      <w:r>
        <w:rPr>
          <w:rFonts w:hint="eastAsia"/>
          <w:color w:val="000000"/>
        </w:rPr>
        <w:t>验</w:t>
      </w:r>
      <w:r>
        <w:rPr>
          <w:color w:val="000000"/>
        </w:rPr>
        <w:t>箱内温度设定为40°C相对湿度设定为93%</w:t>
      </w:r>
      <w:r>
        <w:rPr>
          <w:rFonts w:hint="eastAsia"/>
          <w:color w:val="000000"/>
        </w:rPr>
        <w:t>，</w:t>
      </w:r>
      <w:r>
        <w:rPr>
          <w:color w:val="000000"/>
        </w:rPr>
        <w:t>待温度和相对湿度平衡后连续观测12h。采用基线数据处理软件解算的基线分量和长度若均不大于1mm时</w:t>
      </w:r>
      <w:r>
        <w:rPr>
          <w:rFonts w:hint="eastAsia"/>
          <w:color w:val="000000"/>
        </w:rPr>
        <w:t>，</w:t>
      </w:r>
      <w:r>
        <w:rPr>
          <w:color w:val="000000"/>
        </w:rPr>
        <w:t>判定接收机在该湿热环境下工作</w:t>
      </w:r>
      <w:r>
        <w:rPr>
          <w:color w:val="000000"/>
          <w:lang w:val="zh-CN"/>
        </w:rPr>
        <w:t>正常。</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5.14.4 </w:t>
      </w:r>
      <w:r>
        <w:rPr>
          <w:rFonts w:hint="eastAsia" w:ascii="Times New Roman" w:hAnsi="Times New Roman" w:cs="Times New Roman"/>
          <w:sz w:val="21"/>
          <w:szCs w:val="21"/>
          <w:lang w:bidi="ar-SA"/>
        </w:rPr>
        <w:t>振动</w:t>
      </w:r>
    </w:p>
    <w:p>
      <w:pPr>
        <w:spacing w:before="120" w:beforeLines="50" w:after="120" w:afterLines="50"/>
        <w:ind w:firstLine="420" w:firstLineChars="200"/>
        <w:rPr>
          <w:color w:val="000000"/>
        </w:rPr>
      </w:pPr>
      <w:r>
        <w:rPr>
          <w:color w:val="000000"/>
        </w:rPr>
        <w:t>将接收机置于振动检验台，按照表5、表6的振动环境参数进行正弦振动不少于一个循环，平稳随机振动不少于30min。振动后检</w:t>
      </w:r>
      <w:r>
        <w:rPr>
          <w:rFonts w:hint="eastAsia"/>
          <w:color w:val="000000"/>
        </w:rPr>
        <w:t>查</w:t>
      </w:r>
      <w:r>
        <w:rPr>
          <w:color w:val="000000"/>
        </w:rPr>
        <w:t>接收机是否能正常工作，目测外观结构是否完好。</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5.14.5 </w:t>
      </w:r>
      <w:r>
        <w:rPr>
          <w:rFonts w:hint="eastAsia" w:ascii="Times New Roman" w:hAnsi="Times New Roman" w:cs="Times New Roman"/>
          <w:sz w:val="21"/>
          <w:szCs w:val="21"/>
          <w:lang w:bidi="ar-SA"/>
        </w:rPr>
        <w:t>防尘</w:t>
      </w:r>
    </w:p>
    <w:p>
      <w:pPr>
        <w:spacing w:before="120" w:beforeLines="50" w:after="120" w:afterLines="50"/>
        <w:ind w:firstLine="420" w:firstLineChars="200"/>
        <w:rPr>
          <w:color w:val="000000"/>
        </w:rPr>
      </w:pPr>
      <w:r>
        <w:rPr>
          <w:color w:val="000000"/>
          <w:lang w:val="zh-TW" w:eastAsia="zh-TW"/>
        </w:rPr>
        <w:t>按照</w:t>
      </w:r>
      <w:r>
        <w:rPr>
          <w:color w:val="000000"/>
        </w:rPr>
        <w:t xml:space="preserve">GB/T </w:t>
      </w:r>
      <w:r>
        <w:rPr>
          <w:color w:val="000000"/>
          <w:lang w:val="zh-TW" w:eastAsia="zh-TW"/>
        </w:rPr>
        <w:t>4208</w:t>
      </w:r>
      <w:r>
        <w:rPr>
          <w:rFonts w:hint="eastAsia"/>
          <w:color w:val="000000"/>
        </w:rPr>
        <w:t>-</w:t>
      </w:r>
      <w:r>
        <w:rPr>
          <w:color w:val="000000"/>
          <w:lang w:val="zh-TW" w:eastAsia="zh-TW"/>
        </w:rPr>
        <w:t>2017中</w:t>
      </w:r>
      <w:r>
        <w:rPr>
          <w:color w:val="000000"/>
        </w:rPr>
        <w:t>13.4</w:t>
      </w:r>
      <w:r>
        <w:rPr>
          <w:color w:val="000000"/>
          <w:lang w:val="zh-TW" w:eastAsia="zh-TW"/>
        </w:rPr>
        <w:t>的规定进行。</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5.14.6 </w:t>
      </w:r>
      <w:r>
        <w:rPr>
          <w:rFonts w:hint="eastAsia" w:ascii="Times New Roman" w:hAnsi="Times New Roman" w:cs="Times New Roman"/>
          <w:sz w:val="21"/>
          <w:szCs w:val="21"/>
          <w:lang w:bidi="ar-SA"/>
        </w:rPr>
        <w:t>防水</w:t>
      </w:r>
    </w:p>
    <w:p>
      <w:pPr>
        <w:spacing w:before="120" w:beforeLines="50" w:after="120" w:afterLines="50"/>
        <w:ind w:firstLine="420" w:firstLineChars="200"/>
        <w:rPr>
          <w:color w:val="000000"/>
          <w:lang w:val="zh-TW" w:eastAsia="zh-TW"/>
        </w:rPr>
      </w:pPr>
      <w:r>
        <w:rPr>
          <w:color w:val="000000"/>
          <w:lang w:val="zh-TW" w:eastAsia="zh-TW"/>
        </w:rPr>
        <w:t>按照</w:t>
      </w:r>
      <w:r>
        <w:rPr>
          <w:color w:val="000000"/>
        </w:rPr>
        <w:t xml:space="preserve">GB/T </w:t>
      </w:r>
      <w:r>
        <w:rPr>
          <w:color w:val="000000"/>
          <w:lang w:val="zh-TW" w:eastAsia="zh-TW"/>
        </w:rPr>
        <w:t>4208</w:t>
      </w:r>
      <w:r>
        <w:rPr>
          <w:rFonts w:hint="eastAsia"/>
          <w:color w:val="000000"/>
        </w:rPr>
        <w:t>-</w:t>
      </w:r>
      <w:r>
        <w:rPr>
          <w:color w:val="000000"/>
          <w:lang w:val="zh-TW" w:eastAsia="zh-TW"/>
        </w:rPr>
        <w:t>2017中</w:t>
      </w:r>
      <w:r>
        <w:rPr>
          <w:color w:val="000000"/>
        </w:rPr>
        <w:t>14.2.5</w:t>
      </w:r>
      <w:r>
        <w:rPr>
          <w:color w:val="000000"/>
          <w:lang w:val="zh-TW" w:eastAsia="zh-TW"/>
        </w:rPr>
        <w:t>的规定进行。</w:t>
      </w:r>
    </w:p>
    <w:p>
      <w:pPr>
        <w:pStyle w:val="3"/>
        <w:spacing w:before="240" w:after="120"/>
      </w:pPr>
      <w:bookmarkStart w:id="65" w:name="_Toc147734722"/>
      <w:r>
        <w:rPr>
          <w:rFonts w:hint="eastAsia"/>
        </w:rPr>
        <w:t>5.15 安全防护</w:t>
      </w:r>
      <w:bookmarkEnd w:id="65"/>
    </w:p>
    <w:p>
      <w:pPr>
        <w:spacing w:before="120" w:beforeLines="50" w:after="120" w:afterLines="50"/>
        <w:ind w:firstLine="420" w:firstLineChars="200"/>
        <w:rPr>
          <w:color w:val="000000"/>
          <w:lang w:val="zh-TW" w:eastAsia="zh-TW"/>
        </w:rPr>
      </w:pPr>
      <w:r>
        <w:rPr>
          <w:color w:val="000000"/>
          <w:lang w:val="zh-TW" w:eastAsia="zh-TW"/>
        </w:rPr>
        <w:t>安全防护检</w:t>
      </w:r>
      <w:r>
        <w:rPr>
          <w:rFonts w:hint="eastAsia"/>
          <w:color w:val="000000"/>
          <w:lang w:val="zh-TW"/>
        </w:rPr>
        <w:t>验</w:t>
      </w:r>
      <w:r>
        <w:rPr>
          <w:color w:val="000000"/>
          <w:lang w:val="zh-TW" w:eastAsia="zh-TW"/>
        </w:rPr>
        <w:t>方法如下：</w:t>
      </w:r>
    </w:p>
    <w:p>
      <w:pPr>
        <w:numPr>
          <w:ilvl w:val="0"/>
          <w:numId w:val="26"/>
        </w:numPr>
        <w:spacing w:before="120" w:beforeLines="50" w:after="120" w:afterLines="50"/>
        <w:ind w:firstLine="420" w:firstLineChars="200"/>
        <w:rPr>
          <w:color w:val="000000"/>
          <w:lang w:val="zh-TW" w:eastAsia="zh-TW"/>
        </w:rPr>
      </w:pPr>
      <w:r>
        <w:rPr>
          <w:color w:val="000000"/>
          <w:lang w:val="zh-TW" w:eastAsia="zh-TW"/>
        </w:rPr>
        <w:t>按照产品使用说明检查各接口端是否有明显标记和防插错措施，接口是否具有防静电功能；</w:t>
      </w:r>
    </w:p>
    <w:p>
      <w:pPr>
        <w:numPr>
          <w:ilvl w:val="0"/>
          <w:numId w:val="26"/>
        </w:numPr>
        <w:spacing w:before="120" w:beforeLines="50" w:after="120" w:afterLines="50"/>
        <w:ind w:firstLine="420" w:firstLineChars="200"/>
        <w:rPr>
          <w:color w:val="000000"/>
          <w:lang w:val="zh-TW" w:eastAsia="zh-TW"/>
        </w:rPr>
      </w:pPr>
      <w:r>
        <w:rPr>
          <w:color w:val="000000"/>
          <w:lang w:val="zh-TW" w:eastAsia="zh-TW"/>
        </w:rPr>
        <w:t>对接收机的电源进行过流、过压、电源瞬间变化和偶然极性反接操作，各保持1</w:t>
      </w:r>
      <w:r>
        <w:rPr>
          <w:color w:val="000000"/>
        </w:rPr>
        <w:t>min</w:t>
      </w:r>
      <w:r>
        <w:rPr>
          <w:color w:val="000000"/>
          <w:lang w:val="zh-TW" w:eastAsia="zh-TW"/>
        </w:rPr>
        <w:t>后，再接入正常电源，观察接收机能否正常定位。</w:t>
      </w:r>
    </w:p>
    <w:p>
      <w:pPr>
        <w:pStyle w:val="3"/>
        <w:spacing w:before="240" w:after="120"/>
      </w:pPr>
      <w:bookmarkStart w:id="66" w:name="_Toc147734723"/>
      <w:r>
        <w:rPr>
          <w:rFonts w:hint="eastAsia"/>
        </w:rPr>
        <w:t>5.16 电磁兼容性</w:t>
      </w:r>
      <w:bookmarkEnd w:id="66"/>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5.16.1 辐射骚扰场强</w:t>
      </w:r>
    </w:p>
    <w:p>
      <w:pPr>
        <w:spacing w:before="120" w:beforeLines="50" w:after="120" w:afterLines="50"/>
        <w:ind w:firstLine="420" w:firstLineChars="200"/>
        <w:rPr>
          <w:color w:val="000000"/>
          <w:lang w:val="zh-TW" w:eastAsia="zh-TW"/>
        </w:rPr>
      </w:pPr>
      <w:r>
        <w:rPr>
          <w:color w:val="000000"/>
          <w:lang w:val="zh-TW" w:eastAsia="zh-TW"/>
        </w:rPr>
        <w:t>按</w:t>
      </w:r>
      <w:r>
        <w:rPr>
          <w:rFonts w:hint="eastAsia"/>
          <w:color w:val="000000"/>
        </w:rPr>
        <w:t>G</w:t>
      </w:r>
      <w:r>
        <w:rPr>
          <w:color w:val="000000"/>
        </w:rPr>
        <w:t>B/T 9254</w:t>
      </w:r>
      <w:r>
        <w:rPr>
          <w:rFonts w:hint="eastAsia"/>
          <w:color w:val="000000"/>
        </w:rPr>
        <w:t>-</w:t>
      </w:r>
      <w:r>
        <w:rPr>
          <w:color w:val="000000"/>
        </w:rPr>
        <w:t>2008</w:t>
      </w:r>
      <w:r>
        <w:rPr>
          <w:color w:val="000000"/>
          <w:lang w:val="zh-TW" w:eastAsia="zh-TW"/>
        </w:rPr>
        <w:t>中</w:t>
      </w:r>
      <w:r>
        <w:rPr>
          <w:color w:val="000000"/>
        </w:rPr>
        <w:t>10.6</w:t>
      </w:r>
      <w:r>
        <w:rPr>
          <w:color w:val="000000"/>
          <w:lang w:val="zh-TW" w:eastAsia="zh-TW"/>
        </w:rPr>
        <w:t>规定的方法进行。</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5.16.2 射频电磁场辐射抗扰度</w:t>
      </w:r>
    </w:p>
    <w:p>
      <w:pPr>
        <w:spacing w:before="120" w:beforeLines="50" w:after="120" w:afterLines="50"/>
        <w:ind w:firstLine="420" w:firstLineChars="200"/>
        <w:rPr>
          <w:color w:val="000000"/>
          <w:lang w:val="zh-TW" w:eastAsia="zh-TW"/>
        </w:rPr>
      </w:pPr>
      <w:r>
        <w:rPr>
          <w:color w:val="000000"/>
          <w:lang w:val="zh-TW" w:eastAsia="zh-TW"/>
        </w:rPr>
        <w:t>按</w:t>
      </w:r>
      <w:r>
        <w:rPr>
          <w:color w:val="000000"/>
        </w:rPr>
        <w:t>GB/T 17626.3-2016</w:t>
      </w:r>
      <w:r>
        <w:rPr>
          <w:color w:val="000000"/>
          <w:lang w:val="zh-TW" w:eastAsia="zh-TW"/>
        </w:rPr>
        <w:t>中第8章规定的方法进行，检验过程中查看接收机</w:t>
      </w:r>
      <w:r>
        <w:rPr>
          <w:color w:val="000000"/>
        </w:rPr>
        <w:t>RTK</w:t>
      </w:r>
      <w:r>
        <w:rPr>
          <w:color w:val="000000"/>
          <w:lang w:val="zh-TW" w:eastAsia="zh-TW"/>
        </w:rPr>
        <w:t>能否正常工作。</w:t>
      </w:r>
    </w:p>
    <w:p>
      <w:pPr>
        <w:pStyle w:val="3"/>
        <w:spacing w:before="240" w:after="120"/>
      </w:pPr>
      <w:bookmarkStart w:id="67" w:name="_Toc147734724"/>
      <w:r>
        <w:rPr>
          <w:rFonts w:hint="eastAsia"/>
        </w:rPr>
        <w:t>5.17 可靠性</w:t>
      </w:r>
      <w:bookmarkEnd w:id="67"/>
    </w:p>
    <w:p>
      <w:pPr>
        <w:spacing w:before="120" w:beforeLines="50" w:after="120" w:afterLines="50"/>
        <w:ind w:firstLine="420" w:firstLineChars="200"/>
        <w:rPr>
          <w:color w:val="000000"/>
          <w:lang w:val="zh-TW" w:eastAsia="zh-TW"/>
        </w:rPr>
      </w:pPr>
      <w:r>
        <w:rPr>
          <w:color w:val="000000"/>
          <w:lang w:val="zh-TW" w:eastAsia="zh-TW"/>
        </w:rPr>
        <w:t>可靠性检验方法如下：</w:t>
      </w:r>
    </w:p>
    <w:p>
      <w:pPr>
        <w:numPr>
          <w:ilvl w:val="0"/>
          <w:numId w:val="27"/>
        </w:numPr>
        <w:spacing w:before="120" w:beforeLines="50" w:after="120" w:afterLines="50"/>
        <w:ind w:firstLine="420" w:firstLineChars="200"/>
        <w:rPr>
          <w:color w:val="000000"/>
          <w:lang w:eastAsia="en-US"/>
        </w:rPr>
      </w:pPr>
      <w:r>
        <w:rPr>
          <w:color w:val="000000"/>
          <w:lang w:eastAsia="en-US"/>
        </w:rPr>
        <w:t>试验方案要求如下：</w:t>
      </w:r>
    </w:p>
    <w:p>
      <w:pPr>
        <w:numPr>
          <w:ilvl w:val="0"/>
          <w:numId w:val="28"/>
        </w:numPr>
        <w:spacing w:before="120" w:beforeLines="50" w:after="120" w:afterLines="50"/>
        <w:ind w:firstLine="840" w:firstLineChars="400"/>
        <w:rPr>
          <w:color w:val="000000"/>
        </w:rPr>
      </w:pPr>
      <w:r>
        <w:rPr>
          <w:color w:val="000000"/>
        </w:rPr>
        <w:t>接收机的可靠性试验方案，应根据生产</w:t>
      </w:r>
      <w:r>
        <w:rPr>
          <w:rFonts w:hint="eastAsia"/>
          <w:color w:val="000000"/>
        </w:rPr>
        <w:t>批量</w:t>
      </w:r>
      <w:r>
        <w:rPr>
          <w:color w:val="000000"/>
        </w:rPr>
        <w:t>的多少和生产方可能提供的试验条</w:t>
      </w:r>
      <w:r>
        <w:rPr>
          <w:rFonts w:hint="eastAsia"/>
          <w:color w:val="000000"/>
        </w:rPr>
        <w:t>件，由</w:t>
      </w:r>
      <w:r>
        <w:rPr>
          <w:color w:val="000000"/>
        </w:rPr>
        <w:t>生产方和使用方按照2）和3）描述的试验方案协商确定；</w:t>
      </w:r>
    </w:p>
    <w:p>
      <w:pPr>
        <w:numPr>
          <w:ilvl w:val="0"/>
          <w:numId w:val="28"/>
        </w:numPr>
        <w:spacing w:before="120" w:beforeLines="50" w:after="120" w:afterLines="50"/>
        <w:ind w:firstLine="840" w:firstLineChars="400"/>
        <w:rPr>
          <w:color w:val="000000"/>
        </w:rPr>
      </w:pPr>
      <w:r>
        <w:rPr>
          <w:color w:val="000000"/>
        </w:rPr>
        <w:t>在接收机定型时，应进行可靠</w:t>
      </w:r>
      <w:r>
        <w:rPr>
          <w:color w:val="000000"/>
          <w:lang w:val="zh-CN"/>
        </w:rPr>
        <w:t>性试</w:t>
      </w:r>
      <w:r>
        <w:rPr>
          <w:rFonts w:hint="eastAsia"/>
          <w:color w:val="000000"/>
          <w:lang w:val="zh-CN"/>
        </w:rPr>
        <w:t>验</w:t>
      </w:r>
      <w:r>
        <w:rPr>
          <w:color w:val="000000"/>
        </w:rPr>
        <w:t>，</w:t>
      </w:r>
      <w:r>
        <w:rPr>
          <w:rFonts w:hint="eastAsia"/>
          <w:color w:val="000000"/>
        </w:rPr>
        <w:t>验</w:t>
      </w:r>
      <w:r>
        <w:rPr>
          <w:color w:val="000000"/>
        </w:rPr>
        <w:t>证产品是否达到规定的可靠性要求，试</w:t>
      </w:r>
      <w:r>
        <w:rPr>
          <w:rFonts w:hint="eastAsia"/>
          <w:color w:val="000000"/>
        </w:rPr>
        <w:t>验</w:t>
      </w:r>
      <w:r>
        <w:rPr>
          <w:color w:val="000000"/>
        </w:rPr>
        <w:t>方案可选用</w:t>
      </w:r>
      <w:r>
        <w:rPr>
          <w:rFonts w:hint="eastAsia"/>
          <w:color w:val="000000"/>
        </w:rPr>
        <w:t>GB/</w:t>
      </w:r>
      <w:r>
        <w:rPr>
          <w:color w:val="000000"/>
        </w:rPr>
        <w:t>T 5080.7中定时（定数）截尾试验方案；</w:t>
      </w:r>
    </w:p>
    <w:p>
      <w:pPr>
        <w:numPr>
          <w:ilvl w:val="0"/>
          <w:numId w:val="28"/>
        </w:numPr>
        <w:spacing w:before="120" w:beforeLines="50" w:after="120" w:afterLines="50"/>
        <w:ind w:firstLine="840" w:firstLineChars="400"/>
        <w:rPr>
          <w:color w:val="000000"/>
        </w:rPr>
      </w:pPr>
      <w:r>
        <w:rPr>
          <w:color w:val="000000"/>
        </w:rPr>
        <w:t>在接收机批</w:t>
      </w:r>
      <w:r>
        <w:rPr>
          <w:rFonts w:hint="eastAsia"/>
          <w:color w:val="000000"/>
        </w:rPr>
        <w:t>量</w:t>
      </w:r>
      <w:r>
        <w:rPr>
          <w:color w:val="000000"/>
        </w:rPr>
        <w:t>生产验收且不需要估计MTBF的真值时，应以预定的判决风险率</w:t>
      </w:r>
      <w:r>
        <w:rPr>
          <w:color w:val="000000"/>
          <w:position w:val="-10"/>
          <w:lang w:eastAsia="en-US"/>
        </w:rPr>
        <w:object>
          <v:shape id="_x0000_i1057" o:spt="75" type="#_x0000_t75" style="height:15.05pt;width:33.2pt;" o:ole="t" filled="f" o:preferrelative="t" stroked="f" coordsize="21600,21600">
            <v:path/>
            <v:fill on="f" focussize="0,0"/>
            <v:stroke on="f" joinstyle="miter"/>
            <v:imagedata r:id="rId72" o:title=""/>
            <o:lock v:ext="edit" aspectratio="t"/>
            <w10:wrap type="none"/>
            <w10:anchorlock/>
          </v:shape>
          <o:OLEObject Type="Embed" ProgID="Equation.3" ShapeID="_x0000_i1057" DrawAspect="Content" ObjectID="_1468075757" r:id="rId71">
            <o:LockedField>false</o:LockedField>
          </o:OLEObject>
        </w:object>
      </w:r>
      <w:r>
        <w:rPr>
          <w:color w:val="000000"/>
        </w:rPr>
        <w:t>，对规定的MTBF值作合格与否的判断。试验方案可选用GB/T 5080.7中截尾序贯试验方案。</w:t>
      </w:r>
    </w:p>
    <w:p>
      <w:pPr>
        <w:numPr>
          <w:ilvl w:val="0"/>
          <w:numId w:val="27"/>
        </w:numPr>
        <w:spacing w:before="120" w:beforeLines="50" w:after="120" w:afterLines="50"/>
        <w:ind w:firstLine="420" w:firstLineChars="200"/>
        <w:rPr>
          <w:color w:val="000000"/>
          <w:lang w:eastAsia="en-US"/>
        </w:rPr>
      </w:pPr>
      <w:r>
        <w:rPr>
          <w:color w:val="000000"/>
          <w:lang w:eastAsia="en-US"/>
        </w:rPr>
        <w:t>受试样本数量要求：</w:t>
      </w:r>
    </w:p>
    <w:p>
      <w:pPr>
        <w:spacing w:before="120" w:beforeLines="50" w:after="120" w:afterLines="50"/>
        <w:ind w:firstLine="840" w:firstLineChars="400"/>
        <w:rPr>
          <w:color w:val="000000"/>
        </w:rPr>
      </w:pPr>
      <w:bookmarkStart w:id="68" w:name="bookmark132"/>
      <w:r>
        <w:rPr>
          <w:color w:val="000000"/>
        </w:rPr>
        <w:t>1</w:t>
      </w:r>
      <w:bookmarkEnd w:id="68"/>
      <w:r>
        <w:rPr>
          <w:color w:val="000000"/>
        </w:rPr>
        <w:t>）</w:t>
      </w:r>
      <w:r>
        <w:rPr>
          <w:rFonts w:hint="eastAsia"/>
          <w:color w:val="000000"/>
        </w:rPr>
        <w:t xml:space="preserve"> </w:t>
      </w:r>
      <w:r>
        <w:rPr>
          <w:color w:val="000000"/>
        </w:rPr>
        <w:t>可靠性试验受试样本的数量应在有关合同中规定或者由生产方和使用方商定；</w:t>
      </w:r>
    </w:p>
    <w:p>
      <w:pPr>
        <w:spacing w:before="120" w:beforeLines="50" w:after="120" w:afterLines="50"/>
        <w:ind w:firstLine="840" w:firstLineChars="400"/>
        <w:rPr>
          <w:color w:val="000000"/>
        </w:rPr>
      </w:pPr>
      <w:bookmarkStart w:id="69" w:name="bookmark133"/>
      <w:r>
        <w:rPr>
          <w:color w:val="000000"/>
        </w:rPr>
        <w:t>2</w:t>
      </w:r>
      <w:bookmarkEnd w:id="69"/>
      <w:r>
        <w:rPr>
          <w:color w:val="000000"/>
        </w:rPr>
        <w:t>）</w:t>
      </w:r>
      <w:r>
        <w:rPr>
          <w:rFonts w:hint="eastAsia"/>
          <w:color w:val="000000"/>
        </w:rPr>
        <w:t xml:space="preserve"> </w:t>
      </w:r>
      <w:r>
        <w:rPr>
          <w:color w:val="000000"/>
        </w:rPr>
        <w:t>最佳受试样本的数量推荐如表8所示。</w:t>
      </w:r>
    </w:p>
    <w:p>
      <w:pPr>
        <w:spacing w:before="120" w:beforeLines="50" w:after="120" w:afterLines="50"/>
        <w:jc w:val="center"/>
        <w:rPr>
          <w:color w:val="000000"/>
        </w:rPr>
      </w:pPr>
      <w:r>
        <w:rPr>
          <w:color w:val="000000"/>
        </w:rPr>
        <w:t>表8最佳受试样本推荐数量</w:t>
      </w:r>
    </w:p>
    <w:tbl>
      <w:tblPr>
        <w:tblStyle w:val="23"/>
        <w:tblW w:w="8241" w:type="dxa"/>
        <w:jc w:val="center"/>
        <w:tblLayout w:type="fixed"/>
        <w:tblCellMar>
          <w:top w:w="0" w:type="dxa"/>
          <w:left w:w="10" w:type="dxa"/>
          <w:bottom w:w="0" w:type="dxa"/>
          <w:right w:w="10" w:type="dxa"/>
        </w:tblCellMar>
      </w:tblPr>
      <w:tblGrid>
        <w:gridCol w:w="4750"/>
        <w:gridCol w:w="3491"/>
      </w:tblGrid>
      <w:tr>
        <w:tblPrEx>
          <w:tblCellMar>
            <w:top w:w="0" w:type="dxa"/>
            <w:left w:w="10" w:type="dxa"/>
            <w:bottom w:w="0" w:type="dxa"/>
            <w:right w:w="10" w:type="dxa"/>
          </w:tblCellMar>
        </w:tblPrEx>
        <w:trPr>
          <w:trHeight w:val="495" w:hRule="exact"/>
          <w:jc w:val="center"/>
        </w:trPr>
        <w:tc>
          <w:tcPr>
            <w:tcW w:w="4750" w:type="dxa"/>
            <w:tcBorders>
              <w:top w:val="single" w:color="auto" w:sz="4" w:space="0"/>
              <w:lef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批量大小</w:t>
            </w:r>
          </w:p>
        </w:tc>
        <w:tc>
          <w:tcPr>
            <w:tcW w:w="3491" w:type="dxa"/>
            <w:tcBorders>
              <w:top w:val="single" w:color="auto" w:sz="4" w:space="0"/>
              <w:left w:val="single" w:color="auto" w:sz="4" w:space="0"/>
              <w:righ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最佳样本数</w:t>
            </w:r>
          </w:p>
        </w:tc>
      </w:tr>
      <w:tr>
        <w:tblPrEx>
          <w:tblCellMar>
            <w:top w:w="0" w:type="dxa"/>
            <w:left w:w="10" w:type="dxa"/>
            <w:bottom w:w="0" w:type="dxa"/>
            <w:right w:w="10" w:type="dxa"/>
          </w:tblCellMar>
        </w:tblPrEx>
        <w:trPr>
          <w:trHeight w:val="480" w:hRule="exact"/>
          <w:jc w:val="center"/>
        </w:trPr>
        <w:tc>
          <w:tcPr>
            <w:tcW w:w="4750" w:type="dxa"/>
            <w:tcBorders>
              <w:top w:val="single" w:color="auto" w:sz="4" w:space="0"/>
              <w:lef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1〜3</w:t>
            </w:r>
          </w:p>
        </w:tc>
        <w:tc>
          <w:tcPr>
            <w:tcW w:w="3491" w:type="dxa"/>
            <w:tcBorders>
              <w:top w:val="single" w:color="auto" w:sz="4" w:space="0"/>
              <w:left w:val="single" w:color="auto" w:sz="4" w:space="0"/>
              <w:righ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全部</w:t>
            </w:r>
          </w:p>
        </w:tc>
      </w:tr>
      <w:tr>
        <w:tblPrEx>
          <w:tblCellMar>
            <w:top w:w="0" w:type="dxa"/>
            <w:left w:w="10" w:type="dxa"/>
            <w:bottom w:w="0" w:type="dxa"/>
            <w:right w:w="10" w:type="dxa"/>
          </w:tblCellMar>
        </w:tblPrEx>
        <w:trPr>
          <w:trHeight w:val="465" w:hRule="exact"/>
          <w:jc w:val="center"/>
        </w:trPr>
        <w:tc>
          <w:tcPr>
            <w:tcW w:w="4750" w:type="dxa"/>
            <w:tcBorders>
              <w:top w:val="single" w:color="auto" w:sz="4" w:space="0"/>
              <w:lef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4〜50</w:t>
            </w:r>
          </w:p>
        </w:tc>
        <w:tc>
          <w:tcPr>
            <w:tcW w:w="3491" w:type="dxa"/>
            <w:tcBorders>
              <w:top w:val="single" w:color="auto" w:sz="4" w:space="0"/>
              <w:left w:val="single" w:color="auto" w:sz="4" w:space="0"/>
              <w:righ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4</w:t>
            </w:r>
          </w:p>
        </w:tc>
      </w:tr>
      <w:tr>
        <w:tblPrEx>
          <w:tblCellMar>
            <w:top w:w="0" w:type="dxa"/>
            <w:left w:w="10" w:type="dxa"/>
            <w:bottom w:w="0" w:type="dxa"/>
            <w:right w:w="10" w:type="dxa"/>
          </w:tblCellMar>
        </w:tblPrEx>
        <w:trPr>
          <w:trHeight w:val="510" w:hRule="exact"/>
          <w:jc w:val="center"/>
        </w:trPr>
        <w:tc>
          <w:tcPr>
            <w:tcW w:w="4750" w:type="dxa"/>
            <w:tcBorders>
              <w:top w:val="single" w:color="auto" w:sz="4" w:space="0"/>
              <w:left w:val="single" w:color="auto" w:sz="4" w:space="0"/>
              <w:bottom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51〜100</w:t>
            </w:r>
          </w:p>
        </w:tc>
        <w:tc>
          <w:tcPr>
            <w:tcW w:w="349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8</w:t>
            </w:r>
          </w:p>
        </w:tc>
      </w:tr>
    </w:tbl>
    <w:p>
      <w:pPr>
        <w:numPr>
          <w:ilvl w:val="0"/>
          <w:numId w:val="27"/>
        </w:numPr>
        <w:spacing w:before="120" w:beforeLines="50" w:after="120" w:afterLines="50"/>
        <w:ind w:firstLine="420" w:firstLineChars="200"/>
        <w:rPr>
          <w:color w:val="000000"/>
        </w:rPr>
      </w:pPr>
      <w:r>
        <w:rPr>
          <w:color w:val="000000"/>
        </w:rPr>
        <w:t>失效判决：失效判决准则按照GB/T 5080.1</w:t>
      </w:r>
      <w:r>
        <w:rPr>
          <w:rFonts w:hint="eastAsia"/>
          <w:color w:val="000000"/>
        </w:rPr>
        <w:t>-</w:t>
      </w:r>
      <w:r>
        <w:rPr>
          <w:color w:val="000000"/>
        </w:rPr>
        <w:t>2012中7.2规定执行。</w:t>
      </w:r>
    </w:p>
    <w:p>
      <w:pPr>
        <w:pStyle w:val="2"/>
        <w:spacing w:before="120" w:beforeLines="50" w:after="120" w:line="240" w:lineRule="auto"/>
        <w:rPr>
          <w:rFonts w:ascii="宋体" w:hAnsi="宋体" w:cs="宋体"/>
          <w:szCs w:val="32"/>
        </w:rPr>
      </w:pPr>
      <w:bookmarkStart w:id="70" w:name="_Toc147734725"/>
      <w:r>
        <w:rPr>
          <w:rFonts w:hint="eastAsia" w:ascii="宋体" w:hAnsi="宋体" w:cs="宋体"/>
        </w:rPr>
        <w:t>6</w:t>
      </w:r>
      <w:r>
        <w:rPr>
          <w:rFonts w:hint="eastAsia" w:ascii="宋体" w:hAnsi="宋体" w:cs="宋体"/>
          <w:b/>
          <w:szCs w:val="32"/>
        </w:rPr>
        <w:t xml:space="preserve"> </w:t>
      </w:r>
      <w:r>
        <w:rPr>
          <w:rFonts w:hint="eastAsia" w:ascii="宋体" w:hAnsi="宋体" w:cs="宋体"/>
        </w:rPr>
        <w:t>质量评定程序</w:t>
      </w:r>
      <w:bookmarkEnd w:id="70"/>
    </w:p>
    <w:p>
      <w:pPr>
        <w:pStyle w:val="3"/>
        <w:spacing w:before="240" w:after="120"/>
      </w:pPr>
      <w:bookmarkStart w:id="71" w:name="_Toc147734726"/>
      <w:bookmarkStart w:id="72" w:name="_Toc533088222"/>
      <w:r>
        <w:rPr>
          <w:rFonts w:hint="eastAsia"/>
        </w:rPr>
        <w:t>6.1 检验分类</w:t>
      </w:r>
      <w:bookmarkEnd w:id="71"/>
    </w:p>
    <w:p>
      <w:pPr>
        <w:spacing w:before="120" w:beforeLines="50" w:after="120" w:afterLines="50"/>
        <w:ind w:firstLine="420" w:firstLineChars="200"/>
        <w:rPr>
          <w:color w:val="000000"/>
        </w:rPr>
      </w:pPr>
      <w:r>
        <w:rPr>
          <w:rFonts w:hint="eastAsia"/>
          <w:color w:val="000000"/>
        </w:rPr>
        <w:t>本标准规定的检验分类如下：</w:t>
      </w:r>
    </w:p>
    <w:p>
      <w:pPr>
        <w:numPr>
          <w:ilvl w:val="0"/>
          <w:numId w:val="29"/>
        </w:numPr>
        <w:spacing w:before="120" w:beforeLines="50" w:after="120" w:afterLines="50"/>
        <w:ind w:firstLine="420" w:firstLineChars="200"/>
        <w:rPr>
          <w:color w:val="000000"/>
        </w:rPr>
      </w:pPr>
      <w:r>
        <w:rPr>
          <w:rFonts w:hint="eastAsia"/>
          <w:color w:val="000000"/>
        </w:rPr>
        <w:t>鉴定检验；</w:t>
      </w:r>
    </w:p>
    <w:p>
      <w:pPr>
        <w:numPr>
          <w:ilvl w:val="0"/>
          <w:numId w:val="29"/>
        </w:numPr>
        <w:spacing w:before="120" w:beforeLines="50" w:after="120" w:afterLines="50"/>
        <w:ind w:firstLine="420" w:firstLineChars="200"/>
        <w:rPr>
          <w:color w:val="000000"/>
        </w:rPr>
      </w:pPr>
      <w:r>
        <w:rPr>
          <w:rFonts w:hint="eastAsia"/>
          <w:color w:val="000000"/>
        </w:rPr>
        <w:t>质量一致性检验。</w:t>
      </w:r>
    </w:p>
    <w:p>
      <w:pPr>
        <w:pStyle w:val="3"/>
        <w:spacing w:before="240" w:after="120"/>
      </w:pPr>
      <w:bookmarkStart w:id="73" w:name="_Toc147734727"/>
      <w:r>
        <w:rPr>
          <w:rFonts w:hint="eastAsia"/>
        </w:rPr>
        <w:t>6.2 检验项目及顺序</w:t>
      </w:r>
      <w:bookmarkEnd w:id="73"/>
    </w:p>
    <w:p>
      <w:pPr>
        <w:spacing w:before="120" w:beforeLines="50" w:after="120" w:afterLines="50"/>
        <w:ind w:firstLine="420" w:firstLineChars="200"/>
        <w:rPr>
          <w:color w:val="000000"/>
        </w:rPr>
      </w:pPr>
      <w:r>
        <w:rPr>
          <w:rFonts w:hint="eastAsia"/>
          <w:color w:val="000000"/>
        </w:rPr>
        <w:t>检验项目及顺序见表9。根据具体情况，生产方和使用方可协商裁减检验项目或改变检验顺序。</w:t>
      </w:r>
    </w:p>
    <w:p>
      <w:pPr>
        <w:spacing w:before="120" w:beforeLines="50" w:after="120" w:afterLines="50"/>
        <w:jc w:val="center"/>
        <w:rPr>
          <w:szCs w:val="21"/>
        </w:rPr>
      </w:pPr>
      <w:r>
        <w:rPr>
          <w:rFonts w:hint="eastAsia"/>
          <w:szCs w:val="21"/>
        </w:rPr>
        <w:t>表9 检验项目及顺序</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1577"/>
        <w:gridCol w:w="1066"/>
        <w:gridCol w:w="1066"/>
        <w:gridCol w:w="1066"/>
        <w:gridCol w:w="1066"/>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55"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序号</w:t>
            </w:r>
          </w:p>
        </w:tc>
        <w:tc>
          <w:tcPr>
            <w:tcW w:w="1577"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检验项目</w:t>
            </w:r>
          </w:p>
        </w:tc>
        <w:tc>
          <w:tcPr>
            <w:tcW w:w="1066"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鉴定检验</w:t>
            </w:r>
          </w:p>
        </w:tc>
        <w:tc>
          <w:tcPr>
            <w:tcW w:w="3198" w:type="dxa"/>
            <w:gridSpan w:val="3"/>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质量一致性检验</w:t>
            </w:r>
          </w:p>
        </w:tc>
        <w:tc>
          <w:tcPr>
            <w:tcW w:w="1066"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要求章条号</w:t>
            </w:r>
          </w:p>
        </w:tc>
        <w:tc>
          <w:tcPr>
            <w:tcW w:w="1066"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检验方法章条号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55" w:type="dxa"/>
            <w:vMerge w:val="continue"/>
            <w:vAlign w:val="center"/>
          </w:tcPr>
          <w:p>
            <w:pPr>
              <w:spacing w:before="120" w:beforeLines="50" w:after="120" w:afterLines="50"/>
              <w:jc w:val="center"/>
              <w:rPr>
                <w:rFonts w:ascii="宋体" w:hAnsi="宋体" w:cs="宋体"/>
                <w:sz w:val="18"/>
                <w:szCs w:val="18"/>
              </w:rPr>
            </w:pPr>
          </w:p>
        </w:tc>
        <w:tc>
          <w:tcPr>
            <w:tcW w:w="1577"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c>
          <w:tcPr>
            <w:tcW w:w="2132" w:type="dxa"/>
            <w:gridSpan w:val="2"/>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逐批检验</w:t>
            </w:r>
          </w:p>
        </w:tc>
        <w:tc>
          <w:tcPr>
            <w:tcW w:w="1066"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周期检验</w:t>
            </w:r>
          </w:p>
        </w:tc>
        <w:tc>
          <w:tcPr>
            <w:tcW w:w="1066"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55" w:type="dxa"/>
            <w:vMerge w:val="continue"/>
            <w:vAlign w:val="center"/>
          </w:tcPr>
          <w:p>
            <w:pPr>
              <w:spacing w:before="120" w:beforeLines="50" w:after="120" w:afterLines="50"/>
              <w:jc w:val="center"/>
              <w:rPr>
                <w:rFonts w:ascii="宋体" w:hAnsi="宋体" w:cs="宋体"/>
                <w:sz w:val="18"/>
                <w:szCs w:val="18"/>
              </w:rPr>
            </w:pPr>
          </w:p>
        </w:tc>
        <w:tc>
          <w:tcPr>
            <w:tcW w:w="1577"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全数检验</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抽样检验</w:t>
            </w:r>
          </w:p>
        </w:tc>
        <w:tc>
          <w:tcPr>
            <w:tcW w:w="1066"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结构与外观</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2</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电气</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4.2</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3</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设置与显示</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4.3</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接口与输出</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4.4</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数据存储</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4.5</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6</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信号接收性能</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4.6</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7</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时间特性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4.7</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8</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内部噪声水平</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4.8</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9</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静态基线测量精度</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4.9 a)</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10</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倾角和加速度测量精度</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4.9 b)</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10</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天线相位中心一致性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4.10</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11</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数据处理软件</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4.11</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12</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环境适应性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4.12</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13</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安全防护</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4.13</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14</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电磁兼容性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4.14</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15</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可靠性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4.15</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16</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标志、包装</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7</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17</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使用说明书</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8</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8"/>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 xml:space="preserve">    注：“●”表示必检项目，“-”表示可不检项目。</w:t>
            </w:r>
          </w:p>
        </w:tc>
      </w:tr>
    </w:tbl>
    <w:p>
      <w:pPr>
        <w:spacing w:before="120" w:beforeLines="50" w:after="120" w:afterLines="50"/>
        <w:jc w:val="center"/>
        <w:rPr>
          <w:sz w:val="28"/>
          <w:szCs w:val="28"/>
        </w:rPr>
      </w:pPr>
    </w:p>
    <w:p>
      <w:pPr>
        <w:pStyle w:val="3"/>
        <w:spacing w:before="240" w:after="120"/>
      </w:pPr>
      <w:bookmarkStart w:id="74" w:name="_Toc147734728"/>
      <w:r>
        <w:rPr>
          <w:rFonts w:hint="eastAsia"/>
        </w:rPr>
        <w:t>6.3 鉴定检验</w:t>
      </w:r>
      <w:bookmarkEnd w:id="74"/>
    </w:p>
    <w:p>
      <w:pPr>
        <w:spacing w:before="120" w:beforeLines="50" w:after="120" w:afterLines="50"/>
        <w:rPr>
          <w:szCs w:val="21"/>
        </w:rPr>
      </w:pPr>
      <w:r>
        <w:rPr>
          <w:rFonts w:hint="eastAsia"/>
          <w:szCs w:val="21"/>
        </w:rPr>
        <w:t>6.3.1 概述</w:t>
      </w:r>
    </w:p>
    <w:p>
      <w:pPr>
        <w:spacing w:before="120" w:beforeLines="50" w:after="120" w:afterLines="50"/>
        <w:ind w:firstLine="420" w:firstLineChars="200"/>
        <w:rPr>
          <w:color w:val="000000"/>
        </w:rPr>
      </w:pPr>
      <w:r>
        <w:rPr>
          <w:rFonts w:hint="eastAsia"/>
          <w:color w:val="000000"/>
        </w:rPr>
        <w:t>有下列情况之一时应进行鉴定检验：</w:t>
      </w:r>
    </w:p>
    <w:p>
      <w:pPr>
        <w:numPr>
          <w:ilvl w:val="0"/>
          <w:numId w:val="30"/>
        </w:numPr>
        <w:spacing w:before="120" w:beforeLines="50" w:after="120" w:afterLines="50"/>
        <w:ind w:firstLine="420" w:firstLineChars="200"/>
        <w:rPr>
          <w:color w:val="000000"/>
        </w:rPr>
      </w:pPr>
      <w:r>
        <w:rPr>
          <w:rFonts w:hint="eastAsia"/>
          <w:color w:val="000000"/>
        </w:rPr>
        <w:t>设计定型和生产定型时；</w:t>
      </w:r>
    </w:p>
    <w:p>
      <w:pPr>
        <w:numPr>
          <w:ilvl w:val="0"/>
          <w:numId w:val="30"/>
        </w:numPr>
        <w:spacing w:before="120" w:beforeLines="50" w:after="120" w:afterLines="50"/>
        <w:ind w:firstLine="420" w:firstLineChars="200"/>
        <w:rPr>
          <w:color w:val="000000"/>
        </w:rPr>
      </w:pPr>
      <w:r>
        <w:rPr>
          <w:rFonts w:hint="eastAsia"/>
          <w:color w:val="000000"/>
        </w:rPr>
        <w:t>在设计有重大改进、重要的原材料和元器件及工艺有重大变化使原来的鉴定结论不再有效时；</w:t>
      </w:r>
    </w:p>
    <w:p>
      <w:pPr>
        <w:numPr>
          <w:ilvl w:val="0"/>
          <w:numId w:val="30"/>
        </w:numPr>
        <w:spacing w:before="120" w:beforeLines="50" w:after="120" w:afterLines="50"/>
        <w:ind w:firstLine="420" w:firstLineChars="200"/>
        <w:rPr>
          <w:color w:val="000000"/>
        </w:rPr>
      </w:pPr>
      <w:r>
        <w:rPr>
          <w:rFonts w:hint="eastAsia"/>
          <w:color w:val="000000"/>
        </w:rPr>
        <w:t>长期停产后恢复生产时；</w:t>
      </w:r>
    </w:p>
    <w:p>
      <w:pPr>
        <w:numPr>
          <w:ilvl w:val="0"/>
          <w:numId w:val="30"/>
        </w:numPr>
        <w:spacing w:before="120" w:beforeLines="50" w:after="120" w:afterLines="50"/>
        <w:ind w:firstLine="420" w:firstLineChars="200"/>
        <w:rPr>
          <w:color w:val="000000"/>
        </w:rPr>
      </w:pPr>
      <w:r>
        <w:rPr>
          <w:rFonts w:hint="eastAsia"/>
          <w:color w:val="000000"/>
        </w:rPr>
        <w:t>易地生产时；</w:t>
      </w:r>
    </w:p>
    <w:p>
      <w:pPr>
        <w:numPr>
          <w:ilvl w:val="0"/>
          <w:numId w:val="30"/>
        </w:numPr>
        <w:spacing w:before="120" w:beforeLines="50" w:after="120" w:afterLines="50"/>
        <w:ind w:firstLine="420" w:firstLineChars="200"/>
        <w:rPr>
          <w:color w:val="000000"/>
        </w:rPr>
      </w:pPr>
      <w:r>
        <w:rPr>
          <w:rFonts w:hint="eastAsia"/>
          <w:color w:val="000000"/>
        </w:rPr>
        <w:t>产品设计与流程未作任何改变而提高产品标称的性能指标时。</w:t>
      </w:r>
    </w:p>
    <w:p>
      <w:pPr>
        <w:spacing w:before="120" w:beforeLines="50" w:after="120" w:afterLines="50"/>
        <w:rPr>
          <w:szCs w:val="21"/>
        </w:rPr>
      </w:pPr>
      <w:r>
        <w:rPr>
          <w:rFonts w:hint="eastAsia"/>
          <w:szCs w:val="21"/>
        </w:rPr>
        <w:t>6.3.2 样品数量</w:t>
      </w:r>
    </w:p>
    <w:p>
      <w:pPr>
        <w:spacing w:before="120" w:beforeLines="50" w:after="120" w:afterLines="50"/>
        <w:ind w:firstLine="420" w:firstLineChars="200"/>
        <w:rPr>
          <w:color w:val="000000"/>
        </w:rPr>
      </w:pPr>
      <w:r>
        <w:rPr>
          <w:rFonts w:hint="eastAsia"/>
          <w:color w:val="000000"/>
        </w:rPr>
        <w:t>检验样品从鉴定批中随机抽取3台（套）进行，亦允许根据不同的检验项目采用不同的样品数量进行，具体由产品鉴定方和生产方根据产品规定协商确定。</w:t>
      </w:r>
    </w:p>
    <w:p>
      <w:pPr>
        <w:spacing w:before="120" w:beforeLines="50" w:after="120" w:afterLines="50"/>
        <w:rPr>
          <w:szCs w:val="21"/>
        </w:rPr>
      </w:pPr>
      <w:r>
        <w:rPr>
          <w:rFonts w:hint="eastAsia"/>
          <w:szCs w:val="21"/>
        </w:rPr>
        <w:t>6.3.3 合格判据</w:t>
      </w:r>
    </w:p>
    <w:p>
      <w:pPr>
        <w:spacing w:before="120" w:beforeLines="50" w:after="120" w:afterLines="50"/>
        <w:ind w:firstLine="420" w:firstLineChars="200"/>
        <w:rPr>
          <w:color w:val="000000"/>
        </w:rPr>
      </w:pPr>
      <w:r>
        <w:rPr>
          <w:rFonts w:hint="eastAsia"/>
          <w:color w:val="000000"/>
        </w:rPr>
        <w:t>当规定的检验项目全部符合本标准要求时，判定鉴定检验合格。</w:t>
      </w:r>
    </w:p>
    <w:p>
      <w:pPr>
        <w:spacing w:before="120" w:beforeLines="50" w:after="120" w:afterLines="50"/>
        <w:ind w:firstLine="420" w:firstLineChars="200"/>
        <w:rPr>
          <w:color w:val="000000"/>
        </w:rPr>
      </w:pPr>
      <w:r>
        <w:rPr>
          <w:rFonts w:hint="eastAsia"/>
          <w:color w:val="000000"/>
        </w:rPr>
        <w:t>若发现某个检验项目不符合本标准要求时，鉴定方应停止检验。生产方应对不合格项目进行分析，找出缺陷原因，并采取纠正措施后，方可继续进行检验，若所有检验项目全部符合本标准要求时，判定为鉴定检验合格；若继续检验仍有某个项目不符合本标准要求时，可根据产品质量特性及与本标准不符合的严重程度，由产品鉴定方决定继续采取纠正措施或判为鉴定检验不合格。</w:t>
      </w:r>
    </w:p>
    <w:p>
      <w:pPr>
        <w:pStyle w:val="3"/>
        <w:spacing w:before="240" w:after="120"/>
      </w:pPr>
      <w:bookmarkStart w:id="75" w:name="_Toc147734729"/>
      <w:r>
        <w:t>6.4</w:t>
      </w:r>
      <w:r>
        <w:rPr>
          <w:rFonts w:hint="eastAsia"/>
        </w:rPr>
        <w:t xml:space="preserve"> </w:t>
      </w:r>
      <w:r>
        <w:t>质量一致性检验</w:t>
      </w:r>
      <w:bookmarkEnd w:id="75"/>
    </w:p>
    <w:p>
      <w:pPr>
        <w:spacing w:before="120" w:beforeLines="50" w:after="120" w:afterLines="50"/>
        <w:rPr>
          <w:szCs w:val="21"/>
        </w:rPr>
      </w:pPr>
      <w:r>
        <w:rPr>
          <w:szCs w:val="21"/>
        </w:rPr>
        <w:t>6.4.1 检验分类</w:t>
      </w:r>
    </w:p>
    <w:p>
      <w:pPr>
        <w:spacing w:before="120" w:beforeLines="50" w:after="120" w:afterLines="50"/>
        <w:ind w:firstLine="420" w:firstLineChars="200"/>
        <w:rPr>
          <w:color w:val="000000"/>
        </w:rPr>
      </w:pPr>
      <w:r>
        <w:rPr>
          <w:color w:val="000000"/>
        </w:rPr>
        <w:t>本标准规定的质量一致性检验分类如下</w:t>
      </w:r>
      <w:r>
        <w:rPr>
          <w:rFonts w:hint="eastAsia"/>
          <w:color w:val="000000"/>
        </w:rPr>
        <w:t>：</w:t>
      </w:r>
    </w:p>
    <w:p>
      <w:pPr>
        <w:numPr>
          <w:ilvl w:val="0"/>
          <w:numId w:val="31"/>
        </w:numPr>
        <w:spacing w:before="120" w:beforeLines="50" w:after="120" w:afterLines="50"/>
        <w:ind w:firstLine="420" w:firstLineChars="200"/>
        <w:rPr>
          <w:color w:val="000000"/>
        </w:rPr>
      </w:pPr>
      <w:r>
        <w:rPr>
          <w:color w:val="000000"/>
        </w:rPr>
        <w:t>逐批检验</w:t>
      </w:r>
      <w:r>
        <w:rPr>
          <w:rFonts w:hint="eastAsia"/>
          <w:color w:val="000000"/>
        </w:rPr>
        <w:t>；</w:t>
      </w:r>
    </w:p>
    <w:p>
      <w:pPr>
        <w:numPr>
          <w:ilvl w:val="0"/>
          <w:numId w:val="31"/>
        </w:numPr>
        <w:spacing w:before="120" w:beforeLines="50" w:after="120" w:afterLines="50"/>
        <w:ind w:firstLine="420" w:firstLineChars="200"/>
        <w:rPr>
          <w:color w:val="000000"/>
        </w:rPr>
      </w:pPr>
      <w:r>
        <w:rPr>
          <w:color w:val="000000"/>
        </w:rPr>
        <w:t>周期检验。</w:t>
      </w:r>
    </w:p>
    <w:p>
      <w:pPr>
        <w:spacing w:before="120" w:beforeLines="50" w:after="120" w:afterLines="50"/>
        <w:rPr>
          <w:szCs w:val="21"/>
        </w:rPr>
      </w:pPr>
      <w:r>
        <w:rPr>
          <w:szCs w:val="21"/>
        </w:rPr>
        <w:t>6.4.2 检验批的形成与提出</w:t>
      </w:r>
    </w:p>
    <w:p>
      <w:pPr>
        <w:spacing w:before="120" w:beforeLines="50" w:after="120" w:afterLines="50"/>
        <w:ind w:firstLine="420" w:firstLineChars="200"/>
        <w:rPr>
          <w:color w:val="000000"/>
        </w:rPr>
      </w:pPr>
      <w:r>
        <w:rPr>
          <w:color w:val="000000"/>
        </w:rPr>
        <w:t>检验批的形成与提出应符合GB/T 2828.1-2012中6.1和6.2规定。</w:t>
      </w:r>
    </w:p>
    <w:p>
      <w:pPr>
        <w:spacing w:before="120" w:beforeLines="50" w:after="120" w:afterLines="50"/>
        <w:rPr>
          <w:szCs w:val="21"/>
        </w:rPr>
      </w:pPr>
      <w:r>
        <w:rPr>
          <w:szCs w:val="21"/>
        </w:rPr>
        <w:t>6.4.3</w:t>
      </w:r>
      <w:r>
        <w:rPr>
          <w:rFonts w:hint="eastAsia"/>
          <w:szCs w:val="21"/>
        </w:rPr>
        <w:t xml:space="preserve"> </w:t>
      </w:r>
      <w:r>
        <w:rPr>
          <w:szCs w:val="21"/>
        </w:rPr>
        <w:t>不合格分类</w:t>
      </w:r>
    </w:p>
    <w:p>
      <w:pPr>
        <w:spacing w:before="120" w:beforeLines="50" w:after="120" w:afterLines="50"/>
        <w:ind w:firstLine="420" w:firstLineChars="200"/>
        <w:rPr>
          <w:color w:val="000000"/>
        </w:rPr>
      </w:pPr>
      <w:r>
        <w:rPr>
          <w:color w:val="000000"/>
        </w:rPr>
        <w:t>按产品质量特性及与本标准不符合的严重程度分为A类、B类</w:t>
      </w:r>
      <w:r>
        <w:rPr>
          <w:rFonts w:hint="eastAsia"/>
          <w:color w:val="000000"/>
        </w:rPr>
        <w:t>、</w:t>
      </w:r>
      <w:r>
        <w:rPr>
          <w:color w:val="000000"/>
        </w:rPr>
        <w:t>C类不合格</w:t>
      </w:r>
      <w:r>
        <w:rPr>
          <w:rFonts w:hint="eastAsia"/>
          <w:color w:val="000000"/>
        </w:rPr>
        <w:t>，</w:t>
      </w:r>
      <w:r>
        <w:rPr>
          <w:color w:val="000000"/>
        </w:rPr>
        <w:t>参见附录A。具有一个或者一个以上不合格项目的产品称为不合格产品。按不合格类型可以分为A类、B类、C类不合格产品。</w:t>
      </w:r>
    </w:p>
    <w:p>
      <w:pPr>
        <w:spacing w:before="120" w:beforeLines="50" w:after="120" w:afterLines="50"/>
        <w:rPr>
          <w:szCs w:val="21"/>
        </w:rPr>
      </w:pPr>
      <w:r>
        <w:rPr>
          <w:szCs w:val="21"/>
        </w:rPr>
        <w:t>6.4.4</w:t>
      </w:r>
      <w:r>
        <w:rPr>
          <w:rFonts w:hint="eastAsia"/>
          <w:szCs w:val="21"/>
        </w:rPr>
        <w:t xml:space="preserve"> </w:t>
      </w:r>
      <w:r>
        <w:rPr>
          <w:szCs w:val="21"/>
        </w:rPr>
        <w:t>逐批检验</w:t>
      </w:r>
    </w:p>
    <w:p>
      <w:pPr>
        <w:spacing w:before="120" w:beforeLines="50" w:after="120" w:afterLines="50"/>
        <w:rPr>
          <w:szCs w:val="21"/>
        </w:rPr>
      </w:pPr>
      <w:r>
        <w:rPr>
          <w:szCs w:val="21"/>
        </w:rPr>
        <w:t>6.4.4.1 概述</w:t>
      </w:r>
    </w:p>
    <w:p>
      <w:pPr>
        <w:spacing w:before="120" w:beforeLines="50" w:after="120" w:afterLines="50"/>
        <w:ind w:firstLine="420" w:firstLineChars="200"/>
        <w:rPr>
          <w:color w:val="000000"/>
        </w:rPr>
      </w:pPr>
      <w:r>
        <w:rPr>
          <w:color w:val="000000"/>
        </w:rPr>
        <w:t>逐批检验的目的为判断每个提交检查批的批质量是否符合规定的要求。</w:t>
      </w:r>
    </w:p>
    <w:p>
      <w:pPr>
        <w:spacing w:before="120" w:beforeLines="50" w:after="120" w:afterLines="50"/>
        <w:rPr>
          <w:szCs w:val="21"/>
        </w:rPr>
      </w:pPr>
      <w:r>
        <w:rPr>
          <w:szCs w:val="21"/>
        </w:rPr>
        <w:t>6.4.4.2</w:t>
      </w:r>
      <w:r>
        <w:rPr>
          <w:rFonts w:hint="eastAsia"/>
          <w:szCs w:val="21"/>
        </w:rPr>
        <w:t xml:space="preserve"> </w:t>
      </w:r>
      <w:r>
        <w:rPr>
          <w:szCs w:val="21"/>
        </w:rPr>
        <w:t>检验分类</w:t>
      </w:r>
    </w:p>
    <w:p>
      <w:pPr>
        <w:spacing w:before="120" w:beforeLines="50" w:after="120" w:afterLines="50"/>
        <w:ind w:firstLine="420" w:firstLineChars="200"/>
        <w:rPr>
          <w:color w:val="000000"/>
        </w:rPr>
      </w:pPr>
      <w:r>
        <w:rPr>
          <w:color w:val="000000"/>
        </w:rPr>
        <w:t>根据检查的对象</w:t>
      </w:r>
      <w:r>
        <w:rPr>
          <w:rFonts w:hint="eastAsia"/>
          <w:color w:val="000000"/>
        </w:rPr>
        <w:t>，</w:t>
      </w:r>
      <w:r>
        <w:rPr>
          <w:color w:val="000000"/>
        </w:rPr>
        <w:t>本标准规定的逐批检验分类如下</w:t>
      </w:r>
      <w:r>
        <w:rPr>
          <w:rFonts w:hint="eastAsia"/>
          <w:color w:val="000000"/>
        </w:rPr>
        <w:t>：</w:t>
      </w:r>
    </w:p>
    <w:p>
      <w:pPr>
        <w:numPr>
          <w:ilvl w:val="0"/>
          <w:numId w:val="32"/>
        </w:numPr>
        <w:spacing w:before="120" w:beforeLines="50" w:after="120" w:afterLines="50"/>
        <w:ind w:firstLine="420" w:firstLineChars="200"/>
        <w:rPr>
          <w:color w:val="000000"/>
        </w:rPr>
      </w:pPr>
      <w:r>
        <w:rPr>
          <w:color w:val="000000"/>
        </w:rPr>
        <w:t>全数检验</w:t>
      </w:r>
      <w:r>
        <w:rPr>
          <w:rFonts w:hint="eastAsia"/>
          <w:color w:val="000000"/>
        </w:rPr>
        <w:t>；</w:t>
      </w:r>
    </w:p>
    <w:p>
      <w:pPr>
        <w:numPr>
          <w:ilvl w:val="0"/>
          <w:numId w:val="32"/>
        </w:numPr>
        <w:spacing w:before="120" w:beforeLines="50" w:after="120" w:afterLines="50"/>
        <w:ind w:firstLine="420" w:firstLineChars="200"/>
        <w:rPr>
          <w:color w:val="000000"/>
        </w:rPr>
      </w:pPr>
      <w:r>
        <w:rPr>
          <w:color w:val="000000"/>
        </w:rPr>
        <w:t>抽样检验。</w:t>
      </w:r>
    </w:p>
    <w:p>
      <w:pPr>
        <w:spacing w:before="120" w:beforeLines="50" w:after="120" w:afterLines="50"/>
        <w:rPr>
          <w:szCs w:val="21"/>
        </w:rPr>
      </w:pPr>
      <w:r>
        <w:rPr>
          <w:szCs w:val="21"/>
        </w:rPr>
        <w:t>6.4.4.3</w:t>
      </w:r>
      <w:r>
        <w:rPr>
          <w:rFonts w:hint="eastAsia"/>
          <w:szCs w:val="21"/>
        </w:rPr>
        <w:t xml:space="preserve"> </w:t>
      </w:r>
      <w:r>
        <w:rPr>
          <w:szCs w:val="21"/>
        </w:rPr>
        <w:t>全数检验</w:t>
      </w:r>
    </w:p>
    <w:p>
      <w:pPr>
        <w:spacing w:before="120" w:beforeLines="50" w:after="120" w:afterLines="50"/>
        <w:ind w:firstLine="420" w:firstLineChars="200"/>
        <w:rPr>
          <w:color w:val="000000"/>
        </w:rPr>
      </w:pPr>
      <w:r>
        <w:rPr>
          <w:color w:val="000000"/>
        </w:rPr>
        <w:t>全数检验方法如下</w:t>
      </w:r>
      <w:r>
        <w:rPr>
          <w:rFonts w:hint="eastAsia"/>
          <w:color w:val="000000"/>
        </w:rPr>
        <w:t>：</w:t>
      </w:r>
    </w:p>
    <w:p>
      <w:pPr>
        <w:numPr>
          <w:ilvl w:val="0"/>
          <w:numId w:val="33"/>
        </w:numPr>
        <w:spacing w:before="120" w:beforeLines="50" w:after="120" w:afterLines="50"/>
        <w:ind w:firstLine="420" w:firstLineChars="200"/>
        <w:rPr>
          <w:color w:val="000000"/>
        </w:rPr>
      </w:pPr>
      <w:r>
        <w:rPr>
          <w:color w:val="000000"/>
        </w:rPr>
        <w:t>抽样方案</w:t>
      </w:r>
      <w:r>
        <w:rPr>
          <w:rFonts w:hint="eastAsia"/>
          <w:color w:val="000000"/>
        </w:rPr>
        <w:t>：</w:t>
      </w:r>
      <w:r>
        <w:rPr>
          <w:color w:val="000000"/>
        </w:rPr>
        <w:t>对生产方提交检验批的产品百分之百进行检验。</w:t>
      </w:r>
    </w:p>
    <w:p>
      <w:pPr>
        <w:numPr>
          <w:ilvl w:val="0"/>
          <w:numId w:val="33"/>
        </w:numPr>
        <w:spacing w:before="120" w:beforeLines="50" w:after="120" w:afterLines="50"/>
        <w:ind w:firstLine="420" w:firstLineChars="200"/>
        <w:rPr>
          <w:color w:val="000000"/>
        </w:rPr>
      </w:pPr>
      <w:r>
        <w:rPr>
          <w:color w:val="000000"/>
        </w:rPr>
        <w:t>合格判据</w:t>
      </w:r>
      <w:r>
        <w:rPr>
          <w:rFonts w:hint="eastAsia"/>
          <w:color w:val="000000"/>
        </w:rPr>
        <w:t>，</w:t>
      </w:r>
      <w:r>
        <w:rPr>
          <w:color w:val="000000"/>
        </w:rPr>
        <w:t>根据检验结果对全数检验做出如下判定</w:t>
      </w:r>
      <w:r>
        <w:rPr>
          <w:rFonts w:hint="eastAsia"/>
          <w:color w:val="000000"/>
        </w:rPr>
        <w:t>：</w:t>
      </w:r>
    </w:p>
    <w:p>
      <w:pPr>
        <w:numPr>
          <w:ilvl w:val="0"/>
          <w:numId w:val="34"/>
        </w:numPr>
        <w:spacing w:before="120" w:beforeLines="50" w:after="120" w:afterLines="50"/>
        <w:ind w:firstLine="840" w:firstLineChars="400"/>
        <w:rPr>
          <w:color w:val="000000"/>
        </w:rPr>
      </w:pPr>
      <w:r>
        <w:rPr>
          <w:color w:val="000000"/>
        </w:rPr>
        <w:t>当发现A类不合格时</w:t>
      </w:r>
      <w:r>
        <w:rPr>
          <w:rFonts w:hint="eastAsia"/>
          <w:color w:val="000000"/>
        </w:rPr>
        <w:t>，</w:t>
      </w:r>
      <w:r>
        <w:rPr>
          <w:color w:val="000000"/>
        </w:rPr>
        <w:t>应判定该批产品全数检验不合格</w:t>
      </w:r>
      <w:r>
        <w:rPr>
          <w:rFonts w:hint="eastAsia"/>
          <w:color w:val="000000"/>
        </w:rPr>
        <w:t>；</w:t>
      </w:r>
    </w:p>
    <w:p>
      <w:pPr>
        <w:numPr>
          <w:ilvl w:val="0"/>
          <w:numId w:val="34"/>
        </w:numPr>
        <w:spacing w:before="120" w:beforeLines="50" w:after="120" w:afterLines="50"/>
        <w:ind w:firstLine="840" w:firstLineChars="400"/>
        <w:rPr>
          <w:color w:val="000000"/>
        </w:rPr>
      </w:pPr>
      <w:r>
        <w:rPr>
          <w:color w:val="000000"/>
        </w:rPr>
        <w:t>当发现B类、C类不合格项小于或等于规定值</w:t>
      </w:r>
      <w:r>
        <w:rPr>
          <w:rFonts w:hint="eastAsia"/>
          <w:color w:val="000000"/>
        </w:rPr>
        <w:t>，</w:t>
      </w:r>
      <w:r>
        <w:rPr>
          <w:color w:val="000000"/>
        </w:rPr>
        <w:t>判定该批产品全数检验合格</w:t>
      </w:r>
      <w:r>
        <w:rPr>
          <w:rFonts w:hint="eastAsia"/>
          <w:color w:val="000000"/>
        </w:rPr>
        <w:t>，</w:t>
      </w:r>
      <w:r>
        <w:rPr>
          <w:color w:val="000000"/>
        </w:rPr>
        <w:t>否则不合格。</w:t>
      </w:r>
    </w:p>
    <w:p>
      <w:pPr>
        <w:numPr>
          <w:ilvl w:val="0"/>
          <w:numId w:val="33"/>
        </w:numPr>
        <w:spacing w:before="120" w:beforeLines="50" w:after="120" w:afterLines="50"/>
        <w:ind w:firstLine="420" w:firstLineChars="200"/>
        <w:rPr>
          <w:color w:val="000000"/>
        </w:rPr>
      </w:pPr>
      <w:r>
        <w:rPr>
          <w:color w:val="000000"/>
        </w:rPr>
        <w:t>样品处理</w:t>
      </w:r>
      <w:r>
        <w:rPr>
          <w:rFonts w:hint="eastAsia"/>
          <w:color w:val="000000"/>
        </w:rPr>
        <w:t>，</w:t>
      </w:r>
      <w:r>
        <w:rPr>
          <w:color w:val="000000"/>
        </w:rPr>
        <w:t>经全数检验合格的批中</w:t>
      </w:r>
      <w:r>
        <w:rPr>
          <w:rFonts w:hint="eastAsia"/>
          <w:color w:val="000000"/>
        </w:rPr>
        <w:t>，</w:t>
      </w:r>
      <w:r>
        <w:rPr>
          <w:color w:val="000000"/>
        </w:rPr>
        <w:t>对发现有缺陷的产品</w:t>
      </w:r>
      <w:r>
        <w:rPr>
          <w:rFonts w:hint="eastAsia"/>
          <w:color w:val="000000"/>
        </w:rPr>
        <w:t>，</w:t>
      </w:r>
      <w:r>
        <w:rPr>
          <w:color w:val="000000"/>
        </w:rPr>
        <w:t>生产方应负责修复并达到规定要求后</w:t>
      </w:r>
      <w:r>
        <w:rPr>
          <w:rFonts w:hint="eastAsia"/>
          <w:color w:val="000000"/>
        </w:rPr>
        <w:t>，</w:t>
      </w:r>
      <w:r>
        <w:rPr>
          <w:color w:val="000000"/>
        </w:rPr>
        <w:t>可作为全数检验合格产品交付。</w:t>
      </w:r>
    </w:p>
    <w:p>
      <w:pPr>
        <w:spacing w:before="120" w:beforeLines="50" w:after="120" w:afterLines="50"/>
        <w:rPr>
          <w:szCs w:val="21"/>
        </w:rPr>
      </w:pPr>
      <w:r>
        <w:rPr>
          <w:szCs w:val="21"/>
        </w:rPr>
        <w:t>6.4.4.4 抽样检验</w:t>
      </w:r>
    </w:p>
    <w:p>
      <w:pPr>
        <w:spacing w:before="120" w:beforeLines="50" w:after="120" w:afterLines="50"/>
        <w:ind w:firstLine="420" w:firstLineChars="200"/>
        <w:rPr>
          <w:color w:val="000000"/>
        </w:rPr>
      </w:pPr>
      <w:r>
        <w:rPr>
          <w:color w:val="000000"/>
        </w:rPr>
        <w:t>抽样检验方法如下</w:t>
      </w:r>
      <w:r>
        <w:rPr>
          <w:rFonts w:hint="eastAsia"/>
          <w:color w:val="000000"/>
        </w:rPr>
        <w:t>：</w:t>
      </w:r>
    </w:p>
    <w:p>
      <w:pPr>
        <w:numPr>
          <w:ilvl w:val="0"/>
          <w:numId w:val="35"/>
        </w:numPr>
        <w:spacing w:before="120" w:beforeLines="50" w:after="120" w:afterLines="50"/>
        <w:ind w:firstLine="420" w:firstLineChars="200"/>
        <w:rPr>
          <w:color w:val="000000"/>
        </w:rPr>
      </w:pPr>
      <w:r>
        <w:rPr>
          <w:color w:val="000000"/>
        </w:rPr>
        <w:t>抽样方案，从全数检验合格批中</w:t>
      </w:r>
      <w:r>
        <w:rPr>
          <w:rFonts w:hint="eastAsia"/>
          <w:color w:val="000000"/>
        </w:rPr>
        <w:t>，</w:t>
      </w:r>
      <w:r>
        <w:rPr>
          <w:color w:val="000000"/>
        </w:rPr>
        <w:t>随机抽取样本。除非另有规定</w:t>
      </w:r>
      <w:r>
        <w:rPr>
          <w:rFonts w:hint="eastAsia"/>
          <w:color w:val="000000"/>
        </w:rPr>
        <w:t>，</w:t>
      </w:r>
      <w:r>
        <w:rPr>
          <w:color w:val="000000"/>
        </w:rPr>
        <w:t>抽样方案按照GB/T 2828.1-2012中规定的一般检验水平II</w:t>
      </w:r>
      <w:r>
        <w:rPr>
          <w:rFonts w:hint="eastAsia"/>
          <w:color w:val="000000"/>
        </w:rPr>
        <w:t>，</w:t>
      </w:r>
      <w:r>
        <w:rPr>
          <w:color w:val="000000"/>
        </w:rPr>
        <w:t>正常检验一次抽样方案</w:t>
      </w:r>
      <w:r>
        <w:rPr>
          <w:rFonts w:hint="eastAsia"/>
          <w:color w:val="000000"/>
        </w:rPr>
        <w:t>，</w:t>
      </w:r>
      <w:r>
        <w:rPr>
          <w:color w:val="000000"/>
        </w:rPr>
        <w:t>其接收质量限</w:t>
      </w:r>
      <w:r>
        <w:rPr>
          <w:rFonts w:hint="eastAsia"/>
          <w:color w:val="000000"/>
        </w:rPr>
        <w:t>（</w:t>
      </w:r>
      <w:r>
        <w:rPr>
          <w:color w:val="000000"/>
        </w:rPr>
        <w:t>AQL</w:t>
      </w:r>
      <w:r>
        <w:rPr>
          <w:rFonts w:hint="eastAsia"/>
          <w:color w:val="000000"/>
        </w:rPr>
        <w:t>）</w:t>
      </w:r>
      <w:r>
        <w:rPr>
          <w:color w:val="000000"/>
        </w:rPr>
        <w:t>规定为</w:t>
      </w:r>
      <w:r>
        <w:rPr>
          <w:rFonts w:hint="eastAsia"/>
          <w:color w:val="000000"/>
        </w:rPr>
        <w:t>：</w:t>
      </w:r>
    </w:p>
    <w:p>
      <w:pPr>
        <w:numPr>
          <w:ilvl w:val="0"/>
          <w:numId w:val="36"/>
        </w:numPr>
        <w:spacing w:before="120" w:beforeLines="50" w:after="120" w:afterLines="50"/>
        <w:ind w:firstLine="840" w:firstLineChars="400"/>
        <w:rPr>
          <w:color w:val="000000"/>
        </w:rPr>
      </w:pPr>
      <w:r>
        <w:rPr>
          <w:color w:val="000000"/>
        </w:rPr>
        <w:t>A类不合格品</w:t>
      </w:r>
      <w:r>
        <w:rPr>
          <w:rFonts w:hint="eastAsia"/>
          <w:color w:val="000000"/>
        </w:rPr>
        <w:t>：</w:t>
      </w:r>
      <w:r>
        <w:rPr>
          <w:color w:val="000000"/>
        </w:rPr>
        <w:t>AQL为0.65</w:t>
      </w:r>
      <w:r>
        <w:rPr>
          <w:rFonts w:hint="eastAsia"/>
          <w:color w:val="000000"/>
        </w:rPr>
        <w:t>；</w:t>
      </w:r>
    </w:p>
    <w:p>
      <w:pPr>
        <w:numPr>
          <w:ilvl w:val="0"/>
          <w:numId w:val="36"/>
        </w:numPr>
        <w:spacing w:before="120" w:beforeLines="50" w:after="120" w:afterLines="50"/>
        <w:ind w:firstLine="840" w:firstLineChars="400"/>
        <w:rPr>
          <w:color w:val="000000"/>
        </w:rPr>
      </w:pPr>
      <w:r>
        <w:rPr>
          <w:color w:val="000000"/>
        </w:rPr>
        <w:t>B类不合格品</w:t>
      </w:r>
      <w:r>
        <w:rPr>
          <w:rFonts w:hint="eastAsia"/>
          <w:color w:val="000000"/>
        </w:rPr>
        <w:t>：</w:t>
      </w:r>
      <w:r>
        <w:rPr>
          <w:color w:val="000000"/>
        </w:rPr>
        <w:t>AQL为6.5</w:t>
      </w:r>
      <w:r>
        <w:rPr>
          <w:rFonts w:hint="eastAsia"/>
          <w:color w:val="000000"/>
        </w:rPr>
        <w:t>；</w:t>
      </w:r>
    </w:p>
    <w:p>
      <w:pPr>
        <w:numPr>
          <w:ilvl w:val="0"/>
          <w:numId w:val="36"/>
        </w:numPr>
        <w:spacing w:before="120" w:beforeLines="50" w:after="120" w:afterLines="50"/>
        <w:ind w:firstLine="840" w:firstLineChars="400"/>
        <w:rPr>
          <w:color w:val="000000"/>
        </w:rPr>
      </w:pPr>
      <w:r>
        <w:rPr>
          <w:color w:val="000000"/>
        </w:rPr>
        <w:t>C类不合格品</w:t>
      </w:r>
      <w:r>
        <w:rPr>
          <w:rFonts w:hint="eastAsia"/>
          <w:color w:val="000000"/>
        </w:rPr>
        <w:t>：</w:t>
      </w:r>
      <w:r>
        <w:rPr>
          <w:color w:val="000000"/>
        </w:rPr>
        <w:t>AQL为15。</w:t>
      </w:r>
    </w:p>
    <w:p>
      <w:pPr>
        <w:numPr>
          <w:ilvl w:val="0"/>
          <w:numId w:val="35"/>
        </w:numPr>
        <w:spacing w:before="120" w:beforeLines="50" w:after="120" w:afterLines="50"/>
        <w:ind w:firstLine="420" w:firstLineChars="200"/>
        <w:rPr>
          <w:color w:val="000000"/>
        </w:rPr>
      </w:pPr>
      <w:r>
        <w:rPr>
          <w:color w:val="000000"/>
        </w:rPr>
        <w:t>合格判据</w:t>
      </w:r>
      <w:r>
        <w:rPr>
          <w:rFonts w:hint="eastAsia"/>
          <w:color w:val="000000"/>
        </w:rPr>
        <w:t>：</w:t>
      </w:r>
      <w:r>
        <w:rPr>
          <w:color w:val="000000"/>
        </w:rPr>
        <w:t>根据检验结果</w:t>
      </w:r>
      <w:r>
        <w:rPr>
          <w:rFonts w:hint="eastAsia"/>
          <w:color w:val="000000"/>
        </w:rPr>
        <w:t>，</w:t>
      </w:r>
      <w:r>
        <w:rPr>
          <w:color w:val="000000"/>
        </w:rPr>
        <w:t>若发现的三类不合格样品数均不大于规定的合格判定数，则判定抽样检验合格</w:t>
      </w:r>
      <w:r>
        <w:rPr>
          <w:rFonts w:hint="eastAsia"/>
          <w:color w:val="000000"/>
        </w:rPr>
        <w:t>，</w:t>
      </w:r>
      <w:r>
        <w:rPr>
          <w:color w:val="000000"/>
        </w:rPr>
        <w:t>否则判定抽样检验不合格。</w:t>
      </w:r>
    </w:p>
    <w:p>
      <w:pPr>
        <w:numPr>
          <w:ilvl w:val="0"/>
          <w:numId w:val="35"/>
        </w:numPr>
        <w:spacing w:before="120" w:beforeLines="50" w:after="120" w:afterLines="50"/>
        <w:ind w:firstLine="420" w:firstLineChars="200"/>
        <w:rPr>
          <w:color w:val="000000"/>
        </w:rPr>
      </w:pPr>
      <w:r>
        <w:rPr>
          <w:color w:val="000000"/>
        </w:rPr>
        <w:t>重新检验</w:t>
      </w:r>
      <w:r>
        <w:rPr>
          <w:rFonts w:hint="eastAsia"/>
          <w:color w:val="000000"/>
        </w:rPr>
        <w:t>：</w:t>
      </w:r>
      <w:r>
        <w:rPr>
          <w:color w:val="000000"/>
        </w:rPr>
        <w:t>若抽样检验不合格</w:t>
      </w:r>
      <w:r>
        <w:rPr>
          <w:rFonts w:hint="eastAsia"/>
          <w:color w:val="000000"/>
        </w:rPr>
        <w:t>，</w:t>
      </w:r>
      <w:r>
        <w:rPr>
          <w:color w:val="000000"/>
        </w:rPr>
        <w:t>生产方应对该批产品进行分析</w:t>
      </w:r>
      <w:r>
        <w:rPr>
          <w:rFonts w:hint="eastAsia"/>
          <w:color w:val="000000"/>
        </w:rPr>
        <w:t>，</w:t>
      </w:r>
      <w:r>
        <w:rPr>
          <w:color w:val="000000"/>
        </w:rPr>
        <w:t>找出产生缺陷的原因并采取纠正措施后</w:t>
      </w:r>
      <w:r>
        <w:rPr>
          <w:rFonts w:hint="eastAsia"/>
          <w:color w:val="000000"/>
        </w:rPr>
        <w:t>，</w:t>
      </w:r>
      <w:r>
        <w:rPr>
          <w:color w:val="000000"/>
        </w:rPr>
        <w:t>可重新提交检验。重新提交检验批的抽样检验应按照GB/T 2828.1-2012中13.3转移规则进行处理。若重新检验合格</w:t>
      </w:r>
      <w:r>
        <w:rPr>
          <w:rFonts w:hint="eastAsia"/>
          <w:color w:val="000000"/>
        </w:rPr>
        <w:t>，</w:t>
      </w:r>
      <w:r>
        <w:rPr>
          <w:color w:val="000000"/>
        </w:rPr>
        <w:t>应判定抽样检验合格;若重新检验不合格，应判定抽样检验不合格。</w:t>
      </w:r>
    </w:p>
    <w:p>
      <w:pPr>
        <w:numPr>
          <w:ilvl w:val="0"/>
          <w:numId w:val="35"/>
        </w:numPr>
        <w:spacing w:before="120" w:beforeLines="50" w:after="120" w:afterLines="50"/>
        <w:ind w:firstLine="420" w:firstLineChars="200"/>
        <w:rPr>
          <w:color w:val="000000"/>
        </w:rPr>
      </w:pPr>
      <w:r>
        <w:rPr>
          <w:color w:val="000000"/>
        </w:rPr>
        <w:t>样品处理</w:t>
      </w:r>
      <w:r>
        <w:rPr>
          <w:rFonts w:hint="eastAsia"/>
          <w:color w:val="000000"/>
        </w:rPr>
        <w:t>：</w:t>
      </w:r>
      <w:r>
        <w:rPr>
          <w:color w:val="000000"/>
        </w:rPr>
        <w:t>经抽样检验合格的批次中</w:t>
      </w:r>
      <w:r>
        <w:rPr>
          <w:rFonts w:hint="eastAsia"/>
          <w:color w:val="000000"/>
        </w:rPr>
        <w:t>，</w:t>
      </w:r>
      <w:r>
        <w:rPr>
          <w:color w:val="000000"/>
        </w:rPr>
        <w:t>对发现有缺陷的产品</w:t>
      </w:r>
      <w:r>
        <w:rPr>
          <w:rFonts w:hint="eastAsia"/>
          <w:color w:val="000000"/>
        </w:rPr>
        <w:t>，</w:t>
      </w:r>
      <w:r>
        <w:rPr>
          <w:color w:val="000000"/>
        </w:rPr>
        <w:t>生产方应负责修复并达到规定要求后</w:t>
      </w:r>
      <w:r>
        <w:rPr>
          <w:rFonts w:hint="eastAsia"/>
          <w:color w:val="000000"/>
        </w:rPr>
        <w:t>，</w:t>
      </w:r>
      <w:r>
        <w:rPr>
          <w:color w:val="000000"/>
        </w:rPr>
        <w:t>可作为抽样检验合格产品交付。</w:t>
      </w:r>
    </w:p>
    <w:p>
      <w:pPr>
        <w:spacing w:before="120" w:beforeLines="50" w:after="120" w:afterLines="50"/>
        <w:rPr>
          <w:szCs w:val="21"/>
        </w:rPr>
      </w:pPr>
      <w:r>
        <w:rPr>
          <w:szCs w:val="21"/>
        </w:rPr>
        <w:t>6.4.5周期检验</w:t>
      </w:r>
    </w:p>
    <w:p>
      <w:pPr>
        <w:spacing w:before="120" w:beforeLines="50" w:after="120" w:afterLines="50"/>
        <w:rPr>
          <w:szCs w:val="21"/>
        </w:rPr>
      </w:pPr>
      <w:r>
        <w:rPr>
          <w:szCs w:val="21"/>
        </w:rPr>
        <w:t>6.4.5.1 概述</w:t>
      </w:r>
    </w:p>
    <w:p>
      <w:pPr>
        <w:spacing w:before="120" w:beforeLines="50" w:after="120" w:afterLines="50"/>
        <w:ind w:firstLine="420" w:firstLineChars="200"/>
        <w:rPr>
          <w:color w:val="000000"/>
        </w:rPr>
      </w:pPr>
      <w:r>
        <w:rPr>
          <w:color w:val="000000"/>
        </w:rPr>
        <w:t>周期检验是生产方周期性地从全数检验和抽样检验合格的某个批次或产品中随机抽取样本进行的检验</w:t>
      </w:r>
      <w:r>
        <w:rPr>
          <w:rFonts w:hint="eastAsia"/>
          <w:color w:val="000000"/>
        </w:rPr>
        <w:t>，</w:t>
      </w:r>
      <w:r>
        <w:rPr>
          <w:color w:val="000000"/>
        </w:rPr>
        <w:t>以判断在规定的周期内生产过程的稳定性是否符合规定的质量指标。在有下列情况之一时</w:t>
      </w:r>
      <w:r>
        <w:rPr>
          <w:rFonts w:hint="eastAsia"/>
          <w:color w:val="000000"/>
        </w:rPr>
        <w:t>，</w:t>
      </w:r>
      <w:r>
        <w:rPr>
          <w:color w:val="000000"/>
        </w:rPr>
        <w:t>应进行周期检验</w:t>
      </w:r>
      <w:r>
        <w:rPr>
          <w:rFonts w:hint="eastAsia"/>
          <w:color w:val="000000"/>
        </w:rPr>
        <w:t>：</w:t>
      </w:r>
    </w:p>
    <w:p>
      <w:pPr>
        <w:numPr>
          <w:ilvl w:val="0"/>
          <w:numId w:val="37"/>
        </w:numPr>
        <w:spacing w:before="120" w:beforeLines="50" w:after="120" w:afterLines="50"/>
        <w:ind w:firstLine="420" w:firstLineChars="200"/>
        <w:rPr>
          <w:color w:val="000000"/>
        </w:rPr>
      </w:pPr>
      <w:r>
        <w:rPr>
          <w:color w:val="000000"/>
        </w:rPr>
        <w:t>连续生产的产品，每年不少于</w:t>
      </w:r>
      <w:r>
        <w:rPr>
          <w:rFonts w:hint="eastAsia"/>
          <w:color w:val="000000"/>
        </w:rPr>
        <w:t>一</w:t>
      </w:r>
      <w:r>
        <w:rPr>
          <w:color w:val="000000"/>
        </w:rPr>
        <w:t>次周期检验</w:t>
      </w:r>
      <w:r>
        <w:rPr>
          <w:rFonts w:hint="eastAsia"/>
          <w:color w:val="000000"/>
        </w:rPr>
        <w:t>，</w:t>
      </w:r>
      <w:r>
        <w:rPr>
          <w:color w:val="000000"/>
        </w:rPr>
        <w:t>具体要求由产品规范规定</w:t>
      </w:r>
      <w:r>
        <w:rPr>
          <w:rFonts w:hint="eastAsia"/>
          <w:color w:val="000000"/>
        </w:rPr>
        <w:t>；</w:t>
      </w:r>
    </w:p>
    <w:p>
      <w:pPr>
        <w:numPr>
          <w:ilvl w:val="0"/>
          <w:numId w:val="37"/>
        </w:numPr>
        <w:spacing w:before="120" w:beforeLines="50" w:after="120" w:afterLines="50"/>
        <w:ind w:firstLine="420" w:firstLineChars="200"/>
        <w:rPr>
          <w:color w:val="000000"/>
        </w:rPr>
      </w:pPr>
      <w:r>
        <w:rPr>
          <w:color w:val="000000"/>
        </w:rPr>
        <w:t>产品主要设计、工艺及原材料、元器件发生重大改变的提交批</w:t>
      </w:r>
      <w:r>
        <w:rPr>
          <w:rFonts w:hint="eastAsia"/>
          <w:color w:val="000000"/>
        </w:rPr>
        <w:t>；</w:t>
      </w:r>
    </w:p>
    <w:p>
      <w:pPr>
        <w:numPr>
          <w:ilvl w:val="0"/>
          <w:numId w:val="37"/>
        </w:numPr>
        <w:spacing w:before="120" w:beforeLines="50" w:after="120" w:afterLines="50"/>
        <w:ind w:firstLine="420" w:firstLineChars="200"/>
        <w:rPr>
          <w:color w:val="000000"/>
        </w:rPr>
      </w:pPr>
      <w:r>
        <w:rPr>
          <w:color w:val="000000"/>
        </w:rPr>
        <w:t>停产半年后恢复生产时。</w:t>
      </w:r>
    </w:p>
    <w:p>
      <w:pPr>
        <w:spacing w:before="120" w:beforeLines="50" w:after="120" w:afterLines="50"/>
        <w:rPr>
          <w:szCs w:val="21"/>
        </w:rPr>
      </w:pPr>
      <w:r>
        <w:rPr>
          <w:szCs w:val="21"/>
        </w:rPr>
        <w:t>6.4.5.2抽样方案</w:t>
      </w:r>
    </w:p>
    <w:p>
      <w:pPr>
        <w:spacing w:before="120" w:beforeLines="50" w:after="120" w:afterLines="50"/>
        <w:ind w:firstLine="420" w:firstLineChars="200"/>
        <w:rPr>
          <w:color w:val="000000"/>
        </w:rPr>
      </w:pPr>
      <w:r>
        <w:rPr>
          <w:color w:val="000000"/>
        </w:rPr>
        <w:t>除非另有规定</w:t>
      </w:r>
      <w:r>
        <w:rPr>
          <w:rFonts w:hint="eastAsia"/>
          <w:color w:val="000000"/>
        </w:rPr>
        <w:t>，</w:t>
      </w:r>
      <w:r>
        <w:rPr>
          <w:color w:val="000000"/>
        </w:rPr>
        <w:t>抽样方案按照GB/T 2829中规定的一般检验水平II</w:t>
      </w:r>
      <w:r>
        <w:rPr>
          <w:rFonts w:hint="eastAsia"/>
          <w:color w:val="000000"/>
        </w:rPr>
        <w:t>，</w:t>
      </w:r>
      <w:r>
        <w:rPr>
          <w:color w:val="000000"/>
        </w:rPr>
        <w:t>正常检验</w:t>
      </w:r>
      <w:r>
        <w:rPr>
          <w:rFonts w:hint="eastAsia"/>
          <w:color w:val="000000"/>
        </w:rPr>
        <w:t>一</w:t>
      </w:r>
      <w:r>
        <w:rPr>
          <w:color w:val="000000"/>
        </w:rPr>
        <w:t>次抽样方案进行，不合格质量水平</w:t>
      </w:r>
      <w:r>
        <w:rPr>
          <w:rFonts w:hint="eastAsia"/>
          <w:color w:val="000000"/>
        </w:rPr>
        <w:t>（</w:t>
      </w:r>
      <w:r>
        <w:rPr>
          <w:color w:val="000000"/>
        </w:rPr>
        <w:t>RQL</w:t>
      </w:r>
      <w:r>
        <w:rPr>
          <w:rFonts w:hint="eastAsia"/>
          <w:color w:val="000000"/>
        </w:rPr>
        <w:t>）</w:t>
      </w:r>
      <w:r>
        <w:rPr>
          <w:color w:val="000000"/>
        </w:rPr>
        <w:t>和判定数组见表10。</w:t>
      </w:r>
    </w:p>
    <w:p>
      <w:pPr>
        <w:spacing w:before="120" w:beforeLines="50" w:after="120" w:afterLines="50"/>
        <w:ind w:firstLine="420" w:firstLineChars="200"/>
        <w:jc w:val="center"/>
        <w:rPr>
          <w:color w:val="000000"/>
        </w:rPr>
      </w:pPr>
      <w:r>
        <w:rPr>
          <w:rFonts w:hint="eastAsia"/>
          <w:color w:val="000000"/>
        </w:rPr>
        <w:t>表10 不合格质量水平和判定数组</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5"/>
        <w:gridCol w:w="2100"/>
        <w:gridCol w:w="1936"/>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tcPr>
          <w:p>
            <w:pPr>
              <w:spacing w:before="120" w:beforeLines="50" w:after="120" w:afterLines="50"/>
              <w:jc w:val="center"/>
              <w:rPr>
                <w:color w:val="000000"/>
                <w:szCs w:val="21"/>
              </w:rPr>
            </w:pPr>
            <w:r>
              <w:rPr>
                <w:rFonts w:hint="eastAsia"/>
                <w:color w:val="000000"/>
                <w:szCs w:val="21"/>
              </w:rPr>
              <w:t>不合格分类</w:t>
            </w:r>
          </w:p>
        </w:tc>
        <w:tc>
          <w:tcPr>
            <w:tcW w:w="2100" w:type="dxa"/>
          </w:tcPr>
          <w:p>
            <w:pPr>
              <w:spacing w:before="120" w:beforeLines="50" w:after="120" w:afterLines="50"/>
              <w:jc w:val="center"/>
              <w:rPr>
                <w:color w:val="000000"/>
                <w:szCs w:val="21"/>
              </w:rPr>
            </w:pPr>
            <w:r>
              <w:rPr>
                <w:rFonts w:hint="eastAsia"/>
                <w:color w:val="000000"/>
                <w:szCs w:val="21"/>
              </w:rPr>
              <w:t>RQL</w:t>
            </w:r>
          </w:p>
        </w:tc>
        <w:tc>
          <w:tcPr>
            <w:tcW w:w="1936" w:type="dxa"/>
          </w:tcPr>
          <w:p>
            <w:pPr>
              <w:spacing w:before="120" w:beforeLines="50" w:after="120" w:afterLines="50"/>
              <w:jc w:val="center"/>
              <w:rPr>
                <w:color w:val="000000"/>
                <w:szCs w:val="21"/>
              </w:rPr>
            </w:pPr>
            <w:r>
              <w:rPr>
                <w:rFonts w:hint="eastAsia"/>
                <w:color w:val="000000"/>
                <w:szCs w:val="21"/>
              </w:rPr>
              <w:t>样本量</w:t>
            </w:r>
          </w:p>
        </w:tc>
        <w:tc>
          <w:tcPr>
            <w:tcW w:w="2223" w:type="dxa"/>
          </w:tcPr>
          <w:p>
            <w:pPr>
              <w:spacing w:before="120" w:beforeLines="50" w:after="120" w:afterLines="50"/>
              <w:jc w:val="center"/>
              <w:rPr>
                <w:color w:val="000000"/>
                <w:szCs w:val="21"/>
              </w:rPr>
            </w:pPr>
            <w:r>
              <w:rPr>
                <w:rFonts w:hint="eastAsia"/>
                <w:color w:val="000000"/>
                <w:szCs w:val="21"/>
              </w:rPr>
              <w:t>判定数组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tcPr>
          <w:p>
            <w:pPr>
              <w:spacing w:before="120" w:beforeLines="50" w:after="120" w:afterLines="50"/>
              <w:jc w:val="center"/>
              <w:rPr>
                <w:color w:val="000000"/>
                <w:szCs w:val="21"/>
              </w:rPr>
            </w:pPr>
            <w:r>
              <w:rPr>
                <w:rFonts w:hint="eastAsia"/>
                <w:color w:val="000000"/>
                <w:szCs w:val="21"/>
              </w:rPr>
              <w:t>A类</w:t>
            </w:r>
          </w:p>
        </w:tc>
        <w:tc>
          <w:tcPr>
            <w:tcW w:w="2100" w:type="dxa"/>
          </w:tcPr>
          <w:p>
            <w:pPr>
              <w:spacing w:before="120" w:beforeLines="50" w:after="120" w:afterLines="50"/>
              <w:jc w:val="center"/>
              <w:rPr>
                <w:color w:val="000000"/>
                <w:szCs w:val="21"/>
              </w:rPr>
            </w:pPr>
            <w:r>
              <w:rPr>
                <w:rFonts w:hint="eastAsia"/>
                <w:color w:val="000000"/>
                <w:szCs w:val="21"/>
              </w:rPr>
              <w:t>5.0</w:t>
            </w:r>
          </w:p>
        </w:tc>
        <w:tc>
          <w:tcPr>
            <w:tcW w:w="1936" w:type="dxa"/>
          </w:tcPr>
          <w:p>
            <w:pPr>
              <w:spacing w:before="120" w:beforeLines="50" w:after="120" w:afterLines="50"/>
              <w:jc w:val="center"/>
              <w:rPr>
                <w:color w:val="000000"/>
                <w:szCs w:val="21"/>
              </w:rPr>
            </w:pPr>
            <w:r>
              <w:rPr>
                <w:rFonts w:hint="eastAsia"/>
                <w:color w:val="000000"/>
                <w:szCs w:val="21"/>
              </w:rPr>
              <w:t>40</w:t>
            </w:r>
          </w:p>
        </w:tc>
        <w:tc>
          <w:tcPr>
            <w:tcW w:w="2223" w:type="dxa"/>
          </w:tcPr>
          <w:p>
            <w:pPr>
              <w:spacing w:before="120" w:beforeLines="50" w:after="120" w:afterLines="50"/>
              <w:jc w:val="center"/>
              <w:rPr>
                <w:color w:val="000000"/>
                <w:szCs w:val="21"/>
              </w:rPr>
            </w:pPr>
            <w:r>
              <w:rPr>
                <w:color w:val="000000"/>
                <w:position w:val="-12"/>
                <w:szCs w:val="21"/>
              </w:rPr>
              <w:object>
                <v:shape id="_x0000_i1058" o:spt="75" type="#_x0000_t75" style="height:17.55pt;width:65.75pt;" o:ole="t" filled="f" o:preferrelative="t" stroked="f" coordsize="21600,21600">
                  <v:path/>
                  <v:fill on="f" focussize="0,0"/>
                  <v:stroke on="f" joinstyle="miter"/>
                  <v:imagedata r:id="rId74" o:title=""/>
                  <o:lock v:ext="edit" aspectratio="t"/>
                  <w10:wrap type="none"/>
                  <w10:anchorlock/>
                </v:shape>
                <o:OLEObject Type="Embed" ProgID="Equation.3" ShapeID="_x0000_i1058" DrawAspect="Content" ObjectID="_1468075758" r:id="rId73">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tcPr>
          <w:p>
            <w:pPr>
              <w:spacing w:before="120" w:beforeLines="50" w:after="120" w:afterLines="50"/>
              <w:jc w:val="center"/>
              <w:rPr>
                <w:color w:val="000000"/>
                <w:szCs w:val="21"/>
              </w:rPr>
            </w:pPr>
            <w:r>
              <w:rPr>
                <w:rFonts w:hint="eastAsia"/>
                <w:color w:val="000000"/>
                <w:szCs w:val="21"/>
              </w:rPr>
              <w:t>B类</w:t>
            </w:r>
          </w:p>
        </w:tc>
        <w:tc>
          <w:tcPr>
            <w:tcW w:w="2100" w:type="dxa"/>
          </w:tcPr>
          <w:p>
            <w:pPr>
              <w:spacing w:before="120" w:beforeLines="50" w:after="120" w:afterLines="50"/>
              <w:jc w:val="center"/>
              <w:rPr>
                <w:color w:val="000000"/>
                <w:szCs w:val="21"/>
              </w:rPr>
            </w:pPr>
            <w:r>
              <w:rPr>
                <w:rFonts w:hint="eastAsia"/>
                <w:color w:val="000000"/>
                <w:szCs w:val="21"/>
              </w:rPr>
              <w:t>6.5</w:t>
            </w:r>
          </w:p>
        </w:tc>
        <w:tc>
          <w:tcPr>
            <w:tcW w:w="1936" w:type="dxa"/>
          </w:tcPr>
          <w:p>
            <w:pPr>
              <w:spacing w:before="120" w:beforeLines="50" w:after="120" w:afterLines="50"/>
              <w:jc w:val="center"/>
              <w:rPr>
                <w:color w:val="000000"/>
                <w:szCs w:val="21"/>
              </w:rPr>
            </w:pPr>
            <w:r>
              <w:rPr>
                <w:rFonts w:hint="eastAsia"/>
                <w:color w:val="000000"/>
                <w:szCs w:val="21"/>
              </w:rPr>
              <w:t>65</w:t>
            </w:r>
          </w:p>
        </w:tc>
        <w:tc>
          <w:tcPr>
            <w:tcW w:w="2223" w:type="dxa"/>
          </w:tcPr>
          <w:p>
            <w:pPr>
              <w:spacing w:before="120" w:beforeLines="50" w:after="120" w:afterLines="50"/>
              <w:jc w:val="center"/>
              <w:rPr>
                <w:color w:val="000000"/>
                <w:szCs w:val="21"/>
              </w:rPr>
            </w:pPr>
            <w:r>
              <w:rPr>
                <w:color w:val="000000"/>
                <w:position w:val="-12"/>
                <w:szCs w:val="21"/>
              </w:rPr>
              <w:object>
                <v:shape id="_x0000_i1059" o:spt="75" type="#_x0000_t75" style="height:17.55pt;width:65.75pt;" o:ole="t" filled="f" o:preferrelative="t" stroked="f" coordsize="21600,21600">
                  <v:path/>
                  <v:fill on="f" focussize="0,0"/>
                  <v:stroke on="f" joinstyle="miter"/>
                  <v:imagedata r:id="rId76" o:title=""/>
                  <o:lock v:ext="edit" aspectratio="t"/>
                  <w10:wrap type="none"/>
                  <w10:anchorlock/>
                </v:shape>
                <o:OLEObject Type="Embed" ProgID="Equation.3" ShapeID="_x0000_i1059" DrawAspect="Content" ObjectID="_1468075759" r:id="rId75">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tcPr>
          <w:p>
            <w:pPr>
              <w:spacing w:before="120" w:beforeLines="50" w:after="120" w:afterLines="50"/>
              <w:jc w:val="center"/>
              <w:rPr>
                <w:color w:val="000000"/>
                <w:szCs w:val="21"/>
              </w:rPr>
            </w:pPr>
            <w:r>
              <w:rPr>
                <w:rFonts w:hint="eastAsia"/>
                <w:color w:val="000000"/>
                <w:szCs w:val="21"/>
              </w:rPr>
              <w:t>C类</w:t>
            </w:r>
          </w:p>
        </w:tc>
        <w:tc>
          <w:tcPr>
            <w:tcW w:w="2100" w:type="dxa"/>
          </w:tcPr>
          <w:p>
            <w:pPr>
              <w:spacing w:before="120" w:beforeLines="50" w:after="120" w:afterLines="50"/>
              <w:jc w:val="center"/>
              <w:rPr>
                <w:color w:val="000000"/>
                <w:szCs w:val="21"/>
              </w:rPr>
            </w:pPr>
            <w:r>
              <w:rPr>
                <w:rFonts w:hint="eastAsia"/>
                <w:color w:val="000000"/>
                <w:szCs w:val="21"/>
              </w:rPr>
              <w:t>6.5</w:t>
            </w:r>
          </w:p>
        </w:tc>
        <w:tc>
          <w:tcPr>
            <w:tcW w:w="1936" w:type="dxa"/>
          </w:tcPr>
          <w:p>
            <w:pPr>
              <w:spacing w:before="120" w:beforeLines="50" w:after="120" w:afterLines="50"/>
              <w:jc w:val="center"/>
              <w:rPr>
                <w:color w:val="000000"/>
                <w:szCs w:val="21"/>
              </w:rPr>
            </w:pPr>
            <w:r>
              <w:rPr>
                <w:rFonts w:hint="eastAsia"/>
                <w:color w:val="000000"/>
                <w:szCs w:val="21"/>
              </w:rPr>
              <w:t>80</w:t>
            </w:r>
          </w:p>
        </w:tc>
        <w:tc>
          <w:tcPr>
            <w:tcW w:w="2223" w:type="dxa"/>
          </w:tcPr>
          <w:p>
            <w:pPr>
              <w:spacing w:before="120" w:beforeLines="50" w:after="120" w:afterLines="50"/>
              <w:jc w:val="center"/>
              <w:rPr>
                <w:color w:val="000000"/>
                <w:szCs w:val="21"/>
              </w:rPr>
            </w:pPr>
            <w:r>
              <w:rPr>
                <w:color w:val="000000"/>
                <w:position w:val="-12"/>
                <w:szCs w:val="21"/>
              </w:rPr>
              <w:object>
                <v:shape id="_x0000_i1060" o:spt="75" type="#_x0000_t75" style="height:17.55pt;width:65.75pt;" o:ole="t" filled="f" o:preferrelative="t" stroked="f" coordsize="21600,21600">
                  <v:path/>
                  <v:fill on="f" focussize="0,0"/>
                  <v:stroke on="f" joinstyle="miter"/>
                  <v:imagedata r:id="rId78" o:title=""/>
                  <o:lock v:ext="edit" aspectratio="t"/>
                  <w10:wrap type="none"/>
                  <w10:anchorlock/>
                </v:shape>
                <o:OLEObject Type="Embed" ProgID="Equation.3" ShapeID="_x0000_i1060" DrawAspect="Content" ObjectID="_1468075760" r:id="rId7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4" w:type="dxa"/>
            <w:gridSpan w:val="4"/>
          </w:tcPr>
          <w:p>
            <w:pPr>
              <w:spacing w:before="120" w:beforeLines="50" w:after="120" w:afterLines="50"/>
              <w:ind w:firstLine="420"/>
              <w:rPr>
                <w:color w:val="000000"/>
                <w:szCs w:val="21"/>
              </w:rPr>
            </w:pPr>
            <w:r>
              <w:rPr>
                <w:rFonts w:hint="eastAsia"/>
                <w:color w:val="000000"/>
                <w:szCs w:val="21"/>
              </w:rPr>
              <w:t>注：</w:t>
            </w:r>
            <w:r>
              <w:rPr>
                <w:color w:val="000000"/>
                <w:position w:val="-12"/>
                <w:szCs w:val="21"/>
              </w:rPr>
              <w:object>
                <v:shape id="_x0000_i1061" o:spt="75" type="#_x0000_t75" style="height:17.55pt;width:15.05pt;" o:ole="t" filled="f" o:preferrelative="t" stroked="f" coordsize="21600,21600">
                  <v:path/>
                  <v:fill on="f" focussize="0,0"/>
                  <v:stroke on="f" joinstyle="miter"/>
                  <v:imagedata r:id="rId80" o:title=""/>
                  <o:lock v:ext="edit" aspectratio="t"/>
                  <w10:wrap type="none"/>
                  <w10:anchorlock/>
                </v:shape>
                <o:OLEObject Type="Embed" ProgID="Equation.3" ShapeID="_x0000_i1061" DrawAspect="Content" ObjectID="_1468075761" r:id="rId79">
                  <o:LockedField>false</o:LockedField>
                </o:OLEObject>
              </w:object>
            </w:r>
            <w:r>
              <w:rPr>
                <w:color w:val="000000"/>
                <w:szCs w:val="21"/>
              </w:rPr>
              <w:t>——</w:t>
            </w:r>
            <w:r>
              <w:rPr>
                <w:rFonts w:hint="eastAsia"/>
                <w:color w:val="000000"/>
                <w:szCs w:val="21"/>
              </w:rPr>
              <w:t>合格判定数；</w:t>
            </w:r>
            <w:r>
              <w:rPr>
                <w:color w:val="000000"/>
                <w:position w:val="-12"/>
                <w:szCs w:val="21"/>
              </w:rPr>
              <w:object>
                <v:shape id="_x0000_i1062" o:spt="75" type="#_x0000_t75" style="height:17.55pt;width:15.05pt;" o:ole="t" filled="f" o:preferrelative="t" stroked="f" coordsize="21600,21600">
                  <v:path/>
                  <v:fill on="f" focussize="0,0"/>
                  <v:stroke on="f" joinstyle="miter"/>
                  <v:imagedata r:id="rId82" o:title=""/>
                  <o:lock v:ext="edit" aspectratio="t"/>
                  <w10:wrap type="none"/>
                  <w10:anchorlock/>
                </v:shape>
                <o:OLEObject Type="Embed" ProgID="Equation.3" ShapeID="_x0000_i1062" DrawAspect="Content" ObjectID="_1468075762" r:id="rId81">
                  <o:LockedField>false</o:LockedField>
                </o:OLEObject>
              </w:object>
            </w:r>
            <w:r>
              <w:rPr>
                <w:color w:val="000000"/>
                <w:szCs w:val="21"/>
              </w:rPr>
              <w:t>——</w:t>
            </w:r>
            <w:r>
              <w:rPr>
                <w:rFonts w:hint="eastAsia"/>
                <w:color w:val="000000"/>
                <w:szCs w:val="21"/>
              </w:rPr>
              <w:t>不合格判定数。</w:t>
            </w:r>
          </w:p>
        </w:tc>
      </w:tr>
    </w:tbl>
    <w:p>
      <w:pPr>
        <w:spacing w:before="120" w:beforeLines="50" w:after="120" w:afterLines="50"/>
        <w:rPr>
          <w:szCs w:val="21"/>
        </w:rPr>
      </w:pPr>
      <w:r>
        <w:rPr>
          <w:szCs w:val="21"/>
        </w:rPr>
        <w:t>6.4.5.3 合格判据</w:t>
      </w:r>
    </w:p>
    <w:p>
      <w:pPr>
        <w:spacing w:before="120" w:beforeLines="50" w:after="120" w:afterLines="50"/>
        <w:ind w:firstLine="420" w:firstLineChars="200"/>
        <w:rPr>
          <w:color w:val="000000"/>
        </w:rPr>
      </w:pPr>
      <w:r>
        <w:rPr>
          <w:color w:val="000000"/>
        </w:rPr>
        <w:t>合格判据要求如下</w:t>
      </w:r>
      <w:r>
        <w:rPr>
          <w:rFonts w:hint="eastAsia"/>
          <w:color w:val="000000"/>
        </w:rPr>
        <w:t>：</w:t>
      </w:r>
    </w:p>
    <w:p>
      <w:pPr>
        <w:numPr>
          <w:ilvl w:val="0"/>
          <w:numId w:val="38"/>
        </w:numPr>
        <w:spacing w:before="120" w:beforeLines="50" w:after="120" w:afterLines="50"/>
        <w:ind w:firstLine="420" w:firstLineChars="200"/>
        <w:rPr>
          <w:color w:val="000000"/>
        </w:rPr>
      </w:pPr>
      <w:r>
        <w:rPr>
          <w:color w:val="000000"/>
        </w:rPr>
        <w:t>检验的不合格产品数</w:t>
      </w:r>
      <w:r>
        <w:rPr>
          <w:rFonts w:hint="eastAsia"/>
          <w:color w:val="000000"/>
        </w:rPr>
        <w:t>，</w:t>
      </w:r>
      <w:r>
        <w:rPr>
          <w:color w:val="000000"/>
        </w:rPr>
        <w:t>按照抽样方案中的判定数组要求</w:t>
      </w:r>
      <w:r>
        <w:rPr>
          <w:rFonts w:hint="eastAsia"/>
          <w:color w:val="000000"/>
        </w:rPr>
        <w:t>，</w:t>
      </w:r>
      <w:r>
        <w:rPr>
          <w:color w:val="000000"/>
        </w:rPr>
        <w:t>判定周期检验合格或者不合格。若有一组不合格应暂停交货</w:t>
      </w:r>
      <w:r>
        <w:rPr>
          <w:rFonts w:hint="eastAsia"/>
          <w:color w:val="000000"/>
        </w:rPr>
        <w:t>，</w:t>
      </w:r>
      <w:r>
        <w:rPr>
          <w:color w:val="000000"/>
        </w:rPr>
        <w:t>分析原因</w:t>
      </w:r>
      <w:r>
        <w:rPr>
          <w:rFonts w:hint="eastAsia"/>
          <w:color w:val="000000"/>
        </w:rPr>
        <w:t>，</w:t>
      </w:r>
      <w:r>
        <w:rPr>
          <w:color w:val="000000"/>
        </w:rPr>
        <w:t>采取改进措施，重新进行周期检验。合格后</w:t>
      </w:r>
      <w:r>
        <w:rPr>
          <w:rFonts w:hint="eastAsia"/>
          <w:color w:val="000000"/>
        </w:rPr>
        <w:t>，</w:t>
      </w:r>
      <w:r>
        <w:rPr>
          <w:color w:val="000000"/>
        </w:rPr>
        <w:t>产品方可交货。</w:t>
      </w:r>
    </w:p>
    <w:p>
      <w:pPr>
        <w:numPr>
          <w:ilvl w:val="0"/>
          <w:numId w:val="38"/>
        </w:numPr>
        <w:spacing w:before="120" w:beforeLines="50" w:after="120" w:afterLines="50"/>
        <w:ind w:firstLine="420" w:firstLineChars="200"/>
        <w:rPr>
          <w:color w:val="000000"/>
        </w:rPr>
      </w:pPr>
      <w:r>
        <w:rPr>
          <w:color w:val="000000"/>
        </w:rPr>
        <w:t>当周期检验不合格时</w:t>
      </w:r>
      <w:r>
        <w:rPr>
          <w:rFonts w:hint="eastAsia"/>
          <w:color w:val="000000"/>
        </w:rPr>
        <w:t>，</w:t>
      </w:r>
      <w:r>
        <w:rPr>
          <w:color w:val="000000"/>
        </w:rPr>
        <w:t>对已生产的产品和已交付的产品由生产方采取纠正措施。</w:t>
      </w:r>
    </w:p>
    <w:p>
      <w:pPr>
        <w:spacing w:before="120" w:beforeLines="50" w:after="120" w:afterLines="50"/>
        <w:rPr>
          <w:szCs w:val="21"/>
        </w:rPr>
      </w:pPr>
      <w:r>
        <w:rPr>
          <w:szCs w:val="21"/>
        </w:rPr>
        <w:t>6.4.5.4 样品处理</w:t>
      </w:r>
    </w:p>
    <w:p>
      <w:pPr>
        <w:spacing w:before="120" w:beforeLines="50" w:after="120" w:afterLines="50"/>
        <w:ind w:firstLine="420" w:firstLineChars="200"/>
        <w:rPr>
          <w:color w:val="000000"/>
        </w:rPr>
      </w:pPr>
      <w:r>
        <w:rPr>
          <w:color w:val="000000"/>
        </w:rPr>
        <w:t>经周期检验的样品不能作为正品出厂。</w:t>
      </w:r>
    </w:p>
    <w:bookmarkEnd w:id="72"/>
    <w:p>
      <w:pPr>
        <w:pStyle w:val="2"/>
        <w:spacing w:before="120" w:beforeLines="50" w:after="120" w:line="240" w:lineRule="auto"/>
        <w:rPr>
          <w:rFonts w:ascii="宋体" w:hAnsi="宋体" w:cs="宋体"/>
        </w:rPr>
      </w:pPr>
      <w:bookmarkStart w:id="76" w:name="_Toc147734730"/>
      <w:r>
        <w:rPr>
          <w:rFonts w:hint="eastAsia" w:ascii="宋体" w:hAnsi="宋体" w:cs="宋体"/>
        </w:rPr>
        <w:t>7 标志、包装、运输和贮存</w:t>
      </w:r>
      <w:bookmarkEnd w:id="76"/>
    </w:p>
    <w:p>
      <w:pPr>
        <w:pStyle w:val="3"/>
        <w:spacing w:before="240" w:after="120"/>
      </w:pPr>
      <w:bookmarkStart w:id="77" w:name="_Toc147734731"/>
      <w:r>
        <w:rPr>
          <w:rFonts w:hint="eastAsia"/>
        </w:rPr>
        <w:t>7.1 标志</w:t>
      </w:r>
      <w:bookmarkEnd w:id="77"/>
    </w:p>
    <w:p>
      <w:pPr>
        <w:spacing w:before="120" w:beforeLines="50" w:after="120" w:afterLines="50"/>
        <w:ind w:firstLine="420" w:firstLineChars="200"/>
        <w:rPr>
          <w:color w:val="000000"/>
        </w:rPr>
      </w:pPr>
      <w:r>
        <w:rPr>
          <w:rFonts w:hint="eastAsia"/>
          <w:color w:val="000000"/>
        </w:rPr>
        <w:t>标志要求如下：</w:t>
      </w:r>
    </w:p>
    <w:p>
      <w:pPr>
        <w:numPr>
          <w:ilvl w:val="0"/>
          <w:numId w:val="39"/>
        </w:numPr>
        <w:spacing w:before="120" w:beforeLines="50" w:after="120" w:afterLines="50"/>
        <w:ind w:firstLine="420" w:firstLineChars="200"/>
        <w:rPr>
          <w:color w:val="000000"/>
        </w:rPr>
      </w:pPr>
      <w:r>
        <w:rPr>
          <w:rFonts w:hint="eastAsia"/>
          <w:color w:val="000000"/>
        </w:rPr>
        <w:t>产品标志应符合GB/T 191和GB/T 6388的规定；</w:t>
      </w:r>
    </w:p>
    <w:p>
      <w:pPr>
        <w:numPr>
          <w:ilvl w:val="0"/>
          <w:numId w:val="39"/>
        </w:numPr>
        <w:spacing w:before="120" w:beforeLines="50" w:after="120" w:afterLines="50"/>
        <w:ind w:firstLine="420" w:firstLineChars="200"/>
        <w:rPr>
          <w:color w:val="000000"/>
        </w:rPr>
      </w:pPr>
      <w:r>
        <w:rPr>
          <w:rFonts w:hint="eastAsia"/>
          <w:color w:val="000000"/>
        </w:rPr>
        <w:t>产品上应有产品型号及名称标志；</w:t>
      </w:r>
    </w:p>
    <w:p>
      <w:pPr>
        <w:numPr>
          <w:ilvl w:val="0"/>
          <w:numId w:val="39"/>
        </w:numPr>
        <w:spacing w:before="120" w:beforeLines="50" w:after="120" w:afterLines="50"/>
        <w:ind w:firstLine="420" w:firstLineChars="200"/>
        <w:rPr>
          <w:color w:val="000000"/>
        </w:rPr>
      </w:pPr>
      <w:r>
        <w:rPr>
          <w:rFonts w:hint="eastAsia"/>
          <w:color w:val="000000"/>
        </w:rPr>
        <w:t>产品的包装箱、说明书中应包含以下标志：商标、企业名称与地址、产品型号及名称、生产日期；</w:t>
      </w:r>
    </w:p>
    <w:p>
      <w:pPr>
        <w:numPr>
          <w:ilvl w:val="0"/>
          <w:numId w:val="39"/>
        </w:numPr>
        <w:spacing w:before="120" w:beforeLines="50" w:after="120" w:afterLines="50"/>
        <w:ind w:firstLine="420" w:firstLineChars="200"/>
        <w:rPr>
          <w:color w:val="000000"/>
        </w:rPr>
      </w:pPr>
      <w:r>
        <w:rPr>
          <w:rFonts w:hint="eastAsia"/>
          <w:color w:val="000000"/>
        </w:rPr>
        <w:t>产品的外包装箱上应有如下标志：收发货标志、包装储运图示标志、包装件尺寸及质量等。</w:t>
      </w:r>
    </w:p>
    <w:p>
      <w:pPr>
        <w:pStyle w:val="3"/>
        <w:spacing w:before="240" w:after="120"/>
      </w:pPr>
      <w:bookmarkStart w:id="78" w:name="_Toc147734732"/>
      <w:r>
        <w:rPr>
          <w:rFonts w:hint="eastAsia"/>
        </w:rPr>
        <w:t>7.2包装</w:t>
      </w:r>
      <w:bookmarkEnd w:id="78"/>
    </w:p>
    <w:p>
      <w:pPr>
        <w:spacing w:before="120" w:beforeLines="50" w:after="120" w:afterLines="50"/>
        <w:ind w:firstLine="420" w:firstLineChars="200"/>
        <w:rPr>
          <w:color w:val="000000"/>
        </w:rPr>
      </w:pPr>
      <w:r>
        <w:rPr>
          <w:rFonts w:hint="eastAsia"/>
          <w:color w:val="000000"/>
        </w:rPr>
        <w:t>包装要求如下：</w:t>
      </w:r>
    </w:p>
    <w:p>
      <w:pPr>
        <w:numPr>
          <w:ilvl w:val="0"/>
          <w:numId w:val="40"/>
        </w:numPr>
        <w:spacing w:before="120" w:beforeLines="50" w:after="120" w:afterLines="50"/>
        <w:ind w:firstLine="420" w:firstLineChars="200"/>
        <w:rPr>
          <w:color w:val="000000"/>
        </w:rPr>
      </w:pPr>
      <w:r>
        <w:rPr>
          <w:rFonts w:hint="eastAsia"/>
          <w:color w:val="000000"/>
        </w:rPr>
        <w:t>产品包装应符合GB/T 13384的规定；</w:t>
      </w:r>
    </w:p>
    <w:p>
      <w:pPr>
        <w:numPr>
          <w:ilvl w:val="0"/>
          <w:numId w:val="40"/>
        </w:numPr>
        <w:spacing w:before="120" w:beforeLines="50" w:after="120" w:afterLines="50"/>
        <w:ind w:firstLine="420" w:firstLineChars="200"/>
        <w:rPr>
          <w:color w:val="000000"/>
        </w:rPr>
      </w:pPr>
      <w:r>
        <w:rPr>
          <w:rFonts w:hint="eastAsia"/>
          <w:color w:val="000000"/>
        </w:rPr>
        <w:t>包装件应承受GB/T4857.5的跌落试验，试验后不应有机械损伤或性能指标缺陷；</w:t>
      </w:r>
    </w:p>
    <w:p>
      <w:pPr>
        <w:numPr>
          <w:ilvl w:val="0"/>
          <w:numId w:val="40"/>
        </w:numPr>
        <w:spacing w:before="120" w:beforeLines="50" w:after="120" w:afterLines="50"/>
        <w:ind w:firstLine="420" w:firstLineChars="200"/>
        <w:rPr>
          <w:color w:val="000000"/>
        </w:rPr>
      </w:pPr>
      <w:r>
        <w:rPr>
          <w:rFonts w:hint="eastAsia"/>
          <w:color w:val="000000"/>
        </w:rPr>
        <w:t>包装箱内应有装箱单、合格证、使用说明书、保修单等。</w:t>
      </w:r>
    </w:p>
    <w:p>
      <w:pPr>
        <w:pStyle w:val="3"/>
        <w:spacing w:before="240" w:after="120"/>
      </w:pPr>
      <w:bookmarkStart w:id="79" w:name="_Toc147734733"/>
      <w:r>
        <w:rPr>
          <w:rFonts w:hint="eastAsia"/>
        </w:rPr>
        <w:t>7.3运输</w:t>
      </w:r>
      <w:bookmarkEnd w:id="79"/>
    </w:p>
    <w:p>
      <w:pPr>
        <w:spacing w:before="120" w:beforeLines="50" w:after="120" w:afterLines="50"/>
        <w:ind w:firstLine="420" w:firstLineChars="200"/>
        <w:rPr>
          <w:color w:val="000000"/>
        </w:rPr>
      </w:pPr>
      <w:r>
        <w:rPr>
          <w:rFonts w:hint="eastAsia"/>
          <w:color w:val="000000"/>
        </w:rPr>
        <w:t>产品经包装后，可采用任何交通运输工具。但在运输过程中应采取防雨淋、防震以及安全措施。</w:t>
      </w:r>
    </w:p>
    <w:p>
      <w:pPr>
        <w:pStyle w:val="3"/>
        <w:spacing w:before="240" w:after="120"/>
      </w:pPr>
      <w:bookmarkStart w:id="80" w:name="_Toc147734734"/>
      <w:r>
        <w:rPr>
          <w:rFonts w:hint="eastAsia"/>
        </w:rPr>
        <w:t>7.4 贮存</w:t>
      </w:r>
      <w:bookmarkEnd w:id="80"/>
    </w:p>
    <w:p>
      <w:pPr>
        <w:spacing w:before="120" w:beforeLines="50" w:after="120" w:afterLines="50"/>
        <w:ind w:firstLine="420" w:firstLineChars="200"/>
        <w:rPr>
          <w:color w:val="000000"/>
        </w:rPr>
      </w:pPr>
      <w:r>
        <w:rPr>
          <w:rFonts w:hint="eastAsia"/>
          <w:color w:val="000000"/>
        </w:rPr>
        <w:t>贮存要求如下：</w:t>
      </w:r>
    </w:p>
    <w:p>
      <w:pPr>
        <w:numPr>
          <w:ilvl w:val="0"/>
          <w:numId w:val="41"/>
        </w:numPr>
        <w:spacing w:before="120" w:beforeLines="50" w:after="120" w:afterLines="50"/>
        <w:ind w:firstLine="420" w:firstLineChars="200"/>
        <w:rPr>
          <w:color w:val="000000"/>
        </w:rPr>
      </w:pPr>
      <w:r>
        <w:rPr>
          <w:rFonts w:hint="eastAsia"/>
          <w:color w:val="000000"/>
        </w:rPr>
        <w:t>包装后的设备应在环境温度为-30℃~85℃，相对湿度95%以下，周围无酸碱及其他腐蚀性气体及强磁场的库中贮存；</w:t>
      </w:r>
    </w:p>
    <w:p>
      <w:pPr>
        <w:numPr>
          <w:ilvl w:val="0"/>
          <w:numId w:val="41"/>
        </w:numPr>
        <w:spacing w:before="120" w:beforeLines="50" w:after="120" w:afterLines="50"/>
        <w:ind w:firstLine="420" w:firstLineChars="200"/>
        <w:rPr>
          <w:color w:val="000000"/>
        </w:rPr>
      </w:pPr>
      <w:r>
        <w:rPr>
          <w:rFonts w:hint="eastAsia"/>
          <w:color w:val="000000"/>
        </w:rPr>
        <w:t>若无其他规定，贮存期为两年，超过贮存期的产品应开箱检验，经复验合格后方可进</w:t>
      </w:r>
      <w:r>
        <w:rPr>
          <w:rFonts w:hint="eastAsia"/>
          <w:color w:val="000000"/>
          <w:lang w:val="en-US" w:eastAsia="zh-CN"/>
        </w:rPr>
        <w:t>入</w:t>
      </w:r>
      <w:r>
        <w:rPr>
          <w:rFonts w:hint="eastAsia"/>
          <w:color w:val="000000"/>
        </w:rPr>
        <w:t>流通领域。</w:t>
      </w:r>
    </w:p>
    <w:p>
      <w:pPr>
        <w:pStyle w:val="2"/>
        <w:spacing w:before="120" w:beforeLines="50" w:after="120" w:line="240" w:lineRule="auto"/>
        <w:rPr>
          <w:rFonts w:ascii="宋体" w:hAnsi="宋体" w:cs="宋体"/>
        </w:rPr>
      </w:pPr>
      <w:bookmarkStart w:id="81" w:name="_Toc147734735"/>
      <w:r>
        <w:rPr>
          <w:rFonts w:hint="eastAsia" w:ascii="宋体" w:hAnsi="宋体" w:cs="宋体"/>
        </w:rPr>
        <w:t>8使用说明</w:t>
      </w:r>
      <w:bookmarkEnd w:id="81"/>
    </w:p>
    <w:p>
      <w:pPr>
        <w:pStyle w:val="3"/>
        <w:spacing w:before="240" w:after="120"/>
      </w:pPr>
      <w:bookmarkStart w:id="82" w:name="_Toc147734736"/>
      <w:r>
        <w:rPr>
          <w:rFonts w:hint="eastAsia"/>
        </w:rPr>
        <w:t>8.1 使用说明（书）的编写</w:t>
      </w:r>
      <w:bookmarkEnd w:id="82"/>
    </w:p>
    <w:p>
      <w:pPr>
        <w:spacing w:before="120" w:beforeLines="50" w:after="120" w:afterLines="50"/>
        <w:ind w:firstLine="420" w:firstLineChars="200"/>
        <w:rPr>
          <w:color w:val="000000"/>
        </w:rPr>
      </w:pPr>
      <w:r>
        <w:rPr>
          <w:rFonts w:hint="eastAsia"/>
          <w:color w:val="000000"/>
        </w:rPr>
        <w:t>使用说明（书）应符合GB/T 9969的规定并提供下列有关信息：</w:t>
      </w:r>
    </w:p>
    <w:p>
      <w:pPr>
        <w:numPr>
          <w:ilvl w:val="0"/>
          <w:numId w:val="42"/>
        </w:numPr>
        <w:spacing w:before="120" w:beforeLines="50" w:after="120" w:afterLines="50"/>
        <w:ind w:firstLine="420" w:firstLineChars="200"/>
        <w:rPr>
          <w:color w:val="000000"/>
        </w:rPr>
      </w:pPr>
      <w:r>
        <w:rPr>
          <w:rFonts w:hint="eastAsia"/>
          <w:color w:val="000000"/>
        </w:rPr>
        <w:t>产品型号及组成；</w:t>
      </w:r>
    </w:p>
    <w:p>
      <w:pPr>
        <w:numPr>
          <w:ilvl w:val="0"/>
          <w:numId w:val="42"/>
        </w:numPr>
        <w:spacing w:before="120" w:beforeLines="50" w:after="120" w:afterLines="50"/>
        <w:ind w:firstLine="420" w:firstLineChars="200"/>
        <w:rPr>
          <w:color w:val="000000"/>
        </w:rPr>
      </w:pPr>
      <w:r>
        <w:rPr>
          <w:rFonts w:hint="eastAsia"/>
          <w:color w:val="000000"/>
        </w:rPr>
        <w:t>产品功能及操作；</w:t>
      </w:r>
    </w:p>
    <w:p>
      <w:pPr>
        <w:numPr>
          <w:ilvl w:val="0"/>
          <w:numId w:val="42"/>
        </w:numPr>
        <w:spacing w:before="120" w:beforeLines="50" w:after="120" w:afterLines="50"/>
        <w:ind w:firstLine="420" w:firstLineChars="200"/>
        <w:rPr>
          <w:color w:val="000000"/>
        </w:rPr>
      </w:pPr>
      <w:r>
        <w:rPr>
          <w:rFonts w:hint="eastAsia"/>
          <w:color w:val="000000"/>
        </w:rPr>
        <w:t>运输；</w:t>
      </w:r>
    </w:p>
    <w:p>
      <w:pPr>
        <w:numPr>
          <w:ilvl w:val="0"/>
          <w:numId w:val="42"/>
        </w:numPr>
        <w:spacing w:before="120" w:beforeLines="50" w:after="120" w:afterLines="50"/>
        <w:ind w:firstLine="420" w:firstLineChars="200"/>
        <w:rPr>
          <w:color w:val="000000"/>
        </w:rPr>
      </w:pPr>
      <w:r>
        <w:rPr>
          <w:rFonts w:hint="eastAsia"/>
          <w:color w:val="000000"/>
        </w:rPr>
        <w:t>保养、故障判断及修理；</w:t>
      </w:r>
    </w:p>
    <w:p>
      <w:pPr>
        <w:numPr>
          <w:ilvl w:val="0"/>
          <w:numId w:val="42"/>
        </w:numPr>
        <w:spacing w:before="120" w:beforeLines="50" w:after="120" w:afterLines="50"/>
        <w:ind w:firstLine="420" w:firstLineChars="200"/>
        <w:rPr>
          <w:color w:val="000000"/>
        </w:rPr>
      </w:pPr>
      <w:r>
        <w:rPr>
          <w:rFonts w:hint="eastAsia"/>
          <w:color w:val="000000"/>
        </w:rPr>
        <w:t>安全注意事项；</w:t>
      </w:r>
    </w:p>
    <w:p>
      <w:pPr>
        <w:numPr>
          <w:ilvl w:val="0"/>
          <w:numId w:val="42"/>
        </w:numPr>
        <w:spacing w:before="120" w:beforeLines="50" w:after="120" w:afterLines="50"/>
        <w:ind w:firstLine="420" w:firstLineChars="200"/>
        <w:rPr>
          <w:color w:val="000000"/>
        </w:rPr>
      </w:pPr>
      <w:r>
        <w:rPr>
          <w:rFonts w:hint="eastAsia"/>
          <w:color w:val="000000"/>
        </w:rPr>
        <w:t>其他。</w:t>
      </w:r>
    </w:p>
    <w:p>
      <w:pPr>
        <w:pStyle w:val="3"/>
        <w:spacing w:before="240" w:after="120"/>
      </w:pPr>
      <w:bookmarkStart w:id="83" w:name="_Toc147734737"/>
      <w:r>
        <w:rPr>
          <w:rFonts w:hint="eastAsia"/>
        </w:rPr>
        <w:t>8.2使用说明的验证方法</w:t>
      </w:r>
      <w:bookmarkEnd w:id="83"/>
    </w:p>
    <w:p>
      <w:pPr>
        <w:spacing w:before="120" w:beforeLines="50" w:after="120" w:afterLines="50"/>
        <w:ind w:firstLine="420" w:firstLineChars="200"/>
        <w:rPr>
          <w:color w:val="000000"/>
        </w:rPr>
      </w:pPr>
      <w:r>
        <w:rPr>
          <w:rFonts w:hint="eastAsia"/>
          <w:color w:val="000000"/>
        </w:rPr>
        <w:t>按GB/T 9969的规定进行。</w:t>
      </w:r>
    </w:p>
    <w:p>
      <w:r>
        <w:rPr>
          <w:rFonts w:hint="eastAsia"/>
        </w:rPr>
        <w:br w:type="page"/>
      </w:r>
    </w:p>
    <w:p>
      <w:pPr>
        <w:pStyle w:val="2"/>
        <w:spacing w:before="120" w:beforeLines="50" w:after="120" w:line="240" w:lineRule="auto"/>
        <w:rPr>
          <w:rFonts w:ascii="宋体" w:hAnsi="宋体" w:cs="宋体"/>
        </w:rPr>
      </w:pPr>
      <w:bookmarkStart w:id="84" w:name="_Toc147734738"/>
      <w:r>
        <w:rPr>
          <w:rFonts w:hint="eastAsia" w:ascii="宋体" w:hAnsi="宋体" w:cs="宋体"/>
        </w:rPr>
        <w:t>附录A（规范性附录） 产品不合格分类</w:t>
      </w:r>
      <w:bookmarkEnd w:id="84"/>
    </w:p>
    <w:p>
      <w:pPr>
        <w:spacing w:before="120" w:beforeLines="50" w:after="120" w:afterLines="50"/>
        <w:ind w:firstLine="420" w:firstLineChars="200"/>
        <w:rPr>
          <w:color w:val="000000"/>
        </w:rPr>
      </w:pPr>
      <w:bookmarkStart w:id="85" w:name="bookmark6"/>
      <w:bookmarkStart w:id="86" w:name="bookmark8"/>
      <w:bookmarkStart w:id="87" w:name="bookmark7"/>
      <w:r>
        <w:rPr>
          <w:rFonts w:hint="eastAsia"/>
          <w:color w:val="000000"/>
        </w:rPr>
        <w:t>产品不合格分类见表A.1。</w:t>
      </w:r>
      <w:bookmarkEnd w:id="85"/>
      <w:bookmarkEnd w:id="86"/>
      <w:bookmarkEnd w:id="87"/>
    </w:p>
    <w:p>
      <w:pPr>
        <w:jc w:val="center"/>
        <w:rPr>
          <w:color w:val="000000"/>
        </w:rPr>
      </w:pPr>
      <w:bookmarkStart w:id="88" w:name="bookmark11"/>
      <w:bookmarkStart w:id="89" w:name="bookmark10"/>
      <w:bookmarkStart w:id="90" w:name="bookmark9"/>
      <w:r>
        <w:rPr>
          <w:color w:val="000000"/>
        </w:rPr>
        <w:t>表</w:t>
      </w:r>
      <w:r>
        <w:rPr>
          <w:rFonts w:eastAsia="Times New Roman"/>
          <w:color w:val="000000"/>
          <w:lang w:eastAsia="en-US" w:bidi="en-US"/>
        </w:rPr>
        <w:t>A.1</w:t>
      </w:r>
      <w:r>
        <w:rPr>
          <w:color w:val="000000"/>
        </w:rPr>
        <w:t>产品不合格分类</w:t>
      </w:r>
      <w:bookmarkEnd w:id="88"/>
      <w:bookmarkEnd w:id="89"/>
      <w:bookmarkEnd w:id="90"/>
    </w:p>
    <w:tbl>
      <w:tblPr>
        <w:tblStyle w:val="23"/>
        <w:tblW w:w="8494" w:type="dxa"/>
        <w:jc w:val="center"/>
        <w:tblLayout w:type="fixed"/>
        <w:tblCellMar>
          <w:top w:w="0" w:type="dxa"/>
          <w:left w:w="10" w:type="dxa"/>
          <w:bottom w:w="0" w:type="dxa"/>
          <w:right w:w="10" w:type="dxa"/>
        </w:tblCellMar>
      </w:tblPr>
      <w:tblGrid>
        <w:gridCol w:w="701"/>
        <w:gridCol w:w="1759"/>
        <w:gridCol w:w="4050"/>
        <w:gridCol w:w="614"/>
        <w:gridCol w:w="655"/>
        <w:gridCol w:w="715"/>
      </w:tblGrid>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序号</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检验项目</w:t>
            </w:r>
          </w:p>
        </w:tc>
        <w:tc>
          <w:tcPr>
            <w:tcW w:w="4050"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不合格内容</w:t>
            </w:r>
          </w:p>
        </w:tc>
        <w:tc>
          <w:tcPr>
            <w:tcW w:w="1984" w:type="dxa"/>
            <w:gridSpan w:val="3"/>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不合格分类</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vMerge w:val="continue"/>
            <w:tcBorders>
              <w:left w:val="single" w:color="auto" w:sz="4" w:space="0"/>
            </w:tcBorders>
            <w:shd w:val="clear" w:color="auto" w:fill="FFFFFF"/>
            <w:vAlign w:val="center"/>
          </w:tcPr>
          <w:p>
            <w:pPr>
              <w:jc w:val="center"/>
              <w:rPr>
                <w:rFonts w:ascii="宋体" w:hAnsi="宋体" w:cs="宋体"/>
                <w:szCs w:val="21"/>
              </w:rPr>
            </w:pPr>
          </w:p>
        </w:tc>
        <w:tc>
          <w:tcPr>
            <w:tcW w:w="614" w:type="dxa"/>
            <w:tcBorders>
              <w:top w:val="single" w:color="auto" w:sz="4" w:space="0"/>
              <w:left w:val="single" w:color="auto" w:sz="4" w:space="0"/>
            </w:tcBorders>
            <w:shd w:val="clear" w:color="auto" w:fill="FFFFFF"/>
            <w:vAlign w:val="center"/>
          </w:tcPr>
          <w:p>
            <w:pPr>
              <w:pStyle w:val="38"/>
              <w:spacing w:before="80" w:line="240" w:lineRule="auto"/>
              <w:ind w:firstLine="0"/>
              <w:jc w:val="center"/>
              <w:rPr>
                <w:sz w:val="21"/>
                <w:szCs w:val="21"/>
              </w:rPr>
            </w:pPr>
            <w:r>
              <w:rPr>
                <w:rFonts w:hint="eastAsia"/>
                <w:color w:val="000000"/>
                <w:sz w:val="21"/>
                <w:szCs w:val="21"/>
                <w:lang w:bidi="en-US"/>
              </w:rPr>
              <w:t>A</w:t>
            </w:r>
            <w:r>
              <w:rPr>
                <w:rFonts w:hint="eastAsia"/>
                <w:color w:val="000000"/>
                <w:sz w:val="21"/>
                <w:szCs w:val="21"/>
              </w:rPr>
              <w:t>类</w:t>
            </w:r>
          </w:p>
        </w:tc>
        <w:tc>
          <w:tcPr>
            <w:tcW w:w="655" w:type="dxa"/>
            <w:tcBorders>
              <w:top w:val="single" w:color="auto" w:sz="4" w:space="0"/>
              <w:left w:val="single" w:color="auto" w:sz="4" w:space="0"/>
            </w:tcBorders>
            <w:shd w:val="clear" w:color="auto" w:fill="FFFFFF"/>
            <w:vAlign w:val="center"/>
          </w:tcPr>
          <w:p>
            <w:pPr>
              <w:pStyle w:val="38"/>
              <w:spacing w:before="80" w:line="240" w:lineRule="auto"/>
              <w:ind w:firstLine="0"/>
              <w:jc w:val="center"/>
              <w:rPr>
                <w:sz w:val="21"/>
                <w:szCs w:val="21"/>
              </w:rPr>
            </w:pPr>
            <w:r>
              <w:rPr>
                <w:rFonts w:hint="eastAsia"/>
                <w:color w:val="000000"/>
                <w:sz w:val="21"/>
                <w:szCs w:val="21"/>
                <w:lang w:bidi="en-US"/>
              </w:rPr>
              <w:t>B</w:t>
            </w:r>
            <w:r>
              <w:rPr>
                <w:rFonts w:hint="eastAsia"/>
                <w:color w:val="000000"/>
                <w:sz w:val="21"/>
                <w:szCs w:val="21"/>
              </w:rPr>
              <w:t>类</w:t>
            </w:r>
          </w:p>
        </w:tc>
        <w:tc>
          <w:tcPr>
            <w:tcW w:w="715"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lang w:eastAsia="en-US" w:bidi="en-US"/>
              </w:rPr>
              <w:t>C</w:t>
            </w:r>
            <w:r>
              <w:rPr>
                <w:rFonts w:hint="eastAsia"/>
                <w:color w:val="000000"/>
                <w:sz w:val="21"/>
                <w:szCs w:val="21"/>
              </w:rPr>
              <w:t>类</w:t>
            </w:r>
          </w:p>
        </w:tc>
      </w:tr>
      <w:tr>
        <w:tblPrEx>
          <w:tblCellMar>
            <w:top w:w="0" w:type="dxa"/>
            <w:left w:w="10" w:type="dxa"/>
            <w:bottom w:w="0" w:type="dxa"/>
            <w:right w:w="10" w:type="dxa"/>
          </w:tblCellMar>
        </w:tblPrEx>
        <w:trPr>
          <w:trHeight w:val="480"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1</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结构与外观</w:t>
            </w: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结构不完备</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连接件、接插件松动</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pStyle w:val="38"/>
              <w:spacing w:before="80" w:line="240" w:lineRule="auto"/>
              <w:ind w:firstLine="0"/>
              <w:jc w:val="center"/>
              <w:rPr>
                <w:sz w:val="21"/>
                <w:szCs w:val="21"/>
              </w:rPr>
            </w:pPr>
            <w:r>
              <w:rPr>
                <w:rFonts w:ascii="Arial" w:hAnsi="Arial" w:cs="Arial"/>
                <w:sz w:val="21"/>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连接件、接插件无法连接</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设备外观轻微磨损</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设备外观严重磨损、腐蚀、裂开</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80" w:line="240" w:lineRule="auto"/>
              <w:ind w:firstLine="0"/>
              <w:jc w:val="left"/>
              <w:rPr>
                <w:sz w:val="21"/>
                <w:szCs w:val="21"/>
              </w:rPr>
            </w:pPr>
            <w:r>
              <w:rPr>
                <w:rFonts w:hint="eastAsia"/>
                <w:color w:val="000000"/>
                <w:sz w:val="21"/>
                <w:szCs w:val="21"/>
              </w:rPr>
              <w:t>按键不灵敏或功能异常</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pStyle w:val="38"/>
              <w:spacing w:before="100" w:line="240" w:lineRule="auto"/>
              <w:ind w:firstLine="0"/>
              <w:jc w:val="center"/>
              <w:rPr>
                <w:sz w:val="21"/>
                <w:szCs w:val="21"/>
              </w:rPr>
            </w:pPr>
          </w:p>
        </w:tc>
      </w:tr>
      <w:tr>
        <w:tblPrEx>
          <w:tblCellMar>
            <w:top w:w="0" w:type="dxa"/>
            <w:left w:w="10" w:type="dxa"/>
            <w:bottom w:w="0" w:type="dxa"/>
            <w:right w:w="10" w:type="dxa"/>
          </w:tblCellMar>
        </w:tblPrEx>
        <w:trPr>
          <w:trHeight w:val="480"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2</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电气</w:t>
            </w: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不具备自检功能</w:t>
            </w:r>
          </w:p>
        </w:tc>
        <w:tc>
          <w:tcPr>
            <w:tcW w:w="614" w:type="dxa"/>
            <w:tcBorders>
              <w:top w:val="single" w:color="auto" w:sz="4" w:space="0"/>
              <w:lef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自检功能出现故障</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电源不能保证最低工作时间</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无电源电压过低报警功能</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无电源电压过高保护功能</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电压变化导致测量结果不稳定</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电压变化导致设备不能工作</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sz w:val="21"/>
                <w:szCs w:val="21"/>
              </w:rPr>
              <w:t>设备功耗超过限定值</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3</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设置及显示</w:t>
            </w: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无法根据需要设备参数</w:t>
            </w:r>
          </w:p>
        </w:tc>
        <w:tc>
          <w:tcPr>
            <w:tcW w:w="61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设备采样能力不达标</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显示功能不完备</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显示错误信息</w:t>
            </w:r>
          </w:p>
        </w:tc>
        <w:tc>
          <w:tcPr>
            <w:tcW w:w="61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显示不清晰</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80"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4</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接口与输出</w:t>
            </w: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接口不完备</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不能输出观测数据至外部设备</w:t>
            </w:r>
          </w:p>
        </w:tc>
        <w:tc>
          <w:tcPr>
            <w:tcW w:w="61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输岀数据错误</w:t>
            </w:r>
          </w:p>
        </w:tc>
        <w:tc>
          <w:tcPr>
            <w:tcW w:w="61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输出数据不全</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bottom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bottom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位置更新率不达标</w:t>
            </w:r>
          </w:p>
        </w:tc>
        <w:tc>
          <w:tcPr>
            <w:tcW w:w="614" w:type="dxa"/>
            <w:tcBorders>
              <w:top w:val="single" w:color="auto" w:sz="4" w:space="0"/>
              <w:left w:val="single" w:color="auto" w:sz="4" w:space="0"/>
              <w:bottom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65" w:hRule="exact"/>
          <w:jc w:val="center"/>
        </w:trPr>
        <w:tc>
          <w:tcPr>
            <w:tcW w:w="701"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5</w:t>
            </w:r>
          </w:p>
        </w:tc>
        <w:tc>
          <w:tcPr>
            <w:tcW w:w="1759"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数据存储</w:t>
            </w:r>
          </w:p>
        </w:tc>
        <w:tc>
          <w:tcPr>
            <w:tcW w:w="40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不能存储数据</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1759"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存储空冋不足</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1759"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突然断电后记录数据丢失</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6</w:t>
            </w:r>
          </w:p>
        </w:tc>
        <w:tc>
          <w:tcPr>
            <w:tcW w:w="1759"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信号接收性能</w:t>
            </w:r>
          </w:p>
        </w:tc>
        <w:tc>
          <w:tcPr>
            <w:tcW w:w="40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不支持单北斗工作模式</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65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卫星数频点不达标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left"/>
              <w:rPr>
                <w:sz w:val="21"/>
                <w:szCs w:val="21"/>
              </w:rPr>
            </w:pPr>
            <w:r>
              <w:rPr>
                <w:rFonts w:hint="eastAsia"/>
                <w:color w:val="000000"/>
                <w:sz w:val="21"/>
                <w:szCs w:val="21"/>
              </w:rPr>
              <w:t>捕获灵敏度不达标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跟踪灵敏度不达标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7</w:t>
            </w:r>
          </w:p>
        </w:tc>
        <w:tc>
          <w:tcPr>
            <w:tcW w:w="1759"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时间特性</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left"/>
              <w:rPr>
                <w:sz w:val="21"/>
                <w:szCs w:val="21"/>
              </w:rPr>
            </w:pPr>
            <w:r>
              <w:rPr>
                <w:rFonts w:hint="eastAsia"/>
                <w:color w:val="000000"/>
                <w:sz w:val="21"/>
                <w:szCs w:val="21"/>
              </w:rPr>
              <w:t>冷启动首次定位时间不达标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center"/>
              <w:rPr>
                <w:sz w:val="21"/>
                <w:szCs w:val="21"/>
              </w:rPr>
            </w:pPr>
            <w:r>
              <w:rPr>
                <w:rFonts w:ascii="Arial" w:hAnsi="Arial" w:cs="Arial"/>
                <w:sz w:val="21"/>
                <w:szCs w:val="21"/>
              </w:rPr>
              <w:t>√</w:t>
            </w: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温启动首次定位时间不达标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热启动首次定位时间不达标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8</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内部噪声水平</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restart"/>
            <w:tcBorders>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9</w:t>
            </w:r>
          </w:p>
        </w:tc>
        <w:tc>
          <w:tcPr>
            <w:tcW w:w="1759" w:type="dxa"/>
            <w:vMerge w:val="restart"/>
            <w:tcBorders>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测量精度</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静态基线测量精度不达标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color w:val="000000"/>
                <w:sz w:val="21"/>
                <w:szCs w:val="21"/>
                <w:lang w:bidi="en-US"/>
              </w:rPr>
            </w:pPr>
            <w:r>
              <w:rPr>
                <w:rFonts w:hint="eastAsia"/>
                <w:color w:val="000000"/>
                <w:sz w:val="21"/>
                <w:szCs w:val="21"/>
                <w:lang w:bidi="en-US"/>
              </w:rPr>
              <w:t>倾角和加速度精度不达标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Arial" w:hAnsi="Arial" w:cs="Arial"/>
                <w:szCs w:val="21"/>
              </w:rPr>
            </w:pPr>
            <w:r>
              <w:rPr>
                <w:rFonts w:ascii="Arial" w:hAnsi="Arial" w:cs="Arial"/>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829"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10</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天线相位中心一致性</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11</w:t>
            </w:r>
          </w:p>
        </w:tc>
        <w:tc>
          <w:tcPr>
            <w:tcW w:w="1759"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数据处理软件</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软件安装与卸载不达标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软件必备功能不达标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12</w:t>
            </w:r>
          </w:p>
        </w:tc>
        <w:tc>
          <w:tcPr>
            <w:tcW w:w="1759"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环境适应性</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工作温度不达标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储存温度不达标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before="120" w:line="240" w:lineRule="auto"/>
              <w:ind w:firstLine="0"/>
              <w:jc w:val="left"/>
              <w:rPr>
                <w:sz w:val="21"/>
                <w:szCs w:val="21"/>
              </w:rPr>
            </w:pPr>
            <w:r>
              <w:rPr>
                <w:rFonts w:hint="eastAsia"/>
                <w:color w:val="000000"/>
                <w:sz w:val="21"/>
                <w:szCs w:val="21"/>
              </w:rPr>
              <w:t>湿热不达标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振动不达标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left"/>
              <w:rPr>
                <w:sz w:val="21"/>
                <w:szCs w:val="21"/>
              </w:rPr>
            </w:pPr>
            <w:r>
              <w:rPr>
                <w:rFonts w:hint="eastAsia"/>
                <w:color w:val="000000"/>
                <w:sz w:val="21"/>
                <w:szCs w:val="21"/>
              </w:rPr>
              <w:t>防尘不达标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防水不达标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13</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安全防护</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14</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电磁兼容防护</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lang w:eastAsia="en-US" w:bidi="en-US"/>
              </w:rPr>
              <w:t>1</w:t>
            </w:r>
            <w:r>
              <w:rPr>
                <w:rFonts w:hint="eastAsia"/>
                <w:color w:val="000000"/>
                <w:sz w:val="21"/>
                <w:szCs w:val="21"/>
                <w:lang w:bidi="en-US"/>
              </w:rPr>
              <w:t>5</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可靠性</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828" w:hRule="exact"/>
          <w:jc w:val="center"/>
        </w:trPr>
        <w:tc>
          <w:tcPr>
            <w:tcW w:w="8494"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宋体" w:hAnsi="宋体" w:cs="宋体"/>
                <w:color w:val="000000"/>
                <w:szCs w:val="21"/>
              </w:rPr>
            </w:pPr>
            <w:r>
              <w:rPr>
                <w:rFonts w:hint="eastAsia" w:ascii="宋体" w:hAnsi="宋体" w:cs="宋体"/>
                <w:color w:val="000000"/>
                <w:szCs w:val="21"/>
              </w:rPr>
              <w:t>注1：按产品质量特性及与本标准的重要程度要求分为</w:t>
            </w:r>
            <w:r>
              <w:rPr>
                <w:rFonts w:hint="eastAsia" w:ascii="宋体" w:hAnsi="宋体" w:cs="宋体"/>
                <w:color w:val="000000"/>
                <w:szCs w:val="21"/>
                <w:lang w:bidi="en-US"/>
              </w:rPr>
              <w:t>A</w:t>
            </w:r>
            <w:r>
              <w:rPr>
                <w:rFonts w:hint="eastAsia" w:ascii="宋体" w:hAnsi="宋体" w:cs="宋体"/>
                <w:color w:val="000000"/>
                <w:szCs w:val="21"/>
              </w:rPr>
              <w:t>类、</w:t>
            </w:r>
            <w:r>
              <w:rPr>
                <w:rFonts w:hint="eastAsia" w:ascii="宋体" w:hAnsi="宋体" w:cs="宋体"/>
                <w:color w:val="000000"/>
                <w:szCs w:val="21"/>
                <w:lang w:bidi="en-US"/>
              </w:rPr>
              <w:t>B</w:t>
            </w:r>
            <w:r>
              <w:rPr>
                <w:rFonts w:hint="eastAsia" w:ascii="宋体" w:hAnsi="宋体" w:cs="宋体"/>
                <w:color w:val="000000"/>
                <w:szCs w:val="21"/>
              </w:rPr>
              <w:t>类、</w:t>
            </w:r>
            <w:r>
              <w:rPr>
                <w:rFonts w:hint="eastAsia" w:ascii="宋体" w:hAnsi="宋体" w:cs="宋体"/>
                <w:color w:val="000000"/>
                <w:szCs w:val="21"/>
                <w:lang w:bidi="en-US"/>
              </w:rPr>
              <w:t>C</w:t>
            </w:r>
            <w:r>
              <w:rPr>
                <w:rFonts w:hint="eastAsia" w:ascii="宋体" w:hAnsi="宋体" w:cs="宋体"/>
                <w:color w:val="000000"/>
                <w:szCs w:val="21"/>
              </w:rPr>
              <w:t>类三种不合格判定。</w:t>
            </w:r>
          </w:p>
          <w:p>
            <w:pPr>
              <w:ind w:firstLine="420" w:firstLineChars="200"/>
              <w:jc w:val="left"/>
              <w:rPr>
                <w:rFonts w:ascii="宋体" w:hAnsi="宋体" w:cs="宋体"/>
                <w:szCs w:val="21"/>
              </w:rPr>
            </w:pPr>
            <w:r>
              <w:rPr>
                <w:rFonts w:hint="eastAsia" w:ascii="宋体" w:hAnsi="宋体" w:cs="宋体"/>
                <w:color w:val="000000"/>
                <w:szCs w:val="21"/>
              </w:rPr>
              <w:t>注2：</w:t>
            </w:r>
            <w:r>
              <w:rPr>
                <w:rFonts w:hint="eastAsia" w:ascii="宋体" w:hAnsi="宋体" w:cs="宋体"/>
                <w:color w:val="000000"/>
                <w:szCs w:val="21"/>
                <w:lang w:bidi="en-US"/>
              </w:rPr>
              <w:t>A</w:t>
            </w:r>
            <w:r>
              <w:rPr>
                <w:rFonts w:hint="eastAsia" w:ascii="宋体" w:hAnsi="宋体" w:cs="宋体"/>
                <w:color w:val="000000"/>
                <w:szCs w:val="21"/>
              </w:rPr>
              <w:t>类：最重要要求，B类：重要要求，</w:t>
            </w:r>
            <w:r>
              <w:rPr>
                <w:rFonts w:hint="eastAsia" w:ascii="宋体" w:hAnsi="宋体" w:cs="宋体"/>
                <w:color w:val="000000"/>
                <w:szCs w:val="21"/>
                <w:lang w:bidi="en-US"/>
              </w:rPr>
              <w:t>C</w:t>
            </w:r>
            <w:r>
              <w:rPr>
                <w:rFonts w:hint="eastAsia" w:ascii="宋体" w:hAnsi="宋体" w:cs="宋体"/>
                <w:color w:val="000000"/>
                <w:szCs w:val="21"/>
              </w:rPr>
              <w:t>类：次重要要求。</w:t>
            </w:r>
          </w:p>
        </w:tc>
      </w:tr>
    </w:tbl>
    <w:p>
      <w:pPr>
        <w:jc w:val="center"/>
        <w:rPr>
          <w:color w:val="000000"/>
        </w:rPr>
      </w:pPr>
    </w:p>
    <w:p>
      <w:pPr>
        <w:rPr>
          <w:color w:val="000000"/>
        </w:rPr>
      </w:pPr>
      <w:r>
        <w:rPr>
          <w:color w:val="000000"/>
        </w:rPr>
        <w:br w:type="page"/>
      </w:r>
    </w:p>
    <w:p>
      <w:pPr>
        <w:pStyle w:val="2"/>
        <w:spacing w:before="120" w:beforeLines="50" w:after="120" w:line="240" w:lineRule="auto"/>
        <w:jc w:val="center"/>
        <w:rPr>
          <w:rFonts w:ascii="宋体" w:hAnsi="宋体" w:cs="宋体"/>
        </w:rPr>
      </w:pPr>
      <w:bookmarkStart w:id="91" w:name="_Toc147734739"/>
      <w:r>
        <w:rPr>
          <w:rFonts w:hint="eastAsia" w:ascii="宋体" w:hAnsi="宋体" w:cs="宋体"/>
        </w:rPr>
        <w:t>参考文献</w:t>
      </w:r>
      <w:bookmarkEnd w:id="91"/>
    </w:p>
    <w:p>
      <w:pPr>
        <w:spacing w:before="120" w:beforeLines="50" w:after="120" w:afterLines="50"/>
        <w:ind w:firstLine="420" w:firstLineChars="200"/>
        <w:rPr>
          <w:szCs w:val="21"/>
        </w:rPr>
      </w:pPr>
      <w:r>
        <w:rPr>
          <w:rFonts w:hint="eastAsia"/>
          <w:szCs w:val="21"/>
        </w:rPr>
        <w:t>[1] GB/T 2423.1-2008 电工电子产品环境试验 第2部分：试验方法 试验A：低温</w:t>
      </w:r>
    </w:p>
    <w:p>
      <w:pPr>
        <w:spacing w:before="120" w:beforeLines="50" w:after="120" w:afterLines="50"/>
        <w:ind w:firstLine="420" w:firstLineChars="200"/>
        <w:rPr>
          <w:szCs w:val="21"/>
        </w:rPr>
      </w:pPr>
      <w:r>
        <w:rPr>
          <w:rFonts w:hint="eastAsia"/>
          <w:szCs w:val="21"/>
        </w:rPr>
        <w:t>[2] GB/T 2423.2-2008 电工电子产品环境试验 第2部分：试验方法 试验B：高温</w:t>
      </w:r>
    </w:p>
    <w:p>
      <w:pPr>
        <w:spacing w:before="120" w:beforeLines="50" w:after="120" w:afterLines="50"/>
        <w:ind w:firstLine="420" w:firstLineChars="200"/>
        <w:rPr>
          <w:szCs w:val="21"/>
        </w:rPr>
      </w:pPr>
      <w:r>
        <w:rPr>
          <w:rFonts w:hint="eastAsia"/>
          <w:szCs w:val="21"/>
        </w:rPr>
        <w:t>[3] GB/T 2423.3-2008 电工电子产品环境试验 第2部分：试验方法 试验Cab：恒定湿热试验</w:t>
      </w:r>
    </w:p>
    <w:p>
      <w:pPr>
        <w:spacing w:before="120" w:beforeLines="50" w:after="120" w:afterLines="50"/>
        <w:ind w:firstLine="420" w:firstLineChars="200"/>
        <w:rPr>
          <w:szCs w:val="21"/>
        </w:rPr>
      </w:pPr>
      <w:r>
        <w:rPr>
          <w:rFonts w:hint="eastAsia"/>
          <w:szCs w:val="21"/>
        </w:rPr>
        <w:t>[4] GB/T 4798.1-2005 电工电子产品应用环境条件 第1部分：贮存</w:t>
      </w:r>
    </w:p>
    <w:p>
      <w:pPr>
        <w:spacing w:before="120" w:beforeLines="50" w:after="120" w:afterLines="50"/>
        <w:ind w:firstLine="420" w:firstLineChars="200"/>
        <w:rPr>
          <w:szCs w:val="21"/>
        </w:rPr>
      </w:pPr>
      <w:r>
        <w:rPr>
          <w:rFonts w:hint="eastAsia"/>
          <w:szCs w:val="21"/>
        </w:rPr>
        <w:t>[5] GB/T 4798.2-1996 电工电子产品应用环境条件 运输</w:t>
      </w:r>
    </w:p>
    <w:p>
      <w:pPr>
        <w:spacing w:before="120" w:beforeLines="50" w:after="120" w:afterLines="50"/>
        <w:ind w:firstLine="420" w:firstLineChars="200"/>
        <w:rPr>
          <w:szCs w:val="21"/>
        </w:rPr>
      </w:pPr>
      <w:r>
        <w:rPr>
          <w:rFonts w:hint="eastAsia"/>
          <w:szCs w:val="21"/>
        </w:rPr>
        <w:t>[6] GB/T 4798.7-2007 电工电子产品应用环境条件 第7部分：携带和非固定使用</w:t>
      </w:r>
    </w:p>
    <w:p>
      <w:pPr>
        <w:spacing w:before="120" w:beforeLines="50" w:after="120" w:afterLines="50"/>
        <w:ind w:firstLine="420" w:firstLineChars="200"/>
        <w:rPr>
          <w:szCs w:val="21"/>
        </w:rPr>
      </w:pPr>
      <w:r>
        <w:rPr>
          <w:rFonts w:hint="eastAsia"/>
          <w:szCs w:val="21"/>
        </w:rPr>
        <w:t>[7] GB 15842-1995 移动通信设备 安全要求和试验方法</w:t>
      </w:r>
    </w:p>
    <w:p>
      <w:pPr>
        <w:spacing w:before="120" w:beforeLines="50" w:after="120" w:afterLines="50"/>
        <w:ind w:firstLine="420" w:firstLineChars="200"/>
        <w:rPr>
          <w:szCs w:val="21"/>
        </w:rPr>
      </w:pPr>
      <w:r>
        <w:rPr>
          <w:rFonts w:hint="eastAsia"/>
          <w:szCs w:val="21"/>
        </w:rPr>
        <w:t>[8] GB/T 18214.1-2000 全球卫星导航系统(GNSS) 第1部分：全球定位系统(GPS)接收机性能标准、测试方法和要求的测试结</w:t>
      </w:r>
    </w:p>
    <w:p>
      <w:pPr>
        <w:spacing w:before="120" w:beforeLines="50" w:after="120" w:afterLines="50"/>
        <w:ind w:firstLine="420" w:firstLineChars="200"/>
        <w:rPr>
          <w:szCs w:val="21"/>
        </w:rPr>
      </w:pPr>
      <w:r>
        <w:rPr>
          <w:rFonts w:hint="eastAsia"/>
          <w:szCs w:val="21"/>
        </w:rPr>
        <w:t>[9] GB/T 39399-2020 北斗卫星导航系统测量型接收机通用规范</w:t>
      </w:r>
    </w:p>
    <w:p>
      <w:pPr>
        <w:spacing w:before="120" w:beforeLines="50" w:after="120" w:afterLines="50"/>
        <w:ind w:firstLine="420" w:firstLineChars="200"/>
        <w:rPr>
          <w:szCs w:val="21"/>
        </w:rPr>
      </w:pPr>
      <w:r>
        <w:rPr>
          <w:rFonts w:hint="eastAsia"/>
          <w:szCs w:val="21"/>
        </w:rPr>
        <w:t>[10] CH 8016-95 全球定位系统(GPS)测量型接收机检定规程</w:t>
      </w:r>
    </w:p>
    <w:p>
      <w:pPr>
        <w:spacing w:before="120" w:beforeLines="50" w:after="120" w:afterLines="50"/>
        <w:ind w:firstLine="420" w:firstLineChars="200"/>
        <w:rPr>
          <w:szCs w:val="21"/>
        </w:rPr>
      </w:pPr>
      <w:r>
        <w:rPr>
          <w:rFonts w:hint="eastAsia"/>
          <w:szCs w:val="21"/>
        </w:rPr>
        <w:t>[11] JJF 1118-2004 全球定位系统(GPS)接收机(测地型和导航型)校准规范</w:t>
      </w:r>
    </w:p>
    <w:p>
      <w:pPr>
        <w:spacing w:before="120" w:beforeLines="50" w:after="120" w:afterLines="50"/>
        <w:ind w:firstLine="420" w:firstLineChars="200"/>
        <w:rPr>
          <w:szCs w:val="21"/>
        </w:rPr>
      </w:pPr>
      <w:r>
        <w:rPr>
          <w:rFonts w:hint="eastAsia"/>
          <w:szCs w:val="21"/>
        </w:rPr>
        <w:t>[12] SJ/T 11421-2010 GNSS测量型接收设备通用规范</w:t>
      </w:r>
    </w:p>
    <w:sectPr>
      <w:headerReference r:id="rId10" w:type="default"/>
      <w:footerReference r:id="rId11" w:type="default"/>
      <w:pgSz w:w="11906" w:h="16838"/>
      <w:pgMar w:top="1440" w:right="1797" w:bottom="1440" w:left="1797" w:header="851" w:footer="992" w:gutter="0"/>
      <w:pgNumType w:start="1"/>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微软雅黑">
    <w:altName w:val="黑体"/>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Droid Sans Fallback">
    <w:panose1 w:val="020B0502000000000001"/>
    <w:charset w:val="86"/>
    <w:family w:val="auto"/>
    <w:pitch w:val="default"/>
    <w:sig w:usb0="910002FF" w:usb1="2BDFFCFB" w:usb2="00000036" w:usb3="00000000" w:csb0="203F01FF" w:csb1="D7FF0000"/>
  </w:font>
  <w:font w:name="方正宋体S-超大字符集">
    <w:panose1 w:val="02000000000000000000"/>
    <w:charset w:val="86"/>
    <w:family w:val="auto"/>
    <w:pitch w:val="default"/>
    <w:sig w:usb0="00000001" w:usb1="08000000" w:usb2="00000000" w:usb3="00000000" w:csb0="00040000" w:csb1="00000000"/>
  </w:font>
  <w:font w:name="Microsoft YaHei">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6"/>
      </w:rPr>
    </w:pPr>
    <w:r>
      <w:rPr>
        <w:rStyle w:val="26"/>
      </w:rPr>
      <w:fldChar w:fldCharType="begin"/>
    </w:r>
    <w:r>
      <w:rPr>
        <w:rStyle w:val="26"/>
      </w:rPr>
      <w:instrText xml:space="preserve">PAGE  </w:instrText>
    </w:r>
    <w:r>
      <w:rPr>
        <w:rStyle w:val="26"/>
      </w:rPr>
      <w:fldChar w:fldCharType="end"/>
    </w:r>
  </w:p>
  <w:p>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firstLine="8100" w:firstLineChars="450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4"/>
                  <w:rPr>
                    <w:rStyle w:val="26"/>
                  </w:rPr>
                </w:pPr>
                <w:r>
                  <w:rPr>
                    <w:rStyle w:val="26"/>
                  </w:rPr>
                  <w:fldChar w:fldCharType="begin"/>
                </w:r>
                <w:r>
                  <w:rPr>
                    <w:rStyle w:val="26"/>
                  </w:rPr>
                  <w:instrText xml:space="preserve">PAGE  </w:instrText>
                </w:r>
                <w:r>
                  <w:rPr>
                    <w:rStyle w:val="26"/>
                  </w:rPr>
                  <w:fldChar w:fldCharType="separate"/>
                </w:r>
                <w:r>
                  <w:rPr>
                    <w:rStyle w:val="26"/>
                  </w:rPr>
                  <w:t>2</w:t>
                </w:r>
                <w:r>
                  <w:rPr>
                    <w:rStyle w:val="26"/>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firstLine="8100" w:firstLineChars="4500"/>
    </w:pPr>
    <w: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right="420"/>
      <w:jc w:val="right"/>
      <w:rPr>
        <w:rFonts w:ascii="黑体" w:hAnsi="宋体" w:eastAsia="黑体"/>
        <w:sz w:val="21"/>
        <w:szCs w:val="21"/>
      </w:rPr>
    </w:pPr>
    <w:r>
      <w:rPr>
        <w:rFonts w:hint="eastAsia" w:ascii="黑体" w:eastAsia="黑体"/>
        <w:b/>
        <w:sz w:val="21"/>
        <w:szCs w:val="21"/>
      </w:rPr>
      <w:t>DB43/T XXXX</w:t>
    </w:r>
    <w:r>
      <w:rPr>
        <w:rFonts w:hint="eastAsia" w:ascii="黑体" w:hAnsi="宋体" w:eastAsia="黑体"/>
        <w:b/>
        <w:sz w:val="21"/>
        <w:szCs w:val="21"/>
      </w:rPr>
      <w:t>-2023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DD72DA"/>
    <w:multiLevelType w:val="singleLevel"/>
    <w:tmpl w:val="89DD72DA"/>
    <w:lvl w:ilvl="0" w:tentative="0">
      <w:start w:val="1"/>
      <w:numFmt w:val="lowerLetter"/>
      <w:suff w:val="space"/>
      <w:lvlText w:val="%1）"/>
      <w:lvlJc w:val="left"/>
    </w:lvl>
  </w:abstractNum>
  <w:abstractNum w:abstractNumId="1">
    <w:nsid w:val="8F2D0E24"/>
    <w:multiLevelType w:val="singleLevel"/>
    <w:tmpl w:val="8F2D0E24"/>
    <w:lvl w:ilvl="0" w:tentative="0">
      <w:start w:val="1"/>
      <w:numFmt w:val="lowerLetter"/>
      <w:suff w:val="space"/>
      <w:lvlText w:val="%1)"/>
      <w:lvlJc w:val="left"/>
    </w:lvl>
  </w:abstractNum>
  <w:abstractNum w:abstractNumId="2">
    <w:nsid w:val="8F598BC1"/>
    <w:multiLevelType w:val="singleLevel"/>
    <w:tmpl w:val="8F598BC1"/>
    <w:lvl w:ilvl="0" w:tentative="0">
      <w:start w:val="1"/>
      <w:numFmt w:val="lowerLetter"/>
      <w:suff w:val="space"/>
      <w:lvlText w:val="%1）"/>
      <w:lvlJc w:val="left"/>
    </w:lvl>
  </w:abstractNum>
  <w:abstractNum w:abstractNumId="3">
    <w:nsid w:val="8FFC229B"/>
    <w:multiLevelType w:val="singleLevel"/>
    <w:tmpl w:val="8FFC229B"/>
    <w:lvl w:ilvl="0" w:tentative="0">
      <w:start w:val="1"/>
      <w:numFmt w:val="lowerLetter"/>
      <w:suff w:val="space"/>
      <w:lvlText w:val="%1）"/>
      <w:lvlJc w:val="left"/>
    </w:lvl>
  </w:abstractNum>
  <w:abstractNum w:abstractNumId="4">
    <w:nsid w:val="91536629"/>
    <w:multiLevelType w:val="singleLevel"/>
    <w:tmpl w:val="91536629"/>
    <w:lvl w:ilvl="0" w:tentative="0">
      <w:start w:val="1"/>
      <w:numFmt w:val="lowerLetter"/>
      <w:suff w:val="space"/>
      <w:lvlText w:val="%1)"/>
      <w:lvlJc w:val="left"/>
    </w:lvl>
  </w:abstractNum>
  <w:abstractNum w:abstractNumId="5">
    <w:nsid w:val="96614AE4"/>
    <w:multiLevelType w:val="singleLevel"/>
    <w:tmpl w:val="96614AE4"/>
    <w:lvl w:ilvl="0" w:tentative="0">
      <w:start w:val="1"/>
      <w:numFmt w:val="decimal"/>
      <w:suff w:val="space"/>
      <w:lvlText w:val="%1)"/>
      <w:lvlJc w:val="left"/>
    </w:lvl>
  </w:abstractNum>
  <w:abstractNum w:abstractNumId="6">
    <w:nsid w:val="9BC91EB9"/>
    <w:multiLevelType w:val="singleLevel"/>
    <w:tmpl w:val="9BC91EB9"/>
    <w:lvl w:ilvl="0" w:tentative="0">
      <w:start w:val="1"/>
      <w:numFmt w:val="lowerLetter"/>
      <w:suff w:val="space"/>
      <w:lvlText w:val="%1）"/>
      <w:lvlJc w:val="left"/>
    </w:lvl>
  </w:abstractNum>
  <w:abstractNum w:abstractNumId="7">
    <w:nsid w:val="A066CA3D"/>
    <w:multiLevelType w:val="singleLevel"/>
    <w:tmpl w:val="A066CA3D"/>
    <w:lvl w:ilvl="0" w:tentative="0">
      <w:start w:val="1"/>
      <w:numFmt w:val="decimal"/>
      <w:suff w:val="space"/>
      <w:lvlText w:val="%1)"/>
      <w:lvlJc w:val="left"/>
    </w:lvl>
  </w:abstractNum>
  <w:abstractNum w:abstractNumId="8">
    <w:nsid w:val="A74D9F29"/>
    <w:multiLevelType w:val="singleLevel"/>
    <w:tmpl w:val="A74D9F29"/>
    <w:lvl w:ilvl="0" w:tentative="0">
      <w:start w:val="1"/>
      <w:numFmt w:val="lowerLetter"/>
      <w:suff w:val="space"/>
      <w:lvlText w:val="%1)"/>
      <w:lvlJc w:val="left"/>
    </w:lvl>
  </w:abstractNum>
  <w:abstractNum w:abstractNumId="9">
    <w:nsid w:val="A8C567F9"/>
    <w:multiLevelType w:val="singleLevel"/>
    <w:tmpl w:val="A8C567F9"/>
    <w:lvl w:ilvl="0" w:tentative="0">
      <w:start w:val="1"/>
      <w:numFmt w:val="lowerLetter"/>
      <w:suff w:val="space"/>
      <w:lvlText w:val="%1）"/>
      <w:lvlJc w:val="left"/>
    </w:lvl>
  </w:abstractNum>
  <w:abstractNum w:abstractNumId="10">
    <w:nsid w:val="B8F3D733"/>
    <w:multiLevelType w:val="singleLevel"/>
    <w:tmpl w:val="B8F3D733"/>
    <w:lvl w:ilvl="0" w:tentative="0">
      <w:start w:val="1"/>
      <w:numFmt w:val="decimal"/>
      <w:suff w:val="space"/>
      <w:lvlText w:val="%1)"/>
      <w:lvlJc w:val="left"/>
    </w:lvl>
  </w:abstractNum>
  <w:abstractNum w:abstractNumId="11">
    <w:nsid w:val="BC449B40"/>
    <w:multiLevelType w:val="singleLevel"/>
    <w:tmpl w:val="BC449B40"/>
    <w:lvl w:ilvl="0" w:tentative="0">
      <w:start w:val="1"/>
      <w:numFmt w:val="decimal"/>
      <w:suff w:val="space"/>
      <w:lvlText w:val="%1)"/>
      <w:lvlJc w:val="left"/>
    </w:lvl>
  </w:abstractNum>
  <w:abstractNum w:abstractNumId="12">
    <w:nsid w:val="BCD27D3C"/>
    <w:multiLevelType w:val="singleLevel"/>
    <w:tmpl w:val="BCD27D3C"/>
    <w:lvl w:ilvl="0" w:tentative="0">
      <w:start w:val="1"/>
      <w:numFmt w:val="decimal"/>
      <w:suff w:val="space"/>
      <w:lvlText w:val="%1）"/>
      <w:lvlJc w:val="left"/>
    </w:lvl>
  </w:abstractNum>
  <w:abstractNum w:abstractNumId="13">
    <w:nsid w:val="D42F5E72"/>
    <w:multiLevelType w:val="singleLevel"/>
    <w:tmpl w:val="D42F5E72"/>
    <w:lvl w:ilvl="0" w:tentative="0">
      <w:start w:val="1"/>
      <w:numFmt w:val="lowerLetter"/>
      <w:suff w:val="space"/>
      <w:lvlText w:val="%1)"/>
      <w:lvlJc w:val="left"/>
    </w:lvl>
  </w:abstractNum>
  <w:abstractNum w:abstractNumId="14">
    <w:nsid w:val="D43C65FE"/>
    <w:multiLevelType w:val="singleLevel"/>
    <w:tmpl w:val="D43C65FE"/>
    <w:lvl w:ilvl="0" w:tentative="0">
      <w:start w:val="2"/>
      <w:numFmt w:val="decimal"/>
      <w:suff w:val="space"/>
      <w:lvlText w:val="%1）"/>
      <w:lvlJc w:val="left"/>
    </w:lvl>
  </w:abstractNum>
  <w:abstractNum w:abstractNumId="15">
    <w:nsid w:val="D5429223"/>
    <w:multiLevelType w:val="singleLevel"/>
    <w:tmpl w:val="D5429223"/>
    <w:lvl w:ilvl="0" w:tentative="0">
      <w:start w:val="1"/>
      <w:numFmt w:val="lowerLetter"/>
      <w:suff w:val="space"/>
      <w:lvlText w:val="%1）"/>
      <w:lvlJc w:val="left"/>
    </w:lvl>
  </w:abstractNum>
  <w:abstractNum w:abstractNumId="16">
    <w:nsid w:val="D6970049"/>
    <w:multiLevelType w:val="singleLevel"/>
    <w:tmpl w:val="D6970049"/>
    <w:lvl w:ilvl="0" w:tentative="0">
      <w:start w:val="1"/>
      <w:numFmt w:val="decimal"/>
      <w:suff w:val="space"/>
      <w:lvlText w:val="%1）"/>
      <w:lvlJc w:val="left"/>
    </w:lvl>
  </w:abstractNum>
  <w:abstractNum w:abstractNumId="17">
    <w:nsid w:val="D91AED7F"/>
    <w:multiLevelType w:val="singleLevel"/>
    <w:tmpl w:val="D91AED7F"/>
    <w:lvl w:ilvl="0" w:tentative="0">
      <w:start w:val="1"/>
      <w:numFmt w:val="lowerLetter"/>
      <w:suff w:val="space"/>
      <w:lvlText w:val="%1)"/>
      <w:lvlJc w:val="left"/>
    </w:lvl>
  </w:abstractNum>
  <w:abstractNum w:abstractNumId="18">
    <w:nsid w:val="EC2FA466"/>
    <w:multiLevelType w:val="singleLevel"/>
    <w:tmpl w:val="EC2FA466"/>
    <w:lvl w:ilvl="0" w:tentative="0">
      <w:start w:val="1"/>
      <w:numFmt w:val="lowerLetter"/>
      <w:suff w:val="space"/>
      <w:lvlText w:val="%1)"/>
      <w:lvlJc w:val="left"/>
    </w:lvl>
  </w:abstractNum>
  <w:abstractNum w:abstractNumId="19">
    <w:nsid w:val="EC932B90"/>
    <w:multiLevelType w:val="singleLevel"/>
    <w:tmpl w:val="EC932B90"/>
    <w:lvl w:ilvl="0" w:tentative="0">
      <w:start w:val="1"/>
      <w:numFmt w:val="lowerLetter"/>
      <w:suff w:val="space"/>
      <w:lvlText w:val="%1)"/>
      <w:lvlJc w:val="left"/>
    </w:lvl>
  </w:abstractNum>
  <w:abstractNum w:abstractNumId="20">
    <w:nsid w:val="ECC20634"/>
    <w:multiLevelType w:val="singleLevel"/>
    <w:tmpl w:val="ECC20634"/>
    <w:lvl w:ilvl="0" w:tentative="0">
      <w:start w:val="1"/>
      <w:numFmt w:val="lowerLetter"/>
      <w:suff w:val="space"/>
      <w:lvlText w:val="%1)"/>
      <w:lvlJc w:val="left"/>
    </w:lvl>
  </w:abstractNum>
  <w:abstractNum w:abstractNumId="21">
    <w:nsid w:val="F7EEB1D7"/>
    <w:multiLevelType w:val="singleLevel"/>
    <w:tmpl w:val="F7EEB1D7"/>
    <w:lvl w:ilvl="0" w:tentative="0">
      <w:start w:val="1"/>
      <w:numFmt w:val="decimal"/>
      <w:suff w:val="space"/>
      <w:lvlText w:val="%1)"/>
      <w:lvlJc w:val="left"/>
    </w:lvl>
  </w:abstractNum>
  <w:abstractNum w:abstractNumId="22">
    <w:nsid w:val="F99508C1"/>
    <w:multiLevelType w:val="singleLevel"/>
    <w:tmpl w:val="F99508C1"/>
    <w:lvl w:ilvl="0" w:tentative="0">
      <w:start w:val="1"/>
      <w:numFmt w:val="lowerLetter"/>
      <w:suff w:val="space"/>
      <w:lvlText w:val="%1）"/>
      <w:lvlJc w:val="left"/>
    </w:lvl>
  </w:abstractNum>
  <w:abstractNum w:abstractNumId="23">
    <w:nsid w:val="FD5EEE37"/>
    <w:multiLevelType w:val="singleLevel"/>
    <w:tmpl w:val="FD5EEE37"/>
    <w:lvl w:ilvl="0" w:tentative="0">
      <w:start w:val="1"/>
      <w:numFmt w:val="lowerLetter"/>
      <w:suff w:val="space"/>
      <w:lvlText w:val="%1）"/>
      <w:lvlJc w:val="left"/>
    </w:lvl>
  </w:abstractNum>
  <w:abstractNum w:abstractNumId="24">
    <w:nsid w:val="06F11A4B"/>
    <w:multiLevelType w:val="singleLevel"/>
    <w:tmpl w:val="06F11A4B"/>
    <w:lvl w:ilvl="0" w:tentative="0">
      <w:start w:val="1"/>
      <w:numFmt w:val="lowerLetter"/>
      <w:suff w:val="space"/>
      <w:lvlText w:val="%1）"/>
      <w:lvlJc w:val="left"/>
    </w:lvl>
  </w:abstractNum>
  <w:abstractNum w:abstractNumId="25">
    <w:nsid w:val="0F2A52CF"/>
    <w:multiLevelType w:val="singleLevel"/>
    <w:tmpl w:val="0F2A52CF"/>
    <w:lvl w:ilvl="0" w:tentative="0">
      <w:start w:val="1"/>
      <w:numFmt w:val="lowerLetter"/>
      <w:suff w:val="space"/>
      <w:lvlText w:val="%1）"/>
      <w:lvlJc w:val="left"/>
    </w:lvl>
  </w:abstractNum>
  <w:abstractNum w:abstractNumId="26">
    <w:nsid w:val="14DE71B1"/>
    <w:multiLevelType w:val="singleLevel"/>
    <w:tmpl w:val="14DE71B1"/>
    <w:lvl w:ilvl="0" w:tentative="0">
      <w:start w:val="1"/>
      <w:numFmt w:val="lowerLetter"/>
      <w:suff w:val="space"/>
      <w:lvlText w:val="%1)"/>
      <w:lvlJc w:val="left"/>
    </w:lvl>
  </w:abstractNum>
  <w:abstractNum w:abstractNumId="27">
    <w:nsid w:val="1927E3D7"/>
    <w:multiLevelType w:val="singleLevel"/>
    <w:tmpl w:val="1927E3D7"/>
    <w:lvl w:ilvl="0" w:tentative="0">
      <w:start w:val="1"/>
      <w:numFmt w:val="lowerLetter"/>
      <w:suff w:val="space"/>
      <w:lvlText w:val="%1）"/>
      <w:lvlJc w:val="left"/>
    </w:lvl>
  </w:abstractNum>
  <w:abstractNum w:abstractNumId="28">
    <w:nsid w:val="1E388B6C"/>
    <w:multiLevelType w:val="singleLevel"/>
    <w:tmpl w:val="1E388B6C"/>
    <w:lvl w:ilvl="0" w:tentative="0">
      <w:start w:val="1"/>
      <w:numFmt w:val="lowerLetter"/>
      <w:suff w:val="space"/>
      <w:lvlText w:val="%1）"/>
      <w:lvlJc w:val="left"/>
    </w:lvl>
  </w:abstractNum>
  <w:abstractNum w:abstractNumId="29">
    <w:nsid w:val="246E6E5D"/>
    <w:multiLevelType w:val="singleLevel"/>
    <w:tmpl w:val="246E6E5D"/>
    <w:lvl w:ilvl="0" w:tentative="0">
      <w:start w:val="1"/>
      <w:numFmt w:val="decimal"/>
      <w:suff w:val="space"/>
      <w:lvlText w:val="%1）"/>
      <w:lvlJc w:val="left"/>
    </w:lvl>
  </w:abstractNum>
  <w:abstractNum w:abstractNumId="30">
    <w:nsid w:val="2A91E305"/>
    <w:multiLevelType w:val="singleLevel"/>
    <w:tmpl w:val="2A91E305"/>
    <w:lvl w:ilvl="0" w:tentative="0">
      <w:start w:val="1"/>
      <w:numFmt w:val="lowerLetter"/>
      <w:suff w:val="space"/>
      <w:lvlText w:val="%1)"/>
      <w:lvlJc w:val="left"/>
    </w:lvl>
  </w:abstractNum>
  <w:abstractNum w:abstractNumId="31">
    <w:nsid w:val="374F59C2"/>
    <w:multiLevelType w:val="singleLevel"/>
    <w:tmpl w:val="374F59C2"/>
    <w:lvl w:ilvl="0" w:tentative="0">
      <w:start w:val="1"/>
      <w:numFmt w:val="lowerLetter"/>
      <w:suff w:val="space"/>
      <w:lvlText w:val="%1)"/>
      <w:lvlJc w:val="left"/>
    </w:lvl>
  </w:abstractNum>
  <w:abstractNum w:abstractNumId="32">
    <w:nsid w:val="3FF79694"/>
    <w:multiLevelType w:val="singleLevel"/>
    <w:tmpl w:val="3FF79694"/>
    <w:lvl w:ilvl="0" w:tentative="0">
      <w:start w:val="1"/>
      <w:numFmt w:val="lowerLetter"/>
      <w:suff w:val="space"/>
      <w:lvlText w:val="%1）"/>
      <w:lvlJc w:val="left"/>
    </w:lvl>
  </w:abstractNum>
  <w:abstractNum w:abstractNumId="33">
    <w:nsid w:val="45542B3F"/>
    <w:multiLevelType w:val="singleLevel"/>
    <w:tmpl w:val="45542B3F"/>
    <w:lvl w:ilvl="0" w:tentative="0">
      <w:start w:val="1"/>
      <w:numFmt w:val="lowerLetter"/>
      <w:suff w:val="space"/>
      <w:lvlText w:val="%1)"/>
      <w:lvlJc w:val="left"/>
    </w:lvl>
  </w:abstractNum>
  <w:abstractNum w:abstractNumId="34">
    <w:nsid w:val="4B323AF5"/>
    <w:multiLevelType w:val="singleLevel"/>
    <w:tmpl w:val="4B323AF5"/>
    <w:lvl w:ilvl="0" w:tentative="0">
      <w:start w:val="1"/>
      <w:numFmt w:val="lowerLetter"/>
      <w:suff w:val="space"/>
      <w:lvlText w:val="%1)"/>
      <w:lvlJc w:val="left"/>
    </w:lvl>
  </w:abstractNum>
  <w:abstractNum w:abstractNumId="35">
    <w:nsid w:val="5D792EF1"/>
    <w:multiLevelType w:val="singleLevel"/>
    <w:tmpl w:val="5D792EF1"/>
    <w:lvl w:ilvl="0" w:tentative="0">
      <w:start w:val="1"/>
      <w:numFmt w:val="decimal"/>
      <w:suff w:val="space"/>
      <w:lvlText w:val="%1)"/>
      <w:lvlJc w:val="left"/>
    </w:lvl>
  </w:abstractNum>
  <w:abstractNum w:abstractNumId="36">
    <w:nsid w:val="61E1D5AB"/>
    <w:multiLevelType w:val="singleLevel"/>
    <w:tmpl w:val="61E1D5AB"/>
    <w:lvl w:ilvl="0" w:tentative="0">
      <w:start w:val="1"/>
      <w:numFmt w:val="lowerLetter"/>
      <w:suff w:val="space"/>
      <w:lvlText w:val="%1)"/>
      <w:lvlJc w:val="left"/>
    </w:lvl>
  </w:abstractNum>
  <w:abstractNum w:abstractNumId="37">
    <w:nsid w:val="665F1AFA"/>
    <w:multiLevelType w:val="singleLevel"/>
    <w:tmpl w:val="665F1AFA"/>
    <w:lvl w:ilvl="0" w:tentative="0">
      <w:start w:val="1"/>
      <w:numFmt w:val="lowerLetter"/>
      <w:suff w:val="space"/>
      <w:lvlText w:val="%1)"/>
      <w:lvlJc w:val="left"/>
    </w:lvl>
  </w:abstractNum>
  <w:abstractNum w:abstractNumId="38">
    <w:nsid w:val="68A43193"/>
    <w:multiLevelType w:val="singleLevel"/>
    <w:tmpl w:val="68A43193"/>
    <w:lvl w:ilvl="0" w:tentative="0">
      <w:start w:val="1"/>
      <w:numFmt w:val="lowerLetter"/>
      <w:suff w:val="space"/>
      <w:lvlText w:val="%1）"/>
      <w:lvlJc w:val="left"/>
    </w:lvl>
  </w:abstractNum>
  <w:abstractNum w:abstractNumId="39">
    <w:nsid w:val="6BCCAB0B"/>
    <w:multiLevelType w:val="singleLevel"/>
    <w:tmpl w:val="6BCCAB0B"/>
    <w:lvl w:ilvl="0" w:tentative="0">
      <w:start w:val="1"/>
      <w:numFmt w:val="lowerLetter"/>
      <w:suff w:val="space"/>
      <w:lvlText w:val="%1)"/>
      <w:lvlJc w:val="left"/>
    </w:lvl>
  </w:abstractNum>
  <w:abstractNum w:abstractNumId="40">
    <w:nsid w:val="7661F886"/>
    <w:multiLevelType w:val="singleLevel"/>
    <w:tmpl w:val="7661F886"/>
    <w:lvl w:ilvl="0" w:tentative="0">
      <w:start w:val="1"/>
      <w:numFmt w:val="lowerLetter"/>
      <w:suff w:val="space"/>
      <w:lvlText w:val="%1)"/>
      <w:lvlJc w:val="left"/>
    </w:lvl>
  </w:abstractNum>
  <w:abstractNum w:abstractNumId="41">
    <w:nsid w:val="784A8A21"/>
    <w:multiLevelType w:val="singleLevel"/>
    <w:tmpl w:val="784A8A21"/>
    <w:lvl w:ilvl="0" w:tentative="0">
      <w:start w:val="1"/>
      <w:numFmt w:val="lowerLetter"/>
      <w:suff w:val="space"/>
      <w:lvlText w:val="%1)"/>
      <w:lvlJc w:val="left"/>
    </w:lvl>
  </w:abstractNum>
  <w:num w:numId="1">
    <w:abstractNumId w:val="36"/>
  </w:num>
  <w:num w:numId="2">
    <w:abstractNumId w:val="16"/>
  </w:num>
  <w:num w:numId="3">
    <w:abstractNumId w:val="14"/>
  </w:num>
  <w:num w:numId="4">
    <w:abstractNumId w:val="4"/>
  </w:num>
  <w:num w:numId="5">
    <w:abstractNumId w:val="21"/>
  </w:num>
  <w:num w:numId="6">
    <w:abstractNumId w:val="10"/>
  </w:num>
  <w:num w:numId="7">
    <w:abstractNumId w:val="11"/>
  </w:num>
  <w:num w:numId="8">
    <w:abstractNumId w:val="18"/>
  </w:num>
  <w:num w:numId="9">
    <w:abstractNumId w:val="8"/>
  </w:num>
  <w:num w:numId="10">
    <w:abstractNumId w:val="41"/>
  </w:num>
  <w:num w:numId="11">
    <w:abstractNumId w:val="31"/>
  </w:num>
  <w:num w:numId="12">
    <w:abstractNumId w:val="35"/>
  </w:num>
  <w:num w:numId="13">
    <w:abstractNumId w:val="13"/>
  </w:num>
  <w:num w:numId="14">
    <w:abstractNumId w:val="5"/>
  </w:num>
  <w:num w:numId="15">
    <w:abstractNumId w:val="1"/>
  </w:num>
  <w:num w:numId="16">
    <w:abstractNumId w:val="17"/>
  </w:num>
  <w:num w:numId="17">
    <w:abstractNumId w:val="34"/>
  </w:num>
  <w:num w:numId="18">
    <w:abstractNumId w:val="19"/>
  </w:num>
  <w:num w:numId="19">
    <w:abstractNumId w:val="30"/>
  </w:num>
  <w:num w:numId="20">
    <w:abstractNumId w:val="39"/>
  </w:num>
  <w:num w:numId="21">
    <w:abstractNumId w:val="33"/>
  </w:num>
  <w:num w:numId="22">
    <w:abstractNumId w:val="20"/>
  </w:num>
  <w:num w:numId="23">
    <w:abstractNumId w:val="26"/>
  </w:num>
  <w:num w:numId="24">
    <w:abstractNumId w:val="37"/>
  </w:num>
  <w:num w:numId="25">
    <w:abstractNumId w:val="40"/>
  </w:num>
  <w:num w:numId="26">
    <w:abstractNumId w:val="2"/>
  </w:num>
  <w:num w:numId="27">
    <w:abstractNumId w:val="6"/>
  </w:num>
  <w:num w:numId="28">
    <w:abstractNumId w:val="7"/>
  </w:num>
  <w:num w:numId="29">
    <w:abstractNumId w:val="3"/>
  </w:num>
  <w:num w:numId="30">
    <w:abstractNumId w:val="22"/>
  </w:num>
  <w:num w:numId="31">
    <w:abstractNumId w:val="23"/>
  </w:num>
  <w:num w:numId="32">
    <w:abstractNumId w:val="27"/>
  </w:num>
  <w:num w:numId="33">
    <w:abstractNumId w:val="25"/>
  </w:num>
  <w:num w:numId="34">
    <w:abstractNumId w:val="12"/>
  </w:num>
  <w:num w:numId="35">
    <w:abstractNumId w:val="0"/>
  </w:num>
  <w:num w:numId="36">
    <w:abstractNumId w:val="29"/>
  </w:num>
  <w:num w:numId="37">
    <w:abstractNumId w:val="38"/>
  </w:num>
  <w:num w:numId="38">
    <w:abstractNumId w:val="32"/>
  </w:num>
  <w:num w:numId="39">
    <w:abstractNumId w:val="24"/>
  </w:num>
  <w:num w:numId="40">
    <w:abstractNumId w:val="28"/>
  </w:num>
  <w:num w:numId="41">
    <w:abstractNumId w:val="9"/>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VhOTM2YmY0ZWJjMTg1NzY1ZmMyNGI1ZGNiMDRkMDAifQ=="/>
  </w:docVars>
  <w:rsids>
    <w:rsidRoot w:val="00F20238"/>
    <w:rsid w:val="0000703B"/>
    <w:rsid w:val="00011D3E"/>
    <w:rsid w:val="00017428"/>
    <w:rsid w:val="00021164"/>
    <w:rsid w:val="00024120"/>
    <w:rsid w:val="00031341"/>
    <w:rsid w:val="000318F4"/>
    <w:rsid w:val="00033B6B"/>
    <w:rsid w:val="00036767"/>
    <w:rsid w:val="00044D94"/>
    <w:rsid w:val="00044F6B"/>
    <w:rsid w:val="00046B29"/>
    <w:rsid w:val="00050542"/>
    <w:rsid w:val="0005639F"/>
    <w:rsid w:val="00062758"/>
    <w:rsid w:val="00063D82"/>
    <w:rsid w:val="0006428C"/>
    <w:rsid w:val="00070592"/>
    <w:rsid w:val="00071074"/>
    <w:rsid w:val="0007422A"/>
    <w:rsid w:val="0007538D"/>
    <w:rsid w:val="00080159"/>
    <w:rsid w:val="000864FD"/>
    <w:rsid w:val="00087C1D"/>
    <w:rsid w:val="00087F8A"/>
    <w:rsid w:val="0009196F"/>
    <w:rsid w:val="00096824"/>
    <w:rsid w:val="000A0129"/>
    <w:rsid w:val="000A373A"/>
    <w:rsid w:val="000A79A4"/>
    <w:rsid w:val="000B3324"/>
    <w:rsid w:val="000B37E3"/>
    <w:rsid w:val="000C2440"/>
    <w:rsid w:val="000C7E68"/>
    <w:rsid w:val="000D1075"/>
    <w:rsid w:val="000D217F"/>
    <w:rsid w:val="000D4B9A"/>
    <w:rsid w:val="000D6217"/>
    <w:rsid w:val="000D6E44"/>
    <w:rsid w:val="000F1B0F"/>
    <w:rsid w:val="000F3AD3"/>
    <w:rsid w:val="00100335"/>
    <w:rsid w:val="001122D0"/>
    <w:rsid w:val="00112AD2"/>
    <w:rsid w:val="001145A3"/>
    <w:rsid w:val="001147C8"/>
    <w:rsid w:val="0011562B"/>
    <w:rsid w:val="0011684F"/>
    <w:rsid w:val="00122231"/>
    <w:rsid w:val="00131336"/>
    <w:rsid w:val="00133151"/>
    <w:rsid w:val="00134512"/>
    <w:rsid w:val="00134CDB"/>
    <w:rsid w:val="0013626E"/>
    <w:rsid w:val="001405A6"/>
    <w:rsid w:val="001446DA"/>
    <w:rsid w:val="00146D8A"/>
    <w:rsid w:val="00153302"/>
    <w:rsid w:val="00155856"/>
    <w:rsid w:val="001560A1"/>
    <w:rsid w:val="00157CB3"/>
    <w:rsid w:val="00161299"/>
    <w:rsid w:val="00163C97"/>
    <w:rsid w:val="00181D53"/>
    <w:rsid w:val="001843DD"/>
    <w:rsid w:val="00184C73"/>
    <w:rsid w:val="00187D35"/>
    <w:rsid w:val="0019195A"/>
    <w:rsid w:val="001A0D43"/>
    <w:rsid w:val="001A10CE"/>
    <w:rsid w:val="001A69BC"/>
    <w:rsid w:val="001B33ED"/>
    <w:rsid w:val="001B3C5D"/>
    <w:rsid w:val="001B60E5"/>
    <w:rsid w:val="001C394B"/>
    <w:rsid w:val="001C54B4"/>
    <w:rsid w:val="001D0592"/>
    <w:rsid w:val="001D0AA8"/>
    <w:rsid w:val="001D332D"/>
    <w:rsid w:val="001D6782"/>
    <w:rsid w:val="001E0654"/>
    <w:rsid w:val="001E0AB1"/>
    <w:rsid w:val="001E20E5"/>
    <w:rsid w:val="001F210E"/>
    <w:rsid w:val="001F3FC0"/>
    <w:rsid w:val="00202A51"/>
    <w:rsid w:val="0020695B"/>
    <w:rsid w:val="0021577C"/>
    <w:rsid w:val="00216D3C"/>
    <w:rsid w:val="002225F0"/>
    <w:rsid w:val="00226883"/>
    <w:rsid w:val="00231386"/>
    <w:rsid w:val="002349B9"/>
    <w:rsid w:val="0023505B"/>
    <w:rsid w:val="0023755E"/>
    <w:rsid w:val="00241174"/>
    <w:rsid w:val="00242DF0"/>
    <w:rsid w:val="00242E85"/>
    <w:rsid w:val="00243541"/>
    <w:rsid w:val="002436E9"/>
    <w:rsid w:val="00244CC2"/>
    <w:rsid w:val="00245B0C"/>
    <w:rsid w:val="00260865"/>
    <w:rsid w:val="00261B2C"/>
    <w:rsid w:val="0026379B"/>
    <w:rsid w:val="00264F07"/>
    <w:rsid w:val="00266CF4"/>
    <w:rsid w:val="002676F6"/>
    <w:rsid w:val="00267D11"/>
    <w:rsid w:val="00267EB7"/>
    <w:rsid w:val="00270FB5"/>
    <w:rsid w:val="00271E2E"/>
    <w:rsid w:val="0027747F"/>
    <w:rsid w:val="00280FCE"/>
    <w:rsid w:val="00285BDA"/>
    <w:rsid w:val="00285CDB"/>
    <w:rsid w:val="002929F2"/>
    <w:rsid w:val="002946ED"/>
    <w:rsid w:val="00297427"/>
    <w:rsid w:val="002A0629"/>
    <w:rsid w:val="002A0883"/>
    <w:rsid w:val="002A0B9E"/>
    <w:rsid w:val="002A43DD"/>
    <w:rsid w:val="002A587B"/>
    <w:rsid w:val="002A6EAB"/>
    <w:rsid w:val="002B0B3C"/>
    <w:rsid w:val="002B3E7D"/>
    <w:rsid w:val="002B4451"/>
    <w:rsid w:val="002C06F9"/>
    <w:rsid w:val="002C340E"/>
    <w:rsid w:val="002C77D9"/>
    <w:rsid w:val="002D0B9C"/>
    <w:rsid w:val="002D5495"/>
    <w:rsid w:val="002E0B6B"/>
    <w:rsid w:val="002E1B6E"/>
    <w:rsid w:val="002F1CF7"/>
    <w:rsid w:val="002F2822"/>
    <w:rsid w:val="002F2E5A"/>
    <w:rsid w:val="002F35D6"/>
    <w:rsid w:val="002F448C"/>
    <w:rsid w:val="002F4F39"/>
    <w:rsid w:val="002F50D0"/>
    <w:rsid w:val="003009B7"/>
    <w:rsid w:val="00302D03"/>
    <w:rsid w:val="003040AE"/>
    <w:rsid w:val="00315862"/>
    <w:rsid w:val="00320EC2"/>
    <w:rsid w:val="00321AEF"/>
    <w:rsid w:val="0032468E"/>
    <w:rsid w:val="00325965"/>
    <w:rsid w:val="00332592"/>
    <w:rsid w:val="00333B8C"/>
    <w:rsid w:val="003340B6"/>
    <w:rsid w:val="003434F6"/>
    <w:rsid w:val="00344396"/>
    <w:rsid w:val="00346922"/>
    <w:rsid w:val="00351352"/>
    <w:rsid w:val="00353E34"/>
    <w:rsid w:val="00357191"/>
    <w:rsid w:val="00361140"/>
    <w:rsid w:val="00361863"/>
    <w:rsid w:val="00364F53"/>
    <w:rsid w:val="0037157B"/>
    <w:rsid w:val="00384B40"/>
    <w:rsid w:val="0038552E"/>
    <w:rsid w:val="0038645E"/>
    <w:rsid w:val="0039713A"/>
    <w:rsid w:val="003A0A74"/>
    <w:rsid w:val="003A3C3C"/>
    <w:rsid w:val="003A4C0D"/>
    <w:rsid w:val="003A544D"/>
    <w:rsid w:val="003A7BA5"/>
    <w:rsid w:val="003B0581"/>
    <w:rsid w:val="003B1552"/>
    <w:rsid w:val="003B3B06"/>
    <w:rsid w:val="003C7866"/>
    <w:rsid w:val="003C7D62"/>
    <w:rsid w:val="003D0BB7"/>
    <w:rsid w:val="003D313C"/>
    <w:rsid w:val="003E10C4"/>
    <w:rsid w:val="003E292E"/>
    <w:rsid w:val="003E7E14"/>
    <w:rsid w:val="003F27D5"/>
    <w:rsid w:val="003F6781"/>
    <w:rsid w:val="003F6784"/>
    <w:rsid w:val="00400E3D"/>
    <w:rsid w:val="004014D5"/>
    <w:rsid w:val="00413420"/>
    <w:rsid w:val="00415BF6"/>
    <w:rsid w:val="00417BB7"/>
    <w:rsid w:val="00424A76"/>
    <w:rsid w:val="00435D7C"/>
    <w:rsid w:val="00436F37"/>
    <w:rsid w:val="00437EB9"/>
    <w:rsid w:val="0044175B"/>
    <w:rsid w:val="00444487"/>
    <w:rsid w:val="00445615"/>
    <w:rsid w:val="004476D8"/>
    <w:rsid w:val="00447C0B"/>
    <w:rsid w:val="00447C73"/>
    <w:rsid w:val="00461205"/>
    <w:rsid w:val="0046152C"/>
    <w:rsid w:val="00465ED7"/>
    <w:rsid w:val="00466F1E"/>
    <w:rsid w:val="004672F1"/>
    <w:rsid w:val="004738A3"/>
    <w:rsid w:val="00475807"/>
    <w:rsid w:val="00483993"/>
    <w:rsid w:val="00486469"/>
    <w:rsid w:val="00493CB5"/>
    <w:rsid w:val="004951F4"/>
    <w:rsid w:val="00495B4F"/>
    <w:rsid w:val="004974E1"/>
    <w:rsid w:val="004979F4"/>
    <w:rsid w:val="004A0293"/>
    <w:rsid w:val="004A223D"/>
    <w:rsid w:val="004A7716"/>
    <w:rsid w:val="004B179C"/>
    <w:rsid w:val="004B26FC"/>
    <w:rsid w:val="004B56E3"/>
    <w:rsid w:val="004C5CB2"/>
    <w:rsid w:val="004C7CC7"/>
    <w:rsid w:val="004D0586"/>
    <w:rsid w:val="004D2DA6"/>
    <w:rsid w:val="004D4931"/>
    <w:rsid w:val="004D6CA4"/>
    <w:rsid w:val="004E3B75"/>
    <w:rsid w:val="004E4681"/>
    <w:rsid w:val="004E590F"/>
    <w:rsid w:val="004F1B1B"/>
    <w:rsid w:val="004F1B3E"/>
    <w:rsid w:val="00503809"/>
    <w:rsid w:val="0050448B"/>
    <w:rsid w:val="00507649"/>
    <w:rsid w:val="00510D79"/>
    <w:rsid w:val="00513D0C"/>
    <w:rsid w:val="00515E0E"/>
    <w:rsid w:val="00523660"/>
    <w:rsid w:val="005242EA"/>
    <w:rsid w:val="00525777"/>
    <w:rsid w:val="00525944"/>
    <w:rsid w:val="0052713B"/>
    <w:rsid w:val="005317DB"/>
    <w:rsid w:val="005319D5"/>
    <w:rsid w:val="00531F61"/>
    <w:rsid w:val="00534C97"/>
    <w:rsid w:val="00537570"/>
    <w:rsid w:val="00550BD2"/>
    <w:rsid w:val="00552DCB"/>
    <w:rsid w:val="00552E8A"/>
    <w:rsid w:val="005564F6"/>
    <w:rsid w:val="00556936"/>
    <w:rsid w:val="00560386"/>
    <w:rsid w:val="005627FF"/>
    <w:rsid w:val="00565515"/>
    <w:rsid w:val="0056735C"/>
    <w:rsid w:val="005702A3"/>
    <w:rsid w:val="00571A23"/>
    <w:rsid w:val="0057625A"/>
    <w:rsid w:val="00576EC6"/>
    <w:rsid w:val="00577833"/>
    <w:rsid w:val="00580D12"/>
    <w:rsid w:val="005816BF"/>
    <w:rsid w:val="00584A0F"/>
    <w:rsid w:val="00584E5E"/>
    <w:rsid w:val="00586041"/>
    <w:rsid w:val="00586F32"/>
    <w:rsid w:val="00587CA6"/>
    <w:rsid w:val="00596942"/>
    <w:rsid w:val="00596AD4"/>
    <w:rsid w:val="005A4FE5"/>
    <w:rsid w:val="005A7CC7"/>
    <w:rsid w:val="005B03CE"/>
    <w:rsid w:val="005B20FF"/>
    <w:rsid w:val="005B26B9"/>
    <w:rsid w:val="005B4A2B"/>
    <w:rsid w:val="005B4D17"/>
    <w:rsid w:val="005B591F"/>
    <w:rsid w:val="005C1764"/>
    <w:rsid w:val="005D18CD"/>
    <w:rsid w:val="005E3AE7"/>
    <w:rsid w:val="005E3FA8"/>
    <w:rsid w:val="005E5CBA"/>
    <w:rsid w:val="005E5EA5"/>
    <w:rsid w:val="005E6E29"/>
    <w:rsid w:val="005E7159"/>
    <w:rsid w:val="005F5465"/>
    <w:rsid w:val="005F79F2"/>
    <w:rsid w:val="00607A14"/>
    <w:rsid w:val="00611567"/>
    <w:rsid w:val="00612EE1"/>
    <w:rsid w:val="00626D96"/>
    <w:rsid w:val="00632FC5"/>
    <w:rsid w:val="00637D8B"/>
    <w:rsid w:val="0064096D"/>
    <w:rsid w:val="00640F52"/>
    <w:rsid w:val="006422D1"/>
    <w:rsid w:val="00642C4B"/>
    <w:rsid w:val="00643376"/>
    <w:rsid w:val="0064392D"/>
    <w:rsid w:val="006519DA"/>
    <w:rsid w:val="006628B6"/>
    <w:rsid w:val="0066332D"/>
    <w:rsid w:val="006673E7"/>
    <w:rsid w:val="00671A55"/>
    <w:rsid w:val="0067371F"/>
    <w:rsid w:val="00675F83"/>
    <w:rsid w:val="00677062"/>
    <w:rsid w:val="00677A82"/>
    <w:rsid w:val="006824B7"/>
    <w:rsid w:val="00687E2A"/>
    <w:rsid w:val="00690B16"/>
    <w:rsid w:val="00691FEC"/>
    <w:rsid w:val="00692E0D"/>
    <w:rsid w:val="00696FCB"/>
    <w:rsid w:val="00697496"/>
    <w:rsid w:val="006A2131"/>
    <w:rsid w:val="006B1C05"/>
    <w:rsid w:val="006B65B9"/>
    <w:rsid w:val="006B6ECE"/>
    <w:rsid w:val="006C06D2"/>
    <w:rsid w:val="006C7940"/>
    <w:rsid w:val="006D1F07"/>
    <w:rsid w:val="006D7229"/>
    <w:rsid w:val="006E3272"/>
    <w:rsid w:val="006E652B"/>
    <w:rsid w:val="006E7597"/>
    <w:rsid w:val="006E7F4D"/>
    <w:rsid w:val="006F01A5"/>
    <w:rsid w:val="006F0C35"/>
    <w:rsid w:val="006F1D27"/>
    <w:rsid w:val="006F4CD3"/>
    <w:rsid w:val="006F619F"/>
    <w:rsid w:val="006F71A8"/>
    <w:rsid w:val="0070003E"/>
    <w:rsid w:val="0070215E"/>
    <w:rsid w:val="00704000"/>
    <w:rsid w:val="00706FA4"/>
    <w:rsid w:val="00712659"/>
    <w:rsid w:val="00724848"/>
    <w:rsid w:val="00727E1E"/>
    <w:rsid w:val="007312B0"/>
    <w:rsid w:val="00733155"/>
    <w:rsid w:val="0073735E"/>
    <w:rsid w:val="00737DCB"/>
    <w:rsid w:val="00740571"/>
    <w:rsid w:val="00741437"/>
    <w:rsid w:val="007432D9"/>
    <w:rsid w:val="00751162"/>
    <w:rsid w:val="00752642"/>
    <w:rsid w:val="0076518F"/>
    <w:rsid w:val="007673A4"/>
    <w:rsid w:val="00780227"/>
    <w:rsid w:val="00780A36"/>
    <w:rsid w:val="007818CD"/>
    <w:rsid w:val="007907E6"/>
    <w:rsid w:val="007967D1"/>
    <w:rsid w:val="007A22A5"/>
    <w:rsid w:val="007A3602"/>
    <w:rsid w:val="007A46D5"/>
    <w:rsid w:val="007A5C5A"/>
    <w:rsid w:val="007A6118"/>
    <w:rsid w:val="007B1A6C"/>
    <w:rsid w:val="007B2BBB"/>
    <w:rsid w:val="007B6525"/>
    <w:rsid w:val="007B683B"/>
    <w:rsid w:val="007C1720"/>
    <w:rsid w:val="007C3A91"/>
    <w:rsid w:val="007D7ABD"/>
    <w:rsid w:val="007E05BE"/>
    <w:rsid w:val="007E29CF"/>
    <w:rsid w:val="007E2D48"/>
    <w:rsid w:val="007E7258"/>
    <w:rsid w:val="007F0E99"/>
    <w:rsid w:val="007F0EDB"/>
    <w:rsid w:val="007F2271"/>
    <w:rsid w:val="007F7D95"/>
    <w:rsid w:val="00801FB5"/>
    <w:rsid w:val="00803296"/>
    <w:rsid w:val="00804DDD"/>
    <w:rsid w:val="00810156"/>
    <w:rsid w:val="00811EE8"/>
    <w:rsid w:val="00812F79"/>
    <w:rsid w:val="00817E94"/>
    <w:rsid w:val="008204D3"/>
    <w:rsid w:val="00820D0D"/>
    <w:rsid w:val="008213A6"/>
    <w:rsid w:val="00822E0E"/>
    <w:rsid w:val="008233D2"/>
    <w:rsid w:val="0083145B"/>
    <w:rsid w:val="00841C4D"/>
    <w:rsid w:val="00846E1F"/>
    <w:rsid w:val="00847543"/>
    <w:rsid w:val="00847809"/>
    <w:rsid w:val="00852A3D"/>
    <w:rsid w:val="0085568B"/>
    <w:rsid w:val="008564E0"/>
    <w:rsid w:val="00857B79"/>
    <w:rsid w:val="00860EBF"/>
    <w:rsid w:val="00861614"/>
    <w:rsid w:val="008647E7"/>
    <w:rsid w:val="00872FDA"/>
    <w:rsid w:val="00873D22"/>
    <w:rsid w:val="00884372"/>
    <w:rsid w:val="008844FF"/>
    <w:rsid w:val="00886558"/>
    <w:rsid w:val="00894B1D"/>
    <w:rsid w:val="00894FBE"/>
    <w:rsid w:val="008A047D"/>
    <w:rsid w:val="008A0DA3"/>
    <w:rsid w:val="008A6137"/>
    <w:rsid w:val="008A67C7"/>
    <w:rsid w:val="008B0B7B"/>
    <w:rsid w:val="008B5EF1"/>
    <w:rsid w:val="008B7AFB"/>
    <w:rsid w:val="008C07A8"/>
    <w:rsid w:val="008C48A7"/>
    <w:rsid w:val="008C77B6"/>
    <w:rsid w:val="008D1CFF"/>
    <w:rsid w:val="008D7547"/>
    <w:rsid w:val="008F11CC"/>
    <w:rsid w:val="008F1F34"/>
    <w:rsid w:val="008F6B8F"/>
    <w:rsid w:val="008F7ABC"/>
    <w:rsid w:val="009009D1"/>
    <w:rsid w:val="00903454"/>
    <w:rsid w:val="00907F04"/>
    <w:rsid w:val="0091173E"/>
    <w:rsid w:val="00912FBF"/>
    <w:rsid w:val="00921179"/>
    <w:rsid w:val="00921B1D"/>
    <w:rsid w:val="00927838"/>
    <w:rsid w:val="00941A8B"/>
    <w:rsid w:val="00946712"/>
    <w:rsid w:val="009517C1"/>
    <w:rsid w:val="00952786"/>
    <w:rsid w:val="00953DD4"/>
    <w:rsid w:val="00955096"/>
    <w:rsid w:val="00957BBC"/>
    <w:rsid w:val="00970BD0"/>
    <w:rsid w:val="00974D20"/>
    <w:rsid w:val="00984C0A"/>
    <w:rsid w:val="00984C89"/>
    <w:rsid w:val="00990038"/>
    <w:rsid w:val="00992523"/>
    <w:rsid w:val="009A14F2"/>
    <w:rsid w:val="009A442E"/>
    <w:rsid w:val="009A4EEE"/>
    <w:rsid w:val="009A60A5"/>
    <w:rsid w:val="009A7C99"/>
    <w:rsid w:val="009B0E0F"/>
    <w:rsid w:val="009B2C9A"/>
    <w:rsid w:val="009B4611"/>
    <w:rsid w:val="009B5EFF"/>
    <w:rsid w:val="009C3A33"/>
    <w:rsid w:val="009C4EF0"/>
    <w:rsid w:val="009C57FC"/>
    <w:rsid w:val="009C7DE8"/>
    <w:rsid w:val="009E13D0"/>
    <w:rsid w:val="009E60A8"/>
    <w:rsid w:val="009F00DA"/>
    <w:rsid w:val="009F13A5"/>
    <w:rsid w:val="009F7F36"/>
    <w:rsid w:val="00A04E22"/>
    <w:rsid w:val="00A11356"/>
    <w:rsid w:val="00A12CDD"/>
    <w:rsid w:val="00A132B3"/>
    <w:rsid w:val="00A172DE"/>
    <w:rsid w:val="00A2383A"/>
    <w:rsid w:val="00A2503B"/>
    <w:rsid w:val="00A2568D"/>
    <w:rsid w:val="00A27D63"/>
    <w:rsid w:val="00A30B1D"/>
    <w:rsid w:val="00A3100C"/>
    <w:rsid w:val="00A34397"/>
    <w:rsid w:val="00A34D1C"/>
    <w:rsid w:val="00A37A33"/>
    <w:rsid w:val="00A43E28"/>
    <w:rsid w:val="00A43F2D"/>
    <w:rsid w:val="00A511DA"/>
    <w:rsid w:val="00A57E45"/>
    <w:rsid w:val="00A618CF"/>
    <w:rsid w:val="00A63A8A"/>
    <w:rsid w:val="00A67890"/>
    <w:rsid w:val="00A67CAC"/>
    <w:rsid w:val="00A730B4"/>
    <w:rsid w:val="00A74D9D"/>
    <w:rsid w:val="00A8470B"/>
    <w:rsid w:val="00A85D6A"/>
    <w:rsid w:val="00A930B3"/>
    <w:rsid w:val="00A934C2"/>
    <w:rsid w:val="00A94327"/>
    <w:rsid w:val="00AA28BB"/>
    <w:rsid w:val="00AA2B08"/>
    <w:rsid w:val="00AA2B4E"/>
    <w:rsid w:val="00AB2ADD"/>
    <w:rsid w:val="00AB3249"/>
    <w:rsid w:val="00AB6066"/>
    <w:rsid w:val="00AC0FFE"/>
    <w:rsid w:val="00AC15E1"/>
    <w:rsid w:val="00AD15AB"/>
    <w:rsid w:val="00AD3984"/>
    <w:rsid w:val="00AD3C6D"/>
    <w:rsid w:val="00AD3F7A"/>
    <w:rsid w:val="00AD7558"/>
    <w:rsid w:val="00AD7BD3"/>
    <w:rsid w:val="00AE27F2"/>
    <w:rsid w:val="00AE7A64"/>
    <w:rsid w:val="00AF642D"/>
    <w:rsid w:val="00B004BF"/>
    <w:rsid w:val="00B004E6"/>
    <w:rsid w:val="00B020A5"/>
    <w:rsid w:val="00B030D9"/>
    <w:rsid w:val="00B046CA"/>
    <w:rsid w:val="00B07591"/>
    <w:rsid w:val="00B13B60"/>
    <w:rsid w:val="00B13EDE"/>
    <w:rsid w:val="00B154F5"/>
    <w:rsid w:val="00B15585"/>
    <w:rsid w:val="00B15F31"/>
    <w:rsid w:val="00B26305"/>
    <w:rsid w:val="00B30E26"/>
    <w:rsid w:val="00B3144F"/>
    <w:rsid w:val="00B348E0"/>
    <w:rsid w:val="00B35CB3"/>
    <w:rsid w:val="00B409F0"/>
    <w:rsid w:val="00B40E09"/>
    <w:rsid w:val="00B4228D"/>
    <w:rsid w:val="00B42A66"/>
    <w:rsid w:val="00B44C03"/>
    <w:rsid w:val="00B45404"/>
    <w:rsid w:val="00B47827"/>
    <w:rsid w:val="00B54888"/>
    <w:rsid w:val="00B62833"/>
    <w:rsid w:val="00B65A2E"/>
    <w:rsid w:val="00B66B3E"/>
    <w:rsid w:val="00B67F99"/>
    <w:rsid w:val="00B70F50"/>
    <w:rsid w:val="00B77AA5"/>
    <w:rsid w:val="00B80744"/>
    <w:rsid w:val="00B86E8E"/>
    <w:rsid w:val="00B91B4F"/>
    <w:rsid w:val="00B95F28"/>
    <w:rsid w:val="00B97339"/>
    <w:rsid w:val="00BA01AD"/>
    <w:rsid w:val="00BA0531"/>
    <w:rsid w:val="00BA37A0"/>
    <w:rsid w:val="00BB0910"/>
    <w:rsid w:val="00BB453D"/>
    <w:rsid w:val="00BB467F"/>
    <w:rsid w:val="00BB61AE"/>
    <w:rsid w:val="00BB79C0"/>
    <w:rsid w:val="00BC1916"/>
    <w:rsid w:val="00BC3641"/>
    <w:rsid w:val="00BC55BD"/>
    <w:rsid w:val="00BC5D44"/>
    <w:rsid w:val="00BD1B70"/>
    <w:rsid w:val="00BD61B3"/>
    <w:rsid w:val="00BE4F5E"/>
    <w:rsid w:val="00BE7A54"/>
    <w:rsid w:val="00BE7B8F"/>
    <w:rsid w:val="00C0175C"/>
    <w:rsid w:val="00C0268F"/>
    <w:rsid w:val="00C07907"/>
    <w:rsid w:val="00C2205F"/>
    <w:rsid w:val="00C26344"/>
    <w:rsid w:val="00C3038B"/>
    <w:rsid w:val="00C31859"/>
    <w:rsid w:val="00C36E4E"/>
    <w:rsid w:val="00C50753"/>
    <w:rsid w:val="00C51C13"/>
    <w:rsid w:val="00C5264B"/>
    <w:rsid w:val="00C53F69"/>
    <w:rsid w:val="00C550EA"/>
    <w:rsid w:val="00C60D97"/>
    <w:rsid w:val="00C61169"/>
    <w:rsid w:val="00C62DA7"/>
    <w:rsid w:val="00C7061E"/>
    <w:rsid w:val="00C74482"/>
    <w:rsid w:val="00C75235"/>
    <w:rsid w:val="00C77531"/>
    <w:rsid w:val="00C82A04"/>
    <w:rsid w:val="00C854F2"/>
    <w:rsid w:val="00C85AD9"/>
    <w:rsid w:val="00C976E8"/>
    <w:rsid w:val="00CA15F0"/>
    <w:rsid w:val="00CA4B56"/>
    <w:rsid w:val="00CA52BB"/>
    <w:rsid w:val="00CA7EB3"/>
    <w:rsid w:val="00CB0AEE"/>
    <w:rsid w:val="00CC31F9"/>
    <w:rsid w:val="00CC43C9"/>
    <w:rsid w:val="00CC5D55"/>
    <w:rsid w:val="00CC7A67"/>
    <w:rsid w:val="00CD2FA8"/>
    <w:rsid w:val="00CD5F84"/>
    <w:rsid w:val="00CD7DA9"/>
    <w:rsid w:val="00CE1124"/>
    <w:rsid w:val="00CE1B8A"/>
    <w:rsid w:val="00CE1C66"/>
    <w:rsid w:val="00CE27C5"/>
    <w:rsid w:val="00D00205"/>
    <w:rsid w:val="00D04279"/>
    <w:rsid w:val="00D05AB5"/>
    <w:rsid w:val="00D11213"/>
    <w:rsid w:val="00D11445"/>
    <w:rsid w:val="00D1167F"/>
    <w:rsid w:val="00D1416E"/>
    <w:rsid w:val="00D1617B"/>
    <w:rsid w:val="00D33DD7"/>
    <w:rsid w:val="00D43A3D"/>
    <w:rsid w:val="00D43F34"/>
    <w:rsid w:val="00D454BD"/>
    <w:rsid w:val="00D479D2"/>
    <w:rsid w:val="00D53D26"/>
    <w:rsid w:val="00D55667"/>
    <w:rsid w:val="00D556AA"/>
    <w:rsid w:val="00D575EC"/>
    <w:rsid w:val="00D57DA3"/>
    <w:rsid w:val="00D6034E"/>
    <w:rsid w:val="00D66F6D"/>
    <w:rsid w:val="00D705C2"/>
    <w:rsid w:val="00D73D95"/>
    <w:rsid w:val="00D74D35"/>
    <w:rsid w:val="00D768CE"/>
    <w:rsid w:val="00D7798E"/>
    <w:rsid w:val="00D86420"/>
    <w:rsid w:val="00D86B8E"/>
    <w:rsid w:val="00D86C52"/>
    <w:rsid w:val="00D86EED"/>
    <w:rsid w:val="00D933D0"/>
    <w:rsid w:val="00D957F5"/>
    <w:rsid w:val="00D95FBA"/>
    <w:rsid w:val="00D97C4C"/>
    <w:rsid w:val="00DA4629"/>
    <w:rsid w:val="00DA5070"/>
    <w:rsid w:val="00DA5763"/>
    <w:rsid w:val="00DA5EF7"/>
    <w:rsid w:val="00DA68CE"/>
    <w:rsid w:val="00DB2638"/>
    <w:rsid w:val="00DB2F2D"/>
    <w:rsid w:val="00DB7ECC"/>
    <w:rsid w:val="00DC1327"/>
    <w:rsid w:val="00DC2285"/>
    <w:rsid w:val="00DC2478"/>
    <w:rsid w:val="00DC7B9D"/>
    <w:rsid w:val="00DD0BED"/>
    <w:rsid w:val="00DD14A4"/>
    <w:rsid w:val="00DD3336"/>
    <w:rsid w:val="00DD3CE5"/>
    <w:rsid w:val="00DD6DB8"/>
    <w:rsid w:val="00DD73DB"/>
    <w:rsid w:val="00DE0D7B"/>
    <w:rsid w:val="00DE27CD"/>
    <w:rsid w:val="00DE3969"/>
    <w:rsid w:val="00DE7067"/>
    <w:rsid w:val="00DF0BEB"/>
    <w:rsid w:val="00DF24A8"/>
    <w:rsid w:val="00DF285D"/>
    <w:rsid w:val="00E046A7"/>
    <w:rsid w:val="00E04D16"/>
    <w:rsid w:val="00E14871"/>
    <w:rsid w:val="00E2350B"/>
    <w:rsid w:val="00E30389"/>
    <w:rsid w:val="00E307DD"/>
    <w:rsid w:val="00E32E5F"/>
    <w:rsid w:val="00E33E6B"/>
    <w:rsid w:val="00E35270"/>
    <w:rsid w:val="00E36E84"/>
    <w:rsid w:val="00E42B71"/>
    <w:rsid w:val="00E42C1F"/>
    <w:rsid w:val="00E458CF"/>
    <w:rsid w:val="00E46963"/>
    <w:rsid w:val="00E505FB"/>
    <w:rsid w:val="00E51C0A"/>
    <w:rsid w:val="00E52CCF"/>
    <w:rsid w:val="00E60FEA"/>
    <w:rsid w:val="00E64661"/>
    <w:rsid w:val="00E64EDD"/>
    <w:rsid w:val="00E716D5"/>
    <w:rsid w:val="00E71C82"/>
    <w:rsid w:val="00E722C0"/>
    <w:rsid w:val="00E72A66"/>
    <w:rsid w:val="00E75DE6"/>
    <w:rsid w:val="00E7628A"/>
    <w:rsid w:val="00E7637E"/>
    <w:rsid w:val="00E768D1"/>
    <w:rsid w:val="00E773B9"/>
    <w:rsid w:val="00E77B3B"/>
    <w:rsid w:val="00E85448"/>
    <w:rsid w:val="00E86711"/>
    <w:rsid w:val="00E87F77"/>
    <w:rsid w:val="00E92029"/>
    <w:rsid w:val="00E924C0"/>
    <w:rsid w:val="00E92A66"/>
    <w:rsid w:val="00E937C6"/>
    <w:rsid w:val="00E96287"/>
    <w:rsid w:val="00EA0ED7"/>
    <w:rsid w:val="00EA5DED"/>
    <w:rsid w:val="00EA67CA"/>
    <w:rsid w:val="00EB1DB4"/>
    <w:rsid w:val="00EB2FBD"/>
    <w:rsid w:val="00EB4404"/>
    <w:rsid w:val="00EB6C00"/>
    <w:rsid w:val="00EC054B"/>
    <w:rsid w:val="00EC23A6"/>
    <w:rsid w:val="00EC271B"/>
    <w:rsid w:val="00EC69D3"/>
    <w:rsid w:val="00EC7351"/>
    <w:rsid w:val="00ED4C80"/>
    <w:rsid w:val="00ED73A2"/>
    <w:rsid w:val="00EE1995"/>
    <w:rsid w:val="00EE31BA"/>
    <w:rsid w:val="00EF1EDA"/>
    <w:rsid w:val="00EF4168"/>
    <w:rsid w:val="00F010A2"/>
    <w:rsid w:val="00F0331C"/>
    <w:rsid w:val="00F078A9"/>
    <w:rsid w:val="00F13772"/>
    <w:rsid w:val="00F20238"/>
    <w:rsid w:val="00F30751"/>
    <w:rsid w:val="00F32310"/>
    <w:rsid w:val="00F329F7"/>
    <w:rsid w:val="00F40B89"/>
    <w:rsid w:val="00F41F67"/>
    <w:rsid w:val="00F45A86"/>
    <w:rsid w:val="00F501B6"/>
    <w:rsid w:val="00F524EC"/>
    <w:rsid w:val="00F53F2A"/>
    <w:rsid w:val="00F70F50"/>
    <w:rsid w:val="00F724FB"/>
    <w:rsid w:val="00F72EB4"/>
    <w:rsid w:val="00F7345C"/>
    <w:rsid w:val="00F82FAC"/>
    <w:rsid w:val="00F8487C"/>
    <w:rsid w:val="00F92A53"/>
    <w:rsid w:val="00F9330A"/>
    <w:rsid w:val="00F9551A"/>
    <w:rsid w:val="00FA37A1"/>
    <w:rsid w:val="00FB0936"/>
    <w:rsid w:val="00FB14C6"/>
    <w:rsid w:val="00FB2729"/>
    <w:rsid w:val="00FB3889"/>
    <w:rsid w:val="00FB5EAE"/>
    <w:rsid w:val="00FC043E"/>
    <w:rsid w:val="00FC0AB5"/>
    <w:rsid w:val="00FC16B9"/>
    <w:rsid w:val="00FC18BD"/>
    <w:rsid w:val="00FC1B2D"/>
    <w:rsid w:val="00FC3A43"/>
    <w:rsid w:val="00FC3D68"/>
    <w:rsid w:val="00FC4705"/>
    <w:rsid w:val="00FD3B0A"/>
    <w:rsid w:val="00FE035C"/>
    <w:rsid w:val="00FE2277"/>
    <w:rsid w:val="00FE4B35"/>
    <w:rsid w:val="00FE793B"/>
    <w:rsid w:val="00FE7F76"/>
    <w:rsid w:val="00FF1E63"/>
    <w:rsid w:val="00FF2DA6"/>
    <w:rsid w:val="00FF3558"/>
    <w:rsid w:val="00FF6782"/>
    <w:rsid w:val="046031F5"/>
    <w:rsid w:val="06D838CB"/>
    <w:rsid w:val="0808758D"/>
    <w:rsid w:val="095675D9"/>
    <w:rsid w:val="097175B9"/>
    <w:rsid w:val="0A431998"/>
    <w:rsid w:val="0A6922B1"/>
    <w:rsid w:val="0CAD6EB2"/>
    <w:rsid w:val="0CB910AD"/>
    <w:rsid w:val="0D5315F8"/>
    <w:rsid w:val="0DEA7F4B"/>
    <w:rsid w:val="0F6A29B1"/>
    <w:rsid w:val="120862E2"/>
    <w:rsid w:val="127952CC"/>
    <w:rsid w:val="13510E91"/>
    <w:rsid w:val="14014387"/>
    <w:rsid w:val="17976B58"/>
    <w:rsid w:val="1EFB0E61"/>
    <w:rsid w:val="22DC3289"/>
    <w:rsid w:val="26CC21AB"/>
    <w:rsid w:val="27FE6FBB"/>
    <w:rsid w:val="28A717DB"/>
    <w:rsid w:val="28FA40D6"/>
    <w:rsid w:val="294D19E5"/>
    <w:rsid w:val="2A8D52A0"/>
    <w:rsid w:val="2AC40E89"/>
    <w:rsid w:val="2BE36081"/>
    <w:rsid w:val="2D027B60"/>
    <w:rsid w:val="2FBB1CE9"/>
    <w:rsid w:val="32490227"/>
    <w:rsid w:val="35E57C85"/>
    <w:rsid w:val="37175D4E"/>
    <w:rsid w:val="38C955EE"/>
    <w:rsid w:val="39A7024B"/>
    <w:rsid w:val="3C0D0839"/>
    <w:rsid w:val="42FD4620"/>
    <w:rsid w:val="46495120"/>
    <w:rsid w:val="4734568A"/>
    <w:rsid w:val="47B403DB"/>
    <w:rsid w:val="4807316C"/>
    <w:rsid w:val="48951C53"/>
    <w:rsid w:val="4AB94830"/>
    <w:rsid w:val="4D1B6FDE"/>
    <w:rsid w:val="545F6969"/>
    <w:rsid w:val="54A1259F"/>
    <w:rsid w:val="54F2211E"/>
    <w:rsid w:val="55437AE2"/>
    <w:rsid w:val="55524315"/>
    <w:rsid w:val="55AE5611"/>
    <w:rsid w:val="55C42EFE"/>
    <w:rsid w:val="57F24EEE"/>
    <w:rsid w:val="58C9696D"/>
    <w:rsid w:val="5C1B5EFB"/>
    <w:rsid w:val="5D612FF8"/>
    <w:rsid w:val="5F99493F"/>
    <w:rsid w:val="5FD11471"/>
    <w:rsid w:val="62966A84"/>
    <w:rsid w:val="676E1A82"/>
    <w:rsid w:val="684B147B"/>
    <w:rsid w:val="6C9873ED"/>
    <w:rsid w:val="6EB31222"/>
    <w:rsid w:val="6F0155BA"/>
    <w:rsid w:val="6F433A63"/>
    <w:rsid w:val="72CE0D72"/>
    <w:rsid w:val="78550CFB"/>
    <w:rsid w:val="78A01CE3"/>
    <w:rsid w:val="78E87E1C"/>
    <w:rsid w:val="79A96BED"/>
    <w:rsid w:val="79DD0BE3"/>
    <w:rsid w:val="F2FBD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00" w:beforeLines="100" w:after="50" w:afterLines="50" w:line="360" w:lineRule="auto"/>
      <w:outlineLvl w:val="0"/>
    </w:pPr>
    <w:rPr>
      <w:rFonts w:eastAsia="黑体"/>
      <w:bCs/>
      <w:kern w:val="44"/>
      <w:szCs w:val="44"/>
    </w:rPr>
  </w:style>
  <w:style w:type="paragraph" w:styleId="3">
    <w:name w:val="heading 2"/>
    <w:basedOn w:val="1"/>
    <w:next w:val="1"/>
    <w:qFormat/>
    <w:uiPriority w:val="0"/>
    <w:pPr>
      <w:keepNext/>
      <w:keepLines/>
      <w:spacing w:before="100" w:beforeLines="100" w:after="50" w:afterLines="50" w:line="360" w:lineRule="auto"/>
      <w:outlineLvl w:val="1"/>
    </w:pPr>
    <w:rPr>
      <w:rFonts w:ascii="Arial" w:hAnsi="Arial" w:eastAsia="黑体"/>
      <w:bCs/>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0"/>
    <w:pPr>
      <w:ind w:left="1260"/>
      <w:jc w:val="left"/>
    </w:pPr>
    <w:rPr>
      <w:sz w:val="18"/>
      <w:szCs w:val="18"/>
    </w:rPr>
  </w:style>
  <w:style w:type="paragraph" w:styleId="7">
    <w:name w:val="Document Map"/>
    <w:basedOn w:val="1"/>
    <w:semiHidden/>
    <w:qFormat/>
    <w:uiPriority w:val="0"/>
    <w:pPr>
      <w:shd w:val="clear" w:color="auto" w:fill="000080"/>
    </w:pPr>
  </w:style>
  <w:style w:type="paragraph" w:styleId="8">
    <w:name w:val="annotation text"/>
    <w:basedOn w:val="1"/>
    <w:semiHidden/>
    <w:qFormat/>
    <w:uiPriority w:val="0"/>
    <w:pPr>
      <w:jc w:val="left"/>
    </w:pPr>
  </w:style>
  <w:style w:type="paragraph" w:styleId="9">
    <w:name w:val="toc 5"/>
    <w:basedOn w:val="1"/>
    <w:next w:val="1"/>
    <w:semiHidden/>
    <w:qFormat/>
    <w:uiPriority w:val="0"/>
    <w:pPr>
      <w:ind w:left="840"/>
      <w:jc w:val="left"/>
    </w:pPr>
    <w:rPr>
      <w:sz w:val="18"/>
      <w:szCs w:val="18"/>
    </w:rPr>
  </w:style>
  <w:style w:type="paragraph" w:styleId="10">
    <w:name w:val="toc 3"/>
    <w:basedOn w:val="1"/>
    <w:next w:val="1"/>
    <w:semiHidden/>
    <w:qFormat/>
    <w:uiPriority w:val="0"/>
    <w:pPr>
      <w:ind w:left="420"/>
      <w:jc w:val="left"/>
    </w:pPr>
    <w:rPr>
      <w:i/>
      <w:iCs/>
      <w:sz w:val="20"/>
      <w:szCs w:val="20"/>
    </w:rPr>
  </w:style>
  <w:style w:type="paragraph" w:styleId="11">
    <w:name w:val="toc 8"/>
    <w:basedOn w:val="1"/>
    <w:next w:val="1"/>
    <w:semiHidden/>
    <w:qFormat/>
    <w:uiPriority w:val="0"/>
    <w:pPr>
      <w:ind w:left="1470"/>
      <w:jc w:val="left"/>
    </w:pPr>
    <w:rPr>
      <w:sz w:val="18"/>
      <w:szCs w:val="18"/>
    </w:rPr>
  </w:style>
  <w:style w:type="paragraph" w:styleId="12">
    <w:name w:val="Date"/>
    <w:basedOn w:val="1"/>
    <w:next w:val="1"/>
    <w:qFormat/>
    <w:uiPriority w:val="0"/>
    <w:pPr>
      <w:ind w:left="100" w:leftChars="2500"/>
    </w:p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spacing w:before="120" w:after="120"/>
      <w:jc w:val="left"/>
    </w:pPr>
    <w:rPr>
      <w:b/>
      <w:bCs/>
      <w:caps/>
      <w:sz w:val="20"/>
      <w:szCs w:val="20"/>
    </w:rPr>
  </w:style>
  <w:style w:type="paragraph" w:styleId="17">
    <w:name w:val="toc 4"/>
    <w:basedOn w:val="1"/>
    <w:next w:val="1"/>
    <w:semiHidden/>
    <w:qFormat/>
    <w:uiPriority w:val="0"/>
    <w:pPr>
      <w:ind w:left="630"/>
      <w:jc w:val="left"/>
    </w:pPr>
    <w:rPr>
      <w:sz w:val="18"/>
      <w:szCs w:val="18"/>
    </w:rPr>
  </w:style>
  <w:style w:type="paragraph" w:styleId="18">
    <w:name w:val="toc 6"/>
    <w:basedOn w:val="1"/>
    <w:next w:val="1"/>
    <w:semiHidden/>
    <w:qFormat/>
    <w:uiPriority w:val="0"/>
    <w:pPr>
      <w:ind w:left="1050"/>
      <w:jc w:val="left"/>
    </w:pPr>
    <w:rPr>
      <w:sz w:val="18"/>
      <w:szCs w:val="18"/>
    </w:rPr>
  </w:style>
  <w:style w:type="paragraph" w:styleId="19">
    <w:name w:val="toc 2"/>
    <w:basedOn w:val="1"/>
    <w:next w:val="1"/>
    <w:qFormat/>
    <w:uiPriority w:val="39"/>
    <w:pPr>
      <w:ind w:left="210"/>
      <w:jc w:val="left"/>
    </w:pPr>
    <w:rPr>
      <w:smallCaps/>
      <w:sz w:val="20"/>
      <w:szCs w:val="20"/>
    </w:rPr>
  </w:style>
  <w:style w:type="paragraph" w:styleId="20">
    <w:name w:val="toc 9"/>
    <w:basedOn w:val="1"/>
    <w:next w:val="1"/>
    <w:semiHidden/>
    <w:qFormat/>
    <w:uiPriority w:val="0"/>
    <w:pPr>
      <w:ind w:left="1680"/>
      <w:jc w:val="left"/>
    </w:pPr>
    <w:rPr>
      <w:sz w:val="18"/>
      <w:szCs w:val="18"/>
    </w:r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annotation subject"/>
    <w:basedOn w:val="8"/>
    <w:next w:val="8"/>
    <w:semiHidden/>
    <w:qFormat/>
    <w:uiPriority w:val="0"/>
    <w:rPr>
      <w:b/>
      <w:bCs/>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Emphasis"/>
    <w:basedOn w:val="25"/>
    <w:qFormat/>
    <w:uiPriority w:val="0"/>
    <w:rPr>
      <w:i/>
    </w:rPr>
  </w:style>
  <w:style w:type="character" w:styleId="28">
    <w:name w:val="Hyperlink"/>
    <w:basedOn w:val="25"/>
    <w:qFormat/>
    <w:uiPriority w:val="99"/>
    <w:rPr>
      <w:color w:val="0000FF"/>
      <w:u w:val="single"/>
    </w:rPr>
  </w:style>
  <w:style w:type="character" w:styleId="29">
    <w:name w:val="annotation reference"/>
    <w:basedOn w:val="25"/>
    <w:semiHidden/>
    <w:qFormat/>
    <w:uiPriority w:val="0"/>
    <w:rPr>
      <w:sz w:val="21"/>
      <w:szCs w:val="21"/>
    </w:rPr>
  </w:style>
  <w:style w:type="paragraph" w:customStyle="1" w:styleId="30">
    <w:name w:val="封面正文"/>
    <w:qFormat/>
    <w:uiPriority w:val="0"/>
    <w:pPr>
      <w:jc w:val="both"/>
    </w:pPr>
    <w:rPr>
      <w:rFonts w:ascii="Times New Roman" w:hAnsi="Times New Roman" w:eastAsia="宋体" w:cs="Times New Roman"/>
      <w:lang w:val="en-US" w:eastAsia="zh-CN" w:bidi="ar-SA"/>
    </w:rPr>
  </w:style>
  <w:style w:type="character" w:customStyle="1" w:styleId="31">
    <w:name w:val="highlight1"/>
    <w:basedOn w:val="25"/>
    <w:qFormat/>
    <w:uiPriority w:val="0"/>
    <w:rPr>
      <w:shd w:val="clear" w:color="auto" w:fill="FFFF00"/>
    </w:rPr>
  </w:style>
  <w:style w:type="character" w:styleId="32">
    <w:name w:val="Placeholder Text"/>
    <w:basedOn w:val="25"/>
    <w:semiHidden/>
    <w:qFormat/>
    <w:uiPriority w:val="99"/>
    <w:rPr>
      <w:color w:val="808080"/>
    </w:rPr>
  </w:style>
  <w:style w:type="character" w:customStyle="1" w:styleId="33">
    <w:name w:val="未处理的提及1"/>
    <w:basedOn w:val="25"/>
    <w:semiHidden/>
    <w:unhideWhenUsed/>
    <w:qFormat/>
    <w:uiPriority w:val="99"/>
    <w:rPr>
      <w:color w:val="605E5C"/>
      <w:shd w:val="clear" w:color="auto" w:fill="E1DFDD"/>
    </w:rPr>
  </w:style>
  <w:style w:type="paragraph" w:customStyle="1" w:styleId="34">
    <w:name w:val="Body text|2"/>
    <w:basedOn w:val="1"/>
    <w:link w:val="37"/>
    <w:qFormat/>
    <w:uiPriority w:val="0"/>
    <w:pPr>
      <w:spacing w:line="233" w:lineRule="auto"/>
    </w:pPr>
    <w:rPr>
      <w:sz w:val="26"/>
      <w:szCs w:val="26"/>
      <w:lang w:val="zh-TW" w:eastAsia="zh-TW" w:bidi="zh-TW"/>
    </w:rPr>
  </w:style>
  <w:style w:type="paragraph" w:customStyle="1" w:styleId="35">
    <w:name w:val="Body text|3"/>
    <w:basedOn w:val="1"/>
    <w:qFormat/>
    <w:uiPriority w:val="0"/>
    <w:pPr>
      <w:spacing w:line="331" w:lineRule="auto"/>
      <w:ind w:firstLine="540"/>
    </w:pPr>
    <w:rPr>
      <w:sz w:val="26"/>
      <w:szCs w:val="26"/>
    </w:rPr>
  </w:style>
  <w:style w:type="paragraph" w:customStyle="1" w:styleId="36">
    <w:name w:val="Body text|7"/>
    <w:basedOn w:val="1"/>
    <w:qFormat/>
    <w:uiPriority w:val="0"/>
    <w:pPr>
      <w:spacing w:after="120"/>
      <w:ind w:right="820"/>
      <w:jc w:val="right"/>
    </w:pPr>
    <w:rPr>
      <w:sz w:val="22"/>
      <w:szCs w:val="22"/>
      <w:lang w:val="zh-TW" w:eastAsia="zh-TW" w:bidi="zh-TW"/>
    </w:rPr>
  </w:style>
  <w:style w:type="character" w:customStyle="1" w:styleId="37">
    <w:name w:val="Body text|2_"/>
    <w:basedOn w:val="25"/>
    <w:link w:val="34"/>
    <w:qFormat/>
    <w:uiPriority w:val="0"/>
    <w:rPr>
      <w:sz w:val="26"/>
      <w:szCs w:val="26"/>
      <w:u w:val="none"/>
      <w:shd w:val="clear" w:color="auto" w:fill="auto"/>
      <w:lang w:val="zh-TW" w:eastAsia="zh-TW" w:bidi="zh-TW"/>
    </w:rPr>
  </w:style>
  <w:style w:type="paragraph" w:customStyle="1" w:styleId="38">
    <w:name w:val="Other|1"/>
    <w:basedOn w:val="1"/>
    <w:qFormat/>
    <w:uiPriority w:val="0"/>
    <w:pPr>
      <w:spacing w:line="334" w:lineRule="auto"/>
      <w:ind w:firstLine="400"/>
    </w:pPr>
    <w:rPr>
      <w:rFonts w:ascii="宋体" w:hAnsi="宋体" w:cs="宋体"/>
      <w:sz w:val="26"/>
      <w:szCs w:val="26"/>
    </w:rPr>
  </w:style>
  <w:style w:type="paragraph" w:customStyle="1" w:styleId="39">
    <w:name w:val="Body text|1"/>
    <w:basedOn w:val="1"/>
    <w:qFormat/>
    <w:uiPriority w:val="0"/>
    <w:pPr>
      <w:spacing w:line="334" w:lineRule="auto"/>
      <w:ind w:firstLine="400"/>
    </w:pPr>
    <w:rPr>
      <w:rFonts w:ascii="宋体" w:hAnsi="宋体" w:cs="宋体"/>
      <w:sz w:val="26"/>
      <w:szCs w:val="26"/>
      <w:lang w:val="zh-TW" w:eastAsia="zh-TW" w:bidi="zh-TW"/>
    </w:rPr>
  </w:style>
  <w:style w:type="paragraph" w:customStyle="1" w:styleId="40">
    <w:name w:val="Picture caption|1"/>
    <w:basedOn w:val="1"/>
    <w:qFormat/>
    <w:uiPriority w:val="0"/>
    <w:rPr>
      <w:rFonts w:ascii="宋体" w:hAnsi="宋体" w:cs="宋体"/>
      <w:sz w:val="22"/>
      <w:szCs w:val="22"/>
      <w:lang w:val="zh-TW" w:eastAsia="zh-TW" w:bidi="zh-TW"/>
    </w:rPr>
  </w:style>
  <w:style w:type="paragraph" w:customStyle="1" w:styleId="41">
    <w:name w:val="Table caption|1"/>
    <w:basedOn w:val="1"/>
    <w:qFormat/>
    <w:uiPriority w:val="0"/>
    <w:rPr>
      <w:sz w:val="26"/>
      <w:szCs w:val="26"/>
      <w:lang w:val="zh-TW" w:eastAsia="zh-TW" w:bidi="zh-TW"/>
    </w:rPr>
  </w:style>
  <w:style w:type="paragraph" w:customStyle="1" w:styleId="42">
    <w:name w:val="Header or footer|2"/>
    <w:basedOn w:val="1"/>
    <w:qFormat/>
    <w:uiPriority w:val="0"/>
    <w:rPr>
      <w:sz w:val="20"/>
      <w:szCs w:val="20"/>
    </w:rPr>
  </w:style>
  <w:style w:type="paragraph" w:customStyle="1" w:styleId="43">
    <w:name w:val="Header or footer|1"/>
    <w:basedOn w:val="1"/>
    <w:qFormat/>
    <w:uiPriority w:val="0"/>
    <w:pPr>
      <w:jc w:val="right"/>
    </w:pPr>
    <w:rPr>
      <w:sz w:val="26"/>
      <w:szCs w:val="26"/>
    </w:rPr>
  </w:style>
  <w:style w:type="paragraph" w:customStyle="1" w:styleId="44">
    <w:name w:val="Heading #1|1"/>
    <w:basedOn w:val="1"/>
    <w:qFormat/>
    <w:uiPriority w:val="0"/>
    <w:pPr>
      <w:spacing w:after="200" w:line="420" w:lineRule="exact"/>
      <w:jc w:val="center"/>
      <w:outlineLvl w:val="0"/>
    </w:pPr>
    <w:rPr>
      <w:rFonts w:ascii="宋体" w:hAnsi="宋体" w:cs="宋体"/>
      <w:sz w:val="26"/>
      <w:szCs w:val="26"/>
      <w:lang w:val="zh-TW" w:eastAsia="zh-TW" w:bidi="zh-TW"/>
    </w:rPr>
  </w:style>
  <w:style w:type="paragraph" w:customStyle="1" w:styleId="45">
    <w:name w:val="A5"/>
    <w:basedOn w:val="1"/>
    <w:qFormat/>
    <w:uiPriority w:val="0"/>
    <w:pPr>
      <w:adjustRightInd w:val="0"/>
      <w:snapToGrid w:val="0"/>
      <w:spacing w:line="480" w:lineRule="auto"/>
      <w:ind w:firstLine="200"/>
    </w:pPr>
    <w:rPr>
      <w:rFonts w:eastAsia="楷体" w:cs="楷体"/>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5" Type="http://schemas.openxmlformats.org/officeDocument/2006/relationships/fontTable" Target="fontTable.xml"/><Relationship Id="rId84" Type="http://schemas.openxmlformats.org/officeDocument/2006/relationships/numbering" Target="numbering.xml"/><Relationship Id="rId83" Type="http://schemas.openxmlformats.org/officeDocument/2006/relationships/customXml" Target="../customXml/item1.xml"/><Relationship Id="rId82" Type="http://schemas.openxmlformats.org/officeDocument/2006/relationships/image" Target="media/image32.wmf"/><Relationship Id="rId81" Type="http://schemas.openxmlformats.org/officeDocument/2006/relationships/oleObject" Target="embeddings/oleObject38.bin"/><Relationship Id="rId80" Type="http://schemas.openxmlformats.org/officeDocument/2006/relationships/image" Target="media/image31.wmf"/><Relationship Id="rId8" Type="http://schemas.openxmlformats.org/officeDocument/2006/relationships/footer" Target="footer2.xml"/><Relationship Id="rId79" Type="http://schemas.openxmlformats.org/officeDocument/2006/relationships/oleObject" Target="embeddings/oleObject37.bin"/><Relationship Id="rId78" Type="http://schemas.openxmlformats.org/officeDocument/2006/relationships/image" Target="media/image30.wmf"/><Relationship Id="rId77" Type="http://schemas.openxmlformats.org/officeDocument/2006/relationships/oleObject" Target="embeddings/oleObject36.bin"/><Relationship Id="rId76" Type="http://schemas.openxmlformats.org/officeDocument/2006/relationships/image" Target="media/image29.wmf"/><Relationship Id="rId75" Type="http://schemas.openxmlformats.org/officeDocument/2006/relationships/oleObject" Target="embeddings/oleObject35.bin"/><Relationship Id="rId74" Type="http://schemas.openxmlformats.org/officeDocument/2006/relationships/image" Target="media/image28.wmf"/><Relationship Id="rId73" Type="http://schemas.openxmlformats.org/officeDocument/2006/relationships/oleObject" Target="embeddings/oleObject34.bin"/><Relationship Id="rId72" Type="http://schemas.openxmlformats.org/officeDocument/2006/relationships/image" Target="media/image27.wmf"/><Relationship Id="rId71" Type="http://schemas.openxmlformats.org/officeDocument/2006/relationships/oleObject" Target="embeddings/oleObject33.bin"/><Relationship Id="rId70" Type="http://schemas.openxmlformats.org/officeDocument/2006/relationships/image" Target="media/image26.wmf"/><Relationship Id="rId7" Type="http://schemas.openxmlformats.org/officeDocument/2006/relationships/header" Target="header2.xml"/><Relationship Id="rId69" Type="http://schemas.openxmlformats.org/officeDocument/2006/relationships/oleObject" Target="embeddings/oleObject32.bin"/><Relationship Id="rId68" Type="http://schemas.openxmlformats.org/officeDocument/2006/relationships/oleObject" Target="embeddings/oleObject31.bin"/><Relationship Id="rId67" Type="http://schemas.openxmlformats.org/officeDocument/2006/relationships/image" Target="media/image25.wmf"/><Relationship Id="rId66" Type="http://schemas.openxmlformats.org/officeDocument/2006/relationships/oleObject" Target="embeddings/oleObject30.bin"/><Relationship Id="rId65" Type="http://schemas.openxmlformats.org/officeDocument/2006/relationships/oleObject" Target="embeddings/oleObject29.bin"/><Relationship Id="rId64" Type="http://schemas.openxmlformats.org/officeDocument/2006/relationships/image" Target="media/image24.wmf"/><Relationship Id="rId63" Type="http://schemas.openxmlformats.org/officeDocument/2006/relationships/oleObject" Target="embeddings/oleObject28.bin"/><Relationship Id="rId62" Type="http://schemas.openxmlformats.org/officeDocument/2006/relationships/image" Target="media/image23.wmf"/><Relationship Id="rId61" Type="http://schemas.openxmlformats.org/officeDocument/2006/relationships/oleObject" Target="embeddings/oleObject27.bin"/><Relationship Id="rId60" Type="http://schemas.openxmlformats.org/officeDocument/2006/relationships/image" Target="media/image22.wmf"/><Relationship Id="rId6" Type="http://schemas.openxmlformats.org/officeDocument/2006/relationships/footer" Target="footer1.xml"/><Relationship Id="rId59" Type="http://schemas.openxmlformats.org/officeDocument/2006/relationships/oleObject" Target="embeddings/oleObject26.bin"/><Relationship Id="rId58" Type="http://schemas.openxmlformats.org/officeDocument/2006/relationships/image" Target="media/image21.wmf"/><Relationship Id="rId57" Type="http://schemas.openxmlformats.org/officeDocument/2006/relationships/oleObject" Target="embeddings/oleObject25.bin"/><Relationship Id="rId56" Type="http://schemas.openxmlformats.org/officeDocument/2006/relationships/image" Target="media/image20.wmf"/><Relationship Id="rId55" Type="http://schemas.openxmlformats.org/officeDocument/2006/relationships/oleObject" Target="embeddings/oleObject24.bin"/><Relationship Id="rId54" Type="http://schemas.openxmlformats.org/officeDocument/2006/relationships/image" Target="media/image19.wmf"/><Relationship Id="rId53" Type="http://schemas.openxmlformats.org/officeDocument/2006/relationships/oleObject" Target="embeddings/oleObject23.bin"/><Relationship Id="rId52" Type="http://schemas.openxmlformats.org/officeDocument/2006/relationships/image" Target="media/image18.wmf"/><Relationship Id="rId51" Type="http://schemas.openxmlformats.org/officeDocument/2006/relationships/oleObject" Target="embeddings/oleObject22.bin"/><Relationship Id="rId50" Type="http://schemas.openxmlformats.org/officeDocument/2006/relationships/oleObject" Target="embeddings/oleObject21.bin"/><Relationship Id="rId5" Type="http://schemas.openxmlformats.org/officeDocument/2006/relationships/header" Target="header1.xml"/><Relationship Id="rId49" Type="http://schemas.openxmlformats.org/officeDocument/2006/relationships/image" Target="media/image17.wmf"/><Relationship Id="rId48" Type="http://schemas.openxmlformats.org/officeDocument/2006/relationships/oleObject" Target="embeddings/oleObject20.bin"/><Relationship Id="rId47" Type="http://schemas.openxmlformats.org/officeDocument/2006/relationships/image" Target="media/image16.wmf"/><Relationship Id="rId46" Type="http://schemas.openxmlformats.org/officeDocument/2006/relationships/oleObject" Target="embeddings/oleObject19.bin"/><Relationship Id="rId45" Type="http://schemas.openxmlformats.org/officeDocument/2006/relationships/image" Target="media/image15.wmf"/><Relationship Id="rId44" Type="http://schemas.openxmlformats.org/officeDocument/2006/relationships/oleObject" Target="embeddings/oleObject18.bin"/><Relationship Id="rId43" Type="http://schemas.openxmlformats.org/officeDocument/2006/relationships/image" Target="media/image14.wmf"/><Relationship Id="rId42" Type="http://schemas.openxmlformats.org/officeDocument/2006/relationships/oleObject" Target="embeddings/oleObject17.bin"/><Relationship Id="rId41" Type="http://schemas.openxmlformats.org/officeDocument/2006/relationships/oleObject" Target="embeddings/oleObject16.bin"/><Relationship Id="rId40" Type="http://schemas.openxmlformats.org/officeDocument/2006/relationships/image" Target="media/image13.wmf"/><Relationship Id="rId4" Type="http://schemas.openxmlformats.org/officeDocument/2006/relationships/endnotes" Target="endnotes.xml"/><Relationship Id="rId39" Type="http://schemas.openxmlformats.org/officeDocument/2006/relationships/oleObject" Target="embeddings/oleObject15.bin"/><Relationship Id="rId38" Type="http://schemas.openxmlformats.org/officeDocument/2006/relationships/oleObject" Target="embeddings/oleObject14.bin"/><Relationship Id="rId37" Type="http://schemas.openxmlformats.org/officeDocument/2006/relationships/image" Target="media/image12.wmf"/><Relationship Id="rId36" Type="http://schemas.openxmlformats.org/officeDocument/2006/relationships/oleObject" Target="embeddings/oleObject13.bin"/><Relationship Id="rId35" Type="http://schemas.openxmlformats.org/officeDocument/2006/relationships/image" Target="media/image11.wmf"/><Relationship Id="rId34" Type="http://schemas.openxmlformats.org/officeDocument/2006/relationships/oleObject" Target="embeddings/oleObject12.bin"/><Relationship Id="rId33" Type="http://schemas.openxmlformats.org/officeDocument/2006/relationships/image" Target="media/image10.wmf"/><Relationship Id="rId32" Type="http://schemas.openxmlformats.org/officeDocument/2006/relationships/oleObject" Target="embeddings/oleObject11.bin"/><Relationship Id="rId31" Type="http://schemas.openxmlformats.org/officeDocument/2006/relationships/image" Target="media/image9.wmf"/><Relationship Id="rId30" Type="http://schemas.openxmlformats.org/officeDocument/2006/relationships/oleObject" Target="embeddings/oleObject10.bin"/><Relationship Id="rId3" Type="http://schemas.openxmlformats.org/officeDocument/2006/relationships/footnotes" Target="footnotes.xml"/><Relationship Id="rId29" Type="http://schemas.openxmlformats.org/officeDocument/2006/relationships/image" Target="media/image8.wmf"/><Relationship Id="rId28" Type="http://schemas.openxmlformats.org/officeDocument/2006/relationships/oleObject" Target="embeddings/oleObject9.bin"/><Relationship Id="rId27" Type="http://schemas.openxmlformats.org/officeDocument/2006/relationships/image" Target="media/image7.wmf"/><Relationship Id="rId26" Type="http://schemas.openxmlformats.org/officeDocument/2006/relationships/oleObject" Target="embeddings/oleObject8.bin"/><Relationship Id="rId25" Type="http://schemas.openxmlformats.org/officeDocument/2006/relationships/image" Target="media/image6.wmf"/><Relationship Id="rId24" Type="http://schemas.openxmlformats.org/officeDocument/2006/relationships/oleObject" Target="embeddings/oleObject7.bin"/><Relationship Id="rId23" Type="http://schemas.openxmlformats.org/officeDocument/2006/relationships/image" Target="media/image5.wmf"/><Relationship Id="rId22" Type="http://schemas.openxmlformats.org/officeDocument/2006/relationships/oleObject" Target="embeddings/oleObject6.bin"/><Relationship Id="rId21" Type="http://schemas.openxmlformats.org/officeDocument/2006/relationships/image" Target="media/image4.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4.bin"/><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30</Pages>
  <Words>9397</Words>
  <Characters>11802</Characters>
  <Lines>156</Lines>
  <Paragraphs>43</Paragraphs>
  <TotalTime>26</TotalTime>
  <ScaleCrop>false</ScaleCrop>
  <LinksUpToDate>false</LinksUpToDate>
  <CharactersWithSpaces>12384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2018-12-21T10:37:00Z</dcterms:created>
  <dc:creator>Microsoft Office 用户</dc:creator>
  <cp:lastModifiedBy>xjkp</cp:lastModifiedBy>
  <cp:lastPrinted>2023-11-09T03:40:00Z</cp:lastPrinted>
  <dcterms:modified xsi:type="dcterms:W3CDTF">2026-02-04T12:45:05Z</dcterms:modified>
  <dc:title>中华人民共和国建筑工业行业标准</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9FA8041F90C647669885F1B6CA64A82F</vt:lpwstr>
  </property>
  <property fmtid="{D5CDD505-2E9C-101B-9397-08002B2CF9AE}" pid="4" name="KSOTemplateDocerSaveRecord">
    <vt:lpwstr>eyJoZGlkIjoiYTA2NDdlMGE5ZjUwMGJmOGY5YWVkMmRlNTZiOTY2YjAiLCJ1c2VySWQiOiI1MzMzNzMxNzEifQ==</vt:lpwstr>
  </property>
</Properties>
</file>