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32"/>
        </w:rPr>
      </w:pPr>
      <w:r>
        <w:rPr>
          <w:rFonts w:ascii="Times New Roman" w:hAnsi="Times New Roman" w:cs="Times New Roman"/>
          <w:b/>
          <w:sz w:val="32"/>
        </w:rPr>
        <w:t>湖南省</w:t>
      </w:r>
      <w:r>
        <w:rPr>
          <w:rFonts w:hint="eastAsia" w:ascii="Times New Roman" w:hAnsi="Times New Roman" w:cs="Times New Roman"/>
          <w:b/>
          <w:sz w:val="32"/>
        </w:rPr>
        <w:t>地方标准《化学涂层炉通用技术要求（征求意见稿）》</w:t>
      </w:r>
      <w:r>
        <w:rPr>
          <w:rFonts w:ascii="Times New Roman" w:hAnsi="Times New Roman" w:cs="Times New Roman"/>
          <w:b/>
          <w:sz w:val="32"/>
        </w:rPr>
        <w:t>编制说明</w:t>
      </w:r>
    </w:p>
    <w:p>
      <w:pPr>
        <w:spacing w:before="156" w:beforeLines="50" w:after="156" w:afterLines="50" w:line="360" w:lineRule="auto"/>
        <w:rPr>
          <w:rFonts w:ascii="黑体" w:hAnsi="黑体" w:eastAsia="黑体"/>
          <w:sz w:val="32"/>
          <w:szCs w:val="32"/>
        </w:rPr>
      </w:pPr>
      <w:r>
        <w:rPr>
          <w:rFonts w:hint="eastAsia" w:ascii="黑体" w:hAnsi="黑体" w:eastAsia="黑体"/>
          <w:sz w:val="32"/>
          <w:szCs w:val="32"/>
        </w:rPr>
        <w:t>一、工作简况</w:t>
      </w:r>
    </w:p>
    <w:p>
      <w:pPr>
        <w:pStyle w:val="18"/>
        <w:spacing w:line="360" w:lineRule="auto"/>
        <w:ind w:firstLine="640"/>
        <w:jc w:val="left"/>
        <w:rPr>
          <w:rFonts w:ascii="楷体" w:hAnsi="楷体" w:eastAsia="楷体"/>
          <w:bCs/>
          <w:kern w:val="2"/>
          <w:sz w:val="32"/>
          <w:szCs w:val="32"/>
        </w:rPr>
      </w:pPr>
      <w:r>
        <w:rPr>
          <w:rFonts w:hint="eastAsia" w:ascii="楷体" w:hAnsi="楷体" w:eastAsia="楷体"/>
          <w:bCs/>
          <w:kern w:val="2"/>
          <w:sz w:val="32"/>
          <w:szCs w:val="32"/>
        </w:rPr>
        <w:t>（一）任务来源</w:t>
      </w:r>
    </w:p>
    <w:p>
      <w:pPr>
        <w:pStyle w:val="18"/>
        <w:spacing w:line="360" w:lineRule="auto"/>
        <w:ind w:firstLine="640"/>
        <w:jc w:val="left"/>
        <w:rPr>
          <w:rFonts w:ascii="仿宋_GB2312" w:eastAsia="仿宋_GB2312"/>
          <w:bCs/>
          <w:kern w:val="2"/>
          <w:sz w:val="32"/>
          <w:szCs w:val="32"/>
        </w:rPr>
      </w:pPr>
      <w:r>
        <w:rPr>
          <w:rFonts w:hint="eastAsia" w:ascii="仿宋_GB2312" w:eastAsia="仿宋_GB2312"/>
          <w:bCs/>
          <w:kern w:val="2"/>
          <w:sz w:val="32"/>
          <w:szCs w:val="32"/>
        </w:rPr>
        <w:t>2023年2月14日，由株洲瑞德尔智能装备有限公司提出的地方标准《化学涂层炉通用技术要求》在湖南省市场监督管理局立项。根据湘市监标函〔2023〕25 号（2023年2月14日）《湖南省市场监督管理局关于下达 2023 年第1批地方标准制修订项目计划的通知》正式将《化学涂层炉通用技术要求》列为湖南省市场监督管理局地方标准制定项目，项目编号：45。技术归口单位：湖南省工业和信息化厅。行业主管部门：湖南省工业和信息化厅。由株洲市瑞德尔智能装备有限公司负责本技术标准的撰写。</w:t>
      </w:r>
    </w:p>
    <w:p>
      <w:pPr>
        <w:pStyle w:val="18"/>
        <w:spacing w:line="360" w:lineRule="auto"/>
        <w:ind w:firstLine="640"/>
        <w:jc w:val="left"/>
        <w:rPr>
          <w:rFonts w:ascii="楷体" w:hAnsi="楷体" w:eastAsia="楷体"/>
          <w:bCs/>
          <w:kern w:val="2"/>
          <w:sz w:val="32"/>
          <w:szCs w:val="32"/>
        </w:rPr>
      </w:pPr>
      <w:r>
        <w:rPr>
          <w:rFonts w:hint="eastAsia" w:ascii="楷体" w:hAnsi="楷体" w:eastAsia="楷体"/>
          <w:bCs/>
          <w:kern w:val="2"/>
          <w:sz w:val="32"/>
          <w:szCs w:val="32"/>
        </w:rPr>
        <w:t>（二）工作基础</w:t>
      </w:r>
    </w:p>
    <w:p>
      <w:pPr>
        <w:pStyle w:val="18"/>
        <w:spacing w:line="360" w:lineRule="auto"/>
        <w:ind w:firstLine="640"/>
        <w:jc w:val="left"/>
        <w:rPr>
          <w:rFonts w:ascii="仿宋_GB2312" w:eastAsia="仿宋_GB2312"/>
          <w:bCs/>
          <w:kern w:val="2"/>
          <w:sz w:val="32"/>
          <w:szCs w:val="32"/>
        </w:rPr>
      </w:pPr>
      <w:r>
        <w:rPr>
          <w:rFonts w:hint="eastAsia" w:ascii="仿宋_GB2312" w:eastAsia="仿宋_GB2312"/>
          <w:bCs/>
          <w:kern w:val="2"/>
          <w:sz w:val="32"/>
          <w:szCs w:val="32"/>
        </w:rPr>
        <w:t>瑞德尔建有研发中心、工业设计中心以及5G云控烧结炉工程技术研究中心，公司技术研发队伍稳定、高效，拥有研发人员36名，占比达20%，公司拥有一批机械设计、工业自动化、金属材料、冶金技术、热工与计算机等相关专业技术领域的专业技术人才，掌握了国内领先的成熟技术，具有坚实的理论基础和丰富的实践经验，严谨的科学作风和团队攻关协作精神，在烧结炉技术领域具有较为深入的研究。为保持创新活力，公司通过相关人才、技术引进机构引进本行业技术人才及前沿技术成果，以获取技术储备。公司与中南大学、湖南大学、湖南工业大学建立了长期的产学研合作关系，并聘请多为专家进行技术合作和指导，攻克技术难关。</w:t>
      </w:r>
    </w:p>
    <w:p>
      <w:pPr>
        <w:pStyle w:val="18"/>
        <w:spacing w:line="360" w:lineRule="auto"/>
        <w:ind w:firstLine="640"/>
        <w:jc w:val="left"/>
        <w:rPr>
          <w:rFonts w:ascii="仿宋_GB2312" w:eastAsia="仿宋_GB2312"/>
          <w:bCs/>
          <w:kern w:val="2"/>
          <w:sz w:val="32"/>
          <w:szCs w:val="32"/>
          <w:highlight w:val="none"/>
        </w:rPr>
      </w:pPr>
      <w:r>
        <w:rPr>
          <w:rFonts w:hint="eastAsia" w:ascii="仿宋_GB2312" w:eastAsia="仿宋_GB2312"/>
          <w:bCs/>
          <w:kern w:val="2"/>
          <w:sz w:val="32"/>
          <w:szCs w:val="32"/>
          <w:highlight w:val="none"/>
        </w:rPr>
        <w:t>202</w:t>
      </w:r>
      <w:r>
        <w:rPr>
          <w:rFonts w:hint="eastAsia" w:ascii="仿宋_GB2312" w:eastAsia="仿宋_GB2312"/>
          <w:bCs/>
          <w:kern w:val="2"/>
          <w:sz w:val="32"/>
          <w:szCs w:val="32"/>
          <w:highlight w:val="none"/>
          <w:lang w:val="en-US" w:eastAsia="zh-CN"/>
        </w:rPr>
        <w:t>2</w:t>
      </w:r>
      <w:r>
        <w:rPr>
          <w:rFonts w:hint="eastAsia" w:ascii="仿宋_GB2312" w:eastAsia="仿宋_GB2312"/>
          <w:bCs/>
          <w:kern w:val="2"/>
          <w:sz w:val="32"/>
          <w:szCs w:val="32"/>
          <w:highlight w:val="none"/>
        </w:rPr>
        <w:t>年累计研发投入达</w:t>
      </w:r>
      <w:r>
        <w:rPr>
          <w:rFonts w:hint="eastAsia" w:ascii="仿宋_GB2312" w:eastAsia="仿宋_GB2312"/>
          <w:bCs/>
          <w:kern w:val="2"/>
          <w:sz w:val="32"/>
          <w:szCs w:val="32"/>
          <w:highlight w:val="none"/>
          <w:lang w:val="en-US" w:eastAsia="zh-CN"/>
        </w:rPr>
        <w:t>1122.43</w:t>
      </w:r>
      <w:r>
        <w:rPr>
          <w:rFonts w:hint="eastAsia" w:ascii="仿宋_GB2312" w:eastAsia="仿宋_GB2312"/>
          <w:bCs/>
          <w:kern w:val="2"/>
          <w:sz w:val="32"/>
          <w:szCs w:val="32"/>
          <w:highlight w:val="none"/>
        </w:rPr>
        <w:t>万元，占公司销售营业收入的6%以上，公司拥有知识产权</w:t>
      </w:r>
      <w:r>
        <w:rPr>
          <w:rFonts w:hint="eastAsia" w:ascii="仿宋_GB2312" w:eastAsia="仿宋_GB2312"/>
          <w:bCs/>
          <w:kern w:val="2"/>
          <w:sz w:val="32"/>
          <w:szCs w:val="32"/>
          <w:highlight w:val="none"/>
          <w:lang w:val="en-US" w:eastAsia="zh-CN"/>
        </w:rPr>
        <w:t>95</w:t>
      </w:r>
      <w:r>
        <w:rPr>
          <w:rFonts w:hint="eastAsia" w:ascii="仿宋_GB2312" w:eastAsia="仿宋_GB2312"/>
          <w:bCs/>
          <w:kern w:val="2"/>
          <w:sz w:val="32"/>
          <w:szCs w:val="32"/>
          <w:highlight w:val="none"/>
        </w:rPr>
        <w:t>项，其中发明专利1</w:t>
      </w:r>
      <w:r>
        <w:rPr>
          <w:rFonts w:hint="eastAsia" w:ascii="仿宋_GB2312" w:eastAsia="仿宋_GB2312"/>
          <w:bCs/>
          <w:kern w:val="2"/>
          <w:sz w:val="32"/>
          <w:szCs w:val="32"/>
          <w:highlight w:val="none"/>
          <w:lang w:val="en-US" w:eastAsia="zh-CN"/>
        </w:rPr>
        <w:t>5</w:t>
      </w:r>
      <w:r>
        <w:rPr>
          <w:rFonts w:hint="eastAsia" w:ascii="仿宋_GB2312" w:eastAsia="仿宋_GB2312"/>
          <w:bCs/>
          <w:kern w:val="2"/>
          <w:sz w:val="32"/>
          <w:szCs w:val="32"/>
          <w:highlight w:val="none"/>
        </w:rPr>
        <w:t>项，国际专利4项。</w:t>
      </w:r>
    </w:p>
    <w:p>
      <w:pPr>
        <w:pStyle w:val="18"/>
        <w:spacing w:line="360" w:lineRule="auto"/>
        <w:ind w:firstLine="640"/>
        <w:jc w:val="left"/>
        <w:rPr>
          <w:rFonts w:ascii="楷体" w:hAnsi="楷体" w:eastAsia="楷体"/>
          <w:bCs/>
          <w:kern w:val="2"/>
          <w:sz w:val="32"/>
          <w:szCs w:val="32"/>
        </w:rPr>
      </w:pPr>
      <w:r>
        <w:rPr>
          <w:rFonts w:hint="eastAsia" w:ascii="楷体" w:hAnsi="楷体" w:eastAsia="楷体"/>
          <w:bCs/>
          <w:kern w:val="2"/>
          <w:sz w:val="32"/>
          <w:szCs w:val="32"/>
        </w:rPr>
        <w:t>（三）项目主要参加单位及人员</w:t>
      </w:r>
    </w:p>
    <w:p>
      <w:pPr>
        <w:pStyle w:val="18"/>
        <w:spacing w:line="360" w:lineRule="auto"/>
        <w:ind w:firstLine="640"/>
        <w:jc w:val="left"/>
        <w:rPr>
          <w:rFonts w:asciiTheme="minorEastAsia" w:hAnsiTheme="minorEastAsia" w:eastAsiaTheme="minorEastAsia"/>
          <w:sz w:val="24"/>
          <w:szCs w:val="24"/>
        </w:rPr>
      </w:pPr>
      <w:r>
        <w:rPr>
          <w:rFonts w:hint="eastAsia" w:ascii="仿宋_GB2312" w:eastAsia="仿宋_GB2312"/>
          <w:bCs/>
          <w:kern w:val="2"/>
          <w:sz w:val="32"/>
          <w:szCs w:val="32"/>
        </w:rPr>
        <w:t>项目组成员多年从事冶金设备制造工作及相关研究，熟悉化学涂层炉的相关技术要求和方法研究，成员主要来自株洲瑞德尔智能装备有限公司。</w:t>
      </w:r>
    </w:p>
    <w:p>
      <w:pPr>
        <w:spacing w:before="156" w:beforeLines="50" w:after="156" w:afterLines="50" w:line="360" w:lineRule="auto"/>
        <w:rPr>
          <w:rFonts w:ascii="黑体" w:hAnsi="黑体" w:eastAsia="黑体"/>
          <w:sz w:val="32"/>
          <w:szCs w:val="32"/>
        </w:rPr>
      </w:pPr>
      <w:r>
        <w:rPr>
          <w:rFonts w:hint="eastAsia" w:ascii="黑体" w:hAnsi="黑体" w:eastAsia="黑体"/>
          <w:sz w:val="32"/>
          <w:szCs w:val="32"/>
        </w:rPr>
        <w:t>二、制定标准的必要性和意义</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2021 年7 月22 日，国务院发布了关于新时代推动中部地区高质量发展的意见，提出着力构建以先进制造业为支撑的现代产业体系，在全面建设社会主义现代化国家新征程中作出更大贡献，《意见》指出要做大做强先进制造业，建设长株潭装备制造产业集群，深入实施制造业重大技术改造升级工程，重点促进湖南冶金等传统产业向智能化、绿色化、服务化发展。</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highlight w:val="none"/>
        </w:rPr>
        <w:t>CVD 涂层装备是</w:t>
      </w:r>
      <w:r>
        <w:rPr>
          <w:rFonts w:hint="eastAsia" w:ascii="仿宋_GB2312" w:hAnsi="Times New Roman" w:eastAsia="仿宋_GB2312" w:cs="Times New Roman"/>
          <w:sz w:val="32"/>
          <w:szCs w:val="32"/>
        </w:rPr>
        <w:t>利用化学气象沉积技术提升硬质合金、半导体等先进硬质材料性能并助力产品迈向高端市场的最先进的技术手段，该装备具有高度的附着性、均匀性、稳定性的特点。经</w:t>
      </w:r>
      <w:r>
        <w:rPr>
          <w:rFonts w:hint="eastAsia" w:ascii="仿宋_GB2312" w:hAnsi="Times New Roman" w:eastAsia="仿宋_GB2312" w:cs="Times New Roman"/>
          <w:sz w:val="32"/>
          <w:szCs w:val="32"/>
          <w:highlight w:val="none"/>
        </w:rPr>
        <w:t>CVD 涂层装备</w:t>
      </w:r>
      <w:r>
        <w:rPr>
          <w:rFonts w:hint="eastAsia" w:ascii="仿宋_GB2312" w:hAnsi="Times New Roman" w:eastAsia="仿宋_GB2312" w:cs="Times New Roman"/>
          <w:sz w:val="32"/>
          <w:szCs w:val="32"/>
          <w:highlight w:val="none"/>
          <w:lang w:val="en-US" w:eastAsia="zh-CN"/>
        </w:rPr>
        <w:t>加工</w:t>
      </w:r>
      <w:r>
        <w:rPr>
          <w:rFonts w:hint="eastAsia" w:ascii="仿宋_GB2312" w:hAnsi="Times New Roman" w:eastAsia="仿宋_GB2312" w:cs="Times New Roman"/>
          <w:sz w:val="32"/>
          <w:szCs w:val="32"/>
        </w:rPr>
        <w:t>的复合涂层处理的产品，能够有效提升材料表面硬度60%，寿命提高5 倍。近年来，我国硬质合金产业发展稳步提升，其国内市场超百亿元；另一方面，半导体行业升级对涂层装备的需求也逐步扩大，国内市场超千亿元。为提升先进硬质材料产品整体性能与竞争力，目前世界上各先进的硬质材料厂家均争相采用性能卓越的</w:t>
      </w:r>
      <w:r>
        <w:rPr>
          <w:rFonts w:hint="eastAsia" w:ascii="仿宋_GB2312" w:hAnsi="Times New Roman" w:eastAsia="仿宋_GB2312" w:cs="Times New Roman"/>
          <w:sz w:val="32"/>
          <w:szCs w:val="32"/>
          <w:highlight w:val="none"/>
        </w:rPr>
        <w:t>CVD 涂层设备和</w:t>
      </w:r>
      <w:r>
        <w:rPr>
          <w:rFonts w:hint="eastAsia" w:ascii="仿宋_GB2312" w:hAnsi="Times New Roman" w:eastAsia="仿宋_GB2312" w:cs="Times New Roman"/>
          <w:sz w:val="32"/>
          <w:szCs w:val="32"/>
        </w:rPr>
        <w:t>工艺。因此，对化学涂层炉的通用技术制定标准规范，对提升我国先进硬质材料产品的综合性能，增强市场竞争力有着重要的指导作用。</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然而我国涂层装备长期依赖进口，国外引进一台</w:t>
      </w:r>
      <w:bookmarkStart w:id="0" w:name="_GoBack"/>
      <w:r>
        <w:rPr>
          <w:rFonts w:hint="eastAsia" w:ascii="仿宋_GB2312" w:hAnsi="Times New Roman" w:eastAsia="仿宋_GB2312" w:cs="Times New Roman"/>
          <w:sz w:val="32"/>
          <w:szCs w:val="32"/>
          <w:highlight w:val="none"/>
        </w:rPr>
        <w:t>CVD 涂层装备</w:t>
      </w:r>
      <w:bookmarkEnd w:id="0"/>
      <w:r>
        <w:rPr>
          <w:rFonts w:hint="eastAsia" w:ascii="仿宋_GB2312" w:hAnsi="Times New Roman" w:eastAsia="仿宋_GB2312" w:cs="Times New Roman"/>
          <w:sz w:val="32"/>
          <w:szCs w:val="32"/>
        </w:rPr>
        <w:t>的价格非常昂贵，约2000万元人民币，投资巨大，对于企业来说难以负担，且产品交货周期长，售后维修困难且成本高昂。另一方面，国外对我国实行严格的技术封锁，关键技术被卡脖子，导致我国市场上硬质材料高端产品产能落后，严重制约着我国先进硬质材料的发展。再加上中国早期粉末冶金工业深受苏联技术影响，行业内普遍存在技术名称不统一，计量单位不统一，技术参数描述不规范，测试标准无依据，设备配置不明确等情况。其中不乏一些企业，利用行业的“不规范”，以及与客户之间的信息不对称扰乱市场，甚至出现为了降低成本，在设备安全配置上偷工减料的情况。因此建立一套地方性高度认可，尤其是对设备使用方友好的技术标准是非常有必要的。</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综上所述，制定化学涂层炉产品的地方标准，能够掌握技术自主，实现国产替代，引领国家的涂层工艺装备制造高质量发展。是保障化学涂层炉安全使用、提高产品安全性能，保证产品质量的必要条件。</w:t>
      </w:r>
    </w:p>
    <w:p>
      <w:pPr>
        <w:spacing w:before="156" w:beforeLines="50" w:after="156" w:afterLines="50" w:line="360" w:lineRule="auto"/>
        <w:rPr>
          <w:rFonts w:ascii="黑体" w:hAnsi="黑体" w:eastAsia="黑体"/>
          <w:sz w:val="32"/>
          <w:szCs w:val="32"/>
        </w:rPr>
      </w:pPr>
      <w:r>
        <w:rPr>
          <w:rFonts w:hint="eastAsia" w:ascii="黑体" w:hAnsi="黑体" w:eastAsia="黑体"/>
          <w:sz w:val="32"/>
          <w:szCs w:val="32"/>
        </w:rPr>
        <w:t>三、主要起草过程</w:t>
      </w:r>
    </w:p>
    <w:p>
      <w:pPr>
        <w:spacing w:line="360" w:lineRule="auto"/>
        <w:ind w:firstLine="640" w:firstLineChars="200"/>
        <w:rPr>
          <w:rFonts w:ascii="仿宋_GB2312" w:hAnsi="楷体" w:eastAsia="仿宋_GB2312"/>
          <w:sz w:val="32"/>
          <w:szCs w:val="32"/>
        </w:rPr>
      </w:pPr>
      <w:r>
        <w:rPr>
          <w:rFonts w:hint="eastAsia" w:ascii="仿宋_GB2312" w:hAnsi="楷体" w:eastAsia="仿宋_GB2312"/>
          <w:sz w:val="32"/>
          <w:szCs w:val="32"/>
        </w:rPr>
        <w:t>标准编写过程中主要开展了以下工作：</w:t>
      </w:r>
    </w:p>
    <w:p>
      <w:pPr>
        <w:spacing w:line="360" w:lineRule="auto"/>
        <w:ind w:firstLine="640" w:firstLineChars="200"/>
        <w:rPr>
          <w:rFonts w:ascii="仿宋_GB2312" w:hAnsi="楷体" w:eastAsia="仿宋_GB2312"/>
          <w:sz w:val="32"/>
          <w:szCs w:val="32"/>
        </w:rPr>
      </w:pPr>
      <w:r>
        <w:rPr>
          <w:rFonts w:hint="eastAsia" w:ascii="仿宋_GB2312" w:hAnsi="楷体" w:eastAsia="仿宋_GB2312"/>
          <w:sz w:val="32"/>
          <w:szCs w:val="32"/>
        </w:rPr>
        <w:t>组建了起草工作组，确定了工作组成员单位，进行了职责分工，并对项目工作计划进行了确认。</w:t>
      </w:r>
    </w:p>
    <w:p>
      <w:pPr>
        <w:spacing w:line="360" w:lineRule="auto"/>
        <w:ind w:firstLine="640" w:firstLineChars="200"/>
        <w:rPr>
          <w:rFonts w:ascii="仿宋_GB2312" w:hAnsi="楷体" w:eastAsia="仿宋_GB2312"/>
          <w:sz w:val="32"/>
          <w:szCs w:val="32"/>
        </w:rPr>
      </w:pPr>
      <w:r>
        <w:rPr>
          <w:rFonts w:hint="eastAsia" w:ascii="仿宋_GB2312" w:hAnsi="楷体" w:eastAsia="仿宋_GB2312"/>
          <w:sz w:val="32"/>
          <w:szCs w:val="32"/>
        </w:rPr>
        <w:t>联合科研院校、检测机构等参编单位相关研究人员开展技术研究工作，对化学涂层炉的极限真空、质量流量计控制误差、温度均匀性，对化学涂层炉</w:t>
      </w:r>
      <w:r>
        <w:rPr>
          <w:rFonts w:hint="eastAsia" w:ascii="宋体" w:hAnsi="宋体" w:eastAsia="宋体" w:cs="宋体"/>
          <w:sz w:val="32"/>
          <w:szCs w:val="32"/>
        </w:rPr>
        <w:t>涂镀</w:t>
      </w:r>
      <w:r>
        <w:rPr>
          <w:rFonts w:hint="eastAsia" w:ascii="仿宋_GB2312" w:hAnsi="楷体" w:eastAsia="仿宋_GB2312"/>
          <w:sz w:val="32"/>
          <w:szCs w:val="32"/>
        </w:rPr>
        <w:t>的硬质合金刀具的涂层厚度均匀性等通用技术指标进行研究和试验验证。</w:t>
      </w:r>
    </w:p>
    <w:p>
      <w:pPr>
        <w:spacing w:line="360" w:lineRule="auto"/>
        <w:ind w:firstLine="640" w:firstLineChars="200"/>
        <w:rPr>
          <w:rFonts w:ascii="仿宋_GB2312" w:hAnsi="楷体" w:eastAsia="仿宋_GB2312"/>
          <w:sz w:val="32"/>
          <w:szCs w:val="32"/>
        </w:rPr>
      </w:pPr>
      <w:r>
        <w:rPr>
          <w:rFonts w:hint="eastAsia" w:ascii="仿宋_GB2312" w:hAnsi="楷体" w:eastAsia="仿宋_GB2312"/>
          <w:sz w:val="32"/>
          <w:szCs w:val="32"/>
        </w:rPr>
        <w:t>通过文献调研、资料查阅、现场调研等收集相关资料，确定标准框架和内容，并按标准框架和内容进行分工起草，完成标准工作组讨论稿。</w:t>
      </w:r>
    </w:p>
    <w:p>
      <w:pPr>
        <w:spacing w:line="360" w:lineRule="auto"/>
        <w:ind w:firstLine="640" w:firstLineChars="200"/>
        <w:rPr>
          <w:rFonts w:ascii="仿宋_GB2312" w:hAnsi="楷体" w:eastAsia="仿宋_GB2312"/>
          <w:sz w:val="32"/>
          <w:szCs w:val="32"/>
        </w:rPr>
      </w:pPr>
      <w:r>
        <w:rPr>
          <w:rFonts w:hint="eastAsia" w:ascii="仿宋_GB2312" w:hAnsi="楷体" w:eastAsia="仿宋_GB2312"/>
          <w:sz w:val="32"/>
          <w:szCs w:val="32"/>
        </w:rPr>
        <w:t>工作组讨论稿完成后</w:t>
      </w:r>
      <w:r>
        <w:rPr>
          <w:rFonts w:hint="eastAsia" w:ascii="仿宋_GB2312" w:eastAsia="仿宋_GB2312"/>
          <w:bCs/>
          <w:sz w:val="32"/>
          <w:szCs w:val="32"/>
        </w:rPr>
        <w:t>召开起草工作组工作会议，对工作组讨论稿进行讨论确认，形成了标准征求意见稿及其编制说明</w:t>
      </w:r>
      <w:r>
        <w:rPr>
          <w:rFonts w:hint="eastAsia" w:ascii="仿宋_GB2312" w:hAnsi="楷体" w:eastAsia="仿宋_GB2312"/>
          <w:sz w:val="32"/>
          <w:szCs w:val="32"/>
        </w:rPr>
        <w:t>。</w:t>
      </w:r>
    </w:p>
    <w:p>
      <w:pPr>
        <w:spacing w:before="156" w:beforeLines="50" w:after="156" w:afterLines="50" w:line="360" w:lineRule="auto"/>
        <w:rPr>
          <w:rFonts w:ascii="黑体" w:hAnsi="黑体" w:eastAsia="黑体"/>
          <w:sz w:val="32"/>
          <w:szCs w:val="32"/>
        </w:rPr>
      </w:pPr>
      <w:r>
        <w:rPr>
          <w:rFonts w:hint="eastAsia" w:ascii="黑体" w:hAnsi="黑体" w:eastAsia="黑体"/>
          <w:sz w:val="32"/>
          <w:szCs w:val="32"/>
        </w:rPr>
        <w:t>四、制定标准的原则和依据，与现行法律、法规和标准的关系</w:t>
      </w:r>
    </w:p>
    <w:p>
      <w:pPr>
        <w:spacing w:line="360" w:lineRule="auto"/>
        <w:ind w:firstLine="640" w:firstLineChars="200"/>
        <w:jc w:val="left"/>
        <w:rPr>
          <w:rFonts w:ascii="楷体" w:hAnsi="楷体" w:eastAsia="楷体"/>
          <w:sz w:val="32"/>
          <w:szCs w:val="32"/>
        </w:rPr>
      </w:pPr>
      <w:r>
        <w:rPr>
          <w:rFonts w:hint="eastAsia" w:ascii="楷体" w:hAnsi="楷体" w:eastAsia="楷体"/>
          <w:sz w:val="32"/>
          <w:szCs w:val="32"/>
        </w:rPr>
        <w:t>（一）</w:t>
      </w:r>
      <w:r>
        <w:rPr>
          <w:rFonts w:ascii="楷体" w:hAnsi="楷体" w:eastAsia="楷体"/>
          <w:sz w:val="32"/>
          <w:szCs w:val="32"/>
        </w:rPr>
        <w:t>标准的编制原则</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1.合规性原则</w:t>
      </w:r>
    </w:p>
    <w:p>
      <w:pPr>
        <w:pStyle w:val="17"/>
        <w:spacing w:line="360" w:lineRule="auto"/>
        <w:ind w:firstLine="640"/>
        <w:rPr>
          <w:rFonts w:ascii="仿宋_GB2312" w:hAnsi="Times New Roman" w:eastAsia="仿宋_GB2312" w:cs="Times New Roman"/>
          <w:sz w:val="32"/>
          <w:szCs w:val="32"/>
        </w:rPr>
      </w:pPr>
      <w:r>
        <w:rPr>
          <w:rFonts w:hint="eastAsia" w:ascii="仿宋_GB2312" w:hAnsi="楷体" w:eastAsia="仿宋_GB2312" w:cs="Times New Roman"/>
          <w:kern w:val="0"/>
          <w:sz w:val="32"/>
          <w:szCs w:val="32"/>
        </w:rPr>
        <w:t>标准编制符合相关法律法规与国家强制标准的要求。</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2.适用性原则</w:t>
      </w:r>
    </w:p>
    <w:p>
      <w:pPr>
        <w:pStyle w:val="17"/>
        <w:spacing w:line="360" w:lineRule="auto"/>
        <w:ind w:firstLine="640"/>
        <w:rPr>
          <w:rFonts w:ascii="仿宋_GB2312" w:hAnsi="Times New Roman" w:eastAsia="仿宋_GB2312" w:cs="Times New Roman"/>
          <w:sz w:val="32"/>
          <w:szCs w:val="32"/>
        </w:rPr>
      </w:pPr>
      <w:r>
        <w:rPr>
          <w:rFonts w:hint="eastAsia" w:ascii="仿宋_GB2312" w:hAnsi="楷体" w:eastAsia="仿宋_GB2312"/>
          <w:kern w:val="0"/>
          <w:sz w:val="32"/>
          <w:szCs w:val="32"/>
        </w:rPr>
        <w:t>在充分梳理、分析各类</w:t>
      </w:r>
      <w:r>
        <w:rPr>
          <w:rFonts w:hint="eastAsia" w:ascii="仿宋_GB2312" w:hAnsi="楷体" w:eastAsia="仿宋_GB2312"/>
          <w:sz w:val="32"/>
          <w:szCs w:val="32"/>
        </w:rPr>
        <w:t>工业电热装置和设备标准</w:t>
      </w:r>
      <w:r>
        <w:rPr>
          <w:rFonts w:hint="eastAsia" w:ascii="仿宋_GB2312" w:hAnsi="楷体" w:eastAsia="仿宋_GB2312"/>
          <w:kern w:val="0"/>
          <w:sz w:val="32"/>
          <w:szCs w:val="32"/>
        </w:rPr>
        <w:t>的基础上，总结</w:t>
      </w:r>
      <w:r>
        <w:rPr>
          <w:rFonts w:hint="eastAsia" w:ascii="仿宋_GB2312" w:hAnsi="楷体" w:eastAsia="仿宋_GB2312"/>
          <w:sz w:val="32"/>
          <w:szCs w:val="32"/>
        </w:rPr>
        <w:t>化学涂层炉</w:t>
      </w:r>
      <w:r>
        <w:rPr>
          <w:rFonts w:hint="eastAsia" w:ascii="仿宋_GB2312" w:hAnsi="楷体" w:eastAsia="仿宋_GB2312"/>
          <w:kern w:val="0"/>
          <w:sz w:val="32"/>
          <w:szCs w:val="32"/>
        </w:rPr>
        <w:t>的</w:t>
      </w:r>
      <w:r>
        <w:rPr>
          <w:rFonts w:hint="eastAsia" w:ascii="仿宋_GB2312" w:hAnsi="楷体" w:eastAsia="仿宋_GB2312"/>
          <w:sz w:val="32"/>
          <w:szCs w:val="32"/>
        </w:rPr>
        <w:t>通用</w:t>
      </w:r>
      <w:r>
        <w:rPr>
          <w:rFonts w:hint="eastAsia" w:ascii="仿宋_GB2312" w:hAnsi="楷体" w:eastAsia="仿宋_GB2312"/>
          <w:kern w:val="0"/>
          <w:sz w:val="32"/>
          <w:szCs w:val="32"/>
        </w:rPr>
        <w:t>技术要求。并采用合适的方法开展对这些要求的验证工作，使标准适用于</w:t>
      </w:r>
      <w:r>
        <w:rPr>
          <w:rFonts w:hint="eastAsia" w:ascii="仿宋_GB2312" w:hAnsi="楷体" w:eastAsia="仿宋_GB2312"/>
          <w:sz w:val="32"/>
          <w:szCs w:val="32"/>
        </w:rPr>
        <w:t>化学涂层炉</w:t>
      </w:r>
      <w:r>
        <w:rPr>
          <w:rFonts w:hint="eastAsia" w:ascii="仿宋_GB2312" w:hAnsi="楷体" w:eastAsia="仿宋_GB2312"/>
          <w:kern w:val="0"/>
          <w:sz w:val="32"/>
          <w:szCs w:val="32"/>
        </w:rPr>
        <w:t>的生产和检验</w:t>
      </w:r>
      <w:r>
        <w:rPr>
          <w:rFonts w:hint="eastAsia" w:ascii="仿宋_GB2312" w:hAnsi="Times New Roman" w:eastAsia="仿宋_GB2312" w:cs="Times New Roman"/>
          <w:sz w:val="32"/>
          <w:szCs w:val="32"/>
        </w:rPr>
        <w:t>。</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3.问题导向原则</w:t>
      </w:r>
    </w:p>
    <w:p>
      <w:pPr>
        <w:pStyle w:val="17"/>
        <w:spacing w:line="360" w:lineRule="auto"/>
        <w:ind w:firstLine="640"/>
        <w:rPr>
          <w:rFonts w:ascii="仿宋_GB2312" w:hAnsi="Times New Roman" w:eastAsia="仿宋_GB2312" w:cs="Times New Roman"/>
          <w:sz w:val="32"/>
          <w:szCs w:val="32"/>
        </w:rPr>
      </w:pPr>
      <w:r>
        <w:rPr>
          <w:rFonts w:hint="eastAsia" w:ascii="仿宋_GB2312" w:hAnsi="楷体" w:eastAsia="仿宋_GB2312"/>
          <w:kern w:val="0"/>
          <w:sz w:val="32"/>
          <w:szCs w:val="32"/>
        </w:rPr>
        <w:t>围绕化学涂层炉技术名称不统一，计量单位不统一，技术参数描述不规范，测试标准无依据，设备配置不明确等问题进行标准研制。最终达到保证化学涂层炉的产品质量的目的</w:t>
      </w:r>
      <w:r>
        <w:rPr>
          <w:rFonts w:hint="eastAsia" w:ascii="仿宋_GB2312" w:hAnsi="Times New Roman" w:eastAsia="仿宋_GB2312" w:cs="Times New Roman"/>
          <w:sz w:val="32"/>
          <w:szCs w:val="32"/>
        </w:rPr>
        <w:t>。</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3.规范性原则</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标准编写格式依据 GB/T 1.1—2020《标准化工作导则 第 1 部分：标准化文件的结构和起草规则》进行编写。</w:t>
      </w:r>
    </w:p>
    <w:p>
      <w:pPr>
        <w:spacing w:line="360" w:lineRule="auto"/>
        <w:ind w:firstLine="640" w:firstLineChars="200"/>
        <w:jc w:val="left"/>
        <w:rPr>
          <w:rFonts w:ascii="楷体" w:hAnsi="楷体" w:eastAsia="楷体"/>
          <w:sz w:val="32"/>
          <w:szCs w:val="32"/>
        </w:rPr>
      </w:pPr>
      <w:r>
        <w:rPr>
          <w:rFonts w:hint="eastAsia" w:ascii="楷体" w:hAnsi="楷体" w:eastAsia="楷体"/>
          <w:sz w:val="32"/>
          <w:szCs w:val="32"/>
        </w:rPr>
        <w:t>（二）</w:t>
      </w:r>
      <w:r>
        <w:rPr>
          <w:rFonts w:ascii="楷体" w:hAnsi="楷体" w:eastAsia="楷体"/>
          <w:sz w:val="32"/>
          <w:szCs w:val="32"/>
        </w:rPr>
        <w:t>标准编制依据：</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1.本文件依据GB/T 1.1—2020《标准化工作导则 第1部分：标准化文件的结构和起草规则》的规定进行编写。</w:t>
      </w:r>
    </w:p>
    <w:p>
      <w:pPr>
        <w:pStyle w:val="17"/>
        <w:spacing w:line="360" w:lineRule="auto"/>
        <w:ind w:firstLine="640"/>
        <w:rPr>
          <w:rFonts w:ascii="仿宋_GB2312" w:hAnsi="Times New Roman" w:eastAsia="仿宋_GB2312" w:cs="Times New Roman"/>
          <w:sz w:val="28"/>
          <w:szCs w:val="28"/>
        </w:rPr>
      </w:pPr>
      <w:r>
        <w:rPr>
          <w:rFonts w:hint="eastAsia" w:ascii="仿宋_GB2312" w:hAnsi="Times New Roman" w:eastAsia="仿宋_GB2312" w:cs="Times New Roman"/>
          <w:sz w:val="32"/>
          <w:szCs w:val="32"/>
        </w:rPr>
        <w:t>2.规范性引用文件：</w:t>
      </w:r>
      <w:r>
        <w:rPr>
          <w:rFonts w:hint="eastAsia" w:ascii="仿宋_GB2312" w:eastAsia="仿宋_GB2312"/>
          <w:sz w:val="32"/>
          <w:szCs w:val="32"/>
        </w:rPr>
        <w:t>本标准共计引用标准化文件11项，其中国家推荐性标准9项，国家强制性标准1项，其他行业标准1项</w:t>
      </w:r>
      <w:r>
        <w:rPr>
          <w:rFonts w:hint="eastAsia" w:ascii="仿宋_GB2312" w:hAnsi="Times New Roman" w:eastAsia="仿宋_GB2312" w:cs="Times New Roman"/>
          <w:sz w:val="28"/>
          <w:szCs w:val="28"/>
        </w:rPr>
        <w:t>。</w:t>
      </w:r>
    </w:p>
    <w:p>
      <w:pPr>
        <w:spacing w:line="360" w:lineRule="auto"/>
        <w:ind w:firstLine="640" w:firstLineChars="200"/>
        <w:jc w:val="left"/>
        <w:rPr>
          <w:rFonts w:ascii="楷体" w:hAnsi="楷体" w:eastAsia="楷体"/>
          <w:sz w:val="32"/>
          <w:szCs w:val="32"/>
        </w:rPr>
      </w:pPr>
      <w:r>
        <w:rPr>
          <w:rFonts w:hint="eastAsia" w:ascii="楷体" w:hAnsi="楷体" w:eastAsia="楷体"/>
          <w:sz w:val="32"/>
          <w:szCs w:val="32"/>
        </w:rPr>
        <w:t>（三）与我国现行法律、法规和标准的关系</w:t>
      </w:r>
    </w:p>
    <w:p>
      <w:pPr>
        <w:pStyle w:val="3"/>
      </w:pPr>
      <w:r>
        <w:rPr>
          <w:rFonts w:hint="eastAsia"/>
        </w:rPr>
        <w:t>本标准与法律法规及相关标准相协调，没有与有关现行法律、法规和强制性标准、行业标准冲突部分。</w:t>
      </w:r>
    </w:p>
    <w:p>
      <w:pPr>
        <w:pStyle w:val="8"/>
        <w:ind w:firstLine="640" w:firstLineChars="200"/>
        <w:rPr>
          <w:rFonts w:ascii="黑体" w:hAnsi="黑体" w:eastAsia="黑体"/>
        </w:rPr>
      </w:pPr>
      <w:r>
        <w:rPr>
          <w:rFonts w:hint="eastAsia" w:ascii="黑体" w:hAnsi="黑体" w:eastAsia="黑体"/>
        </w:rPr>
        <w:t>五、主要条款说明</w:t>
      </w:r>
    </w:p>
    <w:p>
      <w:pPr>
        <w:spacing w:line="360" w:lineRule="auto"/>
        <w:ind w:firstLine="640" w:firstLineChars="200"/>
        <w:jc w:val="left"/>
        <w:rPr>
          <w:rFonts w:ascii="仿宋_GB2312" w:hAnsi="楷体" w:eastAsia="仿宋_GB2312"/>
          <w:sz w:val="32"/>
          <w:szCs w:val="32"/>
        </w:rPr>
      </w:pPr>
      <w:r>
        <w:rPr>
          <w:rFonts w:hint="eastAsia" w:ascii="仿宋_GB2312" w:hAnsi="楷体" w:eastAsia="仿宋_GB2312"/>
          <w:sz w:val="32"/>
          <w:szCs w:val="32"/>
        </w:rPr>
        <w:t>（一）范围</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本标准规定了化学涂层炉的结构与型号表示规则、技术要求、试验方法、产品标志和随行文件的要求。</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本文件适用于最高工作温度为1020 ℃的化学涂层炉。</w:t>
      </w:r>
    </w:p>
    <w:p>
      <w:pPr>
        <w:spacing w:line="360" w:lineRule="auto"/>
        <w:ind w:firstLine="640" w:firstLineChars="200"/>
        <w:jc w:val="left"/>
        <w:rPr>
          <w:rFonts w:ascii="仿宋_GB2312" w:hAnsi="楷体" w:eastAsia="仿宋_GB2312"/>
          <w:sz w:val="32"/>
          <w:szCs w:val="32"/>
        </w:rPr>
      </w:pPr>
      <w:r>
        <w:rPr>
          <w:rFonts w:hint="eastAsia" w:ascii="仿宋_GB2312" w:hAnsi="楷体" w:eastAsia="仿宋_GB2312"/>
          <w:sz w:val="32"/>
          <w:szCs w:val="32"/>
        </w:rPr>
        <w:t>（二）术语和定义</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本标准定义了“测温环”一个术语。</w:t>
      </w:r>
    </w:p>
    <w:p>
      <w:pPr>
        <w:spacing w:line="360" w:lineRule="auto"/>
        <w:ind w:firstLine="640" w:firstLineChars="200"/>
        <w:jc w:val="left"/>
        <w:rPr>
          <w:rFonts w:ascii="仿宋_GB2312" w:hAnsi="楷体" w:eastAsia="仿宋_GB2312"/>
          <w:sz w:val="32"/>
          <w:szCs w:val="32"/>
        </w:rPr>
      </w:pPr>
      <w:r>
        <w:rPr>
          <w:rFonts w:hint="eastAsia" w:ascii="仿宋_GB2312" w:hAnsi="楷体" w:eastAsia="仿宋_GB2312"/>
          <w:sz w:val="32"/>
          <w:szCs w:val="32"/>
        </w:rPr>
        <w:t>（三）核心技术内容</w:t>
      </w:r>
    </w:p>
    <w:p>
      <w:pPr>
        <w:pStyle w:val="17"/>
        <w:spacing w:line="360" w:lineRule="auto"/>
        <w:ind w:firstLine="640"/>
        <w:rPr>
          <w:rFonts w:ascii="仿宋_GB2312" w:hAnsi="Times New Roman" w:eastAsia="仿宋_GB2312" w:cs="Times New Roman"/>
          <w:sz w:val="32"/>
          <w:szCs w:val="32"/>
        </w:rPr>
      </w:pPr>
      <w:r>
        <w:rPr>
          <w:rFonts w:hint="eastAsia" w:ascii="仿宋_GB2312" w:hAnsi="Times New Roman" w:eastAsia="仿宋_GB2312" w:cs="Times New Roman"/>
          <w:sz w:val="32"/>
          <w:szCs w:val="32"/>
        </w:rPr>
        <w:t>本标准的核心技术要素包括两个章节，分别为第5章技术要求、第6章试验方法。其中第5章</w:t>
      </w:r>
      <w:r>
        <w:rPr>
          <w:rFonts w:hint="eastAsia" w:ascii="仿宋_GB2312" w:eastAsia="仿宋_GB2312"/>
          <w:sz w:val="32"/>
          <w:szCs w:val="32"/>
        </w:rPr>
        <w:t>分别从一般要求、技术性能指标和安全环保等3个方面对化学涂层炉提出了通用的技术要求；第6章试验方法主要是针对第5章中提出的化学涂层炉的等各项指标要求，给出了相应的证实方法</w:t>
      </w:r>
      <w:r>
        <w:rPr>
          <w:rFonts w:hint="eastAsia" w:ascii="仿宋_GB2312" w:hAnsi="Times New Roman" w:eastAsia="仿宋_GB2312" w:cs="Times New Roman"/>
          <w:sz w:val="32"/>
          <w:szCs w:val="32"/>
        </w:rPr>
        <w:t>。</w:t>
      </w:r>
    </w:p>
    <w:p>
      <w:pPr>
        <w:spacing w:line="360" w:lineRule="auto"/>
        <w:ind w:firstLine="640" w:firstLineChars="200"/>
        <w:jc w:val="left"/>
        <w:rPr>
          <w:rFonts w:ascii="仿宋_GB2312" w:hAnsi="楷体" w:eastAsia="仿宋_GB2312"/>
          <w:sz w:val="32"/>
          <w:szCs w:val="32"/>
        </w:rPr>
      </w:pPr>
      <w:r>
        <w:rPr>
          <w:rFonts w:hint="eastAsia" w:ascii="仿宋_GB2312" w:hAnsi="楷体" w:eastAsia="仿宋_GB2312"/>
          <w:sz w:val="32"/>
          <w:szCs w:val="32"/>
        </w:rPr>
        <w:t>（四）其他技术内容</w:t>
      </w:r>
    </w:p>
    <w:p>
      <w:pPr>
        <w:tabs>
          <w:tab w:val="right" w:pos="8306"/>
        </w:tabs>
        <w:spacing w:line="360" w:lineRule="auto"/>
        <w:ind w:firstLine="640" w:firstLineChars="200"/>
        <w:rPr>
          <w:rFonts w:ascii="仿宋_GB2312" w:hAnsi="Times New Roman" w:eastAsia="仿宋_GB2312" w:cs="Times New Roman"/>
          <w:sz w:val="32"/>
          <w:szCs w:val="32"/>
        </w:rPr>
      </w:pPr>
      <w:r>
        <w:rPr>
          <w:rFonts w:hint="eastAsia" w:ascii="仿宋_GB2312" w:eastAsia="仿宋_GB2312"/>
          <w:sz w:val="32"/>
          <w:szCs w:val="32"/>
        </w:rPr>
        <w:t>本标准的其他技术内容包括两个章节，分别为第4章“结构及型号表示规则”和第7章“产品标志和随机文件。其中第4章，主要说明了化学涂层炉的结构及型号表示规则，并给出了化学涂层炉型号表示的示例；第7章规定了化学涂层炉产品铭牌的内容信息和使用，以及产品使用说明书等随机文件的编写及配备要求。</w:t>
      </w:r>
    </w:p>
    <w:p>
      <w:pPr>
        <w:pStyle w:val="8"/>
        <w:spacing w:line="440" w:lineRule="exact"/>
        <w:ind w:firstLine="640" w:firstLineChars="200"/>
        <w:rPr>
          <w:rFonts w:ascii="黑体" w:hAnsi="黑体" w:eastAsia="黑体"/>
        </w:rPr>
      </w:pPr>
      <w:r>
        <w:rPr>
          <w:rFonts w:hint="eastAsia" w:ascii="黑体" w:hAnsi="黑体" w:eastAsia="黑体"/>
        </w:rPr>
        <w:t>六、重大意见分歧的处理依据和结果</w:t>
      </w:r>
    </w:p>
    <w:p>
      <w:pPr>
        <w:tabs>
          <w:tab w:val="right" w:pos="8306"/>
        </w:tabs>
        <w:spacing w:line="440" w:lineRule="exact"/>
        <w:ind w:firstLine="640" w:firstLineChars="200"/>
        <w:rPr>
          <w:rFonts w:ascii="仿宋_GB2312" w:hAnsi="楷体" w:eastAsia="仿宋_GB2312" w:cs="Times New Roman"/>
          <w:kern w:val="0"/>
          <w:sz w:val="32"/>
          <w:szCs w:val="32"/>
        </w:rPr>
      </w:pPr>
      <w:r>
        <w:rPr>
          <w:rFonts w:hint="eastAsia" w:ascii="仿宋_GB2312" w:hAnsi="楷体" w:eastAsia="仿宋_GB2312" w:cs="Times New Roman"/>
          <w:kern w:val="0"/>
          <w:sz w:val="32"/>
          <w:szCs w:val="32"/>
        </w:rPr>
        <w:t>本标准在制定过程中没有重大意见和分歧。</w:t>
      </w:r>
    </w:p>
    <w:p>
      <w:pPr>
        <w:spacing w:before="156" w:beforeLines="50" w:after="156" w:afterLines="50" w:line="4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七、作为推荐性或强制性标准的建议及其理由</w:t>
      </w:r>
    </w:p>
    <w:p>
      <w:pPr>
        <w:tabs>
          <w:tab w:val="right" w:pos="8306"/>
        </w:tabs>
        <w:spacing w:line="440" w:lineRule="exact"/>
        <w:ind w:firstLine="640" w:firstLineChars="200"/>
        <w:rPr>
          <w:rFonts w:ascii="仿宋_GB2312" w:hAnsi="楷体" w:eastAsia="仿宋_GB2312" w:cs="Times New Roman"/>
          <w:kern w:val="0"/>
          <w:sz w:val="32"/>
          <w:szCs w:val="32"/>
        </w:rPr>
      </w:pPr>
      <w:r>
        <w:rPr>
          <w:rFonts w:hint="eastAsia" w:ascii="仿宋_GB2312" w:hAnsi="楷体" w:eastAsia="仿宋_GB2312" w:cs="Times New Roman"/>
          <w:kern w:val="0"/>
          <w:sz w:val="32"/>
          <w:szCs w:val="32"/>
        </w:rPr>
        <w:t>建议本标准作为推荐性标准。</w:t>
      </w:r>
    </w:p>
    <w:p>
      <w:pPr>
        <w:spacing w:before="156" w:beforeLines="50" w:after="156" w:afterLines="50" w:line="440" w:lineRule="exact"/>
        <w:ind w:firstLine="640" w:firstLineChars="200"/>
        <w:rPr>
          <w:rFonts w:ascii="黑体" w:hAnsi="黑体" w:eastAsia="黑体"/>
          <w:sz w:val="32"/>
          <w:szCs w:val="32"/>
        </w:rPr>
      </w:pPr>
      <w:r>
        <w:rPr>
          <w:rFonts w:hint="eastAsia" w:ascii="黑体" w:hAnsi="黑体" w:eastAsia="黑体"/>
          <w:sz w:val="32"/>
          <w:szCs w:val="32"/>
        </w:rPr>
        <w:t>八、贯彻标准的措施建议</w:t>
      </w:r>
    </w:p>
    <w:p>
      <w:pPr>
        <w:pStyle w:val="4"/>
      </w:pPr>
      <w:r>
        <w:rPr>
          <w:rFonts w:hint="eastAsia"/>
        </w:rPr>
        <w:t>本标准作为推荐性标准由湖南市场监督管理局归口并发布实施，建议在《化学涂层炉通用技术要求》地方标准发布后，重点组织对湖南省内化学涂层炉的制造、生产单位和第三方检测机构等相关单位进行标准宣贯工作，于标准发布三个月后对标准进行实施。</w:t>
      </w:r>
    </w:p>
    <w:p>
      <w:pPr>
        <w:pStyle w:val="23"/>
        <w:spacing w:line="360" w:lineRule="auto"/>
        <w:ind w:firstLine="640"/>
        <w:jc w:val="right"/>
        <w:rPr>
          <w:rFonts w:ascii="仿宋_GB2312" w:hAnsi="楷体" w:eastAsia="仿宋_GB2312"/>
          <w:kern w:val="0"/>
          <w:sz w:val="32"/>
          <w:szCs w:val="32"/>
        </w:rPr>
      </w:pPr>
      <w:r>
        <w:rPr>
          <w:rFonts w:hint="eastAsia" w:ascii="仿宋_GB2312" w:hAnsi="楷体" w:eastAsia="仿宋_GB2312"/>
          <w:sz w:val="32"/>
          <w:szCs w:val="32"/>
        </w:rPr>
        <w:t>《化学涂层炉通用技术要求》</w:t>
      </w:r>
      <w:r>
        <w:rPr>
          <w:rFonts w:ascii="仿宋_GB2312" w:hAnsi="楷体" w:eastAsia="仿宋_GB2312"/>
          <w:kern w:val="0"/>
          <w:sz w:val="32"/>
          <w:szCs w:val="32"/>
        </w:rPr>
        <w:t>标准</w:t>
      </w:r>
      <w:r>
        <w:rPr>
          <w:rFonts w:hint="eastAsia" w:ascii="仿宋_GB2312" w:hAnsi="楷体" w:eastAsia="仿宋_GB2312"/>
          <w:kern w:val="0"/>
          <w:sz w:val="32"/>
          <w:szCs w:val="32"/>
        </w:rPr>
        <w:t>起草</w:t>
      </w:r>
      <w:r>
        <w:rPr>
          <w:rFonts w:ascii="仿宋_GB2312" w:hAnsi="楷体" w:eastAsia="仿宋_GB2312"/>
          <w:kern w:val="0"/>
          <w:sz w:val="32"/>
          <w:szCs w:val="32"/>
        </w:rPr>
        <w:t>组</w:t>
      </w:r>
    </w:p>
    <w:p>
      <w:pPr>
        <w:pStyle w:val="23"/>
        <w:spacing w:line="360" w:lineRule="auto"/>
        <w:ind w:firstLine="640"/>
        <w:jc w:val="right"/>
        <w:rPr>
          <w:rFonts w:ascii="Times New Roman" w:hAnsi="Times New Roman"/>
          <w:sz w:val="28"/>
        </w:rPr>
      </w:pPr>
      <w:r>
        <w:rPr>
          <w:rFonts w:ascii="仿宋_GB2312" w:hAnsi="楷体" w:eastAsia="仿宋_GB2312"/>
          <w:kern w:val="0"/>
          <w:sz w:val="32"/>
          <w:szCs w:val="32"/>
        </w:rPr>
        <w:t>202</w:t>
      </w:r>
      <w:r>
        <w:rPr>
          <w:rFonts w:hint="eastAsia" w:ascii="仿宋_GB2312" w:hAnsi="楷体" w:eastAsia="仿宋_GB2312"/>
          <w:kern w:val="0"/>
          <w:sz w:val="32"/>
          <w:szCs w:val="32"/>
        </w:rPr>
        <w:t>3</w:t>
      </w:r>
      <w:r>
        <w:rPr>
          <w:rFonts w:ascii="仿宋_GB2312" w:hAnsi="楷体" w:eastAsia="仿宋_GB2312"/>
          <w:kern w:val="0"/>
          <w:sz w:val="32"/>
          <w:szCs w:val="32"/>
        </w:rPr>
        <w:t>年</w:t>
      </w:r>
      <w:r>
        <w:rPr>
          <w:rFonts w:hint="eastAsia" w:ascii="仿宋_GB2312" w:hAnsi="楷体" w:eastAsia="仿宋_GB2312"/>
          <w:kern w:val="0"/>
          <w:sz w:val="32"/>
          <w:szCs w:val="32"/>
        </w:rPr>
        <w:t>11</w:t>
      </w:r>
      <w:r>
        <w:rPr>
          <w:rFonts w:ascii="仿宋_GB2312" w:hAnsi="楷体" w:eastAsia="仿宋_GB2312"/>
          <w:kern w:val="0"/>
          <w:sz w:val="32"/>
          <w:szCs w:val="32"/>
        </w:rPr>
        <w:t>月</w:t>
      </w:r>
    </w:p>
    <w:sectPr>
      <w:footerReference r:id="rId3"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9977308"/>
    </w:sdtPr>
    <w:sdtEndPr>
      <w:rPr>
        <w:rFonts w:ascii="Times New Roman" w:hAnsi="Times New Roman" w:cs="Times New Roman"/>
        <w:sz w:val="21"/>
      </w:rPr>
    </w:sdtEndPr>
    <w:sdtContent>
      <w:p>
        <w:pPr>
          <w:pStyle w:val="6"/>
          <w:jc w:val="center"/>
          <w:rPr>
            <w:rFonts w:ascii="Times New Roman" w:hAnsi="Times New Roman" w:cs="Times New Roman"/>
            <w:sz w:val="21"/>
          </w:rPr>
        </w:pPr>
        <w:r>
          <w:rPr>
            <w:rFonts w:ascii="Times New Roman" w:hAnsi="Times New Roman" w:cs="Times New Roman"/>
            <w:sz w:val="21"/>
          </w:rPr>
          <w:fldChar w:fldCharType="begin"/>
        </w:r>
        <w:r>
          <w:rPr>
            <w:rFonts w:ascii="Times New Roman" w:hAnsi="Times New Roman" w:cs="Times New Roman"/>
            <w:sz w:val="21"/>
          </w:rPr>
          <w:instrText xml:space="preserve">PAGE   \* MERGEFORMAT</w:instrText>
        </w:r>
        <w:r>
          <w:rPr>
            <w:rFonts w:ascii="Times New Roman" w:hAnsi="Times New Roman" w:cs="Times New Roman"/>
            <w:sz w:val="21"/>
          </w:rPr>
          <w:fldChar w:fldCharType="separate"/>
        </w:r>
        <w:r>
          <w:rPr>
            <w:rFonts w:ascii="Times New Roman" w:hAnsi="Times New Roman" w:cs="Times New Roman"/>
            <w:sz w:val="21"/>
            <w:lang w:val="zh-CN"/>
          </w:rPr>
          <w:t>4</w:t>
        </w:r>
        <w:r>
          <w:rPr>
            <w:rFonts w:ascii="Times New Roman" w:hAnsi="Times New Roman" w:cs="Times New Roman"/>
            <w:sz w:val="21"/>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mZTZkMmM0ZGQ4NzVkYTFkNWI1MGRlMWVlYWY4MTUifQ=="/>
  </w:docVars>
  <w:rsids>
    <w:rsidRoot w:val="0058197D"/>
    <w:rsid w:val="000004D2"/>
    <w:rsid w:val="0000246B"/>
    <w:rsid w:val="000028BE"/>
    <w:rsid w:val="000038FA"/>
    <w:rsid w:val="00004DE0"/>
    <w:rsid w:val="00005247"/>
    <w:rsid w:val="00005EF1"/>
    <w:rsid w:val="00005F58"/>
    <w:rsid w:val="00005FAB"/>
    <w:rsid w:val="00007D43"/>
    <w:rsid w:val="00010C48"/>
    <w:rsid w:val="00011629"/>
    <w:rsid w:val="000117B3"/>
    <w:rsid w:val="0001247A"/>
    <w:rsid w:val="00014CBC"/>
    <w:rsid w:val="0001722D"/>
    <w:rsid w:val="0002025D"/>
    <w:rsid w:val="00020D0A"/>
    <w:rsid w:val="00020F30"/>
    <w:rsid w:val="0002199D"/>
    <w:rsid w:val="00022729"/>
    <w:rsid w:val="0002403A"/>
    <w:rsid w:val="00025FBC"/>
    <w:rsid w:val="00026CBC"/>
    <w:rsid w:val="0002797E"/>
    <w:rsid w:val="00032300"/>
    <w:rsid w:val="00032323"/>
    <w:rsid w:val="00032D11"/>
    <w:rsid w:val="00032D70"/>
    <w:rsid w:val="00033177"/>
    <w:rsid w:val="000334A0"/>
    <w:rsid w:val="00034A54"/>
    <w:rsid w:val="0003560B"/>
    <w:rsid w:val="0003693C"/>
    <w:rsid w:val="00037962"/>
    <w:rsid w:val="00037F52"/>
    <w:rsid w:val="0004068D"/>
    <w:rsid w:val="00040CAC"/>
    <w:rsid w:val="000414B7"/>
    <w:rsid w:val="00042426"/>
    <w:rsid w:val="0004357D"/>
    <w:rsid w:val="000452C1"/>
    <w:rsid w:val="00045A1F"/>
    <w:rsid w:val="000461C2"/>
    <w:rsid w:val="000479BB"/>
    <w:rsid w:val="00050384"/>
    <w:rsid w:val="000635E0"/>
    <w:rsid w:val="00063B69"/>
    <w:rsid w:val="0006450C"/>
    <w:rsid w:val="000666B4"/>
    <w:rsid w:val="00066A2F"/>
    <w:rsid w:val="00066A4C"/>
    <w:rsid w:val="00066B9C"/>
    <w:rsid w:val="000703D4"/>
    <w:rsid w:val="00071A1D"/>
    <w:rsid w:val="000720CD"/>
    <w:rsid w:val="0007329D"/>
    <w:rsid w:val="00075E0B"/>
    <w:rsid w:val="00076B3B"/>
    <w:rsid w:val="000777DF"/>
    <w:rsid w:val="00080367"/>
    <w:rsid w:val="000808B9"/>
    <w:rsid w:val="00081AC8"/>
    <w:rsid w:val="00081DA7"/>
    <w:rsid w:val="00081E5C"/>
    <w:rsid w:val="00082972"/>
    <w:rsid w:val="000829EE"/>
    <w:rsid w:val="00083E69"/>
    <w:rsid w:val="00084727"/>
    <w:rsid w:val="000854E9"/>
    <w:rsid w:val="00086162"/>
    <w:rsid w:val="0008752D"/>
    <w:rsid w:val="00087CDE"/>
    <w:rsid w:val="00087F61"/>
    <w:rsid w:val="00090C2A"/>
    <w:rsid w:val="0009115E"/>
    <w:rsid w:val="00092198"/>
    <w:rsid w:val="00092886"/>
    <w:rsid w:val="00093D5B"/>
    <w:rsid w:val="00096DC5"/>
    <w:rsid w:val="0009717D"/>
    <w:rsid w:val="00097618"/>
    <w:rsid w:val="000A00DA"/>
    <w:rsid w:val="000A0D35"/>
    <w:rsid w:val="000A295D"/>
    <w:rsid w:val="000A4168"/>
    <w:rsid w:val="000A5EA8"/>
    <w:rsid w:val="000A60D8"/>
    <w:rsid w:val="000A6A8B"/>
    <w:rsid w:val="000A74D8"/>
    <w:rsid w:val="000B07E6"/>
    <w:rsid w:val="000B1273"/>
    <w:rsid w:val="000B15FE"/>
    <w:rsid w:val="000B2876"/>
    <w:rsid w:val="000B375C"/>
    <w:rsid w:val="000B5AB8"/>
    <w:rsid w:val="000B5B4A"/>
    <w:rsid w:val="000B5C4F"/>
    <w:rsid w:val="000B6387"/>
    <w:rsid w:val="000B6F22"/>
    <w:rsid w:val="000B70FD"/>
    <w:rsid w:val="000B7120"/>
    <w:rsid w:val="000B78CA"/>
    <w:rsid w:val="000C056E"/>
    <w:rsid w:val="000C0B01"/>
    <w:rsid w:val="000C1A71"/>
    <w:rsid w:val="000C3895"/>
    <w:rsid w:val="000C4C7B"/>
    <w:rsid w:val="000C4E8A"/>
    <w:rsid w:val="000C56F6"/>
    <w:rsid w:val="000C76D8"/>
    <w:rsid w:val="000D02B1"/>
    <w:rsid w:val="000D0497"/>
    <w:rsid w:val="000D2C82"/>
    <w:rsid w:val="000D345C"/>
    <w:rsid w:val="000D4D49"/>
    <w:rsid w:val="000D5762"/>
    <w:rsid w:val="000D711F"/>
    <w:rsid w:val="000E0BA9"/>
    <w:rsid w:val="000E235B"/>
    <w:rsid w:val="000E290D"/>
    <w:rsid w:val="000E2C56"/>
    <w:rsid w:val="000E2D7C"/>
    <w:rsid w:val="000E3E35"/>
    <w:rsid w:val="000E420E"/>
    <w:rsid w:val="000E4305"/>
    <w:rsid w:val="000E48B7"/>
    <w:rsid w:val="000F09A3"/>
    <w:rsid w:val="000F25C9"/>
    <w:rsid w:val="000F2C3A"/>
    <w:rsid w:val="000F310E"/>
    <w:rsid w:val="000F418E"/>
    <w:rsid w:val="000F45C4"/>
    <w:rsid w:val="000F4AB5"/>
    <w:rsid w:val="000F4BAC"/>
    <w:rsid w:val="000F6287"/>
    <w:rsid w:val="00100AE2"/>
    <w:rsid w:val="00100D9E"/>
    <w:rsid w:val="00101DB2"/>
    <w:rsid w:val="0010256C"/>
    <w:rsid w:val="00106910"/>
    <w:rsid w:val="00110E9C"/>
    <w:rsid w:val="00111198"/>
    <w:rsid w:val="00112544"/>
    <w:rsid w:val="001125F2"/>
    <w:rsid w:val="00112A7B"/>
    <w:rsid w:val="0011384E"/>
    <w:rsid w:val="001167F4"/>
    <w:rsid w:val="00117222"/>
    <w:rsid w:val="00117ADD"/>
    <w:rsid w:val="0012690F"/>
    <w:rsid w:val="001270D3"/>
    <w:rsid w:val="00131571"/>
    <w:rsid w:val="00132EC2"/>
    <w:rsid w:val="0013342A"/>
    <w:rsid w:val="001339DF"/>
    <w:rsid w:val="00134188"/>
    <w:rsid w:val="00134A6B"/>
    <w:rsid w:val="00134C50"/>
    <w:rsid w:val="00135430"/>
    <w:rsid w:val="00135539"/>
    <w:rsid w:val="001358CE"/>
    <w:rsid w:val="00136DD5"/>
    <w:rsid w:val="00140597"/>
    <w:rsid w:val="00141315"/>
    <w:rsid w:val="00141EE5"/>
    <w:rsid w:val="001429A1"/>
    <w:rsid w:val="001436FA"/>
    <w:rsid w:val="00143E37"/>
    <w:rsid w:val="00144DB9"/>
    <w:rsid w:val="0014586C"/>
    <w:rsid w:val="0014727E"/>
    <w:rsid w:val="001473D6"/>
    <w:rsid w:val="00147C95"/>
    <w:rsid w:val="00150662"/>
    <w:rsid w:val="00154A35"/>
    <w:rsid w:val="0015525D"/>
    <w:rsid w:val="00160A81"/>
    <w:rsid w:val="0016358C"/>
    <w:rsid w:val="00165425"/>
    <w:rsid w:val="00167AE6"/>
    <w:rsid w:val="00171F84"/>
    <w:rsid w:val="00172041"/>
    <w:rsid w:val="00173AE9"/>
    <w:rsid w:val="001740A5"/>
    <w:rsid w:val="0017448F"/>
    <w:rsid w:val="00174780"/>
    <w:rsid w:val="0017524F"/>
    <w:rsid w:val="00177DD1"/>
    <w:rsid w:val="001800B9"/>
    <w:rsid w:val="001817A1"/>
    <w:rsid w:val="00181B72"/>
    <w:rsid w:val="00182DE7"/>
    <w:rsid w:val="001830FB"/>
    <w:rsid w:val="00183AB1"/>
    <w:rsid w:val="00183E79"/>
    <w:rsid w:val="00185248"/>
    <w:rsid w:val="00186DA1"/>
    <w:rsid w:val="0019030F"/>
    <w:rsid w:val="00190806"/>
    <w:rsid w:val="00191083"/>
    <w:rsid w:val="001931E0"/>
    <w:rsid w:val="00195C00"/>
    <w:rsid w:val="001A0972"/>
    <w:rsid w:val="001A28B7"/>
    <w:rsid w:val="001A2DCA"/>
    <w:rsid w:val="001A2EF1"/>
    <w:rsid w:val="001A303C"/>
    <w:rsid w:val="001A508A"/>
    <w:rsid w:val="001A5714"/>
    <w:rsid w:val="001A68E0"/>
    <w:rsid w:val="001A78AB"/>
    <w:rsid w:val="001B1E3F"/>
    <w:rsid w:val="001B3937"/>
    <w:rsid w:val="001B3E49"/>
    <w:rsid w:val="001B42B1"/>
    <w:rsid w:val="001B4AC4"/>
    <w:rsid w:val="001B515B"/>
    <w:rsid w:val="001B5D89"/>
    <w:rsid w:val="001B5DC9"/>
    <w:rsid w:val="001B6229"/>
    <w:rsid w:val="001B7BCC"/>
    <w:rsid w:val="001C1F29"/>
    <w:rsid w:val="001C42BE"/>
    <w:rsid w:val="001C470B"/>
    <w:rsid w:val="001C4821"/>
    <w:rsid w:val="001C4DF5"/>
    <w:rsid w:val="001C5C6D"/>
    <w:rsid w:val="001C60B8"/>
    <w:rsid w:val="001C699E"/>
    <w:rsid w:val="001C7EAB"/>
    <w:rsid w:val="001D145E"/>
    <w:rsid w:val="001D1E66"/>
    <w:rsid w:val="001D22B4"/>
    <w:rsid w:val="001D3477"/>
    <w:rsid w:val="001D5917"/>
    <w:rsid w:val="001D6CAC"/>
    <w:rsid w:val="001D71F8"/>
    <w:rsid w:val="001D7AF0"/>
    <w:rsid w:val="001E0A27"/>
    <w:rsid w:val="001E0F2A"/>
    <w:rsid w:val="001E156B"/>
    <w:rsid w:val="001E1C02"/>
    <w:rsid w:val="001E26BF"/>
    <w:rsid w:val="001E3472"/>
    <w:rsid w:val="001E3600"/>
    <w:rsid w:val="001E73AB"/>
    <w:rsid w:val="001F0819"/>
    <w:rsid w:val="001F150D"/>
    <w:rsid w:val="001F1C60"/>
    <w:rsid w:val="001F2B3B"/>
    <w:rsid w:val="001F370F"/>
    <w:rsid w:val="001F47E1"/>
    <w:rsid w:val="001F617D"/>
    <w:rsid w:val="001F6484"/>
    <w:rsid w:val="001F7D7A"/>
    <w:rsid w:val="002002ED"/>
    <w:rsid w:val="00201581"/>
    <w:rsid w:val="0020399B"/>
    <w:rsid w:val="00204AE0"/>
    <w:rsid w:val="00204BA6"/>
    <w:rsid w:val="002058CF"/>
    <w:rsid w:val="002068BE"/>
    <w:rsid w:val="00211C8B"/>
    <w:rsid w:val="0021274F"/>
    <w:rsid w:val="0021283B"/>
    <w:rsid w:val="0021440E"/>
    <w:rsid w:val="00214696"/>
    <w:rsid w:val="00214CD2"/>
    <w:rsid w:val="002158AB"/>
    <w:rsid w:val="00216F9B"/>
    <w:rsid w:val="0022099B"/>
    <w:rsid w:val="002221D6"/>
    <w:rsid w:val="002229EA"/>
    <w:rsid w:val="00230225"/>
    <w:rsid w:val="00230683"/>
    <w:rsid w:val="00231A56"/>
    <w:rsid w:val="00231D96"/>
    <w:rsid w:val="00234494"/>
    <w:rsid w:val="00235C57"/>
    <w:rsid w:val="00235D29"/>
    <w:rsid w:val="00241F02"/>
    <w:rsid w:val="002435CA"/>
    <w:rsid w:val="00245BF8"/>
    <w:rsid w:val="002479BB"/>
    <w:rsid w:val="00247F95"/>
    <w:rsid w:val="002544E9"/>
    <w:rsid w:val="00256103"/>
    <w:rsid w:val="00256CCB"/>
    <w:rsid w:val="00257312"/>
    <w:rsid w:val="0026170F"/>
    <w:rsid w:val="0026263B"/>
    <w:rsid w:val="002640BF"/>
    <w:rsid w:val="00264842"/>
    <w:rsid w:val="00265CCA"/>
    <w:rsid w:val="00265D7D"/>
    <w:rsid w:val="002716CF"/>
    <w:rsid w:val="00271F77"/>
    <w:rsid w:val="00272517"/>
    <w:rsid w:val="002729E9"/>
    <w:rsid w:val="002758E9"/>
    <w:rsid w:val="00276803"/>
    <w:rsid w:val="00277741"/>
    <w:rsid w:val="0028017E"/>
    <w:rsid w:val="00282039"/>
    <w:rsid w:val="002832B3"/>
    <w:rsid w:val="00283CB3"/>
    <w:rsid w:val="002841C6"/>
    <w:rsid w:val="00287CC3"/>
    <w:rsid w:val="00290CB3"/>
    <w:rsid w:val="002918CB"/>
    <w:rsid w:val="00294BCC"/>
    <w:rsid w:val="002955CB"/>
    <w:rsid w:val="00295A5E"/>
    <w:rsid w:val="00297A6E"/>
    <w:rsid w:val="002A0059"/>
    <w:rsid w:val="002A0819"/>
    <w:rsid w:val="002A0ABD"/>
    <w:rsid w:val="002A2629"/>
    <w:rsid w:val="002A7023"/>
    <w:rsid w:val="002A7C46"/>
    <w:rsid w:val="002B0DD4"/>
    <w:rsid w:val="002B3214"/>
    <w:rsid w:val="002B4794"/>
    <w:rsid w:val="002B5AB6"/>
    <w:rsid w:val="002B6C4D"/>
    <w:rsid w:val="002B752B"/>
    <w:rsid w:val="002C1178"/>
    <w:rsid w:val="002C1D1A"/>
    <w:rsid w:val="002C20C8"/>
    <w:rsid w:val="002D0632"/>
    <w:rsid w:val="002D0D7E"/>
    <w:rsid w:val="002D16F4"/>
    <w:rsid w:val="002D2C91"/>
    <w:rsid w:val="002D3317"/>
    <w:rsid w:val="002D73AA"/>
    <w:rsid w:val="002E06C3"/>
    <w:rsid w:val="002E1381"/>
    <w:rsid w:val="002E3508"/>
    <w:rsid w:val="002E36A1"/>
    <w:rsid w:val="002E6657"/>
    <w:rsid w:val="002E78EA"/>
    <w:rsid w:val="002E7CD1"/>
    <w:rsid w:val="002F093B"/>
    <w:rsid w:val="002F281D"/>
    <w:rsid w:val="002F554D"/>
    <w:rsid w:val="002F6953"/>
    <w:rsid w:val="003008B2"/>
    <w:rsid w:val="00300E33"/>
    <w:rsid w:val="00302D6E"/>
    <w:rsid w:val="00303E5B"/>
    <w:rsid w:val="00304218"/>
    <w:rsid w:val="003048B7"/>
    <w:rsid w:val="003051AE"/>
    <w:rsid w:val="0031121C"/>
    <w:rsid w:val="003116B9"/>
    <w:rsid w:val="00314508"/>
    <w:rsid w:val="003155C1"/>
    <w:rsid w:val="00316439"/>
    <w:rsid w:val="00317428"/>
    <w:rsid w:val="0032100E"/>
    <w:rsid w:val="00321C2C"/>
    <w:rsid w:val="00322D2A"/>
    <w:rsid w:val="00323120"/>
    <w:rsid w:val="003251AA"/>
    <w:rsid w:val="0032620E"/>
    <w:rsid w:val="00326518"/>
    <w:rsid w:val="00326772"/>
    <w:rsid w:val="00326B54"/>
    <w:rsid w:val="00326FE4"/>
    <w:rsid w:val="00327188"/>
    <w:rsid w:val="003277A7"/>
    <w:rsid w:val="00327C09"/>
    <w:rsid w:val="0033182A"/>
    <w:rsid w:val="003340F8"/>
    <w:rsid w:val="00334769"/>
    <w:rsid w:val="00335408"/>
    <w:rsid w:val="0033620A"/>
    <w:rsid w:val="003406E4"/>
    <w:rsid w:val="00341050"/>
    <w:rsid w:val="00344B5F"/>
    <w:rsid w:val="0035069E"/>
    <w:rsid w:val="003516A8"/>
    <w:rsid w:val="00352898"/>
    <w:rsid w:val="0035579E"/>
    <w:rsid w:val="00355CEE"/>
    <w:rsid w:val="00360027"/>
    <w:rsid w:val="003603F5"/>
    <w:rsid w:val="00360703"/>
    <w:rsid w:val="00363AA1"/>
    <w:rsid w:val="003673DC"/>
    <w:rsid w:val="003721D5"/>
    <w:rsid w:val="003744EE"/>
    <w:rsid w:val="00374786"/>
    <w:rsid w:val="00374FC3"/>
    <w:rsid w:val="0037568A"/>
    <w:rsid w:val="00376AED"/>
    <w:rsid w:val="00377C13"/>
    <w:rsid w:val="003807A6"/>
    <w:rsid w:val="00380A4E"/>
    <w:rsid w:val="00381A57"/>
    <w:rsid w:val="003835C2"/>
    <w:rsid w:val="00390F07"/>
    <w:rsid w:val="00391B41"/>
    <w:rsid w:val="00396D6B"/>
    <w:rsid w:val="003A04F2"/>
    <w:rsid w:val="003A0EE0"/>
    <w:rsid w:val="003A1C97"/>
    <w:rsid w:val="003A1F98"/>
    <w:rsid w:val="003A53F8"/>
    <w:rsid w:val="003A6E1D"/>
    <w:rsid w:val="003A751A"/>
    <w:rsid w:val="003A7D86"/>
    <w:rsid w:val="003B112B"/>
    <w:rsid w:val="003B2B67"/>
    <w:rsid w:val="003B2DF9"/>
    <w:rsid w:val="003B31F9"/>
    <w:rsid w:val="003B3C81"/>
    <w:rsid w:val="003B699D"/>
    <w:rsid w:val="003C0B57"/>
    <w:rsid w:val="003C19FC"/>
    <w:rsid w:val="003C29FC"/>
    <w:rsid w:val="003C2A4D"/>
    <w:rsid w:val="003C4063"/>
    <w:rsid w:val="003C5697"/>
    <w:rsid w:val="003C66E5"/>
    <w:rsid w:val="003C6C83"/>
    <w:rsid w:val="003C6C91"/>
    <w:rsid w:val="003D00E6"/>
    <w:rsid w:val="003D0CE6"/>
    <w:rsid w:val="003D1564"/>
    <w:rsid w:val="003D23FF"/>
    <w:rsid w:val="003D26D8"/>
    <w:rsid w:val="003D2857"/>
    <w:rsid w:val="003D3438"/>
    <w:rsid w:val="003D51A8"/>
    <w:rsid w:val="003D5504"/>
    <w:rsid w:val="003D724A"/>
    <w:rsid w:val="003E0E3C"/>
    <w:rsid w:val="003E11C1"/>
    <w:rsid w:val="003E2E69"/>
    <w:rsid w:val="003E547E"/>
    <w:rsid w:val="003E7872"/>
    <w:rsid w:val="003F0B4C"/>
    <w:rsid w:val="003F229B"/>
    <w:rsid w:val="003F357F"/>
    <w:rsid w:val="003F4046"/>
    <w:rsid w:val="003F4AC9"/>
    <w:rsid w:val="003F59F6"/>
    <w:rsid w:val="00401B17"/>
    <w:rsid w:val="00402118"/>
    <w:rsid w:val="00403A54"/>
    <w:rsid w:val="004042E6"/>
    <w:rsid w:val="00404687"/>
    <w:rsid w:val="0040477D"/>
    <w:rsid w:val="00406341"/>
    <w:rsid w:val="00406AC3"/>
    <w:rsid w:val="004108E2"/>
    <w:rsid w:val="004115CC"/>
    <w:rsid w:val="004134CE"/>
    <w:rsid w:val="0041434F"/>
    <w:rsid w:val="00415883"/>
    <w:rsid w:val="0041674F"/>
    <w:rsid w:val="00416938"/>
    <w:rsid w:val="0041693C"/>
    <w:rsid w:val="0041795F"/>
    <w:rsid w:val="004217E2"/>
    <w:rsid w:val="00422AFF"/>
    <w:rsid w:val="0042379F"/>
    <w:rsid w:val="004243BF"/>
    <w:rsid w:val="004249A5"/>
    <w:rsid w:val="00426EAB"/>
    <w:rsid w:val="00427340"/>
    <w:rsid w:val="004274C9"/>
    <w:rsid w:val="004277F1"/>
    <w:rsid w:val="00427BCC"/>
    <w:rsid w:val="00430AD0"/>
    <w:rsid w:val="004311E8"/>
    <w:rsid w:val="00431538"/>
    <w:rsid w:val="00431C54"/>
    <w:rsid w:val="00432D38"/>
    <w:rsid w:val="00433503"/>
    <w:rsid w:val="0043598D"/>
    <w:rsid w:val="00435F88"/>
    <w:rsid w:val="00436CB5"/>
    <w:rsid w:val="00437CE2"/>
    <w:rsid w:val="00440915"/>
    <w:rsid w:val="004410A5"/>
    <w:rsid w:val="004410E2"/>
    <w:rsid w:val="00443203"/>
    <w:rsid w:val="004558D3"/>
    <w:rsid w:val="004559F3"/>
    <w:rsid w:val="00456903"/>
    <w:rsid w:val="00461F1B"/>
    <w:rsid w:val="00462C77"/>
    <w:rsid w:val="004634DA"/>
    <w:rsid w:val="00463527"/>
    <w:rsid w:val="00463ECD"/>
    <w:rsid w:val="004655B9"/>
    <w:rsid w:val="0046564E"/>
    <w:rsid w:val="00466828"/>
    <w:rsid w:val="00467304"/>
    <w:rsid w:val="0046760B"/>
    <w:rsid w:val="004707AE"/>
    <w:rsid w:val="00470FAA"/>
    <w:rsid w:val="00471F28"/>
    <w:rsid w:val="00472002"/>
    <w:rsid w:val="004734B2"/>
    <w:rsid w:val="00480CE9"/>
    <w:rsid w:val="00481B68"/>
    <w:rsid w:val="004823A7"/>
    <w:rsid w:val="00483980"/>
    <w:rsid w:val="0048435C"/>
    <w:rsid w:val="004847D7"/>
    <w:rsid w:val="00486370"/>
    <w:rsid w:val="0048714D"/>
    <w:rsid w:val="00490B93"/>
    <w:rsid w:val="004912B7"/>
    <w:rsid w:val="0049326A"/>
    <w:rsid w:val="00493C1F"/>
    <w:rsid w:val="0049413A"/>
    <w:rsid w:val="004945FB"/>
    <w:rsid w:val="00494C8C"/>
    <w:rsid w:val="00496ED9"/>
    <w:rsid w:val="004A34CD"/>
    <w:rsid w:val="004A3615"/>
    <w:rsid w:val="004A3BA4"/>
    <w:rsid w:val="004A4451"/>
    <w:rsid w:val="004A5D66"/>
    <w:rsid w:val="004A6504"/>
    <w:rsid w:val="004A7526"/>
    <w:rsid w:val="004B062C"/>
    <w:rsid w:val="004B495D"/>
    <w:rsid w:val="004B696C"/>
    <w:rsid w:val="004B6CE0"/>
    <w:rsid w:val="004C064A"/>
    <w:rsid w:val="004C233F"/>
    <w:rsid w:val="004C389F"/>
    <w:rsid w:val="004C5200"/>
    <w:rsid w:val="004C63AD"/>
    <w:rsid w:val="004D0EBD"/>
    <w:rsid w:val="004D120B"/>
    <w:rsid w:val="004D1D90"/>
    <w:rsid w:val="004D21CB"/>
    <w:rsid w:val="004D2E72"/>
    <w:rsid w:val="004D5E97"/>
    <w:rsid w:val="004D743E"/>
    <w:rsid w:val="004D7522"/>
    <w:rsid w:val="004D7E05"/>
    <w:rsid w:val="004E034B"/>
    <w:rsid w:val="004E09DC"/>
    <w:rsid w:val="004E1BFD"/>
    <w:rsid w:val="004E2489"/>
    <w:rsid w:val="004E32B0"/>
    <w:rsid w:val="004E7412"/>
    <w:rsid w:val="004F132F"/>
    <w:rsid w:val="004F1A98"/>
    <w:rsid w:val="004F2F67"/>
    <w:rsid w:val="004F3783"/>
    <w:rsid w:val="004F47D1"/>
    <w:rsid w:val="004F691A"/>
    <w:rsid w:val="004F6C56"/>
    <w:rsid w:val="004F7AB3"/>
    <w:rsid w:val="00500C3E"/>
    <w:rsid w:val="0050175E"/>
    <w:rsid w:val="005022FF"/>
    <w:rsid w:val="005042E5"/>
    <w:rsid w:val="00504E7D"/>
    <w:rsid w:val="0050532B"/>
    <w:rsid w:val="005053EC"/>
    <w:rsid w:val="00506565"/>
    <w:rsid w:val="00507255"/>
    <w:rsid w:val="005078F2"/>
    <w:rsid w:val="005101D7"/>
    <w:rsid w:val="00511279"/>
    <w:rsid w:val="00512836"/>
    <w:rsid w:val="00512B61"/>
    <w:rsid w:val="00513349"/>
    <w:rsid w:val="0051374C"/>
    <w:rsid w:val="00516739"/>
    <w:rsid w:val="00517142"/>
    <w:rsid w:val="00517B2A"/>
    <w:rsid w:val="005204B6"/>
    <w:rsid w:val="00521531"/>
    <w:rsid w:val="00523EDD"/>
    <w:rsid w:val="00524753"/>
    <w:rsid w:val="005259CD"/>
    <w:rsid w:val="005270C2"/>
    <w:rsid w:val="005270FB"/>
    <w:rsid w:val="00531628"/>
    <w:rsid w:val="00532315"/>
    <w:rsid w:val="00532EBE"/>
    <w:rsid w:val="00532EE7"/>
    <w:rsid w:val="00533E14"/>
    <w:rsid w:val="005342B1"/>
    <w:rsid w:val="00534458"/>
    <w:rsid w:val="00535EDD"/>
    <w:rsid w:val="00535F9D"/>
    <w:rsid w:val="005360C4"/>
    <w:rsid w:val="005377D6"/>
    <w:rsid w:val="00537D70"/>
    <w:rsid w:val="00541BF9"/>
    <w:rsid w:val="00544865"/>
    <w:rsid w:val="00546199"/>
    <w:rsid w:val="005470B8"/>
    <w:rsid w:val="00547C0A"/>
    <w:rsid w:val="0055001E"/>
    <w:rsid w:val="00552916"/>
    <w:rsid w:val="00552E1F"/>
    <w:rsid w:val="0055311D"/>
    <w:rsid w:val="00554B05"/>
    <w:rsid w:val="00554B09"/>
    <w:rsid w:val="0055609E"/>
    <w:rsid w:val="0056027D"/>
    <w:rsid w:val="00562F50"/>
    <w:rsid w:val="00564886"/>
    <w:rsid w:val="00570EDF"/>
    <w:rsid w:val="0057422A"/>
    <w:rsid w:val="0057496D"/>
    <w:rsid w:val="005751CF"/>
    <w:rsid w:val="00580463"/>
    <w:rsid w:val="0058118A"/>
    <w:rsid w:val="0058197D"/>
    <w:rsid w:val="00582F0C"/>
    <w:rsid w:val="00583D9E"/>
    <w:rsid w:val="005851D0"/>
    <w:rsid w:val="00586766"/>
    <w:rsid w:val="00587B5D"/>
    <w:rsid w:val="005922E3"/>
    <w:rsid w:val="0059362C"/>
    <w:rsid w:val="00593D8D"/>
    <w:rsid w:val="0059474A"/>
    <w:rsid w:val="005A1DA3"/>
    <w:rsid w:val="005A23DB"/>
    <w:rsid w:val="005A5BC6"/>
    <w:rsid w:val="005A5F70"/>
    <w:rsid w:val="005A707D"/>
    <w:rsid w:val="005B5612"/>
    <w:rsid w:val="005B68CE"/>
    <w:rsid w:val="005B7FCD"/>
    <w:rsid w:val="005C1B52"/>
    <w:rsid w:val="005C24E8"/>
    <w:rsid w:val="005C2996"/>
    <w:rsid w:val="005C561D"/>
    <w:rsid w:val="005C5DDC"/>
    <w:rsid w:val="005C5ED4"/>
    <w:rsid w:val="005C60F0"/>
    <w:rsid w:val="005C76DA"/>
    <w:rsid w:val="005D0CB1"/>
    <w:rsid w:val="005D1387"/>
    <w:rsid w:val="005D162A"/>
    <w:rsid w:val="005D1E48"/>
    <w:rsid w:val="005D29AA"/>
    <w:rsid w:val="005D6405"/>
    <w:rsid w:val="005E04E1"/>
    <w:rsid w:val="005E54A9"/>
    <w:rsid w:val="005E57E8"/>
    <w:rsid w:val="005F2CC4"/>
    <w:rsid w:val="005F43D5"/>
    <w:rsid w:val="005F45F3"/>
    <w:rsid w:val="005F47A2"/>
    <w:rsid w:val="005F4B76"/>
    <w:rsid w:val="005F4F4F"/>
    <w:rsid w:val="005F5262"/>
    <w:rsid w:val="005F5600"/>
    <w:rsid w:val="005F6B28"/>
    <w:rsid w:val="005F76D0"/>
    <w:rsid w:val="00600185"/>
    <w:rsid w:val="006003A0"/>
    <w:rsid w:val="00604054"/>
    <w:rsid w:val="00604B51"/>
    <w:rsid w:val="00604FC3"/>
    <w:rsid w:val="006101A1"/>
    <w:rsid w:val="006142F1"/>
    <w:rsid w:val="00615146"/>
    <w:rsid w:val="006152A0"/>
    <w:rsid w:val="00615572"/>
    <w:rsid w:val="00617860"/>
    <w:rsid w:val="0062135E"/>
    <w:rsid w:val="006228D5"/>
    <w:rsid w:val="00622A58"/>
    <w:rsid w:val="00622C9B"/>
    <w:rsid w:val="00623E8E"/>
    <w:rsid w:val="006252F4"/>
    <w:rsid w:val="0062655E"/>
    <w:rsid w:val="0062665B"/>
    <w:rsid w:val="00626D41"/>
    <w:rsid w:val="00626FE0"/>
    <w:rsid w:val="006321B6"/>
    <w:rsid w:val="00633990"/>
    <w:rsid w:val="006341E5"/>
    <w:rsid w:val="00635A64"/>
    <w:rsid w:val="00637098"/>
    <w:rsid w:val="00637BC3"/>
    <w:rsid w:val="00641E1F"/>
    <w:rsid w:val="00642319"/>
    <w:rsid w:val="0064347D"/>
    <w:rsid w:val="0064455C"/>
    <w:rsid w:val="0064505B"/>
    <w:rsid w:val="00645244"/>
    <w:rsid w:val="006456C1"/>
    <w:rsid w:val="00645941"/>
    <w:rsid w:val="00646D35"/>
    <w:rsid w:val="00652095"/>
    <w:rsid w:val="0065392F"/>
    <w:rsid w:val="00655F92"/>
    <w:rsid w:val="006574F4"/>
    <w:rsid w:val="00661BF1"/>
    <w:rsid w:val="0066211D"/>
    <w:rsid w:val="006638DC"/>
    <w:rsid w:val="0066414C"/>
    <w:rsid w:val="006647B1"/>
    <w:rsid w:val="006670A9"/>
    <w:rsid w:val="00670246"/>
    <w:rsid w:val="00671115"/>
    <w:rsid w:val="00671F85"/>
    <w:rsid w:val="00672A2F"/>
    <w:rsid w:val="006735B7"/>
    <w:rsid w:val="0067481C"/>
    <w:rsid w:val="00676675"/>
    <w:rsid w:val="00676D17"/>
    <w:rsid w:val="00677F0D"/>
    <w:rsid w:val="00680114"/>
    <w:rsid w:val="006823A7"/>
    <w:rsid w:val="0068251A"/>
    <w:rsid w:val="006843F9"/>
    <w:rsid w:val="00684F84"/>
    <w:rsid w:val="006875D8"/>
    <w:rsid w:val="00690305"/>
    <w:rsid w:val="0069056D"/>
    <w:rsid w:val="006906A1"/>
    <w:rsid w:val="006912FB"/>
    <w:rsid w:val="0069173F"/>
    <w:rsid w:val="00694254"/>
    <w:rsid w:val="00694678"/>
    <w:rsid w:val="00694C77"/>
    <w:rsid w:val="00694E6E"/>
    <w:rsid w:val="0069568E"/>
    <w:rsid w:val="0069573F"/>
    <w:rsid w:val="00696A2B"/>
    <w:rsid w:val="00696EBF"/>
    <w:rsid w:val="006973E3"/>
    <w:rsid w:val="00697B3E"/>
    <w:rsid w:val="006A1DB7"/>
    <w:rsid w:val="006A2155"/>
    <w:rsid w:val="006A4350"/>
    <w:rsid w:val="006A68A0"/>
    <w:rsid w:val="006A68E9"/>
    <w:rsid w:val="006B23C0"/>
    <w:rsid w:val="006B6384"/>
    <w:rsid w:val="006C1476"/>
    <w:rsid w:val="006C454C"/>
    <w:rsid w:val="006C4EF3"/>
    <w:rsid w:val="006C6237"/>
    <w:rsid w:val="006C66FC"/>
    <w:rsid w:val="006C6C17"/>
    <w:rsid w:val="006C6E71"/>
    <w:rsid w:val="006D501F"/>
    <w:rsid w:val="006D662E"/>
    <w:rsid w:val="006D7196"/>
    <w:rsid w:val="006E14BD"/>
    <w:rsid w:val="006E1911"/>
    <w:rsid w:val="006E7A20"/>
    <w:rsid w:val="006E7E5E"/>
    <w:rsid w:val="006E7FF4"/>
    <w:rsid w:val="006F1194"/>
    <w:rsid w:val="006F11EF"/>
    <w:rsid w:val="006F1337"/>
    <w:rsid w:val="006F2FBD"/>
    <w:rsid w:val="006F3214"/>
    <w:rsid w:val="006F4B7C"/>
    <w:rsid w:val="006F60A6"/>
    <w:rsid w:val="006F6DD8"/>
    <w:rsid w:val="006F79B4"/>
    <w:rsid w:val="007005B5"/>
    <w:rsid w:val="0070218F"/>
    <w:rsid w:val="00704C88"/>
    <w:rsid w:val="00705C5A"/>
    <w:rsid w:val="00705F6F"/>
    <w:rsid w:val="00706197"/>
    <w:rsid w:val="007075F2"/>
    <w:rsid w:val="00712EC6"/>
    <w:rsid w:val="0071343B"/>
    <w:rsid w:val="007140FD"/>
    <w:rsid w:val="00714EE1"/>
    <w:rsid w:val="0071511D"/>
    <w:rsid w:val="007203EA"/>
    <w:rsid w:val="00721783"/>
    <w:rsid w:val="00722301"/>
    <w:rsid w:val="00723E52"/>
    <w:rsid w:val="0072477B"/>
    <w:rsid w:val="0072522B"/>
    <w:rsid w:val="00725935"/>
    <w:rsid w:val="0073256B"/>
    <w:rsid w:val="00733365"/>
    <w:rsid w:val="00733531"/>
    <w:rsid w:val="0073411F"/>
    <w:rsid w:val="00734146"/>
    <w:rsid w:val="00735202"/>
    <w:rsid w:val="007403FD"/>
    <w:rsid w:val="007457C4"/>
    <w:rsid w:val="007475F1"/>
    <w:rsid w:val="00747741"/>
    <w:rsid w:val="00750104"/>
    <w:rsid w:val="00751466"/>
    <w:rsid w:val="007515E8"/>
    <w:rsid w:val="00754AA0"/>
    <w:rsid w:val="00755B10"/>
    <w:rsid w:val="007565E1"/>
    <w:rsid w:val="0075681E"/>
    <w:rsid w:val="00756922"/>
    <w:rsid w:val="00761F38"/>
    <w:rsid w:val="0076246B"/>
    <w:rsid w:val="00763355"/>
    <w:rsid w:val="0076379A"/>
    <w:rsid w:val="00763B35"/>
    <w:rsid w:val="007649FC"/>
    <w:rsid w:val="00765A32"/>
    <w:rsid w:val="00767467"/>
    <w:rsid w:val="007708B7"/>
    <w:rsid w:val="00773189"/>
    <w:rsid w:val="007776E9"/>
    <w:rsid w:val="00777D2C"/>
    <w:rsid w:val="007813B7"/>
    <w:rsid w:val="00781CB0"/>
    <w:rsid w:val="0078237F"/>
    <w:rsid w:val="00784438"/>
    <w:rsid w:val="0078472E"/>
    <w:rsid w:val="00784C9F"/>
    <w:rsid w:val="00784F24"/>
    <w:rsid w:val="0078655B"/>
    <w:rsid w:val="007872AE"/>
    <w:rsid w:val="0078781F"/>
    <w:rsid w:val="00787C74"/>
    <w:rsid w:val="0079046B"/>
    <w:rsid w:val="00790603"/>
    <w:rsid w:val="00791025"/>
    <w:rsid w:val="00792B49"/>
    <w:rsid w:val="00792DA8"/>
    <w:rsid w:val="00794553"/>
    <w:rsid w:val="00794F4E"/>
    <w:rsid w:val="007955C5"/>
    <w:rsid w:val="00795D8C"/>
    <w:rsid w:val="007A039A"/>
    <w:rsid w:val="007A0610"/>
    <w:rsid w:val="007A2251"/>
    <w:rsid w:val="007A3D00"/>
    <w:rsid w:val="007A4399"/>
    <w:rsid w:val="007A448D"/>
    <w:rsid w:val="007A7B3E"/>
    <w:rsid w:val="007B25DB"/>
    <w:rsid w:val="007B7D58"/>
    <w:rsid w:val="007C13E9"/>
    <w:rsid w:val="007C1A97"/>
    <w:rsid w:val="007C20F7"/>
    <w:rsid w:val="007C2705"/>
    <w:rsid w:val="007C3BA4"/>
    <w:rsid w:val="007C4A9E"/>
    <w:rsid w:val="007C4C3B"/>
    <w:rsid w:val="007C4DE9"/>
    <w:rsid w:val="007C50AB"/>
    <w:rsid w:val="007C5133"/>
    <w:rsid w:val="007C57D0"/>
    <w:rsid w:val="007C6DD2"/>
    <w:rsid w:val="007C7FE9"/>
    <w:rsid w:val="007D04A3"/>
    <w:rsid w:val="007D45B6"/>
    <w:rsid w:val="007D4F06"/>
    <w:rsid w:val="007D4FE7"/>
    <w:rsid w:val="007D57C8"/>
    <w:rsid w:val="007D5D9A"/>
    <w:rsid w:val="007D6323"/>
    <w:rsid w:val="007D6755"/>
    <w:rsid w:val="007E1A88"/>
    <w:rsid w:val="007E2F4A"/>
    <w:rsid w:val="007E373A"/>
    <w:rsid w:val="007E3D71"/>
    <w:rsid w:val="007E4EFF"/>
    <w:rsid w:val="007E6038"/>
    <w:rsid w:val="007E77CF"/>
    <w:rsid w:val="007E7F2D"/>
    <w:rsid w:val="007F0190"/>
    <w:rsid w:val="007F1C65"/>
    <w:rsid w:val="007F2DAC"/>
    <w:rsid w:val="007F3A00"/>
    <w:rsid w:val="007F46BE"/>
    <w:rsid w:val="007F6DC2"/>
    <w:rsid w:val="007F74D7"/>
    <w:rsid w:val="0080023F"/>
    <w:rsid w:val="0080053E"/>
    <w:rsid w:val="008005B5"/>
    <w:rsid w:val="00800713"/>
    <w:rsid w:val="0080142E"/>
    <w:rsid w:val="0080339D"/>
    <w:rsid w:val="00811AB6"/>
    <w:rsid w:val="00811BC9"/>
    <w:rsid w:val="0081362A"/>
    <w:rsid w:val="0081688F"/>
    <w:rsid w:val="00821549"/>
    <w:rsid w:val="00821912"/>
    <w:rsid w:val="0082355C"/>
    <w:rsid w:val="0082380B"/>
    <w:rsid w:val="00826E34"/>
    <w:rsid w:val="00826F55"/>
    <w:rsid w:val="0083070A"/>
    <w:rsid w:val="00832F5D"/>
    <w:rsid w:val="00834D60"/>
    <w:rsid w:val="00834ED2"/>
    <w:rsid w:val="008353A4"/>
    <w:rsid w:val="008357BD"/>
    <w:rsid w:val="00836D51"/>
    <w:rsid w:val="008377F6"/>
    <w:rsid w:val="00843500"/>
    <w:rsid w:val="00843E8C"/>
    <w:rsid w:val="008444D3"/>
    <w:rsid w:val="0084546B"/>
    <w:rsid w:val="008466F1"/>
    <w:rsid w:val="0084672E"/>
    <w:rsid w:val="00851DA5"/>
    <w:rsid w:val="00854601"/>
    <w:rsid w:val="00854875"/>
    <w:rsid w:val="008569D0"/>
    <w:rsid w:val="00856ACF"/>
    <w:rsid w:val="0085704B"/>
    <w:rsid w:val="00857C02"/>
    <w:rsid w:val="00860424"/>
    <w:rsid w:val="00862312"/>
    <w:rsid w:val="00862F4C"/>
    <w:rsid w:val="008642A0"/>
    <w:rsid w:val="008643FB"/>
    <w:rsid w:val="00864835"/>
    <w:rsid w:val="00865BCF"/>
    <w:rsid w:val="00865E32"/>
    <w:rsid w:val="00867CC1"/>
    <w:rsid w:val="008752CB"/>
    <w:rsid w:val="00876946"/>
    <w:rsid w:val="00876AD4"/>
    <w:rsid w:val="008779A0"/>
    <w:rsid w:val="008812AF"/>
    <w:rsid w:val="008812EF"/>
    <w:rsid w:val="008825C5"/>
    <w:rsid w:val="00883FD7"/>
    <w:rsid w:val="008848F4"/>
    <w:rsid w:val="008849EA"/>
    <w:rsid w:val="00886418"/>
    <w:rsid w:val="00887C2E"/>
    <w:rsid w:val="008903AE"/>
    <w:rsid w:val="008906FA"/>
    <w:rsid w:val="00891529"/>
    <w:rsid w:val="0089310C"/>
    <w:rsid w:val="008932EB"/>
    <w:rsid w:val="008971B4"/>
    <w:rsid w:val="008A2EE6"/>
    <w:rsid w:val="008A3DBD"/>
    <w:rsid w:val="008A78CC"/>
    <w:rsid w:val="008A7A56"/>
    <w:rsid w:val="008B0EA3"/>
    <w:rsid w:val="008B5ABE"/>
    <w:rsid w:val="008B7121"/>
    <w:rsid w:val="008C0350"/>
    <w:rsid w:val="008C125F"/>
    <w:rsid w:val="008C153C"/>
    <w:rsid w:val="008C2753"/>
    <w:rsid w:val="008C709E"/>
    <w:rsid w:val="008D1AB9"/>
    <w:rsid w:val="008D29A2"/>
    <w:rsid w:val="008D5DAC"/>
    <w:rsid w:val="008D6442"/>
    <w:rsid w:val="008D6927"/>
    <w:rsid w:val="008D799D"/>
    <w:rsid w:val="008D7CC6"/>
    <w:rsid w:val="008E00EF"/>
    <w:rsid w:val="008E0951"/>
    <w:rsid w:val="008E111D"/>
    <w:rsid w:val="008E278F"/>
    <w:rsid w:val="008E321D"/>
    <w:rsid w:val="008E4C2E"/>
    <w:rsid w:val="008F4E2F"/>
    <w:rsid w:val="008F53A2"/>
    <w:rsid w:val="008F54B7"/>
    <w:rsid w:val="008F7602"/>
    <w:rsid w:val="009002EC"/>
    <w:rsid w:val="0090100A"/>
    <w:rsid w:val="009055E0"/>
    <w:rsid w:val="00905CFB"/>
    <w:rsid w:val="0090684C"/>
    <w:rsid w:val="00907E8F"/>
    <w:rsid w:val="009108B8"/>
    <w:rsid w:val="00911C7B"/>
    <w:rsid w:val="00912E97"/>
    <w:rsid w:val="009133A2"/>
    <w:rsid w:val="00913791"/>
    <w:rsid w:val="009143EE"/>
    <w:rsid w:val="009219B3"/>
    <w:rsid w:val="00921DDD"/>
    <w:rsid w:val="00922630"/>
    <w:rsid w:val="00923090"/>
    <w:rsid w:val="00924E25"/>
    <w:rsid w:val="009260CC"/>
    <w:rsid w:val="00927F74"/>
    <w:rsid w:val="00930968"/>
    <w:rsid w:val="00931E5A"/>
    <w:rsid w:val="0093338B"/>
    <w:rsid w:val="00933746"/>
    <w:rsid w:val="00935D6F"/>
    <w:rsid w:val="00937A2D"/>
    <w:rsid w:val="00940872"/>
    <w:rsid w:val="009409B6"/>
    <w:rsid w:val="0094307C"/>
    <w:rsid w:val="009451C8"/>
    <w:rsid w:val="009456DF"/>
    <w:rsid w:val="00945EAB"/>
    <w:rsid w:val="00952B2C"/>
    <w:rsid w:val="00952CDA"/>
    <w:rsid w:val="009539F3"/>
    <w:rsid w:val="00955346"/>
    <w:rsid w:val="009553AB"/>
    <w:rsid w:val="00960667"/>
    <w:rsid w:val="0096098D"/>
    <w:rsid w:val="00960A9D"/>
    <w:rsid w:val="00960E85"/>
    <w:rsid w:val="0096166C"/>
    <w:rsid w:val="00961C8F"/>
    <w:rsid w:val="00962FFF"/>
    <w:rsid w:val="00967F24"/>
    <w:rsid w:val="009704CB"/>
    <w:rsid w:val="00970DB8"/>
    <w:rsid w:val="0097276E"/>
    <w:rsid w:val="009812B3"/>
    <w:rsid w:val="0098139C"/>
    <w:rsid w:val="0098393A"/>
    <w:rsid w:val="00983F5B"/>
    <w:rsid w:val="00985F6A"/>
    <w:rsid w:val="00987E3E"/>
    <w:rsid w:val="00991342"/>
    <w:rsid w:val="00994289"/>
    <w:rsid w:val="00997AEE"/>
    <w:rsid w:val="009A1E6B"/>
    <w:rsid w:val="009A4964"/>
    <w:rsid w:val="009B01C6"/>
    <w:rsid w:val="009B0370"/>
    <w:rsid w:val="009B04C4"/>
    <w:rsid w:val="009B0A65"/>
    <w:rsid w:val="009B2878"/>
    <w:rsid w:val="009B2F74"/>
    <w:rsid w:val="009B573D"/>
    <w:rsid w:val="009B7018"/>
    <w:rsid w:val="009B7A64"/>
    <w:rsid w:val="009C08C0"/>
    <w:rsid w:val="009C192C"/>
    <w:rsid w:val="009C3564"/>
    <w:rsid w:val="009C36FF"/>
    <w:rsid w:val="009C3E4C"/>
    <w:rsid w:val="009C5668"/>
    <w:rsid w:val="009C7AAA"/>
    <w:rsid w:val="009C7BE1"/>
    <w:rsid w:val="009D0124"/>
    <w:rsid w:val="009D022D"/>
    <w:rsid w:val="009D04F7"/>
    <w:rsid w:val="009D6E85"/>
    <w:rsid w:val="009D6EA9"/>
    <w:rsid w:val="009E01B6"/>
    <w:rsid w:val="009E17A5"/>
    <w:rsid w:val="009E1881"/>
    <w:rsid w:val="009E1C4F"/>
    <w:rsid w:val="009E256A"/>
    <w:rsid w:val="009E2DC8"/>
    <w:rsid w:val="009E5ED4"/>
    <w:rsid w:val="009E75D6"/>
    <w:rsid w:val="009F24E0"/>
    <w:rsid w:val="009F2CEF"/>
    <w:rsid w:val="009F3DD4"/>
    <w:rsid w:val="009F69AA"/>
    <w:rsid w:val="00A0003B"/>
    <w:rsid w:val="00A01117"/>
    <w:rsid w:val="00A01601"/>
    <w:rsid w:val="00A02928"/>
    <w:rsid w:val="00A03236"/>
    <w:rsid w:val="00A06506"/>
    <w:rsid w:val="00A06D33"/>
    <w:rsid w:val="00A072BA"/>
    <w:rsid w:val="00A1078C"/>
    <w:rsid w:val="00A11272"/>
    <w:rsid w:val="00A117D0"/>
    <w:rsid w:val="00A149FD"/>
    <w:rsid w:val="00A16554"/>
    <w:rsid w:val="00A16840"/>
    <w:rsid w:val="00A168B5"/>
    <w:rsid w:val="00A173F1"/>
    <w:rsid w:val="00A23AFC"/>
    <w:rsid w:val="00A24D95"/>
    <w:rsid w:val="00A25CD2"/>
    <w:rsid w:val="00A26B5B"/>
    <w:rsid w:val="00A27E06"/>
    <w:rsid w:val="00A32206"/>
    <w:rsid w:val="00A32F52"/>
    <w:rsid w:val="00A36332"/>
    <w:rsid w:val="00A369B9"/>
    <w:rsid w:val="00A409FD"/>
    <w:rsid w:val="00A423F3"/>
    <w:rsid w:val="00A450A4"/>
    <w:rsid w:val="00A45C9A"/>
    <w:rsid w:val="00A50D20"/>
    <w:rsid w:val="00A5172E"/>
    <w:rsid w:val="00A528D8"/>
    <w:rsid w:val="00A54C0B"/>
    <w:rsid w:val="00A604DC"/>
    <w:rsid w:val="00A60649"/>
    <w:rsid w:val="00A6132B"/>
    <w:rsid w:val="00A61AE1"/>
    <w:rsid w:val="00A61C10"/>
    <w:rsid w:val="00A627C1"/>
    <w:rsid w:val="00A63CF4"/>
    <w:rsid w:val="00A64483"/>
    <w:rsid w:val="00A6712A"/>
    <w:rsid w:val="00A67B01"/>
    <w:rsid w:val="00A71793"/>
    <w:rsid w:val="00A71E51"/>
    <w:rsid w:val="00A7231D"/>
    <w:rsid w:val="00A724AE"/>
    <w:rsid w:val="00A72931"/>
    <w:rsid w:val="00A72A45"/>
    <w:rsid w:val="00A73528"/>
    <w:rsid w:val="00A817CB"/>
    <w:rsid w:val="00A85D26"/>
    <w:rsid w:val="00A87B36"/>
    <w:rsid w:val="00A9059E"/>
    <w:rsid w:val="00A91649"/>
    <w:rsid w:val="00A91AE7"/>
    <w:rsid w:val="00A93351"/>
    <w:rsid w:val="00A934B2"/>
    <w:rsid w:val="00A93961"/>
    <w:rsid w:val="00A93AA1"/>
    <w:rsid w:val="00A94B42"/>
    <w:rsid w:val="00A951BC"/>
    <w:rsid w:val="00A960EF"/>
    <w:rsid w:val="00A9679E"/>
    <w:rsid w:val="00AA1D62"/>
    <w:rsid w:val="00AA3848"/>
    <w:rsid w:val="00AA6FA1"/>
    <w:rsid w:val="00AB027C"/>
    <w:rsid w:val="00AB1696"/>
    <w:rsid w:val="00AB190B"/>
    <w:rsid w:val="00AB4248"/>
    <w:rsid w:val="00AB4F1B"/>
    <w:rsid w:val="00AB5F3F"/>
    <w:rsid w:val="00AC11CE"/>
    <w:rsid w:val="00AC16CE"/>
    <w:rsid w:val="00AC1FBC"/>
    <w:rsid w:val="00AC3AD2"/>
    <w:rsid w:val="00AC50B3"/>
    <w:rsid w:val="00AC5BEB"/>
    <w:rsid w:val="00AC674C"/>
    <w:rsid w:val="00AD2361"/>
    <w:rsid w:val="00AD3CEB"/>
    <w:rsid w:val="00AD4127"/>
    <w:rsid w:val="00AD4778"/>
    <w:rsid w:val="00AD4952"/>
    <w:rsid w:val="00AD5BEF"/>
    <w:rsid w:val="00AD6607"/>
    <w:rsid w:val="00AD6847"/>
    <w:rsid w:val="00AD6F6A"/>
    <w:rsid w:val="00AE03B6"/>
    <w:rsid w:val="00AE0BA9"/>
    <w:rsid w:val="00AE1B97"/>
    <w:rsid w:val="00AE2157"/>
    <w:rsid w:val="00AE2688"/>
    <w:rsid w:val="00AE3598"/>
    <w:rsid w:val="00AE505D"/>
    <w:rsid w:val="00AE570A"/>
    <w:rsid w:val="00AE7AC7"/>
    <w:rsid w:val="00AF1D54"/>
    <w:rsid w:val="00AF2107"/>
    <w:rsid w:val="00AF2D07"/>
    <w:rsid w:val="00AF48AD"/>
    <w:rsid w:val="00AF55C5"/>
    <w:rsid w:val="00AF7BB4"/>
    <w:rsid w:val="00B0294F"/>
    <w:rsid w:val="00B02BB4"/>
    <w:rsid w:val="00B03A59"/>
    <w:rsid w:val="00B03EDB"/>
    <w:rsid w:val="00B0786F"/>
    <w:rsid w:val="00B131B8"/>
    <w:rsid w:val="00B13B27"/>
    <w:rsid w:val="00B14636"/>
    <w:rsid w:val="00B1491D"/>
    <w:rsid w:val="00B15A84"/>
    <w:rsid w:val="00B16207"/>
    <w:rsid w:val="00B17189"/>
    <w:rsid w:val="00B22461"/>
    <w:rsid w:val="00B23C2C"/>
    <w:rsid w:val="00B24DCD"/>
    <w:rsid w:val="00B30DE1"/>
    <w:rsid w:val="00B314EF"/>
    <w:rsid w:val="00B33611"/>
    <w:rsid w:val="00B34F43"/>
    <w:rsid w:val="00B35175"/>
    <w:rsid w:val="00B35BC4"/>
    <w:rsid w:val="00B367F7"/>
    <w:rsid w:val="00B37089"/>
    <w:rsid w:val="00B378AA"/>
    <w:rsid w:val="00B37C95"/>
    <w:rsid w:val="00B4288B"/>
    <w:rsid w:val="00B437CB"/>
    <w:rsid w:val="00B44249"/>
    <w:rsid w:val="00B442B7"/>
    <w:rsid w:val="00B44AA2"/>
    <w:rsid w:val="00B44B5A"/>
    <w:rsid w:val="00B459C0"/>
    <w:rsid w:val="00B46550"/>
    <w:rsid w:val="00B471FD"/>
    <w:rsid w:val="00B51B25"/>
    <w:rsid w:val="00B5300A"/>
    <w:rsid w:val="00B5317C"/>
    <w:rsid w:val="00B54D89"/>
    <w:rsid w:val="00B5670F"/>
    <w:rsid w:val="00B57323"/>
    <w:rsid w:val="00B577AC"/>
    <w:rsid w:val="00B60C89"/>
    <w:rsid w:val="00B60E96"/>
    <w:rsid w:val="00B63509"/>
    <w:rsid w:val="00B63B86"/>
    <w:rsid w:val="00B649D6"/>
    <w:rsid w:val="00B651BF"/>
    <w:rsid w:val="00B655D1"/>
    <w:rsid w:val="00B660D0"/>
    <w:rsid w:val="00B67CE9"/>
    <w:rsid w:val="00B71E9F"/>
    <w:rsid w:val="00B720AB"/>
    <w:rsid w:val="00B757ED"/>
    <w:rsid w:val="00B75CFA"/>
    <w:rsid w:val="00B75F7A"/>
    <w:rsid w:val="00B77FF5"/>
    <w:rsid w:val="00B83DB1"/>
    <w:rsid w:val="00B84412"/>
    <w:rsid w:val="00B8456D"/>
    <w:rsid w:val="00B84B8E"/>
    <w:rsid w:val="00B850FB"/>
    <w:rsid w:val="00B8599F"/>
    <w:rsid w:val="00B85A01"/>
    <w:rsid w:val="00B902A5"/>
    <w:rsid w:val="00B922C9"/>
    <w:rsid w:val="00B93EF3"/>
    <w:rsid w:val="00B94203"/>
    <w:rsid w:val="00B94FB3"/>
    <w:rsid w:val="00B969E9"/>
    <w:rsid w:val="00BA0930"/>
    <w:rsid w:val="00BA163B"/>
    <w:rsid w:val="00BA36A7"/>
    <w:rsid w:val="00BA420F"/>
    <w:rsid w:val="00BA6B93"/>
    <w:rsid w:val="00BA7EA2"/>
    <w:rsid w:val="00BA7F8B"/>
    <w:rsid w:val="00BB03A0"/>
    <w:rsid w:val="00BB106D"/>
    <w:rsid w:val="00BB5CBC"/>
    <w:rsid w:val="00BB5F4E"/>
    <w:rsid w:val="00BB6C16"/>
    <w:rsid w:val="00BB7BF0"/>
    <w:rsid w:val="00BC0991"/>
    <w:rsid w:val="00BC1113"/>
    <w:rsid w:val="00BC1EB5"/>
    <w:rsid w:val="00BC2AD8"/>
    <w:rsid w:val="00BC2BB4"/>
    <w:rsid w:val="00BC2FF6"/>
    <w:rsid w:val="00BC45A5"/>
    <w:rsid w:val="00BC5126"/>
    <w:rsid w:val="00BC6BAC"/>
    <w:rsid w:val="00BD03F6"/>
    <w:rsid w:val="00BD0DC7"/>
    <w:rsid w:val="00BD1ADF"/>
    <w:rsid w:val="00BD1FEC"/>
    <w:rsid w:val="00BD4FAA"/>
    <w:rsid w:val="00BD540A"/>
    <w:rsid w:val="00BD56CC"/>
    <w:rsid w:val="00BD5B02"/>
    <w:rsid w:val="00BD60E9"/>
    <w:rsid w:val="00BD631E"/>
    <w:rsid w:val="00BD7401"/>
    <w:rsid w:val="00BD7B4C"/>
    <w:rsid w:val="00BE0ADD"/>
    <w:rsid w:val="00BE2C32"/>
    <w:rsid w:val="00BE386F"/>
    <w:rsid w:val="00BE3CED"/>
    <w:rsid w:val="00BE3D56"/>
    <w:rsid w:val="00BE4EBE"/>
    <w:rsid w:val="00BE570C"/>
    <w:rsid w:val="00BF088F"/>
    <w:rsid w:val="00BF47C8"/>
    <w:rsid w:val="00BF54CD"/>
    <w:rsid w:val="00BF5B63"/>
    <w:rsid w:val="00C05E4F"/>
    <w:rsid w:val="00C07ACA"/>
    <w:rsid w:val="00C10685"/>
    <w:rsid w:val="00C10ABD"/>
    <w:rsid w:val="00C10F4F"/>
    <w:rsid w:val="00C121F4"/>
    <w:rsid w:val="00C12364"/>
    <w:rsid w:val="00C124E8"/>
    <w:rsid w:val="00C15094"/>
    <w:rsid w:val="00C15BF0"/>
    <w:rsid w:val="00C1792E"/>
    <w:rsid w:val="00C24944"/>
    <w:rsid w:val="00C26885"/>
    <w:rsid w:val="00C3196B"/>
    <w:rsid w:val="00C31C41"/>
    <w:rsid w:val="00C324BA"/>
    <w:rsid w:val="00C326F8"/>
    <w:rsid w:val="00C32DE1"/>
    <w:rsid w:val="00C34D90"/>
    <w:rsid w:val="00C36D69"/>
    <w:rsid w:val="00C41BB6"/>
    <w:rsid w:val="00C4255E"/>
    <w:rsid w:val="00C42A0D"/>
    <w:rsid w:val="00C4329F"/>
    <w:rsid w:val="00C437E9"/>
    <w:rsid w:val="00C45301"/>
    <w:rsid w:val="00C45E23"/>
    <w:rsid w:val="00C477CC"/>
    <w:rsid w:val="00C5001B"/>
    <w:rsid w:val="00C5046F"/>
    <w:rsid w:val="00C5053C"/>
    <w:rsid w:val="00C514BB"/>
    <w:rsid w:val="00C52896"/>
    <w:rsid w:val="00C5424A"/>
    <w:rsid w:val="00C543BF"/>
    <w:rsid w:val="00C54A31"/>
    <w:rsid w:val="00C55ECB"/>
    <w:rsid w:val="00C627F5"/>
    <w:rsid w:val="00C62B3E"/>
    <w:rsid w:val="00C62E5D"/>
    <w:rsid w:val="00C635E7"/>
    <w:rsid w:val="00C657A4"/>
    <w:rsid w:val="00C66616"/>
    <w:rsid w:val="00C668B3"/>
    <w:rsid w:val="00C668E1"/>
    <w:rsid w:val="00C67FE3"/>
    <w:rsid w:val="00C702B1"/>
    <w:rsid w:val="00C729BF"/>
    <w:rsid w:val="00C731A4"/>
    <w:rsid w:val="00C748D0"/>
    <w:rsid w:val="00C74FCA"/>
    <w:rsid w:val="00C76C57"/>
    <w:rsid w:val="00C801DC"/>
    <w:rsid w:val="00C8033C"/>
    <w:rsid w:val="00C80739"/>
    <w:rsid w:val="00C823EB"/>
    <w:rsid w:val="00C8365A"/>
    <w:rsid w:val="00C8376F"/>
    <w:rsid w:val="00C83870"/>
    <w:rsid w:val="00C856D6"/>
    <w:rsid w:val="00C87D1C"/>
    <w:rsid w:val="00C915B8"/>
    <w:rsid w:val="00C916C5"/>
    <w:rsid w:val="00C91C91"/>
    <w:rsid w:val="00C94943"/>
    <w:rsid w:val="00C9539B"/>
    <w:rsid w:val="00CA1BAC"/>
    <w:rsid w:val="00CA3CA3"/>
    <w:rsid w:val="00CA5546"/>
    <w:rsid w:val="00CA6A2B"/>
    <w:rsid w:val="00CA7AB8"/>
    <w:rsid w:val="00CB2979"/>
    <w:rsid w:val="00CB3155"/>
    <w:rsid w:val="00CB6763"/>
    <w:rsid w:val="00CB6ECC"/>
    <w:rsid w:val="00CB761D"/>
    <w:rsid w:val="00CC0423"/>
    <w:rsid w:val="00CC04E5"/>
    <w:rsid w:val="00CC15C0"/>
    <w:rsid w:val="00CC1A89"/>
    <w:rsid w:val="00CC2167"/>
    <w:rsid w:val="00CC324D"/>
    <w:rsid w:val="00CC3866"/>
    <w:rsid w:val="00CC680A"/>
    <w:rsid w:val="00CC6DCD"/>
    <w:rsid w:val="00CC6E1E"/>
    <w:rsid w:val="00CC77DD"/>
    <w:rsid w:val="00CD2192"/>
    <w:rsid w:val="00CD3E10"/>
    <w:rsid w:val="00CD4A6C"/>
    <w:rsid w:val="00CD4BC6"/>
    <w:rsid w:val="00CD6A38"/>
    <w:rsid w:val="00CD7FE1"/>
    <w:rsid w:val="00CE15E1"/>
    <w:rsid w:val="00CE189A"/>
    <w:rsid w:val="00CE20CB"/>
    <w:rsid w:val="00CE4573"/>
    <w:rsid w:val="00CE50DB"/>
    <w:rsid w:val="00CF2494"/>
    <w:rsid w:val="00CF254B"/>
    <w:rsid w:val="00CF29B2"/>
    <w:rsid w:val="00CF2F2E"/>
    <w:rsid w:val="00CF3DCA"/>
    <w:rsid w:val="00CF57FE"/>
    <w:rsid w:val="00CF5EBF"/>
    <w:rsid w:val="00CF6C17"/>
    <w:rsid w:val="00D00692"/>
    <w:rsid w:val="00D03F4A"/>
    <w:rsid w:val="00D0419E"/>
    <w:rsid w:val="00D06C7E"/>
    <w:rsid w:val="00D073F5"/>
    <w:rsid w:val="00D1096F"/>
    <w:rsid w:val="00D10DB4"/>
    <w:rsid w:val="00D115A0"/>
    <w:rsid w:val="00D12169"/>
    <w:rsid w:val="00D13652"/>
    <w:rsid w:val="00D15483"/>
    <w:rsid w:val="00D15EC7"/>
    <w:rsid w:val="00D20D50"/>
    <w:rsid w:val="00D21EAB"/>
    <w:rsid w:val="00D21EE9"/>
    <w:rsid w:val="00D22420"/>
    <w:rsid w:val="00D22743"/>
    <w:rsid w:val="00D25B5F"/>
    <w:rsid w:val="00D261CD"/>
    <w:rsid w:val="00D27580"/>
    <w:rsid w:val="00D30582"/>
    <w:rsid w:val="00D31EF2"/>
    <w:rsid w:val="00D33C92"/>
    <w:rsid w:val="00D346F6"/>
    <w:rsid w:val="00D34859"/>
    <w:rsid w:val="00D34B63"/>
    <w:rsid w:val="00D34E24"/>
    <w:rsid w:val="00D361EB"/>
    <w:rsid w:val="00D36896"/>
    <w:rsid w:val="00D43DE4"/>
    <w:rsid w:val="00D45345"/>
    <w:rsid w:val="00D45D28"/>
    <w:rsid w:val="00D51131"/>
    <w:rsid w:val="00D525FC"/>
    <w:rsid w:val="00D53ADD"/>
    <w:rsid w:val="00D547CB"/>
    <w:rsid w:val="00D54A15"/>
    <w:rsid w:val="00D551D3"/>
    <w:rsid w:val="00D55A77"/>
    <w:rsid w:val="00D55BBC"/>
    <w:rsid w:val="00D57655"/>
    <w:rsid w:val="00D702CE"/>
    <w:rsid w:val="00D72071"/>
    <w:rsid w:val="00D7443B"/>
    <w:rsid w:val="00D75079"/>
    <w:rsid w:val="00D757B7"/>
    <w:rsid w:val="00D77866"/>
    <w:rsid w:val="00D8154D"/>
    <w:rsid w:val="00D82612"/>
    <w:rsid w:val="00D828E0"/>
    <w:rsid w:val="00D85AB9"/>
    <w:rsid w:val="00D85E66"/>
    <w:rsid w:val="00D8679D"/>
    <w:rsid w:val="00D8723D"/>
    <w:rsid w:val="00D9590F"/>
    <w:rsid w:val="00DA0B8C"/>
    <w:rsid w:val="00DA0CEC"/>
    <w:rsid w:val="00DA0DDC"/>
    <w:rsid w:val="00DA1420"/>
    <w:rsid w:val="00DA1B9E"/>
    <w:rsid w:val="00DA22AC"/>
    <w:rsid w:val="00DA3021"/>
    <w:rsid w:val="00DA416E"/>
    <w:rsid w:val="00DA4F8A"/>
    <w:rsid w:val="00DA5D7C"/>
    <w:rsid w:val="00DA644E"/>
    <w:rsid w:val="00DA7A11"/>
    <w:rsid w:val="00DA7BF8"/>
    <w:rsid w:val="00DB0D5F"/>
    <w:rsid w:val="00DB1861"/>
    <w:rsid w:val="00DB3B9F"/>
    <w:rsid w:val="00DB4498"/>
    <w:rsid w:val="00DB6091"/>
    <w:rsid w:val="00DC1AD2"/>
    <w:rsid w:val="00DC472A"/>
    <w:rsid w:val="00DC64BA"/>
    <w:rsid w:val="00DC6897"/>
    <w:rsid w:val="00DC73D3"/>
    <w:rsid w:val="00DD1259"/>
    <w:rsid w:val="00DD169F"/>
    <w:rsid w:val="00DD3B9A"/>
    <w:rsid w:val="00DE12F2"/>
    <w:rsid w:val="00DE1BB9"/>
    <w:rsid w:val="00DE2675"/>
    <w:rsid w:val="00DE40F6"/>
    <w:rsid w:val="00DE52C7"/>
    <w:rsid w:val="00DE7114"/>
    <w:rsid w:val="00DE71DC"/>
    <w:rsid w:val="00DE76A3"/>
    <w:rsid w:val="00DF1C9F"/>
    <w:rsid w:val="00DF3734"/>
    <w:rsid w:val="00DF3AA1"/>
    <w:rsid w:val="00DF3FEC"/>
    <w:rsid w:val="00DF46A0"/>
    <w:rsid w:val="00DF7736"/>
    <w:rsid w:val="00E028B8"/>
    <w:rsid w:val="00E03985"/>
    <w:rsid w:val="00E03C15"/>
    <w:rsid w:val="00E06291"/>
    <w:rsid w:val="00E1022E"/>
    <w:rsid w:val="00E12E7F"/>
    <w:rsid w:val="00E157E8"/>
    <w:rsid w:val="00E1591F"/>
    <w:rsid w:val="00E200C4"/>
    <w:rsid w:val="00E205CA"/>
    <w:rsid w:val="00E21B2F"/>
    <w:rsid w:val="00E23294"/>
    <w:rsid w:val="00E236E6"/>
    <w:rsid w:val="00E248F8"/>
    <w:rsid w:val="00E25A8A"/>
    <w:rsid w:val="00E26DD1"/>
    <w:rsid w:val="00E27045"/>
    <w:rsid w:val="00E27A53"/>
    <w:rsid w:val="00E30B75"/>
    <w:rsid w:val="00E31C26"/>
    <w:rsid w:val="00E3405C"/>
    <w:rsid w:val="00E35011"/>
    <w:rsid w:val="00E4057F"/>
    <w:rsid w:val="00E40607"/>
    <w:rsid w:val="00E43606"/>
    <w:rsid w:val="00E437EA"/>
    <w:rsid w:val="00E455DB"/>
    <w:rsid w:val="00E46419"/>
    <w:rsid w:val="00E472ED"/>
    <w:rsid w:val="00E4732A"/>
    <w:rsid w:val="00E474EC"/>
    <w:rsid w:val="00E506A0"/>
    <w:rsid w:val="00E5101E"/>
    <w:rsid w:val="00E51B59"/>
    <w:rsid w:val="00E52715"/>
    <w:rsid w:val="00E531B0"/>
    <w:rsid w:val="00E547AC"/>
    <w:rsid w:val="00E54974"/>
    <w:rsid w:val="00E557A0"/>
    <w:rsid w:val="00E57A8C"/>
    <w:rsid w:val="00E60173"/>
    <w:rsid w:val="00E628FB"/>
    <w:rsid w:val="00E62CDE"/>
    <w:rsid w:val="00E6311A"/>
    <w:rsid w:val="00E66F0D"/>
    <w:rsid w:val="00E71225"/>
    <w:rsid w:val="00E712B8"/>
    <w:rsid w:val="00E72355"/>
    <w:rsid w:val="00E7242B"/>
    <w:rsid w:val="00E724E3"/>
    <w:rsid w:val="00E72FDA"/>
    <w:rsid w:val="00E73120"/>
    <w:rsid w:val="00E75F18"/>
    <w:rsid w:val="00E801E6"/>
    <w:rsid w:val="00E812C0"/>
    <w:rsid w:val="00E8193F"/>
    <w:rsid w:val="00E81F5D"/>
    <w:rsid w:val="00E82BE8"/>
    <w:rsid w:val="00E83B33"/>
    <w:rsid w:val="00E841EE"/>
    <w:rsid w:val="00E84E2E"/>
    <w:rsid w:val="00E877CC"/>
    <w:rsid w:val="00E905CF"/>
    <w:rsid w:val="00E91160"/>
    <w:rsid w:val="00E929DE"/>
    <w:rsid w:val="00E92A40"/>
    <w:rsid w:val="00E92CFD"/>
    <w:rsid w:val="00E94120"/>
    <w:rsid w:val="00E948D7"/>
    <w:rsid w:val="00E95288"/>
    <w:rsid w:val="00E97490"/>
    <w:rsid w:val="00EA11E9"/>
    <w:rsid w:val="00EA3A89"/>
    <w:rsid w:val="00EA430F"/>
    <w:rsid w:val="00EA54CF"/>
    <w:rsid w:val="00EA6783"/>
    <w:rsid w:val="00EB36DF"/>
    <w:rsid w:val="00EB3F95"/>
    <w:rsid w:val="00EB44CD"/>
    <w:rsid w:val="00EB4855"/>
    <w:rsid w:val="00EB4C92"/>
    <w:rsid w:val="00EB775D"/>
    <w:rsid w:val="00EC09F5"/>
    <w:rsid w:val="00EC0A78"/>
    <w:rsid w:val="00EC1639"/>
    <w:rsid w:val="00EC18D5"/>
    <w:rsid w:val="00EC2C06"/>
    <w:rsid w:val="00EC2C22"/>
    <w:rsid w:val="00EC32EC"/>
    <w:rsid w:val="00EC4409"/>
    <w:rsid w:val="00EC7679"/>
    <w:rsid w:val="00ED0542"/>
    <w:rsid w:val="00ED1F1C"/>
    <w:rsid w:val="00ED2FAC"/>
    <w:rsid w:val="00ED300F"/>
    <w:rsid w:val="00ED3562"/>
    <w:rsid w:val="00ED3954"/>
    <w:rsid w:val="00ED3979"/>
    <w:rsid w:val="00ED3F66"/>
    <w:rsid w:val="00ED7027"/>
    <w:rsid w:val="00EE1B5B"/>
    <w:rsid w:val="00EE232F"/>
    <w:rsid w:val="00EE25C4"/>
    <w:rsid w:val="00EE4DB9"/>
    <w:rsid w:val="00EE6788"/>
    <w:rsid w:val="00EF059B"/>
    <w:rsid w:val="00EF0CFE"/>
    <w:rsid w:val="00EF34C9"/>
    <w:rsid w:val="00EF5318"/>
    <w:rsid w:val="00F00542"/>
    <w:rsid w:val="00F01670"/>
    <w:rsid w:val="00F01D09"/>
    <w:rsid w:val="00F028D6"/>
    <w:rsid w:val="00F03050"/>
    <w:rsid w:val="00F03208"/>
    <w:rsid w:val="00F0558D"/>
    <w:rsid w:val="00F056D0"/>
    <w:rsid w:val="00F06B22"/>
    <w:rsid w:val="00F111D2"/>
    <w:rsid w:val="00F121F2"/>
    <w:rsid w:val="00F13162"/>
    <w:rsid w:val="00F1389E"/>
    <w:rsid w:val="00F1406C"/>
    <w:rsid w:val="00F1510B"/>
    <w:rsid w:val="00F2007A"/>
    <w:rsid w:val="00F2056F"/>
    <w:rsid w:val="00F20651"/>
    <w:rsid w:val="00F21BAE"/>
    <w:rsid w:val="00F24BFB"/>
    <w:rsid w:val="00F25ED4"/>
    <w:rsid w:val="00F27378"/>
    <w:rsid w:val="00F27C69"/>
    <w:rsid w:val="00F30124"/>
    <w:rsid w:val="00F31EBA"/>
    <w:rsid w:val="00F327D1"/>
    <w:rsid w:val="00F3454D"/>
    <w:rsid w:val="00F34738"/>
    <w:rsid w:val="00F3507A"/>
    <w:rsid w:val="00F35571"/>
    <w:rsid w:val="00F367BB"/>
    <w:rsid w:val="00F4012E"/>
    <w:rsid w:val="00F4036D"/>
    <w:rsid w:val="00F40B9A"/>
    <w:rsid w:val="00F41369"/>
    <w:rsid w:val="00F42E0D"/>
    <w:rsid w:val="00F45421"/>
    <w:rsid w:val="00F454A9"/>
    <w:rsid w:val="00F45CF7"/>
    <w:rsid w:val="00F46B47"/>
    <w:rsid w:val="00F512E3"/>
    <w:rsid w:val="00F519E3"/>
    <w:rsid w:val="00F52AEE"/>
    <w:rsid w:val="00F52F4B"/>
    <w:rsid w:val="00F53DA0"/>
    <w:rsid w:val="00F53F93"/>
    <w:rsid w:val="00F54B1B"/>
    <w:rsid w:val="00F57177"/>
    <w:rsid w:val="00F57512"/>
    <w:rsid w:val="00F61B0D"/>
    <w:rsid w:val="00F622A3"/>
    <w:rsid w:val="00F63348"/>
    <w:rsid w:val="00F635AA"/>
    <w:rsid w:val="00F64373"/>
    <w:rsid w:val="00F647DB"/>
    <w:rsid w:val="00F64EF0"/>
    <w:rsid w:val="00F72EB0"/>
    <w:rsid w:val="00F7347F"/>
    <w:rsid w:val="00F7374F"/>
    <w:rsid w:val="00F73AFC"/>
    <w:rsid w:val="00F73BD0"/>
    <w:rsid w:val="00F74C3B"/>
    <w:rsid w:val="00F769D6"/>
    <w:rsid w:val="00F77EBB"/>
    <w:rsid w:val="00F83A37"/>
    <w:rsid w:val="00F849FB"/>
    <w:rsid w:val="00F857B7"/>
    <w:rsid w:val="00F85D17"/>
    <w:rsid w:val="00F85FBE"/>
    <w:rsid w:val="00F86912"/>
    <w:rsid w:val="00F87EEA"/>
    <w:rsid w:val="00F911F7"/>
    <w:rsid w:val="00F92135"/>
    <w:rsid w:val="00F9293E"/>
    <w:rsid w:val="00F92B0D"/>
    <w:rsid w:val="00F938C1"/>
    <w:rsid w:val="00F97718"/>
    <w:rsid w:val="00FA1C6E"/>
    <w:rsid w:val="00FA232C"/>
    <w:rsid w:val="00FA2F95"/>
    <w:rsid w:val="00FA3391"/>
    <w:rsid w:val="00FA38C0"/>
    <w:rsid w:val="00FA3BD2"/>
    <w:rsid w:val="00FA438E"/>
    <w:rsid w:val="00FA6113"/>
    <w:rsid w:val="00FA7DBA"/>
    <w:rsid w:val="00FB0E42"/>
    <w:rsid w:val="00FB200F"/>
    <w:rsid w:val="00FB205E"/>
    <w:rsid w:val="00FB20A0"/>
    <w:rsid w:val="00FB47FF"/>
    <w:rsid w:val="00FB5D62"/>
    <w:rsid w:val="00FB5F76"/>
    <w:rsid w:val="00FB69D2"/>
    <w:rsid w:val="00FC28B9"/>
    <w:rsid w:val="00FC2F18"/>
    <w:rsid w:val="00FC5510"/>
    <w:rsid w:val="00FC6186"/>
    <w:rsid w:val="00FC6204"/>
    <w:rsid w:val="00FC6D4B"/>
    <w:rsid w:val="00FD0696"/>
    <w:rsid w:val="00FD1850"/>
    <w:rsid w:val="00FD3A90"/>
    <w:rsid w:val="00FD6072"/>
    <w:rsid w:val="00FD6779"/>
    <w:rsid w:val="00FD6B64"/>
    <w:rsid w:val="00FD75D2"/>
    <w:rsid w:val="00FE0A1A"/>
    <w:rsid w:val="00FE0F9A"/>
    <w:rsid w:val="00FE291C"/>
    <w:rsid w:val="00FE2DC3"/>
    <w:rsid w:val="00FE2E59"/>
    <w:rsid w:val="00FE3918"/>
    <w:rsid w:val="00FE4F82"/>
    <w:rsid w:val="00FE5061"/>
    <w:rsid w:val="00FF1099"/>
    <w:rsid w:val="00FF31A0"/>
    <w:rsid w:val="00FF3C4A"/>
    <w:rsid w:val="00FF45BC"/>
    <w:rsid w:val="00FF66D4"/>
    <w:rsid w:val="00FF6BBA"/>
    <w:rsid w:val="00FF7341"/>
    <w:rsid w:val="00FF7A6E"/>
    <w:rsid w:val="00FF7FEA"/>
    <w:rsid w:val="01A10C3E"/>
    <w:rsid w:val="0D554552"/>
    <w:rsid w:val="10EA5FFE"/>
    <w:rsid w:val="39E56947"/>
    <w:rsid w:val="3E480482"/>
    <w:rsid w:val="485F2568"/>
    <w:rsid w:val="48D549D7"/>
    <w:rsid w:val="52E46006"/>
    <w:rsid w:val="578E26DA"/>
    <w:rsid w:val="69021FA8"/>
    <w:rsid w:val="6A810049"/>
    <w:rsid w:val="6B78442D"/>
    <w:rsid w:val="70BC1CF2"/>
    <w:rsid w:val="7E247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5"/>
    <w:semiHidden/>
    <w:unhideWhenUsed/>
    <w:qFormat/>
    <w:uiPriority w:val="99"/>
    <w:pPr>
      <w:jc w:val="left"/>
    </w:pPr>
  </w:style>
  <w:style w:type="paragraph" w:styleId="3">
    <w:name w:val="Body Text Indent"/>
    <w:basedOn w:val="1"/>
    <w:link w:val="24"/>
    <w:unhideWhenUsed/>
    <w:qFormat/>
    <w:uiPriority w:val="99"/>
    <w:pPr>
      <w:spacing w:line="360" w:lineRule="auto"/>
      <w:ind w:firstLine="640" w:firstLineChars="200"/>
      <w:jc w:val="left"/>
    </w:pPr>
    <w:rPr>
      <w:rFonts w:ascii="仿宋_GB2312" w:hAnsi="楷体" w:eastAsia="仿宋_GB2312"/>
      <w:sz w:val="32"/>
      <w:szCs w:val="32"/>
    </w:rPr>
  </w:style>
  <w:style w:type="paragraph" w:styleId="4">
    <w:name w:val="Body Text Indent 2"/>
    <w:basedOn w:val="1"/>
    <w:link w:val="27"/>
    <w:unhideWhenUsed/>
    <w:uiPriority w:val="99"/>
    <w:pPr>
      <w:spacing w:line="360" w:lineRule="auto"/>
      <w:ind w:firstLine="640" w:firstLineChars="200"/>
    </w:pPr>
    <w:rPr>
      <w:rFonts w:ascii="仿宋_GB2312" w:hAnsi="楷体" w:eastAsia="仿宋_GB2312" w:cs="Times New Roman"/>
      <w:kern w:val="0"/>
      <w:sz w:val="32"/>
      <w:szCs w:val="32"/>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link w:val="22"/>
    <w:unhideWhenUsed/>
    <w:qFormat/>
    <w:uiPriority w:val="99"/>
    <w:pPr>
      <w:spacing w:before="156" w:beforeLines="50" w:after="156" w:afterLines="50" w:line="360" w:lineRule="auto"/>
    </w:pPr>
    <w:rPr>
      <w:rFonts w:ascii="楷体" w:hAnsi="楷体" w:eastAsia="楷体"/>
      <w:sz w:val="32"/>
      <w:szCs w:val="32"/>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2"/>
    <w:next w:val="2"/>
    <w:link w:val="26"/>
    <w:semiHidden/>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basedOn w:val="13"/>
    <w:semiHidden/>
    <w:unhideWhenUsed/>
    <w:qFormat/>
    <w:uiPriority w:val="99"/>
    <w:rPr>
      <w:sz w:val="21"/>
      <w:szCs w:val="21"/>
    </w:rPr>
  </w:style>
  <w:style w:type="character" w:customStyle="1" w:styleId="15">
    <w:name w:val="页眉 Char"/>
    <w:basedOn w:val="13"/>
    <w:link w:val="7"/>
    <w:qFormat/>
    <w:uiPriority w:val="99"/>
    <w:rPr>
      <w:sz w:val="18"/>
      <w:szCs w:val="18"/>
    </w:rPr>
  </w:style>
  <w:style w:type="character" w:customStyle="1" w:styleId="16">
    <w:name w:val="页脚 Char"/>
    <w:basedOn w:val="13"/>
    <w:link w:val="6"/>
    <w:qFormat/>
    <w:uiPriority w:val="99"/>
    <w:rPr>
      <w:sz w:val="18"/>
      <w:szCs w:val="18"/>
    </w:rPr>
  </w:style>
  <w:style w:type="paragraph" w:styleId="17">
    <w:name w:val="List Paragraph"/>
    <w:basedOn w:val="1"/>
    <w:qFormat/>
    <w:uiPriority w:val="34"/>
    <w:pPr>
      <w:ind w:firstLine="420" w:firstLineChars="200"/>
    </w:pPr>
  </w:style>
  <w:style w:type="paragraph" w:customStyle="1" w:styleId="18">
    <w:name w:val="段"/>
    <w:link w:val="1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9">
    <w:name w:val="段 Char"/>
    <w:link w:val="18"/>
    <w:qFormat/>
    <w:uiPriority w:val="0"/>
    <w:rPr>
      <w:rFonts w:ascii="宋体" w:hAnsi="Times New Roman" w:eastAsia="宋体" w:cs="Times New Roman"/>
      <w:kern w:val="0"/>
      <w:szCs w:val="20"/>
    </w:rPr>
  </w:style>
  <w:style w:type="character" w:customStyle="1" w:styleId="20">
    <w:name w:val="批注框文本 Char"/>
    <w:basedOn w:val="13"/>
    <w:link w:val="5"/>
    <w:semiHidden/>
    <w:qFormat/>
    <w:uiPriority w:val="99"/>
    <w:rPr>
      <w:sz w:val="18"/>
      <w:szCs w:val="18"/>
    </w:rPr>
  </w:style>
  <w:style w:type="character" w:styleId="21">
    <w:name w:val="Placeholder Text"/>
    <w:basedOn w:val="13"/>
    <w:semiHidden/>
    <w:qFormat/>
    <w:uiPriority w:val="99"/>
    <w:rPr>
      <w:color w:val="808080"/>
    </w:rPr>
  </w:style>
  <w:style w:type="character" w:customStyle="1" w:styleId="22">
    <w:name w:val="正文文本 2 Char"/>
    <w:basedOn w:val="13"/>
    <w:link w:val="8"/>
    <w:qFormat/>
    <w:uiPriority w:val="99"/>
    <w:rPr>
      <w:rFonts w:ascii="楷体" w:hAnsi="楷体" w:eastAsia="楷体"/>
      <w:kern w:val="2"/>
      <w:sz w:val="32"/>
      <w:szCs w:val="32"/>
    </w:rPr>
  </w:style>
  <w:style w:type="paragraph" w:customStyle="1" w:styleId="23">
    <w:name w:val="列出段落1"/>
    <w:basedOn w:val="1"/>
    <w:qFormat/>
    <w:uiPriority w:val="34"/>
    <w:pPr>
      <w:ind w:firstLine="420" w:firstLineChars="200"/>
    </w:pPr>
    <w:rPr>
      <w:rFonts w:ascii="Calibri" w:hAnsi="Calibri" w:eastAsia="宋体" w:cs="Times New Roman"/>
    </w:rPr>
  </w:style>
  <w:style w:type="character" w:customStyle="1" w:styleId="24">
    <w:name w:val="正文文本缩进 Char"/>
    <w:basedOn w:val="13"/>
    <w:link w:val="3"/>
    <w:qFormat/>
    <w:uiPriority w:val="99"/>
    <w:rPr>
      <w:rFonts w:ascii="仿宋_GB2312" w:hAnsi="楷体" w:eastAsia="仿宋_GB2312"/>
      <w:kern w:val="2"/>
      <w:sz w:val="32"/>
      <w:szCs w:val="32"/>
    </w:rPr>
  </w:style>
  <w:style w:type="character" w:customStyle="1" w:styleId="25">
    <w:name w:val="批注文字 Char"/>
    <w:basedOn w:val="13"/>
    <w:link w:val="2"/>
    <w:semiHidden/>
    <w:qFormat/>
    <w:uiPriority w:val="99"/>
    <w:rPr>
      <w:kern w:val="2"/>
      <w:sz w:val="21"/>
      <w:szCs w:val="22"/>
    </w:rPr>
  </w:style>
  <w:style w:type="character" w:customStyle="1" w:styleId="26">
    <w:name w:val="批注主题 Char"/>
    <w:basedOn w:val="25"/>
    <w:link w:val="10"/>
    <w:semiHidden/>
    <w:qFormat/>
    <w:uiPriority w:val="99"/>
    <w:rPr>
      <w:b/>
      <w:bCs/>
      <w:kern w:val="2"/>
      <w:sz w:val="21"/>
      <w:szCs w:val="22"/>
    </w:rPr>
  </w:style>
  <w:style w:type="character" w:customStyle="1" w:styleId="27">
    <w:name w:val="正文文本缩进 2 Char"/>
    <w:basedOn w:val="13"/>
    <w:link w:val="4"/>
    <w:uiPriority w:val="99"/>
    <w:rPr>
      <w:rFonts w:ascii="仿宋_GB2312" w:hAnsi="楷体" w:eastAsia="仿宋_GB2312" w:cs="Times New Roman"/>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长沙市标准化协会</Company>
  <Pages>7</Pages>
  <Words>1359</Words>
  <Characters>1686</Characters>
  <Lines>105</Lines>
  <Paragraphs>152</Paragraphs>
  <TotalTime>142</TotalTime>
  <ScaleCrop>false</ScaleCrop>
  <LinksUpToDate>false</LinksUpToDate>
  <CharactersWithSpaces>2893</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2022-06-09T01:55:00Z</dcterms:created>
  <dc:creator>H310</dc:creator>
  <cp:lastModifiedBy>邹思敏</cp:lastModifiedBy>
  <dcterms:modified xsi:type="dcterms:W3CDTF">2023-11-16T04:38:46Z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6876EBC34653431AB1CED2A67676C109</vt:lpwstr>
  </property>
</Properties>
</file>