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highlight w:val="none"/>
              </w:rPr>
            </w:pPr>
            <w:bookmarkStart w:id="103" w:name="_GoBack"/>
            <w:r>
              <w:rPr>
                <w:rFonts w:ascii="Times New Roman" w:hAnsi="Times New Roman" w:eastAsia="黑体"/>
                <w:sz w:val="21"/>
                <w:szCs w:val="21"/>
                <w:highlight w:val="none"/>
              </w:rPr>
              <w:t>ICS</w:t>
            </w:r>
            <w:r>
              <w:rPr>
                <w:rFonts w:ascii="黑体" w:hAnsi="黑体" w:eastAsia="黑体"/>
                <w:sz w:val="21"/>
                <w:szCs w:val="21"/>
                <w:highlight w:val="none"/>
              </w:rPr>
              <w:t xml:space="preserve">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highlight w:val="none"/>
              </w:rPr>
            </w:pPr>
            <w:r>
              <w:rPr>
                <w:rFonts w:ascii="黑体" w:hAnsi="黑体" w:eastAsia="黑体"/>
                <w:sz w:val="21"/>
                <w:szCs w:val="21"/>
                <w:highlight w:val="none"/>
              </w:rPr>
              <w:fldChar w:fldCharType="begin">
                <w:ffData>
                  <w:name w:val="ICS"/>
                  <w:enabled/>
                  <w:calcOnExit w:val="0"/>
                  <w:textInput>
                    <w:default w:val="点击此处添加ICS号"/>
                  </w:textInput>
                </w:ffData>
              </w:fldChar>
            </w:r>
            <w:bookmarkStart w:id="0" w:name="ICS"/>
            <w:r>
              <w:rPr>
                <w:rFonts w:ascii="黑体" w:hAnsi="黑体" w:eastAsia="黑体"/>
                <w:sz w:val="21"/>
                <w:szCs w:val="21"/>
                <w:highlight w:val="none"/>
              </w:rPr>
              <w:instrText xml:space="preserve"> FORMTEXT </w:instrText>
            </w:r>
            <w:r>
              <w:rPr>
                <w:rFonts w:ascii="黑体" w:hAnsi="黑体" w:eastAsia="黑体"/>
                <w:sz w:val="21"/>
                <w:szCs w:val="21"/>
                <w:highlight w:val="none"/>
              </w:rPr>
              <w:fldChar w:fldCharType="separate"/>
            </w:r>
            <w:r>
              <w:rPr>
                <w:rFonts w:ascii="黑体" w:hAnsi="黑体" w:eastAsia="黑体"/>
                <w:sz w:val="21"/>
                <w:szCs w:val="21"/>
                <w:highlight w:val="none"/>
              </w:rPr>
              <w:t xml:space="preserve"> </w:t>
            </w:r>
            <w:r>
              <w:rPr>
                <w:rFonts w:ascii="黑体" w:hAnsi="黑体" w:eastAsia="黑体"/>
                <w:sz w:val="21"/>
                <w:szCs w:val="21"/>
                <w:highlight w:val="none"/>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ascii="Times New Roman" w:hAnsi="Times New Roman" w:eastAsia="黑体"/>
                <w:sz w:val="21"/>
                <w:szCs w:val="21"/>
                <w:highlight w:val="none"/>
              </w:rPr>
              <w:t xml:space="preserve">CCS </w:t>
            </w:r>
            <w:r>
              <w:rPr>
                <w:rFonts w:ascii="黑体" w:hAnsi="黑体" w:eastAsia="黑体"/>
                <w:sz w:val="21"/>
                <w:szCs w:val="21"/>
                <w:highlight w:val="none"/>
              </w:rPr>
              <w:t xml:space="preserve">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highlight w:val="none"/>
              </w:rPr>
            </w:pPr>
            <w:r>
              <w:rPr>
                <w:rFonts w:ascii="黑体" w:hAnsi="黑体" w:eastAsia="黑体"/>
                <w:sz w:val="21"/>
                <w:szCs w:val="21"/>
                <w:highlight w:val="none"/>
              </w:rPr>
              <w:fldChar w:fldCharType="begin">
                <w:ffData>
                  <w:name w:val="CSDN"/>
                  <w:enabled/>
                  <w:calcOnExit w:val="0"/>
                  <w:textInput>
                    <w:default w:val="点击此处添加CCS号"/>
                  </w:textInput>
                </w:ffData>
              </w:fldChar>
            </w:r>
            <w:bookmarkStart w:id="1" w:name="CSDN"/>
            <w:r>
              <w:rPr>
                <w:rFonts w:ascii="黑体" w:hAnsi="黑体" w:eastAsia="黑体"/>
                <w:sz w:val="21"/>
                <w:szCs w:val="21"/>
                <w:highlight w:val="none"/>
              </w:rPr>
              <w:instrText xml:space="preserve"> FORMTEXT </w:instrText>
            </w:r>
            <w:r>
              <w:rPr>
                <w:rFonts w:ascii="黑体" w:hAnsi="黑体" w:eastAsia="黑体"/>
                <w:sz w:val="21"/>
                <w:szCs w:val="21"/>
                <w:highlight w:val="none"/>
              </w:rPr>
              <w:fldChar w:fldCharType="separate"/>
            </w:r>
            <w:r>
              <w:rPr>
                <w:rFonts w:ascii="黑体" w:hAnsi="黑体" w:eastAsia="黑体"/>
                <w:sz w:val="21"/>
                <w:szCs w:val="21"/>
                <w:highlight w:val="none"/>
              </w:rPr>
              <w:t>B01</w:t>
            </w:r>
            <w:r>
              <w:rPr>
                <w:rFonts w:ascii="黑体" w:hAnsi="黑体" w:eastAsia="黑体"/>
                <w:sz w:val="21"/>
                <w:szCs w:val="21"/>
                <w:highlight w:val="none"/>
              </w:rPr>
              <w:fldChar w:fldCharType="end"/>
            </w:r>
            <w:bookmarkEnd w:id="1"/>
          </w:p>
        </w:tc>
      </w:tr>
    </w:tbl>
    <w:tbl>
      <w:tblPr>
        <w:tblStyle w:val="29"/>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highlight w:val="none"/>
              </w:rPr>
            </w:pPr>
            <w:bookmarkStart w:id="2" w:name="_Hlk26473981"/>
            <w:r>
              <w:rPr>
                <w:highlight w:val="none"/>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highlight w:val="none"/>
              </w:rPr>
              <w:t xml:space="preserve"> </w:t>
            </w:r>
            <w:r>
              <w:rPr>
                <w:highlight w:val="none"/>
              </w:rPr>
              <w:fldChar w:fldCharType="begin">
                <w:ffData>
                  <w:name w:val="c1"/>
                  <w:enabled/>
                  <w:calcOnExit w:val="0"/>
                  <w:textInput>
                    <w:maxLength w:val="8"/>
                  </w:textInput>
                </w:ffData>
              </w:fldChar>
            </w:r>
            <w:bookmarkStart w:id="3" w:name="c1"/>
            <w:r>
              <w:rPr>
                <w:highlight w:val="none"/>
              </w:rPr>
              <w:instrText xml:space="preserve"> FORMTEXT </w:instrText>
            </w:r>
            <w:r>
              <w:rPr>
                <w:highlight w:val="none"/>
              </w:rPr>
              <w:fldChar w:fldCharType="separate"/>
            </w:r>
            <w:r>
              <w:rPr>
                <w:highlight w:val="none"/>
              </w:rPr>
              <w:t>43</w:t>
            </w:r>
            <w:r>
              <w:rPr>
                <w:highlight w:val="none"/>
              </w:rPr>
              <w:fldChar w:fldCharType="end"/>
            </w:r>
            <w:bookmarkEnd w:id="3"/>
          </w:p>
        </w:tc>
      </w:tr>
    </w:tbl>
    <w:p>
      <w:pPr>
        <w:pStyle w:val="52"/>
        <w:framePr w:w="9639" w:h="624" w:hRule="exact" w:hSpace="181" w:vSpace="181" w:wrap="around" w:hAnchor="page" w:x="1305" w:y="2269"/>
        <w:rPr>
          <w:rFonts w:ascii="黑体" w:hAnsi="黑体" w:eastAsia="黑体"/>
          <w:b w:val="0"/>
          <w:bCs w:val="0"/>
          <w:w w:val="100"/>
          <w:sz w:val="48"/>
          <w:szCs w:val="48"/>
          <w:highlight w:val="none"/>
        </w:rPr>
      </w:pPr>
      <w:r>
        <w:rPr>
          <w:rFonts w:ascii="黑体" w:eastAsia="黑体"/>
          <w:b w:val="0"/>
          <w:w w:val="100"/>
          <w:sz w:val="48"/>
          <w:highlight w:val="none"/>
        </w:rPr>
        <w:fldChar w:fldCharType="begin">
          <w:ffData>
            <w:name w:val="c2"/>
            <w:enabled/>
            <w:calcOnExit w:val="0"/>
            <w:textInput/>
          </w:ffData>
        </w:fldChar>
      </w:r>
      <w:bookmarkStart w:id="4" w:name="c2"/>
      <w:r>
        <w:rPr>
          <w:rFonts w:ascii="黑体" w:eastAsia="黑体"/>
          <w:b w:val="0"/>
          <w:w w:val="100"/>
          <w:sz w:val="48"/>
          <w:highlight w:val="none"/>
        </w:rPr>
        <w:instrText xml:space="preserve"> FORMTEXT </w:instrText>
      </w:r>
      <w:r>
        <w:rPr>
          <w:rFonts w:ascii="黑体" w:eastAsia="黑体"/>
          <w:b w:val="0"/>
          <w:w w:val="100"/>
          <w:sz w:val="48"/>
          <w:highlight w:val="none"/>
        </w:rPr>
        <w:fldChar w:fldCharType="separate"/>
      </w:r>
      <w:r>
        <w:rPr>
          <w:rFonts w:hint="eastAsia" w:ascii="黑体" w:eastAsia="黑体"/>
          <w:b w:val="0"/>
          <w:w w:val="100"/>
          <w:sz w:val="48"/>
          <w:highlight w:val="none"/>
        </w:rPr>
        <w:t>湖南省</w:t>
      </w:r>
      <w:r>
        <w:rPr>
          <w:rFonts w:ascii="黑体" w:eastAsia="黑体"/>
          <w:b w:val="0"/>
          <w:w w:val="100"/>
          <w:sz w:val="48"/>
          <w:highlight w:val="none"/>
        </w:rPr>
        <w:fldChar w:fldCharType="end"/>
      </w:r>
      <w:bookmarkEnd w:id="4"/>
      <w:r>
        <w:rPr>
          <w:rFonts w:hint="eastAsia" w:ascii="黑体" w:hAnsi="黑体" w:eastAsia="黑体"/>
          <w:b w:val="0"/>
          <w:bCs w:val="0"/>
          <w:w w:val="100"/>
          <w:sz w:val="48"/>
          <w:szCs w:val="48"/>
          <w:highlight w:val="none"/>
        </w:rPr>
        <w:t>地方标准</w:t>
      </w:r>
    </w:p>
    <w:bookmarkEnd w:id="2"/>
    <w:p>
      <w:pPr>
        <w:pStyle w:val="197"/>
        <w:rPr>
          <w:color w:val="FFFFFF" w:themeColor="background1"/>
          <w:highlight w:val="none"/>
          <w:lang w:val="fr-FR"/>
          <w14:textFill>
            <w14:solidFill>
              <w14:schemeClr w14:val="bg1"/>
            </w14:solidFill>
          </w14:textFill>
        </w:rPr>
      </w:pPr>
      <w:r>
        <w:rPr>
          <w:color w:val="FFFFFF" w:themeColor="background1"/>
          <w:highlight w:val="none"/>
          <w:lang w:val="fr-FR"/>
          <w14:textFill>
            <w14:solidFill>
              <w14:schemeClr w14:val="bg1"/>
            </w14:solidFill>
          </w14:textFill>
        </w:rPr>
        <w:t>DB</w:t>
      </w:r>
      <w:r>
        <w:rPr>
          <w:color w:val="FFFFFF" w:themeColor="background1"/>
          <w:sz w:val="15"/>
          <w:szCs w:val="15"/>
          <w:highlight w:val="none"/>
          <w:lang w:val="fr-FR"/>
          <w14:textFill>
            <w14:solidFill>
              <w14:schemeClr w14:val="bg1"/>
            </w14:solidFill>
          </w14:textFill>
        </w:rPr>
        <w:t xml:space="preserve"> </w:t>
      </w:r>
      <w:r>
        <w:rPr>
          <w:highlight w:val="none"/>
        </w:rPr>
        <w:fldChar w:fldCharType="begin">
          <w:ffData>
            <w:name w:val="文字1"/>
            <w:enabled/>
            <w:calcOnExit w:val="0"/>
            <w:textInput>
              <w:default w:val="XX/T"/>
            </w:textInput>
          </w:ffData>
        </w:fldChar>
      </w:r>
      <w:bookmarkStart w:id="5" w:name="文字1"/>
      <w:r>
        <w:rPr>
          <w:highlight w:val="none"/>
          <w:lang w:val="fr-FR"/>
        </w:rPr>
        <w:instrText xml:space="preserve"> FORMTEXT </w:instrText>
      </w:r>
      <w:r>
        <w:rPr>
          <w:highlight w:val="none"/>
        </w:rPr>
        <w:fldChar w:fldCharType="separate"/>
      </w:r>
      <w:r>
        <w:rPr>
          <w:highlight w:val="none"/>
          <w:lang w:val="fr-FR"/>
        </w:rPr>
        <w:t>43/T</w:t>
      </w:r>
      <w:r>
        <w:rPr>
          <w:highlight w:val="none"/>
        </w:rPr>
        <w:fldChar w:fldCharType="end"/>
      </w:r>
      <w:bookmarkEnd w:id="5"/>
      <w:r>
        <w:rPr>
          <w:highlight w:val="none"/>
          <w:lang w:val="fr-FR"/>
        </w:rPr>
        <w:t xml:space="preserve"> </w:t>
      </w:r>
      <w:r>
        <w:rPr>
          <w:highlight w:val="none"/>
        </w:rPr>
        <w:fldChar w:fldCharType="begin">
          <w:ffData>
            <w:name w:val="NSTD_CODE_F"/>
            <w:enabled/>
            <w:calcOnExit w:val="0"/>
            <w:textInput>
              <w:default w:val="XXXX"/>
            </w:textInput>
          </w:ffData>
        </w:fldChar>
      </w:r>
      <w:bookmarkStart w:id="6" w:name="NSTD_CODE_F"/>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6"/>
      <w:r>
        <w:rPr>
          <w:rFonts w:hAnsi="黑体"/>
          <w:highlight w:val="none"/>
          <w:lang w:val="fr-FR"/>
        </w:rPr>
        <w:t>—</w:t>
      </w:r>
      <w:r>
        <w:rPr>
          <w:highlight w:val="none"/>
        </w:rPr>
        <w:fldChar w:fldCharType="begin">
          <w:ffData>
            <w:name w:val="NSTD_CODE_B"/>
            <w:enabled/>
            <w:calcOnExit w:val="0"/>
            <w:textInput>
              <w:default w:val="XXXX"/>
            </w:textInput>
          </w:ffData>
        </w:fldChar>
      </w:r>
      <w:bookmarkStart w:id="7" w:name="NSTD_CODE_B"/>
      <w:r>
        <w:rPr>
          <w:highlight w:val="none"/>
          <w:lang w:val="fr-FR"/>
        </w:rPr>
        <w:instrText xml:space="preserve"> FORMTEXT </w:instrText>
      </w:r>
      <w:r>
        <w:rPr>
          <w:highlight w:val="none"/>
        </w:rPr>
        <w:fldChar w:fldCharType="separate"/>
      </w:r>
      <w:r>
        <w:rPr>
          <w:highlight w:val="none"/>
          <w:lang w:val="fr-FR"/>
        </w:rPr>
        <w:t>XXXX</w:t>
      </w:r>
      <w:r>
        <w:rPr>
          <w:highlight w:val="none"/>
        </w:rPr>
        <w:fldChar w:fldCharType="end"/>
      </w:r>
      <w:bookmarkEnd w:id="7"/>
    </w:p>
    <w:p>
      <w:pPr>
        <w:pStyle w:val="198"/>
        <w:rPr>
          <w:rFonts w:hAnsi="黑体"/>
          <w:highlight w:val="none"/>
        </w:rPr>
      </w:pPr>
      <w:r>
        <w:rPr>
          <w:rFonts w:hAnsi="黑体"/>
          <w:highlight w:val="none"/>
        </w:rPr>
        <w:fldChar w:fldCharType="begin">
          <w:ffData>
            <w:name w:val="OSTD_CODE"/>
            <w:enabled/>
            <w:calcOnExit w:val="0"/>
            <w:textInput/>
          </w:ffData>
        </w:fldChar>
      </w:r>
      <w:bookmarkStart w:id="8" w:name="OSTD_CODE"/>
      <w:r>
        <w:rPr>
          <w:rFonts w:hAnsi="黑体"/>
          <w:highlight w:val="none"/>
        </w:rPr>
        <w:instrText xml:space="preserve"> FORMTEXT </w:instrText>
      </w:r>
      <w:r>
        <w:rPr>
          <w:rFonts w:hAnsi="黑体"/>
          <w:highlight w:val="none"/>
        </w:rPr>
        <w:fldChar w:fldCharType="separate"/>
      </w:r>
      <w:r>
        <w:rPr>
          <w:rFonts w:hAnsi="黑体"/>
          <w:highlight w:val="none"/>
        </w:rPr>
        <w:t>     </w:t>
      </w:r>
      <w:r>
        <w:rPr>
          <w:rFonts w:hAnsi="黑体"/>
          <w:highlight w:val="none"/>
        </w:rPr>
        <w:fldChar w:fldCharType="end"/>
      </w:r>
      <w:bookmarkEnd w:id="8"/>
    </w:p>
    <w:p>
      <w:pPr>
        <w:spacing w:line="240" w:lineRule="auto"/>
        <w:rPr>
          <w:rFonts w:ascii="黑体" w:hAnsi="黑体" w:eastAsia="黑体"/>
          <w:kern w:val="0"/>
          <w:sz w:val="10"/>
          <w:szCs w:val="10"/>
          <w:highlight w:val="none"/>
        </w:rPr>
      </w:pPr>
      <w:r>
        <w:rPr>
          <w:rFonts w:ascii="黑体" w:hAnsi="黑体" w:eastAsia="黑体"/>
          <w:kern w:val="0"/>
          <w:sz w:val="10"/>
          <w:szCs w:val="10"/>
          <w:highlight w:val="none"/>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2"/>
        <w:framePr w:w="9639" w:h="6976" w:hRule="exact" w:hSpace="0" w:vSpace="0" w:wrap="around" w:hAnchor="page" w:y="6408"/>
        <w:jc w:val="center"/>
        <w:rPr>
          <w:rFonts w:ascii="黑体" w:hAnsi="黑体" w:eastAsia="黑体"/>
          <w:b w:val="0"/>
          <w:bCs w:val="0"/>
          <w:w w:val="100"/>
          <w:highlight w:val="none"/>
        </w:rPr>
      </w:pPr>
    </w:p>
    <w:p>
      <w:pPr>
        <w:pStyle w:val="199"/>
        <w:framePr w:h="6974" w:hRule="exact" w:wrap="around" w:x="1419" w:anchorLock="1"/>
        <w:rPr>
          <w:highlight w:val="none"/>
        </w:rPr>
      </w:pPr>
      <w:r>
        <w:rPr>
          <w:highlight w:val="none"/>
        </w:rPr>
        <w:fldChar w:fldCharType="begin">
          <w:ffData>
            <w:name w:val="CSTD_NAME"/>
            <w:enabled/>
            <w:calcOnExit w:val="0"/>
            <w:textInput>
              <w:default w:val="点击此处添加标准名称"/>
            </w:textInput>
          </w:ffData>
        </w:fldChar>
      </w:r>
      <w:bookmarkStart w:id="9" w:name="CSTD_NAME"/>
      <w:r>
        <w:rPr>
          <w:highlight w:val="none"/>
        </w:rPr>
        <w:instrText xml:space="preserve"> FORMTEXT </w:instrText>
      </w:r>
      <w:r>
        <w:rPr>
          <w:highlight w:val="none"/>
        </w:rPr>
        <w:fldChar w:fldCharType="separate"/>
      </w:r>
      <w:r>
        <w:rPr>
          <w:highlight w:val="none"/>
        </w:rPr>
        <w:t>不动产登记业务规范</w:t>
      </w:r>
      <w:r>
        <w:rPr>
          <w:highlight w:val="none"/>
        </w:rPr>
        <w:fldChar w:fldCharType="end"/>
      </w:r>
      <w:bookmarkEnd w:id="9"/>
    </w:p>
    <w:p>
      <w:pPr>
        <w:framePr w:w="9639" w:h="6974" w:hRule="exact" w:wrap="around" w:vAnchor="page" w:hAnchor="page" w:x="1419" w:y="6408" w:anchorLock="1"/>
        <w:ind w:left="-1418"/>
        <w:rPr>
          <w:highlight w:val="none"/>
        </w:rPr>
      </w:pPr>
    </w:p>
    <w:p>
      <w:pPr>
        <w:pStyle w:val="127"/>
        <w:framePr w:w="9639" w:h="6974" w:hRule="exact" w:wrap="around" w:vAnchor="page" w:hAnchor="page" w:x="1419" w:y="6408" w:anchorLock="1"/>
        <w:textAlignment w:val="bottom"/>
        <w:rPr>
          <w:rFonts w:eastAsia="黑体"/>
          <w:szCs w:val="28"/>
          <w:highlight w:val="none"/>
        </w:rPr>
      </w:pPr>
      <w:bookmarkStart w:id="10" w:name="ESTD_NAME"/>
      <w:r>
        <w:rPr>
          <w:rFonts w:ascii="Times New Roman" w:hAnsi="Times New Roman" w:eastAsia="黑体" w:cs="Times New Roman"/>
          <w:sz w:val="28"/>
          <w:szCs w:val="28"/>
          <w:highlight w:val="none"/>
          <w:lang w:val="en-US" w:eastAsia="zh-CN" w:bidi="ar-SA"/>
        </w:rPr>
        <w:fldChar w:fldCharType="begin">
          <w:ffData>
            <w:name w:val="ESTD_NAME"/>
            <w:enabled/>
            <w:calcOnExit w:val="0"/>
            <w:textInput>
              <w:default w:val="Specification for real estate registration business"/>
            </w:textInput>
          </w:ffData>
        </w:fldChar>
      </w:r>
      <w:r>
        <w:rPr>
          <w:rFonts w:ascii="Times New Roman" w:hAnsi="Times New Roman" w:eastAsia="黑体" w:cs="Times New Roman"/>
          <w:sz w:val="28"/>
          <w:szCs w:val="28"/>
          <w:highlight w:val="none"/>
          <w:lang w:val="en-US" w:eastAsia="zh-CN" w:bidi="ar-SA"/>
        </w:rPr>
        <w:instrText xml:space="preserve">FORMTEXT</w:instrText>
      </w:r>
      <w:r>
        <w:rPr>
          <w:rFonts w:ascii="Times New Roman" w:hAnsi="Times New Roman" w:eastAsia="黑体" w:cs="Times New Roman"/>
          <w:sz w:val="28"/>
          <w:szCs w:val="28"/>
          <w:highlight w:val="none"/>
          <w:lang w:val="en-US" w:eastAsia="zh-CN" w:bidi="ar-SA"/>
        </w:rPr>
        <w:fldChar w:fldCharType="separate"/>
      </w:r>
      <w:r>
        <w:rPr>
          <w:rFonts w:ascii="Times New Roman" w:hAnsi="Times New Roman" w:eastAsia="黑体" w:cs="Times New Roman"/>
          <w:sz w:val="28"/>
          <w:szCs w:val="28"/>
          <w:highlight w:val="none"/>
          <w:lang w:val="en-US" w:eastAsia="zh-CN" w:bidi="ar-SA"/>
        </w:rPr>
        <w:t>Specification for real estate registration business</w:t>
      </w:r>
      <w:r>
        <w:rPr>
          <w:rFonts w:ascii="Times New Roman" w:hAnsi="Times New Roman" w:eastAsia="黑体" w:cs="Times New Roman"/>
          <w:sz w:val="28"/>
          <w:szCs w:val="28"/>
          <w:highlight w:val="none"/>
          <w:lang w:val="en-US" w:eastAsia="zh-CN" w:bidi="ar-SA"/>
        </w:rPr>
        <w:fldChar w:fldCharType="end"/>
      </w:r>
      <w:bookmarkEnd w:id="10"/>
    </w:p>
    <w:p>
      <w:pPr>
        <w:framePr w:w="9639" w:h="6974" w:hRule="exact" w:wrap="around" w:vAnchor="page" w:hAnchor="page" w:x="1419" w:y="6408" w:anchorLock="1"/>
        <w:spacing w:line="760" w:lineRule="exact"/>
        <w:ind w:left="-1418"/>
        <w:rPr>
          <w:highlight w:val="none"/>
        </w:rPr>
      </w:pPr>
    </w:p>
    <w:p>
      <w:pPr>
        <w:pStyle w:val="127"/>
        <w:framePr w:w="9639" w:h="6974" w:hRule="exact" w:wrap="around" w:vAnchor="page" w:hAnchor="page" w:x="1419" w:y="6408" w:anchorLock="1"/>
        <w:textAlignment w:val="bottom"/>
        <w:rPr>
          <w:rFonts w:eastAsia="黑体"/>
          <w:szCs w:val="28"/>
          <w:highlight w:val="none"/>
        </w:rPr>
      </w:pPr>
    </w:p>
    <w:p>
      <w:pPr>
        <w:pStyle w:val="127"/>
        <w:framePr w:w="9639" w:h="6974" w:hRule="exact" w:wrap="around" w:vAnchor="page" w:hAnchor="page" w:x="1419" w:y="6408" w:anchorLock="1"/>
        <w:spacing w:before="440" w:after="160"/>
        <w:textAlignment w:val="bottom"/>
        <w:rPr>
          <w:sz w:val="24"/>
          <w:szCs w:val="28"/>
          <w:highlight w:val="none"/>
        </w:rPr>
      </w:pPr>
      <w:r>
        <w:rPr>
          <w:sz w:val="24"/>
          <w:szCs w:val="28"/>
          <w:highlight w:val="none"/>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highlight w:val="none"/>
        </w:rPr>
        <w:instrText xml:space="preserve"> FORMDROPDOWN </w:instrText>
      </w:r>
      <w:r>
        <w:rPr>
          <w:sz w:val="24"/>
          <w:szCs w:val="28"/>
          <w:highlight w:val="none"/>
        </w:rPr>
        <w:fldChar w:fldCharType="separate"/>
      </w:r>
      <w:r>
        <w:rPr>
          <w:sz w:val="24"/>
          <w:szCs w:val="28"/>
          <w:highlight w:val="none"/>
        </w:rPr>
        <w:fldChar w:fldCharType="end"/>
      </w:r>
      <w:bookmarkEnd w:id="11"/>
    </w:p>
    <w:p>
      <w:pPr>
        <w:pStyle w:val="127"/>
        <w:framePr w:w="9639" w:h="6974" w:hRule="exact" w:wrap="around" w:vAnchor="page" w:hAnchor="page" w:x="1419" w:y="6408" w:anchorLock="1"/>
        <w:spacing w:before="180" w:line="240" w:lineRule="atLeast"/>
        <w:textAlignment w:val="bottom"/>
        <w:rPr>
          <w:sz w:val="21"/>
          <w:szCs w:val="28"/>
          <w:highlight w:val="none"/>
        </w:rPr>
      </w:pPr>
      <w:r>
        <w:rPr>
          <w:sz w:val="21"/>
          <w:szCs w:val="28"/>
          <w:highlight w:val="none"/>
        </w:rPr>
        <w:fldChar w:fldCharType="begin">
          <w:ffData>
            <w:name w:val="CMPLSH_DATE"/>
            <w:enabled/>
            <w:calcOnExit w:val="0"/>
            <w:textInput/>
          </w:ffData>
        </w:fldChar>
      </w:r>
      <w:bookmarkStart w:id="12" w:name="CMPLSH_DATE"/>
      <w:r>
        <w:rPr>
          <w:sz w:val="21"/>
          <w:szCs w:val="28"/>
          <w:highlight w:val="none"/>
        </w:rPr>
        <w:instrText xml:space="preserve"> FORMTEXT </w:instrText>
      </w:r>
      <w:r>
        <w:rPr>
          <w:sz w:val="21"/>
          <w:szCs w:val="28"/>
          <w:highlight w:val="none"/>
        </w:rPr>
        <w:fldChar w:fldCharType="separate"/>
      </w:r>
      <w:r>
        <w:rPr>
          <w:sz w:val="21"/>
          <w:szCs w:val="28"/>
          <w:highlight w:val="none"/>
        </w:rPr>
        <w:t>     </w:t>
      </w:r>
      <w:r>
        <w:rPr>
          <w:sz w:val="21"/>
          <w:szCs w:val="28"/>
          <w:highlight w:val="none"/>
        </w:rPr>
        <w:fldChar w:fldCharType="end"/>
      </w:r>
      <w:bookmarkEnd w:id="12"/>
    </w:p>
    <w:p>
      <w:pPr>
        <w:pStyle w:val="127"/>
        <w:framePr w:w="9639" w:h="6974" w:hRule="exact" w:wrap="around" w:vAnchor="page" w:hAnchor="page" w:x="1419" w:y="6408" w:anchorLock="1"/>
        <w:spacing w:before="720" w:beforeLines="300" w:after="72" w:afterLines="30" w:line="240" w:lineRule="auto"/>
        <w:textAlignment w:val="bottom"/>
        <w:rPr>
          <w:b/>
          <w:sz w:val="21"/>
          <w:szCs w:val="28"/>
          <w:highlight w:val="none"/>
        </w:rPr>
      </w:pPr>
      <w:r>
        <w:rPr>
          <w:b/>
          <w:sz w:val="21"/>
          <w:szCs w:val="28"/>
          <w:highlight w:val="none"/>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highlight w:val="none"/>
        </w:rPr>
        <w:instrText xml:space="preserve"> FORMDROPDOWN </w:instrText>
      </w:r>
      <w:r>
        <w:rPr>
          <w:b/>
          <w:sz w:val="21"/>
          <w:szCs w:val="28"/>
          <w:highlight w:val="none"/>
        </w:rPr>
        <w:fldChar w:fldCharType="separate"/>
      </w:r>
      <w:r>
        <w:rPr>
          <w:b/>
          <w:sz w:val="21"/>
          <w:szCs w:val="28"/>
          <w:highlight w:val="none"/>
        </w:rPr>
        <w:fldChar w:fldCharType="end"/>
      </w:r>
      <w:bookmarkEnd w:id="13"/>
    </w:p>
    <w:p>
      <w:pPr>
        <w:pStyle w:val="195"/>
        <w:framePr w:wrap="around" w:y="14176"/>
        <w:rPr>
          <w:highlight w:val="none"/>
        </w:rPr>
      </w:pPr>
      <w:r>
        <w:rPr>
          <w:rFonts w:ascii="黑体"/>
          <w:highlight w:val="none"/>
        </w:rPr>
        <w:fldChar w:fldCharType="begin">
          <w:ffData>
            <w:name w:val="PLSH_DATE_Y"/>
            <w:enabled/>
            <w:calcOnExit w:val="0"/>
            <w:textInput>
              <w:default w:val="XXXX"/>
              <w:maxLength w:val="4"/>
            </w:textInput>
          </w:ffData>
        </w:fldChar>
      </w:r>
      <w:bookmarkStart w:id="14" w:name="PLSH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4"/>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M"/>
            <w:enabled/>
            <w:calcOnExit w:val="0"/>
            <w:textInput>
              <w:default w:val="XX"/>
              <w:maxLength w:val="2"/>
            </w:textInput>
          </w:ffData>
        </w:fldChar>
      </w:r>
      <w:bookmarkStart w:id="15" w:name="PLSH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5"/>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PLSH_DATE_D"/>
            <w:enabled/>
            <w:calcOnExit w:val="0"/>
            <w:textInput>
              <w:default w:val="XX"/>
              <w:maxLength w:val="2"/>
            </w:textInput>
          </w:ffData>
        </w:fldChar>
      </w:r>
      <w:bookmarkStart w:id="16" w:name="PLSH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6"/>
      <w:r>
        <w:rPr>
          <w:rFonts w:hint="eastAsia"/>
          <w:color w:val="FFFFFF" w:themeColor="background1"/>
          <w:highlight w:val="none"/>
          <w14:textFill>
            <w14:solidFill>
              <w14:schemeClr w14:val="bg1"/>
            </w14:solidFill>
          </w14:textFill>
        </w:rPr>
        <w:t>发布</w:t>
      </w:r>
    </w:p>
    <w:p>
      <w:pPr>
        <w:pStyle w:val="196"/>
        <w:framePr w:wrap="around" w:y="14176"/>
        <w:rPr>
          <w:color w:val="FFFFFF" w:themeColor="background1"/>
          <w:highlight w:val="none"/>
          <w14:textFill>
            <w14:solidFill>
              <w14:schemeClr w14:val="bg1"/>
            </w14:solidFill>
          </w14:textFill>
        </w:rPr>
      </w:pPr>
      <w:r>
        <w:rPr>
          <w:rFonts w:ascii="黑体"/>
          <w:highlight w:val="none"/>
        </w:rPr>
        <w:fldChar w:fldCharType="begin">
          <w:ffData>
            <w:name w:val="CROT_DATE_Y"/>
            <w:enabled/>
            <w:calcOnExit w:val="0"/>
            <w:textInput>
              <w:default w:val="XXXX"/>
              <w:maxLength w:val="4"/>
            </w:textInput>
          </w:ffData>
        </w:fldChar>
      </w:r>
      <w:bookmarkStart w:id="17" w:name="CROT_DATE_Y"/>
      <w:r>
        <w:rPr>
          <w:rFonts w:ascii="黑体"/>
          <w:highlight w:val="none"/>
        </w:rPr>
        <w:instrText xml:space="preserve"> FORMTEXT </w:instrText>
      </w:r>
      <w:r>
        <w:rPr>
          <w:rFonts w:ascii="黑体"/>
          <w:highlight w:val="none"/>
        </w:rPr>
        <w:fldChar w:fldCharType="separate"/>
      </w:r>
      <w:r>
        <w:rPr>
          <w:rFonts w:ascii="黑体"/>
          <w:highlight w:val="none"/>
        </w:rPr>
        <w:t>XXXX</w:t>
      </w:r>
      <w:r>
        <w:rPr>
          <w:rFonts w:ascii="黑体"/>
          <w:highlight w:val="none"/>
        </w:rPr>
        <w:fldChar w:fldCharType="end"/>
      </w:r>
      <w:bookmarkEnd w:id="17"/>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M"/>
            <w:enabled/>
            <w:calcOnExit w:val="0"/>
            <w:textInput>
              <w:default w:val="XX"/>
              <w:maxLength w:val="2"/>
            </w:textInput>
          </w:ffData>
        </w:fldChar>
      </w:r>
      <w:bookmarkStart w:id="18" w:name="CROT_DATE_M"/>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8"/>
      <w:r>
        <w:rPr>
          <w:highlight w:val="none"/>
        </w:rPr>
        <w:t xml:space="preserve"> </w:t>
      </w:r>
      <w:r>
        <w:rPr>
          <w:rFonts w:ascii="黑体"/>
          <w:highlight w:val="none"/>
        </w:rPr>
        <w:t>-</w:t>
      </w:r>
      <w:r>
        <w:rPr>
          <w:highlight w:val="none"/>
        </w:rPr>
        <w:t xml:space="preserve"> </w:t>
      </w:r>
      <w:r>
        <w:rPr>
          <w:rFonts w:ascii="黑体"/>
          <w:highlight w:val="none"/>
        </w:rPr>
        <w:fldChar w:fldCharType="begin">
          <w:ffData>
            <w:name w:val="CROT_DATE_D"/>
            <w:enabled/>
            <w:calcOnExit w:val="0"/>
            <w:textInput>
              <w:default w:val="XX"/>
              <w:maxLength w:val="2"/>
            </w:textInput>
          </w:ffData>
        </w:fldChar>
      </w:r>
      <w:bookmarkStart w:id="19" w:name="CROT_DATE_D"/>
      <w:r>
        <w:rPr>
          <w:rFonts w:ascii="黑体"/>
          <w:highlight w:val="none"/>
        </w:rPr>
        <w:instrText xml:space="preserve"> FORMTEXT </w:instrText>
      </w:r>
      <w:r>
        <w:rPr>
          <w:rFonts w:ascii="黑体"/>
          <w:highlight w:val="none"/>
        </w:rPr>
        <w:fldChar w:fldCharType="separate"/>
      </w:r>
      <w:r>
        <w:rPr>
          <w:rFonts w:ascii="黑体"/>
          <w:highlight w:val="none"/>
        </w:rPr>
        <w:t>XX</w:t>
      </w:r>
      <w:r>
        <w:rPr>
          <w:rFonts w:ascii="黑体"/>
          <w:highlight w:val="none"/>
        </w:rPr>
        <w:fldChar w:fldCharType="end"/>
      </w:r>
      <w:bookmarkEnd w:id="19"/>
      <w:r>
        <w:rPr>
          <w:rFonts w:hint="eastAsia"/>
          <w:color w:val="FFFFFF" w:themeColor="background1"/>
          <w:highlight w:val="none"/>
          <w14:textFill>
            <w14:solidFill>
              <w14:schemeClr w14:val="bg1"/>
            </w14:solidFill>
          </w14:textFill>
        </w:rPr>
        <w:t>实施</w:t>
      </w:r>
    </w:p>
    <w:p>
      <w:pPr>
        <w:pStyle w:val="153"/>
        <w:framePr w:h="584" w:hRule="exact" w:hSpace="181" w:vSpace="181" w:wrap="around" w:y="15027"/>
        <w:rPr>
          <w:rFonts w:hAnsi="黑体"/>
          <w:highlight w:val="none"/>
        </w:rPr>
      </w:pPr>
      <w:r>
        <w:rPr>
          <w:rFonts w:hAnsi="黑体"/>
          <w:w w:val="100"/>
          <w:sz w:val="28"/>
          <w:highlight w:val="none"/>
        </w:rPr>
        <w:fldChar w:fldCharType="begin">
          <w:ffData>
            <w:name w:val="fm"/>
            <w:enabled/>
            <w:calcOnExit w:val="0"/>
            <w:textInput/>
          </w:ffData>
        </w:fldChar>
      </w:r>
      <w:bookmarkStart w:id="20" w:name="fm"/>
      <w:r>
        <w:rPr>
          <w:rFonts w:hAnsi="黑体"/>
          <w:w w:val="100"/>
          <w:sz w:val="28"/>
          <w:highlight w:val="none"/>
        </w:rPr>
        <w:instrText xml:space="preserve"> FORMTEXT </w:instrText>
      </w:r>
      <w:r>
        <w:rPr>
          <w:rFonts w:hAnsi="黑体"/>
          <w:w w:val="100"/>
          <w:sz w:val="28"/>
          <w:highlight w:val="none"/>
        </w:rPr>
        <w:fldChar w:fldCharType="separate"/>
      </w:r>
      <w:r>
        <w:rPr>
          <w:rFonts w:hint="eastAsia" w:hAnsi="黑体"/>
          <w:w w:val="100"/>
          <w:sz w:val="28"/>
          <w:highlight w:val="none"/>
        </w:rPr>
        <w:t>湖南省市场监督管理局</w:t>
      </w:r>
      <w:r>
        <w:rPr>
          <w:rFonts w:hAnsi="黑体"/>
          <w:w w:val="100"/>
          <w:sz w:val="28"/>
          <w:highlight w:val="none"/>
        </w:rPr>
        <w:fldChar w:fldCharType="end"/>
      </w:r>
      <w:bookmarkEnd w:id="20"/>
      <w:r>
        <w:rPr>
          <w:rFonts w:ascii="Times New Roman"/>
          <w:w w:val="100"/>
          <w:sz w:val="28"/>
          <w:highlight w:val="none"/>
        </w:rPr>
        <w:t>  </w:t>
      </w:r>
      <w:r>
        <w:rPr>
          <w:rStyle w:val="231"/>
          <w:rFonts w:hint="eastAsia" w:hAnsi="黑体"/>
          <w:position w:val="0"/>
          <w:highlight w:val="none"/>
        </w:rPr>
        <w:t>发</w:t>
      </w:r>
      <w:r>
        <w:rPr>
          <w:rStyle w:val="231"/>
          <w:rFonts w:hint="eastAsia" w:hAnsi="黑体"/>
          <w:spacing w:val="0"/>
          <w:position w:val="0"/>
          <w:highlight w:val="none"/>
        </w:rPr>
        <w:t>布</w:t>
      </w:r>
    </w:p>
    <w:p>
      <w:pPr>
        <w:rPr>
          <w:rFonts w:ascii="宋体" w:hAnsi="宋体"/>
          <w:sz w:val="28"/>
          <w:szCs w:val="28"/>
          <w:highlight w:val="none"/>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highlight w:val="none"/>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3"/>
        <w:spacing w:after="468"/>
        <w:rPr>
          <w:highlight w:val="none"/>
        </w:rPr>
      </w:pPr>
      <w:bookmarkStart w:id="21" w:name="BookMark1"/>
      <w:r>
        <w:rPr>
          <w:spacing w:val="320"/>
          <w:highlight w:val="none"/>
        </w:rPr>
        <w:t>目</w:t>
      </w:r>
      <w:r>
        <w:rPr>
          <w:highlight w:val="none"/>
        </w:rPr>
        <w:t>次</w:t>
      </w:r>
    </w:p>
    <w:p>
      <w:pPr>
        <w:pStyle w:val="20"/>
        <w:tabs>
          <w:tab w:val="right" w:leader="dot" w:pos="9354"/>
        </w:tabs>
        <w:rPr>
          <w:highlight w:val="none"/>
        </w:rPr>
      </w:pPr>
      <w:r>
        <w:rPr>
          <w:highlight w:val="none"/>
        </w:rPr>
        <w:fldChar w:fldCharType="begin"/>
      </w:r>
      <w:r>
        <w:rPr>
          <w:highlight w:val="none"/>
        </w:rPr>
        <w:instrText xml:space="preserve"> TOC \o "1-1" \h \t "标准文件_一级条标题,2,标准文件_附录一级条标题,2," </w:instrText>
      </w:r>
      <w:r>
        <w:rPr>
          <w:highlight w:val="none"/>
        </w:rPr>
        <w:fldChar w:fldCharType="separate"/>
      </w:r>
      <w:r>
        <w:rPr>
          <w:highlight w:val="none"/>
        </w:rPr>
        <w:fldChar w:fldCharType="begin"/>
      </w:r>
      <w:r>
        <w:rPr>
          <w:highlight w:val="none"/>
        </w:rPr>
        <w:instrText xml:space="preserve"> HYPERLINK \l _Toc1428 </w:instrText>
      </w:r>
      <w:r>
        <w:rPr>
          <w:highlight w:val="none"/>
        </w:rPr>
        <w:fldChar w:fldCharType="separate"/>
      </w:r>
      <w:r>
        <w:rPr>
          <w:spacing w:val="320"/>
          <w:highlight w:val="none"/>
        </w:rPr>
        <w:t>前</w:t>
      </w:r>
      <w:r>
        <w:rPr>
          <w:highlight w:val="none"/>
        </w:rPr>
        <w:t>言</w:t>
      </w:r>
      <w:r>
        <w:rPr>
          <w:highlight w:val="none"/>
        </w:rPr>
        <w:tab/>
      </w:r>
      <w:r>
        <w:rPr>
          <w:highlight w:val="none"/>
        </w:rPr>
        <w:fldChar w:fldCharType="begin"/>
      </w:r>
      <w:r>
        <w:rPr>
          <w:highlight w:val="none"/>
        </w:rPr>
        <w:instrText xml:space="preserve"> PAGEREF _Toc1428 \h </w:instrText>
      </w:r>
      <w:r>
        <w:rPr>
          <w:highlight w:val="none"/>
        </w:rPr>
        <w:fldChar w:fldCharType="separate"/>
      </w:r>
      <w:r>
        <w:rPr>
          <w:highlight w:val="none"/>
        </w:rPr>
        <w:t>III</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_Toc11593 </w:instrText>
      </w:r>
      <w:r>
        <w:rPr>
          <w:highlight w:val="none"/>
        </w:rPr>
        <w:fldChar w:fldCharType="separate"/>
      </w:r>
      <w:r>
        <w:rPr>
          <w:rFonts w:hint="eastAsia" w:ascii="黑体" w:eastAsia="黑体"/>
          <w:i w:val="0"/>
          <w:highlight w:val="none"/>
        </w:rPr>
        <w:t xml:space="preserve">1 </w:t>
      </w:r>
      <w:r>
        <w:rPr>
          <w:rFonts w:hint="eastAsia"/>
          <w:highlight w:val="none"/>
        </w:rPr>
        <w:t>范围</w:t>
      </w:r>
      <w:r>
        <w:rPr>
          <w:highlight w:val="none"/>
        </w:rPr>
        <w:tab/>
      </w:r>
      <w:r>
        <w:rPr>
          <w:highlight w:val="none"/>
        </w:rPr>
        <w:fldChar w:fldCharType="begin"/>
      </w:r>
      <w:r>
        <w:rPr>
          <w:highlight w:val="none"/>
        </w:rPr>
        <w:instrText xml:space="preserve"> PAGEREF _Toc11593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_Toc8489 </w:instrText>
      </w:r>
      <w:r>
        <w:rPr>
          <w:highlight w:val="none"/>
        </w:rPr>
        <w:fldChar w:fldCharType="separate"/>
      </w:r>
      <w:r>
        <w:rPr>
          <w:rFonts w:hint="eastAsia" w:ascii="黑体" w:eastAsia="黑体"/>
          <w:i w:val="0"/>
          <w:highlight w:val="none"/>
        </w:rPr>
        <w:t xml:space="preserve">2 </w:t>
      </w:r>
      <w:r>
        <w:rPr>
          <w:rFonts w:hint="eastAsia"/>
          <w:highlight w:val="none"/>
        </w:rPr>
        <w:t>规范性引用文件</w:t>
      </w:r>
      <w:r>
        <w:rPr>
          <w:highlight w:val="none"/>
        </w:rPr>
        <w:tab/>
      </w:r>
      <w:r>
        <w:rPr>
          <w:highlight w:val="none"/>
        </w:rPr>
        <w:fldChar w:fldCharType="begin"/>
      </w:r>
      <w:r>
        <w:rPr>
          <w:highlight w:val="none"/>
        </w:rPr>
        <w:instrText xml:space="preserve"> PAGEREF _Toc8489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_Toc7809 </w:instrText>
      </w:r>
      <w:r>
        <w:rPr>
          <w:highlight w:val="none"/>
        </w:rPr>
        <w:fldChar w:fldCharType="separate"/>
      </w:r>
      <w:r>
        <w:rPr>
          <w:rFonts w:hint="eastAsia" w:ascii="黑体" w:eastAsia="黑体"/>
          <w:i w:val="0"/>
          <w:highlight w:val="none"/>
        </w:rPr>
        <w:t xml:space="preserve">3 </w:t>
      </w:r>
      <w:r>
        <w:rPr>
          <w:rFonts w:hint="eastAsia"/>
          <w:szCs w:val="21"/>
          <w:highlight w:val="none"/>
        </w:rPr>
        <w:t>术语和定义</w:t>
      </w:r>
      <w:r>
        <w:rPr>
          <w:highlight w:val="none"/>
        </w:rPr>
        <w:tab/>
      </w:r>
      <w:r>
        <w:rPr>
          <w:highlight w:val="none"/>
        </w:rPr>
        <w:fldChar w:fldCharType="begin"/>
      </w:r>
      <w:r>
        <w:rPr>
          <w:highlight w:val="none"/>
        </w:rPr>
        <w:instrText xml:space="preserve"> PAGEREF _Toc7809 \h </w:instrText>
      </w:r>
      <w:r>
        <w:rPr>
          <w:highlight w:val="none"/>
        </w:rPr>
        <w:fldChar w:fldCharType="separate"/>
      </w:r>
      <w:r>
        <w:rPr>
          <w:highlight w:val="none"/>
        </w:rPr>
        <w:t>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_Toc3523 </w:instrText>
      </w:r>
      <w:r>
        <w:rPr>
          <w:highlight w:val="none"/>
        </w:rPr>
        <w:fldChar w:fldCharType="separate"/>
      </w:r>
      <w:r>
        <w:rPr>
          <w:rFonts w:hint="eastAsia" w:ascii="黑体" w:eastAsia="黑体"/>
          <w:i w:val="0"/>
          <w:highlight w:val="none"/>
        </w:rPr>
        <w:t xml:space="preserve">4 </w:t>
      </w:r>
      <w:r>
        <w:rPr>
          <w:rFonts w:hint="eastAsia"/>
          <w:highlight w:val="none"/>
        </w:rPr>
        <w:t>一般规定</w:t>
      </w:r>
      <w:r>
        <w:rPr>
          <w:highlight w:val="none"/>
        </w:rPr>
        <w:tab/>
      </w:r>
      <w:r>
        <w:rPr>
          <w:highlight w:val="none"/>
        </w:rPr>
        <w:fldChar w:fldCharType="begin"/>
      </w:r>
      <w:r>
        <w:rPr>
          <w:highlight w:val="none"/>
        </w:rPr>
        <w:instrText xml:space="preserve"> PAGEREF _Toc3523 \h </w:instrText>
      </w:r>
      <w:r>
        <w:rPr>
          <w:highlight w:val="none"/>
        </w:rPr>
        <w:fldChar w:fldCharType="separate"/>
      </w:r>
      <w:r>
        <w:rPr>
          <w:highlight w:val="none"/>
        </w:rPr>
        <w:t>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_Toc29580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4.1 </w:t>
      </w:r>
      <w:r>
        <w:rPr>
          <w:rFonts w:hint="eastAsia"/>
          <w:highlight w:val="none"/>
        </w:rPr>
        <w:t>登记业务类型</w:t>
      </w:r>
      <w:r>
        <w:rPr>
          <w:highlight w:val="none"/>
        </w:rPr>
        <w:tab/>
      </w:r>
      <w:r>
        <w:rPr>
          <w:highlight w:val="none"/>
        </w:rPr>
        <w:fldChar w:fldCharType="begin"/>
      </w:r>
      <w:r>
        <w:rPr>
          <w:highlight w:val="none"/>
        </w:rPr>
        <w:instrText xml:space="preserve"> PAGEREF _Toc29580 \h </w:instrText>
      </w:r>
      <w:r>
        <w:rPr>
          <w:highlight w:val="none"/>
        </w:rPr>
        <w:fldChar w:fldCharType="separate"/>
      </w:r>
      <w:r>
        <w:rPr>
          <w:highlight w:val="none"/>
        </w:rPr>
        <w:t>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_Toc11064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4.2 </w:t>
      </w:r>
      <w:r>
        <w:rPr>
          <w:rFonts w:hint="eastAsia"/>
          <w:highlight w:val="none"/>
        </w:rPr>
        <w:t>登记原则</w:t>
      </w:r>
      <w:r>
        <w:rPr>
          <w:highlight w:val="none"/>
        </w:rPr>
        <w:tab/>
      </w:r>
      <w:r>
        <w:rPr>
          <w:highlight w:val="none"/>
        </w:rPr>
        <w:fldChar w:fldCharType="begin"/>
      </w:r>
      <w:r>
        <w:rPr>
          <w:highlight w:val="none"/>
        </w:rPr>
        <w:instrText xml:space="preserve"> PAGEREF _Toc11064 \h </w:instrText>
      </w:r>
      <w:r>
        <w:rPr>
          <w:highlight w:val="none"/>
        </w:rPr>
        <w:fldChar w:fldCharType="separate"/>
      </w:r>
      <w:r>
        <w:rPr>
          <w:highlight w:val="none"/>
        </w:rPr>
        <w:t>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_Toc32265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4.3 </w:t>
      </w:r>
      <w:r>
        <w:rPr>
          <w:rFonts w:hint="eastAsia"/>
          <w:highlight w:val="none"/>
        </w:rPr>
        <w:t>登记基本单位</w:t>
      </w:r>
      <w:r>
        <w:rPr>
          <w:highlight w:val="none"/>
        </w:rPr>
        <w:tab/>
      </w:r>
      <w:r>
        <w:rPr>
          <w:highlight w:val="none"/>
        </w:rPr>
        <w:fldChar w:fldCharType="begin"/>
      </w:r>
      <w:r>
        <w:rPr>
          <w:highlight w:val="none"/>
        </w:rPr>
        <w:instrText xml:space="preserve"> PAGEREF _Toc32265 \h </w:instrText>
      </w:r>
      <w:r>
        <w:rPr>
          <w:highlight w:val="none"/>
        </w:rPr>
        <w:fldChar w:fldCharType="separate"/>
      </w:r>
      <w:r>
        <w:rPr>
          <w:highlight w:val="none"/>
        </w:rPr>
        <w:t>6</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_Toc14659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4.4 </w:t>
      </w:r>
      <w:r>
        <w:rPr>
          <w:rFonts w:hint="eastAsia"/>
          <w:highlight w:val="none"/>
        </w:rPr>
        <w:t>登记程序</w:t>
      </w:r>
      <w:r>
        <w:rPr>
          <w:highlight w:val="none"/>
        </w:rPr>
        <w:tab/>
      </w:r>
      <w:r>
        <w:rPr>
          <w:highlight w:val="none"/>
        </w:rPr>
        <w:fldChar w:fldCharType="begin"/>
      </w:r>
      <w:r>
        <w:rPr>
          <w:highlight w:val="none"/>
        </w:rPr>
        <w:instrText xml:space="preserve"> PAGEREF _Toc14659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_Toc18689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4.5 </w:t>
      </w:r>
      <w:r>
        <w:rPr>
          <w:rFonts w:hint="eastAsia"/>
          <w:highlight w:val="none"/>
        </w:rPr>
        <w:t>地籍调查</w:t>
      </w:r>
      <w:r>
        <w:rPr>
          <w:highlight w:val="none"/>
        </w:rPr>
        <w:tab/>
      </w:r>
      <w:r>
        <w:rPr>
          <w:highlight w:val="none"/>
        </w:rPr>
        <w:fldChar w:fldCharType="begin"/>
      </w:r>
      <w:r>
        <w:rPr>
          <w:highlight w:val="none"/>
        </w:rPr>
        <w:instrText xml:space="preserve"> PAGEREF _Toc18689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_Toc54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4.6 </w:t>
      </w:r>
      <w:r>
        <w:rPr>
          <w:rFonts w:hint="eastAsia"/>
          <w:highlight w:val="none"/>
        </w:rPr>
        <w:t>不动产登记簿</w:t>
      </w:r>
      <w:r>
        <w:rPr>
          <w:highlight w:val="none"/>
        </w:rPr>
        <w:tab/>
      </w:r>
      <w:r>
        <w:rPr>
          <w:highlight w:val="none"/>
        </w:rPr>
        <w:fldChar w:fldCharType="begin"/>
      </w:r>
      <w:r>
        <w:rPr>
          <w:highlight w:val="none"/>
        </w:rPr>
        <w:instrText xml:space="preserve"> PAGEREF _Toc54 \h </w:instrText>
      </w:r>
      <w:r>
        <w:rPr>
          <w:highlight w:val="none"/>
        </w:rPr>
        <w:fldChar w:fldCharType="separate"/>
      </w:r>
      <w:r>
        <w:rPr>
          <w:highlight w:val="none"/>
        </w:rPr>
        <w:t>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_Toc26425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4.7 </w:t>
      </w:r>
      <w:r>
        <w:rPr>
          <w:rFonts w:hint="eastAsia"/>
          <w:highlight w:val="none"/>
        </w:rPr>
        <w:t>不动产权证书和不动产登记证明</w:t>
      </w:r>
      <w:r>
        <w:rPr>
          <w:highlight w:val="none"/>
        </w:rPr>
        <w:tab/>
      </w:r>
      <w:r>
        <w:rPr>
          <w:highlight w:val="none"/>
        </w:rPr>
        <w:fldChar w:fldCharType="begin"/>
      </w:r>
      <w:r>
        <w:rPr>
          <w:highlight w:val="none"/>
        </w:rPr>
        <w:instrText xml:space="preserve"> PAGEREF _Toc26425 \h </w:instrText>
      </w:r>
      <w:r>
        <w:rPr>
          <w:highlight w:val="none"/>
        </w:rPr>
        <w:fldChar w:fldCharType="separate"/>
      </w:r>
      <w:r>
        <w:rPr>
          <w:highlight w:val="none"/>
        </w:rPr>
        <w:t>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_Toc3195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4.8 </w:t>
      </w:r>
      <w:r>
        <w:rPr>
          <w:rFonts w:hint="eastAsia"/>
          <w:highlight w:val="none"/>
        </w:rPr>
        <w:t>继承、受遗赠的不动产登记办理</w:t>
      </w:r>
      <w:r>
        <w:rPr>
          <w:highlight w:val="none"/>
        </w:rPr>
        <w:tab/>
      </w:r>
      <w:r>
        <w:rPr>
          <w:highlight w:val="none"/>
        </w:rPr>
        <w:fldChar w:fldCharType="begin"/>
      </w:r>
      <w:r>
        <w:rPr>
          <w:highlight w:val="none"/>
        </w:rPr>
        <w:instrText xml:space="preserve"> PAGEREF _Toc3195 \h </w:instrText>
      </w:r>
      <w:r>
        <w:rPr>
          <w:highlight w:val="none"/>
        </w:rPr>
        <w:fldChar w:fldCharType="separate"/>
      </w:r>
      <w:r>
        <w:rPr>
          <w:highlight w:val="none"/>
        </w:rPr>
        <w:t>9</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_Toc19786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4.9 </w:t>
      </w:r>
      <w:r>
        <w:rPr>
          <w:rFonts w:hint="eastAsia"/>
          <w:highlight w:val="none"/>
        </w:rPr>
        <w:t>登记或者合同被撤销的不动产登记办理</w:t>
      </w:r>
      <w:r>
        <w:rPr>
          <w:highlight w:val="none"/>
        </w:rPr>
        <w:tab/>
      </w:r>
      <w:r>
        <w:rPr>
          <w:highlight w:val="none"/>
        </w:rPr>
        <w:fldChar w:fldCharType="begin"/>
      </w:r>
      <w:r>
        <w:rPr>
          <w:highlight w:val="none"/>
        </w:rPr>
        <w:instrText xml:space="preserve"> PAGEREF _Toc19786 \h </w:instrText>
      </w:r>
      <w:r>
        <w:rPr>
          <w:highlight w:val="none"/>
        </w:rPr>
        <w:fldChar w:fldCharType="separate"/>
      </w:r>
      <w:r>
        <w:rPr>
          <w:highlight w:val="none"/>
        </w:rPr>
        <w:t>10</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_Toc31439 </w:instrText>
      </w:r>
      <w:r>
        <w:rPr>
          <w:highlight w:val="none"/>
        </w:rPr>
        <w:fldChar w:fldCharType="separate"/>
      </w:r>
      <w:r>
        <w:rPr>
          <w:rFonts w:hint="eastAsia" w:ascii="黑体" w:eastAsia="黑体"/>
          <w:i w:val="0"/>
          <w:highlight w:val="none"/>
        </w:rPr>
        <w:t xml:space="preserve">5 </w:t>
      </w:r>
      <w:r>
        <w:rPr>
          <w:rFonts w:hint="eastAsia"/>
          <w:highlight w:val="none"/>
        </w:rPr>
        <w:t>申请</w:t>
      </w:r>
      <w:r>
        <w:rPr>
          <w:highlight w:val="none"/>
        </w:rPr>
        <w:tab/>
      </w:r>
      <w:r>
        <w:rPr>
          <w:highlight w:val="none"/>
        </w:rPr>
        <w:fldChar w:fldCharType="begin"/>
      </w:r>
      <w:r>
        <w:rPr>
          <w:highlight w:val="none"/>
        </w:rPr>
        <w:instrText xml:space="preserve"> PAGEREF _Toc31439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_Toc23898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highlight w:val="none"/>
        </w:rPr>
        <w:t>适用</w:t>
      </w:r>
      <w:r>
        <w:rPr>
          <w:highlight w:val="none"/>
        </w:rPr>
        <w:tab/>
      </w:r>
      <w:r>
        <w:rPr>
          <w:highlight w:val="none"/>
        </w:rPr>
        <w:fldChar w:fldCharType="begin"/>
      </w:r>
      <w:r>
        <w:rPr>
          <w:highlight w:val="none"/>
        </w:rPr>
        <w:instrText xml:space="preserve"> PAGEREF _Toc23898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_Toc923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highlight w:val="none"/>
        </w:rPr>
        <w:t>申请原则</w:t>
      </w:r>
      <w:r>
        <w:rPr>
          <w:highlight w:val="none"/>
        </w:rPr>
        <w:tab/>
      </w:r>
      <w:r>
        <w:rPr>
          <w:highlight w:val="none"/>
        </w:rPr>
        <w:fldChar w:fldCharType="begin"/>
      </w:r>
      <w:r>
        <w:rPr>
          <w:highlight w:val="none"/>
        </w:rPr>
        <w:instrText xml:space="preserve"> PAGEREF _Toc923 \h </w:instrText>
      </w:r>
      <w:r>
        <w:rPr>
          <w:highlight w:val="none"/>
        </w:rPr>
        <w:fldChar w:fldCharType="separate"/>
      </w:r>
      <w:r>
        <w:rPr>
          <w:highlight w:val="none"/>
        </w:rPr>
        <w:t>10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_Toc14754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highlight w:val="none"/>
        </w:rPr>
        <w:t>申请材料要求</w:t>
      </w:r>
      <w:r>
        <w:rPr>
          <w:highlight w:val="none"/>
        </w:rPr>
        <w:tab/>
      </w:r>
      <w:r>
        <w:rPr>
          <w:highlight w:val="none"/>
        </w:rPr>
        <w:fldChar w:fldCharType="begin"/>
      </w:r>
      <w:r>
        <w:rPr>
          <w:highlight w:val="none"/>
        </w:rPr>
        <w:instrText xml:space="preserve"> PAGEREF _Toc14754 \h </w:instrText>
      </w:r>
      <w:r>
        <w:rPr>
          <w:highlight w:val="none"/>
        </w:rPr>
        <w:fldChar w:fldCharType="separate"/>
      </w:r>
      <w:r>
        <w:rPr>
          <w:highlight w:val="none"/>
        </w:rPr>
        <w:t>12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_Toc9692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5.4 </w:t>
      </w:r>
      <w:r>
        <w:rPr>
          <w:rFonts w:hint="eastAsia"/>
          <w:highlight w:val="none"/>
        </w:rPr>
        <w:t>申请材料通用类型</w:t>
      </w:r>
      <w:r>
        <w:rPr>
          <w:highlight w:val="none"/>
        </w:rPr>
        <w:tab/>
      </w:r>
      <w:r>
        <w:rPr>
          <w:highlight w:val="none"/>
        </w:rPr>
        <w:fldChar w:fldCharType="begin"/>
      </w:r>
      <w:r>
        <w:rPr>
          <w:highlight w:val="none"/>
        </w:rPr>
        <w:instrText xml:space="preserve"> PAGEREF _Toc9692 \h </w:instrText>
      </w:r>
      <w:r>
        <w:rPr>
          <w:highlight w:val="none"/>
        </w:rPr>
        <w:fldChar w:fldCharType="separate"/>
      </w:r>
      <w:r>
        <w:rPr>
          <w:highlight w:val="none"/>
        </w:rPr>
        <w:t>12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_Toc23595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5.5 </w:t>
      </w:r>
      <w:r>
        <w:rPr>
          <w:rFonts w:hint="eastAsia"/>
          <w:highlight w:val="none"/>
        </w:rPr>
        <w:t>申请方式</w:t>
      </w:r>
      <w:r>
        <w:rPr>
          <w:highlight w:val="none"/>
        </w:rPr>
        <w:tab/>
      </w:r>
      <w:r>
        <w:rPr>
          <w:highlight w:val="none"/>
        </w:rPr>
        <w:fldChar w:fldCharType="begin"/>
      </w:r>
      <w:r>
        <w:rPr>
          <w:highlight w:val="none"/>
        </w:rPr>
        <w:instrText xml:space="preserve"> PAGEREF _Toc23595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_Toc5748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5.6 </w:t>
      </w:r>
      <w:r>
        <w:rPr>
          <w:rFonts w:hint="eastAsia"/>
          <w:highlight w:val="none"/>
          <w:lang w:eastAsia="zh-CN"/>
        </w:rPr>
        <w:t>撤回申请</w:t>
      </w:r>
      <w:r>
        <w:rPr>
          <w:highlight w:val="none"/>
        </w:rPr>
        <w:tab/>
      </w:r>
      <w:r>
        <w:rPr>
          <w:highlight w:val="none"/>
        </w:rPr>
        <w:fldChar w:fldCharType="begin"/>
      </w:r>
      <w:r>
        <w:rPr>
          <w:highlight w:val="none"/>
        </w:rPr>
        <w:instrText xml:space="preserve"> PAGEREF _Toc5748 \h </w:instrText>
      </w:r>
      <w:r>
        <w:rPr>
          <w:highlight w:val="none"/>
        </w:rPr>
        <w:fldChar w:fldCharType="separate"/>
      </w:r>
      <w:r>
        <w:rPr>
          <w:highlight w:val="none"/>
        </w:rPr>
        <w:t>14</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_Toc9574 </w:instrText>
      </w:r>
      <w:r>
        <w:rPr>
          <w:highlight w:val="none"/>
        </w:rPr>
        <w:fldChar w:fldCharType="separate"/>
      </w:r>
      <w:r>
        <w:rPr>
          <w:rFonts w:hint="eastAsia" w:ascii="黑体" w:eastAsia="黑体"/>
          <w:i w:val="0"/>
          <w:highlight w:val="none"/>
        </w:rPr>
        <w:t xml:space="preserve">6 </w:t>
      </w:r>
      <w:r>
        <w:rPr>
          <w:rFonts w:hint="eastAsia"/>
          <w:highlight w:val="none"/>
        </w:rPr>
        <w:t>受理</w:t>
      </w:r>
      <w:r>
        <w:rPr>
          <w:highlight w:val="none"/>
        </w:rPr>
        <w:tab/>
      </w:r>
      <w:r>
        <w:rPr>
          <w:highlight w:val="none"/>
        </w:rPr>
        <w:fldChar w:fldCharType="begin"/>
      </w:r>
      <w:r>
        <w:rPr>
          <w:highlight w:val="none"/>
        </w:rPr>
        <w:instrText xml:space="preserve"> PAGEREF _Toc9574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_Toc32476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6.1 </w:t>
      </w:r>
      <w:r>
        <w:rPr>
          <w:rFonts w:hint="eastAsia"/>
          <w:highlight w:val="none"/>
        </w:rPr>
        <w:t>适用</w:t>
      </w:r>
      <w:r>
        <w:rPr>
          <w:highlight w:val="none"/>
        </w:rPr>
        <w:tab/>
      </w:r>
      <w:r>
        <w:rPr>
          <w:highlight w:val="none"/>
        </w:rPr>
        <w:fldChar w:fldCharType="begin"/>
      </w:r>
      <w:r>
        <w:rPr>
          <w:highlight w:val="none"/>
        </w:rPr>
        <w:instrText xml:space="preserve"> PAGEREF _Toc32476 \h </w:instrText>
      </w:r>
      <w:r>
        <w:rPr>
          <w:highlight w:val="none"/>
        </w:rPr>
        <w:fldChar w:fldCharType="separate"/>
      </w:r>
      <w:r>
        <w:rPr>
          <w:highlight w:val="none"/>
        </w:rPr>
        <w:t>14</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_Toc24711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6.2 </w:t>
      </w:r>
      <w:r>
        <w:rPr>
          <w:rFonts w:hint="eastAsia"/>
          <w:highlight w:val="none"/>
        </w:rPr>
        <w:t>查验登记范围</w:t>
      </w:r>
      <w:r>
        <w:rPr>
          <w:highlight w:val="none"/>
        </w:rPr>
        <w:tab/>
      </w:r>
      <w:r>
        <w:rPr>
          <w:highlight w:val="none"/>
        </w:rPr>
        <w:fldChar w:fldCharType="begin"/>
      </w:r>
      <w:r>
        <w:rPr>
          <w:highlight w:val="none"/>
        </w:rPr>
        <w:instrText xml:space="preserve"> PAGEREF _Toc24711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_Toc11918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6.3 </w:t>
      </w:r>
      <w:r>
        <w:rPr>
          <w:rFonts w:hint="eastAsia"/>
          <w:highlight w:val="none"/>
        </w:rPr>
        <w:t>查验申请主体</w:t>
      </w:r>
      <w:r>
        <w:rPr>
          <w:highlight w:val="none"/>
        </w:rPr>
        <w:tab/>
      </w:r>
      <w:r>
        <w:rPr>
          <w:highlight w:val="none"/>
        </w:rPr>
        <w:fldChar w:fldCharType="begin"/>
      </w:r>
      <w:r>
        <w:rPr>
          <w:highlight w:val="none"/>
        </w:rPr>
        <w:instrText xml:space="preserve"> PAGEREF _Toc11918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_Toc29653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6.4 </w:t>
      </w:r>
      <w:r>
        <w:rPr>
          <w:rFonts w:hint="eastAsia"/>
          <w:highlight w:val="none"/>
        </w:rPr>
        <w:t>查验申请材料</w:t>
      </w:r>
      <w:r>
        <w:rPr>
          <w:highlight w:val="none"/>
        </w:rPr>
        <w:tab/>
      </w:r>
      <w:r>
        <w:rPr>
          <w:highlight w:val="none"/>
        </w:rPr>
        <w:fldChar w:fldCharType="begin"/>
      </w:r>
      <w:r>
        <w:rPr>
          <w:highlight w:val="none"/>
        </w:rPr>
        <w:instrText xml:space="preserve"> PAGEREF _Toc29653 \h </w:instrText>
      </w:r>
      <w:r>
        <w:rPr>
          <w:highlight w:val="none"/>
        </w:rPr>
        <w:fldChar w:fldCharType="separate"/>
      </w:r>
      <w:r>
        <w:rPr>
          <w:highlight w:val="none"/>
        </w:rPr>
        <w:t>15</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_Toc15522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6.5 </w:t>
      </w:r>
      <w:r>
        <w:rPr>
          <w:rFonts w:hint="eastAsia"/>
          <w:highlight w:val="none"/>
        </w:rPr>
        <w:t>询问</w:t>
      </w:r>
      <w:r>
        <w:rPr>
          <w:rFonts w:hint="eastAsia"/>
          <w:highlight w:val="none"/>
          <w:lang w:eastAsia="zh-CN"/>
        </w:rPr>
        <w:t>登记事项</w:t>
      </w:r>
      <w:r>
        <w:rPr>
          <w:highlight w:val="none"/>
        </w:rPr>
        <w:tab/>
      </w:r>
      <w:r>
        <w:rPr>
          <w:highlight w:val="none"/>
        </w:rPr>
        <w:fldChar w:fldCharType="begin"/>
      </w:r>
      <w:r>
        <w:rPr>
          <w:highlight w:val="none"/>
        </w:rPr>
        <w:instrText xml:space="preserve"> PAGEREF _Toc15522 \h </w:instrText>
      </w:r>
      <w:r>
        <w:rPr>
          <w:highlight w:val="none"/>
        </w:rPr>
        <w:fldChar w:fldCharType="separate"/>
      </w:r>
      <w:r>
        <w:rPr>
          <w:highlight w:val="none"/>
        </w:rPr>
        <w:t>16</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_Toc25667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6.6 </w:t>
      </w:r>
      <w:r>
        <w:rPr>
          <w:rFonts w:hint="eastAsia"/>
          <w:highlight w:val="none"/>
          <w:lang w:eastAsia="zh-CN"/>
        </w:rPr>
        <w:t>出具</w:t>
      </w:r>
      <w:r>
        <w:rPr>
          <w:rFonts w:hint="eastAsia"/>
          <w:highlight w:val="none"/>
        </w:rPr>
        <w:t>受理结果</w:t>
      </w:r>
      <w:r>
        <w:rPr>
          <w:highlight w:val="none"/>
        </w:rPr>
        <w:tab/>
      </w:r>
      <w:r>
        <w:rPr>
          <w:highlight w:val="none"/>
        </w:rPr>
        <w:fldChar w:fldCharType="begin"/>
      </w:r>
      <w:r>
        <w:rPr>
          <w:highlight w:val="none"/>
        </w:rPr>
        <w:instrText xml:space="preserve"> PAGEREF _Toc25667 \h </w:instrText>
      </w:r>
      <w:r>
        <w:rPr>
          <w:highlight w:val="none"/>
        </w:rPr>
        <w:fldChar w:fldCharType="separate"/>
      </w:r>
      <w:r>
        <w:rPr>
          <w:highlight w:val="none"/>
        </w:rPr>
        <w:t>16</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_Toc17268 </w:instrText>
      </w:r>
      <w:r>
        <w:rPr>
          <w:highlight w:val="none"/>
        </w:rPr>
        <w:fldChar w:fldCharType="separate"/>
      </w:r>
      <w:r>
        <w:rPr>
          <w:rFonts w:hint="eastAsia" w:ascii="黑体" w:eastAsia="黑体"/>
          <w:i w:val="0"/>
          <w:highlight w:val="none"/>
        </w:rPr>
        <w:t xml:space="preserve">7 </w:t>
      </w:r>
      <w:r>
        <w:rPr>
          <w:rFonts w:hint="eastAsia"/>
          <w:highlight w:val="none"/>
        </w:rPr>
        <w:t>审核</w:t>
      </w:r>
      <w:r>
        <w:rPr>
          <w:highlight w:val="none"/>
        </w:rPr>
        <w:tab/>
      </w:r>
      <w:r>
        <w:rPr>
          <w:highlight w:val="none"/>
        </w:rPr>
        <w:fldChar w:fldCharType="begin"/>
      </w:r>
      <w:r>
        <w:rPr>
          <w:highlight w:val="none"/>
        </w:rPr>
        <w:instrText xml:space="preserve"> PAGEREF _Toc17268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_Toc20244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7.1 </w:t>
      </w:r>
      <w:r>
        <w:rPr>
          <w:rFonts w:hint="eastAsia"/>
          <w:highlight w:val="none"/>
        </w:rPr>
        <w:t>适用</w:t>
      </w:r>
      <w:r>
        <w:rPr>
          <w:highlight w:val="none"/>
        </w:rPr>
        <w:tab/>
      </w:r>
      <w:r>
        <w:rPr>
          <w:highlight w:val="none"/>
        </w:rPr>
        <w:fldChar w:fldCharType="begin"/>
      </w:r>
      <w:r>
        <w:rPr>
          <w:highlight w:val="none"/>
        </w:rPr>
        <w:instrText xml:space="preserve"> PAGEREF _Toc20244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_Toc28235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7.2 </w:t>
      </w:r>
      <w:r>
        <w:rPr>
          <w:rFonts w:hint="eastAsia"/>
          <w:highlight w:val="none"/>
        </w:rPr>
        <w:t>申请材料审核</w:t>
      </w:r>
      <w:r>
        <w:rPr>
          <w:highlight w:val="none"/>
        </w:rPr>
        <w:tab/>
      </w:r>
      <w:r>
        <w:rPr>
          <w:highlight w:val="none"/>
        </w:rPr>
        <w:fldChar w:fldCharType="begin"/>
      </w:r>
      <w:r>
        <w:rPr>
          <w:highlight w:val="none"/>
        </w:rPr>
        <w:instrText xml:space="preserve"> PAGEREF _Toc28235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_Toc20822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7.3 </w:t>
      </w:r>
      <w:r>
        <w:rPr>
          <w:rFonts w:hint="eastAsia"/>
          <w:highlight w:val="none"/>
        </w:rPr>
        <w:t>查阅不动产登记簿</w:t>
      </w:r>
      <w:r>
        <w:rPr>
          <w:highlight w:val="none"/>
        </w:rPr>
        <w:tab/>
      </w:r>
      <w:r>
        <w:rPr>
          <w:highlight w:val="none"/>
        </w:rPr>
        <w:fldChar w:fldCharType="begin"/>
      </w:r>
      <w:r>
        <w:rPr>
          <w:highlight w:val="none"/>
        </w:rPr>
        <w:instrText xml:space="preserve"> PAGEREF _Toc20822 \h </w:instrText>
      </w:r>
      <w:r>
        <w:rPr>
          <w:highlight w:val="none"/>
        </w:rPr>
        <w:fldChar w:fldCharType="separate"/>
      </w:r>
      <w:r>
        <w:rPr>
          <w:highlight w:val="none"/>
        </w:rPr>
        <w:t>17</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_Toc4435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7.4 </w:t>
      </w:r>
      <w:r>
        <w:rPr>
          <w:rFonts w:hint="eastAsia"/>
          <w:highlight w:val="none"/>
        </w:rPr>
        <w:t>查阅登记原始资料</w:t>
      </w:r>
      <w:r>
        <w:rPr>
          <w:highlight w:val="none"/>
        </w:rPr>
        <w:tab/>
      </w:r>
      <w:r>
        <w:rPr>
          <w:highlight w:val="none"/>
        </w:rPr>
        <w:fldChar w:fldCharType="begin"/>
      </w:r>
      <w:r>
        <w:rPr>
          <w:highlight w:val="none"/>
        </w:rPr>
        <w:instrText xml:space="preserve"> PAGEREF _Toc4435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_Toc21620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7.5 </w:t>
      </w:r>
      <w:r>
        <w:rPr>
          <w:rFonts w:hint="eastAsia"/>
          <w:highlight w:val="none"/>
        </w:rPr>
        <w:t>实地查看</w:t>
      </w:r>
      <w:r>
        <w:rPr>
          <w:highlight w:val="none"/>
        </w:rPr>
        <w:tab/>
      </w:r>
      <w:r>
        <w:rPr>
          <w:highlight w:val="none"/>
        </w:rPr>
        <w:fldChar w:fldCharType="begin"/>
      </w:r>
      <w:r>
        <w:rPr>
          <w:highlight w:val="none"/>
        </w:rPr>
        <w:instrText xml:space="preserve"> PAGEREF _Toc21620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_Toc1651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7.6 </w:t>
      </w:r>
      <w:r>
        <w:rPr>
          <w:rFonts w:hint="eastAsia"/>
          <w:highlight w:val="none"/>
        </w:rPr>
        <w:t>调查</w:t>
      </w:r>
      <w:r>
        <w:rPr>
          <w:highlight w:val="none"/>
        </w:rPr>
        <w:tab/>
      </w:r>
      <w:r>
        <w:rPr>
          <w:highlight w:val="none"/>
        </w:rPr>
        <w:fldChar w:fldCharType="begin"/>
      </w:r>
      <w:r>
        <w:rPr>
          <w:highlight w:val="none"/>
        </w:rPr>
        <w:instrText xml:space="preserve"> PAGEREF _Toc1651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_Toc12348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7.7 </w:t>
      </w:r>
      <w:r>
        <w:rPr>
          <w:rFonts w:hint="eastAsia"/>
          <w:highlight w:val="none"/>
        </w:rPr>
        <w:t>公告</w:t>
      </w:r>
      <w:r>
        <w:rPr>
          <w:highlight w:val="none"/>
        </w:rPr>
        <w:tab/>
      </w:r>
      <w:r>
        <w:rPr>
          <w:highlight w:val="none"/>
        </w:rPr>
        <w:fldChar w:fldCharType="begin"/>
      </w:r>
      <w:r>
        <w:rPr>
          <w:highlight w:val="none"/>
        </w:rPr>
        <w:instrText xml:space="preserve"> PAGEREF _Toc12348 \h </w:instrText>
      </w:r>
      <w:r>
        <w:rPr>
          <w:highlight w:val="none"/>
        </w:rPr>
        <w:fldChar w:fldCharType="separate"/>
      </w:r>
      <w:r>
        <w:rPr>
          <w:highlight w:val="none"/>
        </w:rPr>
        <w:t>18</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7.8 </w:t>
      </w:r>
      <w:r>
        <w:rPr>
          <w:rFonts w:hint="eastAsia"/>
          <w:highlight w:val="none"/>
        </w:rPr>
        <w:t>审核结果</w:t>
      </w:r>
      <w:r>
        <w:rPr>
          <w:highlight w:val="none"/>
        </w:rPr>
        <w:tab/>
      </w:r>
      <w:r>
        <w:rPr>
          <w:highlight w:val="none"/>
        </w:rPr>
        <w:fldChar w:fldCharType="begin"/>
      </w:r>
      <w:r>
        <w:rPr>
          <w:highlight w:val="none"/>
        </w:rPr>
        <w:instrText xml:space="preserve"> PAGEREF _Toc7619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_Toc22008 </w:instrText>
      </w:r>
      <w:r>
        <w:rPr>
          <w:highlight w:val="none"/>
        </w:rPr>
        <w:fldChar w:fldCharType="separate"/>
      </w:r>
      <w:r>
        <w:rPr>
          <w:rFonts w:hint="eastAsia" w:ascii="黑体" w:eastAsia="黑体"/>
          <w:i w:val="0"/>
          <w:highlight w:val="none"/>
        </w:rPr>
        <w:t xml:space="preserve">8 </w:t>
      </w:r>
      <w:r>
        <w:rPr>
          <w:rFonts w:hint="eastAsia"/>
          <w:highlight w:val="none"/>
        </w:rPr>
        <w:t>登簿</w:t>
      </w:r>
      <w:r>
        <w:rPr>
          <w:highlight w:val="none"/>
        </w:rPr>
        <w:tab/>
      </w:r>
      <w:r>
        <w:rPr>
          <w:highlight w:val="none"/>
        </w:rPr>
        <w:fldChar w:fldCharType="begin"/>
      </w:r>
      <w:r>
        <w:rPr>
          <w:highlight w:val="none"/>
        </w:rPr>
        <w:instrText xml:space="preserve"> PAGEREF _Toc22008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_Toc9897 </w:instrText>
      </w:r>
      <w:r>
        <w:rPr>
          <w:highlight w:val="none"/>
        </w:rPr>
        <w:fldChar w:fldCharType="separate"/>
      </w:r>
      <w:r>
        <w:rPr>
          <w:rFonts w:hint="eastAsia" w:ascii="黑体" w:eastAsia="黑体"/>
          <w:i w:val="0"/>
          <w:highlight w:val="none"/>
        </w:rPr>
        <w:t xml:space="preserve">9 </w:t>
      </w:r>
      <w:r>
        <w:rPr>
          <w:rFonts w:hint="eastAsia"/>
          <w:highlight w:val="none"/>
        </w:rPr>
        <w:t>核发不动产权证书或者不动产登记证明</w:t>
      </w:r>
      <w:r>
        <w:rPr>
          <w:highlight w:val="none"/>
        </w:rPr>
        <w:tab/>
      </w:r>
      <w:r>
        <w:rPr>
          <w:highlight w:val="none"/>
        </w:rPr>
        <w:fldChar w:fldCharType="begin"/>
      </w:r>
      <w:r>
        <w:rPr>
          <w:highlight w:val="none"/>
        </w:rPr>
        <w:instrText xml:space="preserve"> PAGEREF _Toc9897 \h </w:instrText>
      </w:r>
      <w:r>
        <w:rPr>
          <w:highlight w:val="none"/>
        </w:rPr>
        <w:fldChar w:fldCharType="separate"/>
      </w:r>
      <w:r>
        <w:rPr>
          <w:highlight w:val="none"/>
        </w:rPr>
        <w:t>19</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_Toc5532 </w:instrText>
      </w:r>
      <w:r>
        <w:rPr>
          <w:highlight w:val="none"/>
        </w:rPr>
        <w:fldChar w:fldCharType="separate"/>
      </w:r>
      <w:r>
        <w:rPr>
          <w:rFonts w:hint="eastAsia" w:ascii="黑体" w:eastAsia="黑体"/>
          <w:i w:val="0"/>
          <w:highlight w:val="none"/>
        </w:rPr>
        <w:t xml:space="preserve">10 </w:t>
      </w:r>
      <w:r>
        <w:rPr>
          <w:rFonts w:hint="eastAsia"/>
          <w:highlight w:val="none"/>
        </w:rPr>
        <w:t>互联网+不动产登记</w:t>
      </w:r>
      <w:r>
        <w:rPr>
          <w:highlight w:val="none"/>
        </w:rPr>
        <w:tab/>
      </w:r>
      <w:r>
        <w:rPr>
          <w:highlight w:val="none"/>
        </w:rPr>
        <w:fldChar w:fldCharType="begin"/>
      </w:r>
      <w:r>
        <w:rPr>
          <w:highlight w:val="none"/>
        </w:rPr>
        <w:instrText xml:space="preserve"> PAGEREF _Toc5532 \h </w:instrText>
      </w:r>
      <w:r>
        <w:rPr>
          <w:highlight w:val="none"/>
        </w:rPr>
        <w:fldChar w:fldCharType="separate"/>
      </w:r>
      <w:r>
        <w:rPr>
          <w:highlight w:val="none"/>
        </w:rPr>
        <w:t>20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_Toc32485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10.1 </w:t>
      </w:r>
      <w:r>
        <w:rPr>
          <w:rFonts w:hint="eastAsia"/>
          <w:highlight w:val="none"/>
        </w:rPr>
        <w:t>网上申请</w:t>
      </w:r>
      <w:r>
        <w:rPr>
          <w:highlight w:val="none"/>
        </w:rPr>
        <w:tab/>
      </w:r>
      <w:r>
        <w:rPr>
          <w:highlight w:val="none"/>
        </w:rPr>
        <w:fldChar w:fldCharType="begin"/>
      </w:r>
      <w:r>
        <w:rPr>
          <w:highlight w:val="none"/>
        </w:rPr>
        <w:instrText xml:space="preserve"> PAGEREF _Toc32485 \h </w:instrText>
      </w:r>
      <w:r>
        <w:rPr>
          <w:highlight w:val="none"/>
        </w:rPr>
        <w:fldChar w:fldCharType="separate"/>
      </w:r>
      <w:r>
        <w:rPr>
          <w:highlight w:val="none"/>
        </w:rPr>
        <w:t>20</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_Toc21778 </w:instrText>
      </w:r>
      <w:r>
        <w:rPr>
          <w:highlight w:val="none"/>
        </w:rP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highlight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10.2 </w:t>
      </w:r>
      <w:r>
        <w:rPr>
          <w:rFonts w:hint="eastAsia"/>
          <w:highlight w:val="none"/>
        </w:rPr>
        <w:t>一网通办</w:t>
      </w:r>
      <w:r>
        <w:rPr>
          <w:highlight w:val="none"/>
        </w:rPr>
        <w:tab/>
      </w:r>
      <w:r>
        <w:rPr>
          <w:highlight w:val="none"/>
        </w:rPr>
        <w:fldChar w:fldCharType="begin"/>
      </w:r>
      <w:r>
        <w:rPr>
          <w:highlight w:val="none"/>
        </w:rPr>
        <w:instrText xml:space="preserve"> PAGEREF _Toc21778 \h </w:instrText>
      </w:r>
      <w:r>
        <w:rPr>
          <w:highlight w:val="none"/>
        </w:rPr>
        <w:fldChar w:fldCharType="separate"/>
      </w:r>
      <w:r>
        <w:rPr>
          <w:highlight w:val="none"/>
        </w:rPr>
        <w:t>20</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_Toc16159 </w:instrText>
      </w:r>
      <w:r>
        <w:rPr>
          <w:highlight w:val="none"/>
        </w:rPr>
        <w:fldChar w:fldCharType="separate"/>
      </w:r>
      <w:r>
        <w:rPr>
          <w:rFonts w:hint="eastAsia"/>
          <w:spacing w:val="100"/>
          <w:highlight w:val="none"/>
        </w:rPr>
        <w:t xml:space="preserve">附录A </w:t>
      </w:r>
      <w:r>
        <w:rPr>
          <w:highlight w:val="none"/>
        </w:rPr>
        <w:t xml:space="preserve"> </w:t>
      </w:r>
      <w:r>
        <w:rPr>
          <w:rFonts w:hint="eastAsia"/>
          <w:highlight w:val="none"/>
        </w:rPr>
        <w:t>（资料性）</w:t>
      </w:r>
      <w:r>
        <w:rPr>
          <w:highlight w:val="none"/>
        </w:rPr>
        <w:t xml:space="preserve"> </w:t>
      </w:r>
      <w:r>
        <w:rPr>
          <w:rFonts w:hint="eastAsia"/>
          <w:highlight w:val="none"/>
        </w:rPr>
        <w:t>不动产登记业务流程图</w:t>
      </w:r>
      <w:r>
        <w:rPr>
          <w:highlight w:val="none"/>
        </w:rPr>
        <w:tab/>
      </w:r>
      <w:r>
        <w:rPr>
          <w:highlight w:val="none"/>
        </w:rPr>
        <w:fldChar w:fldCharType="begin"/>
      </w:r>
      <w:r>
        <w:rPr>
          <w:highlight w:val="none"/>
        </w:rPr>
        <w:instrText xml:space="preserve"> PAGEREF _Toc16159 \h </w:instrText>
      </w:r>
      <w:r>
        <w:rPr>
          <w:highlight w:val="none"/>
        </w:rPr>
        <w:fldChar w:fldCharType="separate"/>
      </w:r>
      <w:r>
        <w:rPr>
          <w:highlight w:val="none"/>
        </w:rPr>
        <w:t>21</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_Toc4904 </w:instrText>
      </w:r>
      <w:r>
        <w:rPr>
          <w:highlight w:val="none"/>
        </w:rPr>
        <w:fldChar w:fldCharType="separate"/>
      </w:r>
      <w:r>
        <w:rPr>
          <w:rFonts w:hint="eastAsia"/>
          <w:spacing w:val="100"/>
          <w:highlight w:val="none"/>
        </w:rPr>
        <w:t xml:space="preserve">附录B </w:t>
      </w:r>
      <w:r>
        <w:rPr>
          <w:highlight w:val="none"/>
        </w:rPr>
        <w:t xml:space="preserve"> </w:t>
      </w:r>
      <w:r>
        <w:rPr>
          <w:rFonts w:hint="eastAsia"/>
          <w:highlight w:val="none"/>
        </w:rPr>
        <w:t>（资料性）</w:t>
      </w:r>
      <w:r>
        <w:rPr>
          <w:highlight w:val="none"/>
        </w:rPr>
        <w:t xml:space="preserve"> </w:t>
      </w:r>
      <w:r>
        <w:rPr>
          <w:rFonts w:hint="eastAsia"/>
          <w:highlight w:val="none"/>
        </w:rPr>
        <w:t>不动产登记申请书及使用填写说明</w:t>
      </w:r>
      <w:r>
        <w:rPr>
          <w:highlight w:val="none"/>
        </w:rPr>
        <w:tab/>
      </w:r>
      <w:r>
        <w:rPr>
          <w:highlight w:val="none"/>
        </w:rPr>
        <w:fldChar w:fldCharType="begin"/>
      </w:r>
      <w:r>
        <w:rPr>
          <w:highlight w:val="none"/>
        </w:rPr>
        <w:instrText xml:space="preserve"> PAGEREF _Toc4904 \h </w:instrText>
      </w:r>
      <w:r>
        <w:rPr>
          <w:highlight w:val="none"/>
        </w:rPr>
        <w:fldChar w:fldCharType="separate"/>
      </w:r>
      <w:r>
        <w:rPr>
          <w:highlight w:val="none"/>
        </w:rPr>
        <w:t>22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_Toc6318 </w:instrText>
      </w:r>
      <w:r>
        <w:rPr>
          <w:highlight w:val="none"/>
        </w:rPr>
        <w:fldChar w:fldCharType="separate"/>
      </w:r>
      <w:r>
        <w:rPr>
          <w:rFonts w:hint="eastAsia" w:ascii="黑体" w:eastAsia="黑体"/>
          <w:i w:val="0"/>
          <w:highlight w:val="none"/>
        </w:rPr>
        <w:t xml:space="preserve">B.1 </w:t>
      </w:r>
      <w:r>
        <w:rPr>
          <w:rFonts w:hint="eastAsia"/>
          <w:highlight w:val="none"/>
        </w:rPr>
        <w:t>不动产登记申请书</w:t>
      </w:r>
      <w:r>
        <w:rPr>
          <w:highlight w:val="none"/>
        </w:rPr>
        <w:tab/>
      </w:r>
      <w:r>
        <w:rPr>
          <w:highlight w:val="none"/>
        </w:rPr>
        <w:fldChar w:fldCharType="begin"/>
      </w:r>
      <w:r>
        <w:rPr>
          <w:highlight w:val="none"/>
        </w:rPr>
        <w:instrText xml:space="preserve"> PAGEREF _Toc6318 \h </w:instrText>
      </w:r>
      <w:r>
        <w:rPr>
          <w:highlight w:val="none"/>
        </w:rPr>
        <w:fldChar w:fldCharType="separate"/>
      </w:r>
      <w:r>
        <w:rPr>
          <w:highlight w:val="none"/>
        </w:rPr>
        <w:t>22</w:t>
      </w:r>
      <w:r>
        <w:rPr>
          <w:highlight w:val="none"/>
        </w:rPr>
        <w:fldChar w:fldCharType="end"/>
      </w:r>
      <w:r>
        <w:rPr>
          <w:highlight w:val="none"/>
        </w:rPr>
        <w:fldChar w:fldCharType="end"/>
      </w:r>
    </w:p>
    <w:p>
      <w:pPr>
        <w:pStyle w:val="25"/>
        <w:tabs>
          <w:tab w:val="right" w:leader="dot" w:pos="9354"/>
          <w:tab w:val="clear" w:pos="9344"/>
        </w:tabs>
        <w:rPr>
          <w:highlight w:val="none"/>
        </w:rPr>
      </w:pPr>
      <w:r>
        <w:rPr>
          <w:highlight w:val="none"/>
        </w:rPr>
        <w:fldChar w:fldCharType="begin"/>
      </w:r>
      <w:r>
        <w:rPr>
          <w:highlight w:val="none"/>
        </w:rPr>
        <w:instrText xml:space="preserve"> HYPERLINK \l _Toc6830 </w:instrText>
      </w:r>
      <w:r>
        <w:rPr>
          <w:highlight w:val="none"/>
        </w:rPr>
        <w:fldChar w:fldCharType="separate"/>
      </w:r>
      <w:r>
        <w:rPr>
          <w:rFonts w:hint="eastAsia" w:ascii="黑体" w:eastAsia="黑体"/>
          <w:i w:val="0"/>
          <w:highlight w:val="none"/>
        </w:rPr>
        <w:t xml:space="preserve">B.2 </w:t>
      </w:r>
      <w:r>
        <w:rPr>
          <w:rFonts w:hint="eastAsia"/>
          <w:highlight w:val="none"/>
        </w:rPr>
        <w:t>不动产登记申请书使用和填写说明</w:t>
      </w:r>
      <w:r>
        <w:rPr>
          <w:highlight w:val="none"/>
        </w:rPr>
        <w:tab/>
      </w:r>
      <w:r>
        <w:rPr>
          <w:highlight w:val="none"/>
        </w:rPr>
        <w:fldChar w:fldCharType="begin"/>
      </w:r>
      <w:r>
        <w:rPr>
          <w:highlight w:val="none"/>
        </w:rPr>
        <w:instrText xml:space="preserve"> PAGEREF _Toc6830 \h </w:instrText>
      </w:r>
      <w:r>
        <w:rPr>
          <w:highlight w:val="none"/>
        </w:rPr>
        <w:fldChar w:fldCharType="separate"/>
      </w:r>
      <w:r>
        <w:rPr>
          <w:highlight w:val="none"/>
        </w:rPr>
        <w:t>26</w:t>
      </w:r>
      <w:r>
        <w:rPr>
          <w:highlight w:val="none"/>
        </w:rPr>
        <w:fldChar w:fldCharType="end"/>
      </w:r>
      <w:r>
        <w:rPr>
          <w:highlight w:val="none"/>
        </w:rPr>
        <w:fldChar w:fldCharType="end"/>
      </w:r>
    </w:p>
    <w:p>
      <w:pPr>
        <w:pStyle w:val="20"/>
        <w:tabs>
          <w:tab w:val="right" w:leader="dot" w:pos="9354"/>
        </w:tabs>
        <w:rPr>
          <w:highlight w:val="none"/>
        </w:rPr>
      </w:pPr>
      <w:r>
        <w:rPr>
          <w:highlight w:val="none"/>
        </w:rPr>
        <w:fldChar w:fldCharType="begin"/>
      </w:r>
      <w:r>
        <w:rPr>
          <w:highlight w:val="none"/>
        </w:rPr>
        <w:instrText xml:space="preserve"> HYPERLINK \l _Toc22182 </w:instrText>
      </w:r>
      <w:r>
        <w:rPr>
          <w:highlight w:val="none"/>
        </w:rPr>
        <w:fldChar w:fldCharType="separate"/>
      </w:r>
      <w:r>
        <w:rPr>
          <w:rFonts w:hint="eastAsia"/>
          <w:spacing w:val="105"/>
          <w:highlight w:val="none"/>
        </w:rPr>
        <w:t>参考文</w:t>
      </w:r>
      <w:r>
        <w:rPr>
          <w:rFonts w:hint="eastAsia"/>
          <w:highlight w:val="none"/>
        </w:rPr>
        <w:t>献</w:t>
      </w:r>
      <w:r>
        <w:rPr>
          <w:highlight w:val="none"/>
        </w:rPr>
        <w:tab/>
      </w:r>
      <w:r>
        <w:rPr>
          <w:highlight w:val="none"/>
        </w:rPr>
        <w:fldChar w:fldCharType="begin"/>
      </w:r>
      <w:r>
        <w:rPr>
          <w:highlight w:val="none"/>
        </w:rPr>
        <w:instrText xml:space="preserve"> PAGEREF _Toc22182 \h </w:instrText>
      </w:r>
      <w:r>
        <w:rPr>
          <w:highlight w:val="none"/>
        </w:rPr>
        <w:fldChar w:fldCharType="separate"/>
      </w:r>
      <w:r>
        <w:rPr>
          <w:highlight w:val="none"/>
        </w:rPr>
        <w:t>28</w:t>
      </w:r>
      <w:r>
        <w:rPr>
          <w:highlight w:val="none"/>
        </w:rPr>
        <w:fldChar w:fldCharType="end"/>
      </w:r>
      <w:r>
        <w:rPr>
          <w:highlight w:val="none"/>
        </w:rPr>
        <w:fldChar w:fldCharType="end"/>
      </w:r>
    </w:p>
    <w:p>
      <w:pPr>
        <w:pStyle w:val="93"/>
        <w:spacing w:after="468"/>
        <w:rPr>
          <w:highlight w:val="none"/>
        </w:rPr>
      </w:pPr>
      <w:r>
        <w:rPr>
          <w:highlight w:val="none"/>
        </w:rPr>
        <w:fldChar w:fldCharType="end"/>
      </w: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3"/>
        <w:spacing w:after="468"/>
        <w:rPr>
          <w:highlight w:val="none"/>
        </w:rPr>
      </w:pPr>
    </w:p>
    <w:p>
      <w:pPr>
        <w:pStyle w:val="91"/>
        <w:spacing w:before="900" w:after="468"/>
        <w:rPr>
          <w:highlight w:val="none"/>
        </w:rPr>
      </w:pPr>
      <w:bookmarkStart w:id="22" w:name="_Toc1428"/>
      <w:bookmarkStart w:id="23" w:name="_Toc145916762"/>
      <w:r>
        <w:rPr>
          <w:spacing w:val="320"/>
          <w:highlight w:val="none"/>
        </w:rPr>
        <w:t>前</w:t>
      </w:r>
      <w:r>
        <w:rPr>
          <w:highlight w:val="none"/>
        </w:rPr>
        <w:t>言</w:t>
      </w:r>
      <w:bookmarkEnd w:id="22"/>
      <w:bookmarkEnd w:id="23"/>
    </w:p>
    <w:p>
      <w:pPr>
        <w:pStyle w:val="58"/>
        <w:ind w:firstLine="420"/>
        <w:rPr>
          <w:highlight w:val="none"/>
        </w:rPr>
      </w:pPr>
      <w:r>
        <w:rPr>
          <w:rFonts w:hint="eastAsia"/>
          <w:highlight w:val="none"/>
        </w:rPr>
        <w:t>本文件按照GB/T 1.1—2020《标准化工作导则  第1部分：标准化文件的结构和起草规则》的规定起草。</w:t>
      </w:r>
    </w:p>
    <w:p>
      <w:pPr>
        <w:pStyle w:val="58"/>
        <w:ind w:firstLine="420"/>
        <w:rPr>
          <w:highlight w:val="none"/>
        </w:rPr>
      </w:pPr>
      <w:r>
        <w:rPr>
          <w:rFonts w:hint="eastAsia"/>
          <w:highlight w:val="none"/>
        </w:rPr>
        <w:t>请注意本文件的某些内容可能涉及专利。本文件的发布机构不承担识别专利的责任。</w:t>
      </w:r>
    </w:p>
    <w:p>
      <w:pPr>
        <w:pStyle w:val="58"/>
        <w:ind w:firstLine="420"/>
        <w:rPr>
          <w:highlight w:val="none"/>
        </w:rPr>
      </w:pPr>
      <w:r>
        <w:rPr>
          <w:rFonts w:hint="eastAsia"/>
          <w:highlight w:val="none"/>
        </w:rPr>
        <w:t>本文件由湖南省自然资源厅提出并归口。</w:t>
      </w:r>
    </w:p>
    <w:p>
      <w:pPr>
        <w:pStyle w:val="58"/>
        <w:ind w:firstLine="420"/>
        <w:rPr>
          <w:highlight w:val="none"/>
        </w:rPr>
      </w:pPr>
      <w:r>
        <w:rPr>
          <w:rFonts w:hint="eastAsia"/>
          <w:highlight w:val="none"/>
        </w:rPr>
        <w:t>本文件起草单位：湖南省不动产登记中心。</w:t>
      </w:r>
    </w:p>
    <w:p>
      <w:pPr>
        <w:pStyle w:val="58"/>
        <w:ind w:firstLine="420"/>
        <w:rPr>
          <w:highlight w:val="none"/>
        </w:rPr>
      </w:pPr>
      <w:r>
        <w:rPr>
          <w:rFonts w:hint="eastAsia"/>
          <w:highlight w:val="none"/>
        </w:rPr>
        <w:t>本文件主要起草人：</w:t>
      </w:r>
      <w:r>
        <w:rPr>
          <w:rFonts w:hint="eastAsia"/>
          <w:highlight w:val="none"/>
          <w:lang w:eastAsia="zh-CN"/>
        </w:rPr>
        <w:t>邓姝</w:t>
      </w:r>
      <w:r>
        <w:rPr>
          <w:rFonts w:hint="eastAsia"/>
          <w:highlight w:val="none"/>
        </w:rPr>
        <w:t>、</w:t>
      </w:r>
      <w:r>
        <w:rPr>
          <w:rFonts w:hint="eastAsia"/>
          <w:highlight w:val="none"/>
          <w:lang w:eastAsia="zh-CN"/>
        </w:rPr>
        <w:t>甘明超、邓世赞、李俊</w:t>
      </w:r>
      <w:r>
        <w:rPr>
          <w:rFonts w:hint="eastAsia"/>
          <w:highlight w:val="none"/>
        </w:rPr>
        <w:t>、</w:t>
      </w:r>
      <w:r>
        <w:rPr>
          <w:rFonts w:hint="eastAsia"/>
          <w:highlight w:val="none"/>
          <w:lang w:eastAsia="zh-CN"/>
        </w:rPr>
        <w:t>郭学松、</w:t>
      </w:r>
      <w:r>
        <w:rPr>
          <w:rFonts w:hint="eastAsia"/>
          <w:highlight w:val="none"/>
        </w:rPr>
        <w:t>罗瑜、郭利华、</w:t>
      </w:r>
      <w:r>
        <w:rPr>
          <w:rFonts w:hint="eastAsia"/>
          <w:highlight w:val="none"/>
          <w:lang w:eastAsia="zh-CN"/>
        </w:rPr>
        <w:t>李海军、邓新忠</w:t>
      </w:r>
      <w:r>
        <w:rPr>
          <w:rFonts w:hint="eastAsia"/>
          <w:highlight w:val="none"/>
        </w:rPr>
        <w:t>、</w:t>
      </w:r>
      <w:r>
        <w:rPr>
          <w:rFonts w:hint="eastAsia"/>
          <w:highlight w:val="none"/>
          <w:lang w:eastAsia="zh-CN"/>
        </w:rPr>
        <w:t>易萍、王敬元、李晓艳</w:t>
      </w:r>
      <w:r>
        <w:rPr>
          <w:rFonts w:hint="eastAsia"/>
          <w:highlight w:val="none"/>
        </w:rPr>
        <w:t>、</w:t>
      </w:r>
      <w:r>
        <w:rPr>
          <w:rFonts w:hint="eastAsia"/>
          <w:highlight w:val="none"/>
          <w:lang w:eastAsia="zh-CN"/>
        </w:rPr>
        <w:t>黄平</w:t>
      </w:r>
      <w:r>
        <w:rPr>
          <w:rFonts w:hint="eastAsia"/>
          <w:highlight w:val="none"/>
        </w:rPr>
        <w:t>、</w:t>
      </w:r>
      <w:r>
        <w:rPr>
          <w:rFonts w:hint="eastAsia"/>
          <w:highlight w:val="none"/>
          <w:lang w:eastAsia="zh-CN"/>
        </w:rPr>
        <w:t>李振红</w:t>
      </w:r>
      <w:r>
        <w:rPr>
          <w:rFonts w:hint="eastAsia"/>
          <w:highlight w:val="none"/>
        </w:rPr>
        <w:t>、</w:t>
      </w:r>
      <w:r>
        <w:rPr>
          <w:rFonts w:hint="eastAsia"/>
          <w:highlight w:val="none"/>
          <w:lang w:eastAsia="zh-CN"/>
        </w:rPr>
        <w:t>彭艺娴</w:t>
      </w:r>
      <w:r>
        <w:rPr>
          <w:rFonts w:hint="eastAsia"/>
          <w:highlight w:val="none"/>
        </w:rPr>
        <w:t>、</w:t>
      </w:r>
      <w:r>
        <w:rPr>
          <w:rFonts w:hint="eastAsia"/>
          <w:highlight w:val="none"/>
          <w:lang w:eastAsia="zh-CN"/>
        </w:rPr>
        <w:t>丁青</w:t>
      </w:r>
      <w:r>
        <w:rPr>
          <w:rFonts w:hint="eastAsia"/>
          <w:highlight w:val="none"/>
        </w:rPr>
        <w:t>、</w:t>
      </w:r>
      <w:r>
        <w:rPr>
          <w:rFonts w:hint="eastAsia"/>
          <w:highlight w:val="none"/>
          <w:lang w:eastAsia="zh-CN"/>
        </w:rPr>
        <w:t>邓智天</w:t>
      </w:r>
      <w:r>
        <w:rPr>
          <w:rFonts w:hint="eastAsia"/>
          <w:highlight w:val="none"/>
        </w:rPr>
        <w:t>、</w:t>
      </w:r>
      <w:r>
        <w:rPr>
          <w:rFonts w:hint="eastAsia"/>
          <w:highlight w:val="none"/>
          <w:lang w:eastAsia="zh-CN"/>
        </w:rPr>
        <w:t>祝军</w:t>
      </w:r>
      <w:r>
        <w:rPr>
          <w:rFonts w:hint="eastAsia"/>
          <w:highlight w:val="none"/>
        </w:rPr>
        <w:t>。</w:t>
      </w:r>
    </w:p>
    <w:p>
      <w:pPr>
        <w:pStyle w:val="93"/>
        <w:spacing w:after="468"/>
        <w:rPr>
          <w:highlight w:val="none"/>
        </w:rPr>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ascii="黑体" w:hAnsi="黑体" w:eastAsia="黑体"/>
          <w:sz w:val="32"/>
          <w:szCs w:val="32"/>
          <w:highlight w:val="none"/>
        </w:rPr>
      </w:pPr>
      <w:bookmarkStart w:id="24" w:name="BookMark4"/>
    </w:p>
    <w:p>
      <w:pPr>
        <w:spacing w:line="20" w:lineRule="exact"/>
        <w:jc w:val="center"/>
        <w:rPr>
          <w:rFonts w:ascii="黑体" w:hAnsi="黑体" w:eastAsia="黑体"/>
          <w:sz w:val="32"/>
          <w:szCs w:val="32"/>
          <w:highlight w:val="none"/>
        </w:rPr>
      </w:pPr>
    </w:p>
    <w:sdt>
      <w:sdtPr>
        <w:rPr>
          <w:highlight w:val="none"/>
        </w:rPr>
        <w:tag w:val="NEW_STAND_NAME"/>
        <w:id w:val="595910757"/>
        <w:lock w:val="sdtLocked"/>
        <w:placeholder>
          <w:docPart w:val="93C4BE08E7C448A486F6ED450795642A"/>
        </w:placeholder>
      </w:sdtPr>
      <w:sdtEndPr>
        <w:rPr>
          <w:highlight w:val="none"/>
        </w:rPr>
      </w:sdtEndPr>
      <w:sdtContent>
        <w:p>
          <w:pPr>
            <w:pStyle w:val="179"/>
            <w:spacing w:before="3" w:beforeLines="1" w:after="686" w:afterLines="220"/>
            <w:rPr>
              <w:highlight w:val="none"/>
            </w:rPr>
          </w:pPr>
          <w:bookmarkStart w:id="25" w:name="NEW_STAND_NAME"/>
          <w:r>
            <w:rPr>
              <w:rFonts w:hint="eastAsia"/>
              <w:highlight w:val="none"/>
            </w:rPr>
            <w:t>湖南省不动产登记业务规范</w:t>
          </w:r>
        </w:p>
      </w:sdtContent>
    </w:sdt>
    <w:bookmarkEnd w:id="25"/>
    <w:p>
      <w:pPr>
        <w:pStyle w:val="106"/>
        <w:spacing w:before="312" w:after="312"/>
        <w:rPr>
          <w:highlight w:val="none"/>
        </w:rPr>
      </w:pPr>
      <w:bookmarkStart w:id="26" w:name="_Toc24884211"/>
      <w:bookmarkStart w:id="27" w:name="_Toc97191423"/>
      <w:bookmarkStart w:id="28" w:name="_Toc17233333"/>
      <w:bookmarkStart w:id="29" w:name="_Toc17233325"/>
      <w:bookmarkStart w:id="30" w:name="_Toc26648465"/>
      <w:bookmarkStart w:id="31" w:name="_Toc11593"/>
      <w:bookmarkStart w:id="32" w:name="_Toc24884218"/>
      <w:bookmarkStart w:id="33" w:name="_Toc148013594"/>
      <w:bookmarkStart w:id="34" w:name="_Toc26986530"/>
      <w:bookmarkStart w:id="35" w:name="_Toc26986771"/>
      <w:bookmarkStart w:id="36" w:name="_Toc26718930"/>
      <w:r>
        <w:rPr>
          <w:rFonts w:hint="eastAsia"/>
          <w:highlight w:val="none"/>
        </w:rPr>
        <w:t>范围</w:t>
      </w:r>
      <w:bookmarkEnd w:id="26"/>
      <w:bookmarkEnd w:id="27"/>
      <w:bookmarkEnd w:id="28"/>
      <w:bookmarkEnd w:id="29"/>
      <w:bookmarkEnd w:id="30"/>
      <w:bookmarkEnd w:id="31"/>
      <w:bookmarkEnd w:id="32"/>
      <w:bookmarkEnd w:id="33"/>
      <w:bookmarkEnd w:id="34"/>
      <w:bookmarkEnd w:id="35"/>
      <w:bookmarkEnd w:id="36"/>
    </w:p>
    <w:p>
      <w:pPr>
        <w:pStyle w:val="58"/>
        <w:ind w:firstLine="420"/>
        <w:rPr>
          <w:highlight w:val="none"/>
        </w:rPr>
      </w:pPr>
      <w:bookmarkStart w:id="37" w:name="_Toc26648466"/>
      <w:bookmarkStart w:id="38" w:name="_Toc17233326"/>
      <w:bookmarkStart w:id="39" w:name="_Toc24884219"/>
      <w:bookmarkStart w:id="40" w:name="_Toc17233334"/>
      <w:bookmarkStart w:id="41" w:name="_Toc24884212"/>
      <w:r>
        <w:rPr>
          <w:rFonts w:hint="eastAsia"/>
          <w:highlight w:val="none"/>
        </w:rPr>
        <w:t>本文件规定了不动产登记的一般要求及申请、受理、审核、登簿、发证、互联网+不动产登记的业务要求。</w:t>
      </w:r>
    </w:p>
    <w:p>
      <w:pPr>
        <w:pStyle w:val="58"/>
        <w:ind w:firstLine="420"/>
        <w:rPr>
          <w:highlight w:val="none"/>
        </w:rPr>
      </w:pPr>
      <w:r>
        <w:rPr>
          <w:rFonts w:hint="eastAsia"/>
          <w:highlight w:val="none"/>
        </w:rPr>
        <w:t>本文件适用于湖南省内不动产登记工作。</w:t>
      </w:r>
    </w:p>
    <w:p>
      <w:pPr>
        <w:pStyle w:val="106"/>
        <w:spacing w:before="312" w:after="312"/>
        <w:rPr>
          <w:highlight w:val="none"/>
        </w:rPr>
      </w:pPr>
      <w:bookmarkStart w:id="42" w:name="_Toc26718931"/>
      <w:bookmarkStart w:id="43" w:name="_Toc8489"/>
      <w:bookmarkStart w:id="44" w:name="_Toc26986531"/>
      <w:bookmarkStart w:id="45" w:name="_Toc26986772"/>
      <w:bookmarkStart w:id="46" w:name="_Toc148013595"/>
      <w:bookmarkStart w:id="47" w:name="_Toc97191424"/>
      <w:r>
        <w:rPr>
          <w:rFonts w:hint="eastAsia"/>
          <w:highlight w:val="none"/>
        </w:rPr>
        <w:t>规范性引用文件</w:t>
      </w:r>
      <w:bookmarkEnd w:id="37"/>
      <w:bookmarkEnd w:id="38"/>
      <w:bookmarkEnd w:id="39"/>
      <w:bookmarkEnd w:id="40"/>
      <w:bookmarkEnd w:id="41"/>
      <w:bookmarkEnd w:id="42"/>
      <w:bookmarkEnd w:id="43"/>
      <w:bookmarkEnd w:id="44"/>
      <w:bookmarkEnd w:id="45"/>
      <w:bookmarkEnd w:id="46"/>
      <w:bookmarkEnd w:id="47"/>
    </w:p>
    <w:sdt>
      <w:sdtPr>
        <w:rPr>
          <w:rFonts w:hint="eastAsia"/>
          <w:highlight w:val="none"/>
        </w:rPr>
        <w:id w:val="715848253"/>
        <w:placeholder>
          <w:docPart w:val="DA8C48922F9C4120B0FBA8E6DD3535F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highlight w:val="none"/>
        </w:rPr>
      </w:sdtEndPr>
      <w:sdtContent>
        <w:p>
          <w:pPr>
            <w:pStyle w:val="58"/>
            <w:ind w:firstLine="420"/>
            <w:rPr>
              <w:highlight w:val="none"/>
            </w:rPr>
          </w:pPr>
          <w:r>
            <w:rPr>
              <w:rFonts w:hint="eastAsia"/>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8"/>
        <w:ind w:firstLine="420"/>
        <w:rPr>
          <w:highlight w:val="none"/>
        </w:rPr>
      </w:pPr>
      <w:r>
        <w:rPr>
          <w:rFonts w:hint="eastAsia"/>
          <w:highlight w:val="none"/>
        </w:rPr>
        <w:t>GB/T37346   不动产单元设定与代码编制规则</w:t>
      </w:r>
    </w:p>
    <w:p>
      <w:pPr>
        <w:pStyle w:val="58"/>
        <w:ind w:firstLine="420"/>
        <w:rPr>
          <w:rFonts w:hint="eastAsia"/>
          <w:highlight w:val="none"/>
        </w:rPr>
      </w:pPr>
      <w:r>
        <w:rPr>
          <w:rFonts w:hint="eastAsia"/>
          <w:highlight w:val="none"/>
        </w:rPr>
        <w:t>GB/T42547-2023   地籍调查规程</w:t>
      </w:r>
    </w:p>
    <w:p>
      <w:pPr>
        <w:pStyle w:val="58"/>
        <w:ind w:firstLine="420"/>
        <w:rPr>
          <w:rFonts w:hint="eastAsia"/>
          <w:highlight w:val="none"/>
        </w:rPr>
      </w:pPr>
      <w:r>
        <w:rPr>
          <w:rFonts w:hint="eastAsia"/>
          <w:highlight w:val="none"/>
        </w:rPr>
        <w:t>GB/T38540-2020《信息安全技术安全电子签章密码技术规范》</w:t>
      </w:r>
    </w:p>
    <w:p>
      <w:pPr>
        <w:pStyle w:val="58"/>
        <w:ind w:firstLine="420"/>
        <w:rPr>
          <w:highlight w:val="none"/>
        </w:rPr>
      </w:pPr>
      <w:r>
        <w:rPr>
          <w:rFonts w:hint="eastAsia"/>
          <w:highlight w:val="none"/>
        </w:rPr>
        <w:t>C0203-2020  全国一体化在线政务服务平台电子证照不动产权证书</w:t>
      </w:r>
    </w:p>
    <w:p>
      <w:pPr>
        <w:pStyle w:val="58"/>
        <w:ind w:firstLine="420"/>
        <w:rPr>
          <w:highlight w:val="none"/>
        </w:rPr>
      </w:pPr>
      <w:r>
        <w:rPr>
          <w:rFonts w:hint="eastAsia"/>
          <w:highlight w:val="none"/>
        </w:rPr>
        <w:t>C0204-2020  全国一体化在线政务服务平台电子证照不动产登记证明</w:t>
      </w:r>
    </w:p>
    <w:p>
      <w:pPr>
        <w:pStyle w:val="106"/>
        <w:spacing w:before="312" w:after="312"/>
        <w:rPr>
          <w:highlight w:val="none"/>
        </w:rPr>
      </w:pPr>
      <w:bookmarkStart w:id="48" w:name="_Toc148013596"/>
      <w:bookmarkStart w:id="49" w:name="_Toc7809"/>
      <w:bookmarkStart w:id="50" w:name="_Toc97191425"/>
      <w:r>
        <w:rPr>
          <w:rFonts w:hint="eastAsia"/>
          <w:szCs w:val="21"/>
          <w:highlight w:val="none"/>
        </w:rPr>
        <w:t>术语和定义</w:t>
      </w:r>
      <w:bookmarkEnd w:id="48"/>
      <w:bookmarkEnd w:id="49"/>
      <w:bookmarkEnd w:id="50"/>
    </w:p>
    <w:sdt>
      <w:sdtPr>
        <w:rPr>
          <w:highlight w:val="none"/>
        </w:rPr>
        <w:id w:val="-1909835108"/>
        <w:placeholder>
          <w:docPart w:val="FA01DFDCDB0F4A5CBD02DD8952049AD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highlight w:val="none"/>
        </w:rPr>
      </w:sdtEndPr>
      <w:sdtContent>
        <w:p>
          <w:pPr>
            <w:pStyle w:val="58"/>
            <w:ind w:firstLine="420"/>
            <w:rPr>
              <w:highlight w:val="none"/>
            </w:rPr>
          </w:pPr>
          <w:bookmarkStart w:id="51" w:name="_Toc26986532"/>
          <w:bookmarkEnd w:id="51"/>
          <w:r>
            <w:rPr>
              <w:highlight w:val="none"/>
            </w:rPr>
            <w:t>下列术语和定义适用于本文件。</w:t>
          </w:r>
        </w:p>
      </w:sdtContent>
    </w:sdt>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p>
    <w:p>
      <w:pPr>
        <w:pStyle w:val="58"/>
        <w:ind w:firstLine="420"/>
        <w:rPr>
          <w:rFonts w:hint="default" w:eastAsia="宋体"/>
          <w:highlight w:val="none"/>
          <w:lang w:val="en-US" w:eastAsia="zh-CN"/>
        </w:rPr>
      </w:pPr>
      <w:r>
        <w:rPr>
          <w:rFonts w:hint="eastAsia"/>
          <w:highlight w:val="none"/>
        </w:rPr>
        <w:t>土地、海域（含无居民海岛）以及房屋、林木等定着物。</w:t>
      </w:r>
      <w:r>
        <w:rPr>
          <w:rFonts w:hint="eastAsia"/>
          <w:highlight w:val="none"/>
          <w:lang w:val="en-US" w:eastAsia="zh-CN"/>
        </w:rPr>
        <w:t>[来源：GB/T42547-2023，3.4]</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不动产单元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estateunit</w:t>
      </w:r>
    </w:p>
    <w:p>
      <w:pPr>
        <w:pStyle w:val="58"/>
        <w:ind w:firstLine="420"/>
        <w:rPr>
          <w:rFonts w:hint="default" w:eastAsia="宋体"/>
          <w:highlight w:val="none"/>
          <w:lang w:val="en-US" w:eastAsia="zh-CN"/>
        </w:rPr>
      </w:pPr>
      <w:r>
        <w:rPr>
          <w:rFonts w:hint="eastAsia"/>
          <w:highlight w:val="none"/>
        </w:rPr>
        <w:t>土地、海域（含无居民海岛）及其定着物构成的权属界线封闭且具有独立使用价值的空间。</w:t>
      </w:r>
      <w:r>
        <w:rPr>
          <w:rFonts w:hint="eastAsia"/>
          <w:highlight w:val="none"/>
          <w:lang w:val="en-US" w:eastAsia="zh-CN"/>
        </w:rPr>
        <w:t>[来源：GB/T42547-2023，3.5]</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房屋 </w:t>
      </w:r>
      <w:r>
        <w:rPr>
          <w:rFonts w:ascii="黑体" w:hAnsi="黑体" w:eastAsia="黑体"/>
          <w:highlight w:val="none"/>
        </w:rPr>
        <w:t xml:space="preserve"> </w:t>
      </w:r>
      <w:r>
        <w:rPr>
          <w:rFonts w:hint="eastAsia" w:ascii="黑体" w:hAnsi="黑体" w:eastAsia="黑体"/>
          <w:highlight w:val="none"/>
        </w:rPr>
        <w:t>building</w:t>
      </w:r>
    </w:p>
    <w:p>
      <w:pPr>
        <w:pStyle w:val="58"/>
        <w:ind w:firstLine="420"/>
        <w:rPr>
          <w:rFonts w:hint="default" w:eastAsia="宋体"/>
          <w:highlight w:val="none"/>
          <w:lang w:val="en-US" w:eastAsia="zh-CN"/>
        </w:rPr>
      </w:pPr>
      <w:r>
        <w:rPr>
          <w:rFonts w:hint="eastAsia"/>
          <w:highlight w:val="none"/>
        </w:rPr>
        <w:t>独立成栋、权属界线封闭的空间，以及区分套、蹭、间等权属界线封闭、可以独立使用、功能完整的空间。</w:t>
      </w:r>
      <w:r>
        <w:rPr>
          <w:rFonts w:hint="eastAsia"/>
          <w:highlight w:val="none"/>
          <w:lang w:val="en-US" w:eastAsia="zh-CN"/>
        </w:rPr>
        <w:t>[来源：GB/T42547-2023，3.12]</w:t>
      </w:r>
    </w:p>
    <w:p>
      <w:pPr>
        <w:pStyle w:val="58"/>
        <w:ind w:firstLine="420"/>
        <w:rPr>
          <w:rFonts w:hint="eastAsia"/>
          <w:highlight w:val="none"/>
        </w:rPr>
      </w:pP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不动产登记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r>
        <w:rPr>
          <w:rFonts w:ascii="黑体" w:hAnsi="黑体" w:eastAsia="黑体"/>
          <w:highlight w:val="none"/>
        </w:rPr>
        <w:t xml:space="preserve"> </w:t>
      </w:r>
      <w:r>
        <w:rPr>
          <w:rFonts w:hint="eastAsia" w:ascii="黑体" w:hAnsi="黑体" w:eastAsia="黑体"/>
          <w:highlight w:val="none"/>
        </w:rPr>
        <w:t>registration</w:t>
      </w:r>
    </w:p>
    <w:p>
      <w:pPr>
        <w:pStyle w:val="58"/>
        <w:ind w:firstLine="420"/>
        <w:rPr>
          <w:highlight w:val="none"/>
        </w:rPr>
      </w:pPr>
      <w:r>
        <w:rPr>
          <w:rFonts w:hint="eastAsia"/>
          <w:highlight w:val="none"/>
        </w:rPr>
        <w:t>不动产登记机构依法将不动产权利归属和其他法定事项记载于不动产登记簿的行为。</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不动产登记簿 </w:t>
      </w:r>
      <w:r>
        <w:rPr>
          <w:rFonts w:ascii="黑体" w:hAnsi="黑体" w:eastAsia="黑体"/>
          <w:highlight w:val="none"/>
        </w:rPr>
        <w:t xml:space="preserve"> </w:t>
      </w:r>
      <w:r>
        <w:rPr>
          <w:rFonts w:hint="eastAsia" w:ascii="黑体" w:hAnsi="黑体" w:eastAsia="黑体"/>
          <w:highlight w:val="none"/>
        </w:rPr>
        <w:t>real</w:t>
      </w:r>
      <w:r>
        <w:rPr>
          <w:rFonts w:ascii="黑体" w:hAnsi="黑体" w:eastAsia="黑体"/>
          <w:highlight w:val="none"/>
        </w:rPr>
        <w:t xml:space="preserve"> </w:t>
      </w:r>
      <w:r>
        <w:rPr>
          <w:rFonts w:hint="eastAsia" w:ascii="黑体" w:hAnsi="黑体" w:eastAsia="黑体"/>
          <w:highlight w:val="none"/>
        </w:rPr>
        <w:t>estate</w:t>
      </w:r>
      <w:r>
        <w:rPr>
          <w:rFonts w:ascii="黑体" w:hAnsi="黑体" w:eastAsia="黑体"/>
          <w:highlight w:val="none"/>
        </w:rPr>
        <w:t xml:space="preserve"> </w:t>
      </w:r>
      <w:r>
        <w:rPr>
          <w:rFonts w:hint="eastAsia" w:ascii="黑体" w:hAnsi="黑体" w:eastAsia="黑体"/>
          <w:highlight w:val="none"/>
        </w:rPr>
        <w:t>register</w:t>
      </w:r>
    </w:p>
    <w:p>
      <w:pPr>
        <w:pStyle w:val="58"/>
        <w:ind w:firstLine="420"/>
        <w:rPr>
          <w:highlight w:val="none"/>
        </w:rPr>
      </w:pPr>
      <w:r>
        <w:rPr>
          <w:rFonts w:hint="eastAsia"/>
          <w:highlight w:val="none"/>
        </w:rPr>
        <w:t>由不动产登记机构依法制作和管理，用于记载</w:t>
      </w:r>
      <w:r>
        <w:rPr>
          <w:rFonts w:hint="eastAsia" w:ascii="宋体"/>
          <w:highlight w:val="none"/>
        </w:rPr>
        <w:t>记载不动产自然状况、权属状况、涉及不动产权利限制和提示等相关事项</w:t>
      </w:r>
      <w:r>
        <w:rPr>
          <w:rFonts w:hint="eastAsia"/>
          <w:highlight w:val="none"/>
          <w:lang w:eastAsia="zh-CN"/>
        </w:rPr>
        <w:t>的</w:t>
      </w:r>
      <w:r>
        <w:rPr>
          <w:rFonts w:hint="eastAsia"/>
          <w:highlight w:val="none"/>
        </w:rPr>
        <w:t>特定簿册。</w:t>
      </w:r>
      <w:r>
        <w:rPr>
          <w:rFonts w:hint="eastAsia"/>
          <w:highlight w:val="none"/>
          <w:lang w:val="en-US" w:eastAsia="zh-CN"/>
        </w:rPr>
        <w:t>[来源：DB43/T 1689—2019，3.1，有修改]</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利害关系人 </w:t>
      </w:r>
      <w:r>
        <w:rPr>
          <w:rFonts w:ascii="黑体" w:hAnsi="黑体" w:eastAsia="黑体"/>
          <w:highlight w:val="none"/>
        </w:rPr>
        <w:t xml:space="preserve"> </w:t>
      </w:r>
      <w:r>
        <w:rPr>
          <w:rFonts w:hint="eastAsia" w:ascii="黑体" w:hAnsi="黑体" w:eastAsia="黑体"/>
          <w:highlight w:val="none"/>
        </w:rPr>
        <w:t>interested</w:t>
      </w:r>
      <w:r>
        <w:rPr>
          <w:rFonts w:ascii="黑体" w:hAnsi="黑体" w:eastAsia="黑体"/>
          <w:highlight w:val="none"/>
        </w:rPr>
        <w:t xml:space="preserve"> </w:t>
      </w:r>
      <w:r>
        <w:rPr>
          <w:rFonts w:hint="eastAsia" w:ascii="黑体" w:hAnsi="黑体" w:eastAsia="黑体"/>
          <w:highlight w:val="none"/>
        </w:rPr>
        <w:t>party</w:t>
      </w:r>
    </w:p>
    <w:p>
      <w:pPr>
        <w:pStyle w:val="58"/>
        <w:ind w:firstLine="420"/>
        <w:rPr>
          <w:highlight w:val="none"/>
        </w:rPr>
      </w:pPr>
      <w:r>
        <w:rPr>
          <w:rFonts w:hint="eastAsia"/>
          <w:highlight w:val="none"/>
        </w:rPr>
        <w:t>能够提供证据证明不动产登记结果影响或者可能影响其合法权益的人。</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highlight w:val="none"/>
        </w:rPr>
      </w:pPr>
      <w:r>
        <w:rPr>
          <w:rFonts w:hint="eastAsia"/>
          <w:highlight w:val="none"/>
        </w:rPr>
        <w:t>国家机关、社会组织或个人在履行其法定职责或处理事务过程中，通过计算机等电子设备形成、办 理、传输和存储的数字格式的各种信息记录。</w:t>
      </w:r>
    </w:p>
    <w:p>
      <w:pPr>
        <w:pStyle w:val="58"/>
        <w:ind w:firstLine="420"/>
        <w:rPr>
          <w:rFonts w:hint="eastAsia" w:eastAsia="宋体"/>
          <w:highlight w:val="none"/>
          <w:lang w:eastAsia="zh-CN"/>
        </w:rPr>
      </w:pPr>
      <w:r>
        <w:rPr>
          <w:rFonts w:hint="eastAsia"/>
          <w:highlight w:val="none"/>
        </w:rPr>
        <w:t>电子文件按生成方式划分为原生电子文件和数字化电子文件</w:t>
      </w:r>
      <w:r>
        <w:rPr>
          <w:rFonts w:hint="eastAsia"/>
          <w:highlight w:val="none"/>
          <w:lang w:eastAsia="zh-CN"/>
        </w:rPr>
        <w:t>。</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lang w:eastAsia="zh-CN"/>
        </w:rPr>
        <w:t>原生</w:t>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lang w:val="en-US" w:eastAsia="zh-CN"/>
        </w:rPr>
        <w:t xml:space="preserve">native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eastAsia="宋体"/>
          <w:highlight w:val="none"/>
          <w:lang w:eastAsia="zh-CN"/>
        </w:rPr>
      </w:pPr>
      <w:r>
        <w:rPr>
          <w:rFonts w:hint="eastAsia"/>
          <w:highlight w:val="none"/>
        </w:rPr>
        <w:t>在计算机系统中直接生成的数字信息文件</w:t>
      </w:r>
      <w:r>
        <w:rPr>
          <w:rFonts w:hint="eastAsia"/>
          <w:highlight w:val="none"/>
          <w:lang w:eastAsia="zh-CN"/>
        </w:rPr>
        <w:t>。</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lang w:eastAsia="zh-CN"/>
        </w:rPr>
        <w:t>数字化</w:t>
      </w:r>
      <w:r>
        <w:rPr>
          <w:rFonts w:hint="eastAsia" w:ascii="黑体" w:hAnsi="黑体" w:eastAsia="黑体"/>
          <w:highlight w:val="none"/>
        </w:rPr>
        <w:t xml:space="preserve">电子文件 </w:t>
      </w:r>
      <w:r>
        <w:rPr>
          <w:rFonts w:ascii="黑体" w:hAnsi="黑体" w:eastAsia="黑体"/>
          <w:highlight w:val="none"/>
        </w:rPr>
        <w:t xml:space="preserve"> </w:t>
      </w:r>
      <w:r>
        <w:rPr>
          <w:rFonts w:hint="eastAsia" w:ascii="黑体" w:hAnsi="黑体" w:eastAsia="黑体"/>
          <w:highlight w:val="none"/>
          <w:lang w:val="en-US" w:eastAsia="zh-CN"/>
        </w:rPr>
        <w:t xml:space="preserve">digitized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document</w:t>
      </w:r>
    </w:p>
    <w:p>
      <w:pPr>
        <w:pStyle w:val="58"/>
        <w:ind w:firstLine="420"/>
        <w:rPr>
          <w:rFonts w:hint="eastAsia"/>
          <w:highlight w:val="none"/>
        </w:rPr>
      </w:pPr>
      <w:r>
        <w:rPr>
          <w:rFonts w:hint="eastAsia"/>
          <w:highlight w:val="none"/>
        </w:rPr>
        <w:t>将模拟信息的源文件（如纸质文件、模拟录音文件、缩微胶片等）经由数字设备转换而成的数字信息文件。</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电子签名 </w:t>
      </w:r>
      <w:r>
        <w:rPr>
          <w:rFonts w:ascii="黑体" w:hAnsi="黑体" w:eastAsia="黑体"/>
          <w:highlight w:val="none"/>
        </w:rPr>
        <w:t xml:space="preserve"> </w:t>
      </w:r>
      <w:r>
        <w:rPr>
          <w:rFonts w:hint="eastAsia" w:ascii="黑体" w:hAnsi="黑体" w:eastAsia="黑体"/>
          <w:highlight w:val="none"/>
        </w:rPr>
        <w:t>electronic</w:t>
      </w:r>
      <w:r>
        <w:rPr>
          <w:rFonts w:ascii="黑体" w:hAnsi="黑体" w:eastAsia="黑体"/>
          <w:highlight w:val="none"/>
        </w:rPr>
        <w:t xml:space="preserve"> </w:t>
      </w:r>
      <w:r>
        <w:rPr>
          <w:rFonts w:hint="eastAsia" w:ascii="黑体" w:hAnsi="黑体" w:eastAsia="黑体"/>
          <w:highlight w:val="none"/>
        </w:rPr>
        <w:t>signature</w:t>
      </w:r>
    </w:p>
    <w:p>
      <w:pPr>
        <w:pStyle w:val="58"/>
        <w:ind w:firstLine="420"/>
        <w:rPr>
          <w:highlight w:val="none"/>
        </w:rPr>
      </w:pPr>
      <w:r>
        <w:rPr>
          <w:rFonts w:hint="eastAsia"/>
          <w:highlight w:val="none"/>
        </w:rPr>
        <w:t>电子材料（数据电文）中以电子形式所含、所附用于识别签名人身份并表明签名人认可其中内容的数据。</w:t>
      </w:r>
    </w:p>
    <w:p>
      <w:pPr>
        <w:pStyle w:val="225"/>
        <w:ind w:left="420" w:hanging="420" w:hangingChars="200"/>
        <w:rPr>
          <w:rFonts w:ascii="黑体" w:hAnsi="黑体" w:eastAsia="黑体"/>
          <w:highlight w:val="none"/>
        </w:rPr>
      </w:pPr>
      <w:r>
        <w:rPr>
          <w:rFonts w:ascii="黑体" w:hAnsi="黑体" w:eastAsia="黑体"/>
          <w:highlight w:val="none"/>
        </w:rPr>
        <w:br w:type="textWrapping"/>
      </w:r>
      <w:r>
        <w:rPr>
          <w:rFonts w:hint="eastAsia" w:ascii="黑体" w:hAnsi="黑体" w:eastAsia="黑体"/>
          <w:highlight w:val="none"/>
        </w:rPr>
        <w:t xml:space="preserve">电子证照 </w:t>
      </w:r>
      <w:r>
        <w:rPr>
          <w:rFonts w:ascii="黑体" w:hAnsi="黑体" w:eastAsia="黑体"/>
          <w:highlight w:val="none"/>
        </w:rPr>
        <w:t xml:space="preserve"> e</w:t>
      </w:r>
      <w:r>
        <w:rPr>
          <w:rFonts w:hint="eastAsia" w:ascii="黑体" w:hAnsi="黑体" w:eastAsia="黑体"/>
          <w:highlight w:val="none"/>
        </w:rPr>
        <w:t>lectronic</w:t>
      </w:r>
      <w:r>
        <w:rPr>
          <w:rFonts w:ascii="黑体" w:hAnsi="黑体" w:eastAsia="黑体"/>
          <w:highlight w:val="none"/>
        </w:rPr>
        <w:t xml:space="preserve"> </w:t>
      </w:r>
      <w:r>
        <w:rPr>
          <w:rFonts w:hint="eastAsia" w:ascii="黑体" w:hAnsi="黑体" w:eastAsia="黑体"/>
          <w:highlight w:val="none"/>
        </w:rPr>
        <w:t>certificate</w:t>
      </w:r>
    </w:p>
    <w:p>
      <w:pPr>
        <w:pStyle w:val="58"/>
        <w:ind w:firstLine="420"/>
        <w:rPr>
          <w:highlight w:val="none"/>
        </w:rPr>
      </w:pPr>
      <w:r>
        <w:rPr>
          <w:rFonts w:hint="eastAsia"/>
          <w:highlight w:val="none"/>
          <w:lang w:eastAsia="zh-CN"/>
        </w:rPr>
        <w:t>由计算机等电子设备形成、传输和存储的证照数据文件</w:t>
      </w:r>
      <w:r>
        <w:rPr>
          <w:rFonts w:hint="eastAsia"/>
          <w:highlight w:val="none"/>
        </w:rPr>
        <w:t>。</w:t>
      </w:r>
      <w:r>
        <w:rPr>
          <w:rFonts w:hint="eastAsia"/>
          <w:highlight w:val="none"/>
          <w:lang w:val="en-US" w:eastAsia="zh-CN"/>
        </w:rPr>
        <w:t>[来源：GB/T36091-2018，3.3]</w:t>
      </w:r>
    </w:p>
    <w:p>
      <w:pPr>
        <w:pStyle w:val="106"/>
        <w:spacing w:before="312" w:after="312"/>
        <w:rPr>
          <w:highlight w:val="none"/>
        </w:rPr>
      </w:pPr>
      <w:bookmarkStart w:id="52" w:name="_Toc3523"/>
      <w:bookmarkStart w:id="53" w:name="_Toc148013597"/>
      <w:r>
        <w:rPr>
          <w:rFonts w:hint="eastAsia"/>
          <w:highlight w:val="none"/>
        </w:rPr>
        <w:t>一般规定</w:t>
      </w:r>
      <w:bookmarkEnd w:id="52"/>
      <w:bookmarkEnd w:id="53"/>
    </w:p>
    <w:p>
      <w:pPr>
        <w:pStyle w:val="107"/>
        <w:spacing w:before="156" w:after="156"/>
        <w:rPr>
          <w:highlight w:val="none"/>
        </w:rPr>
      </w:pPr>
      <w:bookmarkStart w:id="54" w:name="_Toc29580"/>
      <w:r>
        <w:rPr>
          <w:rFonts w:hint="eastAsia"/>
          <w:highlight w:val="none"/>
        </w:rPr>
        <w:t>登记业务类型</w:t>
      </w:r>
      <w:bookmarkEnd w:id="54"/>
    </w:p>
    <w:p>
      <w:pPr>
        <w:pStyle w:val="67"/>
        <w:spacing w:before="156" w:after="156"/>
        <w:ind w:left="0"/>
        <w:rPr>
          <w:highlight w:val="none"/>
        </w:rPr>
      </w:pPr>
      <w:r>
        <w:rPr>
          <w:rFonts w:hint="eastAsia"/>
          <w:highlight w:val="none"/>
        </w:rPr>
        <w:t>登记类型</w:t>
      </w:r>
    </w:p>
    <w:p>
      <w:pPr>
        <w:pStyle w:val="58"/>
        <w:ind w:firstLine="420"/>
        <w:rPr>
          <w:highlight w:val="none"/>
        </w:rPr>
      </w:pPr>
      <w:r>
        <w:rPr>
          <w:rFonts w:hint="eastAsia"/>
          <w:highlight w:val="none"/>
        </w:rPr>
        <w:t>不动产首次登记、变更登记、转移登记、注销登记、更正登记、异议登记、预告登记、查封登记以及换证和遗失补证登记等。</w:t>
      </w:r>
    </w:p>
    <w:p>
      <w:pPr>
        <w:pStyle w:val="67"/>
        <w:spacing w:before="156" w:after="156"/>
        <w:ind w:left="0"/>
        <w:rPr>
          <w:highlight w:val="none"/>
        </w:rPr>
      </w:pPr>
      <w:r>
        <w:rPr>
          <w:rFonts w:hint="eastAsia"/>
          <w:highlight w:val="none"/>
        </w:rPr>
        <w:t>权利类型</w:t>
      </w:r>
    </w:p>
    <w:p>
      <w:pPr>
        <w:pStyle w:val="58"/>
        <w:ind w:left="0" w:leftChars="0" w:firstLine="0" w:firstLineChars="0"/>
        <w:rPr>
          <w:highlight w:val="none"/>
        </w:rPr>
      </w:pPr>
      <w:r>
        <w:rPr>
          <w:rFonts w:hint="eastAsia" w:ascii="黑体" w:hAnsi="Times New Roman" w:eastAsia="黑体" w:cs="Times New Roman"/>
          <w:sz w:val="21"/>
          <w:highlight w:val="none"/>
          <w:lang w:val="en-US" w:eastAsia="zh-CN" w:bidi="ar-SA"/>
        </w:rPr>
        <w:t>4.1.2.1</w:t>
      </w:r>
      <w:r>
        <w:rPr>
          <w:rFonts w:hint="eastAsia"/>
          <w:highlight w:val="none"/>
        </w:rPr>
        <w:t>不动产权利</w:t>
      </w:r>
      <w:r>
        <w:rPr>
          <w:rFonts w:hint="eastAsia"/>
          <w:highlight w:val="none"/>
          <w:lang w:eastAsia="zh-CN"/>
        </w:rPr>
        <w:t>包括下列类型</w:t>
      </w:r>
      <w:r>
        <w:rPr>
          <w:rFonts w:hint="eastAsia"/>
          <w:highlight w:val="none"/>
        </w:rPr>
        <w:t>：</w:t>
      </w:r>
    </w:p>
    <w:p>
      <w:pPr>
        <w:pStyle w:val="176"/>
        <w:numPr>
          <w:ilvl w:val="0"/>
          <w:numId w:val="32"/>
        </w:numPr>
        <w:rPr>
          <w:highlight w:val="none"/>
        </w:rPr>
      </w:pPr>
      <w:r>
        <w:rPr>
          <w:rFonts w:hint="eastAsia"/>
          <w:highlight w:val="none"/>
        </w:rPr>
        <w:t>集体土地所有权；</w:t>
      </w:r>
    </w:p>
    <w:p>
      <w:pPr>
        <w:pStyle w:val="176"/>
        <w:numPr>
          <w:ilvl w:val="0"/>
          <w:numId w:val="32"/>
        </w:numPr>
        <w:rPr>
          <w:highlight w:val="none"/>
        </w:rPr>
      </w:pPr>
      <w:r>
        <w:rPr>
          <w:rFonts w:hint="eastAsia"/>
          <w:highlight w:val="none"/>
        </w:rPr>
        <w:t>房屋等建筑物、构筑物所有权；</w:t>
      </w:r>
    </w:p>
    <w:p>
      <w:pPr>
        <w:pStyle w:val="176"/>
        <w:numPr>
          <w:ilvl w:val="0"/>
          <w:numId w:val="32"/>
        </w:numPr>
        <w:rPr>
          <w:highlight w:val="none"/>
        </w:rPr>
      </w:pPr>
      <w:r>
        <w:rPr>
          <w:rFonts w:hint="eastAsia"/>
          <w:highlight w:val="none"/>
        </w:rPr>
        <w:t>森林、林木所有权；</w:t>
      </w:r>
    </w:p>
    <w:p>
      <w:pPr>
        <w:pStyle w:val="176"/>
        <w:numPr>
          <w:ilvl w:val="0"/>
          <w:numId w:val="32"/>
        </w:numPr>
        <w:rPr>
          <w:highlight w:val="none"/>
        </w:rPr>
      </w:pPr>
      <w:r>
        <w:rPr>
          <w:rFonts w:hint="eastAsia"/>
          <w:highlight w:val="none"/>
        </w:rPr>
        <w:t>耕地、林地、草地等土地承包经营权；</w:t>
      </w:r>
    </w:p>
    <w:p>
      <w:pPr>
        <w:pStyle w:val="176"/>
        <w:numPr>
          <w:ilvl w:val="0"/>
          <w:numId w:val="32"/>
        </w:numPr>
        <w:rPr>
          <w:highlight w:val="none"/>
        </w:rPr>
      </w:pPr>
      <w:r>
        <w:rPr>
          <w:rFonts w:hint="eastAsia"/>
          <w:highlight w:val="none"/>
        </w:rPr>
        <w:t>耕地、林地、草地等土地经营权；</w:t>
      </w:r>
    </w:p>
    <w:p>
      <w:pPr>
        <w:pStyle w:val="176"/>
        <w:numPr>
          <w:ilvl w:val="0"/>
          <w:numId w:val="32"/>
        </w:numPr>
        <w:rPr>
          <w:highlight w:val="none"/>
        </w:rPr>
      </w:pPr>
      <w:r>
        <w:rPr>
          <w:rFonts w:hint="eastAsia"/>
          <w:highlight w:val="none"/>
        </w:rPr>
        <w:t>建设用地使用权；</w:t>
      </w:r>
    </w:p>
    <w:p>
      <w:pPr>
        <w:pStyle w:val="176"/>
        <w:numPr>
          <w:ilvl w:val="0"/>
          <w:numId w:val="32"/>
        </w:numPr>
        <w:rPr>
          <w:highlight w:val="none"/>
        </w:rPr>
      </w:pPr>
      <w:r>
        <w:rPr>
          <w:rFonts w:hint="eastAsia"/>
          <w:highlight w:val="none"/>
        </w:rPr>
        <w:t>宅基地使用权；</w:t>
      </w:r>
    </w:p>
    <w:p>
      <w:pPr>
        <w:pStyle w:val="176"/>
        <w:numPr>
          <w:ilvl w:val="0"/>
          <w:numId w:val="32"/>
        </w:numPr>
        <w:rPr>
          <w:highlight w:val="none"/>
        </w:rPr>
      </w:pPr>
      <w:r>
        <w:rPr>
          <w:rFonts w:hint="eastAsia"/>
          <w:highlight w:val="none"/>
        </w:rPr>
        <w:t>居住权；</w:t>
      </w:r>
    </w:p>
    <w:p>
      <w:pPr>
        <w:pStyle w:val="176"/>
        <w:numPr>
          <w:ilvl w:val="0"/>
          <w:numId w:val="32"/>
        </w:numPr>
        <w:rPr>
          <w:highlight w:val="none"/>
        </w:rPr>
      </w:pPr>
      <w:r>
        <w:rPr>
          <w:rFonts w:hint="eastAsia"/>
          <w:highlight w:val="none"/>
        </w:rPr>
        <w:t>地役权；</w:t>
      </w:r>
    </w:p>
    <w:p>
      <w:pPr>
        <w:pStyle w:val="176"/>
        <w:numPr>
          <w:ilvl w:val="0"/>
          <w:numId w:val="32"/>
        </w:numPr>
        <w:rPr>
          <w:highlight w:val="none"/>
        </w:rPr>
      </w:pPr>
      <w:r>
        <w:rPr>
          <w:rFonts w:hint="eastAsia"/>
          <w:highlight w:val="none"/>
        </w:rPr>
        <w:t>抵押权。</w:t>
      </w:r>
    </w:p>
    <w:p>
      <w:pPr>
        <w:pStyle w:val="58"/>
        <w:ind w:left="0" w:leftChars="0" w:firstLine="0" w:firstLineChars="0"/>
        <w:rPr>
          <w:highlight w:val="none"/>
        </w:rPr>
      </w:pPr>
      <w:r>
        <w:rPr>
          <w:rFonts w:hint="eastAsia" w:ascii="黑体" w:hAnsi="Times New Roman" w:eastAsia="黑体" w:cs="Times New Roman"/>
          <w:sz w:val="21"/>
          <w:highlight w:val="none"/>
          <w:lang w:val="en-US" w:eastAsia="zh-CN" w:bidi="ar-SA"/>
        </w:rPr>
        <w:t>4.1.2.</w:t>
      </w:r>
      <w:r>
        <w:rPr>
          <w:rFonts w:hint="eastAsia" w:ascii="黑体" w:eastAsia="黑体" w:cs="Times New Roman"/>
          <w:sz w:val="21"/>
          <w:highlight w:val="none"/>
          <w:lang w:val="en-US" w:eastAsia="zh-CN" w:bidi="ar-SA"/>
        </w:rPr>
        <w:t xml:space="preserve">2 </w:t>
      </w:r>
      <w:r>
        <w:rPr>
          <w:rFonts w:hint="eastAsia"/>
          <w:highlight w:val="none"/>
          <w:lang w:eastAsia="zh-CN"/>
        </w:rPr>
        <w:t>权利类型</w:t>
      </w:r>
      <w:r>
        <w:rPr>
          <w:rFonts w:hint="eastAsia"/>
          <w:highlight w:val="none"/>
          <w:lang w:val="en-US" w:eastAsia="zh-CN"/>
        </w:rPr>
        <w:t>根据</w:t>
      </w:r>
      <w:r>
        <w:rPr>
          <w:rFonts w:hint="eastAsia"/>
          <w:highlight w:val="none"/>
        </w:rPr>
        <w:t>法律</w:t>
      </w:r>
      <w:r>
        <w:rPr>
          <w:rFonts w:hint="eastAsia"/>
          <w:highlight w:val="none"/>
          <w:lang w:eastAsia="zh-CN"/>
        </w:rPr>
        <w:t>、法规调整</w:t>
      </w:r>
      <w:r>
        <w:rPr>
          <w:rFonts w:hint="eastAsia"/>
          <w:highlight w:val="none"/>
        </w:rPr>
        <w:t>。</w:t>
      </w:r>
    </w:p>
    <w:p>
      <w:pPr>
        <w:pStyle w:val="67"/>
        <w:spacing w:before="156" w:after="156"/>
        <w:ind w:left="0"/>
        <w:rPr>
          <w:highlight w:val="none"/>
        </w:rPr>
      </w:pPr>
      <w:r>
        <w:rPr>
          <w:rFonts w:hint="eastAsia"/>
          <w:highlight w:val="none"/>
        </w:rPr>
        <w:t>不动产</w:t>
      </w:r>
      <w:r>
        <w:rPr>
          <w:rFonts w:hint="eastAsia"/>
          <w:highlight w:val="none"/>
          <w:lang w:eastAsia="zh-CN"/>
        </w:rPr>
        <w:t>登记业务类型</w:t>
      </w:r>
    </w:p>
    <w:p>
      <w:pPr>
        <w:pStyle w:val="114"/>
        <w:spacing w:before="156" w:after="156"/>
        <w:rPr>
          <w:highlight w:val="none"/>
        </w:rPr>
      </w:pPr>
      <w:r>
        <w:rPr>
          <w:rFonts w:hint="eastAsia"/>
          <w:highlight w:val="none"/>
        </w:rPr>
        <w:t>不动产登记业务类型</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3686"/>
        <w:gridCol w:w="42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tblHeader/>
          <w:jc w:val="center"/>
        </w:trPr>
        <w:tc>
          <w:tcPr>
            <w:tcW w:w="699"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序号</w:t>
            </w:r>
          </w:p>
        </w:tc>
        <w:tc>
          <w:tcPr>
            <w:tcW w:w="7936"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tcBorders>
              <w:top w:val="single" w:color="auto" w:sz="8" w:space="0"/>
            </w:tcBorders>
            <w:shd w:val="clear" w:color="auto" w:fill="auto"/>
            <w:vAlign w:val="center"/>
          </w:tcPr>
          <w:p>
            <w:pPr>
              <w:pStyle w:val="180"/>
              <w:rPr>
                <w:highlight w:val="none"/>
              </w:rPr>
            </w:pPr>
            <w:r>
              <w:rPr>
                <w:rFonts w:hint="eastAsia"/>
                <w:highlight w:val="none"/>
              </w:rPr>
              <w:t>1</w:t>
            </w:r>
          </w:p>
        </w:tc>
        <w:tc>
          <w:tcPr>
            <w:tcW w:w="3686" w:type="dxa"/>
            <w:vMerge w:val="restart"/>
            <w:tcBorders>
              <w:top w:val="single" w:color="auto" w:sz="8" w:space="0"/>
            </w:tcBorders>
            <w:shd w:val="clear" w:color="auto" w:fill="auto"/>
            <w:vAlign w:val="center"/>
          </w:tcPr>
          <w:p>
            <w:pPr>
              <w:pStyle w:val="180"/>
              <w:rPr>
                <w:highlight w:val="none"/>
              </w:rPr>
            </w:pPr>
            <w:r>
              <w:rPr>
                <w:rFonts w:hint="eastAsia"/>
                <w:highlight w:val="none"/>
              </w:rPr>
              <w:t>国有建设用地使用权</w:t>
            </w:r>
          </w:p>
        </w:tc>
        <w:tc>
          <w:tcPr>
            <w:tcW w:w="4250" w:type="dxa"/>
            <w:tcBorders>
              <w:top w:val="single" w:color="auto" w:sz="8" w:space="0"/>
            </w:tcBorders>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p>
        </w:tc>
        <w:tc>
          <w:tcPr>
            <w:tcW w:w="3686" w:type="dxa"/>
            <w:vMerge w:val="restart"/>
            <w:shd w:val="clear" w:color="auto" w:fill="auto"/>
            <w:vAlign w:val="center"/>
          </w:tcPr>
          <w:p>
            <w:pPr>
              <w:pStyle w:val="180"/>
              <w:rPr>
                <w:highlight w:val="none"/>
              </w:rPr>
            </w:pPr>
            <w:r>
              <w:rPr>
                <w:rFonts w:hint="eastAsia"/>
                <w:highlight w:val="none"/>
              </w:rPr>
              <w:t>国有建设用地使用权及房屋所有权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转移登记（商品房分户）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转移登记（二手房转移）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转移登记（政策性住房分户）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转移登记（继承或受遗赠）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转移登记（婚内析产）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转移登记（离婚析产）</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转移登记（分割、合并）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转移登记（产权互换）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转移登记（作价出资、入股）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转移登记（机关单位统一调拨）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转移登记（持法院生效法律文书申请不动产转移）</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1</w:t>
            </w:r>
            <w:r>
              <w:rPr>
                <w:highlight w:val="none"/>
              </w:rPr>
              <w:t>9</w:t>
            </w:r>
          </w:p>
        </w:tc>
        <w:tc>
          <w:tcPr>
            <w:tcW w:w="3686" w:type="dxa"/>
            <w:vMerge w:val="restart"/>
            <w:shd w:val="clear" w:color="auto" w:fill="auto"/>
            <w:vAlign w:val="center"/>
          </w:tcPr>
          <w:p>
            <w:pPr>
              <w:pStyle w:val="180"/>
              <w:rPr>
                <w:highlight w:val="none"/>
              </w:rPr>
            </w:pPr>
            <w:r>
              <w:rPr>
                <w:rFonts w:hint="eastAsia"/>
                <w:highlight w:val="none"/>
              </w:rPr>
              <w:t>集体土地所有权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3</w:t>
            </w:r>
          </w:p>
        </w:tc>
        <w:tc>
          <w:tcPr>
            <w:tcW w:w="3686" w:type="dxa"/>
            <w:vMerge w:val="restart"/>
            <w:shd w:val="clear" w:color="auto" w:fill="auto"/>
            <w:vAlign w:val="center"/>
          </w:tcPr>
          <w:p>
            <w:pPr>
              <w:pStyle w:val="180"/>
              <w:rPr>
                <w:highlight w:val="none"/>
              </w:rPr>
            </w:pPr>
            <w:r>
              <w:rPr>
                <w:rFonts w:hint="eastAsia"/>
                <w:highlight w:val="none"/>
              </w:rPr>
              <w:t>集体建设用地使用权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7</w:t>
            </w:r>
          </w:p>
        </w:tc>
        <w:tc>
          <w:tcPr>
            <w:tcW w:w="3686" w:type="dxa"/>
            <w:vMerge w:val="restart"/>
            <w:shd w:val="clear" w:color="auto" w:fill="auto"/>
            <w:vAlign w:val="center"/>
          </w:tcPr>
          <w:p>
            <w:pPr>
              <w:pStyle w:val="180"/>
              <w:rPr>
                <w:highlight w:val="none"/>
              </w:rPr>
            </w:pPr>
            <w:r>
              <w:rPr>
                <w:rFonts w:hint="eastAsia"/>
                <w:highlight w:val="none"/>
              </w:rPr>
              <w:t>集体建设用地使用权及建筑物、构筑物</w:t>
            </w:r>
          </w:p>
          <w:p>
            <w:pPr>
              <w:pStyle w:val="180"/>
              <w:rPr>
                <w:highlight w:val="none"/>
              </w:rPr>
            </w:pPr>
            <w:r>
              <w:rPr>
                <w:rFonts w:hint="eastAsia"/>
                <w:highlight w:val="none"/>
              </w:rPr>
              <w:t>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2</w:t>
            </w:r>
            <w:r>
              <w:rPr>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bl>
    <w:p>
      <w:pPr>
        <w:pStyle w:val="58"/>
        <w:spacing w:before="156" w:beforeLines="50" w:after="156" w:afterLines="50"/>
        <w:ind w:firstLine="0" w:firstLineChars="0"/>
        <w:jc w:val="center"/>
        <w:rPr>
          <w:rFonts w:hint="eastAsia" w:hAnsi="宋体"/>
          <w:highlight w:val="none"/>
        </w:rPr>
      </w:pPr>
      <w:r>
        <w:rPr>
          <w:rFonts w:hint="eastAsia" w:ascii="黑体" w:hAnsi="黑体" w:eastAsia="黑体"/>
          <w:highlight w:val="none"/>
        </w:rPr>
        <w:t>表1  不动产登记业务类型</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3686"/>
        <w:gridCol w:w="42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序号</w:t>
            </w:r>
          </w:p>
        </w:tc>
        <w:tc>
          <w:tcPr>
            <w:tcW w:w="7936" w:type="dxa"/>
            <w:gridSpan w:val="2"/>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rFonts w:hint="eastAsia"/>
                <w:highlight w:val="none"/>
              </w:rPr>
            </w:pPr>
            <w:r>
              <w:rPr>
                <w:rFonts w:hint="eastAsia"/>
                <w:highlight w:val="none"/>
              </w:rPr>
              <w:t>3</w:t>
            </w:r>
            <w:r>
              <w:rPr>
                <w:highlight w:val="none"/>
              </w:rPr>
              <w:t>1</w:t>
            </w:r>
          </w:p>
        </w:tc>
        <w:tc>
          <w:tcPr>
            <w:tcW w:w="3686" w:type="dxa"/>
            <w:vMerge w:val="restart"/>
            <w:shd w:val="clear" w:color="auto" w:fill="auto"/>
            <w:vAlign w:val="center"/>
          </w:tcPr>
          <w:p>
            <w:pPr>
              <w:pStyle w:val="180"/>
              <w:rPr>
                <w:rFonts w:hint="eastAsia"/>
                <w:highlight w:val="none"/>
              </w:rPr>
            </w:pPr>
            <w:r>
              <w:rPr>
                <w:rFonts w:hint="eastAsia"/>
                <w:highlight w:val="none"/>
              </w:rPr>
              <w:t>宅基地使用权及房屋所有权</w:t>
            </w:r>
          </w:p>
        </w:tc>
        <w:tc>
          <w:tcPr>
            <w:tcW w:w="4250" w:type="dxa"/>
            <w:shd w:val="clear" w:color="auto" w:fill="auto"/>
            <w:vAlign w:val="center"/>
          </w:tcPr>
          <w:p>
            <w:pPr>
              <w:pStyle w:val="180"/>
              <w:rPr>
                <w:rFonts w:hint="eastAsia"/>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5</w:t>
            </w:r>
          </w:p>
        </w:tc>
        <w:tc>
          <w:tcPr>
            <w:tcW w:w="3686" w:type="dxa"/>
            <w:vMerge w:val="restart"/>
            <w:shd w:val="clear" w:color="auto" w:fill="auto"/>
            <w:vAlign w:val="center"/>
          </w:tcPr>
          <w:p>
            <w:pPr>
              <w:pStyle w:val="180"/>
              <w:rPr>
                <w:highlight w:val="none"/>
              </w:rPr>
            </w:pPr>
            <w:r>
              <w:rPr>
                <w:rFonts w:hint="eastAsia"/>
                <w:highlight w:val="none"/>
              </w:rPr>
              <w:t>土地承包经营权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3</w:t>
            </w:r>
            <w:r>
              <w:rPr>
                <w:highlight w:val="none"/>
              </w:rPr>
              <w:t>9</w:t>
            </w:r>
          </w:p>
        </w:tc>
        <w:tc>
          <w:tcPr>
            <w:tcW w:w="3686" w:type="dxa"/>
            <w:vMerge w:val="restart"/>
            <w:shd w:val="clear" w:color="auto" w:fill="auto"/>
            <w:vAlign w:val="center"/>
          </w:tcPr>
          <w:p>
            <w:pPr>
              <w:pStyle w:val="180"/>
              <w:rPr>
                <w:highlight w:val="none"/>
              </w:rPr>
            </w:pPr>
            <w:r>
              <w:rPr>
                <w:rFonts w:hint="eastAsia"/>
                <w:highlight w:val="none"/>
              </w:rPr>
              <w:t>土地经营权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3</w:t>
            </w:r>
          </w:p>
        </w:tc>
        <w:tc>
          <w:tcPr>
            <w:tcW w:w="3686" w:type="dxa"/>
            <w:vMerge w:val="restart"/>
            <w:shd w:val="clear" w:color="auto" w:fill="auto"/>
            <w:vAlign w:val="center"/>
          </w:tcPr>
          <w:p>
            <w:pPr>
              <w:pStyle w:val="180"/>
              <w:rPr>
                <w:highlight w:val="none"/>
              </w:rPr>
            </w:pPr>
            <w:r>
              <w:rPr>
                <w:rFonts w:hint="eastAsia"/>
                <w:highlight w:val="none"/>
              </w:rPr>
              <w:t>林地使用权/森林、林木使用权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5</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7</w:t>
            </w:r>
          </w:p>
        </w:tc>
        <w:tc>
          <w:tcPr>
            <w:tcW w:w="3686" w:type="dxa"/>
            <w:vMerge w:val="restart"/>
            <w:shd w:val="clear" w:color="auto" w:fill="auto"/>
            <w:vAlign w:val="center"/>
          </w:tcPr>
          <w:p>
            <w:pPr>
              <w:pStyle w:val="180"/>
              <w:rPr>
                <w:highlight w:val="none"/>
              </w:rPr>
            </w:pPr>
            <w:r>
              <w:rPr>
                <w:rFonts w:hint="eastAsia"/>
                <w:highlight w:val="none"/>
              </w:rPr>
              <w:t>林地承包经营权/林木所有权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4</w:t>
            </w:r>
            <w:r>
              <w:rPr>
                <w:highlight w:val="none"/>
              </w:rPr>
              <w:t>9</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0</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1</w:t>
            </w:r>
          </w:p>
        </w:tc>
        <w:tc>
          <w:tcPr>
            <w:tcW w:w="3686" w:type="dxa"/>
            <w:vMerge w:val="restart"/>
            <w:shd w:val="clear" w:color="auto" w:fill="auto"/>
            <w:vAlign w:val="center"/>
          </w:tcPr>
          <w:p>
            <w:pPr>
              <w:pStyle w:val="180"/>
              <w:rPr>
                <w:highlight w:val="none"/>
              </w:rPr>
            </w:pPr>
            <w:r>
              <w:rPr>
                <w:rFonts w:hint="eastAsia"/>
                <w:highlight w:val="none"/>
              </w:rPr>
              <w:t>林地使用权/林木所有权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3</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4</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5</w:t>
            </w:r>
          </w:p>
        </w:tc>
        <w:tc>
          <w:tcPr>
            <w:tcW w:w="3686" w:type="dxa"/>
            <w:vMerge w:val="restart"/>
            <w:shd w:val="clear" w:color="auto" w:fill="auto"/>
            <w:vAlign w:val="center"/>
          </w:tcPr>
          <w:p>
            <w:pPr>
              <w:pStyle w:val="180"/>
              <w:rPr>
                <w:highlight w:val="none"/>
              </w:rPr>
            </w:pPr>
            <w:r>
              <w:rPr>
                <w:rFonts w:hint="eastAsia"/>
                <w:highlight w:val="none"/>
              </w:rPr>
              <w:t>林地经营权/林木所有权或林地经营权/</w:t>
            </w:r>
          </w:p>
          <w:p>
            <w:pPr>
              <w:pStyle w:val="180"/>
              <w:rPr>
                <w:highlight w:val="none"/>
              </w:rPr>
            </w:pPr>
            <w:r>
              <w:rPr>
                <w:rFonts w:hint="eastAsia"/>
                <w:highlight w:val="none"/>
              </w:rPr>
              <w:t>林木使用权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6</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7</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8</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5</w:t>
            </w:r>
            <w:r>
              <w:rPr>
                <w:highlight w:val="none"/>
              </w:rPr>
              <w:t>9</w:t>
            </w:r>
          </w:p>
        </w:tc>
        <w:tc>
          <w:tcPr>
            <w:tcW w:w="3686" w:type="dxa"/>
            <w:shd w:val="clear" w:color="auto" w:fill="auto"/>
            <w:vAlign w:val="center"/>
          </w:tcPr>
          <w:p>
            <w:pPr>
              <w:pStyle w:val="180"/>
              <w:rPr>
                <w:highlight w:val="none"/>
              </w:rPr>
            </w:pPr>
            <w:r>
              <w:rPr>
                <w:rFonts w:hint="eastAsia"/>
                <w:highlight w:val="none"/>
              </w:rPr>
              <w:t>林权</w:t>
            </w:r>
          </w:p>
        </w:tc>
        <w:tc>
          <w:tcPr>
            <w:tcW w:w="4250" w:type="dxa"/>
            <w:shd w:val="clear" w:color="auto" w:fill="auto"/>
            <w:vAlign w:val="center"/>
          </w:tcPr>
          <w:p>
            <w:pPr>
              <w:pStyle w:val="180"/>
              <w:rPr>
                <w:highlight w:val="none"/>
              </w:rPr>
            </w:pPr>
            <w:r>
              <w:rPr>
                <w:rFonts w:hint="eastAsia"/>
                <w:highlight w:val="none"/>
              </w:rPr>
              <w:t>抵押登记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0</w:t>
            </w:r>
          </w:p>
        </w:tc>
        <w:tc>
          <w:tcPr>
            <w:tcW w:w="3686" w:type="dxa"/>
            <w:vMerge w:val="restart"/>
            <w:shd w:val="clear" w:color="auto" w:fill="auto"/>
            <w:vAlign w:val="center"/>
          </w:tcPr>
          <w:p>
            <w:pPr>
              <w:pStyle w:val="180"/>
              <w:rPr>
                <w:highlight w:val="none"/>
              </w:rPr>
            </w:pPr>
            <w:r>
              <w:rPr>
                <w:rFonts w:hint="eastAsia"/>
                <w:highlight w:val="none"/>
              </w:rPr>
              <w:t>国有农用地使用权</w:t>
            </w:r>
          </w:p>
        </w:tc>
        <w:tc>
          <w:tcPr>
            <w:tcW w:w="4250"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1</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2</w:t>
            </w:r>
          </w:p>
        </w:tc>
        <w:tc>
          <w:tcPr>
            <w:tcW w:w="3686" w:type="dxa"/>
            <w:vMerge w:val="continue"/>
            <w:shd w:val="clear" w:color="auto" w:fill="auto"/>
            <w:vAlign w:val="center"/>
          </w:tcPr>
          <w:p>
            <w:pPr>
              <w:pStyle w:val="180"/>
              <w:rPr>
                <w:highlight w:val="none"/>
              </w:rPr>
            </w:pPr>
          </w:p>
        </w:tc>
        <w:tc>
          <w:tcPr>
            <w:tcW w:w="4250"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699" w:type="dxa"/>
            <w:shd w:val="clear" w:color="auto" w:fill="auto"/>
            <w:vAlign w:val="center"/>
          </w:tcPr>
          <w:p>
            <w:pPr>
              <w:pStyle w:val="180"/>
              <w:rPr>
                <w:highlight w:val="none"/>
              </w:rPr>
            </w:pPr>
            <w:r>
              <w:rPr>
                <w:rFonts w:hint="eastAsia"/>
                <w:highlight w:val="none"/>
              </w:rPr>
              <w:t>6</w:t>
            </w:r>
            <w:r>
              <w:rPr>
                <w:highlight w:val="none"/>
              </w:rPr>
              <w:t>3</w:t>
            </w:r>
          </w:p>
        </w:tc>
        <w:tc>
          <w:tcPr>
            <w:tcW w:w="3686" w:type="dxa"/>
            <w:shd w:val="clear" w:color="auto" w:fill="auto"/>
            <w:vAlign w:val="center"/>
          </w:tcPr>
          <w:p>
            <w:pPr>
              <w:pStyle w:val="180"/>
              <w:rPr>
                <w:highlight w:val="none"/>
              </w:rPr>
            </w:pPr>
            <w:r>
              <w:rPr>
                <w:rFonts w:hint="eastAsia"/>
                <w:highlight w:val="none"/>
              </w:rPr>
              <w:t>水域滩涂养殖权</w:t>
            </w:r>
          </w:p>
        </w:tc>
        <w:tc>
          <w:tcPr>
            <w:tcW w:w="4250" w:type="dxa"/>
            <w:shd w:val="clear" w:color="auto" w:fill="auto"/>
            <w:vAlign w:val="center"/>
          </w:tcPr>
          <w:p>
            <w:pPr>
              <w:pStyle w:val="180"/>
              <w:rPr>
                <w:highlight w:val="none"/>
              </w:rPr>
            </w:pPr>
            <w:r>
              <w:rPr>
                <w:rFonts w:hint="eastAsia"/>
                <w:highlight w:val="none"/>
              </w:rPr>
              <w:t>首次登记</w:t>
            </w:r>
          </w:p>
        </w:tc>
      </w:tr>
    </w:tbl>
    <w:p>
      <w:pPr>
        <w:pStyle w:val="58"/>
        <w:spacing w:before="156" w:beforeLines="50" w:after="156" w:afterLines="50"/>
        <w:ind w:firstLine="0" w:firstLineChars="0"/>
        <w:jc w:val="center"/>
        <w:rPr>
          <w:rFonts w:hint="eastAsia" w:hAnsi="宋体"/>
          <w:highlight w:val="none"/>
        </w:rPr>
      </w:pPr>
      <w:r>
        <w:rPr>
          <w:rFonts w:hint="eastAsia" w:ascii="黑体" w:hAnsi="黑体" w:eastAsia="黑体"/>
          <w:highlight w:val="none"/>
        </w:rPr>
        <w:t>表1  不动产登记业务类型</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
        <w:gridCol w:w="693"/>
        <w:gridCol w:w="6"/>
        <w:gridCol w:w="3692"/>
        <w:gridCol w:w="4244"/>
        <w:gridCol w:w="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tblHeader/>
          <w:jc w:val="center"/>
        </w:trPr>
        <w:tc>
          <w:tcPr>
            <w:tcW w:w="699"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序号</w:t>
            </w:r>
          </w:p>
        </w:tc>
        <w:tc>
          <w:tcPr>
            <w:tcW w:w="7936" w:type="dxa"/>
            <w:gridSpan w:val="2"/>
            <w:tcBorders>
              <w:top w:val="single" w:color="auto" w:sz="8" w:space="0"/>
              <w:bottom w:val="single" w:color="auto" w:sz="8" w:space="0"/>
            </w:tcBorders>
            <w:shd w:val="clear" w:color="auto" w:fill="auto"/>
            <w:vAlign w:val="center"/>
          </w:tcPr>
          <w:p>
            <w:pPr>
              <w:pStyle w:val="180"/>
              <w:rPr>
                <w:highlight w:val="none"/>
              </w:rPr>
            </w:pPr>
            <w:r>
              <w:rPr>
                <w:rFonts w:hint="eastAsia"/>
                <w:highlight w:val="none"/>
                <w:lang w:eastAsia="zh-CN"/>
              </w:rPr>
              <w:t>不动产</w:t>
            </w:r>
            <w:r>
              <w:rPr>
                <w:rFonts w:hint="eastAsia"/>
                <w:highlight w:val="none"/>
              </w:rPr>
              <w:t>登记</w:t>
            </w:r>
            <w:r>
              <w:rPr>
                <w:rFonts w:hint="eastAsia"/>
                <w:highlight w:val="none"/>
                <w:lang w:eastAsia="zh-CN"/>
              </w:rPr>
              <w:t>业务</w:t>
            </w:r>
            <w:r>
              <w:rPr>
                <w:rFonts w:hint="eastAsia"/>
                <w:highlight w:val="none"/>
              </w:rPr>
              <w:t>类型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4</w:t>
            </w:r>
          </w:p>
        </w:tc>
        <w:tc>
          <w:tcPr>
            <w:tcW w:w="3692" w:type="dxa"/>
            <w:vMerge w:val="restart"/>
            <w:shd w:val="clear" w:color="auto" w:fill="auto"/>
            <w:vAlign w:val="center"/>
          </w:tcPr>
          <w:p>
            <w:pPr>
              <w:pStyle w:val="180"/>
              <w:rPr>
                <w:highlight w:val="none"/>
              </w:rPr>
            </w:pPr>
            <w:r>
              <w:rPr>
                <w:rFonts w:hint="eastAsia"/>
                <w:highlight w:val="none"/>
              </w:rPr>
              <w:t>水域滩涂养殖权</w:t>
            </w: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5</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6</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7</w:t>
            </w:r>
          </w:p>
        </w:tc>
        <w:tc>
          <w:tcPr>
            <w:tcW w:w="3692" w:type="dxa"/>
            <w:vMerge w:val="restart"/>
            <w:shd w:val="clear" w:color="auto" w:fill="auto"/>
            <w:vAlign w:val="center"/>
          </w:tcPr>
          <w:p>
            <w:pPr>
              <w:pStyle w:val="180"/>
              <w:rPr>
                <w:highlight w:val="none"/>
              </w:rPr>
            </w:pPr>
            <w:r>
              <w:rPr>
                <w:rFonts w:hint="eastAsia"/>
                <w:highlight w:val="none"/>
              </w:rPr>
              <w:t>居住权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8</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6</w:t>
            </w:r>
            <w:r>
              <w:rPr>
                <w:highlight w:val="none"/>
              </w:rPr>
              <w:t>9</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0</w:t>
            </w:r>
          </w:p>
        </w:tc>
        <w:tc>
          <w:tcPr>
            <w:tcW w:w="3692" w:type="dxa"/>
            <w:vMerge w:val="restart"/>
            <w:shd w:val="clear" w:color="auto" w:fill="auto"/>
            <w:vAlign w:val="center"/>
          </w:tcPr>
          <w:p>
            <w:pPr>
              <w:pStyle w:val="180"/>
              <w:rPr>
                <w:highlight w:val="none"/>
              </w:rPr>
            </w:pPr>
            <w:r>
              <w:rPr>
                <w:rFonts w:hint="eastAsia"/>
                <w:highlight w:val="none"/>
              </w:rPr>
              <w:t>抵押权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1</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2</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3</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4</w:t>
            </w:r>
          </w:p>
        </w:tc>
        <w:tc>
          <w:tcPr>
            <w:tcW w:w="3692" w:type="dxa"/>
            <w:vMerge w:val="restart"/>
            <w:shd w:val="clear" w:color="auto" w:fill="auto"/>
            <w:vAlign w:val="center"/>
          </w:tcPr>
          <w:p>
            <w:pPr>
              <w:pStyle w:val="180"/>
              <w:rPr>
                <w:highlight w:val="none"/>
              </w:rPr>
            </w:pPr>
            <w:r>
              <w:rPr>
                <w:rFonts w:hint="eastAsia"/>
                <w:highlight w:val="none"/>
                <w:lang w:eastAsia="zh-CN"/>
              </w:rPr>
              <w:t>地役</w:t>
            </w:r>
            <w:r>
              <w:rPr>
                <w:rFonts w:hint="eastAsia"/>
                <w:highlight w:val="none"/>
              </w:rPr>
              <w:t>权</w:t>
            </w:r>
          </w:p>
        </w:tc>
        <w:tc>
          <w:tcPr>
            <w:tcW w:w="4244" w:type="dxa"/>
            <w:shd w:val="clear" w:color="auto" w:fill="auto"/>
            <w:vAlign w:val="center"/>
          </w:tcPr>
          <w:p>
            <w:pPr>
              <w:pStyle w:val="180"/>
              <w:rPr>
                <w:highlight w:val="none"/>
              </w:rPr>
            </w:pPr>
            <w:r>
              <w:rPr>
                <w:rFonts w:hint="eastAsia"/>
                <w:highlight w:val="none"/>
              </w:rPr>
              <w:t>首次登记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5</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6</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gridBefore w:val="1"/>
          <w:gridAfter w:val="1"/>
          <w:wBefore w:w="6" w:type="dxa"/>
          <w:wAfter w:w="6" w:type="dxa"/>
          <w:trHeight w:val="369" w:hRule="atLeast"/>
          <w:jc w:val="center"/>
        </w:trPr>
        <w:tc>
          <w:tcPr>
            <w:tcW w:w="699" w:type="dxa"/>
            <w:gridSpan w:val="2"/>
            <w:shd w:val="clear" w:color="auto" w:fill="auto"/>
            <w:vAlign w:val="center"/>
          </w:tcPr>
          <w:p>
            <w:pPr>
              <w:pStyle w:val="180"/>
              <w:rPr>
                <w:highlight w:val="none"/>
              </w:rPr>
            </w:pPr>
            <w:r>
              <w:rPr>
                <w:rFonts w:hint="eastAsia"/>
                <w:highlight w:val="none"/>
              </w:rPr>
              <w:t>7</w:t>
            </w:r>
            <w:r>
              <w:rPr>
                <w:highlight w:val="none"/>
              </w:rPr>
              <w:t>7</w:t>
            </w:r>
          </w:p>
        </w:tc>
        <w:tc>
          <w:tcPr>
            <w:tcW w:w="3692" w:type="dxa"/>
            <w:vMerge w:val="continue"/>
            <w:shd w:val="clear" w:color="auto" w:fill="auto"/>
            <w:vAlign w:val="center"/>
          </w:tcPr>
          <w:p>
            <w:pPr>
              <w:pStyle w:val="180"/>
              <w:rPr>
                <w:highlight w:val="none"/>
              </w:rPr>
            </w:pPr>
          </w:p>
        </w:tc>
        <w:tc>
          <w:tcPr>
            <w:tcW w:w="4244" w:type="dxa"/>
            <w:shd w:val="clear" w:color="auto" w:fill="auto"/>
            <w:vAlign w:val="center"/>
          </w:tcPr>
          <w:p>
            <w:pPr>
              <w:pStyle w:val="180"/>
              <w:rPr>
                <w:highlight w:val="none"/>
              </w:rPr>
            </w:pP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tcBorders>
              <w:top w:val="single" w:color="auto" w:sz="8" w:space="0"/>
            </w:tcBorders>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78</w:t>
            </w:r>
          </w:p>
        </w:tc>
        <w:tc>
          <w:tcPr>
            <w:tcW w:w="7948" w:type="dxa"/>
            <w:gridSpan w:val="4"/>
            <w:tcBorders>
              <w:top w:val="single" w:color="auto" w:sz="8" w:space="0"/>
            </w:tcBorders>
            <w:shd w:val="clear" w:color="auto" w:fill="auto"/>
            <w:vAlign w:val="center"/>
          </w:tcPr>
          <w:p>
            <w:pPr>
              <w:pStyle w:val="180"/>
              <w:rPr>
                <w:highlight w:val="none"/>
              </w:rPr>
            </w:pPr>
            <w:r>
              <w:rPr>
                <w:rFonts w:hint="eastAsia"/>
                <w:highlight w:val="none"/>
              </w:rPr>
              <w:t>异议登记设立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79</w:t>
            </w:r>
          </w:p>
        </w:tc>
        <w:tc>
          <w:tcPr>
            <w:tcW w:w="7948" w:type="dxa"/>
            <w:gridSpan w:val="4"/>
            <w:shd w:val="clear" w:color="auto" w:fill="auto"/>
            <w:vAlign w:val="center"/>
          </w:tcPr>
          <w:p>
            <w:pPr>
              <w:pStyle w:val="180"/>
              <w:rPr>
                <w:highlight w:val="none"/>
              </w:rPr>
            </w:pPr>
            <w:r>
              <w:rPr>
                <w:rFonts w:hint="eastAsia"/>
                <w:highlight w:val="none"/>
              </w:rPr>
              <w:t>异议登记注销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80</w:t>
            </w:r>
          </w:p>
        </w:tc>
        <w:tc>
          <w:tcPr>
            <w:tcW w:w="7948" w:type="dxa"/>
            <w:gridSpan w:val="4"/>
            <w:shd w:val="clear" w:color="auto" w:fill="auto"/>
            <w:vAlign w:val="center"/>
          </w:tcPr>
          <w:p>
            <w:pPr>
              <w:pStyle w:val="180"/>
              <w:rPr>
                <w:highlight w:val="none"/>
              </w:rPr>
            </w:pPr>
            <w:r>
              <w:rPr>
                <w:rFonts w:hint="eastAsia"/>
                <w:highlight w:val="none"/>
              </w:rPr>
              <w:t>查封登记设立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81</w:t>
            </w:r>
          </w:p>
        </w:tc>
        <w:tc>
          <w:tcPr>
            <w:tcW w:w="7948" w:type="dxa"/>
            <w:gridSpan w:val="4"/>
            <w:shd w:val="clear" w:color="auto" w:fill="auto"/>
            <w:vAlign w:val="center"/>
          </w:tcPr>
          <w:p>
            <w:pPr>
              <w:pStyle w:val="180"/>
              <w:rPr>
                <w:highlight w:val="none"/>
              </w:rPr>
            </w:pPr>
            <w:r>
              <w:rPr>
                <w:rFonts w:hint="eastAsia"/>
                <w:highlight w:val="none"/>
              </w:rPr>
              <w:t>查封登记注销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default" w:eastAsia="宋体"/>
                <w:highlight w:val="none"/>
                <w:lang w:val="en-US" w:eastAsia="zh-CN"/>
              </w:rPr>
            </w:pPr>
            <w:r>
              <w:rPr>
                <w:rFonts w:hint="eastAsia" w:ascii="宋体" w:hAnsi="宋体" w:eastAsia="宋体" w:cs="宋体"/>
                <w:i w:val="0"/>
                <w:iCs w:val="0"/>
                <w:color w:val="000000"/>
                <w:kern w:val="0"/>
                <w:sz w:val="18"/>
                <w:szCs w:val="18"/>
                <w:highlight w:val="none"/>
                <w:u w:val="none"/>
                <w:lang w:val="en-US" w:eastAsia="zh-CN" w:bidi="ar"/>
              </w:rPr>
              <w:t>82</w:t>
            </w:r>
          </w:p>
        </w:tc>
        <w:tc>
          <w:tcPr>
            <w:tcW w:w="7948" w:type="dxa"/>
            <w:gridSpan w:val="4"/>
            <w:shd w:val="clear" w:color="auto" w:fill="auto"/>
            <w:vAlign w:val="center"/>
          </w:tcPr>
          <w:p>
            <w:pPr>
              <w:pStyle w:val="180"/>
              <w:rPr>
                <w:highlight w:val="none"/>
              </w:rPr>
            </w:pPr>
            <w:r>
              <w:rPr>
                <w:rFonts w:hint="eastAsia"/>
                <w:highlight w:val="none"/>
              </w:rPr>
              <w:t>预告登记设立（预购商品房）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83</w:t>
            </w:r>
          </w:p>
        </w:tc>
        <w:tc>
          <w:tcPr>
            <w:tcW w:w="7948" w:type="dxa"/>
            <w:gridSpan w:val="4"/>
            <w:shd w:val="clear" w:color="auto" w:fill="auto"/>
            <w:vAlign w:val="center"/>
          </w:tcPr>
          <w:p>
            <w:pPr>
              <w:pStyle w:val="180"/>
              <w:rPr>
                <w:highlight w:val="none"/>
              </w:rPr>
            </w:pPr>
            <w:r>
              <w:rPr>
                <w:rFonts w:hint="eastAsia"/>
                <w:highlight w:val="none"/>
              </w:rPr>
              <w:t>预告登记设立（存量房）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84</w:t>
            </w:r>
          </w:p>
        </w:tc>
        <w:tc>
          <w:tcPr>
            <w:tcW w:w="7948" w:type="dxa"/>
            <w:gridSpan w:val="4"/>
            <w:shd w:val="clear" w:color="auto" w:fill="auto"/>
            <w:vAlign w:val="center"/>
          </w:tcPr>
          <w:p>
            <w:pPr>
              <w:pStyle w:val="180"/>
              <w:rPr>
                <w:highlight w:val="none"/>
              </w:rPr>
            </w:pPr>
            <w:r>
              <w:rPr>
                <w:rFonts w:hint="eastAsia"/>
                <w:highlight w:val="none"/>
              </w:rPr>
              <w:t>预告登记设立（国有建设用地使用权）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85</w:t>
            </w:r>
          </w:p>
        </w:tc>
        <w:tc>
          <w:tcPr>
            <w:tcW w:w="7948" w:type="dxa"/>
            <w:gridSpan w:val="4"/>
            <w:shd w:val="clear" w:color="auto" w:fill="auto"/>
            <w:vAlign w:val="center"/>
          </w:tcPr>
          <w:p>
            <w:pPr>
              <w:pStyle w:val="180"/>
              <w:rPr>
                <w:highlight w:val="none"/>
              </w:rPr>
            </w:pPr>
            <w:r>
              <w:rPr>
                <w:rFonts w:hint="eastAsia"/>
                <w:highlight w:val="none"/>
              </w:rPr>
              <w:t>预告登记设立（其他不动产物权）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86</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变更登记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87</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转移登记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88</w:t>
            </w:r>
          </w:p>
        </w:tc>
        <w:tc>
          <w:tcPr>
            <w:tcW w:w="7948" w:type="dxa"/>
            <w:gridSpan w:val="4"/>
            <w:shd w:val="clear" w:color="auto" w:fill="auto"/>
            <w:vAlign w:val="center"/>
          </w:tcPr>
          <w:p>
            <w:pPr>
              <w:pStyle w:val="180"/>
              <w:rPr>
                <w:highlight w:val="none"/>
              </w:rPr>
            </w:pPr>
            <w:r>
              <w:rPr>
                <w:rFonts w:hint="eastAsia"/>
                <w:highlight w:val="none"/>
                <w:lang w:eastAsia="zh-CN"/>
              </w:rPr>
              <w:t>预告</w:t>
            </w:r>
            <w:r>
              <w:rPr>
                <w:rFonts w:hint="eastAsia"/>
                <w:highlight w:val="none"/>
              </w:rPr>
              <w:t>注销登记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89</w:t>
            </w:r>
          </w:p>
        </w:tc>
        <w:tc>
          <w:tcPr>
            <w:tcW w:w="7948" w:type="dxa"/>
            <w:gridSpan w:val="4"/>
            <w:shd w:val="clear" w:color="auto" w:fill="auto"/>
            <w:vAlign w:val="center"/>
          </w:tcPr>
          <w:p>
            <w:pPr>
              <w:pStyle w:val="180"/>
              <w:rPr>
                <w:highlight w:val="none"/>
              </w:rPr>
            </w:pPr>
            <w:r>
              <w:rPr>
                <w:rFonts w:hint="eastAsia"/>
                <w:highlight w:val="none"/>
              </w:rPr>
              <w:t>更正登记</w:t>
            </w:r>
            <w:r>
              <w:rPr>
                <w:rFonts w:hint="eastAsia"/>
                <w:highlight w:val="none"/>
                <w:lang w:eastAsia="zh-CN"/>
              </w:rPr>
              <w:t>（</w:t>
            </w:r>
            <w:r>
              <w:rPr>
                <w:rFonts w:hint="eastAsia"/>
                <w:highlight w:val="none"/>
              </w:rPr>
              <w:t>依申请</w:t>
            </w:r>
            <w:r>
              <w:rPr>
                <w:rFonts w:hint="eastAsia"/>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90</w:t>
            </w:r>
          </w:p>
        </w:tc>
        <w:tc>
          <w:tcPr>
            <w:tcW w:w="7948" w:type="dxa"/>
            <w:gridSpan w:val="4"/>
            <w:shd w:val="clear" w:color="auto" w:fill="auto"/>
            <w:vAlign w:val="center"/>
          </w:tcPr>
          <w:p>
            <w:pPr>
              <w:pStyle w:val="180"/>
              <w:rPr>
                <w:highlight w:val="none"/>
              </w:rPr>
            </w:pPr>
            <w:r>
              <w:rPr>
                <w:rFonts w:hint="eastAsia"/>
                <w:highlight w:val="none"/>
              </w:rPr>
              <w:t>更正登记</w:t>
            </w:r>
            <w:r>
              <w:rPr>
                <w:rFonts w:hint="eastAsia"/>
                <w:highlight w:val="none"/>
                <w:lang w:eastAsia="zh-CN"/>
              </w:rPr>
              <w:t>（</w:t>
            </w:r>
            <w:r>
              <w:rPr>
                <w:rFonts w:hint="eastAsia"/>
                <w:highlight w:val="none"/>
              </w:rPr>
              <w:t>依职权</w:t>
            </w:r>
            <w:r>
              <w:rPr>
                <w:rFonts w:hint="eastAsia"/>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91</w:t>
            </w:r>
          </w:p>
        </w:tc>
        <w:tc>
          <w:tcPr>
            <w:tcW w:w="7948" w:type="dxa"/>
            <w:gridSpan w:val="4"/>
            <w:shd w:val="clear" w:color="auto" w:fill="auto"/>
            <w:vAlign w:val="center"/>
          </w:tcPr>
          <w:p>
            <w:pPr>
              <w:pStyle w:val="180"/>
              <w:rPr>
                <w:rFonts w:hint="eastAsia"/>
                <w:highlight w:val="none"/>
              </w:rPr>
            </w:pPr>
            <w:r>
              <w:rPr>
                <w:rFonts w:hint="eastAsia"/>
                <w:highlight w:val="none"/>
              </w:rPr>
              <w:t>换证登记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99" w:type="dxa"/>
            <w:gridSpan w:val="2"/>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92</w:t>
            </w:r>
          </w:p>
        </w:tc>
        <w:tc>
          <w:tcPr>
            <w:tcW w:w="7948" w:type="dxa"/>
            <w:gridSpan w:val="4"/>
            <w:shd w:val="clear" w:color="auto" w:fill="auto"/>
            <w:vAlign w:val="center"/>
          </w:tcPr>
          <w:p>
            <w:pPr>
              <w:pStyle w:val="180"/>
              <w:rPr>
                <w:rFonts w:hint="eastAsia"/>
                <w:highlight w:val="none"/>
              </w:rPr>
            </w:pPr>
            <w:r>
              <w:rPr>
                <w:rFonts w:hint="eastAsia"/>
                <w:highlight w:val="none"/>
              </w:rPr>
              <w:t>遗失补证登记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8647" w:type="dxa"/>
            <w:gridSpan w:val="6"/>
            <w:shd w:val="clear" w:color="auto" w:fill="auto"/>
            <w:vAlign w:val="center"/>
          </w:tcPr>
          <w:p>
            <w:pPr>
              <w:pStyle w:val="182"/>
              <w:jc w:val="left"/>
              <w:rPr>
                <w:highlight w:val="none"/>
              </w:rPr>
            </w:pPr>
            <w:r>
              <w:rPr>
                <w:rFonts w:hint="eastAsia"/>
                <w:highlight w:val="none"/>
              </w:rPr>
              <w:t xml:space="preserve">新增不动产登记业务类型参照此表进行命名。 </w:t>
            </w:r>
          </w:p>
          <w:p>
            <w:pPr>
              <w:pStyle w:val="182"/>
              <w:jc w:val="left"/>
              <w:rPr>
                <w:rFonts w:hint="eastAsia"/>
                <w:highlight w:val="none"/>
              </w:rPr>
            </w:pPr>
            <w:r>
              <w:rPr>
                <w:rFonts w:hint="eastAsia"/>
                <w:highlight w:val="none"/>
              </w:rPr>
              <w:t>不动产登记业务类型根据法律、法规调整。</w:t>
            </w:r>
          </w:p>
        </w:tc>
      </w:tr>
    </w:tbl>
    <w:p>
      <w:pPr>
        <w:pStyle w:val="107"/>
        <w:spacing w:before="156" w:after="156"/>
        <w:rPr>
          <w:highlight w:val="none"/>
        </w:rPr>
      </w:pPr>
      <w:bookmarkStart w:id="55" w:name="_Toc11064"/>
      <w:r>
        <w:rPr>
          <w:rFonts w:hint="eastAsia"/>
          <w:highlight w:val="none"/>
        </w:rPr>
        <w:t>登记原则</w:t>
      </w:r>
      <w:bookmarkEnd w:id="55"/>
    </w:p>
    <w:p>
      <w:pPr>
        <w:pStyle w:val="67"/>
        <w:spacing w:before="156" w:after="156"/>
        <w:ind w:left="0"/>
        <w:rPr>
          <w:highlight w:val="none"/>
        </w:rPr>
      </w:pPr>
      <w:r>
        <w:rPr>
          <w:rFonts w:hint="eastAsia"/>
          <w:highlight w:val="none"/>
        </w:rPr>
        <w:t>依申请登记原则</w:t>
      </w:r>
    </w:p>
    <w:p>
      <w:pPr>
        <w:pStyle w:val="58"/>
        <w:ind w:firstLine="420"/>
        <w:rPr>
          <w:highlight w:val="none"/>
        </w:rPr>
      </w:pPr>
      <w:r>
        <w:rPr>
          <w:rFonts w:hint="eastAsia"/>
          <w:highlight w:val="none"/>
        </w:rPr>
        <w:t>不动产登记机构依照当事人的申请进行登记，但是下列情形除外：</w:t>
      </w:r>
    </w:p>
    <w:p>
      <w:pPr>
        <w:pStyle w:val="176"/>
        <w:numPr>
          <w:ilvl w:val="0"/>
          <w:numId w:val="33"/>
        </w:numPr>
        <w:rPr>
          <w:highlight w:val="none"/>
        </w:rPr>
      </w:pPr>
      <w:r>
        <w:rPr>
          <w:rFonts w:hint="eastAsia"/>
          <w:highlight w:val="none"/>
        </w:rPr>
        <w:t>不动产登记机构依据人民法院、人民检察院、国家安全机关、监察机关、公安机关、税务机关等国家有权机关依法作出的嘱托文件直接办理登记的；</w:t>
      </w:r>
    </w:p>
    <w:p>
      <w:pPr>
        <w:pStyle w:val="176"/>
        <w:numPr>
          <w:ilvl w:val="0"/>
          <w:numId w:val="33"/>
        </w:numPr>
        <w:rPr>
          <w:highlight w:val="none"/>
        </w:rPr>
      </w:pPr>
      <w:r>
        <w:rPr>
          <w:rFonts w:hint="eastAsia"/>
          <w:highlight w:val="none"/>
        </w:rPr>
        <w:t>不动产登记机构依据人民政府依法征收、收回、没收不动产作出的嘱托文件直接办理登记的；</w:t>
      </w:r>
    </w:p>
    <w:p>
      <w:pPr>
        <w:pStyle w:val="176"/>
        <w:numPr>
          <w:ilvl w:val="0"/>
          <w:numId w:val="33"/>
        </w:numPr>
        <w:rPr>
          <w:highlight w:val="none"/>
        </w:rPr>
      </w:pPr>
      <w:r>
        <w:rPr>
          <w:rFonts w:hint="eastAsia"/>
          <w:highlight w:val="none"/>
        </w:rPr>
        <w:t>不动产登记机构根据法律、行政法规的规定依职权直接登记的。</w:t>
      </w:r>
    </w:p>
    <w:p>
      <w:pPr>
        <w:pStyle w:val="67"/>
        <w:spacing w:before="156" w:after="156"/>
        <w:ind w:left="0"/>
        <w:rPr>
          <w:highlight w:val="none"/>
        </w:rPr>
      </w:pPr>
      <w:r>
        <w:rPr>
          <w:rFonts w:hint="eastAsia"/>
          <w:highlight w:val="none"/>
        </w:rPr>
        <w:t>一体登记原则</w:t>
      </w:r>
    </w:p>
    <w:p>
      <w:pPr>
        <w:pStyle w:val="58"/>
        <w:ind w:firstLine="420"/>
        <w:rPr>
          <w:highlight w:val="none"/>
        </w:rPr>
      </w:pPr>
      <w:r>
        <w:rPr>
          <w:rFonts w:hint="eastAsia"/>
          <w:highlight w:val="none"/>
        </w:rPr>
        <w:t>房屋等建筑物、构筑物所有权和森林、林木等定着物所有权或者使用权与其所附着的土地的权利一并登记，保持权利主体一致。</w:t>
      </w:r>
    </w:p>
    <w:p>
      <w:pPr>
        <w:pStyle w:val="176"/>
        <w:numPr>
          <w:ilvl w:val="0"/>
          <w:numId w:val="34"/>
        </w:numPr>
        <w:rPr>
          <w:highlight w:val="none"/>
        </w:rPr>
      </w:pPr>
      <w:r>
        <w:rPr>
          <w:rFonts w:hint="eastAsia"/>
          <w:highlight w:val="none"/>
        </w:rPr>
        <w:t>申请土地使用权的，该土地范围内符合登记条件的房屋等建筑物、构筑物所有权和森林、林木等定着物所有权或者使用权一并登记；</w:t>
      </w:r>
    </w:p>
    <w:p>
      <w:pPr>
        <w:pStyle w:val="176"/>
        <w:numPr>
          <w:ilvl w:val="0"/>
          <w:numId w:val="34"/>
        </w:numPr>
        <w:rPr>
          <w:highlight w:val="none"/>
        </w:rPr>
      </w:pPr>
      <w:r>
        <w:rPr>
          <w:rFonts w:hint="eastAsia"/>
          <w:highlight w:val="none"/>
        </w:rPr>
        <w:t>申请房屋等建筑物、构筑物所有权和森林、林木等定着物所有权或者使用权登记的，该房屋等建筑物、构筑物和森林、林木等定着物占用范围内的土地使用权一并登记。</w:t>
      </w:r>
    </w:p>
    <w:p>
      <w:pPr>
        <w:pStyle w:val="67"/>
        <w:spacing w:before="156" w:after="156"/>
        <w:ind w:left="0"/>
        <w:rPr>
          <w:highlight w:val="none"/>
        </w:rPr>
      </w:pPr>
      <w:r>
        <w:rPr>
          <w:rFonts w:hint="eastAsia"/>
          <w:highlight w:val="none"/>
        </w:rPr>
        <w:t>连续登记原则</w:t>
      </w:r>
    </w:p>
    <w:p>
      <w:pPr>
        <w:pStyle w:val="58"/>
        <w:ind w:firstLine="420"/>
        <w:rPr>
          <w:highlight w:val="none"/>
        </w:rPr>
      </w:pPr>
      <w:r>
        <w:rPr>
          <w:rFonts w:hint="eastAsia"/>
          <w:highlight w:val="none"/>
        </w:rPr>
        <w:t>未办理不动产首次登记的，不</w:t>
      </w:r>
      <w:r>
        <w:rPr>
          <w:rFonts w:hint="eastAsia"/>
          <w:highlight w:val="none"/>
          <w:lang w:eastAsia="zh-CN"/>
        </w:rPr>
        <w:t>应</w:t>
      </w:r>
      <w:r>
        <w:rPr>
          <w:rFonts w:hint="eastAsia"/>
          <w:highlight w:val="none"/>
        </w:rPr>
        <w:t xml:space="preserve">办理不动产其他类型登记， 但是下列情形除外： </w:t>
      </w:r>
    </w:p>
    <w:p>
      <w:pPr>
        <w:pStyle w:val="176"/>
        <w:numPr>
          <w:ilvl w:val="0"/>
          <w:numId w:val="35"/>
        </w:numPr>
        <w:rPr>
          <w:highlight w:val="none"/>
        </w:rPr>
      </w:pPr>
      <w:r>
        <w:rPr>
          <w:rFonts w:hint="eastAsia"/>
          <w:highlight w:val="none"/>
        </w:rPr>
        <w:t>预购商品房预告登记、预购商品房抵押预告登记；</w:t>
      </w:r>
    </w:p>
    <w:p>
      <w:pPr>
        <w:pStyle w:val="176"/>
        <w:numPr>
          <w:ilvl w:val="0"/>
          <w:numId w:val="35"/>
        </w:numPr>
        <w:rPr>
          <w:highlight w:val="none"/>
        </w:rPr>
      </w:pPr>
      <w:r>
        <w:rPr>
          <w:rFonts w:hint="eastAsia"/>
          <w:highlight w:val="none"/>
        </w:rPr>
        <w:t>在建建筑物抵押权登记；</w:t>
      </w:r>
    </w:p>
    <w:p>
      <w:pPr>
        <w:pStyle w:val="176"/>
        <w:numPr>
          <w:ilvl w:val="0"/>
          <w:numId w:val="35"/>
        </w:numPr>
        <w:rPr>
          <w:highlight w:val="none"/>
        </w:rPr>
      </w:pPr>
      <w:r>
        <w:rPr>
          <w:rFonts w:hint="eastAsia"/>
          <w:highlight w:val="none"/>
        </w:rPr>
        <w:t>预查封登记；</w:t>
      </w:r>
    </w:p>
    <w:p>
      <w:pPr>
        <w:pStyle w:val="176"/>
        <w:numPr>
          <w:ilvl w:val="0"/>
          <w:numId w:val="35"/>
        </w:numPr>
        <w:rPr>
          <w:highlight w:val="none"/>
        </w:rPr>
      </w:pPr>
      <w:r>
        <w:rPr>
          <w:rFonts w:hint="eastAsia"/>
          <w:highlight w:val="none"/>
        </w:rPr>
        <w:t>法律、行政法规规定的其他情形。</w:t>
      </w:r>
    </w:p>
    <w:p>
      <w:pPr>
        <w:pStyle w:val="67"/>
        <w:spacing w:before="156" w:after="156"/>
        <w:ind w:left="0"/>
        <w:rPr>
          <w:highlight w:val="none"/>
        </w:rPr>
      </w:pPr>
      <w:r>
        <w:rPr>
          <w:rFonts w:hint="eastAsia"/>
          <w:highlight w:val="none"/>
        </w:rPr>
        <w:t>属地登记原则</w:t>
      </w:r>
    </w:p>
    <w:p>
      <w:pPr>
        <w:pStyle w:val="166"/>
        <w:ind w:left="0"/>
        <w:rPr>
          <w:highlight w:val="none"/>
        </w:rPr>
      </w:pPr>
      <w:r>
        <w:rPr>
          <w:rFonts w:hint="eastAsia"/>
          <w:highlight w:val="none"/>
        </w:rPr>
        <w:t>不动产登记由不动产所在地的不动产登记机构办理。</w:t>
      </w:r>
    </w:p>
    <w:p>
      <w:pPr>
        <w:pStyle w:val="166"/>
        <w:ind w:left="0"/>
        <w:rPr>
          <w:highlight w:val="none"/>
        </w:rPr>
      </w:pPr>
      <w:r>
        <w:rPr>
          <w:rFonts w:hint="eastAsia"/>
          <w:highlight w:val="none"/>
        </w:rPr>
        <w:t>跨行政区域的不动产登记， 由所跨行政区域的不动产登记机构分别办理。不动产单元跨行政 区域且无法分别办理的， 由所跨行政区域的不动产登记机构协商办理；协商不成的， 由先收到申请的不动产登记机构向共同的上一级人民政府不动产登记主管部门提出指定办理申请。不动产登记机构经协 商确定或者依指定办理跨行政区域不动产登记的， 应当在登记完毕后将不动产登记簿记载的不动产权 利人以及不动产坐落、界址、总面积、跨区域面积、用途、权利类型等登记结果以书面或者信息共享的 方式告知不动产所跨区域的其他不动产登记机构。</w:t>
      </w:r>
    </w:p>
    <w:p>
      <w:pPr>
        <w:pStyle w:val="166"/>
        <w:ind w:left="0"/>
        <w:rPr>
          <w:highlight w:val="none"/>
        </w:rPr>
      </w:pPr>
      <w:r>
        <w:rPr>
          <w:rFonts w:hint="eastAsia"/>
          <w:highlight w:val="none"/>
        </w:rPr>
        <w:t>国务院确定的国家重点林区的森林、林木和林地的登记，由自然资源部受理并会同有关部门 办理。</w:t>
      </w:r>
    </w:p>
    <w:p>
      <w:pPr>
        <w:pStyle w:val="166"/>
        <w:ind w:left="0"/>
        <w:rPr>
          <w:highlight w:val="none"/>
        </w:rPr>
      </w:pPr>
      <w:r>
        <w:rPr>
          <w:rFonts w:hint="eastAsia"/>
          <w:highlight w:val="none"/>
        </w:rPr>
        <w:t>集体土地所在地与该集体组织县级行政管辖地不同形成“飞地”的，“飞地”由不动产所在的行政管辖地的不动产登记机构办理登记，登记完成后应当将不动产登记簿记载的不动产权利人以及不动产坐落、界址、面积、用途、权利类型等登记结果书面或者信息共享的方式告知飞出地的不动产登记机构。</w:t>
      </w:r>
    </w:p>
    <w:p>
      <w:pPr>
        <w:pStyle w:val="182"/>
        <w:jc w:val="left"/>
        <w:rPr>
          <w:highlight w:val="none"/>
        </w:rPr>
      </w:pPr>
      <w:r>
        <w:rPr>
          <w:rFonts w:hint="eastAsia" w:cs="Times New Roman"/>
          <w:sz w:val="18"/>
          <w:szCs w:val="18"/>
          <w:highlight w:val="none"/>
          <w:lang w:val="en-US" w:eastAsia="zh-CN" w:bidi="ar-SA"/>
        </w:rPr>
        <w:t>“飞地”指隶属于某一行政区管辖但不与本区毗连的土地。</w:t>
      </w:r>
      <w:r>
        <w:rPr>
          <w:rFonts w:hint="eastAsia"/>
          <w:highlight w:val="none"/>
        </w:rPr>
        <w:t xml:space="preserve"> </w:t>
      </w:r>
    </w:p>
    <w:p>
      <w:pPr>
        <w:pStyle w:val="107"/>
        <w:spacing w:before="156" w:after="156"/>
        <w:rPr>
          <w:highlight w:val="none"/>
        </w:rPr>
      </w:pPr>
      <w:bookmarkStart w:id="56" w:name="_Toc32265"/>
      <w:r>
        <w:rPr>
          <w:rFonts w:hint="eastAsia"/>
          <w:highlight w:val="none"/>
        </w:rPr>
        <w:t>登记基本单位</w:t>
      </w:r>
      <w:bookmarkEnd w:id="56"/>
    </w:p>
    <w:p>
      <w:pPr>
        <w:pStyle w:val="67"/>
        <w:spacing w:before="156" w:after="156"/>
        <w:ind w:left="0"/>
        <w:rPr>
          <w:highlight w:val="none"/>
        </w:rPr>
      </w:pPr>
      <w:r>
        <w:rPr>
          <w:rFonts w:hint="eastAsia"/>
          <w:highlight w:val="none"/>
        </w:rPr>
        <w:t>不动产单元</w:t>
      </w:r>
    </w:p>
    <w:p>
      <w:pPr>
        <w:pStyle w:val="58"/>
        <w:ind w:firstLine="420"/>
        <w:rPr>
          <w:highlight w:val="none"/>
        </w:rPr>
      </w:pPr>
      <w:r>
        <w:rPr>
          <w:rFonts w:hint="eastAsia"/>
          <w:highlight w:val="none"/>
        </w:rPr>
        <w:t>不动产登记应当以不动产单元为基本单位进行登记。不动产单元由定着物单元和其所在宗地共同组成。独立使用价值的空间应当足以实现相应的用途，并可以独立利用。</w:t>
      </w:r>
    </w:p>
    <w:p>
      <w:pPr>
        <w:pStyle w:val="176"/>
        <w:numPr>
          <w:ilvl w:val="0"/>
          <w:numId w:val="36"/>
        </w:numPr>
        <w:rPr>
          <w:highlight w:val="none"/>
        </w:rPr>
      </w:pPr>
      <w:r>
        <w:rPr>
          <w:rFonts w:hint="eastAsia"/>
          <w:highlight w:val="none"/>
        </w:rPr>
        <w:t>没有房屋等建筑物、构筑物以及森林、林木定着物的，以土地权属界线封闭的空间为不动产单元。</w:t>
      </w:r>
    </w:p>
    <w:p>
      <w:pPr>
        <w:pStyle w:val="176"/>
        <w:numPr>
          <w:ilvl w:val="0"/>
          <w:numId w:val="36"/>
        </w:numPr>
        <w:rPr>
          <w:highlight w:val="none"/>
        </w:rPr>
      </w:pPr>
      <w:r>
        <w:rPr>
          <w:rFonts w:hint="eastAsia"/>
          <w:highlight w:val="none"/>
        </w:rPr>
        <w:t>有房屋等建筑物以及森林、林木定着物的，以该房屋等建筑物以及森林、林木定着物与土地权属界线封闭的空间为不动产单元。</w:t>
      </w:r>
    </w:p>
    <w:p>
      <w:pPr>
        <w:pStyle w:val="176"/>
        <w:numPr>
          <w:ilvl w:val="0"/>
          <w:numId w:val="36"/>
        </w:numPr>
        <w:rPr>
          <w:highlight w:val="none"/>
        </w:rPr>
      </w:pPr>
      <w:r>
        <w:rPr>
          <w:rFonts w:hint="eastAsia"/>
          <w:highlight w:val="none"/>
        </w:rPr>
        <w:t>有地下车库（车位）、商铺等具有独立使用价值的特定空间或者码头、油库、隧道、桥梁、铁路等构筑物的，以该特定空间或者构筑物与土地权属界线封闭的空间为不动产单元。</w:t>
      </w:r>
    </w:p>
    <w:p>
      <w:pPr>
        <w:pStyle w:val="67"/>
        <w:spacing w:before="156" w:after="156"/>
        <w:ind w:left="0"/>
        <w:rPr>
          <w:highlight w:val="none"/>
        </w:rPr>
      </w:pPr>
      <w:r>
        <w:rPr>
          <w:rFonts w:hint="eastAsia"/>
          <w:highlight w:val="none"/>
        </w:rPr>
        <w:t>不动产单元设定与编码</w:t>
      </w:r>
    </w:p>
    <w:p>
      <w:pPr>
        <w:pStyle w:val="58"/>
        <w:ind w:firstLine="420"/>
        <w:rPr>
          <w:highlight w:val="none"/>
        </w:rPr>
      </w:pPr>
      <w:r>
        <w:rPr>
          <w:rFonts w:hint="eastAsia"/>
          <w:highlight w:val="none"/>
        </w:rPr>
        <w:t>不动产单元应当按照GB/T37346的规定进行设定与编码。不动产登记机构负责本辖区范围内的不动产单元代码编制、变更与管理工作，确保不动产单元编码的唯一性。</w:t>
      </w:r>
    </w:p>
    <w:p>
      <w:pPr>
        <w:pStyle w:val="107"/>
        <w:spacing w:before="156" w:after="156"/>
        <w:rPr>
          <w:highlight w:val="none"/>
        </w:rPr>
      </w:pPr>
      <w:bookmarkStart w:id="57" w:name="_Toc14659"/>
      <w:r>
        <w:rPr>
          <w:rFonts w:hint="eastAsia"/>
          <w:highlight w:val="none"/>
        </w:rPr>
        <w:t>登记程序</w:t>
      </w:r>
      <w:bookmarkEnd w:id="57"/>
    </w:p>
    <w:p>
      <w:pPr>
        <w:pStyle w:val="67"/>
        <w:spacing w:before="156" w:after="156"/>
        <w:ind w:left="0"/>
        <w:rPr>
          <w:highlight w:val="none"/>
        </w:rPr>
      </w:pPr>
      <w:r>
        <w:rPr>
          <w:rFonts w:hint="eastAsia"/>
          <w:highlight w:val="none"/>
        </w:rPr>
        <w:t>依申请登记程序</w:t>
      </w:r>
    </w:p>
    <w:p>
      <w:pPr>
        <w:pStyle w:val="58"/>
        <w:ind w:firstLine="420"/>
        <w:rPr>
          <w:highlight w:val="none"/>
        </w:rPr>
      </w:pPr>
      <w:r>
        <w:rPr>
          <w:rFonts w:hint="eastAsia"/>
          <w:highlight w:val="none"/>
        </w:rPr>
        <w:t>依申请的不动产登记按下列程序进行：</w:t>
      </w:r>
    </w:p>
    <w:p>
      <w:pPr>
        <w:pStyle w:val="176"/>
        <w:numPr>
          <w:ilvl w:val="0"/>
          <w:numId w:val="37"/>
        </w:numPr>
        <w:rPr>
          <w:highlight w:val="none"/>
        </w:rPr>
      </w:pPr>
      <w:r>
        <w:rPr>
          <w:rFonts w:hint="eastAsia"/>
          <w:highlight w:val="none"/>
        </w:rPr>
        <w:t>申请；</w:t>
      </w:r>
    </w:p>
    <w:p>
      <w:pPr>
        <w:pStyle w:val="58"/>
        <w:ind w:firstLine="420"/>
        <w:rPr>
          <w:highlight w:val="none"/>
        </w:rPr>
      </w:pPr>
      <w:r>
        <w:rPr>
          <w:rFonts w:hint="eastAsia"/>
          <w:highlight w:val="none"/>
        </w:rPr>
        <w:t>b)  受理；</w:t>
      </w:r>
    </w:p>
    <w:p>
      <w:pPr>
        <w:pStyle w:val="58"/>
        <w:ind w:firstLine="420"/>
        <w:rPr>
          <w:highlight w:val="none"/>
        </w:rPr>
      </w:pPr>
      <w:r>
        <w:rPr>
          <w:rFonts w:hint="eastAsia"/>
          <w:highlight w:val="none"/>
        </w:rPr>
        <w:t>c)  审核；</w:t>
      </w:r>
    </w:p>
    <w:p>
      <w:pPr>
        <w:pStyle w:val="58"/>
        <w:ind w:firstLine="420"/>
        <w:rPr>
          <w:highlight w:val="none"/>
        </w:rPr>
      </w:pPr>
      <w:r>
        <w:rPr>
          <w:rFonts w:hint="eastAsia"/>
          <w:highlight w:val="none"/>
        </w:rPr>
        <w:t>d)  登簿。</w:t>
      </w:r>
    </w:p>
    <w:p>
      <w:pPr>
        <w:pStyle w:val="67"/>
        <w:spacing w:before="156" w:after="156"/>
        <w:ind w:left="0"/>
        <w:rPr>
          <w:highlight w:val="none"/>
        </w:rPr>
      </w:pPr>
      <w:r>
        <w:rPr>
          <w:rFonts w:hint="eastAsia"/>
          <w:highlight w:val="none"/>
        </w:rPr>
        <w:t>依嘱托登记程序</w:t>
      </w:r>
    </w:p>
    <w:p>
      <w:pPr>
        <w:pStyle w:val="166"/>
        <w:ind w:left="0"/>
        <w:rPr>
          <w:highlight w:val="none"/>
        </w:rPr>
      </w:pPr>
      <w:r>
        <w:rPr>
          <w:rFonts w:hint="eastAsia"/>
          <w:highlight w:val="none"/>
        </w:rPr>
        <w:t>依据人民政府</w:t>
      </w:r>
      <w:r>
        <w:rPr>
          <w:rFonts w:hint="eastAsia"/>
          <w:highlight w:val="none"/>
          <w:lang w:eastAsia="zh-CN"/>
        </w:rPr>
        <w:t>及</w:t>
      </w:r>
      <w:r>
        <w:rPr>
          <w:rFonts w:hint="eastAsia"/>
          <w:highlight w:val="none"/>
        </w:rPr>
        <w:t>人民法院、人民检察院、国家安全机关、监察机关、公安机关、税务机关等国家有权机关出具的嘱托文件办理不动产登记的， 按下列程序进行：</w:t>
      </w:r>
    </w:p>
    <w:p>
      <w:pPr>
        <w:pStyle w:val="176"/>
        <w:numPr>
          <w:ilvl w:val="0"/>
          <w:numId w:val="38"/>
        </w:numPr>
        <w:rPr>
          <w:highlight w:val="none"/>
        </w:rPr>
      </w:pPr>
      <w:r>
        <w:rPr>
          <w:rFonts w:hint="eastAsia"/>
          <w:highlight w:val="none"/>
        </w:rPr>
        <w:t>嘱托；</w:t>
      </w:r>
    </w:p>
    <w:p>
      <w:pPr>
        <w:pStyle w:val="58"/>
        <w:ind w:firstLine="420"/>
        <w:rPr>
          <w:highlight w:val="none"/>
        </w:rPr>
      </w:pPr>
      <w:r>
        <w:rPr>
          <w:rFonts w:hint="eastAsia"/>
          <w:highlight w:val="none"/>
        </w:rPr>
        <w:t xml:space="preserve">b)  </w:t>
      </w:r>
      <w:r>
        <w:rPr>
          <w:rFonts w:hint="eastAsia"/>
          <w:highlight w:val="none"/>
          <w:lang w:eastAsia="zh-CN"/>
        </w:rPr>
        <w:t>接受嘱托</w:t>
      </w:r>
      <w:r>
        <w:rPr>
          <w:rFonts w:hint="eastAsia"/>
          <w:highlight w:val="none"/>
        </w:rPr>
        <w:t>；</w:t>
      </w:r>
    </w:p>
    <w:p>
      <w:pPr>
        <w:pStyle w:val="58"/>
        <w:ind w:firstLine="420"/>
        <w:rPr>
          <w:highlight w:val="none"/>
        </w:rPr>
      </w:pPr>
      <w:r>
        <w:rPr>
          <w:rFonts w:hint="eastAsia"/>
          <w:highlight w:val="none"/>
        </w:rPr>
        <w:t>c)  审核；</w:t>
      </w:r>
    </w:p>
    <w:p>
      <w:pPr>
        <w:pStyle w:val="58"/>
        <w:ind w:firstLine="420"/>
        <w:rPr>
          <w:highlight w:val="none"/>
        </w:rPr>
      </w:pPr>
      <w:r>
        <w:rPr>
          <w:rFonts w:hint="eastAsia"/>
          <w:highlight w:val="none"/>
        </w:rPr>
        <w:t>d)  登簿。</w:t>
      </w:r>
    </w:p>
    <w:p>
      <w:pPr>
        <w:pStyle w:val="67"/>
        <w:spacing w:before="156" w:after="156"/>
        <w:ind w:left="0"/>
        <w:rPr>
          <w:highlight w:val="none"/>
        </w:rPr>
      </w:pPr>
      <w:r>
        <w:rPr>
          <w:rFonts w:hint="eastAsia"/>
          <w:highlight w:val="none"/>
        </w:rPr>
        <w:t>依职权登记程序</w:t>
      </w:r>
    </w:p>
    <w:p>
      <w:pPr>
        <w:pStyle w:val="58"/>
        <w:ind w:firstLine="420"/>
        <w:rPr>
          <w:highlight w:val="none"/>
        </w:rPr>
      </w:pPr>
      <w:r>
        <w:rPr>
          <w:rFonts w:hint="eastAsia"/>
          <w:highlight w:val="none"/>
        </w:rPr>
        <w:t>不动产登记机构依职权办理不动产登记事项的，按下列程序进行：</w:t>
      </w:r>
    </w:p>
    <w:p>
      <w:pPr>
        <w:pStyle w:val="58"/>
        <w:ind w:firstLine="420"/>
        <w:rPr>
          <w:highlight w:val="none"/>
        </w:rPr>
      </w:pPr>
      <w:r>
        <w:rPr>
          <w:rFonts w:hint="eastAsia"/>
          <w:highlight w:val="none"/>
        </w:rPr>
        <w:t>a)  启动；</w:t>
      </w:r>
    </w:p>
    <w:p>
      <w:pPr>
        <w:pStyle w:val="58"/>
        <w:ind w:firstLine="420"/>
        <w:rPr>
          <w:highlight w:val="none"/>
        </w:rPr>
      </w:pPr>
      <w:r>
        <w:rPr>
          <w:rFonts w:hint="eastAsia"/>
          <w:highlight w:val="none"/>
        </w:rPr>
        <w:t>b)  审核；</w:t>
      </w:r>
    </w:p>
    <w:p>
      <w:pPr>
        <w:pStyle w:val="58"/>
        <w:ind w:firstLine="420"/>
        <w:rPr>
          <w:highlight w:val="none"/>
        </w:rPr>
      </w:pPr>
      <w:r>
        <w:rPr>
          <w:rFonts w:hint="eastAsia"/>
          <w:highlight w:val="none"/>
        </w:rPr>
        <w:t>c)  登簿。</w:t>
      </w:r>
    </w:p>
    <w:p>
      <w:pPr>
        <w:pStyle w:val="107"/>
        <w:spacing w:before="156" w:after="156"/>
        <w:rPr>
          <w:highlight w:val="none"/>
        </w:rPr>
      </w:pPr>
      <w:bookmarkStart w:id="58" w:name="_Toc18689"/>
      <w:r>
        <w:rPr>
          <w:rFonts w:hint="eastAsia"/>
          <w:highlight w:val="none"/>
        </w:rPr>
        <w:t>地籍调查</w:t>
      </w:r>
      <w:bookmarkEnd w:id="58"/>
    </w:p>
    <w:p>
      <w:pPr>
        <w:pStyle w:val="167"/>
        <w:ind w:left="0"/>
        <w:rPr>
          <w:highlight w:val="none"/>
        </w:rPr>
      </w:pPr>
      <w:r>
        <w:rPr>
          <w:rFonts w:hint="eastAsia"/>
          <w:highlight w:val="none"/>
        </w:rPr>
        <w:t>申请不动产首次登记或者涉及界址界限变化的不动产变更、转移登记的，申请人应提交不动产界址、空间界限、面积等地籍调查成果。</w:t>
      </w:r>
    </w:p>
    <w:p>
      <w:pPr>
        <w:pStyle w:val="167"/>
        <w:ind w:left="0"/>
        <w:rPr>
          <w:highlight w:val="none"/>
        </w:rPr>
      </w:pPr>
      <w:r>
        <w:rPr>
          <w:rFonts w:hint="eastAsia"/>
          <w:highlight w:val="none"/>
          <w:lang w:eastAsia="zh-CN"/>
        </w:rPr>
        <w:t>地籍调查分为地籍总调查和日常地籍调查，具体工作要求按照GB/T42547-2023执行。</w:t>
      </w:r>
    </w:p>
    <w:p>
      <w:pPr>
        <w:pStyle w:val="167"/>
        <w:ind w:left="0"/>
        <w:rPr>
          <w:highlight w:val="none"/>
        </w:rPr>
      </w:pPr>
      <w:r>
        <w:rPr>
          <w:rFonts w:hint="eastAsia"/>
          <w:highlight w:val="none"/>
        </w:rPr>
        <w:t>申请人委托第三方开展地籍调查时，不动产登记机构对调查成果进行审查，结合日常登记实时更新地籍数据库，与不动产登记数据库实现联动。</w:t>
      </w:r>
    </w:p>
    <w:p>
      <w:pPr>
        <w:pStyle w:val="107"/>
        <w:spacing w:before="156" w:after="156"/>
        <w:rPr>
          <w:highlight w:val="none"/>
        </w:rPr>
      </w:pPr>
      <w:bookmarkStart w:id="59" w:name="_Toc54"/>
      <w:r>
        <w:rPr>
          <w:rFonts w:hint="eastAsia"/>
          <w:highlight w:val="none"/>
        </w:rPr>
        <w:t>不动产登记簿</w:t>
      </w:r>
      <w:bookmarkEnd w:id="59"/>
    </w:p>
    <w:p>
      <w:pPr>
        <w:pStyle w:val="67"/>
        <w:spacing w:before="156" w:after="156"/>
        <w:ind w:left="0"/>
        <w:rPr>
          <w:highlight w:val="none"/>
        </w:rPr>
      </w:pPr>
      <w:r>
        <w:rPr>
          <w:rFonts w:hint="eastAsia"/>
          <w:highlight w:val="none"/>
        </w:rPr>
        <w:t>不动产登记簿介质</w:t>
      </w:r>
    </w:p>
    <w:p>
      <w:pPr>
        <w:pStyle w:val="58"/>
        <w:ind w:firstLine="420"/>
        <w:rPr>
          <w:highlight w:val="none"/>
        </w:rPr>
      </w:pPr>
      <w:r>
        <w:rPr>
          <w:rFonts w:hint="eastAsia"/>
          <w:highlight w:val="none"/>
        </w:rPr>
        <w:t>不动产登记簿采用电子介质，并具有唯一、确定的纸质转化形式。暂不具备条件的，可采用纸质介质。</w:t>
      </w:r>
    </w:p>
    <w:p>
      <w:pPr>
        <w:pStyle w:val="67"/>
        <w:spacing w:before="156" w:after="156"/>
        <w:ind w:left="0"/>
        <w:rPr>
          <w:highlight w:val="none"/>
        </w:rPr>
      </w:pPr>
      <w:r>
        <w:rPr>
          <w:rFonts w:hint="eastAsia"/>
          <w:highlight w:val="none"/>
        </w:rPr>
        <w:t>建立不动产登记簿</w:t>
      </w:r>
    </w:p>
    <w:p>
      <w:pPr>
        <w:pStyle w:val="58"/>
        <w:ind w:firstLine="420"/>
        <w:rPr>
          <w:highlight w:val="none"/>
        </w:rPr>
      </w:pPr>
      <w:r>
        <w:rPr>
          <w:rFonts w:hint="eastAsia"/>
          <w:highlight w:val="none"/>
        </w:rPr>
        <w:t>不动产登记机构以宗地为单位编制不动产登记簿，一宗地范围内的全部不动产编入一个不动产登记簿。宗地权属界线发生变化的，重新建簿，并实现与原不动产登记簿关联。</w:t>
      </w:r>
    </w:p>
    <w:p>
      <w:pPr>
        <w:pStyle w:val="176"/>
        <w:numPr>
          <w:ilvl w:val="0"/>
          <w:numId w:val="0"/>
        </w:numPr>
        <w:rPr>
          <w:highlight w:val="none"/>
        </w:rPr>
      </w:pPr>
      <w:r>
        <w:rPr>
          <w:rFonts w:hint="eastAsia" w:ascii="黑体" w:hAnsi="Times New Roman" w:eastAsia="黑体" w:cs="Times New Roman"/>
          <w:sz w:val="21"/>
          <w:highlight w:val="none"/>
          <w:lang w:val="en-US" w:eastAsia="zh-CN" w:bidi="ar-SA"/>
        </w:rPr>
        <w:t>4.6.2.1</w:t>
      </w:r>
      <w:r>
        <w:rPr>
          <w:rFonts w:hint="eastAsia"/>
          <w:highlight w:val="none"/>
        </w:rPr>
        <w:t>一个不动产单元有两个以上不动产权利或者事项的，在不动产登记簿中分别按照一个权利类型或者事项设置一个登记簿页；</w:t>
      </w:r>
    </w:p>
    <w:p>
      <w:pPr>
        <w:pStyle w:val="176"/>
        <w:numPr>
          <w:ilvl w:val="0"/>
          <w:numId w:val="0"/>
        </w:numPr>
        <w:rPr>
          <w:highlight w:val="none"/>
        </w:rPr>
      </w:pPr>
      <w:r>
        <w:rPr>
          <w:rFonts w:hint="eastAsia" w:ascii="黑体" w:hAnsi="Times New Roman" w:eastAsia="黑体" w:cs="Times New Roman"/>
          <w:sz w:val="21"/>
          <w:highlight w:val="none"/>
          <w:lang w:val="en-US" w:eastAsia="zh-CN" w:bidi="ar-SA"/>
        </w:rPr>
        <w:t>4.6.2.2</w:t>
      </w:r>
      <w:r>
        <w:rPr>
          <w:rFonts w:hint="eastAsia"/>
          <w:highlight w:val="none"/>
        </w:rPr>
        <w:t>一个登记簿页按登簿时间的先后依次记载该权利或者事项的相关内容。</w:t>
      </w:r>
    </w:p>
    <w:p>
      <w:pPr>
        <w:pStyle w:val="67"/>
        <w:spacing w:before="156" w:after="156"/>
        <w:ind w:left="0"/>
        <w:rPr>
          <w:highlight w:val="none"/>
        </w:rPr>
      </w:pPr>
      <w:r>
        <w:rPr>
          <w:rFonts w:hint="eastAsia"/>
          <w:highlight w:val="none"/>
        </w:rPr>
        <w:t>更正不动产登记簿</w:t>
      </w:r>
    </w:p>
    <w:p>
      <w:pPr>
        <w:pStyle w:val="58"/>
        <w:ind w:firstLine="420"/>
        <w:rPr>
          <w:highlight w:val="none"/>
        </w:rPr>
      </w:pPr>
      <w:r>
        <w:rPr>
          <w:rFonts w:hint="eastAsia"/>
          <w:highlight w:val="none"/>
        </w:rPr>
        <w:t>不动产登记机构对不动产登记簿进行记载、保存和重建，不得随意更改。有证据证实不动产登记簿记载的事项确实存在错误的，进行更正登记。</w:t>
      </w:r>
    </w:p>
    <w:p>
      <w:pPr>
        <w:pStyle w:val="67"/>
        <w:spacing w:before="156" w:after="156"/>
        <w:ind w:left="0"/>
        <w:rPr>
          <w:highlight w:val="none"/>
        </w:rPr>
      </w:pPr>
      <w:r>
        <w:rPr>
          <w:rFonts w:hint="eastAsia"/>
          <w:highlight w:val="none"/>
        </w:rPr>
        <w:t>管理和保存不动产登记簿</w:t>
      </w:r>
    </w:p>
    <w:p>
      <w:pPr>
        <w:pStyle w:val="58"/>
        <w:ind w:firstLine="420"/>
        <w:rPr>
          <w:highlight w:val="none"/>
        </w:rPr>
      </w:pPr>
      <w:r>
        <w:rPr>
          <w:rFonts w:hint="eastAsia"/>
          <w:highlight w:val="none"/>
        </w:rPr>
        <w:t>不动产登记簿由不动产登记机构负责管理， 永久保存。</w:t>
      </w:r>
    </w:p>
    <w:p>
      <w:pPr>
        <w:pStyle w:val="107"/>
        <w:spacing w:before="156" w:after="156"/>
        <w:rPr>
          <w:highlight w:val="none"/>
        </w:rPr>
      </w:pPr>
      <w:bookmarkStart w:id="60" w:name="_Toc26425"/>
      <w:r>
        <w:rPr>
          <w:rFonts w:hint="eastAsia"/>
          <w:highlight w:val="none"/>
        </w:rPr>
        <w:t>不动产权证书和不动产登记证明</w:t>
      </w:r>
      <w:bookmarkEnd w:id="60"/>
    </w:p>
    <w:p>
      <w:pPr>
        <w:pStyle w:val="67"/>
        <w:spacing w:before="156" w:after="156"/>
        <w:ind w:left="0"/>
        <w:rPr>
          <w:highlight w:val="none"/>
        </w:rPr>
      </w:pPr>
      <w:r>
        <w:rPr>
          <w:rFonts w:hint="eastAsia"/>
          <w:highlight w:val="none"/>
        </w:rPr>
        <w:t>不动产权证书和不动产登记证明的格式</w:t>
      </w:r>
    </w:p>
    <w:p>
      <w:pPr>
        <w:pStyle w:val="166"/>
        <w:ind w:left="0"/>
        <w:rPr>
          <w:highlight w:val="none"/>
        </w:rPr>
      </w:pPr>
      <w:r>
        <w:rPr>
          <w:rFonts w:hint="eastAsia"/>
          <w:highlight w:val="none"/>
        </w:rPr>
        <w:t>不动产权证书和不动产登记证明由自然资源部统一制定样式、统一监制、统一编号规则。不动产权证书和不动产登记证明的印制、发行、管理和质量监督工作由省级自然资源主管部门负责。</w:t>
      </w:r>
    </w:p>
    <w:p>
      <w:pPr>
        <w:pStyle w:val="166"/>
        <w:ind w:left="0"/>
        <w:rPr>
          <w:highlight w:val="none"/>
        </w:rPr>
      </w:pPr>
      <w:r>
        <w:rPr>
          <w:rFonts w:hint="eastAsia"/>
          <w:highlight w:val="none"/>
        </w:rPr>
        <w:t>不动产权证书和不动产登记证明应一证一号，更换证书和证明应更换号码。</w:t>
      </w:r>
    </w:p>
    <w:p>
      <w:pPr>
        <w:pStyle w:val="166"/>
        <w:ind w:left="0"/>
        <w:rPr>
          <w:highlight w:val="none"/>
        </w:rPr>
      </w:pPr>
      <w:r>
        <w:rPr>
          <w:rFonts w:hint="eastAsia"/>
          <w:highlight w:val="none"/>
        </w:rPr>
        <w:t>不动产登记机构宜在不动产权证书上生成二维码，储存不动产登记信息。已有二维码能够在线查看证书附图的，纸质证书可不粘贴附图。</w:t>
      </w:r>
    </w:p>
    <w:p>
      <w:pPr>
        <w:pStyle w:val="67"/>
        <w:spacing w:before="156" w:after="156"/>
        <w:ind w:left="0"/>
        <w:rPr>
          <w:highlight w:val="none"/>
        </w:rPr>
      </w:pPr>
      <w:r>
        <w:rPr>
          <w:rFonts w:hint="eastAsia"/>
          <w:highlight w:val="none"/>
        </w:rPr>
        <w:t>不动产权证书的版式</w:t>
      </w:r>
    </w:p>
    <w:p>
      <w:pPr>
        <w:pStyle w:val="58"/>
        <w:ind w:firstLine="420"/>
        <w:rPr>
          <w:highlight w:val="none"/>
        </w:rPr>
      </w:pPr>
      <w:r>
        <w:rPr>
          <w:rFonts w:hint="eastAsia"/>
          <w:highlight w:val="none"/>
        </w:rPr>
        <w:t>不动产权证书分单一版和集成版两个版式。不动产登记原则上按一个不动产单元核发一本不动产权证书，采用单一版版本。一户拥有多个土地承包经营权或者一个权利主体拥有多个土地经营权，可以将其集中记载在一本集成版的不动产权证书，一本证书可以记载一个权利人在同一登记辖区内享有的多个不动产单元上的不动产权利。</w:t>
      </w:r>
    </w:p>
    <w:p>
      <w:pPr>
        <w:pStyle w:val="67"/>
        <w:spacing w:before="156" w:after="156"/>
        <w:ind w:left="0"/>
        <w:rPr>
          <w:highlight w:val="none"/>
        </w:rPr>
      </w:pPr>
      <w:r>
        <w:rPr>
          <w:rFonts w:hint="eastAsia"/>
          <w:highlight w:val="none"/>
        </w:rPr>
        <w:t>不动产权证书和不动产登记证明的换发、补发、作废</w:t>
      </w:r>
    </w:p>
    <w:p>
      <w:pPr>
        <w:pStyle w:val="166"/>
        <w:ind w:left="0"/>
        <w:rPr>
          <w:highlight w:val="none"/>
        </w:rPr>
      </w:pPr>
      <w:r>
        <w:rPr>
          <w:rFonts w:hint="eastAsia"/>
          <w:highlight w:val="none"/>
        </w:rPr>
        <w:t>不动产权证书和不动产登记证明换发、补发、作废的，原证号废止。换发、补发的新不动产权证书或者不动产登记证明应更换号码，并在不动产权证书或者不动产登记证明上注明“换发”、“补发”字样。</w:t>
      </w:r>
    </w:p>
    <w:p>
      <w:pPr>
        <w:pStyle w:val="166"/>
        <w:ind w:left="0"/>
        <w:rPr>
          <w:highlight w:val="none"/>
        </w:rPr>
      </w:pPr>
      <w:r>
        <w:rPr>
          <w:rFonts w:hint="eastAsia"/>
          <w:highlight w:val="none"/>
        </w:rPr>
        <w:t>不动产权证书或者不动产登记证明破损、污损、填制错误的，当事人可向不动产登记机构申请换发。符合换发条件的，不动产登记机构收回原不动产权证书或者不动产登记证明，并将有关事项记载于不动产登记簿后，向申请人换发新的不动产权证书或者不动产登记证明。</w:t>
      </w:r>
    </w:p>
    <w:p>
      <w:pPr>
        <w:pStyle w:val="166"/>
        <w:ind w:left="0"/>
        <w:rPr>
          <w:highlight w:val="none"/>
        </w:rPr>
      </w:pPr>
      <w:r>
        <w:rPr>
          <w:rFonts w:hint="eastAsia"/>
          <w:highlight w:val="none"/>
        </w:rPr>
        <w:t>不动产权证书或者不动产登记证明遗失、灭失，不动产权利人申请补发的，由不动产登记机构在其门户网站上刊发不动产权利人的遗失、灭失声明，将遗失、灭失声明页面存档，并将有关事项记载于不动产登记簿，向申请人补发新的不动产权证书或者不动产登记证明。</w:t>
      </w:r>
    </w:p>
    <w:p>
      <w:pPr>
        <w:pStyle w:val="166"/>
        <w:ind w:left="0"/>
        <w:rPr>
          <w:highlight w:val="none"/>
        </w:rPr>
      </w:pPr>
      <w:r>
        <w:rPr>
          <w:rFonts w:hint="eastAsia"/>
          <w:highlight w:val="none"/>
        </w:rPr>
        <w:t>不动产存在查封登记、抵押登记、异议登记、预告登记、地役权登记、居住权登记等情形的， 不影响不动产权证书和不动产登记证明的换发或者补发。</w:t>
      </w:r>
    </w:p>
    <w:p>
      <w:pPr>
        <w:pStyle w:val="67"/>
        <w:spacing w:before="156" w:after="156"/>
        <w:ind w:left="0"/>
        <w:rPr>
          <w:highlight w:val="none"/>
        </w:rPr>
      </w:pPr>
      <w:r>
        <w:rPr>
          <w:rFonts w:hint="eastAsia"/>
          <w:highlight w:val="none"/>
        </w:rPr>
        <w:t>不动产权证书和不动产登记证明的缮写</w:t>
      </w:r>
    </w:p>
    <w:p>
      <w:pPr>
        <w:pStyle w:val="58"/>
        <w:ind w:firstLine="420"/>
        <w:rPr>
          <w:highlight w:val="none"/>
        </w:rPr>
      </w:pPr>
      <w:r>
        <w:rPr>
          <w:rFonts w:hint="eastAsia"/>
          <w:highlight w:val="none"/>
        </w:rPr>
        <w:t>不动产权证书和不动产登记证明按照不动产登记簿缮写，加盖不动产登记机构不动产登记专用章。</w:t>
      </w:r>
    </w:p>
    <w:p>
      <w:pPr>
        <w:pStyle w:val="58"/>
        <w:ind w:left="0" w:leftChars="0" w:firstLine="0" w:firstLineChars="0"/>
        <w:rPr>
          <w:rFonts w:hint="eastAsia"/>
          <w:highlight w:val="none"/>
        </w:rPr>
      </w:pPr>
      <w:r>
        <w:rPr>
          <w:rFonts w:hint="eastAsia"/>
          <w:highlight w:val="none"/>
        </w:rPr>
        <w:t>印章可采用电子</w:t>
      </w:r>
      <w:r>
        <w:rPr>
          <w:rFonts w:hint="eastAsia"/>
          <w:highlight w:val="none"/>
          <w:lang w:eastAsia="zh-CN"/>
        </w:rPr>
        <w:t>签章</w:t>
      </w:r>
      <w:r>
        <w:rPr>
          <w:rFonts w:hint="eastAsia"/>
          <w:highlight w:val="none"/>
        </w:rPr>
        <w:t>形式，</w:t>
      </w:r>
      <w:r>
        <w:rPr>
          <w:rFonts w:hint="eastAsia"/>
          <w:highlight w:val="none"/>
          <w:lang w:eastAsia="zh-CN"/>
        </w:rPr>
        <w:t>签章</w:t>
      </w:r>
      <w:r>
        <w:rPr>
          <w:rFonts w:hint="eastAsia" w:ascii="宋体" w:hAnsi="宋体" w:eastAsia="宋体" w:cs="宋体"/>
          <w:color w:val="000000"/>
          <w:kern w:val="0"/>
          <w:sz w:val="21"/>
          <w:szCs w:val="21"/>
          <w:highlight w:val="none"/>
          <w:lang w:val="en-US" w:eastAsia="zh-CN" w:bidi="ar"/>
        </w:rPr>
        <w:t>应符合GB/T 38540-2020的相关要求</w:t>
      </w:r>
      <w:r>
        <w:rPr>
          <w:rFonts w:hint="eastAsia"/>
          <w:highlight w:val="none"/>
        </w:rPr>
        <w:t>。</w:t>
      </w:r>
    </w:p>
    <w:p>
      <w:pPr>
        <w:pStyle w:val="67"/>
        <w:spacing w:before="156" w:after="156"/>
        <w:ind w:left="0"/>
        <w:rPr>
          <w:highlight w:val="none"/>
        </w:rPr>
      </w:pPr>
      <w:r>
        <w:rPr>
          <w:rFonts w:hint="eastAsia"/>
          <w:highlight w:val="none"/>
        </w:rPr>
        <w:t>不动产权证书和不动产登记证明的管理</w:t>
      </w:r>
    </w:p>
    <w:p>
      <w:pPr>
        <w:pStyle w:val="58"/>
        <w:ind w:firstLine="420"/>
        <w:rPr>
          <w:highlight w:val="none"/>
        </w:rPr>
      </w:pPr>
      <w:r>
        <w:rPr>
          <w:rFonts w:hint="eastAsia"/>
          <w:highlight w:val="none"/>
        </w:rPr>
        <w:t>不动产登记机构应建立不动产权证书和不动产登记证明管理台账，防止空白、作废的不动产权证书和不动产登记证明遗失。</w:t>
      </w:r>
    </w:p>
    <w:p>
      <w:pPr>
        <w:pStyle w:val="67"/>
        <w:spacing w:before="156" w:after="156"/>
        <w:ind w:left="0"/>
        <w:rPr>
          <w:highlight w:val="none"/>
        </w:rPr>
      </w:pPr>
      <w:r>
        <w:rPr>
          <w:rFonts w:hint="eastAsia"/>
          <w:highlight w:val="none"/>
        </w:rPr>
        <w:t>不动产登记电子证照</w:t>
      </w:r>
    </w:p>
    <w:p>
      <w:pPr>
        <w:pStyle w:val="58"/>
        <w:ind w:firstLine="420"/>
        <w:rPr>
          <w:rFonts w:hint="eastAsia"/>
          <w:highlight w:val="none"/>
        </w:rPr>
      </w:pPr>
      <w:r>
        <w:rPr>
          <w:rFonts w:hint="eastAsia"/>
          <w:highlight w:val="none"/>
        </w:rPr>
        <w:t>不动产登记机构应全面启用不动产登记电子证照</w:t>
      </w:r>
      <w:r>
        <w:rPr>
          <w:rFonts w:hint="eastAsia"/>
          <w:highlight w:val="none"/>
          <w:lang w:eastAsia="zh-CN"/>
        </w:rPr>
        <w:t>，</w:t>
      </w:r>
      <w:r>
        <w:rPr>
          <w:rFonts w:hint="eastAsia"/>
          <w:highlight w:val="none"/>
        </w:rPr>
        <w:t>规范共享服务接口，实现在线验真，即时采信办事。不动产登记电子证照的建设和管理应符合</w:t>
      </w:r>
      <w:r>
        <w:rPr>
          <w:rFonts w:hint="eastAsia"/>
          <w:highlight w:val="none"/>
        </w:rPr>
        <w:t>C0203-2020</w:t>
      </w:r>
      <w:r>
        <w:rPr>
          <w:rFonts w:hint="eastAsia"/>
          <w:highlight w:val="none"/>
          <w:lang w:eastAsia="zh-CN"/>
        </w:rPr>
        <w:t>相关规定</w:t>
      </w:r>
      <w:r>
        <w:rPr>
          <w:rFonts w:hint="eastAsia"/>
          <w:highlight w:val="none"/>
        </w:rPr>
        <w:t>。</w:t>
      </w:r>
    </w:p>
    <w:p>
      <w:pPr>
        <w:pStyle w:val="107"/>
        <w:spacing w:before="156" w:after="156"/>
        <w:rPr>
          <w:highlight w:val="none"/>
        </w:rPr>
      </w:pPr>
      <w:bookmarkStart w:id="61" w:name="_Toc3195"/>
      <w:r>
        <w:rPr>
          <w:rFonts w:hint="eastAsia"/>
          <w:highlight w:val="none"/>
        </w:rPr>
        <w:t>继承、受遗赠的不动产登记办理</w:t>
      </w:r>
      <w:bookmarkEnd w:id="61"/>
    </w:p>
    <w:p>
      <w:pPr>
        <w:pStyle w:val="167"/>
        <w:ind w:left="0"/>
        <w:rPr>
          <w:highlight w:val="none"/>
        </w:rPr>
      </w:pPr>
      <w:r>
        <w:rPr>
          <w:rFonts w:hint="eastAsia"/>
          <w:highlight w:val="none"/>
        </w:rPr>
        <w:t>经公证或者法院裁判、调解的，申请人提交身份证明材料、被继承人或者遗赠人享有不动产权利的材料及继承权公证书、接受遗赠公证书等公证的材料或者确定继承权的生效法律文书，按《</w:t>
      </w:r>
      <w:r>
        <w:rPr>
          <w:rFonts w:hint="eastAsia"/>
          <w:highlight w:val="none"/>
          <w:lang w:eastAsia="zh-CN"/>
        </w:rPr>
        <w:t>不动登记暂行</w:t>
      </w:r>
      <w:r>
        <w:rPr>
          <w:rFonts w:hint="eastAsia"/>
          <w:highlight w:val="none"/>
        </w:rPr>
        <w:t>条例》《</w:t>
      </w:r>
      <w:r>
        <w:rPr>
          <w:rFonts w:hint="eastAsia"/>
          <w:highlight w:val="none"/>
          <w:lang w:eastAsia="zh-CN"/>
        </w:rPr>
        <w:t>不动产登记暂行条例</w:t>
      </w:r>
      <w:r>
        <w:rPr>
          <w:rFonts w:hint="eastAsia"/>
          <w:highlight w:val="none"/>
        </w:rPr>
        <w:t>实施细则》的相关规定办理登记。</w:t>
      </w:r>
    </w:p>
    <w:p>
      <w:pPr>
        <w:pStyle w:val="167"/>
        <w:ind w:left="0"/>
        <w:rPr>
          <w:highlight w:val="none"/>
        </w:rPr>
      </w:pPr>
      <w:r>
        <w:rPr>
          <w:rFonts w:hint="eastAsia"/>
          <w:highlight w:val="none"/>
        </w:rPr>
        <w:t>申请人未提交继承权公证书、接受遗赠公证书等公证材料或者确定继承权的生效法律文书的， 可</w:t>
      </w:r>
      <w:r>
        <w:rPr>
          <w:rFonts w:hint="eastAsia"/>
          <w:highlight w:val="none"/>
          <w:lang w:eastAsia="zh-CN"/>
        </w:rPr>
        <w:t>按</w:t>
      </w:r>
      <w:r>
        <w:rPr>
          <w:rFonts w:hint="eastAsia"/>
          <w:highlight w:val="none"/>
        </w:rPr>
        <w:t>下列程序办理：</w:t>
      </w:r>
    </w:p>
    <w:p>
      <w:pPr>
        <w:pStyle w:val="166"/>
        <w:ind w:left="0"/>
        <w:rPr>
          <w:highlight w:val="none"/>
        </w:rPr>
      </w:pPr>
      <w:r>
        <w:rPr>
          <w:rFonts w:hint="eastAsia"/>
          <w:highlight w:val="none"/>
        </w:rPr>
        <w:t>申请人提出申请，并提交下列材料：</w:t>
      </w:r>
    </w:p>
    <w:p>
      <w:pPr>
        <w:pStyle w:val="176"/>
        <w:numPr>
          <w:ilvl w:val="0"/>
          <w:numId w:val="39"/>
        </w:numPr>
        <w:rPr>
          <w:highlight w:val="none"/>
        </w:rPr>
      </w:pPr>
      <w:r>
        <w:rPr>
          <w:rFonts w:hint="eastAsia"/>
          <w:highlight w:val="none"/>
        </w:rPr>
        <w:t>所有继承人或者受遗赠人的身份证明；有遗产管理人的，需提交遗产管理人证明材料及身份证明；</w:t>
      </w:r>
    </w:p>
    <w:p>
      <w:pPr>
        <w:pStyle w:val="176"/>
        <w:numPr>
          <w:ilvl w:val="0"/>
          <w:numId w:val="39"/>
        </w:numPr>
        <w:rPr>
          <w:highlight w:val="none"/>
        </w:rPr>
      </w:pPr>
      <w:r>
        <w:rPr>
          <w:rFonts w:hint="eastAsia"/>
          <w:highlight w:val="none"/>
        </w:rPr>
        <w:t>被继承人或者遗赠人的死亡证明：包括医疗机构出具的死亡证明；公安机关出具的死亡证明或者注明了死亡日期的注销户口证明；民政部门提供的死亡信息；人民法院宣告死亡的判决书；死亡公证书；其他能够证明被继承人或者遗赠人死亡的材料；</w:t>
      </w:r>
    </w:p>
    <w:p>
      <w:pPr>
        <w:pStyle w:val="176"/>
        <w:numPr>
          <w:ilvl w:val="0"/>
          <w:numId w:val="39"/>
        </w:numPr>
        <w:rPr>
          <w:highlight w:val="none"/>
        </w:rPr>
      </w:pPr>
      <w:r>
        <w:rPr>
          <w:rFonts w:hint="eastAsia"/>
          <w:highlight w:val="none"/>
        </w:rPr>
        <w:t>全部法定继承人与被继承人的亲属关系表，以及能够证明法定继承人与被继承人亲属关系的材料，包括户口簿、婚姻证明、收养证明、出生医学证明，公安机关以及被继承人或者继承人单位出具的证明材料、人事档案材料，其他能够证明相关亲属关系的材料等；</w:t>
      </w:r>
    </w:p>
    <w:p>
      <w:pPr>
        <w:pStyle w:val="176"/>
        <w:numPr>
          <w:ilvl w:val="0"/>
          <w:numId w:val="39"/>
        </w:numPr>
        <w:rPr>
          <w:highlight w:val="none"/>
        </w:rPr>
      </w:pPr>
      <w:r>
        <w:rPr>
          <w:rFonts w:hint="eastAsia"/>
          <w:highlight w:val="none"/>
        </w:rPr>
        <w:t>被继承人或者遗赠人享有不动产权利的材料。被继承人或者遗赠人生前与配偶有夫妻财产约定的，应提交书面约定协议；</w:t>
      </w:r>
    </w:p>
    <w:p>
      <w:pPr>
        <w:pStyle w:val="176"/>
        <w:numPr>
          <w:ilvl w:val="0"/>
          <w:numId w:val="39"/>
        </w:numPr>
        <w:rPr>
          <w:highlight w:val="none"/>
        </w:rPr>
      </w:pPr>
      <w:r>
        <w:rPr>
          <w:rFonts w:hint="eastAsia"/>
          <w:highlight w:val="none"/>
        </w:rPr>
        <w:t>法定继承的，提交法定继承人关于被继承不动产的分配协议。继承人放弃继承的，应在不动产登记机构办公场所，在不动产登记机构人员的见证下，签署放弃继承权的声明，或者提供放弃继承权声明的公证书；</w:t>
      </w:r>
    </w:p>
    <w:p>
      <w:pPr>
        <w:pStyle w:val="176"/>
        <w:numPr>
          <w:ilvl w:val="0"/>
          <w:numId w:val="39"/>
        </w:numPr>
        <w:rPr>
          <w:highlight w:val="none"/>
        </w:rPr>
      </w:pPr>
      <w:r>
        <w:rPr>
          <w:rFonts w:hint="eastAsia"/>
          <w:highlight w:val="none"/>
        </w:rPr>
        <w:t xml:space="preserve">被继承人或者遗赠人生前有遗嘱或者遗赠扶养协议的， 应提交其遗嘱或者遗赠扶养协议； </w:t>
      </w:r>
    </w:p>
    <w:p>
      <w:pPr>
        <w:pStyle w:val="176"/>
        <w:numPr>
          <w:ilvl w:val="0"/>
          <w:numId w:val="39"/>
        </w:numPr>
        <w:rPr>
          <w:highlight w:val="none"/>
        </w:rPr>
      </w:pPr>
      <w:r>
        <w:rPr>
          <w:rFonts w:hint="eastAsia"/>
          <w:highlight w:val="none"/>
        </w:rPr>
        <w:t>依法需要缴纳税费的，应提交税费缴纳凭证；</w:t>
      </w:r>
    </w:p>
    <w:p>
      <w:pPr>
        <w:pStyle w:val="176"/>
        <w:numPr>
          <w:ilvl w:val="0"/>
          <w:numId w:val="39"/>
        </w:numPr>
        <w:rPr>
          <w:highlight w:val="none"/>
        </w:rPr>
      </w:pPr>
      <w:r>
        <w:rPr>
          <w:rFonts w:hint="eastAsia"/>
          <w:highlight w:val="none"/>
        </w:rPr>
        <w:t>代位继承或者转继承的，参照上述材料提供。</w:t>
      </w:r>
    </w:p>
    <w:p>
      <w:pPr>
        <w:pStyle w:val="166"/>
        <w:ind w:left="0"/>
        <w:rPr>
          <w:highlight w:val="none"/>
        </w:rPr>
      </w:pPr>
      <w:r>
        <w:rPr>
          <w:rFonts w:hint="eastAsia"/>
          <w:highlight w:val="none"/>
        </w:rPr>
        <w:t>法定继承的，受理登记前应由全部法定继承人共同到不动产所在地的不动产登记机构进行继承材料查验；有第一顺序继承人的，第二顺序继承人无需到场。提供放弃继承权公证书的，该继承人无需到场。</w:t>
      </w:r>
    </w:p>
    <w:p>
      <w:pPr>
        <w:pStyle w:val="58"/>
        <w:ind w:firstLine="420"/>
        <w:rPr>
          <w:highlight w:val="none"/>
        </w:rPr>
      </w:pPr>
      <w:r>
        <w:rPr>
          <w:rFonts w:hint="eastAsia"/>
          <w:highlight w:val="none"/>
        </w:rPr>
        <w:t>遗嘱继承的，受理登记前由全部法定继承人共同到不动产所在地的不动产登记机构查验遗嘱的有效性及是否为最后一份遗嘱；有第一顺序继承人的，第二顺序继承人无需到场。</w:t>
      </w:r>
    </w:p>
    <w:p>
      <w:pPr>
        <w:pStyle w:val="58"/>
        <w:ind w:firstLine="420"/>
        <w:rPr>
          <w:highlight w:val="none"/>
        </w:rPr>
      </w:pPr>
      <w:r>
        <w:rPr>
          <w:rFonts w:hint="eastAsia"/>
          <w:highlight w:val="none"/>
        </w:rPr>
        <w:t>受遗赠的，受理登记前由全部法定继承人和受遗赠人共同到不动产所在地的不动产登记机构查验申请材料；有第一顺序法定继承人的，第二顺序法定继承人无需到场。</w:t>
      </w:r>
    </w:p>
    <w:p>
      <w:pPr>
        <w:pStyle w:val="58"/>
        <w:ind w:firstLine="420"/>
        <w:rPr>
          <w:highlight w:val="none"/>
        </w:rPr>
      </w:pPr>
      <w:r>
        <w:rPr>
          <w:rFonts w:hint="eastAsia"/>
          <w:highlight w:val="none"/>
        </w:rPr>
        <w:t>有遗产管理人的，可由遗产管理人和继承人或者受遗赠人共同到不动产所在地的不动产登记机构进行材料查验。</w:t>
      </w:r>
    </w:p>
    <w:p>
      <w:pPr>
        <w:pStyle w:val="166"/>
        <w:ind w:left="0"/>
        <w:rPr>
          <w:highlight w:val="none"/>
        </w:rPr>
      </w:pPr>
      <w:r>
        <w:rPr>
          <w:rFonts w:hint="eastAsia"/>
          <w:highlight w:val="none"/>
        </w:rPr>
        <w:t>不动产登记机构应重点查验当事人的身份证明、当事人与被继承人的亲属关系、被继承人或 者遗赠人有无其他继承人、被继承人或者遗赠人和已经死亡的继承人或者受遗赠人的死亡事实、被继承 人或者遗赠人生前有无遗嘱或者遗赠扶养协议、申请继承的遗产是否属于被继承人或者遗赠人个人所 有等。</w:t>
      </w:r>
    </w:p>
    <w:p>
      <w:pPr>
        <w:pStyle w:val="166"/>
        <w:ind w:left="0"/>
        <w:rPr>
          <w:highlight w:val="none"/>
        </w:rPr>
      </w:pPr>
      <w:r>
        <w:rPr>
          <w:rFonts w:hint="eastAsia"/>
          <w:highlight w:val="none"/>
        </w:rPr>
        <w:t>不动产登记机构可就继承人或者受遗赠人是否齐全、是否愿意接受遗赠或者放弃继承、就不动产分配协议或者遗嘱内容及真实性是否有异议、所提交的资料是否真实等内容进行询问，做好记录， 由全部相关人员签字确认，并要求申请人签署继承（受遗赠）不动产登记具结书。</w:t>
      </w:r>
    </w:p>
    <w:p>
      <w:pPr>
        <w:pStyle w:val="166"/>
        <w:ind w:left="0"/>
        <w:rPr>
          <w:highlight w:val="none"/>
        </w:rPr>
      </w:pPr>
      <w:r>
        <w:rPr>
          <w:rFonts w:hint="eastAsia"/>
          <w:highlight w:val="none"/>
        </w:rPr>
        <w:t>经查验及询问，符合</w:t>
      </w:r>
      <w:r>
        <w:rPr>
          <w:rFonts w:hint="eastAsia"/>
          <w:highlight w:val="none"/>
        </w:rPr>
        <w:t xml:space="preserve"> 6.6.1</w:t>
      </w:r>
      <w:r>
        <w:rPr>
          <w:rFonts w:hint="eastAsia"/>
          <w:highlight w:val="none"/>
        </w:rPr>
        <w:t xml:space="preserve"> 规定的受理条件的，不动产登记机构予以受理。</w:t>
      </w:r>
    </w:p>
    <w:p>
      <w:pPr>
        <w:pStyle w:val="166"/>
        <w:ind w:left="0"/>
        <w:rPr>
          <w:highlight w:val="none"/>
        </w:rPr>
      </w:pPr>
      <w:r>
        <w:rPr>
          <w:rFonts w:hint="eastAsia"/>
          <w:highlight w:val="none"/>
        </w:rPr>
        <w:t>受理后，不动产登记机构应按照</w:t>
      </w:r>
      <w:r>
        <w:rPr>
          <w:rFonts w:hint="eastAsia"/>
          <w:highlight w:val="none"/>
        </w:rPr>
        <w:t>第 7 章</w:t>
      </w:r>
      <w:r>
        <w:rPr>
          <w:rFonts w:hint="eastAsia"/>
          <w:highlight w:val="none"/>
        </w:rPr>
        <w:t>规定的审核规则进行审核。认为需要进一步核实情况 的，可向出具证明材料的单位、被继承人、遗赠人或者继承人所在单位或者居住地的村委会、居委会核实。</w:t>
      </w:r>
    </w:p>
    <w:p>
      <w:pPr>
        <w:pStyle w:val="166"/>
        <w:ind w:left="0"/>
        <w:rPr>
          <w:highlight w:val="none"/>
        </w:rPr>
      </w:pPr>
      <w:r>
        <w:rPr>
          <w:rFonts w:hint="eastAsia"/>
          <w:highlight w:val="none"/>
        </w:rPr>
        <w:t>对拟登记的不动产登记事项在不动产登记机构门户网站进行公告，公告期不少于 15 个工作日。公告期满无异议或者异议不成立的，将申请登记事项记载于不动产登记簿。</w:t>
      </w:r>
    </w:p>
    <w:p>
      <w:pPr>
        <w:pStyle w:val="166"/>
        <w:ind w:left="0"/>
        <w:rPr>
          <w:highlight w:val="none"/>
        </w:rPr>
      </w:pPr>
      <w:r>
        <w:rPr>
          <w:rFonts w:hint="eastAsia"/>
          <w:highlight w:val="none"/>
        </w:rPr>
        <w:t>针对确实难以获取的死亡证明、亲属关系证明，可以根据实际情况由申请人书面承诺替代，但列入全国法院失信被执行人名单或者不动产所在地信用体系黑名单的申请人不适用。</w:t>
      </w:r>
    </w:p>
    <w:p>
      <w:pPr>
        <w:pStyle w:val="107"/>
        <w:spacing w:before="156" w:after="156"/>
        <w:rPr>
          <w:highlight w:val="none"/>
        </w:rPr>
      </w:pPr>
      <w:bookmarkStart w:id="62" w:name="_Toc19786"/>
      <w:r>
        <w:rPr>
          <w:rFonts w:hint="eastAsia"/>
          <w:highlight w:val="none"/>
        </w:rPr>
        <w:t>登记或者合同被撤销的不动产登记办理</w:t>
      </w:r>
      <w:bookmarkEnd w:id="62"/>
    </w:p>
    <w:p>
      <w:pPr>
        <w:pStyle w:val="167"/>
        <w:ind w:left="0"/>
        <w:rPr>
          <w:highlight w:val="none"/>
        </w:rPr>
      </w:pPr>
      <w:r>
        <w:rPr>
          <w:rFonts w:hint="eastAsia"/>
          <w:highlight w:val="none"/>
        </w:rPr>
        <w:t>人民法院、仲裁机构的生效法律文书撤销合同或者认定合同无效的，可由不动产权利人和利害关系人凭生效法律文书申请更正登记，除已办理涉及不动产权利处分的登记、预告登记、查封登记外， 不动产登记机构予以更正。</w:t>
      </w:r>
    </w:p>
    <w:p>
      <w:pPr>
        <w:pStyle w:val="167"/>
        <w:ind w:left="0"/>
        <w:rPr>
          <w:highlight w:val="none"/>
        </w:rPr>
      </w:pPr>
      <w:r>
        <w:rPr>
          <w:rFonts w:hint="eastAsia"/>
          <w:highlight w:val="none"/>
        </w:rPr>
        <w:t>行政复议或者行政诉讼中撤销不动产登记行为的，除已办理涉及不动产权利处分的登记、预告 登记、查封登记外，不动产登记机构直接办理更正登记。</w:t>
      </w:r>
    </w:p>
    <w:p>
      <w:pPr>
        <w:pStyle w:val="106"/>
        <w:spacing w:before="312" w:after="312"/>
        <w:rPr>
          <w:highlight w:val="none"/>
        </w:rPr>
      </w:pPr>
      <w:bookmarkStart w:id="63" w:name="_Toc31439"/>
      <w:r>
        <w:rPr>
          <w:rFonts w:hint="eastAsia"/>
          <w:highlight w:val="none"/>
        </w:rPr>
        <w:t>申请</w:t>
      </w:r>
      <w:bookmarkEnd w:id="63"/>
    </w:p>
    <w:p>
      <w:pPr>
        <w:pStyle w:val="107"/>
        <w:spacing w:before="156" w:after="156"/>
        <w:rPr>
          <w:highlight w:val="none"/>
        </w:rPr>
      </w:pPr>
      <w:bookmarkStart w:id="64" w:name="_Toc23898"/>
      <w:r>
        <w:rPr>
          <w:rFonts w:hint="eastAsia"/>
          <w:highlight w:val="none"/>
        </w:rPr>
        <w:t>适用</w:t>
      </w:r>
      <w:bookmarkEnd w:id="64"/>
    </w:p>
    <w:p>
      <w:pPr>
        <w:pStyle w:val="58"/>
        <w:ind w:firstLine="420"/>
        <w:rPr>
          <w:highlight w:val="none"/>
        </w:rPr>
      </w:pPr>
      <w:r>
        <w:rPr>
          <w:rFonts w:hint="eastAsia"/>
          <w:highlight w:val="none"/>
        </w:rPr>
        <w:t>申请人根据不同的申请登记事项，向不动产登记机构提交申请材料办理不动产登记。</w:t>
      </w:r>
    </w:p>
    <w:p>
      <w:pPr>
        <w:pStyle w:val="107"/>
        <w:spacing w:before="156" w:after="156"/>
        <w:rPr>
          <w:highlight w:val="none"/>
        </w:rPr>
      </w:pPr>
      <w:bookmarkStart w:id="65" w:name="_Toc923"/>
      <w:r>
        <w:rPr>
          <w:rFonts w:hint="eastAsia"/>
          <w:highlight w:val="none"/>
        </w:rPr>
        <w:t>申请原则</w:t>
      </w:r>
      <w:bookmarkEnd w:id="65"/>
    </w:p>
    <w:p>
      <w:pPr>
        <w:pStyle w:val="67"/>
        <w:spacing w:before="156" w:after="156"/>
        <w:ind w:left="0"/>
        <w:rPr>
          <w:highlight w:val="none"/>
        </w:rPr>
      </w:pPr>
      <w:r>
        <w:rPr>
          <w:rFonts w:hint="eastAsia"/>
          <w:highlight w:val="none"/>
        </w:rPr>
        <w:t>双方申请</w:t>
      </w:r>
    </w:p>
    <w:p>
      <w:pPr>
        <w:pStyle w:val="58"/>
        <w:ind w:firstLine="420"/>
        <w:rPr>
          <w:highlight w:val="none"/>
        </w:rPr>
      </w:pPr>
      <w:r>
        <w:rPr>
          <w:rFonts w:hint="eastAsia"/>
          <w:highlight w:val="none"/>
        </w:rPr>
        <w:t>因买卖、设立抵押权等申请不动产登记的，由当事人双方共同申请。</w:t>
      </w:r>
    </w:p>
    <w:p>
      <w:pPr>
        <w:pStyle w:val="67"/>
        <w:spacing w:before="156" w:after="156"/>
        <w:ind w:left="0"/>
        <w:rPr>
          <w:highlight w:val="none"/>
        </w:rPr>
      </w:pPr>
      <w:r>
        <w:rPr>
          <w:rFonts w:hint="eastAsia"/>
          <w:highlight w:val="none"/>
        </w:rPr>
        <w:t>单方申请</w:t>
      </w:r>
    </w:p>
    <w:p>
      <w:pPr>
        <w:pStyle w:val="58"/>
        <w:ind w:firstLine="420"/>
        <w:rPr>
          <w:highlight w:val="none"/>
        </w:rPr>
      </w:pPr>
      <w:r>
        <w:rPr>
          <w:rFonts w:hint="eastAsia"/>
          <w:highlight w:val="none"/>
        </w:rPr>
        <w:t>属于下列情形之一的，可由当事人单方申请：</w:t>
      </w:r>
    </w:p>
    <w:p>
      <w:pPr>
        <w:pStyle w:val="166"/>
        <w:numPr>
          <w:ilvl w:val="4"/>
          <w:numId w:val="0"/>
        </w:numPr>
        <w:ind w:firstLine="420" w:firstLineChars="200"/>
        <w:rPr>
          <w:highlight w:val="none"/>
        </w:rPr>
      </w:pPr>
      <w:r>
        <w:rPr>
          <w:rFonts w:hint="eastAsia"/>
          <w:highlight w:val="none"/>
          <w:lang w:val="en-US" w:eastAsia="zh-CN"/>
        </w:rPr>
        <w:t>a)</w:t>
      </w:r>
      <w:r>
        <w:rPr>
          <w:rFonts w:hint="eastAsia"/>
          <w:highlight w:val="none"/>
        </w:rPr>
        <w:t>尚未登记的不动产申请首次登记的；</w:t>
      </w:r>
    </w:p>
    <w:p>
      <w:pPr>
        <w:pStyle w:val="166"/>
        <w:numPr>
          <w:ilvl w:val="4"/>
          <w:numId w:val="0"/>
        </w:numPr>
        <w:ind w:leftChars="0" w:firstLine="420" w:firstLineChars="200"/>
        <w:rPr>
          <w:highlight w:val="none"/>
        </w:rPr>
      </w:pPr>
      <w:r>
        <w:rPr>
          <w:rFonts w:hint="eastAsia"/>
          <w:highlight w:val="none"/>
          <w:lang w:val="en-US" w:eastAsia="zh-CN"/>
        </w:rPr>
        <w:t>b)</w:t>
      </w:r>
      <w:r>
        <w:rPr>
          <w:rFonts w:hint="eastAsia"/>
          <w:highlight w:val="none"/>
        </w:rPr>
        <w:t>继承、受遗赠取得不动产权利的；</w:t>
      </w:r>
    </w:p>
    <w:p>
      <w:pPr>
        <w:pStyle w:val="166"/>
        <w:numPr>
          <w:ilvl w:val="4"/>
          <w:numId w:val="0"/>
        </w:numPr>
        <w:ind w:leftChars="0" w:firstLine="420" w:firstLineChars="200"/>
        <w:rPr>
          <w:highlight w:val="none"/>
        </w:rPr>
      </w:pPr>
      <w:r>
        <w:rPr>
          <w:rFonts w:hint="eastAsia"/>
          <w:highlight w:val="none"/>
          <w:lang w:val="en-US" w:eastAsia="zh-CN"/>
        </w:rPr>
        <w:t>c)</w:t>
      </w:r>
      <w:r>
        <w:rPr>
          <w:rFonts w:hint="eastAsia"/>
          <w:highlight w:val="none"/>
        </w:rPr>
        <w:t>人民法院、仲裁机构生效的法律文书或者人民政府生效的决定等设立、变更、转让、消灭不动产权利的；</w:t>
      </w:r>
    </w:p>
    <w:p>
      <w:pPr>
        <w:pStyle w:val="166"/>
        <w:numPr>
          <w:ilvl w:val="4"/>
          <w:numId w:val="0"/>
        </w:numPr>
        <w:ind w:leftChars="0" w:firstLine="420" w:firstLineChars="200"/>
        <w:rPr>
          <w:highlight w:val="none"/>
        </w:rPr>
      </w:pPr>
      <w:r>
        <w:rPr>
          <w:rFonts w:hint="eastAsia"/>
          <w:highlight w:val="none"/>
          <w:lang w:val="en-US" w:eastAsia="zh-CN"/>
        </w:rPr>
        <w:t>d）</w:t>
      </w:r>
      <w:r>
        <w:rPr>
          <w:rFonts w:hint="eastAsia"/>
          <w:highlight w:val="none"/>
        </w:rPr>
        <w:t xml:space="preserve">因法人或者非法人组织合并、分立等原因申请不动产转移登记且原权利人消灭的； </w:t>
      </w:r>
    </w:p>
    <w:p>
      <w:pPr>
        <w:pStyle w:val="166"/>
        <w:numPr>
          <w:ilvl w:val="4"/>
          <w:numId w:val="0"/>
        </w:numPr>
        <w:ind w:leftChars="0" w:firstLine="420" w:firstLineChars="200"/>
        <w:rPr>
          <w:highlight w:val="none"/>
        </w:rPr>
      </w:pPr>
      <w:r>
        <w:rPr>
          <w:rFonts w:hint="eastAsia"/>
          <w:highlight w:val="none"/>
          <w:lang w:val="en-US" w:eastAsia="zh-CN"/>
        </w:rPr>
        <w:t>e）</w:t>
      </w:r>
      <w:r>
        <w:rPr>
          <w:rFonts w:hint="eastAsia"/>
          <w:highlight w:val="none"/>
        </w:rPr>
        <w:t>下列不涉及不动产权利归属的变更登记：</w:t>
      </w:r>
    </w:p>
    <w:p>
      <w:pPr>
        <w:pStyle w:val="176"/>
        <w:numPr>
          <w:ilvl w:val="0"/>
          <w:numId w:val="0"/>
        </w:numPr>
        <w:ind w:left="425" w:leftChars="0" w:firstLine="210" w:firstLineChars="100"/>
        <w:rPr>
          <w:highlight w:val="none"/>
        </w:rPr>
      </w:pPr>
      <w:r>
        <w:rPr>
          <w:rFonts w:hint="eastAsia"/>
          <w:highlight w:val="none"/>
          <w:lang w:val="en-US" w:eastAsia="zh-CN"/>
        </w:rPr>
        <w:t>1）</w:t>
      </w:r>
      <w:r>
        <w:rPr>
          <w:rFonts w:hint="eastAsia"/>
          <w:highlight w:val="none"/>
        </w:rPr>
        <w:t>不动产权利人姓名、名称、身份证明类型或者身份证明号码发生变更的；</w:t>
      </w:r>
    </w:p>
    <w:p>
      <w:pPr>
        <w:pStyle w:val="176"/>
        <w:numPr>
          <w:ilvl w:val="0"/>
          <w:numId w:val="0"/>
        </w:numPr>
        <w:ind w:left="425" w:leftChars="0" w:firstLine="210" w:firstLineChars="100"/>
        <w:rPr>
          <w:highlight w:val="none"/>
        </w:rPr>
      </w:pPr>
      <w:r>
        <w:rPr>
          <w:rFonts w:hint="eastAsia"/>
          <w:highlight w:val="none"/>
          <w:lang w:val="en-US" w:eastAsia="zh-CN"/>
        </w:rPr>
        <w:t>2）</w:t>
      </w:r>
      <w:r>
        <w:rPr>
          <w:rFonts w:hint="eastAsia"/>
          <w:highlight w:val="none"/>
        </w:rPr>
        <w:t>不动产坐落、界址、用途、面积等状况发生变化的；</w:t>
      </w:r>
    </w:p>
    <w:p>
      <w:pPr>
        <w:pStyle w:val="176"/>
        <w:numPr>
          <w:ilvl w:val="0"/>
          <w:numId w:val="0"/>
        </w:numPr>
        <w:ind w:left="425" w:leftChars="0" w:firstLine="210" w:firstLineChars="100"/>
        <w:rPr>
          <w:highlight w:val="none"/>
        </w:rPr>
      </w:pPr>
      <w:r>
        <w:rPr>
          <w:rFonts w:hint="eastAsia"/>
          <w:highlight w:val="none"/>
          <w:lang w:val="en-US" w:eastAsia="zh-CN"/>
        </w:rPr>
        <w:t>3）</w:t>
      </w:r>
      <w:r>
        <w:rPr>
          <w:rFonts w:hint="eastAsia"/>
          <w:highlight w:val="none"/>
        </w:rPr>
        <w:t>同一权利人分割或者合并不动产的；</w:t>
      </w:r>
    </w:p>
    <w:p>
      <w:pPr>
        <w:pStyle w:val="58"/>
        <w:ind w:firstLine="630" w:firstLineChars="300"/>
        <w:rPr>
          <w:highlight w:val="none"/>
        </w:rPr>
      </w:pPr>
      <w:r>
        <w:rPr>
          <w:rFonts w:hint="eastAsia"/>
          <w:highlight w:val="none"/>
          <w:lang w:val="en-US" w:eastAsia="zh-CN"/>
        </w:rPr>
        <w:t>4）</w:t>
      </w:r>
      <w:r>
        <w:rPr>
          <w:rFonts w:hint="eastAsia"/>
          <w:highlight w:val="none"/>
        </w:rPr>
        <w:t>土地使用权期限变更的。</w:t>
      </w:r>
    </w:p>
    <w:p>
      <w:pPr>
        <w:pStyle w:val="166"/>
        <w:numPr>
          <w:ilvl w:val="4"/>
          <w:numId w:val="0"/>
        </w:numPr>
        <w:ind w:leftChars="0" w:firstLine="420" w:firstLineChars="200"/>
        <w:rPr>
          <w:highlight w:val="none"/>
        </w:rPr>
      </w:pPr>
      <w:r>
        <w:rPr>
          <w:rFonts w:hint="eastAsia"/>
          <w:highlight w:val="none"/>
          <w:lang w:val="en-US" w:eastAsia="zh-CN"/>
        </w:rPr>
        <w:t>f）</w:t>
      </w:r>
      <w:r>
        <w:rPr>
          <w:rFonts w:hint="eastAsia"/>
          <w:highlight w:val="none"/>
        </w:rPr>
        <w:t>不动产灭失、不动产权利消灭或者权利人放弃不动产权利，权利人申请注销登记的；</w:t>
      </w:r>
    </w:p>
    <w:p>
      <w:pPr>
        <w:pStyle w:val="166"/>
        <w:numPr>
          <w:ilvl w:val="4"/>
          <w:numId w:val="0"/>
        </w:numPr>
        <w:ind w:leftChars="0" w:firstLine="420" w:firstLineChars="200"/>
        <w:rPr>
          <w:highlight w:val="none"/>
        </w:rPr>
      </w:pPr>
      <w:r>
        <w:rPr>
          <w:rFonts w:hint="eastAsia"/>
          <w:highlight w:val="none"/>
          <w:lang w:val="en-US" w:eastAsia="zh-CN"/>
        </w:rPr>
        <w:t>g）</w:t>
      </w:r>
      <w:r>
        <w:rPr>
          <w:rFonts w:hint="eastAsia"/>
          <w:highlight w:val="none"/>
        </w:rPr>
        <w:t>异议登记；</w:t>
      </w:r>
    </w:p>
    <w:p>
      <w:pPr>
        <w:pStyle w:val="166"/>
        <w:numPr>
          <w:ilvl w:val="4"/>
          <w:numId w:val="0"/>
        </w:numPr>
        <w:ind w:leftChars="0" w:firstLine="420" w:firstLineChars="200"/>
        <w:rPr>
          <w:highlight w:val="none"/>
        </w:rPr>
      </w:pPr>
      <w:r>
        <w:rPr>
          <w:rFonts w:hint="eastAsia"/>
          <w:highlight w:val="none"/>
          <w:lang w:val="en-US" w:eastAsia="zh-CN"/>
        </w:rPr>
        <w:t>h）</w:t>
      </w:r>
      <w:r>
        <w:rPr>
          <w:rFonts w:hint="eastAsia"/>
          <w:highlight w:val="none"/>
        </w:rPr>
        <w:t>更正登记；</w:t>
      </w:r>
    </w:p>
    <w:p>
      <w:pPr>
        <w:pStyle w:val="166"/>
        <w:numPr>
          <w:ilvl w:val="4"/>
          <w:numId w:val="0"/>
        </w:numPr>
        <w:ind w:leftChars="0" w:firstLine="420" w:firstLineChars="200"/>
        <w:rPr>
          <w:highlight w:val="none"/>
        </w:rPr>
      </w:pPr>
      <w:r>
        <w:rPr>
          <w:rFonts w:hint="eastAsia"/>
          <w:highlight w:val="none"/>
          <w:lang w:val="en-US" w:eastAsia="zh-CN"/>
        </w:rPr>
        <w:t>i）</w:t>
      </w:r>
      <w:r>
        <w:rPr>
          <w:rFonts w:hint="eastAsia"/>
          <w:highlight w:val="none"/>
        </w:rPr>
        <w:t xml:space="preserve">预售人未按约定与预购人申请预购商品房预告登记，预购人申请预告登记的； </w:t>
      </w:r>
    </w:p>
    <w:p>
      <w:pPr>
        <w:pStyle w:val="166"/>
        <w:numPr>
          <w:ilvl w:val="4"/>
          <w:numId w:val="0"/>
        </w:numPr>
        <w:ind w:leftChars="0" w:firstLine="420" w:firstLineChars="200"/>
        <w:rPr>
          <w:highlight w:val="none"/>
        </w:rPr>
      </w:pPr>
      <w:r>
        <w:rPr>
          <w:rFonts w:hint="eastAsia"/>
          <w:highlight w:val="none"/>
          <w:lang w:val="en-US" w:eastAsia="zh-CN"/>
        </w:rPr>
        <w:t>j）</w:t>
      </w:r>
      <w:r>
        <w:rPr>
          <w:rFonts w:hint="eastAsia"/>
          <w:highlight w:val="none"/>
        </w:rPr>
        <w:t>因遗嘱设立居住权申请首次登记的。</w:t>
      </w:r>
    </w:p>
    <w:p>
      <w:pPr>
        <w:pStyle w:val="67"/>
        <w:spacing w:before="156" w:after="156"/>
        <w:ind w:left="0"/>
        <w:rPr>
          <w:highlight w:val="none"/>
        </w:rPr>
      </w:pPr>
      <w:r>
        <w:rPr>
          <w:rFonts w:hint="eastAsia"/>
          <w:highlight w:val="none"/>
        </w:rPr>
        <w:t>共有申请</w:t>
      </w:r>
    </w:p>
    <w:p>
      <w:pPr>
        <w:pStyle w:val="166"/>
        <w:ind w:left="0"/>
        <w:rPr>
          <w:highlight w:val="none"/>
        </w:rPr>
      </w:pPr>
      <w:r>
        <w:rPr>
          <w:rFonts w:hint="eastAsia"/>
          <w:highlight w:val="none"/>
        </w:rPr>
        <w:t>共同共有的不动产办理登记时，由全体共同共有人申请。按份共有的不动产，由占份额三分之二以上的按份共有人申请，但不动产登记簿记载共有人另有约定的除外。</w:t>
      </w:r>
    </w:p>
    <w:p>
      <w:pPr>
        <w:pStyle w:val="166"/>
        <w:ind w:left="0"/>
        <w:rPr>
          <w:highlight w:val="none"/>
        </w:rPr>
      </w:pPr>
      <w:r>
        <w:rPr>
          <w:rFonts w:hint="eastAsia"/>
          <w:highlight w:val="none"/>
        </w:rPr>
        <w:t>下列共有不动产情形，可由部分共有人申请：</w:t>
      </w:r>
    </w:p>
    <w:p>
      <w:pPr>
        <w:pStyle w:val="176"/>
        <w:numPr>
          <w:ilvl w:val="0"/>
          <w:numId w:val="40"/>
        </w:numPr>
        <w:rPr>
          <w:highlight w:val="none"/>
        </w:rPr>
      </w:pPr>
      <w:r>
        <w:rPr>
          <w:rFonts w:hint="eastAsia"/>
          <w:highlight w:val="none"/>
        </w:rPr>
        <w:t>按份共有人转让其享有的不动产份额的，由该按份共有人与受让人双方申请；</w:t>
      </w:r>
    </w:p>
    <w:p>
      <w:pPr>
        <w:pStyle w:val="176"/>
        <w:numPr>
          <w:ilvl w:val="0"/>
          <w:numId w:val="40"/>
        </w:numPr>
        <w:rPr>
          <w:highlight w:val="none"/>
        </w:rPr>
      </w:pPr>
      <w:r>
        <w:rPr>
          <w:rFonts w:hint="eastAsia"/>
          <w:highlight w:val="none"/>
        </w:rPr>
        <w:t>共有的不动产因共有人姓名、名称、身份证明类型或者号码发生变化申请变更登记的，可由姓名、名称、身份证明类型或者号码发生变化的权利人申请；</w:t>
      </w:r>
    </w:p>
    <w:p>
      <w:pPr>
        <w:pStyle w:val="176"/>
        <w:numPr>
          <w:ilvl w:val="0"/>
          <w:numId w:val="40"/>
        </w:numPr>
        <w:rPr>
          <w:highlight w:val="none"/>
        </w:rPr>
      </w:pPr>
      <w:r>
        <w:rPr>
          <w:rFonts w:hint="eastAsia"/>
          <w:highlight w:val="none"/>
        </w:rPr>
        <w:t>不动产的坐落、界址、用途、面积等自然状况发生变化的，可由共有人中的一人或者多人申 请；</w:t>
      </w:r>
    </w:p>
    <w:p>
      <w:pPr>
        <w:pStyle w:val="176"/>
        <w:numPr>
          <w:ilvl w:val="0"/>
          <w:numId w:val="40"/>
        </w:numPr>
        <w:rPr>
          <w:highlight w:val="none"/>
        </w:rPr>
      </w:pPr>
      <w:r>
        <w:rPr>
          <w:rFonts w:hint="eastAsia"/>
          <w:highlight w:val="none"/>
        </w:rPr>
        <w:t>因不动产客体灭失的，可由共有人中一人或多人申请。</w:t>
      </w:r>
    </w:p>
    <w:p>
      <w:pPr>
        <w:pStyle w:val="166"/>
        <w:ind w:left="0"/>
        <w:rPr>
          <w:highlight w:val="none"/>
        </w:rPr>
      </w:pPr>
      <w:r>
        <w:rPr>
          <w:rFonts w:hint="eastAsia"/>
          <w:highlight w:val="none"/>
        </w:rPr>
        <w:t>建筑区划内依法属于业主共有的道路、绿地、其他公共场所、公用设施和物业服务用房及其占用范围内的建设用地使用权，在办理建设用地使用权及房屋所有权首次登记时由登记申请人一并申请登记为业主共有。</w:t>
      </w:r>
    </w:p>
    <w:p>
      <w:pPr>
        <w:pStyle w:val="67"/>
        <w:spacing w:before="156" w:after="156"/>
        <w:ind w:left="0"/>
        <w:rPr>
          <w:highlight w:val="none"/>
        </w:rPr>
      </w:pPr>
      <w:r>
        <w:rPr>
          <w:rFonts w:hint="eastAsia"/>
          <w:highlight w:val="none"/>
        </w:rPr>
        <w:t>代理申请</w:t>
      </w:r>
    </w:p>
    <w:p>
      <w:pPr>
        <w:pStyle w:val="96"/>
        <w:spacing w:before="156" w:after="156"/>
        <w:ind w:left="0"/>
        <w:rPr>
          <w:highlight w:val="none"/>
        </w:rPr>
      </w:pPr>
      <w:r>
        <w:rPr>
          <w:rFonts w:hint="eastAsia"/>
          <w:highlight w:val="none"/>
        </w:rPr>
        <w:t>受托人代理申请</w:t>
      </w:r>
    </w:p>
    <w:p>
      <w:pPr>
        <w:pStyle w:val="176"/>
        <w:numPr>
          <w:ilvl w:val="0"/>
          <w:numId w:val="0"/>
        </w:numPr>
        <w:ind w:firstLine="420" w:firstLineChars="200"/>
        <w:rPr>
          <w:highlight w:val="none"/>
        </w:rPr>
      </w:pPr>
      <w:r>
        <w:rPr>
          <w:rFonts w:hint="eastAsia"/>
          <w:highlight w:val="none"/>
        </w:rPr>
        <w:t>申请人</w:t>
      </w:r>
      <w:r>
        <w:rPr>
          <w:rFonts w:hint="eastAsia"/>
          <w:highlight w:val="none"/>
          <w:lang w:eastAsia="zh-CN"/>
        </w:rPr>
        <w:t>可</w:t>
      </w:r>
      <w:r>
        <w:rPr>
          <w:rFonts w:hint="eastAsia"/>
          <w:highlight w:val="none"/>
        </w:rPr>
        <w:t>委托代理人申请不动产登记</w:t>
      </w:r>
      <w:r>
        <w:rPr>
          <w:rFonts w:hint="eastAsia"/>
          <w:highlight w:val="none"/>
          <w:lang w:eastAsia="zh-CN"/>
        </w:rPr>
        <w:t>。</w:t>
      </w:r>
      <w:r>
        <w:rPr>
          <w:rFonts w:hint="eastAsia"/>
          <w:highlight w:val="none"/>
        </w:rPr>
        <w:t>代理人为两人或者两人以上，代为处分不动产的，全部代理人应当共同代为申请，但是另有授权的除外。</w:t>
      </w:r>
    </w:p>
    <w:p>
      <w:pPr>
        <w:pStyle w:val="96"/>
        <w:spacing w:before="156" w:after="156"/>
        <w:ind w:left="0"/>
        <w:rPr>
          <w:highlight w:val="none"/>
        </w:rPr>
      </w:pPr>
      <w:r>
        <w:rPr>
          <w:rFonts w:hint="eastAsia"/>
          <w:highlight w:val="none"/>
        </w:rPr>
        <w:t>监护人代理申请</w:t>
      </w:r>
    </w:p>
    <w:p>
      <w:pPr>
        <w:pStyle w:val="176"/>
        <w:numPr>
          <w:ilvl w:val="0"/>
          <w:numId w:val="0"/>
        </w:numPr>
        <w:ind w:left="425" w:leftChars="0"/>
        <w:rPr>
          <w:highlight w:val="none"/>
        </w:rPr>
      </w:pPr>
      <w:r>
        <w:rPr>
          <w:rFonts w:hint="eastAsia"/>
          <w:highlight w:val="none"/>
        </w:rPr>
        <w:t>无民事行为能力人、限制民事行为能力人申请不动产登记的，由其监护人代为申请。</w:t>
      </w:r>
    </w:p>
    <w:p>
      <w:pPr>
        <w:pStyle w:val="67"/>
        <w:spacing w:before="156" w:after="156"/>
        <w:ind w:left="0"/>
        <w:rPr>
          <w:highlight w:val="none"/>
        </w:rPr>
      </w:pPr>
      <w:r>
        <w:rPr>
          <w:rFonts w:hint="eastAsia"/>
          <w:highlight w:val="none"/>
        </w:rPr>
        <w:t>一并申请</w:t>
      </w:r>
    </w:p>
    <w:p>
      <w:pPr>
        <w:pStyle w:val="166"/>
        <w:ind w:left="0"/>
        <w:rPr>
          <w:highlight w:val="none"/>
        </w:rPr>
      </w:pPr>
      <w:r>
        <w:rPr>
          <w:rFonts w:hint="eastAsia"/>
          <w:highlight w:val="none"/>
        </w:rPr>
        <w:t>符合以下情形之一的，申请人可一并申请</w:t>
      </w:r>
      <w:r>
        <w:rPr>
          <w:rFonts w:hint="eastAsia"/>
          <w:highlight w:val="none"/>
          <w:lang w:eastAsia="zh-CN"/>
        </w:rPr>
        <w:t>：</w:t>
      </w:r>
    </w:p>
    <w:p>
      <w:pPr>
        <w:pStyle w:val="176"/>
        <w:numPr>
          <w:ilvl w:val="0"/>
          <w:numId w:val="41"/>
        </w:numPr>
        <w:rPr>
          <w:highlight w:val="none"/>
        </w:rPr>
      </w:pPr>
      <w:r>
        <w:rPr>
          <w:rFonts w:hint="eastAsia"/>
          <w:highlight w:val="none"/>
        </w:rPr>
        <w:t>预购商品房预告登记与预购商品房抵押预告登记；</w:t>
      </w:r>
    </w:p>
    <w:p>
      <w:pPr>
        <w:pStyle w:val="176"/>
        <w:numPr>
          <w:ilvl w:val="0"/>
          <w:numId w:val="41"/>
        </w:numPr>
        <w:rPr>
          <w:highlight w:val="none"/>
        </w:rPr>
      </w:pPr>
      <w:r>
        <w:rPr>
          <w:rFonts w:hint="eastAsia"/>
          <w:highlight w:val="none"/>
        </w:rPr>
        <w:t xml:space="preserve">预购商品房预告登记转房屋所有权登记与预购商品房抵押预告登记转抵押权登记； </w:t>
      </w:r>
    </w:p>
    <w:p>
      <w:pPr>
        <w:pStyle w:val="176"/>
        <w:numPr>
          <w:ilvl w:val="0"/>
          <w:numId w:val="41"/>
        </w:numPr>
        <w:rPr>
          <w:highlight w:val="none"/>
        </w:rPr>
      </w:pPr>
      <w:r>
        <w:rPr>
          <w:rFonts w:hint="eastAsia"/>
          <w:highlight w:val="none"/>
        </w:rPr>
        <w:t>建筑物所有权首次登记与在建建筑物抵押权登记转建筑物抵押权登记；</w:t>
      </w:r>
    </w:p>
    <w:p>
      <w:pPr>
        <w:pStyle w:val="176"/>
        <w:numPr>
          <w:ilvl w:val="0"/>
          <w:numId w:val="41"/>
        </w:numPr>
        <w:rPr>
          <w:highlight w:val="none"/>
        </w:rPr>
      </w:pPr>
      <w:r>
        <w:rPr>
          <w:rFonts w:hint="eastAsia"/>
          <w:highlight w:val="none"/>
        </w:rPr>
        <w:t>不动产变更登记导致抵押权变更的，不动产变更登记与抵押权变更登记；</w:t>
      </w:r>
    </w:p>
    <w:p>
      <w:pPr>
        <w:pStyle w:val="176"/>
        <w:numPr>
          <w:ilvl w:val="0"/>
          <w:numId w:val="41"/>
        </w:numPr>
        <w:rPr>
          <w:highlight w:val="none"/>
        </w:rPr>
      </w:pPr>
      <w:r>
        <w:rPr>
          <w:rFonts w:hint="eastAsia"/>
          <w:highlight w:val="none"/>
        </w:rPr>
        <w:t>不动产转移登记与抵押权首次登记或者抵押权变更登记；</w:t>
      </w:r>
    </w:p>
    <w:p>
      <w:pPr>
        <w:pStyle w:val="176"/>
        <w:numPr>
          <w:ilvl w:val="0"/>
          <w:numId w:val="41"/>
        </w:numPr>
        <w:rPr>
          <w:highlight w:val="none"/>
        </w:rPr>
      </w:pPr>
      <w:r>
        <w:rPr>
          <w:rFonts w:hint="eastAsia"/>
          <w:highlight w:val="none"/>
        </w:rPr>
        <w:t>不动产变更、转移登记致使地役权变更、转移的，不动产变更登记、转移登记与地役权变更、 转移登记；</w:t>
      </w:r>
    </w:p>
    <w:p>
      <w:pPr>
        <w:pStyle w:val="176"/>
        <w:numPr>
          <w:ilvl w:val="0"/>
          <w:numId w:val="41"/>
        </w:numPr>
        <w:rPr>
          <w:highlight w:val="none"/>
        </w:rPr>
      </w:pPr>
      <w:r>
        <w:rPr>
          <w:rFonts w:hint="eastAsia"/>
          <w:highlight w:val="none"/>
        </w:rPr>
        <w:t>不动产坐落位置等自然状况发生变化的，变更登记可与其他登记一并办理；</w:t>
      </w:r>
    </w:p>
    <w:p>
      <w:pPr>
        <w:pStyle w:val="176"/>
        <w:numPr>
          <w:ilvl w:val="0"/>
          <w:numId w:val="41"/>
        </w:numPr>
        <w:rPr>
          <w:highlight w:val="none"/>
        </w:rPr>
      </w:pPr>
      <w:r>
        <w:rPr>
          <w:rFonts w:hint="eastAsia"/>
          <w:highlight w:val="none"/>
        </w:rPr>
        <w:t>因遗嘱设立居住权的，居住权的首次登记可与因继承、受遗赠不动产的转移登记一并办理；</w:t>
      </w:r>
    </w:p>
    <w:p>
      <w:pPr>
        <w:pStyle w:val="176"/>
        <w:numPr>
          <w:ilvl w:val="0"/>
          <w:numId w:val="41"/>
        </w:numPr>
        <w:rPr>
          <w:highlight w:val="none"/>
        </w:rPr>
      </w:pPr>
      <w:r>
        <w:rPr>
          <w:rFonts w:hint="eastAsia"/>
          <w:highlight w:val="none"/>
        </w:rPr>
        <w:t>本文件规定以及不动产登记机构认为可合并办理的其他情形。</w:t>
      </w:r>
    </w:p>
    <w:p>
      <w:pPr>
        <w:pStyle w:val="166"/>
        <w:ind w:left="0"/>
        <w:rPr>
          <w:highlight w:val="none"/>
        </w:rPr>
      </w:pPr>
      <w:r>
        <w:rPr>
          <w:rFonts w:hint="eastAsia"/>
          <w:highlight w:val="none"/>
        </w:rPr>
        <w:t>对未办理首次登记的不动产，因继承、受遗赠导致不动产权利转移的，由继承人或者受遗赠人一并申请首次登记和转移登记</w:t>
      </w:r>
      <w:r>
        <w:rPr>
          <w:rFonts w:hint="eastAsia"/>
          <w:highlight w:val="none"/>
          <w:lang w:eastAsia="zh-CN"/>
        </w:rPr>
        <w:t>。</w:t>
      </w:r>
    </w:p>
    <w:p>
      <w:pPr>
        <w:pStyle w:val="107"/>
        <w:spacing w:before="156" w:after="156"/>
        <w:rPr>
          <w:highlight w:val="none"/>
        </w:rPr>
      </w:pPr>
      <w:bookmarkStart w:id="66" w:name="_Toc14754"/>
      <w:r>
        <w:rPr>
          <w:rFonts w:hint="eastAsia"/>
          <w:highlight w:val="none"/>
        </w:rPr>
        <w:t>申请材料要求</w:t>
      </w:r>
      <w:bookmarkEnd w:id="66"/>
    </w:p>
    <w:p>
      <w:pPr>
        <w:pStyle w:val="67"/>
        <w:spacing w:before="156" w:after="156"/>
        <w:ind w:left="0"/>
        <w:rPr>
          <w:highlight w:val="none"/>
        </w:rPr>
      </w:pPr>
      <w:r>
        <w:rPr>
          <w:rFonts w:hint="eastAsia"/>
          <w:highlight w:val="none"/>
        </w:rPr>
        <w:t>申请材料一般要求</w:t>
      </w:r>
    </w:p>
    <w:p>
      <w:pPr>
        <w:pStyle w:val="13"/>
        <w:spacing w:before="59" w:line="257" w:lineRule="auto"/>
        <w:ind w:left="16" w:hanging="7"/>
        <w:rPr>
          <w:rFonts w:ascii="宋体" w:hAnsi="宋体" w:eastAsia="宋体" w:cs="宋体"/>
          <w:spacing w:val="-1"/>
          <w:sz w:val="21"/>
          <w:szCs w:val="21"/>
          <w:highlight w:val="none"/>
        </w:rPr>
      </w:pPr>
      <w:r>
        <w:rPr>
          <w:rFonts w:hint="eastAsia" w:ascii="宋体" w:hAnsi="宋体" w:cs="宋体"/>
          <w:sz w:val="21"/>
          <w:szCs w:val="21"/>
          <w:highlight w:val="none"/>
          <w:lang w:val="en-US" w:eastAsia="zh-CN"/>
        </w:rPr>
        <w:t>5.3.1.1</w:t>
      </w:r>
      <w:r>
        <w:rPr>
          <w:rFonts w:ascii="宋体" w:hAnsi="宋体" w:eastAsia="宋体" w:cs="宋体"/>
          <w:sz w:val="21"/>
          <w:szCs w:val="21"/>
          <w:highlight w:val="none"/>
        </w:rPr>
        <w:t>申请材料应</w:t>
      </w:r>
      <w:r>
        <w:rPr>
          <w:rFonts w:hint="eastAsia" w:ascii="宋体" w:hAnsi="宋体" w:cs="宋体"/>
          <w:sz w:val="21"/>
          <w:szCs w:val="21"/>
          <w:highlight w:val="none"/>
          <w:lang w:eastAsia="zh-CN"/>
        </w:rPr>
        <w:t>为</w:t>
      </w:r>
      <w:r>
        <w:rPr>
          <w:rFonts w:ascii="宋体" w:hAnsi="宋体" w:eastAsia="宋体" w:cs="宋体"/>
          <w:sz w:val="21"/>
          <w:szCs w:val="21"/>
          <w:highlight w:val="none"/>
        </w:rPr>
        <w:t>原件，原件可以是纸质文件或原生电子文件。不动产登记机构</w:t>
      </w:r>
      <w:r>
        <w:rPr>
          <w:rFonts w:ascii="宋体" w:hAnsi="宋体" w:eastAsia="宋体" w:cs="宋体"/>
          <w:spacing w:val="-3"/>
          <w:sz w:val="21"/>
          <w:szCs w:val="21"/>
          <w:highlight w:val="none"/>
        </w:rPr>
        <w:t>可依据实时互通共享取得的信息，</w:t>
      </w:r>
      <w:r>
        <w:rPr>
          <w:rFonts w:ascii="宋体" w:hAnsi="宋体" w:eastAsia="宋体" w:cs="宋体"/>
          <w:spacing w:val="-54"/>
          <w:sz w:val="21"/>
          <w:szCs w:val="21"/>
          <w:highlight w:val="none"/>
        </w:rPr>
        <w:t xml:space="preserve"> </w:t>
      </w:r>
      <w:r>
        <w:rPr>
          <w:rFonts w:ascii="宋体" w:hAnsi="宋体" w:eastAsia="宋体" w:cs="宋体"/>
          <w:spacing w:val="-3"/>
          <w:sz w:val="21"/>
          <w:szCs w:val="21"/>
          <w:highlight w:val="none"/>
        </w:rPr>
        <w:t>对申请材料进行</w:t>
      </w:r>
      <w:r>
        <w:rPr>
          <w:rFonts w:ascii="宋体" w:hAnsi="宋体" w:eastAsia="宋体" w:cs="宋体"/>
          <w:spacing w:val="-4"/>
          <w:sz w:val="21"/>
          <w:szCs w:val="21"/>
          <w:highlight w:val="none"/>
        </w:rPr>
        <w:t>核验。能共享复用的材料不再重复收取。可实行告</w:t>
      </w:r>
      <w:r>
        <w:rPr>
          <w:rFonts w:ascii="宋体" w:hAnsi="宋体" w:eastAsia="宋体" w:cs="宋体"/>
          <w:spacing w:val="-1"/>
          <w:sz w:val="21"/>
          <w:szCs w:val="21"/>
          <w:highlight w:val="none"/>
        </w:rPr>
        <w:t>知承诺制的材料不再提交。</w:t>
      </w:r>
    </w:p>
    <w:p>
      <w:pPr>
        <w:pStyle w:val="58"/>
        <w:ind w:left="0" w:leftChars="0" w:firstLine="0" w:firstLineChars="0"/>
        <w:rPr>
          <w:rFonts w:hint="eastAsia"/>
          <w:highlight w:val="none"/>
        </w:rPr>
      </w:pPr>
      <w:r>
        <w:rPr>
          <w:rFonts w:hint="eastAsia"/>
          <w:highlight w:val="none"/>
          <w:lang w:val="en-US" w:eastAsia="zh-CN"/>
        </w:rPr>
        <w:t>5.3.1.2</w:t>
      </w:r>
      <w:r>
        <w:rPr>
          <w:rFonts w:hint="eastAsia"/>
          <w:highlight w:val="none"/>
        </w:rPr>
        <w:t>申请材料应齐全，申请人应当对申请材料的真实性、有效性负责，做出书面承诺。</w:t>
      </w:r>
    </w:p>
    <w:p>
      <w:pPr>
        <w:pStyle w:val="67"/>
        <w:spacing w:before="156" w:after="156"/>
        <w:ind w:left="0"/>
        <w:rPr>
          <w:highlight w:val="none"/>
        </w:rPr>
      </w:pPr>
      <w:r>
        <w:rPr>
          <w:rFonts w:hint="eastAsia"/>
          <w:highlight w:val="none"/>
        </w:rPr>
        <w:t>纸质申请材料</w:t>
      </w:r>
    </w:p>
    <w:p>
      <w:pPr>
        <w:pStyle w:val="166"/>
        <w:ind w:left="0"/>
        <w:rPr>
          <w:highlight w:val="none"/>
        </w:rPr>
      </w:pPr>
      <w:r>
        <w:rPr>
          <w:rFonts w:hint="eastAsia"/>
          <w:highlight w:val="none"/>
        </w:rPr>
        <w:t>申请人提交的纸质申请材料应当是原件。因特殊情况不能提供原件的，可提交该材料的出具机构、原件存档机构或职权继受机构确认与原件一致的复印件。</w:t>
      </w:r>
    </w:p>
    <w:p>
      <w:pPr>
        <w:pStyle w:val="58"/>
        <w:ind w:firstLine="420"/>
        <w:rPr>
          <w:highlight w:val="none"/>
        </w:rPr>
      </w:pPr>
      <w:r>
        <w:rPr>
          <w:rFonts w:hint="eastAsia"/>
          <w:highlight w:val="none"/>
        </w:rPr>
        <w:t>不动产登记机构留存复印件的，经不动产登记机构工作人员比对后，由不动产登记机构工作人员签字并加盖原件相符章。</w:t>
      </w:r>
    </w:p>
    <w:p>
      <w:pPr>
        <w:pStyle w:val="166"/>
        <w:ind w:left="0"/>
        <w:rPr>
          <w:highlight w:val="none"/>
        </w:rPr>
      </w:pPr>
      <w:r>
        <w:rPr>
          <w:rFonts w:hint="eastAsia"/>
          <w:highlight w:val="none"/>
        </w:rPr>
        <w:t>申请材料宜符合下列规定：</w:t>
      </w:r>
    </w:p>
    <w:p>
      <w:pPr>
        <w:pStyle w:val="176"/>
        <w:numPr>
          <w:ilvl w:val="0"/>
          <w:numId w:val="42"/>
        </w:numPr>
        <w:rPr>
          <w:highlight w:val="none"/>
        </w:rPr>
      </w:pPr>
      <w:r>
        <w:rPr>
          <w:rFonts w:hint="eastAsia"/>
          <w:highlight w:val="none"/>
        </w:rPr>
        <w:t>纸质申请材料采用韧性大、耐久性强、可长期保存的纸质介质；</w:t>
      </w:r>
    </w:p>
    <w:p>
      <w:pPr>
        <w:pStyle w:val="176"/>
        <w:numPr>
          <w:ilvl w:val="0"/>
          <w:numId w:val="42"/>
        </w:numPr>
        <w:rPr>
          <w:highlight w:val="none"/>
        </w:rPr>
      </w:pPr>
      <w:r>
        <w:rPr>
          <w:rFonts w:hint="eastAsia"/>
          <w:highlight w:val="none"/>
        </w:rPr>
        <w:t>幅面尺寸为297mm×210mm（A4 纸），图件除外。</w:t>
      </w:r>
    </w:p>
    <w:p>
      <w:pPr>
        <w:pStyle w:val="166"/>
        <w:ind w:left="0"/>
        <w:rPr>
          <w:highlight w:val="none"/>
        </w:rPr>
      </w:pPr>
      <w:r>
        <w:rPr>
          <w:rFonts w:hint="eastAsia"/>
          <w:highlight w:val="none"/>
        </w:rPr>
        <w:t>填写申请材料使用黑色、蓝黑钢笔或签字笔，不得使用圆珠笔、铅笔。因申请人填写错误确需涂改的，需由申请人在涂改处签名、盖章或按指印确认。</w:t>
      </w:r>
    </w:p>
    <w:p>
      <w:pPr>
        <w:pStyle w:val="166"/>
        <w:ind w:left="0"/>
        <w:rPr>
          <w:highlight w:val="none"/>
        </w:rPr>
      </w:pPr>
      <w:r>
        <w:rPr>
          <w:rFonts w:hint="eastAsia"/>
          <w:highlight w:val="none"/>
        </w:rPr>
        <w:t>申请材料所使用文字应符合下列规定：</w:t>
      </w:r>
    </w:p>
    <w:p>
      <w:pPr>
        <w:pStyle w:val="176"/>
        <w:numPr>
          <w:ilvl w:val="0"/>
          <w:numId w:val="43"/>
        </w:numPr>
        <w:rPr>
          <w:highlight w:val="none"/>
        </w:rPr>
      </w:pPr>
      <w:r>
        <w:rPr>
          <w:rFonts w:hint="eastAsia"/>
          <w:highlight w:val="none"/>
        </w:rPr>
        <w:t>申请材料应使用汉字文本。少数民族自治区域内，可选用本民族或者本自治区域内通用文字；</w:t>
      </w:r>
    </w:p>
    <w:p>
      <w:pPr>
        <w:pStyle w:val="176"/>
        <w:numPr>
          <w:ilvl w:val="0"/>
          <w:numId w:val="43"/>
        </w:numPr>
        <w:rPr>
          <w:highlight w:val="none"/>
        </w:rPr>
      </w:pPr>
      <w:r>
        <w:rPr>
          <w:rFonts w:hint="eastAsia"/>
          <w:highlight w:val="none"/>
        </w:rPr>
        <w:t>少数民族文字文本的申请材料在非少数民族聚居或者多民族共同居住地区使用，应同时附汉 字文本；</w:t>
      </w:r>
    </w:p>
    <w:p>
      <w:pPr>
        <w:pStyle w:val="176"/>
        <w:numPr>
          <w:ilvl w:val="0"/>
          <w:numId w:val="43"/>
        </w:numPr>
        <w:rPr>
          <w:highlight w:val="none"/>
        </w:rPr>
      </w:pPr>
      <w:r>
        <w:rPr>
          <w:rFonts w:hint="eastAsia"/>
          <w:highlight w:val="none"/>
        </w:rPr>
        <w:t>外文文本的申请材料应翻译成汉字译本，当事人应签字确认，并对汉字译本的真实性负责。</w:t>
      </w:r>
    </w:p>
    <w:p>
      <w:pPr>
        <w:pStyle w:val="166"/>
        <w:ind w:left="0"/>
        <w:rPr>
          <w:highlight w:val="none"/>
        </w:rPr>
      </w:pPr>
      <w:r>
        <w:rPr>
          <w:rFonts w:hint="eastAsia"/>
          <w:highlight w:val="none"/>
        </w:rPr>
        <w:t>申请材料中的申请人（代理人）姓名或者名称应符合下列规定：</w:t>
      </w:r>
    </w:p>
    <w:p>
      <w:pPr>
        <w:pStyle w:val="176"/>
        <w:numPr>
          <w:ilvl w:val="0"/>
          <w:numId w:val="44"/>
        </w:numPr>
        <w:rPr>
          <w:highlight w:val="none"/>
        </w:rPr>
      </w:pPr>
      <w:r>
        <w:rPr>
          <w:rFonts w:hint="eastAsia"/>
          <w:highlight w:val="none"/>
        </w:rPr>
        <w:t>申请人（代理人）应使用身份证明材料上的汉字姓名或者名称；</w:t>
      </w:r>
    </w:p>
    <w:p>
      <w:pPr>
        <w:pStyle w:val="176"/>
        <w:numPr>
          <w:ilvl w:val="0"/>
          <w:numId w:val="44"/>
        </w:numPr>
        <w:rPr>
          <w:highlight w:val="none"/>
        </w:rPr>
      </w:pPr>
      <w:r>
        <w:rPr>
          <w:rFonts w:hint="eastAsia"/>
          <w:highlight w:val="none"/>
        </w:rPr>
        <w:t>申请人的姓名或者名称为外文的，应当使用汉字译名，在申请材料中附记其身份证明记载的姓名或者名称以及证件号。</w:t>
      </w:r>
    </w:p>
    <w:p>
      <w:pPr>
        <w:pStyle w:val="166"/>
        <w:ind w:left="0"/>
        <w:rPr>
          <w:highlight w:val="none"/>
        </w:rPr>
      </w:pPr>
      <w:r>
        <w:rPr>
          <w:rFonts w:hint="eastAsia"/>
          <w:highlight w:val="none"/>
        </w:rPr>
        <w:t>申请材料中涉及数量、日期、编号的，宜使用阿拉伯数字。涉及数量有计量单位的，应填写与计量单位口径一致的数值。</w:t>
      </w:r>
    </w:p>
    <w:p>
      <w:pPr>
        <w:pStyle w:val="67"/>
        <w:spacing w:before="156" w:after="156"/>
        <w:ind w:left="0"/>
        <w:rPr>
          <w:highlight w:val="none"/>
        </w:rPr>
      </w:pPr>
      <w:r>
        <w:rPr>
          <w:rFonts w:hint="eastAsia"/>
          <w:highlight w:val="none"/>
        </w:rPr>
        <w:t>电子申请材料</w:t>
      </w:r>
    </w:p>
    <w:p>
      <w:pPr>
        <w:pStyle w:val="166"/>
        <w:ind w:left="0"/>
        <w:rPr>
          <w:highlight w:val="none"/>
        </w:rPr>
      </w:pPr>
      <w:r>
        <w:rPr>
          <w:rFonts w:hint="eastAsia"/>
          <w:highlight w:val="none"/>
        </w:rPr>
        <w:t>不动产登记机构获取的符合要求的电子申请材料，不再收取相应纸质材料；</w:t>
      </w:r>
    </w:p>
    <w:p>
      <w:pPr>
        <w:pStyle w:val="58"/>
        <w:ind w:firstLine="420"/>
        <w:rPr>
          <w:highlight w:val="none"/>
        </w:rPr>
      </w:pPr>
      <w:r>
        <w:rPr>
          <w:rFonts w:hint="eastAsia"/>
          <w:highlight w:val="none"/>
        </w:rPr>
        <w:t>电子申请材料格式参照</w:t>
      </w:r>
      <w:r>
        <w:rPr>
          <w:rFonts w:hint="eastAsia"/>
          <w:highlight w:val="none"/>
        </w:rPr>
        <w:t xml:space="preserve"> 5.3.2 </w:t>
      </w:r>
      <w:r>
        <w:rPr>
          <w:rFonts w:hint="eastAsia"/>
          <w:highlight w:val="none"/>
        </w:rPr>
        <w:t>的规定。电子证照等电子申请材料以及涉及的电子签名、电子印章等应符合</w:t>
      </w:r>
      <w:r>
        <w:rPr>
          <w:rFonts w:hint="eastAsia"/>
          <w:highlight w:val="none"/>
        </w:rPr>
        <w:t>GB/T38540-2020</w:t>
      </w:r>
      <w:r>
        <w:rPr>
          <w:rFonts w:hint="eastAsia"/>
          <w:highlight w:val="none"/>
          <w:lang w:eastAsia="zh-CN"/>
        </w:rPr>
        <w:t>及</w:t>
      </w:r>
      <w:r>
        <w:rPr>
          <w:rFonts w:hint="eastAsia"/>
          <w:highlight w:val="none"/>
          <w:lang w:val="en-US" w:eastAsia="zh-CN"/>
        </w:rPr>
        <w:t>C</w:t>
      </w:r>
      <w:r>
        <w:rPr>
          <w:rFonts w:hint="eastAsia"/>
          <w:highlight w:val="none"/>
        </w:rPr>
        <w:t>0203-2020</w:t>
      </w:r>
      <w:r>
        <w:rPr>
          <w:rFonts w:hint="eastAsia"/>
          <w:highlight w:val="none"/>
          <w:lang w:eastAsia="zh-CN"/>
        </w:rPr>
        <w:t>的相关</w:t>
      </w:r>
      <w:r>
        <w:rPr>
          <w:rFonts w:hint="eastAsia"/>
          <w:highlight w:val="none"/>
        </w:rPr>
        <w:t>规定；</w:t>
      </w:r>
    </w:p>
    <w:p>
      <w:pPr>
        <w:pStyle w:val="166"/>
        <w:ind w:left="0"/>
        <w:rPr>
          <w:highlight w:val="none"/>
        </w:rPr>
      </w:pPr>
      <w:r>
        <w:rPr>
          <w:rFonts w:hint="eastAsia"/>
          <w:highlight w:val="none"/>
        </w:rPr>
        <w:t>电子数据应当完整保存，并且具有唯一、确定的纸质转化形式。</w:t>
      </w:r>
    </w:p>
    <w:p>
      <w:pPr>
        <w:pStyle w:val="107"/>
        <w:spacing w:before="156" w:after="156"/>
        <w:rPr>
          <w:highlight w:val="none"/>
        </w:rPr>
      </w:pPr>
      <w:bookmarkStart w:id="67" w:name="_Toc9692"/>
      <w:r>
        <w:rPr>
          <w:rFonts w:hint="eastAsia"/>
          <w:highlight w:val="none"/>
        </w:rPr>
        <w:t>申请材料通用类型</w:t>
      </w:r>
      <w:bookmarkEnd w:id="67"/>
    </w:p>
    <w:p>
      <w:pPr>
        <w:pStyle w:val="67"/>
        <w:spacing w:before="156" w:after="156"/>
        <w:ind w:left="0"/>
        <w:rPr>
          <w:highlight w:val="none"/>
        </w:rPr>
      </w:pPr>
      <w:r>
        <w:rPr>
          <w:rFonts w:hint="eastAsia"/>
          <w:highlight w:val="none"/>
        </w:rPr>
        <w:t>不动产登记申请书</w:t>
      </w:r>
    </w:p>
    <w:p>
      <w:pPr>
        <w:pStyle w:val="166"/>
        <w:ind w:left="0"/>
        <w:rPr>
          <w:highlight w:val="none"/>
        </w:rPr>
      </w:pPr>
      <w:r>
        <w:rPr>
          <w:rFonts w:hint="eastAsia"/>
          <w:highlight w:val="none"/>
        </w:rPr>
        <w:t>申请人申请不动产登记，应如实、准确填写不动产登记机构制定的不动产登记申请书。申请书可采用电子介质。申请人为自然人的，申请人应在不动产登记申请书上签名或者按指印；申请人为法人、非法人组织的，申请人应在不动产登记申请书上盖章。</w:t>
      </w:r>
    </w:p>
    <w:p>
      <w:pPr>
        <w:pStyle w:val="166"/>
        <w:ind w:left="0"/>
        <w:rPr>
          <w:highlight w:val="none"/>
        </w:rPr>
      </w:pPr>
      <w:r>
        <w:rPr>
          <w:rFonts w:hint="eastAsia"/>
          <w:highlight w:val="none"/>
        </w:rPr>
        <w:t>自然人委托他人申请不动产登记的，代理人应在不动产登记申请书上签字并按指印；法人、非法人组织委托他人申请不动产登记的，代理人应在不动产登记申请书上签字。委托人无需再签字或者盖章。</w:t>
      </w:r>
    </w:p>
    <w:p>
      <w:pPr>
        <w:pStyle w:val="166"/>
        <w:ind w:left="0"/>
        <w:rPr>
          <w:highlight w:val="none"/>
        </w:rPr>
      </w:pPr>
      <w:r>
        <w:rPr>
          <w:rFonts w:hint="eastAsia"/>
          <w:highlight w:val="none"/>
        </w:rPr>
        <w:t>共有的不动产，申请人应当在不动产登记申请书中注明共有性质。按份共有不动产的，应明确相应具体份额，共有份额宜采取分数或者百分数表示。</w:t>
      </w:r>
    </w:p>
    <w:p>
      <w:pPr>
        <w:pStyle w:val="166"/>
        <w:ind w:left="0"/>
        <w:rPr>
          <w:highlight w:val="none"/>
        </w:rPr>
      </w:pPr>
      <w:r>
        <w:rPr>
          <w:rFonts w:hint="eastAsia"/>
          <w:highlight w:val="none"/>
        </w:rPr>
        <w:t>申请不动产登记的，申请人或者其代理人应向不动产登记机构提供有效的联系方式。</w:t>
      </w:r>
    </w:p>
    <w:p>
      <w:pPr>
        <w:pStyle w:val="67"/>
        <w:spacing w:before="156" w:after="156"/>
        <w:ind w:left="0"/>
        <w:rPr>
          <w:highlight w:val="none"/>
        </w:rPr>
      </w:pPr>
      <w:r>
        <w:rPr>
          <w:rFonts w:hint="eastAsia"/>
          <w:highlight w:val="none"/>
        </w:rPr>
        <w:t>身份证明材料</w:t>
      </w:r>
    </w:p>
    <w:p>
      <w:pPr>
        <w:pStyle w:val="166"/>
        <w:ind w:left="0"/>
        <w:rPr>
          <w:highlight w:val="none"/>
        </w:rPr>
      </w:pPr>
      <w:r>
        <w:rPr>
          <w:rFonts w:hint="eastAsia"/>
          <w:highlight w:val="none"/>
        </w:rPr>
        <w:t>申请人申请不动产登记， 提交下列相应的身份证明材料：</w:t>
      </w:r>
    </w:p>
    <w:p>
      <w:pPr>
        <w:pStyle w:val="176"/>
        <w:numPr>
          <w:ilvl w:val="0"/>
          <w:numId w:val="45"/>
        </w:numPr>
        <w:rPr>
          <w:highlight w:val="none"/>
        </w:rPr>
      </w:pPr>
      <w:r>
        <w:rPr>
          <w:rFonts w:hint="eastAsia"/>
          <w:highlight w:val="none"/>
        </w:rPr>
        <w:t>境内自然人：提交居民身份证。未成年人可以提交居民身份证或者户口簿；</w:t>
      </w:r>
    </w:p>
    <w:p>
      <w:pPr>
        <w:pStyle w:val="176"/>
        <w:numPr>
          <w:ilvl w:val="0"/>
          <w:numId w:val="45"/>
        </w:numPr>
        <w:rPr>
          <w:highlight w:val="none"/>
        </w:rPr>
      </w:pPr>
      <w:r>
        <w:rPr>
          <w:rFonts w:hint="eastAsia"/>
          <w:highlight w:val="none"/>
        </w:rPr>
        <w:t>香港、澳门特别行政区自然人：提交香港、澳门特别行政区（永久性）居民身份证或者护照或者中华人民共和国港澳居民居住证或者来往内地通行证；</w:t>
      </w:r>
    </w:p>
    <w:p>
      <w:pPr>
        <w:pStyle w:val="176"/>
        <w:numPr>
          <w:ilvl w:val="0"/>
          <w:numId w:val="45"/>
        </w:numPr>
        <w:rPr>
          <w:highlight w:val="none"/>
        </w:rPr>
      </w:pPr>
      <w:r>
        <w:rPr>
          <w:rFonts w:hint="eastAsia"/>
          <w:highlight w:val="none"/>
        </w:rPr>
        <w:t>台湾地区自然人：提交台湾居民来往大陆通行证或者中华人民共和国台湾居民居住证；</w:t>
      </w:r>
    </w:p>
    <w:p>
      <w:pPr>
        <w:pStyle w:val="176"/>
        <w:numPr>
          <w:ilvl w:val="0"/>
          <w:numId w:val="45"/>
        </w:numPr>
        <w:rPr>
          <w:highlight w:val="none"/>
        </w:rPr>
      </w:pPr>
      <w:r>
        <w:rPr>
          <w:rFonts w:hint="eastAsia"/>
          <w:highlight w:val="none"/>
        </w:rPr>
        <w:t>华侨：提交中华人民共和国护照和国外长期居留身份证件；</w:t>
      </w:r>
    </w:p>
    <w:p>
      <w:pPr>
        <w:pStyle w:val="176"/>
        <w:numPr>
          <w:ilvl w:val="0"/>
          <w:numId w:val="45"/>
        </w:numPr>
        <w:rPr>
          <w:highlight w:val="none"/>
        </w:rPr>
      </w:pPr>
      <w:r>
        <w:rPr>
          <w:rFonts w:hint="eastAsia"/>
          <w:highlight w:val="none"/>
        </w:rPr>
        <w:t>外籍自然人：中国政府主管机关签发的居留证件，或者其国籍所在国护照；</w:t>
      </w:r>
    </w:p>
    <w:p>
      <w:pPr>
        <w:pStyle w:val="176"/>
        <w:numPr>
          <w:ilvl w:val="0"/>
          <w:numId w:val="45"/>
        </w:numPr>
        <w:rPr>
          <w:highlight w:val="none"/>
        </w:rPr>
      </w:pPr>
      <w:r>
        <w:rPr>
          <w:rFonts w:hint="eastAsia"/>
          <w:highlight w:val="none"/>
        </w:rPr>
        <w:t>境内法人或者非法人组织：营业执照，或者统一社会信用代码证、事业单位法人证书，或者其他身份登记证明；</w:t>
      </w:r>
    </w:p>
    <w:p>
      <w:pPr>
        <w:pStyle w:val="176"/>
        <w:numPr>
          <w:ilvl w:val="0"/>
          <w:numId w:val="45"/>
        </w:numPr>
        <w:rPr>
          <w:highlight w:val="none"/>
        </w:rPr>
      </w:pPr>
      <w:r>
        <w:rPr>
          <w:rFonts w:hint="eastAsia"/>
          <w:highlight w:val="none"/>
        </w:rPr>
        <w:t>香港特别行政区、澳门特别行政区的法人或者非法人组织：提交经公证、转递的设立文件和注册证明，或者其在境内设立分支机构或者代表机构的批准文件和注册证明；</w:t>
      </w:r>
    </w:p>
    <w:p>
      <w:pPr>
        <w:pStyle w:val="176"/>
        <w:numPr>
          <w:ilvl w:val="0"/>
          <w:numId w:val="45"/>
        </w:numPr>
        <w:rPr>
          <w:highlight w:val="none"/>
        </w:rPr>
      </w:pPr>
      <w:r>
        <w:rPr>
          <w:rFonts w:hint="eastAsia"/>
          <w:highlight w:val="none"/>
        </w:rPr>
        <w:t>台湾地区的法人或者非法人组织：提交经公证、转递的设立文件和注册证明，或者其在境内设立分支机构或者代表机构的批准文件和注册证明；</w:t>
      </w:r>
    </w:p>
    <w:p>
      <w:pPr>
        <w:pStyle w:val="176"/>
        <w:numPr>
          <w:ilvl w:val="0"/>
          <w:numId w:val="45"/>
        </w:numPr>
        <w:rPr>
          <w:highlight w:val="none"/>
        </w:rPr>
      </w:pPr>
      <w:r>
        <w:rPr>
          <w:rFonts w:hint="eastAsia"/>
          <w:highlight w:val="none"/>
        </w:rPr>
        <w:t>境外法人或者非法人组织：提交经公证、认证的设立文件和注册证明，或者其在境内设立分支机构或者代表机构的批准文件和注册证明。</w:t>
      </w:r>
    </w:p>
    <w:p>
      <w:pPr>
        <w:pStyle w:val="166"/>
        <w:ind w:left="0"/>
        <w:rPr>
          <w:highlight w:val="none"/>
        </w:rPr>
      </w:pPr>
      <w:r>
        <w:rPr>
          <w:rFonts w:hint="eastAsia"/>
          <w:highlight w:val="none"/>
        </w:rPr>
        <w:t>已经登记的不动产，因其权利人的姓名、名称、身份证明类型或者身份证明号码等内容发生变更的，申请人申请办理该不动产的登记事项时， 应当提供能够证实其身份变更的材料。</w:t>
      </w:r>
    </w:p>
    <w:p>
      <w:pPr>
        <w:pStyle w:val="166"/>
        <w:ind w:left="0"/>
        <w:rPr>
          <w:highlight w:val="none"/>
        </w:rPr>
      </w:pPr>
      <w:r>
        <w:rPr>
          <w:rFonts w:hint="eastAsia"/>
          <w:highlight w:val="none"/>
        </w:rPr>
        <w:t>申请人委托代理人申请不动产登记的，代理人的身份证明</w:t>
      </w:r>
      <w:r>
        <w:rPr>
          <w:rFonts w:hint="eastAsia"/>
          <w:highlight w:val="none"/>
          <w:lang w:eastAsia="zh-CN"/>
        </w:rPr>
        <w:t>参照</w:t>
      </w:r>
      <w:r>
        <w:rPr>
          <w:rFonts w:hint="eastAsia"/>
          <w:highlight w:val="none"/>
          <w:lang w:val="en-US" w:eastAsia="zh-CN"/>
        </w:rPr>
        <w:t>5.4.2.1执行</w:t>
      </w:r>
      <w:r>
        <w:rPr>
          <w:rFonts w:hint="eastAsia"/>
          <w:highlight w:val="none"/>
        </w:rPr>
        <w:t>。</w:t>
      </w:r>
    </w:p>
    <w:p>
      <w:pPr>
        <w:pStyle w:val="67"/>
        <w:spacing w:before="156" w:after="156"/>
        <w:ind w:left="0"/>
        <w:rPr>
          <w:highlight w:val="none"/>
        </w:rPr>
      </w:pPr>
      <w:r>
        <w:rPr>
          <w:rFonts w:hint="eastAsia"/>
          <w:highlight w:val="none"/>
        </w:rPr>
        <w:t>法律文书</w:t>
      </w:r>
    </w:p>
    <w:p>
      <w:pPr>
        <w:pStyle w:val="166"/>
        <w:ind w:left="0"/>
        <w:rPr>
          <w:highlight w:val="none"/>
        </w:rPr>
      </w:pPr>
      <w:r>
        <w:rPr>
          <w:rFonts w:hint="eastAsia"/>
          <w:highlight w:val="none"/>
        </w:rPr>
        <w:t>申请人提交的人民法院裁判文书、仲裁机构裁决书应为已生效的法律文书。提交一审人民法院裁判文书的，应同时提交人民法院出具的裁判文书已经生效的证明文件等相关材料，</w:t>
      </w:r>
      <w:r>
        <w:rPr>
          <w:rFonts w:hint="eastAsia"/>
          <w:highlight w:val="none"/>
          <w:lang w:eastAsia="zh-CN"/>
        </w:rPr>
        <w:t>但</w:t>
      </w:r>
      <w:r>
        <w:rPr>
          <w:rFonts w:hint="eastAsia"/>
          <w:highlight w:val="none"/>
        </w:rPr>
        <w:t>即时生效的裁定书、经双方当事人签字的调解书除外。</w:t>
      </w:r>
    </w:p>
    <w:p>
      <w:pPr>
        <w:pStyle w:val="166"/>
        <w:ind w:left="0"/>
        <w:rPr>
          <w:highlight w:val="none"/>
        </w:rPr>
      </w:pPr>
      <w:r>
        <w:rPr>
          <w:rFonts w:hint="eastAsia"/>
          <w:highlight w:val="none"/>
        </w:rPr>
        <w:t>香港特别行政区、澳门特别行政区、台湾地区形成的司法文书，应依法经境内不动产所在地中级人民法院裁定予以承认或者执行。</w:t>
      </w:r>
    </w:p>
    <w:p>
      <w:pPr>
        <w:pStyle w:val="166"/>
        <w:ind w:left="0"/>
        <w:rPr>
          <w:highlight w:val="none"/>
        </w:rPr>
      </w:pPr>
      <w:r>
        <w:rPr>
          <w:rFonts w:hint="eastAsia"/>
          <w:highlight w:val="none"/>
        </w:rPr>
        <w:t>外国司法文书应经境内不动产所在地中级人民法院按国际司法协助的方式裁定予以承认或者执行。</w:t>
      </w:r>
    </w:p>
    <w:p>
      <w:pPr>
        <w:pStyle w:val="166"/>
        <w:ind w:left="0"/>
        <w:rPr>
          <w:highlight w:val="none"/>
        </w:rPr>
      </w:pPr>
      <w:r>
        <w:rPr>
          <w:rFonts w:hint="eastAsia"/>
          <w:highlight w:val="none"/>
        </w:rPr>
        <w:t>需要协助执行的生效法律文书应由该法律文书作出机关的工作人员送达，送达时应提供工作证件和证实执行公务的文件。人民法院直接送达法律文书有困难的，可以书面委托其他法院代为送达。</w:t>
      </w:r>
    </w:p>
    <w:p>
      <w:pPr>
        <w:pStyle w:val="166"/>
        <w:ind w:left="0"/>
        <w:rPr>
          <w:highlight w:val="none"/>
        </w:rPr>
      </w:pPr>
      <w:r>
        <w:rPr>
          <w:rFonts w:hint="eastAsia"/>
          <w:highlight w:val="none"/>
        </w:rPr>
        <w:t>国外出具的公证文书，香港特别行政区、澳门特别行政区、台湾地区的公证文书按照司法部等国家有关规定进行认证与转递。</w:t>
      </w:r>
    </w:p>
    <w:p>
      <w:pPr>
        <w:pStyle w:val="67"/>
        <w:spacing w:before="156" w:after="156"/>
        <w:ind w:left="0"/>
        <w:rPr>
          <w:highlight w:val="none"/>
        </w:rPr>
      </w:pPr>
      <w:r>
        <w:rPr>
          <w:rFonts w:hint="eastAsia"/>
          <w:highlight w:val="none"/>
          <w:lang w:eastAsia="zh-CN"/>
        </w:rPr>
        <w:t>委托代理材料</w:t>
      </w:r>
    </w:p>
    <w:p>
      <w:pPr>
        <w:pStyle w:val="96"/>
        <w:spacing w:before="156" w:after="156"/>
        <w:ind w:left="0"/>
        <w:rPr>
          <w:highlight w:val="none"/>
        </w:rPr>
      </w:pPr>
      <w:r>
        <w:rPr>
          <w:rFonts w:hint="eastAsia"/>
          <w:highlight w:val="none"/>
        </w:rPr>
        <w:t>受托人代理申请</w:t>
      </w:r>
    </w:p>
    <w:p>
      <w:pPr>
        <w:pStyle w:val="58"/>
        <w:ind w:firstLine="420"/>
        <w:rPr>
          <w:highlight w:val="none"/>
        </w:rPr>
      </w:pPr>
      <w:r>
        <w:rPr>
          <w:rFonts w:hint="eastAsia"/>
          <w:highlight w:val="none"/>
        </w:rPr>
        <w:t>申请人</w:t>
      </w:r>
      <w:r>
        <w:rPr>
          <w:rFonts w:hint="eastAsia"/>
          <w:highlight w:val="none"/>
          <w:lang w:eastAsia="zh-CN"/>
        </w:rPr>
        <w:t>可</w:t>
      </w:r>
      <w:r>
        <w:rPr>
          <w:rFonts w:hint="eastAsia"/>
          <w:highlight w:val="none"/>
        </w:rPr>
        <w:t>委托代理人申请不动产登记的，代理人应当向不动产登记机构提交申请人身份证明、授权委托书及代理人的身份证明。授权委托书中应当载明代理人的姓名、代理事项、权限和期间，并由委托人签名、盖章或者按指印。</w:t>
      </w:r>
    </w:p>
    <w:p>
      <w:pPr>
        <w:pStyle w:val="176"/>
        <w:numPr>
          <w:ilvl w:val="0"/>
          <w:numId w:val="46"/>
        </w:numPr>
        <w:rPr>
          <w:highlight w:val="none"/>
        </w:rPr>
      </w:pPr>
      <w:r>
        <w:rPr>
          <w:rFonts w:hint="eastAsia"/>
          <w:highlight w:val="none"/>
        </w:rPr>
        <w:t>自然人处分不动产的，可以提交经公证的授权委托书； 授权委托书未经公证的，申请人应当在申请登记时，与代理人共同到不动产登记机构现场签订授权委托书；</w:t>
      </w:r>
    </w:p>
    <w:p>
      <w:pPr>
        <w:pStyle w:val="176"/>
        <w:numPr>
          <w:ilvl w:val="0"/>
          <w:numId w:val="46"/>
        </w:numPr>
        <w:rPr>
          <w:highlight w:val="none"/>
        </w:rPr>
      </w:pPr>
      <w:r>
        <w:rPr>
          <w:rFonts w:hint="eastAsia"/>
          <w:highlight w:val="none"/>
        </w:rPr>
        <w:t>境外申请人处分不动产的，其授权委托书应当经公证或者认证</w:t>
      </w:r>
      <w:r>
        <w:rPr>
          <w:rFonts w:hint="eastAsia"/>
          <w:highlight w:val="none"/>
          <w:lang w:eastAsia="zh-CN"/>
        </w:rPr>
        <w:t>。</w:t>
      </w:r>
    </w:p>
    <w:p>
      <w:pPr>
        <w:pStyle w:val="96"/>
        <w:spacing w:before="156" w:after="156"/>
        <w:ind w:left="0"/>
        <w:rPr>
          <w:highlight w:val="none"/>
        </w:rPr>
      </w:pPr>
      <w:r>
        <w:rPr>
          <w:rFonts w:hint="eastAsia"/>
          <w:highlight w:val="none"/>
        </w:rPr>
        <w:t>监护人代理申请</w:t>
      </w:r>
    </w:p>
    <w:p>
      <w:pPr>
        <w:pStyle w:val="176"/>
        <w:numPr>
          <w:ilvl w:val="0"/>
          <w:numId w:val="47"/>
        </w:numPr>
        <w:rPr>
          <w:highlight w:val="none"/>
        </w:rPr>
      </w:pPr>
      <w:r>
        <w:rPr>
          <w:rFonts w:hint="eastAsia"/>
          <w:highlight w:val="none"/>
        </w:rPr>
        <w:t>监护人应向不动产登记机构提交申请人身份证明、监护关系证明及监护人的身份证明，以及被监护人为无民事行为能力人、限制民事行为能力人的证明材料。处分被监护人不动产申请登记的，监护人应共同申请，还应出具监护人为被监护人利益而处分不动产的书面保证。</w:t>
      </w:r>
    </w:p>
    <w:p>
      <w:pPr>
        <w:pStyle w:val="176"/>
        <w:numPr>
          <w:ilvl w:val="0"/>
          <w:numId w:val="47"/>
        </w:numPr>
        <w:rPr>
          <w:highlight w:val="none"/>
        </w:rPr>
      </w:pPr>
      <w:r>
        <w:rPr>
          <w:rFonts w:hint="eastAsia"/>
          <w:highlight w:val="none"/>
        </w:rPr>
        <w:t>监护关系证明材料可以是户口簿、监护关系公证书、结婚证、出生医学证明、收养关系证明， 或者被监护人住所地的居民委员会、村民委员会或者民政部门、人民法院指定监护人的证明材料，或者遗嘱指定监护、协议确定监护、意定监护的材料。被监护人民事行为能力的有关证明文件应是未成年人的身份证明或者人民法院确认民事行为能力的生效法律文书。</w:t>
      </w:r>
    </w:p>
    <w:p>
      <w:pPr>
        <w:pStyle w:val="107"/>
        <w:spacing w:before="156" w:after="156"/>
        <w:rPr>
          <w:highlight w:val="none"/>
        </w:rPr>
      </w:pPr>
      <w:bookmarkStart w:id="68" w:name="_Toc23595"/>
      <w:r>
        <w:rPr>
          <w:rFonts w:hint="eastAsia"/>
          <w:highlight w:val="none"/>
        </w:rPr>
        <w:t>申请方式</w:t>
      </w:r>
      <w:bookmarkEnd w:id="68"/>
    </w:p>
    <w:p>
      <w:pPr>
        <w:pStyle w:val="167"/>
        <w:ind w:left="0"/>
        <w:rPr>
          <w:rFonts w:hint="eastAsia" w:ascii="黑体" w:hAnsi="Times New Roman" w:eastAsia="黑体" w:cs="Times New Roman"/>
          <w:sz w:val="21"/>
          <w:highlight w:val="none"/>
          <w:lang w:val="en-US" w:eastAsia="zh-CN" w:bidi="ar-SA"/>
        </w:rPr>
      </w:pPr>
      <w:r>
        <w:rPr>
          <w:rFonts w:hint="eastAsia" w:ascii="黑体" w:hAnsi="Times New Roman" w:eastAsia="黑体" w:cs="Times New Roman"/>
          <w:sz w:val="21"/>
          <w:highlight w:val="none"/>
          <w:lang w:val="en-US" w:eastAsia="zh-CN" w:bidi="ar-SA"/>
        </w:rPr>
        <w:t>现场提交申请</w:t>
      </w:r>
    </w:p>
    <w:p>
      <w:pPr>
        <w:pStyle w:val="167"/>
        <w:numPr>
          <w:ilvl w:val="3"/>
          <w:numId w:val="0"/>
        </w:numPr>
        <w:ind w:leftChars="0" w:firstLine="420" w:firstLineChars="200"/>
        <w:rPr>
          <w:highlight w:val="none"/>
        </w:rPr>
      </w:pPr>
      <w:r>
        <w:rPr>
          <w:rFonts w:hint="eastAsia"/>
          <w:highlight w:val="none"/>
          <w:lang w:eastAsia="zh-CN"/>
        </w:rPr>
        <w:t>现场提交</w:t>
      </w:r>
      <w:r>
        <w:rPr>
          <w:rFonts w:hint="eastAsia"/>
          <w:highlight w:val="none"/>
        </w:rPr>
        <w:t>申请不动产登记</w:t>
      </w:r>
      <w:r>
        <w:rPr>
          <w:rFonts w:hint="eastAsia"/>
          <w:highlight w:val="none"/>
          <w:lang w:eastAsia="zh-CN"/>
        </w:rPr>
        <w:t>的</w:t>
      </w:r>
      <w:r>
        <w:rPr>
          <w:rFonts w:hint="eastAsia"/>
          <w:highlight w:val="none"/>
        </w:rPr>
        <w:t>，申请人本人或者其代理人应现场向不动产登记机构提交申请材料， 接受询问。不动产登记机构应留存当事人到场申请的照片；具备条件的，不动产登记机构可留存当事人指纹或设定密码， 也可使用人脸认证系统或者人证比对系统留存验证结果。</w:t>
      </w:r>
    </w:p>
    <w:p>
      <w:pPr>
        <w:pStyle w:val="167"/>
        <w:ind w:left="0"/>
        <w:rPr>
          <w:rFonts w:hint="eastAsia" w:ascii="黑体" w:hAnsi="Times New Roman" w:eastAsia="黑体" w:cs="Times New Roman"/>
          <w:sz w:val="21"/>
          <w:highlight w:val="none"/>
          <w:lang w:val="en-US" w:eastAsia="zh-CN" w:bidi="ar-SA"/>
        </w:rPr>
      </w:pPr>
      <w:r>
        <w:rPr>
          <w:rFonts w:hint="eastAsia" w:ascii="黑体" w:hAnsi="Times New Roman" w:eastAsia="黑体" w:cs="Times New Roman"/>
          <w:sz w:val="21"/>
          <w:highlight w:val="none"/>
          <w:lang w:val="en-US" w:eastAsia="zh-CN" w:bidi="ar-SA"/>
        </w:rPr>
        <w:t>网上</w:t>
      </w:r>
      <w:r>
        <w:rPr>
          <w:rFonts w:hint="eastAsia" w:ascii="黑体" w:eastAsia="黑体" w:cs="Times New Roman"/>
          <w:sz w:val="21"/>
          <w:highlight w:val="none"/>
          <w:lang w:val="en-US" w:eastAsia="zh-CN" w:bidi="ar-SA"/>
        </w:rPr>
        <w:t>提交</w:t>
      </w:r>
      <w:r>
        <w:rPr>
          <w:rFonts w:hint="eastAsia" w:ascii="黑体" w:hAnsi="Times New Roman" w:eastAsia="黑体" w:cs="Times New Roman"/>
          <w:sz w:val="21"/>
          <w:highlight w:val="none"/>
          <w:lang w:val="en-US" w:eastAsia="zh-CN" w:bidi="ar-SA"/>
        </w:rPr>
        <w:t>申请</w:t>
      </w:r>
    </w:p>
    <w:p>
      <w:pPr>
        <w:pStyle w:val="167"/>
        <w:numPr>
          <w:ilvl w:val="3"/>
          <w:numId w:val="0"/>
        </w:numPr>
        <w:ind w:leftChars="0" w:firstLine="420" w:firstLineChars="200"/>
        <w:rPr>
          <w:highlight w:val="none"/>
        </w:rPr>
      </w:pPr>
      <w:r>
        <w:rPr>
          <w:rFonts w:hint="eastAsia"/>
          <w:highlight w:val="none"/>
          <w:lang w:eastAsia="zh-CN"/>
        </w:rPr>
        <w:t>网上提交</w:t>
      </w:r>
      <w:r>
        <w:rPr>
          <w:rFonts w:hint="eastAsia"/>
          <w:highlight w:val="none"/>
        </w:rPr>
        <w:t>申请不动产登记</w:t>
      </w:r>
      <w:r>
        <w:rPr>
          <w:rFonts w:hint="eastAsia"/>
          <w:highlight w:val="none"/>
          <w:lang w:eastAsia="zh-CN"/>
        </w:rPr>
        <w:t>的</w:t>
      </w:r>
      <w:r>
        <w:rPr>
          <w:rFonts w:hint="eastAsia"/>
          <w:highlight w:val="none"/>
        </w:rPr>
        <w:t>，申请人本人或者其代理人应</w:t>
      </w:r>
      <w:r>
        <w:rPr>
          <w:rFonts w:hint="eastAsia"/>
          <w:highlight w:val="none"/>
          <w:lang w:eastAsia="zh-CN"/>
        </w:rPr>
        <w:t>网上</w:t>
      </w:r>
      <w:r>
        <w:rPr>
          <w:rFonts w:hint="eastAsia"/>
          <w:highlight w:val="none"/>
        </w:rPr>
        <w:t>向不动产登记机构提交申请材料， 接受询问。不动产登记机构应留存当事人身份核验结果和询问记录等资料，企业用户通过服务端进行网上申请登记的，还应符合</w:t>
      </w:r>
      <w:r>
        <w:rPr>
          <w:rFonts w:hint="eastAsia"/>
          <w:highlight w:val="none"/>
        </w:rPr>
        <w:t>第 10 章</w:t>
      </w:r>
      <w:r>
        <w:rPr>
          <w:rFonts w:hint="eastAsia"/>
          <w:highlight w:val="none"/>
        </w:rPr>
        <w:t>的有关规定。</w:t>
      </w:r>
    </w:p>
    <w:p>
      <w:pPr>
        <w:pStyle w:val="107"/>
        <w:spacing w:before="156" w:after="156"/>
        <w:rPr>
          <w:highlight w:val="none"/>
        </w:rPr>
      </w:pPr>
      <w:bookmarkStart w:id="69" w:name="_Toc5748"/>
      <w:r>
        <w:rPr>
          <w:rFonts w:hint="eastAsia"/>
          <w:highlight w:val="none"/>
          <w:lang w:eastAsia="zh-CN"/>
        </w:rPr>
        <w:t>撤回申请</w:t>
      </w:r>
      <w:bookmarkEnd w:id="69"/>
    </w:p>
    <w:p>
      <w:pPr>
        <w:pStyle w:val="67"/>
        <w:bidi w:val="0"/>
        <w:ind w:left="0" w:leftChars="0" w:firstLine="0" w:firstLineChars="0"/>
        <w:jc w:val="left"/>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申请登记事项在记载于不动产登记簿之前，全体登记申请人可共同申请撤回登记申请；部分登记申请人申请撤回登记申请的，不动产登记机构不予受理。</w:t>
      </w:r>
    </w:p>
    <w:p>
      <w:pPr>
        <w:pStyle w:val="67"/>
        <w:bidi w:val="0"/>
        <w:ind w:left="0" w:leftChars="0" w:firstLine="0" w:firstLineChars="0"/>
        <w:rPr>
          <w:highlight w:val="none"/>
        </w:rPr>
      </w:pPr>
      <w:r>
        <w:rPr>
          <w:rFonts w:hint="eastAsia" w:ascii="宋体" w:hAnsi="Times New Roman" w:eastAsia="宋体" w:cs="Times New Roman"/>
          <w:sz w:val="21"/>
          <w:highlight w:val="none"/>
          <w:lang w:val="en-US" w:eastAsia="zh-CN" w:bidi="ar-SA"/>
        </w:rPr>
        <w:t>申请人申请撤回登记申请，向不动产登记机构提交下列材料：</w:t>
      </w:r>
    </w:p>
    <w:p>
      <w:pPr>
        <w:pStyle w:val="58"/>
        <w:ind w:firstLine="420"/>
        <w:rPr>
          <w:highlight w:val="none"/>
        </w:rPr>
      </w:pPr>
      <w:r>
        <w:rPr>
          <w:rFonts w:hint="eastAsia"/>
          <w:highlight w:val="none"/>
        </w:rPr>
        <w:t>a)  不动产登记撤回申请书；</w:t>
      </w:r>
    </w:p>
    <w:p>
      <w:pPr>
        <w:pStyle w:val="58"/>
        <w:ind w:firstLine="420"/>
        <w:rPr>
          <w:highlight w:val="none"/>
        </w:rPr>
      </w:pPr>
      <w:r>
        <w:rPr>
          <w:rFonts w:hint="eastAsia"/>
          <w:highlight w:val="none"/>
        </w:rPr>
        <w:t>b)  申请人身份证明。</w:t>
      </w:r>
    </w:p>
    <w:p>
      <w:pPr>
        <w:pStyle w:val="106"/>
        <w:spacing w:before="312" w:after="312"/>
        <w:rPr>
          <w:highlight w:val="none"/>
        </w:rPr>
      </w:pPr>
      <w:bookmarkStart w:id="70" w:name="_Toc9574"/>
      <w:r>
        <w:rPr>
          <w:rFonts w:hint="eastAsia"/>
          <w:highlight w:val="none"/>
        </w:rPr>
        <w:t>受理</w:t>
      </w:r>
      <w:bookmarkEnd w:id="70"/>
    </w:p>
    <w:p>
      <w:pPr>
        <w:pStyle w:val="107"/>
        <w:spacing w:before="156" w:after="156"/>
        <w:rPr>
          <w:highlight w:val="none"/>
        </w:rPr>
      </w:pPr>
      <w:bookmarkStart w:id="71" w:name="_Toc32476"/>
      <w:r>
        <w:rPr>
          <w:rFonts w:hint="eastAsia"/>
          <w:highlight w:val="none"/>
        </w:rPr>
        <w:t>适用</w:t>
      </w:r>
      <w:bookmarkEnd w:id="71"/>
    </w:p>
    <w:p>
      <w:pPr>
        <w:pStyle w:val="58"/>
        <w:ind w:firstLine="420"/>
        <w:rPr>
          <w:highlight w:val="none"/>
        </w:rPr>
      </w:pPr>
      <w:r>
        <w:rPr>
          <w:rFonts w:hint="eastAsia"/>
          <w:highlight w:val="none"/>
        </w:rPr>
        <w:t>不动产登记机构依法查验登记范围、申请主体、申请材料，询问登记事项、出具受理结果等工作的过程。</w:t>
      </w:r>
    </w:p>
    <w:p>
      <w:pPr>
        <w:pStyle w:val="107"/>
        <w:spacing w:before="156" w:after="156"/>
        <w:rPr>
          <w:highlight w:val="none"/>
        </w:rPr>
      </w:pPr>
      <w:bookmarkStart w:id="72" w:name="_Toc24711"/>
      <w:r>
        <w:rPr>
          <w:rFonts w:hint="eastAsia"/>
          <w:highlight w:val="none"/>
        </w:rPr>
        <w:t>查验登记范围</w:t>
      </w:r>
      <w:bookmarkEnd w:id="72"/>
    </w:p>
    <w:p>
      <w:pPr>
        <w:pStyle w:val="58"/>
        <w:ind w:firstLine="420"/>
        <w:rPr>
          <w:rFonts w:hint="eastAsia"/>
          <w:highlight w:val="none"/>
          <w:lang w:eastAsia="zh-CN"/>
        </w:rPr>
      </w:pPr>
      <w:r>
        <w:rPr>
          <w:rFonts w:hint="eastAsia"/>
          <w:highlight w:val="none"/>
        </w:rPr>
        <w:t>不动产登记机构应查验</w:t>
      </w:r>
      <w:r>
        <w:rPr>
          <w:rFonts w:hint="eastAsia"/>
          <w:highlight w:val="none"/>
          <w:lang w:eastAsia="zh-CN"/>
        </w:rPr>
        <w:t>下列内容：</w:t>
      </w:r>
    </w:p>
    <w:p>
      <w:pPr>
        <w:pStyle w:val="58"/>
        <w:numPr>
          <w:ilvl w:val="0"/>
          <w:numId w:val="48"/>
        </w:numPr>
        <w:ind w:firstLine="420"/>
        <w:rPr>
          <w:rFonts w:hint="eastAsia"/>
          <w:highlight w:val="none"/>
        </w:rPr>
      </w:pPr>
      <w:r>
        <w:rPr>
          <w:rFonts w:hint="eastAsia"/>
          <w:highlight w:val="none"/>
        </w:rPr>
        <w:t>申请登记的不动产</w:t>
      </w:r>
      <w:r>
        <w:rPr>
          <w:rFonts w:hint="eastAsia"/>
          <w:highlight w:val="none"/>
          <w:lang w:eastAsia="zh-CN"/>
        </w:rPr>
        <w:t>所在地</w:t>
      </w:r>
      <w:r>
        <w:rPr>
          <w:rFonts w:hint="eastAsia"/>
          <w:highlight w:val="none"/>
        </w:rPr>
        <w:t>属于本不动产登记机构的管辖范围；</w:t>
      </w:r>
    </w:p>
    <w:p>
      <w:pPr>
        <w:pStyle w:val="58"/>
        <w:numPr>
          <w:ilvl w:val="0"/>
          <w:numId w:val="48"/>
        </w:numPr>
        <w:ind w:firstLine="420"/>
        <w:rPr>
          <w:highlight w:val="none"/>
        </w:rPr>
      </w:pPr>
      <w:r>
        <w:rPr>
          <w:rFonts w:hint="eastAsia"/>
          <w:highlight w:val="none"/>
          <w:lang w:eastAsia="zh-CN"/>
        </w:rPr>
        <w:t>申请的</w:t>
      </w:r>
      <w:r>
        <w:rPr>
          <w:rFonts w:hint="eastAsia"/>
          <w:highlight w:val="none"/>
        </w:rPr>
        <w:t>不动产权利和</w:t>
      </w:r>
      <w:r>
        <w:rPr>
          <w:rFonts w:hint="eastAsia"/>
          <w:highlight w:val="none"/>
          <w:lang w:eastAsia="zh-CN"/>
        </w:rPr>
        <w:t>登记类型符</w:t>
      </w:r>
      <w:r>
        <w:rPr>
          <w:rFonts w:hint="eastAsia"/>
          <w:highlight w:val="none"/>
          <w:lang w:eastAsia="zh-CN"/>
        </w:rPr>
        <w:t>合</w:t>
      </w:r>
      <w:r>
        <w:rPr>
          <w:rFonts w:hint="eastAsia"/>
          <w:highlight w:val="none"/>
          <w:lang w:val="en-US" w:eastAsia="zh-CN"/>
        </w:rPr>
        <w:t>4.1规定</w:t>
      </w:r>
      <w:r>
        <w:rPr>
          <w:rFonts w:hint="eastAsia"/>
          <w:highlight w:val="none"/>
        </w:rPr>
        <w:t>。</w:t>
      </w:r>
    </w:p>
    <w:p>
      <w:pPr>
        <w:pStyle w:val="107"/>
        <w:spacing w:before="156" w:after="156"/>
        <w:rPr>
          <w:highlight w:val="none"/>
        </w:rPr>
      </w:pPr>
      <w:bookmarkStart w:id="73" w:name="_Toc11918"/>
      <w:r>
        <w:rPr>
          <w:rFonts w:hint="eastAsia"/>
          <w:highlight w:val="none"/>
        </w:rPr>
        <w:t>查验申请主体</w:t>
      </w:r>
      <w:bookmarkEnd w:id="73"/>
    </w:p>
    <w:p>
      <w:pPr>
        <w:pStyle w:val="67"/>
        <w:spacing w:before="156" w:after="156"/>
        <w:ind w:left="0"/>
        <w:rPr>
          <w:highlight w:val="none"/>
        </w:rPr>
      </w:pPr>
      <w:r>
        <w:rPr>
          <w:rFonts w:hint="eastAsia"/>
          <w:highlight w:val="none"/>
        </w:rPr>
        <w:t>查验申请主体是否适格</w:t>
      </w:r>
    </w:p>
    <w:p>
      <w:pPr>
        <w:pStyle w:val="58"/>
        <w:ind w:firstLine="420"/>
        <w:rPr>
          <w:highlight w:val="none"/>
        </w:rPr>
      </w:pPr>
      <w:r>
        <w:rPr>
          <w:rFonts w:hint="eastAsia"/>
          <w:highlight w:val="none"/>
        </w:rPr>
        <w:t>不动产登记机构应查验申请事项由双方共同申请还是单方申请，由全体共有人申请还是部分共有人申请。</w:t>
      </w:r>
    </w:p>
    <w:p>
      <w:pPr>
        <w:pStyle w:val="67"/>
        <w:spacing w:before="156" w:after="156"/>
        <w:ind w:left="0"/>
        <w:rPr>
          <w:highlight w:val="none"/>
        </w:rPr>
      </w:pPr>
      <w:r>
        <w:rPr>
          <w:rFonts w:hint="eastAsia"/>
          <w:highlight w:val="none"/>
        </w:rPr>
        <w:t>查验身份证明</w:t>
      </w:r>
    </w:p>
    <w:p>
      <w:pPr>
        <w:pStyle w:val="58"/>
        <w:ind w:firstLine="420"/>
        <w:rPr>
          <w:highlight w:val="none"/>
        </w:rPr>
      </w:pPr>
      <w:r>
        <w:rPr>
          <w:rFonts w:hint="eastAsia"/>
          <w:highlight w:val="none"/>
        </w:rPr>
        <w:t>申请人与其提交的身份证明指向的主体是否一致：</w:t>
      </w:r>
    </w:p>
    <w:p>
      <w:pPr>
        <w:pStyle w:val="176"/>
        <w:numPr>
          <w:ilvl w:val="0"/>
          <w:numId w:val="49"/>
        </w:numPr>
        <w:rPr>
          <w:highlight w:val="none"/>
        </w:rPr>
      </w:pPr>
      <w:r>
        <w:rPr>
          <w:rFonts w:hint="eastAsia"/>
          <w:highlight w:val="none"/>
        </w:rPr>
        <w:t>可通过部门共享信息、身份证识别器、人脸识别等方式查验身份信息是否真实；</w:t>
      </w:r>
    </w:p>
    <w:p>
      <w:pPr>
        <w:pStyle w:val="176"/>
        <w:numPr>
          <w:ilvl w:val="0"/>
          <w:numId w:val="49"/>
        </w:numPr>
        <w:rPr>
          <w:highlight w:val="none"/>
        </w:rPr>
      </w:pPr>
      <w:r>
        <w:rPr>
          <w:rFonts w:hint="eastAsia"/>
          <w:highlight w:val="none"/>
        </w:rPr>
        <w:t>护照、港澳居民居住证或者来往内地通行证、台湾居民来往大陆通行证等其他身份证明类型是否符合要求。</w:t>
      </w:r>
    </w:p>
    <w:p>
      <w:pPr>
        <w:pStyle w:val="67"/>
        <w:spacing w:before="156" w:after="156"/>
        <w:ind w:left="0"/>
        <w:rPr>
          <w:highlight w:val="none"/>
        </w:rPr>
      </w:pPr>
      <w:r>
        <w:rPr>
          <w:rFonts w:hint="eastAsia"/>
          <w:highlight w:val="none"/>
        </w:rPr>
        <w:t>查验申请材料形式</w:t>
      </w:r>
    </w:p>
    <w:p>
      <w:pPr>
        <w:pStyle w:val="166"/>
        <w:ind w:left="0"/>
        <w:rPr>
          <w:highlight w:val="none"/>
        </w:rPr>
      </w:pPr>
      <w:r>
        <w:rPr>
          <w:rFonts w:hint="eastAsia"/>
          <w:highlight w:val="none"/>
        </w:rPr>
        <w:t>不动产登记机构应查验申请人的身份证明材料规格是否符合</w:t>
      </w:r>
      <w:r>
        <w:rPr>
          <w:rFonts w:hint="eastAsia"/>
          <w:highlight w:val="none"/>
        </w:rPr>
        <w:t xml:space="preserve"> 5.3 </w:t>
      </w:r>
      <w:r>
        <w:rPr>
          <w:rFonts w:hint="eastAsia"/>
          <w:highlight w:val="none"/>
        </w:rPr>
        <w:t>的要求。</w:t>
      </w:r>
    </w:p>
    <w:p>
      <w:pPr>
        <w:pStyle w:val="166"/>
        <w:ind w:left="0"/>
        <w:rPr>
          <w:highlight w:val="none"/>
        </w:rPr>
      </w:pPr>
      <w:r>
        <w:rPr>
          <w:rFonts w:hint="eastAsia"/>
          <w:highlight w:val="none"/>
        </w:rPr>
        <w:t>自然人处分不动产，委托代理人代为申请登记，其授权委托书未经公证的，不动产登记机构工作人员应当按下列要求进行见证，具备技术条件的不动产登记机构应当留存见证过程的照片。</w:t>
      </w:r>
    </w:p>
    <w:p>
      <w:pPr>
        <w:pStyle w:val="176"/>
        <w:numPr>
          <w:ilvl w:val="0"/>
          <w:numId w:val="50"/>
        </w:numPr>
        <w:rPr>
          <w:highlight w:val="none"/>
        </w:rPr>
      </w:pPr>
      <w:r>
        <w:rPr>
          <w:rFonts w:hint="eastAsia"/>
          <w:highlight w:val="none"/>
        </w:rPr>
        <w:t>授权委托书的内容是否明确，本登记事项是否在其委托范围内；</w:t>
      </w:r>
    </w:p>
    <w:p>
      <w:pPr>
        <w:pStyle w:val="58"/>
        <w:ind w:firstLine="420"/>
        <w:rPr>
          <w:highlight w:val="none"/>
        </w:rPr>
      </w:pPr>
      <w:r>
        <w:rPr>
          <w:rFonts w:hint="eastAsia"/>
          <w:highlight w:val="none"/>
        </w:rPr>
        <w:t xml:space="preserve">b)  按 </w:t>
      </w:r>
      <w:r>
        <w:rPr>
          <w:rFonts w:hint="eastAsia"/>
          <w:highlight w:val="none"/>
        </w:rPr>
        <w:t xml:space="preserve">6.3.2 </w:t>
      </w:r>
      <w:r>
        <w:rPr>
          <w:rFonts w:hint="eastAsia"/>
          <w:highlight w:val="none"/>
        </w:rPr>
        <w:t>的要求核验当事人双方的身份证明；</w:t>
      </w:r>
    </w:p>
    <w:p>
      <w:pPr>
        <w:pStyle w:val="58"/>
        <w:ind w:firstLine="420"/>
        <w:rPr>
          <w:highlight w:val="none"/>
        </w:rPr>
      </w:pPr>
      <w:r>
        <w:rPr>
          <w:rFonts w:hint="eastAsia"/>
          <w:highlight w:val="none"/>
        </w:rPr>
        <w:t>c)  由委托人在授权委托书上签字；</w:t>
      </w:r>
    </w:p>
    <w:p>
      <w:pPr>
        <w:pStyle w:val="58"/>
        <w:ind w:firstLine="420"/>
        <w:rPr>
          <w:highlight w:val="none"/>
        </w:rPr>
      </w:pPr>
      <w:r>
        <w:rPr>
          <w:rFonts w:hint="eastAsia"/>
          <w:highlight w:val="none"/>
        </w:rPr>
        <w:t>d)  不动产登记机构工作人员在授权委托书上签字见证。</w:t>
      </w:r>
    </w:p>
    <w:p>
      <w:pPr>
        <w:pStyle w:val="107"/>
        <w:spacing w:before="156" w:after="156"/>
        <w:rPr>
          <w:highlight w:val="none"/>
        </w:rPr>
      </w:pPr>
      <w:bookmarkStart w:id="74" w:name="_Toc29653"/>
      <w:r>
        <w:rPr>
          <w:rFonts w:hint="eastAsia"/>
          <w:highlight w:val="none"/>
        </w:rPr>
        <w:t>查验申请材料</w:t>
      </w:r>
      <w:bookmarkEnd w:id="74"/>
    </w:p>
    <w:p>
      <w:pPr>
        <w:pStyle w:val="67"/>
        <w:spacing w:before="156" w:after="156"/>
        <w:ind w:left="0"/>
        <w:rPr>
          <w:highlight w:val="none"/>
        </w:rPr>
      </w:pPr>
      <w:r>
        <w:rPr>
          <w:rFonts w:hint="eastAsia"/>
          <w:highlight w:val="none"/>
        </w:rPr>
        <w:t>查验申请材料是否齐全一致</w:t>
      </w:r>
    </w:p>
    <w:p>
      <w:pPr>
        <w:pStyle w:val="166"/>
        <w:ind w:left="0"/>
        <w:rPr>
          <w:highlight w:val="none"/>
        </w:rPr>
      </w:pPr>
      <w:r>
        <w:rPr>
          <w:rFonts w:hint="eastAsia"/>
          <w:highlight w:val="none"/>
        </w:rPr>
        <w:t>不动产登记机构应查验当事人提交的申请材料是否齐全，身份证明材料及授权委托书与申请主体、权属来源材料或者申请登记原因文件与申请登记的内容是否一致；不齐全或者不一致的，应当通知申请人进一步提交材料</w:t>
      </w:r>
      <w:r>
        <w:rPr>
          <w:rFonts w:hint="eastAsia"/>
          <w:highlight w:val="none"/>
        </w:rPr>
        <w:t>。申请人一并申请的，不动产登记机构应当一并受理，就不同的登记事项依次分别记载于不动产登记簿的相应簿页。</w:t>
      </w:r>
    </w:p>
    <w:p>
      <w:pPr>
        <w:pStyle w:val="67"/>
        <w:spacing w:before="156" w:after="156"/>
        <w:ind w:left="0"/>
        <w:rPr>
          <w:highlight w:val="none"/>
        </w:rPr>
      </w:pPr>
      <w:r>
        <w:rPr>
          <w:rFonts w:hint="eastAsia"/>
          <w:highlight w:val="none"/>
        </w:rPr>
        <w:t>查验申请材料是否符合法定形式</w:t>
      </w:r>
    </w:p>
    <w:p>
      <w:pPr>
        <w:pStyle w:val="166"/>
        <w:ind w:left="0"/>
        <w:rPr>
          <w:highlight w:val="none"/>
        </w:rPr>
      </w:pPr>
      <w:r>
        <w:rPr>
          <w:rFonts w:hint="eastAsia"/>
          <w:highlight w:val="none"/>
        </w:rPr>
        <w:t>不动产登记机构应查验申请人的申请材料规格是否符合</w:t>
      </w:r>
      <w:r>
        <w:rPr>
          <w:rFonts w:hint="eastAsia"/>
          <w:highlight w:val="none"/>
        </w:rPr>
        <w:t xml:space="preserve"> 5.3 </w:t>
      </w:r>
      <w:r>
        <w:rPr>
          <w:rFonts w:hint="eastAsia"/>
          <w:highlight w:val="none"/>
        </w:rPr>
        <w:t>的要求；</w:t>
      </w:r>
      <w:r>
        <w:rPr>
          <w:rFonts w:hint="eastAsia"/>
          <w:highlight w:val="none"/>
          <w:lang w:eastAsia="zh-CN"/>
        </w:rPr>
        <w:t>提交</w:t>
      </w:r>
      <w:r>
        <w:rPr>
          <w:rFonts w:hint="eastAsia"/>
          <w:highlight w:val="none"/>
        </w:rPr>
        <w:t>材料是否由有权部门出具，是否在规定的有效期限内，签字和盖章是否符合规定。</w:t>
      </w:r>
    </w:p>
    <w:p>
      <w:pPr>
        <w:pStyle w:val="166"/>
        <w:ind w:left="0"/>
        <w:rPr>
          <w:highlight w:val="none"/>
        </w:rPr>
      </w:pPr>
      <w:r>
        <w:rPr>
          <w:rFonts w:hint="eastAsia"/>
          <w:highlight w:val="none"/>
        </w:rPr>
        <w:t>不动产登记机构应查验不动产权证书或者不动产登记证明是否真实、有效。对提交伪造、变造、无效的不动产权证书或者不动产登记证明的，不动产登记机构应当依法予以收缴、收回。属于伪造、变造的，不动产登记机构还应及时通知公安机关。</w:t>
      </w:r>
    </w:p>
    <w:p>
      <w:pPr>
        <w:pStyle w:val="166"/>
        <w:ind w:left="0"/>
        <w:rPr>
          <w:highlight w:val="none"/>
        </w:rPr>
      </w:pPr>
      <w:r>
        <w:rPr>
          <w:rFonts w:hint="eastAsia"/>
          <w:highlight w:val="none"/>
        </w:rPr>
        <w:t>申请人提交虚假材料或者伪造、变造的不动产权证书或者不动产登记证明以及隐瞒真实情况的，不动产登记机构应将该行为记入不动产登记申请诚信记录档案。</w:t>
      </w:r>
    </w:p>
    <w:p>
      <w:pPr>
        <w:pStyle w:val="67"/>
        <w:spacing w:before="156" w:after="156"/>
        <w:ind w:left="0"/>
        <w:rPr>
          <w:highlight w:val="none"/>
        </w:rPr>
      </w:pPr>
      <w:r>
        <w:rPr>
          <w:rFonts w:hint="eastAsia"/>
          <w:highlight w:val="none"/>
        </w:rPr>
        <w:t>申请材料确认</w:t>
      </w:r>
    </w:p>
    <w:p>
      <w:pPr>
        <w:pStyle w:val="58"/>
        <w:ind w:firstLine="420"/>
        <w:rPr>
          <w:highlight w:val="none"/>
        </w:rPr>
      </w:pPr>
      <w:r>
        <w:rPr>
          <w:rFonts w:hint="eastAsia"/>
          <w:highlight w:val="none"/>
        </w:rPr>
        <w:t>申请人应采取下列方式对不动产登记申请书及有关申请材料进行确认：</w:t>
      </w:r>
    </w:p>
    <w:p>
      <w:pPr>
        <w:pStyle w:val="176"/>
        <w:numPr>
          <w:ilvl w:val="0"/>
          <w:numId w:val="51"/>
        </w:numPr>
        <w:rPr>
          <w:highlight w:val="none"/>
        </w:rPr>
      </w:pPr>
      <w:r>
        <w:rPr>
          <w:rFonts w:hint="eastAsia"/>
          <w:highlight w:val="none"/>
        </w:rPr>
        <w:t>自然人签名并按指印。无民事行为能力人或者限制民事行为能力人由监护人签名并按指印；没有听写能力的，按指印确认；</w:t>
      </w:r>
    </w:p>
    <w:p>
      <w:pPr>
        <w:pStyle w:val="176"/>
        <w:numPr>
          <w:ilvl w:val="0"/>
          <w:numId w:val="51"/>
        </w:numPr>
        <w:rPr>
          <w:highlight w:val="none"/>
        </w:rPr>
      </w:pPr>
      <w:r>
        <w:rPr>
          <w:rFonts w:hint="eastAsia"/>
          <w:highlight w:val="none"/>
        </w:rPr>
        <w:t>法人或者非法人组织加盖法人或者非法人组织印章。</w:t>
      </w:r>
    </w:p>
    <w:p>
      <w:pPr>
        <w:pStyle w:val="107"/>
        <w:spacing w:before="156" w:after="156"/>
        <w:rPr>
          <w:highlight w:val="none"/>
        </w:rPr>
      </w:pPr>
      <w:bookmarkStart w:id="75" w:name="_Toc15522"/>
      <w:r>
        <w:rPr>
          <w:rFonts w:hint="eastAsia"/>
          <w:highlight w:val="none"/>
        </w:rPr>
        <w:t>询问</w:t>
      </w:r>
      <w:r>
        <w:rPr>
          <w:rFonts w:hint="eastAsia"/>
          <w:highlight w:val="none"/>
          <w:lang w:eastAsia="zh-CN"/>
        </w:rPr>
        <w:t>登记事项</w:t>
      </w:r>
      <w:bookmarkEnd w:id="75"/>
    </w:p>
    <w:p>
      <w:pPr>
        <w:pStyle w:val="67"/>
        <w:spacing w:before="156" w:after="156"/>
        <w:ind w:left="0"/>
        <w:rPr>
          <w:highlight w:val="none"/>
        </w:rPr>
      </w:pPr>
      <w:r>
        <w:rPr>
          <w:rFonts w:hint="eastAsia"/>
          <w:highlight w:val="none"/>
        </w:rPr>
        <w:t>询问内容</w:t>
      </w:r>
    </w:p>
    <w:p>
      <w:pPr>
        <w:pStyle w:val="58"/>
        <w:ind w:firstLine="420"/>
        <w:rPr>
          <w:highlight w:val="none"/>
        </w:rPr>
      </w:pPr>
      <w:r>
        <w:rPr>
          <w:rFonts w:hint="eastAsia"/>
          <w:highlight w:val="none"/>
        </w:rPr>
        <w:t>不动产登记应严格履行询问回答告知程序，不动产登记机构应根据不同的申请登记事项询问申请 人以下内容，以进一步了解有关情况。询问内容应明确具体，且关系不动产登记风险，回答选项宜设置 为“是”或“否”，不动产登记机构应根据申请人的真实回答制作询问记录：</w:t>
      </w:r>
    </w:p>
    <w:p>
      <w:pPr>
        <w:pStyle w:val="176"/>
        <w:numPr>
          <w:ilvl w:val="0"/>
          <w:numId w:val="52"/>
        </w:numPr>
        <w:rPr>
          <w:highlight w:val="none"/>
        </w:rPr>
      </w:pPr>
      <w:r>
        <w:rPr>
          <w:rFonts w:hint="eastAsia"/>
          <w:highlight w:val="none"/>
        </w:rPr>
        <w:t>申请登记的事项是否是申请人的真实意思表示；</w:t>
      </w:r>
    </w:p>
    <w:p>
      <w:pPr>
        <w:pStyle w:val="58"/>
        <w:ind w:firstLine="420"/>
        <w:rPr>
          <w:highlight w:val="none"/>
        </w:rPr>
      </w:pPr>
      <w:r>
        <w:rPr>
          <w:rFonts w:hint="eastAsia"/>
          <w:highlight w:val="none"/>
        </w:rPr>
        <w:t>b)  申请登记的不动产是否存在共有人；</w:t>
      </w:r>
    </w:p>
    <w:p>
      <w:pPr>
        <w:pStyle w:val="58"/>
        <w:ind w:firstLine="420"/>
        <w:rPr>
          <w:highlight w:val="none"/>
        </w:rPr>
      </w:pPr>
      <w:r>
        <w:rPr>
          <w:rFonts w:hint="eastAsia"/>
          <w:highlight w:val="none"/>
        </w:rPr>
        <w:t>c)  存在异议登记的，申请人是否知悉存在异议登记的情况；</w:t>
      </w:r>
    </w:p>
    <w:p>
      <w:pPr>
        <w:pStyle w:val="58"/>
        <w:ind w:firstLine="420"/>
        <w:rPr>
          <w:highlight w:val="none"/>
        </w:rPr>
      </w:pPr>
      <w:r>
        <w:rPr>
          <w:rFonts w:hint="eastAsia"/>
          <w:highlight w:val="none"/>
        </w:rPr>
        <w:t>d)  不动产登记机构需要了解的其他与登记有关的内容。</w:t>
      </w:r>
    </w:p>
    <w:p>
      <w:pPr>
        <w:pStyle w:val="67"/>
        <w:spacing w:before="156" w:after="156"/>
        <w:ind w:left="0"/>
        <w:rPr>
          <w:highlight w:val="none"/>
        </w:rPr>
      </w:pPr>
      <w:r>
        <w:rPr>
          <w:rFonts w:hint="eastAsia"/>
          <w:highlight w:val="none"/>
        </w:rPr>
        <w:t>询问记录</w:t>
      </w:r>
    </w:p>
    <w:p>
      <w:pPr>
        <w:pStyle w:val="58"/>
        <w:ind w:firstLine="420"/>
        <w:rPr>
          <w:highlight w:val="none"/>
        </w:rPr>
      </w:pPr>
      <w:r>
        <w:rPr>
          <w:rFonts w:hint="eastAsia"/>
          <w:highlight w:val="none"/>
        </w:rPr>
        <w:t>询问记录应当由被询问人按6.4.3规定的方式确认。</w:t>
      </w:r>
    </w:p>
    <w:p>
      <w:pPr>
        <w:pStyle w:val="176"/>
        <w:numPr>
          <w:ilvl w:val="0"/>
          <w:numId w:val="53"/>
        </w:numPr>
        <w:rPr>
          <w:highlight w:val="none"/>
        </w:rPr>
      </w:pPr>
      <w:r>
        <w:rPr>
          <w:rFonts w:hint="eastAsia"/>
          <w:highlight w:val="none"/>
        </w:rPr>
        <w:t>因处分不动产申请登记且存在异议登记的，受让方应当签署已知悉存在异议登记并自行承担 风险的书面承诺；</w:t>
      </w:r>
    </w:p>
    <w:p>
      <w:pPr>
        <w:pStyle w:val="176"/>
        <w:numPr>
          <w:ilvl w:val="0"/>
          <w:numId w:val="53"/>
        </w:numPr>
        <w:rPr>
          <w:highlight w:val="none"/>
        </w:rPr>
      </w:pPr>
      <w:r>
        <w:rPr>
          <w:rFonts w:hint="eastAsia"/>
          <w:highlight w:val="none"/>
        </w:rPr>
        <w:t>申请材料符合告知承诺制范围的，由申请人出具相关事项书面承诺；</w:t>
      </w:r>
    </w:p>
    <w:p>
      <w:pPr>
        <w:pStyle w:val="176"/>
        <w:numPr>
          <w:ilvl w:val="0"/>
          <w:numId w:val="53"/>
        </w:numPr>
        <w:rPr>
          <w:highlight w:val="none"/>
        </w:rPr>
      </w:pPr>
      <w:r>
        <w:rPr>
          <w:rFonts w:hint="eastAsia"/>
          <w:highlight w:val="none"/>
        </w:rPr>
        <w:t>不动产登记机构应当核对询问记录与申请人提交的申请登记材料、申请登记事项之间是否一 致。</w:t>
      </w:r>
    </w:p>
    <w:p>
      <w:pPr>
        <w:pStyle w:val="107"/>
        <w:spacing w:before="156" w:after="156"/>
        <w:rPr>
          <w:highlight w:val="none"/>
        </w:rPr>
      </w:pPr>
      <w:bookmarkStart w:id="76" w:name="_Toc25667"/>
      <w:r>
        <w:rPr>
          <w:rFonts w:hint="eastAsia"/>
          <w:highlight w:val="none"/>
          <w:lang w:eastAsia="zh-CN"/>
        </w:rPr>
        <w:t>出具</w:t>
      </w:r>
      <w:r>
        <w:rPr>
          <w:rFonts w:hint="eastAsia"/>
          <w:highlight w:val="none"/>
        </w:rPr>
        <w:t>受理结果</w:t>
      </w:r>
      <w:bookmarkEnd w:id="76"/>
    </w:p>
    <w:p>
      <w:pPr>
        <w:pStyle w:val="67"/>
        <w:spacing w:before="156" w:after="156"/>
        <w:ind w:left="0"/>
        <w:rPr>
          <w:highlight w:val="none"/>
        </w:rPr>
      </w:pPr>
      <w:r>
        <w:rPr>
          <w:rFonts w:hint="eastAsia"/>
          <w:highlight w:val="none"/>
          <w:lang w:eastAsia="zh-CN"/>
        </w:rPr>
        <w:t>出具受理凭证</w:t>
      </w:r>
    </w:p>
    <w:p>
      <w:pPr>
        <w:pStyle w:val="58"/>
        <w:ind w:firstLine="420"/>
        <w:rPr>
          <w:rFonts w:hint="eastAsia"/>
          <w:highlight w:val="none"/>
          <w:lang w:eastAsia="zh-CN"/>
        </w:rPr>
      </w:pPr>
      <w:r>
        <w:rPr>
          <w:rFonts w:hint="eastAsia"/>
          <w:highlight w:val="none"/>
        </w:rPr>
        <w:t>经查验或者询问，</w:t>
      </w:r>
      <w:r>
        <w:rPr>
          <w:rFonts w:hint="eastAsia"/>
          <w:highlight w:val="none"/>
          <w:lang w:eastAsia="zh-CN"/>
        </w:rPr>
        <w:t>符合下列要求的，</w:t>
      </w:r>
      <w:r>
        <w:rPr>
          <w:rFonts w:hint="eastAsia"/>
          <w:highlight w:val="none"/>
        </w:rPr>
        <w:t>不动产登记机构应即时出具受理凭证</w:t>
      </w:r>
      <w:r>
        <w:rPr>
          <w:rFonts w:hint="eastAsia"/>
          <w:highlight w:val="none"/>
          <w:lang w:eastAsia="zh-CN"/>
        </w:rPr>
        <w:t>，</w:t>
      </w:r>
      <w:r>
        <w:rPr>
          <w:rFonts w:hint="eastAsia"/>
          <w:highlight w:val="none"/>
        </w:rPr>
        <w:t>受理凭证上记载的日期为登记申请受理日</w:t>
      </w:r>
      <w:r>
        <w:rPr>
          <w:rFonts w:hint="eastAsia"/>
          <w:highlight w:val="none"/>
          <w:lang w:eastAsia="zh-CN"/>
        </w:rPr>
        <w:t>：</w:t>
      </w:r>
    </w:p>
    <w:p>
      <w:pPr>
        <w:pStyle w:val="58"/>
        <w:ind w:firstLine="420"/>
        <w:rPr>
          <w:highlight w:val="none"/>
        </w:rPr>
      </w:pPr>
      <w:r>
        <w:rPr>
          <w:rFonts w:hint="eastAsia"/>
          <w:highlight w:val="none"/>
        </w:rPr>
        <w:t>a)  申请登记事项在本不动产登记机构的登记职责范围内；</w:t>
      </w:r>
    </w:p>
    <w:p>
      <w:pPr>
        <w:pStyle w:val="58"/>
        <w:ind w:firstLine="420"/>
        <w:rPr>
          <w:highlight w:val="none"/>
        </w:rPr>
      </w:pPr>
      <w:r>
        <w:rPr>
          <w:rFonts w:hint="eastAsia"/>
          <w:highlight w:val="none"/>
        </w:rPr>
        <w:t>b)  申请材料形式符合要求；</w:t>
      </w:r>
    </w:p>
    <w:p>
      <w:pPr>
        <w:pStyle w:val="58"/>
        <w:ind w:firstLine="420"/>
        <w:rPr>
          <w:highlight w:val="none"/>
        </w:rPr>
      </w:pPr>
      <w:r>
        <w:rPr>
          <w:rFonts w:hint="eastAsia"/>
          <w:highlight w:val="none"/>
        </w:rPr>
        <w:t>c)  申请人与依法应当提交的申请材料记载的主体一致；</w:t>
      </w:r>
    </w:p>
    <w:p>
      <w:pPr>
        <w:pStyle w:val="58"/>
        <w:ind w:firstLine="420"/>
        <w:rPr>
          <w:highlight w:val="none"/>
        </w:rPr>
      </w:pPr>
      <w:r>
        <w:rPr>
          <w:rFonts w:hint="eastAsia"/>
          <w:highlight w:val="none"/>
        </w:rPr>
        <w:t>d)  申请登记的不动产权利与登记原因文件记载的不动产权利一致；</w:t>
      </w:r>
    </w:p>
    <w:p>
      <w:pPr>
        <w:pStyle w:val="58"/>
        <w:ind w:firstLine="420"/>
        <w:rPr>
          <w:highlight w:val="none"/>
        </w:rPr>
      </w:pPr>
      <w:r>
        <w:rPr>
          <w:rFonts w:hint="eastAsia"/>
          <w:highlight w:val="none"/>
        </w:rPr>
        <w:t>e)  申请内容与询问记录不冲突；</w:t>
      </w:r>
    </w:p>
    <w:p>
      <w:pPr>
        <w:pStyle w:val="58"/>
        <w:ind w:firstLine="420"/>
        <w:rPr>
          <w:highlight w:val="none"/>
        </w:rPr>
      </w:pPr>
      <w:r>
        <w:rPr>
          <w:rFonts w:hint="eastAsia"/>
          <w:highlight w:val="none"/>
        </w:rPr>
        <w:t>f)  法律、行政法规等规定的其他条件。</w:t>
      </w:r>
    </w:p>
    <w:p>
      <w:pPr>
        <w:pStyle w:val="67"/>
        <w:spacing w:before="156" w:after="156"/>
        <w:ind w:left="0"/>
        <w:rPr>
          <w:highlight w:val="none"/>
        </w:rPr>
      </w:pPr>
      <w:r>
        <w:rPr>
          <w:rFonts w:hint="eastAsia"/>
          <w:highlight w:val="none"/>
          <w:lang w:eastAsia="zh-CN"/>
        </w:rPr>
        <w:t>出具不予</w:t>
      </w:r>
      <w:r>
        <w:rPr>
          <w:rFonts w:hint="eastAsia"/>
          <w:highlight w:val="none"/>
        </w:rPr>
        <w:t>受理</w:t>
      </w:r>
      <w:r>
        <w:rPr>
          <w:rFonts w:hint="eastAsia"/>
          <w:highlight w:val="none"/>
          <w:lang w:eastAsia="zh-CN"/>
        </w:rPr>
        <w:t>告知书</w:t>
      </w:r>
    </w:p>
    <w:p>
      <w:pPr>
        <w:pStyle w:val="166"/>
        <w:numPr>
          <w:ilvl w:val="4"/>
          <w:numId w:val="0"/>
        </w:numPr>
        <w:ind w:leftChars="0" w:firstLine="420" w:firstLineChars="200"/>
        <w:rPr>
          <w:highlight w:val="none"/>
        </w:rPr>
      </w:pPr>
      <w:r>
        <w:rPr>
          <w:rFonts w:hint="eastAsia"/>
          <w:highlight w:val="none"/>
        </w:rPr>
        <w:t>经查验或者询问，</w:t>
      </w:r>
      <w:r>
        <w:rPr>
          <w:rFonts w:hint="eastAsia"/>
          <w:highlight w:val="none"/>
          <w:lang w:eastAsia="zh-CN"/>
        </w:rPr>
        <w:t>不符合</w:t>
      </w:r>
      <w:r>
        <w:rPr>
          <w:rFonts w:hint="eastAsia"/>
          <w:highlight w:val="none"/>
          <w:lang w:val="en-US" w:eastAsia="zh-CN"/>
        </w:rPr>
        <w:t>6.6.1中任意一项要求的，</w:t>
      </w:r>
      <w:r>
        <w:rPr>
          <w:rFonts w:hint="eastAsia"/>
          <w:highlight w:val="none"/>
        </w:rPr>
        <w:t>不动产登记机构应当场向申请人出具不予受理告知书，将申请材料复印留存后退回申请人。</w:t>
      </w:r>
    </w:p>
    <w:p>
      <w:pPr>
        <w:pStyle w:val="67"/>
        <w:spacing w:before="156" w:after="156"/>
        <w:ind w:left="0"/>
        <w:rPr>
          <w:highlight w:val="none"/>
        </w:rPr>
      </w:pPr>
      <w:r>
        <w:rPr>
          <w:rFonts w:hint="eastAsia"/>
          <w:highlight w:val="none"/>
          <w:lang w:eastAsia="zh-CN"/>
        </w:rPr>
        <w:t>出具</w:t>
      </w:r>
      <w:r>
        <w:rPr>
          <w:rFonts w:hint="eastAsia"/>
          <w:highlight w:val="none"/>
        </w:rPr>
        <w:t>材料补正</w:t>
      </w:r>
      <w:r>
        <w:rPr>
          <w:rFonts w:hint="eastAsia"/>
          <w:highlight w:val="none"/>
          <w:lang w:eastAsia="zh-CN"/>
        </w:rPr>
        <w:t>告知书</w:t>
      </w:r>
    </w:p>
    <w:p>
      <w:pPr>
        <w:pStyle w:val="58"/>
        <w:ind w:firstLine="420"/>
        <w:rPr>
          <w:rFonts w:hint="eastAsia"/>
          <w:highlight w:val="none"/>
        </w:rPr>
      </w:pPr>
      <w:r>
        <w:rPr>
          <w:rFonts w:hint="eastAsia"/>
          <w:highlight w:val="none"/>
        </w:rPr>
        <w:t>申请人提交的申请材料不齐全或者不符合法定形式的，不动产登记机构应当场书面告知申请人不予受理并一次性告知需要补正的全部内容。告知书一式二份，经申请人签字确认后，一份交申请人， 一份由不动产登记机构留存。</w:t>
      </w:r>
    </w:p>
    <w:p>
      <w:pPr>
        <w:pStyle w:val="67"/>
        <w:spacing w:before="156" w:after="156"/>
        <w:ind w:left="0"/>
        <w:rPr>
          <w:highlight w:val="none"/>
        </w:rPr>
      </w:pPr>
      <w:r>
        <w:rPr>
          <w:rFonts w:hint="eastAsia"/>
          <w:highlight w:val="none"/>
          <w:lang w:eastAsia="zh-CN"/>
        </w:rPr>
        <w:t>撤回登记的处理</w:t>
      </w:r>
    </w:p>
    <w:p>
      <w:pPr>
        <w:pStyle w:val="67"/>
        <w:numPr>
          <w:ilvl w:val="4"/>
          <w:numId w:val="54"/>
        </w:numPr>
        <w:bidi w:val="0"/>
        <w:ind w:left="0" w:leftChars="0" w:firstLine="0" w:firstLineChars="0"/>
        <w:rPr>
          <w:rFonts w:hint="eastAsia" w:ascii="宋体" w:hAnsi="Times New Roman" w:eastAsia="宋体" w:cs="Times New Roman"/>
          <w:sz w:val="21"/>
          <w:highlight w:val="none"/>
          <w:lang w:val="en-US" w:eastAsia="zh-CN" w:bidi="ar-SA"/>
        </w:rPr>
      </w:pPr>
      <w:r>
        <w:rPr>
          <w:rFonts w:hint="eastAsia" w:ascii="宋体" w:hAnsi="Times New Roman" w:eastAsia="宋体" w:cs="Times New Roman"/>
          <w:sz w:val="21"/>
          <w:highlight w:val="none"/>
          <w:lang w:val="en-US" w:eastAsia="zh-CN" w:bidi="ar-SA"/>
        </w:rPr>
        <w:t>不动产登记机构在收到撤回申请时</w:t>
      </w:r>
      <w:r>
        <w:rPr>
          <w:rFonts w:hint="eastAsia" w:ascii="宋体" w:eastAsia="宋体" w:cs="Times New Roman"/>
          <w:sz w:val="21"/>
          <w:highlight w:val="none"/>
          <w:lang w:val="en-US" w:eastAsia="zh-CN" w:bidi="ar-SA"/>
        </w:rPr>
        <w:t>应</w:t>
      </w:r>
      <w:r>
        <w:rPr>
          <w:rFonts w:hint="eastAsia" w:ascii="宋体" w:hAnsi="Times New Roman" w:eastAsia="宋体" w:cs="Times New Roman"/>
          <w:sz w:val="21"/>
          <w:highlight w:val="none"/>
          <w:lang w:val="en-US" w:eastAsia="zh-CN" w:bidi="ar-SA"/>
        </w:rPr>
        <w:t>查阅不动产登记簿，当事人申请撤回的登记事项已经在不动产登记簿记载的，不予撤回；未在不动产登记簿上记载的，应当准予撤回。</w:t>
      </w:r>
    </w:p>
    <w:p>
      <w:pPr>
        <w:pStyle w:val="166"/>
        <w:numPr>
          <w:ilvl w:val="4"/>
          <w:numId w:val="54"/>
        </w:numPr>
        <w:ind w:left="0"/>
        <w:rPr>
          <w:highlight w:val="none"/>
        </w:rPr>
      </w:pPr>
      <w:r>
        <w:rPr>
          <w:rFonts w:hint="eastAsia"/>
          <w:highlight w:val="none"/>
        </w:rPr>
        <w:t>不动产登记机构准予撤回登记申请的， 申请人应及时取回原登记申请材料，取回材料的清单 应当由申请人签字确认。撤回登记申请的材料、取回材料的清单应一并归档保留。</w:t>
      </w:r>
    </w:p>
    <w:p>
      <w:pPr>
        <w:pStyle w:val="106"/>
        <w:numPr>
          <w:ilvl w:val="1"/>
          <w:numId w:val="54"/>
        </w:numPr>
        <w:spacing w:before="312" w:after="312"/>
        <w:rPr>
          <w:highlight w:val="none"/>
        </w:rPr>
      </w:pPr>
      <w:bookmarkStart w:id="77" w:name="_Toc17268"/>
      <w:r>
        <w:rPr>
          <w:rFonts w:hint="eastAsia"/>
          <w:highlight w:val="none"/>
        </w:rPr>
        <w:t>审核</w:t>
      </w:r>
      <w:bookmarkEnd w:id="77"/>
    </w:p>
    <w:p>
      <w:pPr>
        <w:pStyle w:val="107"/>
        <w:numPr>
          <w:ilvl w:val="2"/>
          <w:numId w:val="54"/>
        </w:numPr>
        <w:spacing w:before="156" w:after="156"/>
        <w:rPr>
          <w:highlight w:val="none"/>
        </w:rPr>
      </w:pPr>
      <w:bookmarkStart w:id="78" w:name="_Toc20244"/>
      <w:r>
        <w:rPr>
          <w:rFonts w:hint="eastAsia"/>
          <w:highlight w:val="none"/>
        </w:rPr>
        <w:t>适用</w:t>
      </w:r>
      <w:bookmarkEnd w:id="78"/>
    </w:p>
    <w:p>
      <w:pPr>
        <w:pStyle w:val="167"/>
        <w:numPr>
          <w:ilvl w:val="3"/>
          <w:numId w:val="0"/>
        </w:numPr>
        <w:ind w:leftChars="0" w:firstLine="420" w:firstLineChars="200"/>
        <w:rPr>
          <w:highlight w:val="none"/>
        </w:rPr>
      </w:pPr>
      <w:r>
        <w:rPr>
          <w:rFonts w:hint="eastAsia"/>
          <w:highlight w:val="none"/>
        </w:rPr>
        <w:t>不动产登记机构受理申请人的申请后，根据申请登记事项，按照有关法律、行政法规对申请事项及申请材料做进一步审查，并决定是否予以登记。</w:t>
      </w:r>
    </w:p>
    <w:p>
      <w:pPr>
        <w:pStyle w:val="107"/>
        <w:numPr>
          <w:ilvl w:val="2"/>
          <w:numId w:val="54"/>
        </w:numPr>
        <w:spacing w:before="156" w:after="156"/>
        <w:rPr>
          <w:highlight w:val="none"/>
        </w:rPr>
      </w:pPr>
      <w:bookmarkStart w:id="79" w:name="_Toc28235"/>
      <w:r>
        <w:rPr>
          <w:rFonts w:hint="eastAsia"/>
          <w:highlight w:val="none"/>
        </w:rPr>
        <w:t>申请材料审核</w:t>
      </w:r>
      <w:bookmarkEnd w:id="79"/>
    </w:p>
    <w:p>
      <w:pPr>
        <w:pStyle w:val="167"/>
        <w:numPr>
          <w:ilvl w:val="3"/>
          <w:numId w:val="54"/>
        </w:numPr>
        <w:ind w:left="0"/>
        <w:rPr>
          <w:highlight w:val="none"/>
        </w:rPr>
      </w:pPr>
      <w:r>
        <w:rPr>
          <w:rFonts w:hint="eastAsia"/>
          <w:highlight w:val="none"/>
        </w:rPr>
        <w:t>不动产登记机构应审查申请登记的事项与登记原因文件、权属来源材料以及其他有关材料所证明的内容是否一致。</w:t>
      </w:r>
    </w:p>
    <w:p>
      <w:pPr>
        <w:pStyle w:val="167"/>
        <w:numPr>
          <w:ilvl w:val="3"/>
          <w:numId w:val="54"/>
        </w:numPr>
        <w:ind w:left="0"/>
        <w:rPr>
          <w:highlight w:val="none"/>
        </w:rPr>
      </w:pPr>
      <w:r>
        <w:rPr>
          <w:rFonts w:hint="eastAsia"/>
          <w:highlight w:val="none"/>
          <w:lang w:eastAsia="zh-CN"/>
        </w:rPr>
        <w:t>依嘱托登记情形下，</w:t>
      </w:r>
      <w:r>
        <w:rPr>
          <w:rFonts w:hint="eastAsia"/>
          <w:highlight w:val="none"/>
        </w:rPr>
        <w:t>不动产登记机构接收嘱托文件后，应审查嘱托机关送达人的工作证和执行公务证，嘱托文件是否齐全、是否符合规定，嘱托事项是否清晰。不动产登记机构不对嘱托机关送达的嘱托文件进行实体审查。不动产登记机构认为登记事项存在异议的，可以向嘱托机关提出审查建议，但不应当停止办理登记。</w:t>
      </w:r>
    </w:p>
    <w:p>
      <w:pPr>
        <w:pStyle w:val="167"/>
        <w:numPr>
          <w:ilvl w:val="3"/>
          <w:numId w:val="54"/>
        </w:numPr>
        <w:ind w:left="0"/>
        <w:rPr>
          <w:highlight w:val="none"/>
        </w:rPr>
      </w:pPr>
      <w:r>
        <w:rPr>
          <w:rFonts w:hint="eastAsia"/>
          <w:highlight w:val="none"/>
          <w:lang w:eastAsia="zh-CN"/>
        </w:rPr>
        <w:t>依职权登记情形下，</w:t>
      </w:r>
      <w:r>
        <w:rPr>
          <w:rFonts w:ascii="宋体" w:hAnsi="宋体" w:eastAsia="宋体" w:cs="宋体"/>
          <w:spacing w:val="-3"/>
          <w:sz w:val="21"/>
          <w:szCs w:val="21"/>
          <w:highlight w:val="none"/>
        </w:rPr>
        <w:t>不动产登记机构启动更正登记程序后，</w:t>
      </w:r>
      <w:r>
        <w:rPr>
          <w:rFonts w:hint="eastAsia" w:hAnsi="宋体" w:cs="宋体"/>
          <w:spacing w:val="-3"/>
          <w:sz w:val="21"/>
          <w:szCs w:val="21"/>
          <w:highlight w:val="none"/>
          <w:lang w:eastAsia="zh-CN"/>
        </w:rPr>
        <w:t>应审查</w:t>
      </w:r>
      <w:r>
        <w:rPr>
          <w:rFonts w:ascii="宋体" w:hAnsi="宋体" w:eastAsia="宋体" w:cs="宋体"/>
          <w:spacing w:val="-1"/>
          <w:sz w:val="21"/>
          <w:szCs w:val="21"/>
          <w:highlight w:val="none"/>
        </w:rPr>
        <w:t>是否已书面通知相关权利人在规定期限内</w:t>
      </w:r>
      <w:r>
        <w:rPr>
          <w:rFonts w:ascii="宋体" w:hAnsi="宋体" w:eastAsia="宋体" w:cs="宋体"/>
          <w:spacing w:val="-2"/>
          <w:sz w:val="21"/>
          <w:szCs w:val="21"/>
          <w:highlight w:val="none"/>
        </w:rPr>
        <w:t>申请办理更正登记，而当事人逾期</w:t>
      </w:r>
      <w:r>
        <w:rPr>
          <w:rFonts w:ascii="宋体" w:hAnsi="宋体" w:eastAsia="宋体" w:cs="宋体"/>
          <w:spacing w:val="-1"/>
          <w:sz w:val="21"/>
          <w:szCs w:val="21"/>
          <w:highlight w:val="none"/>
        </w:rPr>
        <w:t>不申请办理</w:t>
      </w:r>
      <w:r>
        <w:rPr>
          <w:rFonts w:hint="eastAsia" w:hAnsi="宋体" w:cs="宋体"/>
          <w:spacing w:val="-1"/>
          <w:sz w:val="21"/>
          <w:szCs w:val="21"/>
          <w:highlight w:val="none"/>
          <w:lang w:eastAsia="zh-CN"/>
        </w:rPr>
        <w:t>；</w:t>
      </w:r>
      <w:r>
        <w:rPr>
          <w:rFonts w:ascii="宋体" w:hAnsi="宋体" w:eastAsia="宋体" w:cs="宋体"/>
          <w:spacing w:val="-1"/>
          <w:sz w:val="21"/>
          <w:szCs w:val="21"/>
          <w:highlight w:val="none"/>
        </w:rPr>
        <w:t>登记材料或者有效的法律文件是否能证实不动产登记簿记载错</w:t>
      </w:r>
      <w:r>
        <w:rPr>
          <w:rFonts w:ascii="宋体" w:hAnsi="宋体" w:eastAsia="宋体" w:cs="宋体"/>
          <w:spacing w:val="-2"/>
          <w:sz w:val="21"/>
          <w:szCs w:val="21"/>
          <w:highlight w:val="none"/>
        </w:rPr>
        <w:t>误；</w:t>
      </w:r>
      <w:r>
        <w:rPr>
          <w:rFonts w:ascii="宋体" w:hAnsi="宋体" w:eastAsia="宋体" w:cs="宋体"/>
          <w:sz w:val="21"/>
          <w:szCs w:val="21"/>
          <w:highlight w:val="none"/>
        </w:rPr>
        <w:t>在错误登记之后是否已经办理了涉及不动产权利处分的登记、预告登记和查封登记</w:t>
      </w:r>
      <w:r>
        <w:rPr>
          <w:rFonts w:hint="eastAsia" w:ascii="宋体" w:hAnsi="宋体" w:eastAsia="宋体" w:cs="宋体"/>
          <w:sz w:val="21"/>
          <w:szCs w:val="21"/>
          <w:highlight w:val="none"/>
          <w:lang w:eastAsia="zh-CN"/>
        </w:rPr>
        <w:t>；</w:t>
      </w:r>
      <w:r>
        <w:rPr>
          <w:rFonts w:ascii="宋体" w:hAnsi="宋体" w:eastAsia="宋体" w:cs="宋体"/>
          <w:sz w:val="21"/>
          <w:szCs w:val="21"/>
          <w:highlight w:val="none"/>
        </w:rPr>
        <w:t>书面通知的送达对象、期限及时间是否符合规</w:t>
      </w:r>
      <w:r>
        <w:rPr>
          <w:rFonts w:hint="eastAsia" w:hAnsi="宋体" w:cs="宋体"/>
          <w:sz w:val="21"/>
          <w:szCs w:val="21"/>
          <w:highlight w:val="none"/>
          <w:lang w:eastAsia="zh-CN"/>
        </w:rPr>
        <w:t>定；</w:t>
      </w:r>
      <w:r>
        <w:rPr>
          <w:rFonts w:ascii="宋体" w:hAnsi="宋体" w:eastAsia="宋体" w:cs="宋体"/>
          <w:spacing w:val="-1"/>
          <w:sz w:val="21"/>
          <w:szCs w:val="21"/>
          <w:highlight w:val="none"/>
        </w:rPr>
        <w:t>是否已按规定进行公告</w:t>
      </w:r>
      <w:r>
        <w:rPr>
          <w:rFonts w:hint="eastAsia" w:hAnsi="宋体" w:cs="宋体"/>
          <w:spacing w:val="-1"/>
          <w:sz w:val="21"/>
          <w:szCs w:val="21"/>
          <w:highlight w:val="none"/>
          <w:lang w:eastAsia="zh-CN"/>
        </w:rPr>
        <w:t>。</w:t>
      </w:r>
    </w:p>
    <w:p>
      <w:pPr>
        <w:pStyle w:val="167"/>
        <w:numPr>
          <w:ilvl w:val="3"/>
          <w:numId w:val="54"/>
        </w:numPr>
        <w:ind w:left="0"/>
        <w:rPr>
          <w:highlight w:val="none"/>
        </w:rPr>
      </w:pPr>
      <w:r>
        <w:rPr>
          <w:rFonts w:hint="eastAsia"/>
          <w:highlight w:val="none"/>
        </w:rPr>
        <w:t>涉及不动产首次登记或不动产界址、空间界限发生变化的变更登记，不动产登记机构应查验不动产界址、空间界限、面积等地籍调查成果是否完备，权属是否清楚、界址是否清晰、面积是否准</w:t>
      </w:r>
      <w:r>
        <w:rPr>
          <w:rFonts w:hint="eastAsia"/>
          <w:highlight w:val="none"/>
          <w:lang w:eastAsia="zh-CN"/>
        </w:rPr>
        <w:t>确。</w:t>
      </w:r>
    </w:p>
    <w:p>
      <w:pPr>
        <w:pStyle w:val="167"/>
        <w:numPr>
          <w:ilvl w:val="3"/>
          <w:numId w:val="54"/>
        </w:numPr>
        <w:ind w:left="0"/>
        <w:rPr>
          <w:highlight w:val="none"/>
        </w:rPr>
      </w:pPr>
      <w:r>
        <w:rPr>
          <w:rFonts w:hint="eastAsia"/>
          <w:highlight w:val="none"/>
        </w:rPr>
        <w:t>不动产登记机构应对税费缴纳结果材料、生效法律文书等申请材料进一步审核。实现信息共享的，根据共享的信息进一步核实；必要时，还可以向相关部门进一步核实。</w:t>
      </w:r>
    </w:p>
    <w:p>
      <w:pPr>
        <w:pStyle w:val="167"/>
        <w:numPr>
          <w:ilvl w:val="3"/>
          <w:numId w:val="54"/>
        </w:numPr>
        <w:ind w:left="0"/>
        <w:rPr>
          <w:highlight w:val="none"/>
        </w:rPr>
      </w:pPr>
      <w:r>
        <w:rPr>
          <w:rFonts w:hint="eastAsia"/>
          <w:highlight w:val="none"/>
        </w:rPr>
        <w:t>不动产存在异议登记或者设有抵押权、地役权、居住权或者被查封的，因权利人姓名或者名称、 身份证明类型及号码、不动产坐落等变化而申请的变更登记或者更正登记，可以办理。</w:t>
      </w:r>
    </w:p>
    <w:p>
      <w:pPr>
        <w:pStyle w:val="167"/>
        <w:numPr>
          <w:ilvl w:val="3"/>
          <w:numId w:val="54"/>
        </w:numPr>
        <w:ind w:left="0"/>
        <w:rPr>
          <w:highlight w:val="none"/>
        </w:rPr>
      </w:pPr>
      <w:r>
        <w:rPr>
          <w:rFonts w:hint="eastAsia"/>
          <w:highlight w:val="none"/>
        </w:rPr>
        <w:t>《民法典》施行前已办理抵押权登记的不动产，抵押期间申请转移登记的，应当提交抵押权人同意的书面材料。《民法典》施行后办理抵押权登记的不动产，抵押期间申请转移登记的，不动产登记 簿上记载有禁止或者限制转让抵押财产的约定的，应当由受让人、抵押人和抵押权人共同申请；不动产 登记簿上没有记载约定的，由受让人、抵押人共同申请。</w:t>
      </w:r>
    </w:p>
    <w:p>
      <w:pPr>
        <w:pStyle w:val="167"/>
        <w:numPr>
          <w:ilvl w:val="3"/>
          <w:numId w:val="54"/>
        </w:numPr>
        <w:ind w:left="0"/>
        <w:rPr>
          <w:highlight w:val="none"/>
        </w:rPr>
      </w:pPr>
      <w:r>
        <w:rPr>
          <w:rFonts w:hint="eastAsia"/>
          <w:highlight w:val="none"/>
        </w:rPr>
        <w:t>申请材料为电子材料的，不动产登记机构应当审查电子材料的来源，具备条件的不动产登记机 构，应查看现场照片、录音录像、身份认证结果等留存材料，并对电子材料的签署进行核对。具备技术条件的不动产登记机构，应完善登记系统功能，适时获取电子文件及其元数据，自动识别电子文件来源，对签署确认情况进行自动验证，返回来源部门信息和签署验证结果。</w:t>
      </w:r>
    </w:p>
    <w:p>
      <w:pPr>
        <w:pStyle w:val="107"/>
        <w:numPr>
          <w:ilvl w:val="2"/>
          <w:numId w:val="54"/>
        </w:numPr>
        <w:spacing w:before="156" w:after="156"/>
        <w:rPr>
          <w:highlight w:val="none"/>
        </w:rPr>
      </w:pPr>
      <w:bookmarkStart w:id="80" w:name="_Toc20822"/>
      <w:r>
        <w:rPr>
          <w:rFonts w:hint="eastAsia"/>
          <w:highlight w:val="none"/>
        </w:rPr>
        <w:t>查阅不动产登记簿</w:t>
      </w:r>
      <w:bookmarkEnd w:id="80"/>
    </w:p>
    <w:p>
      <w:pPr>
        <w:pStyle w:val="167"/>
        <w:numPr>
          <w:ilvl w:val="3"/>
          <w:numId w:val="54"/>
        </w:numPr>
        <w:ind w:left="0"/>
        <w:rPr>
          <w:highlight w:val="none"/>
        </w:rPr>
      </w:pPr>
      <w:r>
        <w:rPr>
          <w:rFonts w:hint="eastAsia"/>
          <w:highlight w:val="none"/>
        </w:rPr>
        <w:t>除尚未登记的不动产首次申请登记的，不动产登记机构应通过查阅不动产登记簿的记载信息， 审核申请登记事项与不动产登记簿记载的内容是否一致，包括：</w:t>
      </w:r>
    </w:p>
    <w:p>
      <w:pPr>
        <w:pStyle w:val="176"/>
        <w:numPr>
          <w:ilvl w:val="0"/>
          <w:numId w:val="55"/>
        </w:numPr>
        <w:rPr>
          <w:highlight w:val="none"/>
        </w:rPr>
      </w:pPr>
      <w:r>
        <w:rPr>
          <w:rFonts w:hint="eastAsia"/>
          <w:highlight w:val="none"/>
        </w:rPr>
        <w:t>申请人与不动产登记簿记载的权利人是否一致；</w:t>
      </w:r>
    </w:p>
    <w:p>
      <w:pPr>
        <w:pStyle w:val="176"/>
        <w:numPr>
          <w:ilvl w:val="0"/>
          <w:numId w:val="55"/>
        </w:numPr>
        <w:rPr>
          <w:highlight w:val="none"/>
        </w:rPr>
      </w:pPr>
      <w:r>
        <w:rPr>
          <w:rFonts w:hint="eastAsia"/>
          <w:highlight w:val="none"/>
        </w:rPr>
        <w:t>申请人申请登记的不动产与不动产登记簿的记载是否一致；</w:t>
      </w:r>
    </w:p>
    <w:p>
      <w:pPr>
        <w:pStyle w:val="176"/>
        <w:numPr>
          <w:ilvl w:val="0"/>
          <w:numId w:val="55"/>
        </w:numPr>
        <w:rPr>
          <w:highlight w:val="none"/>
        </w:rPr>
      </w:pPr>
      <w:r>
        <w:rPr>
          <w:rFonts w:hint="eastAsia"/>
          <w:highlight w:val="none"/>
        </w:rPr>
        <w:t>申请登记事项与不动产登记簿记载的内容是否一致；</w:t>
      </w:r>
    </w:p>
    <w:p>
      <w:pPr>
        <w:pStyle w:val="176"/>
        <w:numPr>
          <w:ilvl w:val="0"/>
          <w:numId w:val="55"/>
        </w:numPr>
        <w:rPr>
          <w:highlight w:val="none"/>
        </w:rPr>
      </w:pPr>
      <w:r>
        <w:rPr>
          <w:rFonts w:hint="eastAsia"/>
          <w:highlight w:val="none"/>
        </w:rPr>
        <w:t xml:space="preserve">不动产是否存在抵押、地役权、居住权、异议登记、预告登记、预查封、查封等情形。 </w:t>
      </w:r>
    </w:p>
    <w:p>
      <w:pPr>
        <w:pStyle w:val="167"/>
        <w:numPr>
          <w:ilvl w:val="3"/>
          <w:numId w:val="54"/>
        </w:numPr>
        <w:ind w:left="0"/>
        <w:rPr>
          <w:highlight w:val="none"/>
        </w:rPr>
      </w:pPr>
      <w:r>
        <w:rPr>
          <w:rFonts w:hint="eastAsia"/>
          <w:highlight w:val="none"/>
        </w:rPr>
        <w:t>不动产登记簿采用电子介质的，查阅不动产登记簿时以已经形成的电子登记簿为依据。</w:t>
      </w:r>
    </w:p>
    <w:p>
      <w:pPr>
        <w:pStyle w:val="107"/>
        <w:numPr>
          <w:ilvl w:val="2"/>
          <w:numId w:val="54"/>
        </w:numPr>
        <w:spacing w:before="156" w:after="156"/>
        <w:rPr>
          <w:highlight w:val="none"/>
        </w:rPr>
      </w:pPr>
      <w:bookmarkStart w:id="81" w:name="_Toc4435"/>
      <w:r>
        <w:rPr>
          <w:rFonts w:hint="eastAsia"/>
          <w:highlight w:val="none"/>
        </w:rPr>
        <w:t>查阅登记原始资料</w:t>
      </w:r>
      <w:bookmarkEnd w:id="81"/>
    </w:p>
    <w:p>
      <w:pPr>
        <w:pStyle w:val="58"/>
        <w:ind w:firstLine="420"/>
        <w:rPr>
          <w:highlight w:val="none"/>
        </w:rPr>
      </w:pPr>
      <w:r>
        <w:rPr>
          <w:rFonts w:hint="eastAsia"/>
          <w:highlight w:val="none"/>
        </w:rPr>
        <w:t>经查阅不动产登记簿，不动产登记机构认为仍需查阅原始资料确认申请登记事项的，应查阅不动产登记原始资料，并决定是否予以继续办理。</w:t>
      </w:r>
    </w:p>
    <w:p>
      <w:pPr>
        <w:pStyle w:val="107"/>
        <w:numPr>
          <w:ilvl w:val="2"/>
          <w:numId w:val="54"/>
        </w:numPr>
        <w:spacing w:before="156" w:after="156"/>
        <w:rPr>
          <w:highlight w:val="none"/>
        </w:rPr>
      </w:pPr>
      <w:bookmarkStart w:id="82" w:name="_Toc21620"/>
      <w:r>
        <w:rPr>
          <w:rFonts w:hint="eastAsia"/>
          <w:highlight w:val="none"/>
        </w:rPr>
        <w:t>实地查看</w:t>
      </w:r>
      <w:bookmarkEnd w:id="82"/>
    </w:p>
    <w:p>
      <w:pPr>
        <w:pStyle w:val="67"/>
        <w:numPr>
          <w:ilvl w:val="3"/>
          <w:numId w:val="54"/>
        </w:numPr>
        <w:spacing w:before="156" w:after="156"/>
        <w:ind w:left="0"/>
        <w:rPr>
          <w:highlight w:val="none"/>
        </w:rPr>
      </w:pPr>
      <w:r>
        <w:rPr>
          <w:rFonts w:hint="eastAsia"/>
          <w:highlight w:val="none"/>
        </w:rPr>
        <w:t>适用情形</w:t>
      </w:r>
    </w:p>
    <w:p>
      <w:pPr>
        <w:pStyle w:val="58"/>
        <w:ind w:firstLine="420"/>
        <w:rPr>
          <w:highlight w:val="none"/>
        </w:rPr>
      </w:pPr>
      <w:r>
        <w:rPr>
          <w:rFonts w:hint="eastAsia"/>
          <w:highlight w:val="none"/>
        </w:rPr>
        <w:t xml:space="preserve">属于下列情形之一的，不动产登记机构可对申请登记的不动产进行实地查看： </w:t>
      </w:r>
    </w:p>
    <w:p>
      <w:pPr>
        <w:pStyle w:val="176"/>
        <w:numPr>
          <w:ilvl w:val="0"/>
          <w:numId w:val="56"/>
        </w:numPr>
        <w:rPr>
          <w:highlight w:val="none"/>
        </w:rPr>
      </w:pPr>
      <w:r>
        <w:rPr>
          <w:rFonts w:hint="eastAsia"/>
          <w:highlight w:val="none"/>
          <w:lang w:eastAsia="zh-CN"/>
        </w:rPr>
        <w:t>房屋等建筑物、构筑物所有权首次登记，查看房屋坐落及其建造完成等情况；</w:t>
      </w:r>
    </w:p>
    <w:p>
      <w:pPr>
        <w:pStyle w:val="176"/>
        <w:numPr>
          <w:ilvl w:val="0"/>
          <w:numId w:val="56"/>
        </w:numPr>
        <w:rPr>
          <w:highlight w:val="none"/>
        </w:rPr>
      </w:pPr>
      <w:r>
        <w:rPr>
          <w:rFonts w:hint="eastAsia"/>
          <w:highlight w:val="none"/>
        </w:rPr>
        <w:t>在建建筑物抵押权登记，查看抵押的在建建筑物坐落及其建造情况；</w:t>
      </w:r>
    </w:p>
    <w:p>
      <w:pPr>
        <w:pStyle w:val="176"/>
        <w:numPr>
          <w:ilvl w:val="0"/>
          <w:numId w:val="56"/>
        </w:numPr>
        <w:rPr>
          <w:highlight w:val="none"/>
        </w:rPr>
      </w:pPr>
      <w:r>
        <w:rPr>
          <w:rFonts w:hint="eastAsia"/>
          <w:highlight w:val="none"/>
        </w:rPr>
        <w:t>因不动产灭失申请的注销登记，查看不动产灭失情况；</w:t>
      </w:r>
    </w:p>
    <w:p>
      <w:pPr>
        <w:pStyle w:val="176"/>
        <w:numPr>
          <w:ilvl w:val="0"/>
          <w:numId w:val="56"/>
        </w:numPr>
        <w:rPr>
          <w:highlight w:val="none"/>
        </w:rPr>
      </w:pPr>
      <w:r>
        <w:rPr>
          <w:rFonts w:hint="eastAsia"/>
          <w:highlight w:val="none"/>
        </w:rPr>
        <w:t>不动产登记机构认为需要实地查看的其他情形。</w:t>
      </w:r>
    </w:p>
    <w:p>
      <w:pPr>
        <w:pStyle w:val="67"/>
        <w:numPr>
          <w:ilvl w:val="3"/>
          <w:numId w:val="54"/>
        </w:numPr>
        <w:spacing w:before="156" w:after="156"/>
        <w:ind w:left="0"/>
        <w:rPr>
          <w:highlight w:val="none"/>
        </w:rPr>
      </w:pPr>
      <w:r>
        <w:rPr>
          <w:rFonts w:hint="eastAsia"/>
          <w:highlight w:val="none"/>
        </w:rPr>
        <w:t>查看要求</w:t>
      </w:r>
    </w:p>
    <w:p>
      <w:pPr>
        <w:pStyle w:val="58"/>
        <w:ind w:firstLine="420"/>
        <w:rPr>
          <w:highlight w:val="none"/>
        </w:rPr>
      </w:pPr>
      <w:r>
        <w:rPr>
          <w:rFonts w:hint="eastAsia"/>
          <w:highlight w:val="none"/>
        </w:rPr>
        <w:t>实地查看应至少由2名工作人员参加，查看人员应对查看对象拍照，填写实地查看记录。现场照片及查看记录应归档。</w:t>
      </w:r>
    </w:p>
    <w:p>
      <w:pPr>
        <w:pStyle w:val="107"/>
        <w:numPr>
          <w:ilvl w:val="2"/>
          <w:numId w:val="54"/>
        </w:numPr>
        <w:spacing w:before="156" w:after="156"/>
        <w:rPr>
          <w:highlight w:val="none"/>
        </w:rPr>
      </w:pPr>
      <w:bookmarkStart w:id="83" w:name="_Toc1651"/>
      <w:r>
        <w:rPr>
          <w:rFonts w:hint="eastAsia"/>
          <w:highlight w:val="none"/>
        </w:rPr>
        <w:t>调查</w:t>
      </w:r>
      <w:bookmarkEnd w:id="83"/>
    </w:p>
    <w:p>
      <w:pPr>
        <w:pStyle w:val="58"/>
        <w:ind w:firstLine="420"/>
        <w:rPr>
          <w:highlight w:val="none"/>
        </w:rPr>
      </w:pPr>
      <w:r>
        <w:rPr>
          <w:rFonts w:hint="eastAsia"/>
          <w:highlight w:val="none"/>
        </w:rPr>
        <w:t>对可能存在权属争议，或者可能涉及他人利害关系的登记申请，不动产登记机构可向申请人、利害关系人或者有关单位进行调查。不动产登记机构进行调查时，申请人、被调查人应予以配合。</w:t>
      </w:r>
    </w:p>
    <w:p>
      <w:pPr>
        <w:pStyle w:val="107"/>
        <w:numPr>
          <w:ilvl w:val="2"/>
          <w:numId w:val="54"/>
        </w:numPr>
        <w:spacing w:before="156" w:after="156"/>
        <w:rPr>
          <w:highlight w:val="none"/>
        </w:rPr>
      </w:pPr>
      <w:bookmarkStart w:id="84" w:name="_Toc12348"/>
      <w:r>
        <w:rPr>
          <w:rFonts w:hint="eastAsia"/>
          <w:highlight w:val="none"/>
        </w:rPr>
        <w:t>公告</w:t>
      </w:r>
      <w:bookmarkEnd w:id="84"/>
    </w:p>
    <w:p>
      <w:pPr>
        <w:pStyle w:val="67"/>
        <w:numPr>
          <w:ilvl w:val="3"/>
          <w:numId w:val="54"/>
        </w:numPr>
        <w:spacing w:before="156" w:after="156"/>
        <w:ind w:left="0"/>
        <w:rPr>
          <w:highlight w:val="none"/>
        </w:rPr>
      </w:pPr>
      <w:r>
        <w:rPr>
          <w:rFonts w:hint="eastAsia"/>
          <w:highlight w:val="none"/>
        </w:rPr>
        <w:t>不动产首次登记公告</w:t>
      </w:r>
    </w:p>
    <w:p>
      <w:pPr>
        <w:pStyle w:val="166"/>
        <w:numPr>
          <w:ilvl w:val="4"/>
          <w:numId w:val="54"/>
        </w:numPr>
        <w:ind w:left="0"/>
        <w:rPr>
          <w:highlight w:val="none"/>
        </w:rPr>
      </w:pPr>
      <w:r>
        <w:rPr>
          <w:rFonts w:hint="eastAsia"/>
          <w:highlight w:val="none"/>
        </w:rPr>
        <w:t>除涉及国家秘密外，政府组织的集体土地所有权登记，以及宅基地使用权及房屋所有权，集体建设用地使用权及建筑物、构筑物所有权，土地承包经营权等不动产权利的首次登记，不动产登记机 构应在记载于不动产登记簿前进行公告。公告主要内容包括：申请人的姓名或者名称；不动产坐落、 面积、用途、权利类型等；提出异议的期限、方式和受理机构；需要公告的其他事项。</w:t>
      </w:r>
    </w:p>
    <w:p>
      <w:pPr>
        <w:pStyle w:val="166"/>
        <w:numPr>
          <w:ilvl w:val="4"/>
          <w:numId w:val="54"/>
        </w:numPr>
        <w:ind w:left="0"/>
        <w:rPr>
          <w:highlight w:val="none"/>
        </w:rPr>
      </w:pPr>
      <w:r>
        <w:rPr>
          <w:rFonts w:hint="eastAsia"/>
          <w:highlight w:val="none"/>
        </w:rPr>
        <w:t>不动产首次登记公告由不动产登记机构在其门户网站以及不动产所在地等指定场所进行，公 告期不少于 15 个工作日，公告所需时间不计算在登记办理期限内。</w:t>
      </w:r>
    </w:p>
    <w:p>
      <w:pPr>
        <w:pStyle w:val="166"/>
        <w:numPr>
          <w:ilvl w:val="4"/>
          <w:numId w:val="54"/>
        </w:numPr>
        <w:ind w:left="0"/>
        <w:rPr>
          <w:highlight w:val="none"/>
        </w:rPr>
      </w:pPr>
      <w:r>
        <w:rPr>
          <w:rFonts w:hint="eastAsia"/>
          <w:highlight w:val="none"/>
        </w:rPr>
        <w:t>公告期满无异议的，不动产登记机构将登记事项及时记载于不动产登记簿。公告期间， 当事人对公告有异议的，应当在提出异议的期限内以书面方式向不动产登记机构提出异议，并提供相关材料，不动产登记机构应当按下列程序处理：</w:t>
      </w:r>
    </w:p>
    <w:p>
      <w:pPr>
        <w:pStyle w:val="176"/>
        <w:numPr>
          <w:ilvl w:val="0"/>
          <w:numId w:val="57"/>
        </w:numPr>
        <w:rPr>
          <w:highlight w:val="none"/>
        </w:rPr>
      </w:pPr>
      <w:r>
        <w:rPr>
          <w:rFonts w:hint="eastAsia"/>
          <w:highlight w:val="none"/>
        </w:rPr>
        <w:t>根据现有材料异议不成立的，不动产登记机构应当将登记事项及时记载于不动产登记簿；</w:t>
      </w:r>
    </w:p>
    <w:p>
      <w:pPr>
        <w:pStyle w:val="176"/>
        <w:numPr>
          <w:ilvl w:val="0"/>
          <w:numId w:val="57"/>
        </w:numPr>
        <w:rPr>
          <w:highlight w:val="none"/>
        </w:rPr>
      </w:pPr>
      <w:r>
        <w:rPr>
          <w:rFonts w:hint="eastAsia"/>
          <w:highlight w:val="none"/>
        </w:rPr>
        <w:t>异议成立的，不动产登记机构应不予登记，并告知当事人通过协商、行政调处、诉讼、仲裁等方式解决。</w:t>
      </w:r>
    </w:p>
    <w:p>
      <w:pPr>
        <w:pStyle w:val="67"/>
        <w:numPr>
          <w:ilvl w:val="3"/>
          <w:numId w:val="54"/>
        </w:numPr>
        <w:spacing w:before="156" w:after="156"/>
        <w:ind w:left="0"/>
        <w:rPr>
          <w:highlight w:val="none"/>
        </w:rPr>
      </w:pPr>
      <w:r>
        <w:rPr>
          <w:rFonts w:hint="eastAsia"/>
          <w:highlight w:val="none"/>
        </w:rPr>
        <w:t>依职权登记公告</w:t>
      </w:r>
    </w:p>
    <w:p>
      <w:pPr>
        <w:pStyle w:val="58"/>
        <w:ind w:firstLine="420"/>
        <w:rPr>
          <w:highlight w:val="none"/>
        </w:rPr>
      </w:pPr>
      <w:r>
        <w:rPr>
          <w:rFonts w:hint="eastAsia"/>
          <w:highlight w:val="none"/>
        </w:rPr>
        <w:t>不动产登记机构依职权办理登记的，不动产登记机构应当在记载于不动产登记簿前在其门户网站 以及不动产所在地等指定场所进行公告，公告期不少于15个工作日。公告期满无异议或者异议不成立的， 不动产登记机构应当将登记事项及时记载于不动产登记簿。</w:t>
      </w:r>
    </w:p>
    <w:p>
      <w:pPr>
        <w:pStyle w:val="67"/>
        <w:numPr>
          <w:ilvl w:val="3"/>
          <w:numId w:val="54"/>
        </w:numPr>
        <w:spacing w:before="156" w:after="156"/>
        <w:ind w:left="0"/>
        <w:rPr>
          <w:highlight w:val="none"/>
        </w:rPr>
      </w:pPr>
      <w:r>
        <w:rPr>
          <w:rFonts w:hint="eastAsia"/>
          <w:highlight w:val="none"/>
        </w:rPr>
        <w:t>不动产权证书或者不动产登记证明作废公告</w:t>
      </w:r>
    </w:p>
    <w:p>
      <w:pPr>
        <w:pStyle w:val="58"/>
        <w:ind w:firstLine="420"/>
        <w:rPr>
          <w:highlight w:val="none"/>
        </w:rPr>
      </w:pPr>
      <w:r>
        <w:rPr>
          <w:rFonts w:hint="eastAsia"/>
          <w:highlight w:val="none"/>
        </w:rPr>
        <w:t>因不动产灭失、不动产权利消灭、司法拍卖等情形，无法收回不动产权证书或者不动产登记证明的， 在登记完成后，不动产登记机构应当在其门户网站或者当地公开发行的报刊上公告作废。</w:t>
      </w:r>
    </w:p>
    <w:p>
      <w:pPr>
        <w:pStyle w:val="107"/>
        <w:numPr>
          <w:ilvl w:val="2"/>
          <w:numId w:val="54"/>
        </w:numPr>
        <w:spacing w:before="156" w:after="156"/>
        <w:rPr>
          <w:highlight w:val="none"/>
        </w:rPr>
      </w:pPr>
      <w:bookmarkStart w:id="85" w:name="_Toc7619"/>
      <w:r>
        <w:rPr>
          <w:rFonts w:hint="eastAsia"/>
          <w:highlight w:val="none"/>
        </w:rPr>
        <w:t>审核结果</w:t>
      </w:r>
      <w:bookmarkEnd w:id="85"/>
    </w:p>
    <w:p>
      <w:pPr>
        <w:pStyle w:val="167"/>
        <w:numPr>
          <w:ilvl w:val="3"/>
          <w:numId w:val="54"/>
        </w:numPr>
        <w:ind w:left="0"/>
        <w:rPr>
          <w:highlight w:val="none"/>
        </w:rPr>
      </w:pPr>
      <w:r>
        <w:rPr>
          <w:rFonts w:hint="eastAsia"/>
          <w:highlight w:val="none"/>
        </w:rPr>
        <w:t>审核后，审核人员应做出予以登记或者不予登记的明确意见。</w:t>
      </w:r>
    </w:p>
    <w:p>
      <w:pPr>
        <w:pStyle w:val="167"/>
        <w:numPr>
          <w:ilvl w:val="3"/>
          <w:numId w:val="54"/>
        </w:numPr>
        <w:ind w:left="0"/>
        <w:rPr>
          <w:highlight w:val="none"/>
        </w:rPr>
      </w:pPr>
      <w:r>
        <w:rPr>
          <w:rFonts w:hint="eastAsia"/>
          <w:highlight w:val="none"/>
        </w:rPr>
        <w:t>经审核，符合登记条件的，不动产登记机构应予以登记。有下列情形之一的，不动产登记机构不予登记并书面通知申请人：</w:t>
      </w:r>
    </w:p>
    <w:p>
      <w:pPr>
        <w:pStyle w:val="58"/>
        <w:ind w:firstLine="420"/>
        <w:rPr>
          <w:highlight w:val="none"/>
        </w:rPr>
      </w:pPr>
      <w:r>
        <w:rPr>
          <w:rFonts w:hint="eastAsia"/>
          <w:highlight w:val="none"/>
        </w:rPr>
        <w:t>a)  申请人未按照不动产登记机构要求进一步补充材料的；</w:t>
      </w:r>
    </w:p>
    <w:p>
      <w:pPr>
        <w:pStyle w:val="58"/>
        <w:ind w:firstLine="420"/>
        <w:rPr>
          <w:highlight w:val="none"/>
        </w:rPr>
      </w:pPr>
      <w:r>
        <w:rPr>
          <w:rFonts w:hint="eastAsia"/>
          <w:highlight w:val="none"/>
        </w:rPr>
        <w:t>b)  申请人、委托代理人身份证明材料以及授权委托书与申请主体不一致的；</w:t>
      </w:r>
    </w:p>
    <w:p>
      <w:pPr>
        <w:pStyle w:val="58"/>
        <w:ind w:firstLine="420"/>
        <w:rPr>
          <w:highlight w:val="none"/>
        </w:rPr>
      </w:pPr>
      <w:r>
        <w:rPr>
          <w:rFonts w:hint="eastAsia"/>
          <w:highlight w:val="none"/>
        </w:rPr>
        <w:t>c)  申请登记的不动产不符合不动产单元设定条件的；</w:t>
      </w:r>
    </w:p>
    <w:p>
      <w:pPr>
        <w:pStyle w:val="58"/>
        <w:ind w:firstLine="420"/>
        <w:rPr>
          <w:highlight w:val="none"/>
        </w:rPr>
      </w:pPr>
      <w:r>
        <w:rPr>
          <w:rFonts w:hint="eastAsia"/>
          <w:highlight w:val="none"/>
        </w:rPr>
        <w:t>d)  申请登记的事项与权属来源材料或者登记原因文件不一致的；</w:t>
      </w:r>
    </w:p>
    <w:p>
      <w:pPr>
        <w:pStyle w:val="58"/>
        <w:ind w:firstLine="420"/>
        <w:rPr>
          <w:highlight w:val="none"/>
        </w:rPr>
      </w:pPr>
      <w:r>
        <w:rPr>
          <w:rFonts w:hint="eastAsia"/>
          <w:highlight w:val="none"/>
        </w:rPr>
        <w:t>e)  申请登记的事项与不动产登记簿的记载相冲突的；</w:t>
      </w:r>
    </w:p>
    <w:p>
      <w:pPr>
        <w:pStyle w:val="58"/>
        <w:ind w:firstLine="420"/>
        <w:rPr>
          <w:highlight w:val="none"/>
        </w:rPr>
      </w:pPr>
      <w:r>
        <w:rPr>
          <w:rFonts w:hint="eastAsia"/>
          <w:highlight w:val="none"/>
        </w:rPr>
        <w:t>f)  存在尚未解决的权属争议的；</w:t>
      </w:r>
    </w:p>
    <w:p>
      <w:pPr>
        <w:pStyle w:val="58"/>
        <w:ind w:firstLine="420"/>
        <w:rPr>
          <w:highlight w:val="none"/>
        </w:rPr>
      </w:pPr>
      <w:r>
        <w:rPr>
          <w:rFonts w:hint="eastAsia"/>
          <w:highlight w:val="none"/>
        </w:rPr>
        <w:t>g)  未依法缴纳土地出让价款、土地租金或者税款的；</w:t>
      </w:r>
    </w:p>
    <w:p>
      <w:pPr>
        <w:pStyle w:val="58"/>
        <w:ind w:firstLine="420"/>
        <w:rPr>
          <w:highlight w:val="none"/>
        </w:rPr>
      </w:pPr>
      <w:r>
        <w:rPr>
          <w:rFonts w:hint="eastAsia"/>
          <w:highlight w:val="none"/>
        </w:rPr>
        <w:t>h)  申请登记的不动产权利超过规定期限的；</w:t>
      </w:r>
    </w:p>
    <w:p>
      <w:pPr>
        <w:pStyle w:val="58"/>
        <w:ind w:firstLine="420"/>
        <w:rPr>
          <w:highlight w:val="none"/>
        </w:rPr>
      </w:pPr>
      <w:r>
        <w:rPr>
          <w:rFonts w:hint="eastAsia"/>
          <w:highlight w:val="none"/>
        </w:rPr>
        <w:t>i)  不动产被依法查封期间，权利人处分该不动产申请登记的；</w:t>
      </w:r>
    </w:p>
    <w:p>
      <w:pPr>
        <w:pStyle w:val="58"/>
        <w:ind w:firstLine="420"/>
        <w:rPr>
          <w:highlight w:val="none"/>
        </w:rPr>
      </w:pPr>
      <w:r>
        <w:rPr>
          <w:rFonts w:hint="eastAsia"/>
          <w:highlight w:val="none"/>
        </w:rPr>
        <w:t>j)  未经预告登记权利人书面同意，当事人处分该不动产申请登记的；</w:t>
      </w:r>
    </w:p>
    <w:p>
      <w:pPr>
        <w:pStyle w:val="58"/>
        <w:ind w:firstLine="420"/>
        <w:rPr>
          <w:rFonts w:hint="eastAsia"/>
          <w:highlight w:val="none"/>
        </w:rPr>
      </w:pPr>
      <w:r>
        <w:rPr>
          <w:rFonts w:hint="eastAsia"/>
          <w:highlight w:val="none"/>
        </w:rPr>
        <w:t>k)  法律、行政法规规定的其他情形。</w:t>
      </w:r>
    </w:p>
    <w:p>
      <w:pPr>
        <w:pStyle w:val="167"/>
        <w:numPr>
          <w:ilvl w:val="3"/>
          <w:numId w:val="54"/>
        </w:numPr>
        <w:ind w:left="0"/>
        <w:rPr>
          <w:highlight w:val="none"/>
        </w:rPr>
      </w:pPr>
      <w:r>
        <w:rPr>
          <w:rFonts w:hint="eastAsia"/>
          <w:highlight w:val="none"/>
        </w:rPr>
        <w:t>已办理首次登记的不动产，申请人因继承、受遗赠，或者人民法院、仲裁机构的生效法律文书取得该不动产但是尚未办理转移登记，又因继承、受遗赠，或者人民法院、仲裁机构的生效法律文书导致不动产权利转移的，不动产登记机构应先将之前转移登记的有关事项在不动产登记簿的附记栏中记载但不颁发证书，涉及纳税的，应当查验相关完税材料是否齐全，再依法办理后续登记。</w:t>
      </w:r>
    </w:p>
    <w:p>
      <w:pPr>
        <w:pStyle w:val="167"/>
        <w:numPr>
          <w:ilvl w:val="3"/>
          <w:numId w:val="54"/>
        </w:numPr>
        <w:ind w:left="0"/>
        <w:rPr>
          <w:highlight w:val="none"/>
        </w:rPr>
      </w:pPr>
      <w:r>
        <w:rPr>
          <w:rFonts w:hint="eastAsia"/>
          <w:highlight w:val="none"/>
        </w:rPr>
        <w:t>对未办理首次登记的不动产，在完善相关手续后具备首次登记条件的，不动产登记机构应按照人民法院生效法律文书和协助执行通知书，一并办理首次登记和转移登记或者首次登记和查封登记；不具备首次登记条件的，不动产登记机构应当向人民法院书面说明情况，不予办理登</w:t>
      </w:r>
      <w:r>
        <w:rPr>
          <w:rFonts w:hint="eastAsia"/>
          <w:highlight w:val="none"/>
          <w:lang w:eastAsia="zh-CN"/>
        </w:rPr>
        <w:t>记</w:t>
      </w:r>
      <w:r>
        <w:rPr>
          <w:rFonts w:hint="eastAsia"/>
          <w:highlight w:val="none"/>
        </w:rPr>
        <w:t>。</w:t>
      </w:r>
    </w:p>
    <w:p>
      <w:pPr>
        <w:pStyle w:val="106"/>
        <w:numPr>
          <w:ilvl w:val="1"/>
          <w:numId w:val="54"/>
        </w:numPr>
        <w:spacing w:before="312" w:after="312"/>
        <w:rPr>
          <w:highlight w:val="none"/>
        </w:rPr>
      </w:pPr>
      <w:bookmarkStart w:id="86" w:name="_Toc22008"/>
      <w:r>
        <w:rPr>
          <w:rFonts w:hint="eastAsia"/>
          <w:highlight w:val="none"/>
        </w:rPr>
        <w:t>登簿</w:t>
      </w:r>
      <w:bookmarkEnd w:id="86"/>
    </w:p>
    <w:p>
      <w:pPr>
        <w:pStyle w:val="164"/>
        <w:numPr>
          <w:ilvl w:val="2"/>
          <w:numId w:val="54"/>
        </w:numPr>
        <w:rPr>
          <w:highlight w:val="none"/>
        </w:rPr>
      </w:pPr>
      <w:r>
        <w:rPr>
          <w:rFonts w:hint="eastAsia"/>
          <w:highlight w:val="none"/>
        </w:rPr>
        <w:t>经审核符合登记条件的，应当将申请登记事项记载于不动产登记簿。</w:t>
      </w:r>
    </w:p>
    <w:p>
      <w:pPr>
        <w:pStyle w:val="176"/>
        <w:numPr>
          <w:ilvl w:val="0"/>
          <w:numId w:val="58"/>
        </w:numPr>
        <w:rPr>
          <w:highlight w:val="none"/>
        </w:rPr>
      </w:pPr>
      <w:r>
        <w:rPr>
          <w:rFonts w:hint="eastAsia"/>
          <w:highlight w:val="none"/>
        </w:rPr>
        <w:t>记载于不动产登记簿的时点应当按下列方式确定：</w:t>
      </w:r>
    </w:p>
    <w:p>
      <w:pPr>
        <w:pStyle w:val="111"/>
        <w:rPr>
          <w:highlight w:val="none"/>
        </w:rPr>
      </w:pPr>
      <w:r>
        <w:rPr>
          <w:rFonts w:hint="eastAsia"/>
          <w:highlight w:val="none"/>
        </w:rPr>
        <w:t>使用电子登记簿的，以登簿人员将登记事项在不动产登记簿上记载完成之时为准；</w:t>
      </w:r>
    </w:p>
    <w:p>
      <w:pPr>
        <w:pStyle w:val="111"/>
        <w:rPr>
          <w:highlight w:val="none"/>
        </w:rPr>
      </w:pPr>
      <w:r>
        <w:rPr>
          <w:rFonts w:hint="eastAsia"/>
          <w:highlight w:val="none"/>
        </w:rPr>
        <w:t>使用纸质登记簿的，应当以登簿人员将登记事项在不动产登记簿上记载完毕并签名（章） 之时为准。</w:t>
      </w:r>
    </w:p>
    <w:p>
      <w:pPr>
        <w:pStyle w:val="176"/>
        <w:rPr>
          <w:highlight w:val="none"/>
        </w:rPr>
      </w:pPr>
      <w:r>
        <w:rPr>
          <w:rFonts w:hint="eastAsia"/>
          <w:highlight w:val="none"/>
        </w:rPr>
        <w:t>不动产登记簿已建册的，登簿完成后应当归册。</w:t>
      </w:r>
    </w:p>
    <w:p>
      <w:pPr>
        <w:pStyle w:val="164"/>
        <w:numPr>
          <w:ilvl w:val="2"/>
          <w:numId w:val="54"/>
        </w:numPr>
        <w:rPr>
          <w:highlight w:val="none"/>
        </w:rPr>
      </w:pPr>
      <w:r>
        <w:rPr>
          <w:rFonts w:hint="eastAsia"/>
          <w:highlight w:val="none"/>
        </w:rPr>
        <w:t>不动产登记机构合并受理的，应将合并受理的登记事项依次分别记载于不动产登记簿的相应簿页。</w:t>
      </w:r>
    </w:p>
    <w:p>
      <w:pPr>
        <w:pStyle w:val="106"/>
        <w:numPr>
          <w:ilvl w:val="1"/>
          <w:numId w:val="54"/>
        </w:numPr>
        <w:spacing w:before="312" w:after="312"/>
        <w:rPr>
          <w:highlight w:val="none"/>
        </w:rPr>
      </w:pPr>
      <w:bookmarkStart w:id="87" w:name="_Toc9897"/>
      <w:r>
        <w:rPr>
          <w:rFonts w:hint="eastAsia"/>
          <w:highlight w:val="none"/>
        </w:rPr>
        <w:t>核发不动产权证书或者不动产登记证明</w:t>
      </w:r>
      <w:bookmarkEnd w:id="87"/>
    </w:p>
    <w:p>
      <w:pPr>
        <w:pStyle w:val="164"/>
        <w:numPr>
          <w:ilvl w:val="2"/>
          <w:numId w:val="54"/>
        </w:numPr>
        <w:rPr>
          <w:highlight w:val="none"/>
        </w:rPr>
      </w:pPr>
      <w:r>
        <w:rPr>
          <w:rFonts w:hint="eastAsia"/>
          <w:highlight w:val="none"/>
        </w:rPr>
        <w:t>登记事项记载于不动产登记簿后，不动产登记机构应根据不动产登记簿，如实、准确填写并核发不动产权证书或者不动产登记证明，属 9.2 规定情形的除外。</w:t>
      </w:r>
    </w:p>
    <w:p>
      <w:pPr>
        <w:pStyle w:val="176"/>
        <w:numPr>
          <w:ilvl w:val="0"/>
          <w:numId w:val="59"/>
        </w:numPr>
        <w:rPr>
          <w:highlight w:val="none"/>
        </w:rPr>
      </w:pPr>
      <w:r>
        <w:rPr>
          <w:rFonts w:hint="eastAsia"/>
          <w:highlight w:val="none"/>
        </w:rPr>
        <w:t>集体土地所有权，房屋等建筑物、构筑物所有权，森林、林木所有权，森林、林木使用权，林地使用权，土地（林地）承包经营权，土地（林地） 经营权，建设用地使用权，宅基地使用权，国有农用地的使用权等不动产权利登记，核发不动产权证书；</w:t>
      </w:r>
    </w:p>
    <w:p>
      <w:pPr>
        <w:pStyle w:val="176"/>
        <w:numPr>
          <w:ilvl w:val="0"/>
          <w:numId w:val="59"/>
        </w:numPr>
        <w:rPr>
          <w:highlight w:val="none"/>
        </w:rPr>
      </w:pPr>
      <w:r>
        <w:rPr>
          <w:rFonts w:hint="eastAsia"/>
          <w:highlight w:val="none"/>
        </w:rPr>
        <w:t xml:space="preserve">居住权、抵押权、地役权等不动产权利登记和预告登记、异议登记，核发不动产登记证明。 </w:t>
      </w:r>
    </w:p>
    <w:p>
      <w:pPr>
        <w:pStyle w:val="164"/>
        <w:numPr>
          <w:ilvl w:val="2"/>
          <w:numId w:val="54"/>
        </w:numPr>
        <w:rPr>
          <w:highlight w:val="none"/>
        </w:rPr>
      </w:pPr>
      <w:r>
        <w:rPr>
          <w:rFonts w:hint="eastAsia"/>
          <w:highlight w:val="none"/>
        </w:rPr>
        <w:t>属以下情形的，登记事项只记载于不动产登记簿，不核发不动产权证书或者不动产登记证明：</w:t>
      </w:r>
    </w:p>
    <w:p>
      <w:pPr>
        <w:pStyle w:val="176"/>
        <w:numPr>
          <w:ilvl w:val="0"/>
          <w:numId w:val="60"/>
        </w:numPr>
        <w:rPr>
          <w:highlight w:val="none"/>
        </w:rPr>
      </w:pPr>
      <w:r>
        <w:rPr>
          <w:rFonts w:hint="eastAsia"/>
          <w:highlight w:val="none"/>
        </w:rPr>
        <w:t>建筑区划内依法属于业主共有的道路、绿地、其他公共场所、公用设施和物业服务用房等及其占用范围内的建设用地使用权；</w:t>
      </w:r>
    </w:p>
    <w:p>
      <w:pPr>
        <w:pStyle w:val="176"/>
        <w:numPr>
          <w:ilvl w:val="0"/>
          <w:numId w:val="60"/>
        </w:numPr>
        <w:rPr>
          <w:highlight w:val="none"/>
        </w:rPr>
      </w:pPr>
      <w:r>
        <w:rPr>
          <w:rFonts w:hint="eastAsia"/>
          <w:highlight w:val="none"/>
        </w:rPr>
        <w:t>查封登记、预查封登记、注销登记。</w:t>
      </w:r>
    </w:p>
    <w:p>
      <w:pPr>
        <w:pStyle w:val="164"/>
        <w:numPr>
          <w:ilvl w:val="2"/>
          <w:numId w:val="54"/>
        </w:numPr>
        <w:rPr>
          <w:highlight w:val="none"/>
        </w:rPr>
      </w:pPr>
      <w:r>
        <w:rPr>
          <w:rFonts w:hint="eastAsia"/>
          <w:highlight w:val="none"/>
        </w:rPr>
        <w:t>共有的不动产，不动产登记机构向全体共有人合并发放一本不动产权证书； 共有人申请分别持证 的，可以为共有人分别发放不动产权证书。共有不动产权证书应当注明共有情况，并列明全体共有人。</w:t>
      </w:r>
    </w:p>
    <w:p>
      <w:pPr>
        <w:pStyle w:val="164"/>
        <w:numPr>
          <w:ilvl w:val="2"/>
          <w:numId w:val="54"/>
        </w:numPr>
        <w:rPr>
          <w:highlight w:val="none"/>
        </w:rPr>
      </w:pPr>
      <w:r>
        <w:rPr>
          <w:rFonts w:hint="eastAsia"/>
          <w:highlight w:val="none"/>
        </w:rPr>
        <w:t>发放不动产权证书或者不动产登记证明时，不动产登记机构应核对申请人（代理人）的身份证明。</w:t>
      </w:r>
    </w:p>
    <w:p>
      <w:pPr>
        <w:pStyle w:val="106"/>
        <w:numPr>
          <w:ilvl w:val="1"/>
          <w:numId w:val="54"/>
        </w:numPr>
        <w:spacing w:before="312" w:after="312"/>
        <w:rPr>
          <w:highlight w:val="none"/>
        </w:rPr>
      </w:pPr>
      <w:bookmarkStart w:id="88" w:name="_Toc5532"/>
      <w:r>
        <w:rPr>
          <w:rFonts w:hint="eastAsia"/>
          <w:highlight w:val="none"/>
        </w:rPr>
        <w:t>互联网+不动产登记</w:t>
      </w:r>
      <w:bookmarkEnd w:id="88"/>
    </w:p>
    <w:p>
      <w:pPr>
        <w:pStyle w:val="58"/>
        <w:ind w:firstLine="420"/>
        <w:rPr>
          <w:highlight w:val="none"/>
        </w:rPr>
      </w:pPr>
      <w:r>
        <w:rPr>
          <w:rFonts w:hint="eastAsia"/>
          <w:highlight w:val="none"/>
        </w:rPr>
        <w:t>不动产登记机构应规范推进“互联网+不动产登记”，实现线上线下深度融合。有技术条件的不动产登记机构，可利用互联网、大数据、人脸识别、在线支付等技术，推出网页版、微信版、自助终端版不动产登记网上申请平台，为群众提供多种选择，构建多层次、多维度不动产登记网上办事大厅。</w:t>
      </w:r>
    </w:p>
    <w:p>
      <w:pPr>
        <w:pStyle w:val="107"/>
        <w:numPr>
          <w:ilvl w:val="2"/>
          <w:numId w:val="54"/>
        </w:numPr>
        <w:spacing w:before="156" w:after="156"/>
        <w:rPr>
          <w:highlight w:val="none"/>
        </w:rPr>
      </w:pPr>
      <w:bookmarkStart w:id="89" w:name="_Toc32485"/>
      <w:r>
        <w:rPr>
          <w:rFonts w:hint="eastAsia"/>
          <w:highlight w:val="none"/>
        </w:rPr>
        <w:t>网上申请</w:t>
      </w:r>
      <w:bookmarkEnd w:id="89"/>
    </w:p>
    <w:p>
      <w:pPr>
        <w:pStyle w:val="58"/>
        <w:ind w:firstLine="420"/>
        <w:rPr>
          <w:highlight w:val="none"/>
        </w:rPr>
      </w:pPr>
      <w:r>
        <w:rPr>
          <w:rFonts w:hint="eastAsia"/>
          <w:highlight w:val="none"/>
        </w:rPr>
        <w:t>不动产登记机构应构建网上“一窗办事”平台， 推行“外网申请、内网审核”模式，实现线上统一申请、联网审核、网上反馈、现场核验、一次办结，并提供网上预约、网上查询、网上支付和网上出 具电子</w:t>
      </w:r>
      <w:r>
        <w:rPr>
          <w:rFonts w:hint="eastAsia"/>
          <w:highlight w:val="none"/>
          <w:lang w:eastAsia="zh-CN"/>
        </w:rPr>
        <w:t>证照</w:t>
      </w:r>
      <w:r>
        <w:rPr>
          <w:rFonts w:hint="eastAsia"/>
          <w:highlight w:val="none"/>
        </w:rPr>
        <w:t>等服务。</w:t>
      </w:r>
    </w:p>
    <w:p>
      <w:pPr>
        <w:pStyle w:val="107"/>
        <w:numPr>
          <w:ilvl w:val="2"/>
          <w:numId w:val="54"/>
        </w:numPr>
        <w:spacing w:before="156" w:after="156"/>
        <w:rPr>
          <w:highlight w:val="none"/>
        </w:rPr>
      </w:pPr>
      <w:bookmarkStart w:id="90" w:name="_Toc21778"/>
      <w:r>
        <w:rPr>
          <w:rFonts w:hint="eastAsia"/>
          <w:highlight w:val="none"/>
        </w:rPr>
        <w:t>一网通办</w:t>
      </w:r>
      <w:bookmarkEnd w:id="90"/>
    </w:p>
    <w:p>
      <w:pPr>
        <w:pStyle w:val="167"/>
        <w:numPr>
          <w:ilvl w:val="3"/>
          <w:numId w:val="54"/>
        </w:numPr>
        <w:ind w:left="0"/>
        <w:rPr>
          <w:highlight w:val="none"/>
        </w:rPr>
      </w:pPr>
      <w:r>
        <w:rPr>
          <w:rFonts w:hint="eastAsia"/>
          <w:highlight w:val="none"/>
        </w:rPr>
        <w:t>不动产登记机构应加强部门协作和信息互联互通，建立健全信息集成和流程集成机制，基于网上 “一窗办事”平台， 打通不动产登记所涉及部门的信息系统，可向符合下列要求的企业用户延伸服务端，设置便民服务点，为群众提供“一站式服务”，推动不动产登记所涉交易、贷款、税费缴纳、水电气过户等事项“一网通办”：</w:t>
      </w:r>
    </w:p>
    <w:p>
      <w:pPr>
        <w:pStyle w:val="58"/>
        <w:ind w:firstLine="420"/>
        <w:rPr>
          <w:highlight w:val="none"/>
        </w:rPr>
      </w:pPr>
      <w:r>
        <w:rPr>
          <w:rFonts w:hint="eastAsia"/>
          <w:highlight w:val="none"/>
        </w:rPr>
        <w:t>a)  企业用户无失信记录；</w:t>
      </w:r>
    </w:p>
    <w:p>
      <w:pPr>
        <w:pStyle w:val="58"/>
        <w:ind w:firstLine="420"/>
        <w:rPr>
          <w:highlight w:val="none"/>
        </w:rPr>
      </w:pPr>
      <w:r>
        <w:rPr>
          <w:rFonts w:hint="eastAsia"/>
          <w:highlight w:val="none"/>
        </w:rPr>
        <w:t>b)  签署信息共享保密协议或采用技术手段保护信息安全；</w:t>
      </w:r>
    </w:p>
    <w:p>
      <w:pPr>
        <w:pStyle w:val="58"/>
        <w:ind w:firstLine="420"/>
        <w:rPr>
          <w:highlight w:val="none"/>
        </w:rPr>
      </w:pPr>
      <w:r>
        <w:rPr>
          <w:rFonts w:hint="eastAsia"/>
          <w:highlight w:val="none"/>
        </w:rPr>
        <w:t>c)  签署合作协议，明确双方权利、责任和义务；</w:t>
      </w:r>
    </w:p>
    <w:p>
      <w:pPr>
        <w:pStyle w:val="58"/>
        <w:ind w:firstLine="420"/>
        <w:rPr>
          <w:highlight w:val="none"/>
        </w:rPr>
      </w:pPr>
      <w:r>
        <w:rPr>
          <w:rFonts w:hint="eastAsia"/>
          <w:highlight w:val="none"/>
        </w:rPr>
        <w:t>d)  专人专岗，熟悉不动产登记业务。</w:t>
      </w:r>
    </w:p>
    <w:p>
      <w:pPr>
        <w:pStyle w:val="167"/>
        <w:numPr>
          <w:ilvl w:val="3"/>
          <w:numId w:val="54"/>
        </w:numPr>
        <w:ind w:left="0"/>
        <w:rPr>
          <w:highlight w:val="none"/>
        </w:rPr>
      </w:pPr>
      <w:r>
        <w:rPr>
          <w:rFonts w:hint="eastAsia"/>
          <w:highlight w:val="none"/>
        </w:rPr>
        <w:t>有技术条件的不动产登记机构，可稳妥推行不动产登记“无纸化”“智慧化”，推</w:t>
      </w:r>
      <w:r>
        <w:rPr>
          <w:rFonts w:hint="eastAsia"/>
          <w:highlight w:val="none"/>
          <w:lang w:eastAsia="zh-CN"/>
        </w:rPr>
        <w:t>行</w:t>
      </w:r>
      <w:r>
        <w:rPr>
          <w:rFonts w:hint="eastAsia"/>
          <w:highlight w:val="none"/>
        </w:rPr>
        <w:t>全程网办、跨省通办。</w:t>
      </w:r>
    </w:p>
    <w:p>
      <w:pPr>
        <w:pStyle w:val="58"/>
        <w:ind w:firstLine="420"/>
        <w:rPr>
          <w:highlight w:val="none"/>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start="1"/>
          <w:cols w:space="425" w:num="1"/>
          <w:formProt w:val="0"/>
          <w:docGrid w:type="lines" w:linePitch="312" w:charSpace="0"/>
        </w:sectPr>
      </w:pPr>
    </w:p>
    <w:bookmarkEnd w:id="24"/>
    <w:p>
      <w:pPr>
        <w:pStyle w:val="200"/>
        <w:rPr>
          <w:vanish w:val="0"/>
          <w:highlight w:val="none"/>
        </w:rPr>
      </w:pPr>
      <w:bookmarkStart w:id="91" w:name="BookMark5"/>
    </w:p>
    <w:p>
      <w:pPr>
        <w:pStyle w:val="201"/>
        <w:rPr>
          <w:vanish w:val="0"/>
          <w:highlight w:val="none"/>
        </w:rPr>
      </w:pPr>
    </w:p>
    <w:p>
      <w:pPr>
        <w:pStyle w:val="78"/>
        <w:spacing w:after="156"/>
        <w:rPr>
          <w:highlight w:val="none"/>
        </w:rPr>
      </w:pPr>
      <w:bookmarkStart w:id="92" w:name="_Toc16159"/>
      <w:r>
        <w:rPr>
          <w:highlight w:val="none"/>
        </w:rPr>
        <w:br w:type="textWrapping"/>
      </w:r>
      <w:bookmarkStart w:id="93" w:name="_Toc148013727"/>
      <w:r>
        <w:rPr>
          <w:rFonts w:hint="eastAsia"/>
          <w:highlight w:val="none"/>
        </w:rPr>
        <w:t>（资料性）</w:t>
      </w:r>
      <w:r>
        <w:rPr>
          <w:highlight w:val="none"/>
        </w:rPr>
        <w:br w:type="textWrapping"/>
      </w:r>
      <w:r>
        <w:rPr>
          <w:rFonts w:hint="eastAsia"/>
          <w:highlight w:val="none"/>
        </w:rPr>
        <w:t>不动产登记业务流程图</w:t>
      </w:r>
      <w:bookmarkEnd w:id="92"/>
      <w:bookmarkEnd w:id="93"/>
    </w:p>
    <w:p>
      <w:pPr>
        <w:pStyle w:val="58"/>
        <w:ind w:firstLine="420"/>
        <w:jc w:val="center"/>
        <w:rPr>
          <w:highlight w:val="none"/>
        </w:rPr>
      </w:pPr>
      <w:r>
        <w:rPr>
          <w:rFonts w:hint="eastAsia"/>
          <w:highlight w:val="none"/>
        </w:rPr>
        <w:drawing>
          <wp:inline distT="0" distB="0" distL="0" distR="0">
            <wp:extent cx="5060315" cy="4008120"/>
            <wp:effectExtent l="0" t="0" r="698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5072977" cy="4018593"/>
                    </a:xfrm>
                    <a:prstGeom prst="rect">
                      <a:avLst/>
                    </a:prstGeom>
                  </pic:spPr>
                </pic:pic>
              </a:graphicData>
            </a:graphic>
          </wp:inline>
        </w:drawing>
      </w:r>
    </w:p>
    <w:p>
      <w:pPr>
        <w:pStyle w:val="58"/>
        <w:ind w:firstLine="420"/>
        <w:rPr>
          <w:highlight w:val="none"/>
        </w:rPr>
        <w:sectPr>
          <w:pgSz w:w="16838" w:h="11906" w:orient="landscape"/>
          <w:pgMar w:top="1134" w:right="1134" w:bottom="1134" w:left="1928" w:header="1418" w:footer="1134" w:gutter="284"/>
          <w:cols w:space="425" w:num="1"/>
          <w:formProt w:val="0"/>
          <w:docGrid w:type="lines" w:linePitch="312" w:charSpace="0"/>
        </w:sectPr>
      </w:pPr>
    </w:p>
    <w:p>
      <w:pPr>
        <w:pStyle w:val="200"/>
        <w:rPr>
          <w:vanish w:val="0"/>
          <w:highlight w:val="none"/>
        </w:rPr>
      </w:pPr>
    </w:p>
    <w:p>
      <w:pPr>
        <w:pStyle w:val="201"/>
        <w:rPr>
          <w:vanish w:val="0"/>
          <w:highlight w:val="none"/>
        </w:rPr>
      </w:pPr>
    </w:p>
    <w:p>
      <w:pPr>
        <w:pStyle w:val="78"/>
        <w:spacing w:after="156"/>
        <w:rPr>
          <w:highlight w:val="none"/>
        </w:rPr>
      </w:pPr>
      <w:bookmarkStart w:id="94" w:name="_Toc4904"/>
      <w:r>
        <w:rPr>
          <w:highlight w:val="none"/>
        </w:rPr>
        <w:br w:type="textWrapping"/>
      </w:r>
      <w:bookmarkStart w:id="95" w:name="_Toc148013728"/>
      <w:r>
        <w:rPr>
          <w:rFonts w:hint="eastAsia"/>
          <w:highlight w:val="none"/>
        </w:rPr>
        <w:t>（资料性）</w:t>
      </w:r>
      <w:r>
        <w:rPr>
          <w:highlight w:val="none"/>
        </w:rPr>
        <w:br w:type="textWrapping"/>
      </w:r>
      <w:r>
        <w:rPr>
          <w:rFonts w:hint="eastAsia"/>
          <w:highlight w:val="none"/>
        </w:rPr>
        <w:t>不动产登记申请书及使用填写说明</w:t>
      </w:r>
      <w:bookmarkEnd w:id="94"/>
      <w:bookmarkEnd w:id="95"/>
    </w:p>
    <w:p>
      <w:pPr>
        <w:pStyle w:val="80"/>
        <w:spacing w:before="156" w:after="156"/>
        <w:rPr>
          <w:highlight w:val="none"/>
        </w:rPr>
      </w:pPr>
      <w:bookmarkStart w:id="96" w:name="_Toc148013729"/>
      <w:bookmarkStart w:id="97" w:name="_Toc6318"/>
      <w:r>
        <w:rPr>
          <w:rFonts w:hint="eastAsia"/>
          <w:highlight w:val="none"/>
        </w:rPr>
        <w:t>不动产登记申请书</w:t>
      </w:r>
      <w:bookmarkEnd w:id="96"/>
      <w:bookmarkEnd w:id="97"/>
    </w:p>
    <w:p>
      <w:pPr>
        <w:pStyle w:val="81"/>
        <w:spacing w:before="156" w:after="156"/>
        <w:rPr>
          <w:highlight w:val="none"/>
        </w:rPr>
      </w:pPr>
      <w:r>
        <w:rPr>
          <w:rFonts w:hint="eastAsia"/>
          <w:highlight w:val="none"/>
        </w:rPr>
        <w:t>不动产登记申请书（除抵押登记）</w:t>
      </w:r>
    </w:p>
    <w:p>
      <w:pPr>
        <w:pStyle w:val="79"/>
        <w:numPr>
          <w:ilvl w:val="0"/>
          <w:numId w:val="0"/>
        </w:numPr>
        <w:spacing w:before="156" w:after="156"/>
        <w:rPr>
          <w:highlight w:val="none"/>
        </w:rPr>
      </w:pPr>
      <w:r>
        <w:rPr>
          <w:rFonts w:hint="eastAsia"/>
          <w:highlight w:val="none"/>
        </w:rPr>
        <mc:AlternateContent>
          <mc:Choice Requires="wps">
            <w:drawing>
              <wp:anchor distT="0" distB="0" distL="114300" distR="114300" simplePos="0" relativeHeight="251661312" behindDoc="0" locked="0" layoutInCell="1" allowOverlap="1">
                <wp:simplePos x="0" y="0"/>
                <wp:positionH relativeFrom="column">
                  <wp:posOffset>10160</wp:posOffset>
                </wp:positionH>
                <wp:positionV relativeFrom="paragraph">
                  <wp:posOffset>267335</wp:posOffset>
                </wp:positionV>
                <wp:extent cx="3686175" cy="516890"/>
                <wp:effectExtent l="0" t="0" r="28575" b="17145"/>
                <wp:wrapNone/>
                <wp:docPr id="4" name="矩形 4"/>
                <wp:cNvGraphicFramePr/>
                <a:graphic xmlns:a="http://schemas.openxmlformats.org/drawingml/2006/main">
                  <a:graphicData uri="http://schemas.microsoft.com/office/word/2010/wordprocessingShape">
                    <wps:wsp>
                      <wps:cNvSpPr/>
                      <wps:spPr>
                        <a:xfrm>
                          <a:off x="0" y="0"/>
                          <a:ext cx="3686175" cy="51657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8pt;margin-top:21.05pt;height:40.7pt;width:290.25pt;z-index:251661312;v-text-anchor:middle;mso-width-relative:page;mso-height-relative:page;" filled="f" stroked="t" coordsize="21600,21600" o:gfxdata="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s9kNG1gAAAAgBAAAPAAAAAAAAAAEAIAAAACIAAABkcnMvZG93bnJldi54bWxQSwEC&#10;FAAUAAAACACHTuJAp9RJgmgCAADLBAAADgAAAAAAAAABACAAAAAlAQAAZHJzL2Uyb0RvYy54bWxQ&#10;SwUGAAAAAAYABgBZAQAA/wUAAAAA&#10;">
                <v:fill on="f" focussize="0,0"/>
                <v:stroke weight="1pt" color="#000000 [3213]" miterlimit="8" joinstyle="miter"/>
                <v:imagedata o:title=""/>
                <o:lock v:ext="edit" aspectratio="f"/>
              </v:rect>
            </w:pict>
          </mc:Fallback>
        </mc:AlternateContent>
      </w:r>
      <w:r>
        <w:rPr>
          <w:rFonts w:hint="eastAsia"/>
          <w:highlight w:val="none"/>
        </w:rPr>
        <w:t>不动产登记申请书（除抵押登记）</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567"/>
        <w:gridCol w:w="1985"/>
        <w:gridCol w:w="850"/>
        <w:gridCol w:w="1843"/>
        <w:gridCol w:w="35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557" w:type="dxa"/>
            <w:vMerge w:val="restart"/>
            <w:tcBorders>
              <w:top w:val="nil"/>
            </w:tcBorders>
            <w:shd w:val="clear" w:color="auto" w:fill="auto"/>
            <w:vAlign w:val="center"/>
          </w:tcPr>
          <w:p>
            <w:pPr>
              <w:pStyle w:val="180"/>
              <w:rPr>
                <w:highlight w:val="none"/>
              </w:rPr>
            </w:pPr>
            <w:r>
              <w:rPr>
                <w:rFonts w:hint="eastAsia"/>
                <w:highlight w:val="none"/>
              </w:rPr>
              <w:t>收件</w:t>
            </w:r>
          </w:p>
        </w:tc>
        <w:tc>
          <w:tcPr>
            <w:tcW w:w="567" w:type="dxa"/>
            <w:tcBorders>
              <w:top w:val="nil"/>
              <w:bottom w:val="single" w:color="auto" w:sz="8" w:space="0"/>
            </w:tcBorders>
            <w:shd w:val="clear" w:color="auto" w:fill="auto"/>
            <w:vAlign w:val="center"/>
          </w:tcPr>
          <w:p>
            <w:pPr>
              <w:pStyle w:val="180"/>
              <w:rPr>
                <w:highlight w:val="none"/>
              </w:rPr>
            </w:pPr>
            <w:r>
              <w:rPr>
                <w:rFonts w:hint="eastAsia"/>
                <w:highlight w:val="none"/>
              </w:rPr>
              <w:t>编号</w:t>
            </w:r>
          </w:p>
        </w:tc>
        <w:tc>
          <w:tcPr>
            <w:tcW w:w="1985" w:type="dxa"/>
            <w:tcBorders>
              <w:top w:val="nil"/>
              <w:bottom w:val="single" w:color="auto" w:sz="8" w:space="0"/>
            </w:tcBorders>
            <w:shd w:val="clear" w:color="auto" w:fill="auto"/>
            <w:vAlign w:val="center"/>
          </w:tcPr>
          <w:p>
            <w:pPr>
              <w:pStyle w:val="180"/>
              <w:rPr>
                <w:highlight w:val="none"/>
              </w:rPr>
            </w:pPr>
            <w:r>
              <w:rPr>
                <w:rFonts w:hint="eastAsia"/>
                <w:highlight w:val="none"/>
              </w:rPr>
              <w:t xml:space="preserve"> </w:t>
            </w:r>
            <w:r>
              <w:rPr>
                <w:highlight w:val="none"/>
              </w:rPr>
              <w:t xml:space="preserve">          </w:t>
            </w:r>
            <w:r>
              <w:rPr>
                <w:highlight w:val="none"/>
              </w:rPr>
              <w:softHyphen/>
            </w:r>
            <w:r>
              <w:rPr>
                <w:highlight w:val="none"/>
              </w:rPr>
              <w:softHyphen/>
            </w:r>
            <w:r>
              <w:rPr>
                <w:highlight w:val="none"/>
              </w:rPr>
              <w:softHyphen/>
            </w:r>
            <w:r>
              <w:rPr>
                <w:highlight w:val="none"/>
              </w:rPr>
              <w:t xml:space="preserve"> </w:t>
            </w:r>
          </w:p>
        </w:tc>
        <w:tc>
          <w:tcPr>
            <w:tcW w:w="850" w:type="dxa"/>
            <w:vMerge w:val="restart"/>
            <w:tcBorders>
              <w:top w:val="nil"/>
            </w:tcBorders>
            <w:shd w:val="clear" w:color="auto" w:fill="auto"/>
            <w:vAlign w:val="center"/>
          </w:tcPr>
          <w:p>
            <w:pPr>
              <w:pStyle w:val="180"/>
              <w:rPr>
                <w:highlight w:val="none"/>
              </w:rPr>
            </w:pPr>
            <w:r>
              <w:rPr>
                <w:rFonts w:hint="eastAsia"/>
                <w:highlight w:val="none"/>
              </w:rPr>
              <w:t>收件人</w:t>
            </w:r>
          </w:p>
        </w:tc>
        <w:tc>
          <w:tcPr>
            <w:tcW w:w="1843" w:type="dxa"/>
            <w:tcBorders>
              <w:top w:val="nil"/>
              <w:bottom w:val="single" w:color="auto" w:sz="8" w:space="0"/>
            </w:tcBorders>
            <w:shd w:val="clear" w:color="auto" w:fill="auto"/>
            <w:vAlign w:val="center"/>
          </w:tcPr>
          <w:p>
            <w:pPr>
              <w:pStyle w:val="180"/>
              <w:rPr>
                <w:highlight w:val="none"/>
              </w:rPr>
            </w:pPr>
          </w:p>
        </w:tc>
        <w:tc>
          <w:tcPr>
            <w:tcW w:w="3532" w:type="dxa"/>
            <w:vMerge w:val="restart"/>
            <w:tcBorders>
              <w:top w:val="nil"/>
              <w:right w:val="nil"/>
            </w:tcBorders>
            <w:shd w:val="clear" w:color="auto" w:fill="auto"/>
            <w:vAlign w:val="center"/>
          </w:tcPr>
          <w:p>
            <w:pPr>
              <w:pStyle w:val="180"/>
              <w:rPr>
                <w:highlight w:val="none"/>
              </w:rPr>
            </w:pPr>
            <w:r>
              <w:rPr>
                <w:rFonts w:hint="eastAsia"/>
                <w:highlight w:val="none"/>
              </w:rPr>
              <w:t>单位：□平方米 □公顷（□亩）、□万元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57" w:type="dxa"/>
            <w:vMerge w:val="continue"/>
            <w:tcBorders>
              <w:bottom w:val="nil"/>
            </w:tcBorders>
            <w:shd w:val="clear" w:color="auto" w:fill="auto"/>
            <w:vAlign w:val="center"/>
          </w:tcPr>
          <w:p>
            <w:pPr>
              <w:pStyle w:val="180"/>
              <w:rPr>
                <w:highlight w:val="none"/>
              </w:rPr>
            </w:pPr>
          </w:p>
        </w:tc>
        <w:tc>
          <w:tcPr>
            <w:tcW w:w="567" w:type="dxa"/>
            <w:tcBorders>
              <w:top w:val="single" w:color="auto" w:sz="8" w:space="0"/>
              <w:bottom w:val="nil"/>
            </w:tcBorders>
            <w:shd w:val="clear" w:color="auto" w:fill="auto"/>
            <w:vAlign w:val="center"/>
          </w:tcPr>
          <w:p>
            <w:pPr>
              <w:pStyle w:val="180"/>
              <w:rPr>
                <w:highlight w:val="none"/>
              </w:rPr>
            </w:pPr>
            <w:r>
              <w:rPr>
                <w:rFonts w:hint="eastAsia"/>
                <w:highlight w:val="none"/>
              </w:rPr>
              <w:t>日期</w:t>
            </w:r>
          </w:p>
        </w:tc>
        <w:tc>
          <w:tcPr>
            <w:tcW w:w="1985" w:type="dxa"/>
            <w:tcBorders>
              <w:top w:val="single" w:color="auto" w:sz="8" w:space="0"/>
              <w:bottom w:val="nil"/>
            </w:tcBorders>
            <w:shd w:val="clear" w:color="auto" w:fill="auto"/>
            <w:vAlign w:val="center"/>
          </w:tcPr>
          <w:p>
            <w:pPr>
              <w:pStyle w:val="180"/>
              <w:rPr>
                <w:highlight w:val="none"/>
              </w:rPr>
            </w:pPr>
          </w:p>
        </w:tc>
        <w:tc>
          <w:tcPr>
            <w:tcW w:w="850" w:type="dxa"/>
            <w:vMerge w:val="continue"/>
            <w:tcBorders>
              <w:bottom w:val="nil"/>
            </w:tcBorders>
            <w:shd w:val="clear" w:color="auto" w:fill="auto"/>
            <w:vAlign w:val="center"/>
          </w:tcPr>
          <w:p>
            <w:pPr>
              <w:pStyle w:val="180"/>
              <w:rPr>
                <w:highlight w:val="none"/>
              </w:rPr>
            </w:pPr>
          </w:p>
        </w:tc>
        <w:tc>
          <w:tcPr>
            <w:tcW w:w="1843" w:type="dxa"/>
            <w:tcBorders>
              <w:top w:val="single" w:color="auto" w:sz="8" w:space="0"/>
              <w:bottom w:val="nil"/>
            </w:tcBorders>
            <w:shd w:val="clear" w:color="auto" w:fill="auto"/>
            <w:vAlign w:val="center"/>
          </w:tcPr>
          <w:p>
            <w:pPr>
              <w:pStyle w:val="180"/>
              <w:rPr>
                <w:highlight w:val="none"/>
              </w:rPr>
            </w:pPr>
          </w:p>
        </w:tc>
        <w:tc>
          <w:tcPr>
            <w:tcW w:w="3532" w:type="dxa"/>
            <w:vMerge w:val="continue"/>
            <w:tcBorders>
              <w:bottom w:val="nil"/>
              <w:right w:val="nil"/>
            </w:tcBorders>
            <w:shd w:val="clear" w:color="auto" w:fill="auto"/>
            <w:vAlign w:val="center"/>
          </w:tcPr>
          <w:p>
            <w:pPr>
              <w:pStyle w:val="180"/>
              <w:rPr>
                <w:highlight w:val="none"/>
              </w:rPr>
            </w:pPr>
          </w:p>
        </w:tc>
      </w:tr>
    </w:tbl>
    <w:p>
      <w:pPr>
        <w:pStyle w:val="58"/>
        <w:ind w:firstLine="420"/>
        <w:rPr>
          <w:highlight w:val="none"/>
        </w:rPr>
      </w:pP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4"/>
        <w:gridCol w:w="2127"/>
        <w:gridCol w:w="12"/>
        <w:gridCol w:w="2116"/>
        <w:gridCol w:w="1148"/>
        <w:gridCol w:w="1134"/>
        <w:gridCol w:w="197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824" w:type="dxa"/>
            <w:vMerge w:val="restart"/>
            <w:tcBorders>
              <w:top w:val="single" w:color="auto" w:sz="8" w:space="0"/>
            </w:tcBorders>
            <w:shd w:val="clear" w:color="auto" w:fill="auto"/>
            <w:vAlign w:val="center"/>
          </w:tcPr>
          <w:p>
            <w:pPr>
              <w:pStyle w:val="180"/>
              <w:rPr>
                <w:highlight w:val="none"/>
              </w:rPr>
            </w:pPr>
            <w:r>
              <w:rPr>
                <w:highlight w:val="none"/>
              </w:rPr>
              <w:softHyphen/>
            </w:r>
            <w:r>
              <w:rPr>
                <w:highlight w:val="none"/>
              </w:rPr>
              <w:softHyphen/>
            </w:r>
            <w:r>
              <w:rPr>
                <w:rFonts w:hint="eastAsia"/>
                <w:highlight w:val="none"/>
              </w:rPr>
              <w:t>申请</w:t>
            </w:r>
          </w:p>
          <w:p>
            <w:pPr>
              <w:pStyle w:val="180"/>
              <w:rPr>
                <w:highlight w:val="none"/>
              </w:rPr>
            </w:pPr>
            <w:r>
              <w:rPr>
                <w:rFonts w:hint="eastAsia"/>
                <w:highlight w:val="none"/>
              </w:rPr>
              <w:t>登记</w:t>
            </w:r>
          </w:p>
          <w:p>
            <w:pPr>
              <w:pStyle w:val="180"/>
              <w:rPr>
                <w:highlight w:val="none"/>
              </w:rPr>
            </w:pPr>
            <w:r>
              <w:rPr>
                <w:rFonts w:hint="eastAsia"/>
                <w:highlight w:val="none"/>
              </w:rPr>
              <w:t>事由</w:t>
            </w:r>
          </w:p>
        </w:tc>
        <w:tc>
          <w:tcPr>
            <w:tcW w:w="8510" w:type="dxa"/>
            <w:gridSpan w:val="6"/>
            <w:tcBorders>
              <w:top w:val="single" w:color="auto" w:sz="8" w:space="0"/>
              <w:bottom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□国有建设用地使用权 □集体建设用地使用权 □集体土地所有权 □宅基地使用权 □林地使用权/森林、林木使用权 □林地使用权/林木所有权 □林地经营权/林木所有权或林地经营权/林木使用权 林地承包经营权/林木所有权 □土地承包经营权 □土地经营权 □国有农用地使用权 □地役权 □居住权 □水域滩涂养殖权 □房屋所有权 □建筑物、构筑物所有权 □换证 □遗失补证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24" w:type="dxa"/>
            <w:vMerge w:val="continue"/>
            <w:shd w:val="clear" w:color="auto" w:fill="auto"/>
            <w:vAlign w:val="center"/>
          </w:tcPr>
          <w:p>
            <w:pPr>
              <w:pStyle w:val="180"/>
              <w:rPr>
                <w:highlight w:val="none"/>
              </w:rPr>
            </w:pPr>
          </w:p>
        </w:tc>
        <w:tc>
          <w:tcPr>
            <w:tcW w:w="8510" w:type="dxa"/>
            <w:gridSpan w:val="6"/>
            <w:tcBorders>
              <w:top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□首次登记 □转移登记 □变更登记 □注销登记 □更正登记 □异议登记 □注销异议登记 □预告登记 </w:t>
            </w:r>
          </w:p>
          <w:p>
            <w:pPr>
              <w:pStyle w:val="180"/>
              <w:jc w:val="left"/>
              <w:rPr>
                <w:highlight w:val="none"/>
              </w:rPr>
            </w:pPr>
            <w:r>
              <w:rPr>
                <w:rFonts w:hint="eastAsia"/>
                <w:highlight w:val="none"/>
              </w:rPr>
              <w:t>□其他</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restart"/>
            <w:shd w:val="clear" w:color="auto" w:fill="auto"/>
            <w:vAlign w:val="center"/>
          </w:tcPr>
          <w:p>
            <w:pPr>
              <w:pStyle w:val="180"/>
              <w:rPr>
                <w:highlight w:val="none"/>
              </w:rPr>
            </w:pPr>
            <w:r>
              <w:rPr>
                <w:rFonts w:hint="eastAsia"/>
                <w:highlight w:val="none"/>
              </w:rPr>
              <w:t>申</w:t>
            </w:r>
          </w:p>
          <w:p>
            <w:pPr>
              <w:pStyle w:val="180"/>
              <w:rPr>
                <w:highlight w:val="none"/>
              </w:rPr>
            </w:pPr>
            <w:r>
              <w:rPr>
                <w:rFonts w:hint="eastAsia"/>
                <w:highlight w:val="none"/>
              </w:rPr>
              <w:t>请</w:t>
            </w:r>
          </w:p>
          <w:p>
            <w:pPr>
              <w:pStyle w:val="180"/>
              <w:rPr>
                <w:highlight w:val="none"/>
              </w:rPr>
            </w:pPr>
            <w:r>
              <w:rPr>
                <w:rFonts w:hint="eastAsia"/>
                <w:highlight w:val="none"/>
              </w:rPr>
              <w:t>人</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8510" w:type="dxa"/>
            <w:gridSpan w:val="6"/>
            <w:shd w:val="clear" w:color="auto" w:fill="auto"/>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权利人姓名（名称）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ind w:firstLine="180" w:firstLineChars="100"/>
              <w:jc w:val="left"/>
              <w:rPr>
                <w:highlight w:val="none"/>
              </w:rPr>
            </w:pPr>
            <w:r>
              <w:rPr>
                <w:rFonts w:hint="eastAsia"/>
                <w:highlight w:val="none"/>
              </w:rPr>
              <w:t>证件号码</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通讯地址</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代理机构名称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8510" w:type="dxa"/>
            <w:gridSpan w:val="6"/>
            <w:shd w:val="clear" w:color="auto" w:fill="auto"/>
            <w:tcMar>
              <w:left w:w="57" w:type="dxa"/>
              <w:right w:w="57" w:type="dxa"/>
            </w:tcMar>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义务人姓名（名称）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ind w:firstLine="180" w:firstLineChars="100"/>
              <w:jc w:val="left"/>
              <w:rPr>
                <w:highlight w:val="none"/>
              </w:rPr>
            </w:pPr>
            <w:r>
              <w:rPr>
                <w:rFonts w:hint="eastAsia"/>
                <w:highlight w:val="none"/>
              </w:rPr>
              <w:t>证件号码</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通讯地址</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6" w:type="dxa"/>
            <w:shd w:val="clear" w:color="auto" w:fill="auto"/>
            <w:vAlign w:val="center"/>
          </w:tcPr>
          <w:p>
            <w:pPr>
              <w:pStyle w:val="180"/>
              <w:jc w:val="left"/>
              <w:rPr>
                <w:highlight w:val="none"/>
              </w:rPr>
            </w:pPr>
          </w:p>
        </w:tc>
        <w:tc>
          <w:tcPr>
            <w:tcW w:w="1148"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联系电话</w:t>
            </w:r>
          </w:p>
        </w:tc>
        <w:tc>
          <w:tcPr>
            <w:tcW w:w="3107" w:type="dxa"/>
            <w:gridSpan w:val="2"/>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代理机构名称</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restart"/>
            <w:shd w:val="clear" w:color="auto" w:fill="auto"/>
            <w:vAlign w:val="center"/>
          </w:tcPr>
          <w:p>
            <w:pPr>
              <w:pStyle w:val="180"/>
              <w:rPr>
                <w:highlight w:val="none"/>
              </w:rPr>
            </w:pPr>
            <w:r>
              <w:rPr>
                <w:rFonts w:hint="eastAsia"/>
                <w:highlight w:val="none"/>
              </w:rPr>
              <w:t>不</w:t>
            </w:r>
          </w:p>
          <w:p>
            <w:pPr>
              <w:pStyle w:val="180"/>
              <w:rPr>
                <w:highlight w:val="none"/>
              </w:rPr>
            </w:pPr>
            <w:r>
              <w:rPr>
                <w:rFonts w:hint="eastAsia"/>
                <w:highlight w:val="none"/>
              </w:rPr>
              <w:t>动</w:t>
            </w:r>
          </w:p>
          <w:p>
            <w:pPr>
              <w:pStyle w:val="180"/>
              <w:rPr>
                <w:highlight w:val="none"/>
              </w:rPr>
            </w:pPr>
            <w:r>
              <w:rPr>
                <w:rFonts w:hint="eastAsia"/>
                <w:highlight w:val="none"/>
              </w:rPr>
              <w:t>产</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坐  落</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不动产单元号</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jc w:val="left"/>
              <w:rPr>
                <w:highlight w:val="none"/>
              </w:rPr>
            </w:pPr>
            <w:r>
              <w:rPr>
                <w:rFonts w:hint="eastAsia"/>
                <w:highlight w:val="none"/>
              </w:rPr>
              <w:t xml:space="preserve"> 不动产类型</w:t>
            </w:r>
          </w:p>
        </w:tc>
        <w:tc>
          <w:tcPr>
            <w:tcW w:w="1973"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面  积</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rPr>
                <w:highlight w:val="none"/>
              </w:rPr>
            </w:pPr>
            <w:r>
              <w:rPr>
                <w:rFonts w:hint="eastAsia"/>
                <w:highlight w:val="none"/>
              </w:rPr>
              <w:t>用  途</w:t>
            </w:r>
          </w:p>
        </w:tc>
        <w:tc>
          <w:tcPr>
            <w:tcW w:w="1973"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原不动产权属证书号</w:t>
            </w:r>
          </w:p>
        </w:tc>
        <w:tc>
          <w:tcPr>
            <w:tcW w:w="6371" w:type="dxa"/>
            <w:gridSpan w:val="4"/>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24"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构筑物类型</w:t>
            </w:r>
          </w:p>
        </w:tc>
        <w:tc>
          <w:tcPr>
            <w:tcW w:w="3276" w:type="dxa"/>
            <w:gridSpan w:val="3"/>
            <w:shd w:val="clear" w:color="auto" w:fill="auto"/>
            <w:vAlign w:val="center"/>
          </w:tcPr>
          <w:p>
            <w:pPr>
              <w:pStyle w:val="180"/>
              <w:jc w:val="left"/>
              <w:rPr>
                <w:highlight w:val="none"/>
              </w:rPr>
            </w:pPr>
          </w:p>
        </w:tc>
        <w:tc>
          <w:tcPr>
            <w:tcW w:w="1134"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林  种</w:t>
            </w:r>
          </w:p>
        </w:tc>
        <w:tc>
          <w:tcPr>
            <w:tcW w:w="1973" w:type="dxa"/>
            <w:shd w:val="clear" w:color="auto" w:fill="auto"/>
            <w:vAlign w:val="center"/>
          </w:tcPr>
          <w:p>
            <w:pPr>
              <w:pStyle w:val="180"/>
              <w:jc w:val="left"/>
              <w:rPr>
                <w:highlight w:val="none"/>
              </w:rPr>
            </w:pPr>
          </w:p>
        </w:tc>
      </w:tr>
    </w:tbl>
    <w:p>
      <w:pPr>
        <w:pStyle w:val="58"/>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上表</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492"/>
        <w:gridCol w:w="351"/>
        <w:gridCol w:w="1983"/>
        <w:gridCol w:w="1277"/>
        <w:gridCol w:w="1134"/>
        <w:gridCol w:w="425"/>
        <w:gridCol w:w="18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tblHeader/>
          <w:jc w:val="center"/>
        </w:trPr>
        <w:tc>
          <w:tcPr>
            <w:tcW w:w="841"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居住权</w:t>
            </w:r>
          </w:p>
          <w:p>
            <w:pPr>
              <w:pStyle w:val="180"/>
              <w:rPr>
                <w:highlight w:val="none"/>
              </w:rPr>
            </w:pPr>
            <w:r>
              <w:rPr>
                <w:rFonts w:hint="eastAsia"/>
                <w:highlight w:val="none"/>
              </w:rPr>
              <w:t>情况</w:t>
            </w:r>
          </w:p>
        </w:tc>
        <w:tc>
          <w:tcPr>
            <w:tcW w:w="1843" w:type="dxa"/>
            <w:gridSpan w:val="2"/>
            <w:tcBorders>
              <w:top w:val="single" w:color="auto" w:sz="8" w:space="0"/>
              <w:bottom w:val="single" w:color="auto" w:sz="8" w:space="0"/>
            </w:tcBorders>
            <w:shd w:val="clear" w:color="auto" w:fill="auto"/>
            <w:tcMar>
              <w:left w:w="57" w:type="dxa"/>
              <w:right w:w="57" w:type="dxa"/>
            </w:tcMar>
            <w:vAlign w:val="center"/>
          </w:tcPr>
          <w:p>
            <w:pPr>
              <w:pStyle w:val="180"/>
              <w:rPr>
                <w:highlight w:val="none"/>
              </w:rPr>
            </w:pPr>
            <w:r>
              <w:rPr>
                <w:rFonts w:hint="eastAsia"/>
                <w:highlight w:val="none"/>
              </w:rPr>
              <w:t>居住权期限</w:t>
            </w:r>
          </w:p>
        </w:tc>
        <w:tc>
          <w:tcPr>
            <w:tcW w:w="3260" w:type="dxa"/>
            <w:gridSpan w:val="2"/>
            <w:tcBorders>
              <w:top w:val="single" w:color="auto" w:sz="8" w:space="0"/>
              <w:bottom w:val="single" w:color="auto" w:sz="8" w:space="0"/>
            </w:tcBorders>
            <w:shd w:val="clear" w:color="auto" w:fill="auto"/>
            <w:vAlign w:val="center"/>
          </w:tcPr>
          <w:p>
            <w:pPr>
              <w:pStyle w:val="180"/>
              <w:jc w:val="left"/>
              <w:rPr>
                <w:highlight w:val="none"/>
              </w:rPr>
            </w:pPr>
          </w:p>
        </w:tc>
        <w:tc>
          <w:tcPr>
            <w:tcW w:w="1134" w:type="dxa"/>
            <w:tcBorders>
              <w:top w:val="single" w:color="auto" w:sz="8" w:space="0"/>
              <w:bottom w:val="single" w:color="auto" w:sz="8" w:space="0"/>
            </w:tcBorders>
            <w:shd w:val="clear" w:color="auto" w:fill="auto"/>
            <w:vAlign w:val="center"/>
          </w:tcPr>
          <w:p>
            <w:pPr>
              <w:pStyle w:val="180"/>
              <w:rPr>
                <w:highlight w:val="none"/>
              </w:rPr>
            </w:pPr>
            <w:r>
              <w:rPr>
                <w:rFonts w:hint="eastAsia"/>
                <w:highlight w:val="none"/>
              </w:rPr>
              <w:t>居住条件</w:t>
            </w:r>
          </w:p>
          <w:p>
            <w:pPr>
              <w:pStyle w:val="180"/>
              <w:rPr>
                <w:highlight w:val="none"/>
              </w:rPr>
            </w:pPr>
            <w:r>
              <w:rPr>
                <w:rFonts w:hint="eastAsia"/>
                <w:highlight w:val="none"/>
              </w:rPr>
              <w:t>和要求</w:t>
            </w:r>
          </w:p>
        </w:tc>
        <w:tc>
          <w:tcPr>
            <w:tcW w:w="2256" w:type="dxa"/>
            <w:gridSpan w:val="2"/>
            <w:tcBorders>
              <w:top w:val="single" w:color="auto" w:sz="8" w:space="0"/>
              <w:bottom w:val="single" w:color="auto" w:sz="8" w:space="0"/>
            </w:tcBorders>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地役权</w:t>
            </w:r>
          </w:p>
          <w:p>
            <w:pPr>
              <w:pStyle w:val="180"/>
              <w:rPr>
                <w:highlight w:val="none"/>
              </w:rPr>
            </w:pPr>
            <w:r>
              <w:rPr>
                <w:rFonts w:hint="eastAsia"/>
                <w:highlight w:val="none"/>
              </w:rPr>
              <w:t>情况</w:t>
            </w: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需役地坐落</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需役地不动产单元号</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登记原因及证明材料</w:t>
            </w:r>
          </w:p>
        </w:tc>
        <w:tc>
          <w:tcPr>
            <w:tcW w:w="1843" w:type="dxa"/>
            <w:gridSpan w:val="2"/>
            <w:shd w:val="clear" w:color="auto" w:fill="auto"/>
            <w:tcMar>
              <w:left w:w="57" w:type="dxa"/>
              <w:right w:w="57" w:type="dxa"/>
            </w:tcMar>
            <w:vAlign w:val="center"/>
          </w:tcPr>
          <w:p>
            <w:pPr>
              <w:pStyle w:val="180"/>
              <w:rPr>
                <w:highlight w:val="none"/>
              </w:rPr>
            </w:pPr>
            <w:r>
              <w:rPr>
                <w:rFonts w:hint="eastAsia"/>
                <w:highlight w:val="none"/>
              </w:rPr>
              <w:t>登记原因</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restart"/>
            <w:shd w:val="clear" w:color="auto" w:fill="auto"/>
            <w:tcMar>
              <w:left w:w="57" w:type="dxa"/>
              <w:right w:w="57" w:type="dxa"/>
            </w:tcMar>
            <w:vAlign w:val="center"/>
          </w:tcPr>
          <w:p>
            <w:pPr>
              <w:pStyle w:val="180"/>
              <w:rPr>
                <w:highlight w:val="none"/>
              </w:rPr>
            </w:pPr>
            <w:r>
              <w:rPr>
                <w:rFonts w:hint="eastAsia"/>
                <w:highlight w:val="none"/>
              </w:rPr>
              <w:t>登记原因证明材料</w:t>
            </w: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gridSpan w:val="2"/>
            <w:vMerge w:val="continue"/>
            <w:shd w:val="clear" w:color="auto" w:fill="auto"/>
            <w:tcMar>
              <w:left w:w="57" w:type="dxa"/>
              <w:right w:w="57" w:type="dxa"/>
            </w:tcMar>
            <w:vAlign w:val="center"/>
          </w:tcPr>
          <w:p>
            <w:pPr>
              <w:pStyle w:val="180"/>
              <w:jc w:val="left"/>
              <w:rPr>
                <w:highlight w:val="none"/>
              </w:rPr>
            </w:pPr>
          </w:p>
        </w:tc>
        <w:tc>
          <w:tcPr>
            <w:tcW w:w="6650"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询</w:t>
            </w:r>
          </w:p>
          <w:p>
            <w:pPr>
              <w:pStyle w:val="180"/>
              <w:rPr>
                <w:highlight w:val="none"/>
              </w:rPr>
            </w:pPr>
            <w:r>
              <w:rPr>
                <w:rFonts w:hint="eastAsia"/>
                <w:highlight w:val="none"/>
              </w:rPr>
              <w:t>问</w:t>
            </w:r>
          </w:p>
          <w:p>
            <w:pPr>
              <w:pStyle w:val="180"/>
              <w:rPr>
                <w:highlight w:val="none"/>
              </w:rPr>
            </w:pPr>
            <w:r>
              <w:rPr>
                <w:rFonts w:hint="eastAsia"/>
                <w:highlight w:val="none"/>
              </w:rPr>
              <w:t>内</w:t>
            </w:r>
          </w:p>
          <w:p>
            <w:pPr>
              <w:pStyle w:val="180"/>
              <w:rPr>
                <w:highlight w:val="none"/>
              </w:rPr>
            </w:pPr>
            <w:r>
              <w:rPr>
                <w:rFonts w:hint="eastAsia"/>
                <w:highlight w:val="none"/>
              </w:rPr>
              <w:t>容</w:t>
            </w:r>
          </w:p>
        </w:tc>
        <w:tc>
          <w:tcPr>
            <w:tcW w:w="8493" w:type="dxa"/>
            <w:gridSpan w:val="7"/>
            <w:shd w:val="clear" w:color="auto" w:fill="auto"/>
            <w:tcMar>
              <w:left w:w="57" w:type="dxa"/>
              <w:right w:w="57" w:type="dxa"/>
            </w:tcMar>
            <w:vAlign w:val="center"/>
          </w:tcPr>
          <w:p>
            <w:pPr>
              <w:pStyle w:val="180"/>
              <w:jc w:val="left"/>
              <w:rPr>
                <w:highlight w:val="none"/>
              </w:rPr>
            </w:pPr>
            <w:r>
              <w:rPr>
                <w:rFonts w:hint="eastAsia"/>
                <w:highlight w:val="none"/>
              </w:rPr>
              <w:t>注：就登记机构询问的下列问题，请用“是/否”回答，必要时应进一步明确。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1、申请登记事项是否为申请人的真实意思表示？</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8493" w:type="dxa"/>
            <w:gridSpan w:val="7"/>
            <w:shd w:val="clear" w:color="auto" w:fill="auto"/>
            <w:tcMar>
              <w:left w:w="57" w:type="dxa"/>
              <w:right w:w="57" w:type="dxa"/>
            </w:tcMar>
            <w:vAlign w:val="center"/>
          </w:tcPr>
          <w:p>
            <w:pPr>
              <w:pStyle w:val="180"/>
              <w:jc w:val="left"/>
              <w:rPr>
                <w:highlight w:val="none"/>
              </w:rPr>
            </w:pPr>
            <w:r>
              <w:rPr>
                <w:rFonts w:hint="eastAsia"/>
                <w:highlight w:val="none"/>
              </w:rPr>
              <w:t>2、申请登记的不动产是共有，还是单独所有？</w:t>
            </w:r>
          </w:p>
          <w:p>
            <w:pPr>
              <w:pStyle w:val="180"/>
              <w:ind w:firstLine="270" w:firstLineChars="150"/>
              <w:jc w:val="left"/>
              <w:rPr>
                <w:highlight w:val="none"/>
              </w:rPr>
            </w:pPr>
            <w:r>
              <w:rPr>
                <w:rFonts w:hint="eastAsia"/>
                <w:highlight w:val="none"/>
              </w:rPr>
              <w:t>回答：（权利人）□单独所有    □共同共有    □按份共有，共有份额：</w:t>
            </w:r>
          </w:p>
          <w:p>
            <w:pPr>
              <w:pStyle w:val="180"/>
              <w:ind w:firstLine="810" w:firstLineChars="450"/>
              <w:jc w:val="left"/>
              <w:rPr>
                <w:highlight w:val="none"/>
              </w:rPr>
            </w:pPr>
            <w:r>
              <w:rPr>
                <w:rFonts w:hint="eastAsia"/>
                <w:highlight w:val="none"/>
              </w:rPr>
              <w:t>（义务人）□单独所有    □共同共有    □按份共有，共有份额：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3、权利人是否承诺为小微企业（注：小微企业免收登记费）？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4、申请异议登记时，权利人是否不同意办理更正登记？</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5、申请异议登记时，是否已知悉异议不当应承担的责任？</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6、申请本次转移登记时，其他按份共有人是否同意？</w:t>
            </w:r>
          </w:p>
          <w:p>
            <w:pPr>
              <w:pStyle w:val="180"/>
              <w:ind w:firstLine="270" w:firstLineChars="150"/>
              <w:jc w:val="left"/>
              <w:rPr>
                <w:highlight w:val="none"/>
              </w:rPr>
            </w:pPr>
            <w:r>
              <w:rPr>
                <w:rFonts w:hint="eastAsia"/>
                <w:highlight w:val="none"/>
              </w:rPr>
              <w:t>回答：（受让人为其他按份共有人以外的第三人时填写）</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6"/>
            <w:shd w:val="clear" w:color="auto" w:fill="auto"/>
            <w:tcMar>
              <w:left w:w="57" w:type="dxa"/>
              <w:right w:w="57" w:type="dxa"/>
            </w:tcMar>
            <w:vAlign w:val="center"/>
          </w:tcPr>
          <w:p>
            <w:pPr>
              <w:pStyle w:val="180"/>
              <w:jc w:val="left"/>
              <w:rPr>
                <w:highlight w:val="none"/>
              </w:rPr>
            </w:pPr>
            <w:r>
              <w:rPr>
                <w:rFonts w:hint="eastAsia"/>
                <w:highlight w:val="none"/>
              </w:rPr>
              <w:t>7、其他需要询问的有关事项：</w:t>
            </w:r>
            <w:r>
              <w:rPr>
                <w:rFonts w:hint="eastAsia"/>
                <w:highlight w:val="none"/>
              </w:rPr>
              <w:tab/>
            </w:r>
            <w:r>
              <w:rPr>
                <w:rFonts w:hint="eastAsia"/>
                <w:highlight w:val="none"/>
              </w:rPr>
              <w:t>回答：</w:t>
            </w:r>
          </w:p>
          <w:p>
            <w:pPr>
              <w:pStyle w:val="180"/>
              <w:jc w:val="left"/>
              <w:rPr>
                <w:highlight w:val="none"/>
              </w:rPr>
            </w:pPr>
            <w:r>
              <w:rPr>
                <w:rFonts w:hint="eastAsia"/>
                <w:highlight w:val="none"/>
              </w:rPr>
              <w:t>经被询问人确认，以上询问事项均回答真实、无误。</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3826" w:type="dxa"/>
            <w:gridSpan w:val="3"/>
            <w:shd w:val="clear" w:color="auto" w:fill="auto"/>
            <w:tcMar>
              <w:left w:w="57" w:type="dxa"/>
              <w:right w:w="57" w:type="dxa"/>
            </w:tcMar>
            <w:vAlign w:val="center"/>
          </w:tcPr>
          <w:p>
            <w:pPr>
              <w:pStyle w:val="180"/>
              <w:jc w:val="left"/>
              <w:rPr>
                <w:highlight w:val="none"/>
              </w:rPr>
            </w:pPr>
            <w:r>
              <w:rPr>
                <w:rFonts w:hint="eastAsia"/>
                <w:highlight w:val="none"/>
              </w:rPr>
              <w:t>被询问人：</w:t>
            </w:r>
          </w:p>
        </w:tc>
        <w:tc>
          <w:tcPr>
            <w:tcW w:w="2836" w:type="dxa"/>
            <w:gridSpan w:val="3"/>
            <w:shd w:val="clear" w:color="auto" w:fill="auto"/>
            <w:vAlign w:val="center"/>
          </w:tcPr>
          <w:p>
            <w:pPr>
              <w:pStyle w:val="180"/>
              <w:ind w:firstLine="90" w:firstLineChars="50"/>
              <w:jc w:val="left"/>
              <w:rPr>
                <w:highlight w:val="none"/>
              </w:rPr>
            </w:pPr>
            <w:r>
              <w:rPr>
                <w:rFonts w:hint="eastAsia"/>
                <w:highlight w:val="none"/>
              </w:rPr>
              <w:t>询问人：</w:t>
            </w:r>
          </w:p>
        </w:tc>
        <w:tc>
          <w:tcPr>
            <w:tcW w:w="1831" w:type="dxa"/>
            <w:shd w:val="clear" w:color="auto" w:fill="auto"/>
            <w:vAlign w:val="center"/>
          </w:tcPr>
          <w:p>
            <w:pPr>
              <w:pStyle w:val="180"/>
              <w:jc w:val="left"/>
              <w:rPr>
                <w:highlight w:val="none"/>
              </w:rPr>
            </w:pPr>
            <w:r>
              <w:rPr>
                <w:rFonts w:hint="eastAsia"/>
                <w:highlight w:val="none"/>
              </w:rPr>
              <w:t>询问时间：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2333" w:type="dxa"/>
            <w:gridSpan w:val="2"/>
            <w:shd w:val="clear" w:color="auto" w:fill="auto"/>
            <w:vAlign w:val="center"/>
          </w:tcPr>
          <w:p>
            <w:pPr>
              <w:pStyle w:val="180"/>
              <w:ind w:firstLine="90" w:firstLineChars="50"/>
              <w:jc w:val="left"/>
              <w:rPr>
                <w:highlight w:val="none"/>
              </w:rPr>
            </w:pPr>
            <w:r>
              <w:rPr>
                <w:rFonts w:hint="eastAsia"/>
                <w:highlight w:val="none"/>
              </w:rPr>
              <w:t>申请证书版式</w:t>
            </w:r>
            <w:r>
              <w:rPr>
                <w:rFonts w:hint="eastAsia"/>
                <w:highlight w:val="none"/>
              </w:rPr>
              <w:tab/>
            </w:r>
          </w:p>
        </w:tc>
        <w:tc>
          <w:tcPr>
            <w:tcW w:w="2334" w:type="dxa"/>
            <w:gridSpan w:val="2"/>
            <w:shd w:val="clear" w:color="auto" w:fill="auto"/>
            <w:vAlign w:val="center"/>
          </w:tcPr>
          <w:p>
            <w:pPr>
              <w:pStyle w:val="180"/>
              <w:ind w:firstLine="90" w:firstLineChars="50"/>
              <w:jc w:val="left"/>
              <w:rPr>
                <w:highlight w:val="none"/>
              </w:rPr>
            </w:pPr>
            <w:r>
              <w:rPr>
                <w:rFonts w:hint="eastAsia"/>
                <w:highlight w:val="none"/>
              </w:rPr>
              <w:t>□单一版    □集成版</w:t>
            </w:r>
          </w:p>
        </w:tc>
        <w:tc>
          <w:tcPr>
            <w:tcW w:w="2836" w:type="dxa"/>
            <w:gridSpan w:val="3"/>
            <w:shd w:val="clear" w:color="auto" w:fill="auto"/>
            <w:vAlign w:val="center"/>
          </w:tcPr>
          <w:p>
            <w:pPr>
              <w:pStyle w:val="180"/>
              <w:ind w:firstLine="90" w:firstLineChars="50"/>
              <w:jc w:val="left"/>
              <w:rPr>
                <w:highlight w:val="none"/>
              </w:rPr>
            </w:pPr>
            <w:r>
              <w:rPr>
                <w:rFonts w:hint="eastAsia"/>
                <w:highlight w:val="none"/>
              </w:rPr>
              <w:t>申请分别持证</w:t>
            </w:r>
          </w:p>
        </w:tc>
        <w:tc>
          <w:tcPr>
            <w:tcW w:w="1831" w:type="dxa"/>
            <w:shd w:val="clear" w:color="auto" w:fill="auto"/>
            <w:vAlign w:val="center"/>
          </w:tcPr>
          <w:p>
            <w:pPr>
              <w:pStyle w:val="180"/>
              <w:ind w:firstLine="90" w:firstLineChars="50"/>
              <w:jc w:val="left"/>
              <w:rPr>
                <w:highlight w:val="none"/>
              </w:rPr>
            </w:pP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shd w:val="clear" w:color="auto" w:fill="auto"/>
            <w:vAlign w:val="center"/>
          </w:tcPr>
          <w:p>
            <w:pPr>
              <w:pStyle w:val="180"/>
              <w:ind w:firstLine="90" w:firstLineChars="50"/>
              <w:jc w:val="left"/>
              <w:rPr>
                <w:highlight w:val="none"/>
              </w:rPr>
            </w:pPr>
            <w:r>
              <w:rPr>
                <w:rFonts w:hint="eastAsia"/>
                <w:highlight w:val="none"/>
              </w:rPr>
              <w:t>备 注</w:t>
            </w:r>
          </w:p>
        </w:tc>
        <w:tc>
          <w:tcPr>
            <w:tcW w:w="8493" w:type="dxa"/>
            <w:gridSpan w:val="7"/>
            <w:shd w:val="clear" w:color="auto" w:fill="auto"/>
            <w:vAlign w:val="center"/>
          </w:tcPr>
          <w:p>
            <w:pPr>
              <w:pStyle w:val="180"/>
              <w:ind w:firstLine="90" w:firstLineChars="5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9334" w:type="dxa"/>
            <w:gridSpan w:val="8"/>
            <w:shd w:val="clear" w:color="auto" w:fill="auto"/>
            <w:vAlign w:val="center"/>
          </w:tcPr>
          <w:p>
            <w:pPr>
              <w:pStyle w:val="180"/>
              <w:ind w:firstLine="90" w:firstLineChars="50"/>
              <w:jc w:val="left"/>
              <w:rPr>
                <w:highlight w:val="none"/>
              </w:rPr>
            </w:pPr>
            <w:r>
              <w:rPr>
                <w:rFonts w:hint="eastAsia"/>
                <w:highlight w:val="none"/>
              </w:rPr>
              <w:t>本申请人对填写的上述内容及提交的申请材料的真实性负责。如有不实，申请人愿承担法律责任。</w:t>
            </w:r>
          </w:p>
          <w:p>
            <w:pPr>
              <w:pStyle w:val="180"/>
              <w:ind w:firstLine="90" w:firstLineChars="50"/>
              <w:jc w:val="left"/>
              <w:rPr>
                <w:highlight w:val="none"/>
              </w:rPr>
            </w:pPr>
          </w:p>
          <w:p>
            <w:pPr>
              <w:pStyle w:val="180"/>
              <w:ind w:firstLine="90" w:firstLineChars="50"/>
              <w:jc w:val="left"/>
              <w:rPr>
                <w:highlight w:val="none"/>
              </w:rPr>
            </w:pPr>
          </w:p>
          <w:p>
            <w:pPr>
              <w:pStyle w:val="180"/>
              <w:ind w:firstLine="450" w:firstLineChars="250"/>
              <w:jc w:val="left"/>
              <w:rPr>
                <w:highlight w:val="none"/>
              </w:rPr>
            </w:pPr>
            <w:r>
              <w:rPr>
                <w:rFonts w:hint="eastAsia"/>
                <w:highlight w:val="none"/>
              </w:rPr>
              <w:t>申请人（签章）：                                         申请人（签章）：</w:t>
            </w:r>
          </w:p>
          <w:p>
            <w:pPr>
              <w:pStyle w:val="180"/>
              <w:ind w:firstLine="450" w:firstLineChars="250"/>
              <w:jc w:val="left"/>
              <w:rPr>
                <w:highlight w:val="none"/>
              </w:rPr>
            </w:pPr>
            <w:r>
              <w:rPr>
                <w:rFonts w:hint="eastAsia"/>
                <w:highlight w:val="none"/>
              </w:rPr>
              <w:t>代理人（签章）：                                         代理人（签章）：</w:t>
            </w:r>
          </w:p>
          <w:p>
            <w:pPr>
              <w:pStyle w:val="180"/>
              <w:ind w:firstLine="810" w:firstLineChars="450"/>
              <w:jc w:val="left"/>
              <w:rPr>
                <w:highlight w:val="none"/>
              </w:rPr>
            </w:pPr>
            <w:r>
              <w:rPr>
                <w:rFonts w:hint="eastAsia"/>
                <w:highlight w:val="none"/>
              </w:rPr>
              <w:t>年  月  日                                              年  月  日</w:t>
            </w:r>
          </w:p>
          <w:p>
            <w:pPr>
              <w:pStyle w:val="180"/>
              <w:ind w:firstLine="810" w:firstLineChars="450"/>
              <w:jc w:val="left"/>
              <w:rPr>
                <w:highlight w:val="none"/>
              </w:rPr>
            </w:pPr>
          </w:p>
        </w:tc>
      </w:tr>
    </w:tbl>
    <w:p>
      <w:pPr>
        <w:pStyle w:val="81"/>
        <w:spacing w:before="156" w:after="156"/>
        <w:rPr>
          <w:highlight w:val="none"/>
        </w:rPr>
      </w:pPr>
      <w:r>
        <w:rPr>
          <w:rFonts w:hint="eastAsia"/>
          <w:highlight w:val="none"/>
        </w:rPr>
        <w:t>不动产登记申请书（抵押登记）</w:t>
      </w:r>
    </w:p>
    <w:p>
      <w:pPr>
        <w:pStyle w:val="79"/>
        <w:numPr>
          <w:ilvl w:val="0"/>
          <w:numId w:val="0"/>
        </w:numPr>
        <w:spacing w:before="156" w:after="156"/>
        <w:rPr>
          <w:highlight w:val="none"/>
        </w:rPr>
      </w:pPr>
      <w:r>
        <w:rPr>
          <w:rFonts w:hint="eastAsia"/>
          <w:highlight w:val="none"/>
        </w:rPr>
        <w:t>不动产登记申请书（抵押登记）</w:t>
      </w:r>
      <w:r>
        <w:rPr>
          <w:rFonts w:hint="eastAsia"/>
          <w:highlight w:val="none"/>
        </w:rPr>
        <mc:AlternateContent>
          <mc:Choice Requires="wps">
            <w:drawing>
              <wp:anchor distT="0" distB="0" distL="114300" distR="114300" simplePos="0" relativeHeight="251662336" behindDoc="0" locked="0" layoutInCell="1" allowOverlap="1">
                <wp:simplePos x="0" y="0"/>
                <wp:positionH relativeFrom="column">
                  <wp:posOffset>10160</wp:posOffset>
                </wp:positionH>
                <wp:positionV relativeFrom="paragraph">
                  <wp:posOffset>267335</wp:posOffset>
                </wp:positionV>
                <wp:extent cx="3686175" cy="516890"/>
                <wp:effectExtent l="0" t="0" r="28575" b="17145"/>
                <wp:wrapNone/>
                <wp:docPr id="6" name="矩形 6"/>
                <wp:cNvGraphicFramePr/>
                <a:graphic xmlns:a="http://schemas.openxmlformats.org/drawingml/2006/main">
                  <a:graphicData uri="http://schemas.microsoft.com/office/word/2010/wordprocessingShape">
                    <wps:wsp>
                      <wps:cNvSpPr/>
                      <wps:spPr>
                        <a:xfrm>
                          <a:off x="0" y="0"/>
                          <a:ext cx="3686175" cy="51657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0.8pt;margin-top:21.05pt;height:40.7pt;width:290.25pt;z-index:251662336;v-text-anchor:middle;mso-width-relative:page;mso-height-relative:page;" filled="f" stroked="t" coordsize="21600,21600" o:gfxdata="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s9kNG1gAAAAgBAAAPAAAAAAAAAAEAIAAAACIAAABkcnMvZG93bnJldi54bWxQSwEC&#10;FAAUAAAACACHTuJA749XHGgCAADLBAAADgAAAAAAAAABACAAAAAlAQAAZHJzL2Uyb0RvYy54bWxQ&#10;SwUGAAAAAAYABgBZAQAA/wUAAAAA&#10;">
                <v:fill on="f" focussize="0,0"/>
                <v:stroke weight="1pt" color="#000000 [3213]" miterlimit="8" joinstyle="miter"/>
                <v:imagedata o:title=""/>
                <o:lock v:ext="edit" aspectratio="f"/>
              </v:rect>
            </w:pict>
          </mc:Fallback>
        </mc:AlternateConten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57"/>
        <w:gridCol w:w="567"/>
        <w:gridCol w:w="1985"/>
        <w:gridCol w:w="850"/>
        <w:gridCol w:w="1843"/>
        <w:gridCol w:w="353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tblHeader/>
          <w:jc w:val="center"/>
        </w:trPr>
        <w:tc>
          <w:tcPr>
            <w:tcW w:w="557" w:type="dxa"/>
            <w:vMerge w:val="restart"/>
            <w:tcBorders>
              <w:top w:val="nil"/>
            </w:tcBorders>
            <w:shd w:val="clear" w:color="auto" w:fill="auto"/>
            <w:vAlign w:val="center"/>
          </w:tcPr>
          <w:p>
            <w:pPr>
              <w:pStyle w:val="180"/>
              <w:rPr>
                <w:highlight w:val="none"/>
              </w:rPr>
            </w:pPr>
            <w:r>
              <w:rPr>
                <w:rFonts w:hint="eastAsia"/>
                <w:highlight w:val="none"/>
              </w:rPr>
              <w:t>收件</w:t>
            </w:r>
          </w:p>
        </w:tc>
        <w:tc>
          <w:tcPr>
            <w:tcW w:w="567" w:type="dxa"/>
            <w:tcBorders>
              <w:top w:val="nil"/>
              <w:bottom w:val="single" w:color="auto" w:sz="8" w:space="0"/>
            </w:tcBorders>
            <w:shd w:val="clear" w:color="auto" w:fill="auto"/>
            <w:vAlign w:val="center"/>
          </w:tcPr>
          <w:p>
            <w:pPr>
              <w:pStyle w:val="180"/>
              <w:rPr>
                <w:highlight w:val="none"/>
              </w:rPr>
            </w:pPr>
            <w:r>
              <w:rPr>
                <w:rFonts w:hint="eastAsia"/>
                <w:highlight w:val="none"/>
              </w:rPr>
              <w:t>编号</w:t>
            </w:r>
          </w:p>
        </w:tc>
        <w:tc>
          <w:tcPr>
            <w:tcW w:w="1985" w:type="dxa"/>
            <w:tcBorders>
              <w:top w:val="nil"/>
              <w:bottom w:val="single" w:color="auto" w:sz="8" w:space="0"/>
            </w:tcBorders>
            <w:shd w:val="clear" w:color="auto" w:fill="auto"/>
            <w:vAlign w:val="center"/>
          </w:tcPr>
          <w:p>
            <w:pPr>
              <w:pStyle w:val="180"/>
              <w:rPr>
                <w:highlight w:val="none"/>
              </w:rPr>
            </w:pPr>
            <w:r>
              <w:rPr>
                <w:rFonts w:hint="eastAsia"/>
                <w:highlight w:val="none"/>
              </w:rPr>
              <w:t xml:space="preserve"> </w:t>
            </w:r>
            <w:r>
              <w:rPr>
                <w:highlight w:val="none"/>
              </w:rPr>
              <w:t xml:space="preserve">          </w:t>
            </w:r>
            <w:r>
              <w:rPr>
                <w:highlight w:val="none"/>
              </w:rPr>
              <w:softHyphen/>
            </w:r>
            <w:r>
              <w:rPr>
                <w:highlight w:val="none"/>
              </w:rPr>
              <w:softHyphen/>
            </w:r>
            <w:r>
              <w:rPr>
                <w:highlight w:val="none"/>
              </w:rPr>
              <w:softHyphen/>
            </w:r>
            <w:r>
              <w:rPr>
                <w:highlight w:val="none"/>
              </w:rPr>
              <w:t xml:space="preserve"> </w:t>
            </w:r>
          </w:p>
        </w:tc>
        <w:tc>
          <w:tcPr>
            <w:tcW w:w="850" w:type="dxa"/>
            <w:vMerge w:val="restart"/>
            <w:tcBorders>
              <w:top w:val="nil"/>
            </w:tcBorders>
            <w:shd w:val="clear" w:color="auto" w:fill="auto"/>
            <w:vAlign w:val="center"/>
          </w:tcPr>
          <w:p>
            <w:pPr>
              <w:pStyle w:val="180"/>
              <w:rPr>
                <w:highlight w:val="none"/>
              </w:rPr>
            </w:pPr>
            <w:r>
              <w:rPr>
                <w:rFonts w:hint="eastAsia"/>
                <w:highlight w:val="none"/>
              </w:rPr>
              <w:t>收件人</w:t>
            </w:r>
          </w:p>
        </w:tc>
        <w:tc>
          <w:tcPr>
            <w:tcW w:w="1843" w:type="dxa"/>
            <w:tcBorders>
              <w:top w:val="nil"/>
              <w:bottom w:val="single" w:color="auto" w:sz="8" w:space="0"/>
            </w:tcBorders>
            <w:shd w:val="clear" w:color="auto" w:fill="auto"/>
            <w:vAlign w:val="center"/>
          </w:tcPr>
          <w:p>
            <w:pPr>
              <w:pStyle w:val="180"/>
              <w:rPr>
                <w:highlight w:val="none"/>
              </w:rPr>
            </w:pPr>
          </w:p>
        </w:tc>
        <w:tc>
          <w:tcPr>
            <w:tcW w:w="3532" w:type="dxa"/>
            <w:vMerge w:val="restart"/>
            <w:tcBorders>
              <w:top w:val="nil"/>
              <w:right w:val="nil"/>
            </w:tcBorders>
            <w:shd w:val="clear" w:color="auto" w:fill="auto"/>
            <w:vAlign w:val="center"/>
          </w:tcPr>
          <w:p>
            <w:pPr>
              <w:pStyle w:val="180"/>
              <w:rPr>
                <w:highlight w:val="none"/>
              </w:rPr>
            </w:pPr>
            <w:r>
              <w:rPr>
                <w:rFonts w:hint="eastAsia"/>
                <w:highlight w:val="none"/>
              </w:rPr>
              <w:t>单位：□平方米 □公顷（□亩）、□万元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557" w:type="dxa"/>
            <w:vMerge w:val="continue"/>
            <w:tcBorders>
              <w:bottom w:val="nil"/>
            </w:tcBorders>
            <w:shd w:val="clear" w:color="auto" w:fill="auto"/>
            <w:vAlign w:val="center"/>
          </w:tcPr>
          <w:p>
            <w:pPr>
              <w:pStyle w:val="180"/>
              <w:rPr>
                <w:highlight w:val="none"/>
              </w:rPr>
            </w:pPr>
          </w:p>
        </w:tc>
        <w:tc>
          <w:tcPr>
            <w:tcW w:w="567" w:type="dxa"/>
            <w:tcBorders>
              <w:top w:val="single" w:color="auto" w:sz="8" w:space="0"/>
              <w:bottom w:val="nil"/>
            </w:tcBorders>
            <w:shd w:val="clear" w:color="auto" w:fill="auto"/>
            <w:vAlign w:val="center"/>
          </w:tcPr>
          <w:p>
            <w:pPr>
              <w:pStyle w:val="180"/>
              <w:rPr>
                <w:highlight w:val="none"/>
              </w:rPr>
            </w:pPr>
            <w:r>
              <w:rPr>
                <w:rFonts w:hint="eastAsia"/>
                <w:highlight w:val="none"/>
              </w:rPr>
              <w:t>日期</w:t>
            </w:r>
          </w:p>
        </w:tc>
        <w:tc>
          <w:tcPr>
            <w:tcW w:w="1985" w:type="dxa"/>
            <w:tcBorders>
              <w:top w:val="single" w:color="auto" w:sz="8" w:space="0"/>
              <w:bottom w:val="nil"/>
            </w:tcBorders>
            <w:shd w:val="clear" w:color="auto" w:fill="auto"/>
            <w:vAlign w:val="center"/>
          </w:tcPr>
          <w:p>
            <w:pPr>
              <w:pStyle w:val="180"/>
              <w:rPr>
                <w:highlight w:val="none"/>
              </w:rPr>
            </w:pPr>
          </w:p>
        </w:tc>
        <w:tc>
          <w:tcPr>
            <w:tcW w:w="850" w:type="dxa"/>
            <w:vMerge w:val="continue"/>
            <w:tcBorders>
              <w:bottom w:val="nil"/>
            </w:tcBorders>
            <w:shd w:val="clear" w:color="auto" w:fill="auto"/>
            <w:vAlign w:val="center"/>
          </w:tcPr>
          <w:p>
            <w:pPr>
              <w:pStyle w:val="180"/>
              <w:rPr>
                <w:highlight w:val="none"/>
              </w:rPr>
            </w:pPr>
          </w:p>
        </w:tc>
        <w:tc>
          <w:tcPr>
            <w:tcW w:w="1843" w:type="dxa"/>
            <w:tcBorders>
              <w:top w:val="single" w:color="auto" w:sz="8" w:space="0"/>
              <w:bottom w:val="nil"/>
            </w:tcBorders>
            <w:shd w:val="clear" w:color="auto" w:fill="auto"/>
            <w:vAlign w:val="center"/>
          </w:tcPr>
          <w:p>
            <w:pPr>
              <w:pStyle w:val="180"/>
              <w:rPr>
                <w:highlight w:val="none"/>
              </w:rPr>
            </w:pPr>
          </w:p>
        </w:tc>
        <w:tc>
          <w:tcPr>
            <w:tcW w:w="3532" w:type="dxa"/>
            <w:vMerge w:val="continue"/>
            <w:tcBorders>
              <w:bottom w:val="nil"/>
              <w:right w:val="nil"/>
            </w:tcBorders>
            <w:shd w:val="clear" w:color="auto" w:fill="auto"/>
            <w:vAlign w:val="center"/>
          </w:tcPr>
          <w:p>
            <w:pPr>
              <w:pStyle w:val="180"/>
              <w:rPr>
                <w:highlight w:val="none"/>
              </w:rPr>
            </w:pPr>
          </w:p>
        </w:tc>
      </w:tr>
    </w:tbl>
    <w:p>
      <w:pPr>
        <w:pStyle w:val="58"/>
        <w:ind w:firstLine="420"/>
        <w:rPr>
          <w:highlight w:val="none"/>
        </w:rPr>
      </w:pP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21"/>
        <w:gridCol w:w="2127"/>
        <w:gridCol w:w="12"/>
        <w:gridCol w:w="2115"/>
        <w:gridCol w:w="7"/>
        <w:gridCol w:w="10"/>
        <w:gridCol w:w="1562"/>
        <w:gridCol w:w="26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tblHeader/>
          <w:jc w:val="center"/>
        </w:trPr>
        <w:tc>
          <w:tcPr>
            <w:tcW w:w="821" w:type="dxa"/>
            <w:vMerge w:val="restart"/>
            <w:tcBorders>
              <w:top w:val="single" w:color="auto" w:sz="8" w:space="0"/>
            </w:tcBorders>
            <w:shd w:val="clear" w:color="auto" w:fill="auto"/>
            <w:vAlign w:val="center"/>
          </w:tcPr>
          <w:p>
            <w:pPr>
              <w:pStyle w:val="180"/>
              <w:rPr>
                <w:highlight w:val="none"/>
              </w:rPr>
            </w:pPr>
            <w:r>
              <w:rPr>
                <w:highlight w:val="none"/>
              </w:rPr>
              <w:softHyphen/>
            </w:r>
            <w:r>
              <w:rPr>
                <w:highlight w:val="none"/>
              </w:rPr>
              <w:softHyphen/>
            </w:r>
            <w:r>
              <w:rPr>
                <w:rFonts w:hint="eastAsia"/>
                <w:highlight w:val="none"/>
              </w:rPr>
              <w:t>申请</w:t>
            </w:r>
          </w:p>
          <w:p>
            <w:pPr>
              <w:pStyle w:val="180"/>
              <w:rPr>
                <w:highlight w:val="none"/>
              </w:rPr>
            </w:pPr>
            <w:r>
              <w:rPr>
                <w:rFonts w:hint="eastAsia"/>
                <w:highlight w:val="none"/>
              </w:rPr>
              <w:t>登记</w:t>
            </w:r>
          </w:p>
          <w:p>
            <w:pPr>
              <w:pStyle w:val="180"/>
              <w:rPr>
                <w:highlight w:val="none"/>
              </w:rPr>
            </w:pPr>
            <w:r>
              <w:rPr>
                <w:rFonts w:hint="eastAsia"/>
                <w:highlight w:val="none"/>
              </w:rPr>
              <w:t>事由</w:t>
            </w:r>
          </w:p>
        </w:tc>
        <w:tc>
          <w:tcPr>
            <w:tcW w:w="8513" w:type="dxa"/>
            <w:gridSpan w:val="7"/>
            <w:tcBorders>
              <w:top w:val="single" w:color="auto" w:sz="8" w:space="0"/>
              <w:bottom w:val="single" w:color="auto" w:sz="8" w:space="0"/>
            </w:tcBorders>
            <w:shd w:val="clear" w:color="auto" w:fill="auto"/>
            <w:tcMar>
              <w:left w:w="57" w:type="dxa"/>
              <w:right w:w="57" w:type="dxa"/>
            </w:tcMar>
            <w:vAlign w:val="center"/>
          </w:tcPr>
          <w:p>
            <w:pPr>
              <w:pStyle w:val="180"/>
              <w:rPr>
                <w:highlight w:val="none"/>
              </w:rPr>
            </w:pPr>
            <w:r>
              <w:rPr>
                <w:rFonts w:hint="eastAsia"/>
                <w:highlight w:val="none"/>
              </w:rPr>
              <w:t>□抵押权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8513" w:type="dxa"/>
            <w:gridSpan w:val="7"/>
            <w:tcBorders>
              <w:top w:val="single" w:color="auto" w:sz="8" w:space="0"/>
            </w:tcBorders>
            <w:shd w:val="clear" w:color="auto" w:fill="auto"/>
            <w:tcMar>
              <w:left w:w="57" w:type="dxa"/>
              <w:right w:w="57" w:type="dxa"/>
            </w:tcMar>
            <w:vAlign w:val="center"/>
          </w:tcPr>
          <w:p>
            <w:pPr>
              <w:pStyle w:val="180"/>
              <w:jc w:val="left"/>
              <w:rPr>
                <w:highlight w:val="none"/>
              </w:rPr>
            </w:pPr>
            <w:r>
              <w:rPr>
                <w:rFonts w:hint="eastAsia"/>
                <w:highlight w:val="none"/>
              </w:rPr>
              <w:t xml:space="preserve">□首次登记 </w:t>
            </w:r>
            <w:r>
              <w:rPr>
                <w:highlight w:val="none"/>
              </w:rPr>
              <w:t xml:space="preserve"> </w:t>
            </w:r>
            <w:r>
              <w:rPr>
                <w:rFonts w:hint="eastAsia"/>
                <w:highlight w:val="none"/>
              </w:rPr>
              <w:t xml:space="preserve">□变更登记  □转移登记 </w:t>
            </w:r>
            <w:r>
              <w:rPr>
                <w:highlight w:val="none"/>
              </w:rPr>
              <w:t xml:space="preserve"> </w:t>
            </w:r>
            <w:r>
              <w:rPr>
                <w:rFonts w:hint="eastAsia"/>
                <w:highlight w:val="none"/>
              </w:rPr>
              <w:t xml:space="preserve">□更正登记 </w:t>
            </w:r>
            <w:r>
              <w:rPr>
                <w:highlight w:val="none"/>
              </w:rPr>
              <w:t xml:space="preserve"> </w:t>
            </w:r>
            <w:r>
              <w:rPr>
                <w:rFonts w:hint="eastAsia"/>
                <w:highlight w:val="none"/>
              </w:rPr>
              <w:t xml:space="preserve">□预告登记  □异议登记 </w:t>
            </w:r>
            <w:r>
              <w:rPr>
                <w:highlight w:val="none"/>
              </w:rPr>
              <w:t xml:space="preserve"> </w:t>
            </w:r>
            <w:r>
              <w:rPr>
                <w:rFonts w:hint="eastAsia"/>
                <w:highlight w:val="none"/>
              </w:rPr>
              <w:t xml:space="preserve">□注销登记 </w:t>
            </w:r>
          </w:p>
          <w:p>
            <w:pPr>
              <w:pStyle w:val="180"/>
              <w:jc w:val="left"/>
              <w:rPr>
                <w:highlight w:val="none"/>
              </w:rPr>
            </w:pPr>
            <w:r>
              <w:rPr>
                <w:rFonts w:hint="eastAsia"/>
                <w:highlight w:val="none"/>
              </w:rPr>
              <w:t>□其他</w:t>
            </w:r>
            <w:r>
              <w:rPr>
                <w:rFonts w:hint="eastAsia"/>
                <w:highlight w:val="none"/>
                <w:u w:val="single"/>
              </w:rPr>
              <w:t xml:space="preserve">      </w:t>
            </w:r>
            <w:r>
              <w:rPr>
                <w:highlight w:val="none"/>
                <w:u w:val="single"/>
              </w:rPr>
              <w:t xml:space="preserve">          </w:t>
            </w:r>
            <w:r>
              <w:rPr>
                <w:rFonts w:hint="eastAsia"/>
                <w:highlight w:val="none"/>
                <w:u w:val="single"/>
              </w:rPr>
              <w:t xml:space="preserve">  </w:t>
            </w:r>
            <w:r>
              <w:rPr>
                <w:rFonts w:hint="eastAsia"/>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申</w:t>
            </w:r>
          </w:p>
          <w:p>
            <w:pPr>
              <w:pStyle w:val="180"/>
              <w:rPr>
                <w:highlight w:val="none"/>
              </w:rPr>
            </w:pPr>
            <w:r>
              <w:rPr>
                <w:rFonts w:hint="eastAsia"/>
                <w:highlight w:val="none"/>
              </w:rPr>
              <w:t>请</w:t>
            </w:r>
          </w:p>
          <w:p>
            <w:pPr>
              <w:pStyle w:val="180"/>
              <w:rPr>
                <w:highlight w:val="none"/>
              </w:rPr>
            </w:pPr>
            <w:r>
              <w:rPr>
                <w:rFonts w:hint="eastAsia"/>
                <w:highlight w:val="none"/>
              </w:rPr>
              <w:t>人</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8513" w:type="dxa"/>
            <w:gridSpan w:val="7"/>
            <w:shd w:val="clear" w:color="auto" w:fill="auto"/>
            <w:vAlign w:val="center"/>
          </w:tcPr>
          <w:p>
            <w:pPr>
              <w:pStyle w:val="180"/>
              <w:rPr>
                <w:highlight w:val="none"/>
              </w:rPr>
            </w:pPr>
            <w:r>
              <w:rPr>
                <w:rFonts w:hint="eastAsia"/>
                <w:highlight w:val="none"/>
              </w:rPr>
              <w:t>登记申请人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抵押权人姓名（名称）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抵押人姓名（名称）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债务人姓名（名称）</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法定代表人或负责人</w:t>
            </w:r>
          </w:p>
        </w:tc>
        <w:tc>
          <w:tcPr>
            <w:tcW w:w="2122" w:type="dxa"/>
            <w:gridSpan w:val="2"/>
            <w:shd w:val="clear" w:color="auto" w:fill="auto"/>
            <w:vAlign w:val="center"/>
          </w:tcPr>
          <w:p>
            <w:pPr>
              <w:pStyle w:val="180"/>
              <w:jc w:val="left"/>
              <w:rPr>
                <w:highlight w:val="none"/>
              </w:rPr>
            </w:pPr>
          </w:p>
        </w:tc>
        <w:tc>
          <w:tcPr>
            <w:tcW w:w="1572" w:type="dxa"/>
            <w:gridSpan w:val="2"/>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代理人姓名</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联系电话</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证件类型</w:t>
            </w:r>
          </w:p>
        </w:tc>
        <w:tc>
          <w:tcPr>
            <w:tcW w:w="2115" w:type="dxa"/>
            <w:shd w:val="clear" w:color="auto" w:fill="auto"/>
            <w:vAlign w:val="center"/>
          </w:tcPr>
          <w:p>
            <w:pPr>
              <w:pStyle w:val="180"/>
              <w:jc w:val="left"/>
              <w:rPr>
                <w:highlight w:val="none"/>
              </w:rPr>
            </w:pPr>
          </w:p>
        </w:tc>
        <w:tc>
          <w:tcPr>
            <w:tcW w:w="1579" w:type="dxa"/>
            <w:gridSpan w:val="3"/>
            <w:shd w:val="clear" w:color="auto" w:fill="auto"/>
            <w:vAlign w:val="center"/>
          </w:tcPr>
          <w:p>
            <w:pPr>
              <w:pStyle w:val="180"/>
              <w:rPr>
                <w:highlight w:val="none"/>
              </w:rPr>
            </w:pPr>
            <w:r>
              <w:rPr>
                <w:rFonts w:hint="eastAsia"/>
                <w:highlight w:val="none"/>
              </w:rPr>
              <w:t>证件号码</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不</w:t>
            </w:r>
          </w:p>
          <w:p>
            <w:pPr>
              <w:pStyle w:val="180"/>
              <w:rPr>
                <w:highlight w:val="none"/>
              </w:rPr>
            </w:pPr>
            <w:r>
              <w:rPr>
                <w:rFonts w:hint="eastAsia"/>
                <w:highlight w:val="none"/>
              </w:rPr>
              <w:t>动</w:t>
            </w:r>
          </w:p>
          <w:p>
            <w:pPr>
              <w:pStyle w:val="180"/>
              <w:rPr>
                <w:highlight w:val="none"/>
              </w:rPr>
            </w:pPr>
            <w:r>
              <w:rPr>
                <w:rFonts w:hint="eastAsia"/>
                <w:highlight w:val="none"/>
              </w:rPr>
              <w:t>产</w:t>
            </w:r>
          </w:p>
          <w:p>
            <w:pPr>
              <w:pStyle w:val="180"/>
              <w:rPr>
                <w:highlight w:val="none"/>
              </w:rPr>
            </w:pPr>
            <w:r>
              <w:rPr>
                <w:rFonts w:hint="eastAsia"/>
                <w:highlight w:val="none"/>
              </w:rPr>
              <w:t>情</w:t>
            </w:r>
          </w:p>
          <w:p>
            <w:pPr>
              <w:pStyle w:val="180"/>
              <w:rPr>
                <w:highlight w:val="none"/>
              </w:rPr>
            </w:pPr>
            <w:r>
              <w:rPr>
                <w:rFonts w:hint="eastAsia"/>
                <w:highlight w:val="none"/>
              </w:rPr>
              <w:t>况</w:t>
            </w:r>
          </w:p>
        </w:tc>
        <w:tc>
          <w:tcPr>
            <w:tcW w:w="2139" w:type="dxa"/>
            <w:gridSpan w:val="2"/>
            <w:shd w:val="clear" w:color="auto" w:fill="auto"/>
            <w:tcMar>
              <w:left w:w="57" w:type="dxa"/>
              <w:right w:w="57" w:type="dxa"/>
            </w:tcMar>
            <w:vAlign w:val="center"/>
          </w:tcPr>
          <w:p>
            <w:pPr>
              <w:pStyle w:val="180"/>
              <w:rPr>
                <w:highlight w:val="none"/>
              </w:rPr>
            </w:pPr>
            <w:r>
              <w:rPr>
                <w:rFonts w:hint="eastAsia"/>
                <w:highlight w:val="none"/>
              </w:rPr>
              <w:t>坐  落</w:t>
            </w:r>
          </w:p>
        </w:tc>
        <w:tc>
          <w:tcPr>
            <w:tcW w:w="6374" w:type="dxa"/>
            <w:gridSpan w:val="5"/>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不动产单元号</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不动产类型</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27" w:type="dxa"/>
            <w:vMerge w:val="restart"/>
            <w:shd w:val="clear" w:color="auto" w:fill="auto"/>
            <w:tcMar>
              <w:left w:w="57" w:type="dxa"/>
              <w:right w:w="57" w:type="dxa"/>
            </w:tcMar>
            <w:vAlign w:val="center"/>
          </w:tcPr>
          <w:p>
            <w:pPr>
              <w:pStyle w:val="180"/>
              <w:rPr>
                <w:highlight w:val="none"/>
              </w:rPr>
            </w:pPr>
            <w:r>
              <w:rPr>
                <w:rFonts w:hint="eastAsia"/>
                <w:highlight w:val="none"/>
              </w:rPr>
              <w:t>不动产权属证书/</w:t>
            </w:r>
          </w:p>
          <w:p>
            <w:pPr>
              <w:pStyle w:val="180"/>
              <w:rPr>
                <w:highlight w:val="none"/>
              </w:rPr>
            </w:pPr>
            <w:r>
              <w:rPr>
                <w:rFonts w:hint="eastAsia"/>
                <w:highlight w:val="none"/>
              </w:rPr>
              <w:t>不动产登记证明号</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面  积</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27" w:type="dxa"/>
            <w:vMerge w:val="continue"/>
            <w:shd w:val="clear" w:color="auto" w:fill="auto"/>
            <w:tcMar>
              <w:left w:w="57" w:type="dxa"/>
              <w:right w:w="57" w:type="dxa"/>
            </w:tcMar>
            <w:vAlign w:val="center"/>
          </w:tcPr>
          <w:p>
            <w:pPr>
              <w:pStyle w:val="180"/>
              <w:rPr>
                <w:highlight w:val="none"/>
              </w:rPr>
            </w:pP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用  途</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构筑物类型</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林  种</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restart"/>
            <w:shd w:val="clear" w:color="auto" w:fill="auto"/>
            <w:vAlign w:val="center"/>
          </w:tcPr>
          <w:p>
            <w:pPr>
              <w:pStyle w:val="180"/>
              <w:rPr>
                <w:highlight w:val="none"/>
              </w:rPr>
            </w:pPr>
            <w:r>
              <w:rPr>
                <w:rFonts w:hint="eastAsia"/>
                <w:highlight w:val="none"/>
              </w:rPr>
              <w:t xml:space="preserve">抵 押 </w:t>
            </w:r>
          </w:p>
          <w:p>
            <w:pPr>
              <w:pStyle w:val="180"/>
              <w:rPr>
                <w:highlight w:val="none"/>
              </w:rPr>
            </w:pPr>
            <w:r>
              <w:rPr>
                <w:rFonts w:hint="eastAsia"/>
                <w:highlight w:val="none"/>
              </w:rPr>
              <w:t>情 况</w:t>
            </w:r>
          </w:p>
        </w:tc>
        <w:tc>
          <w:tcPr>
            <w:tcW w:w="2127" w:type="dxa"/>
            <w:shd w:val="clear" w:color="auto" w:fill="auto"/>
            <w:tcMar>
              <w:left w:w="57" w:type="dxa"/>
              <w:right w:w="57" w:type="dxa"/>
            </w:tcMar>
            <w:vAlign w:val="center"/>
          </w:tcPr>
          <w:p>
            <w:pPr>
              <w:pStyle w:val="180"/>
              <w:rPr>
                <w:highlight w:val="none"/>
              </w:rPr>
            </w:pPr>
            <w:r>
              <w:rPr>
                <w:rFonts w:hint="eastAsia"/>
                <w:highlight w:val="none"/>
              </w:rPr>
              <w:t>□被担保债权数额</w:t>
            </w:r>
          </w:p>
          <w:p>
            <w:pPr>
              <w:pStyle w:val="180"/>
              <w:rPr>
                <w:highlight w:val="none"/>
              </w:rPr>
            </w:pPr>
            <w:r>
              <w:rPr>
                <w:rFonts w:hint="eastAsia"/>
                <w:highlight w:val="none"/>
              </w:rPr>
              <w:t>□最高债权数额</w:t>
            </w:r>
          </w:p>
        </w:tc>
        <w:tc>
          <w:tcPr>
            <w:tcW w:w="2144" w:type="dxa"/>
            <w:gridSpan w:val="4"/>
            <w:shd w:val="clear" w:color="auto" w:fill="auto"/>
            <w:vAlign w:val="center"/>
          </w:tcPr>
          <w:p>
            <w:pPr>
              <w:pStyle w:val="180"/>
              <w:jc w:val="left"/>
              <w:rPr>
                <w:highlight w:val="none"/>
              </w:rPr>
            </w:pPr>
          </w:p>
        </w:tc>
        <w:tc>
          <w:tcPr>
            <w:tcW w:w="1562" w:type="dxa"/>
            <w:shd w:val="clear" w:color="auto" w:fill="auto"/>
            <w:vAlign w:val="center"/>
          </w:tcPr>
          <w:p>
            <w:pPr>
              <w:pStyle w:val="180"/>
              <w:rPr>
                <w:highlight w:val="none"/>
              </w:rPr>
            </w:pPr>
            <w:r>
              <w:rPr>
                <w:rFonts w:hint="eastAsia"/>
                <w:highlight w:val="none"/>
              </w:rPr>
              <w:t>债务履行期限</w:t>
            </w:r>
          </w:p>
          <w:p>
            <w:pPr>
              <w:pStyle w:val="180"/>
              <w:rPr>
                <w:highlight w:val="none"/>
              </w:rPr>
            </w:pPr>
            <w:r>
              <w:rPr>
                <w:rFonts w:hint="eastAsia"/>
                <w:highlight w:val="none"/>
              </w:rPr>
              <w:t>（债权确定期间）</w:t>
            </w:r>
          </w:p>
        </w:tc>
        <w:tc>
          <w:tcPr>
            <w:tcW w:w="2680" w:type="dxa"/>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担保范围</w:t>
            </w:r>
          </w:p>
        </w:tc>
        <w:tc>
          <w:tcPr>
            <w:tcW w:w="6386" w:type="dxa"/>
            <w:gridSpan w:val="6"/>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2127" w:type="dxa"/>
            <w:shd w:val="clear" w:color="auto" w:fill="auto"/>
            <w:tcMar>
              <w:left w:w="57" w:type="dxa"/>
              <w:right w:w="57" w:type="dxa"/>
            </w:tcMar>
            <w:vAlign w:val="center"/>
          </w:tcPr>
          <w:p>
            <w:pPr>
              <w:pStyle w:val="180"/>
              <w:rPr>
                <w:highlight w:val="none"/>
              </w:rPr>
            </w:pPr>
            <w:r>
              <w:rPr>
                <w:rFonts w:hint="eastAsia"/>
                <w:highlight w:val="none"/>
              </w:rPr>
              <w:t>在建建筑物抵押范围</w:t>
            </w:r>
          </w:p>
        </w:tc>
        <w:tc>
          <w:tcPr>
            <w:tcW w:w="6386" w:type="dxa"/>
            <w:gridSpan w:val="6"/>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97" w:hRule="atLeast"/>
          <w:jc w:val="center"/>
        </w:trPr>
        <w:tc>
          <w:tcPr>
            <w:tcW w:w="821" w:type="dxa"/>
            <w:vMerge w:val="continue"/>
            <w:shd w:val="clear" w:color="auto" w:fill="auto"/>
            <w:vAlign w:val="center"/>
          </w:tcPr>
          <w:p>
            <w:pPr>
              <w:pStyle w:val="180"/>
              <w:rPr>
                <w:highlight w:val="none"/>
              </w:rPr>
            </w:pPr>
          </w:p>
        </w:tc>
        <w:tc>
          <w:tcPr>
            <w:tcW w:w="4271" w:type="dxa"/>
            <w:gridSpan w:val="5"/>
            <w:shd w:val="clear" w:color="auto" w:fill="auto"/>
            <w:tcMar>
              <w:left w:w="57" w:type="dxa"/>
              <w:right w:w="57" w:type="dxa"/>
            </w:tcMar>
            <w:vAlign w:val="center"/>
          </w:tcPr>
          <w:p>
            <w:pPr>
              <w:pStyle w:val="180"/>
              <w:jc w:val="left"/>
              <w:rPr>
                <w:highlight w:val="none"/>
              </w:rPr>
            </w:pPr>
            <w:r>
              <w:rPr>
                <w:rFonts w:hint="eastAsia"/>
                <w:highlight w:val="none"/>
              </w:rPr>
              <w:t>是否存在禁止或限制转让抵押不动产约定</w:t>
            </w:r>
          </w:p>
        </w:tc>
        <w:tc>
          <w:tcPr>
            <w:tcW w:w="4242" w:type="dxa"/>
            <w:gridSpan w:val="2"/>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bl>
    <w:p>
      <w:pPr>
        <w:pStyle w:val="58"/>
        <w:spacing w:before="156" w:beforeLines="50" w:after="156" w:afterLines="50"/>
        <w:ind w:firstLine="0" w:firstLineChars="0"/>
        <w:jc w:val="center"/>
        <w:rPr>
          <w:rFonts w:ascii="黑体" w:hAnsi="黑体" w:eastAsia="黑体"/>
          <w:highlight w:val="none"/>
        </w:rPr>
      </w:pPr>
      <w:r>
        <w:rPr>
          <w:rFonts w:hint="eastAsia" w:ascii="黑体" w:hAnsi="黑体" w:eastAsia="黑体"/>
          <w:highlight w:val="none"/>
        </w:rPr>
        <w:t>上表</w:t>
      </w:r>
      <w:r>
        <w:rPr>
          <w:rFonts w:hint="eastAsia" w:hAnsi="宋体"/>
          <w:highlight w:val="none"/>
        </w:rPr>
        <w:t>（续）</w:t>
      </w:r>
    </w:p>
    <w:tbl>
      <w:tblPr>
        <w:tblStyle w:val="29"/>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841"/>
        <w:gridCol w:w="1843"/>
        <w:gridCol w:w="1983"/>
        <w:gridCol w:w="2836"/>
        <w:gridCol w:w="18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登记原因及证明材料</w:t>
            </w:r>
          </w:p>
        </w:tc>
        <w:tc>
          <w:tcPr>
            <w:tcW w:w="1843" w:type="dxa"/>
            <w:shd w:val="clear" w:color="auto" w:fill="auto"/>
            <w:tcMar>
              <w:left w:w="57" w:type="dxa"/>
              <w:right w:w="57" w:type="dxa"/>
            </w:tcMar>
            <w:vAlign w:val="center"/>
          </w:tcPr>
          <w:p>
            <w:pPr>
              <w:pStyle w:val="180"/>
              <w:rPr>
                <w:highlight w:val="none"/>
              </w:rPr>
            </w:pPr>
            <w:r>
              <w:rPr>
                <w:rFonts w:hint="eastAsia"/>
                <w:highlight w:val="none"/>
              </w:rPr>
              <w:t>登记原因</w:t>
            </w: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restart"/>
            <w:shd w:val="clear" w:color="auto" w:fill="auto"/>
            <w:tcMar>
              <w:left w:w="57" w:type="dxa"/>
              <w:right w:w="57" w:type="dxa"/>
            </w:tcMar>
            <w:vAlign w:val="center"/>
          </w:tcPr>
          <w:p>
            <w:pPr>
              <w:pStyle w:val="180"/>
              <w:rPr>
                <w:highlight w:val="none"/>
              </w:rPr>
            </w:pPr>
            <w:r>
              <w:rPr>
                <w:rFonts w:hint="eastAsia"/>
                <w:highlight w:val="none"/>
              </w:rPr>
              <w:t>登记原因证明材料</w:t>
            </w: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continue"/>
            <w:shd w:val="clear" w:color="auto" w:fill="auto"/>
            <w:vAlign w:val="center"/>
          </w:tcPr>
          <w:p>
            <w:pPr>
              <w:pStyle w:val="180"/>
              <w:rPr>
                <w:highlight w:val="none"/>
              </w:rPr>
            </w:pPr>
          </w:p>
        </w:tc>
        <w:tc>
          <w:tcPr>
            <w:tcW w:w="1843" w:type="dxa"/>
            <w:vMerge w:val="continue"/>
            <w:shd w:val="clear" w:color="auto" w:fill="auto"/>
            <w:tcMar>
              <w:left w:w="57" w:type="dxa"/>
              <w:right w:w="57" w:type="dxa"/>
            </w:tcMar>
            <w:vAlign w:val="center"/>
          </w:tcPr>
          <w:p>
            <w:pPr>
              <w:pStyle w:val="180"/>
              <w:jc w:val="left"/>
              <w:rPr>
                <w:highlight w:val="none"/>
              </w:rPr>
            </w:pPr>
          </w:p>
        </w:tc>
        <w:tc>
          <w:tcPr>
            <w:tcW w:w="6650" w:type="dxa"/>
            <w:gridSpan w:val="3"/>
            <w:shd w:val="clear" w:color="auto" w:fill="auto"/>
            <w:vAlign w:val="center"/>
          </w:tcPr>
          <w:p>
            <w:pPr>
              <w:pStyle w:val="18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69" w:hRule="atLeast"/>
          <w:jc w:val="center"/>
        </w:trPr>
        <w:tc>
          <w:tcPr>
            <w:tcW w:w="841" w:type="dxa"/>
            <w:vMerge w:val="restart"/>
            <w:shd w:val="clear" w:color="auto" w:fill="auto"/>
            <w:vAlign w:val="center"/>
          </w:tcPr>
          <w:p>
            <w:pPr>
              <w:pStyle w:val="180"/>
              <w:rPr>
                <w:highlight w:val="none"/>
              </w:rPr>
            </w:pPr>
            <w:r>
              <w:rPr>
                <w:rFonts w:hint="eastAsia"/>
                <w:highlight w:val="none"/>
              </w:rPr>
              <w:t>询</w:t>
            </w:r>
          </w:p>
          <w:p>
            <w:pPr>
              <w:pStyle w:val="180"/>
              <w:rPr>
                <w:highlight w:val="none"/>
              </w:rPr>
            </w:pPr>
            <w:r>
              <w:rPr>
                <w:rFonts w:hint="eastAsia"/>
                <w:highlight w:val="none"/>
              </w:rPr>
              <w:t>问</w:t>
            </w:r>
          </w:p>
          <w:p>
            <w:pPr>
              <w:pStyle w:val="180"/>
              <w:rPr>
                <w:highlight w:val="none"/>
              </w:rPr>
            </w:pPr>
            <w:r>
              <w:rPr>
                <w:rFonts w:hint="eastAsia"/>
                <w:highlight w:val="none"/>
              </w:rPr>
              <w:t>内</w:t>
            </w:r>
          </w:p>
          <w:p>
            <w:pPr>
              <w:pStyle w:val="180"/>
              <w:rPr>
                <w:highlight w:val="none"/>
              </w:rPr>
            </w:pPr>
            <w:r>
              <w:rPr>
                <w:rFonts w:hint="eastAsia"/>
                <w:highlight w:val="none"/>
              </w:rPr>
              <w:t>容</w:t>
            </w:r>
          </w:p>
        </w:tc>
        <w:tc>
          <w:tcPr>
            <w:tcW w:w="8493" w:type="dxa"/>
            <w:gridSpan w:val="4"/>
            <w:shd w:val="clear" w:color="auto" w:fill="auto"/>
            <w:tcMar>
              <w:left w:w="57" w:type="dxa"/>
              <w:right w:w="57" w:type="dxa"/>
            </w:tcMar>
            <w:vAlign w:val="center"/>
          </w:tcPr>
          <w:p>
            <w:pPr>
              <w:pStyle w:val="180"/>
              <w:jc w:val="left"/>
              <w:rPr>
                <w:highlight w:val="none"/>
              </w:rPr>
            </w:pPr>
            <w:r>
              <w:rPr>
                <w:rFonts w:hint="eastAsia"/>
                <w:highlight w:val="none"/>
              </w:rPr>
              <w:t>注：就登记机构询问的下列问题，请用“是/否”回答，必要时应进一步明确。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1、申请登记事项是否为申请人的真实意思表示？</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8493" w:type="dxa"/>
            <w:gridSpan w:val="4"/>
            <w:shd w:val="clear" w:color="auto" w:fill="auto"/>
            <w:tcMar>
              <w:left w:w="57" w:type="dxa"/>
              <w:right w:w="57" w:type="dxa"/>
            </w:tcMar>
            <w:vAlign w:val="center"/>
          </w:tcPr>
          <w:p>
            <w:pPr>
              <w:pStyle w:val="180"/>
              <w:jc w:val="left"/>
              <w:rPr>
                <w:highlight w:val="none"/>
              </w:rPr>
            </w:pPr>
            <w:r>
              <w:rPr>
                <w:rFonts w:hint="eastAsia"/>
                <w:highlight w:val="none"/>
              </w:rPr>
              <w:t>2、申请登记的不动产是共有，还是单独所有？</w:t>
            </w:r>
          </w:p>
          <w:p>
            <w:pPr>
              <w:pStyle w:val="180"/>
              <w:jc w:val="left"/>
              <w:rPr>
                <w:highlight w:val="none"/>
              </w:rPr>
            </w:pPr>
            <w:r>
              <w:rPr>
                <w:rFonts w:hint="eastAsia"/>
                <w:highlight w:val="none"/>
              </w:rPr>
              <w:t>回答：（权利人）□单独所有    □共同共有    □按份共有，共有份额：</w:t>
            </w:r>
          </w:p>
          <w:p>
            <w:pPr>
              <w:pStyle w:val="180"/>
              <w:ind w:firstLine="540" w:firstLineChars="300"/>
              <w:jc w:val="left"/>
              <w:rPr>
                <w:highlight w:val="none"/>
              </w:rPr>
            </w:pPr>
            <w:r>
              <w:rPr>
                <w:rFonts w:hint="eastAsia"/>
                <w:highlight w:val="none"/>
              </w:rPr>
              <w:t>（义务人）□单独所有    □共同共有    □按份共有，共有份额：</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3、权利人是否承诺为小微企业（注：小微企业免收登记费）？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4、申请异议登记时，权利人是否不同意办理更正登记？</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5、申请异议登记时，是否已知悉异议不当应承担的责任？</w:t>
            </w:r>
          </w:p>
          <w:p>
            <w:pPr>
              <w:pStyle w:val="180"/>
              <w:ind w:firstLine="270" w:firstLineChars="150"/>
              <w:jc w:val="left"/>
              <w:rPr>
                <w:highlight w:val="none"/>
              </w:rPr>
            </w:pPr>
            <w:r>
              <w:rPr>
                <w:rFonts w:hint="eastAsia"/>
                <w:highlight w:val="none"/>
              </w:rPr>
              <w:t>回答：（申请异议登记时填写，申请其他登记不填写本栏）</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6、申请本次转移登记时，其他按份共有人是否同意？</w:t>
            </w:r>
          </w:p>
          <w:p>
            <w:pPr>
              <w:pStyle w:val="180"/>
              <w:ind w:firstLine="270" w:firstLineChars="150"/>
              <w:jc w:val="left"/>
              <w:rPr>
                <w:highlight w:val="none"/>
              </w:rPr>
            </w:pPr>
            <w:r>
              <w:rPr>
                <w:rFonts w:hint="eastAsia"/>
                <w:highlight w:val="none"/>
              </w:rPr>
              <w:t>回答：（受让人为其他按份共有人以外的第三人时填写）</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6662" w:type="dxa"/>
            <w:gridSpan w:val="3"/>
            <w:shd w:val="clear" w:color="auto" w:fill="auto"/>
            <w:tcMar>
              <w:left w:w="57" w:type="dxa"/>
              <w:right w:w="57" w:type="dxa"/>
            </w:tcMar>
            <w:vAlign w:val="center"/>
          </w:tcPr>
          <w:p>
            <w:pPr>
              <w:pStyle w:val="180"/>
              <w:jc w:val="left"/>
              <w:rPr>
                <w:highlight w:val="none"/>
              </w:rPr>
            </w:pPr>
            <w:r>
              <w:rPr>
                <w:rFonts w:hint="eastAsia"/>
                <w:highlight w:val="none"/>
              </w:rPr>
              <w:t>7、其他需要询问的有关事项：</w:t>
            </w:r>
          </w:p>
        </w:tc>
        <w:tc>
          <w:tcPr>
            <w:tcW w:w="1831" w:type="dxa"/>
            <w:shd w:val="clear" w:color="auto" w:fill="auto"/>
            <w:vAlign w:val="center"/>
          </w:tcPr>
          <w:p>
            <w:pPr>
              <w:pStyle w:val="180"/>
              <w:jc w:val="left"/>
              <w:rPr>
                <w:highlight w:val="none"/>
              </w:rPr>
            </w:pPr>
            <w:r>
              <w:rPr>
                <w:rFonts w:hint="eastAsia"/>
                <w:highlight w:val="none"/>
              </w:rPr>
              <w:t xml:space="preserve"> </w:t>
            </w:r>
            <w:r>
              <w:rPr>
                <w:highlight w:val="none"/>
              </w:rPr>
              <w:t xml:space="preserve">     </w:t>
            </w:r>
            <w:r>
              <w:rPr>
                <w:rFonts w:hint="eastAsia"/>
                <w:highlight w:val="none"/>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vMerge w:val="continue"/>
            <w:shd w:val="clear" w:color="auto" w:fill="auto"/>
            <w:vAlign w:val="center"/>
          </w:tcPr>
          <w:p>
            <w:pPr>
              <w:pStyle w:val="180"/>
              <w:rPr>
                <w:highlight w:val="none"/>
              </w:rPr>
            </w:pPr>
          </w:p>
        </w:tc>
        <w:tc>
          <w:tcPr>
            <w:tcW w:w="3826" w:type="dxa"/>
            <w:gridSpan w:val="2"/>
            <w:shd w:val="clear" w:color="auto" w:fill="auto"/>
            <w:tcMar>
              <w:left w:w="57" w:type="dxa"/>
              <w:right w:w="57" w:type="dxa"/>
            </w:tcMar>
            <w:vAlign w:val="center"/>
          </w:tcPr>
          <w:p>
            <w:pPr>
              <w:pStyle w:val="180"/>
              <w:jc w:val="left"/>
              <w:rPr>
                <w:highlight w:val="none"/>
              </w:rPr>
            </w:pPr>
            <w:r>
              <w:rPr>
                <w:rFonts w:hint="eastAsia"/>
                <w:highlight w:val="none"/>
              </w:rPr>
              <w:t>被询问人：</w:t>
            </w:r>
          </w:p>
        </w:tc>
        <w:tc>
          <w:tcPr>
            <w:tcW w:w="2836" w:type="dxa"/>
            <w:shd w:val="clear" w:color="auto" w:fill="auto"/>
            <w:vAlign w:val="center"/>
          </w:tcPr>
          <w:p>
            <w:pPr>
              <w:pStyle w:val="180"/>
              <w:ind w:firstLine="90" w:firstLineChars="50"/>
              <w:jc w:val="left"/>
              <w:rPr>
                <w:highlight w:val="none"/>
              </w:rPr>
            </w:pPr>
            <w:r>
              <w:rPr>
                <w:rFonts w:hint="eastAsia"/>
                <w:highlight w:val="none"/>
              </w:rPr>
              <w:t>询问人：</w:t>
            </w:r>
          </w:p>
        </w:tc>
        <w:tc>
          <w:tcPr>
            <w:tcW w:w="1831" w:type="dxa"/>
            <w:shd w:val="clear" w:color="auto" w:fill="auto"/>
            <w:vAlign w:val="center"/>
          </w:tcPr>
          <w:p>
            <w:pPr>
              <w:pStyle w:val="180"/>
              <w:jc w:val="left"/>
              <w:rPr>
                <w:highlight w:val="none"/>
              </w:rPr>
            </w:pPr>
            <w:r>
              <w:rPr>
                <w:rFonts w:hint="eastAsia"/>
                <w:highlight w:val="none"/>
              </w:rPr>
              <w:t>询问时间：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841" w:type="dxa"/>
            <w:shd w:val="clear" w:color="auto" w:fill="auto"/>
            <w:vAlign w:val="center"/>
          </w:tcPr>
          <w:p>
            <w:pPr>
              <w:pStyle w:val="180"/>
              <w:ind w:firstLine="90" w:firstLineChars="50"/>
              <w:jc w:val="left"/>
              <w:rPr>
                <w:highlight w:val="none"/>
              </w:rPr>
            </w:pPr>
            <w:r>
              <w:rPr>
                <w:rFonts w:hint="eastAsia"/>
                <w:highlight w:val="none"/>
              </w:rPr>
              <w:t>备 注</w:t>
            </w:r>
          </w:p>
        </w:tc>
        <w:tc>
          <w:tcPr>
            <w:tcW w:w="8493" w:type="dxa"/>
            <w:gridSpan w:val="4"/>
            <w:shd w:val="clear" w:color="auto" w:fill="auto"/>
            <w:vAlign w:val="center"/>
          </w:tcPr>
          <w:p>
            <w:pPr>
              <w:pStyle w:val="180"/>
              <w:ind w:firstLine="90" w:firstLineChars="50"/>
              <w:jc w:val="left"/>
              <w:rPr>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9334" w:type="dxa"/>
            <w:gridSpan w:val="5"/>
            <w:shd w:val="clear" w:color="auto" w:fill="auto"/>
            <w:vAlign w:val="center"/>
          </w:tcPr>
          <w:p>
            <w:pPr>
              <w:pStyle w:val="180"/>
              <w:ind w:firstLine="90" w:firstLineChars="50"/>
              <w:jc w:val="left"/>
              <w:rPr>
                <w:highlight w:val="none"/>
              </w:rPr>
            </w:pPr>
            <w:r>
              <w:rPr>
                <w:rFonts w:hint="eastAsia"/>
                <w:highlight w:val="none"/>
              </w:rPr>
              <w:t>本申请人对填写的上述内容及提交的申请材料的真实性负责。如有不实，申请人愿承担法律责任。</w:t>
            </w:r>
          </w:p>
          <w:p>
            <w:pPr>
              <w:pStyle w:val="180"/>
              <w:ind w:firstLine="90" w:firstLineChars="50"/>
              <w:jc w:val="left"/>
              <w:rPr>
                <w:highlight w:val="none"/>
              </w:rPr>
            </w:pPr>
          </w:p>
          <w:p>
            <w:pPr>
              <w:pStyle w:val="180"/>
              <w:ind w:firstLine="90" w:firstLineChars="50"/>
              <w:jc w:val="left"/>
              <w:rPr>
                <w:highlight w:val="none"/>
              </w:rPr>
            </w:pPr>
          </w:p>
          <w:p>
            <w:pPr>
              <w:pStyle w:val="180"/>
              <w:ind w:firstLine="450" w:firstLineChars="250"/>
              <w:jc w:val="left"/>
              <w:rPr>
                <w:highlight w:val="none"/>
              </w:rPr>
            </w:pPr>
            <w:r>
              <w:rPr>
                <w:rFonts w:hint="eastAsia"/>
                <w:highlight w:val="none"/>
              </w:rPr>
              <w:t>申请人（签章）：                                         申请人（签章）：</w:t>
            </w:r>
          </w:p>
          <w:p>
            <w:pPr>
              <w:pStyle w:val="180"/>
              <w:ind w:firstLine="450" w:firstLineChars="250"/>
              <w:jc w:val="left"/>
              <w:rPr>
                <w:highlight w:val="none"/>
              </w:rPr>
            </w:pPr>
            <w:r>
              <w:rPr>
                <w:rFonts w:hint="eastAsia"/>
                <w:highlight w:val="none"/>
              </w:rPr>
              <w:t>代理人（签章）：                                         代理人（签章）：</w:t>
            </w:r>
          </w:p>
          <w:p>
            <w:pPr>
              <w:pStyle w:val="180"/>
              <w:ind w:firstLine="810" w:firstLineChars="450"/>
              <w:jc w:val="left"/>
              <w:rPr>
                <w:highlight w:val="none"/>
              </w:rPr>
            </w:pPr>
            <w:r>
              <w:rPr>
                <w:rFonts w:hint="eastAsia"/>
                <w:highlight w:val="none"/>
              </w:rPr>
              <w:t>年  月  日                                              年  月  日</w:t>
            </w:r>
          </w:p>
          <w:p>
            <w:pPr>
              <w:pStyle w:val="180"/>
              <w:ind w:firstLine="810" w:firstLineChars="450"/>
              <w:jc w:val="left"/>
              <w:rPr>
                <w:highlight w:val="none"/>
              </w:rPr>
            </w:pPr>
          </w:p>
        </w:tc>
      </w:tr>
    </w:tbl>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58"/>
        <w:ind w:firstLine="420"/>
        <w:rPr>
          <w:highlight w:val="none"/>
        </w:rPr>
      </w:pPr>
    </w:p>
    <w:p>
      <w:pPr>
        <w:pStyle w:val="80"/>
        <w:spacing w:before="156" w:after="156"/>
        <w:rPr>
          <w:highlight w:val="none"/>
        </w:rPr>
      </w:pPr>
      <w:bookmarkStart w:id="98" w:name="_Toc148013730"/>
      <w:bookmarkStart w:id="99" w:name="_Toc6830"/>
      <w:r>
        <w:rPr>
          <w:rFonts w:hint="eastAsia"/>
          <w:highlight w:val="none"/>
        </w:rPr>
        <w:t>不动产登记申请书使用和填写说明</w:t>
      </w:r>
      <w:bookmarkEnd w:id="98"/>
      <w:bookmarkEnd w:id="99"/>
    </w:p>
    <w:p>
      <w:pPr>
        <w:pStyle w:val="81"/>
        <w:spacing w:before="156" w:after="156"/>
        <w:rPr>
          <w:highlight w:val="none"/>
        </w:rPr>
      </w:pPr>
      <w:r>
        <w:rPr>
          <w:rFonts w:hint="eastAsia"/>
          <w:highlight w:val="none"/>
        </w:rPr>
        <w:t>使用说明</w:t>
      </w:r>
    </w:p>
    <w:p>
      <w:pPr>
        <w:pStyle w:val="58"/>
        <w:ind w:firstLine="420"/>
        <w:rPr>
          <w:highlight w:val="none"/>
        </w:rPr>
      </w:pPr>
      <w:r>
        <w:rPr>
          <w:rFonts w:hint="eastAsia"/>
          <w:highlight w:val="none"/>
        </w:rPr>
        <w:t>不动产登记申请书主要内容包括登记收件情况、申请登记事由、申请人情况、不动产情况、抵押情况、地役权情况、登记原因及其证明情况、申请的证书版式及持证情况、不动产登记情况。</w:t>
      </w:r>
    </w:p>
    <w:p>
      <w:pPr>
        <w:pStyle w:val="58"/>
        <w:ind w:firstLine="420"/>
        <w:rPr>
          <w:highlight w:val="none"/>
        </w:rPr>
      </w:pPr>
      <w:r>
        <w:rPr>
          <w:rFonts w:hint="eastAsia"/>
          <w:highlight w:val="none"/>
        </w:rPr>
        <w:t>不动产登记申请书为示范表格，各地可参照使用，也可以根据实际情况，从便民利民和方便管理出发，进行适当调整。</w:t>
      </w:r>
    </w:p>
    <w:p>
      <w:pPr>
        <w:pStyle w:val="81"/>
        <w:spacing w:before="156" w:after="156"/>
        <w:rPr>
          <w:highlight w:val="none"/>
        </w:rPr>
      </w:pPr>
      <w:r>
        <w:rPr>
          <w:rFonts w:hint="eastAsia"/>
          <w:highlight w:val="none"/>
        </w:rPr>
        <w:t>填写说明</w:t>
      </w:r>
    </w:p>
    <w:p>
      <w:pPr>
        <w:pStyle w:val="58"/>
        <w:ind w:firstLine="420"/>
        <w:rPr>
          <w:highlight w:val="none"/>
        </w:rPr>
      </w:pPr>
      <w:r>
        <w:rPr>
          <w:rFonts w:hint="eastAsia"/>
          <w:highlight w:val="none"/>
        </w:rPr>
        <w:t>不动产登记申请书的填写说明如下：</w:t>
      </w:r>
    </w:p>
    <w:p>
      <w:pPr>
        <w:pStyle w:val="176"/>
        <w:numPr>
          <w:ilvl w:val="0"/>
          <w:numId w:val="61"/>
        </w:numPr>
        <w:rPr>
          <w:highlight w:val="none"/>
        </w:rPr>
      </w:pPr>
      <w:r>
        <w:rPr>
          <w:rFonts w:hint="eastAsia"/>
          <w:highlight w:val="none"/>
        </w:rPr>
        <w:t>【收件编号、时间】填写登记收件的编号和时间。</w:t>
      </w:r>
    </w:p>
    <w:p>
      <w:pPr>
        <w:pStyle w:val="176"/>
        <w:numPr>
          <w:ilvl w:val="0"/>
          <w:numId w:val="61"/>
        </w:numPr>
        <w:rPr>
          <w:highlight w:val="none"/>
        </w:rPr>
      </w:pPr>
      <w:r>
        <w:rPr>
          <w:rFonts w:hint="eastAsia"/>
          <w:highlight w:val="none"/>
        </w:rPr>
        <w:t>【收件人】填写登记收件人的姓名。</w:t>
      </w:r>
    </w:p>
    <w:p>
      <w:pPr>
        <w:pStyle w:val="176"/>
        <w:numPr>
          <w:ilvl w:val="0"/>
          <w:numId w:val="61"/>
        </w:numPr>
        <w:rPr>
          <w:highlight w:val="none"/>
        </w:rPr>
      </w:pPr>
      <w:r>
        <w:rPr>
          <w:rFonts w:hint="eastAsia"/>
          <w:highlight w:val="none"/>
        </w:rPr>
        <w:t>【登记申请事由】用勾选的方式，选择申请登记的权利或者事项及登记的类型。</w:t>
      </w:r>
    </w:p>
    <w:p>
      <w:pPr>
        <w:pStyle w:val="176"/>
        <w:numPr>
          <w:ilvl w:val="0"/>
          <w:numId w:val="61"/>
        </w:numPr>
        <w:rPr>
          <w:highlight w:val="none"/>
        </w:rPr>
      </w:pPr>
      <w:r>
        <w:rPr>
          <w:rFonts w:hint="eastAsia"/>
          <w:highlight w:val="none"/>
        </w:rPr>
        <w:t>【权利人、义务人姓名（名称）】填写权利人和义务人身份证件上的姓名或者名称。</w:t>
      </w:r>
    </w:p>
    <w:p>
      <w:pPr>
        <w:pStyle w:val="176"/>
        <w:numPr>
          <w:ilvl w:val="0"/>
          <w:numId w:val="61"/>
        </w:numPr>
        <w:rPr>
          <w:highlight w:val="none"/>
        </w:rPr>
      </w:pPr>
      <w:r>
        <w:rPr>
          <w:rFonts w:hint="eastAsia"/>
          <w:highlight w:val="none"/>
        </w:rPr>
        <w:t>【身份证件种类、证件号】填写申请人身份证件的种类及号码。</w:t>
      </w:r>
    </w:p>
    <w:p>
      <w:pPr>
        <w:pStyle w:val="176"/>
        <w:numPr>
          <w:ilvl w:val="0"/>
          <w:numId w:val="61"/>
        </w:numPr>
        <w:rPr>
          <w:highlight w:val="none"/>
        </w:rPr>
      </w:pPr>
      <w:r>
        <w:rPr>
          <w:rFonts w:hint="eastAsia"/>
          <w:highlight w:val="none"/>
        </w:rPr>
        <w:t>【通讯地址、邮编】填写规范的通讯地址、邮政编码。</w:t>
      </w:r>
    </w:p>
    <w:p>
      <w:pPr>
        <w:pStyle w:val="176"/>
        <w:numPr>
          <w:ilvl w:val="0"/>
          <w:numId w:val="61"/>
        </w:numPr>
        <w:rPr>
          <w:highlight w:val="none"/>
        </w:rPr>
      </w:pPr>
      <w:r>
        <w:rPr>
          <w:rFonts w:hint="eastAsia"/>
          <w:highlight w:val="none"/>
        </w:rPr>
        <w:t>【法定代表人或者负责人】申请人为法人单位的，填写法定代表人姓名；为非法人单位的，填写负责人姓名。</w:t>
      </w:r>
    </w:p>
    <w:p>
      <w:pPr>
        <w:pStyle w:val="176"/>
        <w:numPr>
          <w:ilvl w:val="0"/>
          <w:numId w:val="61"/>
        </w:numPr>
        <w:rPr>
          <w:highlight w:val="none"/>
        </w:rPr>
      </w:pPr>
      <w:r>
        <w:rPr>
          <w:rFonts w:hint="eastAsia"/>
          <w:highlight w:val="none"/>
        </w:rPr>
        <w:t>【代理人姓名】填写代权利人申请登记的代理人姓名。</w:t>
      </w:r>
    </w:p>
    <w:p>
      <w:pPr>
        <w:pStyle w:val="176"/>
        <w:numPr>
          <w:ilvl w:val="0"/>
          <w:numId w:val="61"/>
        </w:numPr>
        <w:rPr>
          <w:highlight w:val="none"/>
        </w:rPr>
      </w:pPr>
      <w:r>
        <w:rPr>
          <w:rFonts w:hint="eastAsia"/>
          <w:highlight w:val="none"/>
        </w:rPr>
        <w:t>【代理机构名称】代理人为专业登记代理机构的，填写其所属的代理机构名称，否则不填。</w:t>
      </w:r>
    </w:p>
    <w:p>
      <w:pPr>
        <w:pStyle w:val="176"/>
        <w:numPr>
          <w:ilvl w:val="0"/>
          <w:numId w:val="61"/>
        </w:numPr>
        <w:rPr>
          <w:highlight w:val="none"/>
        </w:rPr>
      </w:pPr>
      <w:r>
        <w:rPr>
          <w:rFonts w:hint="eastAsia"/>
          <w:highlight w:val="none"/>
        </w:rPr>
        <w:t>【联系电话】填写登记申请人或者登记代理人的联系电话。</w:t>
      </w:r>
    </w:p>
    <w:p>
      <w:pPr>
        <w:pStyle w:val="176"/>
        <w:numPr>
          <w:ilvl w:val="0"/>
          <w:numId w:val="61"/>
        </w:numPr>
        <w:rPr>
          <w:highlight w:val="none"/>
        </w:rPr>
      </w:pPr>
      <w:r>
        <w:rPr>
          <w:rFonts w:hint="eastAsia"/>
          <w:highlight w:val="none"/>
        </w:rPr>
        <w:t>【坐落】填写宗地所在地的地理位置名称。涉及地上房屋的，填写有关部门依法确定的房屋坐落，一般包括街道名称、门牌号、幢号、楼层号、房号等。</w:t>
      </w:r>
    </w:p>
    <w:p>
      <w:pPr>
        <w:pStyle w:val="176"/>
        <w:numPr>
          <w:ilvl w:val="0"/>
          <w:numId w:val="61"/>
        </w:numPr>
        <w:rPr>
          <w:highlight w:val="none"/>
        </w:rPr>
      </w:pPr>
      <w:r>
        <w:rPr>
          <w:rFonts w:hint="eastAsia"/>
          <w:highlight w:val="none"/>
        </w:rPr>
        <w:t>【不动产单元号】填写不动产单元的编号。</w:t>
      </w:r>
    </w:p>
    <w:p>
      <w:pPr>
        <w:pStyle w:val="176"/>
        <w:numPr>
          <w:ilvl w:val="0"/>
          <w:numId w:val="61"/>
        </w:numPr>
        <w:rPr>
          <w:highlight w:val="none"/>
        </w:rPr>
      </w:pPr>
      <w:r>
        <w:rPr>
          <w:rFonts w:hint="eastAsia"/>
          <w:highlight w:val="none"/>
        </w:rPr>
        <w:t>【不动产类型】填写土地、房屋、建筑物、构筑物或者森林、林木等。</w:t>
      </w:r>
    </w:p>
    <w:p>
      <w:pPr>
        <w:pStyle w:val="176"/>
        <w:numPr>
          <w:ilvl w:val="0"/>
          <w:numId w:val="61"/>
        </w:numPr>
        <w:rPr>
          <w:highlight w:val="none"/>
        </w:rPr>
      </w:pPr>
      <w:r>
        <w:rPr>
          <w:rFonts w:hint="eastAsia"/>
          <w:highlight w:val="none"/>
        </w:rPr>
        <w:t>【面积】填写不动产单元的面积。涉及宗地及房屋、构筑物的，分别填写宗地及房屋、构筑物的面积。</w:t>
      </w:r>
    </w:p>
    <w:p>
      <w:pPr>
        <w:pStyle w:val="176"/>
        <w:numPr>
          <w:ilvl w:val="0"/>
          <w:numId w:val="61"/>
        </w:numPr>
        <w:rPr>
          <w:highlight w:val="none"/>
        </w:rPr>
      </w:pPr>
      <w:r>
        <w:rPr>
          <w:rFonts w:hint="eastAsia"/>
          <w:highlight w:val="none"/>
        </w:rPr>
        <w:t>【用途】填写不动产单元的用途。涉及宗地及房屋、构筑物的，分别填写宗地及房屋、构筑物的用途。</w:t>
      </w:r>
    </w:p>
    <w:p>
      <w:pPr>
        <w:pStyle w:val="176"/>
        <w:numPr>
          <w:ilvl w:val="0"/>
          <w:numId w:val="61"/>
        </w:numPr>
        <w:rPr>
          <w:highlight w:val="none"/>
        </w:rPr>
      </w:pPr>
      <w:r>
        <w:rPr>
          <w:rFonts w:hint="eastAsia"/>
          <w:highlight w:val="none"/>
        </w:rPr>
        <w:t>【原不动产权属证书号】填写原来的不动产权证书或者登记证明的编号。</w:t>
      </w:r>
    </w:p>
    <w:p>
      <w:pPr>
        <w:pStyle w:val="176"/>
        <w:numPr>
          <w:ilvl w:val="0"/>
          <w:numId w:val="61"/>
        </w:numPr>
        <w:rPr>
          <w:highlight w:val="none"/>
        </w:rPr>
      </w:pPr>
      <w:r>
        <w:rPr>
          <w:rFonts w:hint="eastAsia"/>
          <w:highlight w:val="none"/>
        </w:rPr>
        <w:t>【构筑物类型】填写构筑物的类型，包括隧道、桥梁、水塔等地上构筑物类型。</w:t>
      </w:r>
    </w:p>
    <w:p>
      <w:pPr>
        <w:pStyle w:val="176"/>
        <w:numPr>
          <w:ilvl w:val="0"/>
          <w:numId w:val="61"/>
        </w:numPr>
        <w:rPr>
          <w:highlight w:val="none"/>
        </w:rPr>
      </w:pPr>
      <w:r>
        <w:rPr>
          <w:rFonts w:hint="eastAsia"/>
          <w:highlight w:val="none"/>
        </w:rPr>
        <w:t>【林种】填写森林种类，包括防护林、用材林、经济林、薪炭林、特种用途林等。</w:t>
      </w:r>
    </w:p>
    <w:p>
      <w:pPr>
        <w:pStyle w:val="176"/>
        <w:numPr>
          <w:ilvl w:val="0"/>
          <w:numId w:val="61"/>
        </w:numPr>
        <w:rPr>
          <w:highlight w:val="none"/>
        </w:rPr>
      </w:pPr>
      <w:r>
        <w:rPr>
          <w:rFonts w:hint="eastAsia"/>
          <w:highlight w:val="none"/>
        </w:rPr>
        <w:t>【居住条件和要求】填写居住权的居住范围等。</w:t>
      </w:r>
    </w:p>
    <w:p>
      <w:pPr>
        <w:pStyle w:val="176"/>
        <w:numPr>
          <w:ilvl w:val="0"/>
          <w:numId w:val="61"/>
        </w:numPr>
        <w:rPr>
          <w:highlight w:val="none"/>
        </w:rPr>
      </w:pPr>
      <w:r>
        <w:rPr>
          <w:rFonts w:hint="eastAsia"/>
          <w:highlight w:val="none"/>
        </w:rPr>
        <w:t>【居住权期限】填写居住权的权利期限。</w:t>
      </w:r>
    </w:p>
    <w:p>
      <w:pPr>
        <w:pStyle w:val="176"/>
        <w:numPr>
          <w:ilvl w:val="0"/>
          <w:numId w:val="61"/>
        </w:numPr>
        <w:rPr>
          <w:highlight w:val="none"/>
        </w:rPr>
      </w:pPr>
      <w:r>
        <w:rPr>
          <w:rFonts w:hint="eastAsia"/>
          <w:highlight w:val="none"/>
        </w:rPr>
        <w:t>【被担保主债权数额】填写一般抵押中被担保的主债权金额。</w:t>
      </w:r>
    </w:p>
    <w:p>
      <w:pPr>
        <w:pStyle w:val="176"/>
        <w:numPr>
          <w:ilvl w:val="0"/>
          <w:numId w:val="61"/>
        </w:numPr>
        <w:rPr>
          <w:highlight w:val="none"/>
        </w:rPr>
      </w:pPr>
      <w:r>
        <w:rPr>
          <w:rFonts w:hint="eastAsia"/>
          <w:highlight w:val="none"/>
        </w:rPr>
        <w:t>【最高债权额】填写最高额抵押担保范围所对应的最高债权数额。</w:t>
      </w:r>
    </w:p>
    <w:p>
      <w:pPr>
        <w:pStyle w:val="176"/>
        <w:numPr>
          <w:ilvl w:val="0"/>
          <w:numId w:val="61"/>
        </w:numPr>
        <w:rPr>
          <w:highlight w:val="none"/>
        </w:rPr>
      </w:pPr>
      <w:r>
        <w:rPr>
          <w:rFonts w:hint="eastAsia"/>
          <w:highlight w:val="none"/>
        </w:rPr>
        <w:t>【担保范围】填写主债权及其利息、违约金、损害赔偿金、保管担保财产和实现担保物权的费用等约定的抵押担保范围。</w:t>
      </w:r>
    </w:p>
    <w:p>
      <w:pPr>
        <w:pStyle w:val="176"/>
        <w:numPr>
          <w:ilvl w:val="0"/>
          <w:numId w:val="61"/>
        </w:numPr>
        <w:rPr>
          <w:highlight w:val="none"/>
        </w:rPr>
      </w:pPr>
      <w:r>
        <w:rPr>
          <w:rFonts w:hint="eastAsia"/>
          <w:highlight w:val="none"/>
        </w:rPr>
        <w:t>【债务履行期限】【债权确定期间】填写主债权合同中约定的债务人履行债务的期限。</w:t>
      </w:r>
    </w:p>
    <w:p>
      <w:pPr>
        <w:pStyle w:val="176"/>
        <w:numPr>
          <w:ilvl w:val="0"/>
          <w:numId w:val="61"/>
        </w:numPr>
        <w:rPr>
          <w:highlight w:val="none"/>
        </w:rPr>
      </w:pPr>
      <w:r>
        <w:rPr>
          <w:rFonts w:hint="eastAsia"/>
          <w:highlight w:val="none"/>
        </w:rPr>
        <w:t>【抵押方式】填写抵押合同约定的抵押方式，包括一般抵押、最高额抵押。</w:t>
      </w:r>
    </w:p>
    <w:p>
      <w:pPr>
        <w:pStyle w:val="176"/>
        <w:numPr>
          <w:ilvl w:val="0"/>
          <w:numId w:val="61"/>
        </w:numPr>
        <w:rPr>
          <w:highlight w:val="none"/>
        </w:rPr>
      </w:pPr>
      <w:r>
        <w:rPr>
          <w:rFonts w:hint="eastAsia"/>
          <w:highlight w:val="none"/>
        </w:rPr>
        <w:t>【是否存在禁止或限制转让不动产的约定】勾选转让抵押不动产的约定情况。有约定的选 “是”;没有约定的选“否”。</w:t>
      </w:r>
    </w:p>
    <w:p>
      <w:pPr>
        <w:pStyle w:val="176"/>
        <w:numPr>
          <w:ilvl w:val="0"/>
          <w:numId w:val="61"/>
        </w:numPr>
        <w:rPr>
          <w:highlight w:val="none"/>
        </w:rPr>
      </w:pPr>
      <w:r>
        <w:rPr>
          <w:rFonts w:hint="eastAsia"/>
          <w:highlight w:val="none"/>
        </w:rPr>
        <w:t>【在建建筑物抵押范围】填写抵押合同约定的在建建筑物抵押范围。</w:t>
      </w:r>
    </w:p>
    <w:p>
      <w:pPr>
        <w:pStyle w:val="176"/>
        <w:numPr>
          <w:ilvl w:val="0"/>
          <w:numId w:val="61"/>
        </w:numPr>
        <w:rPr>
          <w:highlight w:val="none"/>
        </w:rPr>
      </w:pPr>
      <w:r>
        <w:rPr>
          <w:rFonts w:hint="eastAsia"/>
          <w:highlight w:val="none"/>
        </w:rPr>
        <w:t>【需役地坐落、不动产单元号】填写需役地所在的坐落及其不动产单元号。</w:t>
      </w:r>
    </w:p>
    <w:p>
      <w:pPr>
        <w:pStyle w:val="176"/>
        <w:numPr>
          <w:ilvl w:val="0"/>
          <w:numId w:val="61"/>
        </w:numPr>
        <w:rPr>
          <w:highlight w:val="none"/>
        </w:rPr>
      </w:pPr>
      <w:r>
        <w:rPr>
          <w:rFonts w:hint="eastAsia"/>
          <w:highlight w:val="none"/>
        </w:rPr>
        <w:t>【登记原因】填写不动产权利首次登记、转移登记、变更登记、注销登记、更正登记等的具体原因。</w:t>
      </w:r>
    </w:p>
    <w:p>
      <w:pPr>
        <w:pStyle w:val="176"/>
        <w:numPr>
          <w:ilvl w:val="0"/>
          <w:numId w:val="61"/>
        </w:numPr>
        <w:rPr>
          <w:highlight w:val="none"/>
        </w:rPr>
      </w:pPr>
      <w:r>
        <w:rPr>
          <w:rFonts w:hint="eastAsia"/>
          <w:highlight w:val="none"/>
        </w:rPr>
        <w:t>【登记原因证明资料】填写申请登记提交的登记原因证明资料。</w:t>
      </w:r>
    </w:p>
    <w:p>
      <w:pPr>
        <w:pStyle w:val="176"/>
        <w:numPr>
          <w:ilvl w:val="0"/>
          <w:numId w:val="61"/>
        </w:numPr>
        <w:rPr>
          <w:highlight w:val="none"/>
        </w:rPr>
      </w:pPr>
      <w:r>
        <w:rPr>
          <w:rFonts w:hint="eastAsia"/>
          <w:highlight w:val="none"/>
        </w:rPr>
        <w:t>【申请证书版式】用勾选的方式选择单一版或者集成版。</w:t>
      </w:r>
    </w:p>
    <w:p>
      <w:pPr>
        <w:pStyle w:val="176"/>
        <w:numPr>
          <w:ilvl w:val="0"/>
          <w:numId w:val="61"/>
        </w:numPr>
        <w:rPr>
          <w:highlight w:val="none"/>
        </w:rPr>
      </w:pPr>
      <w:r>
        <w:rPr>
          <w:rFonts w:hint="eastAsia"/>
          <w:highlight w:val="none"/>
        </w:rPr>
        <w:t>【申请分别持证】用勾选的方式选择是或者否。</w:t>
      </w:r>
    </w:p>
    <w:p>
      <w:pPr>
        <w:pStyle w:val="176"/>
        <w:numPr>
          <w:ilvl w:val="0"/>
          <w:numId w:val="61"/>
        </w:numPr>
        <w:rPr>
          <w:highlight w:val="none"/>
        </w:rPr>
      </w:pPr>
      <w:r>
        <w:rPr>
          <w:rFonts w:hint="eastAsia"/>
          <w:highlight w:val="none"/>
        </w:rPr>
        <w:t>【备注】可以填写登记申请人在申请中认为需要说明的其他事项。</w:t>
      </w:r>
    </w:p>
    <w:bookmarkEnd w:id="91"/>
    <w:p>
      <w:pPr>
        <w:pStyle w:val="176"/>
        <w:numPr>
          <w:ilvl w:val="0"/>
          <w:numId w:val="5"/>
        </w:numPr>
        <w:autoSpaceDE w:val="0"/>
        <w:autoSpaceDN w:val="0"/>
        <w:spacing w:line="14" w:lineRule="exact"/>
        <w:ind w:firstLine="0"/>
        <w:jc w:val="center"/>
        <w:rPr>
          <w:highlight w:val="none"/>
        </w:rPr>
        <w:sectPr>
          <w:headerReference r:id="rId19" w:type="default"/>
          <w:footerReference r:id="rId21" w:type="default"/>
          <w:headerReference r:id="rId20" w:type="even"/>
          <w:footerReference r:id="rId22" w:type="even"/>
          <w:pgSz w:w="11906" w:h="16838"/>
          <w:pgMar w:top="1928" w:right="1134" w:bottom="1134" w:left="1134" w:header="1418" w:footer="1134" w:gutter="284"/>
          <w:cols w:space="425" w:num="1"/>
          <w:formProt w:val="0"/>
          <w:docGrid w:type="lines" w:linePitch="312" w:charSpace="0"/>
        </w:sectPr>
      </w:pPr>
      <w:bookmarkStart w:id="100" w:name="BookMark6"/>
    </w:p>
    <w:p>
      <w:pPr>
        <w:pStyle w:val="65"/>
        <w:spacing w:after="156"/>
        <w:rPr>
          <w:highlight w:val="none"/>
        </w:rPr>
      </w:pPr>
      <w:bookmarkStart w:id="101" w:name="_Toc22182"/>
      <w:r>
        <w:rPr>
          <w:rFonts w:hint="eastAsia"/>
          <w:spacing w:val="105"/>
          <w:highlight w:val="none"/>
        </w:rPr>
        <w:t>参考文</w:t>
      </w:r>
      <w:r>
        <w:rPr>
          <w:rFonts w:hint="eastAsia"/>
          <w:highlight w:val="none"/>
        </w:rPr>
        <w:t>献</w:t>
      </w:r>
      <w:bookmarkEnd w:id="101"/>
    </w:p>
    <w:p>
      <w:pPr>
        <w:pStyle w:val="58"/>
        <w:ind w:firstLine="420"/>
        <w:rPr>
          <w:highlight w:val="none"/>
        </w:rPr>
      </w:pPr>
      <w:r>
        <w:rPr>
          <w:rFonts w:hint="eastAsia"/>
          <w:highlight w:val="none"/>
        </w:rPr>
        <w:t>[1] 中华人民共和国民法典</w:t>
      </w:r>
    </w:p>
    <w:p>
      <w:pPr>
        <w:pStyle w:val="58"/>
        <w:ind w:firstLine="420"/>
        <w:rPr>
          <w:highlight w:val="none"/>
        </w:rPr>
      </w:pPr>
      <w:r>
        <w:rPr>
          <w:rFonts w:hint="eastAsia"/>
          <w:highlight w:val="none"/>
        </w:rPr>
        <w:t>[2] 中华人民共和国土地管理法</w:t>
      </w:r>
    </w:p>
    <w:p>
      <w:pPr>
        <w:pStyle w:val="58"/>
        <w:ind w:firstLine="420"/>
        <w:rPr>
          <w:highlight w:val="none"/>
        </w:rPr>
      </w:pPr>
      <w:r>
        <w:rPr>
          <w:rFonts w:hint="eastAsia"/>
          <w:highlight w:val="none"/>
        </w:rPr>
        <w:t>[3] 中华人民共和国电子签名法</w:t>
      </w:r>
    </w:p>
    <w:p>
      <w:pPr>
        <w:pStyle w:val="58"/>
        <w:ind w:firstLine="420"/>
        <w:rPr>
          <w:highlight w:val="none"/>
        </w:rPr>
      </w:pPr>
      <w:r>
        <w:rPr>
          <w:rFonts w:hint="eastAsia"/>
          <w:highlight w:val="none"/>
        </w:rPr>
        <w:t>[4] 中华人民共和国土地管理法实施条例</w:t>
      </w:r>
    </w:p>
    <w:p>
      <w:pPr>
        <w:pStyle w:val="58"/>
        <w:ind w:firstLine="420"/>
        <w:rPr>
          <w:highlight w:val="none"/>
        </w:rPr>
      </w:pPr>
      <w:r>
        <w:rPr>
          <w:rFonts w:hint="eastAsia"/>
          <w:highlight w:val="none"/>
        </w:rPr>
        <w:t>[5] 不动产登记暂行条例</w:t>
      </w:r>
    </w:p>
    <w:p>
      <w:pPr>
        <w:pStyle w:val="58"/>
        <w:ind w:firstLine="420"/>
        <w:rPr>
          <w:rFonts w:hint="eastAsia" w:eastAsia="宋体"/>
          <w:highlight w:val="none"/>
          <w:lang w:val="en-US" w:eastAsia="zh-CN"/>
        </w:rPr>
      </w:pPr>
      <w:r>
        <w:rPr>
          <w:rFonts w:hint="eastAsia"/>
          <w:highlight w:val="none"/>
        </w:rPr>
        <w:t>[6] 国务院关于在线政务服务的若干规定</w:t>
      </w:r>
      <w:r>
        <w:rPr>
          <w:rFonts w:hint="eastAsia"/>
          <w:highlight w:val="none"/>
          <w:lang w:val="en-US" w:eastAsia="zh-CN"/>
        </w:rPr>
        <w:t>(</w:t>
      </w:r>
      <w:r>
        <w:rPr>
          <w:rFonts w:hint="eastAsia"/>
          <w:highlight w:val="none"/>
        </w:rPr>
        <w:t>中华人民共和国国务院令第716号</w:t>
      </w:r>
      <w:r>
        <w:rPr>
          <w:rFonts w:hint="eastAsia"/>
          <w:highlight w:val="none"/>
          <w:lang w:val="en-US" w:eastAsia="zh-CN"/>
        </w:rPr>
        <w:t>)</w:t>
      </w:r>
    </w:p>
    <w:p>
      <w:pPr>
        <w:pStyle w:val="58"/>
        <w:ind w:firstLine="420"/>
        <w:rPr>
          <w:highlight w:val="none"/>
        </w:rPr>
      </w:pPr>
      <w:r>
        <w:rPr>
          <w:rFonts w:hint="eastAsia"/>
          <w:highlight w:val="none"/>
        </w:rPr>
        <w:t>[7] 优化营商环境条例</w:t>
      </w:r>
      <w:r>
        <w:rPr>
          <w:rFonts w:hint="eastAsia"/>
          <w:highlight w:val="none"/>
          <w:lang w:val="en-US" w:eastAsia="zh-CN"/>
        </w:rPr>
        <w:t>(</w:t>
      </w:r>
      <w:r>
        <w:rPr>
          <w:rFonts w:hint="eastAsia"/>
          <w:highlight w:val="none"/>
        </w:rPr>
        <w:t>中华人民共和国国务院令第7</w:t>
      </w:r>
      <w:r>
        <w:rPr>
          <w:rFonts w:hint="eastAsia"/>
          <w:highlight w:val="none"/>
          <w:lang w:val="en-US" w:eastAsia="zh-CN"/>
        </w:rPr>
        <w:t>22</w:t>
      </w:r>
      <w:r>
        <w:rPr>
          <w:rFonts w:hint="eastAsia"/>
          <w:highlight w:val="none"/>
        </w:rPr>
        <w:t>号</w:t>
      </w:r>
      <w:r>
        <w:rPr>
          <w:rFonts w:hint="eastAsia"/>
          <w:highlight w:val="none"/>
          <w:lang w:val="en-US" w:eastAsia="zh-CN"/>
        </w:rPr>
        <w:t>)</w:t>
      </w:r>
    </w:p>
    <w:p>
      <w:pPr>
        <w:pStyle w:val="58"/>
        <w:ind w:firstLine="420"/>
        <w:rPr>
          <w:highlight w:val="none"/>
        </w:rPr>
      </w:pPr>
      <w:r>
        <w:rPr>
          <w:rFonts w:hint="eastAsia"/>
          <w:highlight w:val="none"/>
        </w:rPr>
        <w:t>[8] 不动产登记暂行条例实施细则</w:t>
      </w:r>
    </w:p>
    <w:p>
      <w:pPr>
        <w:pStyle w:val="58"/>
        <w:ind w:firstLine="420"/>
        <w:rPr>
          <w:highlight w:val="none"/>
        </w:rPr>
      </w:pPr>
    </w:p>
    <w:p>
      <w:pPr>
        <w:pStyle w:val="58"/>
        <w:ind w:firstLine="420"/>
        <w:rPr>
          <w:highlight w:val="none"/>
        </w:rPr>
      </w:pPr>
    </w:p>
    <w:p>
      <w:pPr>
        <w:pStyle w:val="58"/>
        <w:ind w:firstLine="420"/>
        <w:rPr>
          <w:highlight w:val="none"/>
        </w:rPr>
      </w:pPr>
    </w:p>
    <w:bookmarkEnd w:id="100"/>
    <w:p>
      <w:pPr>
        <w:pStyle w:val="58"/>
        <w:ind w:firstLine="0" w:firstLineChars="0"/>
        <w:jc w:val="center"/>
        <w:rPr>
          <w:highlight w:val="none"/>
        </w:rPr>
      </w:pPr>
      <w:bookmarkStart w:id="102" w:name="BookMark8"/>
      <w:r>
        <w:rPr>
          <w:rFonts w:hint="eastAsia"/>
          <w:highlight w:val="none"/>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2"/>
    </w:p>
    <w:bookmarkEnd w:id="103"/>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43/T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7371"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7A77DAE9"/>
    <w:multiLevelType w:val="singleLevel"/>
    <w:tmpl w:val="7A77DAE9"/>
    <w:lvl w:ilvl="0" w:tentative="0">
      <w:start w:val="1"/>
      <w:numFmt w:val="lowerLetter"/>
      <w:suff w:val="nothing"/>
      <w:lvlText w:val="%1）"/>
      <w:lvlJc w:val="left"/>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num>
  <w:num w:numId="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lZTY3MzNjNjNkZGUzMzFhNDg2NDk0NGJhMzY1Y2MifQ=="/>
  </w:docVars>
  <w:rsids>
    <w:rsidRoot w:val="009F1FCB"/>
    <w:rsid w:val="0000040A"/>
    <w:rsid w:val="00000A94"/>
    <w:rsid w:val="000013A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5BEE"/>
    <w:rsid w:val="000301CA"/>
    <w:rsid w:val="000303C3"/>
    <w:rsid w:val="000311E5"/>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9F2"/>
    <w:rsid w:val="00067F1E"/>
    <w:rsid w:val="00070102"/>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221E"/>
    <w:rsid w:val="000B3CDA"/>
    <w:rsid w:val="000B6A0B"/>
    <w:rsid w:val="000C0F6C"/>
    <w:rsid w:val="000C11DB"/>
    <w:rsid w:val="000C1492"/>
    <w:rsid w:val="000C2FBD"/>
    <w:rsid w:val="000C30F7"/>
    <w:rsid w:val="000C4B41"/>
    <w:rsid w:val="000C57D6"/>
    <w:rsid w:val="000C6362"/>
    <w:rsid w:val="000C7666"/>
    <w:rsid w:val="000D0A9C"/>
    <w:rsid w:val="000D1795"/>
    <w:rsid w:val="000D329A"/>
    <w:rsid w:val="000D4B9C"/>
    <w:rsid w:val="000D4EB6"/>
    <w:rsid w:val="000D753B"/>
    <w:rsid w:val="000E4C9E"/>
    <w:rsid w:val="000E6FD7"/>
    <w:rsid w:val="000E75B8"/>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57F9"/>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052"/>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69D1"/>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6100"/>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1A5D"/>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B6"/>
    <w:rsid w:val="002F7AF6"/>
    <w:rsid w:val="00300E63"/>
    <w:rsid w:val="00302F5F"/>
    <w:rsid w:val="0030441D"/>
    <w:rsid w:val="00306063"/>
    <w:rsid w:val="0031380D"/>
    <w:rsid w:val="00313B85"/>
    <w:rsid w:val="00317988"/>
    <w:rsid w:val="003221B4"/>
    <w:rsid w:val="0032258D"/>
    <w:rsid w:val="00322E62"/>
    <w:rsid w:val="0032426F"/>
    <w:rsid w:val="00324D13"/>
    <w:rsid w:val="00324D2A"/>
    <w:rsid w:val="00324EDD"/>
    <w:rsid w:val="003331E4"/>
    <w:rsid w:val="00336C64"/>
    <w:rsid w:val="00337162"/>
    <w:rsid w:val="0034194F"/>
    <w:rsid w:val="00344188"/>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81E"/>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0D9D"/>
    <w:rsid w:val="004746B1"/>
    <w:rsid w:val="0047583F"/>
    <w:rsid w:val="00475DE8"/>
    <w:rsid w:val="00481C44"/>
    <w:rsid w:val="00484936"/>
    <w:rsid w:val="00485C89"/>
    <w:rsid w:val="00486BE3"/>
    <w:rsid w:val="004905E4"/>
    <w:rsid w:val="00490A89"/>
    <w:rsid w:val="00490AB4"/>
    <w:rsid w:val="00492F02"/>
    <w:rsid w:val="004939AE"/>
    <w:rsid w:val="004950E1"/>
    <w:rsid w:val="0049762F"/>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AEC"/>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B4B"/>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4F1E"/>
    <w:rsid w:val="006054A3"/>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95F"/>
    <w:rsid w:val="00654EC0"/>
    <w:rsid w:val="0065525B"/>
    <w:rsid w:val="00655D4F"/>
    <w:rsid w:val="00656D29"/>
    <w:rsid w:val="00662B65"/>
    <w:rsid w:val="006640E5"/>
    <w:rsid w:val="006646F1"/>
    <w:rsid w:val="00664929"/>
    <w:rsid w:val="00664F62"/>
    <w:rsid w:val="00665073"/>
    <w:rsid w:val="006655E1"/>
    <w:rsid w:val="00672060"/>
    <w:rsid w:val="00672BFD"/>
    <w:rsid w:val="006770F4"/>
    <w:rsid w:val="00677A84"/>
    <w:rsid w:val="0068026D"/>
    <w:rsid w:val="00680A27"/>
    <w:rsid w:val="006816A4"/>
    <w:rsid w:val="006819B8"/>
    <w:rsid w:val="006840A6"/>
    <w:rsid w:val="006850CD"/>
    <w:rsid w:val="00685AAB"/>
    <w:rsid w:val="00687132"/>
    <w:rsid w:val="00695D22"/>
    <w:rsid w:val="006A07AA"/>
    <w:rsid w:val="006A25E5"/>
    <w:rsid w:val="006A2B46"/>
    <w:rsid w:val="006A336D"/>
    <w:rsid w:val="006A37B9"/>
    <w:rsid w:val="006A3AC7"/>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6F7E7D"/>
    <w:rsid w:val="007002C5"/>
    <w:rsid w:val="00704387"/>
    <w:rsid w:val="00707669"/>
    <w:rsid w:val="00711CBA"/>
    <w:rsid w:val="00711FB5"/>
    <w:rsid w:val="00712A01"/>
    <w:rsid w:val="00714F58"/>
    <w:rsid w:val="00722FBF"/>
    <w:rsid w:val="00722FC2"/>
    <w:rsid w:val="00724879"/>
    <w:rsid w:val="00724BCA"/>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57B13"/>
    <w:rsid w:val="007600E3"/>
    <w:rsid w:val="00765C43"/>
    <w:rsid w:val="00765EFB"/>
    <w:rsid w:val="007671CA"/>
    <w:rsid w:val="00767C61"/>
    <w:rsid w:val="0077008A"/>
    <w:rsid w:val="00771B22"/>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0DBB"/>
    <w:rsid w:val="007C1E8B"/>
    <w:rsid w:val="007C2D89"/>
    <w:rsid w:val="007C4593"/>
    <w:rsid w:val="007C5309"/>
    <w:rsid w:val="007C6069"/>
    <w:rsid w:val="007D06C4"/>
    <w:rsid w:val="007D1352"/>
    <w:rsid w:val="007D2508"/>
    <w:rsid w:val="007D346A"/>
    <w:rsid w:val="007D6518"/>
    <w:rsid w:val="007D76BD"/>
    <w:rsid w:val="007D7E6E"/>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5B1"/>
    <w:rsid w:val="00823A9F"/>
    <w:rsid w:val="00823C85"/>
    <w:rsid w:val="00825138"/>
    <w:rsid w:val="008269DD"/>
    <w:rsid w:val="00830621"/>
    <w:rsid w:val="0083348C"/>
    <w:rsid w:val="008373D3"/>
    <w:rsid w:val="00840617"/>
    <w:rsid w:val="00840F84"/>
    <w:rsid w:val="00842A47"/>
    <w:rsid w:val="00843C13"/>
    <w:rsid w:val="008454F8"/>
    <w:rsid w:val="00846033"/>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81E"/>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5C7"/>
    <w:rsid w:val="0094607B"/>
    <w:rsid w:val="00953604"/>
    <w:rsid w:val="0095496B"/>
    <w:rsid w:val="009610DC"/>
    <w:rsid w:val="00961490"/>
    <w:rsid w:val="0096381A"/>
    <w:rsid w:val="00965E04"/>
    <w:rsid w:val="009674AD"/>
    <w:rsid w:val="00970CDC"/>
    <w:rsid w:val="00977010"/>
    <w:rsid w:val="00977D02"/>
    <w:rsid w:val="009809BB"/>
    <w:rsid w:val="0098364B"/>
    <w:rsid w:val="00984DA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D20"/>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FCB"/>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68B"/>
    <w:rsid w:val="00A57142"/>
    <w:rsid w:val="00A648CD"/>
    <w:rsid w:val="00A6537A"/>
    <w:rsid w:val="00A67866"/>
    <w:rsid w:val="00A70B07"/>
    <w:rsid w:val="00A72163"/>
    <w:rsid w:val="00A723F8"/>
    <w:rsid w:val="00A77CCB"/>
    <w:rsid w:val="00A83D8D"/>
    <w:rsid w:val="00A84138"/>
    <w:rsid w:val="00A8446B"/>
    <w:rsid w:val="00A8473F"/>
    <w:rsid w:val="00A862D6"/>
    <w:rsid w:val="00A8715E"/>
    <w:rsid w:val="00A901E7"/>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64F8"/>
    <w:rsid w:val="00B21578"/>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D777D"/>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27A6E"/>
    <w:rsid w:val="00C27BC7"/>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079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3B3E"/>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35A"/>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708F"/>
    <w:rsid w:val="00DE0A4B"/>
    <w:rsid w:val="00DE2410"/>
    <w:rsid w:val="00DE2939"/>
    <w:rsid w:val="00DE6E81"/>
    <w:rsid w:val="00DE703F"/>
    <w:rsid w:val="00DE7595"/>
    <w:rsid w:val="00DF04CC"/>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6C0C"/>
    <w:rsid w:val="00E3137A"/>
    <w:rsid w:val="00E32CCF"/>
    <w:rsid w:val="00E34A98"/>
    <w:rsid w:val="00E35D1E"/>
    <w:rsid w:val="00E364F9"/>
    <w:rsid w:val="00E365FA"/>
    <w:rsid w:val="00E36789"/>
    <w:rsid w:val="00E44A83"/>
    <w:rsid w:val="00E455F9"/>
    <w:rsid w:val="00E502C1"/>
    <w:rsid w:val="00E502DD"/>
    <w:rsid w:val="00E50D3A"/>
    <w:rsid w:val="00E51387"/>
    <w:rsid w:val="00E51E68"/>
    <w:rsid w:val="00E529CA"/>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51B2"/>
    <w:rsid w:val="00EF71AF"/>
    <w:rsid w:val="00EF7E72"/>
    <w:rsid w:val="00F06621"/>
    <w:rsid w:val="00F06D37"/>
    <w:rsid w:val="00F07B9D"/>
    <w:rsid w:val="00F11586"/>
    <w:rsid w:val="00F1183B"/>
    <w:rsid w:val="00F11C9F"/>
    <w:rsid w:val="00F12263"/>
    <w:rsid w:val="00F1409D"/>
    <w:rsid w:val="00F14214"/>
    <w:rsid w:val="00F157A9"/>
    <w:rsid w:val="00F25BB6"/>
    <w:rsid w:val="00F26752"/>
    <w:rsid w:val="00F26B7E"/>
    <w:rsid w:val="00F27A3B"/>
    <w:rsid w:val="00F33817"/>
    <w:rsid w:val="00F348E4"/>
    <w:rsid w:val="00F420D5"/>
    <w:rsid w:val="00F451EA"/>
    <w:rsid w:val="00F45447"/>
    <w:rsid w:val="00F456C6"/>
    <w:rsid w:val="00F4577B"/>
    <w:rsid w:val="00F46496"/>
    <w:rsid w:val="00F474D0"/>
    <w:rsid w:val="00F50179"/>
    <w:rsid w:val="00F515EE"/>
    <w:rsid w:val="00F56511"/>
    <w:rsid w:val="00F6194E"/>
    <w:rsid w:val="00F623AC"/>
    <w:rsid w:val="00F62843"/>
    <w:rsid w:val="00F6412A"/>
    <w:rsid w:val="00F65893"/>
    <w:rsid w:val="00F66A4A"/>
    <w:rsid w:val="00F70B62"/>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6141"/>
    <w:rsid w:val="00FB7054"/>
    <w:rsid w:val="00FB77CC"/>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F1DA1"/>
    <w:rsid w:val="01A00C4B"/>
    <w:rsid w:val="01C419B3"/>
    <w:rsid w:val="01CC7C92"/>
    <w:rsid w:val="01D32DCE"/>
    <w:rsid w:val="01D86637"/>
    <w:rsid w:val="01EE19B6"/>
    <w:rsid w:val="01EF13EE"/>
    <w:rsid w:val="024261A6"/>
    <w:rsid w:val="026F6986"/>
    <w:rsid w:val="029E3DF9"/>
    <w:rsid w:val="02CB1CF7"/>
    <w:rsid w:val="02D63692"/>
    <w:rsid w:val="0313544C"/>
    <w:rsid w:val="033E4863"/>
    <w:rsid w:val="037C1244"/>
    <w:rsid w:val="039F6ADA"/>
    <w:rsid w:val="03FE7EAB"/>
    <w:rsid w:val="04583A5F"/>
    <w:rsid w:val="04640655"/>
    <w:rsid w:val="047563BF"/>
    <w:rsid w:val="04CB4231"/>
    <w:rsid w:val="052129A1"/>
    <w:rsid w:val="053A3164"/>
    <w:rsid w:val="053C6EDC"/>
    <w:rsid w:val="056326BB"/>
    <w:rsid w:val="05776166"/>
    <w:rsid w:val="058A40EC"/>
    <w:rsid w:val="05E01F5E"/>
    <w:rsid w:val="05FA1F69"/>
    <w:rsid w:val="05FE0636"/>
    <w:rsid w:val="06052CB4"/>
    <w:rsid w:val="062260D2"/>
    <w:rsid w:val="06455F74"/>
    <w:rsid w:val="06473986"/>
    <w:rsid w:val="06530982"/>
    <w:rsid w:val="068A3C77"/>
    <w:rsid w:val="06986394"/>
    <w:rsid w:val="06A50AB1"/>
    <w:rsid w:val="06AE5BB8"/>
    <w:rsid w:val="06DB44D3"/>
    <w:rsid w:val="06EC66E0"/>
    <w:rsid w:val="06FA34D6"/>
    <w:rsid w:val="071D689A"/>
    <w:rsid w:val="07350087"/>
    <w:rsid w:val="07397B77"/>
    <w:rsid w:val="075A7AEE"/>
    <w:rsid w:val="075F6EB2"/>
    <w:rsid w:val="078D3A1F"/>
    <w:rsid w:val="07D63618"/>
    <w:rsid w:val="08597DA5"/>
    <w:rsid w:val="08712E62"/>
    <w:rsid w:val="08931509"/>
    <w:rsid w:val="08B80F70"/>
    <w:rsid w:val="09047612"/>
    <w:rsid w:val="096B38AC"/>
    <w:rsid w:val="09B96D4E"/>
    <w:rsid w:val="09F91840"/>
    <w:rsid w:val="0A0A1357"/>
    <w:rsid w:val="0A1E4E03"/>
    <w:rsid w:val="0A726EFC"/>
    <w:rsid w:val="0A92134D"/>
    <w:rsid w:val="0AAB6CA1"/>
    <w:rsid w:val="0AC260D6"/>
    <w:rsid w:val="0AE941D3"/>
    <w:rsid w:val="0B3D5B8A"/>
    <w:rsid w:val="0BE36304"/>
    <w:rsid w:val="0BF75B37"/>
    <w:rsid w:val="0C1B4F42"/>
    <w:rsid w:val="0C7D0506"/>
    <w:rsid w:val="0CBB2DDD"/>
    <w:rsid w:val="0CF06F2A"/>
    <w:rsid w:val="0D15073F"/>
    <w:rsid w:val="0D200E92"/>
    <w:rsid w:val="0D334AB7"/>
    <w:rsid w:val="0D553231"/>
    <w:rsid w:val="0D605732"/>
    <w:rsid w:val="0D75742F"/>
    <w:rsid w:val="0D9F625A"/>
    <w:rsid w:val="0DA43871"/>
    <w:rsid w:val="0E0F33E0"/>
    <w:rsid w:val="0E4A4418"/>
    <w:rsid w:val="0E583092"/>
    <w:rsid w:val="0E5928AD"/>
    <w:rsid w:val="0E6F0323"/>
    <w:rsid w:val="0EB328CE"/>
    <w:rsid w:val="0ECA70A2"/>
    <w:rsid w:val="0ED713A0"/>
    <w:rsid w:val="0EF12AE6"/>
    <w:rsid w:val="0F0D5446"/>
    <w:rsid w:val="0F2A5EAE"/>
    <w:rsid w:val="0FA82F40"/>
    <w:rsid w:val="102E3BCE"/>
    <w:rsid w:val="105301E8"/>
    <w:rsid w:val="106D43EE"/>
    <w:rsid w:val="107525FB"/>
    <w:rsid w:val="108300B5"/>
    <w:rsid w:val="1092303F"/>
    <w:rsid w:val="10AD5132"/>
    <w:rsid w:val="10F44B0F"/>
    <w:rsid w:val="112A6877"/>
    <w:rsid w:val="114B1D8E"/>
    <w:rsid w:val="114C66F9"/>
    <w:rsid w:val="117C2CAF"/>
    <w:rsid w:val="11845E93"/>
    <w:rsid w:val="11AB78C4"/>
    <w:rsid w:val="11C73FD2"/>
    <w:rsid w:val="11CA34DB"/>
    <w:rsid w:val="11DF3773"/>
    <w:rsid w:val="11E9219A"/>
    <w:rsid w:val="12CD5618"/>
    <w:rsid w:val="12EC0194"/>
    <w:rsid w:val="130761CF"/>
    <w:rsid w:val="136715C8"/>
    <w:rsid w:val="1376180B"/>
    <w:rsid w:val="13B3480E"/>
    <w:rsid w:val="13BF1404"/>
    <w:rsid w:val="13FC4407"/>
    <w:rsid w:val="14156107"/>
    <w:rsid w:val="14952B42"/>
    <w:rsid w:val="14B06F9F"/>
    <w:rsid w:val="1517701E"/>
    <w:rsid w:val="15187863"/>
    <w:rsid w:val="15FA4976"/>
    <w:rsid w:val="162163A6"/>
    <w:rsid w:val="167F30CD"/>
    <w:rsid w:val="1684272B"/>
    <w:rsid w:val="168C1346"/>
    <w:rsid w:val="16C3120C"/>
    <w:rsid w:val="16ED6DA6"/>
    <w:rsid w:val="16FC30CB"/>
    <w:rsid w:val="170B19CF"/>
    <w:rsid w:val="171B605C"/>
    <w:rsid w:val="17747262"/>
    <w:rsid w:val="17832749"/>
    <w:rsid w:val="17B10BE3"/>
    <w:rsid w:val="17CA0378"/>
    <w:rsid w:val="17CC40F0"/>
    <w:rsid w:val="18141FD9"/>
    <w:rsid w:val="181C1A30"/>
    <w:rsid w:val="18253800"/>
    <w:rsid w:val="18383533"/>
    <w:rsid w:val="184B42CF"/>
    <w:rsid w:val="18534811"/>
    <w:rsid w:val="18A24E51"/>
    <w:rsid w:val="18C33745"/>
    <w:rsid w:val="18EB2C9C"/>
    <w:rsid w:val="190873AA"/>
    <w:rsid w:val="191C4C03"/>
    <w:rsid w:val="192954C7"/>
    <w:rsid w:val="192F306D"/>
    <w:rsid w:val="194C6EBC"/>
    <w:rsid w:val="19713B3C"/>
    <w:rsid w:val="19A40BD7"/>
    <w:rsid w:val="19D92AF4"/>
    <w:rsid w:val="19DE5E98"/>
    <w:rsid w:val="19F8741E"/>
    <w:rsid w:val="1A7171D0"/>
    <w:rsid w:val="1ABE27D0"/>
    <w:rsid w:val="1B1738D4"/>
    <w:rsid w:val="1B34092A"/>
    <w:rsid w:val="1B46150E"/>
    <w:rsid w:val="1B9D672E"/>
    <w:rsid w:val="1BA50EE0"/>
    <w:rsid w:val="1BBE1FA1"/>
    <w:rsid w:val="1C116575"/>
    <w:rsid w:val="1C1D7393"/>
    <w:rsid w:val="1C204A0A"/>
    <w:rsid w:val="1C2C7853"/>
    <w:rsid w:val="1C6A081D"/>
    <w:rsid w:val="1D063C00"/>
    <w:rsid w:val="1D2247B2"/>
    <w:rsid w:val="1D540DB7"/>
    <w:rsid w:val="1D552DD9"/>
    <w:rsid w:val="1D7274E7"/>
    <w:rsid w:val="1D7B65A1"/>
    <w:rsid w:val="1DBE10C0"/>
    <w:rsid w:val="1DCD0BC2"/>
    <w:rsid w:val="1E256308"/>
    <w:rsid w:val="1E3E6C4D"/>
    <w:rsid w:val="1E9C33AD"/>
    <w:rsid w:val="1EA932A4"/>
    <w:rsid w:val="1EB15448"/>
    <w:rsid w:val="1ED1023E"/>
    <w:rsid w:val="1ED24781"/>
    <w:rsid w:val="1F0E1492"/>
    <w:rsid w:val="1F2F2B69"/>
    <w:rsid w:val="1F572E39"/>
    <w:rsid w:val="1FA3607E"/>
    <w:rsid w:val="1FAA6E36"/>
    <w:rsid w:val="1FAD4807"/>
    <w:rsid w:val="1FD9384E"/>
    <w:rsid w:val="1FDA1374"/>
    <w:rsid w:val="1FED17F2"/>
    <w:rsid w:val="1FF40688"/>
    <w:rsid w:val="203A071A"/>
    <w:rsid w:val="20AA51EA"/>
    <w:rsid w:val="20B40978"/>
    <w:rsid w:val="20BD3C4E"/>
    <w:rsid w:val="20D34741"/>
    <w:rsid w:val="20DA787E"/>
    <w:rsid w:val="20E06E5E"/>
    <w:rsid w:val="214B3D43"/>
    <w:rsid w:val="219E6AFD"/>
    <w:rsid w:val="21AA36F4"/>
    <w:rsid w:val="21AB121A"/>
    <w:rsid w:val="21CF14FC"/>
    <w:rsid w:val="21DF2C72"/>
    <w:rsid w:val="21E169EA"/>
    <w:rsid w:val="22141C1D"/>
    <w:rsid w:val="224B2454"/>
    <w:rsid w:val="22A77C33"/>
    <w:rsid w:val="22B3482A"/>
    <w:rsid w:val="22C2681B"/>
    <w:rsid w:val="22E646A2"/>
    <w:rsid w:val="23084722"/>
    <w:rsid w:val="23F13D6D"/>
    <w:rsid w:val="24316936"/>
    <w:rsid w:val="2435126F"/>
    <w:rsid w:val="244D65B8"/>
    <w:rsid w:val="245872B7"/>
    <w:rsid w:val="245D6B87"/>
    <w:rsid w:val="246D4199"/>
    <w:rsid w:val="24705167"/>
    <w:rsid w:val="24AF2DCF"/>
    <w:rsid w:val="24BE74B6"/>
    <w:rsid w:val="250A6257"/>
    <w:rsid w:val="253A2EBB"/>
    <w:rsid w:val="253C38B2"/>
    <w:rsid w:val="255319AC"/>
    <w:rsid w:val="2573204F"/>
    <w:rsid w:val="25822292"/>
    <w:rsid w:val="25945ABA"/>
    <w:rsid w:val="262C1415"/>
    <w:rsid w:val="26301CEE"/>
    <w:rsid w:val="266A16A4"/>
    <w:rsid w:val="268A7650"/>
    <w:rsid w:val="26983454"/>
    <w:rsid w:val="26AA5F44"/>
    <w:rsid w:val="26BC3B0C"/>
    <w:rsid w:val="26DD1E76"/>
    <w:rsid w:val="26E2748C"/>
    <w:rsid w:val="279F35CF"/>
    <w:rsid w:val="279F494D"/>
    <w:rsid w:val="285861CA"/>
    <w:rsid w:val="28683AAB"/>
    <w:rsid w:val="288A6488"/>
    <w:rsid w:val="28A10C81"/>
    <w:rsid w:val="28B07116"/>
    <w:rsid w:val="28BB5D28"/>
    <w:rsid w:val="28CB21A2"/>
    <w:rsid w:val="292F2731"/>
    <w:rsid w:val="294A1318"/>
    <w:rsid w:val="29820AB2"/>
    <w:rsid w:val="29A749BD"/>
    <w:rsid w:val="29AC5B2F"/>
    <w:rsid w:val="29C63095"/>
    <w:rsid w:val="29C70504"/>
    <w:rsid w:val="2A554419"/>
    <w:rsid w:val="2AB303AA"/>
    <w:rsid w:val="2ACC68AD"/>
    <w:rsid w:val="2ACF7D27"/>
    <w:rsid w:val="2AD90BA6"/>
    <w:rsid w:val="2B044322"/>
    <w:rsid w:val="2B200583"/>
    <w:rsid w:val="2B757007"/>
    <w:rsid w:val="2B822FEC"/>
    <w:rsid w:val="2BB05DAB"/>
    <w:rsid w:val="2BBA09D7"/>
    <w:rsid w:val="2C1D7A22"/>
    <w:rsid w:val="2C9A6060"/>
    <w:rsid w:val="2CA034F5"/>
    <w:rsid w:val="2D1759B5"/>
    <w:rsid w:val="2D4542D1"/>
    <w:rsid w:val="2D7067F2"/>
    <w:rsid w:val="2D7B5F44"/>
    <w:rsid w:val="2D8F19F0"/>
    <w:rsid w:val="2DC518B5"/>
    <w:rsid w:val="2DC773DC"/>
    <w:rsid w:val="2DD87DE5"/>
    <w:rsid w:val="2E5D389C"/>
    <w:rsid w:val="2E6B5FB9"/>
    <w:rsid w:val="2E700A6A"/>
    <w:rsid w:val="2E94741A"/>
    <w:rsid w:val="2EB536D8"/>
    <w:rsid w:val="2ECC0BB0"/>
    <w:rsid w:val="2EDC2A13"/>
    <w:rsid w:val="2F1F6DA3"/>
    <w:rsid w:val="2F261EE0"/>
    <w:rsid w:val="2F6F3887"/>
    <w:rsid w:val="2FA84FEB"/>
    <w:rsid w:val="2FAD43AF"/>
    <w:rsid w:val="2FE916BB"/>
    <w:rsid w:val="2FEF1C55"/>
    <w:rsid w:val="30007685"/>
    <w:rsid w:val="30183F1E"/>
    <w:rsid w:val="301D1535"/>
    <w:rsid w:val="302F1268"/>
    <w:rsid w:val="30C916BD"/>
    <w:rsid w:val="30C95219"/>
    <w:rsid w:val="30CB0F91"/>
    <w:rsid w:val="30E37C13"/>
    <w:rsid w:val="315C7E3B"/>
    <w:rsid w:val="31682C84"/>
    <w:rsid w:val="316B4522"/>
    <w:rsid w:val="31807FCD"/>
    <w:rsid w:val="31C61758"/>
    <w:rsid w:val="31F42769"/>
    <w:rsid w:val="320A7897"/>
    <w:rsid w:val="321C75CA"/>
    <w:rsid w:val="32B6615F"/>
    <w:rsid w:val="334212B2"/>
    <w:rsid w:val="33460DA3"/>
    <w:rsid w:val="335214F5"/>
    <w:rsid w:val="335C05C6"/>
    <w:rsid w:val="33E40F52"/>
    <w:rsid w:val="33E52369"/>
    <w:rsid w:val="33F00D0E"/>
    <w:rsid w:val="342804A8"/>
    <w:rsid w:val="34401C96"/>
    <w:rsid w:val="34403A44"/>
    <w:rsid w:val="345935E5"/>
    <w:rsid w:val="349A13A6"/>
    <w:rsid w:val="34B456C8"/>
    <w:rsid w:val="34C53F49"/>
    <w:rsid w:val="34D63A18"/>
    <w:rsid w:val="34F30AB6"/>
    <w:rsid w:val="34FD0168"/>
    <w:rsid w:val="351B1DBB"/>
    <w:rsid w:val="35685891"/>
    <w:rsid w:val="356A2A1B"/>
    <w:rsid w:val="35773495"/>
    <w:rsid w:val="3586192A"/>
    <w:rsid w:val="35941D23"/>
    <w:rsid w:val="35B9591C"/>
    <w:rsid w:val="35B97AB3"/>
    <w:rsid w:val="35D95EFE"/>
    <w:rsid w:val="35E46651"/>
    <w:rsid w:val="35EF5721"/>
    <w:rsid w:val="36317AE8"/>
    <w:rsid w:val="363D41E8"/>
    <w:rsid w:val="36AC716F"/>
    <w:rsid w:val="36C721FA"/>
    <w:rsid w:val="36CC670C"/>
    <w:rsid w:val="371116C7"/>
    <w:rsid w:val="372A6057"/>
    <w:rsid w:val="375021F0"/>
    <w:rsid w:val="37772EB5"/>
    <w:rsid w:val="37873738"/>
    <w:rsid w:val="37B95FE7"/>
    <w:rsid w:val="37C52BDE"/>
    <w:rsid w:val="37D56B99"/>
    <w:rsid w:val="38091F73"/>
    <w:rsid w:val="38912AC0"/>
    <w:rsid w:val="38920DEB"/>
    <w:rsid w:val="38AA3647"/>
    <w:rsid w:val="38F72A1F"/>
    <w:rsid w:val="39094D4C"/>
    <w:rsid w:val="391C52B2"/>
    <w:rsid w:val="39736669"/>
    <w:rsid w:val="397A17A6"/>
    <w:rsid w:val="39871288"/>
    <w:rsid w:val="39DF4537"/>
    <w:rsid w:val="39FF1CAB"/>
    <w:rsid w:val="3A0E0A45"/>
    <w:rsid w:val="3A414072"/>
    <w:rsid w:val="3AD849D6"/>
    <w:rsid w:val="3B2319C9"/>
    <w:rsid w:val="3B281512"/>
    <w:rsid w:val="3B312338"/>
    <w:rsid w:val="3B3140E6"/>
    <w:rsid w:val="3B316DAA"/>
    <w:rsid w:val="3BDF3B42"/>
    <w:rsid w:val="3C432323"/>
    <w:rsid w:val="3C7324DC"/>
    <w:rsid w:val="3C756255"/>
    <w:rsid w:val="3C9568F7"/>
    <w:rsid w:val="3C962485"/>
    <w:rsid w:val="3CA371C7"/>
    <w:rsid w:val="3CBA010B"/>
    <w:rsid w:val="3CED04E1"/>
    <w:rsid w:val="3D2A34E3"/>
    <w:rsid w:val="3D385C00"/>
    <w:rsid w:val="3D436353"/>
    <w:rsid w:val="3D536596"/>
    <w:rsid w:val="3D5E05AD"/>
    <w:rsid w:val="3D6E0A76"/>
    <w:rsid w:val="3D9655B0"/>
    <w:rsid w:val="3DA65146"/>
    <w:rsid w:val="3DAB4624"/>
    <w:rsid w:val="3DC2201D"/>
    <w:rsid w:val="3DEC0798"/>
    <w:rsid w:val="3E3839DE"/>
    <w:rsid w:val="3E432AAE"/>
    <w:rsid w:val="3EB72B54"/>
    <w:rsid w:val="3EB76FF8"/>
    <w:rsid w:val="3EC51715"/>
    <w:rsid w:val="3ED71449"/>
    <w:rsid w:val="3F2350E9"/>
    <w:rsid w:val="3F281CA4"/>
    <w:rsid w:val="3F284C2E"/>
    <w:rsid w:val="3F3D5750"/>
    <w:rsid w:val="3F5B23D4"/>
    <w:rsid w:val="3F5F256B"/>
    <w:rsid w:val="3F7F7B16"/>
    <w:rsid w:val="3F8956A8"/>
    <w:rsid w:val="3FB11C9A"/>
    <w:rsid w:val="40275AB8"/>
    <w:rsid w:val="403E62C3"/>
    <w:rsid w:val="405D65CA"/>
    <w:rsid w:val="40B06A01"/>
    <w:rsid w:val="40B84D47"/>
    <w:rsid w:val="40BA4B7E"/>
    <w:rsid w:val="40C63523"/>
    <w:rsid w:val="40FA2607"/>
    <w:rsid w:val="4160550E"/>
    <w:rsid w:val="41811734"/>
    <w:rsid w:val="41866FFD"/>
    <w:rsid w:val="41A23C87"/>
    <w:rsid w:val="41A76CDF"/>
    <w:rsid w:val="41B25855"/>
    <w:rsid w:val="41D1217F"/>
    <w:rsid w:val="41D34149"/>
    <w:rsid w:val="420A5094"/>
    <w:rsid w:val="421F72DE"/>
    <w:rsid w:val="42A81132"/>
    <w:rsid w:val="42DA32B5"/>
    <w:rsid w:val="43104F6F"/>
    <w:rsid w:val="43140575"/>
    <w:rsid w:val="43456981"/>
    <w:rsid w:val="438F22F2"/>
    <w:rsid w:val="439925F8"/>
    <w:rsid w:val="43BC29BB"/>
    <w:rsid w:val="43F13DEC"/>
    <w:rsid w:val="43FF6362"/>
    <w:rsid w:val="442944F4"/>
    <w:rsid w:val="448B2AB9"/>
    <w:rsid w:val="45004FE0"/>
    <w:rsid w:val="450D34CE"/>
    <w:rsid w:val="453273D9"/>
    <w:rsid w:val="45344EFF"/>
    <w:rsid w:val="4554734F"/>
    <w:rsid w:val="45677B22"/>
    <w:rsid w:val="45701CAF"/>
    <w:rsid w:val="459F4295"/>
    <w:rsid w:val="45C67B21"/>
    <w:rsid w:val="45E0774E"/>
    <w:rsid w:val="45F6129B"/>
    <w:rsid w:val="463A4DB0"/>
    <w:rsid w:val="463B050F"/>
    <w:rsid w:val="46405B25"/>
    <w:rsid w:val="464F7B16"/>
    <w:rsid w:val="46D303D0"/>
    <w:rsid w:val="46FC1A4C"/>
    <w:rsid w:val="47152B0E"/>
    <w:rsid w:val="47356D0C"/>
    <w:rsid w:val="473A07C7"/>
    <w:rsid w:val="47412EF8"/>
    <w:rsid w:val="475A49C5"/>
    <w:rsid w:val="47D6229D"/>
    <w:rsid w:val="47E32C0C"/>
    <w:rsid w:val="480558D9"/>
    <w:rsid w:val="480C3F11"/>
    <w:rsid w:val="482254E2"/>
    <w:rsid w:val="482E032B"/>
    <w:rsid w:val="48496F13"/>
    <w:rsid w:val="486378A9"/>
    <w:rsid w:val="487D1C76"/>
    <w:rsid w:val="48861F15"/>
    <w:rsid w:val="48A20C7D"/>
    <w:rsid w:val="48B84099"/>
    <w:rsid w:val="48CC18F2"/>
    <w:rsid w:val="491446BA"/>
    <w:rsid w:val="493108C7"/>
    <w:rsid w:val="493F1333"/>
    <w:rsid w:val="49463453"/>
    <w:rsid w:val="494D2A33"/>
    <w:rsid w:val="497F0713"/>
    <w:rsid w:val="498875C7"/>
    <w:rsid w:val="49942410"/>
    <w:rsid w:val="49B52386"/>
    <w:rsid w:val="4A1D0657"/>
    <w:rsid w:val="4A407298"/>
    <w:rsid w:val="4A8B6AF7"/>
    <w:rsid w:val="4ADB406F"/>
    <w:rsid w:val="4B32628E"/>
    <w:rsid w:val="4B8D5369"/>
    <w:rsid w:val="4B8E10E1"/>
    <w:rsid w:val="4B973E47"/>
    <w:rsid w:val="4BBB4DDF"/>
    <w:rsid w:val="4BC15012"/>
    <w:rsid w:val="4BC52BE6"/>
    <w:rsid w:val="4BD5286C"/>
    <w:rsid w:val="4BFE6267"/>
    <w:rsid w:val="4C4F261E"/>
    <w:rsid w:val="4C5B5467"/>
    <w:rsid w:val="4C76404F"/>
    <w:rsid w:val="4C8449BE"/>
    <w:rsid w:val="4C8C2F4B"/>
    <w:rsid w:val="4CF3744D"/>
    <w:rsid w:val="4D0258E3"/>
    <w:rsid w:val="4D186EB4"/>
    <w:rsid w:val="4D1A70D0"/>
    <w:rsid w:val="4D2C2AA8"/>
    <w:rsid w:val="4D6E37DE"/>
    <w:rsid w:val="4D956757"/>
    <w:rsid w:val="4DB43081"/>
    <w:rsid w:val="4DE12616"/>
    <w:rsid w:val="4DEF230B"/>
    <w:rsid w:val="4DF5092A"/>
    <w:rsid w:val="4DFA7D83"/>
    <w:rsid w:val="4E48737C"/>
    <w:rsid w:val="4E5202F6"/>
    <w:rsid w:val="4E650709"/>
    <w:rsid w:val="4E9133C2"/>
    <w:rsid w:val="4E9E788D"/>
    <w:rsid w:val="4F075432"/>
    <w:rsid w:val="4FAE31CC"/>
    <w:rsid w:val="502E69EF"/>
    <w:rsid w:val="504D156B"/>
    <w:rsid w:val="50834F8C"/>
    <w:rsid w:val="50DA1D03"/>
    <w:rsid w:val="511A2E6A"/>
    <w:rsid w:val="512E6655"/>
    <w:rsid w:val="519F7BA4"/>
    <w:rsid w:val="51CF5263"/>
    <w:rsid w:val="51D05FAF"/>
    <w:rsid w:val="52263E21"/>
    <w:rsid w:val="52497B10"/>
    <w:rsid w:val="52900EEF"/>
    <w:rsid w:val="52A336C4"/>
    <w:rsid w:val="52A631B4"/>
    <w:rsid w:val="52EC506B"/>
    <w:rsid w:val="537B63EF"/>
    <w:rsid w:val="53C71634"/>
    <w:rsid w:val="540168F4"/>
    <w:rsid w:val="54085ED4"/>
    <w:rsid w:val="544607AB"/>
    <w:rsid w:val="54B65FD6"/>
    <w:rsid w:val="54CB6F02"/>
    <w:rsid w:val="551B1C37"/>
    <w:rsid w:val="55466588"/>
    <w:rsid w:val="555962BC"/>
    <w:rsid w:val="55693404"/>
    <w:rsid w:val="55C2011F"/>
    <w:rsid w:val="560E354A"/>
    <w:rsid w:val="56307DDE"/>
    <w:rsid w:val="569F0646"/>
    <w:rsid w:val="56AD4B11"/>
    <w:rsid w:val="56F40992"/>
    <w:rsid w:val="57113B7B"/>
    <w:rsid w:val="571B2939"/>
    <w:rsid w:val="572823EA"/>
    <w:rsid w:val="573C7A94"/>
    <w:rsid w:val="57566F57"/>
    <w:rsid w:val="578A6E9D"/>
    <w:rsid w:val="57C71C02"/>
    <w:rsid w:val="582F603A"/>
    <w:rsid w:val="583059FA"/>
    <w:rsid w:val="58382B00"/>
    <w:rsid w:val="58B4552F"/>
    <w:rsid w:val="58F14598"/>
    <w:rsid w:val="5932754F"/>
    <w:rsid w:val="597D4C6F"/>
    <w:rsid w:val="59B47F65"/>
    <w:rsid w:val="59CC52AE"/>
    <w:rsid w:val="59E8707B"/>
    <w:rsid w:val="5A550B1A"/>
    <w:rsid w:val="5A57203E"/>
    <w:rsid w:val="5AC97A40"/>
    <w:rsid w:val="5AEB20AC"/>
    <w:rsid w:val="5B152C85"/>
    <w:rsid w:val="5B1D06C1"/>
    <w:rsid w:val="5B1F1270"/>
    <w:rsid w:val="5B207260"/>
    <w:rsid w:val="5B321A89"/>
    <w:rsid w:val="5B3C2907"/>
    <w:rsid w:val="5B3E042E"/>
    <w:rsid w:val="5B4E6197"/>
    <w:rsid w:val="5B996660"/>
    <w:rsid w:val="5BC54DDE"/>
    <w:rsid w:val="5BE8474C"/>
    <w:rsid w:val="5C2018E1"/>
    <w:rsid w:val="5C237623"/>
    <w:rsid w:val="5C961BA3"/>
    <w:rsid w:val="5C9D1184"/>
    <w:rsid w:val="5CE24DE9"/>
    <w:rsid w:val="5D015BB7"/>
    <w:rsid w:val="5D0E48E0"/>
    <w:rsid w:val="5D13709F"/>
    <w:rsid w:val="5D1A4582"/>
    <w:rsid w:val="5D2126ED"/>
    <w:rsid w:val="5D465377"/>
    <w:rsid w:val="5D7B0095"/>
    <w:rsid w:val="5D942587"/>
    <w:rsid w:val="5DE15320"/>
    <w:rsid w:val="5E133E89"/>
    <w:rsid w:val="5E595086"/>
    <w:rsid w:val="5E602469"/>
    <w:rsid w:val="5E8819C0"/>
    <w:rsid w:val="5EA27B33"/>
    <w:rsid w:val="5EE035AA"/>
    <w:rsid w:val="5EF17565"/>
    <w:rsid w:val="5F2D2C93"/>
    <w:rsid w:val="5F341B74"/>
    <w:rsid w:val="5F3F4774"/>
    <w:rsid w:val="5F473629"/>
    <w:rsid w:val="5F812182"/>
    <w:rsid w:val="5FA665A1"/>
    <w:rsid w:val="5FCE449A"/>
    <w:rsid w:val="5FEF1CF6"/>
    <w:rsid w:val="5FFE4051"/>
    <w:rsid w:val="606F1089"/>
    <w:rsid w:val="609B7213"/>
    <w:rsid w:val="60BB607C"/>
    <w:rsid w:val="60EA6962"/>
    <w:rsid w:val="61DF5D9B"/>
    <w:rsid w:val="61E41603"/>
    <w:rsid w:val="620D5E36"/>
    <w:rsid w:val="621E2D67"/>
    <w:rsid w:val="62347E94"/>
    <w:rsid w:val="627E064A"/>
    <w:rsid w:val="627F3D75"/>
    <w:rsid w:val="629354EF"/>
    <w:rsid w:val="62C531E2"/>
    <w:rsid w:val="62EC69C1"/>
    <w:rsid w:val="631D4DCC"/>
    <w:rsid w:val="634D7439"/>
    <w:rsid w:val="637F3391"/>
    <w:rsid w:val="63862972"/>
    <w:rsid w:val="638E1826"/>
    <w:rsid w:val="639F57E1"/>
    <w:rsid w:val="63C94F54"/>
    <w:rsid w:val="63D17CE2"/>
    <w:rsid w:val="63FC0E86"/>
    <w:rsid w:val="64486694"/>
    <w:rsid w:val="649E1F3D"/>
    <w:rsid w:val="64A84B6A"/>
    <w:rsid w:val="64F8164D"/>
    <w:rsid w:val="650C334B"/>
    <w:rsid w:val="6535658E"/>
    <w:rsid w:val="658904F7"/>
    <w:rsid w:val="658E7B9D"/>
    <w:rsid w:val="66067D9A"/>
    <w:rsid w:val="66171FA7"/>
    <w:rsid w:val="661B1EB0"/>
    <w:rsid w:val="6626043C"/>
    <w:rsid w:val="66287D10"/>
    <w:rsid w:val="66B23A7E"/>
    <w:rsid w:val="6723579F"/>
    <w:rsid w:val="67340937"/>
    <w:rsid w:val="67C577E1"/>
    <w:rsid w:val="67F1512B"/>
    <w:rsid w:val="68120C78"/>
    <w:rsid w:val="68E819D9"/>
    <w:rsid w:val="68F505D1"/>
    <w:rsid w:val="690031C6"/>
    <w:rsid w:val="690507DD"/>
    <w:rsid w:val="690600B1"/>
    <w:rsid w:val="690C1175"/>
    <w:rsid w:val="693D1D24"/>
    <w:rsid w:val="696E0130"/>
    <w:rsid w:val="69821E2D"/>
    <w:rsid w:val="6A2E78BF"/>
    <w:rsid w:val="6A3F387A"/>
    <w:rsid w:val="6A633A0D"/>
    <w:rsid w:val="6B10654A"/>
    <w:rsid w:val="6B8137BE"/>
    <w:rsid w:val="6BA3608B"/>
    <w:rsid w:val="6BD82AB9"/>
    <w:rsid w:val="6BEC17E0"/>
    <w:rsid w:val="6C517895"/>
    <w:rsid w:val="6C661592"/>
    <w:rsid w:val="6C9003BD"/>
    <w:rsid w:val="6D196605"/>
    <w:rsid w:val="6D21370B"/>
    <w:rsid w:val="6D325918"/>
    <w:rsid w:val="6D5358B5"/>
    <w:rsid w:val="6D5706E5"/>
    <w:rsid w:val="6D7D1F79"/>
    <w:rsid w:val="6DC25F52"/>
    <w:rsid w:val="6DDF3A80"/>
    <w:rsid w:val="6E282E9B"/>
    <w:rsid w:val="6E2A4841"/>
    <w:rsid w:val="6E5C4C9A"/>
    <w:rsid w:val="6E691495"/>
    <w:rsid w:val="6E6E0BD2"/>
    <w:rsid w:val="6E70494A"/>
    <w:rsid w:val="6E9D5013"/>
    <w:rsid w:val="6EDD3662"/>
    <w:rsid w:val="6F0D5AA6"/>
    <w:rsid w:val="6F231BEF"/>
    <w:rsid w:val="6F3239AE"/>
    <w:rsid w:val="6F4E0023"/>
    <w:rsid w:val="6F505234"/>
    <w:rsid w:val="6F9138F2"/>
    <w:rsid w:val="6FC0545D"/>
    <w:rsid w:val="70027824"/>
    <w:rsid w:val="7012558D"/>
    <w:rsid w:val="701D437B"/>
    <w:rsid w:val="70205EFC"/>
    <w:rsid w:val="704808A1"/>
    <w:rsid w:val="704A2F79"/>
    <w:rsid w:val="7055204A"/>
    <w:rsid w:val="70565EFE"/>
    <w:rsid w:val="70614013"/>
    <w:rsid w:val="70651B61"/>
    <w:rsid w:val="70A628A5"/>
    <w:rsid w:val="70A67403"/>
    <w:rsid w:val="70B54896"/>
    <w:rsid w:val="70C90342"/>
    <w:rsid w:val="70D421A3"/>
    <w:rsid w:val="70DA3444"/>
    <w:rsid w:val="71066EA0"/>
    <w:rsid w:val="712437CA"/>
    <w:rsid w:val="71303BF3"/>
    <w:rsid w:val="71C70D25"/>
    <w:rsid w:val="724539F8"/>
    <w:rsid w:val="72631484"/>
    <w:rsid w:val="72793EE0"/>
    <w:rsid w:val="7287390F"/>
    <w:rsid w:val="728D0A31"/>
    <w:rsid w:val="72B34E05"/>
    <w:rsid w:val="72CC5EC7"/>
    <w:rsid w:val="72FD0776"/>
    <w:rsid w:val="730F1287"/>
    <w:rsid w:val="735171B2"/>
    <w:rsid w:val="7358775B"/>
    <w:rsid w:val="735E7467"/>
    <w:rsid w:val="737075B2"/>
    <w:rsid w:val="73797DFD"/>
    <w:rsid w:val="73830C7C"/>
    <w:rsid w:val="73F456D6"/>
    <w:rsid w:val="745368A0"/>
    <w:rsid w:val="74BE73F3"/>
    <w:rsid w:val="74EF26F5"/>
    <w:rsid w:val="753A6755"/>
    <w:rsid w:val="75436915"/>
    <w:rsid w:val="75662603"/>
    <w:rsid w:val="756D1BE3"/>
    <w:rsid w:val="75973E9B"/>
    <w:rsid w:val="75B96BD7"/>
    <w:rsid w:val="75CA2B92"/>
    <w:rsid w:val="762229CE"/>
    <w:rsid w:val="764741E2"/>
    <w:rsid w:val="76BC5561"/>
    <w:rsid w:val="772A3C73"/>
    <w:rsid w:val="77553290"/>
    <w:rsid w:val="7771703D"/>
    <w:rsid w:val="77B21B30"/>
    <w:rsid w:val="77BD2282"/>
    <w:rsid w:val="7819395D"/>
    <w:rsid w:val="781C51B7"/>
    <w:rsid w:val="784D7AAA"/>
    <w:rsid w:val="78922545"/>
    <w:rsid w:val="78A70F68"/>
    <w:rsid w:val="78D67D8F"/>
    <w:rsid w:val="78EA354B"/>
    <w:rsid w:val="78F07D11"/>
    <w:rsid w:val="78F10436"/>
    <w:rsid w:val="79393B8B"/>
    <w:rsid w:val="794C0316"/>
    <w:rsid w:val="7961380D"/>
    <w:rsid w:val="797A48CF"/>
    <w:rsid w:val="799F7E92"/>
    <w:rsid w:val="79A279F4"/>
    <w:rsid w:val="79ED6E4F"/>
    <w:rsid w:val="7A1C7734"/>
    <w:rsid w:val="7A2C75B8"/>
    <w:rsid w:val="7A884DCA"/>
    <w:rsid w:val="7A9419C0"/>
    <w:rsid w:val="7AA65250"/>
    <w:rsid w:val="7ABD3A14"/>
    <w:rsid w:val="7AC425B5"/>
    <w:rsid w:val="7ADC6EC3"/>
    <w:rsid w:val="7AE61B10"/>
    <w:rsid w:val="7B5C26B1"/>
    <w:rsid w:val="7B963516"/>
    <w:rsid w:val="7BF01FD6"/>
    <w:rsid w:val="7C24128B"/>
    <w:rsid w:val="7C947A56"/>
    <w:rsid w:val="7CB75805"/>
    <w:rsid w:val="7CB9570E"/>
    <w:rsid w:val="7CCF0A8E"/>
    <w:rsid w:val="7CF91FAF"/>
    <w:rsid w:val="7D060228"/>
    <w:rsid w:val="7D5B67C5"/>
    <w:rsid w:val="7D5F62B6"/>
    <w:rsid w:val="7D841250"/>
    <w:rsid w:val="7D9B444F"/>
    <w:rsid w:val="7DAA32A9"/>
    <w:rsid w:val="7DD32800"/>
    <w:rsid w:val="7DDD71DA"/>
    <w:rsid w:val="7E0705C1"/>
    <w:rsid w:val="7E0B1F99"/>
    <w:rsid w:val="7E0D74DD"/>
    <w:rsid w:val="7E1225CB"/>
    <w:rsid w:val="7E3D5ECB"/>
    <w:rsid w:val="7EB919F5"/>
    <w:rsid w:val="7F0B7D77"/>
    <w:rsid w:val="7F231565"/>
    <w:rsid w:val="7F271055"/>
    <w:rsid w:val="7F8A15E4"/>
    <w:rsid w:val="7FBD3767"/>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8"/>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toc 8"/>
    <w:basedOn w:val="1"/>
    <w:next w:val="1"/>
    <w:unhideWhenUsed/>
    <w:qFormat/>
    <w:uiPriority w:val="39"/>
    <w:pPr>
      <w:adjustRightInd/>
      <w:spacing w:line="240" w:lineRule="auto"/>
      <w:ind w:left="2940" w:leftChars="1400"/>
    </w:pPr>
    <w:rPr>
      <w:rFonts w:asciiTheme="minorHAnsi" w:hAnsiTheme="minorHAnsi" w:eastAsiaTheme="minorEastAsia" w:cstheme="minorBidi"/>
      <w:szCs w:val="22"/>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oc 9"/>
    <w:basedOn w:val="1"/>
    <w:next w:val="1"/>
    <w:unhideWhenUsed/>
    <w:qFormat/>
    <w:uiPriority w:val="39"/>
    <w:pPr>
      <w:adjustRightInd/>
      <w:spacing w:line="240" w:lineRule="auto"/>
      <w:ind w:left="3360" w:leftChars="1600"/>
    </w:pPr>
    <w:rPr>
      <w:rFonts w:asciiTheme="minorHAnsi" w:hAnsiTheme="minorHAnsi" w:eastAsiaTheme="minorEastAsia" w:cstheme="minorBidi"/>
      <w:szCs w:val="22"/>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ind w:left="4252"/>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Unresolved Mention"/>
    <w:basedOn w:val="30"/>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jpeg"/><Relationship Id="rId28" Type="http://schemas.openxmlformats.org/officeDocument/2006/relationships/image" Target="media/image1.tiff"/><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3C4BE08E7C448A486F6ED450795642A"/>
        <w:style w:val=""/>
        <w:category>
          <w:name w:val="常规"/>
          <w:gallery w:val="placeholder"/>
        </w:category>
        <w:types>
          <w:type w:val="bbPlcHdr"/>
        </w:types>
        <w:behaviors>
          <w:behavior w:val="content"/>
        </w:behaviors>
        <w:description w:val=""/>
        <w:guid w:val="{6357E988-8C14-4507-AADA-BCD18E678479}"/>
      </w:docPartPr>
      <w:docPartBody>
        <w:p>
          <w:pPr>
            <w:pStyle w:val="5"/>
          </w:pPr>
          <w:r>
            <w:rPr>
              <w:rStyle w:val="4"/>
              <w:rFonts w:hint="eastAsia"/>
            </w:rPr>
            <w:t>单击或点击此处输入文字。</w:t>
          </w:r>
        </w:p>
      </w:docPartBody>
    </w:docPart>
    <w:docPart>
      <w:docPartPr>
        <w:name w:val="DA8C48922F9C4120B0FBA8E6DD3535F3"/>
        <w:style w:val=""/>
        <w:category>
          <w:name w:val="常规"/>
          <w:gallery w:val="placeholder"/>
        </w:category>
        <w:types>
          <w:type w:val="bbPlcHdr"/>
        </w:types>
        <w:behaviors>
          <w:behavior w:val="content"/>
        </w:behaviors>
        <w:description w:val=""/>
        <w:guid w:val="{338ABE4C-B5A7-41D4-9C26-32F3808A937D}"/>
      </w:docPartPr>
      <w:docPartBody>
        <w:p>
          <w:pPr>
            <w:pStyle w:val="6"/>
          </w:pPr>
          <w:r>
            <w:rPr>
              <w:rStyle w:val="4"/>
              <w:rFonts w:hint="eastAsia"/>
            </w:rPr>
            <w:t>选择一项。</w:t>
          </w:r>
        </w:p>
      </w:docPartBody>
    </w:docPart>
    <w:docPart>
      <w:docPartPr>
        <w:name w:val="FA01DFDCDB0F4A5CBD02DD8952049AD6"/>
        <w:style w:val=""/>
        <w:category>
          <w:name w:val="常规"/>
          <w:gallery w:val="placeholder"/>
        </w:category>
        <w:types>
          <w:type w:val="bbPlcHdr"/>
        </w:types>
        <w:behaviors>
          <w:behavior w:val="content"/>
        </w:behaviors>
        <w:description w:val=""/>
        <w:guid w:val="{BA1AB59D-7B91-4BAB-91AB-B882D5F6CEB7}"/>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747"/>
    <w:rsid w:val="00077DA8"/>
    <w:rsid w:val="00257B97"/>
    <w:rsid w:val="00546747"/>
    <w:rsid w:val="00DA3F10"/>
    <w:rsid w:val="00DE6D78"/>
    <w:rsid w:val="00E1082E"/>
    <w:rsid w:val="00E62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3C4BE08E7C448A486F6ED45079564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A8C48922F9C4120B0FBA8E6DD3535F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A01DFDCDB0F4A5CBD02DD8952049AD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CB153A-22E3-4B72-9384-FE72624EB79E}">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35</Pages>
  <Words>22342</Words>
  <Characters>22970</Characters>
  <Lines>213</Lines>
  <Paragraphs>60</Paragraphs>
  <TotalTime>2</TotalTime>
  <ScaleCrop>false</ScaleCrop>
  <LinksUpToDate>false</LinksUpToDate>
  <CharactersWithSpaces>25580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2023-10-04T03:04:00Z</dcterms:created>
  <dc:creator>Administrator</dc:creator>
  <dc:description>&lt;config cover="true" show_menu="true" version="1.0.0" doctype="SDKXY"&gt;_x000d_
&lt;/config&gt;</dc:description>
  <cp:lastModifiedBy>邓姝</cp:lastModifiedBy>
  <cp:lastPrinted>2020-08-30T10:00:00Z</cp:lastPrinted>
  <dcterms:modified xsi:type="dcterms:W3CDTF">2023-11-19T14:42:26Z</dcterms:modified>
  <dc:title>地方标准</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7E478F9AE8634B2C9F511177B97A326A_12</vt:lpwstr>
  </property>
</Properties>
</file>