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附件5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bookmarkStart w:id="0" w:name="_Hlk150204353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烟煤胶质层指数测定仪（</w:t>
      </w:r>
      <w:r>
        <w:rPr>
          <w:rFonts w:hint="eastAsia" w:ascii="方正小标宋_GBK" w:hAnsi="方正小标宋_GBK" w:eastAsia="方正小标宋_GBK" w:cs="方正小标宋_GBK"/>
          <w:i/>
          <w:sz w:val="32"/>
          <w:szCs w:val="32"/>
        </w:rPr>
        <w:t>Y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值）示值误差</w:t>
      </w:r>
    </w:p>
    <w:bookmarkEnd w:id="0"/>
    <w:p>
      <w:pPr>
        <w:spacing w:line="600" w:lineRule="exact"/>
        <w:jc w:val="center"/>
        <w:rPr>
          <w:rFonts w:eastAsia="方正小标宋_GBK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测量不确定度评定报告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rPr>
          <w:rFonts w:eastAsia="黑体"/>
          <w:sz w:val="24"/>
        </w:rPr>
      </w:pPr>
      <w:r>
        <w:rPr>
          <w:rFonts w:eastAsia="黑体"/>
          <w:sz w:val="24"/>
        </w:rPr>
        <w:t>1.概述</w:t>
      </w:r>
    </w:p>
    <w:p>
      <w:pPr>
        <w:spacing w:line="360" w:lineRule="auto"/>
        <w:rPr>
          <w:sz w:val="24"/>
        </w:rPr>
      </w:pPr>
      <w:r>
        <w:rPr>
          <w:sz w:val="24"/>
        </w:rPr>
        <w:t>1.1 校准依据：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烟煤胶质层指数测定仪校准规范</w:t>
      </w:r>
    </w:p>
    <w:p>
      <w:pPr>
        <w:spacing w:line="360" w:lineRule="auto"/>
        <w:rPr>
          <w:sz w:val="24"/>
        </w:rPr>
      </w:pPr>
      <w:r>
        <w:rPr>
          <w:sz w:val="24"/>
        </w:rPr>
        <w:t>1.2 测量环境：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室温：（5~40）℃，相对温度：不大于85%</w:t>
      </w:r>
    </w:p>
    <w:p>
      <w:pPr>
        <w:spacing w:line="360" w:lineRule="auto"/>
        <w:rPr>
          <w:sz w:val="24"/>
        </w:rPr>
      </w:pPr>
      <w:r>
        <w:rPr>
          <w:sz w:val="24"/>
        </w:rPr>
        <w:t>1.3 测量标准及其他设备：</w:t>
      </w:r>
    </w:p>
    <w:p>
      <w:pPr>
        <w:spacing w:line="360" w:lineRule="auto"/>
        <w:rPr>
          <w:sz w:val="24"/>
        </w:rPr>
      </w:pPr>
      <w:r>
        <w:rPr>
          <w:sz w:val="24"/>
        </w:rPr>
        <w:t>1.3.1测量标准：烟煤胶质层指数标准物质（一级）</w:t>
      </w:r>
    </w:p>
    <w:p>
      <w:pPr>
        <w:spacing w:line="360" w:lineRule="auto"/>
        <w:rPr>
          <w:sz w:val="24"/>
        </w:rPr>
      </w:pPr>
      <w:r>
        <w:rPr>
          <w:sz w:val="24"/>
        </w:rPr>
        <w:t>1.3.2辅助设备：电子天平。</w:t>
      </w:r>
    </w:p>
    <w:p>
      <w:pPr>
        <w:spacing w:line="360" w:lineRule="auto"/>
        <w:rPr>
          <w:sz w:val="24"/>
        </w:rPr>
      </w:pPr>
      <w:r>
        <w:rPr>
          <w:sz w:val="24"/>
        </w:rPr>
        <w:t>1.4 被测对象：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烟煤胶质层指数测定仪</w:t>
      </w:r>
    </w:p>
    <w:p>
      <w:pPr>
        <w:spacing w:line="360" w:lineRule="auto"/>
        <w:rPr>
          <w:sz w:val="24"/>
        </w:rPr>
      </w:pPr>
      <w:r>
        <w:rPr>
          <w:sz w:val="24"/>
        </w:rPr>
        <w:t>1.5 测量过程：直接测量法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使用烟煤胶质层指数标准物质，按GB/T 479-2016方法进行测量。</w:t>
      </w:r>
    </w:p>
    <w:p>
      <w:pPr>
        <w:spacing w:line="360" w:lineRule="auto"/>
        <w:rPr>
          <w:rFonts w:eastAsia="黑体"/>
          <w:sz w:val="24"/>
        </w:rPr>
      </w:pPr>
      <w:r>
        <w:rPr>
          <w:rFonts w:eastAsia="黑体"/>
          <w:sz w:val="24"/>
        </w:rPr>
        <w:t>2.数学（测量）模型</w:t>
      </w:r>
    </w:p>
    <w:p>
      <w:pPr>
        <w:spacing w:line="360" w:lineRule="auto"/>
        <w:rPr>
          <w:sz w:val="24"/>
        </w:rPr>
      </w:pPr>
      <w:r>
        <w:rPr>
          <w:sz w:val="24"/>
        </w:rPr>
        <w:t>2.1建立数学模型</w:t>
      </w:r>
    </w:p>
    <w:p>
      <w:pPr>
        <w:spacing w:line="360" w:lineRule="auto"/>
        <w:ind w:firstLine="480" w:firstLineChars="200"/>
        <w:jc w:val="right"/>
      </w:pPr>
      <w:r>
        <w:rPr>
          <w:sz w:val="24"/>
        </w:rPr>
        <w:t xml:space="preserve">                         </w:t>
      </w:r>
      <m:oMath>
        <m:r>
          <m:rPr>
            <m:sty m:val="p"/>
          </m:rPr>
          <w:rPr>
            <w:rFonts w:ascii="Cambria Math" w:hAnsi="Cambria Math"/>
          </w:rPr>
          <m:t>∆Y</m:t>
        </m:r>
      </m:oMath>
      <w:r>
        <w:t>=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</m:acc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s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                              （1）</w:t>
      </w:r>
    </w:p>
    <w:p>
      <w:pPr>
        <w:spacing w:line="360" w:lineRule="auto"/>
        <w:ind w:firstLine="420" w:firstLineChars="200"/>
        <w:jc w:val="left"/>
      </w:pPr>
      <w:r>
        <w:t>式中：</w:t>
      </w:r>
    </w:p>
    <w:p>
      <w:pPr>
        <w:spacing w:line="360" w:lineRule="auto"/>
        <w:ind w:firstLine="630" w:firstLineChars="300"/>
      </w:pPr>
      <m:oMath>
        <m:r>
          <m:rPr>
            <m:sty m:val="p"/>
          </m:rPr>
          <w:rPr>
            <w:rFonts w:ascii="Cambria Math" w:hAnsi="Cambria Math"/>
          </w:rPr>
          <m:t>∆</m:t>
        </m:r>
        <m:r>
          <w:rPr>
            <w:rFonts w:ascii="Cambria Math" w:hAnsi="Cambria Math"/>
          </w:rPr>
          <m:t>Y</m:t>
        </m:r>
      </m:oMath>
      <w:r>
        <w:t>––––胶质层指数（</w:t>
      </w:r>
      <w:r>
        <w:rPr>
          <w:i/>
        </w:rPr>
        <w:t>Y</w:t>
      </w:r>
      <w:r>
        <w:t>）值示值误差，mm；</w:t>
      </w:r>
    </w:p>
    <w:p>
      <w:pPr>
        <w:spacing w:line="360" w:lineRule="auto"/>
        <w:ind w:firstLine="630" w:firstLineChars="300"/>
      </w:pP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</m:acc>
      </m:oMath>
      <w:r>
        <w:t>––––2次测量值的平均值，mm；</w:t>
      </w:r>
    </w:p>
    <w:p>
      <w:pPr>
        <w:spacing w:line="360" w:lineRule="auto"/>
        <w:ind w:firstLine="630" w:firstLineChars="300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s</m:t>
            </m:r>
            <m:ctrlPr>
              <w:rPr>
                <w:rFonts w:ascii="Cambria Math" w:hAnsi="Cambria Math"/>
              </w:rPr>
            </m:ctrlPr>
          </m:sub>
        </m:sSub>
      </m:oMath>
      <w:r>
        <w:t>––––标准物质标准值，mm。</w:t>
      </w:r>
    </w:p>
    <w:p>
      <w:pPr>
        <w:spacing w:line="360" w:lineRule="auto"/>
        <w:rPr>
          <w:sz w:val="24"/>
        </w:rPr>
      </w:pPr>
      <w:r>
        <w:rPr>
          <w:sz w:val="24"/>
        </w:rPr>
        <w:t>2.2灵敏系数</w:t>
      </w:r>
    </w:p>
    <w:p>
      <w:pPr>
        <w:spacing w:line="360" w:lineRule="auto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w:rPr>
                  <w:rFonts w:ascii="Cambria Math" w:hAnsi="Cambria Math"/>
                </w:rPr>
                <m:t>1</m:t>
              </m:r>
              <m:ctrlPr>
                <w:rPr>
                  <w:rFonts w:ascii="Cambria Math" w:hAnsi="Cambria Math"/>
                </w:rPr>
              </m:ctrlP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∂∆Y</m:t>
              </m:r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∂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acc>
              <m:ctrlPr>
                <w:rPr>
                  <w:rFonts w:ascii="Cambria Math" w:hAnsi="Cambria Math"/>
                  <w:i/>
                </w:rPr>
              </m:ctrlPr>
            </m:den>
          </m:f>
          <m:r>
            <w:rPr>
              <w:rFonts w:ascii="Cambria Math" w:hAnsi="Cambria Math"/>
            </w:rPr>
            <m:t>=1</m:t>
          </m:r>
        </m:oMath>
      </m:oMathPara>
    </w:p>
    <w:p>
      <w:pPr>
        <w:spacing w:line="360" w:lineRule="auto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w:rPr>
                  <w:rFonts w:ascii="Cambria Math" w:hAnsi="Cambria Math"/>
                </w:rPr>
                <m:t>1</m:t>
              </m:r>
              <m:ctrlPr>
                <w:rPr>
                  <w:rFonts w:ascii="Cambria Math" w:hAnsi="Cambria Math"/>
                </w:rPr>
              </m:ctrlP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∂∆Y</m:t>
              </m:r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  <m:ctrlPr>
                <w:rPr>
                  <w:rFonts w:ascii="Cambria Math" w:hAnsi="Cambria Math"/>
                  <w:i/>
                </w:rPr>
              </m:ctrlPr>
            </m:den>
          </m:f>
          <m:r>
            <w:rPr>
              <w:rFonts w:ascii="Cambria Math" w:hAnsi="Cambria Math"/>
            </w:rPr>
            <m:t>=-1</m:t>
          </m:r>
        </m:oMath>
      </m:oMathPara>
    </w:p>
    <w:p>
      <w:pPr>
        <w:spacing w:line="360" w:lineRule="auto"/>
        <w:rPr>
          <w:sz w:val="24"/>
        </w:rPr>
      </w:pPr>
      <w:r>
        <w:rPr>
          <w:sz w:val="24"/>
        </w:rPr>
        <w:t>2.3合成方差</w:t>
      </w:r>
    </w:p>
    <w:p>
      <w:pPr>
        <w:spacing w:line="360" w:lineRule="auto"/>
        <w:jc w:val="right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u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∆Y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b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acc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b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s</m:t>
            </m:r>
            <m:ctrlPr>
              <w:rPr>
                <w:rFonts w:ascii="Cambria Math" w:hAnsi="Cambria Math"/>
                <w:i/>
              </w:rPr>
            </m:ctrlPr>
          </m:sub>
        </m:sSub>
        <m:r>
          <w:rPr>
            <w:rFonts w:ascii="Cambria Math" w:hAnsi="Cambria Math"/>
          </w:rPr>
          <m:t>)</m:t>
        </m:r>
      </m:oMath>
      <w:r>
        <w:t xml:space="preserve">                        (2)</w:t>
      </w:r>
    </w:p>
    <w:p>
      <w:pPr>
        <w:spacing w:line="360" w:lineRule="auto"/>
        <w:jc w:val="left"/>
        <w:rPr>
          <w:rFonts w:eastAsia="黑体"/>
          <w:sz w:val="24"/>
        </w:rPr>
      </w:pPr>
      <w:r>
        <w:rPr>
          <w:rFonts w:eastAsia="黑体"/>
          <w:sz w:val="24"/>
        </w:rPr>
        <w:t>3.影响量（输入量）的标准不确定度评定</w:t>
      </w:r>
    </w:p>
    <w:p>
      <w:pPr>
        <w:spacing w:line="360" w:lineRule="auto"/>
        <w:rPr>
          <w:sz w:val="24"/>
        </w:rPr>
      </w:pPr>
      <w:r>
        <w:rPr>
          <w:sz w:val="24"/>
        </w:rPr>
        <w:t>3.1 输入量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</m:acc>
      </m:oMath>
      <w:r>
        <w:rPr>
          <w:sz w:val="24"/>
        </w:rPr>
        <w:t>引起的标准不确定度</w:t>
      </w:r>
      <w:r>
        <w:rPr>
          <w:i/>
          <w:sz w:val="24"/>
        </w:rPr>
        <w:t>u</w:t>
      </w:r>
      <w:r>
        <w:rPr>
          <w:sz w:val="24"/>
        </w:rPr>
        <w:t>(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</m:acc>
      </m:oMath>
      <w:r>
        <w:rPr>
          <w:sz w:val="24"/>
        </w:rPr>
        <w:t>)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该不确定度主要由测量重复性引入，</w:t>
      </w:r>
      <w:r>
        <w:rPr>
          <w:rFonts w:hint="eastAsia" w:ascii="Times New Roman" w:hAnsi="Times New Roman" w:cs="Times New Roman"/>
          <w:sz w:val="24"/>
          <w:szCs w:val="24"/>
        </w:rPr>
        <w:t>对烟煤胶质层指数标准物质</w:t>
      </w:r>
      <w:r>
        <w:rPr>
          <w:rFonts w:ascii="Times New Roman" w:hAnsi="Times New Roman" w:cs="Times New Roman"/>
          <w:sz w:val="24"/>
          <w:szCs w:val="24"/>
        </w:rPr>
        <w:t>做2次重复测量，计算得</w:t>
      </w:r>
      <w:r>
        <w:rPr>
          <w:rFonts w:hint="eastAsia" w:ascii="Times New Roman" w:hAnsi="Times New Roman" w:cs="Times New Roman"/>
          <w:sz w:val="24"/>
          <w:szCs w:val="24"/>
        </w:rPr>
        <w:t>到</w:t>
      </w:r>
      <w:r>
        <w:rPr>
          <w:rFonts w:ascii="Times New Roman" w:hAnsi="Times New Roman" w:cs="Times New Roman"/>
          <w:sz w:val="24"/>
          <w:szCs w:val="24"/>
        </w:rPr>
        <w:t>胶质层指数</w:t>
      </w:r>
      <w:r>
        <w:rPr>
          <w:rFonts w:hint="eastAsia" w:ascii="Times New Roman" w:hAnsi="Times New Roman" w:cs="Times New Roman"/>
          <w:sz w:val="24"/>
          <w:szCs w:val="24"/>
        </w:rPr>
        <w:t>（</w:t>
      </w:r>
      <w:r>
        <w:rPr>
          <w:rFonts w:hint="eastAsia" w:ascii="Times New Roman" w:hAnsi="Times New Roman" w:cs="Times New Roman"/>
          <w:i/>
          <w:sz w:val="24"/>
          <w:szCs w:val="24"/>
        </w:rPr>
        <w:t>Y</w:t>
      </w:r>
      <w:r>
        <w:rPr>
          <w:rFonts w:hint="eastAsia" w:ascii="Times New Roman" w:hAnsi="Times New Roman" w:cs="Times New Roman"/>
          <w:sz w:val="24"/>
          <w:szCs w:val="24"/>
        </w:rPr>
        <w:t>）值</w:t>
      </w:r>
      <w:r>
        <w:rPr>
          <w:rFonts w:ascii="Times New Roman" w:hAnsi="Times New Roman" w:cs="Times New Roman"/>
          <w:sz w:val="24"/>
          <w:szCs w:val="24"/>
        </w:rPr>
        <w:t>分别为：19.5</w:t>
      </w:r>
      <w:r>
        <w:rPr>
          <w:rFonts w:hint="eastAsia" w:ascii="Times New Roman" w:hAnsi="Times New Roman" w:cs="Times New Roman"/>
          <w:sz w:val="24"/>
          <w:szCs w:val="24"/>
        </w:rPr>
        <w:t>mm，2</w:t>
      </w:r>
      <w:r>
        <w:rPr>
          <w:rFonts w:ascii="Times New Roman" w:hAnsi="Times New Roman" w:cs="Times New Roman"/>
          <w:sz w:val="24"/>
          <w:szCs w:val="24"/>
        </w:rPr>
        <w:t>1.0</w:t>
      </w:r>
      <w:r>
        <w:rPr>
          <w:rFonts w:hint="eastAsia" w:ascii="Times New Roman" w:hAnsi="Times New Roman" w:cs="Times New Roman"/>
          <w:sz w:val="24"/>
          <w:szCs w:val="24"/>
        </w:rPr>
        <w:t>mm。</w:t>
      </w:r>
      <w:r>
        <w:rPr>
          <w:rFonts w:ascii="Times New Roman" w:hAnsi="Times New Roman" w:cs="Times New Roman"/>
          <w:sz w:val="24"/>
          <w:szCs w:val="24"/>
        </w:rPr>
        <w:t>根据极差法</w:t>
      </w:r>
      <w:r>
        <w:rPr>
          <w:rFonts w:hint="eastAsia" w:ascii="Times New Roman" w:hAnsi="Times New Roman" w:cs="Times New Roman"/>
          <w:sz w:val="24"/>
          <w:szCs w:val="24"/>
        </w:rPr>
        <w:t>计算</w:t>
      </w:r>
      <w:r>
        <w:rPr>
          <w:rFonts w:ascii="Times New Roman" w:hAnsi="Times New Roman" w:cs="Times New Roman"/>
          <w:sz w:val="24"/>
          <w:szCs w:val="24"/>
        </w:rPr>
        <w:t>测量实验标准差</w:t>
      </w:r>
      <w:r>
        <w:rPr>
          <w:rFonts w:hint="eastAsia" w:ascii="Times New Roman" w:hAnsi="Times New Roman" w:cs="Times New Roman"/>
          <w:sz w:val="24"/>
          <w:szCs w:val="24"/>
        </w:rPr>
        <w:t>：</w:t>
      </w:r>
    </w:p>
    <w:p>
      <w:pPr>
        <w:spacing w:line="360" w:lineRule="auto"/>
        <w:ind w:firstLine="480" w:firstLineChars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=|19.5-21.0|/1.13=1.3</w:t>
      </w:r>
      <w:r>
        <w:rPr>
          <w:rFonts w:hint="eastAsia" w:ascii="Times New Roman" w:hAnsi="Times New Roman" w:cs="Times New Roman"/>
          <w:sz w:val="24"/>
          <w:szCs w:val="24"/>
        </w:rPr>
        <w:t>mm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由于测定仪分辨力为0.1mm，则分辨力引入的标准不确定度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为0.029mm，</w:t>
      </w:r>
      <w:r>
        <w:rPr>
          <w:rFonts w:hint="eastAsia" w:ascii="Times New Roman" w:hAnsi="Times New Roman" w:cs="Times New Roman"/>
          <w:sz w:val="24"/>
          <w:szCs w:val="24"/>
        </w:rPr>
        <w:t>远小于测量重复性引入的标准不确定度，故忽略不计。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 由烟煤胶质层指数标准物质引入的不确定度</w:t>
      </w:r>
      <w:r>
        <w:rPr>
          <w:rFonts w:ascii="Times New Roman" w:hAnsi="Times New Roman" w:cs="Times New Roman"/>
          <w:i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Y</m:t>
            </m:r>
            <m:ctrlPr>
              <w:rPr>
                <w:rFonts w:ascii="Cambria Math" w:hAnsi="Cambria Math" w:cs="Times New Roman"/>
              </w:rPr>
            </m:ctrlPr>
          </m:e>
          <m:sub>
            <m:r>
              <w:rPr>
                <w:rFonts w:ascii="Cambria Math" w:hAnsi="Cambria Math" w:cs="Times New Roman"/>
              </w:rPr>
              <m:t>s</m:t>
            </m:r>
            <m:ctrlPr>
              <w:rPr>
                <w:rFonts w:ascii="Cambria Math" w:hAnsi="Cambria Math" w:cs="Times New Roman"/>
              </w:rPr>
            </m:ctrlPr>
          </m:sub>
        </m:sSub>
      </m:oMath>
      <w:r>
        <w:rPr>
          <w:rFonts w:ascii="Times New Roman" w:hAnsi="Times New Roman" w:cs="Times New Roman"/>
          <w:sz w:val="24"/>
          <w:szCs w:val="24"/>
        </w:rPr>
        <w:t>)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该项不确定是由于标准物质的使用不确定度引入的。由烟煤胶质层指数标准物质证书可知，胶质层指数</w:t>
      </w:r>
      <w:r>
        <w:rPr>
          <w:rFonts w:hint="eastAsia" w:ascii="Times New Roman" w:hAnsi="Times New Roman" w:cs="Times New Roman"/>
          <w:sz w:val="24"/>
          <w:szCs w:val="24"/>
        </w:rPr>
        <w:t>（</w:t>
      </w:r>
      <w:r>
        <w:rPr>
          <w:rFonts w:hint="eastAsia" w:ascii="Times New Roman" w:hAnsi="Times New Roman" w:cs="Times New Roman"/>
          <w:i/>
          <w:sz w:val="24"/>
          <w:szCs w:val="24"/>
        </w:rPr>
        <w:t>Y</w:t>
      </w:r>
      <w:r>
        <w:rPr>
          <w:rFonts w:hint="eastAsia" w:ascii="Times New Roman" w:hAnsi="Times New Roman" w:cs="Times New Roman"/>
          <w:sz w:val="24"/>
          <w:szCs w:val="24"/>
        </w:rPr>
        <w:t>）值</w:t>
      </w:r>
      <w:r>
        <w:rPr>
          <w:rFonts w:ascii="Times New Roman" w:hAnsi="Times New Roman" w:cs="Times New Roman"/>
          <w:sz w:val="24"/>
          <w:szCs w:val="24"/>
        </w:rPr>
        <w:t>为19mm的不确定度为</w:t>
      </w:r>
      <w:r>
        <w:rPr>
          <w:rFonts w:ascii="Times New Roman" w:hAnsi="Times New Roman" w:cs="Times New Roman"/>
          <w:position w:val="-12"/>
          <w:sz w:val="24"/>
          <w:szCs w:val="24"/>
        </w:rPr>
        <w:object>
          <v:shape id="_x0000_i1025" o:spt="75" type="#_x0000_t75" style="height:18pt;width:16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8">
            <o:LockedField>false</o:LockedField>
          </o:OLEObject>
        </w:objec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=</w:t>
      </w:r>
      <w:r>
        <w:rPr>
          <w:rFonts w:ascii="Times New Roman" w:hAnsi="Times New Roman" w:cs="Times New Roman"/>
          <w:sz w:val="24"/>
          <w:szCs w:val="24"/>
        </w:rPr>
        <w:t>2mm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 w:cs="Times New Roman"/>
          <w:i/>
          <w:iCs/>
          <w:sz w:val="24"/>
          <w:szCs w:val="24"/>
          <w:lang w:val="en-US" w:eastAsia="zh-CN"/>
        </w:rPr>
        <w:t>k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=2</w:t>
      </w:r>
      <w:r>
        <w:rPr>
          <w:rFonts w:ascii="Times New Roman" w:hAnsi="Times New Roman" w:cs="Times New Roman"/>
          <w:sz w:val="24"/>
          <w:szCs w:val="24"/>
        </w:rPr>
        <w:t>，则</w:t>
      </w:r>
      <w:r>
        <w:rPr>
          <w:rFonts w:ascii="Times New Roman" w:hAnsi="Times New Roman" w:cs="Times New Roman"/>
          <w:i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Y</m:t>
            </m:r>
            <m:ctrlPr>
              <w:rPr>
                <w:rFonts w:ascii="Cambria Math" w:hAnsi="Cambria Math" w:cs="Times New Roman"/>
              </w:rPr>
            </m:ctrlPr>
          </m:e>
          <m:sub>
            <m:r>
              <w:rPr>
                <w:rFonts w:ascii="Cambria Math" w:hAnsi="Cambria Math" w:cs="Times New Roman"/>
              </w:rPr>
              <m:t>s</m:t>
            </m:r>
            <m:ctrlPr>
              <w:rPr>
                <w:rFonts w:ascii="Cambria Math" w:hAnsi="Cambria Math" w:cs="Times New Roman"/>
              </w:rPr>
            </m:ctrlPr>
          </m:sub>
        </m:sSub>
      </m:oMath>
      <w:r>
        <w:rPr>
          <w:rFonts w:ascii="Times New Roman" w:hAnsi="Times New Roman" w:cs="Times New Roman"/>
          <w:sz w:val="24"/>
          <w:szCs w:val="24"/>
        </w:rPr>
        <w:t>)=1mm。</w:t>
      </w:r>
    </w:p>
    <w:p>
      <w:pPr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eastAsia="黑体" w:cs="Times New Roman"/>
          <w:sz w:val="24"/>
          <w:szCs w:val="24"/>
          <w:lang w:val="en-US" w:eastAsia="zh-CN"/>
        </w:rPr>
        <w:t>4</w:t>
      </w:r>
      <w:r>
        <w:rPr>
          <w:rFonts w:ascii="Times New Roman" w:hAnsi="Times New Roman" w:eastAsia="黑体" w:cs="Times New Roman"/>
          <w:sz w:val="24"/>
          <w:szCs w:val="24"/>
        </w:rPr>
        <w:t xml:space="preserve"> 合成标准不确定度的评定</w:t>
      </w:r>
    </w:p>
    <w:p>
      <w:pPr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bookmarkStart w:id="1" w:name="_GoBack"/>
      <w:bookmarkEnd w:id="1"/>
      <w:r>
        <w:rPr>
          <w:rFonts w:hint="eastAsia" w:ascii="宋体" w:eastAsia="宋体" w:cs="宋体"/>
          <w:kern w:val="0"/>
          <w:sz w:val="24"/>
          <w:szCs w:val="24"/>
        </w:rPr>
        <w:t>各输入量之间相互独立,则合成标准不确定度计算公式为</w:t>
      </w:r>
    </w:p>
    <w:p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u</w:t>
      </w:r>
      <w:r>
        <w:rPr>
          <w:rFonts w:ascii="Times New Roman" w:hAnsi="Times New Roman" w:cs="Times New Roman"/>
          <w:sz w:val="24"/>
          <w:vertAlign w:val="subscript"/>
        </w:rPr>
        <w:t>c</w:t>
      </w:r>
      <w:r>
        <w:rPr>
          <w:rFonts w:ascii="Times New Roman" w:hAnsi="Times New Roman" w:cs="Times New Roman"/>
          <w:sz w:val="24"/>
        </w:rPr>
        <w:t>=</w:t>
      </w:r>
      <m:oMath>
        <m:rad>
          <m:radPr>
            <m:degHide m:val="1"/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deg>
          <m:e>
            <m:sSup>
              <m:sSupPr>
                <m:ctrlPr>
                  <w:rPr>
                    <w:rFonts w:ascii="Cambria Math" w:hAnsi="Cambria Math" w:eastAsia="宋体" w:cs="Times New Roman"/>
                    <w:i/>
                    <w:sz w:val="24"/>
                    <w:szCs w:val="24"/>
                  </w:rPr>
                </m:ctrlPr>
              </m:sSup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</w:rPr>
                      <m:t>c</m:t>
                    </m: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ub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up>
                </m:sSubSup>
                <m:r>
                  <w:rPr>
                    <w:rFonts w:ascii="Cambria Math" w:hAnsi="Cambria Math" w:cs="Times New Roman"/>
                    <w:sz w:val="24"/>
                  </w:rPr>
                  <m:t>u(Y)</m:t>
                </m:r>
                <m:ctrlPr>
                  <w:rPr>
                    <w:rFonts w:ascii="Cambria Math" w:hAnsi="Cambria Math" w:eastAsia="宋体" w:cs="Times New Roman"/>
                    <w:i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24"/>
                  </w:rPr>
                  <m:t>2</m:t>
                </m:r>
                <m:ctrlPr>
                  <w:rPr>
                    <w:rFonts w:ascii="Cambria Math" w:hAnsi="Cambria Math" w:eastAsia="宋体" w:cs="Times New Roman"/>
                    <w:i/>
                    <w:sz w:val="24"/>
                    <w:szCs w:val="24"/>
                  </w:rPr>
                </m:ctrlPr>
              </m:sup>
            </m:sSup>
            <m:r>
              <w:rPr>
                <w:rFonts w:ascii="Cambria Math" w:hAnsi="Cambria Math" w:cs="Times New Roman"/>
                <w:sz w:val="24"/>
              </w:rPr>
              <m:t>+</m:t>
            </m:r>
            <m:sSup>
              <m:sSupPr>
                <m:ctrlPr>
                  <w:rPr>
                    <w:rFonts w:ascii="Cambria Math" w:hAnsi="Cambria Math" w:eastAsia="宋体" w:cs="Times New Roman"/>
                    <w:i/>
                    <w:sz w:val="24"/>
                    <w:szCs w:val="24"/>
                  </w:rPr>
                </m:ctrlPr>
              </m:sSup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</w:rPr>
                      <m:t>c</m:t>
                    </m: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ub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up>
                </m:sSubSup>
                <m:r>
                  <w:rPr>
                    <w:rFonts w:ascii="Cambria Math" w:hAnsi="Cambria Math" w:cs="Times New Roman"/>
                    <w:sz w:val="24"/>
                  </w:rPr>
                  <m:t>u(</m:t>
                </m:r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  <m:ctrlPr>
                      <w:rPr>
                        <w:rFonts w:ascii="Cambria Math" w:hAnsi="Cambria Math" w:cs="Times New Roman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</w:rPr>
                      <m:t>s</m:t>
                    </m:r>
                    <m:ctrlPr>
                      <w:rPr>
                        <w:rFonts w:ascii="Cambria Math" w:hAnsi="Cambria Math" w:cs="Times New Roman"/>
                      </w:rPr>
                    </m:ctrlPr>
                  </m:sub>
                </m:sSub>
                <m:r>
                  <w:rPr>
                    <w:rFonts w:ascii="Cambria Math" w:hAnsi="Cambria Math" w:cs="Times New Roman"/>
                    <w:sz w:val="24"/>
                  </w:rPr>
                  <m:t>)</m:t>
                </m:r>
                <m:ctrlPr>
                  <w:rPr>
                    <w:rFonts w:ascii="Cambria Math" w:hAnsi="Cambria Math" w:eastAsia="宋体" w:cs="Times New Roman"/>
                    <w:i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24"/>
                  </w:rPr>
                  <m:t>2</m:t>
                </m:r>
                <m:ctrlPr>
                  <w:rPr>
                    <w:rFonts w:ascii="Cambria Math" w:hAnsi="Cambria Math" w:eastAsia="宋体" w:cs="Times New Roman"/>
                    <w:i/>
                    <w:sz w:val="24"/>
                    <w:szCs w:val="24"/>
                  </w:rPr>
                </m:ctrlPr>
              </m:sup>
            </m:sSup>
            <m:r>
              <w:rPr>
                <w:rFonts w:ascii="Cambria Math" w:hAnsi="Cambria Math" w:cs="Times New Roman"/>
                <w:sz w:val="24"/>
              </w:rPr>
              <m:t>+</m:t>
            </m:r>
            <m:sSup>
              <m:sSupPr>
                <m:ctrlPr>
                  <w:rPr>
                    <w:rFonts w:ascii="Cambria Math" w:hAnsi="Cambria Math" w:eastAsia="宋体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</w:rPr>
                  <m:t>u(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hint="eastAsia" w:ascii="Cambria Math" w:hAnsi="Cambria Math" w:cs="Times New Roman"/>
                        <w:sz w:val="24"/>
                      </w:rPr>
                      <m:t>Y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e>
                  <m:sub>
                    <m:r>
                      <w:rPr>
                        <w:rFonts w:hint="eastAsia" w:ascii="Cambria Math" w:hAnsi="Cambria Math" w:cs="Times New Roman"/>
                        <w:sz w:val="24"/>
                      </w:rPr>
                      <m:t>r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ub>
                </m:sSub>
                <m:r>
                  <w:rPr>
                    <w:rFonts w:ascii="Cambria Math" w:hAnsi="Cambria Math" w:cs="Times New Roman"/>
                    <w:sz w:val="24"/>
                  </w:rPr>
                  <m:t>)</m:t>
                </m:r>
                <m:ctrlPr>
                  <w:rPr>
                    <w:rFonts w:ascii="Cambria Math" w:hAnsi="Cambria Math" w:eastAsia="宋体" w:cs="Times New Roman"/>
                    <w:i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24"/>
                  </w:rPr>
                  <m:t>2</m:t>
                </m:r>
                <m:ctrlPr>
                  <w:rPr>
                    <w:rFonts w:ascii="Cambria Math" w:hAnsi="Cambria Math" w:eastAsia="宋体" w:cs="Times New Roman"/>
                    <w:i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e>
        </m:rad>
      </m:oMath>
      <w:r>
        <w:rPr>
          <w:rFonts w:ascii="Cambria Math" w:hAnsi="Cambria Math" w:eastAsia="宋体" w:cs="Times New Roman"/>
          <w:position w:val="-14"/>
          <w:sz w:val="24"/>
          <w:szCs w:val="24"/>
        </w:rPr>
        <w:object>
          <v:shape id="_x0000_i1026" o:spt="75" type="#_x0000_t75" style="height:24pt;width:98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10">
            <o:LockedField>false</o:LockedField>
          </o:OLEObject>
        </w:object>
      </w:r>
      <w:r>
        <w:rPr>
          <w:rFonts w:ascii="Times New Roman" w:hAnsi="Times New Roman" w:cs="Times New Roman"/>
          <w:sz w:val="24"/>
        </w:rPr>
        <w:t>=1.65mm</w:t>
      </w:r>
    </w:p>
    <w:p>
      <w:pPr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eastAsia="黑体" w:cs="Times New Roman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黑体" w:cs="Times New Roman"/>
          <w:sz w:val="24"/>
          <w:szCs w:val="24"/>
        </w:rPr>
        <w:t xml:space="preserve"> 扩展不确定度的评定</w:t>
      </w:r>
    </w:p>
    <w:p>
      <w:pPr>
        <w:spacing w:line="360" w:lineRule="auto"/>
        <w:ind w:firstLine="480" w:firstLineChars="20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U</w:t>
      </w:r>
      <w:r>
        <w:rPr>
          <w:rFonts w:ascii="Times New Roman" w:hAnsi="Times New Roman" w:cs="Times New Roman"/>
          <w:sz w:val="24"/>
        </w:rPr>
        <w:t>=</w:t>
      </w:r>
      <w:r>
        <w:rPr>
          <w:rFonts w:ascii="Times New Roman" w:hAnsi="Times New Roman" w:cs="Times New Roman"/>
          <w:i/>
          <w:sz w:val="24"/>
        </w:rPr>
        <w:t xml:space="preserve"> k u</w:t>
      </w:r>
      <w:r>
        <w:rPr>
          <w:rFonts w:ascii="Times New Roman" w:hAnsi="Times New Roman" w:cs="Times New Roman"/>
          <w:sz w:val="24"/>
          <w:vertAlign w:val="subscript"/>
        </w:rPr>
        <w:t>c</w:t>
      </w:r>
      <w:r>
        <w:rPr>
          <w:rFonts w:ascii="Times New Roman" w:hAnsi="Times New Roman" w:cs="Times New Roman"/>
          <w:sz w:val="24"/>
        </w:rPr>
        <w:t>=1.65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×</m:t>
        </m:r>
      </m:oMath>
      <w:r>
        <w:rPr>
          <w:rFonts w:ascii="Times New Roman" w:hAnsi="Times New Roman" w:cs="Times New Roman"/>
          <w:sz w:val="24"/>
        </w:rPr>
        <w:t>2=3.3</w:t>
      </w:r>
      <w:r>
        <w:rPr>
          <w:rFonts w:hint="eastAsia" w:ascii="Times New Roman" w:hAnsi="Times New Roman" w:cs="Times New Roman"/>
          <w:sz w:val="24"/>
        </w:rPr>
        <w:t>mm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i/>
          <w:sz w:val="24"/>
        </w:rPr>
        <w:t>k</w:t>
      </w:r>
      <w:r>
        <w:rPr>
          <w:rFonts w:ascii="Times New Roman" w:hAnsi="Times New Roman" w:cs="Times New Roman"/>
          <w:sz w:val="24"/>
        </w:rPr>
        <w:t>=2</w:t>
      </w:r>
    </w:p>
    <w:p>
      <w:pPr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eastAsia="黑体" w:cs="Times New Roman"/>
          <w:sz w:val="24"/>
          <w:szCs w:val="24"/>
          <w:lang w:val="en-US" w:eastAsia="zh-CN"/>
        </w:rPr>
        <w:t>6</w:t>
      </w:r>
      <w:r>
        <w:rPr>
          <w:rFonts w:ascii="Times New Roman" w:hAnsi="Times New Roman" w:eastAsia="黑体" w:cs="Times New Roman"/>
          <w:sz w:val="24"/>
          <w:szCs w:val="24"/>
        </w:rPr>
        <w:t xml:space="preserve"> 测量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结果</w:t>
      </w:r>
      <w:r>
        <w:rPr>
          <w:rFonts w:ascii="Times New Roman" w:hAnsi="Times New Roman" w:eastAsia="黑体" w:cs="Times New Roman"/>
          <w:sz w:val="24"/>
          <w:szCs w:val="24"/>
        </w:rPr>
        <w:t>不确定度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427355</wp:posOffset>
                </wp:positionV>
                <wp:extent cx="1828800" cy="0"/>
                <wp:effectExtent l="0" t="9525" r="0" b="9525"/>
                <wp:wrapNone/>
                <wp:docPr id="3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143.4pt;margin-top:33.65pt;height:0pt;width:144pt;z-index:251668480;mso-width-relative:page;mso-height-relative:page;" filled="f" stroked="t" coordsize="21600,21600" o:gfxdata="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JzL&#10;sULWAAAACQEAAA8AAAAAAAAAAQAgAAAAIgAAAGRycy9kb3ducmV2LnhtbFBLAQIUABQAAAAIAIdO&#10;4kBByxCQswEAAGADAAAOAAAAAAAAAAEAIAAAACUBAABkcnMvZTJvRG9jLnhtbFBLBQYAAAAABgAG&#10;AFkBAABK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烟煤胶质层指数测定仪示值误差的扩展不确定度</w:t>
      </w:r>
      <w:r>
        <w:rPr>
          <w:rFonts w:ascii="Times New Roman" w:hAnsi="Times New Roman" w:cs="Times New Roman"/>
          <w:i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＝3.3mm，</w:t>
      </w:r>
      <w:r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＝2。</w:t>
      </w:r>
    </w:p>
    <w:p>
      <w:pPr>
        <w:spacing w:line="360" w:lineRule="auto"/>
        <w:rPr>
          <w:rFonts w:asciiTheme="minorEastAsia" w:hAnsiTheme="minorEastAsia"/>
          <w:sz w:val="24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984" w:right="1361" w:bottom="1134" w:left="1361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222250" cy="153035"/>
              <wp:effectExtent l="0" t="0" r="0" b="1905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25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- 2 -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2.05pt;width:17.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gU0BONEAAAADAQAADwAAAAAAAAABACAA&#10;AAAiAAAAZHJzL2Rvd25yZXYueG1sUEsBAhQAFAAAAAgAh07iQD+ea8nbAQAAswMAAA4AAAAAAAAA&#10;AQAgAAAAI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- 2 -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222250" cy="153035"/>
              <wp:effectExtent l="0" t="0" r="0" b="1905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25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2.05pt;width:17.5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FNATjRAAAAAwEAAA8AAAAAAAAAAQAg&#10;AAAAIgAAAGRycy9kb3ducmV2LnhtbFBLAQIUABQAAAAIAIdO4kD7TMby3AEAALMDAAAOAAAAAAAA&#10;AAEAIAAAACA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 w:cs="Times New Roman"/>
        <w:sz w:val="21"/>
        <w:szCs w:val="21"/>
      </w:rPr>
    </w:pPr>
    <w:r>
      <w:rPr>
        <w:rFonts w:hint="eastAsia" w:ascii="Times New Roman" w:hAnsi="Times New Roman" w:cs="Times New Roman"/>
        <w:sz w:val="21"/>
        <w:szCs w:val="21"/>
      </w:rPr>
      <w:t>烟煤胶质层指数测定仪（Y值）示值误差</w:t>
    </w:r>
    <w:r>
      <w:rPr>
        <w:rFonts w:ascii="Times New Roman" w:hAnsi="Times New Roman" w:cs="Times New Roman"/>
        <w:sz w:val="21"/>
        <w:szCs w:val="21"/>
      </w:rPr>
      <w:t>测量不确定度评定报告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4MjkxOTFiNGQ3NzhlMzQyMDBjM2Q0NjE3MjhiNDQifQ=="/>
  </w:docVars>
  <w:rsids>
    <w:rsidRoot w:val="005B0C10"/>
    <w:rsid w:val="000F7FF8"/>
    <w:rsid w:val="00103897"/>
    <w:rsid w:val="00196E74"/>
    <w:rsid w:val="00216E97"/>
    <w:rsid w:val="002521AA"/>
    <w:rsid w:val="00293954"/>
    <w:rsid w:val="0039737E"/>
    <w:rsid w:val="003A5CE4"/>
    <w:rsid w:val="003D1AE6"/>
    <w:rsid w:val="004A667E"/>
    <w:rsid w:val="00516CC9"/>
    <w:rsid w:val="00542ED9"/>
    <w:rsid w:val="005B0C10"/>
    <w:rsid w:val="00621232"/>
    <w:rsid w:val="006B4A16"/>
    <w:rsid w:val="00866483"/>
    <w:rsid w:val="00962B2F"/>
    <w:rsid w:val="00A361BF"/>
    <w:rsid w:val="00B732DE"/>
    <w:rsid w:val="00C5040B"/>
    <w:rsid w:val="00D24EF4"/>
    <w:rsid w:val="00E572F5"/>
    <w:rsid w:val="00ED0A61"/>
    <w:rsid w:val="0216715F"/>
    <w:rsid w:val="025D0E0A"/>
    <w:rsid w:val="03093620"/>
    <w:rsid w:val="033E4BBF"/>
    <w:rsid w:val="03B6017D"/>
    <w:rsid w:val="056B77C2"/>
    <w:rsid w:val="05722FCA"/>
    <w:rsid w:val="062E0F1B"/>
    <w:rsid w:val="063C4CE3"/>
    <w:rsid w:val="072440CC"/>
    <w:rsid w:val="0889683A"/>
    <w:rsid w:val="09B01C47"/>
    <w:rsid w:val="0A014251"/>
    <w:rsid w:val="0A3D7A25"/>
    <w:rsid w:val="0A9652E1"/>
    <w:rsid w:val="0ADD60A7"/>
    <w:rsid w:val="0B483937"/>
    <w:rsid w:val="0BBE4AEF"/>
    <w:rsid w:val="0BDF6813"/>
    <w:rsid w:val="0D35493D"/>
    <w:rsid w:val="0D533015"/>
    <w:rsid w:val="0EA646CE"/>
    <w:rsid w:val="0F476BAA"/>
    <w:rsid w:val="10345380"/>
    <w:rsid w:val="110D797F"/>
    <w:rsid w:val="11D65D0E"/>
    <w:rsid w:val="11E42194"/>
    <w:rsid w:val="12EC0194"/>
    <w:rsid w:val="132154FC"/>
    <w:rsid w:val="132546F6"/>
    <w:rsid w:val="13D529D6"/>
    <w:rsid w:val="14074B59"/>
    <w:rsid w:val="145A737F"/>
    <w:rsid w:val="14670B43"/>
    <w:rsid w:val="14E1184E"/>
    <w:rsid w:val="14FE044E"/>
    <w:rsid w:val="154020D1"/>
    <w:rsid w:val="15806971"/>
    <w:rsid w:val="15E213DA"/>
    <w:rsid w:val="15E433A4"/>
    <w:rsid w:val="16013F56"/>
    <w:rsid w:val="1629525B"/>
    <w:rsid w:val="16E82A20"/>
    <w:rsid w:val="17AE7407"/>
    <w:rsid w:val="1849518F"/>
    <w:rsid w:val="18BA663E"/>
    <w:rsid w:val="19893694"/>
    <w:rsid w:val="1A472154"/>
    <w:rsid w:val="1A6525DA"/>
    <w:rsid w:val="1A84032E"/>
    <w:rsid w:val="1BCD0437"/>
    <w:rsid w:val="1C986C96"/>
    <w:rsid w:val="1D9E208B"/>
    <w:rsid w:val="1DBB0E8E"/>
    <w:rsid w:val="1DFC5003"/>
    <w:rsid w:val="1E162569"/>
    <w:rsid w:val="1EDC7483"/>
    <w:rsid w:val="1F720D28"/>
    <w:rsid w:val="1FFC578E"/>
    <w:rsid w:val="20B816B5"/>
    <w:rsid w:val="21FA5CFD"/>
    <w:rsid w:val="220646A2"/>
    <w:rsid w:val="23264FFC"/>
    <w:rsid w:val="23713D9D"/>
    <w:rsid w:val="238C0BD7"/>
    <w:rsid w:val="23995955"/>
    <w:rsid w:val="242B6642"/>
    <w:rsid w:val="24A7216D"/>
    <w:rsid w:val="271A4902"/>
    <w:rsid w:val="274E4B21"/>
    <w:rsid w:val="27570C3C"/>
    <w:rsid w:val="27F8683B"/>
    <w:rsid w:val="28F811E9"/>
    <w:rsid w:val="28FB2A87"/>
    <w:rsid w:val="2B5B5A5F"/>
    <w:rsid w:val="2BDA4BD6"/>
    <w:rsid w:val="2C66290D"/>
    <w:rsid w:val="2FA379D4"/>
    <w:rsid w:val="2FFE4C0B"/>
    <w:rsid w:val="30703D5A"/>
    <w:rsid w:val="30B654E5"/>
    <w:rsid w:val="31305298"/>
    <w:rsid w:val="313A7EC4"/>
    <w:rsid w:val="326D7A8B"/>
    <w:rsid w:val="32CC1A46"/>
    <w:rsid w:val="3311645A"/>
    <w:rsid w:val="33AD0E22"/>
    <w:rsid w:val="340C41DB"/>
    <w:rsid w:val="35260E8C"/>
    <w:rsid w:val="35D74DCB"/>
    <w:rsid w:val="35E93C67"/>
    <w:rsid w:val="35EF5721"/>
    <w:rsid w:val="36237179"/>
    <w:rsid w:val="363D5897"/>
    <w:rsid w:val="364F7F6E"/>
    <w:rsid w:val="373158C6"/>
    <w:rsid w:val="374D6BA3"/>
    <w:rsid w:val="377A101B"/>
    <w:rsid w:val="38207E14"/>
    <w:rsid w:val="3942200C"/>
    <w:rsid w:val="39A86313"/>
    <w:rsid w:val="39CF6183"/>
    <w:rsid w:val="3A4A561C"/>
    <w:rsid w:val="3B5B266B"/>
    <w:rsid w:val="3B6F4C2A"/>
    <w:rsid w:val="3BE06932"/>
    <w:rsid w:val="3BFD221A"/>
    <w:rsid w:val="3C1D466B"/>
    <w:rsid w:val="3C247354"/>
    <w:rsid w:val="3C830972"/>
    <w:rsid w:val="3CD967E3"/>
    <w:rsid w:val="3D344362"/>
    <w:rsid w:val="3D8A5D30"/>
    <w:rsid w:val="3DBB30E7"/>
    <w:rsid w:val="3F9F3D14"/>
    <w:rsid w:val="402C3E28"/>
    <w:rsid w:val="41E77BF5"/>
    <w:rsid w:val="42064D7A"/>
    <w:rsid w:val="4297602B"/>
    <w:rsid w:val="42F51E9D"/>
    <w:rsid w:val="43244531"/>
    <w:rsid w:val="432C17C6"/>
    <w:rsid w:val="43340C18"/>
    <w:rsid w:val="4392593E"/>
    <w:rsid w:val="43FD725B"/>
    <w:rsid w:val="44953938"/>
    <w:rsid w:val="45085EB8"/>
    <w:rsid w:val="46274A64"/>
    <w:rsid w:val="466C6651"/>
    <w:rsid w:val="47617B01"/>
    <w:rsid w:val="47F15329"/>
    <w:rsid w:val="490E5A67"/>
    <w:rsid w:val="495C2C76"/>
    <w:rsid w:val="4B1F21AD"/>
    <w:rsid w:val="4BB072A9"/>
    <w:rsid w:val="4BB70638"/>
    <w:rsid w:val="4BBD5522"/>
    <w:rsid w:val="4C9D5A7F"/>
    <w:rsid w:val="4E381212"/>
    <w:rsid w:val="4E72554E"/>
    <w:rsid w:val="4E791BD4"/>
    <w:rsid w:val="4EDB63EB"/>
    <w:rsid w:val="4F766114"/>
    <w:rsid w:val="4F7B3B8A"/>
    <w:rsid w:val="4F822D0B"/>
    <w:rsid w:val="503E30D6"/>
    <w:rsid w:val="507765E7"/>
    <w:rsid w:val="507A7290"/>
    <w:rsid w:val="50884351"/>
    <w:rsid w:val="527F1783"/>
    <w:rsid w:val="52A66D10"/>
    <w:rsid w:val="52D544FD"/>
    <w:rsid w:val="53332C9A"/>
    <w:rsid w:val="54CF254E"/>
    <w:rsid w:val="552C5BF2"/>
    <w:rsid w:val="553F6765"/>
    <w:rsid w:val="561A5A4B"/>
    <w:rsid w:val="569F41A2"/>
    <w:rsid w:val="56AF6ADB"/>
    <w:rsid w:val="56EF6ED8"/>
    <w:rsid w:val="57D83E10"/>
    <w:rsid w:val="57E438A2"/>
    <w:rsid w:val="58354DBE"/>
    <w:rsid w:val="59511EE2"/>
    <w:rsid w:val="59605E6B"/>
    <w:rsid w:val="597A4752"/>
    <w:rsid w:val="5A7A2F5C"/>
    <w:rsid w:val="5B1F1D55"/>
    <w:rsid w:val="5B3E21DC"/>
    <w:rsid w:val="5D2D075A"/>
    <w:rsid w:val="5DB76275"/>
    <w:rsid w:val="5EAC56AE"/>
    <w:rsid w:val="5EF13A09"/>
    <w:rsid w:val="5FA06AC5"/>
    <w:rsid w:val="603733DB"/>
    <w:rsid w:val="60C66148"/>
    <w:rsid w:val="624D0F56"/>
    <w:rsid w:val="62CC631F"/>
    <w:rsid w:val="62DB0C58"/>
    <w:rsid w:val="62FA7330"/>
    <w:rsid w:val="63BC6393"/>
    <w:rsid w:val="641C5084"/>
    <w:rsid w:val="648A6492"/>
    <w:rsid w:val="64F20A4A"/>
    <w:rsid w:val="6502427A"/>
    <w:rsid w:val="65654809"/>
    <w:rsid w:val="6578278E"/>
    <w:rsid w:val="65B0622F"/>
    <w:rsid w:val="66703465"/>
    <w:rsid w:val="66742F55"/>
    <w:rsid w:val="66A15D14"/>
    <w:rsid w:val="67607514"/>
    <w:rsid w:val="67957627"/>
    <w:rsid w:val="67CA4DF7"/>
    <w:rsid w:val="680D5241"/>
    <w:rsid w:val="68171BE1"/>
    <w:rsid w:val="68993147"/>
    <w:rsid w:val="68BE495C"/>
    <w:rsid w:val="6AD42215"/>
    <w:rsid w:val="6C6E0447"/>
    <w:rsid w:val="6CC12C6C"/>
    <w:rsid w:val="6D1E7651"/>
    <w:rsid w:val="6DA22A9E"/>
    <w:rsid w:val="6EF962E0"/>
    <w:rsid w:val="6F105E71"/>
    <w:rsid w:val="6F7B5355"/>
    <w:rsid w:val="6FDD7DBD"/>
    <w:rsid w:val="6FED5B27"/>
    <w:rsid w:val="71D90A58"/>
    <w:rsid w:val="72CD409B"/>
    <w:rsid w:val="73B726D3"/>
    <w:rsid w:val="755C3532"/>
    <w:rsid w:val="75B570E6"/>
    <w:rsid w:val="76674885"/>
    <w:rsid w:val="770F2826"/>
    <w:rsid w:val="794E5888"/>
    <w:rsid w:val="79E03706"/>
    <w:rsid w:val="7A0D129F"/>
    <w:rsid w:val="7A7E03EF"/>
    <w:rsid w:val="7ABE2599"/>
    <w:rsid w:val="7BF85F7F"/>
    <w:rsid w:val="7C617073"/>
    <w:rsid w:val="7C8B294F"/>
    <w:rsid w:val="7DA05D3C"/>
    <w:rsid w:val="7DCA74A7"/>
    <w:rsid w:val="7E16051E"/>
    <w:rsid w:val="7E33504C"/>
    <w:rsid w:val="7E4E1E86"/>
    <w:rsid w:val="7E5F22E5"/>
    <w:rsid w:val="7E971A7F"/>
    <w:rsid w:val="7FF5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hint="eastAsia" w:ascii="宋体" w:hAnsi="Courier New"/>
      <w:szCs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table" w:styleId="8">
    <w:name w:val="Table Grid"/>
    <w:basedOn w:val="7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纯文本 Char"/>
    <w:basedOn w:val="5"/>
    <w:link w:val="2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175</Words>
  <Characters>999</Characters>
  <Lines>8</Lines>
  <Paragraphs>2</Paragraphs>
  <TotalTime>2</TotalTime>
  <ScaleCrop>false</ScaleCrop>
  <LinksUpToDate>false</LinksUpToDate>
  <CharactersWithSpaces>1172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2023-11-06T15:05:00Z</dcterms:created>
  <dc:creator>Administrator</dc:creator>
  <cp:lastModifiedBy>admin</cp:lastModifiedBy>
  <dcterms:modified xsi:type="dcterms:W3CDTF">2023-11-07T07:32:47Z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85DABBEA15014D12B933E7DE82C6AE6B</vt:lpwstr>
  </property>
</Properties>
</file>