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生姜连作障碍消减</w:t>
      </w:r>
      <w:r>
        <w:t>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Technical </w:t>
      </w:r>
      <w:r>
        <w:rPr>
          <w:rFonts w:hint="eastAsia" w:eastAsia="黑体"/>
          <w:szCs w:val="28"/>
          <w:lang w:val="en-US" w:eastAsia="zh-CN"/>
        </w:rPr>
        <w:t>R</w:t>
      </w:r>
      <w:r>
        <w:rPr>
          <w:rFonts w:hint="eastAsia" w:eastAsia="黑体"/>
          <w:szCs w:val="28"/>
        </w:rPr>
        <w:t>egulation</w:t>
      </w:r>
      <w:r>
        <w:rPr>
          <w:rFonts w:hint="eastAsia" w:eastAsia="黑体"/>
          <w:szCs w:val="28"/>
          <w:lang w:val="en-US" w:eastAsia="zh-CN"/>
        </w:rPr>
        <w:t>s</w:t>
      </w:r>
      <w:r>
        <w:rPr>
          <w:rFonts w:hint="eastAsia" w:eastAsia="黑体"/>
          <w:szCs w:val="28"/>
        </w:rPr>
        <w:t xml:space="preserve"> for </w:t>
      </w:r>
      <w:r>
        <w:rPr>
          <w:rFonts w:hint="eastAsia" w:eastAsia="黑体"/>
          <w:szCs w:val="28"/>
          <w:lang w:val="en-US" w:eastAsia="zh-CN"/>
        </w:rPr>
        <w:t>R</w:t>
      </w:r>
      <w:r>
        <w:rPr>
          <w:rFonts w:hint="eastAsia" w:eastAsia="黑体"/>
          <w:szCs w:val="28"/>
        </w:rPr>
        <w:t>educ</w:t>
      </w:r>
      <w:r>
        <w:rPr>
          <w:rFonts w:hint="eastAsia" w:eastAsia="黑体"/>
          <w:szCs w:val="28"/>
          <w:lang w:val="en-US" w:eastAsia="zh-CN"/>
        </w:rPr>
        <w:t>tion</w:t>
      </w:r>
      <w:r>
        <w:rPr>
          <w:rFonts w:hint="eastAsia" w:eastAsia="黑体"/>
          <w:szCs w:val="28"/>
        </w:rPr>
        <w:t xml:space="preserve"> </w:t>
      </w:r>
      <w:r>
        <w:rPr>
          <w:rFonts w:hint="eastAsia" w:eastAsia="黑体"/>
          <w:szCs w:val="28"/>
          <w:lang w:val="en-US" w:eastAsia="zh-CN"/>
        </w:rPr>
        <w:t>of</w:t>
      </w:r>
      <w:r>
        <w:rPr>
          <w:rFonts w:hint="eastAsia" w:eastAsia="黑体"/>
          <w:szCs w:val="28"/>
        </w:rPr>
        <w:t xml:space="preserve"> </w:t>
      </w:r>
      <w:r>
        <w:rPr>
          <w:rFonts w:hint="eastAsia" w:eastAsia="黑体"/>
          <w:szCs w:val="28"/>
          <w:lang w:val="en-US" w:eastAsia="zh-CN"/>
        </w:rPr>
        <w:t>C</w:t>
      </w:r>
      <w:r>
        <w:rPr>
          <w:rFonts w:hint="eastAsia" w:eastAsia="黑体"/>
          <w:szCs w:val="28"/>
        </w:rPr>
        <w:t xml:space="preserve">ontinuous </w:t>
      </w:r>
      <w:r>
        <w:rPr>
          <w:rFonts w:hint="eastAsia" w:eastAsia="黑体"/>
          <w:szCs w:val="28"/>
          <w:lang w:val="en-US" w:eastAsia="zh-CN"/>
        </w:rPr>
        <w:t>C</w:t>
      </w:r>
      <w:r>
        <w:rPr>
          <w:rFonts w:hint="eastAsia" w:eastAsia="黑体"/>
          <w:szCs w:val="28"/>
        </w:rPr>
        <w:t xml:space="preserve">ropping </w:t>
      </w:r>
      <w:r>
        <w:rPr>
          <w:rFonts w:hint="eastAsia" w:eastAsia="黑体"/>
          <w:szCs w:val="28"/>
          <w:lang w:val="en-US" w:eastAsia="zh-CN"/>
        </w:rPr>
        <w:t xml:space="preserve">Obstacle </w:t>
      </w:r>
      <w:r>
        <w:rPr>
          <w:rFonts w:hint="eastAsia" w:eastAsia="黑体"/>
          <w:szCs w:val="28"/>
        </w:rPr>
        <w:t xml:space="preserve">of </w:t>
      </w:r>
      <w:r>
        <w:rPr>
          <w:rFonts w:hint="eastAsia" w:eastAsia="黑体"/>
          <w:szCs w:val="28"/>
          <w:lang w:val="en-US" w:eastAsia="zh-CN"/>
        </w:rPr>
        <w:t>G</w:t>
      </w:r>
      <w:r>
        <w:rPr>
          <w:rFonts w:hint="eastAsia" w:eastAsia="黑体"/>
          <w:szCs w:val="28"/>
        </w:rPr>
        <w:t>inger</w:t>
      </w:r>
      <w:r>
        <w:rPr>
          <w:rFonts w:eastAsia="黑体"/>
          <w:szCs w:val="28"/>
        </w:rPr>
        <w:t xml:space="preserve">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r>
        <w:rPr>
          <w:spacing w:val="320"/>
        </w:rPr>
        <w:t>目</w:t>
      </w:r>
      <w: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"_Toc145248671" </w:instrText>
      </w:r>
      <w:r>
        <w:fldChar w:fldCharType="separate"/>
      </w:r>
      <w:r>
        <w:rPr>
          <w:rStyle w:val="32"/>
          <w:spacing w:val="320"/>
        </w:rPr>
        <w:t>前</w:t>
      </w:r>
      <w:r>
        <w:rPr>
          <w:rStyle w:val="32"/>
        </w:rPr>
        <w:t>言</w:t>
      </w:r>
      <w:r>
        <w:tab/>
      </w:r>
      <w:r>
        <w:fldChar w:fldCharType="begin"/>
      </w:r>
      <w:r>
        <w:instrText xml:space="preserve"> PAGEREF _Toc145248671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"_Toc145248672" </w:instrText>
      </w:r>
      <w:r>
        <w:fldChar w:fldCharType="separate"/>
      </w:r>
      <w:r>
        <w:rPr>
          <w:rStyle w:val="32"/>
        </w:rPr>
        <w:t>1 范围</w:t>
      </w:r>
      <w:r>
        <w:tab/>
      </w:r>
      <w:r>
        <w:fldChar w:fldCharType="begin"/>
      </w:r>
      <w:r>
        <w:instrText xml:space="preserve"> PAGEREF _Toc145248672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"_Toc145248673" </w:instrText>
      </w:r>
      <w:r>
        <w:fldChar w:fldCharType="separate"/>
      </w:r>
      <w:r>
        <w:rPr>
          <w:rStyle w:val="32"/>
        </w:rPr>
        <w:t>2 规范性引用文件</w:t>
      </w:r>
      <w:r>
        <w:tab/>
      </w:r>
      <w:r>
        <w:fldChar w:fldCharType="begin"/>
      </w:r>
      <w:r>
        <w:instrText xml:space="preserve"> PAGEREF _Toc145248673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"_Toc145248674" </w:instrText>
      </w:r>
      <w:r>
        <w:fldChar w:fldCharType="separate"/>
      </w:r>
      <w:r>
        <w:rPr>
          <w:rStyle w:val="32"/>
        </w:rPr>
        <w:t>3 术语和定义</w:t>
      </w:r>
      <w:r>
        <w:tab/>
      </w:r>
      <w:r>
        <w:fldChar w:fldCharType="begin"/>
      </w:r>
      <w:r>
        <w:instrText xml:space="preserve"> PAGEREF _Toc145248674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"_Toc145248675" </w:instrText>
      </w:r>
      <w:r>
        <w:fldChar w:fldCharType="separate"/>
      </w:r>
      <w:r>
        <w:rPr>
          <w:rStyle w:val="32"/>
        </w:rPr>
        <w:t xml:space="preserve">4 </w:t>
      </w:r>
      <w:r>
        <w:rPr>
          <w:rStyle w:val="32"/>
          <w:rFonts w:hint="eastAsia"/>
          <w:lang w:eastAsia="zh-CN"/>
        </w:rPr>
        <w:t>总体要求</w:t>
      </w:r>
      <w:r>
        <w:tab/>
      </w:r>
      <w:r>
        <w:rPr>
          <w:rFonts w:hint="eastAsia"/>
          <w:lang w:val="en-US" w:eastAsia="zh-CN"/>
        </w:rPr>
        <w:t>1</w:t>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"_Toc145248676" </w:instrText>
      </w:r>
      <w:r>
        <w:fldChar w:fldCharType="separate"/>
      </w:r>
      <w:r>
        <w:rPr>
          <w:rStyle w:val="32"/>
        </w:rPr>
        <w:t xml:space="preserve">5 </w:t>
      </w:r>
      <w:r>
        <w:rPr>
          <w:rStyle w:val="32"/>
          <w:rFonts w:hint="eastAsia"/>
          <w:lang w:eastAsia="zh-CN"/>
        </w:rPr>
        <w:t>地块选择</w:t>
      </w:r>
      <w:r>
        <w:tab/>
      </w:r>
      <w:r>
        <w:rPr>
          <w:rFonts w:hint="eastAsia"/>
          <w:lang w:val="en-US" w:eastAsia="zh-CN"/>
        </w:rPr>
        <w:t>1</w:t>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"_Toc145248677" </w:instrText>
      </w:r>
      <w:r>
        <w:fldChar w:fldCharType="separate"/>
      </w:r>
      <w:r>
        <w:rPr>
          <w:rStyle w:val="32"/>
        </w:rPr>
        <w:t xml:space="preserve">6 </w:t>
      </w:r>
      <w:r>
        <w:rPr>
          <w:rStyle w:val="32"/>
          <w:rFonts w:hint="eastAsia"/>
          <w:lang w:val="en-US" w:eastAsia="zh-CN"/>
        </w:rPr>
        <w:t>深耕整地</w:t>
      </w:r>
      <w:r>
        <w:tab/>
      </w:r>
      <w:r>
        <w:rPr>
          <w:rFonts w:hint="eastAsia"/>
          <w:lang w:val="en-US" w:eastAsia="zh-CN"/>
        </w:rPr>
        <w:t>2</w:t>
      </w:r>
      <w:r>
        <w:fldChar w:fldCharType="end"/>
      </w:r>
    </w:p>
    <w:p>
      <w:pPr>
        <w:pStyle w:val="19"/>
        <w:tabs>
          <w:tab w:val="right" w:leader="dot" w:pos="9344"/>
        </w:tabs>
      </w:pPr>
      <w:r>
        <w:fldChar w:fldCharType="begin"/>
      </w:r>
      <w:r>
        <w:instrText xml:space="preserve"> HYPERLINK \l "_Toc145248678" </w:instrText>
      </w:r>
      <w:r>
        <w:fldChar w:fldCharType="separate"/>
      </w:r>
      <w:r>
        <w:rPr>
          <w:rStyle w:val="32"/>
        </w:rPr>
        <w:t xml:space="preserve">7 </w:t>
      </w:r>
      <w:r>
        <w:rPr>
          <w:rStyle w:val="32"/>
          <w:rFonts w:hint="eastAsia"/>
          <w:lang w:val="en-US" w:eastAsia="zh-CN"/>
        </w:rPr>
        <w:t>土壤消毒处理</w:t>
      </w:r>
      <w:r>
        <w:tab/>
      </w:r>
      <w:r>
        <w:rPr>
          <w:rFonts w:hint="eastAsia"/>
          <w:lang w:val="en-US" w:eastAsia="zh-CN"/>
        </w:rPr>
        <w:t>2</w:t>
      </w:r>
      <w:r>
        <w:fldChar w:fldCharType="end"/>
      </w:r>
    </w:p>
    <w:p>
      <w:pPr>
        <w:rPr>
          <w:rFonts w:hint="default" w:ascii="宋体" w:hAnsi="宋体" w:eastAsia="宋体" w:cs="宋体"/>
          <w:lang w:val="en-US" w:eastAsia="zh-CN"/>
        </w:rPr>
      </w:pPr>
      <w:r>
        <w:rPr>
          <w:rFonts w:hint="eastAsia" w:ascii="宋体" w:hAnsi="宋体" w:eastAsia="宋体" w:cs="宋体"/>
          <w:lang w:val="en-US" w:eastAsia="zh-CN"/>
        </w:rPr>
        <w:t>8</w:t>
      </w:r>
      <w:r>
        <w:rPr>
          <w:rFonts w:hint="eastAsia"/>
          <w:lang w:val="en-US" w:eastAsia="zh-CN"/>
        </w:rPr>
        <w:t xml:space="preserve"> 姜种选择与消毒处理 . . . . . . . . . . . . . . . . . . . . . . . . . . . . . . . . . . . . . . . . . . . . . . . . . . . . . . . . . . . . . . . . . . . . . . </w:t>
      </w:r>
      <w:r>
        <w:rPr>
          <w:rFonts w:hint="eastAsia" w:ascii="宋体" w:hAnsi="宋体" w:cs="宋体"/>
          <w:lang w:val="en-US" w:eastAsia="zh-CN"/>
        </w:rPr>
        <w:t>2</w:t>
      </w:r>
    </w:p>
    <w:p>
      <w:pPr>
        <w:rPr>
          <w:rFonts w:hint="eastAsia" w:ascii="宋体" w:hAnsi="宋体" w:eastAsia="宋体" w:cs="宋体"/>
          <w:lang w:val="en-US" w:eastAsia="zh-CN"/>
        </w:rPr>
      </w:pPr>
      <w:r>
        <w:rPr>
          <w:rFonts w:hint="eastAsia" w:ascii="宋体" w:hAnsi="宋体" w:eastAsia="宋体" w:cs="宋体"/>
          <w:lang w:val="en-US" w:eastAsia="zh-CN"/>
        </w:rPr>
        <w:t>9</w:t>
      </w:r>
      <w:r>
        <w:rPr>
          <w:rFonts w:hint="eastAsia"/>
          <w:lang w:val="en-US" w:eastAsia="zh-CN"/>
        </w:rPr>
        <w:t xml:space="preserve"> 微生物菌剂调控 . . . . . . . . . . . . . . . . . . . . . . . . . . . . . . . . . . . . . . . . . . . . . . . . . . . . . . . . . . . . . . . . . . . . . . . . . .</w:t>
      </w:r>
      <w:r>
        <w:rPr>
          <w:rFonts w:hint="eastAsia" w:ascii="宋体" w:hAnsi="宋体" w:eastAsia="宋体" w:cs="宋体"/>
          <w:lang w:val="en-US" w:eastAsia="zh-CN"/>
        </w:rPr>
        <w:t xml:space="preserve"> </w:t>
      </w:r>
      <w:r>
        <w:rPr>
          <w:rFonts w:hint="eastAsia" w:ascii="宋体" w:hAnsi="宋体" w:cs="宋体"/>
          <w:lang w:val="en-US" w:eastAsia="zh-CN"/>
        </w:rPr>
        <w:t>2</w:t>
      </w:r>
    </w:p>
    <w:p>
      <w:pPr>
        <w:rPr>
          <w:rFonts w:hint="default"/>
          <w:lang w:val="en-US" w:eastAsia="zh-CN"/>
        </w:rPr>
      </w:pPr>
      <w:r>
        <w:rPr>
          <w:rFonts w:hint="eastAsia" w:ascii="宋体" w:hAnsi="宋体" w:eastAsia="宋体" w:cs="宋体"/>
          <w:lang w:val="en-US" w:eastAsia="zh-CN"/>
        </w:rPr>
        <w:t>10</w:t>
      </w:r>
      <w:r>
        <w:rPr>
          <w:rFonts w:hint="eastAsia"/>
          <w:lang w:val="en-US" w:eastAsia="zh-CN"/>
        </w:rPr>
        <w:t xml:space="preserve"> 田间定点精准防控 . . . . . . . . . . . . . . . . . . . . . . . . . . . . . . . . . . . . . . . . . . . . . . . . . . . . . . . . . . . . . . . . . . . . . . . </w:t>
      </w:r>
      <w:r>
        <w:rPr>
          <w:rFonts w:hint="eastAsia" w:ascii="宋体" w:hAnsi="宋体" w:cs="宋体"/>
          <w:lang w:val="en-US" w:eastAsia="zh-CN"/>
        </w:rPr>
        <w:t>2</w:t>
      </w:r>
    </w:p>
    <w:p>
      <w:pPr>
        <w:rPr>
          <w:rFonts w:hint="default"/>
          <w:lang w:val="en-US" w:eastAsia="zh-CN"/>
        </w:rPr>
      </w:pPr>
      <w:r>
        <w:rPr>
          <w:rFonts w:hint="eastAsia" w:ascii="宋体" w:hAnsi="宋体" w:eastAsia="宋体" w:cs="宋体"/>
          <w:lang w:val="en-US" w:eastAsia="zh-CN"/>
        </w:rPr>
        <w:t xml:space="preserve">11 </w:t>
      </w:r>
      <w:r>
        <w:rPr>
          <w:rFonts w:hint="eastAsia"/>
          <w:lang w:val="en-US" w:eastAsia="zh-CN"/>
        </w:rPr>
        <w:t>病虫害防治 . . . . . . . . . . . . . . . . . . . . . . . . . . . . . . . . . . . . . . . . . . . . . . . . . . . . . . . . . . . . . . . . . . . . . . . . . . . . .</w:t>
      </w:r>
      <w:r>
        <w:rPr>
          <w:rFonts w:hint="eastAsia" w:ascii="宋体" w:hAnsi="宋体" w:eastAsia="宋体" w:cs="宋体"/>
          <w:lang w:val="en-US" w:eastAsia="zh-CN"/>
        </w:rPr>
        <w:t xml:space="preserve"> </w:t>
      </w:r>
      <w:r>
        <w:rPr>
          <w:rFonts w:hint="eastAsia" w:ascii="宋体" w:hAnsi="宋体" w:cs="宋体"/>
          <w:lang w:val="en-US" w:eastAsia="zh-CN"/>
        </w:rPr>
        <w:t>3</w:t>
      </w:r>
    </w:p>
    <w:p>
      <w:pPr>
        <w:rPr>
          <w:rFonts w:hint="eastAsia" w:ascii="宋体" w:hAnsi="宋体" w:eastAsia="宋体" w:cs="宋体"/>
          <w:lang w:val="en-US" w:eastAsia="zh-CN"/>
        </w:rPr>
      </w:pPr>
      <w:r>
        <w:rPr>
          <w:rFonts w:hint="eastAsia" w:ascii="宋体" w:hAnsi="宋体" w:eastAsia="宋体" w:cs="宋体"/>
          <w:lang w:val="en-US" w:eastAsia="zh-CN"/>
        </w:rPr>
        <w:t xml:space="preserve">12 </w:t>
      </w:r>
      <w:r>
        <w:rPr>
          <w:rFonts w:hint="eastAsia"/>
          <w:lang w:val="en-US" w:eastAsia="zh-CN"/>
        </w:rPr>
        <w:t xml:space="preserve">档案管理 . . . . . . . . . . . . . . . . . . . . . . . . . . . . . . . . . . . . . . . . . . . . . . . . . . . . . . . . . . . . . . . . . . . . . . . . . . . . . . . </w:t>
      </w:r>
      <w:r>
        <w:rPr>
          <w:rFonts w:hint="eastAsia" w:ascii="宋体" w:hAnsi="宋体" w:cs="宋体"/>
          <w:lang w:val="en-US" w:eastAsia="zh-CN"/>
        </w:rPr>
        <w:t>3</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"_Toc145248679" </w:instrText>
      </w:r>
      <w:r>
        <w:fldChar w:fldCharType="separate"/>
      </w:r>
      <w:r>
        <w:rPr>
          <w:rStyle w:val="32"/>
          <w:spacing w:val="100"/>
        </w:rPr>
        <w:t>附录A</w:t>
      </w:r>
      <w:r>
        <w:rPr>
          <w:rStyle w:val="32"/>
        </w:rPr>
        <w:t xml:space="preserve"> （规范性） </w:t>
      </w:r>
      <w:r>
        <w:rPr>
          <w:rStyle w:val="32"/>
          <w:rFonts w:hint="eastAsia"/>
          <w:lang w:val="en-US" w:eastAsia="zh-CN"/>
        </w:rPr>
        <w:t>生姜主要病虫害</w:t>
      </w:r>
      <w:r>
        <w:rPr>
          <w:rStyle w:val="32"/>
        </w:rPr>
        <w:t>防治方法及农药安全间隔期</w:t>
      </w:r>
      <w:r>
        <w:tab/>
      </w:r>
      <w:r>
        <w:rPr>
          <w:rFonts w:hint="eastAsia"/>
          <w:lang w:val="en-US" w:eastAsia="zh-CN"/>
        </w:rPr>
        <w:t>4</w:t>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"_Toc145248680" </w:instrText>
      </w:r>
      <w:r>
        <w:fldChar w:fldCharType="separate"/>
      </w:r>
      <w:r>
        <w:rPr>
          <w:rStyle w:val="32"/>
          <w:spacing w:val="100"/>
        </w:rPr>
        <w:t>附录B</w:t>
      </w:r>
      <w:r>
        <w:rPr>
          <w:rStyle w:val="32"/>
        </w:rPr>
        <w:t xml:space="preserve"> （资料性） 档案管理</w:t>
      </w:r>
      <w:r>
        <w:tab/>
      </w:r>
      <w:r>
        <w:fldChar w:fldCharType="begin"/>
      </w:r>
      <w:r>
        <w:instrText xml:space="preserve"> PAGEREF _Toc145248680 \h </w:instrText>
      </w:r>
      <w:r>
        <w:fldChar w:fldCharType="separate"/>
      </w:r>
      <w:r>
        <w:t>5</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2" w:name="_Toc145248671"/>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请注意本文件的某些内容可能涉及专利。本文件的发布机构不承担识别这些专利的责任。</w:t>
      </w:r>
    </w:p>
    <w:p>
      <w:pPr>
        <w:pStyle w:val="56"/>
        <w:ind w:firstLine="420"/>
      </w:pPr>
      <w:r>
        <w:rPr>
          <w:rFonts w:hint="eastAsia"/>
        </w:rPr>
        <w:t>本文件由湖南省农业农村厅提出。</w:t>
      </w:r>
    </w:p>
    <w:p>
      <w:pPr>
        <w:pStyle w:val="56"/>
        <w:ind w:firstLine="420"/>
      </w:pPr>
      <w:r>
        <w:rPr>
          <w:rFonts w:hint="eastAsia"/>
        </w:rPr>
        <w:t>本文件由湖南省农业标准化技术委员会归口。</w:t>
      </w:r>
    </w:p>
    <w:p>
      <w:pPr>
        <w:pStyle w:val="56"/>
        <w:ind w:firstLine="420"/>
      </w:pPr>
      <w:r>
        <w:rPr>
          <w:rFonts w:hint="eastAsia"/>
        </w:rPr>
        <w:t>本文件起草单位：湖南省农业生物技术研究所、</w:t>
      </w:r>
      <w:bookmarkStart w:id="24" w:name="_Hlk145325877"/>
      <w:r>
        <w:rPr>
          <w:rFonts w:hint="eastAsia"/>
          <w:lang w:val="en-US" w:eastAsia="zh-CN"/>
        </w:rPr>
        <w:t>汝城县农业农村局</w:t>
      </w:r>
      <w:r>
        <w:rPr>
          <w:rFonts w:hint="eastAsia"/>
        </w:rPr>
        <w:t>、</w:t>
      </w:r>
      <w:bookmarkEnd w:id="24"/>
      <w:r>
        <w:rPr>
          <w:rFonts w:hint="eastAsia"/>
          <w:lang w:val="en-US" w:eastAsia="zh-CN"/>
        </w:rPr>
        <w:t>洪江市农业农村局</w:t>
      </w:r>
      <w:r>
        <w:rPr>
          <w:rFonts w:hint="eastAsia"/>
        </w:rPr>
        <w:t>、</w:t>
      </w:r>
      <w:r>
        <w:rPr>
          <w:rFonts w:hint="eastAsia"/>
          <w:lang w:val="en-US" w:eastAsia="zh-CN"/>
        </w:rPr>
        <w:t>麻阳苗族自治县农业农村局</w:t>
      </w:r>
      <w:r>
        <w:rPr>
          <w:rFonts w:hint="eastAsia"/>
        </w:rPr>
        <w:t>。</w:t>
      </w:r>
    </w:p>
    <w:p>
      <w:pPr>
        <w:pStyle w:val="56"/>
        <w:ind w:firstLine="420"/>
        <w:rPr>
          <w:rFonts w:hint="default" w:eastAsia="宋体"/>
          <w:lang w:val="en-US" w:eastAsia="zh-CN"/>
        </w:rPr>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w:t>
      </w:r>
      <w:r>
        <w:rPr>
          <w:rFonts w:hint="eastAsia"/>
          <w:lang w:val="en-US" w:eastAsia="zh-CN"/>
        </w:rPr>
        <w:t>满益龙</w:t>
      </w:r>
      <w:r>
        <w:rPr>
          <w:rFonts w:hint="eastAsia"/>
        </w:rPr>
        <w:t>、周小毛、</w:t>
      </w:r>
      <w:r>
        <w:rPr>
          <w:rFonts w:hint="eastAsia"/>
          <w:lang w:val="en-US" w:eastAsia="zh-CN"/>
        </w:rPr>
        <w:t>刘佳</w:t>
      </w:r>
      <w:r>
        <w:rPr>
          <w:rFonts w:hint="eastAsia"/>
        </w:rPr>
        <w:t>、</w:t>
      </w:r>
      <w:r>
        <w:rPr>
          <w:rFonts w:hint="eastAsia"/>
          <w:lang w:val="en-US" w:eastAsia="zh-CN"/>
        </w:rPr>
        <w:t>周勇</w:t>
      </w:r>
      <w:r>
        <w:rPr>
          <w:rFonts w:hint="eastAsia"/>
        </w:rPr>
        <w:t>、马海昊、刘哲铭、朱航、张城嘉、谭奇美</w:t>
      </w:r>
      <w:r>
        <w:rPr>
          <w:rFonts w:hint="eastAsia"/>
          <w:lang w:eastAsia="zh-CN"/>
        </w:rPr>
        <w:t>、</w:t>
      </w:r>
      <w:r>
        <w:rPr>
          <w:rFonts w:hint="eastAsia"/>
          <w:lang w:val="en-US" w:eastAsia="zh-CN"/>
        </w:rPr>
        <w:t>彭伟正、范胜平、唐亮、周亚林、刘斌、舒服、李虹轩。</w:t>
      </w:r>
    </w:p>
    <w:bookmarkEnd w:id="23"/>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FD8A5313913D4E5B8A2C98249E5F290F"/>
        </w:placeholder>
      </w:sdtPr>
      <w:sdtContent>
        <w:p>
          <w:pPr>
            <w:pStyle w:val="177"/>
            <w:spacing w:before="3" w:beforeLines="1" w:after="686" w:afterLines="220"/>
          </w:pPr>
          <w:bookmarkStart w:id="26" w:name="NEW_STAND_NAME"/>
          <w:r>
            <w:rPr>
              <w:rFonts w:hint="eastAsia"/>
              <w:lang w:val="en-US" w:eastAsia="zh-CN"/>
            </w:rPr>
            <w:t>生姜连作障碍消减</w:t>
          </w:r>
          <w:r>
            <w:rPr>
              <w:rFonts w:hint="eastAsia"/>
            </w:rPr>
            <w:t>技术规程</w:t>
          </w:r>
        </w:p>
      </w:sdtContent>
    </w:sdt>
    <w:bookmarkEnd w:id="26"/>
    <w:p>
      <w:pPr>
        <w:pStyle w:val="104"/>
        <w:spacing w:before="312" w:after="312"/>
      </w:pPr>
      <w:bookmarkStart w:id="27" w:name="_Toc26648465"/>
      <w:bookmarkStart w:id="28" w:name="_Toc26986530"/>
      <w:bookmarkStart w:id="29" w:name="_Toc97191423"/>
      <w:bookmarkStart w:id="30" w:name="_Toc17233333"/>
      <w:bookmarkStart w:id="31" w:name="_Toc24884218"/>
      <w:bookmarkStart w:id="32" w:name="_Toc26718930"/>
      <w:bookmarkStart w:id="33" w:name="_Toc17233325"/>
      <w:bookmarkStart w:id="34" w:name="_Toc24884211"/>
      <w:bookmarkStart w:id="35" w:name="_Toc26986771"/>
      <w:bookmarkStart w:id="36" w:name="_Toc145248672"/>
      <w:r>
        <w:rPr>
          <w:rFonts w:hint="eastAsia"/>
        </w:rPr>
        <w:t>范围</w:t>
      </w:r>
      <w:bookmarkEnd w:id="27"/>
      <w:bookmarkEnd w:id="28"/>
      <w:bookmarkEnd w:id="29"/>
      <w:bookmarkEnd w:id="30"/>
      <w:bookmarkEnd w:id="31"/>
      <w:bookmarkEnd w:id="32"/>
      <w:bookmarkEnd w:id="33"/>
      <w:bookmarkEnd w:id="34"/>
      <w:bookmarkEnd w:id="35"/>
      <w:bookmarkEnd w:id="36"/>
      <w:bookmarkStart w:id="57" w:name="_GoBack"/>
      <w:bookmarkEnd w:id="57"/>
    </w:p>
    <w:p>
      <w:pPr>
        <w:pStyle w:val="56"/>
        <w:ind w:firstLine="420"/>
        <w:rPr>
          <w:rFonts w:hint="eastAsia"/>
        </w:rPr>
      </w:pPr>
      <w:bookmarkStart w:id="37" w:name="_Toc24884212"/>
      <w:bookmarkStart w:id="38" w:name="_Toc24884219"/>
      <w:bookmarkStart w:id="39" w:name="_Toc17233326"/>
      <w:bookmarkStart w:id="40" w:name="_Toc26648466"/>
      <w:bookmarkStart w:id="41" w:name="_Toc17233334"/>
      <w:r>
        <w:rPr>
          <w:rFonts w:hint="eastAsia"/>
        </w:rPr>
        <w:t>本文件规定了生姜连作障碍消减技术的总体要求、地块选择、深耕整地、土壤消毒处理、合理施基肥和培土施肥、姜种选择与消毒处理、微生物菌剂调控、田间定点精准防控、病虫害防治、档案管理等内容。</w:t>
      </w:r>
    </w:p>
    <w:p>
      <w:pPr>
        <w:pStyle w:val="56"/>
        <w:ind w:firstLine="420"/>
        <w:rPr>
          <w:rFonts w:hint="eastAsia"/>
          <w:sz w:val="18"/>
          <w:szCs w:val="16"/>
        </w:rPr>
      </w:pPr>
      <w:r>
        <w:rPr>
          <w:rFonts w:hint="eastAsia"/>
          <w:sz w:val="21"/>
          <w:szCs w:val="16"/>
        </w:rPr>
        <w:t>本文件适用于湖南地区生姜连作障碍消减。</w:t>
      </w:r>
    </w:p>
    <w:p>
      <w:pPr>
        <w:pStyle w:val="104"/>
        <w:spacing w:before="312" w:after="312"/>
      </w:pPr>
      <w:bookmarkStart w:id="42" w:name="_Toc26986531"/>
      <w:bookmarkStart w:id="43" w:name="_Toc26986772"/>
      <w:bookmarkStart w:id="44" w:name="_Toc97191424"/>
      <w:bookmarkStart w:id="45" w:name="_Toc145248673"/>
      <w:bookmarkStart w:id="46" w:name="_Toc26718931"/>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337FD91D1C041ACB97A92944C0086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rPr>
          <w:rFonts w:hint="eastAsia" w:ascii="Times New Roman" w:hAnsi="Times New Roman"/>
        </w:rPr>
      </w:pPr>
      <w:r>
        <w:rPr>
          <w:rFonts w:hint="eastAsia" w:ascii="Times New Roman" w:hAnsi="Times New Roman"/>
        </w:rPr>
        <w:t>GB 3095    环境空气质量标准</w:t>
      </w:r>
    </w:p>
    <w:p>
      <w:pPr>
        <w:pStyle w:val="231"/>
        <w:rPr>
          <w:rFonts w:hint="eastAsia" w:ascii="Times New Roman" w:hAnsi="Times New Roman"/>
        </w:rPr>
      </w:pPr>
      <w:r>
        <w:rPr>
          <w:rFonts w:hint="eastAsia" w:ascii="Times New Roman" w:hAnsi="Times New Roman"/>
        </w:rPr>
        <w:t>GB 15618   土壤环境质量标准农用地土壤污染风险管理标准（试行）</w:t>
      </w:r>
    </w:p>
    <w:p>
      <w:pPr>
        <w:pStyle w:val="231"/>
        <w:rPr>
          <w:rFonts w:hint="eastAsia" w:ascii="Times New Roman" w:hAnsi="Times New Roman"/>
        </w:rPr>
      </w:pPr>
      <w:r>
        <w:rPr>
          <w:rFonts w:hint="eastAsia" w:ascii="Times New Roman" w:hAnsi="Times New Roman"/>
        </w:rPr>
        <w:t>GB 5084    农田灌溉水质标准</w:t>
      </w:r>
    </w:p>
    <w:p>
      <w:pPr>
        <w:pStyle w:val="231"/>
      </w:pPr>
      <w:r>
        <w:rPr>
          <w:rFonts w:hint="eastAsia" w:ascii="Times New Roman" w:hAnsi="Times New Roman"/>
        </w:rPr>
        <w:t>GB 4285</w:t>
      </w:r>
      <w:r>
        <w:rPr>
          <w:rFonts w:ascii="Times New Roman" w:hAnsi="Times New Roman"/>
        </w:rPr>
        <w:t xml:space="preserve"> </w:t>
      </w:r>
      <w:r>
        <w:t xml:space="preserve">   </w:t>
      </w:r>
      <w:r>
        <w:rPr>
          <w:rFonts w:hint="eastAsia"/>
        </w:rPr>
        <w:t>农药安全使用标准</w:t>
      </w:r>
    </w:p>
    <w:p>
      <w:pPr>
        <w:pStyle w:val="56"/>
        <w:ind w:firstLine="420"/>
        <w:rPr>
          <w:rFonts w:hint="eastAsia" w:ascii="Times New Roman" w:eastAsia="宋体"/>
          <w:lang w:eastAsia="zh-CN"/>
        </w:rPr>
      </w:pPr>
      <w:r>
        <w:rPr>
          <w:rFonts w:ascii="Times New Roman"/>
        </w:rPr>
        <w:t>GB/T 8321  农药合理使用准则</w:t>
      </w:r>
      <w:r>
        <w:rPr>
          <w:rFonts w:hint="eastAsia" w:ascii="Times New Roman"/>
          <w:lang w:eastAsia="zh-CN"/>
        </w:rPr>
        <w:t>（</w:t>
      </w:r>
      <w:r>
        <w:rPr>
          <w:rFonts w:ascii="Times New Roman"/>
        </w:rPr>
        <w:t>所有部分</w:t>
      </w:r>
      <w:r>
        <w:rPr>
          <w:rFonts w:hint="eastAsia" w:ascii="Times New Roman"/>
          <w:lang w:eastAsia="zh-CN"/>
        </w:rPr>
        <w:t>）</w:t>
      </w:r>
    </w:p>
    <w:p>
      <w:pPr>
        <w:pStyle w:val="56"/>
        <w:ind w:firstLine="420"/>
      </w:pPr>
      <w:r>
        <w:rPr>
          <w:rFonts w:ascii="Times New Roman"/>
        </w:rPr>
        <w:t>NY/T 1276  农</w:t>
      </w:r>
      <w:r>
        <w:rPr>
          <w:rFonts w:hint="eastAsia"/>
        </w:rPr>
        <w:t>药安全使用规范总则</w:t>
      </w:r>
    </w:p>
    <w:p>
      <w:pPr>
        <w:pStyle w:val="56"/>
        <w:ind w:firstLine="420"/>
        <w:rPr>
          <w:rFonts w:hint="eastAsia" w:ascii="Times New Roman"/>
        </w:rPr>
      </w:pPr>
      <w:r>
        <w:rPr>
          <w:rFonts w:ascii="Times New Roman"/>
        </w:rPr>
        <w:t xml:space="preserve">NY/T 393   </w:t>
      </w:r>
      <w:r>
        <w:rPr>
          <w:rFonts w:hint="eastAsia" w:ascii="Times New Roman"/>
        </w:rPr>
        <w:t>绿色食品农药使用准则</w:t>
      </w:r>
    </w:p>
    <w:p>
      <w:pPr>
        <w:pStyle w:val="104"/>
        <w:spacing w:before="312" w:after="312"/>
      </w:pPr>
      <w:bookmarkStart w:id="47" w:name="_Toc145248674"/>
      <w:bookmarkStart w:id="48" w:name="_Toc97191425"/>
      <w:r>
        <w:rPr>
          <w:rFonts w:hint="eastAsia"/>
          <w:szCs w:val="21"/>
        </w:rPr>
        <w:t>术语和定义</w:t>
      </w:r>
      <w:bookmarkEnd w:id="47"/>
      <w:bookmarkEnd w:id="48"/>
    </w:p>
    <w:sdt>
      <w:sdtPr>
        <w:id w:val="-1909835108"/>
        <w:placeholder>
          <w:docPart w:val="59D38EF67DEC420382851475F2EDD9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223"/>
        <w:ind w:left="420" w:hanging="420" w:hangingChars="200"/>
        <w:rPr>
          <w:rFonts w:ascii="Times New Roman"/>
          <w:bCs/>
        </w:rPr>
      </w:pPr>
      <w:r>
        <w:rPr>
          <w:rFonts w:ascii="黑体" w:hAnsi="黑体" w:eastAsia="黑体"/>
        </w:rPr>
        <w:br w:type="textWrapping"/>
      </w:r>
      <w:r>
        <w:rPr>
          <w:rFonts w:hint="eastAsia" w:ascii="黑体" w:eastAsia="黑体"/>
          <w:bCs/>
          <w:lang w:val="en-US" w:eastAsia="zh-CN"/>
        </w:rPr>
        <w:t>连作障碍</w:t>
      </w:r>
      <w:r>
        <w:rPr>
          <w:rFonts w:hint="eastAsia" w:ascii="黑体" w:hAnsi="黑体" w:eastAsia="黑体"/>
        </w:rPr>
        <w:t xml:space="preserve"> </w:t>
      </w:r>
      <w:r>
        <w:rPr>
          <w:rFonts w:hint="eastAsia" w:ascii="Times New Roman"/>
          <w:bCs/>
        </w:rPr>
        <w:t xml:space="preserve">Continuous </w:t>
      </w:r>
      <w:r>
        <w:rPr>
          <w:rFonts w:hint="eastAsia" w:ascii="Times New Roman"/>
          <w:bCs/>
          <w:lang w:val="en-US" w:eastAsia="zh-CN"/>
        </w:rPr>
        <w:t>C</w:t>
      </w:r>
      <w:r>
        <w:rPr>
          <w:rFonts w:hint="eastAsia" w:ascii="Times New Roman"/>
          <w:bCs/>
        </w:rPr>
        <w:t xml:space="preserve">ropping </w:t>
      </w:r>
      <w:r>
        <w:rPr>
          <w:rFonts w:hint="eastAsia" w:ascii="Times New Roman"/>
          <w:bCs/>
          <w:lang w:val="en-US" w:eastAsia="zh-CN"/>
        </w:rPr>
        <w:t>Obstacle</w:t>
      </w:r>
    </w:p>
    <w:p>
      <w:pPr>
        <w:pStyle w:val="56"/>
        <w:ind w:firstLine="420"/>
      </w:pPr>
    </w:p>
    <w:p>
      <w:pPr>
        <w:pStyle w:val="56"/>
        <w:ind w:firstLine="420"/>
      </w:pPr>
      <w:r>
        <w:rPr>
          <w:rFonts w:hint="eastAsia"/>
        </w:rPr>
        <w:t>指生姜连续种植2年以上土壤养分异常积累或片面消耗，土壤微生物种群结构失衡，化感物质积累，病原微生物迅速繁衍，病虫草害加重，从而导致生姜植株生长不良和产量、品质降低的现象。</w:t>
      </w:r>
    </w:p>
    <w:p>
      <w:pPr>
        <w:pStyle w:val="104"/>
        <w:spacing w:before="312" w:after="312"/>
      </w:pPr>
      <w:r>
        <w:rPr>
          <w:rFonts w:hint="eastAsia"/>
          <w:lang w:val="en-US" w:eastAsia="zh-CN"/>
        </w:rPr>
        <w:t>总体要求</w:t>
      </w:r>
    </w:p>
    <w:p>
      <w:pPr>
        <w:pStyle w:val="56"/>
      </w:pPr>
      <w:r>
        <w:rPr>
          <w:rFonts w:hint="eastAsia"/>
        </w:rPr>
        <w:t>以选用健壮优良生姜种球为基础，通过地块选择、深耕整地、土壤消毒处理、合理施基肥和培土施肥、姜种消毒处理、微生物菌剂调控、田间定点精准防控、病虫害防治等技术措施，消减连作障碍，提高连作生姜的产量和品质。</w:t>
      </w:r>
    </w:p>
    <w:p>
      <w:pPr>
        <w:pStyle w:val="104"/>
        <w:numPr>
          <w:ilvl w:val="1"/>
          <w:numId w:val="0"/>
        </w:numPr>
        <w:spacing w:before="312" w:after="312"/>
        <w:ind w:leftChars="0"/>
        <w:rPr>
          <w:rFonts w:hint="default"/>
          <w:lang w:val="en-US" w:eastAsia="zh-CN"/>
        </w:rPr>
      </w:pPr>
      <w:bookmarkStart w:id="50" w:name="_Toc41369805"/>
      <w:bookmarkStart w:id="51" w:name="_Toc41370392"/>
      <w:r>
        <w:rPr>
          <w:rFonts w:hint="default"/>
          <w:lang w:val="en-US" w:eastAsia="zh-CN"/>
        </w:rPr>
        <w:t xml:space="preserve">5 </w:t>
      </w:r>
      <w:r>
        <w:rPr>
          <w:rFonts w:hint="eastAsia"/>
          <w:lang w:val="en-US" w:eastAsia="zh-CN"/>
        </w:rPr>
        <w:t>地块选择</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选择连续种植</w:t>
      </w:r>
      <w:r>
        <w:rPr>
          <w:rFonts w:hint="default" w:ascii="Times New Roman" w:hAnsi="Times New Roman" w:eastAsia="宋体" w:cs="Times New Roman"/>
          <w:kern w:val="2"/>
          <w:sz w:val="21"/>
          <w:szCs w:val="21"/>
          <w:lang w:val="en-US" w:eastAsia="zh-CN" w:bidi="ar"/>
        </w:rPr>
        <w:t>1~2茬或近3~5</w:t>
      </w:r>
      <w:r>
        <w:rPr>
          <w:rFonts w:hint="eastAsia" w:ascii="宋体" w:hAnsi="宋体" w:eastAsia="宋体" w:cs="宋体"/>
          <w:kern w:val="2"/>
          <w:sz w:val="21"/>
          <w:szCs w:val="21"/>
          <w:lang w:val="en-US" w:eastAsia="zh-CN" w:bidi="ar"/>
        </w:rPr>
        <w:t>年内种植过一茬生姜或生姜同科属植物的地块。</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5.1 </w:t>
      </w:r>
      <w:r>
        <w:rPr>
          <w:rFonts w:hint="eastAsia" w:ascii="黑体" w:hAnsi="Times New Roman" w:eastAsia="黑体" w:cs="Times New Roman"/>
          <w:kern w:val="0"/>
          <w:sz w:val="21"/>
          <w:szCs w:val="20"/>
          <w:lang w:val="en-US" w:eastAsia="zh-CN" w:bidi="ar-SA"/>
        </w:rPr>
        <w:t>生态条件</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地块产地生态条件应符合所种生姜品种对应</w:t>
      </w:r>
      <w:r>
        <w:rPr>
          <w:rFonts w:hint="eastAsia" w:ascii="宋体" w:hAnsi="宋体" w:cs="宋体"/>
          <w:kern w:val="2"/>
          <w:sz w:val="21"/>
          <w:szCs w:val="21"/>
          <w:lang w:val="en-US" w:eastAsia="zh-CN" w:bidi="ar"/>
        </w:rPr>
        <w:t>要求</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5.2 </w:t>
      </w:r>
      <w:r>
        <w:rPr>
          <w:rFonts w:hint="eastAsia" w:ascii="黑体" w:hAnsi="Times New Roman" w:eastAsia="黑体" w:cs="Times New Roman"/>
          <w:kern w:val="0"/>
          <w:sz w:val="21"/>
          <w:szCs w:val="20"/>
          <w:lang w:val="en-US" w:eastAsia="zh-CN" w:bidi="ar-SA"/>
        </w:rPr>
        <w:t>环境条件</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空气条件应符合</w:t>
      </w:r>
      <w:r>
        <w:rPr>
          <w:rFonts w:hint="default" w:ascii="Times New Roman" w:hAnsi="Times New Roman" w:eastAsia="宋体" w:cs="Times New Roman"/>
          <w:kern w:val="2"/>
          <w:sz w:val="21"/>
          <w:szCs w:val="21"/>
          <w:lang w:val="en-US" w:eastAsia="zh-CN" w:bidi="ar"/>
        </w:rPr>
        <w:t>GB 3095要求。</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土壤质量应符合GB 15618要求。</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宋体" w:hAnsi="宋体" w:eastAsia="宋体" w:cs="宋体"/>
          <w:kern w:val="2"/>
          <w:sz w:val="21"/>
          <w:szCs w:val="21"/>
          <w:lang w:val="en-US" w:eastAsia="zh-CN" w:bidi="ar"/>
        </w:rPr>
      </w:pPr>
      <w:r>
        <w:rPr>
          <w:rFonts w:hint="default" w:ascii="Times New Roman" w:hAnsi="Times New Roman" w:eastAsia="宋体" w:cs="Times New Roman"/>
          <w:kern w:val="2"/>
          <w:sz w:val="21"/>
          <w:szCs w:val="21"/>
          <w:lang w:val="en-US" w:eastAsia="zh-CN" w:bidi="ar"/>
        </w:rPr>
        <w:t>灌溉用水水质应符合GB 5084要求</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6 </w:t>
      </w:r>
      <w:r>
        <w:rPr>
          <w:rFonts w:hint="eastAsia" w:ascii="黑体" w:hAnsi="Times New Roman" w:eastAsia="黑体" w:cs="Times New Roman"/>
          <w:kern w:val="0"/>
          <w:sz w:val="21"/>
          <w:szCs w:val="20"/>
          <w:lang w:val="en-US" w:eastAsia="zh-CN" w:bidi="ar-SA"/>
        </w:rPr>
        <w:t>深耕整地</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6.1 </w:t>
      </w:r>
      <w:r>
        <w:rPr>
          <w:rFonts w:hint="eastAsia" w:ascii="黑体" w:hAnsi="Times New Roman" w:eastAsia="黑体" w:cs="Times New Roman"/>
          <w:kern w:val="0"/>
          <w:sz w:val="21"/>
          <w:szCs w:val="20"/>
          <w:lang w:val="en-US" w:eastAsia="zh-CN" w:bidi="ar-SA"/>
        </w:rPr>
        <w:t>清杂</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前作收获后，及时清除地表前作残茬，清理田间杂草、杂物。</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6.2 </w:t>
      </w:r>
      <w:r>
        <w:rPr>
          <w:rFonts w:hint="eastAsia" w:ascii="黑体" w:hAnsi="Times New Roman" w:eastAsia="黑体" w:cs="Times New Roman"/>
          <w:kern w:val="0"/>
          <w:sz w:val="21"/>
          <w:szCs w:val="20"/>
          <w:lang w:val="en-US" w:eastAsia="zh-CN" w:bidi="ar-SA"/>
        </w:rPr>
        <w:t>深耕晒土</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选晴天土壤较干时，</w:t>
      </w:r>
      <w:r>
        <w:rPr>
          <w:rFonts w:hint="default" w:ascii="Times New Roman" w:hAnsi="Times New Roman" w:eastAsia="宋体" w:cs="Times New Roman"/>
          <w:kern w:val="2"/>
          <w:sz w:val="21"/>
          <w:szCs w:val="21"/>
          <w:lang w:val="en-US" w:eastAsia="zh-CN" w:bidi="ar"/>
        </w:rPr>
        <w:t>深翻土壤25</w:t>
      </w:r>
      <w:r>
        <w:rPr>
          <w:rFonts w:hint="eastAsia" w:ascii="Times New Roman" w:hAnsi="Times New Roman"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cm以上，翻耕后晒土3 d~7 d</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7 </w:t>
      </w:r>
      <w:r>
        <w:rPr>
          <w:rFonts w:hint="eastAsia" w:ascii="黑体" w:hAnsi="Times New Roman" w:eastAsia="黑体" w:cs="Times New Roman"/>
          <w:kern w:val="0"/>
          <w:sz w:val="21"/>
          <w:szCs w:val="20"/>
          <w:lang w:val="en-US" w:eastAsia="zh-CN" w:bidi="ar-SA"/>
        </w:rPr>
        <w:t>土壤消毒处理</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7.1 </w:t>
      </w:r>
      <w:r>
        <w:rPr>
          <w:rFonts w:hint="eastAsia" w:ascii="黑体" w:hAnsi="Times New Roman" w:eastAsia="黑体" w:cs="Times New Roman"/>
          <w:kern w:val="0"/>
          <w:sz w:val="21"/>
          <w:szCs w:val="20"/>
          <w:lang w:val="en-US" w:eastAsia="zh-CN" w:bidi="ar-SA"/>
        </w:rPr>
        <w:t>农业措施消毒处理</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在土壤翻耕前，每亩撒施生石灰</w:t>
      </w:r>
      <w:r>
        <w:rPr>
          <w:rFonts w:hint="default" w:ascii="Times New Roman" w:hAnsi="Times New Roman" w:eastAsia="宋体" w:cs="Times New Roman"/>
          <w:kern w:val="2"/>
          <w:sz w:val="21"/>
          <w:szCs w:val="21"/>
          <w:lang w:val="en-US" w:eastAsia="zh-CN" w:bidi="ar"/>
        </w:rPr>
        <w:t>70 Kg~100 Kg。选择夏秋高温炎热季节，深翻土壤，覆膜压实，闷晒10 d以上。</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7.2 </w:t>
      </w:r>
      <w:r>
        <w:rPr>
          <w:rFonts w:hint="eastAsia" w:ascii="黑体" w:hAnsi="Times New Roman" w:eastAsia="黑体" w:cs="Times New Roman"/>
          <w:kern w:val="0"/>
          <w:sz w:val="21"/>
          <w:szCs w:val="20"/>
          <w:lang w:val="en-US" w:eastAsia="zh-CN" w:bidi="ar-SA"/>
        </w:rPr>
        <w:t>化学消毒处理</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可使用棉隆、威百亩、异硫氰酸烯丙酯、石灰氮+氯尿·硫酸铜等土壤消毒剂进行化学消毒。使用石灰氮+氯尿硫酸铜前，先灌水使土壤含水量达到75%左右，用旋耕机深翻土壤30</w:t>
      </w:r>
      <w:r>
        <w:rPr>
          <w:rFonts w:hint="eastAsia" w:ascii="Times New Roman" w:hAnsi="Times New Roman"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cm左右，细碎土粒，均匀撒施石灰氮颗粒剂80 Kg/亩，并拌土撒施52%氯尿·硫酸铜微粒剂10 Kg/亩，用旋耕机混匀，然后立即覆膜，覆膜密闭20 d，消毒结束后揭膜，翻耕30</w:t>
      </w:r>
      <w:r>
        <w:rPr>
          <w:rFonts w:hint="eastAsia" w:ascii="Times New Roman" w:hAnsi="Times New Roman"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cm深度土层，通风散气10 d，可播种或移栽姜苗。</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8 </w:t>
      </w:r>
      <w:r>
        <w:rPr>
          <w:rFonts w:hint="eastAsia" w:ascii="黑体" w:hAnsi="Times New Roman" w:eastAsia="黑体" w:cs="Times New Roman"/>
          <w:kern w:val="0"/>
          <w:sz w:val="21"/>
          <w:szCs w:val="20"/>
          <w:lang w:val="en-US" w:eastAsia="zh-CN" w:bidi="ar-SA"/>
        </w:rPr>
        <w:t>姜种选择与消毒处理</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8.1 </w:t>
      </w:r>
      <w:r>
        <w:rPr>
          <w:rFonts w:hint="eastAsia" w:ascii="黑体" w:hAnsi="Times New Roman" w:eastAsia="黑体" w:cs="Times New Roman"/>
          <w:kern w:val="0"/>
          <w:sz w:val="21"/>
          <w:szCs w:val="20"/>
          <w:lang w:val="en-US" w:eastAsia="zh-CN" w:bidi="ar-SA"/>
        </w:rPr>
        <w:t>姜种选择</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选用姜块肥大饱满、皮色光亮、肉质新鲜、无病虫害和无机械损伤的姜块做种。</w:t>
      </w:r>
    </w:p>
    <w:p>
      <w:pPr>
        <w:keepNext w:val="0"/>
        <w:keepLines w:val="0"/>
        <w:widowControl w:val="0"/>
        <w:suppressLineNumbers w:val="0"/>
        <w:spacing w:before="0" w:beforeAutospacing="0" w:after="0" w:afterAutospacing="0" w:line="360" w:lineRule="auto"/>
        <w:ind w:left="0" w:right="0"/>
        <w:jc w:val="both"/>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8.2 </w:t>
      </w:r>
      <w:r>
        <w:rPr>
          <w:rFonts w:hint="eastAsia" w:ascii="黑体" w:hAnsi="Times New Roman" w:eastAsia="黑体" w:cs="Times New Roman"/>
          <w:kern w:val="0"/>
          <w:sz w:val="21"/>
          <w:szCs w:val="20"/>
          <w:lang w:val="en-US" w:eastAsia="zh-CN" w:bidi="ar-SA"/>
        </w:rPr>
        <w:t>姜种消毒处理</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每100 Kg清水加入70%甲硫·福美双100 g、50%氯溴异氰尿酸80 g、0.004% 28-高芸苔素内酯37.5 mL、噻虫·高氯氟20 g配成姜种消毒液进行浸种，浸种时间20 min~30 min。</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9 </w:t>
      </w:r>
      <w:r>
        <w:rPr>
          <w:rFonts w:hint="eastAsia" w:ascii="黑体" w:hAnsi="Times New Roman" w:eastAsia="黑体" w:cs="Times New Roman"/>
          <w:kern w:val="0"/>
          <w:sz w:val="21"/>
          <w:szCs w:val="20"/>
          <w:lang w:val="en-US" w:eastAsia="zh-CN" w:bidi="ar-SA"/>
        </w:rPr>
        <w:t>微生物菌剂调控</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在生姜移栽期、生长期施用枯草芽孢杆菌、细黄链霉菌等微生物菌剂调控。</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10 </w:t>
      </w:r>
      <w:r>
        <w:rPr>
          <w:rFonts w:hint="eastAsia" w:ascii="黑体" w:hAnsi="Times New Roman" w:eastAsia="黑体" w:cs="Times New Roman"/>
          <w:kern w:val="0"/>
          <w:sz w:val="21"/>
          <w:szCs w:val="20"/>
          <w:lang w:val="en-US" w:eastAsia="zh-CN" w:bidi="ar-SA"/>
        </w:rPr>
        <w:t>田间定点精准防控</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对于已发病或有极大迹象会发病的生姜植株，应及时挖出病株并将病株及其周围土壤带出大田，在穴内施漂白粉或52% 氯尿</w:t>
      </w:r>
      <w:r>
        <w:rPr>
          <w:rFonts w:hint="default" w:ascii="Times New Roman" w:hAnsi="Times New Roman"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硫酸铜少许。</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 </w:t>
      </w:r>
      <w:r>
        <w:rPr>
          <w:rFonts w:hint="eastAsia" w:ascii="黑体" w:hAnsi="Times New Roman" w:eastAsia="黑体" w:cs="Times New Roman"/>
          <w:kern w:val="0"/>
          <w:sz w:val="21"/>
          <w:szCs w:val="20"/>
          <w:lang w:val="en-US" w:eastAsia="zh-CN" w:bidi="ar-SA"/>
        </w:rPr>
        <w:t>病虫害防治</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11.1 </w:t>
      </w:r>
      <w:r>
        <w:rPr>
          <w:rFonts w:hint="eastAsia" w:ascii="黑体" w:hAnsi="Times New Roman" w:eastAsia="黑体" w:cs="Times New Roman"/>
          <w:kern w:val="0"/>
          <w:sz w:val="21"/>
          <w:szCs w:val="20"/>
          <w:lang w:val="en-US" w:eastAsia="zh-CN" w:bidi="ar-SA"/>
        </w:rPr>
        <w:t>主要病虫害</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主要病害有姜瘟病、茎基腐病、炭疽病、叶枯病等。</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主要虫害有姜螟、斜纹夜蛾、蛴螬等。</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11.2 </w:t>
      </w:r>
      <w:r>
        <w:rPr>
          <w:rFonts w:hint="eastAsia" w:ascii="黑体" w:hAnsi="Times New Roman" w:eastAsia="黑体" w:cs="Times New Roman"/>
          <w:kern w:val="0"/>
          <w:sz w:val="21"/>
          <w:szCs w:val="20"/>
          <w:lang w:val="en-US" w:eastAsia="zh-CN" w:bidi="ar-SA"/>
        </w:rPr>
        <w:t>防治原则</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按照“预防为主、综合防治”的植保方针，坚持以“农业防治、物理防治、生物防治为主，化学防治为辅”的原则。</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11.3 </w:t>
      </w:r>
      <w:r>
        <w:rPr>
          <w:rFonts w:hint="eastAsia" w:ascii="黑体" w:hAnsi="Times New Roman" w:eastAsia="黑体" w:cs="Times New Roman"/>
          <w:kern w:val="0"/>
          <w:sz w:val="21"/>
          <w:szCs w:val="20"/>
          <w:lang w:val="en-US" w:eastAsia="zh-CN" w:bidi="ar-SA"/>
        </w:rPr>
        <w:t>防治措施</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11.3.1 </w:t>
      </w:r>
      <w:r>
        <w:rPr>
          <w:rFonts w:hint="eastAsia" w:ascii="黑体" w:hAnsi="Times New Roman" w:eastAsia="黑体" w:cs="Times New Roman"/>
          <w:kern w:val="0"/>
          <w:sz w:val="21"/>
          <w:szCs w:val="20"/>
          <w:lang w:val="en-US" w:eastAsia="zh-CN" w:bidi="ar-SA"/>
        </w:rPr>
        <w:t>农业防治</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坚持合理轮作，如水旱轮作；注意田园清洁，深耕土壤，减少越冬病原。</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11.3.2 </w:t>
      </w:r>
      <w:r>
        <w:rPr>
          <w:rFonts w:hint="eastAsia" w:ascii="黑体" w:hAnsi="Times New Roman" w:eastAsia="黑体" w:cs="Times New Roman"/>
          <w:kern w:val="0"/>
          <w:sz w:val="21"/>
          <w:szCs w:val="20"/>
          <w:lang w:val="en-US" w:eastAsia="zh-CN" w:bidi="ar-SA"/>
        </w:rPr>
        <w:t>生物防治</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利用枯草芽孢杆菌、细黄链霉菌、绿僵菌、白僵菌等进行生物防治。</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11.3.3 </w:t>
      </w:r>
      <w:r>
        <w:rPr>
          <w:rFonts w:hint="eastAsia" w:ascii="黑体" w:hAnsi="Times New Roman" w:eastAsia="黑体" w:cs="Times New Roman"/>
          <w:kern w:val="0"/>
          <w:sz w:val="21"/>
          <w:szCs w:val="20"/>
          <w:lang w:val="en-US" w:eastAsia="zh-CN" w:bidi="ar-SA"/>
        </w:rPr>
        <w:t>物理防治</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采用杀虫灯或黄板诱杀</w:t>
      </w:r>
      <w:r>
        <w:rPr>
          <w:rFonts w:hint="default" w:ascii="Times New Roman" w:hAnsi="Times New Roman" w:eastAsia="宋体" w:cs="Times New Roman"/>
          <w:kern w:val="2"/>
          <w:sz w:val="21"/>
          <w:szCs w:val="21"/>
          <w:lang w:val="en-US" w:eastAsia="zh-CN" w:bidi="ar"/>
        </w:rPr>
        <w:t>，杀虫灯每亩2台，黄板每亩20块。</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11.3.4 </w:t>
      </w:r>
      <w:r>
        <w:rPr>
          <w:rFonts w:hint="eastAsia" w:ascii="黑体" w:hAnsi="Times New Roman" w:eastAsia="黑体" w:cs="Times New Roman"/>
          <w:kern w:val="0"/>
          <w:sz w:val="21"/>
          <w:szCs w:val="20"/>
          <w:lang w:val="en-US" w:eastAsia="zh-CN" w:bidi="ar-SA"/>
        </w:rPr>
        <w:t>化学防治</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农药使用准则应符合</w:t>
      </w:r>
      <w:r>
        <w:rPr>
          <w:rFonts w:hint="default" w:ascii="Times New Roman" w:hAnsi="Times New Roman" w:eastAsia="宋体" w:cs="Times New Roman"/>
          <w:kern w:val="2"/>
          <w:sz w:val="21"/>
          <w:szCs w:val="21"/>
          <w:lang w:val="en-US" w:eastAsia="zh-CN" w:bidi="ar"/>
        </w:rPr>
        <w:t>GB/T 8321要求，主要防治方法见附录A。</w:t>
      </w:r>
    </w:p>
    <w:p>
      <w:pPr>
        <w:keepNext w:val="0"/>
        <w:keepLines w:val="0"/>
        <w:widowControl w:val="0"/>
        <w:suppressLineNumbers w:val="0"/>
        <w:spacing w:before="0" w:beforeAutospacing="0" w:after="0" w:afterAutospacing="0" w:line="360" w:lineRule="auto"/>
        <w:ind w:left="0" w:right="0"/>
        <w:jc w:val="both"/>
        <w:rPr>
          <w:rFonts w:hint="eastAsia"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 xml:space="preserve">12 </w:t>
      </w:r>
      <w:r>
        <w:rPr>
          <w:rFonts w:hint="eastAsia" w:ascii="黑体" w:hAnsi="Times New Roman" w:eastAsia="黑体" w:cs="Times New Roman"/>
          <w:kern w:val="0"/>
          <w:sz w:val="21"/>
          <w:szCs w:val="20"/>
          <w:lang w:val="en-US" w:eastAsia="zh-CN" w:bidi="ar-SA"/>
        </w:rPr>
        <w:t>档案管理</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生姜连作障碍消减技术规程应</w:t>
      </w:r>
      <w:r>
        <w:rPr>
          <w:rFonts w:hint="default" w:ascii="Times New Roman" w:hAnsi="Times New Roman" w:eastAsia="宋体" w:cs="Times New Roman"/>
          <w:kern w:val="2"/>
          <w:sz w:val="21"/>
          <w:szCs w:val="21"/>
          <w:lang w:val="en-US" w:eastAsia="zh-CN" w:bidi="ar"/>
        </w:rPr>
        <w:t>建立档案管理记录，档案应放在干燥、防潮的地方由专人保管，保持三年以上的年限，做到生产可追溯，见附录B。</w:t>
      </w:r>
    </w:p>
    <w:bookmarkEnd w:id="50"/>
    <w:bookmarkEnd w:id="51"/>
    <w:p>
      <w:pPr>
        <w:pStyle w:val="56"/>
        <w:ind w:firstLine="630" w:firstLineChars="300"/>
      </w:pPr>
    </w:p>
    <w:p>
      <w:pPr>
        <w:pStyle w:val="56"/>
        <w:ind w:firstLine="630" w:firstLineChars="300"/>
      </w:pPr>
    </w:p>
    <w:p>
      <w:pPr>
        <w:pStyle w:val="56"/>
        <w:ind w:firstLine="630" w:firstLineChars="300"/>
        <w:sectPr>
          <w:pgSz w:w="11906" w:h="16838"/>
          <w:pgMar w:top="1928" w:right="1134" w:bottom="1134" w:left="1134" w:header="1418" w:footer="1134" w:gutter="284"/>
          <w:pgNumType w:start="1"/>
          <w:cols w:space="425" w:num="1"/>
          <w:formProt w:val="0"/>
          <w:docGrid w:type="lines" w:linePitch="312" w:charSpace="0"/>
        </w:sectPr>
      </w:pPr>
    </w:p>
    <w:bookmarkEnd w:id="25"/>
    <w:p>
      <w:pPr>
        <w:pStyle w:val="198"/>
      </w:pPr>
      <w:bookmarkStart w:id="52" w:name="BookMark5"/>
    </w:p>
    <w:p>
      <w:pPr>
        <w:pStyle w:val="199"/>
      </w:pPr>
    </w:p>
    <w:p>
      <w:pPr>
        <w:pStyle w:val="76"/>
        <w:spacing w:after="156"/>
      </w:pPr>
      <w:r>
        <w:br w:type="textWrapping"/>
      </w:r>
      <w:bookmarkStart w:id="53" w:name="_Toc145248679"/>
      <w:r>
        <w:rPr>
          <w:rFonts w:hint="eastAsia"/>
        </w:rPr>
        <w:t>（规范性）</w:t>
      </w:r>
      <w:r>
        <w:br w:type="textWrapping"/>
      </w:r>
      <w:bookmarkStart w:id="54" w:name="_Hlk145326315"/>
      <w:r>
        <w:rPr>
          <w:rFonts w:hint="eastAsia"/>
          <w:lang w:val="en-US" w:eastAsia="zh-CN"/>
        </w:rPr>
        <w:t>生姜主要病虫害</w:t>
      </w:r>
      <w:r>
        <w:rPr>
          <w:rFonts w:hint="eastAsia"/>
        </w:rPr>
        <w:t>防治方法及农药安全间隔期</w:t>
      </w:r>
      <w:bookmarkEnd w:id="53"/>
      <w:bookmarkEnd w:id="54"/>
    </w:p>
    <w:p>
      <w:pPr>
        <w:pStyle w:val="56"/>
        <w:ind w:firstLine="420"/>
      </w:pPr>
      <w:r>
        <w:rPr>
          <w:rFonts w:hint="eastAsia"/>
        </w:rPr>
        <w:t>A</w:t>
      </w:r>
      <w:r>
        <w:t xml:space="preserve">.1 </w:t>
      </w:r>
      <w:r>
        <w:rPr>
          <w:rFonts w:hint="eastAsia"/>
          <w:lang w:val="en-US" w:eastAsia="zh-CN"/>
        </w:rPr>
        <w:t>生姜</w:t>
      </w:r>
      <w:r>
        <w:rPr>
          <w:rFonts w:hint="eastAsia"/>
        </w:rPr>
        <w:t>主要</w:t>
      </w:r>
      <w:r>
        <w:rPr>
          <w:rFonts w:hint="eastAsia"/>
          <w:lang w:val="en-US" w:eastAsia="zh-CN"/>
        </w:rPr>
        <w:t>病虫害</w:t>
      </w:r>
      <w:r>
        <w:rPr>
          <w:rFonts w:hint="eastAsia"/>
        </w:rPr>
        <w:t>防治方法及农药安全间隔期</w:t>
      </w:r>
    </w:p>
    <w:p>
      <w:pPr>
        <w:pStyle w:val="77"/>
        <w:spacing w:before="156" w:after="156"/>
      </w:pPr>
      <w:r>
        <w:rPr>
          <w:rFonts w:hint="eastAsia"/>
          <w:lang w:val="en-US" w:eastAsia="zh-CN"/>
        </w:rPr>
        <w:t>生姜主要病虫害</w:t>
      </w:r>
      <w:r>
        <w:rPr>
          <w:rFonts w:hint="eastAsia"/>
        </w:rPr>
        <w:t>防治方法及农药安全间隔期</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80"/>
        <w:gridCol w:w="2230"/>
        <w:gridCol w:w="1491"/>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rPr>
                <w:rFonts w:hint="default" w:ascii="Times New Roman"/>
                <w:lang w:val="en-US"/>
              </w:rPr>
            </w:pPr>
            <w:r>
              <w:rPr>
                <w:rFonts w:hint="eastAsia" w:ascii="Times New Roman"/>
                <w:lang w:val="en-US" w:eastAsia="zh-CN"/>
              </w:rPr>
              <w:t>防治对象</w:t>
            </w:r>
          </w:p>
        </w:tc>
        <w:tc>
          <w:tcPr>
            <w:tcW w:w="248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防治药剂</w:t>
            </w:r>
          </w:p>
        </w:tc>
        <w:tc>
          <w:tcPr>
            <w:tcW w:w="223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使用方法</w:t>
            </w:r>
          </w:p>
        </w:tc>
        <w:tc>
          <w:tcPr>
            <w:tcW w:w="1491" w:type="dxa"/>
            <w:tcBorders>
              <w:top w:val="single" w:color="auto" w:sz="8" w:space="0"/>
              <w:bottom w:val="single" w:color="auto" w:sz="8" w:space="0"/>
            </w:tcBorders>
            <w:shd w:val="clear" w:color="auto" w:fill="auto"/>
            <w:vAlign w:val="center"/>
          </w:tcPr>
          <w:p>
            <w:pPr>
              <w:pStyle w:val="178"/>
              <w:rPr>
                <w:rFonts w:ascii="Times New Roman"/>
              </w:rPr>
            </w:pPr>
            <w:r>
              <w:rPr>
                <w:rFonts w:hint="eastAsia" w:ascii="Times New Roman"/>
                <w:lang w:val="en-US" w:eastAsia="zh-CN"/>
              </w:rPr>
              <w:t>每季最多</w:t>
            </w:r>
            <w:r>
              <w:rPr>
                <w:rFonts w:ascii="Times New Roman"/>
              </w:rPr>
              <w:t>使用次数</w:t>
            </w:r>
          </w:p>
        </w:tc>
        <w:tc>
          <w:tcPr>
            <w:tcW w:w="186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安全间隔期（天）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pPr>
              <w:pStyle w:val="178"/>
              <w:rPr>
                <w:rFonts w:hint="eastAsia" w:ascii="Times New Roman" w:eastAsia="宋体"/>
                <w:lang w:eastAsia="zh-CN"/>
              </w:rPr>
            </w:pPr>
            <w:r>
              <w:rPr>
                <w:rFonts w:hint="eastAsia" w:ascii="Times New Roman"/>
                <w:lang w:val="en-US" w:eastAsia="zh-CN"/>
              </w:rPr>
              <w:t>姜瘟病</w:t>
            </w:r>
          </w:p>
        </w:tc>
        <w:tc>
          <w:tcPr>
            <w:tcW w:w="2480" w:type="dxa"/>
            <w:tcBorders>
              <w:top w:val="single" w:color="auto" w:sz="8" w:space="0"/>
            </w:tcBorders>
            <w:shd w:val="clear" w:color="auto" w:fill="auto"/>
            <w:vAlign w:val="center"/>
          </w:tcPr>
          <w:p>
            <w:pPr>
              <w:pStyle w:val="178"/>
              <w:rPr>
                <w:rFonts w:hint="default" w:ascii="Times New Roman" w:eastAsia="宋体"/>
                <w:lang w:val="en-US" w:eastAsia="zh-CN"/>
              </w:rPr>
            </w:pPr>
            <w:r>
              <w:rPr>
                <w:rFonts w:hint="eastAsia" w:ascii="Times New Roman"/>
                <w:lang w:val="en-US" w:eastAsia="zh-CN"/>
              </w:rPr>
              <w:t>20%噻森铜悬浮剂</w:t>
            </w:r>
          </w:p>
        </w:tc>
        <w:tc>
          <w:tcPr>
            <w:tcW w:w="2230" w:type="dxa"/>
            <w:tcBorders>
              <w:top w:val="single" w:color="auto" w:sz="8" w:space="0"/>
            </w:tcBorders>
            <w:shd w:val="clear" w:color="auto" w:fill="auto"/>
            <w:vAlign w:val="center"/>
          </w:tcPr>
          <w:p>
            <w:pPr>
              <w:pStyle w:val="178"/>
              <w:rPr>
                <w:rFonts w:hint="eastAsia" w:ascii="Times New Roman" w:eastAsia="宋体"/>
                <w:lang w:eastAsia="zh-CN"/>
              </w:rPr>
            </w:pPr>
            <w:r>
              <w:rPr>
                <w:rFonts w:hint="eastAsia" w:ascii="Times New Roman"/>
                <w:lang w:val="en-US" w:eastAsia="zh-CN"/>
              </w:rPr>
              <w:t>500-600倍液</w:t>
            </w:r>
            <w:r>
              <w:rPr>
                <w:rFonts w:ascii="Times New Roman"/>
              </w:rPr>
              <w:t>，</w:t>
            </w:r>
            <w:r>
              <w:rPr>
                <w:rFonts w:hint="eastAsia" w:ascii="Times New Roman"/>
                <w:lang w:val="en-US" w:eastAsia="zh-CN"/>
              </w:rPr>
              <w:t>灌根</w:t>
            </w:r>
          </w:p>
        </w:tc>
        <w:tc>
          <w:tcPr>
            <w:tcW w:w="1491" w:type="dxa"/>
            <w:tcBorders>
              <w:top w:val="single" w:color="auto" w:sz="8" w:space="0"/>
            </w:tcBorders>
            <w:shd w:val="clear" w:color="auto" w:fill="auto"/>
            <w:vAlign w:val="center"/>
          </w:tcPr>
          <w:p>
            <w:pPr>
              <w:pStyle w:val="178"/>
              <w:rPr>
                <w:rFonts w:ascii="Times New Roman"/>
              </w:rPr>
            </w:pPr>
            <w:r>
              <w:rPr>
                <w:rFonts w:hint="eastAsia" w:ascii="Times New Roman"/>
                <w:lang w:val="en-US" w:eastAsia="zh-CN"/>
              </w:rPr>
              <w:t>3</w:t>
            </w:r>
            <w:r>
              <w:rPr>
                <w:rFonts w:ascii="Times New Roman"/>
              </w:rPr>
              <w:t>次</w:t>
            </w:r>
          </w:p>
        </w:tc>
        <w:tc>
          <w:tcPr>
            <w:tcW w:w="1867" w:type="dxa"/>
            <w:tcBorders>
              <w:top w:val="single" w:color="auto" w:sz="8" w:space="0"/>
            </w:tcBorders>
            <w:shd w:val="clear" w:color="auto" w:fill="auto"/>
            <w:vAlign w:val="center"/>
          </w:tcPr>
          <w:p>
            <w:pPr>
              <w:pStyle w:val="178"/>
              <w:rPr>
                <w:rFonts w:hint="default" w:ascii="Times New Roman" w:eastAsia="宋体"/>
                <w:lang w:val="en-US" w:eastAsia="zh-CN"/>
              </w:rPr>
            </w:pPr>
            <w:r>
              <w:rPr>
                <w:rFonts w:hint="eastAsia" w:ascii="Times New Roman"/>
                <w:lang w:val="en-US" w:eastAsia="zh-CN"/>
              </w:rPr>
              <w:t>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rFonts w:hint="eastAsia" w:ascii="Times New Roman" w:eastAsia="宋体"/>
                <w:lang w:val="en-US" w:eastAsia="zh-CN"/>
              </w:rPr>
            </w:pPr>
            <w:r>
              <w:rPr>
                <w:rFonts w:hint="eastAsia" w:ascii="宋体" w:hAnsi="宋体" w:eastAsia="宋体" w:cs="宋体"/>
                <w:kern w:val="2"/>
                <w:sz w:val="21"/>
                <w:szCs w:val="21"/>
                <w:lang w:val="en-US" w:eastAsia="zh-CN" w:bidi="ar"/>
              </w:rPr>
              <w:t>茎基腐病</w:t>
            </w:r>
          </w:p>
        </w:tc>
        <w:tc>
          <w:tcPr>
            <w:tcW w:w="2480"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2亿孢子/克木霉菌</w:t>
            </w:r>
          </w:p>
        </w:tc>
        <w:tc>
          <w:tcPr>
            <w:tcW w:w="2230" w:type="dxa"/>
            <w:shd w:val="clear" w:color="auto" w:fill="auto"/>
            <w:vAlign w:val="center"/>
          </w:tcPr>
          <w:p>
            <w:pPr>
              <w:pStyle w:val="178"/>
              <w:rPr>
                <w:rFonts w:hint="eastAsia" w:ascii="Times New Roman" w:eastAsia="宋体"/>
                <w:lang w:eastAsia="zh-CN"/>
              </w:rPr>
            </w:pPr>
            <w:r>
              <w:rPr>
                <w:rFonts w:hint="eastAsia" w:ascii="Times New Roman"/>
                <w:lang w:val="en-US" w:eastAsia="zh-CN"/>
              </w:rPr>
              <w:t>2000-4000克/亩，灌根</w:t>
            </w:r>
          </w:p>
        </w:tc>
        <w:tc>
          <w:tcPr>
            <w:tcW w:w="1491" w:type="dxa"/>
            <w:shd w:val="clear" w:color="auto" w:fill="auto"/>
            <w:vAlign w:val="center"/>
          </w:tcPr>
          <w:p>
            <w:pPr>
              <w:pStyle w:val="178"/>
              <w:rPr>
                <w:rFonts w:ascii="Times New Roman"/>
              </w:rPr>
            </w:pPr>
            <w:r>
              <w:rPr>
                <w:rFonts w:hint="eastAsia" w:ascii="Times New Roman"/>
                <w:lang w:val="en-US" w:eastAsia="zh-CN"/>
              </w:rPr>
              <w:t>2</w:t>
            </w:r>
            <w:r>
              <w:rPr>
                <w:rFonts w:ascii="Times New Roman"/>
              </w:rPr>
              <w:t>次</w:t>
            </w:r>
          </w:p>
        </w:tc>
        <w:tc>
          <w:tcPr>
            <w:tcW w:w="1867" w:type="dxa"/>
            <w:shd w:val="clear" w:color="auto" w:fill="auto"/>
            <w:vAlign w:val="center"/>
          </w:tcPr>
          <w:p>
            <w:pPr>
              <w:pStyle w:val="178"/>
              <w:rPr>
                <w:rFonts w:hint="default" w:ascii="Times New Roman" w:eastAsia="宋体"/>
                <w:lang w:val="en-US" w:eastAsia="zh-CN"/>
              </w:rPr>
            </w:pPr>
            <w:r>
              <w:rPr>
                <w:rFonts w:ascii="Times New Roman"/>
              </w:rPr>
              <w:t>7</w:t>
            </w:r>
            <w:r>
              <w:rPr>
                <w:rFonts w:hint="eastAsia" w:ascii="Times New Roman"/>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rFonts w:ascii="Times New Roman"/>
              </w:rPr>
            </w:pPr>
            <w:r>
              <w:rPr>
                <w:rFonts w:hint="eastAsia" w:ascii="宋体" w:hAnsi="宋体" w:eastAsia="宋体" w:cs="宋体"/>
                <w:kern w:val="2"/>
                <w:sz w:val="21"/>
                <w:szCs w:val="21"/>
                <w:lang w:val="en-US" w:eastAsia="zh-CN" w:bidi="ar"/>
              </w:rPr>
              <w:t>炭疽病</w:t>
            </w:r>
          </w:p>
        </w:tc>
        <w:tc>
          <w:tcPr>
            <w:tcW w:w="2480" w:type="dxa"/>
            <w:shd w:val="clear" w:color="auto" w:fill="auto"/>
            <w:vAlign w:val="center"/>
          </w:tcPr>
          <w:p>
            <w:pPr>
              <w:pStyle w:val="178"/>
              <w:rPr>
                <w:rFonts w:hint="eastAsia" w:ascii="Times New Roman" w:eastAsia="宋体"/>
                <w:lang w:val="en-US" w:eastAsia="zh-CN"/>
              </w:rPr>
            </w:pPr>
            <w:r>
              <w:rPr>
                <w:rFonts w:hint="eastAsia" w:ascii="Times New Roman"/>
                <w:lang w:val="en-US" w:eastAsia="zh-CN"/>
              </w:rPr>
              <w:t>25%咪鲜胺乳油</w:t>
            </w:r>
          </w:p>
        </w:tc>
        <w:tc>
          <w:tcPr>
            <w:tcW w:w="2230" w:type="dxa"/>
            <w:shd w:val="clear" w:color="auto" w:fill="auto"/>
            <w:vAlign w:val="center"/>
          </w:tcPr>
          <w:p>
            <w:pPr>
              <w:pStyle w:val="178"/>
              <w:rPr>
                <w:rFonts w:hint="default" w:ascii="Times New Roman"/>
                <w:lang w:val="en-US"/>
              </w:rPr>
            </w:pPr>
            <w:r>
              <w:rPr>
                <w:rFonts w:hint="eastAsia" w:ascii="Times New Roman"/>
                <w:lang w:val="en-US" w:eastAsia="zh-CN"/>
              </w:rPr>
              <w:t>500-1000倍液，喷雾</w:t>
            </w:r>
          </w:p>
        </w:tc>
        <w:tc>
          <w:tcPr>
            <w:tcW w:w="1491"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1次</w:t>
            </w:r>
          </w:p>
        </w:tc>
        <w:tc>
          <w:tcPr>
            <w:tcW w:w="1867"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rFonts w:ascii="Times New Roman"/>
              </w:rPr>
            </w:pPr>
            <w:r>
              <w:rPr>
                <w:rFonts w:hint="eastAsia" w:ascii="宋体" w:hAnsi="宋体" w:eastAsia="宋体" w:cs="宋体"/>
                <w:kern w:val="2"/>
                <w:sz w:val="21"/>
                <w:szCs w:val="21"/>
                <w:lang w:val="en-US" w:eastAsia="zh-CN" w:bidi="ar"/>
              </w:rPr>
              <w:t>叶枯病</w:t>
            </w:r>
          </w:p>
        </w:tc>
        <w:tc>
          <w:tcPr>
            <w:tcW w:w="2480" w:type="dxa"/>
            <w:shd w:val="clear" w:color="auto" w:fill="auto"/>
            <w:vAlign w:val="center"/>
          </w:tcPr>
          <w:p>
            <w:pPr>
              <w:pStyle w:val="178"/>
              <w:rPr>
                <w:rFonts w:ascii="Times New Roman"/>
              </w:rPr>
            </w:pPr>
            <w:r>
              <w:rPr>
                <w:rFonts w:hint="eastAsia" w:ascii="Times New Roman"/>
                <w:lang w:val="en-US" w:eastAsia="zh-CN"/>
              </w:rPr>
              <w:t>70%甲基硫菌灵可湿性粉剂</w:t>
            </w:r>
          </w:p>
        </w:tc>
        <w:tc>
          <w:tcPr>
            <w:tcW w:w="2230" w:type="dxa"/>
            <w:shd w:val="clear" w:color="auto" w:fill="auto"/>
            <w:vAlign w:val="center"/>
          </w:tcPr>
          <w:p>
            <w:pPr>
              <w:pStyle w:val="178"/>
              <w:rPr>
                <w:rFonts w:ascii="Times New Roman"/>
              </w:rPr>
            </w:pPr>
            <w:r>
              <w:rPr>
                <w:rFonts w:hint="eastAsia" w:ascii="Times New Roman"/>
                <w:lang w:val="en-US" w:eastAsia="zh-CN"/>
              </w:rPr>
              <w:t>800-1000倍液</w:t>
            </w:r>
            <w:r>
              <w:rPr>
                <w:rFonts w:ascii="Times New Roman"/>
              </w:rPr>
              <w:t>，喷雾</w:t>
            </w:r>
          </w:p>
        </w:tc>
        <w:tc>
          <w:tcPr>
            <w:tcW w:w="1491" w:type="dxa"/>
            <w:shd w:val="clear" w:color="auto" w:fill="auto"/>
            <w:vAlign w:val="center"/>
          </w:tcPr>
          <w:p>
            <w:pPr>
              <w:pStyle w:val="178"/>
              <w:rPr>
                <w:rFonts w:ascii="Times New Roman"/>
              </w:rPr>
            </w:pPr>
            <w:r>
              <w:rPr>
                <w:rFonts w:hint="eastAsia" w:ascii="Times New Roman"/>
                <w:lang w:val="en-US" w:eastAsia="zh-CN"/>
              </w:rPr>
              <w:t>2</w:t>
            </w:r>
            <w:r>
              <w:rPr>
                <w:rFonts w:ascii="Times New Roman"/>
              </w:rPr>
              <w:t>次</w:t>
            </w:r>
          </w:p>
        </w:tc>
        <w:tc>
          <w:tcPr>
            <w:tcW w:w="1867"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姜螟</w:t>
            </w:r>
          </w:p>
        </w:tc>
        <w:tc>
          <w:tcPr>
            <w:tcW w:w="2480" w:type="dxa"/>
            <w:shd w:val="clear" w:color="auto" w:fill="auto"/>
            <w:vAlign w:val="center"/>
          </w:tcPr>
          <w:p>
            <w:pPr>
              <w:pStyle w:val="178"/>
              <w:rPr>
                <w:rFonts w:hint="eastAsia" w:ascii="Times New Roman" w:eastAsia="宋体"/>
                <w:lang w:val="en-US" w:eastAsia="zh-CN"/>
              </w:rPr>
            </w:pPr>
            <w:r>
              <w:rPr>
                <w:rFonts w:ascii="Times New Roman"/>
              </w:rPr>
              <w:t>5%</w:t>
            </w:r>
            <w:r>
              <w:rPr>
                <w:rFonts w:hint="eastAsia" w:ascii="Times New Roman"/>
                <w:lang w:val="en-US" w:eastAsia="zh-CN"/>
              </w:rPr>
              <w:t>氟虫腈悬浮剂</w:t>
            </w:r>
          </w:p>
        </w:tc>
        <w:tc>
          <w:tcPr>
            <w:tcW w:w="2230" w:type="dxa"/>
            <w:shd w:val="clear" w:color="auto" w:fill="auto"/>
            <w:vAlign w:val="center"/>
          </w:tcPr>
          <w:p>
            <w:pPr>
              <w:pStyle w:val="178"/>
              <w:rPr>
                <w:rFonts w:ascii="Times New Roman"/>
              </w:rPr>
            </w:pPr>
            <w:r>
              <w:rPr>
                <w:rFonts w:hint="eastAsia" w:ascii="Times New Roman"/>
                <w:lang w:val="en-US" w:eastAsia="zh-CN"/>
              </w:rPr>
              <w:t>3000-4000倍液</w:t>
            </w:r>
            <w:r>
              <w:rPr>
                <w:rFonts w:ascii="Times New Roman"/>
              </w:rPr>
              <w:t>，喷雾</w:t>
            </w:r>
          </w:p>
        </w:tc>
        <w:tc>
          <w:tcPr>
            <w:tcW w:w="1491" w:type="dxa"/>
            <w:shd w:val="clear" w:color="auto" w:fill="auto"/>
            <w:vAlign w:val="center"/>
          </w:tcPr>
          <w:p>
            <w:pPr>
              <w:pStyle w:val="178"/>
              <w:rPr>
                <w:rFonts w:ascii="Times New Roman"/>
              </w:rPr>
            </w:pPr>
            <w:r>
              <w:rPr>
                <w:rFonts w:hint="eastAsia" w:ascii="Times New Roman"/>
                <w:lang w:val="en-US" w:eastAsia="zh-CN"/>
              </w:rPr>
              <w:t>1</w:t>
            </w:r>
            <w:r>
              <w:rPr>
                <w:rFonts w:ascii="Times New Roman"/>
              </w:rPr>
              <w:t>次</w:t>
            </w:r>
          </w:p>
        </w:tc>
        <w:tc>
          <w:tcPr>
            <w:tcW w:w="1867"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rFonts w:hint="eastAsia" w:ascii="Times New Roman" w:eastAsia="宋体"/>
                <w:lang w:eastAsia="zh-CN"/>
              </w:rPr>
            </w:pPr>
            <w:r>
              <w:rPr>
                <w:rFonts w:hint="eastAsia" w:ascii="Times New Roman"/>
                <w:lang w:val="en-US" w:eastAsia="zh-CN"/>
              </w:rPr>
              <w:t>斜纹夜蛾</w:t>
            </w:r>
          </w:p>
        </w:tc>
        <w:tc>
          <w:tcPr>
            <w:tcW w:w="2480" w:type="dxa"/>
            <w:shd w:val="clear" w:color="auto" w:fill="auto"/>
            <w:vAlign w:val="center"/>
          </w:tcPr>
          <w:p>
            <w:pPr>
              <w:pStyle w:val="178"/>
              <w:ind w:firstLine="0" w:firstLineChars="0"/>
              <w:rPr>
                <w:rFonts w:ascii="Times New Roman"/>
              </w:rPr>
            </w:pPr>
            <w:r>
              <w:rPr>
                <w:rFonts w:ascii="Times New Roman"/>
              </w:rPr>
              <w:t>5%氯虫苯甲酰胺悬浮剂</w:t>
            </w:r>
          </w:p>
        </w:tc>
        <w:tc>
          <w:tcPr>
            <w:tcW w:w="2230" w:type="dxa"/>
            <w:shd w:val="clear" w:color="auto" w:fill="auto"/>
            <w:vAlign w:val="center"/>
          </w:tcPr>
          <w:p>
            <w:pPr>
              <w:pStyle w:val="178"/>
              <w:ind w:firstLine="0" w:firstLineChars="0"/>
              <w:rPr>
                <w:rFonts w:ascii="Times New Roman"/>
              </w:rPr>
            </w:pPr>
            <w:r>
              <w:rPr>
                <w:rFonts w:ascii="Times New Roman"/>
              </w:rPr>
              <w:t>45-54毫升/亩，喷雾</w:t>
            </w:r>
          </w:p>
        </w:tc>
        <w:tc>
          <w:tcPr>
            <w:tcW w:w="1491" w:type="dxa"/>
            <w:shd w:val="clear" w:color="auto" w:fill="auto"/>
            <w:vAlign w:val="center"/>
          </w:tcPr>
          <w:p>
            <w:pPr>
              <w:pStyle w:val="178"/>
              <w:ind w:firstLine="0" w:firstLineChars="0"/>
              <w:rPr>
                <w:rFonts w:ascii="Times New Roman"/>
              </w:rPr>
            </w:pPr>
            <w:r>
              <w:rPr>
                <w:rFonts w:ascii="Times New Roman"/>
              </w:rPr>
              <w:t>1次</w:t>
            </w:r>
          </w:p>
        </w:tc>
        <w:tc>
          <w:tcPr>
            <w:tcW w:w="1867" w:type="dxa"/>
            <w:shd w:val="clear" w:color="auto" w:fill="auto"/>
            <w:vAlign w:val="center"/>
          </w:tcPr>
          <w:p>
            <w:pPr>
              <w:pStyle w:val="178"/>
              <w:ind w:firstLine="0" w:firstLineChars="0"/>
              <w:rPr>
                <w:rFonts w:ascii="Times New Roman"/>
              </w:rPr>
            </w:pPr>
            <w:r>
              <w:rPr>
                <w:rFonts w:ascii="Times New Roman"/>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蛴螬</w:t>
            </w:r>
          </w:p>
        </w:tc>
        <w:tc>
          <w:tcPr>
            <w:tcW w:w="2480" w:type="dxa"/>
            <w:shd w:val="clear" w:color="auto" w:fill="auto"/>
            <w:vAlign w:val="center"/>
          </w:tcPr>
          <w:p>
            <w:pPr>
              <w:pStyle w:val="178"/>
              <w:rPr>
                <w:rFonts w:hint="eastAsia" w:ascii="Times New Roman" w:eastAsia="宋体"/>
                <w:lang w:val="en-US" w:eastAsia="zh-CN"/>
              </w:rPr>
            </w:pPr>
            <w:r>
              <w:rPr>
                <w:rFonts w:hint="eastAsia" w:ascii="Times New Roman"/>
                <w:lang w:val="en-US" w:eastAsia="zh-CN"/>
              </w:rPr>
              <w:t>3%</w:t>
            </w:r>
            <w:r>
              <w:rPr>
                <w:rFonts w:hint="eastAsia" w:ascii="Times New Roman"/>
              </w:rPr>
              <w:t>辛硫磷</w:t>
            </w:r>
            <w:r>
              <w:rPr>
                <w:rFonts w:hint="eastAsia" w:ascii="Times New Roman"/>
                <w:lang w:val="en-US" w:eastAsia="zh-CN"/>
              </w:rPr>
              <w:t>颗粒剂</w:t>
            </w:r>
          </w:p>
        </w:tc>
        <w:tc>
          <w:tcPr>
            <w:tcW w:w="2230"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6000-8000</w:t>
            </w:r>
            <w:r>
              <w:rPr>
                <w:rFonts w:hint="eastAsia" w:ascii="Times New Roman"/>
              </w:rPr>
              <w:t>克/亩</w:t>
            </w:r>
            <w:r>
              <w:rPr>
                <w:rFonts w:ascii="Times New Roman"/>
              </w:rPr>
              <w:t>，</w:t>
            </w:r>
            <w:r>
              <w:rPr>
                <w:rFonts w:hint="eastAsia" w:ascii="Times New Roman"/>
                <w:lang w:val="en-US" w:eastAsia="zh-CN"/>
              </w:rPr>
              <w:t>沟施</w:t>
            </w:r>
          </w:p>
        </w:tc>
        <w:tc>
          <w:tcPr>
            <w:tcW w:w="1491" w:type="dxa"/>
            <w:shd w:val="clear" w:color="auto" w:fill="auto"/>
            <w:vAlign w:val="center"/>
          </w:tcPr>
          <w:p>
            <w:pPr>
              <w:pStyle w:val="178"/>
              <w:rPr>
                <w:rFonts w:ascii="Times New Roman"/>
              </w:rPr>
            </w:pPr>
            <w:r>
              <w:rPr>
                <w:rFonts w:ascii="Times New Roman"/>
              </w:rPr>
              <w:t>1次</w:t>
            </w:r>
          </w:p>
        </w:tc>
        <w:tc>
          <w:tcPr>
            <w:tcW w:w="1867" w:type="dxa"/>
            <w:shd w:val="clear" w:color="auto" w:fill="auto"/>
            <w:vAlign w:val="center"/>
          </w:tcPr>
          <w:p>
            <w:pPr>
              <w:pStyle w:val="178"/>
              <w:rPr>
                <w:rFonts w:hint="default" w:ascii="Times New Roman" w:eastAsia="宋体"/>
                <w:lang w:val="en-US" w:eastAsia="zh-CN"/>
              </w:rPr>
            </w:pPr>
            <w:r>
              <w:rPr>
                <w:rFonts w:hint="eastAsia" w:ascii="Times New Roman"/>
                <w:lang w:val="en-US" w:eastAsia="zh-CN"/>
              </w:rPr>
              <w:t>28</w:t>
            </w:r>
          </w:p>
        </w:tc>
      </w:tr>
    </w:tbl>
    <w:p>
      <w:pPr>
        <w:pStyle w:val="56"/>
        <w:ind w:firstLine="420"/>
      </w:pPr>
    </w:p>
    <w:p>
      <w:pPr>
        <w:pStyle w:val="56"/>
        <w:ind w:firstLine="420"/>
      </w:pP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pPr>
    </w:p>
    <w:p>
      <w:pPr>
        <w:pStyle w:val="199"/>
      </w:pPr>
    </w:p>
    <w:p>
      <w:pPr>
        <w:pStyle w:val="76"/>
        <w:spacing w:after="156"/>
      </w:pPr>
      <w:r>
        <w:br w:type="textWrapping"/>
      </w:r>
      <w:bookmarkStart w:id="55" w:name="_Toc145248680"/>
      <w:r>
        <w:rPr>
          <w:rFonts w:hint="eastAsia"/>
        </w:rPr>
        <w:t>（资料性）</w:t>
      </w:r>
      <w:r>
        <w:br w:type="textWrapping"/>
      </w:r>
      <w:r>
        <w:rPr>
          <w:rFonts w:hint="eastAsia"/>
        </w:rPr>
        <w:t>档案管理</w:t>
      </w:r>
      <w:bookmarkEnd w:id="55"/>
    </w:p>
    <w:p>
      <w:pPr>
        <w:pStyle w:val="77"/>
        <w:spacing w:before="156" w:after="156"/>
      </w:pPr>
      <w:r>
        <w:rPr>
          <w:rFonts w:hint="eastAsia"/>
        </w:rPr>
        <w:t>档案管理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66"/>
        <w:gridCol w:w="1166"/>
        <w:gridCol w:w="1167"/>
        <w:gridCol w:w="987"/>
        <w:gridCol w:w="1160"/>
        <w:gridCol w:w="1354"/>
        <w:gridCol w:w="1167"/>
        <w:gridCol w:w="11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166" w:type="dxa"/>
            <w:tcBorders>
              <w:top w:val="single" w:color="auto" w:sz="8" w:space="0"/>
              <w:bottom w:val="single" w:color="auto" w:sz="8" w:space="0"/>
            </w:tcBorders>
            <w:shd w:val="clear" w:color="auto" w:fill="auto"/>
            <w:vAlign w:val="center"/>
          </w:tcPr>
          <w:p>
            <w:pPr>
              <w:pStyle w:val="178"/>
            </w:pPr>
            <w:r>
              <w:rPr>
                <w:rFonts w:hint="eastAsia"/>
              </w:rPr>
              <w:t>日期</w:t>
            </w:r>
          </w:p>
        </w:tc>
        <w:tc>
          <w:tcPr>
            <w:tcW w:w="1166" w:type="dxa"/>
            <w:tcBorders>
              <w:top w:val="single" w:color="auto" w:sz="8" w:space="0"/>
              <w:bottom w:val="single" w:color="auto" w:sz="8" w:space="0"/>
            </w:tcBorders>
            <w:shd w:val="clear" w:color="auto" w:fill="auto"/>
            <w:vAlign w:val="center"/>
          </w:tcPr>
          <w:p>
            <w:pPr>
              <w:pStyle w:val="178"/>
              <w:rPr>
                <w:rFonts w:hint="default" w:eastAsia="宋体"/>
                <w:lang w:val="en-US" w:eastAsia="zh-CN"/>
              </w:rPr>
            </w:pPr>
            <w:r>
              <w:rPr>
                <w:rFonts w:hint="eastAsia"/>
                <w:lang w:val="en-US" w:eastAsia="zh-CN"/>
              </w:rPr>
              <w:t>生姜品种</w:t>
            </w:r>
          </w:p>
        </w:tc>
        <w:tc>
          <w:tcPr>
            <w:tcW w:w="1167" w:type="dxa"/>
            <w:tcBorders>
              <w:top w:val="single" w:color="auto" w:sz="8" w:space="0"/>
              <w:bottom w:val="single" w:color="auto" w:sz="8" w:space="0"/>
            </w:tcBorders>
            <w:shd w:val="clear" w:color="auto" w:fill="auto"/>
            <w:vAlign w:val="center"/>
          </w:tcPr>
          <w:p>
            <w:pPr>
              <w:pStyle w:val="178"/>
              <w:ind w:firstLine="0" w:firstLineChars="0"/>
              <w:rPr>
                <w:rFonts w:ascii="宋体" w:hAnsi="Times New Roman" w:eastAsia="宋体" w:cs="Times New Roman"/>
                <w:sz w:val="18"/>
                <w:lang w:val="en-US" w:eastAsia="zh-CN" w:bidi="ar-SA"/>
              </w:rPr>
            </w:pPr>
            <w:r>
              <w:rPr>
                <w:rFonts w:hint="eastAsia"/>
                <w:lang w:val="en-US" w:eastAsia="zh-CN"/>
              </w:rPr>
              <w:t>病</w:t>
            </w:r>
            <w:r>
              <w:rPr>
                <w:rFonts w:hint="eastAsia"/>
              </w:rPr>
              <w:t>虫害名称</w:t>
            </w:r>
          </w:p>
        </w:tc>
        <w:tc>
          <w:tcPr>
            <w:tcW w:w="987" w:type="dxa"/>
            <w:tcBorders>
              <w:top w:val="single" w:color="auto" w:sz="8" w:space="0"/>
              <w:bottom w:val="single" w:color="auto" w:sz="8" w:space="0"/>
            </w:tcBorders>
            <w:shd w:val="clear" w:color="auto" w:fill="auto"/>
            <w:vAlign w:val="center"/>
          </w:tcPr>
          <w:p>
            <w:pPr>
              <w:pStyle w:val="178"/>
              <w:ind w:firstLine="0" w:firstLineChars="0"/>
              <w:rPr>
                <w:rFonts w:ascii="宋体" w:hAnsi="Times New Roman" w:eastAsia="宋体" w:cs="Times New Roman"/>
                <w:sz w:val="18"/>
                <w:lang w:val="en-US" w:eastAsia="zh-CN" w:bidi="ar-SA"/>
              </w:rPr>
            </w:pPr>
            <w:r>
              <w:rPr>
                <w:rFonts w:hint="eastAsia"/>
              </w:rPr>
              <w:t>危害特点</w:t>
            </w:r>
          </w:p>
        </w:tc>
        <w:tc>
          <w:tcPr>
            <w:tcW w:w="1160" w:type="dxa"/>
            <w:tcBorders>
              <w:top w:val="single" w:color="auto" w:sz="8" w:space="0"/>
              <w:bottom w:val="single" w:color="auto" w:sz="8" w:space="0"/>
            </w:tcBorders>
            <w:shd w:val="clear" w:color="auto" w:fill="auto"/>
            <w:vAlign w:val="center"/>
          </w:tcPr>
          <w:p>
            <w:pPr>
              <w:pStyle w:val="178"/>
              <w:ind w:firstLine="0" w:firstLineChars="0"/>
              <w:rPr>
                <w:rFonts w:ascii="宋体" w:hAnsi="Times New Roman" w:eastAsia="宋体" w:cs="Times New Roman"/>
                <w:sz w:val="18"/>
                <w:lang w:val="en-US" w:eastAsia="zh-CN" w:bidi="ar-SA"/>
              </w:rPr>
            </w:pPr>
            <w:r>
              <w:rPr>
                <w:rFonts w:hint="eastAsia"/>
              </w:rPr>
              <w:t>危害程度</w:t>
            </w:r>
          </w:p>
        </w:tc>
        <w:tc>
          <w:tcPr>
            <w:tcW w:w="1354" w:type="dxa"/>
            <w:tcBorders>
              <w:top w:val="single" w:color="auto" w:sz="8" w:space="0"/>
              <w:bottom w:val="single" w:color="auto" w:sz="8" w:space="0"/>
            </w:tcBorders>
            <w:shd w:val="clear" w:color="auto" w:fill="auto"/>
            <w:vAlign w:val="center"/>
          </w:tcPr>
          <w:p>
            <w:pPr>
              <w:pStyle w:val="178"/>
              <w:ind w:firstLine="0" w:firstLineChars="0"/>
              <w:rPr>
                <w:rFonts w:ascii="宋体" w:hAnsi="Times New Roman" w:eastAsia="宋体" w:cs="Times New Roman"/>
                <w:sz w:val="18"/>
                <w:lang w:val="en-US" w:eastAsia="zh-CN" w:bidi="ar-SA"/>
              </w:rPr>
            </w:pPr>
            <w:r>
              <w:rPr>
                <w:rFonts w:hint="eastAsia"/>
              </w:rPr>
              <w:t>曾使用防治方法</w:t>
            </w:r>
          </w:p>
        </w:tc>
        <w:tc>
          <w:tcPr>
            <w:tcW w:w="1167" w:type="dxa"/>
            <w:tcBorders>
              <w:top w:val="single" w:color="auto" w:sz="8" w:space="0"/>
              <w:bottom w:val="single" w:color="auto" w:sz="8" w:space="0"/>
            </w:tcBorders>
            <w:shd w:val="clear" w:color="auto" w:fill="auto"/>
            <w:vAlign w:val="center"/>
          </w:tcPr>
          <w:p>
            <w:pPr>
              <w:pStyle w:val="178"/>
              <w:ind w:firstLine="0" w:firstLineChars="0"/>
              <w:rPr>
                <w:rFonts w:ascii="宋体" w:hAnsi="Times New Roman" w:eastAsia="宋体" w:cs="Times New Roman"/>
                <w:sz w:val="18"/>
                <w:lang w:val="en-US" w:eastAsia="zh-CN" w:bidi="ar-SA"/>
              </w:rPr>
            </w:pPr>
            <w:r>
              <w:rPr>
                <w:rFonts w:hint="eastAsia"/>
              </w:rPr>
              <w:t>当前防治方法</w:t>
            </w:r>
          </w:p>
        </w:tc>
        <w:tc>
          <w:tcPr>
            <w:tcW w:w="1167" w:type="dxa"/>
            <w:tcBorders>
              <w:top w:val="single" w:color="auto" w:sz="8" w:space="0"/>
              <w:bottom w:val="single" w:color="auto" w:sz="8" w:space="0"/>
            </w:tcBorders>
            <w:shd w:val="clear" w:color="auto" w:fill="auto"/>
            <w:vAlign w:val="center"/>
          </w:tcPr>
          <w:p>
            <w:pPr>
              <w:pStyle w:val="178"/>
            </w:pPr>
            <w:r>
              <w:rPr>
                <w:rFonts w:hint="eastAsia"/>
              </w:rPr>
              <w:t>防效（%）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tcBorders>
              <w:top w:val="single" w:color="auto" w:sz="8" w:space="0"/>
            </w:tcBorders>
            <w:shd w:val="clear" w:color="auto" w:fill="auto"/>
            <w:vAlign w:val="center"/>
          </w:tcPr>
          <w:p>
            <w:pPr>
              <w:pStyle w:val="178"/>
            </w:pPr>
          </w:p>
        </w:tc>
        <w:tc>
          <w:tcPr>
            <w:tcW w:w="1166" w:type="dxa"/>
            <w:tcBorders>
              <w:top w:val="single" w:color="auto" w:sz="8" w:space="0"/>
            </w:tcBorders>
            <w:shd w:val="clear" w:color="auto" w:fill="auto"/>
            <w:vAlign w:val="center"/>
          </w:tcPr>
          <w:p>
            <w:pPr>
              <w:pStyle w:val="178"/>
            </w:pPr>
          </w:p>
        </w:tc>
        <w:tc>
          <w:tcPr>
            <w:tcW w:w="1167" w:type="dxa"/>
            <w:tcBorders>
              <w:top w:val="single" w:color="auto" w:sz="8" w:space="0"/>
            </w:tcBorders>
            <w:shd w:val="clear" w:color="auto" w:fill="auto"/>
            <w:vAlign w:val="center"/>
          </w:tcPr>
          <w:p>
            <w:pPr>
              <w:pStyle w:val="178"/>
            </w:pPr>
          </w:p>
        </w:tc>
        <w:tc>
          <w:tcPr>
            <w:tcW w:w="987" w:type="dxa"/>
            <w:tcBorders>
              <w:top w:val="single" w:color="auto" w:sz="8" w:space="0"/>
            </w:tcBorders>
            <w:shd w:val="clear" w:color="auto" w:fill="auto"/>
            <w:vAlign w:val="center"/>
          </w:tcPr>
          <w:p>
            <w:pPr>
              <w:pStyle w:val="178"/>
            </w:pPr>
          </w:p>
        </w:tc>
        <w:tc>
          <w:tcPr>
            <w:tcW w:w="1160" w:type="dxa"/>
            <w:tcBorders>
              <w:top w:val="single" w:color="auto" w:sz="8" w:space="0"/>
            </w:tcBorders>
            <w:shd w:val="clear" w:color="auto" w:fill="auto"/>
            <w:vAlign w:val="center"/>
          </w:tcPr>
          <w:p>
            <w:pPr>
              <w:pStyle w:val="178"/>
            </w:pPr>
          </w:p>
        </w:tc>
        <w:tc>
          <w:tcPr>
            <w:tcW w:w="1354" w:type="dxa"/>
            <w:tcBorders>
              <w:top w:val="single" w:color="auto" w:sz="8" w:space="0"/>
            </w:tcBorders>
            <w:shd w:val="clear" w:color="auto" w:fill="auto"/>
            <w:vAlign w:val="center"/>
          </w:tcPr>
          <w:p>
            <w:pPr>
              <w:pStyle w:val="178"/>
            </w:pPr>
          </w:p>
        </w:tc>
        <w:tc>
          <w:tcPr>
            <w:tcW w:w="1167" w:type="dxa"/>
            <w:tcBorders>
              <w:top w:val="single" w:color="auto" w:sz="8" w:space="0"/>
            </w:tcBorders>
            <w:shd w:val="clear" w:color="auto" w:fill="auto"/>
            <w:vAlign w:val="center"/>
          </w:tcPr>
          <w:p>
            <w:pPr>
              <w:pStyle w:val="178"/>
            </w:pPr>
          </w:p>
        </w:tc>
        <w:tc>
          <w:tcPr>
            <w:tcW w:w="1167"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vAlign w:val="center"/>
          </w:tcPr>
          <w:p>
            <w:pPr>
              <w:pStyle w:val="178"/>
            </w:pPr>
          </w:p>
        </w:tc>
        <w:tc>
          <w:tcPr>
            <w:tcW w:w="1166" w:type="dxa"/>
            <w:shd w:val="clear" w:color="auto" w:fill="auto"/>
            <w:vAlign w:val="center"/>
          </w:tcPr>
          <w:p>
            <w:pPr>
              <w:pStyle w:val="178"/>
            </w:pPr>
          </w:p>
        </w:tc>
        <w:tc>
          <w:tcPr>
            <w:tcW w:w="1167" w:type="dxa"/>
            <w:shd w:val="clear" w:color="auto" w:fill="auto"/>
            <w:vAlign w:val="center"/>
          </w:tcPr>
          <w:p>
            <w:pPr>
              <w:pStyle w:val="178"/>
            </w:pPr>
          </w:p>
        </w:tc>
        <w:tc>
          <w:tcPr>
            <w:tcW w:w="987" w:type="dxa"/>
            <w:shd w:val="clear" w:color="auto" w:fill="auto"/>
            <w:vAlign w:val="center"/>
          </w:tcPr>
          <w:p>
            <w:pPr>
              <w:pStyle w:val="178"/>
            </w:pPr>
          </w:p>
        </w:tc>
        <w:tc>
          <w:tcPr>
            <w:tcW w:w="1160" w:type="dxa"/>
            <w:shd w:val="clear" w:color="auto" w:fill="auto"/>
            <w:vAlign w:val="center"/>
          </w:tcPr>
          <w:p>
            <w:pPr>
              <w:pStyle w:val="178"/>
            </w:pPr>
          </w:p>
        </w:tc>
        <w:tc>
          <w:tcPr>
            <w:tcW w:w="1354" w:type="dxa"/>
            <w:shd w:val="clear" w:color="auto" w:fill="auto"/>
            <w:vAlign w:val="center"/>
          </w:tcPr>
          <w:p>
            <w:pPr>
              <w:pStyle w:val="178"/>
            </w:pPr>
          </w:p>
        </w:tc>
        <w:tc>
          <w:tcPr>
            <w:tcW w:w="1167" w:type="dxa"/>
            <w:shd w:val="clear" w:color="auto" w:fill="auto"/>
            <w:vAlign w:val="center"/>
          </w:tcPr>
          <w:p>
            <w:pPr>
              <w:pStyle w:val="178"/>
            </w:pPr>
          </w:p>
        </w:tc>
        <w:tc>
          <w:tcPr>
            <w:tcW w:w="11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66" w:type="dxa"/>
            <w:shd w:val="clear" w:color="auto" w:fill="auto"/>
            <w:vAlign w:val="center"/>
          </w:tcPr>
          <w:p>
            <w:pPr>
              <w:pStyle w:val="178"/>
            </w:pPr>
          </w:p>
        </w:tc>
        <w:tc>
          <w:tcPr>
            <w:tcW w:w="1166" w:type="dxa"/>
            <w:shd w:val="clear" w:color="auto" w:fill="auto"/>
            <w:vAlign w:val="center"/>
          </w:tcPr>
          <w:p>
            <w:pPr>
              <w:pStyle w:val="178"/>
            </w:pPr>
          </w:p>
        </w:tc>
        <w:tc>
          <w:tcPr>
            <w:tcW w:w="1167" w:type="dxa"/>
            <w:shd w:val="clear" w:color="auto" w:fill="auto"/>
            <w:vAlign w:val="center"/>
          </w:tcPr>
          <w:p>
            <w:pPr>
              <w:pStyle w:val="178"/>
            </w:pPr>
          </w:p>
        </w:tc>
        <w:tc>
          <w:tcPr>
            <w:tcW w:w="987" w:type="dxa"/>
            <w:shd w:val="clear" w:color="auto" w:fill="auto"/>
            <w:vAlign w:val="center"/>
          </w:tcPr>
          <w:p>
            <w:pPr>
              <w:pStyle w:val="178"/>
            </w:pPr>
          </w:p>
        </w:tc>
        <w:tc>
          <w:tcPr>
            <w:tcW w:w="1160" w:type="dxa"/>
            <w:shd w:val="clear" w:color="auto" w:fill="auto"/>
            <w:vAlign w:val="center"/>
          </w:tcPr>
          <w:p>
            <w:pPr>
              <w:pStyle w:val="178"/>
            </w:pPr>
          </w:p>
        </w:tc>
        <w:tc>
          <w:tcPr>
            <w:tcW w:w="1354" w:type="dxa"/>
            <w:shd w:val="clear" w:color="auto" w:fill="auto"/>
            <w:vAlign w:val="center"/>
          </w:tcPr>
          <w:p>
            <w:pPr>
              <w:pStyle w:val="178"/>
            </w:pPr>
          </w:p>
        </w:tc>
        <w:tc>
          <w:tcPr>
            <w:tcW w:w="1167" w:type="dxa"/>
            <w:shd w:val="clear" w:color="auto" w:fill="auto"/>
            <w:vAlign w:val="center"/>
          </w:tcPr>
          <w:p>
            <w:pPr>
              <w:pStyle w:val="178"/>
            </w:pPr>
          </w:p>
        </w:tc>
        <w:tc>
          <w:tcPr>
            <w:tcW w:w="11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vAlign w:val="center"/>
          </w:tcPr>
          <w:p>
            <w:pPr>
              <w:pStyle w:val="178"/>
            </w:pPr>
          </w:p>
        </w:tc>
        <w:tc>
          <w:tcPr>
            <w:tcW w:w="1166" w:type="dxa"/>
            <w:shd w:val="clear" w:color="auto" w:fill="auto"/>
            <w:vAlign w:val="center"/>
          </w:tcPr>
          <w:p>
            <w:pPr>
              <w:pStyle w:val="178"/>
            </w:pPr>
          </w:p>
        </w:tc>
        <w:tc>
          <w:tcPr>
            <w:tcW w:w="1167" w:type="dxa"/>
            <w:shd w:val="clear" w:color="auto" w:fill="auto"/>
            <w:vAlign w:val="center"/>
          </w:tcPr>
          <w:p>
            <w:pPr>
              <w:pStyle w:val="178"/>
            </w:pPr>
          </w:p>
        </w:tc>
        <w:tc>
          <w:tcPr>
            <w:tcW w:w="987" w:type="dxa"/>
            <w:shd w:val="clear" w:color="auto" w:fill="auto"/>
            <w:vAlign w:val="center"/>
          </w:tcPr>
          <w:p>
            <w:pPr>
              <w:pStyle w:val="178"/>
            </w:pPr>
          </w:p>
        </w:tc>
        <w:tc>
          <w:tcPr>
            <w:tcW w:w="1160" w:type="dxa"/>
            <w:shd w:val="clear" w:color="auto" w:fill="auto"/>
            <w:vAlign w:val="center"/>
          </w:tcPr>
          <w:p>
            <w:pPr>
              <w:pStyle w:val="178"/>
            </w:pPr>
          </w:p>
        </w:tc>
        <w:tc>
          <w:tcPr>
            <w:tcW w:w="1354" w:type="dxa"/>
            <w:shd w:val="clear" w:color="auto" w:fill="auto"/>
            <w:vAlign w:val="center"/>
          </w:tcPr>
          <w:p>
            <w:pPr>
              <w:pStyle w:val="178"/>
            </w:pPr>
          </w:p>
        </w:tc>
        <w:tc>
          <w:tcPr>
            <w:tcW w:w="1167" w:type="dxa"/>
            <w:shd w:val="clear" w:color="auto" w:fill="auto"/>
            <w:vAlign w:val="center"/>
          </w:tcPr>
          <w:p>
            <w:pPr>
              <w:pStyle w:val="178"/>
            </w:pPr>
          </w:p>
        </w:tc>
        <w:tc>
          <w:tcPr>
            <w:tcW w:w="11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vAlign w:val="center"/>
          </w:tcPr>
          <w:p>
            <w:pPr>
              <w:pStyle w:val="178"/>
            </w:pPr>
          </w:p>
        </w:tc>
        <w:tc>
          <w:tcPr>
            <w:tcW w:w="1166" w:type="dxa"/>
            <w:shd w:val="clear" w:color="auto" w:fill="auto"/>
            <w:vAlign w:val="center"/>
          </w:tcPr>
          <w:p>
            <w:pPr>
              <w:pStyle w:val="178"/>
            </w:pPr>
          </w:p>
        </w:tc>
        <w:tc>
          <w:tcPr>
            <w:tcW w:w="1167" w:type="dxa"/>
            <w:shd w:val="clear" w:color="auto" w:fill="auto"/>
            <w:vAlign w:val="center"/>
          </w:tcPr>
          <w:p>
            <w:pPr>
              <w:pStyle w:val="178"/>
            </w:pPr>
          </w:p>
        </w:tc>
        <w:tc>
          <w:tcPr>
            <w:tcW w:w="987" w:type="dxa"/>
            <w:shd w:val="clear" w:color="auto" w:fill="auto"/>
            <w:vAlign w:val="center"/>
          </w:tcPr>
          <w:p>
            <w:pPr>
              <w:pStyle w:val="178"/>
            </w:pPr>
          </w:p>
        </w:tc>
        <w:tc>
          <w:tcPr>
            <w:tcW w:w="1160" w:type="dxa"/>
            <w:shd w:val="clear" w:color="auto" w:fill="auto"/>
            <w:vAlign w:val="center"/>
          </w:tcPr>
          <w:p>
            <w:pPr>
              <w:pStyle w:val="178"/>
            </w:pPr>
          </w:p>
        </w:tc>
        <w:tc>
          <w:tcPr>
            <w:tcW w:w="1354" w:type="dxa"/>
            <w:shd w:val="clear" w:color="auto" w:fill="auto"/>
            <w:vAlign w:val="center"/>
          </w:tcPr>
          <w:p>
            <w:pPr>
              <w:pStyle w:val="178"/>
            </w:pPr>
          </w:p>
        </w:tc>
        <w:tc>
          <w:tcPr>
            <w:tcW w:w="1167" w:type="dxa"/>
            <w:shd w:val="clear" w:color="auto" w:fill="auto"/>
            <w:vAlign w:val="center"/>
          </w:tcPr>
          <w:p>
            <w:pPr>
              <w:pStyle w:val="178"/>
            </w:pPr>
          </w:p>
        </w:tc>
        <w:tc>
          <w:tcPr>
            <w:tcW w:w="11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vAlign w:val="center"/>
          </w:tcPr>
          <w:p>
            <w:pPr>
              <w:pStyle w:val="178"/>
            </w:pPr>
          </w:p>
        </w:tc>
        <w:tc>
          <w:tcPr>
            <w:tcW w:w="1166" w:type="dxa"/>
            <w:shd w:val="clear" w:color="auto" w:fill="auto"/>
            <w:vAlign w:val="center"/>
          </w:tcPr>
          <w:p>
            <w:pPr>
              <w:pStyle w:val="178"/>
            </w:pPr>
          </w:p>
        </w:tc>
        <w:tc>
          <w:tcPr>
            <w:tcW w:w="1167" w:type="dxa"/>
            <w:shd w:val="clear" w:color="auto" w:fill="auto"/>
            <w:vAlign w:val="center"/>
          </w:tcPr>
          <w:p>
            <w:pPr>
              <w:pStyle w:val="178"/>
            </w:pPr>
          </w:p>
        </w:tc>
        <w:tc>
          <w:tcPr>
            <w:tcW w:w="987" w:type="dxa"/>
            <w:shd w:val="clear" w:color="auto" w:fill="auto"/>
            <w:vAlign w:val="center"/>
          </w:tcPr>
          <w:p>
            <w:pPr>
              <w:pStyle w:val="178"/>
            </w:pPr>
          </w:p>
        </w:tc>
        <w:tc>
          <w:tcPr>
            <w:tcW w:w="1160" w:type="dxa"/>
            <w:shd w:val="clear" w:color="auto" w:fill="auto"/>
            <w:vAlign w:val="center"/>
          </w:tcPr>
          <w:p>
            <w:pPr>
              <w:pStyle w:val="178"/>
            </w:pPr>
          </w:p>
        </w:tc>
        <w:tc>
          <w:tcPr>
            <w:tcW w:w="1354" w:type="dxa"/>
            <w:shd w:val="clear" w:color="auto" w:fill="auto"/>
            <w:vAlign w:val="center"/>
          </w:tcPr>
          <w:p>
            <w:pPr>
              <w:pStyle w:val="178"/>
            </w:pPr>
          </w:p>
        </w:tc>
        <w:tc>
          <w:tcPr>
            <w:tcW w:w="1167" w:type="dxa"/>
            <w:shd w:val="clear" w:color="auto" w:fill="auto"/>
            <w:vAlign w:val="center"/>
          </w:tcPr>
          <w:p>
            <w:pPr>
              <w:pStyle w:val="178"/>
            </w:pPr>
          </w:p>
        </w:tc>
        <w:tc>
          <w:tcPr>
            <w:tcW w:w="1167" w:type="dxa"/>
            <w:shd w:val="clear" w:color="auto" w:fill="auto"/>
            <w:vAlign w:val="center"/>
          </w:tcPr>
          <w:p>
            <w:pPr>
              <w:pStyle w:val="178"/>
            </w:pPr>
          </w:p>
        </w:tc>
      </w:tr>
    </w:tbl>
    <w:p>
      <w:pPr>
        <w:pStyle w:val="56"/>
        <w:ind w:firstLine="420"/>
      </w:pPr>
    </w:p>
    <w:bookmarkEnd w:id="52"/>
    <w:p>
      <w:pPr>
        <w:pStyle w:val="56"/>
        <w:ind w:firstLine="0" w:firstLineChars="0"/>
        <w:jc w:val="center"/>
      </w:pPr>
      <w:bookmarkStart w:id="56" w:name="BookMark8"/>
      <w:r>
        <w:rPr>
          <w:rFonts w:hint="eastAsia"/>
        </w:rPr>
        <w:drawing>
          <wp:inline distT="0" distB="0" distL="0" distR="0">
            <wp:extent cx="1485900" cy="317500"/>
            <wp:effectExtent l="0" t="0" r="0" b="6350"/>
            <wp:docPr id="2093302126" name="图片 1"/>
            <wp:cNvGraphicFramePr/>
            <a:graphic xmlns:a="http://schemas.openxmlformats.org/drawingml/2006/main">
              <a:graphicData uri="http://schemas.openxmlformats.org/drawingml/2006/picture">
                <pic:pic xmlns:pic="http://schemas.openxmlformats.org/drawingml/2006/picture">
                  <pic:nvPicPr>
                    <pic:cNvPr id="2093302126"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pStyle w:val="233"/>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ilOrFPlLY2YUHgxZNa3EBYfkzmDgtKk8uQ5BCo19wxlapACyZxbdh5TvaYS6t6Wbw4LajiOEl/kJDzEuS3SfGg==" w:salt="1Rm5HCsbry5x+3UL0cotN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BlNjM4YWVkOTdlMjljMTE4NDljZjVkZjM5ZDdhMjQifQ=="/>
  </w:docVars>
  <w:rsids>
    <w:rsidRoot w:val="009D7F3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057"/>
    <w:rsid w:val="00077B64"/>
    <w:rsid w:val="00080A1C"/>
    <w:rsid w:val="00082317"/>
    <w:rsid w:val="00083D2C"/>
    <w:rsid w:val="00086AA1"/>
    <w:rsid w:val="00087A77"/>
    <w:rsid w:val="00090CA6"/>
    <w:rsid w:val="00090F71"/>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4D0B"/>
    <w:rsid w:val="000C57D6"/>
    <w:rsid w:val="000C6362"/>
    <w:rsid w:val="000C7666"/>
    <w:rsid w:val="000D0A9C"/>
    <w:rsid w:val="000D1795"/>
    <w:rsid w:val="000D329A"/>
    <w:rsid w:val="000D4B9C"/>
    <w:rsid w:val="000D4EB6"/>
    <w:rsid w:val="000D753B"/>
    <w:rsid w:val="000E3A72"/>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67C"/>
    <w:rsid w:val="00176DFD"/>
    <w:rsid w:val="001838E5"/>
    <w:rsid w:val="001852C9"/>
    <w:rsid w:val="00190087"/>
    <w:rsid w:val="001913C4"/>
    <w:rsid w:val="0019212D"/>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557"/>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E32"/>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738"/>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C29"/>
    <w:rsid w:val="003D0519"/>
    <w:rsid w:val="003D0FF6"/>
    <w:rsid w:val="003D262C"/>
    <w:rsid w:val="003D6D61"/>
    <w:rsid w:val="003D79C6"/>
    <w:rsid w:val="003E091D"/>
    <w:rsid w:val="003E1C53"/>
    <w:rsid w:val="003E2A69"/>
    <w:rsid w:val="003E2B5A"/>
    <w:rsid w:val="003E2D49"/>
    <w:rsid w:val="003E2FD4"/>
    <w:rsid w:val="003E49F6"/>
    <w:rsid w:val="003E660F"/>
    <w:rsid w:val="003E744F"/>
    <w:rsid w:val="003F0841"/>
    <w:rsid w:val="003F23D3"/>
    <w:rsid w:val="003F3F08"/>
    <w:rsid w:val="003F49F1"/>
    <w:rsid w:val="003F6272"/>
    <w:rsid w:val="00400E72"/>
    <w:rsid w:val="00401400"/>
    <w:rsid w:val="00404869"/>
    <w:rsid w:val="00405884"/>
    <w:rsid w:val="00407D39"/>
    <w:rsid w:val="00411C6F"/>
    <w:rsid w:val="0041477A"/>
    <w:rsid w:val="004167A3"/>
    <w:rsid w:val="004248B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AD9"/>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73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7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1B2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E9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52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9B7"/>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D05"/>
    <w:rsid w:val="00727FA2"/>
    <w:rsid w:val="007322D9"/>
    <w:rsid w:val="00732BC0"/>
    <w:rsid w:val="007364B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F95"/>
    <w:rsid w:val="00765C43"/>
    <w:rsid w:val="00765EFB"/>
    <w:rsid w:val="007671CA"/>
    <w:rsid w:val="00767C61"/>
    <w:rsid w:val="0077008A"/>
    <w:rsid w:val="00773C1F"/>
    <w:rsid w:val="00774DA4"/>
    <w:rsid w:val="00776599"/>
    <w:rsid w:val="0078114B"/>
    <w:rsid w:val="00781DD2"/>
    <w:rsid w:val="00782313"/>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543"/>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565"/>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90D"/>
    <w:rsid w:val="008A1893"/>
    <w:rsid w:val="008A3215"/>
    <w:rsid w:val="008A57E6"/>
    <w:rsid w:val="008A6F81"/>
    <w:rsid w:val="008A769A"/>
    <w:rsid w:val="008B0C9C"/>
    <w:rsid w:val="008B105A"/>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D7F3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54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31B"/>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DD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2AE"/>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206"/>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1A"/>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37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68B"/>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C2E"/>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1EF"/>
    <w:rsid w:val="00EE0350"/>
    <w:rsid w:val="00EE0719"/>
    <w:rsid w:val="00EE0E80"/>
    <w:rsid w:val="00EE54A6"/>
    <w:rsid w:val="00EE613F"/>
    <w:rsid w:val="00EE6297"/>
    <w:rsid w:val="00EE7295"/>
    <w:rsid w:val="00EE7869"/>
    <w:rsid w:val="00EF054A"/>
    <w:rsid w:val="00EF3235"/>
    <w:rsid w:val="00EF7E72"/>
    <w:rsid w:val="00F06D37"/>
    <w:rsid w:val="00F07B9D"/>
    <w:rsid w:val="00F10BF0"/>
    <w:rsid w:val="00F11586"/>
    <w:rsid w:val="00F1183B"/>
    <w:rsid w:val="00F11C9F"/>
    <w:rsid w:val="00F12263"/>
    <w:rsid w:val="00F1409D"/>
    <w:rsid w:val="00F14214"/>
    <w:rsid w:val="00F157A9"/>
    <w:rsid w:val="00F177C4"/>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006FC"/>
    <w:rsid w:val="080C48EA"/>
    <w:rsid w:val="13774574"/>
    <w:rsid w:val="296F0474"/>
    <w:rsid w:val="2B4106DC"/>
    <w:rsid w:val="2C7C27EC"/>
    <w:rsid w:val="394C73CF"/>
    <w:rsid w:val="44710E7D"/>
    <w:rsid w:val="55264CDD"/>
    <w:rsid w:val="635935D6"/>
    <w:rsid w:val="653452E6"/>
    <w:rsid w:val="6A567FD0"/>
    <w:rsid w:val="70273C3A"/>
    <w:rsid w:val="7C18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段 Char"/>
    <w:link w:val="231"/>
    <w:qFormat/>
    <w:uiPriority w:val="0"/>
    <w:rPr>
      <w:rFonts w:ascii="宋体"/>
      <w:sz w:val="21"/>
    </w:rPr>
  </w:style>
  <w:style w:type="paragraph" w:customStyle="1" w:styleId="231">
    <w:name w:val="段"/>
    <w:link w:val="230"/>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232">
    <w:name w:val="一级条标题 Char"/>
    <w:link w:val="233"/>
    <w:qFormat/>
    <w:uiPriority w:val="0"/>
    <w:rPr>
      <w:rFonts w:ascii="黑体" w:eastAsia="黑体"/>
      <w:sz w:val="21"/>
      <w:szCs w:val="21"/>
    </w:rPr>
  </w:style>
  <w:style w:type="paragraph" w:customStyle="1" w:styleId="233">
    <w:name w:val="一级条标题"/>
    <w:next w:val="231"/>
    <w:link w:val="232"/>
    <w:qFormat/>
    <w:uiPriority w:val="0"/>
    <w:pPr>
      <w:numPr>
        <w:ilvl w:val="1"/>
        <w:numId w:val="23"/>
      </w:numPr>
      <w:spacing w:before="156" w:beforeLines="50" w:after="156" w:afterLines="50"/>
      <w:outlineLvl w:val="2"/>
    </w:pPr>
    <w:rPr>
      <w:rFonts w:ascii="黑体" w:hAnsi="Calibri" w:eastAsia="黑体" w:cs="Times New Roman"/>
      <w:sz w:val="21"/>
      <w:szCs w:val="21"/>
      <w:lang w:val="en-US" w:eastAsia="zh-CN" w:bidi="ar-SA"/>
    </w:rPr>
  </w:style>
  <w:style w:type="character" w:customStyle="1" w:styleId="234">
    <w:name w:val="章标题 Char"/>
    <w:link w:val="235"/>
    <w:qFormat/>
    <w:uiPriority w:val="0"/>
    <w:rPr>
      <w:rFonts w:ascii="黑体" w:eastAsia="黑体"/>
      <w:sz w:val="21"/>
    </w:rPr>
  </w:style>
  <w:style w:type="paragraph" w:customStyle="1" w:styleId="235">
    <w:name w:val="章标题"/>
    <w:next w:val="231"/>
    <w:link w:val="234"/>
    <w:qFormat/>
    <w:uiPriority w:val="0"/>
    <w:pPr>
      <w:tabs>
        <w:tab w:val="left" w:pos="851"/>
      </w:tabs>
      <w:spacing w:before="312" w:beforeLines="100" w:after="312" w:afterLines="100"/>
      <w:ind w:left="851" w:hanging="426"/>
      <w:jc w:val="both"/>
      <w:outlineLvl w:val="1"/>
    </w:pPr>
    <w:rPr>
      <w:rFonts w:ascii="黑体" w:hAnsi="Calibri" w:eastAsia="黑体" w:cs="Times New Roman"/>
      <w:sz w:val="21"/>
      <w:lang w:val="en-US" w:eastAsia="zh-CN" w:bidi="ar-SA"/>
    </w:rPr>
  </w:style>
  <w:style w:type="paragraph" w:customStyle="1" w:styleId="236">
    <w:name w:val="二级条标题"/>
    <w:basedOn w:val="233"/>
    <w:next w:val="231"/>
    <w:link w:val="238"/>
    <w:qFormat/>
    <w:uiPriority w:val="0"/>
    <w:pPr>
      <w:numPr>
        <w:ilvl w:val="2"/>
        <w:numId w:val="32"/>
      </w:numPr>
      <w:tabs>
        <w:tab w:val="left" w:pos="360"/>
        <w:tab w:val="left" w:pos="1730"/>
      </w:tabs>
      <w:spacing w:before="50" w:after="50"/>
      <w:ind w:left="1730" w:hanging="420"/>
      <w:outlineLvl w:val="3"/>
    </w:pPr>
  </w:style>
  <w:style w:type="paragraph" w:customStyle="1" w:styleId="237">
    <w:name w:val="一级无"/>
    <w:basedOn w:val="233"/>
    <w:qFormat/>
    <w:uiPriority w:val="0"/>
    <w:pPr>
      <w:spacing w:before="0" w:beforeLines="0" w:after="0" w:afterLines="0"/>
    </w:pPr>
    <w:rPr>
      <w:rFonts w:ascii="宋体" w:eastAsia="宋体"/>
    </w:rPr>
  </w:style>
  <w:style w:type="character" w:customStyle="1" w:styleId="238">
    <w:name w:val="二级条标题 Char"/>
    <w:basedOn w:val="232"/>
    <w:link w:val="236"/>
    <w:qFormat/>
    <w:uiPriority w:val="0"/>
    <w:rPr>
      <w:rFonts w:ascii="黑体" w:eastAsia="黑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D8A5313913D4E5B8A2C98249E5F290F"/>
        <w:style w:val=""/>
        <w:category>
          <w:name w:val="常规"/>
          <w:gallery w:val="placeholder"/>
        </w:category>
        <w:types>
          <w:type w:val="bbPlcHdr"/>
        </w:types>
        <w:behaviors>
          <w:behavior w:val="content"/>
        </w:behaviors>
        <w:description w:val=""/>
        <w:guid w:val="{548A6359-BF58-419B-A3DE-7EDFE01E2DB7}"/>
      </w:docPartPr>
      <w:docPartBody>
        <w:p>
          <w:pPr>
            <w:pStyle w:val="5"/>
          </w:pPr>
          <w:r>
            <w:rPr>
              <w:rStyle w:val="4"/>
              <w:rFonts w:hint="eastAsia"/>
            </w:rPr>
            <w:t>单击或点击此处输入文字。</w:t>
          </w:r>
        </w:p>
      </w:docPartBody>
    </w:docPart>
    <w:docPart>
      <w:docPartPr>
        <w:name w:val="4337FD91D1C041ACB97A92944C0086DA"/>
        <w:style w:val=""/>
        <w:category>
          <w:name w:val="常规"/>
          <w:gallery w:val="placeholder"/>
        </w:category>
        <w:types>
          <w:type w:val="bbPlcHdr"/>
        </w:types>
        <w:behaviors>
          <w:behavior w:val="content"/>
        </w:behaviors>
        <w:description w:val=""/>
        <w:guid w:val="{3E230D3F-2208-4015-9D32-50AADB114A7A}"/>
      </w:docPartPr>
      <w:docPartBody>
        <w:p>
          <w:pPr>
            <w:pStyle w:val="6"/>
          </w:pPr>
          <w:r>
            <w:rPr>
              <w:rStyle w:val="4"/>
              <w:rFonts w:hint="eastAsia"/>
            </w:rPr>
            <w:t>选择一项。</w:t>
          </w:r>
        </w:p>
      </w:docPartBody>
    </w:docPart>
    <w:docPart>
      <w:docPartPr>
        <w:name w:val="59D38EF67DEC420382851475F2EDD969"/>
        <w:style w:val=""/>
        <w:category>
          <w:name w:val="常规"/>
          <w:gallery w:val="placeholder"/>
        </w:category>
        <w:types>
          <w:type w:val="bbPlcHdr"/>
        </w:types>
        <w:behaviors>
          <w:behavior w:val="content"/>
        </w:behaviors>
        <w:description w:val=""/>
        <w:guid w:val="{8B3A8A5B-8966-48DF-B154-27CA65D2613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C15"/>
    <w:rsid w:val="00056C8C"/>
    <w:rsid w:val="00205C15"/>
    <w:rsid w:val="002F6844"/>
    <w:rsid w:val="00717C1A"/>
    <w:rsid w:val="007D6F59"/>
    <w:rsid w:val="00911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D8A5313913D4E5B8A2C98249E5F290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337FD91D1C041ACB97A92944C0086D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9D38EF67DEC420382851475F2EDD96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2603</Words>
  <Characters>2965</Characters>
  <Lines>1</Lines>
  <Paragraphs>1</Paragraphs>
  <TotalTime>51</TotalTime>
  <ScaleCrop>false</ScaleCrop>
  <LinksUpToDate>false</LinksUpToDate>
  <CharactersWithSpaces>3478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2023-09-10T01:08:00Z</dcterms:created>
  <dc:creator>LL</dc:creator>
  <dc:description>&lt;config cover="true" show_menu="true" version="1.0.0" doctype="SDKXY"&gt;_x000d_
&lt;/config&gt;</dc:description>
  <cp:lastModifiedBy>A</cp:lastModifiedBy>
  <cp:lastPrinted>2023-10-25T01:26:48Z</cp:lastPrinted>
  <dcterms:modified xsi:type="dcterms:W3CDTF">2023-10-25T01:30:23Z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A034784A5E9E4F2E85ECB0A74405D0F1_13</vt:lpwstr>
  </property>
</Properties>
</file>