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kern w:val="0"/>
          <w:sz w:val="36"/>
          <w:szCs w:val="21"/>
        </w:rPr>
      </w:pPr>
      <w:r>
        <w:rPr>
          <w:rFonts w:hint="eastAsia"/>
          <w:b/>
          <w:kern w:val="0"/>
          <w:sz w:val="36"/>
          <w:szCs w:val="21"/>
          <w:lang w:val="en-US" w:eastAsia="zh-CN"/>
        </w:rPr>
        <w:t>南方</w:t>
      </w:r>
      <w:r>
        <w:rPr>
          <w:rFonts w:hint="eastAsia"/>
          <w:b/>
          <w:kern w:val="0"/>
          <w:sz w:val="36"/>
          <w:szCs w:val="21"/>
        </w:rPr>
        <w:t>矿山生态修复植物篱营建技术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eastAsia"/>
          <w:b/>
          <w:kern w:val="0"/>
          <w:sz w:val="36"/>
          <w:szCs w:val="21"/>
          <w:lang w:eastAsia="zh-CN"/>
        </w:rPr>
      </w:pPr>
      <w:r>
        <w:rPr>
          <w:rFonts w:hint="eastAsia"/>
          <w:b/>
          <w:kern w:val="0"/>
          <w:sz w:val="36"/>
          <w:szCs w:val="21"/>
          <w:lang w:val="en-US" w:eastAsia="zh-CN"/>
        </w:rPr>
        <w:t>地方</w:t>
      </w:r>
      <w:r>
        <w:rPr>
          <w:rFonts w:hint="eastAsia"/>
          <w:b/>
          <w:kern w:val="0"/>
          <w:sz w:val="36"/>
          <w:szCs w:val="21"/>
          <w:lang w:eastAsia="zh-CN"/>
        </w:rPr>
        <w:t>标准编制说明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工作简况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随着国家对生态文明建设的重视程度不断提高，矿山环境的恢复治理也越来越得到重视。自20世纪80年代以来，我国的矿山治理取得了不错的成效，截止2014年，国家用于矿山生态环境恢复的资金投入累计高达901亿元，废弃地的复垦系数从5%提高到15%，却仍低于国际平均水平，更远低于欧美发达国家80%的水平。因此，我国的矿山修复仍有很大的市场潜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自然修复是矿山修复的研究热点，而植物在自然修复中承担了十分重要的角色。行业标准《南方有色金属矿区废弃地植被生态恢复技术规程》对我国长江以南地区有色金属矿区废弃地土壤改良、土地复垦与整理、抗逆性植物材料选择、人工植被修复苗木质量标准、生态造林等方面作出了技术要求。行业标准《植物篱营建技术规程》对全国范围内植物篱的建设和管护作出了技术要求。而现行标准中缺少针对南方矿山生态修复的植物篱营建技术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西施生态科技股份有限公司专注国土绿化20余年，在矿山生态修复行业也积累了较为丰富的科技成果和实践经验。标准的主要负责人张卫高级工程师从事生态修复行业20余年，获得专利40项、科技成果13项，参与制定标准3项；获得中国创新创业大赛优秀奖1项，中国林业产业创新奖1项，益阳市科技进步奖二等奖、三等奖和技术发明奖各1项。近5年主持“矿区生态修复综合治理技术研究与示范”、“重金属污染土壤修复抗性植物筛选与应用研究”等省、市科技计划10余项。同时，项目组成员长期从事生态修复施工、设计和科研工作，具有丰富的工作经验，为本项目实施提供技术支持和保障。主要参加单位及人员分工见表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/>
          <w:szCs w:val="21"/>
          <w:lang w:val="en-US" w:eastAsia="zh-CN"/>
        </w:rPr>
      </w:pPr>
    </w:p>
    <w:p>
      <w:pPr>
        <w:rPr>
          <w:rFonts w:asciiTheme="minorEastAsia" w:hAnsiTheme="minorEastAsia" w:eastAsiaTheme="minorEastAsia"/>
          <w:b/>
          <w:sz w:val="28"/>
          <w:szCs w:val="24"/>
        </w:rPr>
      </w:pPr>
      <w:r>
        <w:rPr>
          <w:rFonts w:asciiTheme="minorEastAsia" w:hAnsiTheme="minorEastAsia" w:eastAsiaTheme="minorEastAsia"/>
          <w:b/>
          <w:sz w:val="28"/>
          <w:szCs w:val="24"/>
        </w:rPr>
        <w:br w:type="page"/>
      </w:r>
    </w:p>
    <w:p>
      <w:pPr>
        <w:adjustRightInd w:val="0"/>
        <w:snapToGrid w:val="0"/>
        <w:spacing w:beforeLines="50" w:afterLines="50" w:line="360" w:lineRule="auto"/>
        <w:ind w:firstLine="562"/>
        <w:jc w:val="center"/>
        <w:rPr>
          <w:rFonts w:asciiTheme="minorEastAsia" w:hAnsiTheme="minorEastAsia" w:eastAsiaTheme="minorEastAsia"/>
          <w:b/>
          <w:sz w:val="28"/>
          <w:szCs w:val="24"/>
        </w:rPr>
      </w:pPr>
      <w:r>
        <w:rPr>
          <w:rFonts w:asciiTheme="minorEastAsia" w:hAnsiTheme="minorEastAsia" w:eastAsiaTheme="minorEastAsia"/>
          <w:b/>
          <w:sz w:val="28"/>
          <w:szCs w:val="24"/>
        </w:rPr>
        <w:t>表</w:t>
      </w:r>
      <w:r>
        <w:rPr>
          <w:rFonts w:hint="eastAsia" w:asciiTheme="minorEastAsia" w:hAnsiTheme="minorEastAsia" w:eastAsiaTheme="minorEastAsia"/>
          <w:b/>
          <w:sz w:val="28"/>
          <w:szCs w:val="24"/>
        </w:rPr>
        <w:t>1</w:t>
      </w:r>
      <w:r>
        <w:rPr>
          <w:rFonts w:asciiTheme="minorEastAsia" w:hAnsiTheme="minorEastAsia" w:eastAsiaTheme="minorEastAsia"/>
          <w:b/>
          <w:sz w:val="28"/>
          <w:szCs w:val="24"/>
        </w:rPr>
        <w:t xml:space="preserve"> 项目主要参加单位及人员分工</w:t>
      </w:r>
    </w:p>
    <w:tbl>
      <w:tblPr>
        <w:tblStyle w:val="4"/>
        <w:tblW w:w="93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40"/>
        <w:gridCol w:w="2745"/>
        <w:gridCol w:w="1176"/>
        <w:gridCol w:w="1607"/>
        <w:gridCol w:w="1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32" w:type="dxa"/>
            <w:vAlign w:val="center"/>
          </w:tcPr>
          <w:p>
            <w:p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140" w:type="dxa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 名</w:t>
            </w:r>
          </w:p>
        </w:tc>
        <w:tc>
          <w:tcPr>
            <w:tcW w:w="2745" w:type="dxa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 作 单 位</w:t>
            </w:r>
          </w:p>
        </w:tc>
        <w:tc>
          <w:tcPr>
            <w:tcW w:w="1176" w:type="dxa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 业</w:t>
            </w:r>
          </w:p>
        </w:tc>
        <w:tc>
          <w:tcPr>
            <w:tcW w:w="1607" w:type="dxa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职称/职务</w:t>
            </w:r>
          </w:p>
        </w:tc>
        <w:tc>
          <w:tcPr>
            <w:tcW w:w="1967" w:type="dxa"/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  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张卫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西施生态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科技股份有限公司</w:t>
            </w:r>
          </w:p>
        </w:tc>
        <w:tc>
          <w:tcPr>
            <w:tcW w:w="11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水土保持与荒漠化防治</w:t>
            </w:r>
          </w:p>
        </w:tc>
        <w:tc>
          <w:tcPr>
            <w:tcW w:w="16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高级工程师</w:t>
            </w:r>
          </w:p>
        </w:tc>
        <w:tc>
          <w:tcPr>
            <w:tcW w:w="19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负责项目</w:t>
            </w: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统筹实施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32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王勇坚</w:t>
            </w:r>
          </w:p>
        </w:tc>
        <w:tc>
          <w:tcPr>
            <w:tcW w:w="2745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西施生态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科技股份有限公司</w:t>
            </w:r>
          </w:p>
        </w:tc>
        <w:tc>
          <w:tcPr>
            <w:tcW w:w="1176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信息</w:t>
            </w:r>
          </w:p>
        </w:tc>
        <w:tc>
          <w:tcPr>
            <w:tcW w:w="160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副研究员</w:t>
            </w:r>
          </w:p>
        </w:tc>
        <w:tc>
          <w:tcPr>
            <w:tcW w:w="19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负责项目实施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32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刘加力</w:t>
            </w:r>
          </w:p>
        </w:tc>
        <w:tc>
          <w:tcPr>
            <w:tcW w:w="2745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西施生态科技股份有限公司</w:t>
            </w:r>
          </w:p>
        </w:tc>
        <w:tc>
          <w:tcPr>
            <w:tcW w:w="1176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环境工程</w:t>
            </w:r>
          </w:p>
        </w:tc>
        <w:tc>
          <w:tcPr>
            <w:tcW w:w="160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高级工程师</w:t>
            </w:r>
          </w:p>
        </w:tc>
        <w:tc>
          <w:tcPr>
            <w:tcW w:w="19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试验布置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32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周金星</w:t>
            </w:r>
          </w:p>
        </w:tc>
        <w:tc>
          <w:tcPr>
            <w:tcW w:w="2745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北京林业大学</w:t>
            </w:r>
          </w:p>
        </w:tc>
        <w:tc>
          <w:tcPr>
            <w:tcW w:w="11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水土保持与荒漠化防治</w:t>
            </w:r>
          </w:p>
        </w:tc>
        <w:tc>
          <w:tcPr>
            <w:tcW w:w="160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教授</w:t>
            </w:r>
          </w:p>
        </w:tc>
        <w:tc>
          <w:tcPr>
            <w:tcW w:w="19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试验设计与布置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32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崔  明</w:t>
            </w:r>
          </w:p>
        </w:tc>
        <w:tc>
          <w:tcPr>
            <w:tcW w:w="2745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北京林业大学</w:t>
            </w:r>
          </w:p>
        </w:tc>
        <w:tc>
          <w:tcPr>
            <w:tcW w:w="11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石漠化治理</w:t>
            </w:r>
          </w:p>
        </w:tc>
        <w:tc>
          <w:tcPr>
            <w:tcW w:w="160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副研究员</w:t>
            </w:r>
          </w:p>
        </w:tc>
        <w:tc>
          <w:tcPr>
            <w:tcW w:w="19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试验设计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32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黄艳君</w:t>
            </w:r>
          </w:p>
        </w:tc>
        <w:tc>
          <w:tcPr>
            <w:tcW w:w="2745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益阳市林学会</w:t>
            </w:r>
          </w:p>
        </w:tc>
        <w:tc>
          <w:tcPr>
            <w:tcW w:w="1176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森林培育</w:t>
            </w:r>
          </w:p>
        </w:tc>
        <w:tc>
          <w:tcPr>
            <w:tcW w:w="160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工程师</w:t>
            </w:r>
          </w:p>
        </w:tc>
        <w:tc>
          <w:tcPr>
            <w:tcW w:w="19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试验设计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32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张治平</w:t>
            </w:r>
          </w:p>
        </w:tc>
        <w:tc>
          <w:tcPr>
            <w:tcW w:w="2745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西施生态科技股份有限公司</w:t>
            </w:r>
          </w:p>
        </w:tc>
        <w:tc>
          <w:tcPr>
            <w:tcW w:w="1176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地质</w:t>
            </w:r>
          </w:p>
        </w:tc>
        <w:tc>
          <w:tcPr>
            <w:tcW w:w="160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工程师</w:t>
            </w:r>
          </w:p>
        </w:tc>
        <w:tc>
          <w:tcPr>
            <w:tcW w:w="19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试验布置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32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孙玉文</w:t>
            </w:r>
          </w:p>
        </w:tc>
        <w:tc>
          <w:tcPr>
            <w:tcW w:w="2745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湖南省园林建设有限公司</w:t>
            </w:r>
          </w:p>
        </w:tc>
        <w:tc>
          <w:tcPr>
            <w:tcW w:w="1176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工商管理</w:t>
            </w:r>
          </w:p>
        </w:tc>
        <w:tc>
          <w:tcPr>
            <w:tcW w:w="160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工程师</w:t>
            </w:r>
          </w:p>
        </w:tc>
        <w:tc>
          <w:tcPr>
            <w:tcW w:w="19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统筹协调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32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郭  静</w:t>
            </w:r>
          </w:p>
        </w:tc>
        <w:tc>
          <w:tcPr>
            <w:tcW w:w="2745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西施生态科技股份有限公司</w:t>
            </w:r>
          </w:p>
        </w:tc>
        <w:tc>
          <w:tcPr>
            <w:tcW w:w="1176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环保工程</w:t>
            </w:r>
          </w:p>
        </w:tc>
        <w:tc>
          <w:tcPr>
            <w:tcW w:w="160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工程师</w:t>
            </w:r>
          </w:p>
        </w:tc>
        <w:tc>
          <w:tcPr>
            <w:tcW w:w="19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数据统筹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32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施雅儒</w:t>
            </w:r>
          </w:p>
        </w:tc>
        <w:tc>
          <w:tcPr>
            <w:tcW w:w="2745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西施生态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科技股份有限公司</w:t>
            </w:r>
          </w:p>
        </w:tc>
        <w:tc>
          <w:tcPr>
            <w:tcW w:w="1176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管理学</w:t>
            </w:r>
          </w:p>
        </w:tc>
        <w:tc>
          <w:tcPr>
            <w:tcW w:w="160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助理工程师</w:t>
            </w:r>
          </w:p>
        </w:tc>
        <w:tc>
          <w:tcPr>
            <w:tcW w:w="19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数据采集与分析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32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刘建华</w:t>
            </w:r>
          </w:p>
        </w:tc>
        <w:tc>
          <w:tcPr>
            <w:tcW w:w="2745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湖南省园林建设有限公司</w:t>
            </w:r>
          </w:p>
        </w:tc>
        <w:tc>
          <w:tcPr>
            <w:tcW w:w="1176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环境工程</w:t>
            </w:r>
          </w:p>
        </w:tc>
        <w:tc>
          <w:tcPr>
            <w:tcW w:w="160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高级工程师</w:t>
            </w:r>
          </w:p>
        </w:tc>
        <w:tc>
          <w:tcPr>
            <w:tcW w:w="19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文稿编写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32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侯晓丽</w:t>
            </w:r>
          </w:p>
        </w:tc>
        <w:tc>
          <w:tcPr>
            <w:tcW w:w="2745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湖南省矿山生态修复工程</w:t>
            </w:r>
          </w:p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技术研究中心</w:t>
            </w:r>
          </w:p>
        </w:tc>
        <w:tc>
          <w:tcPr>
            <w:tcW w:w="1176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森林培育</w:t>
            </w:r>
          </w:p>
        </w:tc>
        <w:tc>
          <w:tcPr>
            <w:tcW w:w="160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工程师</w:t>
            </w:r>
          </w:p>
        </w:tc>
        <w:tc>
          <w:tcPr>
            <w:tcW w:w="19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32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  丹</w:t>
            </w:r>
          </w:p>
        </w:tc>
        <w:tc>
          <w:tcPr>
            <w:tcW w:w="2745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湖南省园林建设有限公司</w:t>
            </w:r>
          </w:p>
        </w:tc>
        <w:tc>
          <w:tcPr>
            <w:tcW w:w="1176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  <w:tc>
          <w:tcPr>
            <w:tcW w:w="160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助理工程师</w:t>
            </w:r>
          </w:p>
        </w:tc>
        <w:tc>
          <w:tcPr>
            <w:tcW w:w="19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数据采集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32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曹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艳青</w:t>
            </w:r>
          </w:p>
        </w:tc>
        <w:tc>
          <w:tcPr>
            <w:tcW w:w="2745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西施生态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科技股份有限公司</w:t>
            </w:r>
          </w:p>
        </w:tc>
        <w:tc>
          <w:tcPr>
            <w:tcW w:w="1176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  <w:tc>
          <w:tcPr>
            <w:tcW w:w="160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高级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工程师</w:t>
            </w:r>
          </w:p>
        </w:tc>
        <w:tc>
          <w:tcPr>
            <w:tcW w:w="19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试验设计</w:t>
            </w: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32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陈紫燕</w:t>
            </w:r>
          </w:p>
        </w:tc>
        <w:tc>
          <w:tcPr>
            <w:tcW w:w="2745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湖南省园林建设有限公司</w:t>
            </w:r>
          </w:p>
        </w:tc>
        <w:tc>
          <w:tcPr>
            <w:tcW w:w="1176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环境工程</w:t>
            </w:r>
          </w:p>
        </w:tc>
        <w:tc>
          <w:tcPr>
            <w:tcW w:w="160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工程师</w:t>
            </w:r>
          </w:p>
        </w:tc>
        <w:tc>
          <w:tcPr>
            <w:tcW w:w="19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数据采集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32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黄艳君</w:t>
            </w:r>
          </w:p>
        </w:tc>
        <w:tc>
          <w:tcPr>
            <w:tcW w:w="2745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益阳市林学会</w:t>
            </w:r>
          </w:p>
        </w:tc>
        <w:tc>
          <w:tcPr>
            <w:tcW w:w="1176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森林培育</w:t>
            </w:r>
          </w:p>
        </w:tc>
        <w:tc>
          <w:tcPr>
            <w:tcW w:w="160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工程师</w:t>
            </w:r>
          </w:p>
        </w:tc>
        <w:tc>
          <w:tcPr>
            <w:tcW w:w="19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32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  容</w:t>
            </w:r>
          </w:p>
        </w:tc>
        <w:tc>
          <w:tcPr>
            <w:tcW w:w="2745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湖南省园林建设有限公司</w:t>
            </w:r>
          </w:p>
        </w:tc>
        <w:tc>
          <w:tcPr>
            <w:tcW w:w="1176" w:type="dxa"/>
            <w:vAlign w:val="center"/>
          </w:tcPr>
          <w:p>
            <w:pPr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园林</w:t>
            </w:r>
          </w:p>
        </w:tc>
        <w:tc>
          <w:tcPr>
            <w:tcW w:w="160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工程师</w:t>
            </w:r>
          </w:p>
        </w:tc>
        <w:tc>
          <w:tcPr>
            <w:tcW w:w="19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技术推广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/>
          <w:kern w:val="0"/>
          <w:sz w:val="24"/>
          <w:szCs w:val="16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/>
          <w:b/>
          <w:kern w:val="0"/>
          <w:sz w:val="28"/>
          <w:szCs w:val="28"/>
          <w:lang w:eastAsia="zh-CN"/>
        </w:rPr>
      </w:pPr>
      <w:r>
        <w:rPr>
          <w:rFonts w:hint="eastAsia"/>
          <w:b/>
          <w:kern w:val="0"/>
          <w:sz w:val="28"/>
          <w:szCs w:val="28"/>
          <w:lang w:eastAsia="zh-CN"/>
        </w:rPr>
        <w:t>主要技术内容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360" w:lineRule="auto"/>
        <w:ind w:leftChars="0"/>
        <w:jc w:val="both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/>
          <w:kern w:val="2"/>
          <w:sz w:val="24"/>
          <w:szCs w:val="24"/>
        </w:rPr>
        <w:t xml:space="preserve"> 土壤肥力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根据下式计算土壤肥力指标：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position w:val="-28"/>
          <w:sz w:val="24"/>
          <w:szCs w:val="24"/>
        </w:rPr>
        <w:object>
          <v:shape id="_x0000_i1025" o:spt="75" type="#_x0000_t75" style="height:34.2pt;width:82.2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SEQ 标准自动公式 \* ARABIC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式中：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/>
          <w:iCs/>
          <w:sz w:val="24"/>
          <w:szCs w:val="24"/>
        </w:rPr>
        <w:t>N</w:t>
      </w:r>
      <w:r>
        <w:rPr>
          <w:rFonts w:hint="eastAsia" w:ascii="宋体" w:hAnsi="宋体" w:eastAsia="宋体" w:cs="宋体"/>
          <w:i/>
          <w:iCs/>
          <w:sz w:val="24"/>
          <w:szCs w:val="24"/>
          <w:vertAlign w:val="subscript"/>
        </w:rPr>
        <w:t>i</w:t>
      </w:r>
      <w:r>
        <w:rPr>
          <w:rFonts w:hint="eastAsia" w:ascii="宋体" w:hAnsi="宋体" w:eastAsia="宋体" w:cs="宋体"/>
          <w:sz w:val="24"/>
          <w:szCs w:val="24"/>
        </w:rPr>
        <w:t>—第i种养分指标的隶属度值；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/>
          <w:iCs/>
          <w:sz w:val="24"/>
          <w:szCs w:val="24"/>
        </w:rPr>
        <w:t>W</w:t>
      </w:r>
      <w:r>
        <w:rPr>
          <w:rFonts w:hint="eastAsia" w:ascii="宋体" w:hAnsi="宋体" w:eastAsia="宋体" w:cs="宋体"/>
          <w:i/>
          <w:iCs/>
          <w:sz w:val="24"/>
          <w:szCs w:val="24"/>
          <w:vertAlign w:val="subscript"/>
        </w:rPr>
        <w:t>i</w:t>
      </w:r>
      <w:r>
        <w:rPr>
          <w:rFonts w:hint="eastAsia" w:ascii="宋体" w:hAnsi="宋体" w:eastAsia="宋体" w:cs="宋体"/>
          <w:sz w:val="24"/>
          <w:szCs w:val="24"/>
        </w:rPr>
        <w:t>—第i种养分指标的权重系数。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将计算出来的土壤综合肥力指标值划分为5个等级，土壤综合肥力分级标准见表1。</w:t>
      </w:r>
    </w:p>
    <w:p>
      <w:pPr>
        <w:pStyle w:val="7"/>
      </w:pPr>
    </w:p>
    <w:p>
      <w:pPr>
        <w:pStyle w:val="9"/>
        <w:numPr>
          <w:ilvl w:val="0"/>
          <w:numId w:val="3"/>
        </w:numPr>
        <w:spacing w:before="0" w:beforeLines="0" w:after="0" w:afterLines="0"/>
        <w:rPr>
          <w:lang w:val="en-US" w:eastAsia="zh-CN"/>
        </w:rPr>
      </w:pPr>
      <w:r>
        <w:rPr>
          <w:lang w:val="en-US" w:eastAsia="zh-CN"/>
        </w:rPr>
        <w:t>土壤综合肥力指标值</w:t>
      </w:r>
    </w:p>
    <w:tbl>
      <w:tblPr>
        <w:tblStyle w:val="4"/>
        <w:tblW w:w="0" w:type="auto"/>
        <w:tblInd w:w="25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1348"/>
        <w:gridCol w:w="1701"/>
        <w:gridCol w:w="1560"/>
        <w:gridCol w:w="1559"/>
        <w:gridCol w:w="127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rPr>
                <w:rFonts w:hint="eastAsia" w:ascii="宋体"/>
                <w:sz w:val="18"/>
              </w:rPr>
            </w:pPr>
          </w:p>
        </w:tc>
        <w:tc>
          <w:tcPr>
            <w:tcW w:w="134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Times New Roman"/>
              </w:rPr>
            </w:pPr>
            <w:r>
              <w:rPr>
                <w:rFonts w:ascii="Times New Roman"/>
                <w:i/>
                <w:iCs/>
              </w:rPr>
              <w:t>IFI</w:t>
            </w:r>
            <w:r>
              <w:rPr>
                <w:rFonts w:ascii="Times New Roman"/>
              </w:rPr>
              <w:t>&gt;0.75</w:t>
            </w:r>
          </w:p>
        </w:tc>
        <w:tc>
          <w:tcPr>
            <w:tcW w:w="1701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0.65&lt;</w:t>
            </w:r>
            <w:r>
              <w:rPr>
                <w:rFonts w:ascii="Times New Roman"/>
                <w:i/>
                <w:iCs/>
              </w:rPr>
              <w:t>IFI</w:t>
            </w:r>
            <w:r>
              <w:rPr>
                <w:rFonts w:ascii="Times New Roman"/>
              </w:rPr>
              <w:t>≤0.75</w:t>
            </w:r>
          </w:p>
        </w:tc>
        <w:tc>
          <w:tcPr>
            <w:tcW w:w="156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0.55&lt;</w:t>
            </w:r>
            <w:r>
              <w:rPr>
                <w:rFonts w:ascii="Times New Roman"/>
                <w:i/>
                <w:iCs/>
              </w:rPr>
              <w:t>IFI</w:t>
            </w:r>
            <w:r>
              <w:rPr>
                <w:rFonts w:ascii="Times New Roman"/>
              </w:rPr>
              <w:t>≤0.65</w:t>
            </w:r>
          </w:p>
        </w:tc>
        <w:tc>
          <w:tcPr>
            <w:tcW w:w="1559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0.45&lt;</w:t>
            </w:r>
            <w:r>
              <w:rPr>
                <w:rFonts w:ascii="Times New Roman"/>
                <w:i/>
                <w:iCs/>
              </w:rPr>
              <w:t>IFI</w:t>
            </w:r>
            <w:r>
              <w:rPr>
                <w:rFonts w:ascii="Times New Roman"/>
              </w:rPr>
              <w:t>≤0.55</w:t>
            </w:r>
          </w:p>
        </w:tc>
        <w:tc>
          <w:tcPr>
            <w:tcW w:w="1276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Times New Roman"/>
              </w:rPr>
            </w:pPr>
            <w:r>
              <w:rPr>
                <w:rFonts w:ascii="Times New Roman"/>
                <w:i/>
                <w:iCs/>
              </w:rPr>
              <w:t>IFI</w:t>
            </w:r>
            <w:r>
              <w:rPr>
                <w:rFonts w:ascii="Times New Roman"/>
              </w:rPr>
              <w:t>≤0.45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5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等级</w:t>
            </w:r>
          </w:p>
        </w:tc>
        <w:tc>
          <w:tcPr>
            <w:tcW w:w="1348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高</w:t>
            </w:r>
          </w:p>
        </w:tc>
        <w:tc>
          <w:tcPr>
            <w:tcW w:w="1701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较高</w:t>
            </w:r>
          </w:p>
        </w:tc>
        <w:tc>
          <w:tcPr>
            <w:tcW w:w="1560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中等</w:t>
            </w:r>
          </w:p>
        </w:tc>
        <w:tc>
          <w:tcPr>
            <w:tcW w:w="1559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较低</w:t>
            </w:r>
          </w:p>
        </w:tc>
        <w:tc>
          <w:tcPr>
            <w:tcW w:w="1276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5" w:type="dxa"/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Times New Roman"/>
              </w:rPr>
            </w:pPr>
            <w:r>
              <w:rPr>
                <w:rFonts w:ascii="Times New Roman"/>
                <w:i/>
                <w:iCs/>
              </w:rPr>
              <w:t>IFI</w:t>
            </w:r>
            <w:r>
              <w:rPr>
                <w:rFonts w:ascii="Times New Roman"/>
              </w:rPr>
              <w:t>平均值</w:t>
            </w:r>
          </w:p>
        </w:tc>
        <w:tc>
          <w:tcPr>
            <w:tcW w:w="1348" w:type="dxa"/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0.86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0.70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0.58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0.52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0.35</w:t>
            </w:r>
          </w:p>
        </w:tc>
      </w:tr>
    </w:tbl>
    <w:p>
      <w:pPr>
        <w:pStyle w:val="6"/>
        <w:numPr>
          <w:ilvl w:val="0"/>
          <w:numId w:val="0"/>
        </w:numPr>
        <w:spacing w:before="0" w:beforeLines="0" w:after="0" w:afterLines="0"/>
        <w:jc w:val="both"/>
        <w:rPr>
          <w:rFonts w:hint="eastAsia" w:hAnsi="宋体"/>
          <w:b/>
          <w:kern w:val="2"/>
          <w:szCs w:val="21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360" w:lineRule="auto"/>
        <w:jc w:val="both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b/>
          <w:kern w:val="2"/>
          <w:sz w:val="24"/>
          <w:szCs w:val="24"/>
        </w:rPr>
        <w:t>土壤重金属污染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采用内梅罗综合污染指数法评价废弃矿区重金属污染状况，综合污染指数计算方法如下：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position w:val="-26"/>
          <w:sz w:val="24"/>
          <w:szCs w:val="24"/>
        </w:rPr>
        <w:object>
          <v:shape id="_x0000_i1026" o:spt="75" type="#_x0000_t75" style="height:40.8pt;width:109.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SEQ 标准自动公式 \* ARABIC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position w:val="-24"/>
          <w:sz w:val="24"/>
          <w:szCs w:val="24"/>
        </w:rPr>
        <w:object>
          <v:shape id="_x0000_i1027" o:spt="75" type="#_x0000_t75" style="height:52.2pt;width:55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SEQ 标准自动公式 \* ARABIC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式中：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205740" cy="228600"/>
            <wp:effectExtent l="0" t="0" r="381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—n个样点的综合污染指数；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/>
          <w:i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12420" cy="228600"/>
            <wp:effectExtent l="0" t="0" r="1143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—n个样点中最大污染指数；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object>
          <v:shape id="_x0000_i1028" o:spt="75" type="#_x0000_t75" style="height:16.8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—平均单项污染指数；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position w:val="-14"/>
          <w:sz w:val="24"/>
          <w:szCs w:val="24"/>
        </w:rPr>
        <w:object>
          <v:shape id="_x0000_i1029" o:spt="75" type="#_x0000_t75" style="height:17.4pt;width:15.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—为第i种污染因子的实测浓度；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position w:val="-14"/>
          <w:sz w:val="24"/>
          <w:szCs w:val="24"/>
        </w:rPr>
        <w:object>
          <v:shape id="_x0000_i1030" o:spt="75" type="#_x0000_t75" style="height:16.2pt;width:13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—为第i种污染因子的标准值或背景值。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综合污染指数分级标准见表2。</w:t>
      </w:r>
    </w:p>
    <w:p>
      <w:pPr>
        <w:pStyle w:val="9"/>
        <w:numPr>
          <w:ilvl w:val="0"/>
          <w:numId w:val="3"/>
        </w:numPr>
        <w:spacing w:before="0" w:beforeLines="0" w:after="0" w:afterLine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土壤重金属综合污染分级标准</w:t>
      </w:r>
    </w:p>
    <w:tbl>
      <w:tblPr>
        <w:tblStyle w:val="4"/>
        <w:tblW w:w="9005" w:type="dxa"/>
        <w:tblInd w:w="25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4"/>
        <w:gridCol w:w="2025"/>
        <w:gridCol w:w="1669"/>
        <w:gridCol w:w="328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024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土壤综合污染等级</w:t>
            </w:r>
          </w:p>
        </w:tc>
        <w:tc>
          <w:tcPr>
            <w:tcW w:w="202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土壤综合污染指数</w:t>
            </w:r>
          </w:p>
        </w:tc>
        <w:tc>
          <w:tcPr>
            <w:tcW w:w="1669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污染程度</w:t>
            </w:r>
          </w:p>
        </w:tc>
        <w:tc>
          <w:tcPr>
            <w:tcW w:w="3287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污染水平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024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2025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-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571500" cy="228600"/>
                  <wp:effectExtent l="0" t="0" r="0" b="0"/>
                  <wp:docPr id="13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9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安全</w:t>
            </w:r>
          </w:p>
        </w:tc>
        <w:tc>
          <w:tcPr>
            <w:tcW w:w="3287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清洁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02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202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-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883920" cy="228600"/>
                  <wp:effectExtent l="0" t="0" r="11430" b="0"/>
                  <wp:docPr id="17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9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警戒线</w:t>
            </w:r>
          </w:p>
        </w:tc>
        <w:tc>
          <w:tcPr>
            <w:tcW w:w="328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尚清洁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024" w:type="dxa"/>
            <w:tcBorders>
              <w:top w:val="single" w:color="auto" w:sz="4" w:space="0"/>
              <w:bottom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2025" w:type="dxa"/>
            <w:tcBorders>
              <w:top w:val="single" w:color="auto" w:sz="4" w:space="0"/>
              <w:bottom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-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883920" cy="228600"/>
                  <wp:effectExtent l="0" t="0" r="11430" b="0"/>
                  <wp:docPr id="14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9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9" w:type="dxa"/>
            <w:tcBorders>
              <w:top w:val="single" w:color="auto" w:sz="4" w:space="0"/>
              <w:bottom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轻污染</w:t>
            </w:r>
          </w:p>
        </w:tc>
        <w:tc>
          <w:tcPr>
            <w:tcW w:w="3287" w:type="dxa"/>
            <w:tcBorders>
              <w:top w:val="single" w:color="auto" w:sz="4" w:space="0"/>
              <w:bottom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污染物超过起初污染值，植物开始受害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2024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025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-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906780" cy="228600"/>
                  <wp:effectExtent l="0" t="0" r="7620" b="0"/>
                  <wp:docPr id="16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7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9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中污染</w:t>
            </w:r>
          </w:p>
        </w:tc>
        <w:tc>
          <w:tcPr>
            <w:tcW w:w="3287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土壤污染明显，植物受害较明显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02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2025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-12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563880" cy="228600"/>
                  <wp:effectExtent l="0" t="0" r="7620" b="0"/>
                  <wp:docPr id="12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8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9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重污染</w:t>
            </w:r>
          </w:p>
        </w:tc>
        <w:tc>
          <w:tcPr>
            <w:tcW w:w="3287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土壤污染严重，多数植物不能存活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/>
          <w:kern w:val="0"/>
          <w:sz w:val="24"/>
          <w:szCs w:val="1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both"/>
        <w:textAlignment w:val="auto"/>
        <w:rPr>
          <w:rFonts w:hint="eastAsia"/>
          <w:b/>
          <w:kern w:val="0"/>
          <w:sz w:val="28"/>
          <w:szCs w:val="28"/>
          <w:lang w:eastAsia="zh-CN"/>
        </w:rPr>
      </w:pPr>
      <w:r>
        <w:rPr>
          <w:rFonts w:hint="eastAsia"/>
          <w:b/>
          <w:kern w:val="0"/>
          <w:sz w:val="24"/>
          <w:szCs w:val="16"/>
          <w:lang w:eastAsia="zh-CN"/>
        </w:rPr>
        <w:t>三、</w:t>
      </w:r>
      <w:r>
        <w:rPr>
          <w:rFonts w:hint="eastAsia"/>
          <w:b/>
          <w:kern w:val="0"/>
          <w:sz w:val="28"/>
          <w:szCs w:val="28"/>
          <w:lang w:eastAsia="zh-CN"/>
        </w:rPr>
        <w:t>主要技术指标及经济分析</w:t>
      </w:r>
    </w:p>
    <w:p>
      <w:pPr>
        <w:tabs>
          <w:tab w:val="left" w:pos="350"/>
          <w:tab w:val="left" w:pos="622"/>
        </w:tabs>
        <w:spacing w:line="360" w:lineRule="auto"/>
        <w:ind w:left="105" w:leftChars="50"/>
        <w:rPr>
          <w:rFonts w:ascii="黑体" w:hAnsi="宋体" w:eastAsia="黑体"/>
          <w:b/>
          <w:sz w:val="24"/>
          <w:szCs w:val="24"/>
        </w:rPr>
      </w:pPr>
      <w:r>
        <w:rPr>
          <w:rFonts w:hint="eastAsia" w:ascii="黑体" w:hAnsi="宋体" w:eastAsia="黑体"/>
          <w:b/>
          <w:sz w:val="24"/>
          <w:szCs w:val="24"/>
          <w:lang w:val="en-US" w:eastAsia="zh-CN"/>
        </w:rPr>
        <w:t>3</w:t>
      </w:r>
      <w:r>
        <w:rPr>
          <w:rFonts w:hint="eastAsia" w:ascii="黑体" w:hAnsi="宋体" w:eastAsia="黑体"/>
          <w:b/>
          <w:sz w:val="24"/>
          <w:szCs w:val="24"/>
        </w:rPr>
        <w:t>.</w:t>
      </w:r>
      <w:r>
        <w:rPr>
          <w:rFonts w:ascii="黑体" w:hAnsi="宋体" w:eastAsia="黑体"/>
          <w:b/>
          <w:sz w:val="24"/>
          <w:szCs w:val="24"/>
        </w:rPr>
        <w:t>1一般要求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sz w:val="24"/>
          <w:szCs w:val="24"/>
          <w:lang w:eastAsia="zh-CN"/>
        </w:rPr>
        <w:t>植物根部或接近根部处互相靠近，形成一个连续体系。一般草本或小灌木株距5-10cm，行20-60cm，乔木间距根据冠幅大小具体确定。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Cs w:val="21"/>
          <w:lang w:eastAsia="zh-CN"/>
        </w:rPr>
      </w:pPr>
      <w:r>
        <w:rPr>
          <w:rFonts w:ascii="宋体" w:hAnsi="宋体"/>
          <w:sz w:val="24"/>
          <w:szCs w:val="24"/>
          <w:lang w:eastAsia="zh-CN"/>
        </w:rPr>
        <w:t>植物篱的高度一般在1.5m 以下，最大不超过2.0m；宽度一般0.3-1.0m。</w:t>
      </w:r>
    </w:p>
    <w:p>
      <w:pPr>
        <w:tabs>
          <w:tab w:val="left" w:pos="350"/>
          <w:tab w:val="left" w:pos="622"/>
        </w:tabs>
        <w:spacing w:line="360" w:lineRule="auto"/>
        <w:ind w:left="105" w:leftChars="50"/>
        <w:rPr>
          <w:rFonts w:hint="eastAsia" w:ascii="黑体" w:hAnsi="宋体" w:eastAsia="黑体"/>
          <w:b/>
          <w:sz w:val="24"/>
          <w:szCs w:val="24"/>
          <w:lang w:val="en-US" w:eastAsia="zh-CN"/>
        </w:rPr>
      </w:pPr>
      <w:r>
        <w:rPr>
          <w:rFonts w:hint="eastAsia" w:ascii="黑体" w:hAnsi="宋体" w:eastAsia="黑体"/>
          <w:b/>
          <w:sz w:val="24"/>
          <w:szCs w:val="24"/>
          <w:lang w:val="en-US" w:eastAsia="zh-CN"/>
        </w:rPr>
        <w:t>3.2 坡面等高植物篱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/>
          <w:sz w:val="24"/>
          <w:szCs w:val="24"/>
          <w:lang w:eastAsia="zh-CN"/>
        </w:rPr>
        <w:t>在坡地上一般带间距为3-</w:t>
      </w:r>
      <w:r>
        <w:rPr>
          <w:rFonts w:hint="eastAsia" w:ascii="宋体" w:hAnsi="宋体"/>
          <w:sz w:val="24"/>
          <w:szCs w:val="24"/>
          <w:lang w:val="en-US" w:eastAsia="zh-CN"/>
        </w:rPr>
        <w:t>7m ，</w:t>
      </w:r>
      <w:r>
        <w:rPr>
          <w:rFonts w:ascii="宋体" w:hAnsi="宋体"/>
          <w:sz w:val="24"/>
          <w:szCs w:val="24"/>
          <w:lang w:eastAsia="zh-CN"/>
        </w:rPr>
        <w:t>沿等高线高密度种植单行、双行或多行植物。</w:t>
      </w:r>
    </w:p>
    <w:p>
      <w:pPr>
        <w:tabs>
          <w:tab w:val="left" w:pos="350"/>
          <w:tab w:val="left" w:pos="622"/>
        </w:tabs>
        <w:spacing w:line="360" w:lineRule="auto"/>
        <w:ind w:left="105" w:leftChars="50"/>
        <w:rPr>
          <w:rFonts w:hint="eastAsia" w:ascii="黑体" w:hAnsi="宋体" w:eastAsia="黑体"/>
          <w:b/>
          <w:sz w:val="24"/>
          <w:szCs w:val="24"/>
          <w:lang w:val="en-US" w:eastAsia="zh-CN"/>
        </w:rPr>
      </w:pPr>
      <w:r>
        <w:rPr>
          <w:rFonts w:hint="eastAsia" w:ascii="黑体" w:hAnsi="宋体" w:eastAsia="黑体"/>
          <w:b/>
          <w:sz w:val="24"/>
          <w:szCs w:val="24"/>
          <w:lang w:val="en-US" w:eastAsia="zh-CN"/>
        </w:rPr>
        <w:t>3.3 隔离植物篱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Cs w:val="21"/>
          <w:lang w:eastAsia="zh-CN"/>
        </w:rPr>
      </w:pPr>
      <w:r>
        <w:rPr>
          <w:rFonts w:ascii="宋体" w:hAnsi="宋体"/>
          <w:sz w:val="24"/>
          <w:szCs w:val="24"/>
          <w:lang w:eastAsia="zh-CN"/>
        </w:rPr>
        <w:t>一般采用双行或多行乔、灌木树种进行混交或纯林配置并形成具有一定宽度（一般都在 0.5m以上）的隔离带口。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本项技术实施效果好，对矿区水土保持、重金属污染治理和矿山复绿具有显著的效果，具有很高的推广价值及良好的发展前景。</w:t>
      </w:r>
    </w:p>
    <w:p>
      <w:pPr>
        <w:ind w:firstLine="420" w:firstLineChars="200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/>
          <w:b/>
          <w:kern w:val="0"/>
          <w:sz w:val="28"/>
          <w:szCs w:val="28"/>
          <w:lang w:eastAsia="zh-CN"/>
        </w:rPr>
        <w:t>四、相关知识产权说明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本单位拥有112项国家发明及实用新型专利，掌握了</w:t>
      </w:r>
      <w:r>
        <w:rPr>
          <w:rFonts w:hint="default" w:ascii="宋体" w:hAnsi="宋体"/>
          <w:sz w:val="24"/>
          <w:szCs w:val="24"/>
          <w:lang w:val="en-US" w:eastAsia="zh-CN"/>
        </w:rPr>
        <w:t xml:space="preserve">100 </w:t>
      </w:r>
      <w:r>
        <w:rPr>
          <w:rFonts w:hint="eastAsia" w:ascii="宋体" w:hAnsi="宋体"/>
          <w:sz w:val="24"/>
          <w:szCs w:val="24"/>
          <w:lang w:val="en-US" w:eastAsia="zh-CN"/>
        </w:rPr>
        <w:t>多项生态修复技术和产品。参与制定了行业标准《南方有色金属矿区废弃地植被生态修复技术规程》（</w:t>
      </w:r>
      <w:r>
        <w:rPr>
          <w:rFonts w:hint="default" w:ascii="宋体" w:hAnsi="宋体"/>
          <w:sz w:val="24"/>
          <w:szCs w:val="24"/>
          <w:lang w:val="en-US" w:eastAsia="zh-CN"/>
        </w:rPr>
        <w:t>LY/T 2770-2016</w:t>
      </w:r>
      <w:r>
        <w:rPr>
          <w:rFonts w:hint="eastAsia" w:ascii="宋体" w:hAnsi="宋体"/>
          <w:sz w:val="24"/>
          <w:szCs w:val="24"/>
          <w:lang w:val="en-US" w:eastAsia="zh-CN"/>
        </w:rPr>
        <w:t>）和《煤矸石山生态修复综合技术规范》（</w:t>
      </w:r>
      <w:r>
        <w:rPr>
          <w:rFonts w:hint="default" w:ascii="宋体" w:hAnsi="宋体"/>
          <w:sz w:val="24"/>
          <w:szCs w:val="24"/>
          <w:lang w:val="en-US" w:eastAsia="zh-CN"/>
        </w:rPr>
        <w:t>LY/T 2991-2018</w:t>
      </w:r>
      <w:r>
        <w:rPr>
          <w:rFonts w:hint="eastAsia" w:ascii="宋体" w:hAnsi="宋体"/>
          <w:sz w:val="24"/>
          <w:szCs w:val="24"/>
          <w:lang w:val="en-US" w:eastAsia="zh-CN"/>
        </w:rPr>
        <w:t>）以及湖南省地方标准《矿区废弃地植被恢复技术规程》（</w:t>
      </w:r>
      <w:r>
        <w:rPr>
          <w:rFonts w:hint="default" w:ascii="宋体" w:hAnsi="宋体"/>
          <w:sz w:val="24"/>
          <w:szCs w:val="24"/>
          <w:lang w:val="en-US" w:eastAsia="zh-CN"/>
        </w:rPr>
        <w:t>DB43/T 1030</w:t>
      </w:r>
      <w:r>
        <w:rPr>
          <w:rFonts w:hint="eastAsia" w:ascii="宋体" w:hAnsi="宋体"/>
          <w:sz w:val="24"/>
          <w:szCs w:val="24"/>
          <w:lang w:val="en-US" w:eastAsia="zh-CN"/>
        </w:rPr>
        <w:t>—</w:t>
      </w:r>
      <w:r>
        <w:rPr>
          <w:rFonts w:hint="default" w:ascii="宋体" w:hAnsi="宋体"/>
          <w:sz w:val="24"/>
          <w:szCs w:val="24"/>
          <w:lang w:val="en-US" w:eastAsia="zh-CN"/>
        </w:rPr>
        <w:t>2015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）。 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b/>
          <w:kern w:val="0"/>
          <w:sz w:val="28"/>
          <w:szCs w:val="28"/>
          <w:lang w:eastAsia="zh-CN"/>
        </w:rPr>
      </w:pPr>
      <w:r>
        <w:rPr>
          <w:rFonts w:hint="eastAsia"/>
          <w:b/>
          <w:kern w:val="0"/>
          <w:sz w:val="28"/>
          <w:szCs w:val="28"/>
          <w:lang w:val="en-US" w:eastAsia="zh-CN"/>
        </w:rPr>
        <w:t>五、</w:t>
      </w:r>
      <w:r>
        <w:rPr>
          <w:rFonts w:hint="eastAsia"/>
          <w:b/>
          <w:kern w:val="0"/>
          <w:sz w:val="28"/>
          <w:szCs w:val="28"/>
          <w:lang w:eastAsia="zh-CN"/>
        </w:rPr>
        <w:t>采用国际标准的简要说明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未采用国际标准。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b/>
          <w:kern w:val="0"/>
          <w:sz w:val="28"/>
          <w:szCs w:val="28"/>
          <w:lang w:val="en-US" w:eastAsia="zh-CN"/>
        </w:rPr>
      </w:pPr>
      <w:r>
        <w:rPr>
          <w:rFonts w:hint="eastAsia"/>
          <w:b/>
          <w:kern w:val="0"/>
          <w:sz w:val="28"/>
          <w:szCs w:val="28"/>
          <w:lang w:val="en-US" w:eastAsia="zh-CN"/>
        </w:rPr>
        <w:t>六、重大意见分歧的处理经过及依据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无重大意见分歧。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  <w:rPr>
          <w:rFonts w:hint="default"/>
          <w:b/>
          <w:kern w:val="0"/>
          <w:sz w:val="28"/>
          <w:szCs w:val="28"/>
          <w:lang w:val="en-US" w:eastAsia="zh-CN"/>
        </w:rPr>
      </w:pPr>
      <w:r>
        <w:rPr>
          <w:rFonts w:hint="eastAsia"/>
          <w:b/>
          <w:kern w:val="0"/>
          <w:sz w:val="28"/>
          <w:szCs w:val="28"/>
          <w:lang w:val="en-US" w:eastAsia="zh-CN"/>
        </w:rPr>
        <w:t>七、其它应予说明的事项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无其它说明的事项。</w:t>
      </w:r>
    </w:p>
    <w:p>
      <w:pPr>
        <w:rPr>
          <w:rFonts w:hint="default" w:asciiTheme="minorEastAsia" w:hAnsiTheme="minorEastAsia" w:eastAsiaTheme="minorEastAsia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C3C57E"/>
    <w:multiLevelType w:val="singleLevel"/>
    <w:tmpl w:val="0CC3C57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2936A0D"/>
    <w:multiLevelType w:val="multilevel"/>
    <w:tmpl w:val="62936A0D"/>
    <w:lvl w:ilvl="0" w:tentative="0">
      <w:start w:val="1"/>
      <w:numFmt w:val="decimal"/>
      <w:pStyle w:val="6"/>
      <w:lvlText w:val="%1"/>
      <w:lvlJc w:val="left"/>
      <w:pPr>
        <w:ind w:left="486" w:hanging="269"/>
        <w:jc w:val="right"/>
      </w:pPr>
      <w:rPr>
        <w:rFonts w:hint="default"/>
        <w:w w:val="104"/>
      </w:rPr>
    </w:lvl>
    <w:lvl w:ilvl="1" w:tentative="0">
      <w:start w:val="0"/>
      <w:numFmt w:val="bullet"/>
      <w:lvlText w:val="•"/>
      <w:lvlJc w:val="left"/>
      <w:pPr>
        <w:ind w:left="1358" w:hanging="269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236" w:hanging="269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14" w:hanging="269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992" w:hanging="269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870" w:hanging="269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748" w:hanging="269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626" w:hanging="269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504" w:hanging="269"/>
      </w:pPr>
      <w:rPr>
        <w:rFonts w:hint="default"/>
      </w:rPr>
    </w:lvl>
  </w:abstractNum>
  <w:abstractNum w:abstractNumId="2">
    <w:nsid w:val="646260FA"/>
    <w:multiLevelType w:val="multilevel"/>
    <w:tmpl w:val="646260FA"/>
    <w:lvl w:ilvl="0" w:tentative="0">
      <w:start w:val="1"/>
      <w:numFmt w:val="decimal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4M2YwYjYxYzc5ZmE1MDFjMjQ2YjI5NzI1MmVhMjEifQ=="/>
  </w:docVars>
  <w:rsids>
    <w:rsidRoot w:val="00000000"/>
    <w:rsid w:val="0EE448FE"/>
    <w:rsid w:val="3E383196"/>
    <w:rsid w:val="618E281B"/>
    <w:rsid w:val="643D5CFC"/>
    <w:rsid w:val="6BA81D77"/>
    <w:rsid w:val="72A14F9D"/>
    <w:rsid w:val="7669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61"/>
      <w:ind w:left="118"/>
    </w:pPr>
    <w:rPr>
      <w:sz w:val="24"/>
      <w:szCs w:val="24"/>
    </w:rPr>
  </w:style>
  <w:style w:type="paragraph" w:styleId="3">
    <w:name w:val="Normal (Web)"/>
    <w:basedOn w:val="1"/>
    <w:qFormat/>
    <w:uiPriority w:val="0"/>
    <w:rPr>
      <w:sz w:val="24"/>
    </w:rPr>
  </w:style>
  <w:style w:type="paragraph" w:customStyle="1" w:styleId="6">
    <w:name w:val="章标题"/>
    <w:next w:val="7"/>
    <w:qFormat/>
    <w:uiPriority w:val="0"/>
    <w:pPr>
      <w:numPr>
        <w:ilvl w:val="0"/>
        <w:numId w:val="1"/>
      </w:numPr>
      <w:spacing w:before="312" w:beforeLines="100" w:after="312" w:afterLines="100"/>
      <w:outlineLvl w:val="1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">
    <w:name w:val="正文公式编号制表符"/>
    <w:basedOn w:val="7"/>
    <w:next w:val="7"/>
    <w:qFormat/>
    <w:uiPriority w:val="0"/>
    <w:pPr>
      <w:ind w:firstLine="0" w:firstLineChars="0"/>
    </w:pPr>
    <w:rPr>
      <w:rFonts w:hAnsi="Times New Roman" w:eastAsia="宋体" w:cs="Times New Roman"/>
      <w:kern w:val="0"/>
      <w:szCs w:val="20"/>
    </w:rPr>
  </w:style>
  <w:style w:type="paragraph" w:customStyle="1" w:styleId="9">
    <w:name w:val="正文表标题"/>
    <w:next w:val="7"/>
    <w:qFormat/>
    <w:uiPriority w:val="0"/>
    <w:p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styleId="10">
    <w:name w:val="List Paragraph"/>
    <w:basedOn w:val="1"/>
    <w:qFormat/>
    <w:uiPriority w:val="1"/>
    <w:pPr>
      <w:autoSpaceDE w:val="0"/>
      <w:autoSpaceDN w:val="0"/>
      <w:ind w:left="445" w:hanging="372"/>
      <w:jc w:val="left"/>
    </w:pPr>
    <w:rPr>
      <w:rFonts w:ascii="宋体" w:hAnsi="宋体" w:cs="宋体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image" Target="media/image13.wmf"/><Relationship Id="rId21" Type="http://schemas.openxmlformats.org/officeDocument/2006/relationships/image" Target="media/image12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wmf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" Type="http://schemas.openxmlformats.org/officeDocument/2006/relationships/image" Target="media/image5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1876</Words>
  <Characters>2043</Characters>
  <Lines>0</Lines>
  <Paragraphs>0</Paragraphs>
  <TotalTime>29</TotalTime>
  <ScaleCrop>false</ScaleCrop>
  <LinksUpToDate>false</LinksUpToDate>
  <CharactersWithSpaces>2106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2022-06-03T06:45:00Z</dcterms:created>
  <dc:creator>Administrator</dc:creator>
  <cp:lastModifiedBy>曹艳青</cp:lastModifiedBy>
  <dcterms:modified xsi:type="dcterms:W3CDTF">2023-10-20T02:30:59Z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7AD7DFC92AB24C51948EDE451D8C764C_13</vt:lpwstr>
  </property>
</Properties>
</file>