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92CB2">
      <w:pPr>
        <w:widowControl/>
        <w:snapToGrid w:val="0"/>
        <w:jc w:val="center"/>
        <w:rPr>
          <w:rFonts w:hint="eastAsia" w:ascii="黑体" w:hAnsi="黑体" w:eastAsia="黑体" w:cs="黑体"/>
          <w:bCs/>
          <w:color w:val="auto"/>
          <w:kern w:val="0"/>
          <w:sz w:val="36"/>
          <w:szCs w:val="36"/>
          <w:highlight w:val="none"/>
        </w:rPr>
      </w:pPr>
      <w:r>
        <w:rPr>
          <w:rFonts w:hint="eastAsia" w:ascii="黑体" w:hAnsi="黑体" w:eastAsia="黑体" w:cs="黑体"/>
          <w:bCs/>
          <w:color w:val="auto"/>
          <w:kern w:val="0"/>
          <w:sz w:val="36"/>
          <w:szCs w:val="36"/>
          <w:highlight w:val="none"/>
        </w:rPr>
        <w:t>《</w:t>
      </w:r>
      <w:r>
        <w:rPr>
          <w:rFonts w:hint="eastAsia" w:ascii="黑体" w:hAnsi="黑体" w:eastAsia="黑体" w:cs="黑体"/>
          <w:bCs/>
          <w:color w:val="auto"/>
          <w:kern w:val="0"/>
          <w:sz w:val="36"/>
          <w:szCs w:val="36"/>
          <w:highlight w:val="none"/>
          <w:lang w:eastAsia="zh-CN"/>
        </w:rPr>
        <w:t>智能网联车-车通信中继节点选择技术指南</w:t>
      </w:r>
      <w:r>
        <w:rPr>
          <w:rFonts w:hint="eastAsia" w:ascii="黑体" w:hAnsi="黑体" w:eastAsia="黑体" w:cs="黑体"/>
          <w:bCs/>
          <w:color w:val="auto"/>
          <w:kern w:val="0"/>
          <w:sz w:val="36"/>
          <w:szCs w:val="36"/>
          <w:highlight w:val="none"/>
        </w:rPr>
        <w:t>》</w:t>
      </w:r>
    </w:p>
    <w:p w14:paraId="28510483">
      <w:pPr>
        <w:widowControl/>
        <w:snapToGrid w:val="0"/>
        <w:jc w:val="center"/>
        <w:rPr>
          <w:rFonts w:ascii="黑体" w:hAnsi="黑体" w:eastAsia="黑体" w:cs="黑体"/>
          <w:bCs/>
          <w:color w:val="auto"/>
          <w:kern w:val="0"/>
          <w:sz w:val="36"/>
          <w:szCs w:val="36"/>
          <w:highlight w:val="none"/>
        </w:rPr>
      </w:pPr>
      <w:r>
        <w:rPr>
          <w:rFonts w:hint="eastAsia" w:ascii="黑体" w:hAnsi="黑体" w:eastAsia="黑体" w:cs="黑体"/>
          <w:bCs/>
          <w:color w:val="auto"/>
          <w:kern w:val="0"/>
          <w:sz w:val="36"/>
          <w:szCs w:val="36"/>
          <w:highlight w:val="none"/>
        </w:rPr>
        <w:t>标准编制说明</w:t>
      </w:r>
    </w:p>
    <w:p w14:paraId="4F2D6A64">
      <w:pPr>
        <w:widowControl/>
        <w:snapToGrid w:val="0"/>
        <w:jc w:val="center"/>
        <w:rPr>
          <w:rFonts w:ascii="黑体" w:hAnsi="黑体" w:eastAsia="黑体" w:cs="黑体"/>
          <w:bCs/>
          <w:color w:val="auto"/>
          <w:kern w:val="0"/>
          <w:sz w:val="44"/>
          <w:szCs w:val="44"/>
          <w:highlight w:val="none"/>
        </w:rPr>
      </w:pPr>
    </w:p>
    <w:p w14:paraId="3507F5B6">
      <w:pPr>
        <w:pStyle w:val="2"/>
        <w:bidi w:val="0"/>
        <w:rPr>
          <w:color w:val="auto"/>
          <w:highlight w:val="none"/>
        </w:rPr>
      </w:pPr>
      <w:r>
        <w:rPr>
          <w:rFonts w:hint="eastAsia"/>
          <w:color w:val="auto"/>
          <w:highlight w:val="none"/>
        </w:rPr>
        <w:t>一、项目背景</w:t>
      </w:r>
    </w:p>
    <w:p w14:paraId="51B02674">
      <w:pPr>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随着网络技术、通信技术及汽车行业的发展，智能网联汽车逐渐走入人们的视野，其作为车联网与智能车的有机联合，是实现车与可通信物的智能信息交换和共享，实现安全、舒适、节能和高效行驶，并最终可替代人来操作的新一代汽车。</w:t>
      </w:r>
    </w:p>
    <w:p w14:paraId="2D51E654">
      <w:pPr>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本项目研究智能网联汽车中的车</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车数据通信协议属于车联网技术范畴，着力解决我省智能网联汽车在车</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车通信技术上的不足。车</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车通信技术相关研究始于1999年的美国，此后，欧洲、日本和韩国相继开展相关研究工作。2016年11月，我国启动了车用77-81GHz毫米波雷达无线技术和频率划分研究试验工作，这标志着我国已经开始全面布局基于5G的自主车</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车通信技术，并以此支持具有我国先进通信技术的产业化和商用化，这非常有利于提升中国智能汽车、车联网领域的核心竞争能力。</w:t>
      </w:r>
    </w:p>
    <w:p w14:paraId="2B39D291">
      <w:pPr>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湖南作为紧跟世界智能网联汽车发展脚步的重要省份，在相关产业的实力毋庸置疑，然而在2019年2月的政府智库报告中指出湖南的智能网联汽车产业发展需要突破的四个“短板”，即湖南在关键技术、成本、市场认可度、政策配套以及基础设施方面还存在着一些问题和障碍。在车-车间建立通信是一自主灵活且时延达到亚毫秒级的通信网络，所以本项目组响应国家大力发展相关产业的号召，考虑制定一项《智能网联车车数据通信协议》，从车间数据通信的中继节点选择方法入手，实现比现有协议更稳定高效的紧急消息传播。</w:t>
      </w:r>
    </w:p>
    <w:p w14:paraId="3A0CA95D">
      <w:pPr>
        <w:pStyle w:val="2"/>
        <w:bidi w:val="0"/>
        <w:rPr>
          <w:color w:val="auto"/>
          <w:highlight w:val="none"/>
        </w:rPr>
      </w:pPr>
      <w:r>
        <w:rPr>
          <w:rFonts w:hint="eastAsia"/>
          <w:color w:val="auto"/>
          <w:highlight w:val="none"/>
        </w:rPr>
        <w:t>二、工作简况</w:t>
      </w:r>
    </w:p>
    <w:p w14:paraId="3106BCE2">
      <w:pPr>
        <w:pStyle w:val="3"/>
        <w:bidi w:val="0"/>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任务来源及协作单位</w:t>
      </w:r>
    </w:p>
    <w:p w14:paraId="224213D4">
      <w:pPr>
        <w:pStyle w:val="12"/>
        <w:spacing w:line="600" w:lineRule="exact"/>
        <w:ind w:firstLine="425" w:firstLineChars="152"/>
        <w:rPr>
          <w:rFonts w:hint="eastAsia" w:ascii="仿宋" w:hAnsi="仿宋" w:eastAsia="仿宋" w:cs="仿宋"/>
          <w:b/>
          <w:color w:val="auto"/>
          <w:sz w:val="28"/>
          <w:szCs w:val="28"/>
          <w:highlight w:val="none"/>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eastAsia="zh-CN"/>
        </w:rPr>
        <w:t>智能网联车-车通信中继节点选择技术指南</w:t>
      </w:r>
      <w:r>
        <w:rPr>
          <w:rFonts w:hint="eastAsia" w:ascii="仿宋" w:hAnsi="仿宋" w:eastAsia="仿宋" w:cs="仿宋"/>
          <w:color w:val="auto"/>
          <w:kern w:val="0"/>
          <w:sz w:val="28"/>
          <w:szCs w:val="28"/>
          <w:highlight w:val="none"/>
        </w:rPr>
        <w:t>》为湖南省2021年第一批地方标准制修订计划项目，见《湖南省市场监督管理局关于公布2021年度第一批地方标准制修订项目计划的通知》湘市监标函〔2021〕33号，由长沙理工大学承担，湖南纽曼车联网科技有限公司参与、湖南省交通厅科技信息中心协助，湖南省交通厅归口。</w:t>
      </w:r>
    </w:p>
    <w:p w14:paraId="5CD1F47F">
      <w:pPr>
        <w:pStyle w:val="3"/>
        <w:bidi w:val="0"/>
        <w:rPr>
          <w:color w:val="auto"/>
          <w:highlight w:val="none"/>
        </w:rPr>
      </w:pPr>
      <w:r>
        <w:rPr>
          <w:rFonts w:hint="eastAsia"/>
          <w:color w:val="auto"/>
          <w:highlight w:val="none"/>
          <w:lang w:eastAsia="zh-CN"/>
        </w:rPr>
        <w:t>（</w:t>
      </w:r>
      <w:r>
        <w:rPr>
          <w:rFonts w:hint="eastAsia"/>
          <w:color w:val="auto"/>
          <w:highlight w:val="none"/>
          <w:lang w:val="en-US" w:eastAsia="zh-CN"/>
        </w:rPr>
        <w:t>二</w:t>
      </w:r>
      <w:r>
        <w:rPr>
          <w:rFonts w:hint="eastAsia"/>
          <w:color w:val="auto"/>
          <w:highlight w:val="none"/>
          <w:lang w:eastAsia="zh-CN"/>
        </w:rPr>
        <w:t>）</w:t>
      </w:r>
      <w:r>
        <w:rPr>
          <w:rFonts w:hint="eastAsia"/>
          <w:color w:val="auto"/>
          <w:highlight w:val="none"/>
        </w:rPr>
        <w:t>主要工作过程</w:t>
      </w:r>
    </w:p>
    <w:p w14:paraId="6C4A9CBC">
      <w:pPr>
        <w:pStyle w:val="4"/>
        <w:bidi w:val="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标准启动</w:t>
      </w:r>
    </w:p>
    <w:p w14:paraId="7138FA48">
      <w:pPr>
        <w:widowControl/>
        <w:tabs>
          <w:tab w:val="left" w:pos="720"/>
          <w:tab w:val="left" w:pos="5940"/>
        </w:tabs>
        <w:spacing w:line="5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2020年10月，长沙理工大学与湖南纽曼车联网科技有限公司提出立项需求；2020年12月，正式下达制定计划；2021年1月启动标准的编写工作。</w:t>
      </w:r>
    </w:p>
    <w:p w14:paraId="55DFDE27">
      <w:pPr>
        <w:pStyle w:val="4"/>
        <w:bidi w:val="0"/>
        <w:rPr>
          <w:rFonts w:hint="eastAsia" w:ascii="仿宋" w:hAnsi="仿宋" w:eastAsia="仿宋" w:cs="仿宋"/>
          <w:color w:val="auto"/>
          <w:highlight w:val="none"/>
        </w:rPr>
      </w:pPr>
      <w:r>
        <w:rPr>
          <w:rFonts w:hint="eastAsia" w:ascii="仿宋" w:hAnsi="仿宋" w:eastAsia="仿宋" w:cs="仿宋"/>
          <w:color w:val="auto"/>
          <w:highlight w:val="none"/>
        </w:rPr>
        <w:t>（2）成立标准起草组</w:t>
      </w:r>
    </w:p>
    <w:p w14:paraId="4205573F">
      <w:pPr>
        <w:widowControl/>
        <w:tabs>
          <w:tab w:val="left" w:pos="720"/>
          <w:tab w:val="left" w:pos="5940"/>
        </w:tabs>
        <w:spacing w:line="5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2020年10月，成立了由长沙理工大学、湖南省交通运输厅、湖南纽曼车联网科技有限公司等单位组成的标准起草组，标准起草组成员详见表1。</w:t>
      </w:r>
    </w:p>
    <w:p w14:paraId="66C34CD5">
      <w:pPr>
        <w:snapToGrid w:val="0"/>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表1 标准起草组人员构成表</w:t>
      </w:r>
    </w:p>
    <w:tbl>
      <w:tblPr>
        <w:tblStyle w:val="9"/>
        <w:tblpPr w:leftFromText="180" w:rightFromText="180" w:vertAnchor="text" w:horzAnchor="page" w:tblpX="2048" w:tblpY="115"/>
        <w:tblOverlap w:val="never"/>
        <w:tblW w:w="81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949"/>
        <w:gridCol w:w="643"/>
        <w:gridCol w:w="1844"/>
        <w:gridCol w:w="1320"/>
        <w:gridCol w:w="2749"/>
      </w:tblGrid>
      <w:tr w14:paraId="758C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27" w:type="dxa"/>
            <w:noWrap/>
            <w:vAlign w:val="center"/>
          </w:tcPr>
          <w:p w14:paraId="684C688E">
            <w:pPr>
              <w:widowControl/>
              <w:jc w:val="center"/>
              <w:rPr>
                <w:rFonts w:ascii="仿宋" w:hAnsi="仿宋" w:eastAsia="仿宋" w:cs="仿宋"/>
                <w:b/>
                <w:bCs/>
                <w:color w:val="auto"/>
                <w:sz w:val="22"/>
                <w:highlight w:val="none"/>
              </w:rPr>
            </w:pPr>
            <w:r>
              <w:rPr>
                <w:rFonts w:ascii="仿宋" w:hAnsi="仿宋" w:eastAsia="仿宋" w:cs="仿宋"/>
                <w:b/>
                <w:color w:val="auto"/>
                <w:kern w:val="0"/>
                <w:sz w:val="28"/>
                <w:szCs w:val="28"/>
                <w:highlight w:val="none"/>
              </w:rPr>
              <w:br w:type="page"/>
            </w:r>
            <w:r>
              <w:rPr>
                <w:rFonts w:hint="eastAsia" w:ascii="仿宋" w:hAnsi="仿宋" w:eastAsia="仿宋" w:cs="仿宋"/>
                <w:b/>
                <w:bCs/>
                <w:color w:val="auto"/>
                <w:sz w:val="22"/>
                <w:highlight w:val="none"/>
              </w:rPr>
              <w:t>序号</w:t>
            </w:r>
          </w:p>
        </w:tc>
        <w:tc>
          <w:tcPr>
            <w:tcW w:w="949" w:type="dxa"/>
            <w:noWrap/>
            <w:vAlign w:val="center"/>
          </w:tcPr>
          <w:p w14:paraId="61D7A0BF">
            <w:pPr>
              <w:adjustRightInd w:val="0"/>
              <w:snapToGrid w:val="0"/>
              <w:jc w:val="center"/>
              <w:rPr>
                <w:rFonts w:ascii="仿宋" w:hAnsi="仿宋" w:eastAsia="仿宋" w:cs="仿宋"/>
                <w:b/>
                <w:bCs/>
                <w:color w:val="auto"/>
                <w:sz w:val="22"/>
                <w:highlight w:val="none"/>
              </w:rPr>
            </w:pPr>
            <w:r>
              <w:rPr>
                <w:rFonts w:hint="eastAsia" w:ascii="仿宋" w:hAnsi="仿宋" w:eastAsia="仿宋" w:cs="仿宋"/>
                <w:b/>
                <w:bCs/>
                <w:color w:val="auto"/>
                <w:sz w:val="22"/>
                <w:highlight w:val="none"/>
              </w:rPr>
              <w:t>姓  名</w:t>
            </w:r>
          </w:p>
        </w:tc>
        <w:tc>
          <w:tcPr>
            <w:tcW w:w="643" w:type="dxa"/>
            <w:noWrap/>
            <w:vAlign w:val="center"/>
          </w:tcPr>
          <w:p w14:paraId="1D1D7733">
            <w:pPr>
              <w:adjustRightInd w:val="0"/>
              <w:snapToGrid w:val="0"/>
              <w:jc w:val="center"/>
              <w:rPr>
                <w:rFonts w:ascii="仿宋" w:hAnsi="仿宋" w:eastAsia="仿宋" w:cs="仿宋"/>
                <w:b/>
                <w:bCs/>
                <w:color w:val="auto"/>
                <w:sz w:val="22"/>
                <w:highlight w:val="none"/>
              </w:rPr>
            </w:pPr>
            <w:r>
              <w:rPr>
                <w:rFonts w:hint="eastAsia" w:ascii="仿宋" w:hAnsi="仿宋" w:eastAsia="仿宋" w:cs="仿宋"/>
                <w:b/>
                <w:bCs/>
                <w:color w:val="auto"/>
                <w:sz w:val="22"/>
                <w:highlight w:val="none"/>
              </w:rPr>
              <w:t>性别</w:t>
            </w:r>
          </w:p>
        </w:tc>
        <w:tc>
          <w:tcPr>
            <w:tcW w:w="1844" w:type="dxa"/>
            <w:noWrap/>
            <w:vAlign w:val="center"/>
          </w:tcPr>
          <w:p w14:paraId="158A1FEA">
            <w:pPr>
              <w:adjustRightInd w:val="0"/>
              <w:snapToGrid w:val="0"/>
              <w:jc w:val="center"/>
              <w:rPr>
                <w:rFonts w:ascii="仿宋" w:hAnsi="仿宋" w:eastAsia="仿宋" w:cs="仿宋"/>
                <w:b/>
                <w:bCs/>
                <w:color w:val="auto"/>
                <w:sz w:val="22"/>
                <w:highlight w:val="none"/>
              </w:rPr>
            </w:pPr>
            <w:r>
              <w:rPr>
                <w:rFonts w:hint="eastAsia" w:ascii="仿宋" w:hAnsi="仿宋" w:eastAsia="仿宋" w:cs="仿宋"/>
                <w:b/>
                <w:bCs/>
                <w:color w:val="auto"/>
                <w:sz w:val="22"/>
                <w:highlight w:val="none"/>
              </w:rPr>
              <w:t>所在单位</w:t>
            </w:r>
          </w:p>
        </w:tc>
        <w:tc>
          <w:tcPr>
            <w:tcW w:w="1320" w:type="dxa"/>
            <w:noWrap/>
            <w:vAlign w:val="center"/>
          </w:tcPr>
          <w:p w14:paraId="624713CE">
            <w:pPr>
              <w:adjustRightInd w:val="0"/>
              <w:snapToGrid w:val="0"/>
              <w:jc w:val="center"/>
              <w:rPr>
                <w:rFonts w:ascii="仿宋" w:hAnsi="仿宋" w:eastAsia="仿宋" w:cs="仿宋"/>
                <w:b/>
                <w:bCs/>
                <w:color w:val="auto"/>
                <w:sz w:val="22"/>
                <w:highlight w:val="none"/>
              </w:rPr>
            </w:pPr>
            <w:r>
              <w:rPr>
                <w:rFonts w:hint="eastAsia" w:ascii="仿宋" w:hAnsi="仿宋" w:eastAsia="仿宋" w:cs="仿宋"/>
                <w:b/>
                <w:bCs/>
                <w:color w:val="auto"/>
                <w:sz w:val="22"/>
                <w:highlight w:val="none"/>
              </w:rPr>
              <w:t>职务/职称</w:t>
            </w:r>
          </w:p>
        </w:tc>
        <w:tc>
          <w:tcPr>
            <w:tcW w:w="2749" w:type="dxa"/>
            <w:noWrap/>
            <w:vAlign w:val="center"/>
          </w:tcPr>
          <w:p w14:paraId="34E929C1">
            <w:pPr>
              <w:adjustRightInd w:val="0"/>
              <w:snapToGrid w:val="0"/>
              <w:jc w:val="center"/>
              <w:rPr>
                <w:rFonts w:ascii="仿宋" w:hAnsi="仿宋" w:eastAsia="仿宋" w:cs="仿宋"/>
                <w:b/>
                <w:bCs/>
                <w:color w:val="auto"/>
                <w:sz w:val="22"/>
                <w:highlight w:val="none"/>
              </w:rPr>
            </w:pPr>
            <w:r>
              <w:rPr>
                <w:rFonts w:hint="eastAsia" w:ascii="仿宋" w:hAnsi="仿宋" w:eastAsia="仿宋" w:cs="仿宋"/>
                <w:b/>
                <w:bCs/>
                <w:color w:val="auto"/>
                <w:sz w:val="22"/>
                <w:highlight w:val="none"/>
              </w:rPr>
              <w:t>主要任务</w:t>
            </w:r>
          </w:p>
        </w:tc>
      </w:tr>
      <w:tr w14:paraId="14C8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27" w:type="dxa"/>
            <w:noWrap/>
            <w:vAlign w:val="center"/>
          </w:tcPr>
          <w:p w14:paraId="23C8A9A9">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p>
        </w:tc>
        <w:tc>
          <w:tcPr>
            <w:tcW w:w="949" w:type="dxa"/>
            <w:noWrap/>
            <w:vAlign w:val="center"/>
          </w:tcPr>
          <w:p w14:paraId="722D94C8">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曹敦</w:t>
            </w:r>
          </w:p>
        </w:tc>
        <w:tc>
          <w:tcPr>
            <w:tcW w:w="643" w:type="dxa"/>
            <w:noWrap/>
            <w:vAlign w:val="center"/>
          </w:tcPr>
          <w:p w14:paraId="1D41D2E2">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女</w:t>
            </w:r>
          </w:p>
        </w:tc>
        <w:tc>
          <w:tcPr>
            <w:tcW w:w="1844" w:type="dxa"/>
            <w:noWrap/>
            <w:vAlign w:val="center"/>
          </w:tcPr>
          <w:p w14:paraId="77337D41">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79388155">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副教授</w:t>
            </w:r>
          </w:p>
        </w:tc>
        <w:tc>
          <w:tcPr>
            <w:tcW w:w="2749" w:type="dxa"/>
            <w:noWrap/>
            <w:vAlign w:val="center"/>
          </w:tcPr>
          <w:p w14:paraId="13024E2A">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标准框架搭建</w:t>
            </w:r>
          </w:p>
        </w:tc>
      </w:tr>
      <w:tr w14:paraId="7812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27" w:type="dxa"/>
            <w:noWrap/>
            <w:vAlign w:val="center"/>
          </w:tcPr>
          <w:p w14:paraId="508E49B8">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2</w:t>
            </w:r>
          </w:p>
        </w:tc>
        <w:tc>
          <w:tcPr>
            <w:tcW w:w="949" w:type="dxa"/>
            <w:noWrap/>
            <w:vAlign w:val="center"/>
          </w:tcPr>
          <w:p w14:paraId="3FFE9B62">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王进</w:t>
            </w:r>
          </w:p>
        </w:tc>
        <w:tc>
          <w:tcPr>
            <w:tcW w:w="643" w:type="dxa"/>
            <w:noWrap/>
            <w:vAlign w:val="center"/>
          </w:tcPr>
          <w:p w14:paraId="7BECE199">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607A9B2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738C6781">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教授</w:t>
            </w:r>
          </w:p>
        </w:tc>
        <w:tc>
          <w:tcPr>
            <w:tcW w:w="2749" w:type="dxa"/>
            <w:noWrap/>
            <w:vAlign w:val="center"/>
          </w:tcPr>
          <w:p w14:paraId="3CC8A0B5">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标准框架搭建</w:t>
            </w:r>
          </w:p>
        </w:tc>
      </w:tr>
      <w:tr w14:paraId="57A8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4A97E7AA">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3</w:t>
            </w:r>
          </w:p>
        </w:tc>
        <w:tc>
          <w:tcPr>
            <w:tcW w:w="949" w:type="dxa"/>
            <w:noWrap/>
            <w:vAlign w:val="center"/>
          </w:tcPr>
          <w:p w14:paraId="6A9441EC">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常促宇</w:t>
            </w:r>
          </w:p>
        </w:tc>
        <w:tc>
          <w:tcPr>
            <w:tcW w:w="643" w:type="dxa"/>
            <w:noWrap/>
            <w:vAlign w:val="center"/>
          </w:tcPr>
          <w:p w14:paraId="487F9A1C">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2494BC25">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湖南纽曼车联网科技有限公司</w:t>
            </w:r>
          </w:p>
        </w:tc>
        <w:tc>
          <w:tcPr>
            <w:tcW w:w="1320" w:type="dxa"/>
            <w:noWrap/>
            <w:vAlign w:val="center"/>
          </w:tcPr>
          <w:p w14:paraId="04CB2440">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董事长</w:t>
            </w:r>
          </w:p>
        </w:tc>
        <w:tc>
          <w:tcPr>
            <w:tcW w:w="2749" w:type="dxa"/>
            <w:noWrap/>
            <w:vAlign w:val="center"/>
          </w:tcPr>
          <w:p w14:paraId="0194EB02">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项目管理</w:t>
            </w:r>
          </w:p>
        </w:tc>
      </w:tr>
      <w:tr w14:paraId="6483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5A2CCF60">
            <w:pPr>
              <w:snapToGrid w:val="0"/>
              <w:jc w:val="center"/>
              <w:rPr>
                <w:rFonts w:ascii="仿宋" w:hAnsi="仿宋" w:eastAsia="仿宋" w:cs="仿宋"/>
                <w:color w:val="auto"/>
                <w:sz w:val="22"/>
                <w:highlight w:val="none"/>
              </w:rPr>
            </w:pPr>
            <w:r>
              <w:rPr>
                <w:rFonts w:ascii="仿宋" w:hAnsi="仿宋" w:eastAsia="仿宋" w:cs="仿宋"/>
                <w:color w:val="auto"/>
                <w:sz w:val="22"/>
                <w:highlight w:val="none"/>
              </w:rPr>
              <w:t>4</w:t>
            </w:r>
          </w:p>
        </w:tc>
        <w:tc>
          <w:tcPr>
            <w:tcW w:w="949" w:type="dxa"/>
            <w:noWrap/>
            <w:vAlign w:val="center"/>
          </w:tcPr>
          <w:p w14:paraId="10296463">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张依博</w:t>
            </w:r>
          </w:p>
        </w:tc>
        <w:tc>
          <w:tcPr>
            <w:tcW w:w="643" w:type="dxa"/>
            <w:noWrap/>
            <w:vAlign w:val="center"/>
          </w:tcPr>
          <w:p w14:paraId="504C059A">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5D32E21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湖南纽曼车联网科技有限公司</w:t>
            </w:r>
          </w:p>
        </w:tc>
        <w:tc>
          <w:tcPr>
            <w:tcW w:w="1320" w:type="dxa"/>
            <w:noWrap/>
            <w:vAlign w:val="center"/>
          </w:tcPr>
          <w:p w14:paraId="3E27B579">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研发经理</w:t>
            </w:r>
          </w:p>
        </w:tc>
        <w:tc>
          <w:tcPr>
            <w:tcW w:w="2749" w:type="dxa"/>
            <w:noWrap/>
            <w:vAlign w:val="center"/>
          </w:tcPr>
          <w:p w14:paraId="74A39514">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标准技术可行性分析</w:t>
            </w:r>
          </w:p>
        </w:tc>
      </w:tr>
      <w:tr w14:paraId="4065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7A450DE9">
            <w:pPr>
              <w:snapToGrid w:val="0"/>
              <w:jc w:val="center"/>
              <w:rPr>
                <w:rFonts w:ascii="仿宋" w:hAnsi="仿宋" w:eastAsia="仿宋" w:cs="仿宋"/>
                <w:color w:val="auto"/>
                <w:sz w:val="22"/>
                <w:highlight w:val="none"/>
              </w:rPr>
            </w:pPr>
            <w:r>
              <w:rPr>
                <w:rFonts w:ascii="仿宋" w:hAnsi="仿宋" w:eastAsia="仿宋" w:cs="仿宋"/>
                <w:color w:val="auto"/>
                <w:sz w:val="22"/>
                <w:highlight w:val="none"/>
              </w:rPr>
              <w:t>5</w:t>
            </w:r>
          </w:p>
        </w:tc>
        <w:tc>
          <w:tcPr>
            <w:tcW w:w="949" w:type="dxa"/>
            <w:noWrap/>
            <w:vAlign w:val="center"/>
          </w:tcPr>
          <w:p w14:paraId="62C778B1">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单新周</w:t>
            </w:r>
          </w:p>
        </w:tc>
        <w:tc>
          <w:tcPr>
            <w:tcW w:w="643" w:type="dxa"/>
            <w:noWrap/>
            <w:vAlign w:val="center"/>
          </w:tcPr>
          <w:p w14:paraId="41962243">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17F57B1E">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湖南省交通厅科技信息中心</w:t>
            </w:r>
          </w:p>
        </w:tc>
        <w:tc>
          <w:tcPr>
            <w:tcW w:w="1320" w:type="dxa"/>
            <w:noWrap/>
            <w:vAlign w:val="center"/>
          </w:tcPr>
          <w:p w14:paraId="63E258A9">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高级工程师</w:t>
            </w:r>
          </w:p>
        </w:tc>
        <w:tc>
          <w:tcPr>
            <w:tcW w:w="2749" w:type="dxa"/>
            <w:noWrap/>
            <w:vAlign w:val="center"/>
          </w:tcPr>
          <w:p w14:paraId="013E9097">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标准合理</w:t>
            </w:r>
            <w:bookmarkStart w:id="4" w:name="_GoBack"/>
            <w:bookmarkEnd w:id="4"/>
            <w:r>
              <w:rPr>
                <w:rFonts w:hint="eastAsia" w:ascii="仿宋" w:hAnsi="仿宋" w:eastAsia="仿宋" w:cs="仿宋"/>
                <w:color w:val="auto"/>
                <w:sz w:val="22"/>
                <w:highlight w:val="none"/>
              </w:rPr>
              <w:t>性分析</w:t>
            </w:r>
          </w:p>
        </w:tc>
      </w:tr>
      <w:tr w14:paraId="3E01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144B695D">
            <w:pPr>
              <w:snapToGrid w:val="0"/>
              <w:jc w:val="center"/>
              <w:rPr>
                <w:rFonts w:ascii="仿宋" w:hAnsi="仿宋" w:eastAsia="仿宋" w:cs="仿宋"/>
                <w:color w:val="auto"/>
                <w:sz w:val="22"/>
                <w:highlight w:val="none"/>
              </w:rPr>
            </w:pPr>
            <w:r>
              <w:rPr>
                <w:rFonts w:ascii="仿宋" w:hAnsi="仿宋" w:eastAsia="仿宋" w:cs="仿宋"/>
                <w:color w:val="auto"/>
                <w:sz w:val="22"/>
                <w:highlight w:val="none"/>
              </w:rPr>
              <w:t>6</w:t>
            </w:r>
          </w:p>
        </w:tc>
        <w:tc>
          <w:tcPr>
            <w:tcW w:w="949" w:type="dxa"/>
            <w:noWrap/>
            <w:vAlign w:val="center"/>
          </w:tcPr>
          <w:p w14:paraId="30003D3E">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乔川龙</w:t>
            </w:r>
          </w:p>
        </w:tc>
        <w:tc>
          <w:tcPr>
            <w:tcW w:w="643" w:type="dxa"/>
            <w:noWrap/>
            <w:vAlign w:val="center"/>
          </w:tcPr>
          <w:p w14:paraId="4DCB9704">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219CDA9C">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湖南省交通厅科技信息中心</w:t>
            </w:r>
          </w:p>
        </w:tc>
        <w:tc>
          <w:tcPr>
            <w:tcW w:w="1320" w:type="dxa"/>
            <w:noWrap/>
            <w:vAlign w:val="center"/>
          </w:tcPr>
          <w:p w14:paraId="489DFEE7">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高级工程师</w:t>
            </w:r>
          </w:p>
        </w:tc>
        <w:tc>
          <w:tcPr>
            <w:tcW w:w="2749" w:type="dxa"/>
            <w:noWrap/>
            <w:vAlign w:val="center"/>
          </w:tcPr>
          <w:p w14:paraId="6FC785EA">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标准技术分析</w:t>
            </w:r>
          </w:p>
        </w:tc>
      </w:tr>
      <w:tr w14:paraId="57C58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08439DAD">
            <w:pPr>
              <w:snapToGrid w:val="0"/>
              <w:jc w:val="center"/>
              <w:rPr>
                <w:rFonts w:ascii="仿宋" w:hAnsi="仿宋" w:eastAsia="仿宋" w:cs="仿宋"/>
                <w:color w:val="auto"/>
                <w:sz w:val="22"/>
                <w:highlight w:val="none"/>
              </w:rPr>
            </w:pPr>
            <w:r>
              <w:rPr>
                <w:rFonts w:ascii="仿宋" w:hAnsi="仿宋" w:eastAsia="仿宋" w:cs="仿宋"/>
                <w:color w:val="auto"/>
                <w:sz w:val="22"/>
                <w:highlight w:val="none"/>
              </w:rPr>
              <w:t>7</w:t>
            </w:r>
          </w:p>
        </w:tc>
        <w:tc>
          <w:tcPr>
            <w:tcW w:w="949" w:type="dxa"/>
            <w:noWrap/>
            <w:vAlign w:val="center"/>
          </w:tcPr>
          <w:p w14:paraId="0FAA4B31">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罗闰兰</w:t>
            </w:r>
          </w:p>
        </w:tc>
        <w:tc>
          <w:tcPr>
            <w:tcW w:w="643" w:type="dxa"/>
            <w:noWrap/>
            <w:vAlign w:val="center"/>
          </w:tcPr>
          <w:p w14:paraId="647E4B5C">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女</w:t>
            </w:r>
          </w:p>
        </w:tc>
        <w:tc>
          <w:tcPr>
            <w:tcW w:w="1844" w:type="dxa"/>
            <w:noWrap/>
            <w:vAlign w:val="center"/>
          </w:tcPr>
          <w:p w14:paraId="293D0BB0">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湖南省交通厅</w:t>
            </w:r>
          </w:p>
        </w:tc>
        <w:tc>
          <w:tcPr>
            <w:tcW w:w="1320" w:type="dxa"/>
            <w:noWrap/>
            <w:vAlign w:val="center"/>
          </w:tcPr>
          <w:p w14:paraId="6158F7CF">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会计师</w:t>
            </w:r>
          </w:p>
        </w:tc>
        <w:tc>
          <w:tcPr>
            <w:tcW w:w="2749" w:type="dxa"/>
            <w:noWrap/>
            <w:vAlign w:val="center"/>
          </w:tcPr>
          <w:p w14:paraId="52730F8C">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标准经济可行性分析</w:t>
            </w:r>
          </w:p>
        </w:tc>
      </w:tr>
      <w:tr w14:paraId="2BEA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1AFCAAD4">
            <w:pPr>
              <w:snapToGrid w:val="0"/>
              <w:jc w:val="center"/>
              <w:rPr>
                <w:rFonts w:ascii="仿宋" w:hAnsi="仿宋" w:eastAsia="仿宋" w:cs="仿宋"/>
                <w:color w:val="auto"/>
                <w:sz w:val="22"/>
                <w:highlight w:val="none"/>
              </w:rPr>
            </w:pPr>
            <w:r>
              <w:rPr>
                <w:rFonts w:ascii="仿宋" w:hAnsi="仿宋" w:eastAsia="仿宋" w:cs="仿宋"/>
                <w:color w:val="auto"/>
                <w:sz w:val="22"/>
                <w:highlight w:val="none"/>
              </w:rPr>
              <w:t>8</w:t>
            </w:r>
          </w:p>
        </w:tc>
        <w:tc>
          <w:tcPr>
            <w:tcW w:w="949" w:type="dxa"/>
            <w:noWrap/>
            <w:vAlign w:val="center"/>
          </w:tcPr>
          <w:p w14:paraId="482FAB85">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汤强</w:t>
            </w:r>
          </w:p>
        </w:tc>
        <w:tc>
          <w:tcPr>
            <w:tcW w:w="643" w:type="dxa"/>
            <w:noWrap/>
            <w:vAlign w:val="center"/>
          </w:tcPr>
          <w:p w14:paraId="41FC7E00">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30AED0AB">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73E893FE">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讲师</w:t>
            </w:r>
          </w:p>
        </w:tc>
        <w:tc>
          <w:tcPr>
            <w:tcW w:w="2749" w:type="dxa"/>
            <w:noWrap/>
            <w:vAlign w:val="center"/>
          </w:tcPr>
          <w:p w14:paraId="27934AFF">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标准技术分析</w:t>
            </w:r>
          </w:p>
        </w:tc>
      </w:tr>
      <w:tr w14:paraId="3C43A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0FDADA2E">
            <w:pPr>
              <w:snapToGrid w:val="0"/>
              <w:jc w:val="center"/>
              <w:rPr>
                <w:rFonts w:ascii="仿宋" w:hAnsi="仿宋" w:eastAsia="仿宋" w:cs="仿宋"/>
                <w:color w:val="auto"/>
                <w:sz w:val="22"/>
                <w:highlight w:val="none"/>
              </w:rPr>
            </w:pPr>
            <w:r>
              <w:rPr>
                <w:rFonts w:ascii="仿宋" w:hAnsi="仿宋" w:eastAsia="仿宋" w:cs="仿宋"/>
                <w:color w:val="auto"/>
                <w:sz w:val="22"/>
                <w:highlight w:val="none"/>
              </w:rPr>
              <w:t>9</w:t>
            </w:r>
          </w:p>
        </w:tc>
        <w:tc>
          <w:tcPr>
            <w:tcW w:w="949" w:type="dxa"/>
            <w:noWrap/>
            <w:vAlign w:val="center"/>
          </w:tcPr>
          <w:p w14:paraId="573E6F0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何施茗</w:t>
            </w:r>
          </w:p>
        </w:tc>
        <w:tc>
          <w:tcPr>
            <w:tcW w:w="643" w:type="dxa"/>
            <w:noWrap/>
            <w:vAlign w:val="center"/>
          </w:tcPr>
          <w:p w14:paraId="2FFDF72A">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女</w:t>
            </w:r>
          </w:p>
        </w:tc>
        <w:tc>
          <w:tcPr>
            <w:tcW w:w="1844" w:type="dxa"/>
            <w:noWrap/>
            <w:vAlign w:val="center"/>
          </w:tcPr>
          <w:p w14:paraId="0CCFFA60">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2A265A10">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副教授</w:t>
            </w:r>
          </w:p>
        </w:tc>
        <w:tc>
          <w:tcPr>
            <w:tcW w:w="2749" w:type="dxa"/>
            <w:noWrap/>
            <w:vAlign w:val="center"/>
          </w:tcPr>
          <w:p w14:paraId="1B2CA63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标准技术制定</w:t>
            </w:r>
          </w:p>
        </w:tc>
      </w:tr>
      <w:tr w14:paraId="0444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27" w:type="dxa"/>
            <w:noWrap/>
            <w:vAlign w:val="center"/>
          </w:tcPr>
          <w:p w14:paraId="7A56B403">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r>
              <w:rPr>
                <w:rFonts w:ascii="仿宋" w:hAnsi="仿宋" w:eastAsia="仿宋" w:cs="仿宋"/>
                <w:color w:val="auto"/>
                <w:sz w:val="22"/>
                <w:highlight w:val="none"/>
              </w:rPr>
              <w:t>0</w:t>
            </w:r>
          </w:p>
        </w:tc>
        <w:tc>
          <w:tcPr>
            <w:tcW w:w="949" w:type="dxa"/>
            <w:noWrap/>
            <w:vAlign w:val="center"/>
          </w:tcPr>
          <w:p w14:paraId="5776D548">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茹佳</w:t>
            </w:r>
          </w:p>
        </w:tc>
        <w:tc>
          <w:tcPr>
            <w:tcW w:w="643" w:type="dxa"/>
            <w:noWrap/>
            <w:vAlign w:val="center"/>
          </w:tcPr>
          <w:p w14:paraId="3775E028">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女</w:t>
            </w:r>
          </w:p>
        </w:tc>
        <w:tc>
          <w:tcPr>
            <w:tcW w:w="1844" w:type="dxa"/>
            <w:noWrap/>
            <w:vAlign w:val="center"/>
          </w:tcPr>
          <w:p w14:paraId="02E95D33">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2F47E69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学生</w:t>
            </w:r>
          </w:p>
        </w:tc>
        <w:tc>
          <w:tcPr>
            <w:tcW w:w="2749" w:type="dxa"/>
            <w:noWrap/>
            <w:vAlign w:val="center"/>
          </w:tcPr>
          <w:p w14:paraId="1B5553E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标准技术验证</w:t>
            </w:r>
          </w:p>
        </w:tc>
      </w:tr>
      <w:tr w14:paraId="77A06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57B9C110">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r>
              <w:rPr>
                <w:rFonts w:ascii="仿宋" w:hAnsi="仿宋" w:eastAsia="仿宋" w:cs="仿宋"/>
                <w:color w:val="auto"/>
                <w:sz w:val="22"/>
                <w:highlight w:val="none"/>
              </w:rPr>
              <w:t>1</w:t>
            </w:r>
          </w:p>
        </w:tc>
        <w:tc>
          <w:tcPr>
            <w:tcW w:w="949" w:type="dxa"/>
            <w:noWrap/>
            <w:vAlign w:val="center"/>
          </w:tcPr>
          <w:p w14:paraId="32F0C24E">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蒋宇晨</w:t>
            </w:r>
          </w:p>
        </w:tc>
        <w:tc>
          <w:tcPr>
            <w:tcW w:w="643" w:type="dxa"/>
            <w:noWrap/>
            <w:vAlign w:val="center"/>
          </w:tcPr>
          <w:p w14:paraId="701A0758">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05A0316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10F910C0">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学生</w:t>
            </w:r>
          </w:p>
        </w:tc>
        <w:tc>
          <w:tcPr>
            <w:tcW w:w="2749" w:type="dxa"/>
            <w:noWrap/>
            <w:vAlign w:val="center"/>
          </w:tcPr>
          <w:p w14:paraId="31CC321C">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标准技术验证</w:t>
            </w:r>
          </w:p>
        </w:tc>
      </w:tr>
      <w:tr w14:paraId="3CD0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6A8EC356">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r>
              <w:rPr>
                <w:rFonts w:ascii="仿宋" w:hAnsi="仿宋" w:eastAsia="仿宋" w:cs="仿宋"/>
                <w:color w:val="auto"/>
                <w:sz w:val="22"/>
                <w:highlight w:val="none"/>
              </w:rPr>
              <w:t>2</w:t>
            </w:r>
          </w:p>
        </w:tc>
        <w:tc>
          <w:tcPr>
            <w:tcW w:w="949" w:type="dxa"/>
            <w:noWrap/>
            <w:vAlign w:val="center"/>
          </w:tcPr>
          <w:p w14:paraId="37B52AC9">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肖前晖</w:t>
            </w:r>
          </w:p>
        </w:tc>
        <w:tc>
          <w:tcPr>
            <w:tcW w:w="643" w:type="dxa"/>
            <w:noWrap/>
            <w:vAlign w:val="center"/>
          </w:tcPr>
          <w:p w14:paraId="41B92CC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1B08E4FC">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4DDE1D1E">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学生</w:t>
            </w:r>
          </w:p>
        </w:tc>
        <w:tc>
          <w:tcPr>
            <w:tcW w:w="2749" w:type="dxa"/>
            <w:noWrap/>
            <w:vAlign w:val="center"/>
          </w:tcPr>
          <w:p w14:paraId="66FD438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标准技术验证</w:t>
            </w:r>
          </w:p>
        </w:tc>
      </w:tr>
      <w:tr w14:paraId="1E26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5358BDA4">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r>
              <w:rPr>
                <w:rFonts w:ascii="仿宋" w:hAnsi="仿宋" w:eastAsia="仿宋" w:cs="仿宋"/>
                <w:color w:val="auto"/>
                <w:sz w:val="22"/>
                <w:highlight w:val="none"/>
              </w:rPr>
              <w:t>3</w:t>
            </w:r>
          </w:p>
        </w:tc>
        <w:tc>
          <w:tcPr>
            <w:tcW w:w="949" w:type="dxa"/>
            <w:noWrap/>
            <w:vAlign w:val="center"/>
          </w:tcPr>
          <w:p w14:paraId="08420D66">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吴美华</w:t>
            </w:r>
          </w:p>
        </w:tc>
        <w:tc>
          <w:tcPr>
            <w:tcW w:w="643" w:type="dxa"/>
            <w:noWrap/>
            <w:vAlign w:val="center"/>
          </w:tcPr>
          <w:p w14:paraId="5DB4FD6C">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女</w:t>
            </w:r>
          </w:p>
        </w:tc>
        <w:tc>
          <w:tcPr>
            <w:tcW w:w="1844" w:type="dxa"/>
            <w:noWrap/>
            <w:vAlign w:val="center"/>
          </w:tcPr>
          <w:p w14:paraId="035A84D5">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4CAD0339">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学生</w:t>
            </w:r>
          </w:p>
        </w:tc>
        <w:tc>
          <w:tcPr>
            <w:tcW w:w="2749" w:type="dxa"/>
            <w:noWrap/>
            <w:vAlign w:val="center"/>
          </w:tcPr>
          <w:p w14:paraId="57EE2947">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标准技术成档</w:t>
            </w:r>
          </w:p>
        </w:tc>
      </w:tr>
      <w:tr w14:paraId="60EC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6B7FC541">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r>
              <w:rPr>
                <w:rFonts w:ascii="仿宋" w:hAnsi="仿宋" w:eastAsia="仿宋" w:cs="仿宋"/>
                <w:color w:val="auto"/>
                <w:sz w:val="22"/>
                <w:highlight w:val="none"/>
              </w:rPr>
              <w:t>4</w:t>
            </w:r>
          </w:p>
        </w:tc>
        <w:tc>
          <w:tcPr>
            <w:tcW w:w="949" w:type="dxa"/>
            <w:noWrap/>
            <w:vAlign w:val="center"/>
          </w:tcPr>
          <w:p w14:paraId="129F98EF">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谷宁</w:t>
            </w:r>
          </w:p>
        </w:tc>
        <w:tc>
          <w:tcPr>
            <w:tcW w:w="643" w:type="dxa"/>
            <w:noWrap/>
            <w:vAlign w:val="center"/>
          </w:tcPr>
          <w:p w14:paraId="5452D5F1">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3B56167B">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788F0216">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学生</w:t>
            </w:r>
          </w:p>
        </w:tc>
        <w:tc>
          <w:tcPr>
            <w:tcW w:w="2749" w:type="dxa"/>
            <w:noWrap/>
            <w:vAlign w:val="center"/>
          </w:tcPr>
          <w:p w14:paraId="6C8A4EDE">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标准技术成档</w:t>
            </w:r>
          </w:p>
        </w:tc>
      </w:tr>
      <w:tr w14:paraId="28E1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19B1D957">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r>
              <w:rPr>
                <w:rFonts w:ascii="仿宋" w:hAnsi="仿宋" w:eastAsia="仿宋" w:cs="仿宋"/>
                <w:color w:val="auto"/>
                <w:sz w:val="22"/>
                <w:highlight w:val="none"/>
              </w:rPr>
              <w:t>5</w:t>
            </w:r>
          </w:p>
        </w:tc>
        <w:tc>
          <w:tcPr>
            <w:tcW w:w="949" w:type="dxa"/>
            <w:noWrap/>
            <w:vAlign w:val="center"/>
          </w:tcPr>
          <w:p w14:paraId="1D5A0B36">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熊佳斯</w:t>
            </w:r>
          </w:p>
        </w:tc>
        <w:tc>
          <w:tcPr>
            <w:tcW w:w="643" w:type="dxa"/>
            <w:noWrap/>
            <w:vAlign w:val="center"/>
          </w:tcPr>
          <w:p w14:paraId="56D40E6A">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女</w:t>
            </w:r>
          </w:p>
        </w:tc>
        <w:tc>
          <w:tcPr>
            <w:tcW w:w="1844" w:type="dxa"/>
            <w:noWrap/>
            <w:vAlign w:val="center"/>
          </w:tcPr>
          <w:p w14:paraId="14C6C105">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5ABD5155">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学生</w:t>
            </w:r>
          </w:p>
        </w:tc>
        <w:tc>
          <w:tcPr>
            <w:tcW w:w="2749" w:type="dxa"/>
            <w:noWrap/>
            <w:vAlign w:val="center"/>
          </w:tcPr>
          <w:p w14:paraId="290FA8DD">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标准技术成档</w:t>
            </w:r>
          </w:p>
        </w:tc>
      </w:tr>
      <w:tr w14:paraId="1836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21E4B41B">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r>
              <w:rPr>
                <w:rFonts w:ascii="仿宋" w:hAnsi="仿宋" w:eastAsia="仿宋" w:cs="仿宋"/>
                <w:color w:val="auto"/>
                <w:sz w:val="22"/>
                <w:highlight w:val="none"/>
              </w:rPr>
              <w:t>6</w:t>
            </w:r>
          </w:p>
        </w:tc>
        <w:tc>
          <w:tcPr>
            <w:tcW w:w="949" w:type="dxa"/>
            <w:noWrap/>
            <w:vAlign w:val="center"/>
          </w:tcPr>
          <w:p w14:paraId="6F702B1F">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王毓斌</w:t>
            </w:r>
          </w:p>
        </w:tc>
        <w:tc>
          <w:tcPr>
            <w:tcW w:w="643" w:type="dxa"/>
            <w:noWrap/>
            <w:vAlign w:val="center"/>
          </w:tcPr>
          <w:p w14:paraId="2C8A988B">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男</w:t>
            </w:r>
          </w:p>
        </w:tc>
        <w:tc>
          <w:tcPr>
            <w:tcW w:w="1844" w:type="dxa"/>
            <w:noWrap/>
            <w:vAlign w:val="center"/>
          </w:tcPr>
          <w:p w14:paraId="486D7096">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31E0A2F8">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学生</w:t>
            </w:r>
          </w:p>
        </w:tc>
        <w:tc>
          <w:tcPr>
            <w:tcW w:w="2749" w:type="dxa"/>
            <w:noWrap/>
            <w:vAlign w:val="center"/>
          </w:tcPr>
          <w:p w14:paraId="06DB4A7F">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标准技术成档</w:t>
            </w:r>
          </w:p>
        </w:tc>
      </w:tr>
      <w:tr w14:paraId="2EE2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noWrap/>
            <w:vAlign w:val="center"/>
          </w:tcPr>
          <w:p w14:paraId="2732BC5E">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r>
              <w:rPr>
                <w:rFonts w:ascii="仿宋" w:hAnsi="仿宋" w:eastAsia="仿宋" w:cs="仿宋"/>
                <w:color w:val="auto"/>
                <w:sz w:val="22"/>
                <w:highlight w:val="none"/>
              </w:rPr>
              <w:t>7</w:t>
            </w:r>
          </w:p>
        </w:tc>
        <w:tc>
          <w:tcPr>
            <w:tcW w:w="949" w:type="dxa"/>
            <w:noWrap/>
            <w:vAlign w:val="center"/>
          </w:tcPr>
          <w:p w14:paraId="3E61950B">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杨逸帆</w:t>
            </w:r>
          </w:p>
        </w:tc>
        <w:tc>
          <w:tcPr>
            <w:tcW w:w="643" w:type="dxa"/>
            <w:noWrap/>
            <w:vAlign w:val="center"/>
          </w:tcPr>
          <w:p w14:paraId="1E92D78A">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女</w:t>
            </w:r>
          </w:p>
        </w:tc>
        <w:tc>
          <w:tcPr>
            <w:tcW w:w="1844" w:type="dxa"/>
            <w:noWrap/>
            <w:vAlign w:val="center"/>
          </w:tcPr>
          <w:p w14:paraId="79085EBF">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长沙理工大学</w:t>
            </w:r>
          </w:p>
        </w:tc>
        <w:tc>
          <w:tcPr>
            <w:tcW w:w="1320" w:type="dxa"/>
            <w:noWrap/>
            <w:vAlign w:val="center"/>
          </w:tcPr>
          <w:p w14:paraId="49B9BCC1">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学生</w:t>
            </w:r>
          </w:p>
        </w:tc>
        <w:tc>
          <w:tcPr>
            <w:tcW w:w="2749" w:type="dxa"/>
            <w:noWrap/>
            <w:vAlign w:val="center"/>
          </w:tcPr>
          <w:p w14:paraId="37258E74">
            <w:pPr>
              <w:snapToGrid w:val="0"/>
              <w:jc w:val="center"/>
              <w:rPr>
                <w:rFonts w:ascii="仿宋" w:hAnsi="仿宋" w:eastAsia="仿宋" w:cs="仿宋"/>
                <w:color w:val="auto"/>
                <w:sz w:val="22"/>
                <w:highlight w:val="none"/>
              </w:rPr>
            </w:pPr>
            <w:r>
              <w:rPr>
                <w:rFonts w:hint="eastAsia" w:ascii="仿宋" w:hAnsi="仿宋" w:eastAsia="仿宋" w:cs="仿宋"/>
                <w:color w:val="auto"/>
                <w:sz w:val="22"/>
                <w:highlight w:val="none"/>
              </w:rPr>
              <w:t>标准技术成档</w:t>
            </w:r>
          </w:p>
        </w:tc>
      </w:tr>
    </w:tbl>
    <w:p w14:paraId="4B9D4FEC">
      <w:pPr>
        <w:pStyle w:val="4"/>
        <w:numPr>
          <w:ilvl w:val="0"/>
          <w:numId w:val="1"/>
        </w:numPr>
        <w:bidi w:val="0"/>
        <w:rPr>
          <w:color w:val="auto"/>
          <w:highlight w:val="none"/>
        </w:rPr>
      </w:pPr>
      <w:r>
        <w:rPr>
          <w:rFonts w:hint="eastAsia"/>
          <w:color w:val="auto"/>
          <w:highlight w:val="none"/>
        </w:rPr>
        <w:t>标准调研</w:t>
      </w:r>
    </w:p>
    <w:p w14:paraId="2B577482">
      <w:pPr>
        <w:widowControl/>
        <w:tabs>
          <w:tab w:val="left" w:pos="720"/>
          <w:tab w:val="left" w:pos="5940"/>
        </w:tabs>
        <w:spacing w:line="5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2021年1月-2021年8月，标准起草组对现有相关标准、协议及文献进行了调研，详细了解了《基于LTE的车联网无线通信技术空中接口技术要求标准》、《智能网联汽车道路测试管理规范(试行)》、《卫星导航定位基准站网基本产品规范》、《车载终端与手持终端互联规范》、《车载无线短距通信系统技术要求与测试方法》、《ISO 13400-3:2016道路车辆  基于因特网协议的诊断通讯  第3部分：基于IEEE 802.3的车用有线接口》、《3GPP-Technical realization ("stage2") -23series-TS23.501协议》、《3GPP-Requirements-21 series-TR21.916协议》、《3GPP-Technical realization ("stage 2")-23 series-TS 23.502协议》、《ISO 22900-2:2017 道路车辆  车辆通讯接口模块  第2部分：诊断协议数据单元》、《ISO 20077-1:2017 道路车辆ExVe方法第1部分：一般信息》和《3GPP-Technical realization ("stage 2")-23 series-TR 23.725协议》等标准，调研整合了湖南省长沙市仿真道路需求实际情况信息，确认了相关数据库的需求和权限需求。</w:t>
      </w:r>
    </w:p>
    <w:p w14:paraId="0C6D6CA5">
      <w:pPr>
        <w:pStyle w:val="4"/>
        <w:numPr>
          <w:ilvl w:val="0"/>
          <w:numId w:val="1"/>
        </w:numPr>
        <w:bidi w:val="0"/>
        <w:rPr>
          <w:rFonts w:hint="eastAsia" w:ascii="仿宋" w:hAnsi="仿宋" w:eastAsia="仿宋" w:cs="仿宋"/>
          <w:color w:val="auto"/>
          <w:highlight w:val="none"/>
        </w:rPr>
      </w:pPr>
      <w:r>
        <w:rPr>
          <w:rFonts w:hint="eastAsia" w:ascii="仿宋" w:hAnsi="仿宋" w:eastAsia="仿宋" w:cs="仿宋"/>
          <w:color w:val="auto"/>
          <w:highlight w:val="none"/>
        </w:rPr>
        <w:t>标准起草</w:t>
      </w:r>
    </w:p>
    <w:p w14:paraId="793C191E">
      <w:pPr>
        <w:widowControl/>
        <w:tabs>
          <w:tab w:val="left" w:pos="720"/>
          <w:tab w:val="left" w:pos="5940"/>
        </w:tabs>
        <w:spacing w:line="5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2021年9月至2023</w:t>
      </w:r>
      <w:r>
        <w:rPr>
          <w:rFonts w:hint="eastAsia" w:ascii="仿宋" w:hAnsi="仿宋" w:eastAsia="仿宋" w:cs="仿宋"/>
          <w:color w:val="auto"/>
          <w:kern w:val="0"/>
          <w:sz w:val="28"/>
          <w:szCs w:val="28"/>
          <w:highlight w:val="none"/>
          <w:lang w:eastAsia="zh-Hans"/>
        </w:rPr>
        <w:t>年1月，</w:t>
      </w:r>
      <w:r>
        <w:rPr>
          <w:rFonts w:hint="eastAsia" w:ascii="仿宋" w:hAnsi="仿宋" w:eastAsia="仿宋" w:cs="仿宋"/>
          <w:color w:val="auto"/>
          <w:kern w:val="0"/>
          <w:sz w:val="28"/>
          <w:szCs w:val="28"/>
          <w:highlight w:val="none"/>
        </w:rPr>
        <w:t>标准起草组依据前期调研成果，确定本指南框架，从前言、范围、规范性引用文件、术语和定义、缩略语、不同应用场景</w:t>
      </w:r>
      <w:r>
        <w:rPr>
          <w:rFonts w:hint="eastAsia" w:ascii="仿宋" w:hAnsi="仿宋" w:eastAsia="仿宋" w:cs="仿宋"/>
          <w:color w:val="auto"/>
          <w:kern w:val="0"/>
          <w:sz w:val="28"/>
          <w:szCs w:val="28"/>
          <w:highlight w:val="none"/>
          <w:lang w:eastAsia="zh-CN"/>
        </w:rPr>
        <w:t>中继节点选择</w:t>
      </w:r>
      <w:r>
        <w:rPr>
          <w:rFonts w:hint="eastAsia" w:ascii="仿宋" w:hAnsi="仿宋" w:eastAsia="仿宋" w:cs="仿宋"/>
          <w:color w:val="auto"/>
          <w:kern w:val="0"/>
          <w:sz w:val="28"/>
          <w:szCs w:val="28"/>
          <w:highlight w:val="none"/>
        </w:rPr>
        <w:t>等方面具化内容，并结合湖南省长沙市仿真道路需求实际情况，完成了标准工作组讨论稿。</w:t>
      </w:r>
    </w:p>
    <w:p w14:paraId="7ABAAA02">
      <w:pPr>
        <w:pStyle w:val="4"/>
        <w:numPr>
          <w:ilvl w:val="0"/>
          <w:numId w:val="1"/>
        </w:numPr>
        <w:bidi w:val="0"/>
        <w:rPr>
          <w:rFonts w:hint="eastAsia" w:ascii="仿宋" w:hAnsi="仿宋" w:eastAsia="仿宋" w:cs="仿宋"/>
          <w:color w:val="auto"/>
          <w:highlight w:val="none"/>
        </w:rPr>
      </w:pPr>
      <w:r>
        <w:rPr>
          <w:rFonts w:hint="eastAsia" w:ascii="仿宋" w:hAnsi="仿宋" w:eastAsia="仿宋" w:cs="仿宋"/>
          <w:color w:val="auto"/>
          <w:highlight w:val="none"/>
        </w:rPr>
        <w:t>标准讨论</w:t>
      </w:r>
    </w:p>
    <w:p w14:paraId="64D62A5B">
      <w:pPr>
        <w:widowControl/>
        <w:tabs>
          <w:tab w:val="left" w:pos="720"/>
          <w:tab w:val="left" w:pos="5940"/>
        </w:tabs>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color w:val="auto"/>
          <w:kern w:val="0"/>
          <w:sz w:val="28"/>
          <w:szCs w:val="28"/>
          <w:highlight w:val="none"/>
        </w:rPr>
        <w:t>2023年2月至2023</w:t>
      </w:r>
      <w:r>
        <w:rPr>
          <w:rFonts w:hint="eastAsia" w:ascii="仿宋" w:hAnsi="仿宋" w:eastAsia="仿宋" w:cs="仿宋"/>
          <w:color w:val="auto"/>
          <w:kern w:val="0"/>
          <w:sz w:val="28"/>
          <w:szCs w:val="28"/>
          <w:highlight w:val="none"/>
          <w:lang w:eastAsia="zh-Hans"/>
        </w:rPr>
        <w:t>年6月</w:t>
      </w:r>
      <w:r>
        <w:rPr>
          <w:rFonts w:hint="eastAsia" w:ascii="仿宋" w:hAnsi="仿宋" w:eastAsia="仿宋" w:cs="仿宋"/>
          <w:color w:val="auto"/>
          <w:kern w:val="0"/>
          <w:sz w:val="28"/>
          <w:szCs w:val="28"/>
          <w:highlight w:val="none"/>
        </w:rPr>
        <w:t>标准工作组经过多次讨论，确定了</w:t>
      </w:r>
      <w:r>
        <w:rPr>
          <w:rFonts w:hint="eastAsia" w:ascii="仿宋" w:hAnsi="仿宋" w:eastAsia="仿宋" w:cs="仿宋"/>
          <w:color w:val="auto"/>
          <w:sz w:val="28"/>
          <w:szCs w:val="28"/>
          <w:highlight w:val="none"/>
        </w:rPr>
        <w:t>标准《</w:t>
      </w:r>
      <w:r>
        <w:rPr>
          <w:rFonts w:hint="eastAsia" w:ascii="仿宋" w:hAnsi="仿宋" w:eastAsia="仿宋" w:cs="仿宋"/>
          <w:color w:val="auto"/>
          <w:sz w:val="28"/>
          <w:szCs w:val="28"/>
          <w:highlight w:val="none"/>
          <w:lang w:eastAsia="zh-CN"/>
        </w:rPr>
        <w:t>智能网联车-车通信中继节点选择技术指南</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Hans"/>
        </w:rPr>
        <w:t>的</w:t>
      </w:r>
      <w:r>
        <w:rPr>
          <w:rFonts w:hint="eastAsia" w:ascii="仿宋" w:hAnsi="仿宋" w:eastAsia="仿宋" w:cs="仿宋"/>
          <w:color w:val="auto"/>
          <w:sz w:val="28"/>
          <w:szCs w:val="28"/>
          <w:highlight w:val="none"/>
        </w:rPr>
        <w:t>标准结构框架和具体内容的实施，</w:t>
      </w:r>
      <w:r>
        <w:rPr>
          <w:rFonts w:hint="eastAsia" w:ascii="仿宋" w:hAnsi="仿宋" w:eastAsia="仿宋" w:cs="仿宋"/>
          <w:color w:val="auto"/>
          <w:sz w:val="28"/>
          <w:szCs w:val="28"/>
          <w:highlight w:val="none"/>
          <w:lang w:eastAsia="zh-Hans"/>
        </w:rPr>
        <w:t>形成讨论稿</w:t>
      </w:r>
      <w:r>
        <w:rPr>
          <w:rFonts w:hint="eastAsia" w:ascii="仿宋" w:hAnsi="仿宋" w:eastAsia="仿宋" w:cs="仿宋"/>
          <w:color w:val="auto"/>
          <w:sz w:val="28"/>
          <w:szCs w:val="28"/>
          <w:highlight w:val="none"/>
        </w:rPr>
        <w:t>。</w:t>
      </w:r>
    </w:p>
    <w:p w14:paraId="0E43A413">
      <w:pPr>
        <w:pStyle w:val="4"/>
        <w:numPr>
          <w:ilvl w:val="0"/>
          <w:numId w:val="1"/>
        </w:numPr>
        <w:bidi w:val="0"/>
        <w:rPr>
          <w:rFonts w:hint="eastAsia" w:ascii="仿宋" w:hAnsi="仿宋" w:eastAsia="仿宋" w:cs="仿宋"/>
          <w:color w:val="auto"/>
          <w:highlight w:val="none"/>
        </w:rPr>
      </w:pPr>
      <w:r>
        <w:rPr>
          <w:rFonts w:hint="eastAsia" w:ascii="仿宋" w:hAnsi="仿宋" w:eastAsia="仿宋" w:cs="仿宋"/>
          <w:color w:val="auto"/>
          <w:highlight w:val="none"/>
        </w:rPr>
        <w:t>征求意见</w:t>
      </w:r>
    </w:p>
    <w:p w14:paraId="10E63CD7">
      <w:pPr>
        <w:adjustRightInd w:val="0"/>
        <w:snapToGrid w:val="0"/>
        <w:spacing w:line="580" w:lineRule="exact"/>
        <w:ind w:firstLine="560" w:firstLineChars="200"/>
        <w:rPr>
          <w:rFonts w:hint="eastAsia" w:ascii="仿宋" w:hAnsi="仿宋" w:eastAsia="仿宋" w:cs="仿宋"/>
          <w:color w:val="auto"/>
          <w:sz w:val="28"/>
          <w:szCs w:val="28"/>
          <w:highlight w:val="none"/>
        </w:rPr>
      </w:pPr>
      <w:bookmarkStart w:id="0" w:name="OLE_LINK2"/>
      <w:r>
        <w:rPr>
          <w:rFonts w:hint="eastAsia" w:ascii="仿宋" w:hAnsi="仿宋" w:eastAsia="仿宋" w:cs="仿宋"/>
          <w:color w:val="auto"/>
          <w:sz w:val="28"/>
          <w:szCs w:val="28"/>
          <w:highlight w:val="none"/>
        </w:rPr>
        <w:t>2023</w:t>
      </w:r>
      <w:r>
        <w:rPr>
          <w:rFonts w:hint="eastAsia" w:ascii="仿宋" w:hAnsi="仿宋" w:eastAsia="仿宋" w:cs="仿宋"/>
          <w:color w:val="auto"/>
          <w:sz w:val="28"/>
          <w:szCs w:val="28"/>
          <w:highlight w:val="none"/>
          <w:lang w:eastAsia="zh-Hans"/>
        </w:rPr>
        <w:t>年7-8月，</w:t>
      </w:r>
      <w:r>
        <w:rPr>
          <w:rFonts w:hint="eastAsia" w:ascii="仿宋" w:hAnsi="仿宋" w:eastAsia="仿宋" w:cs="仿宋"/>
          <w:color w:val="auto"/>
          <w:sz w:val="28"/>
          <w:szCs w:val="28"/>
          <w:highlight w:val="none"/>
        </w:rPr>
        <w:t>通过</w:t>
      </w:r>
      <w:r>
        <w:rPr>
          <w:rFonts w:hint="eastAsia" w:ascii="仿宋" w:hAnsi="仿宋" w:eastAsia="仿宋" w:cs="仿宋"/>
          <w:color w:val="auto"/>
          <w:sz w:val="28"/>
          <w:szCs w:val="28"/>
          <w:highlight w:val="none"/>
          <w:lang w:val="en-US" w:eastAsia="zh-Hans"/>
        </w:rPr>
        <w:t>对行业内湖南省质量和标准研究院</w:t>
      </w:r>
      <w:r>
        <w:rPr>
          <w:rFonts w:hint="eastAsia" w:ascii="仿宋" w:hAnsi="仿宋" w:eastAsia="仿宋" w:cs="仿宋"/>
          <w:color w:val="auto"/>
          <w:sz w:val="28"/>
          <w:szCs w:val="28"/>
          <w:highlight w:val="none"/>
          <w:lang w:eastAsia="zh-Hans"/>
        </w:rPr>
        <w:t>、长沙智能驾驶研究院有限公司、长沙比亚迪汽车工业有限公司产品规划及汽车新技术研究院政策标准部</w:t>
      </w:r>
      <w:r>
        <w:rPr>
          <w:rFonts w:hint="eastAsia" w:ascii="仿宋" w:hAnsi="仿宋" w:eastAsia="仿宋" w:cs="仿宋"/>
          <w:color w:val="auto"/>
          <w:sz w:val="28"/>
          <w:szCs w:val="28"/>
          <w:highlight w:val="none"/>
          <w:lang w:val="en-US" w:eastAsia="zh-Hans"/>
        </w:rPr>
        <w:t>等十余家相关研究院所</w:t>
      </w:r>
      <w:r>
        <w:rPr>
          <w:rFonts w:hint="eastAsia" w:ascii="仿宋" w:hAnsi="仿宋" w:eastAsia="仿宋" w:cs="仿宋"/>
          <w:color w:val="auto"/>
          <w:sz w:val="28"/>
          <w:szCs w:val="28"/>
          <w:highlight w:val="none"/>
          <w:lang w:eastAsia="zh-Hans"/>
        </w:rPr>
        <w:t>、</w:t>
      </w:r>
      <w:r>
        <w:rPr>
          <w:rFonts w:hint="eastAsia" w:ascii="仿宋" w:hAnsi="仿宋" w:eastAsia="仿宋" w:cs="仿宋"/>
          <w:color w:val="auto"/>
          <w:sz w:val="28"/>
          <w:szCs w:val="28"/>
          <w:highlight w:val="none"/>
          <w:lang w:val="en-US" w:eastAsia="zh-Hans"/>
        </w:rPr>
        <w:t>企业征集意见</w:t>
      </w:r>
      <w:r>
        <w:rPr>
          <w:rFonts w:hint="eastAsia" w:ascii="仿宋" w:hAnsi="仿宋" w:eastAsia="仿宋" w:cs="仿宋"/>
          <w:color w:val="auto"/>
          <w:sz w:val="28"/>
          <w:szCs w:val="28"/>
          <w:highlight w:val="none"/>
          <w:lang w:eastAsia="zh-Hans"/>
        </w:rPr>
        <w:t>，</w:t>
      </w:r>
      <w:r>
        <w:rPr>
          <w:rFonts w:hint="eastAsia" w:ascii="仿宋" w:hAnsi="仿宋" w:eastAsia="仿宋" w:cs="仿宋"/>
          <w:color w:val="auto"/>
          <w:sz w:val="28"/>
          <w:szCs w:val="28"/>
          <w:highlight w:val="none"/>
          <w:lang w:val="en-US" w:eastAsia="zh-Hans"/>
        </w:rPr>
        <w:t>回收意见近百条</w:t>
      </w:r>
      <w:r>
        <w:rPr>
          <w:rFonts w:hint="eastAsia" w:ascii="仿宋" w:hAnsi="仿宋" w:eastAsia="仿宋" w:cs="仿宋"/>
          <w:color w:val="auto"/>
          <w:sz w:val="28"/>
          <w:szCs w:val="28"/>
          <w:highlight w:val="none"/>
          <w:lang w:eastAsia="zh-Hans"/>
        </w:rPr>
        <w:t>，</w:t>
      </w:r>
      <w:r>
        <w:rPr>
          <w:rFonts w:hint="eastAsia" w:ascii="仿宋" w:hAnsi="仿宋" w:eastAsia="仿宋" w:cs="仿宋"/>
          <w:color w:val="auto"/>
          <w:sz w:val="28"/>
          <w:szCs w:val="28"/>
          <w:highlight w:val="none"/>
          <w:lang w:val="en-US" w:eastAsia="zh-Hans"/>
        </w:rPr>
        <w:t>对意见进行</w:t>
      </w:r>
      <w:r>
        <w:rPr>
          <w:rFonts w:hint="eastAsia" w:ascii="仿宋" w:hAnsi="仿宋" w:eastAsia="仿宋" w:cs="仿宋"/>
          <w:color w:val="auto"/>
          <w:sz w:val="28"/>
          <w:szCs w:val="28"/>
          <w:highlight w:val="none"/>
        </w:rPr>
        <w:t>分析、研究、讨论，并进行验证，对工作组讨论稿进行细致的完善和审查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并于9月22日由湖南省交通运输厅组织专家召开了地方标准评审会，与会专家听取了标准起草编制工作组所做的标准编制说明，并对标准送审稿进行了逐条审查，经质询、讨论，形成了修改意见，一致通过本标准通过审查。起草组根据专家组审查意见，对标准文本继续进行了修改完善，</w:t>
      </w:r>
      <w:r>
        <w:rPr>
          <w:rFonts w:hint="eastAsia" w:ascii="仿宋" w:hAnsi="仿宋" w:eastAsia="仿宋" w:cs="仿宋"/>
          <w:color w:val="auto"/>
          <w:sz w:val="28"/>
          <w:szCs w:val="28"/>
          <w:highlight w:val="none"/>
        </w:rPr>
        <w:t>形成一份更加全面、详实的征求意见稿。</w:t>
      </w:r>
    </w:p>
    <w:bookmarkEnd w:id="0"/>
    <w:p w14:paraId="4F7CBCFE">
      <w:pPr>
        <w:pStyle w:val="2"/>
        <w:bidi w:val="0"/>
        <w:rPr>
          <w:rFonts w:hint="default" w:eastAsia="仿宋"/>
          <w:color w:val="auto"/>
          <w:highlight w:val="none"/>
          <w:lang w:val="en-US" w:eastAsia="zh-CN"/>
        </w:rPr>
      </w:pPr>
      <w:r>
        <w:rPr>
          <w:rFonts w:hint="eastAsia"/>
          <w:color w:val="auto"/>
          <w:highlight w:val="none"/>
        </w:rPr>
        <w:t>三、标准编制原则</w:t>
      </w:r>
      <w:r>
        <w:rPr>
          <w:rFonts w:hint="eastAsia"/>
          <w:color w:val="auto"/>
          <w:highlight w:val="none"/>
          <w:lang w:val="en-US" w:eastAsia="zh-CN"/>
        </w:rPr>
        <w:t>和</w:t>
      </w:r>
      <w:r>
        <w:rPr>
          <w:rFonts w:hint="eastAsia"/>
          <w:color w:val="auto"/>
          <w:highlight w:val="none"/>
        </w:rPr>
        <w:t>主要内容</w:t>
      </w:r>
      <w:r>
        <w:rPr>
          <w:rFonts w:hint="eastAsia"/>
          <w:color w:val="auto"/>
          <w:highlight w:val="none"/>
          <w:lang w:val="en-US" w:eastAsia="zh-CN"/>
        </w:rPr>
        <w:t>及其确定的依据</w:t>
      </w:r>
    </w:p>
    <w:p w14:paraId="6B5D454B">
      <w:pPr>
        <w:pStyle w:val="3"/>
        <w:bidi w:val="0"/>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标准编制原则</w:t>
      </w:r>
    </w:p>
    <w:p w14:paraId="73E057CF">
      <w:pPr>
        <w:pStyle w:val="4"/>
        <w:bidi w:val="0"/>
        <w:rPr>
          <w:rFonts w:hint="eastAsia" w:ascii="仿宋" w:hAnsi="仿宋" w:eastAsia="仿宋" w:cs="仿宋"/>
          <w:color w:val="auto"/>
          <w:highlight w:val="none"/>
        </w:rPr>
      </w:pPr>
      <w:r>
        <w:rPr>
          <w:rFonts w:hint="eastAsia" w:ascii="仿宋" w:hAnsi="仿宋" w:eastAsia="仿宋" w:cs="仿宋"/>
          <w:color w:val="auto"/>
          <w:highlight w:val="none"/>
        </w:rPr>
        <w:t>（1）系统性与协调性相结合的原则</w:t>
      </w:r>
    </w:p>
    <w:p w14:paraId="461F357C">
      <w:pPr>
        <w:spacing w:line="56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标准的形成应充分考虑国家、湖南省现有的相关的政策文件，利于交通主管部门对道路以及交通情况的使用和管理，避免冲突与矛盾。</w:t>
      </w:r>
    </w:p>
    <w:p w14:paraId="7D505D0B">
      <w:pPr>
        <w:pStyle w:val="4"/>
        <w:bidi w:val="0"/>
        <w:rPr>
          <w:rFonts w:hint="eastAsia" w:ascii="仿宋" w:hAnsi="仿宋" w:eastAsia="仿宋" w:cs="仿宋"/>
          <w:color w:val="auto"/>
          <w:highlight w:val="none"/>
        </w:rPr>
      </w:pPr>
      <w:r>
        <w:rPr>
          <w:rFonts w:hint="eastAsia" w:ascii="仿宋" w:hAnsi="仿宋" w:eastAsia="仿宋" w:cs="仿宋"/>
          <w:color w:val="auto"/>
          <w:highlight w:val="none"/>
        </w:rPr>
        <w:t>（2）科学性与可操作性相结合原则</w:t>
      </w:r>
    </w:p>
    <w:p w14:paraId="75A8BD06">
      <w:pPr>
        <w:spacing w:line="5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标准的形成应建立在充分调研、分析行业现状及发展方向的基础上,应具体量化指标、便于实践操作，以利于规范行业管理。</w:t>
      </w:r>
    </w:p>
    <w:p w14:paraId="0CE0AD63">
      <w:pPr>
        <w:pStyle w:val="4"/>
        <w:bidi w:val="0"/>
        <w:rPr>
          <w:rFonts w:hint="eastAsia" w:ascii="仿宋" w:hAnsi="仿宋" w:eastAsia="仿宋" w:cs="仿宋"/>
          <w:color w:val="auto"/>
          <w:highlight w:val="none"/>
        </w:rPr>
      </w:pPr>
      <w:r>
        <w:rPr>
          <w:rFonts w:hint="eastAsia" w:ascii="仿宋" w:hAnsi="仿宋" w:eastAsia="仿宋" w:cs="仿宋"/>
          <w:color w:val="auto"/>
          <w:highlight w:val="none"/>
        </w:rPr>
        <w:t>（3）可达性与前瞻性相结合原则</w:t>
      </w:r>
    </w:p>
    <w:p w14:paraId="029B32E1">
      <w:pPr>
        <w:spacing w:line="5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标准应能够在现阶段情况下，快速实现,并具有一定的预见性和超前性，能够为未来的发展方向起到一定的指导作用。</w:t>
      </w:r>
    </w:p>
    <w:p w14:paraId="3B9F0F30">
      <w:pPr>
        <w:pStyle w:val="4"/>
        <w:bidi w:val="0"/>
        <w:rPr>
          <w:rFonts w:hint="eastAsia" w:ascii="仿宋" w:hAnsi="仿宋" w:eastAsia="仿宋" w:cs="仿宋"/>
          <w:color w:val="auto"/>
          <w:highlight w:val="none"/>
        </w:rPr>
      </w:pPr>
      <w:r>
        <w:rPr>
          <w:rFonts w:hint="eastAsia" w:ascii="仿宋" w:hAnsi="仿宋" w:eastAsia="仿宋" w:cs="仿宋"/>
          <w:color w:val="auto"/>
          <w:highlight w:val="none"/>
        </w:rPr>
        <w:t>（4）透明性、开放性和协商一致原则</w:t>
      </w:r>
    </w:p>
    <w:p w14:paraId="5EF0C977">
      <w:pPr>
        <w:spacing w:line="560" w:lineRule="exact"/>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kern w:val="0"/>
          <w:sz w:val="28"/>
          <w:szCs w:val="28"/>
          <w:highlight w:val="none"/>
        </w:rPr>
        <w:t>标准的制定应有利于车联网道路区间车辆有关的各方利益主体的合法权益，标准制定过程中应充分听取各相关方的意见，力争协商一致。</w:t>
      </w:r>
    </w:p>
    <w:p w14:paraId="6A45382F">
      <w:pPr>
        <w:pStyle w:val="3"/>
        <w:bidi w:val="0"/>
        <w:rPr>
          <w:rFonts w:hint="eastAsia" w:eastAsia="仿宋"/>
          <w:color w:val="auto"/>
          <w:highlight w:val="none"/>
          <w:lang w:eastAsia="zh-CN"/>
        </w:rPr>
      </w:pPr>
      <w:r>
        <w:rPr>
          <w:rFonts w:hint="eastAsia"/>
          <w:color w:val="auto"/>
          <w:highlight w:val="none"/>
          <w:lang w:eastAsia="zh-CN"/>
        </w:rPr>
        <w:t>（</w:t>
      </w:r>
      <w:r>
        <w:rPr>
          <w:rFonts w:hint="eastAsia"/>
          <w:color w:val="auto"/>
          <w:highlight w:val="none"/>
          <w:lang w:val="en-US" w:eastAsia="zh-CN"/>
        </w:rPr>
        <w:t>二</w:t>
      </w:r>
      <w:r>
        <w:rPr>
          <w:rFonts w:hint="eastAsia"/>
          <w:color w:val="auto"/>
          <w:highlight w:val="none"/>
          <w:lang w:eastAsia="zh-CN"/>
        </w:rPr>
        <w:t>）</w:t>
      </w:r>
      <w:r>
        <w:rPr>
          <w:rFonts w:hint="eastAsia"/>
          <w:color w:val="auto"/>
          <w:highlight w:val="none"/>
        </w:rPr>
        <w:t>主要内容及其确定的依据</w:t>
      </w:r>
    </w:p>
    <w:p w14:paraId="39CE87FC">
      <w:pPr>
        <w:widowControl/>
        <w:tabs>
          <w:tab w:val="left" w:pos="4455"/>
        </w:tabs>
        <w:adjustRightInd w:val="0"/>
        <w:snapToGrid w:val="0"/>
        <w:spacing w:line="360" w:lineRule="auto"/>
        <w:ind w:firstLine="560" w:firstLineChars="200"/>
        <w:jc w:val="left"/>
        <w:rPr>
          <w:rFonts w:hint="eastAsia" w:ascii="仿宋" w:hAnsi="仿宋" w:eastAsia="仿宋" w:cs="仿宋"/>
          <w:b w:val="0"/>
          <w:bCs/>
          <w:color w:val="auto"/>
          <w:kern w:val="0"/>
          <w:sz w:val="28"/>
          <w:szCs w:val="28"/>
          <w:highlight w:val="none"/>
        </w:rPr>
      </w:pPr>
      <w:r>
        <w:rPr>
          <w:rFonts w:hint="eastAsia" w:ascii="仿宋" w:hAnsi="仿宋" w:eastAsia="仿宋" w:cs="仿宋"/>
          <w:b w:val="0"/>
          <w:bCs/>
          <w:color w:val="auto"/>
          <w:kern w:val="0"/>
          <w:sz w:val="28"/>
          <w:szCs w:val="28"/>
          <w:highlight w:val="none"/>
        </w:rPr>
        <w:t>本标准内容给出了车间数据通信的中继节点的选择方法的指南，实现了比现有协议更稳定高效的紧急消息传播，因此标准名称为《</w:t>
      </w:r>
      <w:r>
        <w:rPr>
          <w:rFonts w:hint="eastAsia" w:ascii="仿宋" w:hAnsi="仿宋" w:eastAsia="仿宋" w:cs="仿宋"/>
          <w:b w:val="0"/>
          <w:bCs/>
          <w:color w:val="auto"/>
          <w:kern w:val="0"/>
          <w:sz w:val="28"/>
          <w:szCs w:val="28"/>
          <w:highlight w:val="none"/>
          <w:lang w:eastAsia="zh-CN"/>
        </w:rPr>
        <w:t>智能网联车-车通信中继节点选择技术指南</w:t>
      </w:r>
      <w:r>
        <w:rPr>
          <w:rFonts w:hint="eastAsia" w:ascii="仿宋" w:hAnsi="仿宋" w:eastAsia="仿宋" w:cs="仿宋"/>
          <w:b w:val="0"/>
          <w:bCs/>
          <w:color w:val="auto"/>
          <w:kern w:val="0"/>
          <w:sz w:val="28"/>
          <w:szCs w:val="28"/>
          <w:highlight w:val="none"/>
        </w:rPr>
        <w:t>》。</w:t>
      </w:r>
    </w:p>
    <w:p w14:paraId="0B877723">
      <w:pPr>
        <w:widowControl/>
        <w:tabs>
          <w:tab w:val="left" w:pos="4455"/>
        </w:tabs>
        <w:adjustRightInd w:val="0"/>
        <w:snapToGrid w:val="0"/>
        <w:spacing w:line="360" w:lineRule="auto"/>
        <w:ind w:firstLine="560" w:firstLineChars="200"/>
        <w:jc w:val="left"/>
        <w:rPr>
          <w:rFonts w:hint="eastAsia" w:ascii="仿宋" w:hAnsi="仿宋" w:eastAsia="仿宋" w:cs="仿宋"/>
          <w:b w:val="0"/>
          <w:bCs/>
          <w:color w:val="auto"/>
          <w:kern w:val="0"/>
          <w:sz w:val="28"/>
          <w:szCs w:val="28"/>
          <w:highlight w:val="none"/>
          <w:lang w:val="en-US" w:eastAsia="zh-CN"/>
        </w:rPr>
      </w:pPr>
      <w:r>
        <w:rPr>
          <w:rFonts w:hint="eastAsia" w:ascii="仿宋" w:hAnsi="仿宋" w:eastAsia="仿宋" w:cs="仿宋"/>
          <w:b w:val="0"/>
          <w:bCs/>
          <w:color w:val="auto"/>
          <w:kern w:val="0"/>
          <w:sz w:val="28"/>
          <w:szCs w:val="28"/>
          <w:highlight w:val="none"/>
          <w:lang w:val="en-US" w:eastAsia="zh-CN"/>
        </w:rPr>
        <w:t>本</w:t>
      </w:r>
      <w:r>
        <w:rPr>
          <w:rFonts w:hint="eastAsia" w:ascii="仿宋" w:hAnsi="仿宋" w:eastAsia="仿宋" w:cs="仿宋"/>
          <w:b w:val="0"/>
          <w:bCs/>
          <w:color w:val="auto"/>
          <w:kern w:val="0"/>
          <w:sz w:val="28"/>
          <w:szCs w:val="28"/>
          <w:highlight w:val="none"/>
        </w:rPr>
        <w:t>标准的总体结构包括前言、范围、规范性引用文件、术语和定义、缩略语、不同应用场景</w:t>
      </w:r>
      <w:r>
        <w:rPr>
          <w:rFonts w:hint="eastAsia" w:ascii="仿宋" w:hAnsi="仿宋" w:eastAsia="仿宋" w:cs="仿宋"/>
          <w:b w:val="0"/>
          <w:bCs/>
          <w:color w:val="auto"/>
          <w:kern w:val="0"/>
          <w:sz w:val="28"/>
          <w:szCs w:val="28"/>
          <w:highlight w:val="none"/>
          <w:lang w:eastAsia="zh-CN"/>
        </w:rPr>
        <w:t>中继节点选择</w:t>
      </w:r>
      <w:r>
        <w:rPr>
          <w:rFonts w:hint="eastAsia" w:ascii="仿宋" w:hAnsi="仿宋" w:eastAsia="仿宋" w:cs="仿宋"/>
          <w:b w:val="0"/>
          <w:bCs/>
          <w:color w:val="auto"/>
          <w:kern w:val="0"/>
          <w:sz w:val="28"/>
          <w:szCs w:val="28"/>
          <w:highlight w:val="none"/>
        </w:rPr>
        <w:t>等方面</w:t>
      </w:r>
      <w:r>
        <w:rPr>
          <w:rFonts w:hint="eastAsia" w:ascii="仿宋" w:hAnsi="仿宋" w:eastAsia="仿宋" w:cs="仿宋"/>
          <w:b w:val="0"/>
          <w:bCs/>
          <w:color w:val="auto"/>
          <w:kern w:val="0"/>
          <w:sz w:val="28"/>
          <w:szCs w:val="28"/>
          <w:highlight w:val="none"/>
          <w:lang w:eastAsia="zh-CN"/>
        </w:rPr>
        <w:t>。</w:t>
      </w:r>
      <w:r>
        <w:rPr>
          <w:rFonts w:hint="eastAsia" w:ascii="仿宋" w:hAnsi="仿宋" w:eastAsia="仿宋" w:cs="仿宋"/>
          <w:b w:val="0"/>
          <w:bCs/>
          <w:color w:val="auto"/>
          <w:kern w:val="0"/>
          <w:sz w:val="28"/>
          <w:szCs w:val="28"/>
          <w:highlight w:val="none"/>
          <w:lang w:val="en-US" w:eastAsia="zh-CN"/>
        </w:rPr>
        <w:t>其中，不同场景包括直道、十字形平面交叉路口、弯道和不利场景。</w:t>
      </w:r>
    </w:p>
    <w:p w14:paraId="0882FA44">
      <w:pPr>
        <w:widowControl/>
        <w:tabs>
          <w:tab w:val="left" w:pos="4455"/>
        </w:tabs>
        <w:adjustRightInd w:val="0"/>
        <w:snapToGrid w:val="0"/>
        <w:spacing w:line="360" w:lineRule="auto"/>
        <w:ind w:firstLine="560" w:firstLineChars="200"/>
        <w:jc w:val="left"/>
        <w:rPr>
          <w:rFonts w:hint="eastAsia" w:ascii="仿宋" w:hAnsi="仿宋" w:eastAsia="仿宋" w:cs="仿宋"/>
          <w:b w:val="0"/>
          <w:bCs/>
          <w:color w:val="auto"/>
          <w:kern w:val="0"/>
          <w:sz w:val="28"/>
          <w:szCs w:val="28"/>
          <w:highlight w:val="none"/>
        </w:rPr>
      </w:pPr>
      <w:r>
        <w:rPr>
          <w:rFonts w:hint="eastAsia" w:ascii="仿宋" w:hAnsi="仿宋" w:eastAsia="仿宋" w:cs="仿宋"/>
          <w:b w:val="0"/>
          <w:bCs/>
          <w:color w:val="auto"/>
          <w:kern w:val="0"/>
          <w:sz w:val="28"/>
          <w:szCs w:val="28"/>
          <w:highlight w:val="none"/>
        </w:rPr>
        <w:t>高速公路、城区道路及山区道路是典型的三种道路场景</w:t>
      </w:r>
      <w:r>
        <w:rPr>
          <w:rFonts w:hint="eastAsia" w:ascii="仿宋" w:hAnsi="仿宋" w:eastAsia="仿宋" w:cs="仿宋"/>
          <w:b w:val="0"/>
          <w:bCs/>
          <w:color w:val="auto"/>
          <w:kern w:val="0"/>
          <w:sz w:val="28"/>
          <w:szCs w:val="28"/>
          <w:highlight w:val="none"/>
          <w:lang w:eastAsia="zh-CN"/>
        </w:rPr>
        <w:t>，</w:t>
      </w:r>
      <w:r>
        <w:rPr>
          <w:rFonts w:hint="eastAsia" w:ascii="仿宋" w:hAnsi="仿宋" w:eastAsia="仿宋" w:cs="仿宋"/>
          <w:b w:val="0"/>
          <w:bCs/>
          <w:color w:val="auto"/>
          <w:kern w:val="0"/>
          <w:sz w:val="28"/>
          <w:szCs w:val="28"/>
          <w:highlight w:val="none"/>
          <w:lang w:val="en-US" w:eastAsia="zh-CN"/>
        </w:rPr>
        <w:t>它们分别代表了直道、十字形平面交叉路口和弯道这3种地型场景</w:t>
      </w:r>
      <w:r>
        <w:rPr>
          <w:rFonts w:hint="eastAsia" w:ascii="仿宋" w:hAnsi="仿宋" w:eastAsia="仿宋" w:cs="仿宋"/>
          <w:b w:val="0"/>
          <w:bCs/>
          <w:color w:val="auto"/>
          <w:kern w:val="0"/>
          <w:sz w:val="28"/>
          <w:szCs w:val="28"/>
          <w:highlight w:val="none"/>
        </w:rPr>
        <w:t>。</w:t>
      </w:r>
    </w:p>
    <w:p w14:paraId="259001FE">
      <w:pPr>
        <w:widowControl/>
        <w:tabs>
          <w:tab w:val="left" w:pos="4455"/>
        </w:tabs>
        <w:adjustRightInd w:val="0"/>
        <w:snapToGrid w:val="0"/>
        <w:spacing w:line="360" w:lineRule="auto"/>
        <w:ind w:firstLine="560" w:firstLineChars="200"/>
        <w:jc w:val="left"/>
        <w:rPr>
          <w:rFonts w:hint="eastAsia" w:ascii="仿宋" w:hAnsi="仿宋" w:eastAsia="仿宋" w:cs="仿宋"/>
          <w:b w:val="0"/>
          <w:bCs/>
          <w:color w:val="auto"/>
          <w:kern w:val="0"/>
          <w:sz w:val="28"/>
          <w:szCs w:val="28"/>
          <w:highlight w:val="none"/>
          <w:lang w:eastAsia="zh-CN"/>
        </w:rPr>
      </w:pPr>
      <w:r>
        <w:rPr>
          <w:rFonts w:hint="eastAsia" w:ascii="仿宋" w:hAnsi="仿宋" w:eastAsia="仿宋" w:cs="仿宋"/>
          <w:b w:val="0"/>
          <w:bCs/>
          <w:color w:val="auto"/>
          <w:kern w:val="0"/>
          <w:sz w:val="28"/>
          <w:szCs w:val="28"/>
          <w:highlight w:val="none"/>
        </w:rPr>
        <w:t>高速公路主要是直道，岔道只出现在少数情况，如高速的出入口，且为保证安全距离，车辆密度在一般情况下相对不大。由于高速公路上VANET的网络拓扑结构为直线，又称为1维网络，且车辆密度较小，高速公路场景是中继节点选择研究场景中相对简单的一种场景</w:t>
      </w:r>
      <w:r>
        <w:rPr>
          <w:rFonts w:hint="eastAsia" w:ascii="仿宋" w:hAnsi="仿宋" w:eastAsia="仿宋" w:cs="仿宋"/>
          <w:b w:val="0"/>
          <w:bCs/>
          <w:color w:val="auto"/>
          <w:kern w:val="0"/>
          <w:sz w:val="28"/>
          <w:szCs w:val="28"/>
          <w:highlight w:val="none"/>
          <w:lang w:eastAsia="zh-CN"/>
        </w:rPr>
        <w:t>。</w:t>
      </w:r>
    </w:p>
    <w:p w14:paraId="4F6CE74C">
      <w:pPr>
        <w:widowControl/>
        <w:tabs>
          <w:tab w:val="left" w:pos="4455"/>
        </w:tabs>
        <w:adjustRightInd w:val="0"/>
        <w:snapToGrid w:val="0"/>
        <w:spacing w:line="360" w:lineRule="auto"/>
        <w:ind w:firstLine="560" w:firstLineChars="200"/>
        <w:jc w:val="left"/>
        <w:rPr>
          <w:rFonts w:hint="eastAsia" w:ascii="仿宋" w:hAnsi="仿宋" w:eastAsia="仿宋" w:cs="仿宋"/>
          <w:b w:val="0"/>
          <w:bCs/>
          <w:color w:val="auto"/>
          <w:kern w:val="0"/>
          <w:sz w:val="28"/>
          <w:szCs w:val="28"/>
          <w:highlight w:val="none"/>
        </w:rPr>
      </w:pPr>
      <w:r>
        <w:rPr>
          <w:rFonts w:hint="eastAsia" w:ascii="仿宋" w:hAnsi="仿宋" w:eastAsia="仿宋" w:cs="仿宋"/>
          <w:b w:val="0"/>
          <w:bCs/>
          <w:color w:val="auto"/>
          <w:kern w:val="0"/>
          <w:sz w:val="28"/>
          <w:szCs w:val="28"/>
          <w:highlight w:val="none"/>
        </w:rPr>
        <w:t>在城区中，由于道路存在多分叉路口，因此车际网</w:t>
      </w:r>
      <w:r>
        <w:rPr>
          <w:rFonts w:hint="eastAsia" w:ascii="仿宋" w:hAnsi="仿宋" w:eastAsia="仿宋" w:cs="仿宋"/>
          <w:b w:val="0"/>
          <w:bCs/>
          <w:color w:val="auto"/>
          <w:kern w:val="0"/>
          <w:sz w:val="28"/>
          <w:szCs w:val="28"/>
          <w:highlight w:val="none"/>
          <w:lang w:eastAsia="zh-CN"/>
        </w:rPr>
        <w:t>（Inter-Vehicle Network）</w:t>
      </w:r>
      <w:r>
        <w:rPr>
          <w:rFonts w:hint="eastAsia" w:ascii="仿宋" w:hAnsi="仿宋" w:eastAsia="仿宋" w:cs="仿宋"/>
          <w:b w:val="0"/>
          <w:bCs/>
          <w:color w:val="auto"/>
          <w:kern w:val="0"/>
          <w:sz w:val="28"/>
          <w:szCs w:val="28"/>
          <w:highlight w:val="none"/>
        </w:rPr>
        <w:t>的拓扑结构复杂，且城区车辆流量在不同时段和不同区域变化大，是所研究的三种场景中较复杂的场景。</w:t>
      </w:r>
    </w:p>
    <w:p w14:paraId="1B40570C">
      <w:pPr>
        <w:widowControl/>
        <w:tabs>
          <w:tab w:val="left" w:pos="4455"/>
        </w:tabs>
        <w:adjustRightInd w:val="0"/>
        <w:snapToGrid w:val="0"/>
        <w:spacing w:line="360" w:lineRule="auto"/>
        <w:ind w:firstLine="560" w:firstLineChars="200"/>
        <w:jc w:val="left"/>
        <w:rPr>
          <w:rFonts w:hint="eastAsia" w:ascii="仿宋" w:hAnsi="仿宋" w:eastAsia="仿宋" w:cs="仿宋"/>
          <w:b w:val="0"/>
          <w:bCs/>
          <w:color w:val="auto"/>
          <w:kern w:val="0"/>
          <w:sz w:val="28"/>
          <w:szCs w:val="28"/>
          <w:highlight w:val="none"/>
        </w:rPr>
      </w:pPr>
      <w:r>
        <w:rPr>
          <w:rFonts w:hint="eastAsia" w:ascii="仿宋" w:hAnsi="仿宋" w:eastAsia="仿宋" w:cs="仿宋"/>
          <w:b w:val="0"/>
          <w:bCs/>
          <w:color w:val="auto"/>
          <w:kern w:val="0"/>
          <w:sz w:val="28"/>
          <w:szCs w:val="28"/>
          <w:highlight w:val="none"/>
        </w:rPr>
        <w:t>山区中道路弯道较多，道路结构的不规则使得道路描述不便，且由于道路的迂回，车辆通信范围内车辆数目变化较大，因此如何在山区弯道场景中进行中继节点选择，有效地保证消息快速的传播，且避免存在消息未传播的区域是一值得被研究的问题。</w:t>
      </w:r>
    </w:p>
    <w:p w14:paraId="7C1C631C">
      <w:pPr>
        <w:widowControl/>
        <w:tabs>
          <w:tab w:val="left" w:pos="4455"/>
        </w:tabs>
        <w:adjustRightInd w:val="0"/>
        <w:snapToGrid w:val="0"/>
        <w:spacing w:line="360" w:lineRule="auto"/>
        <w:ind w:firstLine="560" w:firstLineChars="200"/>
        <w:jc w:val="left"/>
        <w:rPr>
          <w:rFonts w:hint="eastAsia" w:ascii="仿宋" w:hAnsi="仿宋" w:eastAsia="仿宋" w:cs="宋体"/>
          <w:b w:val="0"/>
          <w:bCs/>
          <w:color w:val="auto"/>
          <w:kern w:val="0"/>
          <w:sz w:val="28"/>
          <w:szCs w:val="28"/>
          <w:highlight w:val="none"/>
        </w:rPr>
      </w:pPr>
      <w:r>
        <w:rPr>
          <w:rFonts w:hint="eastAsia" w:ascii="仿宋" w:hAnsi="仿宋" w:eastAsia="仿宋" w:cs="宋体"/>
          <w:b w:val="0"/>
          <w:bCs/>
          <w:color w:val="auto"/>
          <w:kern w:val="0"/>
          <w:sz w:val="28"/>
          <w:szCs w:val="28"/>
          <w:highlight w:val="none"/>
          <w:lang w:val="en-US" w:eastAsia="zh-CN"/>
        </w:rPr>
        <w:t>下面是标准部分内容的简要介绍</w:t>
      </w:r>
      <w:r>
        <w:rPr>
          <w:rFonts w:hint="eastAsia" w:ascii="仿宋" w:hAnsi="仿宋" w:eastAsia="仿宋" w:cs="宋体"/>
          <w:b w:val="0"/>
          <w:bCs/>
          <w:color w:val="auto"/>
          <w:kern w:val="0"/>
          <w:sz w:val="28"/>
          <w:szCs w:val="28"/>
          <w:highlight w:val="none"/>
        </w:rPr>
        <w:t>。</w:t>
      </w:r>
    </w:p>
    <w:p w14:paraId="1E84AA9B">
      <w:pPr>
        <w:ind w:firstLine="645"/>
        <w:rPr>
          <w:rFonts w:hint="eastAsia" w:ascii="仿宋" w:hAnsi="仿宋" w:eastAsia="仿宋" w:cs="黑体"/>
          <w:b w:val="0"/>
          <w:bCs/>
          <w:color w:val="auto"/>
          <w:kern w:val="0"/>
          <w:sz w:val="28"/>
          <w:szCs w:val="28"/>
          <w:highlight w:val="none"/>
          <w:lang w:val="zh-CN" w:eastAsia="zh-CN"/>
        </w:rPr>
      </w:pPr>
      <w:r>
        <w:rPr>
          <w:rFonts w:hint="eastAsia" w:ascii="仿宋" w:hAnsi="仿宋" w:eastAsia="仿宋" w:cs="黑体"/>
          <w:b w:val="0"/>
          <w:bCs/>
          <w:color w:val="auto"/>
          <w:kern w:val="0"/>
          <w:sz w:val="28"/>
          <w:szCs w:val="28"/>
          <w:highlight w:val="none"/>
          <w:lang w:val="zh-CN"/>
        </w:rPr>
        <w:t>（1）</w:t>
      </w:r>
      <w:r>
        <w:rPr>
          <w:rFonts w:ascii="仿宋" w:hAnsi="仿宋" w:eastAsia="仿宋" w:cs="黑体"/>
          <w:b w:val="0"/>
          <w:bCs/>
          <w:color w:val="auto"/>
          <w:kern w:val="0"/>
          <w:sz w:val="28"/>
          <w:szCs w:val="28"/>
          <w:highlight w:val="none"/>
          <w:lang w:val="zh-CN"/>
        </w:rPr>
        <w:t>术语和</w:t>
      </w:r>
      <w:r>
        <w:rPr>
          <w:rFonts w:hint="eastAsia" w:ascii="仿宋" w:hAnsi="仿宋" w:eastAsia="仿宋" w:cs="黑体"/>
          <w:b w:val="0"/>
          <w:bCs/>
          <w:color w:val="auto"/>
          <w:kern w:val="0"/>
          <w:sz w:val="28"/>
          <w:szCs w:val="28"/>
          <w:highlight w:val="none"/>
          <w:lang w:val="en-US" w:eastAsia="zh-CN"/>
        </w:rPr>
        <w:t>定义</w:t>
      </w:r>
    </w:p>
    <w:p w14:paraId="772F3146">
      <w:pPr>
        <w:ind w:firstLine="560" w:firstLineChars="200"/>
        <w:rPr>
          <w:rFonts w:ascii="仿宋" w:hAnsi="仿宋" w:eastAsia="仿宋" w:cs="黑体"/>
          <w:b w:val="0"/>
          <w:bCs/>
          <w:color w:val="auto"/>
          <w:kern w:val="0"/>
          <w:sz w:val="28"/>
          <w:szCs w:val="28"/>
          <w:highlight w:val="none"/>
          <w:lang w:val="zh-CN"/>
        </w:rPr>
      </w:pPr>
      <w:r>
        <w:rPr>
          <w:rFonts w:hint="eastAsia" w:ascii="仿宋" w:hAnsi="仿宋" w:eastAsia="仿宋" w:cs="黑体"/>
          <w:b w:val="0"/>
          <w:bCs/>
          <w:color w:val="auto"/>
          <w:kern w:val="0"/>
          <w:sz w:val="28"/>
          <w:szCs w:val="28"/>
          <w:highlight w:val="none"/>
          <w:lang w:val="zh-CN"/>
        </w:rPr>
        <w:t>该部分</w:t>
      </w:r>
      <w:r>
        <w:rPr>
          <w:rFonts w:ascii="仿宋" w:hAnsi="仿宋" w:eastAsia="仿宋" w:cs="黑体"/>
          <w:b w:val="0"/>
          <w:bCs/>
          <w:color w:val="auto"/>
          <w:kern w:val="0"/>
          <w:sz w:val="28"/>
          <w:szCs w:val="28"/>
          <w:highlight w:val="none"/>
          <w:lang w:val="zh-CN"/>
        </w:rPr>
        <w:t>对</w:t>
      </w:r>
      <w:r>
        <w:rPr>
          <w:rFonts w:hint="eastAsia" w:ascii="仿宋" w:hAnsi="仿宋" w:eastAsia="仿宋" w:cs="黑体"/>
          <w:b w:val="0"/>
          <w:bCs/>
          <w:color w:val="auto"/>
          <w:kern w:val="0"/>
          <w:sz w:val="28"/>
          <w:szCs w:val="28"/>
          <w:highlight w:val="none"/>
          <w:lang w:val="zh-CN"/>
        </w:rPr>
        <w:t>指数分割、清除广播、请求广播、</w:t>
      </w:r>
      <w:r>
        <w:rPr>
          <w:rFonts w:hint="eastAsia" w:ascii="仿宋" w:hAnsi="仿宋" w:eastAsia="仿宋" w:cs="黑体"/>
          <w:b w:val="0"/>
          <w:bCs/>
          <w:color w:val="auto"/>
          <w:kern w:val="0"/>
          <w:sz w:val="28"/>
          <w:szCs w:val="28"/>
          <w:highlight w:val="none"/>
        </w:rPr>
        <w:t>冲突、中继节点</w:t>
      </w:r>
      <w:r>
        <w:rPr>
          <w:rFonts w:hint="eastAsia" w:ascii="仿宋" w:hAnsi="仿宋" w:eastAsia="仿宋" w:cs="黑体"/>
          <w:b w:val="0"/>
          <w:bCs/>
          <w:color w:val="auto"/>
          <w:kern w:val="0"/>
          <w:sz w:val="28"/>
          <w:szCs w:val="28"/>
          <w:highlight w:val="none"/>
          <w:lang w:eastAsia="zh-CN"/>
        </w:rPr>
        <w:t>、</w:t>
      </w:r>
      <w:r>
        <w:rPr>
          <w:rFonts w:hint="eastAsia" w:ascii="仿宋" w:hAnsi="仿宋" w:eastAsia="仿宋" w:cs="黑体"/>
          <w:b w:val="0"/>
          <w:bCs/>
          <w:color w:val="auto"/>
          <w:kern w:val="0"/>
          <w:sz w:val="28"/>
          <w:szCs w:val="28"/>
          <w:highlight w:val="none"/>
          <w:lang w:val="en-US" w:eastAsia="zh-CN"/>
        </w:rPr>
        <w:t>弯曲率</w:t>
      </w:r>
      <w:r>
        <w:rPr>
          <w:rFonts w:hint="eastAsia" w:ascii="仿宋" w:hAnsi="仿宋" w:eastAsia="仿宋" w:cs="仿宋"/>
          <w:b w:val="0"/>
          <w:bCs/>
          <w:color w:val="auto"/>
          <w:kern w:val="0"/>
          <w:sz w:val="28"/>
          <w:szCs w:val="28"/>
          <w:highlight w:val="none"/>
          <w:vertAlign w:val="superscript"/>
          <w:lang w:val="en-US" w:eastAsia="zh-CN"/>
        </w:rPr>
        <w:t>[1]</w:t>
      </w:r>
      <w:r>
        <w:rPr>
          <w:rFonts w:ascii="仿宋" w:hAnsi="仿宋" w:eastAsia="仿宋" w:cs="黑体"/>
          <w:b w:val="0"/>
          <w:bCs/>
          <w:color w:val="auto"/>
          <w:kern w:val="0"/>
          <w:sz w:val="28"/>
          <w:szCs w:val="28"/>
          <w:highlight w:val="none"/>
          <w:lang w:val="zh-CN"/>
        </w:rPr>
        <w:t>等重要术语进行了定义</w:t>
      </w:r>
      <w:r>
        <w:rPr>
          <w:rFonts w:hint="eastAsia" w:ascii="仿宋" w:hAnsi="仿宋" w:eastAsia="仿宋" w:cs="黑体"/>
          <w:b w:val="0"/>
          <w:bCs/>
          <w:color w:val="auto"/>
          <w:kern w:val="0"/>
          <w:sz w:val="28"/>
          <w:szCs w:val="28"/>
          <w:highlight w:val="none"/>
          <w:lang w:val="zh-CN"/>
        </w:rPr>
        <w:t>，</w:t>
      </w:r>
      <w:r>
        <w:rPr>
          <w:rFonts w:ascii="仿宋" w:hAnsi="仿宋" w:eastAsia="仿宋" w:cs="黑体"/>
          <w:b w:val="0"/>
          <w:bCs/>
          <w:color w:val="auto"/>
          <w:kern w:val="0"/>
          <w:sz w:val="28"/>
          <w:szCs w:val="28"/>
          <w:highlight w:val="none"/>
          <w:lang w:val="zh-CN"/>
        </w:rPr>
        <w:t>有利于</w:t>
      </w:r>
      <w:r>
        <w:rPr>
          <w:rFonts w:hint="eastAsia" w:ascii="仿宋" w:hAnsi="仿宋" w:eastAsia="仿宋" w:cs="黑体"/>
          <w:b w:val="0"/>
          <w:bCs/>
          <w:color w:val="auto"/>
          <w:kern w:val="0"/>
          <w:sz w:val="28"/>
          <w:szCs w:val="28"/>
          <w:highlight w:val="none"/>
          <w:lang w:val="zh-CN"/>
        </w:rPr>
        <w:t>界定名词边界，规范对用词的</w:t>
      </w:r>
      <w:r>
        <w:rPr>
          <w:rFonts w:ascii="仿宋" w:hAnsi="仿宋" w:eastAsia="仿宋" w:cs="黑体"/>
          <w:b w:val="0"/>
          <w:bCs/>
          <w:color w:val="auto"/>
          <w:kern w:val="0"/>
          <w:sz w:val="28"/>
          <w:szCs w:val="28"/>
          <w:highlight w:val="none"/>
          <w:lang w:val="zh-CN"/>
        </w:rPr>
        <w:t>理解。</w:t>
      </w:r>
    </w:p>
    <w:p w14:paraId="6043231C">
      <w:pPr>
        <w:ind w:firstLine="645"/>
        <w:rPr>
          <w:rFonts w:hint="default" w:ascii="仿宋" w:hAnsi="仿宋" w:eastAsia="仿宋" w:cs="黑体"/>
          <w:b w:val="0"/>
          <w:bCs/>
          <w:color w:val="auto"/>
          <w:kern w:val="0"/>
          <w:sz w:val="28"/>
          <w:szCs w:val="28"/>
          <w:highlight w:val="none"/>
          <w:lang w:val="en-US" w:eastAsia="zh-CN"/>
        </w:rPr>
      </w:pPr>
      <w:r>
        <w:rPr>
          <w:rFonts w:hint="eastAsia" w:ascii="仿宋" w:hAnsi="仿宋" w:eastAsia="仿宋" w:cs="黑体"/>
          <w:b w:val="0"/>
          <w:bCs/>
          <w:color w:val="auto"/>
          <w:kern w:val="0"/>
          <w:sz w:val="28"/>
          <w:szCs w:val="28"/>
          <w:highlight w:val="none"/>
          <w:lang w:val="zh-CN"/>
        </w:rPr>
        <w:t>（</w:t>
      </w:r>
      <w:r>
        <w:rPr>
          <w:rFonts w:ascii="仿宋" w:hAnsi="仿宋" w:eastAsia="仿宋" w:cs="黑体"/>
          <w:b w:val="0"/>
          <w:bCs/>
          <w:color w:val="auto"/>
          <w:kern w:val="0"/>
          <w:sz w:val="28"/>
          <w:szCs w:val="28"/>
          <w:highlight w:val="none"/>
          <w:lang w:val="zh-CN"/>
        </w:rPr>
        <w:t>2</w:t>
      </w:r>
      <w:r>
        <w:rPr>
          <w:rFonts w:hint="eastAsia" w:ascii="仿宋" w:hAnsi="仿宋" w:eastAsia="仿宋" w:cs="黑体"/>
          <w:b w:val="0"/>
          <w:bCs/>
          <w:color w:val="auto"/>
          <w:kern w:val="0"/>
          <w:sz w:val="28"/>
          <w:szCs w:val="28"/>
          <w:highlight w:val="none"/>
          <w:lang w:val="zh-CN"/>
        </w:rPr>
        <w:t>）</w:t>
      </w:r>
      <w:r>
        <w:rPr>
          <w:rFonts w:hint="eastAsia" w:ascii="仿宋" w:hAnsi="仿宋" w:eastAsia="仿宋" w:cs="黑体"/>
          <w:b w:val="0"/>
          <w:bCs/>
          <w:color w:val="auto"/>
          <w:kern w:val="0"/>
          <w:sz w:val="28"/>
          <w:szCs w:val="28"/>
          <w:highlight w:val="none"/>
          <w:lang w:val="en-US" w:eastAsia="zh-CN"/>
        </w:rPr>
        <w:t>符号和缩略语</w:t>
      </w:r>
    </w:p>
    <w:p w14:paraId="71F1965A">
      <w:pPr>
        <w:ind w:firstLine="645"/>
        <w:rPr>
          <w:rFonts w:hint="eastAsia" w:ascii="仿宋" w:hAnsi="仿宋" w:eastAsia="仿宋" w:cs="黑体"/>
          <w:b w:val="0"/>
          <w:bCs/>
          <w:color w:val="auto"/>
          <w:kern w:val="0"/>
          <w:sz w:val="28"/>
          <w:szCs w:val="28"/>
          <w:highlight w:val="none"/>
          <w:lang w:val="zh-CN"/>
        </w:rPr>
      </w:pPr>
      <w:r>
        <w:rPr>
          <w:rFonts w:hint="eastAsia" w:ascii="仿宋" w:hAnsi="仿宋" w:eastAsia="仿宋" w:cs="黑体"/>
          <w:b w:val="0"/>
          <w:bCs/>
          <w:color w:val="auto"/>
          <w:kern w:val="0"/>
          <w:sz w:val="28"/>
          <w:szCs w:val="28"/>
          <w:highlight w:val="none"/>
          <w:lang w:val="zh-CN"/>
        </w:rPr>
        <w:t>对</w:t>
      </w:r>
      <w:r>
        <w:rPr>
          <w:rFonts w:hint="eastAsia" w:ascii="仿宋" w:hAnsi="仿宋" w:eastAsia="仿宋" w:cs="黑体"/>
          <w:b w:val="0"/>
          <w:bCs/>
          <w:color w:val="auto"/>
          <w:kern w:val="0"/>
          <w:sz w:val="28"/>
          <w:szCs w:val="28"/>
          <w:highlight w:val="none"/>
          <w:lang w:val="en-US" w:eastAsia="zh-CN"/>
        </w:rPr>
        <w:t>不同场景中继节点选择过程中用到的符号及缩略语</w:t>
      </w:r>
      <w:r>
        <w:rPr>
          <w:rFonts w:hint="eastAsia" w:ascii="仿宋" w:hAnsi="仿宋" w:eastAsia="仿宋" w:cs="黑体"/>
          <w:b w:val="0"/>
          <w:bCs/>
          <w:color w:val="auto"/>
          <w:kern w:val="0"/>
          <w:sz w:val="28"/>
          <w:szCs w:val="28"/>
          <w:highlight w:val="none"/>
          <w:lang w:val="zh-CN"/>
        </w:rPr>
        <w:t>做了规定。</w:t>
      </w:r>
    </w:p>
    <w:p w14:paraId="60C47F72">
      <w:pPr>
        <w:ind w:firstLine="645"/>
        <w:rPr>
          <w:rFonts w:hint="eastAsia" w:ascii="仿宋" w:hAnsi="仿宋" w:eastAsia="仿宋" w:cs="黑体"/>
          <w:b w:val="0"/>
          <w:bCs/>
          <w:color w:val="auto"/>
          <w:kern w:val="0"/>
          <w:sz w:val="28"/>
          <w:szCs w:val="28"/>
          <w:highlight w:val="none"/>
          <w:lang w:eastAsia="zh-CN"/>
        </w:rPr>
      </w:pPr>
      <w:r>
        <w:rPr>
          <w:rFonts w:hint="eastAsia" w:ascii="仿宋" w:hAnsi="仿宋" w:eastAsia="仿宋" w:cs="黑体"/>
          <w:b w:val="0"/>
          <w:bCs/>
          <w:color w:val="auto"/>
          <w:kern w:val="0"/>
          <w:sz w:val="28"/>
          <w:szCs w:val="28"/>
          <w:highlight w:val="none"/>
          <w:lang w:val="zh-CN"/>
        </w:rPr>
        <w:t>（</w:t>
      </w:r>
      <w:r>
        <w:rPr>
          <w:rFonts w:ascii="仿宋" w:hAnsi="仿宋" w:eastAsia="仿宋" w:cs="黑体"/>
          <w:b w:val="0"/>
          <w:bCs/>
          <w:color w:val="auto"/>
          <w:kern w:val="0"/>
          <w:sz w:val="28"/>
          <w:szCs w:val="28"/>
          <w:highlight w:val="none"/>
          <w:lang w:val="zh-CN"/>
        </w:rPr>
        <w:t>3</w:t>
      </w:r>
      <w:r>
        <w:rPr>
          <w:rFonts w:hint="eastAsia" w:ascii="仿宋" w:hAnsi="仿宋" w:eastAsia="仿宋" w:cs="黑体"/>
          <w:b w:val="0"/>
          <w:bCs/>
          <w:color w:val="auto"/>
          <w:kern w:val="0"/>
          <w:sz w:val="28"/>
          <w:szCs w:val="28"/>
          <w:highlight w:val="none"/>
          <w:lang w:val="zh-CN"/>
        </w:rPr>
        <w:t>）</w:t>
      </w:r>
      <w:r>
        <w:rPr>
          <w:rFonts w:hint="eastAsia" w:ascii="仿宋" w:hAnsi="仿宋" w:eastAsia="仿宋" w:cs="黑体"/>
          <w:b w:val="0"/>
          <w:bCs/>
          <w:color w:val="auto"/>
          <w:kern w:val="0"/>
          <w:sz w:val="28"/>
          <w:szCs w:val="28"/>
          <w:highlight w:val="none"/>
          <w:lang w:val="en-US" w:eastAsia="zh-CN"/>
        </w:rPr>
        <w:t>总则</w:t>
      </w:r>
    </w:p>
    <w:p w14:paraId="1B241C10">
      <w:pPr>
        <w:ind w:firstLine="560" w:firstLineChars="200"/>
        <w:rPr>
          <w:rFonts w:hint="default" w:ascii="仿宋" w:hAnsi="仿宋" w:eastAsia="仿宋" w:cs="黑体"/>
          <w:b w:val="0"/>
          <w:bCs/>
          <w:color w:val="auto"/>
          <w:kern w:val="0"/>
          <w:sz w:val="28"/>
          <w:szCs w:val="28"/>
          <w:highlight w:val="none"/>
          <w:lang w:val="en-US" w:eastAsia="zh-CN"/>
        </w:rPr>
      </w:pPr>
      <w:r>
        <w:rPr>
          <w:rFonts w:hint="eastAsia" w:ascii="仿宋" w:hAnsi="仿宋" w:eastAsia="仿宋" w:cs="黑体"/>
          <w:b w:val="0"/>
          <w:bCs/>
          <w:color w:val="auto"/>
          <w:kern w:val="0"/>
          <w:sz w:val="28"/>
          <w:szCs w:val="28"/>
          <w:highlight w:val="none"/>
          <w:lang w:val="zh-CN"/>
        </w:rPr>
        <w:t>该部分</w:t>
      </w:r>
      <w:r>
        <w:rPr>
          <w:rFonts w:hint="eastAsia" w:ascii="仿宋" w:hAnsi="仿宋" w:eastAsia="仿宋" w:cs="黑体"/>
          <w:b w:val="0"/>
          <w:bCs/>
          <w:color w:val="auto"/>
          <w:kern w:val="0"/>
          <w:sz w:val="28"/>
          <w:szCs w:val="28"/>
          <w:highlight w:val="none"/>
          <w:lang w:val="en-US" w:eastAsia="zh-CN"/>
        </w:rPr>
        <w:t>总结说明了标准的总体原则及适用场景。</w:t>
      </w:r>
    </w:p>
    <w:p w14:paraId="576A9CD5">
      <w:pPr>
        <w:ind w:firstLine="645"/>
        <w:rPr>
          <w:rFonts w:hint="default" w:ascii="仿宋" w:hAnsi="仿宋" w:eastAsia="仿宋" w:cs="黑体"/>
          <w:b w:val="0"/>
          <w:bCs/>
          <w:color w:val="auto"/>
          <w:kern w:val="0"/>
          <w:sz w:val="28"/>
          <w:szCs w:val="28"/>
          <w:highlight w:val="none"/>
          <w:lang w:val="en-US" w:eastAsia="zh-CN"/>
        </w:rPr>
      </w:pPr>
      <w:r>
        <w:rPr>
          <w:rFonts w:hint="eastAsia" w:ascii="仿宋" w:hAnsi="仿宋" w:eastAsia="仿宋" w:cs="黑体"/>
          <w:b w:val="0"/>
          <w:bCs/>
          <w:color w:val="auto"/>
          <w:kern w:val="0"/>
          <w:sz w:val="28"/>
          <w:szCs w:val="28"/>
          <w:highlight w:val="none"/>
          <w:lang w:val="zh-CN"/>
        </w:rPr>
        <w:t>（4）</w:t>
      </w:r>
      <w:r>
        <w:rPr>
          <w:rFonts w:hint="eastAsia" w:ascii="仿宋" w:hAnsi="仿宋" w:eastAsia="仿宋" w:cs="黑体"/>
          <w:b w:val="0"/>
          <w:bCs/>
          <w:color w:val="auto"/>
          <w:kern w:val="0"/>
          <w:sz w:val="28"/>
          <w:szCs w:val="28"/>
          <w:highlight w:val="none"/>
          <w:lang w:val="en-US" w:eastAsia="zh-CN"/>
        </w:rPr>
        <w:t>直道场景中继节点选择</w:t>
      </w:r>
    </w:p>
    <w:p w14:paraId="4B7F8181">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该部分明确了</w:t>
      </w:r>
      <w:r>
        <w:rPr>
          <w:rFonts w:hint="eastAsia" w:ascii="仿宋" w:hAnsi="仿宋" w:eastAsia="仿宋" w:cs="仿宋"/>
          <w:b w:val="0"/>
          <w:bCs/>
          <w:color w:val="auto"/>
          <w:kern w:val="0"/>
          <w:sz w:val="28"/>
          <w:szCs w:val="28"/>
          <w:highlight w:val="none"/>
          <w:lang w:val="en-US" w:eastAsia="zh-CN"/>
        </w:rPr>
        <w:t>直道场景下</w:t>
      </w:r>
      <w:r>
        <w:rPr>
          <w:rFonts w:hint="eastAsia" w:ascii="仿宋" w:hAnsi="仿宋" w:eastAsia="仿宋" w:cs="仿宋"/>
          <w:b w:val="0"/>
          <w:bCs/>
          <w:color w:val="auto"/>
          <w:kern w:val="0"/>
          <w:sz w:val="28"/>
          <w:szCs w:val="28"/>
          <w:highlight w:val="none"/>
          <w:lang w:val="zh-CN"/>
        </w:rPr>
        <w:t>的中继节点选择</w:t>
      </w:r>
      <w:r>
        <w:rPr>
          <w:rFonts w:hint="eastAsia" w:ascii="仿宋" w:hAnsi="仿宋" w:eastAsia="仿宋" w:cs="仿宋"/>
          <w:b w:val="0"/>
          <w:bCs/>
          <w:color w:val="auto"/>
          <w:kern w:val="0"/>
          <w:sz w:val="28"/>
          <w:szCs w:val="28"/>
          <w:highlight w:val="none"/>
          <w:lang w:val="en-US" w:eastAsia="zh-CN"/>
        </w:rPr>
        <w:t>方法，并说明了</w:t>
      </w:r>
      <w:r>
        <w:rPr>
          <w:rFonts w:hint="eastAsia" w:ascii="仿宋" w:hAnsi="仿宋" w:eastAsia="仿宋" w:cs="仿宋"/>
          <w:b w:val="0"/>
          <w:bCs/>
          <w:color w:val="auto"/>
          <w:kern w:val="0"/>
          <w:sz w:val="28"/>
          <w:szCs w:val="28"/>
          <w:highlight w:val="none"/>
          <w:lang w:val="zh-CN"/>
        </w:rPr>
        <w:t>基于EPRS的广播协议（Exponent-based partitioning broadcast protocol，EPBP）</w:t>
      </w:r>
      <w:r>
        <w:rPr>
          <w:rFonts w:hint="eastAsia" w:ascii="仿宋" w:hAnsi="仿宋" w:eastAsia="仿宋" w:cs="仿宋"/>
          <w:b w:val="0"/>
          <w:bCs/>
          <w:color w:val="auto"/>
          <w:kern w:val="0"/>
          <w:sz w:val="28"/>
          <w:szCs w:val="28"/>
          <w:highlight w:val="none"/>
          <w:lang w:val="en-US" w:eastAsia="zh-CN"/>
        </w:rPr>
        <w:t>的工作方式</w:t>
      </w:r>
      <w:r>
        <w:rPr>
          <w:rFonts w:hint="eastAsia" w:ascii="仿宋" w:hAnsi="仿宋" w:eastAsia="仿宋" w:cs="仿宋"/>
          <w:b w:val="0"/>
          <w:bCs/>
          <w:color w:val="auto"/>
          <w:kern w:val="0"/>
          <w:sz w:val="28"/>
          <w:szCs w:val="28"/>
          <w:highlight w:val="none"/>
          <w:lang w:val="zh-CN"/>
        </w:rPr>
        <w:t>。</w:t>
      </w:r>
    </w:p>
    <w:p w14:paraId="38064FFE">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借助带宽外信道阻塞信号（</w:t>
      </w:r>
      <w:r>
        <w:rPr>
          <w:rFonts w:hint="eastAsia" w:ascii="仿宋" w:hAnsi="仿宋" w:eastAsia="仿宋" w:cs="仿宋"/>
          <w:b w:val="0"/>
          <w:bCs/>
          <w:color w:val="auto"/>
          <w:kern w:val="0"/>
          <w:sz w:val="28"/>
          <w:szCs w:val="28"/>
          <w:highlight w:val="none"/>
          <w:lang w:val="en-US" w:eastAsia="zh-CN"/>
        </w:rPr>
        <w:t>B</w:t>
      </w:r>
      <w:r>
        <w:rPr>
          <w:rFonts w:hint="eastAsia" w:ascii="仿宋" w:hAnsi="仿宋" w:eastAsia="仿宋" w:cs="仿宋"/>
          <w:b w:val="0"/>
          <w:bCs/>
          <w:color w:val="auto"/>
          <w:kern w:val="0"/>
          <w:sz w:val="28"/>
          <w:szCs w:val="28"/>
          <w:highlight w:val="none"/>
          <w:lang w:val="zh-CN"/>
        </w:rPr>
        <w:t>lack burst），标记为B，设计一种EPRS算法，以最少的时延选择单跳范围内最远节点为中继节点。</w:t>
      </w:r>
    </w:p>
    <w:p w14:paraId="0923CD14">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如</w:t>
      </w:r>
      <w:r>
        <w:rPr>
          <w:rFonts w:hint="eastAsia" w:ascii="仿宋" w:hAnsi="仿宋" w:eastAsia="仿宋" w:cs="仿宋"/>
          <w:b w:val="0"/>
          <w:bCs/>
          <w:color w:val="auto"/>
          <w:kern w:val="0"/>
          <w:sz w:val="28"/>
          <w:szCs w:val="28"/>
          <w:highlight w:val="none"/>
          <w:lang w:val="en-US" w:eastAsia="zh-CN"/>
        </w:rPr>
        <w:t>文献[2]的图2.2</w:t>
      </w:r>
      <w:r>
        <w:rPr>
          <w:rFonts w:hint="eastAsia" w:ascii="仿宋" w:hAnsi="仿宋" w:eastAsia="仿宋" w:cs="仿宋"/>
          <w:b w:val="0"/>
          <w:bCs/>
          <w:color w:val="auto"/>
          <w:kern w:val="0"/>
          <w:sz w:val="28"/>
          <w:szCs w:val="28"/>
          <w:highlight w:val="none"/>
          <w:lang w:val="zh-CN"/>
        </w:rPr>
        <w:t>所示，在发送节点通信覆盖范围内的所有节点（车辆）在中继节点选择过程开始后，因为有</w:t>
      </w:r>
      <w:r>
        <w:rPr>
          <w:rFonts w:hint="eastAsia" w:ascii="仿宋" w:hAnsi="仿宋" w:eastAsia="仿宋" w:cs="仿宋"/>
          <w:b w:val="0"/>
          <w:bCs/>
          <w:color w:val="auto"/>
          <w:kern w:val="0"/>
          <w:sz w:val="28"/>
          <w:szCs w:val="28"/>
          <w:highlight w:val="none"/>
          <w:lang w:val="en-US" w:eastAsia="zh-CN"/>
        </w:rPr>
        <w:t>定位系统</w:t>
      </w:r>
      <w:r>
        <w:rPr>
          <w:rFonts w:hint="eastAsia" w:ascii="仿宋" w:hAnsi="仿宋" w:eastAsia="仿宋" w:cs="仿宋"/>
          <w:b w:val="0"/>
          <w:bCs/>
          <w:color w:val="auto"/>
          <w:kern w:val="0"/>
          <w:sz w:val="28"/>
          <w:szCs w:val="28"/>
          <w:highlight w:val="none"/>
          <w:lang w:val="zh-CN"/>
        </w:rPr>
        <w:t>的支持，会以一相同时刻</w:t>
      </w:r>
      <w:bookmarkStart w:id="1" w:name="MTBlankEqn"/>
      <w:r>
        <w:rPr>
          <w:rFonts w:hint="eastAsia" w:ascii="仿宋" w:hAnsi="仿宋" w:eastAsia="仿宋" w:cs="仿宋"/>
          <w:color w:val="auto"/>
          <w:position w:val="-12"/>
          <w:sz w:val="28"/>
          <w:szCs w:val="28"/>
          <w:highlight w:val="none"/>
        </w:rPr>
        <w:object>
          <v:shape id="_x0000_i1025" o:spt="75" type="#_x0000_t75" style="height:18pt;width:9pt;" o:ole="t" filled="f" o:preferrelative="t" stroked="f" coordsize="21600,21600">
            <v:path/>
            <v:fill on="f" focussize="0,0"/>
            <v:stroke on="f"/>
            <v:imagedata r:id="rId5" o:title=""/>
            <o:lock v:ext="edit" aspectratio="t"/>
            <w10:wrap type="none"/>
            <w10:anchorlock/>
          </v:shape>
          <o:OLEObject Type="Embed" ProgID="Equation.DSMT4" ShapeID="_x0000_i1025" DrawAspect="Content" ObjectID="_1468075725" r:id="rId4">
            <o:LockedField>false</o:LockedField>
          </o:OLEObject>
        </w:object>
      </w:r>
      <w:bookmarkEnd w:id="1"/>
      <w:r>
        <w:rPr>
          <w:rFonts w:hint="eastAsia" w:ascii="仿宋" w:hAnsi="仿宋" w:eastAsia="仿宋" w:cs="仿宋"/>
          <w:b w:val="0"/>
          <w:bCs/>
          <w:color w:val="auto"/>
          <w:kern w:val="0"/>
          <w:sz w:val="28"/>
          <w:szCs w:val="28"/>
          <w:highlight w:val="none"/>
          <w:lang w:val="zh-CN"/>
        </w:rPr>
        <w:t>标示中继节点选择过程的开始，广播一信道阻塞信号B。发送节点侦听到B，从而判断出在其通信覆盖区域内有可选择的中继节点存在。</w:t>
      </w:r>
    </w:p>
    <w:p w14:paraId="673E4996">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基于指数的分割方法对通信区域</w:t>
      </w:r>
      <w:r>
        <w:rPr>
          <w:rFonts w:hint="eastAsia" w:ascii="仿宋" w:hAnsi="仿宋" w:eastAsia="仿宋" w:cs="仿宋"/>
          <w:color w:val="auto"/>
          <w:position w:val="-4"/>
          <w:sz w:val="28"/>
          <w:szCs w:val="28"/>
          <w:highlight w:val="none"/>
        </w:rPr>
        <w:object>
          <v:shape id="_x0000_i1026" o:spt="75" type="#_x0000_t75" style="height:13pt;width:12pt;" o:ole="t" filled="f" o:preferrelative="t" stroked="f" coordsize="21600,21600">
            <v:path/>
            <v:fill on="f" focussize="0,0"/>
            <v:stroke on="f"/>
            <v:imagedata r:id="rId7" o:title=""/>
            <o:lock v:ext="edit" aspectratio="t"/>
            <w10:wrap type="none"/>
            <w10:anchorlock/>
          </v:shape>
          <o:OLEObject Type="Embed" ProgID="Equation.DSMT4" ShapeID="_x0000_i1026" DrawAspect="Content" ObjectID="_1468075726" r:id="rId6">
            <o:LockedField>false</o:LockedField>
          </o:OLEObject>
        </w:object>
      </w:r>
      <w:r>
        <w:rPr>
          <w:rFonts w:hint="eastAsia" w:ascii="仿宋" w:hAnsi="仿宋" w:eastAsia="仿宋" w:cs="仿宋"/>
          <w:b w:val="0"/>
          <w:bCs/>
          <w:color w:val="auto"/>
          <w:kern w:val="0"/>
          <w:sz w:val="28"/>
          <w:szCs w:val="28"/>
          <w:highlight w:val="none"/>
          <w:lang w:val="zh-CN"/>
        </w:rPr>
        <w:t>进行</w:t>
      </w:r>
      <w:r>
        <w:rPr>
          <w:rFonts w:hint="eastAsia" w:ascii="仿宋" w:hAnsi="仿宋" w:eastAsia="仿宋" w:cs="仿宋"/>
          <w:color w:val="auto"/>
          <w:position w:val="-12"/>
          <w:sz w:val="28"/>
          <w:szCs w:val="28"/>
          <w:highlight w:val="none"/>
        </w:rPr>
        <w:object>
          <v:shape id="_x0000_i1027" o:spt="75" type="#_x0000_t75" style="height:18pt;width:22pt;" o:ole="t" filled="f" o:preferrelative="t" stroked="f" coordsize="21600,21600">
            <v:path/>
            <v:fill on="f" focussize="0,0"/>
            <v:stroke on="f"/>
            <v:imagedata r:id="rId9" o:title=""/>
            <o:lock v:ext="edit" aspectratio="t"/>
            <w10:wrap type="none"/>
            <w10:anchorlock/>
          </v:shape>
          <o:OLEObject Type="Embed" ProgID="Equation.DSMT4" ShapeID="_x0000_i1027" DrawAspect="Content" ObjectID="_1468075727" r:id="rId8">
            <o:LockedField>false</o:LockedField>
          </o:OLEObject>
        </w:object>
      </w:r>
      <w:r>
        <w:rPr>
          <w:rFonts w:hint="eastAsia" w:ascii="仿宋" w:hAnsi="仿宋" w:eastAsia="仿宋" w:cs="仿宋"/>
          <w:b w:val="0"/>
          <w:bCs/>
          <w:color w:val="auto"/>
          <w:kern w:val="0"/>
          <w:sz w:val="28"/>
          <w:szCs w:val="28"/>
          <w:highlight w:val="none"/>
          <w:lang w:val="zh-CN"/>
        </w:rPr>
        <w:t>次迭代分割，每次分割成</w:t>
      </w:r>
      <w:r>
        <w:rPr>
          <w:rFonts w:hint="eastAsia" w:ascii="仿宋" w:hAnsi="仿宋" w:eastAsia="仿宋" w:cs="仿宋"/>
          <w:color w:val="auto"/>
          <w:position w:val="-14"/>
          <w:sz w:val="28"/>
          <w:szCs w:val="28"/>
          <w:highlight w:val="none"/>
        </w:rPr>
        <w:object>
          <v:shape id="_x0000_i1028" o:spt="75" type="#_x0000_t75" style="height:19pt;width:24pt;" o:ole="t" filled="f" o:preferrelative="t" stroked="f" coordsize="21600,21600">
            <v:path/>
            <v:fill on="f" focussize="0,0"/>
            <v:stroke on="f"/>
            <v:imagedata r:id="rId11" o:title=""/>
            <o:lock v:ext="edit" aspectratio="t"/>
            <w10:wrap type="none"/>
            <w10:anchorlock/>
          </v:shape>
          <o:OLEObject Type="Embed" ProgID="Equation.DSMT4" ShapeID="_x0000_i1028" DrawAspect="Content" ObjectID="_1468075728" r:id="rId10">
            <o:LockedField>false</o:LockedField>
          </o:OLEObject>
        </w:object>
      </w:r>
      <w:r>
        <w:rPr>
          <w:rFonts w:hint="eastAsia" w:ascii="仿宋" w:hAnsi="仿宋" w:eastAsia="仿宋" w:cs="仿宋"/>
          <w:b w:val="0"/>
          <w:bCs/>
          <w:color w:val="auto"/>
          <w:kern w:val="0"/>
          <w:sz w:val="28"/>
          <w:szCs w:val="28"/>
          <w:highlight w:val="none"/>
          <w:lang w:val="zh-CN"/>
        </w:rPr>
        <w:t>区域块。在前</w:t>
      </w:r>
      <w:r>
        <w:rPr>
          <w:rFonts w:hint="eastAsia" w:ascii="仿宋" w:hAnsi="仿宋" w:eastAsia="仿宋" w:cs="仿宋"/>
          <w:color w:val="auto"/>
          <w:position w:val="-12"/>
          <w:sz w:val="28"/>
          <w:szCs w:val="28"/>
          <w:highlight w:val="none"/>
        </w:rPr>
        <w:object>
          <v:shape id="_x0000_i1029" o:spt="75" type="#_x0000_t75" style="height:18pt;width:38pt;" o:ole="t" filled="f" o:preferrelative="t" stroked="f" coordsize="21600,21600">
            <v:path/>
            <v:fill on="f" focussize="0,0"/>
            <v:stroke on="f"/>
            <v:imagedata r:id="rId13" o:title=""/>
            <o:lock v:ext="edit" aspectratio="t"/>
            <w10:wrap type="none"/>
            <w10:anchorlock/>
          </v:shape>
          <o:OLEObject Type="Embed" ProgID="Equation.DSMT4" ShapeID="_x0000_i1029" DrawAspect="Content" ObjectID="_1468075729" r:id="rId12">
            <o:LockedField>false</o:LockedField>
          </o:OLEObject>
        </w:object>
      </w:r>
      <w:r>
        <w:rPr>
          <w:rFonts w:hint="eastAsia" w:ascii="仿宋" w:hAnsi="仿宋" w:eastAsia="仿宋" w:cs="仿宋"/>
          <w:b w:val="0"/>
          <w:bCs/>
          <w:color w:val="auto"/>
          <w:kern w:val="0"/>
          <w:sz w:val="28"/>
          <w:szCs w:val="28"/>
          <w:highlight w:val="none"/>
          <w:lang w:val="zh-CN"/>
        </w:rPr>
        <w:t>次迭代中，最远的非空区域块会被选中作为下一次迭代的被分割的区域。在最后一次分割时，最远非空的区域块会被选中为最终区域块。</w:t>
      </w:r>
    </w:p>
    <w:p w14:paraId="597DDCD2">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en-US" w:eastAsia="zh-CN"/>
        </w:rPr>
        <w:t>文献[2]图2.2</w:t>
      </w:r>
      <w:r>
        <w:rPr>
          <w:rFonts w:hint="eastAsia" w:ascii="仿宋" w:hAnsi="仿宋" w:eastAsia="仿宋" w:cs="仿宋"/>
          <w:b w:val="0"/>
          <w:bCs/>
          <w:color w:val="auto"/>
          <w:kern w:val="0"/>
          <w:sz w:val="28"/>
          <w:szCs w:val="28"/>
          <w:highlight w:val="none"/>
          <w:lang w:val="zh-CN"/>
        </w:rPr>
        <w:t>展示了当</w:t>
      </w:r>
      <w:r>
        <w:rPr>
          <w:rFonts w:hint="eastAsia" w:ascii="仿宋" w:hAnsi="仿宋" w:eastAsia="仿宋" w:cs="仿宋"/>
          <w:color w:val="auto"/>
          <w:position w:val="-14"/>
          <w:sz w:val="28"/>
          <w:szCs w:val="28"/>
          <w:highlight w:val="none"/>
        </w:rPr>
        <w:object>
          <v:shape id="_x0000_i1030" o:spt="75" type="#_x0000_t75" style="height:19pt;width:42.95pt;" o:ole="t" filled="f" o:preferrelative="t" stroked="f" coordsize="21600,21600">
            <v:path/>
            <v:fill on="f" focussize="0,0"/>
            <v:stroke on="f"/>
            <v:imagedata r:id="rId15" o:title=""/>
            <o:lock v:ext="edit" aspectratio="t"/>
            <w10:wrap type="none"/>
            <w10:anchorlock/>
          </v:shape>
          <o:OLEObject Type="Embed" ProgID="Equation.DSMT4" ShapeID="_x0000_i1030" DrawAspect="Content" ObjectID="_1468075730" r:id="rId14">
            <o:LockedField>false</o:LockedField>
          </o:OLEObject>
        </w:object>
      </w:r>
      <w:r>
        <w:rPr>
          <w:rFonts w:hint="eastAsia" w:ascii="仿宋" w:hAnsi="仿宋" w:eastAsia="仿宋" w:cs="仿宋"/>
          <w:b w:val="0"/>
          <w:bCs/>
          <w:color w:val="auto"/>
          <w:kern w:val="0"/>
          <w:sz w:val="28"/>
          <w:szCs w:val="28"/>
          <w:highlight w:val="none"/>
          <w:lang w:val="zh-CN"/>
        </w:rPr>
        <w:t>，</w:t>
      </w:r>
      <w:r>
        <w:rPr>
          <w:rFonts w:hint="eastAsia" w:ascii="仿宋" w:hAnsi="仿宋" w:eastAsia="仿宋" w:cs="仿宋"/>
          <w:color w:val="auto"/>
          <w:position w:val="-12"/>
          <w:sz w:val="28"/>
          <w:szCs w:val="28"/>
          <w:highlight w:val="none"/>
        </w:rPr>
        <w:object>
          <v:shape id="_x0000_i1031" o:spt="75" type="#_x0000_t75" style="height:18pt;width:41pt;" o:ole="t" filled="f" o:preferrelative="t" stroked="f" coordsize="21600,21600">
            <v:path/>
            <v:fill on="f" focussize="0,0"/>
            <v:stroke on="f"/>
            <v:imagedata r:id="rId17" o:title=""/>
            <o:lock v:ext="edit" aspectratio="t"/>
            <w10:wrap type="none"/>
            <w10:anchorlock/>
          </v:shape>
          <o:OLEObject Type="Embed" ProgID="Equation.DSMT4" ShapeID="_x0000_i1031" DrawAspect="Content" ObjectID="_1468075731" r:id="rId16">
            <o:LockedField>false</o:LockedField>
          </o:OLEObject>
        </w:object>
      </w:r>
      <w:r>
        <w:rPr>
          <w:rFonts w:hint="eastAsia" w:ascii="仿宋" w:hAnsi="仿宋" w:eastAsia="仿宋" w:cs="仿宋"/>
          <w:b w:val="0"/>
          <w:bCs/>
          <w:color w:val="auto"/>
          <w:kern w:val="0"/>
          <w:sz w:val="28"/>
          <w:szCs w:val="28"/>
          <w:highlight w:val="none"/>
          <w:lang w:val="zh-CN"/>
        </w:rPr>
        <w:t>时，基于指数分割的中继节点选择算法的分割过程。每次分割的第1，2，3块的宽度会近似为所在迭代分割区间宽度的 1/4，1/4，1/2。</w:t>
      </w:r>
    </w:p>
    <w:p w14:paraId="43011C13">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在每次迭代中，所有的节点根据RTB包中发送节点的位置信息，及</w:t>
      </w:r>
      <w:r>
        <w:rPr>
          <w:rFonts w:hint="eastAsia" w:ascii="仿宋" w:hAnsi="仿宋" w:eastAsia="仿宋" w:cs="仿宋"/>
          <w:b w:val="0"/>
          <w:bCs/>
          <w:color w:val="auto"/>
          <w:kern w:val="0"/>
          <w:sz w:val="28"/>
          <w:szCs w:val="28"/>
          <w:highlight w:val="none"/>
          <w:lang w:val="en-US" w:eastAsia="zh-CN"/>
        </w:rPr>
        <w:t>定位系统</w:t>
      </w:r>
      <w:r>
        <w:rPr>
          <w:rFonts w:hint="eastAsia" w:ascii="仿宋" w:hAnsi="仿宋" w:eastAsia="仿宋" w:cs="仿宋"/>
          <w:b w:val="0"/>
          <w:bCs/>
          <w:color w:val="auto"/>
          <w:kern w:val="0"/>
          <w:sz w:val="28"/>
          <w:szCs w:val="28"/>
          <w:highlight w:val="none"/>
          <w:lang w:val="zh-CN"/>
        </w:rPr>
        <w:t>所提供的自身位置信息，判断自己所在的区域块，在对应的时隙中发送一个B。</w:t>
      </w:r>
    </w:p>
    <w:p w14:paraId="38E04CE0">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en-US" w:eastAsia="zh-CN"/>
        </w:rPr>
        <w:t>文献[2]图2.2</w:t>
      </w:r>
      <w:r>
        <w:rPr>
          <w:rFonts w:hint="eastAsia" w:ascii="仿宋" w:hAnsi="仿宋" w:eastAsia="仿宋" w:cs="仿宋"/>
          <w:b w:val="0"/>
          <w:bCs/>
          <w:color w:val="auto"/>
          <w:kern w:val="0"/>
          <w:sz w:val="28"/>
          <w:szCs w:val="28"/>
          <w:highlight w:val="none"/>
          <w:lang w:val="zh-CN"/>
        </w:rPr>
        <w:t>中的第1次迭代，因为在第1个区域块中有节点，所以这些节点会同时在第1个时隙发送一个B。其他区域块的节点在自己对应时隙来到前会一直侦听信道，因此会侦听到此B，从而判断出相比较于自己，有更靠近边界的节点存在。于是，第2、3个区域块内的节点退出区域分割。这一过程会反复进行到第</w:t>
      </w:r>
      <w:r>
        <w:rPr>
          <w:rFonts w:hint="eastAsia" w:ascii="仿宋" w:hAnsi="仿宋" w:eastAsia="仿宋" w:cs="仿宋"/>
          <w:color w:val="auto"/>
          <w:position w:val="-12"/>
          <w:sz w:val="28"/>
          <w:szCs w:val="28"/>
          <w:highlight w:val="none"/>
        </w:rPr>
        <w:object>
          <v:shape id="_x0000_i1032" o:spt="75" type="#_x0000_t75" style="height:18pt;width:56pt;" o:ole="t" filled="f" o:preferrelative="t" stroked="f" coordsize="21600,21600">
            <v:path/>
            <v:fill on="f" focussize="0,0"/>
            <v:stroke on="f"/>
            <v:imagedata r:id="rId19" o:title=""/>
            <o:lock v:ext="edit" aspectratio="t"/>
            <w10:wrap type="none"/>
            <w10:anchorlock/>
          </v:shape>
          <o:OLEObject Type="Embed" ProgID="Equation.DSMT4" ShapeID="_x0000_i1032" DrawAspect="Content" ObjectID="_1468075732" r:id="rId18">
            <o:LockedField>false</o:LockedField>
          </o:OLEObject>
        </w:object>
      </w:r>
      <w:r>
        <w:rPr>
          <w:rFonts w:hint="eastAsia" w:ascii="仿宋" w:hAnsi="仿宋" w:eastAsia="仿宋" w:cs="仿宋"/>
          <w:b w:val="0"/>
          <w:bCs/>
          <w:color w:val="auto"/>
          <w:kern w:val="0"/>
          <w:sz w:val="28"/>
          <w:szCs w:val="28"/>
          <w:highlight w:val="none"/>
          <w:lang w:val="zh-CN"/>
        </w:rPr>
        <w:t>次迭代。</w:t>
      </w:r>
    </w:p>
    <w:p w14:paraId="3F12A400">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在第2次迭代中，因为在第1区域块中没有节点，宽度为</w:t>
      </w:r>
      <w:r>
        <w:rPr>
          <w:rFonts w:hint="eastAsia" w:ascii="仿宋" w:hAnsi="仿宋" w:eastAsia="仿宋" w:cs="仿宋"/>
          <w:color w:val="auto"/>
          <w:position w:val="-6"/>
          <w:sz w:val="28"/>
          <w:szCs w:val="28"/>
          <w:highlight w:val="none"/>
        </w:rPr>
        <w:object>
          <v:shape id="_x0000_i1033" o:spt="75" type="#_x0000_t75" style="height:13.95pt;width:30pt;" o:ole="t" filled="f" o:preferrelative="t" stroked="f" coordsize="21600,21600">
            <v:path/>
            <v:fill on="f" focussize="0,0"/>
            <v:stroke on="f"/>
            <v:imagedata r:id="rId21" o:title=""/>
            <o:lock v:ext="edit" aspectratio="t"/>
            <w10:wrap type="none"/>
            <w10:anchorlock/>
          </v:shape>
          <o:OLEObject Type="Embed" ProgID="Equation.DSMT4" ShapeID="_x0000_i1033" DrawAspect="Content" ObjectID="_1468075733" r:id="rId20">
            <o:LockedField>false</o:LockedField>
          </o:OLEObject>
        </w:object>
      </w:r>
      <w:r>
        <w:rPr>
          <w:rFonts w:hint="eastAsia" w:ascii="仿宋" w:hAnsi="仿宋" w:eastAsia="仿宋" w:cs="仿宋"/>
          <w:b w:val="0"/>
          <w:bCs/>
          <w:color w:val="auto"/>
          <w:kern w:val="0"/>
          <w:sz w:val="28"/>
          <w:szCs w:val="28"/>
          <w:highlight w:val="none"/>
          <w:lang w:val="zh-CN"/>
        </w:rPr>
        <w:t>的第2个区域块被选中，此次迭代耗时2个时隙。</w:t>
      </w:r>
    </w:p>
    <w:p w14:paraId="25A61910">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在最后一次迭代中，前2个时隙都没有B传送，因此，第3个区域块的节点判断出自己是潜在的中继节点。为节约时间，这些节点不会发送B，而是直接参与竞争成为中继节点。</w:t>
      </w:r>
    </w:p>
    <w:p w14:paraId="46C76746">
      <w:pPr>
        <w:spacing w:line="360" w:lineRule="auto"/>
        <w:ind w:firstLine="660" w:firstLineChars="236"/>
        <w:rPr>
          <w:rFonts w:hint="eastAsia" w:ascii="仿宋" w:hAnsi="仿宋" w:eastAsia="仿宋" w:cs="仿宋"/>
          <w:b w:val="0"/>
          <w:bCs/>
          <w:color w:val="auto"/>
          <w:kern w:val="0"/>
          <w:sz w:val="28"/>
          <w:szCs w:val="28"/>
          <w:highlight w:val="none"/>
          <w:lang w:val="en-US" w:eastAsia="zh-CN"/>
        </w:rPr>
      </w:pPr>
      <w:r>
        <w:rPr>
          <w:rFonts w:hint="eastAsia" w:ascii="仿宋" w:hAnsi="仿宋" w:eastAsia="仿宋" w:cs="仿宋"/>
          <w:b w:val="0"/>
          <w:bCs/>
          <w:color w:val="auto"/>
          <w:kern w:val="0"/>
          <w:sz w:val="28"/>
          <w:szCs w:val="28"/>
          <w:highlight w:val="none"/>
          <w:lang w:val="en-US" w:eastAsia="zh-CN"/>
        </w:rPr>
        <w:t>以下是关于EPBP协议4个阶段的详细说明：</w:t>
      </w:r>
    </w:p>
    <w:p w14:paraId="1C0BDB1F">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——mini离散帧间时隙</w:t>
      </w:r>
    </w:p>
    <w:p w14:paraId="7EE4E25C">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当有多个紧急消息（Emergency Message，EM）在同一时间需要发送，发送EM的每一个车辆会从间隔中随机选取</w:t>
      </w:r>
      <w:r>
        <w:rPr>
          <w:rFonts w:hint="eastAsia" w:ascii="仿宋" w:hAnsi="仿宋" w:eastAsia="仿宋" w:cs="仿宋"/>
          <w:b w:val="0"/>
          <w:bCs/>
          <w:color w:val="auto"/>
          <w:kern w:val="0"/>
          <w:sz w:val="28"/>
          <w:szCs w:val="28"/>
          <w:highlight w:val="none"/>
          <w:lang w:val="en-US" w:eastAsia="zh-CN"/>
        </w:rPr>
        <w:t>某</w:t>
      </w:r>
      <w:r>
        <w:rPr>
          <w:rFonts w:hint="eastAsia" w:ascii="仿宋" w:hAnsi="仿宋" w:eastAsia="仿宋" w:cs="仿宋"/>
          <w:b w:val="0"/>
          <w:bCs/>
          <w:color w:val="auto"/>
          <w:kern w:val="0"/>
          <w:sz w:val="28"/>
          <w:szCs w:val="28"/>
          <w:highlight w:val="none"/>
          <w:lang w:val="zh-CN"/>
        </w:rPr>
        <w:t>个mini时隙（mini-slot）去接入信道。mini-slot只是mini离散帧间时隙（mini-Distribute Inter-frame Space，mini-DIFS）的一部分。所以mini-DIFS机制能减轻多个EM同时接入信道造成的冲突，并减小了等待时间。当一个EM成功接入信道后，发送节点，即发送EM的车辆，会发送一请求广播（Request-To-Broadcast，RTB）包，并等待对应的清除广播(Clear-To-Broadcast，CTB)包。</w:t>
      </w:r>
    </w:p>
    <w:p w14:paraId="6AD50C4B">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——基于指数的分割方法</w:t>
      </w:r>
    </w:p>
    <w:p w14:paraId="54248D7D">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此方法能使最后被选择的区域块宽度最小。</w:t>
      </w:r>
    </w:p>
    <w:p w14:paraId="12CA9B36">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w:t>
      </w:r>
      <w:r>
        <w:rPr>
          <w:rFonts w:hint="eastAsia" w:ascii="仿宋" w:hAnsi="仿宋" w:eastAsia="仿宋" w:cs="仿宋"/>
          <w:b w:val="0"/>
          <w:bCs/>
          <w:color w:val="auto"/>
          <w:kern w:val="0"/>
          <w:sz w:val="28"/>
          <w:szCs w:val="28"/>
          <w:highlight w:val="none"/>
          <w:lang w:val="en-US" w:eastAsia="zh-CN"/>
        </w:rPr>
        <w:t>C</w:t>
      </w:r>
      <w:r>
        <w:rPr>
          <w:rFonts w:hint="eastAsia" w:ascii="仿宋" w:hAnsi="仿宋" w:eastAsia="仿宋" w:cs="仿宋"/>
          <w:b w:val="0"/>
          <w:bCs/>
          <w:color w:val="auto"/>
          <w:kern w:val="0"/>
          <w:sz w:val="28"/>
          <w:szCs w:val="28"/>
          <w:highlight w:val="none"/>
          <w:lang w:val="zh-CN"/>
        </w:rPr>
        <w:t>TB竞争阶段</w:t>
      </w:r>
    </w:p>
    <w:p w14:paraId="017BC597">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只有一个节点以较少的冲突率被选中作为中继节点。此中继节点回应一CTB包，向发送节点确认中继节点，完成中继节点的选择。且此RTB/CTB的握手同时避免了隐藏节点的出现。</w:t>
      </w:r>
    </w:p>
    <w:p w14:paraId="5F8BEC67">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——数据包传递</w:t>
      </w:r>
    </w:p>
    <w:p w14:paraId="3CE30F4E">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整个EPBP过程会反复进行直到EM到达目的点或失效。</w:t>
      </w:r>
    </w:p>
    <w:p w14:paraId="7169478D">
      <w:pPr>
        <w:numPr>
          <w:ilvl w:val="0"/>
          <w:numId w:val="2"/>
        </w:numPr>
        <w:spacing w:line="360" w:lineRule="auto"/>
        <w:ind w:firstLine="660" w:firstLineChars="236"/>
        <w:rPr>
          <w:rFonts w:hint="eastAsia" w:ascii="仿宋" w:hAnsi="仿宋" w:eastAsia="仿宋" w:cs="黑体"/>
          <w:b w:val="0"/>
          <w:bCs/>
          <w:color w:val="auto"/>
          <w:kern w:val="0"/>
          <w:sz w:val="28"/>
          <w:szCs w:val="28"/>
          <w:highlight w:val="none"/>
          <w:lang w:val="zh-CN"/>
        </w:rPr>
      </w:pPr>
      <w:r>
        <w:rPr>
          <w:rFonts w:hint="eastAsia" w:ascii="仿宋" w:hAnsi="仿宋" w:eastAsia="仿宋" w:cs="黑体"/>
          <w:b w:val="0"/>
          <w:bCs/>
          <w:color w:val="auto"/>
          <w:kern w:val="0"/>
          <w:sz w:val="28"/>
          <w:szCs w:val="28"/>
          <w:highlight w:val="none"/>
          <w:lang w:val="zh-CN"/>
        </w:rPr>
        <w:t>十字形平面交叉路口场景中继节点选择</w:t>
      </w:r>
    </w:p>
    <w:p w14:paraId="6BB56E04">
      <w:pPr>
        <w:spacing w:line="360" w:lineRule="auto"/>
        <w:ind w:firstLine="495" w:firstLineChars="177"/>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en-US" w:eastAsia="zh-CN"/>
        </w:rPr>
        <w:t>该部分明确了</w:t>
      </w:r>
      <w:r>
        <w:rPr>
          <w:rFonts w:hint="eastAsia" w:ascii="仿宋" w:hAnsi="仿宋" w:eastAsia="仿宋" w:cs="黑体"/>
          <w:b w:val="0"/>
          <w:bCs/>
          <w:color w:val="auto"/>
          <w:kern w:val="0"/>
          <w:sz w:val="28"/>
          <w:szCs w:val="28"/>
          <w:highlight w:val="none"/>
          <w:lang w:val="zh-CN"/>
        </w:rPr>
        <w:t>十字形平面交叉路口场景中继节点选择</w:t>
      </w:r>
      <w:r>
        <w:rPr>
          <w:rFonts w:hint="eastAsia" w:ascii="仿宋" w:hAnsi="仿宋" w:eastAsia="仿宋" w:cs="黑体"/>
          <w:b w:val="0"/>
          <w:bCs/>
          <w:color w:val="auto"/>
          <w:kern w:val="0"/>
          <w:sz w:val="28"/>
          <w:szCs w:val="28"/>
          <w:highlight w:val="none"/>
          <w:lang w:val="en-US" w:eastAsia="zh-CN"/>
        </w:rPr>
        <w:t>方法及信息格式。</w:t>
      </w:r>
      <w:r>
        <w:rPr>
          <w:rFonts w:hint="eastAsia" w:ascii="仿宋" w:hAnsi="仿宋" w:eastAsia="仿宋" w:cs="黑体"/>
          <w:b w:val="0"/>
          <w:bCs/>
          <w:color w:val="auto"/>
          <w:kern w:val="0"/>
          <w:sz w:val="28"/>
          <w:szCs w:val="28"/>
          <w:highlight w:val="none"/>
          <w:lang w:val="zh-CN"/>
        </w:rPr>
        <w:t>十字形平面交叉路口场景</w:t>
      </w:r>
      <w:r>
        <w:rPr>
          <w:rFonts w:hint="eastAsia" w:ascii="仿宋" w:hAnsi="仿宋" w:eastAsia="仿宋" w:cs="仿宋"/>
          <w:b w:val="0"/>
          <w:bCs/>
          <w:color w:val="auto"/>
          <w:kern w:val="0"/>
          <w:sz w:val="28"/>
          <w:szCs w:val="28"/>
          <w:highlight w:val="none"/>
          <w:lang w:val="zh-CN"/>
        </w:rPr>
        <w:t>中继节点的选择方法包括2个阶段。</w:t>
      </w:r>
    </w:p>
    <w:p w14:paraId="6D2593C4">
      <w:pPr>
        <w:spacing w:line="360" w:lineRule="auto"/>
        <w:ind w:firstLine="495" w:firstLineChars="177"/>
        <w:rPr>
          <w:rFonts w:hint="eastAsia" w:ascii="仿宋" w:hAnsi="仿宋" w:eastAsia="仿宋" w:cs="仿宋"/>
          <w:b w:val="0"/>
          <w:bCs/>
          <w:color w:val="auto"/>
          <w:kern w:val="0"/>
          <w:sz w:val="28"/>
          <w:szCs w:val="28"/>
          <w:highlight w:val="none"/>
          <w:lang w:val="en-US" w:eastAsia="zh-CN"/>
        </w:rPr>
      </w:pPr>
      <w:r>
        <w:rPr>
          <w:rFonts w:hint="eastAsia" w:ascii="仿宋" w:hAnsi="仿宋" w:eastAsia="仿宋" w:cs="仿宋"/>
          <w:b w:val="0"/>
          <w:bCs/>
          <w:color w:val="auto"/>
          <w:kern w:val="0"/>
          <w:sz w:val="28"/>
          <w:szCs w:val="28"/>
          <w:highlight w:val="none"/>
          <w:lang w:val="zh-CN"/>
        </w:rPr>
        <w:t>——路口阶段</w:t>
      </w:r>
    </w:p>
    <w:p w14:paraId="0B9E8BD0">
      <w:pPr>
        <w:spacing w:line="360" w:lineRule="auto"/>
        <w:ind w:firstLine="495" w:firstLineChars="177"/>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首次发现自己在交叉路口区域的节点为猎节点（</w:t>
      </w:r>
      <w:r>
        <w:rPr>
          <w:rFonts w:hint="eastAsia" w:ascii="仿宋" w:hAnsi="仿宋" w:eastAsia="仿宋" w:cs="仿宋"/>
          <w:b w:val="0"/>
          <w:bCs/>
          <w:color w:val="auto"/>
          <w:kern w:val="0"/>
          <w:sz w:val="28"/>
          <w:szCs w:val="28"/>
          <w:highlight w:val="none"/>
          <w:lang w:val="en-US" w:eastAsia="zh-CN"/>
        </w:rPr>
        <w:t>N</w:t>
      </w:r>
      <w:r>
        <w:rPr>
          <w:rFonts w:hint="eastAsia" w:ascii="仿宋" w:hAnsi="仿宋" w:eastAsia="仿宋" w:cs="仿宋"/>
          <w:b w:val="0"/>
          <w:bCs/>
          <w:color w:val="auto"/>
          <w:kern w:val="0"/>
          <w:sz w:val="28"/>
          <w:szCs w:val="28"/>
          <w:highlight w:val="none"/>
          <w:vertAlign w:val="subscript"/>
          <w:lang w:val="en-US" w:eastAsia="zh-CN"/>
        </w:rPr>
        <w:t>H</w:t>
      </w:r>
      <w:r>
        <w:rPr>
          <w:rFonts w:hint="eastAsia" w:ascii="仿宋" w:hAnsi="仿宋" w:eastAsia="仿宋" w:cs="仿宋"/>
          <w:b w:val="0"/>
          <w:bCs/>
          <w:color w:val="auto"/>
          <w:kern w:val="0"/>
          <w:sz w:val="28"/>
          <w:szCs w:val="28"/>
          <w:highlight w:val="none"/>
          <w:lang w:val="zh-CN"/>
        </w:rPr>
        <w:t>）</w:t>
      </w:r>
      <w:r>
        <w:rPr>
          <w:rFonts w:hint="eastAsia" w:ascii="仿宋" w:hAnsi="仿宋" w:eastAsia="仿宋" w:cs="仿宋"/>
          <w:b w:val="0"/>
          <w:bCs/>
          <w:color w:val="auto"/>
          <w:kern w:val="0"/>
          <w:sz w:val="28"/>
          <w:szCs w:val="28"/>
          <w:highlight w:val="none"/>
          <w:lang w:val="zh-CN" w:eastAsia="zh-CN"/>
        </w:rPr>
        <w:t>。</w:t>
      </w:r>
      <w:r>
        <w:rPr>
          <w:rFonts w:hint="eastAsia" w:ascii="仿宋" w:hAnsi="仿宋" w:eastAsia="仿宋" w:cs="仿宋"/>
          <w:b w:val="0"/>
          <w:bCs/>
          <w:color w:val="auto"/>
          <w:kern w:val="0"/>
          <w:sz w:val="28"/>
          <w:szCs w:val="28"/>
          <w:highlight w:val="none"/>
          <w:lang w:val="zh-CN"/>
        </w:rPr>
        <w:t>寻找离十字路口中心位置最近的节点，</w:t>
      </w:r>
      <w:r>
        <w:rPr>
          <w:rFonts w:hint="eastAsia" w:ascii="仿宋" w:hAnsi="仿宋" w:eastAsia="仿宋" w:cs="仿宋"/>
          <w:b w:val="0"/>
          <w:bCs/>
          <w:color w:val="auto"/>
          <w:kern w:val="0"/>
          <w:sz w:val="28"/>
          <w:szCs w:val="28"/>
          <w:highlight w:val="none"/>
          <w:lang w:val="en-US" w:eastAsia="zh-CN"/>
        </w:rPr>
        <w:t>并将其作为中继节点N</w:t>
      </w:r>
      <w:r>
        <w:rPr>
          <w:rFonts w:hint="eastAsia" w:ascii="仿宋" w:hAnsi="仿宋" w:eastAsia="仿宋" w:cs="仿宋"/>
          <w:b w:val="0"/>
          <w:bCs/>
          <w:color w:val="auto"/>
          <w:kern w:val="0"/>
          <w:sz w:val="28"/>
          <w:szCs w:val="28"/>
          <w:highlight w:val="none"/>
          <w:vertAlign w:val="subscript"/>
          <w:lang w:val="en-US" w:eastAsia="zh-CN"/>
        </w:rPr>
        <w:t>C</w:t>
      </w:r>
      <w:r>
        <w:rPr>
          <w:rFonts w:hint="eastAsia" w:ascii="仿宋" w:hAnsi="仿宋" w:eastAsia="仿宋" w:cs="仿宋"/>
          <w:b w:val="0"/>
          <w:bCs/>
          <w:color w:val="auto"/>
          <w:kern w:val="0"/>
          <w:sz w:val="28"/>
          <w:szCs w:val="28"/>
          <w:highlight w:val="none"/>
          <w:lang w:val="zh-CN"/>
        </w:rPr>
        <w:t>。</w:t>
      </w:r>
    </w:p>
    <w:p w14:paraId="00DB2E91">
      <w:pPr>
        <w:spacing w:line="360" w:lineRule="auto"/>
        <w:ind w:firstLine="495" w:firstLineChars="177"/>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——支路阶段</w:t>
      </w:r>
    </w:p>
    <w:p w14:paraId="2C678043">
      <w:pPr>
        <w:spacing w:line="360" w:lineRule="auto"/>
        <w:ind w:firstLine="495" w:firstLineChars="177"/>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寻找在</w:t>
      </w:r>
      <w:r>
        <w:rPr>
          <w:rFonts w:hint="eastAsia" w:ascii="仿宋" w:hAnsi="仿宋" w:eastAsia="仿宋" w:cs="仿宋"/>
          <w:b w:val="0"/>
          <w:bCs/>
          <w:color w:val="auto"/>
          <w:kern w:val="0"/>
          <w:sz w:val="28"/>
          <w:szCs w:val="28"/>
          <w:highlight w:val="none"/>
          <w:lang w:val="en-US" w:eastAsia="zh-CN"/>
        </w:rPr>
        <w:t>发送节点N</w:t>
      </w:r>
      <w:r>
        <w:rPr>
          <w:rFonts w:hint="eastAsia" w:ascii="仿宋" w:hAnsi="仿宋" w:eastAsia="仿宋" w:cs="仿宋"/>
          <w:b w:val="0"/>
          <w:bCs/>
          <w:color w:val="auto"/>
          <w:kern w:val="0"/>
          <w:sz w:val="28"/>
          <w:szCs w:val="28"/>
          <w:highlight w:val="none"/>
          <w:vertAlign w:val="subscript"/>
          <w:lang w:val="en-US" w:eastAsia="zh-CN"/>
        </w:rPr>
        <w:t>C</w:t>
      </w:r>
      <w:r>
        <w:rPr>
          <w:rFonts w:hint="eastAsia" w:ascii="仿宋" w:hAnsi="仿宋" w:eastAsia="仿宋" w:cs="仿宋"/>
          <w:b w:val="0"/>
          <w:bCs/>
          <w:color w:val="auto"/>
          <w:kern w:val="0"/>
          <w:sz w:val="28"/>
          <w:szCs w:val="28"/>
          <w:highlight w:val="none"/>
          <w:lang w:val="en-US" w:eastAsia="zh-CN"/>
        </w:rPr>
        <w:t>通信范围内</w:t>
      </w:r>
      <w:r>
        <w:rPr>
          <w:rFonts w:hint="eastAsia" w:ascii="仿宋" w:hAnsi="仿宋" w:eastAsia="仿宋" w:cs="仿宋"/>
          <w:b w:val="0"/>
          <w:bCs/>
          <w:color w:val="auto"/>
          <w:kern w:val="0"/>
          <w:sz w:val="28"/>
          <w:szCs w:val="28"/>
          <w:highlight w:val="none"/>
          <w:lang w:val="zh-CN"/>
        </w:rPr>
        <w:t>不同支路</w:t>
      </w:r>
      <w:r>
        <w:rPr>
          <w:rFonts w:hint="eastAsia" w:ascii="仿宋" w:hAnsi="仿宋" w:eastAsia="仿宋" w:cs="仿宋"/>
          <w:b w:val="0"/>
          <w:bCs/>
          <w:color w:val="auto"/>
          <w:kern w:val="0"/>
          <w:sz w:val="28"/>
          <w:szCs w:val="28"/>
          <w:highlight w:val="none"/>
          <w:lang w:val="en-US" w:eastAsia="zh-CN"/>
        </w:rPr>
        <w:t>上离N</w:t>
      </w:r>
      <w:r>
        <w:rPr>
          <w:rFonts w:hint="eastAsia" w:ascii="仿宋" w:hAnsi="仿宋" w:eastAsia="仿宋" w:cs="仿宋"/>
          <w:b w:val="0"/>
          <w:bCs/>
          <w:color w:val="auto"/>
          <w:kern w:val="0"/>
          <w:sz w:val="28"/>
          <w:szCs w:val="28"/>
          <w:highlight w:val="none"/>
          <w:vertAlign w:val="subscript"/>
          <w:lang w:val="en-US" w:eastAsia="zh-CN"/>
        </w:rPr>
        <w:t>C</w:t>
      </w:r>
      <w:r>
        <w:rPr>
          <w:rFonts w:hint="eastAsia" w:ascii="仿宋" w:hAnsi="仿宋" w:eastAsia="仿宋" w:cs="仿宋"/>
          <w:b w:val="0"/>
          <w:bCs/>
          <w:color w:val="auto"/>
          <w:kern w:val="0"/>
          <w:sz w:val="28"/>
          <w:szCs w:val="28"/>
          <w:highlight w:val="none"/>
          <w:lang w:val="en-US" w:eastAsia="zh-CN"/>
        </w:rPr>
        <w:t>最</w:t>
      </w:r>
      <w:r>
        <w:rPr>
          <w:rFonts w:hint="eastAsia" w:ascii="仿宋" w:hAnsi="仿宋" w:eastAsia="仿宋" w:cs="仿宋"/>
          <w:b w:val="0"/>
          <w:bCs/>
          <w:color w:val="auto"/>
          <w:kern w:val="0"/>
          <w:sz w:val="28"/>
          <w:szCs w:val="28"/>
          <w:highlight w:val="none"/>
          <w:lang w:val="zh-CN"/>
        </w:rPr>
        <w:t>远的节点做中继节点。</w:t>
      </w:r>
    </w:p>
    <w:p w14:paraId="77969F5B">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在路口阶段和支路阶段，采用十字交叉路口场景下基于指数分割的中继节点选择方法（EPRS on Intersection，EPRS</w:t>
      </w:r>
      <w:r>
        <w:rPr>
          <w:rFonts w:hint="eastAsia" w:ascii="仿宋" w:hAnsi="仿宋" w:eastAsia="仿宋" w:cs="仿宋"/>
          <w:b w:val="0"/>
          <w:bCs/>
          <w:color w:val="auto"/>
          <w:kern w:val="0"/>
          <w:sz w:val="28"/>
          <w:szCs w:val="28"/>
          <w:highlight w:val="none"/>
          <w:lang w:val="en-US" w:eastAsia="zh-CN"/>
        </w:rPr>
        <w:t>I</w:t>
      </w:r>
      <w:r>
        <w:rPr>
          <w:rFonts w:hint="eastAsia" w:ascii="仿宋" w:hAnsi="仿宋" w:eastAsia="仿宋" w:cs="仿宋"/>
          <w:b w:val="0"/>
          <w:bCs/>
          <w:color w:val="auto"/>
          <w:kern w:val="0"/>
          <w:sz w:val="28"/>
          <w:szCs w:val="28"/>
          <w:highlight w:val="none"/>
          <w:lang w:val="zh-CN"/>
        </w:rPr>
        <w:t>）选择中继节点。</w:t>
      </w:r>
    </w:p>
    <w:p w14:paraId="3A61C963">
      <w:pPr>
        <w:spacing w:line="360" w:lineRule="auto"/>
        <w:ind w:firstLine="660" w:firstLineChars="236"/>
        <w:rPr>
          <w:rFonts w:hint="eastAsia" w:ascii="仿宋" w:hAnsi="仿宋" w:eastAsia="仿宋" w:cs="黑体"/>
          <w:b w:val="0"/>
          <w:bCs/>
          <w:color w:val="auto"/>
          <w:kern w:val="0"/>
          <w:sz w:val="28"/>
          <w:szCs w:val="28"/>
          <w:highlight w:val="none"/>
          <w:lang w:val="zh-CN"/>
        </w:rPr>
      </w:pPr>
      <w:r>
        <w:rPr>
          <w:rFonts w:hint="eastAsia" w:ascii="仿宋" w:hAnsi="仿宋" w:eastAsia="仿宋" w:cs="黑体"/>
          <w:b w:val="0"/>
          <w:bCs/>
          <w:color w:val="auto"/>
          <w:kern w:val="0"/>
          <w:sz w:val="28"/>
          <w:szCs w:val="28"/>
          <w:highlight w:val="none"/>
          <w:lang w:val="zh-CN"/>
        </w:rPr>
        <w:t>（6）弯道场景中继节点选择</w:t>
      </w:r>
    </w:p>
    <w:p w14:paraId="328A50C2">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该部分明确了多种不同类型的弯道场景、中继节点在弯道场景下的双向选择过程和传输过程，以及在弯道场景下中继节点的</w:t>
      </w:r>
      <w:r>
        <w:rPr>
          <w:rFonts w:hint="eastAsia" w:ascii="仿宋" w:hAnsi="仿宋" w:eastAsia="仿宋" w:cs="仿宋"/>
          <w:b w:val="0"/>
          <w:bCs/>
          <w:color w:val="auto"/>
          <w:kern w:val="0"/>
          <w:sz w:val="28"/>
          <w:szCs w:val="28"/>
          <w:highlight w:val="none"/>
          <w:lang w:val="en-US" w:eastAsia="zh-CN"/>
        </w:rPr>
        <w:t>信</w:t>
      </w:r>
      <w:r>
        <w:rPr>
          <w:rFonts w:hint="eastAsia" w:ascii="仿宋" w:hAnsi="仿宋" w:eastAsia="仿宋" w:cs="仿宋"/>
          <w:b w:val="0"/>
          <w:bCs/>
          <w:color w:val="auto"/>
          <w:kern w:val="0"/>
          <w:sz w:val="28"/>
          <w:szCs w:val="28"/>
          <w:highlight w:val="none"/>
          <w:lang w:val="zh-CN"/>
        </w:rPr>
        <w:t>息格式。</w:t>
      </w:r>
    </w:p>
    <w:p w14:paraId="69CB6CD2">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在弯道场景下，如果只是考虑消息的单向传播去选择中继节点，则有可能存在通信未覆盖的弯道区域，消息无法传播到。因此在弯道中，为保证在道路任何位置的车辆都能收到消息，中继节点的选择应该是双向的。发送节点选择下一跳中继节点时，会考虑消息传播的两个方向：正向和反向。依据消息传播的双向路径，同时选择两个双向的中继节点，来确保弯道道路所有区域均能被覆盖。</w:t>
      </w:r>
    </w:p>
    <w:p w14:paraId="63FD3A1C">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当一个发送点同时选择不同方向的多个中继节点时，也会同时接收到多个方向传输过来的</w:t>
      </w:r>
      <w:r>
        <w:rPr>
          <w:rFonts w:hint="eastAsia" w:ascii="仿宋" w:hAnsi="仿宋" w:eastAsia="仿宋" w:cs="仿宋"/>
          <w:b w:val="0"/>
          <w:bCs/>
          <w:color w:val="auto"/>
          <w:kern w:val="0"/>
          <w:sz w:val="28"/>
          <w:szCs w:val="28"/>
          <w:highlight w:val="none"/>
          <w:lang w:val="en-US" w:eastAsia="zh-CN"/>
        </w:rPr>
        <w:t>B</w:t>
      </w:r>
      <w:r>
        <w:rPr>
          <w:rFonts w:hint="eastAsia" w:ascii="仿宋" w:hAnsi="仿宋" w:eastAsia="仿宋" w:cs="仿宋"/>
          <w:b w:val="0"/>
          <w:bCs/>
          <w:color w:val="auto"/>
          <w:kern w:val="0"/>
          <w:sz w:val="28"/>
          <w:szCs w:val="28"/>
          <w:highlight w:val="none"/>
          <w:lang w:val="zh-CN"/>
        </w:rPr>
        <w:t>，为了区别不同方向上的</w:t>
      </w:r>
      <w:r>
        <w:rPr>
          <w:rFonts w:hint="eastAsia" w:ascii="仿宋" w:hAnsi="仿宋" w:eastAsia="仿宋" w:cs="仿宋"/>
          <w:b w:val="0"/>
          <w:bCs/>
          <w:color w:val="auto"/>
          <w:kern w:val="0"/>
          <w:sz w:val="28"/>
          <w:szCs w:val="28"/>
          <w:highlight w:val="none"/>
          <w:lang w:val="en-US" w:eastAsia="zh-CN"/>
        </w:rPr>
        <w:t>B</w:t>
      </w:r>
      <w:r>
        <w:rPr>
          <w:rFonts w:hint="eastAsia" w:ascii="仿宋" w:hAnsi="仿宋" w:eastAsia="仿宋" w:cs="仿宋"/>
          <w:b w:val="0"/>
          <w:bCs/>
          <w:color w:val="auto"/>
          <w:kern w:val="0"/>
          <w:sz w:val="28"/>
          <w:szCs w:val="28"/>
          <w:highlight w:val="none"/>
          <w:lang w:val="zh-CN"/>
        </w:rPr>
        <w:t>，应选择在发送点使用定向天线或者选择不同的频率发送不同方向的</w:t>
      </w:r>
      <w:r>
        <w:rPr>
          <w:rFonts w:hint="eastAsia" w:ascii="仿宋" w:hAnsi="仿宋" w:eastAsia="仿宋" w:cs="仿宋"/>
          <w:b w:val="0"/>
          <w:bCs/>
          <w:color w:val="auto"/>
          <w:kern w:val="0"/>
          <w:sz w:val="28"/>
          <w:szCs w:val="28"/>
          <w:highlight w:val="none"/>
          <w:lang w:val="en-US" w:eastAsia="zh-CN"/>
        </w:rPr>
        <w:t>B</w:t>
      </w:r>
      <w:r>
        <w:rPr>
          <w:rFonts w:hint="eastAsia" w:ascii="仿宋" w:hAnsi="仿宋" w:eastAsia="仿宋" w:cs="仿宋"/>
          <w:b w:val="0"/>
          <w:bCs/>
          <w:color w:val="auto"/>
          <w:kern w:val="0"/>
          <w:sz w:val="28"/>
          <w:szCs w:val="28"/>
          <w:highlight w:val="none"/>
          <w:lang w:val="zh-CN"/>
        </w:rPr>
        <w:t>。</w:t>
      </w:r>
    </w:p>
    <w:p w14:paraId="1905B57D">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为避免信道负载过大，在RTB包中包含对应消息的唯一标识号。每个节点在本地记载其已收到的消息标示号。当新接收到一个RTB包，便判断此消息是否已接收过。如该消息标示号在本地有记载，便不参与中继节点的选择。否者，则参与中继节点的选择。并且任何消息都有生存时效的。当过了生存时效，对应标示号的消息会停止被广播，且对应标示号的记载也会被清空以释放本地空间。</w:t>
      </w:r>
    </w:p>
    <w:p w14:paraId="563A63F5">
      <w:pPr>
        <w:spacing w:line="360" w:lineRule="auto"/>
        <w:ind w:firstLine="660" w:firstLineChars="236"/>
        <w:rPr>
          <w:rFonts w:hint="eastAsia" w:ascii="仿宋" w:hAnsi="仿宋" w:eastAsia="仿宋" w:cs="黑体"/>
          <w:b w:val="0"/>
          <w:bCs/>
          <w:color w:val="auto"/>
          <w:kern w:val="0"/>
          <w:sz w:val="28"/>
          <w:szCs w:val="28"/>
          <w:highlight w:val="none"/>
          <w:lang w:val="zh-CN"/>
        </w:rPr>
      </w:pPr>
      <w:r>
        <w:rPr>
          <w:rFonts w:hint="eastAsia" w:ascii="仿宋" w:hAnsi="仿宋" w:eastAsia="仿宋" w:cs="黑体"/>
          <w:b w:val="0"/>
          <w:bCs/>
          <w:color w:val="auto"/>
          <w:kern w:val="0"/>
          <w:sz w:val="28"/>
          <w:szCs w:val="28"/>
          <w:highlight w:val="none"/>
          <w:lang w:val="zh-CN"/>
        </w:rPr>
        <w:t>（7）不利场景中继节点选择</w:t>
      </w:r>
    </w:p>
    <w:p w14:paraId="6C3A0707">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该部分明确了两种不利场景，以及在不利场景下中继节点的</w:t>
      </w:r>
      <w:r>
        <w:rPr>
          <w:rFonts w:hint="eastAsia" w:ascii="仿宋" w:hAnsi="仿宋" w:eastAsia="仿宋" w:cs="仿宋"/>
          <w:b w:val="0"/>
          <w:bCs/>
          <w:color w:val="auto"/>
          <w:kern w:val="0"/>
          <w:sz w:val="28"/>
          <w:szCs w:val="28"/>
          <w:highlight w:val="none"/>
          <w:lang w:val="en-US" w:eastAsia="zh-CN"/>
        </w:rPr>
        <w:t>信</w:t>
      </w:r>
      <w:r>
        <w:rPr>
          <w:rFonts w:hint="eastAsia" w:ascii="仿宋" w:hAnsi="仿宋" w:eastAsia="仿宋" w:cs="仿宋"/>
          <w:b w:val="0"/>
          <w:bCs/>
          <w:color w:val="auto"/>
          <w:kern w:val="0"/>
          <w:sz w:val="28"/>
          <w:szCs w:val="28"/>
          <w:highlight w:val="none"/>
          <w:lang w:val="zh-CN"/>
        </w:rPr>
        <w:t>息格式。</w:t>
      </w:r>
    </w:p>
    <w:p w14:paraId="4E3BEDB6">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我们致力于构建一种在一般场景下能有更高的传输实时性和可靠性，在不利场景下也有可接受性能的鲁棒性增强中继节点选择方法。这种鲁棒方法是EPRS的进一步成果。EPRS可以在有限的分割时延下能取得更小的竞争时延。因此，EPRS呈现了在不同的交通流量下稳定的消息传播速度及包到达率（Packet Delivery Ratio，PDR）。即使是在高车辆密度下，也表现出较为稳定的性能。作为EPRS的优化方法，这种鲁棒方法获得整体上性能的提升，尤其是在车辆密度较小及不利的场景下。而这两种场景下，EPRS性能存在着短板。</w:t>
      </w:r>
    </w:p>
    <w:p w14:paraId="232E1BC2">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不利场景的中继选择包括四个方面：</w:t>
      </w:r>
    </w:p>
    <w:p w14:paraId="2052B7B3">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——指出基于距离的中继节点选择方法性能会出现恶化甚至崩溃的两种不利场景；</w:t>
      </w:r>
    </w:p>
    <w:p w14:paraId="0893B193">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——优化EPRS，使得其在所有可能的车辆密度下获得最大的平均消息传播速度；</w:t>
      </w:r>
    </w:p>
    <w:p w14:paraId="63AD834E">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——提出一种基于mini阻塞消息的协助机制以减少分割时延，并将此机制结合入EPRS中，最终获得一种鲁棒中继节点选择方法；</w:t>
      </w:r>
    </w:p>
    <w:p w14:paraId="281EF62C">
      <w:pPr>
        <w:spacing w:line="360" w:lineRule="auto"/>
        <w:ind w:firstLine="660" w:firstLineChars="236"/>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——构建这种鲁棒方法在竞争时延及PDR上数学模型。</w:t>
      </w:r>
    </w:p>
    <w:p w14:paraId="339E6D9E">
      <w:pPr>
        <w:spacing w:line="360" w:lineRule="auto"/>
        <w:ind w:firstLine="660" w:firstLineChars="236"/>
        <w:rPr>
          <w:rFonts w:hint="eastAsia" w:ascii="仿宋" w:hAnsi="仿宋" w:eastAsia="仿宋" w:cs="仿宋"/>
          <w:bCs/>
          <w:color w:val="auto"/>
          <w:kern w:val="0"/>
          <w:sz w:val="28"/>
          <w:szCs w:val="28"/>
          <w:highlight w:val="none"/>
        </w:rPr>
      </w:pPr>
      <w:r>
        <w:rPr>
          <w:rFonts w:hint="eastAsia" w:ascii="仿宋" w:hAnsi="仿宋" w:eastAsia="仿宋" w:cs="仿宋"/>
          <w:b w:val="0"/>
          <w:bCs/>
          <w:color w:val="auto"/>
          <w:kern w:val="0"/>
          <w:sz w:val="28"/>
          <w:szCs w:val="28"/>
          <w:highlight w:val="none"/>
          <w:lang w:val="zh-CN"/>
        </w:rPr>
        <w:t>其中不利场景下中继节点选择原则是使平均消息传输速度在所有车辆密度下是最大的，“最大”无法给出定量描述的原因是：在实验仿真中，在不同的迭代次数和迭代的分区数值参数下，通过设置最佳压缩系数获取的最大平均消息速度，是在此参数设置下相对最大的，并非绝对最大，所以无法给出定量描述。具体的平均消息传输速率取决于多个参数。具体说明见</w:t>
      </w:r>
      <w:r>
        <w:rPr>
          <w:rFonts w:hint="eastAsia" w:ascii="仿宋" w:hAnsi="仿宋" w:eastAsia="仿宋" w:cs="仿宋"/>
          <w:b w:val="0"/>
          <w:bCs/>
          <w:color w:val="auto"/>
          <w:kern w:val="0"/>
          <w:sz w:val="28"/>
          <w:szCs w:val="28"/>
          <w:highlight w:val="none"/>
          <w:lang w:val="en-US" w:eastAsia="zh-CN"/>
        </w:rPr>
        <w:t>文献[2]的</w:t>
      </w:r>
      <w:r>
        <w:rPr>
          <w:rFonts w:hint="eastAsia" w:ascii="仿宋" w:hAnsi="仿宋" w:eastAsia="仿宋" w:cs="仿宋"/>
          <w:b w:val="0"/>
          <w:bCs/>
          <w:color w:val="auto"/>
          <w:kern w:val="0"/>
          <w:sz w:val="28"/>
          <w:szCs w:val="28"/>
          <w:highlight w:val="none"/>
          <w:lang w:val="zh-CN"/>
        </w:rPr>
        <w:t>4.3.1。</w:t>
      </w:r>
    </w:p>
    <w:p w14:paraId="27A1FDC8">
      <w:pPr>
        <w:pStyle w:val="2"/>
        <w:numPr>
          <w:ilvl w:val="0"/>
          <w:numId w:val="3"/>
        </w:numPr>
        <w:bidi w:val="0"/>
        <w:rPr>
          <w:color w:val="auto"/>
          <w:highlight w:val="none"/>
        </w:rPr>
      </w:pPr>
      <w:r>
        <w:rPr>
          <w:rFonts w:hint="eastAsia"/>
          <w:color w:val="auto"/>
          <w:highlight w:val="none"/>
        </w:rPr>
        <w:t>主要试验分析报告、相关技术和经济影响论证情况</w:t>
      </w:r>
    </w:p>
    <w:p w14:paraId="11DD8CFC">
      <w:pPr>
        <w:pStyle w:val="3"/>
        <w:numPr>
          <w:ilvl w:val="0"/>
          <w:numId w:val="4"/>
        </w:numPr>
        <w:rPr>
          <w:color w:val="auto"/>
          <w:highlight w:val="none"/>
        </w:rPr>
      </w:pPr>
      <w:r>
        <w:rPr>
          <w:color w:val="auto"/>
          <w:highlight w:val="none"/>
        </w:rPr>
        <w:t>标准主要技术内容的</w:t>
      </w:r>
      <w:r>
        <w:rPr>
          <w:rFonts w:hint="eastAsia"/>
          <w:color w:val="auto"/>
          <w:highlight w:val="none"/>
        </w:rPr>
        <w:t>参考文献</w:t>
      </w:r>
    </w:p>
    <w:p w14:paraId="34DCD7D4">
      <w:pPr>
        <w:pStyle w:val="14"/>
        <w:keepNext w:val="0"/>
        <w:keepLines w:val="0"/>
        <w:pageBreakBefore w:val="0"/>
        <w:widowControl/>
        <w:numPr>
          <w:ilvl w:val="0"/>
          <w:numId w:val="5"/>
        </w:numPr>
        <w:tabs>
          <w:tab w:val="left" w:pos="4455"/>
        </w:tabs>
        <w:kinsoku/>
        <w:wordWrap/>
        <w:overflowPunct/>
        <w:topLinePunct w:val="0"/>
        <w:autoSpaceDE/>
        <w:autoSpaceDN/>
        <w:bidi w:val="0"/>
        <w:adjustRightInd w:val="0"/>
        <w:snapToGrid w:val="0"/>
        <w:spacing w:line="360" w:lineRule="auto"/>
        <w:ind w:left="0" w:leftChars="0" w:firstLine="560" w:firstLineChars="200"/>
        <w:jc w:val="left"/>
        <w:textAlignment w:val="auto"/>
        <w:rPr>
          <w:rFonts w:hint="eastAsia" w:ascii="仿宋" w:hAnsi="仿宋" w:eastAsia="仿宋" w:cs="宋体"/>
          <w:bCs/>
          <w:color w:val="auto"/>
          <w:kern w:val="0"/>
          <w:sz w:val="28"/>
          <w:szCs w:val="28"/>
          <w:highlight w:val="none"/>
        </w:rPr>
      </w:pPr>
      <w:r>
        <w:rPr>
          <w:rFonts w:hint="eastAsia" w:ascii="仿宋" w:hAnsi="仿宋" w:eastAsia="仿宋" w:cs="宋体"/>
          <w:bCs/>
          <w:color w:val="auto"/>
          <w:kern w:val="0"/>
          <w:sz w:val="28"/>
          <w:szCs w:val="28"/>
          <w:highlight w:val="none"/>
        </w:rPr>
        <w:t xml:space="preserve">Cao D, Zheng B, Wang J, Ji B, Feng C. </w:t>
      </w:r>
      <w:r>
        <w:rPr>
          <w:rFonts w:hint="default" w:ascii="仿宋" w:hAnsi="仿宋" w:eastAsia="仿宋" w:cs="宋体"/>
          <w:bCs/>
          <w:color w:val="auto"/>
          <w:kern w:val="0"/>
          <w:sz w:val="28"/>
          <w:szCs w:val="28"/>
          <w:highlight w:val="none"/>
          <w:lang w:val="en-US" w:eastAsia="zh-CN"/>
        </w:rPr>
        <w:t>“</w:t>
      </w:r>
      <w:r>
        <w:rPr>
          <w:rFonts w:hint="eastAsia" w:ascii="仿宋" w:hAnsi="仿宋" w:eastAsia="仿宋" w:cs="宋体"/>
          <w:bCs/>
          <w:color w:val="auto"/>
          <w:kern w:val="0"/>
          <w:sz w:val="28"/>
          <w:szCs w:val="28"/>
          <w:highlight w:val="none"/>
        </w:rPr>
        <w:t>Design and Analysis of a General Relay-Node Selection Mechanism on Intersection in Vehicular Networks</w:t>
      </w:r>
      <w:r>
        <w:rPr>
          <w:rFonts w:hint="eastAsia" w:ascii="仿宋" w:hAnsi="仿宋" w:eastAsia="仿宋" w:cs="宋体"/>
          <w:bCs/>
          <w:color w:val="auto"/>
          <w:kern w:val="0"/>
          <w:sz w:val="28"/>
          <w:szCs w:val="28"/>
          <w:highlight w:val="none"/>
          <w:lang w:val="en-US" w:eastAsia="zh-CN"/>
        </w:rPr>
        <w:t>,</w:t>
      </w:r>
      <w:r>
        <w:rPr>
          <w:rFonts w:hint="default" w:ascii="仿宋" w:hAnsi="仿宋" w:eastAsia="仿宋" w:cs="宋体"/>
          <w:bCs/>
          <w:color w:val="auto"/>
          <w:kern w:val="0"/>
          <w:sz w:val="28"/>
          <w:szCs w:val="28"/>
          <w:highlight w:val="none"/>
          <w:lang w:val="en-US" w:eastAsia="zh-CN"/>
        </w:rPr>
        <w:t>”</w:t>
      </w:r>
      <w:r>
        <w:rPr>
          <w:rFonts w:hint="eastAsia" w:ascii="仿宋" w:hAnsi="仿宋" w:eastAsia="仿宋" w:cs="宋体"/>
          <w:bCs/>
          <w:i/>
          <w:iCs/>
          <w:color w:val="auto"/>
          <w:kern w:val="0"/>
          <w:sz w:val="28"/>
          <w:szCs w:val="28"/>
          <w:highlight w:val="none"/>
        </w:rPr>
        <w:t xml:space="preserve"> Sensors (Basel)</w:t>
      </w:r>
      <w:r>
        <w:rPr>
          <w:rFonts w:hint="eastAsia" w:ascii="仿宋" w:hAnsi="仿宋" w:eastAsia="仿宋" w:cs="宋体"/>
          <w:bCs/>
          <w:color w:val="auto"/>
          <w:kern w:val="0"/>
          <w:sz w:val="28"/>
          <w:szCs w:val="28"/>
          <w:highlight w:val="none"/>
        </w:rPr>
        <w:t>.</w:t>
      </w:r>
      <w:r>
        <w:rPr>
          <w:rFonts w:hint="eastAsia" w:ascii="仿宋" w:hAnsi="仿宋" w:eastAsia="仿宋" w:cs="宋体"/>
          <w:bCs/>
          <w:color w:val="auto"/>
          <w:kern w:val="0"/>
          <w:sz w:val="28"/>
          <w:szCs w:val="28"/>
          <w:highlight w:val="none"/>
          <w:lang w:val="en-US" w:eastAsia="zh-CN"/>
        </w:rPr>
        <w:t>, vol.</w:t>
      </w:r>
      <w:r>
        <w:rPr>
          <w:rFonts w:hint="eastAsia" w:ascii="仿宋" w:hAnsi="仿宋" w:eastAsia="仿宋" w:cs="宋体"/>
          <w:bCs/>
          <w:color w:val="auto"/>
          <w:kern w:val="0"/>
          <w:sz w:val="28"/>
          <w:szCs w:val="28"/>
          <w:highlight w:val="none"/>
        </w:rPr>
        <w:t>18</w:t>
      </w:r>
      <w:r>
        <w:rPr>
          <w:rFonts w:hint="eastAsia" w:ascii="仿宋" w:hAnsi="仿宋" w:eastAsia="仿宋" w:cs="宋体"/>
          <w:bCs/>
          <w:color w:val="auto"/>
          <w:kern w:val="0"/>
          <w:sz w:val="28"/>
          <w:szCs w:val="28"/>
          <w:highlight w:val="none"/>
          <w:lang w:val="en-US" w:eastAsia="zh-CN"/>
        </w:rPr>
        <w:t>, no.</w:t>
      </w:r>
      <w:r>
        <w:rPr>
          <w:rFonts w:hint="eastAsia" w:ascii="仿宋" w:hAnsi="仿宋" w:eastAsia="仿宋" w:cs="宋体"/>
          <w:bCs/>
          <w:color w:val="auto"/>
          <w:kern w:val="0"/>
          <w:sz w:val="28"/>
          <w:szCs w:val="28"/>
          <w:highlight w:val="none"/>
        </w:rPr>
        <w:t>12</w:t>
      </w:r>
      <w:r>
        <w:rPr>
          <w:rFonts w:hint="eastAsia" w:ascii="仿宋" w:hAnsi="仿宋" w:eastAsia="仿宋" w:cs="宋体"/>
          <w:bCs/>
          <w:color w:val="auto"/>
          <w:kern w:val="0"/>
          <w:sz w:val="28"/>
          <w:szCs w:val="28"/>
          <w:highlight w:val="none"/>
          <w:lang w:val="en-US" w:eastAsia="zh-CN"/>
        </w:rPr>
        <w:t>, pp.</w:t>
      </w:r>
      <w:r>
        <w:rPr>
          <w:rFonts w:hint="eastAsia" w:ascii="仿宋" w:hAnsi="仿宋" w:eastAsia="仿宋" w:cs="宋体"/>
          <w:bCs/>
          <w:color w:val="auto"/>
          <w:kern w:val="0"/>
          <w:sz w:val="28"/>
          <w:szCs w:val="28"/>
          <w:highlight w:val="none"/>
        </w:rPr>
        <w:t>4251</w:t>
      </w:r>
      <w:r>
        <w:rPr>
          <w:rFonts w:hint="eastAsia" w:ascii="仿宋" w:hAnsi="仿宋" w:eastAsia="仿宋" w:cs="宋体"/>
          <w:bCs/>
          <w:color w:val="auto"/>
          <w:kern w:val="0"/>
          <w:sz w:val="28"/>
          <w:szCs w:val="28"/>
          <w:highlight w:val="none"/>
          <w:lang w:val="en-US" w:eastAsia="zh-CN"/>
        </w:rPr>
        <w:t>,</w:t>
      </w:r>
      <w:r>
        <w:rPr>
          <w:rFonts w:hint="eastAsia" w:ascii="仿宋" w:hAnsi="仿宋" w:eastAsia="仿宋" w:cs="宋体"/>
          <w:bCs/>
          <w:color w:val="auto"/>
          <w:kern w:val="0"/>
          <w:sz w:val="28"/>
          <w:szCs w:val="28"/>
          <w:highlight w:val="none"/>
        </w:rPr>
        <w:t xml:space="preserve"> doi: 10.3390/s18124251. PMID: 30513980; PMCID: PMC6308651</w:t>
      </w:r>
      <w:r>
        <w:rPr>
          <w:rFonts w:hint="eastAsia" w:ascii="仿宋" w:hAnsi="仿宋" w:eastAsia="仿宋" w:cs="宋体"/>
          <w:bCs/>
          <w:color w:val="auto"/>
          <w:kern w:val="0"/>
          <w:sz w:val="28"/>
          <w:szCs w:val="28"/>
          <w:highlight w:val="none"/>
          <w:lang w:val="en-US" w:eastAsia="zh-CN"/>
        </w:rPr>
        <w:t>,</w:t>
      </w:r>
      <w:r>
        <w:rPr>
          <w:rFonts w:hint="eastAsia" w:ascii="仿宋" w:hAnsi="仿宋" w:eastAsia="仿宋" w:cs="宋体"/>
          <w:bCs/>
          <w:color w:val="auto"/>
          <w:kern w:val="0"/>
          <w:sz w:val="28"/>
          <w:szCs w:val="28"/>
          <w:highlight w:val="none"/>
        </w:rPr>
        <w:t xml:space="preserve"> 2018</w:t>
      </w:r>
      <w:r>
        <w:rPr>
          <w:rFonts w:hint="eastAsia" w:ascii="仿宋" w:hAnsi="仿宋" w:eastAsia="仿宋" w:cs="宋体"/>
          <w:bCs/>
          <w:color w:val="auto"/>
          <w:kern w:val="0"/>
          <w:sz w:val="28"/>
          <w:szCs w:val="28"/>
          <w:highlight w:val="none"/>
          <w:lang w:val="en-US" w:eastAsia="zh-CN"/>
        </w:rPr>
        <w:t>.</w:t>
      </w:r>
    </w:p>
    <w:p w14:paraId="1B877BE6">
      <w:pPr>
        <w:pStyle w:val="14"/>
        <w:keepNext w:val="0"/>
        <w:keepLines w:val="0"/>
        <w:pageBreakBefore w:val="0"/>
        <w:widowControl/>
        <w:numPr>
          <w:ilvl w:val="0"/>
          <w:numId w:val="5"/>
        </w:numPr>
        <w:tabs>
          <w:tab w:val="left" w:pos="4455"/>
        </w:tabs>
        <w:kinsoku/>
        <w:wordWrap/>
        <w:overflowPunct/>
        <w:topLinePunct w:val="0"/>
        <w:autoSpaceDE/>
        <w:autoSpaceDN/>
        <w:bidi w:val="0"/>
        <w:adjustRightInd w:val="0"/>
        <w:snapToGrid w:val="0"/>
        <w:spacing w:line="360" w:lineRule="auto"/>
        <w:ind w:left="0" w:leftChars="0" w:firstLine="560" w:firstLineChars="200"/>
        <w:jc w:val="left"/>
        <w:textAlignment w:val="auto"/>
        <w:rPr>
          <w:rFonts w:hint="eastAsia" w:ascii="仿宋" w:hAnsi="仿宋" w:eastAsia="仿宋" w:cs="宋体"/>
          <w:bCs/>
          <w:color w:val="auto"/>
          <w:kern w:val="0"/>
          <w:sz w:val="28"/>
          <w:szCs w:val="28"/>
          <w:highlight w:val="none"/>
        </w:rPr>
      </w:pPr>
      <w:r>
        <w:rPr>
          <w:rFonts w:hint="eastAsia" w:ascii="仿宋" w:hAnsi="仿宋" w:eastAsia="仿宋" w:cs="宋体"/>
          <w:bCs/>
          <w:color w:val="auto"/>
          <w:kern w:val="0"/>
          <w:sz w:val="28"/>
          <w:szCs w:val="28"/>
          <w:highlight w:val="none"/>
        </w:rPr>
        <w:t>曹敦,王进,傅明.车联网V2V中继节点选择优化原理与方法[M].中南大学出版社,2019.</w:t>
      </w:r>
    </w:p>
    <w:p w14:paraId="44453496">
      <w:pPr>
        <w:pStyle w:val="14"/>
        <w:keepNext w:val="0"/>
        <w:keepLines w:val="0"/>
        <w:pageBreakBefore w:val="0"/>
        <w:widowControl/>
        <w:numPr>
          <w:ilvl w:val="0"/>
          <w:numId w:val="5"/>
        </w:numPr>
        <w:tabs>
          <w:tab w:val="left" w:pos="4455"/>
        </w:tabs>
        <w:kinsoku/>
        <w:wordWrap/>
        <w:overflowPunct/>
        <w:topLinePunct w:val="0"/>
        <w:autoSpaceDE/>
        <w:autoSpaceDN/>
        <w:bidi w:val="0"/>
        <w:adjustRightInd w:val="0"/>
        <w:snapToGrid w:val="0"/>
        <w:spacing w:line="360" w:lineRule="auto"/>
        <w:ind w:left="0" w:leftChars="0" w:firstLine="560" w:firstLineChars="200"/>
        <w:jc w:val="left"/>
        <w:textAlignment w:val="auto"/>
        <w:rPr>
          <w:rFonts w:hint="eastAsia" w:ascii="仿宋" w:hAnsi="仿宋" w:eastAsia="仿宋" w:cs="宋体"/>
          <w:bCs/>
          <w:color w:val="auto"/>
          <w:kern w:val="0"/>
          <w:sz w:val="28"/>
          <w:szCs w:val="28"/>
          <w:highlight w:val="none"/>
        </w:rPr>
      </w:pPr>
      <w:r>
        <w:rPr>
          <w:rFonts w:hint="eastAsia" w:ascii="仿宋" w:hAnsi="仿宋" w:eastAsia="仿宋" w:cs="宋体"/>
          <w:bCs/>
          <w:color w:val="auto"/>
          <w:kern w:val="0"/>
          <w:sz w:val="28"/>
          <w:szCs w:val="28"/>
          <w:highlight w:val="none"/>
        </w:rPr>
        <w:t>Cao D</w:t>
      </w:r>
      <w:r>
        <w:rPr>
          <w:rFonts w:hint="eastAsia" w:ascii="仿宋" w:hAnsi="仿宋" w:eastAsia="仿宋" w:cs="宋体"/>
          <w:bCs/>
          <w:color w:val="auto"/>
          <w:kern w:val="0"/>
          <w:sz w:val="28"/>
          <w:szCs w:val="28"/>
          <w:highlight w:val="none"/>
          <w:lang w:val="en-US" w:eastAsia="zh-CN"/>
        </w:rPr>
        <w:t>, Liu Y, Ma X, Wang J, Ji B, Feng C, Si J.</w:t>
      </w:r>
      <w:r>
        <w:rPr>
          <w:rFonts w:hint="eastAsia" w:ascii="仿宋" w:hAnsi="仿宋" w:eastAsia="仿宋" w:cs="宋体"/>
          <w:bCs/>
          <w:color w:val="auto"/>
          <w:kern w:val="0"/>
          <w:sz w:val="28"/>
          <w:szCs w:val="28"/>
          <w:highlight w:val="none"/>
        </w:rPr>
        <w:t xml:space="preserve"> </w:t>
      </w:r>
      <w:r>
        <w:rPr>
          <w:rFonts w:hint="default" w:ascii="仿宋" w:hAnsi="仿宋" w:eastAsia="仿宋" w:cs="宋体"/>
          <w:bCs/>
          <w:color w:val="auto"/>
          <w:kern w:val="0"/>
          <w:sz w:val="28"/>
          <w:szCs w:val="28"/>
          <w:highlight w:val="none"/>
          <w:lang w:val="en-US" w:eastAsia="zh-CN"/>
        </w:rPr>
        <w:t>“</w:t>
      </w:r>
      <w:r>
        <w:rPr>
          <w:rFonts w:hint="eastAsia" w:ascii="仿宋" w:hAnsi="仿宋" w:eastAsia="仿宋" w:cs="宋体"/>
          <w:bCs/>
          <w:color w:val="auto"/>
          <w:kern w:val="0"/>
          <w:sz w:val="28"/>
          <w:szCs w:val="28"/>
          <w:highlight w:val="none"/>
        </w:rPr>
        <w:t>A</w:t>
      </w:r>
      <w:r>
        <w:rPr>
          <w:rFonts w:hint="eastAsia" w:ascii="仿宋" w:hAnsi="仿宋" w:eastAsia="仿宋" w:cs="宋体"/>
          <w:bCs/>
          <w:color w:val="auto"/>
          <w:kern w:val="0"/>
          <w:sz w:val="28"/>
          <w:szCs w:val="28"/>
          <w:highlight w:val="none"/>
          <w:lang w:val="en-US" w:eastAsia="zh-CN"/>
        </w:rPr>
        <w:t xml:space="preserve"> </w:t>
      </w:r>
      <w:r>
        <w:rPr>
          <w:rFonts w:hint="eastAsia" w:ascii="仿宋" w:hAnsi="仿宋" w:eastAsia="仿宋" w:cs="宋体"/>
          <w:bCs/>
          <w:color w:val="auto"/>
          <w:kern w:val="0"/>
          <w:sz w:val="28"/>
          <w:szCs w:val="28"/>
          <w:highlight w:val="none"/>
        </w:rPr>
        <w:t>Relay-Node Selection on Curve Road in Vehicular Networks</w:t>
      </w:r>
      <w:r>
        <w:rPr>
          <w:rFonts w:hint="eastAsia" w:ascii="仿宋" w:hAnsi="仿宋" w:eastAsia="仿宋" w:cs="宋体"/>
          <w:bCs/>
          <w:color w:val="auto"/>
          <w:kern w:val="0"/>
          <w:sz w:val="28"/>
          <w:szCs w:val="28"/>
          <w:highlight w:val="none"/>
          <w:lang w:val="en-US" w:eastAsia="zh-CN"/>
        </w:rPr>
        <w:t>,</w:t>
      </w:r>
      <w:r>
        <w:rPr>
          <w:rFonts w:hint="default" w:ascii="仿宋" w:hAnsi="仿宋" w:eastAsia="仿宋" w:cs="宋体"/>
          <w:bCs/>
          <w:color w:val="auto"/>
          <w:kern w:val="0"/>
          <w:sz w:val="28"/>
          <w:szCs w:val="28"/>
          <w:highlight w:val="none"/>
          <w:lang w:val="en-US" w:eastAsia="zh-CN"/>
        </w:rPr>
        <w:t>”</w:t>
      </w:r>
      <w:r>
        <w:rPr>
          <w:rFonts w:hint="eastAsia" w:ascii="仿宋" w:hAnsi="仿宋" w:eastAsia="仿宋" w:cs="宋体"/>
          <w:bCs/>
          <w:color w:val="auto"/>
          <w:kern w:val="0"/>
          <w:sz w:val="28"/>
          <w:szCs w:val="28"/>
          <w:highlight w:val="none"/>
          <w:lang w:val="en-US" w:eastAsia="zh-CN"/>
        </w:rPr>
        <w:t xml:space="preserve"> </w:t>
      </w:r>
      <w:r>
        <w:rPr>
          <w:rFonts w:hint="eastAsia" w:ascii="仿宋" w:hAnsi="仿宋" w:eastAsia="仿宋" w:cs="宋体"/>
          <w:bCs/>
          <w:i/>
          <w:iCs/>
          <w:color w:val="auto"/>
          <w:kern w:val="0"/>
          <w:sz w:val="28"/>
          <w:szCs w:val="28"/>
          <w:highlight w:val="none"/>
        </w:rPr>
        <w:t>IEEE Access</w:t>
      </w:r>
      <w:r>
        <w:rPr>
          <w:rFonts w:hint="eastAsia" w:ascii="仿宋" w:hAnsi="仿宋" w:eastAsia="仿宋" w:cs="宋体"/>
          <w:bCs/>
          <w:color w:val="auto"/>
          <w:kern w:val="0"/>
          <w:sz w:val="28"/>
          <w:szCs w:val="28"/>
          <w:highlight w:val="none"/>
          <w:lang w:val="en-US" w:eastAsia="zh-CN"/>
        </w:rPr>
        <w:t>.,</w:t>
      </w:r>
      <w:r>
        <w:rPr>
          <w:rFonts w:hint="eastAsia" w:ascii="仿宋" w:hAnsi="仿宋" w:eastAsia="仿宋" w:cs="宋体"/>
          <w:bCs/>
          <w:color w:val="auto"/>
          <w:kern w:val="0"/>
          <w:sz w:val="28"/>
          <w:szCs w:val="28"/>
          <w:highlight w:val="none"/>
        </w:rPr>
        <w:t xml:space="preserve"> vol.7, pp.12714-12728.</w:t>
      </w:r>
    </w:p>
    <w:p w14:paraId="497EDE94">
      <w:pPr>
        <w:pStyle w:val="3"/>
        <w:numPr>
          <w:ilvl w:val="0"/>
          <w:numId w:val="4"/>
        </w:numPr>
        <w:rPr>
          <w:color w:val="auto"/>
          <w:highlight w:val="none"/>
        </w:rPr>
      </w:pPr>
      <w:r>
        <w:rPr>
          <w:rFonts w:hint="eastAsia"/>
          <w:color w:val="auto"/>
          <w:highlight w:val="none"/>
        </w:rPr>
        <w:t>主要试验分析报告和经济影响论证情况</w:t>
      </w:r>
    </w:p>
    <w:p w14:paraId="3B07CB9D">
      <w:pPr>
        <w:spacing w:line="600" w:lineRule="atLeas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本标准的编制以湖南省长沙市为仿真实验场景，车联网领域的重要研究方向车间数据通信技术作为关键技术进行研究，适用于搭载了</w:t>
      </w:r>
      <w:r>
        <w:rPr>
          <w:rFonts w:hint="eastAsia" w:ascii="仿宋" w:hAnsi="仿宋" w:eastAsia="仿宋" w:cs="仿宋"/>
          <w:color w:val="auto"/>
          <w:sz w:val="28"/>
          <w:szCs w:val="28"/>
          <w:highlight w:val="none"/>
          <w:lang w:eastAsia="zh-Hans"/>
        </w:rPr>
        <w:t>车载定位</w:t>
      </w:r>
      <w:r>
        <w:rPr>
          <w:rFonts w:hint="eastAsia" w:ascii="仿宋" w:hAnsi="仿宋" w:eastAsia="仿宋" w:cs="仿宋"/>
          <w:color w:val="auto"/>
          <w:sz w:val="28"/>
          <w:szCs w:val="28"/>
          <w:highlight w:val="none"/>
        </w:rPr>
        <w:t>设备和GIS信息</w:t>
      </w:r>
      <w:r>
        <w:rPr>
          <w:rFonts w:hint="eastAsia" w:ascii="仿宋" w:hAnsi="仿宋" w:eastAsia="仿宋" w:cs="仿宋"/>
          <w:color w:val="auto"/>
          <w:sz w:val="28"/>
          <w:szCs w:val="28"/>
          <w:highlight w:val="none"/>
          <w:vertAlign w:val="superscript"/>
          <w:lang w:val="en-US" w:eastAsia="zh-CN"/>
        </w:rPr>
        <w:t>[3]</w:t>
      </w:r>
      <w:r>
        <w:rPr>
          <w:rFonts w:hint="eastAsia" w:ascii="仿宋" w:hAnsi="仿宋" w:eastAsia="仿宋" w:cs="仿宋"/>
          <w:color w:val="auto"/>
          <w:sz w:val="28"/>
          <w:szCs w:val="28"/>
          <w:highlight w:val="none"/>
        </w:rPr>
        <w:t>的车辆之间组成的车载通信网络。通过仿真实验，验证了标准中所提方案在时延及包到达率等方面性能的优越性。该标准实施后，不仅可以在智能网联汽车中发挥关键性作用，还可以在应用于城市的智慧交通系统中发挥重要的作用，为缓解城市交通压力、提高道路车流吞吐量、提高行车安全和应对人口老龄化等方面提供强力的帮助；同时，本标准作为车联网领域的底层数据通信协议被制定出来，可以作为今后许多相关研究的基础，在我国相关领域和智能网联汽车产业中发挥深远的影响且具有一定的参考价值。</w:t>
      </w:r>
    </w:p>
    <w:p w14:paraId="1607FFE7">
      <w:pPr>
        <w:ind w:firstLine="645"/>
        <w:rPr>
          <w:rFonts w:ascii="仿宋" w:hAnsi="仿宋" w:eastAsia="仿宋" w:cs="黑体"/>
          <w:bCs/>
          <w:color w:val="auto"/>
          <w:kern w:val="0"/>
          <w:sz w:val="28"/>
          <w:szCs w:val="28"/>
          <w:highlight w:val="none"/>
        </w:rPr>
      </w:pPr>
      <w:r>
        <w:rPr>
          <w:rFonts w:hint="eastAsia" w:ascii="仿宋" w:hAnsi="仿宋" w:eastAsia="仿宋" w:cs="黑体"/>
          <w:bCs/>
          <w:color w:val="auto"/>
          <w:kern w:val="0"/>
          <w:sz w:val="28"/>
          <w:szCs w:val="28"/>
          <w:highlight w:val="none"/>
          <w:lang w:val="zh-CN"/>
        </w:rPr>
        <w:t>（</w:t>
      </w:r>
      <w:r>
        <w:rPr>
          <w:rFonts w:ascii="仿宋" w:hAnsi="仿宋" w:eastAsia="仿宋" w:cs="黑体"/>
          <w:bCs/>
          <w:color w:val="auto"/>
          <w:kern w:val="0"/>
          <w:sz w:val="28"/>
          <w:szCs w:val="28"/>
          <w:highlight w:val="none"/>
          <w:lang w:val="zh-CN"/>
        </w:rPr>
        <w:t>1</w:t>
      </w:r>
      <w:r>
        <w:rPr>
          <w:rFonts w:hint="eastAsia" w:ascii="仿宋" w:hAnsi="仿宋" w:eastAsia="仿宋" w:cs="黑体"/>
          <w:bCs/>
          <w:color w:val="auto"/>
          <w:kern w:val="0"/>
          <w:sz w:val="28"/>
          <w:szCs w:val="28"/>
          <w:highlight w:val="none"/>
          <w:lang w:val="zh-CN"/>
        </w:rPr>
        <w:t>）</w:t>
      </w:r>
      <w:r>
        <w:rPr>
          <w:rFonts w:hint="eastAsia" w:ascii="仿宋" w:hAnsi="仿宋" w:eastAsia="仿宋" w:cs="黑体"/>
          <w:bCs/>
          <w:color w:val="auto"/>
          <w:kern w:val="0"/>
          <w:sz w:val="28"/>
          <w:szCs w:val="28"/>
          <w:highlight w:val="none"/>
        </w:rPr>
        <w:t>直道场景下性能</w:t>
      </w:r>
    </w:p>
    <w:p w14:paraId="57FC3C1B">
      <w:pPr>
        <w:widowControl/>
        <w:tabs>
          <w:tab w:val="left" w:pos="4455"/>
        </w:tabs>
        <w:adjustRightInd w:val="0"/>
        <w:snapToGrid w:val="0"/>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在这节中，构建了直道场景下</w:t>
      </w:r>
      <w:r>
        <w:rPr>
          <w:rFonts w:hint="eastAsia" w:ascii="仿宋" w:hAnsi="仿宋" w:eastAsia="仿宋" w:cs="仿宋"/>
          <w:color w:val="auto"/>
          <w:kern w:val="0"/>
          <w:sz w:val="28"/>
          <w:szCs w:val="28"/>
          <w:highlight w:val="none"/>
          <w:lang w:val="en-US" w:eastAsia="zh-CN"/>
        </w:rPr>
        <w:t>EPRS</w:t>
      </w:r>
      <w:r>
        <w:rPr>
          <w:rFonts w:hint="eastAsia" w:ascii="仿宋" w:hAnsi="仿宋" w:eastAsia="仿宋" w:cs="仿宋"/>
          <w:color w:val="auto"/>
          <w:kern w:val="0"/>
          <w:sz w:val="28"/>
          <w:szCs w:val="28"/>
          <w:highlight w:val="none"/>
        </w:rPr>
        <w:t>的性能模型，为避免虚假传递问题的出现，将CTB竞争中退避时钟的间隔进行了调整，基于EPRS设计了EPBP。仿真结果反映出所构建的性能模型是有效的，CTB竞争时延的性能比较如文献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w:t>
      </w:r>
      <w:r>
        <w:rPr>
          <w:rFonts w:ascii="仿宋" w:hAnsi="仿宋" w:eastAsia="仿宋" w:cs="仿宋"/>
          <w:color w:val="auto"/>
          <w:kern w:val="0"/>
          <w:sz w:val="28"/>
          <w:szCs w:val="28"/>
          <w:highlight w:val="none"/>
        </w:rPr>
        <w:t>3.2</w:t>
      </w:r>
      <w:r>
        <w:rPr>
          <w:rFonts w:hint="eastAsia" w:ascii="仿宋" w:hAnsi="仿宋" w:eastAsia="仿宋" w:cs="仿宋"/>
          <w:color w:val="auto"/>
          <w:kern w:val="0"/>
          <w:sz w:val="28"/>
          <w:szCs w:val="28"/>
          <w:highlight w:val="none"/>
        </w:rPr>
        <w:t>所示，可以看出EPBP和最新的广播协议3P3B，BPAB和PMBP比较，EPBP取得了最低竞争时延，和PMBP的性能很接近。单跳时延及单跳覆盖比例性能比较如文献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w:t>
      </w:r>
      <w:r>
        <w:rPr>
          <w:rFonts w:ascii="仿宋" w:hAnsi="仿宋" w:eastAsia="仿宋" w:cs="仿宋"/>
          <w:color w:val="auto"/>
          <w:kern w:val="0"/>
          <w:sz w:val="28"/>
          <w:szCs w:val="28"/>
          <w:highlight w:val="none"/>
        </w:rPr>
        <w:t>3.3</w:t>
      </w:r>
      <w:r>
        <w:rPr>
          <w:rFonts w:hint="eastAsia" w:ascii="仿宋" w:hAnsi="仿宋" w:eastAsia="仿宋" w:cs="仿宋"/>
          <w:color w:val="auto"/>
          <w:kern w:val="0"/>
          <w:sz w:val="28"/>
          <w:szCs w:val="28"/>
          <w:highlight w:val="none"/>
        </w:rPr>
        <w:t>所示，EPBP在所有用于比较的协议中，获得了最稳定且最小的单跳延时</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消息传输速度性能比较如文献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w:t>
      </w:r>
      <w:r>
        <w:rPr>
          <w:rFonts w:ascii="仿宋" w:hAnsi="仿宋" w:eastAsia="仿宋" w:cs="仿宋"/>
          <w:color w:val="auto"/>
          <w:kern w:val="0"/>
          <w:sz w:val="28"/>
          <w:szCs w:val="28"/>
          <w:highlight w:val="none"/>
        </w:rPr>
        <w:t>3.</w:t>
      </w:r>
      <w:r>
        <w:rPr>
          <w:rFonts w:hint="eastAsia" w:ascii="仿宋" w:hAnsi="仿宋" w:eastAsia="仿宋" w:cs="仿宋"/>
          <w:color w:val="auto"/>
          <w:kern w:val="0"/>
          <w:sz w:val="28"/>
          <w:szCs w:val="28"/>
          <w:highlight w:val="none"/>
        </w:rPr>
        <w:t>4所示，EPBP获得较大范围车辆密度上的最快也是最稳定的消息传输速度。PDR性能比较如文献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w:t>
      </w:r>
      <w:r>
        <w:rPr>
          <w:rFonts w:ascii="仿宋" w:hAnsi="仿宋" w:eastAsia="仿宋" w:cs="仿宋"/>
          <w:color w:val="auto"/>
          <w:kern w:val="0"/>
          <w:sz w:val="28"/>
          <w:szCs w:val="28"/>
          <w:highlight w:val="none"/>
        </w:rPr>
        <w:t>3.</w:t>
      </w:r>
      <w:r>
        <w:rPr>
          <w:rFonts w:hint="eastAsia" w:ascii="仿宋" w:hAnsi="仿宋" w:eastAsia="仿宋" w:cs="仿宋"/>
          <w:color w:val="auto"/>
          <w:kern w:val="0"/>
          <w:sz w:val="28"/>
          <w:szCs w:val="28"/>
          <w:highlight w:val="none"/>
        </w:rPr>
        <w:t>5所示，相比较其他协议，EPBP也以较低的延时获得较高的PDR。且相比较现有的基于距离的中继节点选择方法，消息传播速度和包到达率上有很好的改善，尤其在车辆高密度下，且相对于车辆密度变化性能稳定。</w:t>
      </w:r>
    </w:p>
    <w:p w14:paraId="23F0980C">
      <w:pPr>
        <w:ind w:firstLine="645"/>
        <w:rPr>
          <w:rFonts w:ascii="仿宋" w:hAnsi="仿宋" w:eastAsia="仿宋" w:cs="黑体"/>
          <w:bCs/>
          <w:color w:val="auto"/>
          <w:kern w:val="0"/>
          <w:sz w:val="28"/>
          <w:szCs w:val="28"/>
          <w:highlight w:val="none"/>
          <w:lang w:val="zh-CN"/>
        </w:rPr>
      </w:pPr>
      <w:r>
        <w:rPr>
          <w:rFonts w:hint="eastAsia" w:ascii="仿宋" w:hAnsi="仿宋" w:eastAsia="仿宋" w:cs="黑体"/>
          <w:bCs/>
          <w:color w:val="auto"/>
          <w:kern w:val="0"/>
          <w:sz w:val="28"/>
          <w:szCs w:val="28"/>
          <w:highlight w:val="none"/>
          <w:lang w:val="zh-CN"/>
        </w:rPr>
        <w:t>（2）十字交叉路口场景下性能</w:t>
      </w:r>
    </w:p>
    <w:p w14:paraId="466356B3">
      <w:pPr>
        <w:widowControl/>
        <w:tabs>
          <w:tab w:val="left" w:pos="4455"/>
        </w:tabs>
        <w:adjustRightInd w:val="0"/>
        <w:snapToGrid w:val="0"/>
        <w:spacing w:line="360" w:lineRule="auto"/>
        <w:ind w:firstLine="560" w:firstLineChars="200"/>
        <w:jc w:val="left"/>
        <w:rPr>
          <w:rFonts w:ascii="仿宋" w:hAnsi="仿宋" w:eastAsia="仿宋" w:cs="仿宋"/>
          <w:color w:val="auto"/>
          <w:kern w:val="0"/>
          <w:sz w:val="28"/>
          <w:szCs w:val="28"/>
          <w:highlight w:val="none"/>
        </w:rPr>
      </w:pPr>
      <w:bookmarkStart w:id="2" w:name="_Hlk147139578"/>
      <w:r>
        <w:rPr>
          <w:rFonts w:hint="eastAsia" w:ascii="仿宋" w:hAnsi="仿宋" w:eastAsia="仿宋" w:cs="仿宋"/>
          <w:color w:val="auto"/>
          <w:kern w:val="0"/>
          <w:sz w:val="28"/>
          <w:szCs w:val="28"/>
          <w:highlight w:val="none"/>
        </w:rPr>
        <w:t>在这节中，</w:t>
      </w:r>
      <w:bookmarkEnd w:id="2"/>
      <w:r>
        <w:rPr>
          <w:rFonts w:hint="eastAsia" w:ascii="仿宋" w:hAnsi="仿宋" w:eastAsia="仿宋" w:cs="仿宋"/>
          <w:color w:val="auto"/>
          <w:kern w:val="0"/>
          <w:sz w:val="28"/>
          <w:szCs w:val="28"/>
          <w:highlight w:val="none"/>
        </w:rPr>
        <w:t>构建了十字交叉路口场景下基于指数分割的中继节点选择方法</w:t>
      </w:r>
      <w:r>
        <w:rPr>
          <w:rFonts w:hint="eastAsia" w:ascii="仿宋" w:hAnsi="仿宋" w:eastAsia="仿宋" w:cs="仿宋"/>
          <w:color w:val="auto"/>
          <w:kern w:val="0"/>
          <w:sz w:val="28"/>
          <w:szCs w:val="28"/>
          <w:highlight w:val="none"/>
          <w:lang w:eastAsia="zh-CN"/>
        </w:rPr>
        <w:t>（</w:t>
      </w:r>
      <w:r>
        <w:rPr>
          <w:rFonts w:ascii="仿宋" w:hAnsi="仿宋" w:eastAsia="仿宋" w:cs="仿宋"/>
          <w:color w:val="auto"/>
          <w:kern w:val="0"/>
          <w:sz w:val="28"/>
          <w:szCs w:val="28"/>
          <w:highlight w:val="none"/>
        </w:rPr>
        <w:t>EPRSI</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的性能模型。仿真结果反映出所构建的性能模型是有效的，十字路口场景下时延性能比较如文献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3.11所示，可看出EPRSI在当车密度较大的时候，分割时延性能的增益非常显著，虽然EPRSI的PDR性能是第二优的，但已很接近性能最优的AMB。且相比较现有的基于距离的中继节点选择方法，消息传播速度和包到达率上有很好的改善，尤其在车辆高密度下，且相对于车辆密度变化性能稳定。</w:t>
      </w:r>
    </w:p>
    <w:p w14:paraId="2669EB3F">
      <w:pPr>
        <w:ind w:firstLine="645"/>
        <w:rPr>
          <w:rFonts w:ascii="仿宋" w:hAnsi="仿宋" w:eastAsia="仿宋" w:cs="黑体"/>
          <w:bCs/>
          <w:color w:val="auto"/>
          <w:kern w:val="0"/>
          <w:sz w:val="28"/>
          <w:szCs w:val="28"/>
          <w:highlight w:val="none"/>
          <w:lang w:val="zh-CN"/>
        </w:rPr>
      </w:pPr>
      <w:r>
        <w:rPr>
          <w:rFonts w:hint="eastAsia" w:ascii="仿宋" w:hAnsi="仿宋" w:eastAsia="仿宋" w:cs="黑体"/>
          <w:bCs/>
          <w:color w:val="auto"/>
          <w:kern w:val="0"/>
          <w:sz w:val="28"/>
          <w:szCs w:val="28"/>
          <w:highlight w:val="none"/>
          <w:lang w:val="zh-CN"/>
        </w:rPr>
        <w:t>（3）弯道场景下性能</w:t>
      </w:r>
    </w:p>
    <w:p w14:paraId="76CD6FF1">
      <w:pPr>
        <w:widowControl/>
        <w:tabs>
          <w:tab w:val="left" w:pos="4455"/>
        </w:tabs>
        <w:adjustRightInd w:val="0"/>
        <w:snapToGrid w:val="0"/>
        <w:spacing w:line="360" w:lineRule="auto"/>
        <w:ind w:firstLine="560" w:firstLineChars="200"/>
        <w:jc w:val="left"/>
        <w:rPr>
          <w:rFonts w:hint="eastAsia" w:ascii="仿宋" w:hAnsi="仿宋" w:eastAsia="仿宋" w:cs="仿宋"/>
          <w:color w:val="auto"/>
          <w:kern w:val="0"/>
          <w:sz w:val="28"/>
          <w:szCs w:val="28"/>
          <w:highlight w:val="none"/>
        </w:rPr>
      </w:pPr>
      <w:bookmarkStart w:id="3" w:name="_Hlk147139658"/>
      <w:r>
        <w:rPr>
          <w:rFonts w:hint="eastAsia" w:ascii="仿宋" w:hAnsi="仿宋" w:eastAsia="仿宋" w:cs="仿宋"/>
          <w:color w:val="auto"/>
          <w:kern w:val="0"/>
          <w:sz w:val="28"/>
          <w:szCs w:val="28"/>
          <w:highlight w:val="none"/>
        </w:rPr>
        <w:t>在这节中，</w:t>
      </w:r>
      <w:bookmarkEnd w:id="3"/>
      <w:r>
        <w:rPr>
          <w:rFonts w:hint="eastAsia" w:ascii="仿宋" w:hAnsi="仿宋" w:eastAsia="仿宋" w:cs="仿宋"/>
          <w:color w:val="auto"/>
          <w:kern w:val="0"/>
          <w:sz w:val="28"/>
          <w:szCs w:val="28"/>
          <w:highlight w:val="none"/>
        </w:rPr>
        <w:t>构建了弯道场景下基于指数分割的中继节点选择方法（EPBPC）的性能模型。其中，在构建竞争时延的数学模型时，分析了现广泛采用的基于指数退避竞争机制的影响，并避免一些近似统计分析，从而得到更接近实际值的传播速度的数学模型。对弯道场景下的中继节点选择方法在MATLAB中进行链路级蒙特卡洛仿真。仿真结果反映出所构建的性能模型是有效的，由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图3.18可看出，EPBPC的PDR性能优于BPABC，接近于性能最好的PMBPC，且EPBPC的PDR在所有车密度下均大于99.8%。PMBPC优秀的PDR性能得益于其增大分割数以保证最终区域块宽度为4m，但同时也带来了较大的传输延时，从文献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3.17可看出。综合分析，可看出EPBPC在山区弯道下表现出稳定且优秀的传输实时性和可靠性。且相比较现有的基于距离的中继节点选择方法，消息传播速度和包到达率上有很好的改善，尤其在车辆高密度下，且相对于车辆密度变化性能稳定。</w:t>
      </w:r>
    </w:p>
    <w:p w14:paraId="300EB038">
      <w:pPr>
        <w:ind w:firstLine="645"/>
        <w:rPr>
          <w:rFonts w:ascii="仿宋" w:hAnsi="仿宋" w:eastAsia="仿宋" w:cs="黑体"/>
          <w:bCs/>
          <w:color w:val="auto"/>
          <w:kern w:val="0"/>
          <w:sz w:val="28"/>
          <w:szCs w:val="28"/>
          <w:highlight w:val="none"/>
        </w:rPr>
      </w:pPr>
      <w:r>
        <w:rPr>
          <w:rFonts w:hint="eastAsia" w:ascii="仿宋" w:hAnsi="仿宋" w:eastAsia="仿宋" w:cs="黑体"/>
          <w:bCs/>
          <w:color w:val="auto"/>
          <w:kern w:val="0"/>
          <w:sz w:val="28"/>
          <w:szCs w:val="28"/>
          <w:highlight w:val="none"/>
        </w:rPr>
        <w:t>（4）</w:t>
      </w:r>
      <w:r>
        <w:rPr>
          <w:rFonts w:hint="eastAsia" w:ascii="仿宋" w:hAnsi="仿宋" w:eastAsia="仿宋" w:cs="黑体"/>
          <w:bCs/>
          <w:color w:val="auto"/>
          <w:kern w:val="0"/>
          <w:sz w:val="28"/>
          <w:szCs w:val="28"/>
          <w:highlight w:val="none"/>
          <w:lang w:val="zh-CN"/>
        </w:rPr>
        <w:t>不利场景下性能</w:t>
      </w:r>
    </w:p>
    <w:p w14:paraId="753A4038">
      <w:pPr>
        <w:widowControl/>
        <w:tabs>
          <w:tab w:val="left" w:pos="4455"/>
        </w:tabs>
        <w:adjustRightInd w:val="0"/>
        <w:snapToGrid w:val="0"/>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在这节中，</w:t>
      </w:r>
      <w:r>
        <w:rPr>
          <w:rFonts w:ascii="仿宋" w:hAnsi="仿宋" w:eastAsia="仿宋" w:cs="仿宋"/>
          <w:color w:val="auto"/>
          <w:kern w:val="0"/>
          <w:sz w:val="28"/>
          <w:szCs w:val="28"/>
          <w:highlight w:val="none"/>
        </w:rPr>
        <w:t>分析并指出了在VANET中采用基于距离的中继节点选择方法，会存在不利场景。并且，通过优化之前的工作EPRS，获得一种鲁棒中继节点选择方法。着重分析了采用退避时钟的最后一次成功竞争的时延，重新构建了方法的平均竞争时延，并分析了PDR的数学模型。</w:t>
      </w:r>
      <w:r>
        <w:rPr>
          <w:rFonts w:hint="eastAsia" w:ascii="仿宋" w:hAnsi="仿宋" w:eastAsia="仿宋" w:cs="仿宋"/>
          <w:color w:val="auto"/>
          <w:kern w:val="0"/>
          <w:sz w:val="28"/>
          <w:szCs w:val="28"/>
          <w:highlight w:val="none"/>
        </w:rPr>
        <w:t>通过</w:t>
      </w:r>
      <w:r>
        <w:rPr>
          <w:rFonts w:ascii="仿宋" w:hAnsi="仿宋" w:eastAsia="仿宋" w:cs="仿宋"/>
          <w:color w:val="auto"/>
          <w:kern w:val="0"/>
          <w:sz w:val="28"/>
          <w:szCs w:val="28"/>
          <w:highlight w:val="none"/>
        </w:rPr>
        <w:t>在宽车辆密度范围内实验结果验证性能数学模型，</w:t>
      </w:r>
      <w:r>
        <w:rPr>
          <w:rFonts w:hint="eastAsia" w:ascii="仿宋" w:hAnsi="仿宋" w:eastAsia="仿宋" w:cs="仿宋"/>
          <w:color w:val="auto"/>
          <w:kern w:val="0"/>
          <w:sz w:val="28"/>
          <w:szCs w:val="28"/>
          <w:highlight w:val="none"/>
        </w:rPr>
        <w:t>如文献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w:t>
      </w:r>
      <w:r>
        <w:rPr>
          <w:rFonts w:ascii="仿宋" w:hAnsi="仿宋" w:eastAsia="仿宋" w:cs="仿宋"/>
          <w:color w:val="auto"/>
          <w:kern w:val="0"/>
          <w:sz w:val="28"/>
          <w:szCs w:val="28"/>
          <w:highlight w:val="none"/>
        </w:rPr>
        <w:t>4.9</w:t>
      </w:r>
      <w:r>
        <w:rPr>
          <w:rFonts w:hint="eastAsia" w:ascii="仿宋" w:hAnsi="仿宋" w:eastAsia="仿宋" w:cs="仿宋"/>
          <w:color w:val="auto"/>
          <w:kern w:val="0"/>
          <w:sz w:val="28"/>
          <w:szCs w:val="28"/>
          <w:highlight w:val="none"/>
        </w:rPr>
        <w:t>所示，</w:t>
      </w:r>
      <w:r>
        <w:rPr>
          <w:rFonts w:ascii="仿宋" w:hAnsi="仿宋" w:eastAsia="仿宋" w:cs="仿宋"/>
          <w:color w:val="auto"/>
          <w:kern w:val="0"/>
          <w:sz w:val="28"/>
          <w:szCs w:val="28"/>
          <w:highlight w:val="none"/>
        </w:rPr>
        <w:t>证明了</w:t>
      </w:r>
      <w:r>
        <w:rPr>
          <w:rFonts w:hint="eastAsia" w:ascii="仿宋" w:hAnsi="仿宋" w:eastAsia="仿宋" w:cs="仿宋"/>
          <w:color w:val="auto"/>
          <w:kern w:val="0"/>
          <w:sz w:val="28"/>
          <w:szCs w:val="28"/>
          <w:highlight w:val="none"/>
        </w:rPr>
        <w:t>鲁棒方法在所有测试的车辆密度范围内，获得最快也是最稳定的消息传输速度。并且由于对EPBP的优化和mini-BBM机制的应用，鲁棒方法的传输速度比性能表现第二好的EPBP快了11.01%。并且</w:t>
      </w:r>
      <w:r>
        <w:rPr>
          <w:rFonts w:ascii="仿宋" w:hAnsi="仿宋" w:eastAsia="仿宋" w:cs="仿宋"/>
          <w:color w:val="auto"/>
          <w:kern w:val="0"/>
          <w:sz w:val="28"/>
          <w:szCs w:val="28"/>
          <w:highlight w:val="none"/>
        </w:rPr>
        <w:t>在车辆低密度时及不利场景下，表现出比EPRS更好的性能。</w:t>
      </w:r>
      <w:r>
        <w:rPr>
          <w:rFonts w:hint="eastAsia" w:ascii="仿宋" w:hAnsi="仿宋" w:eastAsia="仿宋" w:cs="仿宋"/>
          <w:color w:val="auto"/>
          <w:kern w:val="0"/>
          <w:sz w:val="28"/>
          <w:szCs w:val="28"/>
          <w:highlight w:val="none"/>
        </w:rPr>
        <w:t>同时为衡量方法的可靠性，比较当车辆密度为0.2车/米时，各协议的包到达率(PDR)，结果如文献</w:t>
      </w:r>
      <w:r>
        <w:rPr>
          <w:rFonts w:hint="eastAsia" w:ascii="仿宋" w:hAnsi="仿宋" w:eastAsia="仿宋" w:cs="仿宋"/>
          <w:color w:val="auto"/>
          <w:kern w:val="0"/>
          <w:sz w:val="28"/>
          <w:szCs w:val="28"/>
          <w:highlight w:val="none"/>
          <w:lang w:eastAsia="zh-CN"/>
        </w:rPr>
        <w:t>[2]</w:t>
      </w:r>
      <w:r>
        <w:rPr>
          <w:rFonts w:hint="eastAsia" w:ascii="仿宋" w:hAnsi="仿宋" w:eastAsia="仿宋" w:cs="仿宋"/>
          <w:color w:val="auto"/>
          <w:kern w:val="0"/>
          <w:sz w:val="28"/>
          <w:szCs w:val="28"/>
          <w:highlight w:val="none"/>
        </w:rPr>
        <w:t>图4.10所示。</w:t>
      </w:r>
      <w:r>
        <w:rPr>
          <w:rFonts w:ascii="仿宋" w:hAnsi="仿宋" w:eastAsia="仿宋" w:cs="仿宋"/>
          <w:color w:val="auto"/>
          <w:kern w:val="0"/>
          <w:sz w:val="28"/>
          <w:szCs w:val="28"/>
          <w:highlight w:val="none"/>
        </w:rPr>
        <w:t>因此，</w:t>
      </w:r>
      <w:r>
        <w:rPr>
          <w:rFonts w:hint="eastAsia" w:ascii="仿宋" w:hAnsi="仿宋" w:eastAsia="仿宋" w:cs="仿宋"/>
          <w:color w:val="auto"/>
          <w:kern w:val="0"/>
          <w:sz w:val="28"/>
          <w:szCs w:val="28"/>
          <w:highlight w:val="none"/>
        </w:rPr>
        <w:t>证明了</w:t>
      </w:r>
      <w:r>
        <w:rPr>
          <w:rFonts w:ascii="仿宋" w:hAnsi="仿宋" w:eastAsia="仿宋" w:cs="仿宋"/>
          <w:color w:val="auto"/>
          <w:kern w:val="0"/>
          <w:sz w:val="28"/>
          <w:szCs w:val="28"/>
          <w:highlight w:val="none"/>
        </w:rPr>
        <w:t>此鲁棒方法的时延性能基本不受车辆密度变化的影响，且耗时少</w:t>
      </w:r>
      <w:r>
        <w:rPr>
          <w:rFonts w:hint="eastAsia" w:ascii="仿宋" w:hAnsi="仿宋" w:eastAsia="仿宋" w:cs="仿宋"/>
          <w:color w:val="auto"/>
          <w:kern w:val="0"/>
          <w:sz w:val="28"/>
          <w:szCs w:val="28"/>
          <w:highlight w:val="none"/>
        </w:rPr>
        <w:t>，</w:t>
      </w:r>
      <w:r>
        <w:rPr>
          <w:rFonts w:ascii="仿宋" w:hAnsi="仿宋" w:eastAsia="仿宋" w:cs="仿宋"/>
          <w:color w:val="auto"/>
          <w:kern w:val="0"/>
          <w:sz w:val="28"/>
          <w:szCs w:val="28"/>
          <w:highlight w:val="none"/>
        </w:rPr>
        <w:t>其同时保持稳定且高的PDR性能。</w:t>
      </w:r>
    </w:p>
    <w:p w14:paraId="17AA502A">
      <w:pPr>
        <w:pStyle w:val="2"/>
        <w:bidi w:val="0"/>
        <w:rPr>
          <w:color w:val="auto"/>
          <w:highlight w:val="none"/>
        </w:rPr>
      </w:pPr>
      <w:r>
        <w:rPr>
          <w:rFonts w:hint="eastAsia"/>
          <w:color w:val="auto"/>
          <w:highlight w:val="none"/>
        </w:rPr>
        <w:t>五、国内外现行相关法律、法规和标准情况</w:t>
      </w:r>
    </w:p>
    <w:p w14:paraId="7F78554D">
      <w:pPr>
        <w:spacing w:line="600" w:lineRule="exact"/>
        <w:ind w:firstLine="560" w:firstLineChars="200"/>
        <w:rPr>
          <w:rFonts w:ascii="仿宋" w:hAnsi="仿宋" w:eastAsia="仿宋" w:cs="仿宋"/>
          <w:b/>
          <w:color w:val="auto"/>
          <w:sz w:val="30"/>
          <w:szCs w:val="30"/>
          <w:highlight w:val="none"/>
        </w:rPr>
      </w:pPr>
      <w:r>
        <w:rPr>
          <w:rFonts w:hint="eastAsia" w:ascii="仿宋" w:hAnsi="仿宋" w:eastAsia="仿宋" w:cs="仿宋"/>
          <w:color w:val="auto"/>
          <w:kern w:val="0"/>
          <w:sz w:val="28"/>
          <w:szCs w:val="28"/>
          <w:highlight w:val="none"/>
        </w:rPr>
        <w:t>本标准依据的法律、法规及标准有《欧盟GEAR 2030战略自动驾驶汽车》、《联邦机动车辆安全标准》、《中华人民共和国公路法》、《中华人民共和国道路交通安全法》、《中华人民共和国城市规划法》等，本标准符合现行法律、法规和强制性（国家、行业、地方）标准要求，与其协调一致、无冲突。</w:t>
      </w:r>
    </w:p>
    <w:p w14:paraId="5E9BE07C">
      <w:pPr>
        <w:pStyle w:val="2"/>
        <w:bidi w:val="0"/>
        <w:rPr>
          <w:color w:val="auto"/>
          <w:highlight w:val="none"/>
        </w:rPr>
      </w:pPr>
      <w:r>
        <w:rPr>
          <w:rFonts w:hint="eastAsia"/>
          <w:color w:val="auto"/>
          <w:highlight w:val="none"/>
        </w:rPr>
        <w:t>六、重大意见分歧及处理结果</w:t>
      </w:r>
    </w:p>
    <w:p w14:paraId="1BBF8FB2">
      <w:pPr>
        <w:spacing w:line="600" w:lineRule="atLeast"/>
        <w:ind w:firstLine="560" w:firstLineChars="200"/>
        <w:rPr>
          <w:rFonts w:ascii="仿宋" w:hAnsi="仿宋" w:eastAsia="仿宋" w:cs="仿宋"/>
          <w:b/>
          <w:color w:val="auto"/>
          <w:sz w:val="30"/>
          <w:szCs w:val="30"/>
          <w:highlight w:val="none"/>
        </w:rPr>
      </w:pPr>
      <w:r>
        <w:rPr>
          <w:rFonts w:hint="eastAsia" w:ascii="仿宋" w:hAnsi="仿宋" w:eastAsia="仿宋" w:cs="仿宋"/>
          <w:color w:val="auto"/>
          <w:kern w:val="0"/>
          <w:sz w:val="28"/>
          <w:szCs w:val="28"/>
          <w:highlight w:val="none"/>
        </w:rPr>
        <w:t>本标准暂无重大分歧意见。</w:t>
      </w:r>
    </w:p>
    <w:p w14:paraId="2DDF8F44">
      <w:pPr>
        <w:pStyle w:val="2"/>
        <w:bidi w:val="0"/>
        <w:rPr>
          <w:color w:val="auto"/>
          <w:highlight w:val="none"/>
        </w:rPr>
      </w:pPr>
      <w:r>
        <w:rPr>
          <w:rFonts w:hint="eastAsia"/>
          <w:color w:val="auto"/>
          <w:highlight w:val="none"/>
        </w:rPr>
        <w:t>七、实施地方标准要求和措施建议</w:t>
      </w:r>
    </w:p>
    <w:p w14:paraId="5DFE317A">
      <w:pPr>
        <w:spacing w:line="600" w:lineRule="atLeast"/>
        <w:ind w:firstLine="560" w:firstLineChars="200"/>
        <w:rPr>
          <w:color w:val="auto"/>
          <w:highlight w:val="none"/>
        </w:rPr>
      </w:pPr>
      <w:r>
        <w:rPr>
          <w:rFonts w:hint="eastAsia" w:ascii="仿宋" w:hAnsi="仿宋" w:eastAsia="仿宋" w:cs="仿宋"/>
          <w:color w:val="auto"/>
          <w:sz w:val="28"/>
          <w:szCs w:val="28"/>
          <w:highlight w:val="none"/>
        </w:rPr>
        <w:t>建议发布后立即执行，建议由行业主管部门在标准发布后，组织宣贯培训，并对实施情况进行监督检查。</w:t>
      </w:r>
    </w:p>
    <w:p w14:paraId="5D8E0657">
      <w:pPr>
        <w:rPr>
          <w:color w:val="auto"/>
          <w:highlight w:val="none"/>
        </w:rPr>
      </w:pPr>
    </w:p>
    <w:p w14:paraId="5CC71949">
      <w:pPr>
        <w:rPr>
          <w:color w:val="auto"/>
          <w:highlight w:val="none"/>
        </w:rPr>
      </w:pPr>
    </w:p>
    <w:p w14:paraId="6C99BBBD">
      <w:pPr>
        <w:rPr>
          <w:color w:val="auto"/>
          <w:highlight w:val="none"/>
        </w:rPr>
      </w:pPr>
    </w:p>
    <w:p w14:paraId="4298F293">
      <w:pPr>
        <w:tabs>
          <w:tab w:val="left" w:pos="6147"/>
        </w:tabs>
        <w:jc w:val="left"/>
        <w:rPr>
          <w:color w:val="auto"/>
          <w:highlight w:val="none"/>
        </w:rPr>
      </w:pPr>
    </w:p>
    <w:p w14:paraId="4157FD15">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D11D"/>
    <w:multiLevelType w:val="singleLevel"/>
    <w:tmpl w:val="87A9D11D"/>
    <w:lvl w:ilvl="0" w:tentative="0">
      <w:start w:val="4"/>
      <w:numFmt w:val="chineseCounting"/>
      <w:suff w:val="nothing"/>
      <w:lvlText w:val="%1、"/>
      <w:lvlJc w:val="left"/>
      <w:rPr>
        <w:rFonts w:hint="eastAsia"/>
      </w:rPr>
    </w:lvl>
  </w:abstractNum>
  <w:abstractNum w:abstractNumId="1">
    <w:nsid w:val="DEF394F8"/>
    <w:multiLevelType w:val="singleLevel"/>
    <w:tmpl w:val="DEF394F8"/>
    <w:lvl w:ilvl="0" w:tentative="0">
      <w:start w:val="5"/>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rPr>
        <w:rFonts w:hint="default" w:ascii="仿宋" w:hAnsi="仿宋" w:eastAsia="仿宋" w:cs="仿宋"/>
      </w:rPr>
    </w:lvl>
  </w:abstractNum>
  <w:abstractNum w:abstractNumId="3">
    <w:nsid w:val="318028AF"/>
    <w:multiLevelType w:val="multilevel"/>
    <w:tmpl w:val="318028AF"/>
    <w:lvl w:ilvl="0" w:tentative="0">
      <w:start w:val="1"/>
      <w:numFmt w:val="japaneseCounting"/>
      <w:lvlText w:val="（%1）"/>
      <w:lvlJc w:val="left"/>
      <w:pPr>
        <w:ind w:left="1431" w:hanging="870"/>
      </w:pPr>
      <w:rPr>
        <w:rFonts w:hint="default"/>
      </w:rPr>
    </w:lvl>
    <w:lvl w:ilvl="1" w:tentative="0">
      <w:start w:val="1"/>
      <w:numFmt w:val="lowerLetter"/>
      <w:lvlText w:val="%2)"/>
      <w:lvlJc w:val="left"/>
      <w:pPr>
        <w:ind w:left="1441" w:hanging="440"/>
      </w:pPr>
    </w:lvl>
    <w:lvl w:ilvl="2" w:tentative="0">
      <w:start w:val="1"/>
      <w:numFmt w:val="lowerRoman"/>
      <w:lvlText w:val="%3."/>
      <w:lvlJc w:val="right"/>
      <w:pPr>
        <w:ind w:left="1881" w:hanging="440"/>
      </w:pPr>
    </w:lvl>
    <w:lvl w:ilvl="3" w:tentative="0">
      <w:start w:val="1"/>
      <w:numFmt w:val="decimal"/>
      <w:lvlText w:val="%4."/>
      <w:lvlJc w:val="left"/>
      <w:pPr>
        <w:ind w:left="2321" w:hanging="440"/>
      </w:pPr>
    </w:lvl>
    <w:lvl w:ilvl="4" w:tentative="0">
      <w:start w:val="1"/>
      <w:numFmt w:val="lowerLetter"/>
      <w:lvlText w:val="%5)"/>
      <w:lvlJc w:val="left"/>
      <w:pPr>
        <w:ind w:left="2761" w:hanging="440"/>
      </w:pPr>
    </w:lvl>
    <w:lvl w:ilvl="5" w:tentative="0">
      <w:start w:val="1"/>
      <w:numFmt w:val="lowerRoman"/>
      <w:lvlText w:val="%6."/>
      <w:lvlJc w:val="right"/>
      <w:pPr>
        <w:ind w:left="3201" w:hanging="440"/>
      </w:pPr>
    </w:lvl>
    <w:lvl w:ilvl="6" w:tentative="0">
      <w:start w:val="1"/>
      <w:numFmt w:val="decimal"/>
      <w:lvlText w:val="%7."/>
      <w:lvlJc w:val="left"/>
      <w:pPr>
        <w:ind w:left="3641" w:hanging="440"/>
      </w:pPr>
    </w:lvl>
    <w:lvl w:ilvl="7" w:tentative="0">
      <w:start w:val="1"/>
      <w:numFmt w:val="lowerLetter"/>
      <w:lvlText w:val="%8)"/>
      <w:lvlJc w:val="left"/>
      <w:pPr>
        <w:ind w:left="4081" w:hanging="440"/>
      </w:pPr>
    </w:lvl>
    <w:lvl w:ilvl="8" w:tentative="0">
      <w:start w:val="1"/>
      <w:numFmt w:val="lowerRoman"/>
      <w:lvlText w:val="%9."/>
      <w:lvlJc w:val="right"/>
      <w:pPr>
        <w:ind w:left="4521" w:hanging="440"/>
      </w:pPr>
    </w:lvl>
  </w:abstractNum>
  <w:abstractNum w:abstractNumId="4">
    <w:nsid w:val="3AC8E879"/>
    <w:multiLevelType w:val="singleLevel"/>
    <w:tmpl w:val="3AC8E879"/>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1OGQ2MmU5MjA1Mzc1OWYzNGE0MTQyZjcwMDYyOTEifQ=="/>
  </w:docVars>
  <w:rsids>
    <w:rsidRoot w:val="008C04C0"/>
    <w:rsid w:val="00075EE6"/>
    <w:rsid w:val="001772DD"/>
    <w:rsid w:val="00207789"/>
    <w:rsid w:val="002440E9"/>
    <w:rsid w:val="00362A00"/>
    <w:rsid w:val="00456033"/>
    <w:rsid w:val="004D3B93"/>
    <w:rsid w:val="006329A8"/>
    <w:rsid w:val="00663763"/>
    <w:rsid w:val="006A5823"/>
    <w:rsid w:val="007935C0"/>
    <w:rsid w:val="007C44CF"/>
    <w:rsid w:val="00857B93"/>
    <w:rsid w:val="00867C9C"/>
    <w:rsid w:val="008C04C0"/>
    <w:rsid w:val="008C761B"/>
    <w:rsid w:val="00915DF7"/>
    <w:rsid w:val="00936BA9"/>
    <w:rsid w:val="00A029E0"/>
    <w:rsid w:val="00B83829"/>
    <w:rsid w:val="00BA4AD2"/>
    <w:rsid w:val="00CD0676"/>
    <w:rsid w:val="00D366B6"/>
    <w:rsid w:val="00E00ABA"/>
    <w:rsid w:val="00E20F01"/>
    <w:rsid w:val="00F819DD"/>
    <w:rsid w:val="0289772F"/>
    <w:rsid w:val="05C82AE7"/>
    <w:rsid w:val="0BAF62FB"/>
    <w:rsid w:val="0DCE12F9"/>
    <w:rsid w:val="0FC36F73"/>
    <w:rsid w:val="12076CB9"/>
    <w:rsid w:val="15FF0C2B"/>
    <w:rsid w:val="17390F43"/>
    <w:rsid w:val="18721632"/>
    <w:rsid w:val="190B43B5"/>
    <w:rsid w:val="1AFC4447"/>
    <w:rsid w:val="1D3D5DCE"/>
    <w:rsid w:val="223F4135"/>
    <w:rsid w:val="23C3295B"/>
    <w:rsid w:val="24A46BF9"/>
    <w:rsid w:val="26C51CF1"/>
    <w:rsid w:val="2B605DBB"/>
    <w:rsid w:val="2B916A46"/>
    <w:rsid w:val="31A536E6"/>
    <w:rsid w:val="352A1BFE"/>
    <w:rsid w:val="36A56997"/>
    <w:rsid w:val="3BD75ADF"/>
    <w:rsid w:val="3F7FB5FA"/>
    <w:rsid w:val="41C11C6F"/>
    <w:rsid w:val="41E133BF"/>
    <w:rsid w:val="468A447D"/>
    <w:rsid w:val="54232D0E"/>
    <w:rsid w:val="5D7B86D2"/>
    <w:rsid w:val="5F5C38A5"/>
    <w:rsid w:val="694322E7"/>
    <w:rsid w:val="6A876A2E"/>
    <w:rsid w:val="6BFF0F8A"/>
    <w:rsid w:val="719E6674"/>
    <w:rsid w:val="722F4E1C"/>
    <w:rsid w:val="73674D66"/>
    <w:rsid w:val="737230F7"/>
    <w:rsid w:val="73BE076C"/>
    <w:rsid w:val="74DC6E65"/>
    <w:rsid w:val="77F946B0"/>
    <w:rsid w:val="77FF6C00"/>
    <w:rsid w:val="79A96B45"/>
    <w:rsid w:val="7BE34108"/>
    <w:rsid w:val="7CDED462"/>
    <w:rsid w:val="7FFF8AA0"/>
    <w:rsid w:val="BEF62A53"/>
    <w:rsid w:val="BFFFE33D"/>
    <w:rsid w:val="DA7B5211"/>
    <w:rsid w:val="E7FD8E84"/>
    <w:rsid w:val="F0FD6C85"/>
    <w:rsid w:val="FC6F564D"/>
    <w:rsid w:val="FF6A29BB"/>
    <w:rsid w:val="FFF69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outlineLvl w:val="0"/>
    </w:pPr>
    <w:rPr>
      <w:rFonts w:eastAsia="仿宋"/>
      <w:b/>
      <w:kern w:val="44"/>
      <w:sz w:val="32"/>
    </w:rPr>
  </w:style>
  <w:style w:type="paragraph" w:styleId="3">
    <w:name w:val="heading 2"/>
    <w:basedOn w:val="1"/>
    <w:next w:val="1"/>
    <w:unhideWhenUsed/>
    <w:qFormat/>
    <w:uiPriority w:val="0"/>
    <w:pPr>
      <w:keepNext/>
      <w:keepLines/>
      <w:spacing w:beforeLines="0" w:beforeAutospacing="0" w:afterLines="0" w:afterAutospacing="0" w:line="240" w:lineRule="auto"/>
      <w:ind w:firstLine="561" w:firstLineChars="0"/>
      <w:outlineLvl w:val="1"/>
    </w:pPr>
    <w:rPr>
      <w:rFonts w:ascii="Arial" w:hAnsi="Arial" w:eastAsia="仿宋"/>
      <w:b/>
      <w:sz w:val="28"/>
    </w:rPr>
  </w:style>
  <w:style w:type="paragraph" w:styleId="4">
    <w:name w:val="heading 3"/>
    <w:basedOn w:val="1"/>
    <w:next w:val="1"/>
    <w:unhideWhenUsed/>
    <w:qFormat/>
    <w:uiPriority w:val="0"/>
    <w:pPr>
      <w:spacing w:beforeAutospacing="0" w:afterAutospacing="0"/>
      <w:ind w:firstLine="646"/>
      <w:jc w:val="left"/>
      <w:outlineLvl w:val="2"/>
    </w:pPr>
    <w:rPr>
      <w:rFonts w:hint="eastAsia" w:ascii="宋体" w:hAnsi="宋体" w:eastAsia="仿宋"/>
      <w:kern w:val="0"/>
      <w:sz w:val="28"/>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tabs>
        <w:tab w:val="center" w:pos="4153"/>
        <w:tab w:val="right" w:pos="8306"/>
      </w:tabs>
      <w:snapToGrid w:val="0"/>
      <w:jc w:val="center"/>
    </w:pPr>
    <w:rPr>
      <w:sz w:val="18"/>
      <w:szCs w:val="18"/>
    </w:rPr>
  </w:style>
  <w:style w:type="paragraph" w:styleId="7">
    <w:name w:val="toc 1"/>
    <w:basedOn w:val="1"/>
    <w:next w:val="1"/>
    <w:qFormat/>
    <w:uiPriority w:val="0"/>
    <w:rPr>
      <w:sz w:val="24"/>
    </w:rPr>
  </w:style>
  <w:style w:type="paragraph" w:styleId="8">
    <w:name w:val="Title"/>
    <w:basedOn w:val="1"/>
    <w:next w:val="1"/>
    <w:qFormat/>
    <w:uiPriority w:val="10"/>
    <w:pPr>
      <w:spacing w:before="240" w:after="60"/>
      <w:jc w:val="center"/>
      <w:outlineLvl w:val="0"/>
    </w:pPr>
    <w:rPr>
      <w:rFonts w:ascii="Calibri Light" w:hAnsi="Calibri Light" w:cs="宋体"/>
      <w:b/>
      <w:bCs/>
      <w:sz w:val="32"/>
      <w:szCs w:val="32"/>
    </w:rPr>
  </w:style>
  <w:style w:type="character" w:styleId="11">
    <w:name w:val="Hyperlink"/>
    <w:basedOn w:val="10"/>
    <w:qFormat/>
    <w:uiPriority w:val="0"/>
    <w:rPr>
      <w:color w:val="0000FF"/>
      <w:u w:val="single"/>
    </w:rPr>
  </w:style>
  <w:style w:type="paragraph" w:customStyle="1" w:styleId="12">
    <w:name w:val="列表段落1"/>
    <w:basedOn w:val="1"/>
    <w:qFormat/>
    <w:uiPriority w:val="34"/>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4">
    <w:name w:val="List Paragraph"/>
    <w:basedOn w:val="1"/>
    <w:unhideWhenUsed/>
    <w:qFormat/>
    <w:uiPriority w:val="99"/>
    <w:pPr>
      <w:ind w:firstLine="420" w:firstLineChars="200"/>
    </w:pPr>
  </w:style>
  <w:style w:type="character" w:customStyle="1" w:styleId="15">
    <w:name w:val="页眉 字符"/>
    <w:basedOn w:val="10"/>
    <w:link w:val="6"/>
    <w:qFormat/>
    <w:uiPriority w:val="0"/>
    <w:rPr>
      <w:rFonts w:ascii="Calibri" w:hAnsi="Calibri"/>
      <w:kern w:val="2"/>
      <w:sz w:val="18"/>
      <w:szCs w:val="18"/>
    </w:rPr>
  </w:style>
  <w:style w:type="character" w:customStyle="1" w:styleId="16">
    <w:name w:val="页脚 字符"/>
    <w:basedOn w:val="10"/>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7408</Words>
  <Characters>8504</Characters>
  <Lines>25</Lines>
  <Paragraphs>7</Paragraphs>
  <TotalTime>7</TotalTime>
  <ScaleCrop>false</ScaleCrop>
  <LinksUpToDate>false</LinksUpToDate>
  <CharactersWithSpaces>8610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2023-07-24T12:21:00Z</dcterms:created>
  <dc:creator>佳宝☆★”</dc:creator>
  <cp:lastModifiedBy>A0杜先生</cp:lastModifiedBy>
  <dcterms:modified xsi:type="dcterms:W3CDTF">2025-10-10T09:00:13Z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C1207D27E9AC41079DEBD96D855980CE_13</vt:lpwstr>
  </property>
  <property fmtid="{D5CDD505-2E9C-101B-9397-08002B2CF9AE}" pid="4" name="MTWinEqns">
    <vt:bool>true</vt:bool>
  </property>
  <property fmtid="{D5CDD505-2E9C-101B-9397-08002B2CF9AE}" pid="5" name="KSOTemplateDocerSaveRecord">
    <vt:lpwstr>eyJoZGlkIjoiYTA2NDdlMGE5ZjUwMGJmOGY5YWVkMmRlNTZiOTY2YjAiLCJ1c2VySWQiOiI1MzMzNzMxNzEifQ==</vt:lpwstr>
  </property>
</Properties>
</file>