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0" w:lineRule="exact"/>
        <w:ind w:firstLine="422"/>
      </w:pPr>
      <w:bookmarkStart w:id="0" w:name="_Toc256079175"/>
      <w:r>
        <w:rPr>
          <w:b/>
          <w:bCs/>
        </w:rPr>
        <mc:AlternateContent>
          <mc:Choice Requires="wps">
            <w:drawing>
              <wp:anchor distT="0" distB="0" distL="114300" distR="114300" simplePos="0" relativeHeight="251660288" behindDoc="0" locked="0" layoutInCell="1" allowOverlap="1">
                <wp:simplePos x="0" y="0"/>
                <wp:positionH relativeFrom="column">
                  <wp:posOffset>3886200</wp:posOffset>
                </wp:positionH>
                <wp:positionV relativeFrom="paragraph">
                  <wp:posOffset>-233045</wp:posOffset>
                </wp:positionV>
                <wp:extent cx="2206625" cy="956310"/>
                <wp:effectExtent l="0" t="0" r="3175" b="5715"/>
                <wp:wrapNone/>
                <wp:docPr id="3" name="文本框 3"/>
                <wp:cNvGraphicFramePr/>
                <a:graphic xmlns:a="http://schemas.openxmlformats.org/drawingml/2006/main">
                  <a:graphicData uri="http://schemas.microsoft.com/office/word/2010/wordprocessingShape">
                    <wps:wsp>
                      <wps:cNvSpPr txBox="1"/>
                      <wps:spPr>
                        <a:xfrm>
                          <a:off x="0" y="0"/>
                          <a:ext cx="2206625" cy="9563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ind w:left="0" w:leftChars="0" w:firstLine="0" w:firstLineChars="0"/>
                              <w:jc w:val="left"/>
                              <w:rPr>
                                <w:rFonts w:ascii="方正黑体简体" w:eastAsia="方正黑体简体"/>
                                <w:color w:val="000000" w:themeColor="text1"/>
                                <w:sz w:val="96"/>
                                <w:szCs w:val="96"/>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方正黑体简体" w:eastAsia="方正黑体简体"/>
                                <w:color w:val="000000" w:themeColor="text1"/>
                                <w:sz w:val="96"/>
                                <w:szCs w:val="96"/>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DB43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6pt;margin-top:-18.35pt;height:75.3pt;width:173.75pt;z-index:251660288;mso-width-relative:page;mso-height-relative:page;" fillcolor="#FFFFFF [3201]" filled="t" stroked="f" coordsize="21600,21600" o:gfxdata="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iQBUO1wAAAAsBAAAPAAAAAAAAAAEAIAAAACIAAABkcnMv&#10;ZG93bnJldi54bWxQSwECFAAUAAAACACHTuJAvmXSDz0CAABPBAAADgAAAAAAAAABACAAAAAmAQAA&#10;ZHJzL2Uyb0RvYy54bWxQSwUGAAAAAAYABgBZAQAA1QUAAAAA&#10;">
                <v:fill on="t" focussize="0,0"/>
                <v:stroke on="f" weight="0.5pt"/>
                <v:imagedata o:title=""/>
                <o:lock v:ext="edit" aspectratio="f"/>
                <v:textbox>
                  <w:txbxContent>
                    <w:p>
                      <w:pPr>
                        <w:ind w:left="0" w:leftChars="0" w:firstLine="0" w:firstLineChars="0"/>
                        <w:jc w:val="left"/>
                        <w:rPr>
                          <w:rFonts w:ascii="方正黑体简体" w:eastAsia="方正黑体简体"/>
                          <w:color w:val="000000" w:themeColor="text1"/>
                          <w:sz w:val="96"/>
                          <w:szCs w:val="96"/>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方正黑体简体" w:eastAsia="方正黑体简体"/>
                          <w:color w:val="000000" w:themeColor="text1"/>
                          <w:sz w:val="96"/>
                          <w:szCs w:val="96"/>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DB43</w:t>
                      </w:r>
                    </w:p>
                  </w:txbxContent>
                </v:textbox>
              </v:shape>
            </w:pict>
          </mc:Fallback>
        </mc:AlternateContent>
      </w:r>
      <w:r>
        <w:rPr>
          <w:b/>
          <w:bCs/>
        </w:rPr>
        <w:t>ICS</w:t>
      </w:r>
      <w:r>
        <w:t xml:space="preserve"> </w:t>
      </w:r>
      <w:r>
        <w:rPr>
          <w:rFonts w:eastAsia="方正黑体简体"/>
        </w:rPr>
        <w:t>XXXXX</w:t>
      </w:r>
    </w:p>
    <w:p>
      <w:pPr>
        <w:spacing w:line="280" w:lineRule="exact"/>
        <w:ind w:firstLine="422"/>
      </w:pPr>
      <w:r>
        <w:rPr>
          <w:b/>
          <w:bCs/>
        </w:rPr>
        <w:t>CCS</w:t>
      </w:r>
      <w:r>
        <w:t xml:space="preserve"> </w:t>
      </w:r>
      <w:r>
        <w:rPr>
          <w:rFonts w:eastAsia="方正黑体简体"/>
        </w:rPr>
        <w:t>X XX</w:t>
      </w:r>
    </w:p>
    <w:p>
      <w:pPr>
        <w:spacing w:line="280" w:lineRule="exact"/>
        <w:ind w:firstLine="420"/>
        <w:rPr>
          <w:rFonts w:eastAsia="方正黑体简体"/>
        </w:rPr>
      </w:pPr>
    </w:p>
    <w:p>
      <w:pPr>
        <w:spacing w:line="280" w:lineRule="exact"/>
        <w:ind w:firstLine="420"/>
        <w:rPr>
          <w:rFonts w:eastAsia="方正黑体简体"/>
        </w:rPr>
      </w:pPr>
    </w:p>
    <w:p>
      <w:pPr>
        <w:spacing w:line="280" w:lineRule="exact"/>
        <w:ind w:firstLine="420"/>
        <w:rPr>
          <w:rFonts w:eastAsia="方正黑体简体"/>
        </w:rPr>
      </w:pPr>
    </w:p>
    <w:p>
      <w:pPr>
        <w:spacing w:before="100"/>
        <w:ind w:left="-19" w:leftChars="-9" w:firstLine="0" w:firstLineChars="0"/>
        <w:jc w:val="distribute"/>
        <w:rPr>
          <w:rFonts w:eastAsia="方正黑体简体"/>
          <w:w w:val="118"/>
          <w:sz w:val="44"/>
          <w:szCs w:val="44"/>
        </w:rPr>
      </w:pPr>
      <w:r>
        <w:rPr>
          <w:rFonts w:hint="default" w:ascii="Times New Roman" w:hAnsi="Times New Roman" w:eastAsia="方正黑体简体" w:cs="Times New Roman"/>
          <w:spacing w:val="125"/>
          <w:w w:val="120"/>
          <w:sz w:val="44"/>
          <w:szCs w:val="44"/>
        </w:rPr>
        <w:t xml:space="preserve">湖 南 省 地 方 标 </w:t>
      </w:r>
      <w:r>
        <w:rPr>
          <w:rFonts w:hint="default" w:ascii="Times New Roman" w:hAnsi="Times New Roman" w:eastAsia="方正黑体简体" w:cs="Times New Roman"/>
          <w:w w:val="120"/>
          <w:sz w:val="44"/>
          <w:szCs w:val="44"/>
        </w:rPr>
        <w:t>准</w:t>
      </w:r>
    </w:p>
    <w:p>
      <w:pPr>
        <w:wordWrap w:val="0"/>
        <w:spacing w:before="100"/>
        <w:ind w:left="-19" w:leftChars="-9" w:firstLine="560"/>
        <w:jc w:val="right"/>
        <w:rPr>
          <w:rFonts w:eastAsia="方正黑体简体"/>
          <w:spacing w:val="-20"/>
          <w:sz w:val="30"/>
          <w:szCs w:val="30"/>
        </w:rPr>
      </w:pPr>
      <w:r>
        <w:rPr>
          <w:rFonts w:eastAsia="黑体"/>
          <w:sz w:val="28"/>
          <w:szCs w:val="28"/>
        </w:rPr>
        <w:t>DB43/</w:t>
      </w:r>
      <w:r>
        <w:rPr>
          <w:rFonts w:eastAsia="黑体"/>
          <w:b/>
          <w:sz w:val="28"/>
          <w:szCs w:val="28"/>
        </w:rPr>
        <w:t xml:space="preserve">T </w:t>
      </w:r>
      <w:r>
        <w:rPr>
          <w:rFonts w:eastAsia="黑体"/>
          <w:sz w:val="28"/>
          <w:szCs w:val="28"/>
        </w:rPr>
        <w:t>XXX-XXXX</w:t>
      </w:r>
      <w:r>
        <w:rPr>
          <w:rFonts w:eastAsia="黑体"/>
          <w:spacing w:val="-20"/>
          <w:sz w:val="28"/>
          <w:szCs w:val="28"/>
        </w:rPr>
        <w:t xml:space="preserve"> </w:t>
      </w:r>
      <w:r>
        <w:rPr>
          <w:rFonts w:eastAsia="方正黑体简体"/>
          <w:spacing w:val="-20"/>
          <w:sz w:val="30"/>
          <w:szCs w:val="30"/>
        </w:rPr>
        <w:t xml:space="preserve"> </w:t>
      </w:r>
    </w:p>
    <w:p>
      <w:pPr>
        <w:spacing w:line="320" w:lineRule="exact"/>
        <w:ind w:firstLine="420"/>
        <w:jc w:val="right"/>
        <w:rPr>
          <w:rFonts w:eastAsia="方正黑体简体"/>
        </w:rPr>
      </w:pPr>
      <w:r>
        <mc:AlternateContent>
          <mc:Choice Requires="wps">
            <w:drawing>
              <wp:anchor distT="0" distB="0" distL="114300" distR="114300" simplePos="0" relativeHeight="251661312" behindDoc="0" locked="0" layoutInCell="1" allowOverlap="1">
                <wp:simplePos x="0" y="0"/>
                <wp:positionH relativeFrom="column">
                  <wp:posOffset>11430</wp:posOffset>
                </wp:positionH>
                <wp:positionV relativeFrom="paragraph">
                  <wp:posOffset>133985</wp:posOffset>
                </wp:positionV>
                <wp:extent cx="5813425" cy="6350"/>
                <wp:effectExtent l="0" t="4445" r="6350" b="8255"/>
                <wp:wrapNone/>
                <wp:docPr id="4" name="直接连接符 4"/>
                <wp:cNvGraphicFramePr/>
                <a:graphic xmlns:a="http://schemas.openxmlformats.org/drawingml/2006/main">
                  <a:graphicData uri="http://schemas.microsoft.com/office/word/2010/wordprocessingShape">
                    <wps:wsp>
                      <wps:cNvCnPr/>
                      <wps:spPr>
                        <a:xfrm>
                          <a:off x="1161415" y="2868295"/>
                          <a:ext cx="581342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9pt;margin-top:10.55pt;height:0.5pt;width:457.75pt;z-index:251661312;mso-width-relative:page;mso-height-relative:page;" filled="f" stroked="t" coordsize="21600,21600" o:gfxdata="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Ks8aPNMAAAAHAQAADwAAAAAAAAABACAAAAAi&#10;AAAAZHJzL2Rvd25yZXYueG1sUEsBAhQAFAAAAAgAh07iQKCC7kXWAQAAcgMAAA4AAAAAAAAAAQAg&#10;AAAAIgEAAGRycy9lMm9Eb2MueG1sUEsFBgAAAAAGAAYAWQEAAGoFAAAAAA==&#10;">
                <v:fill on="f" focussize="0,0"/>
                <v:stroke weight="0.5pt" color="#000000 [3200]" miterlimit="8" joinstyle="miter"/>
                <v:imagedata o:title=""/>
                <o:lock v:ext="edit" aspectratio="f"/>
              </v:line>
            </w:pict>
          </mc:Fallback>
        </mc:AlternateContent>
      </w: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ind w:left="0" w:leftChars="0" w:firstLine="0" w:firstLineChars="0"/>
        <w:jc w:val="center"/>
        <w:outlineLvl w:val="0"/>
        <w:rPr>
          <w:rFonts w:eastAsia="方正黑体_GBK"/>
          <w:sz w:val="52"/>
          <w:szCs w:val="52"/>
        </w:rPr>
      </w:pPr>
      <w:bookmarkStart w:id="1" w:name="_Toc18172"/>
      <w:r>
        <w:rPr>
          <w:rFonts w:hint="eastAsia" w:eastAsia="方正黑体_GBK"/>
          <w:color w:val="000000"/>
          <w:sz w:val="52"/>
          <w:szCs w:val="52"/>
        </w:rPr>
        <w:t>国家储备林监测评估技术规范</w:t>
      </w:r>
      <w:bookmarkEnd w:id="1"/>
    </w:p>
    <w:p>
      <w:pPr>
        <w:spacing w:line="360" w:lineRule="exact"/>
        <w:ind w:firstLine="0" w:firstLineChars="0"/>
        <w:jc w:val="center"/>
        <w:rPr>
          <w:rFonts w:hint="default" w:ascii="Times New Roman" w:hAnsi="Times New Roman" w:eastAsia="黑体" w:cs="Times New Roman"/>
          <w:sz w:val="28"/>
          <w:szCs w:val="28"/>
        </w:rPr>
      </w:pPr>
      <w:r>
        <w:rPr>
          <w:rFonts w:hint="eastAsia" w:ascii="Times New Roman" w:hAnsi="Times New Roman" w:eastAsia="黑体" w:cs="Times New Roman"/>
          <w:sz w:val="28"/>
          <w:szCs w:val="28"/>
        </w:rPr>
        <w:t xml:space="preserve">Technical code for national reserve forest monitoring </w:t>
      </w:r>
    </w:p>
    <w:p>
      <w:pPr>
        <w:spacing w:line="360" w:lineRule="exact"/>
        <w:ind w:firstLine="0" w:firstLineChars="0"/>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and assessment</w:t>
      </w:r>
    </w:p>
    <w:p>
      <w:pPr>
        <w:spacing w:line="360" w:lineRule="exact"/>
        <w:ind w:firstLine="0" w:firstLineChars="0"/>
        <w:jc w:val="center"/>
        <w:rPr>
          <w:rFonts w:hint="default" w:ascii="Times New Roman" w:hAnsi="Times New Roman" w:eastAsia="黑体" w:cs="Times New Roman"/>
          <w:sz w:val="28"/>
          <w:szCs w:val="28"/>
        </w:rPr>
      </w:pPr>
    </w:p>
    <w:p>
      <w:pPr>
        <w:spacing w:line="320" w:lineRule="exact"/>
        <w:ind w:firstLine="0" w:firstLineChars="0"/>
        <w:jc w:val="center"/>
        <w:outlineLvl w:val="0"/>
        <w:rPr>
          <w:rFonts w:hint="eastAsia" w:eastAsia="方正黑体简体" w:cs="Times New Roman"/>
          <w:sz w:val="28"/>
          <w:szCs w:val="28"/>
          <w:lang w:val="en-US" w:eastAsia="zh-CN"/>
        </w:rPr>
      </w:pPr>
      <w:bookmarkStart w:id="2" w:name="_Toc24719"/>
      <w:r>
        <w:rPr>
          <w:rFonts w:hint="eastAsia" w:eastAsia="方正黑体简体" w:cs="Times New Roman"/>
          <w:sz w:val="28"/>
          <w:szCs w:val="28"/>
          <w:lang w:val="en-US" w:eastAsia="zh-CN"/>
        </w:rPr>
        <w:t>（征求意见稿）</w:t>
      </w:r>
      <w:bookmarkEnd w:id="2"/>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hint="eastAsia"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eastAsia="方正黑体简体"/>
        </w:rPr>
      </w:pPr>
    </w:p>
    <w:p>
      <w:pPr>
        <w:spacing w:line="320" w:lineRule="exact"/>
        <w:ind w:left="0" w:leftChars="0" w:firstLine="0" w:firstLineChars="0"/>
        <w:jc w:val="center"/>
        <w:rPr>
          <w:rFonts w:hint="eastAsia" w:eastAsia="方正黑体简体"/>
        </w:rPr>
      </w:pPr>
    </w:p>
    <w:p>
      <w:pPr>
        <w:spacing w:line="320" w:lineRule="exact"/>
        <w:ind w:left="0" w:leftChars="0" w:firstLine="0" w:firstLineChars="0"/>
        <w:rPr>
          <w:rFonts w:eastAsia="方正黑体简体"/>
          <w:sz w:val="28"/>
          <w:szCs w:val="28"/>
        </w:rPr>
      </w:pPr>
      <w:r>
        <w:rPr>
          <w:rFonts w:eastAsia="方正黑体简体"/>
          <w:sz w:val="28"/>
          <w:szCs w:val="28"/>
        </w:rPr>
        <w:t xml:space="preserve">XXXX-XX-XX 发布                 </w:t>
      </w:r>
      <w:r>
        <w:rPr>
          <w:rFonts w:hint="eastAsia" w:eastAsia="方正黑体简体"/>
          <w:sz w:val="28"/>
          <w:szCs w:val="28"/>
          <w:lang w:val="en-US" w:eastAsia="zh-CN"/>
        </w:rPr>
        <w:t xml:space="preserve">    </w:t>
      </w:r>
      <w:r>
        <w:rPr>
          <w:rFonts w:eastAsia="方正黑体简体"/>
          <w:sz w:val="28"/>
          <w:szCs w:val="28"/>
        </w:rPr>
        <w:t xml:space="preserve">       XXXX-XX-XX 实施</w:t>
      </w:r>
    </w:p>
    <w:p>
      <w:pPr>
        <w:spacing w:line="320" w:lineRule="exact"/>
        <w:ind w:left="0" w:leftChars="0" w:firstLine="0" w:firstLineChars="0"/>
        <w:jc w:val="center"/>
        <w:rPr>
          <w:rFonts w:eastAsia="方正黑体简体"/>
        </w:rPr>
      </w:pPr>
      <w:r>
        <w:rPr>
          <w:rFonts w:eastAsia="方正黑体简体"/>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13335</wp:posOffset>
                </wp:positionV>
                <wp:extent cx="5755640" cy="7620"/>
                <wp:effectExtent l="0" t="6350" r="6985" b="14605"/>
                <wp:wrapNone/>
                <wp:docPr id="2" name="直接连接符 2"/>
                <wp:cNvGraphicFramePr/>
                <a:graphic xmlns:a="http://schemas.openxmlformats.org/drawingml/2006/main">
                  <a:graphicData uri="http://schemas.microsoft.com/office/word/2010/wordprocessingShape">
                    <wps:wsp>
                      <wps:cNvCnPr/>
                      <wps:spPr>
                        <a:xfrm>
                          <a:off x="0" y="0"/>
                          <a:ext cx="5755640" cy="76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pt;margin-top:1.05pt;height:0.6pt;width:453.2pt;z-index:251659264;mso-width-relative:page;mso-height-relative:page;" filled="f" stroked="t" coordsize="21600,21600" o:gfxdata="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8tU9Q9UAAAAFAQAADwAAAAAAAAABACAAAAAiAAAAZHJzL2Rv&#10;d25yZXYueG1sUEsBAhQAFAAAAAgAh07iQMvUgK/LAQAAZwMAAA4AAAAAAAAAAQAgAAAAJAEAAGRy&#10;cy9lMm9Eb2MueG1sUEsFBgAAAAAGAAYAWQEAAGEFAAAAAA==&#10;">
                <v:fill on="f" focussize="0,0"/>
                <v:stroke weight="1pt" color="#000000 [3213]" miterlimit="8" joinstyle="miter"/>
                <v:imagedata o:title=""/>
                <o:lock v:ext="edit" aspectratio="f"/>
              </v:line>
            </w:pict>
          </mc:Fallback>
        </mc:AlternateContent>
      </w:r>
    </w:p>
    <w:p>
      <w:pPr>
        <w:spacing w:line="320" w:lineRule="exact"/>
        <w:ind w:left="0" w:leftChars="0" w:firstLine="0" w:firstLineChars="0"/>
        <w:jc w:val="center"/>
        <w:rPr>
          <w:rFonts w:eastAsia="方正黑体简体"/>
          <w:sz w:val="24"/>
        </w:rPr>
      </w:pPr>
    </w:p>
    <w:p>
      <w:pPr>
        <w:spacing w:line="320" w:lineRule="exact"/>
        <w:ind w:left="0" w:leftChars="0" w:firstLine="0" w:firstLineChars="0"/>
        <w:jc w:val="center"/>
        <w:rPr>
          <w:rFonts w:eastAsia="方正黑体简体"/>
          <w:sz w:val="28"/>
          <w:szCs w:val="28"/>
        </w:rPr>
      </w:pPr>
      <w:r>
        <w:rPr>
          <w:rFonts w:eastAsia="方正黑体简体"/>
          <w:sz w:val="28"/>
          <w:szCs w:val="28"/>
        </w:rPr>
        <w:t>湖南省市场监督管理局   发 布</w:t>
      </w:r>
    </w:p>
    <w:p>
      <w:pPr>
        <w:spacing w:line="850" w:lineRule="exact"/>
        <w:ind w:firstLine="640"/>
        <w:jc w:val="center"/>
        <w:rPr>
          <w:rFonts w:eastAsia="方正黑体简体"/>
          <w:sz w:val="32"/>
          <w:szCs w:val="32"/>
        </w:rPr>
        <w:sectPr>
          <w:headerReference r:id="rId3" w:type="default"/>
          <w:footerReference r:id="rId5" w:type="default"/>
          <w:headerReference r:id="rId4" w:type="even"/>
          <w:pgSz w:w="11906" w:h="16838"/>
          <w:pgMar w:top="1440" w:right="1417" w:bottom="1100" w:left="1134" w:header="851" w:footer="1020" w:gutter="0"/>
          <w:pgNumType w:fmt="upperRoman" w:start="2"/>
          <w:cols w:space="0" w:num="1"/>
          <w:rtlGutter w:val="0"/>
          <w:docGrid w:type="lines" w:linePitch="324" w:charSpace="0"/>
        </w:sectPr>
      </w:pPr>
    </w:p>
    <w:p>
      <w:pPr>
        <w:pStyle w:val="23"/>
        <w:keepNext/>
        <w:keepLines w:val="0"/>
        <w:pageBreakBefore/>
        <w:widowControl/>
        <w:kinsoku/>
        <w:wordWrap/>
        <w:overflowPunct/>
        <w:topLinePunct w:val="0"/>
        <w:autoSpaceDE/>
        <w:autoSpaceDN/>
        <w:bidi w:val="0"/>
        <w:adjustRightInd/>
        <w:snapToGrid/>
        <w:spacing w:before="850" w:after="624"/>
        <w:ind w:left="0" w:leftChars="0" w:firstLine="0" w:firstLineChars="0"/>
        <w:textAlignment w:val="auto"/>
        <w:rPr>
          <w:rFonts w:hint="eastAsia" w:ascii="黑体" w:hAnsi="黑体" w:eastAsia="黑体" w:cs="黑体"/>
        </w:rPr>
      </w:pPr>
      <w:bookmarkStart w:id="3" w:name="_Toc9024"/>
      <w:r>
        <w:rPr>
          <w:rFonts w:hint="eastAsia" w:ascii="黑体" w:hAnsi="黑体" w:eastAsia="黑体" w:cs="黑体"/>
        </w:rPr>
        <w:t>目</w:t>
      </w:r>
      <w:bookmarkStart w:id="4" w:name="BKML"/>
      <w:r>
        <w:rPr>
          <w:rFonts w:hint="eastAsia" w:ascii="黑体" w:hAnsi="黑体" w:eastAsia="黑体" w:cs="黑体"/>
        </w:rPr>
        <w:t>  次</w:t>
      </w:r>
      <w:bookmarkEnd w:id="3"/>
      <w:bookmarkEnd w:id="4"/>
    </w:p>
    <w:sdt>
      <w:sdtPr>
        <w:rPr>
          <w:rFonts w:ascii="宋体" w:hAnsi="宋体" w:eastAsia="宋体" w:cs="Times New Roman"/>
          <w:kern w:val="2"/>
          <w:sz w:val="21"/>
          <w:szCs w:val="24"/>
          <w:lang w:val="en-US" w:eastAsia="zh-CN" w:bidi="ar-SA"/>
        </w:rPr>
        <w:id w:val="147458836"/>
        <w15:color w:val="DBDBDB"/>
      </w:sdtPr>
      <w:sdtEndPr>
        <w:rPr>
          <w:rFonts w:hint="eastAsia" w:ascii="Times New Roman" w:hAnsi="Times New Roman" w:eastAsia="宋体" w:cs="Times New Roman"/>
          <w:kern w:val="2"/>
          <w:sz w:val="21"/>
          <w:szCs w:val="21"/>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beforeLines="0" w:after="0" w:afterLines="0" w:line="20" w:lineRule="exact"/>
            <w:ind w:left="0" w:leftChars="0" w:right="0" w:rightChars="0" w:firstLine="0" w:firstLineChars="0"/>
            <w:jc w:val="center"/>
            <w:textAlignment w:val="auto"/>
          </w:pPr>
          <w:r>
            <w:rPr>
              <w:rFonts w:hint="eastAsia"/>
              <w:sz w:val="21"/>
              <w:szCs w:val="21"/>
            </w:rPr>
            <w:fldChar w:fldCharType="begin"/>
          </w:r>
          <w:r>
            <w:rPr>
              <w:rFonts w:hint="eastAsia"/>
              <w:sz w:val="21"/>
              <w:szCs w:val="21"/>
            </w:rPr>
            <w:instrText xml:space="preserve">TOC \o "1-1" \h \u </w:instrText>
          </w:r>
          <w:r>
            <w:rPr>
              <w:rFonts w:hint="eastAsia"/>
              <w:sz w:val="21"/>
              <w:szCs w:val="21"/>
            </w:rPr>
            <w:fldChar w:fldCharType="separate"/>
          </w:r>
        </w:p>
        <w:p>
          <w:pPr>
            <w:pStyle w:val="81"/>
            <w:keepNext w:val="0"/>
            <w:keepLines w:val="0"/>
            <w:pageBreakBefore w:val="0"/>
            <w:widowControl/>
            <w:tabs>
              <w:tab w:val="right" w:leader="dot" w:pos="9355"/>
            </w:tabs>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HYPERLINK \l _Toc15712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前   言</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_Toc15712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II</w:t>
          </w:r>
          <w:r>
            <w:rPr>
              <w:rFonts w:hint="default" w:ascii="Times New Roman" w:hAnsi="Times New Roman" w:cs="Times New Roman" w:eastAsiaTheme="minorEastAsia"/>
              <w:sz w:val="21"/>
              <w:szCs w:val="21"/>
            </w:rPr>
            <w:fldChar w:fldCharType="end"/>
          </w:r>
          <w:r>
            <w:rPr>
              <w:rFonts w:hint="default" w:ascii="Times New Roman" w:hAnsi="Times New Roman" w:cs="Times New Roman" w:eastAsiaTheme="minorEastAsia"/>
              <w:sz w:val="21"/>
              <w:szCs w:val="21"/>
            </w:rPr>
            <w:fldChar w:fldCharType="end"/>
          </w:r>
        </w:p>
        <w:p>
          <w:pPr>
            <w:pStyle w:val="81"/>
            <w:keepNext w:val="0"/>
            <w:keepLines w:val="0"/>
            <w:pageBreakBefore w:val="0"/>
            <w:widowControl/>
            <w:tabs>
              <w:tab w:val="right" w:leader="dot" w:pos="9355"/>
            </w:tabs>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HYPERLINK \l _Toc26028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1  范围</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_Toc26028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1</w:t>
          </w:r>
          <w:r>
            <w:rPr>
              <w:rFonts w:hint="default" w:ascii="Times New Roman" w:hAnsi="Times New Roman" w:cs="Times New Roman" w:eastAsiaTheme="minorEastAsia"/>
              <w:sz w:val="21"/>
              <w:szCs w:val="21"/>
            </w:rPr>
            <w:fldChar w:fldCharType="end"/>
          </w:r>
          <w:r>
            <w:rPr>
              <w:rFonts w:hint="default" w:ascii="Times New Roman" w:hAnsi="Times New Roman" w:cs="Times New Roman" w:eastAsiaTheme="minorEastAsia"/>
              <w:sz w:val="21"/>
              <w:szCs w:val="21"/>
            </w:rPr>
            <w:fldChar w:fldCharType="end"/>
          </w:r>
        </w:p>
        <w:p>
          <w:pPr>
            <w:pStyle w:val="81"/>
            <w:keepNext w:val="0"/>
            <w:keepLines w:val="0"/>
            <w:pageBreakBefore w:val="0"/>
            <w:widowControl/>
            <w:tabs>
              <w:tab w:val="right" w:leader="dot" w:pos="9355"/>
            </w:tabs>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HYPERLINK \l _Toc11003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2  规范性引用文件</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_Toc11003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1</w:t>
          </w:r>
          <w:r>
            <w:rPr>
              <w:rFonts w:hint="default" w:ascii="Times New Roman" w:hAnsi="Times New Roman" w:cs="Times New Roman" w:eastAsiaTheme="minorEastAsia"/>
              <w:sz w:val="21"/>
              <w:szCs w:val="21"/>
            </w:rPr>
            <w:fldChar w:fldCharType="end"/>
          </w:r>
          <w:r>
            <w:rPr>
              <w:rFonts w:hint="default" w:ascii="Times New Roman" w:hAnsi="Times New Roman" w:cs="Times New Roman" w:eastAsiaTheme="minorEastAsia"/>
              <w:sz w:val="21"/>
              <w:szCs w:val="21"/>
            </w:rPr>
            <w:fldChar w:fldCharType="end"/>
          </w:r>
        </w:p>
        <w:p>
          <w:pPr>
            <w:pStyle w:val="81"/>
            <w:keepNext w:val="0"/>
            <w:keepLines w:val="0"/>
            <w:pageBreakBefore w:val="0"/>
            <w:widowControl/>
            <w:tabs>
              <w:tab w:val="right" w:leader="dot" w:pos="9355"/>
            </w:tabs>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HYPERLINK \l _Toc15164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3  术语与定义</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_Toc15164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1</w:t>
          </w:r>
          <w:r>
            <w:rPr>
              <w:rFonts w:hint="default" w:ascii="Times New Roman" w:hAnsi="Times New Roman" w:cs="Times New Roman" w:eastAsiaTheme="minorEastAsia"/>
              <w:sz w:val="21"/>
              <w:szCs w:val="21"/>
            </w:rPr>
            <w:fldChar w:fldCharType="end"/>
          </w:r>
          <w:r>
            <w:rPr>
              <w:rFonts w:hint="default" w:ascii="Times New Roman" w:hAnsi="Times New Roman" w:cs="Times New Roman" w:eastAsiaTheme="minorEastAsia"/>
              <w:sz w:val="21"/>
              <w:szCs w:val="21"/>
            </w:rPr>
            <w:fldChar w:fldCharType="end"/>
          </w:r>
        </w:p>
        <w:p>
          <w:pPr>
            <w:pStyle w:val="81"/>
            <w:keepNext w:val="0"/>
            <w:keepLines w:val="0"/>
            <w:pageBreakBefore w:val="0"/>
            <w:widowControl/>
            <w:tabs>
              <w:tab w:val="right" w:leader="dot" w:pos="9355"/>
            </w:tabs>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HYPERLINK \l _Toc4000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4  总则</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_Toc4000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rPr>
            <w:fldChar w:fldCharType="end"/>
          </w:r>
          <w:r>
            <w:rPr>
              <w:rFonts w:hint="default" w:ascii="Times New Roman" w:hAnsi="Times New Roman" w:cs="Times New Roman" w:eastAsiaTheme="minorEastAsia"/>
              <w:sz w:val="21"/>
              <w:szCs w:val="21"/>
            </w:rPr>
            <w:fldChar w:fldCharType="end"/>
          </w:r>
        </w:p>
        <w:p>
          <w:pPr>
            <w:pStyle w:val="81"/>
            <w:keepNext w:val="0"/>
            <w:keepLines w:val="0"/>
            <w:pageBreakBefore w:val="0"/>
            <w:widowControl/>
            <w:tabs>
              <w:tab w:val="right" w:leader="dot" w:pos="9355"/>
            </w:tabs>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HYPERLINK \l _Toc20973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5  监测内容</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_Toc20973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rPr>
            <w:fldChar w:fldCharType="end"/>
          </w:r>
          <w:r>
            <w:rPr>
              <w:rFonts w:hint="default" w:ascii="Times New Roman" w:hAnsi="Times New Roman" w:cs="Times New Roman" w:eastAsiaTheme="minorEastAsia"/>
              <w:sz w:val="21"/>
              <w:szCs w:val="21"/>
            </w:rPr>
            <w:fldChar w:fldCharType="end"/>
          </w:r>
        </w:p>
        <w:p>
          <w:pPr>
            <w:pStyle w:val="81"/>
            <w:keepNext w:val="0"/>
            <w:keepLines w:val="0"/>
            <w:pageBreakBefore w:val="0"/>
            <w:widowControl/>
            <w:tabs>
              <w:tab w:val="right" w:leader="dot" w:pos="9355"/>
            </w:tabs>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HYPERLINK \l _Toc8133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6  监测方法</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_Toc8133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3</w:t>
          </w:r>
          <w:r>
            <w:rPr>
              <w:rFonts w:hint="default" w:ascii="Times New Roman" w:hAnsi="Times New Roman" w:cs="Times New Roman" w:eastAsiaTheme="minorEastAsia"/>
              <w:sz w:val="21"/>
              <w:szCs w:val="21"/>
            </w:rPr>
            <w:fldChar w:fldCharType="end"/>
          </w:r>
          <w:r>
            <w:rPr>
              <w:rFonts w:hint="default" w:ascii="Times New Roman" w:hAnsi="Times New Roman" w:cs="Times New Roman" w:eastAsiaTheme="minorEastAsia"/>
              <w:sz w:val="21"/>
              <w:szCs w:val="21"/>
            </w:rPr>
            <w:fldChar w:fldCharType="end"/>
          </w:r>
        </w:p>
        <w:p>
          <w:pPr>
            <w:pStyle w:val="81"/>
            <w:keepNext w:val="0"/>
            <w:keepLines w:val="0"/>
            <w:pageBreakBefore w:val="0"/>
            <w:widowControl/>
            <w:tabs>
              <w:tab w:val="right" w:leader="dot" w:pos="9355"/>
            </w:tabs>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HYPERLINK \l _Toc15985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7  分析评估</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_Toc15985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7</w:t>
          </w:r>
          <w:r>
            <w:rPr>
              <w:rFonts w:hint="default" w:ascii="Times New Roman" w:hAnsi="Times New Roman" w:cs="Times New Roman" w:eastAsiaTheme="minorEastAsia"/>
              <w:sz w:val="21"/>
              <w:szCs w:val="21"/>
            </w:rPr>
            <w:fldChar w:fldCharType="end"/>
          </w:r>
          <w:r>
            <w:rPr>
              <w:rFonts w:hint="default" w:ascii="Times New Roman" w:hAnsi="Times New Roman" w:cs="Times New Roman" w:eastAsiaTheme="minorEastAsia"/>
              <w:sz w:val="21"/>
              <w:szCs w:val="21"/>
            </w:rPr>
            <w:fldChar w:fldCharType="end"/>
          </w:r>
        </w:p>
        <w:p>
          <w:pPr>
            <w:pStyle w:val="81"/>
            <w:keepNext w:val="0"/>
            <w:keepLines w:val="0"/>
            <w:pageBreakBefore w:val="0"/>
            <w:widowControl/>
            <w:tabs>
              <w:tab w:val="right" w:leader="dot" w:pos="9355"/>
            </w:tabs>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HYPERLINK \l _Toc13954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8  监测成果</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_Toc13954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8</w:t>
          </w:r>
          <w:r>
            <w:rPr>
              <w:rFonts w:hint="default" w:ascii="Times New Roman" w:hAnsi="Times New Roman" w:cs="Times New Roman" w:eastAsiaTheme="minorEastAsia"/>
              <w:sz w:val="21"/>
              <w:szCs w:val="21"/>
            </w:rPr>
            <w:fldChar w:fldCharType="end"/>
          </w:r>
          <w:r>
            <w:rPr>
              <w:rFonts w:hint="default" w:ascii="Times New Roman" w:hAnsi="Times New Roman" w:cs="Times New Roman" w:eastAsiaTheme="minorEastAsia"/>
              <w:sz w:val="21"/>
              <w:szCs w:val="21"/>
            </w:rPr>
            <w:fldChar w:fldCharType="end"/>
          </w:r>
        </w:p>
        <w:p>
          <w:pPr>
            <w:pStyle w:val="81"/>
            <w:keepNext w:val="0"/>
            <w:keepLines w:val="0"/>
            <w:pageBreakBefore w:val="0"/>
            <w:widowControl/>
            <w:tabs>
              <w:tab w:val="right" w:leader="dot" w:pos="9355"/>
            </w:tabs>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sz w:val="21"/>
              <w:szCs w:val="21"/>
            </w:rPr>
          </w:pPr>
        </w:p>
        <w:p>
          <w:pPr>
            <w:pStyle w:val="81"/>
            <w:keepNext w:val="0"/>
            <w:keepLines w:val="0"/>
            <w:pageBreakBefore w:val="0"/>
            <w:widowControl/>
            <w:tabs>
              <w:tab w:val="right" w:leader="dot" w:pos="9355"/>
            </w:tabs>
            <w:kinsoku/>
            <w:wordWrap/>
            <w:overflowPunct/>
            <w:topLinePunct w:val="0"/>
            <w:autoSpaceDE/>
            <w:autoSpaceDN/>
            <w:bidi w:val="0"/>
            <w:adjustRightInd/>
            <w:snapToGrid/>
            <w:spacing w:line="360" w:lineRule="exact"/>
            <w:textAlignment w:val="auto"/>
          </w:pP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HYPERLINK \l _Toc25775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bCs/>
              <w:sz w:val="21"/>
              <w:szCs w:val="21"/>
            </w:rPr>
            <w:t>附录A（规范性）国家储备林建设监测样地调查记录表</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_Toc25775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9</w:t>
          </w:r>
          <w:r>
            <w:rPr>
              <w:rFonts w:hint="default" w:ascii="Times New Roman" w:hAnsi="Times New Roman" w:cs="Times New Roman" w:eastAsiaTheme="minorEastAsia"/>
              <w:sz w:val="21"/>
              <w:szCs w:val="21"/>
            </w:rPr>
            <w:fldChar w:fldCharType="end"/>
          </w:r>
          <w:r>
            <w:rPr>
              <w:rFonts w:hint="default" w:ascii="Times New Roman" w:hAnsi="Times New Roman" w:cs="Times New Roman" w:eastAsiaTheme="minorEastAsia"/>
              <w:sz w:val="21"/>
              <w:szCs w:val="21"/>
            </w:rPr>
            <w:fldChar w:fldCharType="end"/>
          </w:r>
        </w:p>
        <w:p>
          <w:pPr>
            <w:pStyle w:val="81"/>
            <w:tabs>
              <w:tab w:val="right" w:leader="dot" w:pos="9355"/>
            </w:tabs>
            <w:spacing w:before="78" w:beforeLines="25" w:after="78" w:afterLines="25"/>
            <w:rPr>
              <w:rFonts w:hint="eastAsia"/>
              <w:sz w:val="21"/>
              <w:szCs w:val="21"/>
            </w:rPr>
          </w:pPr>
          <w:r>
            <w:rPr>
              <w:rFonts w:hint="eastAsia"/>
              <w:szCs w:val="21"/>
            </w:rPr>
            <w:fldChar w:fldCharType="end"/>
          </w:r>
        </w:p>
      </w:sdtContent>
    </w:sdt>
    <w:p>
      <w:pPr>
        <w:pStyle w:val="24"/>
      </w:pPr>
    </w:p>
    <w:p>
      <w:pPr>
        <w:pStyle w:val="24"/>
        <w:ind w:firstLine="640"/>
        <w:jc w:val="center"/>
        <w:rPr>
          <w:rFonts w:eastAsia="方正黑体_GBK"/>
          <w:sz w:val="32"/>
          <w:szCs w:val="28"/>
        </w:rPr>
      </w:pPr>
      <w:bookmarkStart w:id="5" w:name="_Toc256079227"/>
    </w:p>
    <w:p>
      <w:pPr>
        <w:pStyle w:val="24"/>
        <w:ind w:firstLine="640"/>
        <w:jc w:val="center"/>
        <w:rPr>
          <w:rFonts w:eastAsia="方正黑体_GBK"/>
          <w:sz w:val="32"/>
          <w:szCs w:val="28"/>
        </w:rPr>
      </w:pPr>
    </w:p>
    <w:p>
      <w:pPr>
        <w:pStyle w:val="24"/>
        <w:ind w:firstLine="640"/>
        <w:jc w:val="center"/>
        <w:rPr>
          <w:rFonts w:eastAsia="方正黑体_GBK"/>
          <w:sz w:val="32"/>
          <w:szCs w:val="28"/>
        </w:rPr>
      </w:pPr>
    </w:p>
    <w:p>
      <w:pPr>
        <w:pStyle w:val="24"/>
        <w:ind w:firstLine="640"/>
        <w:jc w:val="center"/>
        <w:rPr>
          <w:rFonts w:eastAsia="方正黑体_GBK"/>
          <w:sz w:val="32"/>
          <w:szCs w:val="28"/>
        </w:rPr>
      </w:pPr>
    </w:p>
    <w:p>
      <w:pPr>
        <w:pStyle w:val="24"/>
        <w:ind w:firstLine="640"/>
        <w:jc w:val="center"/>
        <w:rPr>
          <w:rFonts w:eastAsia="方正黑体_GBK"/>
          <w:sz w:val="32"/>
          <w:szCs w:val="28"/>
        </w:rPr>
      </w:pPr>
    </w:p>
    <w:p>
      <w:pPr>
        <w:pStyle w:val="24"/>
        <w:ind w:firstLine="640"/>
        <w:jc w:val="center"/>
        <w:rPr>
          <w:rFonts w:eastAsia="方正黑体_GBK"/>
          <w:sz w:val="32"/>
          <w:szCs w:val="28"/>
        </w:rPr>
      </w:pPr>
    </w:p>
    <w:p>
      <w:pPr>
        <w:pStyle w:val="24"/>
        <w:ind w:firstLine="640"/>
        <w:jc w:val="center"/>
        <w:rPr>
          <w:rFonts w:eastAsia="方正黑体_GBK"/>
          <w:sz w:val="32"/>
          <w:szCs w:val="28"/>
        </w:rPr>
      </w:pPr>
    </w:p>
    <w:p>
      <w:pPr>
        <w:pStyle w:val="24"/>
        <w:ind w:firstLine="640"/>
        <w:jc w:val="center"/>
        <w:rPr>
          <w:rFonts w:eastAsia="方正黑体_GBK"/>
          <w:sz w:val="32"/>
          <w:szCs w:val="28"/>
        </w:rPr>
      </w:pPr>
    </w:p>
    <w:p>
      <w:pPr>
        <w:pStyle w:val="24"/>
        <w:ind w:firstLine="640"/>
        <w:jc w:val="center"/>
        <w:rPr>
          <w:rFonts w:eastAsia="方正黑体_GBK"/>
          <w:sz w:val="32"/>
          <w:szCs w:val="28"/>
        </w:rPr>
      </w:pPr>
    </w:p>
    <w:p>
      <w:pPr>
        <w:pStyle w:val="24"/>
        <w:ind w:firstLine="640"/>
        <w:jc w:val="center"/>
        <w:rPr>
          <w:rFonts w:eastAsia="方正黑体_GBK"/>
          <w:sz w:val="32"/>
          <w:szCs w:val="28"/>
        </w:rPr>
        <w:sectPr>
          <w:headerReference r:id="rId6" w:type="default"/>
          <w:footerReference r:id="rId7" w:type="default"/>
          <w:pgSz w:w="11906" w:h="16838"/>
          <w:pgMar w:top="1440" w:right="1134" w:bottom="1440" w:left="1417" w:header="1417" w:footer="992" w:gutter="0"/>
          <w:pgNumType w:fmt="upperRoman" w:start="1"/>
          <w:cols w:space="0" w:num="1"/>
          <w:rtlGutter w:val="0"/>
          <w:docGrid w:type="lines" w:linePitch="324" w:charSpace="0"/>
        </w:sectPr>
      </w:pPr>
    </w:p>
    <w:p>
      <w:pPr>
        <w:pStyle w:val="24"/>
        <w:keepNext w:val="0"/>
        <w:keepLines w:val="0"/>
        <w:pageBreakBefore w:val="0"/>
        <w:widowControl/>
        <w:kinsoku/>
        <w:wordWrap/>
        <w:overflowPunct/>
        <w:topLinePunct w:val="0"/>
        <w:autoSpaceDE w:val="0"/>
        <w:autoSpaceDN w:val="0"/>
        <w:bidi w:val="0"/>
        <w:adjustRightInd/>
        <w:snapToGrid/>
        <w:spacing w:before="850" w:after="680"/>
        <w:ind w:firstLine="640"/>
        <w:jc w:val="center"/>
        <w:textAlignment w:val="auto"/>
        <w:outlineLvl w:val="0"/>
      </w:pPr>
      <w:bookmarkStart w:id="6" w:name="_Toc15712"/>
      <w:r>
        <w:rPr>
          <w:rFonts w:eastAsia="方正黑体_GBK"/>
          <w:sz w:val="32"/>
          <w:szCs w:val="28"/>
        </w:rPr>
        <w:t>前   言</w:t>
      </w:r>
      <w:bookmarkEnd w:id="6"/>
    </w:p>
    <w:p>
      <w:pPr>
        <w:pStyle w:val="24"/>
      </w:pPr>
      <w:r>
        <w:t>本文件按照GB/T 1.1-2020《标准化工作导则  第1部分：标准化文件的结构和起草规则》的规定起草。</w:t>
      </w:r>
    </w:p>
    <w:p>
      <w:pPr>
        <w:pStyle w:val="24"/>
      </w:pPr>
      <w:r>
        <w:t>请注意本文件的某些内容可能涉及专利。本文件的发布机构不承担识别专利的责任。</w:t>
      </w:r>
    </w:p>
    <w:p>
      <w:pPr>
        <w:pStyle w:val="24"/>
      </w:pPr>
      <w:r>
        <w:t>本文件由湖南省林业局提出。</w:t>
      </w:r>
    </w:p>
    <w:p>
      <w:pPr>
        <w:pStyle w:val="24"/>
        <w:rPr>
          <w:color w:val="auto"/>
        </w:rPr>
      </w:pPr>
      <w:r>
        <w:t>本文件由</w:t>
      </w:r>
      <w:r>
        <w:rPr>
          <w:color w:val="auto"/>
        </w:rPr>
        <w:t>湖南省林业标准化技术委员会归口。</w:t>
      </w:r>
    </w:p>
    <w:p>
      <w:pPr>
        <w:pStyle w:val="24"/>
        <w:rPr>
          <w:color w:val="auto"/>
        </w:rPr>
      </w:pPr>
      <w:r>
        <w:rPr>
          <w:color w:val="auto"/>
        </w:rPr>
        <w:t>本文件起草单位：湖南省青羊湖国有林场、</w:t>
      </w:r>
      <w:r>
        <w:rPr>
          <w:rFonts w:hint="eastAsia"/>
          <w:color w:val="auto"/>
          <w:lang w:val="en-US" w:eastAsia="zh-CN"/>
        </w:rPr>
        <w:t>湖南省林业局基金站、</w:t>
      </w:r>
      <w:r>
        <w:rPr>
          <w:color w:val="auto"/>
        </w:rPr>
        <w:t>湖南省生物多样性保护中心。</w:t>
      </w:r>
    </w:p>
    <w:p>
      <w:pPr>
        <w:pStyle w:val="24"/>
        <w:rPr>
          <w:color w:val="auto"/>
        </w:rPr>
      </w:pPr>
      <w:r>
        <w:rPr>
          <w:color w:val="auto"/>
        </w:rPr>
        <w:t>本文件主要起草人：易烜、</w:t>
      </w:r>
      <w:r>
        <w:rPr>
          <w:rFonts w:hint="eastAsia"/>
          <w:color w:val="auto"/>
          <w:lang w:val="en-US" w:eastAsia="zh-CN"/>
        </w:rPr>
        <w:t>谭浩、</w:t>
      </w:r>
      <w:r>
        <w:rPr>
          <w:color w:val="auto"/>
        </w:rPr>
        <w:t>陈家法、朱晋梅、</w:t>
      </w:r>
      <w:r>
        <w:rPr>
          <w:rFonts w:hint="eastAsia"/>
          <w:color w:val="auto"/>
          <w:lang w:val="en-US" w:eastAsia="zh-CN"/>
        </w:rPr>
        <w:t>胡雨生、</w:t>
      </w:r>
      <w:bookmarkStart w:id="21" w:name="_GoBack"/>
      <w:bookmarkEnd w:id="21"/>
      <w:r>
        <w:rPr>
          <w:color w:val="auto"/>
        </w:rPr>
        <w:t>黄靓、刘文剑、王伟、成其书、</w:t>
      </w:r>
      <w:r>
        <w:rPr>
          <w:rFonts w:hint="eastAsia"/>
          <w:color w:val="auto"/>
          <w:lang w:val="en-US" w:eastAsia="zh-CN"/>
        </w:rPr>
        <w:t>季秀、</w:t>
      </w:r>
      <w:r>
        <w:rPr>
          <w:rFonts w:hint="eastAsia"/>
          <w:color w:val="auto"/>
        </w:rPr>
        <w:t>王琢玙</w:t>
      </w:r>
      <w:r>
        <w:rPr>
          <w:color w:val="auto"/>
        </w:rPr>
        <w:t>。</w:t>
      </w:r>
    </w:p>
    <w:bookmarkEnd w:id="0"/>
    <w:bookmarkEnd w:id="5"/>
    <w:p>
      <w:pPr>
        <w:pStyle w:val="23"/>
        <w:ind w:firstLine="640"/>
        <w:outlineLvl w:val="9"/>
        <w:rPr>
          <w:rFonts w:ascii="Times New Roman"/>
          <w:color w:val="auto"/>
        </w:rPr>
        <w:sectPr>
          <w:footerReference r:id="rId8" w:type="default"/>
          <w:pgSz w:w="11906" w:h="16838"/>
          <w:pgMar w:top="1440" w:right="1417" w:bottom="1440" w:left="1134" w:header="1417" w:footer="992" w:gutter="0"/>
          <w:pgNumType w:fmt="upperRoman" w:start="2"/>
          <w:cols w:space="0" w:num="1"/>
          <w:rtlGutter w:val="0"/>
          <w:docGrid w:type="lines" w:linePitch="324" w:charSpace="0"/>
        </w:sectPr>
      </w:pPr>
    </w:p>
    <w:p>
      <w:pPr>
        <w:pStyle w:val="23"/>
        <w:keepNext/>
        <w:keepLines w:val="0"/>
        <w:pageBreakBefore/>
        <w:widowControl/>
        <w:kinsoku/>
        <w:wordWrap/>
        <w:overflowPunct/>
        <w:topLinePunct w:val="0"/>
        <w:autoSpaceDE/>
        <w:autoSpaceDN/>
        <w:bidi w:val="0"/>
        <w:adjustRightInd/>
        <w:snapToGrid/>
        <w:spacing w:before="1050" w:after="480" w:line="240" w:lineRule="auto"/>
        <w:ind w:left="0" w:leftChars="0" w:firstLine="0" w:firstLineChars="0"/>
        <w:textAlignment w:val="auto"/>
        <w:rPr>
          <w:rFonts w:ascii="Times New Roman"/>
        </w:rPr>
      </w:pPr>
      <w:bookmarkStart w:id="7" w:name="_Toc22292"/>
      <w:r>
        <w:rPr>
          <w:rFonts w:ascii="Times New Roman"/>
        </w:rPr>
        <w:t>国</w:t>
      </w:r>
      <w:r>
        <w:rPr>
          <w:rFonts w:hint="eastAsia" w:ascii="Times New Roman"/>
        </w:rPr>
        <w:t>家储备林监测评估技术规范</w:t>
      </w:r>
      <w:bookmarkEnd w:id="7"/>
    </w:p>
    <w:p>
      <w:pPr>
        <w:pStyle w:val="2"/>
        <w:spacing w:before="312" w:after="312"/>
      </w:pPr>
      <w:bookmarkStart w:id="8" w:name="_Toc256079228"/>
      <w:bookmarkStart w:id="9" w:name="_Toc26028"/>
      <w:bookmarkStart w:id="10" w:name="_Toc256079176"/>
      <w:r>
        <w:rPr>
          <w:rFonts w:hint="eastAsia"/>
        </w:rPr>
        <w:t>1</w:t>
      </w:r>
      <w:r>
        <w:t xml:space="preserve">  范围</w:t>
      </w:r>
      <w:bookmarkEnd w:id="8"/>
      <w:bookmarkEnd w:id="9"/>
      <w:bookmarkEnd w:id="10"/>
    </w:p>
    <w:p>
      <w:pPr>
        <w:ind w:firstLine="420"/>
      </w:pPr>
      <w:r>
        <w:t>本文件规定了</w:t>
      </w:r>
      <w:r>
        <w:rPr>
          <w:rFonts w:hint="eastAsia"/>
        </w:rPr>
        <w:t>国家储备林监测评估的总则、监测内容、监测方法、分析评估、和监测成果</w:t>
      </w:r>
      <w:r>
        <w:t>等技术要求。</w:t>
      </w:r>
    </w:p>
    <w:p>
      <w:pPr>
        <w:ind w:firstLine="420"/>
      </w:pPr>
      <w:r>
        <w:t>本文件适用于湖南省</w:t>
      </w:r>
      <w:r>
        <w:rPr>
          <w:rFonts w:hint="eastAsia"/>
        </w:rPr>
        <w:t>国家储备林</w:t>
      </w:r>
      <w:r>
        <w:t>范围</w:t>
      </w:r>
      <w:r>
        <w:rPr>
          <w:rFonts w:hint="eastAsia"/>
        </w:rPr>
        <w:t>监测评估工作</w:t>
      </w:r>
      <w:r>
        <w:t>。</w:t>
      </w:r>
    </w:p>
    <w:p>
      <w:pPr>
        <w:pStyle w:val="2"/>
        <w:spacing w:before="312" w:after="312"/>
      </w:pPr>
      <w:bookmarkStart w:id="11" w:name="_Toc11003"/>
      <w:r>
        <w:rPr>
          <w:rFonts w:hint="eastAsia"/>
        </w:rPr>
        <w:t>2</w:t>
      </w:r>
      <w:r>
        <w:t xml:space="preserve">  规范性引用文件</w:t>
      </w:r>
      <w:bookmarkEnd w:id="11"/>
    </w:p>
    <w:p>
      <w:pPr>
        <w:ind w:firstLine="420"/>
      </w:pPr>
      <w:r>
        <w:t>下列文件中的内容通过文中的规范性引用而构成本文件必不可少的条款。其中，注日期的引用文件，仅该日期对应的版本适用于本文件；不注日期的引用文件，其最新版本（包括所有的修改单）适用于本文件。</w:t>
      </w:r>
    </w:p>
    <w:p>
      <w:pPr>
        <w:ind w:firstLine="420"/>
      </w:pPr>
      <w:r>
        <w:t>GB/T 15776 造林技术规程</w:t>
      </w:r>
    </w:p>
    <w:p>
      <w:pPr>
        <w:ind w:firstLine="420"/>
      </w:pPr>
      <w:r>
        <w:t>GB/T 15781 森林抚育技术规程</w:t>
      </w:r>
    </w:p>
    <w:p>
      <w:pPr>
        <w:ind w:firstLine="420"/>
      </w:pPr>
      <w:r>
        <w:rPr>
          <w:rFonts w:hint="eastAsia"/>
          <w:szCs w:val="22"/>
        </w:rPr>
        <w:t>GB/T 30363 森林植被状况监测技术规范</w:t>
      </w:r>
    </w:p>
    <w:p>
      <w:pPr>
        <w:ind w:firstLine="420"/>
        <w:rPr>
          <w:szCs w:val="22"/>
        </w:rPr>
      </w:pPr>
      <w:r>
        <w:rPr>
          <w:rFonts w:hint="eastAsia"/>
          <w:szCs w:val="22"/>
        </w:rPr>
        <w:t>GB/T 38590 森林资源连续清查技术规程</w:t>
      </w:r>
    </w:p>
    <w:p>
      <w:pPr>
        <w:ind w:firstLine="420"/>
        <w:rPr>
          <w:szCs w:val="22"/>
        </w:rPr>
      </w:pPr>
      <w:r>
        <w:t>LY/T 1</w:t>
      </w:r>
      <w:r>
        <w:rPr>
          <w:rFonts w:hint="eastAsia"/>
        </w:rPr>
        <w:t>95</w:t>
      </w:r>
      <w:r>
        <w:t>7</w:t>
      </w:r>
      <w:r>
        <w:rPr>
          <w:rFonts w:hint="eastAsia"/>
          <w:lang w:val="en-US" w:eastAsia="zh-CN"/>
        </w:rPr>
        <w:t xml:space="preserve"> </w:t>
      </w:r>
      <w:r>
        <w:rPr>
          <w:rFonts w:hint="eastAsia"/>
          <w:szCs w:val="22"/>
        </w:rPr>
        <w:t>国家森林资源连续清查数据处理统计规范</w:t>
      </w:r>
    </w:p>
    <w:p>
      <w:pPr>
        <w:ind w:firstLine="420"/>
        <w:rPr>
          <w:szCs w:val="22"/>
        </w:rPr>
      </w:pPr>
      <w:r>
        <w:rPr>
          <w:rFonts w:hint="eastAsia"/>
          <w:szCs w:val="22"/>
        </w:rPr>
        <w:t>LY/T 2787</w:t>
      </w:r>
      <w:r>
        <w:rPr>
          <w:rFonts w:hint="eastAsia"/>
          <w:szCs w:val="22"/>
          <w:lang w:val="en-US" w:eastAsia="zh-CN"/>
        </w:rPr>
        <w:t xml:space="preserve"> </w:t>
      </w:r>
      <w:r>
        <w:rPr>
          <w:rFonts w:hint="eastAsia"/>
          <w:szCs w:val="22"/>
        </w:rPr>
        <w:t>国家储备林改培技术规程</w:t>
      </w:r>
    </w:p>
    <w:p>
      <w:pPr>
        <w:ind w:firstLine="420"/>
        <w:rPr>
          <w:szCs w:val="22"/>
        </w:rPr>
      </w:pPr>
      <w:r>
        <w:rPr>
          <w:rFonts w:hint="eastAsia"/>
          <w:szCs w:val="22"/>
        </w:rPr>
        <w:t>LY/T 3313</w:t>
      </w:r>
      <w:r>
        <w:rPr>
          <w:rFonts w:hint="eastAsia"/>
          <w:szCs w:val="22"/>
          <w:lang w:val="en-US" w:eastAsia="zh-CN"/>
        </w:rPr>
        <w:t xml:space="preserve"> </w:t>
      </w:r>
      <w:r>
        <w:rPr>
          <w:rFonts w:hint="eastAsia"/>
          <w:szCs w:val="22"/>
        </w:rPr>
        <w:t>国家储备林可持续经营指南</w:t>
      </w:r>
    </w:p>
    <w:p>
      <w:pPr>
        <w:ind w:firstLine="420"/>
      </w:pPr>
      <w:r>
        <w:rPr>
          <w:rFonts w:hint="eastAsia"/>
        </w:rPr>
        <w:t>DB43/T 2242</w:t>
      </w:r>
      <w:r>
        <w:rPr>
          <w:rFonts w:hint="eastAsia"/>
          <w:lang w:val="en-US" w:eastAsia="zh-CN"/>
        </w:rPr>
        <w:t xml:space="preserve"> </w:t>
      </w:r>
      <w:r>
        <w:rPr>
          <w:rFonts w:hint="eastAsia"/>
        </w:rPr>
        <w:t>国家储备林建设技术规范</w:t>
      </w:r>
    </w:p>
    <w:p>
      <w:pPr>
        <w:pStyle w:val="2"/>
        <w:spacing w:before="312" w:after="312"/>
      </w:pPr>
      <w:bookmarkStart w:id="12" w:name="_Toc15164"/>
      <w:r>
        <w:t>3  术语与定义</w:t>
      </w:r>
      <w:bookmarkEnd w:id="12"/>
    </w:p>
    <w:p>
      <w:pPr>
        <w:ind w:firstLine="420"/>
        <w:rPr>
          <w:color w:val="FF0000"/>
        </w:rPr>
      </w:pPr>
      <w:r>
        <w:rPr>
          <w:rFonts w:hint="eastAsia"/>
        </w:rPr>
        <w:t>下列术语和定义适用于本文件。</w:t>
      </w:r>
    </w:p>
    <w:p>
      <w:pPr>
        <w:pStyle w:val="3"/>
        <w:spacing w:before="156" w:after="156"/>
      </w:pPr>
      <w:r>
        <w:rPr>
          <w:rFonts w:hint="eastAsia"/>
        </w:rPr>
        <w:t>3</w:t>
      </w:r>
      <w:r>
        <w:t>.1</w:t>
      </w:r>
    </w:p>
    <w:p>
      <w:pPr>
        <w:ind w:firstLine="420"/>
      </w:pPr>
      <w:r>
        <w:rPr>
          <w:rFonts w:hint="eastAsia" w:ascii="黑体" w:hAnsi="黑体" w:eastAsia="黑体"/>
        </w:rPr>
        <w:t>国家储备林监测</w:t>
      </w:r>
      <w:r>
        <w:t xml:space="preserve"> </w:t>
      </w:r>
      <w:r>
        <w:rPr>
          <w:rFonts w:hint="eastAsia"/>
        </w:rPr>
        <w:t>national reserve forest monitoring</w:t>
      </w:r>
    </w:p>
    <w:p>
      <w:pPr>
        <w:ind w:firstLine="420"/>
      </w:pPr>
      <w:r>
        <w:rPr>
          <w:rFonts w:hint="eastAsia"/>
        </w:rPr>
        <w:t>以掌握国家储备林建设成效及其动态变化，客观反映国家储备林的数量、质量、结构和功能为目的，以单个国家储备林项目为单位，设置监测样地为主进行定期复查的监测评估方法。</w:t>
      </w:r>
    </w:p>
    <w:p>
      <w:pPr>
        <w:pStyle w:val="3"/>
        <w:spacing w:before="156" w:after="156"/>
      </w:pPr>
      <w:r>
        <w:rPr>
          <w:rFonts w:hint="eastAsia"/>
        </w:rPr>
        <w:t>3</w:t>
      </w:r>
      <w:r>
        <w:t>.2</w:t>
      </w:r>
    </w:p>
    <w:p>
      <w:pPr>
        <w:ind w:firstLine="420"/>
      </w:pPr>
      <w:r>
        <w:rPr>
          <w:rFonts w:hint="eastAsia" w:ascii="黑体" w:hAnsi="黑体" w:eastAsia="黑体"/>
        </w:rPr>
        <w:t>监测样地</w:t>
      </w:r>
      <w:r>
        <w:rPr>
          <w:rFonts w:hint="eastAsia" w:eastAsia="黑体"/>
          <w:lang w:val="en-US" w:eastAsia="zh-CN"/>
        </w:rPr>
        <w:t xml:space="preserve"> m</w:t>
      </w:r>
      <w:r>
        <w:rPr>
          <w:rFonts w:hint="eastAsia"/>
        </w:rPr>
        <w:t xml:space="preserve">onitoring </w:t>
      </w:r>
      <w:r>
        <w:rPr>
          <w:rFonts w:hint="eastAsia"/>
          <w:lang w:val="en-US" w:eastAsia="zh-CN"/>
        </w:rPr>
        <w:t>s</w:t>
      </w:r>
      <w:r>
        <w:rPr>
          <w:rFonts w:hint="eastAsia"/>
        </w:rPr>
        <w:t xml:space="preserve">ample </w:t>
      </w:r>
      <w:r>
        <w:rPr>
          <w:rFonts w:hint="eastAsia"/>
          <w:lang w:val="en-US" w:eastAsia="zh-CN"/>
        </w:rPr>
        <w:t>p</w:t>
      </w:r>
      <w:r>
        <w:rPr>
          <w:rFonts w:hint="eastAsia"/>
        </w:rPr>
        <w:t>lots</w:t>
      </w:r>
    </w:p>
    <w:p>
      <w:pPr>
        <w:ind w:firstLine="420"/>
      </w:pPr>
      <w:r>
        <w:rPr>
          <w:rFonts w:hint="eastAsia"/>
        </w:rPr>
        <w:t>具有一定形状和大小，按一定的抽样方案布设、编号，并设置永久性标志进行定期复查的地块</w:t>
      </w:r>
      <w:r>
        <w:t>。</w:t>
      </w:r>
    </w:p>
    <w:p>
      <w:pPr>
        <w:pStyle w:val="3"/>
        <w:spacing w:before="156" w:after="156"/>
      </w:pPr>
      <w:r>
        <w:rPr>
          <w:rFonts w:hint="eastAsia"/>
        </w:rPr>
        <w:t>3</w:t>
      </w:r>
      <w:r>
        <w:t>.3</w:t>
      </w:r>
    </w:p>
    <w:p>
      <w:pPr>
        <w:ind w:firstLine="420"/>
      </w:pPr>
      <w:r>
        <w:rPr>
          <w:rFonts w:hint="eastAsia" w:ascii="黑体" w:hAnsi="黑体" w:eastAsia="黑体"/>
        </w:rPr>
        <w:t>项目区</w:t>
      </w:r>
      <w:r>
        <w:rPr>
          <w:rFonts w:hint="eastAsia" w:eastAsia="黑体"/>
          <w:lang w:val="en-US" w:eastAsia="zh-CN"/>
        </w:rPr>
        <w:t xml:space="preserve"> p</w:t>
      </w:r>
      <w:r>
        <w:rPr>
          <w:rFonts w:hint="eastAsia"/>
        </w:rPr>
        <w:t xml:space="preserve">roject </w:t>
      </w:r>
      <w:r>
        <w:rPr>
          <w:rFonts w:hint="eastAsia"/>
          <w:lang w:val="en-US" w:eastAsia="zh-CN"/>
        </w:rPr>
        <w:t>a</w:t>
      </w:r>
      <w:r>
        <w:rPr>
          <w:rFonts w:hint="eastAsia"/>
        </w:rPr>
        <w:t>rea</w:t>
      </w:r>
    </w:p>
    <w:p>
      <w:pPr>
        <w:ind w:firstLine="420"/>
      </w:pPr>
      <w:r>
        <w:rPr>
          <w:rFonts w:hint="eastAsia"/>
        </w:rPr>
        <w:t>由国家储备林建设主体编制国家储备林项目建设方案，并经省级林业和草原主管部门组织专家论证，能实现造林绿化落地上图经营范围。</w:t>
      </w:r>
    </w:p>
    <w:p>
      <w:pPr>
        <w:pStyle w:val="2"/>
        <w:keepNext/>
        <w:keepLines/>
        <w:pageBreakBefore w:val="0"/>
        <w:widowControl/>
        <w:kinsoku/>
        <w:wordWrap/>
        <w:overflowPunct/>
        <w:topLinePunct w:val="0"/>
        <w:autoSpaceDE/>
        <w:autoSpaceDN/>
        <w:bidi w:val="0"/>
        <w:adjustRightInd w:val="0"/>
        <w:snapToGrid w:val="0"/>
        <w:spacing w:before="283" w:beforeLines="0" w:after="312"/>
        <w:textAlignment w:val="auto"/>
        <w:outlineLvl w:val="9"/>
        <w:rPr>
          <w:rFonts w:hint="eastAsia"/>
        </w:rPr>
        <w:sectPr>
          <w:headerReference r:id="rId9" w:type="default"/>
          <w:footerReference r:id="rId11" w:type="default"/>
          <w:headerReference r:id="rId10" w:type="even"/>
          <w:footerReference r:id="rId12" w:type="even"/>
          <w:pgSz w:w="11906" w:h="16838"/>
          <w:pgMar w:top="1837" w:right="1134" w:bottom="1440" w:left="1417" w:header="1417" w:footer="992" w:gutter="0"/>
          <w:pgNumType w:fmt="decimal" w:start="1"/>
          <w:cols w:space="0" w:num="1"/>
          <w:rtlGutter w:val="0"/>
          <w:docGrid w:type="lines" w:linePitch="324" w:charSpace="0"/>
        </w:sectPr>
      </w:pPr>
    </w:p>
    <w:p>
      <w:pPr>
        <w:pStyle w:val="2"/>
        <w:keepNext/>
        <w:keepLines/>
        <w:pageBreakBefore w:val="0"/>
        <w:widowControl/>
        <w:kinsoku/>
        <w:wordWrap/>
        <w:overflowPunct/>
        <w:topLinePunct w:val="0"/>
        <w:autoSpaceDE/>
        <w:autoSpaceDN/>
        <w:bidi w:val="0"/>
        <w:adjustRightInd w:val="0"/>
        <w:snapToGrid w:val="0"/>
        <w:spacing w:before="283" w:beforeLines="0" w:after="312"/>
        <w:textAlignment w:val="auto"/>
      </w:pPr>
      <w:bookmarkStart w:id="13" w:name="_Toc4000"/>
      <w:r>
        <w:rPr>
          <w:rFonts w:hint="eastAsia"/>
        </w:rPr>
        <w:t>4</w:t>
      </w:r>
      <w:r>
        <w:t xml:space="preserve">  </w:t>
      </w:r>
      <w:r>
        <w:rPr>
          <w:rFonts w:hint="eastAsia"/>
        </w:rPr>
        <w:t>总则</w:t>
      </w:r>
      <w:bookmarkEnd w:id="13"/>
    </w:p>
    <w:p>
      <w:pPr>
        <w:pStyle w:val="3"/>
        <w:spacing w:before="156" w:after="156"/>
        <w:rPr>
          <w:rFonts w:hint="eastAsia"/>
        </w:rPr>
      </w:pPr>
      <w:r>
        <w:rPr>
          <w:rFonts w:hint="eastAsia"/>
          <w:lang w:val="en-US"/>
        </w:rPr>
        <w:t>4</w:t>
      </w:r>
      <w:r>
        <w:rPr>
          <w:lang w:val="en-US"/>
        </w:rPr>
        <w:t xml:space="preserve">.1  </w:t>
      </w:r>
      <w:r>
        <w:rPr>
          <w:rFonts w:hint="eastAsia"/>
          <w:lang w:val="en-US"/>
        </w:rPr>
        <w:t>监测</w:t>
      </w:r>
      <w:r>
        <w:t>目的</w:t>
      </w:r>
    </w:p>
    <w:p>
      <w:pPr>
        <w:ind w:firstLine="420"/>
        <w:rPr>
          <w:rFonts w:hint="eastAsia"/>
        </w:rPr>
      </w:pPr>
      <w:r>
        <w:rPr>
          <w:rFonts w:hint="eastAsia" w:ascii="Times New Roman"/>
          <w:lang w:val="en-US" w:eastAsia="zh-CN"/>
        </w:rPr>
        <w:t>为制定和调整国家储备林</w:t>
      </w:r>
      <w:r>
        <w:rPr>
          <w:rFonts w:hint="eastAsia"/>
          <w:lang w:val="en-US" w:eastAsia="zh-CN"/>
        </w:rPr>
        <w:t>建设</w:t>
      </w:r>
      <w:r>
        <w:rPr>
          <w:rFonts w:hint="eastAsia" w:ascii="Times New Roman"/>
          <w:lang w:val="en-US" w:eastAsia="zh-CN"/>
        </w:rPr>
        <w:t>项目管理、技术措施、经营模式，编制森林可持续经营规划、森林经营方案等提供科学依据，为项目决策管理提供数据支撑。</w:t>
      </w:r>
    </w:p>
    <w:p>
      <w:pPr>
        <w:pStyle w:val="3"/>
        <w:spacing w:before="156" w:after="156"/>
      </w:pPr>
      <w:r>
        <w:rPr>
          <w:rFonts w:hint="eastAsia"/>
        </w:rPr>
        <w:t>4</w:t>
      </w:r>
      <w:r>
        <w:t xml:space="preserve">.2  </w:t>
      </w:r>
      <w:r>
        <w:rPr>
          <w:rFonts w:hint="eastAsia"/>
        </w:rPr>
        <w:t>监测</w:t>
      </w:r>
      <w:r>
        <w:rPr>
          <w:rFonts w:hint="eastAsia"/>
          <w:lang w:val="en-US" w:eastAsia="zh-CN"/>
        </w:rPr>
        <w:t>原则</w:t>
      </w:r>
    </w:p>
    <w:p>
      <w:pPr>
        <w:ind w:firstLine="420"/>
      </w:pPr>
      <w:r>
        <w:rPr>
          <w:rFonts w:hint="eastAsia"/>
          <w:lang w:val="en-US" w:eastAsia="zh-CN"/>
        </w:rPr>
        <w:t>原则如下：</w:t>
      </w:r>
    </w:p>
    <w:p>
      <w:pPr>
        <w:ind w:firstLine="420"/>
      </w:pPr>
      <w:r>
        <w:t>a）</w:t>
      </w:r>
      <w:r>
        <w:rPr>
          <w:rFonts w:hint="eastAsia"/>
          <w:lang w:val="en-US" w:eastAsia="zh-CN"/>
        </w:rPr>
        <w:t>坚持客观、实事求是</w:t>
      </w:r>
      <w:r>
        <w:t>；</w:t>
      </w:r>
    </w:p>
    <w:p>
      <w:pPr>
        <w:ind w:firstLine="420"/>
      </w:pPr>
      <w:r>
        <w:t>b）</w:t>
      </w:r>
      <w:r>
        <w:rPr>
          <w:rFonts w:hint="eastAsia"/>
          <w:lang w:val="en-US" w:eastAsia="zh-CN"/>
        </w:rPr>
        <w:t>坚持科学、实用性强</w:t>
      </w:r>
      <w:r>
        <w:t>；</w:t>
      </w:r>
    </w:p>
    <w:p>
      <w:pPr>
        <w:ind w:firstLine="420"/>
      </w:pPr>
      <w:r>
        <w:t>c）</w:t>
      </w:r>
      <w:r>
        <w:rPr>
          <w:rFonts w:hint="eastAsia"/>
          <w:lang w:val="en-US" w:eastAsia="zh-CN"/>
        </w:rPr>
        <w:t>坚持常态化工作机制</w:t>
      </w:r>
      <w:r>
        <w:rPr>
          <w:rFonts w:hint="eastAsia"/>
          <w:lang w:eastAsia="zh-CN"/>
        </w:rPr>
        <w:t>。</w:t>
      </w:r>
    </w:p>
    <w:p>
      <w:pPr>
        <w:pStyle w:val="3"/>
        <w:spacing w:before="156" w:after="156"/>
      </w:pPr>
      <w:r>
        <w:rPr>
          <w:rFonts w:hint="eastAsia"/>
        </w:rPr>
        <w:t>4</w:t>
      </w:r>
      <w:r>
        <w:t>.</w:t>
      </w:r>
      <w:r>
        <w:rPr>
          <w:rFonts w:hint="eastAsia"/>
          <w:lang w:val="en-US" w:eastAsia="zh-CN"/>
        </w:rPr>
        <w:t>3</w:t>
      </w:r>
      <w:r>
        <w:t xml:space="preserve">  </w:t>
      </w:r>
      <w:r>
        <w:rPr>
          <w:rFonts w:hint="eastAsia"/>
        </w:rPr>
        <w:t>监测任务</w:t>
      </w:r>
    </w:p>
    <w:p>
      <w:pPr>
        <w:ind w:firstLine="420"/>
      </w:pPr>
      <w:r>
        <w:rPr>
          <w:rFonts w:hint="eastAsia"/>
        </w:rPr>
        <w:t>定期准确监测</w:t>
      </w:r>
      <w:r>
        <w:rPr>
          <w:rFonts w:hint="eastAsia" w:ascii="Times New Roman"/>
          <w:lang w:val="en-US" w:eastAsia="zh-CN"/>
        </w:rPr>
        <w:t>国家储备林</w:t>
      </w:r>
      <w:r>
        <w:rPr>
          <w:rFonts w:hint="eastAsia"/>
          <w:lang w:val="en-US" w:eastAsia="zh-CN"/>
        </w:rPr>
        <w:t>建设</w:t>
      </w:r>
      <w:r>
        <w:rPr>
          <w:rFonts w:hint="eastAsia" w:ascii="Times New Roman"/>
          <w:lang w:val="en-US" w:eastAsia="zh-CN"/>
        </w:rPr>
        <w:t>项目</w:t>
      </w:r>
      <w:r>
        <w:rPr>
          <w:rFonts w:hint="eastAsia"/>
        </w:rPr>
        <w:t>森林的数量、质量、结构、功能及其消长动态，分析资源变化状况，对森林资源</w:t>
      </w:r>
      <w:r>
        <w:rPr>
          <w:rFonts w:hint="eastAsia"/>
          <w:lang w:eastAsia="zh-CN"/>
        </w:rPr>
        <w:t>、</w:t>
      </w:r>
      <w:r>
        <w:rPr>
          <w:rFonts w:hint="eastAsia"/>
          <w:lang w:val="en-US" w:eastAsia="zh-CN"/>
        </w:rPr>
        <w:t>价值分析</w:t>
      </w:r>
      <w:r>
        <w:rPr>
          <w:rFonts w:hint="eastAsia"/>
        </w:rPr>
        <w:t>及其生态状况进行综合评价。工作内容包括：</w:t>
      </w:r>
    </w:p>
    <w:p>
      <w:pPr>
        <w:ind w:firstLine="420"/>
      </w:pPr>
      <w:r>
        <w:t>a）</w:t>
      </w:r>
      <w:r>
        <w:rPr>
          <w:rFonts w:hint="eastAsia"/>
        </w:rPr>
        <w:t>制定监测工作方案、技术方案和操作细则</w:t>
      </w:r>
      <w:r>
        <w:t>；</w:t>
      </w:r>
    </w:p>
    <w:p>
      <w:pPr>
        <w:ind w:firstLine="420"/>
      </w:pPr>
      <w:r>
        <w:t>b）</w:t>
      </w:r>
      <w:r>
        <w:rPr>
          <w:rFonts w:hint="eastAsia"/>
        </w:rPr>
        <w:t>完成样地设置、外业调查和辅助资料收集</w:t>
      </w:r>
      <w:r>
        <w:t>；</w:t>
      </w:r>
    </w:p>
    <w:p>
      <w:pPr>
        <w:ind w:firstLine="420"/>
      </w:pPr>
      <w:r>
        <w:t>c）</w:t>
      </w:r>
      <w:r>
        <w:rPr>
          <w:rFonts w:hint="eastAsia"/>
        </w:rPr>
        <w:t>进行森林资源</w:t>
      </w:r>
      <w:r>
        <w:rPr>
          <w:rFonts w:hint="eastAsia"/>
          <w:lang w:eastAsia="zh-CN"/>
        </w:rPr>
        <w:t>、</w:t>
      </w:r>
      <w:r>
        <w:rPr>
          <w:rFonts w:hint="eastAsia"/>
          <w:lang w:val="en-US" w:eastAsia="zh-CN"/>
        </w:rPr>
        <w:t>价值分析</w:t>
      </w:r>
      <w:r>
        <w:rPr>
          <w:rFonts w:hint="eastAsia"/>
        </w:rPr>
        <w:t>与生态状况的统计、分析和评价</w:t>
      </w:r>
      <w:r>
        <w:t>；</w:t>
      </w:r>
    </w:p>
    <w:p>
      <w:pPr>
        <w:ind w:firstLine="420"/>
        <w:rPr>
          <w:rFonts w:hint="eastAsia"/>
        </w:rPr>
      </w:pPr>
      <w:r>
        <w:t>d）</w:t>
      </w:r>
      <w:r>
        <w:rPr>
          <w:rFonts w:hint="eastAsia"/>
        </w:rPr>
        <w:t>定期提供国家储备林项目监测评估成果</w:t>
      </w:r>
      <w:r>
        <w:t>。</w:t>
      </w:r>
    </w:p>
    <w:p>
      <w:pPr>
        <w:pStyle w:val="3"/>
        <w:spacing w:before="156" w:after="156"/>
        <w:rPr>
          <w:rFonts w:hint="eastAsia"/>
        </w:rPr>
      </w:pPr>
      <w:r>
        <w:rPr>
          <w:rFonts w:hint="eastAsia"/>
        </w:rPr>
        <w:t>4</w:t>
      </w:r>
      <w:r>
        <w:t>.</w:t>
      </w:r>
      <w:r>
        <w:rPr>
          <w:rFonts w:hint="eastAsia"/>
          <w:lang w:val="en-US" w:eastAsia="zh-CN"/>
        </w:rPr>
        <w:t>4</w:t>
      </w:r>
      <w:r>
        <w:t xml:space="preserve">  </w:t>
      </w:r>
      <w:r>
        <w:rPr>
          <w:rFonts w:hint="eastAsia"/>
        </w:rPr>
        <w:t>监测总体</w:t>
      </w:r>
    </w:p>
    <w:p>
      <w:pPr>
        <w:ind w:firstLine="420"/>
        <w:rPr>
          <w:rFonts w:hint="eastAsia"/>
        </w:rPr>
      </w:pPr>
      <w:r>
        <w:rPr>
          <w:rFonts w:hint="eastAsia"/>
        </w:rPr>
        <w:t>一般以项目区为总体进行。当总体内经营类型和经营措施类型差异较大时，可将总体划分为若干个副总体，以提高监测调查效率，所划分的副总体应保存稳定。</w:t>
      </w:r>
    </w:p>
    <w:p>
      <w:pPr>
        <w:pStyle w:val="3"/>
        <w:spacing w:before="156" w:after="156"/>
      </w:pPr>
      <w:r>
        <w:rPr>
          <w:rFonts w:hint="eastAsia"/>
        </w:rPr>
        <w:t>4</w:t>
      </w:r>
      <w:r>
        <w:t xml:space="preserve">.4  </w:t>
      </w:r>
      <w:r>
        <w:rPr>
          <w:rFonts w:hint="eastAsia"/>
        </w:rPr>
        <w:t>监测</w:t>
      </w:r>
      <w:r>
        <w:rPr>
          <w:rFonts w:hint="eastAsia"/>
          <w:lang w:val="en-US" w:eastAsia="zh-CN"/>
        </w:rPr>
        <w:t>频次</w:t>
      </w:r>
    </w:p>
    <w:p>
      <w:pPr>
        <w:ind w:firstLine="420"/>
        <w:rPr>
          <w:rFonts w:hint="eastAsia"/>
        </w:rPr>
      </w:pPr>
      <w:r>
        <w:rPr>
          <w:rFonts w:hint="eastAsia"/>
        </w:rPr>
        <w:t>一般为</w:t>
      </w:r>
      <w:r>
        <w:rPr>
          <w:rFonts w:hint="eastAsia"/>
          <w:lang w:val="en-US" w:eastAsia="zh-CN"/>
        </w:rPr>
        <w:t>3</w:t>
      </w:r>
      <w:r>
        <w:rPr>
          <w:rFonts w:hint="eastAsia"/>
        </w:rPr>
        <w:t>年。样地布设和本地调查应在作业前完成，作业完成后及时开展当年数据的调查，每</w:t>
      </w:r>
      <w:r>
        <w:rPr>
          <w:rFonts w:hint="eastAsia"/>
          <w:lang w:val="en-US" w:eastAsia="zh-CN"/>
        </w:rPr>
        <w:t>3</w:t>
      </w:r>
      <w:r>
        <w:rPr>
          <w:rFonts w:hint="eastAsia"/>
        </w:rPr>
        <w:t>年开展复测，鼓励实施年度监测，每年产出主要监测结果。</w:t>
      </w:r>
    </w:p>
    <w:p>
      <w:pPr>
        <w:pStyle w:val="3"/>
        <w:spacing w:before="156" w:after="156"/>
      </w:pPr>
      <w:r>
        <w:rPr>
          <w:rFonts w:hint="eastAsia"/>
        </w:rPr>
        <w:t>4</w:t>
      </w:r>
      <w:r>
        <w:t xml:space="preserve">.5  </w:t>
      </w:r>
      <w:r>
        <w:rPr>
          <w:rFonts w:hint="eastAsia"/>
        </w:rPr>
        <w:t>精度要求</w:t>
      </w:r>
    </w:p>
    <w:p>
      <w:pPr>
        <w:pStyle w:val="4"/>
        <w:spacing w:before="156" w:after="156"/>
      </w:pPr>
      <w:r>
        <w:rPr>
          <w:rFonts w:hint="eastAsia"/>
        </w:rPr>
        <w:t>4.5.1</w:t>
      </w:r>
      <w:r>
        <w:t xml:space="preserve"> </w:t>
      </w:r>
      <w:r>
        <w:rPr>
          <w:rFonts w:hint="eastAsia"/>
        </w:rPr>
        <w:t xml:space="preserve"> 总体抽样精度</w:t>
      </w:r>
    </w:p>
    <w:p>
      <w:pPr>
        <w:ind w:firstLine="420"/>
      </w:pPr>
      <w:r>
        <w:rPr>
          <w:rFonts w:hint="eastAsia"/>
        </w:rPr>
        <w:t>以项目区范围作为一个总体时，总体的抽样精度即为该项目的抽样精度（按95%可靠性，下同）。一个项目区划分为若干个副总体时，总体的抽样精度由各副总体按分层抽样进行联合估计得到。</w:t>
      </w:r>
    </w:p>
    <w:p>
      <w:pPr>
        <w:pStyle w:val="4"/>
        <w:spacing w:before="156" w:after="156"/>
      </w:pPr>
      <w:r>
        <w:rPr>
          <w:rFonts w:hint="eastAsia"/>
        </w:rPr>
        <w:t xml:space="preserve">4.5.2 </w:t>
      </w:r>
      <w:r>
        <w:t xml:space="preserve"> </w:t>
      </w:r>
      <w:r>
        <w:rPr>
          <w:rFonts w:hint="eastAsia"/>
        </w:rPr>
        <w:t>抽样精度要求</w:t>
      </w:r>
    </w:p>
    <w:p>
      <w:pPr>
        <w:ind w:firstLine="420"/>
      </w:pPr>
      <w:r>
        <w:t>总体的抽样精度≥90%(可靠性95%)。</w:t>
      </w:r>
    </w:p>
    <w:p>
      <w:pPr>
        <w:pStyle w:val="4"/>
        <w:spacing w:before="156" w:after="156"/>
      </w:pPr>
      <w:r>
        <w:rPr>
          <w:rFonts w:hint="eastAsia"/>
        </w:rPr>
        <w:t>4.5.</w:t>
      </w:r>
      <w:r>
        <w:t>3</w:t>
      </w:r>
      <w:r>
        <w:rPr>
          <w:rFonts w:hint="eastAsia"/>
        </w:rPr>
        <w:t xml:space="preserve"> </w:t>
      </w:r>
      <w:r>
        <w:t xml:space="preserve"> </w:t>
      </w:r>
      <w:r>
        <w:rPr>
          <w:rFonts w:hint="eastAsia"/>
        </w:rPr>
        <w:t>复位精度要求</w:t>
      </w:r>
    </w:p>
    <w:p>
      <w:pPr>
        <w:ind w:firstLine="420"/>
        <w:rPr>
          <w:rFonts w:hint="eastAsia" w:ascii="宋体"/>
          <w:sz w:val="24"/>
        </w:rPr>
      </w:pPr>
      <w:r>
        <w:rPr>
          <w:rFonts w:hint="eastAsia"/>
        </w:rPr>
        <w:t>监测样地复位率要求达到98%以上，样木复位率要求达到95%以上。</w:t>
      </w:r>
    </w:p>
    <w:p>
      <w:pPr>
        <w:pStyle w:val="2"/>
        <w:spacing w:before="312" w:after="312"/>
      </w:pPr>
      <w:bookmarkStart w:id="14" w:name="_Toc20973"/>
      <w:r>
        <w:rPr>
          <w:rFonts w:hint="eastAsia"/>
        </w:rPr>
        <w:t>5</w:t>
      </w:r>
      <w:r>
        <w:t xml:space="preserve">  </w:t>
      </w:r>
      <w:r>
        <w:rPr>
          <w:rFonts w:hint="eastAsia"/>
        </w:rPr>
        <w:t>监测内容</w:t>
      </w:r>
      <w:bookmarkEnd w:id="14"/>
    </w:p>
    <w:p>
      <w:pPr>
        <w:pStyle w:val="3"/>
        <w:spacing w:before="156" w:after="156"/>
      </w:pPr>
      <w:r>
        <w:rPr>
          <w:rFonts w:hint="eastAsia"/>
        </w:rPr>
        <w:t>5</w:t>
      </w:r>
      <w:r>
        <w:t xml:space="preserve">.1  </w:t>
      </w:r>
      <w:r>
        <w:rPr>
          <w:rFonts w:hint="eastAsia"/>
        </w:rPr>
        <w:t>环境因子</w:t>
      </w:r>
    </w:p>
    <w:p>
      <w:pPr>
        <w:ind w:firstLine="420"/>
      </w:pPr>
      <w:r>
        <w:rPr>
          <w:rFonts w:hint="eastAsia"/>
        </w:rPr>
        <w:t>地理坐标、地貌、地形（包括坡向、坡度、坡位和海拔）、土壤类型、土壤厚度、腐殖质厚度、枯枝落叶厚度、土壤化学性质、立地指数或地位级等。</w:t>
      </w:r>
    </w:p>
    <w:p>
      <w:pPr>
        <w:pStyle w:val="3"/>
        <w:spacing w:before="156" w:after="156"/>
      </w:pPr>
      <w:r>
        <w:rPr>
          <w:rFonts w:hint="eastAsia"/>
        </w:rPr>
        <w:t>5</w:t>
      </w:r>
      <w:r>
        <w:t xml:space="preserve">.2  </w:t>
      </w:r>
      <w:r>
        <w:rPr>
          <w:rFonts w:hint="eastAsia"/>
        </w:rPr>
        <w:t>林分因子</w:t>
      </w:r>
    </w:p>
    <w:p>
      <w:pPr>
        <w:ind w:firstLine="420"/>
      </w:pPr>
      <w:r>
        <w:rPr>
          <w:rFonts w:hint="eastAsia"/>
        </w:rPr>
        <w:t>林分类型、起源、优势树种、年龄、龄组、径组、平均胸径、平均优势高、郁闭度、密度、断面积、蓄积量、毛竹株数、经济林产期、灌木覆盖度、灌木平均高、草本覆盖度、草本平均高、植被总覆盖度、更新类别、幼树树种、幼树株数、群落结构、树种结构、林层结构、林龄结构、直径分布结构、树干通直度等。</w:t>
      </w:r>
    </w:p>
    <w:p>
      <w:pPr>
        <w:pStyle w:val="3"/>
        <w:spacing w:before="156" w:after="156"/>
      </w:pPr>
      <w:r>
        <w:rPr>
          <w:rFonts w:hint="eastAsia"/>
        </w:rPr>
        <w:t>5</w:t>
      </w:r>
      <w:r>
        <w:t xml:space="preserve">.3  </w:t>
      </w:r>
      <w:r>
        <w:rPr>
          <w:rFonts w:hint="eastAsia"/>
        </w:rPr>
        <w:t>管理因子</w:t>
      </w:r>
    </w:p>
    <w:p>
      <w:pPr>
        <w:ind w:firstLine="420"/>
      </w:pPr>
      <w:r>
        <w:rPr>
          <w:rFonts w:hint="eastAsia"/>
        </w:rPr>
        <w:t>权属、林班、小班、林种、林地保护等级、可及度、森林灾害类型、森林灾害等级、森林健康等级、商品林经营等级、人工林类型、抚育措施、干扰情况等。</w:t>
      </w:r>
    </w:p>
    <w:p>
      <w:pPr>
        <w:pStyle w:val="3"/>
        <w:spacing w:before="156" w:after="156"/>
      </w:pPr>
      <w:r>
        <w:rPr>
          <w:rFonts w:hint="eastAsia"/>
        </w:rPr>
        <w:t>5</w:t>
      </w:r>
      <w:r>
        <w:t xml:space="preserve">.4  </w:t>
      </w:r>
      <w:r>
        <w:rPr>
          <w:rFonts w:hint="eastAsia"/>
        </w:rPr>
        <w:t>森林生态功能</w:t>
      </w:r>
    </w:p>
    <w:p>
      <w:pPr>
        <w:ind w:firstLine="420"/>
      </w:pPr>
      <w:r>
        <w:rPr>
          <w:rFonts w:hint="eastAsia"/>
        </w:rPr>
        <w:t>生态功能等级以及固碳释氧、涵养水源、保育土壤、净化大气环境、森林防护、生物多样性、森林景观等方面的功能和效益。</w:t>
      </w:r>
    </w:p>
    <w:p>
      <w:pPr>
        <w:pStyle w:val="2"/>
        <w:spacing w:before="312" w:after="312"/>
      </w:pPr>
      <w:bookmarkStart w:id="15" w:name="_Toc8133"/>
      <w:r>
        <w:rPr>
          <w:rFonts w:hint="eastAsia"/>
        </w:rPr>
        <w:t>6</w:t>
      </w:r>
      <w:r>
        <w:t xml:space="preserve">  </w:t>
      </w:r>
      <w:r>
        <w:rPr>
          <w:rFonts w:hint="eastAsia"/>
        </w:rPr>
        <w:t>监测方法</w:t>
      </w:r>
      <w:bookmarkEnd w:id="15"/>
    </w:p>
    <w:p>
      <w:pPr>
        <w:pStyle w:val="3"/>
        <w:spacing w:before="156" w:after="156"/>
      </w:pPr>
      <w:r>
        <w:rPr>
          <w:rFonts w:hint="eastAsia"/>
        </w:rPr>
        <w:t>6</w:t>
      </w:r>
      <w:r>
        <w:t xml:space="preserve">.1  </w:t>
      </w:r>
      <w:r>
        <w:rPr>
          <w:rFonts w:hint="eastAsia"/>
        </w:rPr>
        <w:t>基本方案</w:t>
      </w:r>
    </w:p>
    <w:p>
      <w:pPr>
        <w:ind w:firstLine="420"/>
      </w:pPr>
      <w:r>
        <w:rPr>
          <w:rFonts w:hint="eastAsia"/>
        </w:rPr>
        <w:t>基于抽样调查理论，采用以项目区为总体范围，设置固定样地进行定期复查的监测方法。</w:t>
      </w:r>
    </w:p>
    <w:p>
      <w:pPr>
        <w:pStyle w:val="3"/>
        <w:spacing w:before="156" w:after="156"/>
      </w:pPr>
      <w:r>
        <w:rPr>
          <w:rFonts w:hint="eastAsia"/>
        </w:rPr>
        <w:t>6</w:t>
      </w:r>
      <w:r>
        <w:t xml:space="preserve">.2  </w:t>
      </w:r>
      <w:r>
        <w:rPr>
          <w:rFonts w:hint="eastAsia"/>
        </w:rPr>
        <w:t>准备工作</w:t>
      </w:r>
    </w:p>
    <w:p>
      <w:pPr>
        <w:pStyle w:val="4"/>
        <w:spacing w:before="156" w:after="156"/>
      </w:pPr>
      <w:r>
        <w:rPr>
          <w:rFonts w:hint="eastAsia"/>
        </w:rPr>
        <w:t xml:space="preserve">6.2.1 </w:t>
      </w:r>
      <w:r>
        <w:t xml:space="preserve"> </w:t>
      </w:r>
      <w:r>
        <w:rPr>
          <w:rFonts w:hint="eastAsia"/>
        </w:rPr>
        <w:t>组织准备</w:t>
      </w:r>
    </w:p>
    <w:p>
      <w:pPr>
        <w:ind w:firstLine="420"/>
      </w:pPr>
      <w:r>
        <w:rPr>
          <w:rFonts w:hint="eastAsia"/>
        </w:rPr>
        <w:t>成立监测组织领导机构，制定工作方案，组建专业调查队伍。</w:t>
      </w:r>
    </w:p>
    <w:p>
      <w:pPr>
        <w:pStyle w:val="4"/>
        <w:spacing w:before="156" w:after="156"/>
      </w:pPr>
      <w:r>
        <w:rPr>
          <w:rFonts w:hint="eastAsia"/>
        </w:rPr>
        <w:t xml:space="preserve">6.2.2 </w:t>
      </w:r>
      <w:r>
        <w:t xml:space="preserve"> </w:t>
      </w:r>
      <w:r>
        <w:rPr>
          <w:rFonts w:hint="eastAsia"/>
        </w:rPr>
        <w:t>技术准备</w:t>
      </w:r>
    </w:p>
    <w:p>
      <w:pPr>
        <w:ind w:firstLine="420"/>
      </w:pPr>
      <w:r>
        <w:rPr>
          <w:rFonts w:hint="eastAsia"/>
        </w:rPr>
        <w:t>制定技术方案和操作细则，开展技术培训。</w:t>
      </w:r>
    </w:p>
    <w:p>
      <w:pPr>
        <w:pStyle w:val="4"/>
        <w:spacing w:before="156" w:after="156"/>
      </w:pPr>
      <w:r>
        <w:rPr>
          <w:rFonts w:hint="eastAsia"/>
        </w:rPr>
        <w:t xml:space="preserve">6.2.3 </w:t>
      </w:r>
      <w:r>
        <w:t xml:space="preserve"> </w:t>
      </w:r>
      <w:r>
        <w:rPr>
          <w:rFonts w:hint="eastAsia"/>
        </w:rPr>
        <w:t>其他准备</w:t>
      </w:r>
    </w:p>
    <w:p>
      <w:pPr>
        <w:ind w:firstLine="420"/>
      </w:pPr>
      <w:r>
        <w:rPr>
          <w:rFonts w:hint="eastAsia"/>
        </w:rPr>
        <w:t>准备监测工作所需资料、仪器、工具和设备。</w:t>
      </w:r>
    </w:p>
    <w:p>
      <w:pPr>
        <w:pStyle w:val="3"/>
        <w:spacing w:before="156" w:after="156"/>
      </w:pPr>
      <w:r>
        <w:rPr>
          <w:rFonts w:hint="eastAsia"/>
        </w:rPr>
        <w:t>6</w:t>
      </w:r>
      <w:r>
        <w:t xml:space="preserve">.3  </w:t>
      </w:r>
      <w:r>
        <w:rPr>
          <w:rFonts w:hint="eastAsia"/>
        </w:rPr>
        <w:t>监测样地布设</w:t>
      </w:r>
    </w:p>
    <w:p>
      <w:pPr>
        <w:ind w:firstLine="420"/>
        <w:rPr>
          <w:rFonts w:hint="eastAsia"/>
        </w:rPr>
      </w:pPr>
      <w:r>
        <w:rPr>
          <w:rFonts w:hint="eastAsia"/>
        </w:rPr>
        <w:t>监测样地布设要求如下：</w:t>
      </w:r>
    </w:p>
    <w:p>
      <w:pPr>
        <w:ind w:firstLine="420"/>
        <w:rPr>
          <w:rFonts w:hint="eastAsia"/>
        </w:rPr>
      </w:pPr>
      <w:r>
        <w:rPr>
          <w:rFonts w:hint="eastAsia"/>
        </w:rPr>
        <w:t>a）各监测总体的监测样地数量，应依据总体建设方案等资料，按照精度要求确定，并根据样地数量确定样地布设间距。</w:t>
      </w:r>
    </w:p>
    <w:p>
      <w:pPr>
        <w:ind w:firstLine="420"/>
        <w:rPr>
          <w:rFonts w:hint="eastAsia"/>
        </w:rPr>
      </w:pPr>
      <w:r>
        <w:rPr>
          <w:rFonts w:hint="eastAsia"/>
        </w:rPr>
        <w:t>b）监测样地按系统抽样布设在国家万分之一地形图公里网交叉点上。</w:t>
      </w:r>
    </w:p>
    <w:p>
      <w:pPr>
        <w:ind w:firstLine="420"/>
        <w:rPr>
          <w:rFonts w:hint="eastAsia"/>
        </w:rPr>
      </w:pPr>
      <w:r>
        <w:rPr>
          <w:rFonts w:hint="eastAsia"/>
        </w:rPr>
        <w:t>c）监测样地包括1个作业样地和1个对照样地。作业样地根据建设方案、作业设计实施经营措施，对照样地不实施经营措施。对照样地应与作业样地在坡度、坡向、坡位、土壤厚度等立地条件，以及平均树高、平均林龄、平均密度、树种组成等林分因子方面基本一致。</w:t>
      </w:r>
    </w:p>
    <w:p>
      <w:pPr>
        <w:ind w:firstLine="420"/>
        <w:rPr>
          <w:rFonts w:hint="eastAsia"/>
        </w:rPr>
      </w:pPr>
      <w:r>
        <w:rPr>
          <w:rFonts w:hint="eastAsia"/>
        </w:rPr>
        <w:t>d）监测样地应具有代表性，能反映小班林分平均状况。监测样地距林缘应不小于20m，不跨河流、道路或伐开的调查线。</w:t>
      </w:r>
    </w:p>
    <w:p>
      <w:pPr>
        <w:ind w:firstLine="420"/>
        <w:rPr>
          <w:rFonts w:hint="eastAsia"/>
        </w:rPr>
      </w:pPr>
      <w:r>
        <w:rPr>
          <w:rFonts w:hint="eastAsia"/>
        </w:rPr>
        <w:t>e）监测样地形状一般采用方形，也可采用矩形样地。样地面积为0.04hm</w:t>
      </w:r>
      <w:r>
        <w:rPr>
          <w:rFonts w:hint="eastAsia"/>
          <w:vertAlign w:val="superscript"/>
        </w:rPr>
        <w:t>2</w:t>
      </w:r>
      <w:r>
        <w:rPr>
          <w:rFonts w:hint="eastAsia"/>
        </w:rPr>
        <w:t>~0.12hm</w:t>
      </w:r>
      <w:r>
        <w:rPr>
          <w:rFonts w:hint="eastAsia"/>
          <w:vertAlign w:val="superscript"/>
        </w:rPr>
        <w:t>2</w:t>
      </w:r>
      <w:r>
        <w:rPr>
          <w:rFonts w:hint="eastAsia"/>
        </w:rPr>
        <w:t>，一般采用0.0667hm</w:t>
      </w:r>
      <w:r>
        <w:rPr>
          <w:rFonts w:hint="eastAsia"/>
          <w:vertAlign w:val="superscript"/>
        </w:rPr>
        <w:t>2</w:t>
      </w:r>
      <w:r>
        <w:rPr>
          <w:rFonts w:hint="eastAsia"/>
        </w:rPr>
        <w:t>。同一调查总体或副总体范围内的样地，其面积和形状应保存一致。</w:t>
      </w:r>
    </w:p>
    <w:p>
      <w:pPr>
        <w:ind w:firstLine="420"/>
        <w:rPr>
          <w:rFonts w:hint="eastAsia"/>
        </w:rPr>
      </w:pPr>
      <w:r>
        <w:rPr>
          <w:rFonts w:hint="eastAsia"/>
        </w:rPr>
        <w:t>f）监测样地编号，以调查总体为单位，从西北向东南顺序编号，保存不变。</w:t>
      </w:r>
    </w:p>
    <w:p>
      <w:pPr>
        <w:ind w:firstLine="420"/>
        <w:rPr>
          <w:rFonts w:hint="eastAsia"/>
        </w:rPr>
      </w:pPr>
      <w:r>
        <w:rPr>
          <w:rFonts w:hint="eastAsia"/>
        </w:rPr>
        <w:t>g）监测样地标志，应当在西南、西北、东北、东南4个角点和中心点设置固定标志。</w:t>
      </w:r>
    </w:p>
    <w:p>
      <w:pPr>
        <w:ind w:firstLine="420"/>
        <w:rPr>
          <w:rFonts w:hint="eastAsia"/>
        </w:rPr>
      </w:pPr>
      <w:r>
        <w:rPr>
          <w:rFonts w:hint="eastAsia"/>
        </w:rPr>
        <w:t>h）监测样地数量、位置和大小一经确定，原则上要保持稳定。</w:t>
      </w:r>
    </w:p>
    <w:p>
      <w:pPr>
        <w:pStyle w:val="3"/>
        <w:spacing w:before="156" w:after="156"/>
      </w:pPr>
      <w:r>
        <w:rPr>
          <w:rFonts w:hint="eastAsia"/>
        </w:rPr>
        <w:t>6</w:t>
      </w:r>
      <w:r>
        <w:t xml:space="preserve">.4  </w:t>
      </w:r>
      <w:r>
        <w:rPr>
          <w:rFonts w:hint="eastAsia"/>
        </w:rPr>
        <w:t>监测样地测定</w:t>
      </w:r>
    </w:p>
    <w:p>
      <w:pPr>
        <w:ind w:firstLine="420"/>
      </w:pPr>
      <w:r>
        <w:rPr>
          <w:rFonts w:hint="eastAsia"/>
        </w:rPr>
        <w:t>监测样地布设要求如下：</w:t>
      </w:r>
    </w:p>
    <w:p>
      <w:pPr>
        <w:ind w:firstLine="420"/>
      </w:pPr>
      <w:r>
        <w:rPr>
          <w:rFonts w:hint="eastAsia"/>
        </w:rPr>
        <w:t>a）采用卫星导航、引线单位，并进行周界测量，按要求设置监测样地标志，采集样地西南角点（或中心点）的卫星导航坐标值（国家2000大地坐标）。当采用差分定位技术[如基于全球导航定位系统（GNSS）的实时动态差分（RTK）技术]能确保定位精度达到1m以内时，直接进行样地定位。</w:t>
      </w:r>
    </w:p>
    <w:p>
      <w:pPr>
        <w:ind w:firstLine="420"/>
      </w:pPr>
      <w:r>
        <w:rPr>
          <w:rFonts w:hint="eastAsia"/>
        </w:rPr>
        <w:t>b）监测样地定位后，样地周界测量闭合差不大于1/200，沿测线外侧的树木在胸高且面向样地的部位做标记（如喷漆），进行详细记载。</w:t>
      </w:r>
    </w:p>
    <w:p>
      <w:pPr>
        <w:ind w:firstLine="420"/>
        <w:rPr>
          <w:rFonts w:hint="eastAsia"/>
        </w:rPr>
      </w:pPr>
      <w:r>
        <w:rPr>
          <w:rFonts w:hint="eastAsia"/>
        </w:rPr>
        <w:t>c）在每个监测样地内，设置5个2m</w:t>
      </w:r>
      <w:r>
        <w:rPr>
          <w:rFonts w:ascii="Arial" w:hAnsi="Arial" w:cs="Arial"/>
        </w:rPr>
        <w:t>×</w:t>
      </w:r>
      <w:r>
        <w:rPr>
          <w:rFonts w:hint="eastAsia"/>
        </w:rPr>
        <w:t>2m的样方开展幼树和灌木调查，设置5个1m</w:t>
      </w:r>
      <w:r>
        <w:rPr>
          <w:rFonts w:ascii="Arial" w:hAnsi="Arial" w:cs="Arial"/>
        </w:rPr>
        <w:t>×</w:t>
      </w:r>
      <w:r>
        <w:rPr>
          <w:rFonts w:hint="eastAsia"/>
          <w:lang w:val="en-US" w:eastAsia="zh-CN"/>
        </w:rPr>
        <w:t>1</w:t>
      </w:r>
      <w:r>
        <w:rPr>
          <w:rFonts w:hint="eastAsia"/>
        </w:rPr>
        <w:t>m的样方开展草本调查。</w:t>
      </w:r>
      <w:r>
        <w:rPr>
          <w:rFonts w:hint="eastAsia"/>
          <w:lang w:val="en-US" w:eastAsia="zh-CN"/>
        </w:rPr>
        <w:t>监测样地内样方位置图见附录A。</w:t>
      </w:r>
    </w:p>
    <w:p>
      <w:pPr>
        <w:pStyle w:val="3"/>
        <w:spacing w:before="156" w:after="156"/>
      </w:pPr>
      <w:r>
        <w:rPr>
          <w:rFonts w:hint="eastAsia"/>
        </w:rPr>
        <w:t>6</w:t>
      </w:r>
      <w:r>
        <w:t xml:space="preserve">.5  </w:t>
      </w:r>
      <w:r>
        <w:rPr>
          <w:rFonts w:hint="eastAsia"/>
        </w:rPr>
        <w:t>监测样地因子调查</w:t>
      </w:r>
    </w:p>
    <w:p>
      <w:pPr>
        <w:ind w:left="840" w:leftChars="200" w:hanging="420" w:hangingChars="200"/>
      </w:pPr>
      <w:r>
        <w:rPr>
          <w:rFonts w:hint="eastAsia"/>
        </w:rPr>
        <w:t>监测样地调查因子如下：</w:t>
      </w:r>
    </w:p>
    <w:p>
      <w:pPr>
        <w:ind w:left="840" w:leftChars="200" w:hanging="420" w:hangingChars="200"/>
      </w:pPr>
      <w:r>
        <w:rPr>
          <w:rFonts w:hint="eastAsia"/>
        </w:rPr>
        <w:t>——样地号：总体内布设的各类别样地统一编号，不得出现重号。</w:t>
      </w:r>
    </w:p>
    <w:p>
      <w:pPr>
        <w:ind w:left="840" w:leftChars="200" w:hanging="420" w:hangingChars="200"/>
      </w:pPr>
      <w:r>
        <w:rPr>
          <w:rFonts w:hint="eastAsia"/>
        </w:rPr>
        <w:t>——林班号：样地所在森林资源“一张图”林班编号。</w:t>
      </w:r>
    </w:p>
    <w:p>
      <w:pPr>
        <w:ind w:left="840" w:leftChars="200" w:hanging="420" w:hangingChars="200"/>
      </w:pPr>
      <w:r>
        <w:rPr>
          <w:rFonts w:hint="eastAsia"/>
        </w:rPr>
        <w:t>——小班号：样地所在森林资源“一张图”小班编号。</w:t>
      </w:r>
    </w:p>
    <w:p>
      <w:pPr>
        <w:ind w:left="840" w:leftChars="200" w:hanging="420" w:hangingChars="200"/>
      </w:pPr>
      <w:r>
        <w:rPr>
          <w:rFonts w:hint="eastAsia"/>
        </w:rPr>
        <w:t>——纵坐标：样地所在位置（西南角点或中心点）的纵坐标值，填写7位数，记载到1m。</w:t>
      </w:r>
    </w:p>
    <w:p>
      <w:pPr>
        <w:ind w:left="840" w:leftChars="200" w:hanging="420" w:hangingChars="200"/>
      </w:pPr>
      <w:r>
        <w:rPr>
          <w:rFonts w:hint="eastAsia"/>
        </w:rPr>
        <w:t>——横坐标：样地所在位置（西南角点或中心点）的横坐标值，填写</w:t>
      </w:r>
      <w:r>
        <w:rPr>
          <w:rFonts w:hint="eastAsia"/>
          <w:lang w:val="en-US" w:eastAsia="zh-CN"/>
        </w:rPr>
        <w:t>8</w:t>
      </w:r>
      <w:r>
        <w:rPr>
          <w:rFonts w:hint="eastAsia"/>
        </w:rPr>
        <w:t>位数，记载到1m。</w:t>
      </w:r>
    </w:p>
    <w:p>
      <w:pPr>
        <w:ind w:left="840" w:leftChars="200" w:hanging="420" w:hangingChars="200"/>
        <w:rPr>
          <w:szCs w:val="22"/>
        </w:rPr>
      </w:pPr>
      <w:r>
        <w:rPr>
          <w:rFonts w:hint="eastAsia"/>
        </w:rPr>
        <w:t>——地貌：按大地形确定样地所在的地貌，用代码记载。地貌划</w:t>
      </w:r>
      <w:r>
        <w:rPr>
          <w:rFonts w:hint="eastAsia"/>
          <w:szCs w:val="22"/>
        </w:rPr>
        <w:t>分标准执行GB/T 38590。</w:t>
      </w:r>
    </w:p>
    <w:p>
      <w:pPr>
        <w:ind w:left="840" w:leftChars="200" w:hanging="420" w:hangingChars="200"/>
        <w:rPr>
          <w:szCs w:val="22"/>
        </w:rPr>
      </w:pPr>
      <w:r>
        <w:rPr>
          <w:rFonts w:hint="eastAsia"/>
          <w:szCs w:val="22"/>
        </w:rPr>
        <w:t>——海拔：按样地所在位置（西南角或中心点），用海拔仪、导航仪测定海拔值，记载到1m。</w:t>
      </w:r>
    </w:p>
    <w:p>
      <w:pPr>
        <w:ind w:left="840" w:leftChars="200" w:hanging="420" w:hangingChars="200"/>
        <w:rPr>
          <w:szCs w:val="22"/>
        </w:rPr>
      </w:pPr>
      <w:r>
        <w:rPr>
          <w:rFonts w:hint="eastAsia"/>
          <w:szCs w:val="22"/>
        </w:rPr>
        <w:t>——坡向：按中地形确定样地所在坡向，用代码记载。坡向划分标准执行GB/T 38590。</w:t>
      </w:r>
    </w:p>
    <w:p>
      <w:pPr>
        <w:ind w:left="840" w:leftChars="200" w:hanging="420" w:hangingChars="200"/>
        <w:rPr>
          <w:szCs w:val="22"/>
        </w:rPr>
      </w:pPr>
      <w:r>
        <w:rPr>
          <w:rFonts w:hint="eastAsia"/>
          <w:szCs w:val="22"/>
        </w:rPr>
        <w:t>——坡位：按中地形确定样地所在坡位，用代码记载。坡位划分标准执行GB/T 38590。</w:t>
      </w:r>
    </w:p>
    <w:p>
      <w:pPr>
        <w:ind w:left="840" w:leftChars="200" w:hanging="420" w:hangingChars="200"/>
        <w:rPr>
          <w:szCs w:val="22"/>
        </w:rPr>
      </w:pPr>
      <w:r>
        <w:rPr>
          <w:rFonts w:hint="eastAsia"/>
          <w:szCs w:val="22"/>
        </w:rPr>
        <w:t>——坡度：按等高线垂直方向测定样地平均坡度，记载到1°。</w:t>
      </w:r>
    </w:p>
    <w:p>
      <w:pPr>
        <w:ind w:left="840" w:leftChars="200" w:hanging="420" w:hangingChars="200"/>
        <w:rPr>
          <w:szCs w:val="22"/>
        </w:rPr>
      </w:pPr>
      <w:r>
        <w:rPr>
          <w:rFonts w:hint="eastAsia"/>
          <w:szCs w:val="22"/>
        </w:rPr>
        <w:t>——土壤类型：监测样地土壤所属土类，用代码记载。土壤类型代码执行GB/T 38590。</w:t>
      </w:r>
    </w:p>
    <w:p>
      <w:pPr>
        <w:ind w:left="840" w:leftChars="200" w:hanging="420" w:hangingChars="200"/>
        <w:rPr>
          <w:szCs w:val="22"/>
        </w:rPr>
      </w:pPr>
      <w:r>
        <w:rPr>
          <w:rFonts w:hint="eastAsia"/>
          <w:szCs w:val="22"/>
        </w:rPr>
        <w:t>——土壤制定：监测样地的土壤质地，用代码记载。土壤质地代码GB/T 38590。</w:t>
      </w:r>
    </w:p>
    <w:p>
      <w:pPr>
        <w:ind w:left="840" w:leftChars="200" w:hanging="420" w:hangingChars="200"/>
        <w:rPr>
          <w:szCs w:val="22"/>
        </w:rPr>
      </w:pPr>
      <w:r>
        <w:rPr>
          <w:rFonts w:hint="eastAsia"/>
          <w:szCs w:val="22"/>
        </w:rPr>
        <w:t>——土壤厚度：监测样地的土壤厚度，记载到1cm。</w:t>
      </w:r>
    </w:p>
    <w:p>
      <w:pPr>
        <w:ind w:left="840" w:leftChars="200" w:hanging="420" w:hangingChars="200"/>
        <w:rPr>
          <w:szCs w:val="22"/>
        </w:rPr>
      </w:pPr>
      <w:r>
        <w:rPr>
          <w:rFonts w:hint="eastAsia"/>
          <w:szCs w:val="22"/>
        </w:rPr>
        <w:t>——腐殖质厚度：监测样地的腐殖质厚度，记载到1cm。</w:t>
      </w:r>
    </w:p>
    <w:p>
      <w:pPr>
        <w:ind w:left="840" w:leftChars="200" w:hanging="420" w:hangingChars="200"/>
        <w:rPr>
          <w:szCs w:val="22"/>
        </w:rPr>
      </w:pPr>
      <w:r>
        <w:rPr>
          <w:rFonts w:hint="eastAsia"/>
          <w:szCs w:val="22"/>
        </w:rPr>
        <w:t>——枯枝落叶厚度：监测样地上的枯枝落叶层厚度，记载到1cm。</w:t>
      </w:r>
    </w:p>
    <w:p>
      <w:pPr>
        <w:ind w:left="840" w:leftChars="200" w:hanging="420" w:hangingChars="200"/>
        <w:rPr>
          <w:szCs w:val="22"/>
        </w:rPr>
      </w:pPr>
      <w:r>
        <w:rPr>
          <w:rFonts w:hint="eastAsia"/>
          <w:szCs w:val="22"/>
        </w:rPr>
        <w:t>——土壤化学性质：包括pH值、有机质含量SOC、全N、全P、全K、有效N、速效N、速效K。</w:t>
      </w:r>
    </w:p>
    <w:p>
      <w:pPr>
        <w:ind w:left="840" w:leftChars="200" w:hanging="420" w:hangingChars="200"/>
        <w:rPr>
          <w:szCs w:val="22"/>
        </w:rPr>
      </w:pPr>
      <w:r>
        <w:rPr>
          <w:rFonts w:hint="eastAsia"/>
          <w:szCs w:val="22"/>
        </w:rPr>
        <w:t>——灌木覆盖度：样地内灌木树冠垂直投影覆盖面积与样地面积的比例，采用对角线截距抽样或目测方法调查，按百分比记载，精确到5%（在40%左右时精确到1%）。</w:t>
      </w:r>
    </w:p>
    <w:p>
      <w:pPr>
        <w:ind w:left="840" w:leftChars="200" w:hanging="420" w:hangingChars="200"/>
        <w:rPr>
          <w:szCs w:val="22"/>
        </w:rPr>
      </w:pPr>
      <w:r>
        <w:rPr>
          <w:rFonts w:hint="eastAsia"/>
          <w:szCs w:val="22"/>
        </w:rPr>
        <w:t>——灌木平均高：样地内灌木层的平均高度，采用目测结合实测方法调查，以米（m）为单位，记载到小数点后一位。</w:t>
      </w:r>
    </w:p>
    <w:p>
      <w:pPr>
        <w:ind w:left="840" w:leftChars="200" w:hanging="420" w:hangingChars="200"/>
        <w:rPr>
          <w:szCs w:val="22"/>
        </w:rPr>
      </w:pPr>
      <w:r>
        <w:rPr>
          <w:rFonts w:hint="eastAsia"/>
          <w:szCs w:val="22"/>
        </w:rPr>
        <w:t>——草本覆盖度：样地内草本植物垂直投影面积与样地面积的比例，采用对角线截距抽样或目测方法调查，按百分比记载，精确到5%。</w:t>
      </w:r>
    </w:p>
    <w:p>
      <w:pPr>
        <w:ind w:left="840" w:leftChars="200" w:hanging="420" w:hangingChars="200"/>
        <w:rPr>
          <w:szCs w:val="22"/>
        </w:rPr>
      </w:pPr>
      <w:r>
        <w:rPr>
          <w:rFonts w:hint="eastAsia"/>
          <w:szCs w:val="22"/>
        </w:rPr>
        <w:t>——草本平均高：样地内草本层的平均高度，采用目测结合实测方法调查，以米（m）为单位，记载到小数点后一位。</w:t>
      </w:r>
    </w:p>
    <w:p>
      <w:pPr>
        <w:ind w:left="840" w:leftChars="200" w:hanging="420" w:hangingChars="200"/>
        <w:rPr>
          <w:szCs w:val="22"/>
        </w:rPr>
      </w:pPr>
      <w:r>
        <w:rPr>
          <w:rFonts w:hint="eastAsia"/>
          <w:szCs w:val="22"/>
        </w:rPr>
        <w:t>——植被总覆盖度：样地内乔灌草垂直投影面积与样地面积的比例，采用对角线截距抽样或目测方法调查，或根据郁闭度与灌木和草本覆盖度的重叠情况综合确定，按百分比记载，精确到5%。</w:t>
      </w:r>
    </w:p>
    <w:p>
      <w:pPr>
        <w:ind w:left="840" w:leftChars="200" w:hanging="420" w:hangingChars="200"/>
        <w:rPr>
          <w:szCs w:val="22"/>
        </w:rPr>
      </w:pPr>
      <w:r>
        <w:rPr>
          <w:rFonts w:hint="eastAsia"/>
          <w:szCs w:val="22"/>
        </w:rPr>
        <w:t>——土地权属：确定样地所在土地的权属，用代码记载。土地权属代码执行GB/T 38590。</w:t>
      </w:r>
    </w:p>
    <w:p>
      <w:pPr>
        <w:ind w:left="840" w:leftChars="200" w:hanging="420" w:hangingChars="200"/>
        <w:rPr>
          <w:szCs w:val="22"/>
        </w:rPr>
      </w:pPr>
      <w:r>
        <w:rPr>
          <w:rFonts w:hint="eastAsia"/>
          <w:szCs w:val="22"/>
        </w:rPr>
        <w:t>——林木权属：对乔木林、竹林、灌木林、新造林调查林木权属，用代码记载。林木权属代码执行GB/T 38590。</w:t>
      </w:r>
    </w:p>
    <w:p>
      <w:pPr>
        <w:ind w:left="840" w:leftChars="200" w:hanging="420" w:hangingChars="200"/>
        <w:rPr>
          <w:szCs w:val="22"/>
        </w:rPr>
      </w:pPr>
      <w:r>
        <w:rPr>
          <w:rFonts w:hint="eastAsia"/>
          <w:szCs w:val="22"/>
        </w:rPr>
        <w:t>——森林类别：参照森林分类经营区划和公益林区划成果确定森林类别，用代码记载。执行GB/T 38590。</w:t>
      </w:r>
    </w:p>
    <w:p>
      <w:pPr>
        <w:ind w:left="840" w:leftChars="200" w:hanging="420" w:hangingChars="200"/>
        <w:rPr>
          <w:szCs w:val="22"/>
        </w:rPr>
      </w:pPr>
      <w:r>
        <w:rPr>
          <w:rFonts w:hint="eastAsia"/>
          <w:szCs w:val="22"/>
        </w:rPr>
        <w:t>——林种：对于乔木林、灌木林、竹林，根据当地林地保护利用规划、森林资源规划设计调查结果和森林经营方案等资料，确定林种和亚林种，用代码记载。执行GB/T 38590。</w:t>
      </w:r>
    </w:p>
    <w:p>
      <w:pPr>
        <w:ind w:left="840" w:leftChars="200" w:hanging="420" w:hangingChars="200"/>
        <w:rPr>
          <w:szCs w:val="22"/>
        </w:rPr>
      </w:pPr>
      <w:r>
        <w:rPr>
          <w:rFonts w:hint="eastAsia"/>
          <w:szCs w:val="22"/>
        </w:rPr>
        <w:t>——商品林经营等级：对于森林类别确定为商品林（地）的乔木林、灌木林、竹林，按GB/T 38590规定的商品林（地）经营等级评定标准，根据经营状况调查确定经营等级，用代码记载。</w:t>
      </w:r>
    </w:p>
    <w:p>
      <w:pPr>
        <w:ind w:left="840" w:leftChars="200" w:hanging="420" w:hangingChars="200"/>
        <w:rPr>
          <w:szCs w:val="22"/>
        </w:rPr>
      </w:pPr>
      <w:r>
        <w:rPr>
          <w:rFonts w:hint="eastAsia"/>
          <w:szCs w:val="22"/>
        </w:rPr>
        <w:t>——起源：对于乔木林、竹林、灌木林和新造林，调查确定起源，执行GB/T 38590规定的代码记载。</w:t>
      </w:r>
    </w:p>
    <w:p>
      <w:pPr>
        <w:ind w:left="840" w:leftChars="200" w:hanging="420" w:hangingChars="200"/>
        <w:rPr>
          <w:szCs w:val="22"/>
        </w:rPr>
      </w:pPr>
      <w:r>
        <w:rPr>
          <w:rFonts w:hint="eastAsia"/>
          <w:szCs w:val="22"/>
        </w:rPr>
        <w:t>——优势树种：对于乔木林、灌木林、竹林和新造林，调查确定优势树种，用代码记载。优势树种执行GB/T 38590。</w:t>
      </w:r>
    </w:p>
    <w:p>
      <w:pPr>
        <w:ind w:left="840" w:leftChars="200" w:hanging="420" w:hangingChars="200"/>
        <w:rPr>
          <w:szCs w:val="22"/>
        </w:rPr>
      </w:pPr>
      <w:r>
        <w:rPr>
          <w:rFonts w:hint="eastAsia"/>
          <w:szCs w:val="22"/>
        </w:rPr>
        <w:t>——平均年龄：对于乔木林、人工灌木林和新造林，调查记载平均年龄。其中乔木林的平均年龄为主林层优势树种平均年龄。</w:t>
      </w:r>
    </w:p>
    <w:p>
      <w:pPr>
        <w:ind w:left="840" w:leftChars="200" w:hanging="420" w:hangingChars="200"/>
        <w:rPr>
          <w:szCs w:val="22"/>
        </w:rPr>
      </w:pPr>
      <w:r>
        <w:rPr>
          <w:rFonts w:hint="eastAsia"/>
          <w:szCs w:val="22"/>
        </w:rPr>
        <w:t>——平均胸径：对于乔木同龄林，根据主林层优势树种的每木检尺胸径，采用平方平均法计算平均胸径，以厘米为单位，记载到小数点后1位；对于异龄林，用占总断面积或蓄积65%或总株数35%的较大径级林技术平均胸径。对于竹林，调查记载平均胸径，采用3株平均竹的平方平均值。</w:t>
      </w:r>
    </w:p>
    <w:p>
      <w:pPr>
        <w:ind w:left="840" w:leftChars="200" w:hanging="420" w:hangingChars="200"/>
        <w:rPr>
          <w:szCs w:val="22"/>
        </w:rPr>
      </w:pPr>
      <w:r>
        <w:rPr>
          <w:rFonts w:hint="eastAsia"/>
          <w:szCs w:val="22"/>
        </w:rPr>
        <w:t>——平均树高：对于乔木林，根据平均胸径大小，在主林层优势树种中选择3株~5株平均样木测定树高，按要求记载，采用算术平均法计算平均树高，以m为单位，记载到小数点后一位。对于竹林，调查和记载平均竹枝下高。</w:t>
      </w:r>
    </w:p>
    <w:p>
      <w:pPr>
        <w:ind w:left="840" w:leftChars="200" w:hanging="420" w:hangingChars="200"/>
        <w:rPr>
          <w:szCs w:val="22"/>
        </w:rPr>
      </w:pPr>
      <w:r>
        <w:rPr>
          <w:rFonts w:hint="eastAsia"/>
          <w:szCs w:val="22"/>
        </w:rPr>
        <w:t>——平均优势高：对于乔木林，在主林层优势树种中选择3株优势木（最高2株最大1株）测定树高，按要求记载，采用算术平均法计算平均树高，以m为单位，记载到小数点后一位。</w:t>
      </w:r>
    </w:p>
    <w:p>
      <w:pPr>
        <w:ind w:left="840" w:leftChars="200" w:hanging="420" w:hangingChars="200"/>
        <w:rPr>
          <w:szCs w:val="22"/>
        </w:rPr>
      </w:pPr>
      <w:r>
        <w:rPr>
          <w:rFonts w:hint="eastAsia"/>
          <w:szCs w:val="22"/>
        </w:rPr>
        <w:t>——龄组：对于乔木同龄林，根据平均年龄与起源确定龄组，用代码记载。优势树种龄组划分标准执行GB/T 38590。对于混交林，龄组的确定应综合考虑主要和次要树种的平均年龄。</w:t>
      </w:r>
    </w:p>
    <w:p>
      <w:pPr>
        <w:ind w:left="840" w:leftChars="200" w:hanging="420" w:hangingChars="200"/>
        <w:rPr>
          <w:szCs w:val="22"/>
        </w:rPr>
      </w:pPr>
      <w:r>
        <w:rPr>
          <w:rFonts w:hint="eastAsia"/>
          <w:szCs w:val="22"/>
        </w:rPr>
        <w:t>——经济林产期：对于经济林，调查产期，用代码记载。经济林产期代码执行GB/T 38590。</w:t>
      </w:r>
    </w:p>
    <w:p>
      <w:pPr>
        <w:ind w:left="840" w:leftChars="200" w:hanging="420" w:hangingChars="200"/>
        <w:rPr>
          <w:szCs w:val="22"/>
        </w:rPr>
      </w:pPr>
      <w:r>
        <w:rPr>
          <w:rFonts w:hint="eastAsia"/>
          <w:szCs w:val="22"/>
        </w:rPr>
        <w:t>——群落结构、树种结构、林层结构和林龄结构：对乔木林、竹林，按GB/T 38590规定的群落结构类型、树种结构类型、林层结构和林龄结构划分标准进行调查，用代码记载。竹林的林龄结构按异龄林填写。</w:t>
      </w:r>
    </w:p>
    <w:p>
      <w:pPr>
        <w:ind w:left="840" w:leftChars="200" w:hanging="420" w:hangingChars="200"/>
        <w:rPr>
          <w:szCs w:val="22"/>
        </w:rPr>
      </w:pPr>
      <w:r>
        <w:rPr>
          <w:rFonts w:hint="eastAsia"/>
          <w:szCs w:val="22"/>
        </w:rPr>
        <w:t>——郁闭度：乔木林、竹林样地内乔木（竹）树冠垂直投影覆盖面积与样地面积的比例。采用对角截距抽样或目测方法调查，记载到小数点后2位。对于郁闭度达不到0.20，但保存率达到80%以上生长稳定的人工幼龄林，郁闭度按0.20记载。</w:t>
      </w:r>
    </w:p>
    <w:p>
      <w:pPr>
        <w:ind w:left="840" w:leftChars="200" w:hanging="420" w:hangingChars="200"/>
        <w:rPr>
          <w:szCs w:val="22"/>
        </w:rPr>
      </w:pPr>
      <w:r>
        <w:rPr>
          <w:rFonts w:hint="eastAsia"/>
          <w:szCs w:val="22"/>
        </w:rPr>
        <w:t>——可及度：对于用材林近成过熟林，按GB/T 38590规定的划分标准确定可及度等级，用代码记载。</w:t>
      </w:r>
    </w:p>
    <w:p>
      <w:pPr>
        <w:ind w:left="840" w:leftChars="200" w:hanging="420" w:hangingChars="200"/>
        <w:rPr>
          <w:szCs w:val="22"/>
        </w:rPr>
      </w:pPr>
      <w:r>
        <w:rPr>
          <w:rFonts w:hint="eastAsia"/>
          <w:szCs w:val="22"/>
        </w:rPr>
        <w:t>——森林灾害类型和森林灾害等级：对于乔木林、竹林和特殊灌木林，调查森林灾害类型，用代码记载。森林灾害类型代码执行GB/T 38590。根据受害立木株数，按GB/T 38590规定的评定标准，确定森林灾害等级，用代码记载。</w:t>
      </w:r>
    </w:p>
    <w:p>
      <w:pPr>
        <w:ind w:left="840" w:leftChars="200" w:hanging="420" w:hangingChars="200"/>
        <w:rPr>
          <w:szCs w:val="22"/>
        </w:rPr>
      </w:pPr>
      <w:r>
        <w:rPr>
          <w:rFonts w:hint="eastAsia"/>
          <w:szCs w:val="22"/>
        </w:rPr>
        <w:t>——森林健康等级：对于乔木林、竹林和特殊灌木林，按GB/T 38590规定的评定标准，调查确定森林健康等级，用代码记载。</w:t>
      </w:r>
    </w:p>
    <w:p>
      <w:pPr>
        <w:ind w:left="840" w:leftChars="200" w:hanging="420" w:hangingChars="200"/>
        <w:rPr>
          <w:szCs w:val="22"/>
        </w:rPr>
      </w:pPr>
      <w:r>
        <w:rPr>
          <w:rFonts w:hint="eastAsia"/>
          <w:szCs w:val="22"/>
        </w:rPr>
        <w:t>——毛竹株数：调查记载毛竹林和其他森林覆被类型样地内的毛竹（胸径大于或等于2cm）总株数。</w:t>
      </w:r>
    </w:p>
    <w:p>
      <w:pPr>
        <w:ind w:left="840" w:leftChars="200" w:hanging="420" w:hangingChars="200"/>
        <w:rPr>
          <w:szCs w:val="22"/>
        </w:rPr>
      </w:pPr>
      <w:r>
        <w:rPr>
          <w:rFonts w:hint="eastAsia"/>
          <w:szCs w:val="22"/>
        </w:rPr>
        <w:t>——抚育措施：对于已郁闭的乔木林和竹林，通过查阅森林抚育规划、设计、实施和验收报告等资料，确定抚育措施，用代码记载。抚育措施代码执行GB/T 38590。</w:t>
      </w:r>
    </w:p>
    <w:p>
      <w:pPr>
        <w:ind w:left="840" w:leftChars="200" w:hanging="420" w:hangingChars="200"/>
        <w:rPr>
          <w:szCs w:val="22"/>
        </w:rPr>
      </w:pPr>
      <w:r>
        <w:rPr>
          <w:rFonts w:hint="eastAsia"/>
          <w:szCs w:val="22"/>
        </w:rPr>
        <w:t>——下木：胸径小于5cm、高度大于或等于2m的幼树的树种名称、高度、胸径，按树种调查记载。</w:t>
      </w:r>
    </w:p>
    <w:p>
      <w:pPr>
        <w:ind w:left="840" w:leftChars="200" w:hanging="420" w:hangingChars="200"/>
        <w:rPr>
          <w:szCs w:val="22"/>
        </w:rPr>
      </w:pPr>
      <w:r>
        <w:rPr>
          <w:rFonts w:hint="eastAsia"/>
          <w:szCs w:val="22"/>
        </w:rPr>
        <w:t>——更新类别：对乔木林调查更新类别，用代码记载。按人工更新、天然更新、人工促进更新分类。</w:t>
      </w:r>
    </w:p>
    <w:p>
      <w:pPr>
        <w:ind w:left="840" w:leftChars="200" w:hanging="420" w:hangingChars="200"/>
        <w:rPr>
          <w:szCs w:val="22"/>
        </w:rPr>
      </w:pPr>
      <w:r>
        <w:rPr>
          <w:rFonts w:hint="eastAsia"/>
          <w:szCs w:val="22"/>
        </w:rPr>
        <w:t>——幼树树种：更新样方内胸径小于5cm的乔木树种名称，用代码记载。</w:t>
      </w:r>
    </w:p>
    <w:p>
      <w:pPr>
        <w:ind w:left="840" w:leftChars="200" w:hanging="420" w:hangingChars="200"/>
        <w:rPr>
          <w:szCs w:val="22"/>
        </w:rPr>
      </w:pPr>
      <w:r>
        <w:rPr>
          <w:rFonts w:hint="eastAsia"/>
          <w:szCs w:val="22"/>
        </w:rPr>
        <w:t>——幼树平均高：记录更新样方内幼树平均高度，单位为m。</w:t>
      </w:r>
    </w:p>
    <w:p>
      <w:pPr>
        <w:ind w:left="840" w:leftChars="200" w:hanging="420" w:hangingChars="200"/>
        <w:rPr>
          <w:szCs w:val="22"/>
        </w:rPr>
      </w:pPr>
      <w:r>
        <w:rPr>
          <w:rFonts w:hint="eastAsia"/>
          <w:szCs w:val="22"/>
        </w:rPr>
        <w:t>——幼树株数：记录更新样方内幼树株数。</w:t>
      </w:r>
    </w:p>
    <w:p>
      <w:pPr>
        <w:ind w:left="840" w:leftChars="200" w:hanging="420" w:hangingChars="200"/>
        <w:rPr>
          <w:szCs w:val="22"/>
        </w:rPr>
      </w:pPr>
      <w:r>
        <w:rPr>
          <w:rFonts w:hint="eastAsia"/>
          <w:szCs w:val="22"/>
        </w:rPr>
        <w:t>——幼树分布：记录样方内幼树分布情况，分为均匀分布、集群分布和随机分布。</w:t>
      </w:r>
    </w:p>
    <w:p>
      <w:pPr>
        <w:ind w:left="840" w:leftChars="200" w:hanging="420" w:hangingChars="200"/>
      </w:pPr>
      <w:r>
        <w:rPr>
          <w:rFonts w:hint="eastAsia"/>
        </w:rPr>
        <w:t>——林木分级：采用德国克拉夫特分级法，将单纯同龄林中的林木按生长优劣分为5级，该分级方法适用于单层同龄人工林。分为优势木、亚优势木、平均木、被压木、濒死木（枯死木）。</w:t>
      </w:r>
    </w:p>
    <w:p>
      <w:pPr>
        <w:ind w:left="840" w:leftChars="200" w:hanging="420" w:hangingChars="200"/>
        <w:rPr>
          <w:szCs w:val="22"/>
        </w:rPr>
      </w:pPr>
      <w:r>
        <w:rPr>
          <w:rFonts w:hint="eastAsia"/>
          <w:szCs w:val="22"/>
        </w:rPr>
        <w:t>——干型通直度：执行DB43/T 2242规定。</w:t>
      </w:r>
    </w:p>
    <w:p>
      <w:pPr>
        <w:ind w:left="840" w:leftChars="200" w:hanging="420" w:hangingChars="200"/>
        <w:rPr>
          <w:szCs w:val="22"/>
        </w:rPr>
      </w:pPr>
      <w:r>
        <w:rPr>
          <w:rFonts w:hint="eastAsia"/>
          <w:szCs w:val="22"/>
        </w:rPr>
        <w:t>——损伤情况：分为无损伤，轻度损伤，中度损伤，重度损伤，侧重于林木基部的损伤情况。</w:t>
      </w:r>
    </w:p>
    <w:p>
      <w:pPr>
        <w:ind w:left="840" w:leftChars="200" w:hanging="420" w:hangingChars="200"/>
        <w:rPr>
          <w:rFonts w:hint="eastAsia"/>
          <w:szCs w:val="22"/>
        </w:rPr>
      </w:pPr>
      <w:r>
        <w:rPr>
          <w:rFonts w:hint="eastAsia"/>
          <w:szCs w:val="22"/>
        </w:rPr>
        <w:t>——林木分类：分为目标树、辅助树、干扰树和其它树。</w:t>
      </w:r>
    </w:p>
    <w:p>
      <w:pPr>
        <w:ind w:left="840" w:leftChars="200" w:hanging="420" w:hangingChars="200"/>
        <w:rPr>
          <w:rFonts w:hint="eastAsia"/>
        </w:rPr>
      </w:pPr>
      <w:r>
        <w:rPr>
          <w:rFonts w:hint="eastAsia"/>
        </w:rPr>
        <w:t>监测样地调查</w:t>
      </w:r>
      <w:r>
        <w:rPr>
          <w:rFonts w:hint="eastAsia"/>
          <w:lang w:val="en-US" w:eastAsia="zh-CN"/>
        </w:rPr>
        <w:t>表</w:t>
      </w:r>
      <w:r>
        <w:rPr>
          <w:rFonts w:hint="eastAsia"/>
        </w:rPr>
        <w:t>见附录</w:t>
      </w:r>
      <w:r>
        <w:rPr>
          <w:rFonts w:hint="eastAsia"/>
          <w:lang w:val="en-US" w:eastAsia="zh-CN"/>
        </w:rPr>
        <w:t>B</w:t>
      </w:r>
      <w:r>
        <w:rPr>
          <w:rFonts w:hint="eastAsia"/>
        </w:rPr>
        <w:t>。</w:t>
      </w:r>
    </w:p>
    <w:p>
      <w:pPr>
        <w:pStyle w:val="3"/>
        <w:spacing w:before="156" w:after="156"/>
      </w:pPr>
      <w:r>
        <w:rPr>
          <w:rFonts w:hint="eastAsia"/>
        </w:rPr>
        <w:t>6</w:t>
      </w:r>
      <w:r>
        <w:t xml:space="preserve">.6  </w:t>
      </w:r>
      <w:r>
        <w:rPr>
          <w:rFonts w:hint="eastAsia"/>
        </w:rPr>
        <w:t>样木因子调查</w:t>
      </w:r>
    </w:p>
    <w:p>
      <w:pPr>
        <w:keepNext w:val="0"/>
        <w:keepLines w:val="0"/>
        <w:pageBreakBefore w:val="0"/>
        <w:widowControl w:val="0"/>
        <w:kinsoku/>
        <w:wordWrap/>
        <w:overflowPunct/>
        <w:topLinePunct w:val="0"/>
        <w:autoSpaceDE/>
        <w:autoSpaceDN/>
        <w:bidi w:val="0"/>
        <w:adjustRightInd/>
        <w:snapToGrid/>
        <w:spacing w:before="163" w:beforeLines="50" w:after="163" w:afterLines="50"/>
        <w:ind w:firstLine="0" w:firstLineChars="0"/>
        <w:textAlignment w:val="auto"/>
      </w:pPr>
      <w:r>
        <w:t xml:space="preserve">6.6.1  </w:t>
      </w:r>
      <w:r>
        <w:rPr>
          <w:rFonts w:hint="eastAsia"/>
        </w:rPr>
        <w:t>调查对象为乔木，起测胸径为5.0cm。乔木的认定标准为：有明显主干，且树高达到或将来能达到5m以上。矮化经营的灌木型乔木不作为调查对象。</w:t>
      </w:r>
    </w:p>
    <w:p>
      <w:pPr>
        <w:keepNext w:val="0"/>
        <w:keepLines w:val="0"/>
        <w:pageBreakBefore w:val="0"/>
        <w:widowControl w:val="0"/>
        <w:kinsoku/>
        <w:wordWrap/>
        <w:overflowPunct/>
        <w:topLinePunct w:val="0"/>
        <w:autoSpaceDE/>
        <w:autoSpaceDN/>
        <w:bidi w:val="0"/>
        <w:adjustRightInd/>
        <w:snapToGrid/>
        <w:spacing w:before="163" w:beforeLines="50" w:after="163" w:afterLines="50"/>
        <w:ind w:firstLine="0" w:firstLineChars="0"/>
        <w:textAlignment w:val="auto"/>
      </w:pPr>
      <w:r>
        <w:t xml:space="preserve">6.6.2  </w:t>
      </w:r>
      <w:r>
        <w:rPr>
          <w:rFonts w:hint="eastAsia"/>
        </w:rPr>
        <w:t>样木胸径测量位置为树干距上坡根劲1.3m高度（长度）处，应通过统一设置标牌高度来固定。</w:t>
      </w:r>
    </w:p>
    <w:p>
      <w:pPr>
        <w:keepNext w:val="0"/>
        <w:keepLines w:val="0"/>
        <w:pageBreakBefore w:val="0"/>
        <w:widowControl w:val="0"/>
        <w:kinsoku/>
        <w:wordWrap/>
        <w:overflowPunct/>
        <w:topLinePunct w:val="0"/>
        <w:autoSpaceDE/>
        <w:autoSpaceDN/>
        <w:bidi w:val="0"/>
        <w:adjustRightInd/>
        <w:snapToGrid/>
        <w:spacing w:before="163" w:beforeLines="50" w:after="163" w:afterLines="50"/>
        <w:ind w:firstLine="0" w:firstLineChars="0"/>
        <w:textAlignment w:val="auto"/>
      </w:pPr>
      <w:r>
        <w:t xml:space="preserve">6.6.3  </w:t>
      </w:r>
      <w:r>
        <w:rPr>
          <w:rFonts w:hint="eastAsia"/>
        </w:rPr>
        <w:t>对样地内所有样木进行编号，并采用明标（如挂设样木标牌）或暗标（如采用不明显剧痕）的方式进行固定。</w:t>
      </w:r>
    </w:p>
    <w:p>
      <w:pPr>
        <w:ind w:firstLine="0" w:firstLineChars="0"/>
      </w:pPr>
      <w:r>
        <w:t xml:space="preserve">6.6.4  </w:t>
      </w:r>
      <w:r>
        <w:rPr>
          <w:rFonts w:hint="eastAsia"/>
        </w:rPr>
        <w:t>样木因子调查记载：</w:t>
      </w:r>
    </w:p>
    <w:p>
      <w:pPr>
        <w:ind w:left="840" w:leftChars="200" w:hanging="420" w:hangingChars="200"/>
        <w:rPr>
          <w:rFonts w:hint="eastAsia"/>
          <w:szCs w:val="22"/>
        </w:rPr>
      </w:pPr>
      <w:r>
        <w:rPr>
          <w:rFonts w:hint="eastAsia"/>
          <w:szCs w:val="22"/>
        </w:rPr>
        <w:t>——样木号：以监测样地为单位进行编号，并长期保持不变。</w:t>
      </w:r>
    </w:p>
    <w:p>
      <w:pPr>
        <w:ind w:left="840" w:leftChars="200" w:hanging="420" w:hangingChars="200"/>
        <w:rPr>
          <w:rFonts w:hint="eastAsia"/>
          <w:szCs w:val="22"/>
        </w:rPr>
      </w:pPr>
      <w:r>
        <w:rPr>
          <w:rFonts w:hint="eastAsia"/>
          <w:szCs w:val="22"/>
        </w:rPr>
        <w:t>——检尺类型：调查确定样木检尺类型，用代码记载。监测类型代码执行GB/T 38590。</w:t>
      </w:r>
    </w:p>
    <w:p>
      <w:pPr>
        <w:ind w:left="840" w:leftChars="200" w:hanging="420" w:hangingChars="200"/>
        <w:rPr>
          <w:rFonts w:hint="eastAsia"/>
          <w:szCs w:val="22"/>
        </w:rPr>
      </w:pPr>
      <w:r>
        <w:rPr>
          <w:rFonts w:hint="eastAsia"/>
          <w:szCs w:val="22"/>
        </w:rPr>
        <w:t>——树种名称：执行GB/T 38590所列优势树种所列树种（组）调查，用树种名和代码记载。</w:t>
      </w:r>
    </w:p>
    <w:p>
      <w:pPr>
        <w:ind w:left="840" w:leftChars="200" w:hanging="420" w:hangingChars="200"/>
        <w:rPr>
          <w:rFonts w:hint="eastAsia"/>
          <w:szCs w:val="22"/>
        </w:rPr>
      </w:pPr>
      <w:bookmarkStart w:id="16" w:name="_Toc30530"/>
      <w:r>
        <w:rPr>
          <w:rFonts w:hint="eastAsia"/>
          <w:szCs w:val="22"/>
        </w:rPr>
        <w:t>——胸径：胸径以cm为单位，记载到小数点后1位。</w:t>
      </w:r>
    </w:p>
    <w:p>
      <w:pPr>
        <w:ind w:left="840" w:leftChars="200" w:hanging="420" w:hangingChars="200"/>
        <w:rPr>
          <w:rFonts w:hint="eastAsia"/>
          <w:szCs w:val="22"/>
        </w:rPr>
      </w:pPr>
      <w:r>
        <w:rPr>
          <w:rFonts w:hint="eastAsia"/>
          <w:szCs w:val="22"/>
        </w:rPr>
        <w:t>——树高：对于乔木林、竹林样地，用测高仪器或其他测量工作测定树高（竹高），记载到0.1m。</w:t>
      </w:r>
    </w:p>
    <w:p>
      <w:pPr>
        <w:ind w:left="840" w:leftChars="200" w:hanging="420" w:hangingChars="200"/>
        <w:rPr>
          <w:rFonts w:hint="eastAsia"/>
          <w:szCs w:val="22"/>
        </w:rPr>
      </w:pPr>
      <w:r>
        <w:rPr>
          <w:rFonts w:hint="eastAsia"/>
          <w:szCs w:val="22"/>
        </w:rPr>
        <w:t>——林层：执行GB/T 38590的林层结构划分标准，调查确定样木所属林层，用代码记载。</w:t>
      </w:r>
    </w:p>
    <w:p>
      <w:pPr>
        <w:ind w:left="840" w:leftChars="200" w:hanging="420" w:hangingChars="200"/>
        <w:rPr>
          <w:rFonts w:hint="eastAsia"/>
          <w:szCs w:val="22"/>
        </w:rPr>
      </w:pPr>
      <w:r>
        <w:rPr>
          <w:rFonts w:hint="eastAsia"/>
          <w:szCs w:val="22"/>
        </w:rPr>
        <w:t>——方位角、水平距离：每株样木均应测量方位角和水平距离。方位角以度（°）为单位，水平局里以米（m）为单位，均保留1位小数。也可以用纵坐标、横坐标代替方位角、水平距离对样木进行定位。</w:t>
      </w:r>
    </w:p>
    <w:p>
      <w:pPr>
        <w:keepNext w:val="0"/>
        <w:keepLines w:val="0"/>
        <w:pageBreakBefore w:val="0"/>
        <w:widowControl w:val="0"/>
        <w:kinsoku/>
        <w:wordWrap/>
        <w:overflowPunct/>
        <w:topLinePunct w:val="0"/>
        <w:autoSpaceDE/>
        <w:autoSpaceDN/>
        <w:bidi w:val="0"/>
        <w:adjustRightInd/>
        <w:snapToGrid/>
        <w:spacing w:before="163" w:beforeLines="50" w:after="163" w:afterLines="50"/>
        <w:ind w:firstLine="0" w:firstLineChars="0"/>
        <w:textAlignment w:val="auto"/>
      </w:pPr>
      <w:r>
        <w:t xml:space="preserve">6.6.5  </w:t>
      </w:r>
      <w:r>
        <w:rPr>
          <w:rFonts w:hint="eastAsia"/>
        </w:rPr>
        <w:t>根据样木的方位角和水平距离（或纵坐标和横坐标），绘制样木位置图。</w:t>
      </w:r>
    </w:p>
    <w:p>
      <w:pPr>
        <w:pStyle w:val="3"/>
        <w:spacing w:before="156" w:after="156"/>
        <w:rPr>
          <w:rFonts w:hint="eastAsia"/>
        </w:rPr>
      </w:pPr>
      <w:r>
        <w:rPr>
          <w:rFonts w:hint="eastAsia"/>
        </w:rPr>
        <w:t>6.7  其他因子调查</w:t>
      </w:r>
    </w:p>
    <w:p>
      <w:pPr>
        <w:ind w:firstLine="0" w:firstLineChars="0"/>
      </w:pPr>
      <w:r>
        <w:rPr>
          <w:rFonts w:hint="eastAsia"/>
        </w:rPr>
        <w:t>6.7.1 未成林造林地调查：调查记载造林树种、造林年度、苗龄、样地内造林株数、样地内成活株数、造林密度、苗木成活（保存）率和抚育措施等。具体要求如下：</w:t>
      </w:r>
    </w:p>
    <w:p>
      <w:pPr>
        <w:pStyle w:val="24"/>
      </w:pPr>
      <w:r>
        <w:rPr>
          <w:rFonts w:hint="eastAsia"/>
        </w:rPr>
        <w:t>——造林年度：按初始造林的实际年度填写。</w:t>
      </w:r>
    </w:p>
    <w:p>
      <w:pPr>
        <w:pStyle w:val="24"/>
      </w:pPr>
      <w:r>
        <w:rPr>
          <w:rFonts w:hint="eastAsia"/>
        </w:rPr>
        <w:t>——苗龄：按造林所用苗木的年龄填写。</w:t>
      </w:r>
    </w:p>
    <w:p>
      <w:pPr>
        <w:pStyle w:val="24"/>
      </w:pPr>
      <w:r>
        <w:rPr>
          <w:rFonts w:hint="eastAsia"/>
        </w:rPr>
        <w:t>——样地内造林株数：计数样地内的实际造林株数。</w:t>
      </w:r>
    </w:p>
    <w:p>
      <w:pPr>
        <w:pStyle w:val="24"/>
      </w:pPr>
      <w:r>
        <w:rPr>
          <w:rFonts w:hint="eastAsia"/>
        </w:rPr>
        <w:t>——样地内成活株数：计数样地内造林后成活（保存）的苗木株数。</w:t>
      </w:r>
    </w:p>
    <w:p>
      <w:pPr>
        <w:pStyle w:val="24"/>
      </w:pPr>
      <w:r>
        <w:rPr>
          <w:rFonts w:hint="eastAsia"/>
        </w:rPr>
        <w:t>——造林密度：根据样地内造林株数和样地面积换算，单位为株每公顷（株/hm</w:t>
      </w:r>
      <w:r>
        <w:rPr>
          <w:rFonts w:hint="eastAsia"/>
          <w:vertAlign w:val="superscript"/>
        </w:rPr>
        <w:t>2</w:t>
      </w:r>
      <w:r>
        <w:rPr>
          <w:rFonts w:hint="eastAsia"/>
        </w:rPr>
        <w:t>）。</w:t>
      </w:r>
    </w:p>
    <w:p>
      <w:pPr>
        <w:pStyle w:val="24"/>
      </w:pPr>
      <w:r>
        <w:rPr>
          <w:rFonts w:hint="eastAsia"/>
        </w:rPr>
        <w:t>——苗木成活（保存）率：调查时成活苗木株数占实际造林株数的百分比。</w:t>
      </w:r>
    </w:p>
    <w:p>
      <w:pPr>
        <w:pStyle w:val="24"/>
      </w:pPr>
      <w:r>
        <w:rPr>
          <w:rFonts w:hint="eastAsia"/>
        </w:rPr>
        <w:t>——抚育管护措施：按灌溉、补助、施肥、抚育、管护等5种措施调查记载。</w:t>
      </w:r>
    </w:p>
    <w:p>
      <w:pPr>
        <w:pStyle w:val="24"/>
        <w:rPr>
          <w:rFonts w:hint="eastAsia"/>
        </w:rPr>
      </w:pPr>
      <w:r>
        <w:rPr>
          <w:rFonts w:hint="eastAsia"/>
        </w:rPr>
        <w:t>——树种组成：根据样地内成活苗木株数按树种的分布情况，记载树种名称、株数和比例。</w:t>
      </w:r>
    </w:p>
    <w:p>
      <w:pPr>
        <w:pStyle w:val="3"/>
        <w:spacing w:before="156" w:after="156"/>
      </w:pPr>
      <w:r>
        <w:rPr>
          <w:rFonts w:hint="eastAsia"/>
        </w:rPr>
        <w:t>6</w:t>
      </w:r>
      <w:r>
        <w:t xml:space="preserve">.8  </w:t>
      </w:r>
      <w:r>
        <w:rPr>
          <w:rFonts w:hint="eastAsia"/>
        </w:rPr>
        <w:t>遥感判读</w:t>
      </w:r>
    </w:p>
    <w:p>
      <w:pPr>
        <w:pStyle w:val="4"/>
        <w:spacing w:before="156" w:after="156"/>
      </w:pPr>
      <w:r>
        <w:rPr>
          <w:rFonts w:hint="eastAsia"/>
        </w:rPr>
        <w:t xml:space="preserve">6.8.1 </w:t>
      </w:r>
      <w:r>
        <w:rPr>
          <w:rFonts w:hint="eastAsia"/>
          <w:lang w:val="en-US" w:eastAsia="zh-CN"/>
        </w:rPr>
        <w:t xml:space="preserve"> </w:t>
      </w:r>
      <w:r>
        <w:rPr>
          <w:rFonts w:hint="eastAsia"/>
        </w:rPr>
        <w:t>遥感判读目的</w:t>
      </w:r>
    </w:p>
    <w:p>
      <w:pPr>
        <w:ind w:firstLine="420"/>
        <w:rPr>
          <w:rFonts w:hint="eastAsia"/>
        </w:rPr>
      </w:pPr>
      <w:r>
        <w:rPr>
          <w:rFonts w:hint="eastAsia"/>
        </w:rPr>
        <w:t>作为成果制图的重要手段。根据遥感区划判读结果，可以制作项目区的森林分布图及各类专题图。</w:t>
      </w:r>
    </w:p>
    <w:p>
      <w:pPr>
        <w:pStyle w:val="4"/>
        <w:spacing w:before="156" w:after="156"/>
      </w:pPr>
      <w:r>
        <w:rPr>
          <w:rFonts w:hint="eastAsia"/>
        </w:rPr>
        <w:t xml:space="preserve">6.8.2 </w:t>
      </w:r>
      <w:r>
        <w:rPr>
          <w:rFonts w:hint="eastAsia"/>
          <w:lang w:val="en-US" w:eastAsia="zh-CN"/>
        </w:rPr>
        <w:t xml:space="preserve"> </w:t>
      </w:r>
      <w:r>
        <w:rPr>
          <w:rFonts w:hint="eastAsia"/>
        </w:rPr>
        <w:t>遥感数据选择</w:t>
      </w:r>
    </w:p>
    <w:p>
      <w:pPr>
        <w:ind w:firstLine="420"/>
        <w:rPr>
          <w:szCs w:val="22"/>
        </w:rPr>
      </w:pPr>
      <w:r>
        <w:rPr>
          <w:rFonts w:hint="eastAsia"/>
        </w:rPr>
        <w:t>遥感图形处理包括几何精校正、图像合成、图像增强和地理信息叠加等环节。遥感图像经处理后，应图像清晰、层次丰富、色调均匀、反差适中，可判读性好，地形、地物、境界及公里网套合较好。具体标准按照</w:t>
      </w:r>
      <w:r>
        <w:rPr>
          <w:rFonts w:hint="eastAsia"/>
          <w:szCs w:val="22"/>
        </w:rPr>
        <w:t>执行GB/T 38590。</w:t>
      </w:r>
    </w:p>
    <w:p>
      <w:pPr>
        <w:pStyle w:val="4"/>
        <w:spacing w:before="156" w:after="156"/>
      </w:pPr>
      <w:r>
        <w:rPr>
          <w:rFonts w:hint="eastAsia"/>
        </w:rPr>
        <w:t xml:space="preserve">6.8.3 </w:t>
      </w:r>
      <w:r>
        <w:rPr>
          <w:rFonts w:hint="eastAsia"/>
          <w:lang w:val="en-US" w:eastAsia="zh-CN"/>
        </w:rPr>
        <w:t xml:space="preserve"> </w:t>
      </w:r>
      <w:r>
        <w:rPr>
          <w:rFonts w:hint="eastAsia"/>
        </w:rPr>
        <w:t>判读标志建立</w:t>
      </w:r>
    </w:p>
    <w:p>
      <w:pPr>
        <w:ind w:firstLine="420"/>
      </w:pPr>
      <w:r>
        <w:rPr>
          <w:rFonts w:hint="eastAsia"/>
        </w:rPr>
        <w:t>应根据不同时相、物候、地理位置和数据源分别建立成数在0.05以上各种类型的判读标志。选择有充分代表性的地块建立判读标志，制作判读标志样片，并做好记载。</w:t>
      </w:r>
    </w:p>
    <w:p>
      <w:pPr>
        <w:pStyle w:val="4"/>
        <w:spacing w:before="156" w:after="156"/>
      </w:pPr>
      <w:r>
        <w:rPr>
          <w:rFonts w:hint="eastAsia"/>
        </w:rPr>
        <w:t xml:space="preserve">6.8.4 </w:t>
      </w:r>
      <w:r>
        <w:rPr>
          <w:rFonts w:hint="eastAsia"/>
          <w:lang w:val="en-US" w:eastAsia="zh-CN"/>
        </w:rPr>
        <w:t xml:space="preserve"> </w:t>
      </w:r>
      <w:r>
        <w:rPr>
          <w:rFonts w:hint="eastAsia"/>
        </w:rPr>
        <w:t>区划判读</w:t>
      </w:r>
    </w:p>
    <w:p>
      <w:pPr>
        <w:ind w:firstLine="420"/>
      </w:pPr>
      <w:r>
        <w:rPr>
          <w:rFonts w:hint="eastAsia"/>
        </w:rPr>
        <w:t>按遥感影像特征，沿森林覆被类型分界线进行判读区划，勾绘提取乔木林、竹林、灌木林等林地图斑，制作森林分布图。勾绘图斑界线须与遥感影像图上不同类型变更线吻合，并且闭合。最小图斑面积应达到400m</w:t>
      </w:r>
      <w:r>
        <w:rPr>
          <w:rFonts w:hint="eastAsia"/>
          <w:vertAlign w:val="superscript"/>
        </w:rPr>
        <w:t>2</w:t>
      </w:r>
      <w:r>
        <w:rPr>
          <w:rFonts w:hint="eastAsia"/>
        </w:rPr>
        <w:t>。</w:t>
      </w:r>
    </w:p>
    <w:p>
      <w:pPr>
        <w:pStyle w:val="2"/>
        <w:spacing w:before="312" w:after="312"/>
        <w:rPr>
          <w:szCs w:val="20"/>
        </w:rPr>
      </w:pPr>
      <w:bookmarkStart w:id="17" w:name="_Toc15985"/>
      <w:r>
        <w:rPr>
          <w:rFonts w:hint="eastAsia"/>
        </w:rPr>
        <w:t>7</w:t>
      </w:r>
      <w:r>
        <w:t xml:space="preserve">  </w:t>
      </w:r>
      <w:r>
        <w:rPr>
          <w:rFonts w:hint="eastAsia"/>
        </w:rPr>
        <w:t>分析评估</w:t>
      </w:r>
      <w:bookmarkEnd w:id="17"/>
    </w:p>
    <w:p>
      <w:pPr>
        <w:pStyle w:val="3"/>
        <w:spacing w:before="156" w:after="156"/>
      </w:pPr>
      <w:r>
        <w:rPr>
          <w:rFonts w:hint="eastAsia"/>
        </w:rPr>
        <w:t>7</w:t>
      </w:r>
      <w:r>
        <w:t xml:space="preserve">.1  </w:t>
      </w:r>
      <w:r>
        <w:rPr>
          <w:rFonts w:hint="eastAsia"/>
        </w:rPr>
        <w:t>数据处理</w:t>
      </w:r>
    </w:p>
    <w:p>
      <w:pPr>
        <w:ind w:firstLine="420"/>
      </w:pPr>
      <w:r>
        <w:rPr>
          <w:rFonts w:hint="eastAsia"/>
        </w:rPr>
        <w:t>对样地、样木调查因子进行数据录入、逻辑检查和数据预处理。</w:t>
      </w:r>
    </w:p>
    <w:p>
      <w:pPr>
        <w:pStyle w:val="3"/>
        <w:spacing w:before="156" w:after="156"/>
      </w:pPr>
      <w:r>
        <w:rPr>
          <w:rFonts w:hint="eastAsia"/>
        </w:rPr>
        <w:t>7</w:t>
      </w:r>
      <w:r>
        <w:t xml:space="preserve">.2  </w:t>
      </w:r>
      <w:r>
        <w:rPr>
          <w:rFonts w:hint="eastAsia"/>
        </w:rPr>
        <w:t>统计分析</w:t>
      </w:r>
    </w:p>
    <w:p>
      <w:pPr>
        <w:ind w:firstLine="420"/>
      </w:pPr>
      <w:r>
        <w:rPr>
          <w:rFonts w:hint="eastAsia"/>
        </w:rPr>
        <w:t>对各项目监测结果进行现状统计、动态分析，对监测结构进行统计汇总。</w:t>
      </w:r>
    </w:p>
    <w:p>
      <w:pPr>
        <w:pStyle w:val="3"/>
        <w:spacing w:before="156" w:after="156"/>
      </w:pPr>
      <w:r>
        <w:rPr>
          <w:rFonts w:hint="eastAsia"/>
        </w:rPr>
        <w:t>7</w:t>
      </w:r>
      <w:r>
        <w:t xml:space="preserve">.3  </w:t>
      </w:r>
      <w:r>
        <w:rPr>
          <w:rFonts w:hint="eastAsia"/>
        </w:rPr>
        <w:t>专题评价</w:t>
      </w:r>
    </w:p>
    <w:p>
      <w:pPr>
        <w:pStyle w:val="4"/>
        <w:spacing w:before="156" w:after="156"/>
      </w:pPr>
      <w:r>
        <w:rPr>
          <w:rFonts w:hint="eastAsia"/>
        </w:rPr>
        <w:t xml:space="preserve">7.3.1 </w:t>
      </w:r>
      <w:r>
        <w:rPr>
          <w:rFonts w:hint="eastAsia"/>
          <w:lang w:val="en-US" w:eastAsia="zh-CN"/>
        </w:rPr>
        <w:t xml:space="preserve"> </w:t>
      </w:r>
      <w:r>
        <w:rPr>
          <w:rFonts w:hint="eastAsia"/>
        </w:rPr>
        <w:t>森林质量评价</w:t>
      </w:r>
    </w:p>
    <w:p>
      <w:pPr>
        <w:ind w:firstLine="420"/>
      </w:pPr>
      <w:r>
        <w:rPr>
          <w:rFonts w:hint="eastAsia"/>
        </w:rPr>
        <w:t>森林质量评价包括林地质量等级和乔木林质量等级评价两个部分：</w:t>
      </w:r>
    </w:p>
    <w:p>
      <w:pPr>
        <w:ind w:firstLine="420"/>
      </w:pPr>
      <w:r>
        <w:rPr>
          <w:rFonts w:hint="eastAsia"/>
        </w:rPr>
        <w:t>林地质量等级评价。选取土壤物理性质和土壤化学性质，采用层次分析法，对各类林地质量等级进行综合判定。林地质量等级评价方法按照LY/T 1955。</w:t>
      </w:r>
    </w:p>
    <w:p>
      <w:pPr>
        <w:ind w:firstLine="420"/>
        <w:rPr>
          <w:rFonts w:hint="eastAsia"/>
          <w:szCs w:val="22"/>
          <w:highlight w:val="none"/>
        </w:rPr>
      </w:pPr>
      <w:r>
        <w:rPr>
          <w:rFonts w:hint="eastAsia"/>
        </w:rPr>
        <w:t>乔木林质量等级评价。对乔木林质量等级，从森林覆盖、森林结构、森林生产力、森林健康、森林灾害等方面选取17项指标，采用层次分析法和特尔菲法，进行综合评定。</w:t>
      </w:r>
      <w:r>
        <w:rPr>
          <w:rFonts w:hint="eastAsia"/>
          <w:highlight w:val="none"/>
        </w:rPr>
        <w:t>执行</w:t>
      </w:r>
      <w:r>
        <w:rPr>
          <w:rFonts w:hint="eastAsia"/>
          <w:szCs w:val="22"/>
          <w:highlight w:val="none"/>
        </w:rPr>
        <w:t>GB/T 38590。</w:t>
      </w:r>
    </w:p>
    <w:p>
      <w:pPr>
        <w:pStyle w:val="4"/>
        <w:spacing w:before="156" w:after="156"/>
        <w:rPr>
          <w:rFonts w:hint="eastAsia"/>
          <w:sz w:val="21"/>
        </w:rPr>
      </w:pPr>
      <w:r>
        <w:rPr>
          <w:rFonts w:hint="eastAsia"/>
          <w:sz w:val="21"/>
        </w:rPr>
        <w:t>7.3.2</w:t>
      </w:r>
      <w:r>
        <w:rPr>
          <w:rFonts w:hint="eastAsia"/>
          <w:sz w:val="21"/>
          <w:lang w:val="en-US" w:eastAsia="zh-CN"/>
        </w:rPr>
        <w:t xml:space="preserve">  价值分析</w:t>
      </w:r>
      <w:r>
        <w:rPr>
          <w:rFonts w:hint="eastAsia"/>
          <w:sz w:val="21"/>
        </w:rPr>
        <w:t>评价</w:t>
      </w:r>
    </w:p>
    <w:p>
      <w:pPr>
        <w:ind w:firstLine="420"/>
        <w:rPr>
          <w:rFonts w:hint="eastAsia"/>
        </w:rPr>
      </w:pPr>
      <w:r>
        <w:rPr>
          <w:rFonts w:hint="eastAsia"/>
          <w:lang w:val="en-US" w:eastAsia="zh-CN"/>
        </w:rPr>
        <w:t>价值分析</w:t>
      </w:r>
      <w:r>
        <w:rPr>
          <w:rFonts w:hint="eastAsia"/>
        </w:rPr>
        <w:t>评价</w:t>
      </w:r>
      <w:r>
        <w:rPr>
          <w:rFonts w:hint="eastAsia"/>
          <w:lang w:val="en-US" w:eastAsia="zh-CN"/>
        </w:rPr>
        <w:t>包括净现值</w:t>
      </w:r>
      <w:r>
        <w:rPr>
          <w:rFonts w:hint="eastAsia"/>
        </w:rPr>
        <w:t>、</w:t>
      </w:r>
      <w:r>
        <w:rPr>
          <w:rFonts w:hint="eastAsia"/>
          <w:lang w:val="en-US" w:eastAsia="zh-CN"/>
        </w:rPr>
        <w:t>内部收益率</w:t>
      </w:r>
      <w:r>
        <w:rPr>
          <w:rFonts w:hint="eastAsia"/>
          <w:lang w:eastAsia="zh-CN"/>
        </w:rPr>
        <w:t>。</w:t>
      </w:r>
    </w:p>
    <w:p>
      <w:pPr>
        <w:pStyle w:val="4"/>
        <w:spacing w:before="156" w:after="156"/>
      </w:pPr>
      <w:r>
        <w:rPr>
          <w:rFonts w:hint="eastAsia"/>
        </w:rPr>
        <w:t>7.3.</w:t>
      </w:r>
      <w:r>
        <w:rPr>
          <w:rFonts w:hint="eastAsia"/>
          <w:lang w:val="en-US" w:eastAsia="zh-CN"/>
        </w:rPr>
        <w:t xml:space="preserve">3  </w:t>
      </w:r>
      <w:r>
        <w:rPr>
          <w:rFonts w:hint="eastAsia"/>
        </w:rPr>
        <w:t>生态功能评价</w:t>
      </w:r>
    </w:p>
    <w:p>
      <w:pPr>
        <w:ind w:firstLine="420"/>
      </w:pPr>
      <w:r>
        <w:rPr>
          <w:rFonts w:hint="eastAsia"/>
        </w:rPr>
        <w:t>生态功能评价包括森林植被生物量和碳储量计算、生物多样性评价和森林生态系统服务功能评估：</w:t>
      </w:r>
    </w:p>
    <w:p>
      <w:pPr>
        <w:ind w:firstLine="420"/>
      </w:pPr>
      <w:r>
        <w:rPr>
          <w:rFonts w:hint="eastAsia"/>
        </w:rPr>
        <w:t>执行GB/T 38590规定，计算森林植被生物量和碳储量。</w:t>
      </w:r>
    </w:p>
    <w:p>
      <w:pPr>
        <w:ind w:firstLine="420"/>
      </w:pPr>
      <w:r>
        <w:rPr>
          <w:rFonts w:hint="eastAsia"/>
        </w:rPr>
        <w:t>执行GB/T 38590规定，进行生物多样性评价。</w:t>
      </w:r>
    </w:p>
    <w:p>
      <w:pPr>
        <w:ind w:firstLine="420"/>
        <w:rPr>
          <w:rFonts w:hint="eastAsia"/>
        </w:rPr>
      </w:pPr>
      <w:r>
        <w:rPr>
          <w:rFonts w:hint="eastAsia"/>
        </w:rPr>
        <w:t>执行GB/T 38582规定，进行生态功能评估。</w:t>
      </w:r>
    </w:p>
    <w:p>
      <w:pPr>
        <w:pStyle w:val="2"/>
        <w:spacing w:before="312" w:after="312"/>
        <w:rPr>
          <w:szCs w:val="20"/>
        </w:rPr>
      </w:pPr>
      <w:bookmarkStart w:id="18" w:name="_Toc13954"/>
      <w:r>
        <w:rPr>
          <w:rFonts w:hint="eastAsia"/>
        </w:rPr>
        <w:t>8</w:t>
      </w:r>
      <w:r>
        <w:t xml:space="preserve">  </w:t>
      </w:r>
      <w:r>
        <w:rPr>
          <w:rFonts w:hint="eastAsia"/>
        </w:rPr>
        <w:t>监测成果</w:t>
      </w:r>
      <w:bookmarkEnd w:id="18"/>
    </w:p>
    <w:p>
      <w:pPr>
        <w:pStyle w:val="3"/>
        <w:spacing w:before="156" w:after="156"/>
      </w:pPr>
      <w:r>
        <w:rPr>
          <w:rFonts w:hint="eastAsia"/>
        </w:rPr>
        <w:t>8</w:t>
      </w:r>
      <w:r>
        <w:t xml:space="preserve">.1  </w:t>
      </w:r>
      <w:r>
        <w:rPr>
          <w:rFonts w:hint="eastAsia"/>
        </w:rPr>
        <w:t>文字材料</w:t>
      </w:r>
    </w:p>
    <w:p>
      <w:pPr>
        <w:ind w:firstLine="420"/>
      </w:pPr>
      <w:r>
        <w:rPr>
          <w:rFonts w:hint="eastAsia"/>
        </w:rPr>
        <w:t>主要包括如下：</w:t>
      </w:r>
    </w:p>
    <w:p>
      <w:pPr>
        <w:ind w:firstLine="420"/>
      </w:pPr>
      <w:r>
        <w:rPr>
          <w:rFonts w:hint="eastAsia"/>
        </w:rPr>
        <w:t>a）监测评估成果报告；</w:t>
      </w:r>
    </w:p>
    <w:p>
      <w:pPr>
        <w:ind w:firstLine="420"/>
        <w:rPr>
          <w:rFonts w:hint="eastAsia"/>
        </w:rPr>
      </w:pPr>
      <w:r>
        <w:rPr>
          <w:rFonts w:hint="eastAsia"/>
        </w:rPr>
        <w:t>b）监测评估工作方案、技术方案、操作细则。</w:t>
      </w:r>
    </w:p>
    <w:p>
      <w:pPr>
        <w:pStyle w:val="3"/>
        <w:spacing w:before="156" w:after="156"/>
        <w:rPr>
          <w:lang w:val="en-US"/>
        </w:rPr>
      </w:pPr>
      <w:r>
        <w:rPr>
          <w:rFonts w:hint="eastAsia"/>
          <w:lang w:val="en-US"/>
        </w:rPr>
        <w:t>8</w:t>
      </w:r>
      <w:r>
        <w:rPr>
          <w:lang w:val="en-US"/>
        </w:rPr>
        <w:t xml:space="preserve">.2  </w:t>
      </w:r>
      <w:r>
        <w:rPr>
          <w:rFonts w:hint="eastAsia"/>
        </w:rPr>
        <w:t>表格材料</w:t>
      </w:r>
    </w:p>
    <w:p>
      <w:pPr>
        <w:ind w:firstLine="420"/>
      </w:pPr>
      <w:r>
        <w:rPr>
          <w:rFonts w:hint="eastAsia"/>
        </w:rPr>
        <w:t>主要包括如下：</w:t>
      </w:r>
    </w:p>
    <w:p>
      <w:pPr>
        <w:ind w:firstLine="420"/>
      </w:pPr>
      <w:r>
        <w:rPr>
          <w:rFonts w:hint="eastAsia"/>
        </w:rPr>
        <w:t>a）样地样木调查记录卡片；</w:t>
      </w:r>
    </w:p>
    <w:p>
      <w:pPr>
        <w:ind w:firstLine="420"/>
        <w:rPr>
          <w:rFonts w:hint="eastAsia"/>
        </w:rPr>
      </w:pPr>
      <w:r>
        <w:rPr>
          <w:rFonts w:hint="eastAsia"/>
        </w:rPr>
        <w:t>b）监测成果统计表。</w:t>
      </w:r>
    </w:p>
    <w:p>
      <w:pPr>
        <w:pStyle w:val="3"/>
        <w:spacing w:before="156" w:after="156"/>
      </w:pPr>
      <w:r>
        <w:rPr>
          <w:rFonts w:hint="eastAsia"/>
        </w:rPr>
        <w:t>8</w:t>
      </w:r>
      <w:r>
        <w:t xml:space="preserve">.3  </w:t>
      </w:r>
      <w:r>
        <w:rPr>
          <w:rFonts w:hint="eastAsia"/>
        </w:rPr>
        <w:t>图面材料</w:t>
      </w:r>
    </w:p>
    <w:p>
      <w:pPr>
        <w:ind w:firstLine="420"/>
      </w:pPr>
      <w:r>
        <w:rPr>
          <w:rFonts w:hint="eastAsia"/>
        </w:rPr>
        <w:t>主要包括如下：</w:t>
      </w:r>
    </w:p>
    <w:p>
      <w:pPr>
        <w:ind w:firstLine="420"/>
      </w:pPr>
      <w:r>
        <w:rPr>
          <w:rFonts w:hint="eastAsia"/>
        </w:rPr>
        <w:t>a）遥感影像图；</w:t>
      </w:r>
    </w:p>
    <w:p>
      <w:pPr>
        <w:ind w:firstLine="420"/>
      </w:pPr>
      <w:r>
        <w:rPr>
          <w:rFonts w:hint="eastAsia"/>
        </w:rPr>
        <w:t>b）森林分布团；</w:t>
      </w:r>
    </w:p>
    <w:p>
      <w:pPr>
        <w:ind w:firstLine="420"/>
      </w:pPr>
      <w:r>
        <w:rPr>
          <w:rFonts w:hint="eastAsia"/>
        </w:rPr>
        <w:t>c）其他专题图。</w:t>
      </w:r>
    </w:p>
    <w:p>
      <w:pPr>
        <w:ind w:firstLine="420"/>
        <w:rPr>
          <w:rFonts w:eastAsia="黑体"/>
          <w:bCs/>
          <w:szCs w:val="21"/>
        </w:rPr>
      </w:pPr>
      <w:r>
        <w:rPr>
          <w:rFonts w:eastAsia="黑体"/>
          <w:bCs/>
          <w:szCs w:val="21"/>
        </w:rPr>
        <w:br w:type="page"/>
      </w:r>
    </w:p>
    <w:p>
      <w:pPr>
        <w:widowControl/>
        <w:ind w:left="0" w:leftChars="0" w:firstLine="0" w:firstLineChars="0"/>
        <w:jc w:val="center"/>
        <w:outlineLvl w:val="0"/>
        <w:rPr>
          <w:rFonts w:ascii="黑体" w:hAnsi="黑体" w:eastAsia="黑体"/>
          <w:bCs/>
          <w:szCs w:val="21"/>
        </w:rPr>
      </w:pPr>
      <w:bookmarkStart w:id="19" w:name="_Toc19454"/>
      <w:r>
        <w:rPr>
          <w:rFonts w:ascii="黑体" w:hAnsi="黑体" w:eastAsia="黑体"/>
          <w:bCs/>
          <w:szCs w:val="21"/>
        </w:rPr>
        <w:t>附录</w:t>
      </w:r>
      <w:r>
        <w:rPr>
          <w:rFonts w:hint="eastAsia" w:ascii="黑体" w:hAnsi="黑体" w:eastAsia="黑体"/>
          <w:bCs/>
          <w:szCs w:val="21"/>
          <w:lang w:val="en-US" w:eastAsia="zh-CN"/>
        </w:rPr>
        <w:t>A</w:t>
      </w:r>
      <w:r>
        <w:rPr>
          <w:rFonts w:ascii="黑体" w:hAnsi="黑体" w:eastAsia="黑体"/>
          <w:bCs/>
          <w:szCs w:val="21"/>
        </w:rPr>
        <w:t xml:space="preserve"> </w:t>
      </w:r>
    </w:p>
    <w:p>
      <w:pPr>
        <w:widowControl/>
        <w:ind w:left="0" w:leftChars="0" w:firstLine="0" w:firstLineChars="0"/>
        <w:jc w:val="center"/>
        <w:outlineLvl w:val="0"/>
        <w:rPr>
          <w:rFonts w:eastAsiaTheme="majorEastAsia"/>
          <w:bCs/>
          <w:szCs w:val="21"/>
          <w:lang w:bidi="ar"/>
        </w:rPr>
      </w:pPr>
      <w:r>
        <w:rPr>
          <w:rFonts w:ascii="黑体" w:hAnsi="黑体" w:eastAsia="黑体"/>
          <w:bCs/>
          <w:szCs w:val="21"/>
        </w:rPr>
        <w:t>（规范性）</w:t>
      </w:r>
    </w:p>
    <w:p>
      <w:pPr>
        <w:widowControl/>
        <w:ind w:left="0" w:leftChars="0" w:firstLine="0" w:firstLineChars="0"/>
        <w:jc w:val="center"/>
        <w:outlineLvl w:val="9"/>
        <w:rPr>
          <w:rFonts w:hint="eastAsia" w:eastAsiaTheme="majorEastAsia"/>
          <w:bCs/>
          <w:szCs w:val="21"/>
          <w:lang w:val="en-US" w:eastAsia="zh-CN" w:bidi="ar"/>
        </w:rPr>
      </w:pPr>
      <w:r>
        <w:rPr>
          <w:rFonts w:eastAsiaTheme="majorEastAsia"/>
          <w:bCs/>
          <w:szCs w:val="21"/>
          <w:lang w:bidi="ar"/>
        </w:rPr>
        <w:t>国家储备林建设监测样地</w:t>
      </w:r>
      <w:r>
        <w:rPr>
          <w:rFonts w:hint="eastAsia" w:eastAsiaTheme="majorEastAsia"/>
          <w:bCs/>
          <w:szCs w:val="21"/>
          <w:lang w:val="en-US" w:eastAsia="zh-CN" w:bidi="ar"/>
        </w:rPr>
        <w:t>样方位置图</w:t>
      </w:r>
    </w:p>
    <w:p>
      <w:pPr>
        <w:widowControl/>
        <w:ind w:firstLine="420"/>
        <w:jc w:val="center"/>
        <w:outlineLvl w:val="9"/>
        <w:rPr>
          <w:rFonts w:hint="eastAsia" w:eastAsiaTheme="majorEastAsia"/>
          <w:bCs/>
          <w:szCs w:val="21"/>
          <w:lang w:val="en-US" w:eastAsia="zh-CN" w:bidi="ar"/>
        </w:rPr>
      </w:pPr>
    </w:p>
    <w:p>
      <w:pPr>
        <w:widowControl/>
        <w:ind w:left="0" w:leftChars="0" w:firstLine="0" w:firstLineChars="0"/>
        <w:jc w:val="center"/>
        <w:outlineLvl w:val="0"/>
        <w:rPr>
          <w:rFonts w:hint="eastAsia" w:ascii="黑体" w:hAnsi="黑体" w:eastAsia="黑体"/>
          <w:bCs/>
          <w:szCs w:val="21"/>
          <w:lang w:eastAsia="zh-CN"/>
        </w:rPr>
      </w:pPr>
      <w:r>
        <w:rPr>
          <w:rFonts w:hint="eastAsia" w:ascii="黑体" w:hAnsi="黑体" w:eastAsia="黑体"/>
          <w:bCs/>
          <w:szCs w:val="21"/>
          <w:lang w:eastAsia="zh-CN"/>
        </w:rPr>
        <w:drawing>
          <wp:inline distT="0" distB="0" distL="114300" distR="114300">
            <wp:extent cx="5938520" cy="4311650"/>
            <wp:effectExtent l="0" t="0" r="5080" b="6350"/>
            <wp:docPr id="15" name="图片 15" descr="样方布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样方布设"/>
                    <pic:cNvPicPr>
                      <a:picLocks noChangeAspect="1"/>
                    </pic:cNvPicPr>
                  </pic:nvPicPr>
                  <pic:blipFill>
                    <a:blip r:embed="rId19"/>
                    <a:stretch>
                      <a:fillRect/>
                    </a:stretch>
                  </pic:blipFill>
                  <pic:spPr>
                    <a:xfrm>
                      <a:off x="0" y="0"/>
                      <a:ext cx="5938520" cy="4311650"/>
                    </a:xfrm>
                    <a:prstGeom prst="rect">
                      <a:avLst/>
                    </a:prstGeom>
                  </pic:spPr>
                </pic:pic>
              </a:graphicData>
            </a:graphic>
          </wp:inline>
        </w:drawing>
      </w:r>
    </w:p>
    <w:p>
      <w:pPr>
        <w:rPr>
          <w:rFonts w:ascii="黑体" w:hAnsi="黑体" w:eastAsia="黑体"/>
          <w:bCs/>
          <w:szCs w:val="21"/>
        </w:rPr>
      </w:pPr>
      <w:r>
        <w:rPr>
          <w:rFonts w:ascii="黑体" w:hAnsi="黑体" w:eastAsia="黑体"/>
          <w:bCs/>
          <w:szCs w:val="21"/>
        </w:rPr>
        <w:br w:type="page"/>
      </w:r>
    </w:p>
    <w:p>
      <w:pPr>
        <w:widowControl/>
        <w:ind w:left="0" w:leftChars="0" w:firstLine="0" w:firstLineChars="0"/>
        <w:jc w:val="center"/>
        <w:outlineLvl w:val="0"/>
        <w:rPr>
          <w:rFonts w:ascii="黑体" w:hAnsi="黑体" w:eastAsia="黑体"/>
          <w:bCs/>
          <w:szCs w:val="21"/>
        </w:rPr>
      </w:pPr>
      <w:r>
        <w:rPr>
          <w:rFonts w:ascii="黑体" w:hAnsi="黑体" w:eastAsia="黑体"/>
          <w:bCs/>
          <w:szCs w:val="21"/>
        </w:rPr>
        <w:t>附录</w:t>
      </w:r>
      <w:bookmarkEnd w:id="19"/>
      <w:r>
        <w:rPr>
          <w:rFonts w:hint="eastAsia" w:ascii="黑体" w:hAnsi="黑体" w:eastAsia="黑体"/>
          <w:bCs/>
          <w:szCs w:val="21"/>
          <w:lang w:val="en-US" w:eastAsia="zh-CN"/>
        </w:rPr>
        <w:t>B</w:t>
      </w:r>
      <w:r>
        <w:rPr>
          <w:rFonts w:ascii="黑体" w:hAnsi="黑体" w:eastAsia="黑体"/>
          <w:bCs/>
          <w:szCs w:val="21"/>
        </w:rPr>
        <w:t xml:space="preserve"> </w:t>
      </w:r>
    </w:p>
    <w:p>
      <w:pPr>
        <w:widowControl/>
        <w:ind w:left="0" w:leftChars="0" w:firstLine="0" w:firstLineChars="0"/>
        <w:jc w:val="center"/>
        <w:outlineLvl w:val="0"/>
        <w:rPr>
          <w:rFonts w:ascii="黑体" w:hAnsi="黑体" w:eastAsia="黑体"/>
          <w:bCs/>
          <w:szCs w:val="21"/>
        </w:rPr>
      </w:pPr>
      <w:bookmarkStart w:id="20" w:name="_Toc25775"/>
      <w:r>
        <w:rPr>
          <w:rFonts w:ascii="黑体" w:hAnsi="黑体" w:eastAsia="黑体"/>
          <w:bCs/>
          <w:szCs w:val="21"/>
        </w:rPr>
        <w:t>（规范性）</w:t>
      </w:r>
      <w:bookmarkEnd w:id="20"/>
    </w:p>
    <w:p>
      <w:pPr>
        <w:widowControl/>
        <w:ind w:left="0" w:leftChars="0" w:firstLine="0" w:firstLineChars="0"/>
        <w:jc w:val="center"/>
        <w:outlineLvl w:val="9"/>
        <w:rPr>
          <w:rFonts w:eastAsiaTheme="majorEastAsia"/>
          <w:bCs/>
          <w:szCs w:val="21"/>
          <w:lang w:bidi="ar"/>
        </w:rPr>
      </w:pPr>
      <w:r>
        <w:rPr>
          <w:rFonts w:eastAsiaTheme="majorEastAsia"/>
          <w:bCs/>
          <w:szCs w:val="21"/>
          <w:lang w:bidi="ar"/>
        </w:rPr>
        <w:t>国家储备林建设监测样地调查记录表</w:t>
      </w:r>
    </w:p>
    <w:p>
      <w:pPr>
        <w:pStyle w:val="82"/>
        <w:spacing w:before="156" w:beforeLines="50" w:after="156" w:afterLines="50" w:line="560" w:lineRule="exact"/>
        <w:ind w:left="0" w:leftChars="0" w:firstLine="0" w:firstLineChars="0"/>
        <w:jc w:val="center"/>
        <w:rPr>
          <w:rFonts w:ascii="Times New Roman" w:eastAsiaTheme="majorEastAsia"/>
          <w:spacing w:val="4"/>
          <w:szCs w:val="21"/>
        </w:rPr>
      </w:pPr>
      <w:r>
        <w:rPr>
          <w:rFonts w:hint="eastAsia" w:ascii="Times New Roman" w:eastAsiaTheme="majorEastAsia"/>
          <w:spacing w:val="4"/>
          <w:szCs w:val="21"/>
          <w:lang w:val="en-US" w:eastAsia="zh-CN"/>
        </w:rPr>
        <w:t>B</w:t>
      </w:r>
      <w:r>
        <w:rPr>
          <w:rFonts w:ascii="Times New Roman" w:eastAsiaTheme="majorEastAsia"/>
          <w:spacing w:val="4"/>
          <w:szCs w:val="21"/>
        </w:rPr>
        <w:t>1 样地因子调查表</w:t>
      </w:r>
    </w:p>
    <w:p>
      <w:pPr>
        <w:autoSpaceDE w:val="0"/>
        <w:autoSpaceDN w:val="0"/>
        <w:adjustRightInd w:val="0"/>
        <w:spacing w:line="520" w:lineRule="exact"/>
        <w:ind w:left="0" w:leftChars="0" w:firstLine="420" w:firstLineChars="200"/>
        <w:rPr>
          <w:rFonts w:eastAsiaTheme="majorEastAsia"/>
          <w:color w:val="auto"/>
          <w:szCs w:val="21"/>
          <w:lang w:bidi="ar"/>
        </w:rPr>
      </w:pPr>
      <w:r>
        <w:rPr>
          <w:rFonts w:eastAsiaTheme="majorEastAsia"/>
          <w:color w:val="auto"/>
          <w:szCs w:val="21"/>
          <w:u w:val="single"/>
        </w:rPr>
        <w:t xml:space="preserve">         </w:t>
      </w:r>
      <w:r>
        <w:rPr>
          <w:rFonts w:eastAsiaTheme="majorEastAsia"/>
          <w:color w:val="auto"/>
          <w:szCs w:val="21"/>
          <w:lang w:bidi="ar"/>
        </w:rPr>
        <w:t>省</w:t>
      </w:r>
      <w:r>
        <w:rPr>
          <w:rFonts w:eastAsiaTheme="majorEastAsia"/>
          <w:color w:val="auto"/>
          <w:szCs w:val="21"/>
          <w:u w:val="single"/>
        </w:rPr>
        <w:t xml:space="preserve">       </w:t>
      </w:r>
      <w:r>
        <w:rPr>
          <w:rFonts w:eastAsiaTheme="majorEastAsia"/>
          <w:color w:val="auto"/>
          <w:szCs w:val="21"/>
          <w:lang w:bidi="ar"/>
        </w:rPr>
        <w:t>县（市、区）</w:t>
      </w:r>
      <w:r>
        <w:rPr>
          <w:rFonts w:eastAsiaTheme="majorEastAsia"/>
          <w:color w:val="auto"/>
          <w:szCs w:val="21"/>
          <w:u w:val="single"/>
        </w:rPr>
        <w:t xml:space="preserve">        </w:t>
      </w:r>
      <w:r>
        <w:rPr>
          <w:rFonts w:eastAsiaTheme="majorEastAsia"/>
          <w:color w:val="auto"/>
          <w:szCs w:val="21"/>
          <w:lang w:bidi="ar"/>
        </w:rPr>
        <w:t>乡（镇、街道、林场</w:t>
      </w:r>
      <w:r>
        <w:rPr>
          <w:rFonts w:eastAsiaTheme="majorEastAsia"/>
          <w:color w:val="auto"/>
          <w:spacing w:val="6"/>
          <w:kern w:val="0"/>
          <w:szCs w:val="21"/>
          <w:lang w:val="zh-CN"/>
        </w:rPr>
        <w:t>）</w:t>
      </w:r>
      <w:r>
        <w:rPr>
          <w:rFonts w:eastAsiaTheme="majorEastAsia"/>
          <w:color w:val="auto"/>
          <w:szCs w:val="21"/>
          <w:u w:val="single"/>
        </w:rPr>
        <w:t xml:space="preserve">       </w:t>
      </w:r>
      <w:r>
        <w:rPr>
          <w:rFonts w:eastAsiaTheme="majorEastAsia"/>
          <w:color w:val="auto"/>
          <w:szCs w:val="21"/>
          <w:u w:val="single"/>
          <w:lang w:bidi="ar"/>
        </w:rPr>
        <w:t xml:space="preserve"> </w:t>
      </w:r>
      <w:r>
        <w:rPr>
          <w:rFonts w:eastAsiaTheme="majorEastAsia"/>
          <w:color w:val="auto"/>
          <w:szCs w:val="21"/>
          <w:lang w:bidi="ar"/>
        </w:rPr>
        <w:t>村（分场、工区）</w:t>
      </w:r>
    </w:p>
    <w:p>
      <w:pPr>
        <w:spacing w:line="520" w:lineRule="exact"/>
        <w:ind w:left="0" w:leftChars="0" w:firstLine="420" w:firstLineChars="200"/>
        <w:rPr>
          <w:rFonts w:eastAsiaTheme="majorEastAsia"/>
          <w:color w:val="auto"/>
          <w:szCs w:val="21"/>
          <w:u w:val="single"/>
        </w:rPr>
      </w:pPr>
      <w:r>
        <w:rPr>
          <w:rFonts w:eastAsiaTheme="majorEastAsia"/>
          <w:color w:val="auto"/>
          <w:szCs w:val="21"/>
          <w:lang w:bidi="ar"/>
        </w:rPr>
        <w:t>样地号：</w:t>
      </w:r>
      <w:r>
        <w:rPr>
          <w:rFonts w:eastAsiaTheme="majorEastAsia"/>
          <w:color w:val="auto"/>
          <w:szCs w:val="21"/>
          <w:u w:val="single"/>
        </w:rPr>
        <w:t xml:space="preserve">              </w:t>
      </w:r>
      <w:r>
        <w:rPr>
          <w:rFonts w:eastAsiaTheme="majorEastAsia"/>
          <w:color w:val="auto"/>
          <w:szCs w:val="21"/>
        </w:rPr>
        <w:t xml:space="preserve">  </w:t>
      </w:r>
      <w:r>
        <w:rPr>
          <w:rFonts w:eastAsiaTheme="majorEastAsia"/>
          <w:color w:val="auto"/>
          <w:szCs w:val="21"/>
          <w:lang w:bidi="ar"/>
        </w:rPr>
        <w:t>经营类型：</w:t>
      </w:r>
      <w:r>
        <w:rPr>
          <w:rFonts w:eastAsiaTheme="majorEastAsia"/>
          <w:color w:val="auto"/>
          <w:szCs w:val="21"/>
          <w:u w:val="single"/>
        </w:rPr>
        <w:t xml:space="preserve">            </w:t>
      </w:r>
      <w:r>
        <w:rPr>
          <w:rFonts w:eastAsiaTheme="majorEastAsia"/>
          <w:color w:val="auto"/>
          <w:szCs w:val="21"/>
        </w:rPr>
        <w:t xml:space="preserve">  经营措施类型：</w:t>
      </w:r>
      <w:r>
        <w:rPr>
          <w:rFonts w:eastAsiaTheme="majorEastAsia"/>
          <w:color w:val="auto"/>
          <w:szCs w:val="21"/>
          <w:u w:val="single"/>
        </w:rPr>
        <w:t xml:space="preserve">             </w:t>
      </w:r>
    </w:p>
    <w:p>
      <w:pPr>
        <w:spacing w:line="520" w:lineRule="exact"/>
        <w:ind w:left="0" w:leftChars="0" w:firstLine="420" w:firstLineChars="200"/>
        <w:rPr>
          <w:rFonts w:eastAsiaTheme="majorEastAsia"/>
          <w:color w:val="auto"/>
          <w:szCs w:val="21"/>
          <w:u w:val="single"/>
        </w:rPr>
      </w:pPr>
      <w:r>
        <w:rPr>
          <w:rFonts w:eastAsiaTheme="majorEastAsia"/>
          <w:color w:val="auto"/>
          <w:szCs w:val="21"/>
        </w:rPr>
        <w:t xml:space="preserve">调查人: </w:t>
      </w:r>
      <w:r>
        <w:rPr>
          <w:rFonts w:eastAsiaTheme="majorEastAsia"/>
          <w:color w:val="auto"/>
          <w:szCs w:val="21"/>
          <w:u w:val="single"/>
        </w:rPr>
        <w:t xml:space="preserve">              </w:t>
      </w:r>
      <w:r>
        <w:rPr>
          <w:rFonts w:eastAsiaTheme="majorEastAsia"/>
          <w:color w:val="auto"/>
          <w:szCs w:val="21"/>
          <w:lang w:bidi="ar"/>
        </w:rPr>
        <w:t xml:space="preserve">  </w:t>
      </w:r>
      <w:r>
        <w:rPr>
          <w:rFonts w:eastAsiaTheme="majorEastAsia"/>
          <w:color w:val="auto"/>
          <w:szCs w:val="21"/>
        </w:rPr>
        <w:t xml:space="preserve">调查时间: </w:t>
      </w:r>
      <w:r>
        <w:rPr>
          <w:rFonts w:eastAsiaTheme="majorEastAsia"/>
          <w:color w:val="auto"/>
          <w:szCs w:val="21"/>
          <w:u w:val="single"/>
        </w:rPr>
        <w:t xml:space="preserve">              </w:t>
      </w:r>
      <w:r>
        <w:rPr>
          <w:rFonts w:eastAsiaTheme="majorEastAsia"/>
          <w:color w:val="auto"/>
          <w:szCs w:val="21"/>
          <w:lang w:bidi="ar"/>
        </w:rPr>
        <w:t xml:space="preserve"> 样地面积(m</w:t>
      </w:r>
      <w:r>
        <w:rPr>
          <w:rFonts w:eastAsiaTheme="majorEastAsia"/>
          <w:color w:val="auto"/>
          <w:szCs w:val="21"/>
          <w:vertAlign w:val="superscript"/>
          <w:lang w:bidi="ar"/>
        </w:rPr>
        <w:t>2</w:t>
      </w:r>
      <w:r>
        <w:rPr>
          <w:rFonts w:eastAsiaTheme="majorEastAsia"/>
          <w:color w:val="auto"/>
          <w:szCs w:val="21"/>
          <w:lang w:bidi="ar"/>
        </w:rPr>
        <w:t>):</w:t>
      </w:r>
      <w:r>
        <w:rPr>
          <w:rFonts w:eastAsiaTheme="majorEastAsia"/>
          <w:color w:val="auto"/>
          <w:szCs w:val="21"/>
          <w:u w:val="single"/>
        </w:rPr>
        <w:t xml:space="preserve">       </w:t>
      </w:r>
    </w:p>
    <w:tbl>
      <w:tblPr>
        <w:tblStyle w:val="2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126"/>
        <w:gridCol w:w="1984"/>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1.样地号</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22.林分类型</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z w:val="20"/>
                <w:szCs w:val="20"/>
              </w:rPr>
              <w:t>2.林班号</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23.优势树种</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3.小班号</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24.树种组成</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z w:val="20"/>
                <w:szCs w:val="20"/>
              </w:rPr>
              <w:t>4.</w:t>
            </w:r>
            <w:r>
              <w:rPr>
                <w:rFonts w:eastAsiaTheme="majorEastAsia"/>
                <w:color w:val="auto"/>
                <w:spacing w:val="4"/>
                <w:kern w:val="0"/>
                <w:sz w:val="20"/>
                <w:szCs w:val="20"/>
              </w:rPr>
              <w:t>纵坐标</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25.平均年龄</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z w:val="20"/>
                <w:szCs w:val="20"/>
              </w:rPr>
              <w:t>5.</w:t>
            </w:r>
            <w:r>
              <w:rPr>
                <w:rFonts w:eastAsiaTheme="majorEastAsia"/>
                <w:color w:val="auto"/>
                <w:spacing w:val="4"/>
                <w:kern w:val="0"/>
                <w:sz w:val="20"/>
                <w:szCs w:val="20"/>
              </w:rPr>
              <w:t>横坐标</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26.龄组</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6.海拔</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27.平均胸径</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7.坡向</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28.林分优势高</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8.坡位</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29.林分平均高</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9.坡度</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30.郁闭度</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10.土壤类型</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31.公顷株数</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11.土壤厚度</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32.公顷蓄积</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12.腐殖层厚度</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33.林层结构</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13.枯枝落叶厚度</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34.森林灾害类型</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14.灌木平均高</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35.森林灾害等级</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15.灌木覆盖度</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36.森林健康等级</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16.草本平均高</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37.更新类别</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17.草本覆盖度</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38.幼树树种</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18.植被总覆盖度</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39.幼树平均高</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19.林种</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40.幼树株数</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20.起源</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r>
              <w:rPr>
                <w:rFonts w:eastAsiaTheme="majorEastAsia"/>
                <w:color w:val="auto"/>
                <w:sz w:val="20"/>
                <w:szCs w:val="20"/>
              </w:rPr>
              <w:t>41.幼树分布</w:t>
            </w:r>
          </w:p>
        </w:tc>
        <w:tc>
          <w:tcPr>
            <w:tcW w:w="2290" w:type="dxa"/>
            <w:vAlign w:val="center"/>
          </w:tcPr>
          <w:p>
            <w:pPr>
              <w:spacing w:line="360" w:lineRule="exact"/>
              <w:ind w:firstLine="0" w:firstLineChars="0"/>
              <w:jc w:val="left"/>
              <w:rPr>
                <w:rFonts w:eastAsiaTheme="maj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2122" w:type="dxa"/>
            <w:vAlign w:val="center"/>
          </w:tcPr>
          <w:p>
            <w:pPr>
              <w:spacing w:line="360" w:lineRule="exact"/>
              <w:ind w:firstLine="0" w:firstLineChars="0"/>
              <w:jc w:val="left"/>
              <w:rPr>
                <w:rFonts w:eastAsiaTheme="majorEastAsia"/>
                <w:color w:val="auto"/>
                <w:sz w:val="20"/>
                <w:szCs w:val="20"/>
              </w:rPr>
            </w:pPr>
            <w:r>
              <w:rPr>
                <w:rFonts w:eastAsiaTheme="majorEastAsia"/>
                <w:color w:val="auto"/>
                <w:spacing w:val="4"/>
                <w:kern w:val="0"/>
                <w:sz w:val="20"/>
                <w:szCs w:val="20"/>
              </w:rPr>
              <w:t>21.林地权属</w:t>
            </w:r>
          </w:p>
        </w:tc>
        <w:tc>
          <w:tcPr>
            <w:tcW w:w="2126" w:type="dxa"/>
            <w:vAlign w:val="center"/>
          </w:tcPr>
          <w:p>
            <w:pPr>
              <w:spacing w:line="360" w:lineRule="exact"/>
              <w:ind w:firstLine="0" w:firstLineChars="0"/>
              <w:jc w:val="left"/>
              <w:rPr>
                <w:rFonts w:eastAsiaTheme="majorEastAsia"/>
                <w:color w:val="auto"/>
                <w:sz w:val="20"/>
                <w:szCs w:val="20"/>
              </w:rPr>
            </w:pPr>
          </w:p>
        </w:tc>
        <w:tc>
          <w:tcPr>
            <w:tcW w:w="1984" w:type="dxa"/>
            <w:vAlign w:val="center"/>
          </w:tcPr>
          <w:p>
            <w:pPr>
              <w:spacing w:line="360" w:lineRule="exact"/>
              <w:ind w:firstLine="0" w:firstLineChars="0"/>
              <w:jc w:val="left"/>
              <w:rPr>
                <w:rFonts w:eastAsiaTheme="majorEastAsia"/>
                <w:color w:val="auto"/>
                <w:sz w:val="20"/>
                <w:szCs w:val="20"/>
              </w:rPr>
            </w:pPr>
          </w:p>
        </w:tc>
        <w:tc>
          <w:tcPr>
            <w:tcW w:w="2290" w:type="dxa"/>
            <w:vAlign w:val="center"/>
          </w:tcPr>
          <w:p>
            <w:pPr>
              <w:spacing w:line="360" w:lineRule="exact"/>
              <w:ind w:firstLine="0" w:firstLineChars="0"/>
              <w:jc w:val="left"/>
              <w:rPr>
                <w:rFonts w:eastAsiaTheme="majorEastAsia"/>
                <w:color w:val="auto"/>
                <w:sz w:val="20"/>
                <w:szCs w:val="20"/>
              </w:rPr>
            </w:pPr>
          </w:p>
        </w:tc>
      </w:tr>
    </w:tbl>
    <w:p>
      <w:pPr>
        <w:pStyle w:val="82"/>
        <w:spacing w:before="156" w:beforeLines="50" w:after="156" w:afterLines="50" w:line="560" w:lineRule="exact"/>
        <w:ind w:firstLine="0" w:firstLineChars="0"/>
        <w:jc w:val="center"/>
        <w:rPr>
          <w:rFonts w:ascii="Times New Roman" w:eastAsiaTheme="majorEastAsia"/>
          <w:color w:val="auto"/>
          <w:spacing w:val="4"/>
          <w:sz w:val="32"/>
          <w:szCs w:val="32"/>
        </w:rPr>
        <w:sectPr>
          <w:footerReference r:id="rId13" w:type="default"/>
          <w:footerReference r:id="rId14" w:type="even"/>
          <w:pgSz w:w="11906" w:h="16838"/>
          <w:pgMar w:top="1837" w:right="1134" w:bottom="1440" w:left="1417" w:header="1417" w:footer="992" w:gutter="0"/>
          <w:pgNumType w:fmt="decimal" w:start="2"/>
          <w:cols w:space="0" w:num="1"/>
          <w:rtlGutter w:val="0"/>
          <w:docGrid w:type="lines" w:linePitch="324" w:charSpace="0"/>
        </w:sectPr>
      </w:pPr>
    </w:p>
    <w:p>
      <w:pPr>
        <w:pStyle w:val="82"/>
        <w:spacing w:before="156" w:beforeLines="50" w:after="156" w:afterLines="50" w:line="560" w:lineRule="exact"/>
        <w:ind w:firstLine="0" w:firstLineChars="0"/>
        <w:jc w:val="center"/>
        <w:rPr>
          <w:rFonts w:ascii="Times New Roman" w:eastAsiaTheme="majorEastAsia"/>
          <w:spacing w:val="4"/>
          <w:szCs w:val="21"/>
        </w:rPr>
      </w:pPr>
      <w:r>
        <w:rPr>
          <w:rFonts w:hint="eastAsia" w:ascii="Times New Roman" w:eastAsiaTheme="majorEastAsia"/>
          <w:spacing w:val="4"/>
          <w:szCs w:val="21"/>
          <w:lang w:val="en-US" w:eastAsia="zh-CN"/>
        </w:rPr>
        <w:t>B</w:t>
      </w:r>
      <w:r>
        <w:rPr>
          <w:rFonts w:ascii="Times New Roman" w:eastAsiaTheme="majorEastAsia"/>
          <w:spacing w:val="4"/>
          <w:szCs w:val="21"/>
        </w:rPr>
        <w:t>2 每木调查表</w:t>
      </w:r>
    </w:p>
    <w:p>
      <w:pPr>
        <w:pStyle w:val="82"/>
        <w:ind w:left="0" w:leftChars="0" w:firstLine="638" w:firstLineChars="293"/>
        <w:jc w:val="left"/>
        <w:rPr>
          <w:rFonts w:ascii="Times New Roman" w:eastAsiaTheme="majorEastAsia"/>
          <w:spacing w:val="4"/>
          <w:szCs w:val="21"/>
        </w:rPr>
      </w:pPr>
      <w:r>
        <w:rPr>
          <w:rFonts w:ascii="Times New Roman" w:eastAsiaTheme="majorEastAsia"/>
          <w:spacing w:val="4"/>
          <w:szCs w:val="21"/>
        </w:rPr>
        <w:t>样地号：             调查人：          调查时间：</w:t>
      </w:r>
    </w:p>
    <w:tbl>
      <w:tblPr>
        <w:tblStyle w:val="21"/>
        <w:tblW w:w="85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868"/>
        <w:gridCol w:w="777"/>
        <w:gridCol w:w="658"/>
        <w:gridCol w:w="709"/>
        <w:gridCol w:w="709"/>
        <w:gridCol w:w="669"/>
        <w:gridCol w:w="608"/>
        <w:gridCol w:w="608"/>
        <w:gridCol w:w="608"/>
        <w:gridCol w:w="542"/>
        <w:gridCol w:w="542"/>
        <w:gridCol w:w="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69" w:type="dxa"/>
            <w:vMerge w:val="restart"/>
            <w:vAlign w:val="center"/>
          </w:tcPr>
          <w:p>
            <w:pPr>
              <w:ind w:firstLine="0" w:firstLineChars="0"/>
              <w:jc w:val="center"/>
              <w:rPr>
                <w:rFonts w:eastAsiaTheme="majorEastAsia"/>
                <w:spacing w:val="4"/>
                <w:kern w:val="0"/>
                <w:sz w:val="20"/>
                <w:szCs w:val="20"/>
              </w:rPr>
            </w:pPr>
            <w:r>
              <w:rPr>
                <w:rFonts w:eastAsiaTheme="majorEastAsia"/>
                <w:spacing w:val="4"/>
                <w:kern w:val="0"/>
                <w:sz w:val="20"/>
                <w:szCs w:val="20"/>
              </w:rPr>
              <w:t>树号</w:t>
            </w:r>
          </w:p>
        </w:tc>
        <w:tc>
          <w:tcPr>
            <w:tcW w:w="868" w:type="dxa"/>
            <w:vMerge w:val="restart"/>
            <w:vAlign w:val="center"/>
          </w:tcPr>
          <w:p>
            <w:pPr>
              <w:ind w:firstLine="0" w:firstLineChars="0"/>
              <w:jc w:val="center"/>
              <w:rPr>
                <w:rFonts w:eastAsiaTheme="majorEastAsia"/>
                <w:spacing w:val="4"/>
                <w:kern w:val="0"/>
                <w:sz w:val="20"/>
                <w:szCs w:val="20"/>
              </w:rPr>
            </w:pPr>
            <w:r>
              <w:rPr>
                <w:rFonts w:eastAsiaTheme="majorEastAsia"/>
                <w:spacing w:val="4"/>
                <w:kern w:val="0"/>
                <w:sz w:val="20"/>
                <w:szCs w:val="20"/>
              </w:rPr>
              <w:t>树种</w:t>
            </w:r>
          </w:p>
        </w:tc>
        <w:tc>
          <w:tcPr>
            <w:tcW w:w="777" w:type="dxa"/>
            <w:vMerge w:val="restart"/>
            <w:vAlign w:val="center"/>
          </w:tcPr>
          <w:p>
            <w:pPr>
              <w:ind w:firstLine="0" w:firstLineChars="0"/>
              <w:jc w:val="center"/>
              <w:rPr>
                <w:rFonts w:eastAsiaTheme="majorEastAsia"/>
                <w:spacing w:val="4"/>
                <w:kern w:val="0"/>
                <w:sz w:val="20"/>
                <w:szCs w:val="20"/>
              </w:rPr>
            </w:pPr>
            <w:r>
              <w:rPr>
                <w:rFonts w:eastAsiaTheme="majorEastAsia"/>
                <w:spacing w:val="4"/>
                <w:kern w:val="0"/>
                <w:sz w:val="20"/>
                <w:szCs w:val="20"/>
              </w:rPr>
              <w:t>检尺类型</w:t>
            </w:r>
          </w:p>
        </w:tc>
        <w:tc>
          <w:tcPr>
            <w:tcW w:w="1367" w:type="dxa"/>
            <w:gridSpan w:val="2"/>
            <w:vAlign w:val="center"/>
          </w:tcPr>
          <w:p>
            <w:pPr>
              <w:ind w:firstLine="0" w:firstLineChars="0"/>
              <w:jc w:val="center"/>
              <w:rPr>
                <w:rFonts w:eastAsiaTheme="majorEastAsia"/>
                <w:spacing w:val="4"/>
                <w:kern w:val="0"/>
                <w:sz w:val="20"/>
                <w:szCs w:val="20"/>
              </w:rPr>
            </w:pPr>
            <w:r>
              <w:rPr>
                <w:rFonts w:eastAsiaTheme="majorEastAsia"/>
                <w:spacing w:val="4"/>
                <w:kern w:val="0"/>
                <w:sz w:val="20"/>
                <w:szCs w:val="20"/>
              </w:rPr>
              <w:t>胸径（cm）</w:t>
            </w:r>
          </w:p>
        </w:tc>
        <w:tc>
          <w:tcPr>
            <w:tcW w:w="1378" w:type="dxa"/>
            <w:gridSpan w:val="2"/>
            <w:vAlign w:val="center"/>
          </w:tcPr>
          <w:p>
            <w:pPr>
              <w:ind w:firstLine="0" w:firstLineChars="0"/>
              <w:jc w:val="center"/>
              <w:rPr>
                <w:rFonts w:eastAsiaTheme="majorEastAsia"/>
                <w:spacing w:val="4"/>
                <w:kern w:val="0"/>
                <w:sz w:val="20"/>
                <w:szCs w:val="20"/>
              </w:rPr>
            </w:pPr>
            <w:r>
              <w:rPr>
                <w:rFonts w:eastAsiaTheme="majorEastAsia"/>
                <w:spacing w:val="4"/>
                <w:kern w:val="0"/>
                <w:sz w:val="20"/>
                <w:szCs w:val="20"/>
              </w:rPr>
              <w:t>树高（m）</w:t>
            </w:r>
          </w:p>
        </w:tc>
        <w:tc>
          <w:tcPr>
            <w:tcW w:w="608" w:type="dxa"/>
            <w:vMerge w:val="restart"/>
            <w:vAlign w:val="center"/>
          </w:tcPr>
          <w:p>
            <w:pPr>
              <w:ind w:firstLine="0" w:firstLineChars="0"/>
              <w:jc w:val="center"/>
              <w:rPr>
                <w:rFonts w:eastAsiaTheme="majorEastAsia"/>
                <w:spacing w:val="4"/>
                <w:kern w:val="0"/>
                <w:sz w:val="20"/>
                <w:szCs w:val="20"/>
              </w:rPr>
            </w:pPr>
            <w:r>
              <w:rPr>
                <w:rFonts w:eastAsiaTheme="majorEastAsia"/>
                <w:spacing w:val="4"/>
                <w:kern w:val="0"/>
                <w:sz w:val="20"/>
                <w:szCs w:val="20"/>
              </w:rPr>
              <w:t>方位角</w:t>
            </w:r>
          </w:p>
        </w:tc>
        <w:tc>
          <w:tcPr>
            <w:tcW w:w="608" w:type="dxa"/>
            <w:vMerge w:val="restart"/>
            <w:vAlign w:val="center"/>
          </w:tcPr>
          <w:p>
            <w:pPr>
              <w:ind w:firstLine="0" w:firstLineChars="0"/>
              <w:jc w:val="center"/>
              <w:rPr>
                <w:rFonts w:eastAsiaTheme="majorEastAsia"/>
                <w:spacing w:val="4"/>
                <w:kern w:val="0"/>
                <w:sz w:val="20"/>
                <w:szCs w:val="20"/>
              </w:rPr>
            </w:pPr>
            <w:r>
              <w:rPr>
                <w:rFonts w:eastAsiaTheme="majorEastAsia"/>
                <w:spacing w:val="4"/>
                <w:kern w:val="0"/>
                <w:sz w:val="20"/>
                <w:szCs w:val="20"/>
              </w:rPr>
              <w:t>水平距离</w:t>
            </w:r>
          </w:p>
        </w:tc>
        <w:tc>
          <w:tcPr>
            <w:tcW w:w="608" w:type="dxa"/>
            <w:vMerge w:val="restart"/>
            <w:vAlign w:val="center"/>
          </w:tcPr>
          <w:p>
            <w:pPr>
              <w:ind w:firstLine="0" w:firstLineChars="0"/>
              <w:jc w:val="center"/>
              <w:rPr>
                <w:rFonts w:eastAsiaTheme="majorEastAsia"/>
                <w:spacing w:val="4"/>
                <w:kern w:val="0"/>
                <w:sz w:val="20"/>
                <w:szCs w:val="20"/>
              </w:rPr>
            </w:pPr>
            <w:r>
              <w:rPr>
                <w:rFonts w:eastAsiaTheme="majorEastAsia"/>
                <w:spacing w:val="4"/>
                <w:kern w:val="0"/>
                <w:sz w:val="20"/>
                <w:szCs w:val="20"/>
              </w:rPr>
              <w:t>林木分级</w:t>
            </w:r>
          </w:p>
        </w:tc>
        <w:tc>
          <w:tcPr>
            <w:tcW w:w="542" w:type="dxa"/>
            <w:vMerge w:val="restart"/>
          </w:tcPr>
          <w:p>
            <w:pPr>
              <w:ind w:firstLine="0" w:firstLineChars="0"/>
              <w:jc w:val="center"/>
              <w:rPr>
                <w:rFonts w:eastAsiaTheme="majorEastAsia"/>
                <w:spacing w:val="4"/>
                <w:kern w:val="0"/>
                <w:sz w:val="20"/>
                <w:szCs w:val="20"/>
              </w:rPr>
            </w:pPr>
            <w:r>
              <w:rPr>
                <w:rFonts w:eastAsiaTheme="majorEastAsia"/>
                <w:spacing w:val="4"/>
                <w:kern w:val="0"/>
                <w:sz w:val="20"/>
                <w:szCs w:val="20"/>
              </w:rPr>
              <w:t>干材质量</w:t>
            </w:r>
          </w:p>
        </w:tc>
        <w:tc>
          <w:tcPr>
            <w:tcW w:w="542" w:type="dxa"/>
            <w:vMerge w:val="restart"/>
          </w:tcPr>
          <w:p>
            <w:pPr>
              <w:ind w:firstLine="0" w:firstLineChars="0"/>
              <w:jc w:val="center"/>
              <w:rPr>
                <w:rFonts w:eastAsiaTheme="majorEastAsia"/>
                <w:spacing w:val="4"/>
                <w:kern w:val="0"/>
                <w:sz w:val="20"/>
                <w:szCs w:val="20"/>
              </w:rPr>
            </w:pPr>
            <w:r>
              <w:rPr>
                <w:rFonts w:eastAsiaTheme="majorEastAsia"/>
                <w:spacing w:val="4"/>
                <w:kern w:val="0"/>
                <w:sz w:val="20"/>
                <w:szCs w:val="20"/>
              </w:rPr>
              <w:t>损伤情况</w:t>
            </w:r>
          </w:p>
        </w:tc>
        <w:tc>
          <w:tcPr>
            <w:tcW w:w="545" w:type="dxa"/>
            <w:vMerge w:val="restart"/>
          </w:tcPr>
          <w:p>
            <w:pPr>
              <w:ind w:firstLine="0" w:firstLineChars="0"/>
              <w:jc w:val="center"/>
              <w:rPr>
                <w:rFonts w:eastAsiaTheme="majorEastAsia"/>
                <w:spacing w:val="4"/>
                <w:kern w:val="0"/>
                <w:sz w:val="20"/>
                <w:szCs w:val="20"/>
              </w:rPr>
            </w:pPr>
            <w:r>
              <w:rPr>
                <w:rFonts w:eastAsiaTheme="majorEastAsia"/>
                <w:spacing w:val="4"/>
                <w:kern w:val="0"/>
                <w:sz w:val="20"/>
                <w:szCs w:val="20"/>
              </w:rPr>
              <w:t>林木分类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69" w:type="dxa"/>
            <w:vMerge w:val="continue"/>
            <w:vAlign w:val="center"/>
          </w:tcPr>
          <w:p>
            <w:pPr>
              <w:spacing w:line="360" w:lineRule="exact"/>
              <w:ind w:firstLine="0" w:firstLineChars="0"/>
              <w:jc w:val="center"/>
              <w:rPr>
                <w:rFonts w:eastAsiaTheme="majorEastAsia"/>
                <w:spacing w:val="4"/>
                <w:kern w:val="0"/>
                <w:sz w:val="20"/>
                <w:szCs w:val="20"/>
              </w:rPr>
            </w:pPr>
          </w:p>
        </w:tc>
        <w:tc>
          <w:tcPr>
            <w:tcW w:w="868" w:type="dxa"/>
            <w:vMerge w:val="continue"/>
            <w:vAlign w:val="center"/>
          </w:tcPr>
          <w:p>
            <w:pPr>
              <w:spacing w:line="360" w:lineRule="exact"/>
              <w:ind w:firstLine="0" w:firstLineChars="0"/>
              <w:jc w:val="center"/>
              <w:rPr>
                <w:rFonts w:eastAsiaTheme="majorEastAsia"/>
                <w:spacing w:val="4"/>
                <w:kern w:val="0"/>
                <w:sz w:val="20"/>
                <w:szCs w:val="20"/>
              </w:rPr>
            </w:pPr>
          </w:p>
        </w:tc>
        <w:tc>
          <w:tcPr>
            <w:tcW w:w="777" w:type="dxa"/>
            <w:vMerge w:val="continue"/>
            <w:vAlign w:val="center"/>
          </w:tcPr>
          <w:p>
            <w:pPr>
              <w:ind w:firstLine="0" w:firstLineChars="0"/>
              <w:jc w:val="center"/>
              <w:rPr>
                <w:rFonts w:eastAsiaTheme="majorEastAsia"/>
                <w:spacing w:val="4"/>
                <w:kern w:val="0"/>
                <w:sz w:val="20"/>
                <w:szCs w:val="20"/>
              </w:rPr>
            </w:pPr>
          </w:p>
        </w:tc>
        <w:tc>
          <w:tcPr>
            <w:tcW w:w="658" w:type="dxa"/>
            <w:vAlign w:val="center"/>
          </w:tcPr>
          <w:p>
            <w:pPr>
              <w:spacing w:line="360" w:lineRule="exact"/>
              <w:ind w:firstLine="0" w:firstLineChars="0"/>
              <w:jc w:val="center"/>
              <w:rPr>
                <w:rFonts w:eastAsiaTheme="majorEastAsia"/>
                <w:spacing w:val="4"/>
                <w:kern w:val="0"/>
                <w:sz w:val="20"/>
                <w:szCs w:val="20"/>
              </w:rPr>
            </w:pPr>
            <w:r>
              <w:rPr>
                <w:rFonts w:eastAsiaTheme="majorEastAsia"/>
                <w:spacing w:val="4"/>
                <w:kern w:val="0"/>
                <w:sz w:val="20"/>
                <w:szCs w:val="20"/>
              </w:rPr>
              <w:t>前期</w:t>
            </w:r>
          </w:p>
        </w:tc>
        <w:tc>
          <w:tcPr>
            <w:tcW w:w="709" w:type="dxa"/>
            <w:vAlign w:val="center"/>
          </w:tcPr>
          <w:p>
            <w:pPr>
              <w:spacing w:line="360" w:lineRule="exact"/>
              <w:ind w:firstLine="0" w:firstLineChars="0"/>
              <w:jc w:val="center"/>
              <w:rPr>
                <w:rFonts w:eastAsiaTheme="majorEastAsia"/>
                <w:spacing w:val="4"/>
                <w:kern w:val="0"/>
                <w:sz w:val="20"/>
                <w:szCs w:val="20"/>
              </w:rPr>
            </w:pPr>
            <w:r>
              <w:rPr>
                <w:rFonts w:eastAsiaTheme="majorEastAsia"/>
                <w:spacing w:val="4"/>
                <w:kern w:val="0"/>
                <w:sz w:val="20"/>
                <w:szCs w:val="20"/>
              </w:rPr>
              <w:t>本期</w:t>
            </w:r>
          </w:p>
        </w:tc>
        <w:tc>
          <w:tcPr>
            <w:tcW w:w="709" w:type="dxa"/>
            <w:vAlign w:val="center"/>
          </w:tcPr>
          <w:p>
            <w:pPr>
              <w:spacing w:line="360" w:lineRule="exact"/>
              <w:ind w:firstLine="0" w:firstLineChars="0"/>
              <w:jc w:val="center"/>
              <w:rPr>
                <w:rFonts w:eastAsiaTheme="majorEastAsia"/>
                <w:spacing w:val="4"/>
                <w:kern w:val="0"/>
                <w:sz w:val="20"/>
                <w:szCs w:val="20"/>
              </w:rPr>
            </w:pPr>
            <w:r>
              <w:rPr>
                <w:rFonts w:eastAsiaTheme="majorEastAsia"/>
                <w:spacing w:val="4"/>
                <w:kern w:val="0"/>
                <w:sz w:val="20"/>
                <w:szCs w:val="20"/>
              </w:rPr>
              <w:t>前期</w:t>
            </w:r>
          </w:p>
        </w:tc>
        <w:tc>
          <w:tcPr>
            <w:tcW w:w="669" w:type="dxa"/>
            <w:vAlign w:val="center"/>
          </w:tcPr>
          <w:p>
            <w:pPr>
              <w:spacing w:line="360" w:lineRule="exact"/>
              <w:ind w:firstLine="0" w:firstLineChars="0"/>
              <w:jc w:val="center"/>
              <w:rPr>
                <w:rFonts w:eastAsiaTheme="majorEastAsia"/>
                <w:spacing w:val="4"/>
                <w:kern w:val="0"/>
                <w:sz w:val="20"/>
                <w:szCs w:val="20"/>
              </w:rPr>
            </w:pPr>
            <w:r>
              <w:rPr>
                <w:rFonts w:eastAsiaTheme="majorEastAsia"/>
                <w:spacing w:val="4"/>
                <w:kern w:val="0"/>
                <w:sz w:val="20"/>
                <w:szCs w:val="20"/>
              </w:rPr>
              <w:t>本期</w:t>
            </w:r>
          </w:p>
        </w:tc>
        <w:tc>
          <w:tcPr>
            <w:tcW w:w="608" w:type="dxa"/>
            <w:vMerge w:val="continue"/>
            <w:vAlign w:val="center"/>
          </w:tcPr>
          <w:p>
            <w:pPr>
              <w:spacing w:line="360" w:lineRule="exact"/>
              <w:ind w:firstLine="0" w:firstLineChars="0"/>
              <w:jc w:val="center"/>
              <w:rPr>
                <w:rFonts w:eastAsiaTheme="majorEastAsia"/>
                <w:spacing w:val="4"/>
                <w:kern w:val="0"/>
                <w:sz w:val="20"/>
                <w:szCs w:val="20"/>
              </w:rPr>
            </w:pPr>
          </w:p>
        </w:tc>
        <w:tc>
          <w:tcPr>
            <w:tcW w:w="608" w:type="dxa"/>
            <w:vMerge w:val="continue"/>
            <w:vAlign w:val="center"/>
          </w:tcPr>
          <w:p>
            <w:pPr>
              <w:spacing w:line="360" w:lineRule="exact"/>
              <w:ind w:firstLine="0" w:firstLineChars="0"/>
              <w:jc w:val="center"/>
              <w:rPr>
                <w:rFonts w:eastAsiaTheme="majorEastAsia"/>
                <w:spacing w:val="4"/>
                <w:kern w:val="0"/>
                <w:sz w:val="20"/>
                <w:szCs w:val="20"/>
              </w:rPr>
            </w:pPr>
          </w:p>
        </w:tc>
        <w:tc>
          <w:tcPr>
            <w:tcW w:w="608" w:type="dxa"/>
            <w:vMerge w:val="continue"/>
            <w:vAlign w:val="center"/>
          </w:tcPr>
          <w:p>
            <w:pPr>
              <w:spacing w:line="360" w:lineRule="exact"/>
              <w:ind w:firstLine="0" w:firstLineChars="0"/>
              <w:jc w:val="center"/>
              <w:rPr>
                <w:rFonts w:eastAsiaTheme="majorEastAsia"/>
                <w:spacing w:val="4"/>
                <w:kern w:val="0"/>
                <w:sz w:val="20"/>
                <w:szCs w:val="20"/>
              </w:rPr>
            </w:pPr>
          </w:p>
        </w:tc>
        <w:tc>
          <w:tcPr>
            <w:tcW w:w="542" w:type="dxa"/>
            <w:vMerge w:val="continue"/>
            <w:vAlign w:val="center"/>
          </w:tcPr>
          <w:p>
            <w:pPr>
              <w:spacing w:line="360" w:lineRule="exact"/>
              <w:ind w:firstLine="0" w:firstLineChars="0"/>
              <w:jc w:val="center"/>
              <w:rPr>
                <w:rFonts w:eastAsiaTheme="majorEastAsia"/>
                <w:spacing w:val="4"/>
                <w:kern w:val="0"/>
                <w:sz w:val="20"/>
                <w:szCs w:val="20"/>
              </w:rPr>
            </w:pPr>
          </w:p>
        </w:tc>
        <w:tc>
          <w:tcPr>
            <w:tcW w:w="542" w:type="dxa"/>
            <w:vMerge w:val="continue"/>
          </w:tcPr>
          <w:p>
            <w:pPr>
              <w:spacing w:line="360" w:lineRule="exact"/>
              <w:ind w:firstLine="0" w:firstLineChars="0"/>
              <w:jc w:val="center"/>
              <w:rPr>
                <w:rFonts w:eastAsiaTheme="majorEastAsia"/>
                <w:spacing w:val="4"/>
                <w:kern w:val="0"/>
                <w:sz w:val="20"/>
                <w:szCs w:val="20"/>
              </w:rPr>
            </w:pPr>
          </w:p>
        </w:tc>
        <w:tc>
          <w:tcPr>
            <w:tcW w:w="545" w:type="dxa"/>
            <w:vMerge w:val="continue"/>
          </w:tcPr>
          <w:p>
            <w:pPr>
              <w:spacing w:line="360" w:lineRule="exact"/>
              <w:ind w:firstLine="0" w:firstLineChars="0"/>
              <w:jc w:val="center"/>
              <w:rPr>
                <w:rFonts w:eastAsiaTheme="majorEastAsia"/>
                <w:spacing w:val="4"/>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69" w:type="dxa"/>
            <w:vAlign w:val="center"/>
          </w:tcPr>
          <w:p>
            <w:pPr>
              <w:spacing w:line="360" w:lineRule="exact"/>
              <w:ind w:firstLine="0" w:firstLineChars="0"/>
              <w:jc w:val="center"/>
              <w:rPr>
                <w:rFonts w:eastAsiaTheme="majorEastAsia"/>
                <w:spacing w:val="4"/>
                <w:kern w:val="0"/>
                <w:sz w:val="20"/>
                <w:szCs w:val="20"/>
              </w:rPr>
            </w:pPr>
          </w:p>
        </w:tc>
        <w:tc>
          <w:tcPr>
            <w:tcW w:w="868" w:type="dxa"/>
            <w:vAlign w:val="center"/>
          </w:tcPr>
          <w:p>
            <w:pPr>
              <w:spacing w:line="360" w:lineRule="exact"/>
              <w:ind w:firstLine="0" w:firstLineChars="0"/>
              <w:jc w:val="center"/>
              <w:rPr>
                <w:rFonts w:eastAsiaTheme="majorEastAsia"/>
                <w:spacing w:val="4"/>
                <w:kern w:val="0"/>
                <w:sz w:val="20"/>
                <w:szCs w:val="20"/>
              </w:rPr>
            </w:pPr>
          </w:p>
        </w:tc>
        <w:tc>
          <w:tcPr>
            <w:tcW w:w="777" w:type="dxa"/>
            <w:vAlign w:val="center"/>
          </w:tcPr>
          <w:p>
            <w:pPr>
              <w:spacing w:line="360" w:lineRule="exact"/>
              <w:ind w:firstLine="0" w:firstLineChars="0"/>
              <w:jc w:val="center"/>
              <w:rPr>
                <w:rFonts w:eastAsiaTheme="majorEastAsia"/>
                <w:spacing w:val="4"/>
                <w:kern w:val="0"/>
                <w:sz w:val="20"/>
                <w:szCs w:val="20"/>
              </w:rPr>
            </w:pPr>
          </w:p>
        </w:tc>
        <w:tc>
          <w:tcPr>
            <w:tcW w:w="658" w:type="dxa"/>
            <w:vAlign w:val="center"/>
          </w:tcPr>
          <w:p>
            <w:pPr>
              <w:spacing w:line="360" w:lineRule="exact"/>
              <w:ind w:firstLine="0" w:firstLineChars="0"/>
              <w:jc w:val="center"/>
              <w:rPr>
                <w:rFonts w:eastAsiaTheme="majorEastAsia"/>
                <w:spacing w:val="4"/>
                <w:kern w:val="0"/>
                <w:sz w:val="20"/>
                <w:szCs w:val="20"/>
              </w:rPr>
            </w:pPr>
          </w:p>
        </w:tc>
        <w:tc>
          <w:tcPr>
            <w:tcW w:w="709" w:type="dxa"/>
            <w:vAlign w:val="center"/>
          </w:tcPr>
          <w:p>
            <w:pPr>
              <w:spacing w:line="360" w:lineRule="exact"/>
              <w:ind w:firstLine="0" w:firstLineChars="0"/>
              <w:jc w:val="center"/>
              <w:rPr>
                <w:rFonts w:eastAsiaTheme="majorEastAsia"/>
                <w:spacing w:val="4"/>
                <w:kern w:val="0"/>
                <w:sz w:val="20"/>
                <w:szCs w:val="20"/>
              </w:rPr>
            </w:pPr>
          </w:p>
        </w:tc>
        <w:tc>
          <w:tcPr>
            <w:tcW w:w="709" w:type="dxa"/>
            <w:vAlign w:val="center"/>
          </w:tcPr>
          <w:p>
            <w:pPr>
              <w:spacing w:line="360" w:lineRule="exact"/>
              <w:ind w:firstLine="0" w:firstLineChars="0"/>
              <w:jc w:val="center"/>
              <w:rPr>
                <w:rFonts w:eastAsiaTheme="majorEastAsia"/>
                <w:spacing w:val="4"/>
                <w:kern w:val="0"/>
                <w:sz w:val="20"/>
                <w:szCs w:val="20"/>
              </w:rPr>
            </w:pPr>
          </w:p>
        </w:tc>
        <w:tc>
          <w:tcPr>
            <w:tcW w:w="669" w:type="dxa"/>
            <w:vAlign w:val="center"/>
          </w:tcPr>
          <w:p>
            <w:pPr>
              <w:spacing w:line="360" w:lineRule="exact"/>
              <w:ind w:firstLine="0" w:firstLineChars="0"/>
              <w:jc w:val="center"/>
              <w:rPr>
                <w:rFonts w:eastAsiaTheme="majorEastAsia"/>
                <w:spacing w:val="4"/>
                <w:kern w:val="0"/>
                <w:sz w:val="20"/>
                <w:szCs w:val="20"/>
              </w:rPr>
            </w:pPr>
          </w:p>
        </w:tc>
        <w:tc>
          <w:tcPr>
            <w:tcW w:w="608" w:type="dxa"/>
            <w:vAlign w:val="center"/>
          </w:tcPr>
          <w:p>
            <w:pPr>
              <w:spacing w:line="360" w:lineRule="exact"/>
              <w:ind w:firstLine="0" w:firstLineChars="0"/>
              <w:jc w:val="center"/>
              <w:rPr>
                <w:rFonts w:eastAsiaTheme="majorEastAsia"/>
                <w:spacing w:val="4"/>
                <w:kern w:val="0"/>
                <w:sz w:val="20"/>
                <w:szCs w:val="20"/>
              </w:rPr>
            </w:pPr>
          </w:p>
        </w:tc>
        <w:tc>
          <w:tcPr>
            <w:tcW w:w="608" w:type="dxa"/>
            <w:vAlign w:val="center"/>
          </w:tcPr>
          <w:p>
            <w:pPr>
              <w:spacing w:line="360" w:lineRule="exact"/>
              <w:ind w:firstLine="0" w:firstLineChars="0"/>
              <w:jc w:val="center"/>
              <w:rPr>
                <w:rFonts w:eastAsiaTheme="majorEastAsia"/>
                <w:spacing w:val="4"/>
                <w:kern w:val="0"/>
                <w:sz w:val="20"/>
                <w:szCs w:val="20"/>
              </w:rPr>
            </w:pPr>
          </w:p>
        </w:tc>
        <w:tc>
          <w:tcPr>
            <w:tcW w:w="608" w:type="dxa"/>
            <w:vAlign w:val="center"/>
          </w:tcPr>
          <w:p>
            <w:pPr>
              <w:spacing w:line="360" w:lineRule="exact"/>
              <w:ind w:firstLine="0" w:firstLineChars="0"/>
              <w:jc w:val="center"/>
              <w:rPr>
                <w:rFonts w:eastAsiaTheme="majorEastAsia"/>
                <w:spacing w:val="4"/>
                <w:kern w:val="0"/>
                <w:sz w:val="20"/>
                <w:szCs w:val="20"/>
              </w:rPr>
            </w:pPr>
          </w:p>
        </w:tc>
        <w:tc>
          <w:tcPr>
            <w:tcW w:w="542" w:type="dxa"/>
            <w:vAlign w:val="center"/>
          </w:tcPr>
          <w:p>
            <w:pPr>
              <w:spacing w:line="360" w:lineRule="exact"/>
              <w:ind w:firstLine="0" w:firstLineChars="0"/>
              <w:jc w:val="center"/>
              <w:rPr>
                <w:rFonts w:eastAsiaTheme="majorEastAsia"/>
                <w:spacing w:val="4"/>
                <w:kern w:val="0"/>
                <w:sz w:val="20"/>
                <w:szCs w:val="20"/>
              </w:rPr>
            </w:pPr>
          </w:p>
        </w:tc>
        <w:tc>
          <w:tcPr>
            <w:tcW w:w="542" w:type="dxa"/>
          </w:tcPr>
          <w:p>
            <w:pPr>
              <w:spacing w:line="360" w:lineRule="exact"/>
              <w:ind w:firstLine="0" w:firstLineChars="0"/>
              <w:jc w:val="center"/>
              <w:rPr>
                <w:rFonts w:eastAsiaTheme="majorEastAsia"/>
                <w:spacing w:val="4"/>
                <w:kern w:val="0"/>
                <w:sz w:val="20"/>
                <w:szCs w:val="20"/>
              </w:rPr>
            </w:pPr>
          </w:p>
        </w:tc>
        <w:tc>
          <w:tcPr>
            <w:tcW w:w="545" w:type="dxa"/>
          </w:tcPr>
          <w:p>
            <w:pPr>
              <w:spacing w:line="360" w:lineRule="exact"/>
              <w:ind w:firstLine="0" w:firstLineChars="0"/>
              <w:jc w:val="center"/>
              <w:rPr>
                <w:rFonts w:eastAsiaTheme="majorEastAsia"/>
                <w:spacing w:val="4"/>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69" w:type="dxa"/>
            <w:vAlign w:val="center"/>
          </w:tcPr>
          <w:p>
            <w:pPr>
              <w:spacing w:line="360" w:lineRule="exact"/>
              <w:ind w:firstLine="0" w:firstLineChars="0"/>
              <w:jc w:val="center"/>
              <w:rPr>
                <w:rFonts w:eastAsiaTheme="majorEastAsia"/>
                <w:spacing w:val="4"/>
                <w:kern w:val="0"/>
                <w:sz w:val="20"/>
                <w:szCs w:val="20"/>
              </w:rPr>
            </w:pPr>
          </w:p>
        </w:tc>
        <w:tc>
          <w:tcPr>
            <w:tcW w:w="868" w:type="dxa"/>
            <w:vAlign w:val="center"/>
          </w:tcPr>
          <w:p>
            <w:pPr>
              <w:spacing w:line="360" w:lineRule="exact"/>
              <w:ind w:firstLine="0" w:firstLineChars="0"/>
              <w:jc w:val="center"/>
              <w:rPr>
                <w:rFonts w:eastAsiaTheme="majorEastAsia"/>
                <w:spacing w:val="4"/>
                <w:kern w:val="0"/>
                <w:sz w:val="20"/>
                <w:szCs w:val="20"/>
              </w:rPr>
            </w:pPr>
          </w:p>
        </w:tc>
        <w:tc>
          <w:tcPr>
            <w:tcW w:w="777" w:type="dxa"/>
            <w:vAlign w:val="center"/>
          </w:tcPr>
          <w:p>
            <w:pPr>
              <w:spacing w:line="360" w:lineRule="exact"/>
              <w:ind w:firstLine="0" w:firstLineChars="0"/>
              <w:jc w:val="center"/>
              <w:rPr>
                <w:rFonts w:eastAsiaTheme="majorEastAsia"/>
                <w:spacing w:val="4"/>
                <w:kern w:val="0"/>
                <w:sz w:val="20"/>
                <w:szCs w:val="20"/>
              </w:rPr>
            </w:pPr>
          </w:p>
        </w:tc>
        <w:tc>
          <w:tcPr>
            <w:tcW w:w="658" w:type="dxa"/>
            <w:vAlign w:val="center"/>
          </w:tcPr>
          <w:p>
            <w:pPr>
              <w:spacing w:line="360" w:lineRule="exact"/>
              <w:ind w:firstLine="0" w:firstLineChars="0"/>
              <w:jc w:val="center"/>
              <w:rPr>
                <w:rFonts w:eastAsiaTheme="majorEastAsia"/>
                <w:spacing w:val="4"/>
                <w:kern w:val="0"/>
                <w:sz w:val="20"/>
                <w:szCs w:val="20"/>
              </w:rPr>
            </w:pPr>
          </w:p>
        </w:tc>
        <w:tc>
          <w:tcPr>
            <w:tcW w:w="709" w:type="dxa"/>
            <w:vAlign w:val="center"/>
          </w:tcPr>
          <w:p>
            <w:pPr>
              <w:spacing w:line="360" w:lineRule="exact"/>
              <w:ind w:firstLine="0" w:firstLineChars="0"/>
              <w:jc w:val="center"/>
              <w:rPr>
                <w:rFonts w:eastAsiaTheme="majorEastAsia"/>
                <w:spacing w:val="4"/>
                <w:kern w:val="0"/>
                <w:sz w:val="20"/>
                <w:szCs w:val="20"/>
              </w:rPr>
            </w:pPr>
          </w:p>
        </w:tc>
        <w:tc>
          <w:tcPr>
            <w:tcW w:w="709" w:type="dxa"/>
            <w:vAlign w:val="center"/>
          </w:tcPr>
          <w:p>
            <w:pPr>
              <w:spacing w:line="360" w:lineRule="exact"/>
              <w:ind w:firstLine="0" w:firstLineChars="0"/>
              <w:jc w:val="center"/>
              <w:rPr>
                <w:rFonts w:eastAsiaTheme="majorEastAsia"/>
                <w:spacing w:val="4"/>
                <w:kern w:val="0"/>
                <w:sz w:val="20"/>
                <w:szCs w:val="20"/>
              </w:rPr>
            </w:pPr>
          </w:p>
        </w:tc>
        <w:tc>
          <w:tcPr>
            <w:tcW w:w="669" w:type="dxa"/>
            <w:vAlign w:val="center"/>
          </w:tcPr>
          <w:p>
            <w:pPr>
              <w:spacing w:line="360" w:lineRule="exact"/>
              <w:ind w:firstLine="0" w:firstLineChars="0"/>
              <w:jc w:val="center"/>
              <w:rPr>
                <w:rFonts w:eastAsiaTheme="majorEastAsia"/>
                <w:spacing w:val="4"/>
                <w:kern w:val="0"/>
                <w:sz w:val="20"/>
                <w:szCs w:val="20"/>
              </w:rPr>
            </w:pPr>
          </w:p>
        </w:tc>
        <w:tc>
          <w:tcPr>
            <w:tcW w:w="608" w:type="dxa"/>
            <w:vAlign w:val="center"/>
          </w:tcPr>
          <w:p>
            <w:pPr>
              <w:spacing w:line="360" w:lineRule="exact"/>
              <w:ind w:firstLine="0" w:firstLineChars="0"/>
              <w:jc w:val="center"/>
              <w:rPr>
                <w:rFonts w:eastAsiaTheme="majorEastAsia"/>
                <w:spacing w:val="4"/>
                <w:kern w:val="0"/>
                <w:sz w:val="20"/>
                <w:szCs w:val="20"/>
              </w:rPr>
            </w:pPr>
          </w:p>
        </w:tc>
        <w:tc>
          <w:tcPr>
            <w:tcW w:w="608" w:type="dxa"/>
            <w:vAlign w:val="center"/>
          </w:tcPr>
          <w:p>
            <w:pPr>
              <w:spacing w:line="360" w:lineRule="exact"/>
              <w:ind w:firstLine="0" w:firstLineChars="0"/>
              <w:jc w:val="center"/>
              <w:rPr>
                <w:rFonts w:eastAsiaTheme="majorEastAsia"/>
                <w:spacing w:val="4"/>
                <w:kern w:val="0"/>
                <w:sz w:val="20"/>
                <w:szCs w:val="20"/>
              </w:rPr>
            </w:pPr>
          </w:p>
        </w:tc>
        <w:tc>
          <w:tcPr>
            <w:tcW w:w="608" w:type="dxa"/>
            <w:vAlign w:val="center"/>
          </w:tcPr>
          <w:p>
            <w:pPr>
              <w:spacing w:line="360" w:lineRule="exact"/>
              <w:ind w:firstLine="0" w:firstLineChars="0"/>
              <w:jc w:val="center"/>
              <w:rPr>
                <w:rFonts w:eastAsiaTheme="majorEastAsia"/>
                <w:spacing w:val="4"/>
                <w:kern w:val="0"/>
                <w:sz w:val="20"/>
                <w:szCs w:val="20"/>
              </w:rPr>
            </w:pPr>
          </w:p>
        </w:tc>
        <w:tc>
          <w:tcPr>
            <w:tcW w:w="542" w:type="dxa"/>
            <w:vAlign w:val="center"/>
          </w:tcPr>
          <w:p>
            <w:pPr>
              <w:spacing w:line="360" w:lineRule="exact"/>
              <w:ind w:firstLine="0" w:firstLineChars="0"/>
              <w:jc w:val="center"/>
              <w:rPr>
                <w:rFonts w:eastAsiaTheme="majorEastAsia"/>
                <w:spacing w:val="4"/>
                <w:kern w:val="0"/>
                <w:sz w:val="20"/>
                <w:szCs w:val="20"/>
              </w:rPr>
            </w:pPr>
          </w:p>
        </w:tc>
        <w:tc>
          <w:tcPr>
            <w:tcW w:w="542" w:type="dxa"/>
          </w:tcPr>
          <w:p>
            <w:pPr>
              <w:spacing w:line="360" w:lineRule="exact"/>
              <w:ind w:firstLine="0" w:firstLineChars="0"/>
              <w:jc w:val="center"/>
              <w:rPr>
                <w:rFonts w:eastAsiaTheme="majorEastAsia"/>
                <w:spacing w:val="4"/>
                <w:kern w:val="0"/>
                <w:sz w:val="20"/>
                <w:szCs w:val="20"/>
              </w:rPr>
            </w:pPr>
          </w:p>
        </w:tc>
        <w:tc>
          <w:tcPr>
            <w:tcW w:w="545" w:type="dxa"/>
          </w:tcPr>
          <w:p>
            <w:pPr>
              <w:spacing w:line="360" w:lineRule="exact"/>
              <w:ind w:firstLine="0" w:firstLineChars="0"/>
              <w:jc w:val="center"/>
              <w:rPr>
                <w:rFonts w:eastAsiaTheme="majorEastAsia"/>
                <w:spacing w:val="4"/>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69" w:type="dxa"/>
            <w:vAlign w:val="center"/>
          </w:tcPr>
          <w:p>
            <w:pPr>
              <w:spacing w:line="360" w:lineRule="exact"/>
              <w:ind w:firstLine="0" w:firstLineChars="0"/>
              <w:jc w:val="center"/>
              <w:rPr>
                <w:rFonts w:eastAsiaTheme="majorEastAsia"/>
                <w:spacing w:val="4"/>
                <w:kern w:val="0"/>
                <w:sz w:val="20"/>
                <w:szCs w:val="20"/>
              </w:rPr>
            </w:pPr>
          </w:p>
        </w:tc>
        <w:tc>
          <w:tcPr>
            <w:tcW w:w="868" w:type="dxa"/>
            <w:vAlign w:val="center"/>
          </w:tcPr>
          <w:p>
            <w:pPr>
              <w:spacing w:line="360" w:lineRule="exact"/>
              <w:ind w:firstLine="0" w:firstLineChars="0"/>
              <w:jc w:val="center"/>
              <w:rPr>
                <w:rFonts w:eastAsiaTheme="majorEastAsia"/>
                <w:spacing w:val="4"/>
                <w:kern w:val="0"/>
                <w:sz w:val="20"/>
                <w:szCs w:val="20"/>
              </w:rPr>
            </w:pPr>
          </w:p>
        </w:tc>
        <w:tc>
          <w:tcPr>
            <w:tcW w:w="777" w:type="dxa"/>
            <w:vAlign w:val="center"/>
          </w:tcPr>
          <w:p>
            <w:pPr>
              <w:spacing w:line="360" w:lineRule="exact"/>
              <w:ind w:firstLine="0" w:firstLineChars="0"/>
              <w:jc w:val="center"/>
              <w:rPr>
                <w:rFonts w:eastAsiaTheme="majorEastAsia"/>
                <w:spacing w:val="4"/>
                <w:kern w:val="0"/>
                <w:sz w:val="20"/>
                <w:szCs w:val="20"/>
              </w:rPr>
            </w:pPr>
          </w:p>
        </w:tc>
        <w:tc>
          <w:tcPr>
            <w:tcW w:w="658" w:type="dxa"/>
            <w:vAlign w:val="center"/>
          </w:tcPr>
          <w:p>
            <w:pPr>
              <w:spacing w:line="360" w:lineRule="exact"/>
              <w:ind w:firstLine="0" w:firstLineChars="0"/>
              <w:jc w:val="center"/>
              <w:rPr>
                <w:rFonts w:eastAsiaTheme="majorEastAsia"/>
                <w:spacing w:val="4"/>
                <w:kern w:val="0"/>
                <w:sz w:val="20"/>
                <w:szCs w:val="20"/>
              </w:rPr>
            </w:pPr>
          </w:p>
        </w:tc>
        <w:tc>
          <w:tcPr>
            <w:tcW w:w="709" w:type="dxa"/>
            <w:vAlign w:val="center"/>
          </w:tcPr>
          <w:p>
            <w:pPr>
              <w:spacing w:line="360" w:lineRule="exact"/>
              <w:ind w:firstLine="0" w:firstLineChars="0"/>
              <w:jc w:val="center"/>
              <w:rPr>
                <w:rFonts w:eastAsiaTheme="majorEastAsia"/>
                <w:spacing w:val="4"/>
                <w:kern w:val="0"/>
                <w:sz w:val="20"/>
                <w:szCs w:val="20"/>
              </w:rPr>
            </w:pPr>
          </w:p>
        </w:tc>
        <w:tc>
          <w:tcPr>
            <w:tcW w:w="709" w:type="dxa"/>
            <w:vAlign w:val="center"/>
          </w:tcPr>
          <w:p>
            <w:pPr>
              <w:spacing w:line="360" w:lineRule="exact"/>
              <w:ind w:firstLine="0" w:firstLineChars="0"/>
              <w:jc w:val="center"/>
              <w:rPr>
                <w:rFonts w:eastAsiaTheme="majorEastAsia"/>
                <w:spacing w:val="4"/>
                <w:kern w:val="0"/>
                <w:sz w:val="20"/>
                <w:szCs w:val="20"/>
              </w:rPr>
            </w:pPr>
          </w:p>
        </w:tc>
        <w:tc>
          <w:tcPr>
            <w:tcW w:w="669" w:type="dxa"/>
            <w:vAlign w:val="center"/>
          </w:tcPr>
          <w:p>
            <w:pPr>
              <w:spacing w:line="360" w:lineRule="exact"/>
              <w:ind w:firstLine="0" w:firstLineChars="0"/>
              <w:jc w:val="center"/>
              <w:rPr>
                <w:rFonts w:eastAsiaTheme="majorEastAsia"/>
                <w:spacing w:val="4"/>
                <w:kern w:val="0"/>
                <w:sz w:val="20"/>
                <w:szCs w:val="20"/>
              </w:rPr>
            </w:pPr>
          </w:p>
        </w:tc>
        <w:tc>
          <w:tcPr>
            <w:tcW w:w="608" w:type="dxa"/>
            <w:vAlign w:val="center"/>
          </w:tcPr>
          <w:p>
            <w:pPr>
              <w:spacing w:line="360" w:lineRule="exact"/>
              <w:ind w:firstLine="0" w:firstLineChars="0"/>
              <w:jc w:val="center"/>
              <w:rPr>
                <w:rFonts w:eastAsiaTheme="majorEastAsia"/>
                <w:spacing w:val="4"/>
                <w:kern w:val="0"/>
                <w:sz w:val="20"/>
                <w:szCs w:val="20"/>
              </w:rPr>
            </w:pPr>
          </w:p>
        </w:tc>
        <w:tc>
          <w:tcPr>
            <w:tcW w:w="608" w:type="dxa"/>
            <w:vAlign w:val="center"/>
          </w:tcPr>
          <w:p>
            <w:pPr>
              <w:spacing w:line="360" w:lineRule="exact"/>
              <w:ind w:firstLine="0" w:firstLineChars="0"/>
              <w:jc w:val="center"/>
              <w:rPr>
                <w:rFonts w:eastAsiaTheme="majorEastAsia"/>
                <w:spacing w:val="4"/>
                <w:kern w:val="0"/>
                <w:sz w:val="20"/>
                <w:szCs w:val="20"/>
              </w:rPr>
            </w:pPr>
          </w:p>
        </w:tc>
        <w:tc>
          <w:tcPr>
            <w:tcW w:w="608" w:type="dxa"/>
            <w:vAlign w:val="center"/>
          </w:tcPr>
          <w:p>
            <w:pPr>
              <w:spacing w:line="360" w:lineRule="exact"/>
              <w:ind w:firstLine="0" w:firstLineChars="0"/>
              <w:jc w:val="center"/>
              <w:rPr>
                <w:rFonts w:eastAsiaTheme="majorEastAsia"/>
                <w:spacing w:val="4"/>
                <w:kern w:val="0"/>
                <w:sz w:val="20"/>
                <w:szCs w:val="20"/>
              </w:rPr>
            </w:pPr>
          </w:p>
        </w:tc>
        <w:tc>
          <w:tcPr>
            <w:tcW w:w="542" w:type="dxa"/>
            <w:vAlign w:val="center"/>
          </w:tcPr>
          <w:p>
            <w:pPr>
              <w:spacing w:line="360" w:lineRule="exact"/>
              <w:ind w:firstLine="0" w:firstLineChars="0"/>
              <w:jc w:val="center"/>
              <w:rPr>
                <w:rFonts w:eastAsiaTheme="majorEastAsia"/>
                <w:spacing w:val="4"/>
                <w:kern w:val="0"/>
                <w:sz w:val="20"/>
                <w:szCs w:val="20"/>
              </w:rPr>
            </w:pPr>
          </w:p>
        </w:tc>
        <w:tc>
          <w:tcPr>
            <w:tcW w:w="542" w:type="dxa"/>
          </w:tcPr>
          <w:p>
            <w:pPr>
              <w:spacing w:line="360" w:lineRule="exact"/>
              <w:ind w:firstLine="0" w:firstLineChars="0"/>
              <w:jc w:val="center"/>
              <w:rPr>
                <w:rFonts w:eastAsiaTheme="majorEastAsia"/>
                <w:spacing w:val="4"/>
                <w:kern w:val="0"/>
                <w:sz w:val="20"/>
                <w:szCs w:val="20"/>
              </w:rPr>
            </w:pPr>
          </w:p>
        </w:tc>
        <w:tc>
          <w:tcPr>
            <w:tcW w:w="545" w:type="dxa"/>
          </w:tcPr>
          <w:p>
            <w:pPr>
              <w:spacing w:line="360" w:lineRule="exact"/>
              <w:ind w:firstLine="0" w:firstLineChars="0"/>
              <w:jc w:val="center"/>
              <w:rPr>
                <w:rFonts w:eastAsiaTheme="majorEastAsia"/>
                <w:spacing w:val="4"/>
                <w:kern w:val="0"/>
                <w:sz w:val="20"/>
                <w:szCs w:val="20"/>
              </w:rPr>
            </w:pPr>
          </w:p>
        </w:tc>
      </w:tr>
    </w:tbl>
    <w:p>
      <w:pPr>
        <w:pStyle w:val="82"/>
        <w:spacing w:line="560" w:lineRule="exact"/>
        <w:ind w:firstLine="0" w:firstLineChars="0"/>
        <w:jc w:val="left"/>
        <w:rPr>
          <w:rFonts w:ascii="Times New Roman" w:eastAsiaTheme="majorEastAsia"/>
          <w:szCs w:val="21"/>
        </w:rPr>
      </w:pPr>
    </w:p>
    <w:p>
      <w:pPr>
        <w:pStyle w:val="82"/>
        <w:spacing w:line="560" w:lineRule="exact"/>
        <w:ind w:firstLine="0" w:firstLineChars="0"/>
        <w:jc w:val="center"/>
        <w:rPr>
          <w:rFonts w:hint="eastAsia" w:ascii="Times New Roman" w:eastAsiaTheme="majorEastAsia"/>
          <w:szCs w:val="21"/>
        </w:rPr>
      </w:pPr>
      <w:r>
        <w:rPr>
          <w:lang w:val="en-US"/>
        </w:rPr>
        <w:drawing>
          <wp:anchor distT="0" distB="0" distL="114300" distR="114300" simplePos="0" relativeHeight="251662336" behindDoc="0" locked="0" layoutInCell="1" allowOverlap="1">
            <wp:simplePos x="0" y="0"/>
            <wp:positionH relativeFrom="column">
              <wp:posOffset>336550</wp:posOffset>
            </wp:positionH>
            <wp:positionV relativeFrom="paragraph">
              <wp:posOffset>479425</wp:posOffset>
            </wp:positionV>
            <wp:extent cx="4979670" cy="5109845"/>
            <wp:effectExtent l="0" t="0" r="11430" b="825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0"/>
                    <a:srcRect b="15044"/>
                    <a:stretch>
                      <a:fillRect/>
                    </a:stretch>
                  </pic:blipFill>
                  <pic:spPr>
                    <a:xfrm>
                      <a:off x="0" y="0"/>
                      <a:ext cx="4979670" cy="5109845"/>
                    </a:xfrm>
                    <a:prstGeom prst="rect">
                      <a:avLst/>
                    </a:prstGeom>
                    <a:noFill/>
                    <a:ln>
                      <a:noFill/>
                    </a:ln>
                  </pic:spPr>
                </pic:pic>
              </a:graphicData>
            </a:graphic>
          </wp:anchor>
        </w:drawing>
      </w:r>
      <w:r>
        <w:rPr>
          <w:rFonts w:hint="eastAsia"/>
          <w:lang w:val="en-US" w:eastAsia="zh-CN"/>
        </w:rPr>
        <w:t>B</w:t>
      </w:r>
      <w:r>
        <w:rPr>
          <w:rFonts w:ascii="Times New Roman" w:eastAsiaTheme="majorEastAsia"/>
          <w:szCs w:val="21"/>
        </w:rPr>
        <w:t>3样木位置图</w:t>
      </w:r>
    </w:p>
    <w:p>
      <w:pPr>
        <w:pStyle w:val="82"/>
        <w:spacing w:before="156" w:beforeLines="50" w:after="156" w:afterLines="50" w:line="560" w:lineRule="exact"/>
        <w:ind w:firstLine="0" w:firstLineChars="0"/>
        <w:jc w:val="center"/>
        <w:rPr>
          <w:rFonts w:ascii="Times New Roman" w:eastAsiaTheme="majorEastAsia"/>
          <w:spacing w:val="4"/>
          <w:szCs w:val="21"/>
        </w:rPr>
      </w:pPr>
      <w:r>
        <w:rPr>
          <w:rFonts w:hint="eastAsia" w:ascii="Times New Roman" w:eastAsiaTheme="majorEastAsia"/>
          <w:spacing w:val="4"/>
          <w:szCs w:val="21"/>
          <w:lang w:val="en-US" w:eastAsia="zh-CN"/>
        </w:rPr>
        <w:t>B</w:t>
      </w:r>
      <w:r>
        <w:rPr>
          <w:rFonts w:ascii="Times New Roman" w:eastAsiaTheme="majorEastAsia"/>
          <w:spacing w:val="4"/>
          <w:szCs w:val="21"/>
        </w:rPr>
        <w:t>4 下木调查记录表</w:t>
      </w:r>
    </w:p>
    <w:tbl>
      <w:tblPr>
        <w:tblStyle w:val="22"/>
        <w:tblW w:w="87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970"/>
        <w:gridCol w:w="970"/>
        <w:gridCol w:w="970"/>
        <w:gridCol w:w="970"/>
        <w:gridCol w:w="970"/>
        <w:gridCol w:w="970"/>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970" w:type="dxa"/>
            <w:vAlign w:val="center"/>
          </w:tcPr>
          <w:p>
            <w:pPr>
              <w:pStyle w:val="82"/>
              <w:ind w:firstLine="0" w:firstLineChars="0"/>
              <w:jc w:val="center"/>
              <w:rPr>
                <w:rFonts w:ascii="Times New Roman" w:eastAsiaTheme="majorEastAsia"/>
                <w:sz w:val="20"/>
                <w:szCs w:val="20"/>
              </w:rPr>
            </w:pPr>
            <w:r>
              <w:rPr>
                <w:rFonts w:ascii="Times New Roman" w:eastAsiaTheme="majorEastAsia"/>
                <w:sz w:val="20"/>
                <w:szCs w:val="20"/>
              </w:rPr>
              <w:t>名称</w:t>
            </w:r>
          </w:p>
        </w:tc>
        <w:tc>
          <w:tcPr>
            <w:tcW w:w="970" w:type="dxa"/>
            <w:vAlign w:val="center"/>
          </w:tcPr>
          <w:p>
            <w:pPr>
              <w:pStyle w:val="82"/>
              <w:ind w:firstLine="0" w:firstLineChars="0"/>
              <w:jc w:val="center"/>
              <w:rPr>
                <w:rFonts w:ascii="Times New Roman" w:eastAsiaTheme="majorEastAsia"/>
                <w:sz w:val="20"/>
                <w:szCs w:val="20"/>
              </w:rPr>
            </w:pPr>
            <w:r>
              <w:rPr>
                <w:rFonts w:ascii="Times New Roman" w:eastAsiaTheme="majorEastAsia"/>
                <w:sz w:val="20"/>
                <w:szCs w:val="20"/>
              </w:rPr>
              <w:t>高度</w:t>
            </w:r>
          </w:p>
        </w:tc>
        <w:tc>
          <w:tcPr>
            <w:tcW w:w="970" w:type="dxa"/>
            <w:vAlign w:val="center"/>
          </w:tcPr>
          <w:p>
            <w:pPr>
              <w:pStyle w:val="82"/>
              <w:ind w:firstLine="0" w:firstLineChars="0"/>
              <w:jc w:val="center"/>
              <w:rPr>
                <w:rFonts w:ascii="Times New Roman" w:eastAsiaTheme="majorEastAsia"/>
                <w:sz w:val="20"/>
                <w:szCs w:val="20"/>
              </w:rPr>
            </w:pPr>
            <w:r>
              <w:rPr>
                <w:rFonts w:ascii="Times New Roman" w:eastAsiaTheme="majorEastAsia"/>
                <w:sz w:val="20"/>
                <w:szCs w:val="20"/>
              </w:rPr>
              <w:t>胸径</w:t>
            </w:r>
          </w:p>
        </w:tc>
        <w:tc>
          <w:tcPr>
            <w:tcW w:w="970" w:type="dxa"/>
            <w:vAlign w:val="center"/>
          </w:tcPr>
          <w:p>
            <w:pPr>
              <w:pStyle w:val="82"/>
              <w:ind w:firstLine="0" w:firstLineChars="0"/>
              <w:jc w:val="center"/>
              <w:rPr>
                <w:rFonts w:ascii="Times New Roman" w:eastAsiaTheme="majorEastAsia"/>
                <w:sz w:val="20"/>
                <w:szCs w:val="20"/>
              </w:rPr>
            </w:pPr>
            <w:r>
              <w:rPr>
                <w:rFonts w:ascii="Times New Roman" w:eastAsiaTheme="majorEastAsia"/>
                <w:sz w:val="20"/>
                <w:szCs w:val="20"/>
              </w:rPr>
              <w:t>名称</w:t>
            </w:r>
          </w:p>
        </w:tc>
        <w:tc>
          <w:tcPr>
            <w:tcW w:w="970" w:type="dxa"/>
            <w:vAlign w:val="center"/>
          </w:tcPr>
          <w:p>
            <w:pPr>
              <w:pStyle w:val="82"/>
              <w:ind w:firstLine="0" w:firstLineChars="0"/>
              <w:jc w:val="center"/>
              <w:rPr>
                <w:rFonts w:ascii="Times New Roman" w:eastAsiaTheme="majorEastAsia"/>
                <w:sz w:val="20"/>
                <w:szCs w:val="20"/>
              </w:rPr>
            </w:pPr>
            <w:r>
              <w:rPr>
                <w:rFonts w:ascii="Times New Roman" w:eastAsiaTheme="majorEastAsia"/>
                <w:sz w:val="20"/>
                <w:szCs w:val="20"/>
              </w:rPr>
              <w:t>高度</w:t>
            </w:r>
          </w:p>
        </w:tc>
        <w:tc>
          <w:tcPr>
            <w:tcW w:w="970" w:type="dxa"/>
            <w:vAlign w:val="center"/>
          </w:tcPr>
          <w:p>
            <w:pPr>
              <w:pStyle w:val="82"/>
              <w:ind w:firstLine="0" w:firstLineChars="0"/>
              <w:jc w:val="center"/>
              <w:rPr>
                <w:rFonts w:ascii="Times New Roman" w:eastAsiaTheme="majorEastAsia"/>
                <w:sz w:val="20"/>
                <w:szCs w:val="20"/>
              </w:rPr>
            </w:pPr>
            <w:r>
              <w:rPr>
                <w:rFonts w:ascii="Times New Roman" w:eastAsiaTheme="majorEastAsia"/>
                <w:sz w:val="20"/>
                <w:szCs w:val="20"/>
              </w:rPr>
              <w:t>胸径</w:t>
            </w:r>
          </w:p>
        </w:tc>
        <w:tc>
          <w:tcPr>
            <w:tcW w:w="970" w:type="dxa"/>
            <w:vAlign w:val="center"/>
          </w:tcPr>
          <w:p>
            <w:pPr>
              <w:pStyle w:val="82"/>
              <w:ind w:firstLine="0" w:firstLineChars="0"/>
              <w:jc w:val="center"/>
              <w:rPr>
                <w:rFonts w:ascii="Times New Roman" w:eastAsiaTheme="majorEastAsia"/>
                <w:sz w:val="20"/>
                <w:szCs w:val="20"/>
              </w:rPr>
            </w:pPr>
            <w:r>
              <w:rPr>
                <w:rFonts w:ascii="Times New Roman" w:eastAsiaTheme="majorEastAsia"/>
                <w:sz w:val="20"/>
                <w:szCs w:val="20"/>
              </w:rPr>
              <w:t>名称</w:t>
            </w:r>
          </w:p>
        </w:tc>
        <w:tc>
          <w:tcPr>
            <w:tcW w:w="970" w:type="dxa"/>
            <w:vAlign w:val="center"/>
          </w:tcPr>
          <w:p>
            <w:pPr>
              <w:pStyle w:val="82"/>
              <w:ind w:firstLine="0" w:firstLineChars="0"/>
              <w:jc w:val="center"/>
              <w:rPr>
                <w:rFonts w:ascii="Times New Roman" w:eastAsiaTheme="majorEastAsia"/>
                <w:sz w:val="20"/>
                <w:szCs w:val="20"/>
              </w:rPr>
            </w:pPr>
            <w:r>
              <w:rPr>
                <w:rFonts w:ascii="Times New Roman" w:eastAsiaTheme="majorEastAsia"/>
                <w:sz w:val="20"/>
                <w:szCs w:val="20"/>
              </w:rPr>
              <w:t>高度</w:t>
            </w:r>
          </w:p>
        </w:tc>
        <w:tc>
          <w:tcPr>
            <w:tcW w:w="973" w:type="dxa"/>
            <w:vAlign w:val="center"/>
          </w:tcPr>
          <w:p>
            <w:pPr>
              <w:pStyle w:val="82"/>
              <w:ind w:firstLine="0" w:firstLineChars="0"/>
              <w:jc w:val="center"/>
              <w:rPr>
                <w:rFonts w:ascii="Times New Roman" w:eastAsiaTheme="majorEastAsia"/>
                <w:sz w:val="20"/>
                <w:szCs w:val="20"/>
              </w:rPr>
            </w:pPr>
            <w:r>
              <w:rPr>
                <w:rFonts w:ascii="Times New Roman" w:eastAsiaTheme="majorEastAsia"/>
                <w:sz w:val="20"/>
                <w:szCs w:val="20"/>
              </w:rPr>
              <w:t>胸径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pStyle w:val="82"/>
              <w:spacing w:line="560" w:lineRule="exact"/>
              <w:ind w:firstLine="0" w:firstLineChars="0"/>
              <w:jc w:val="left"/>
              <w:rPr>
                <w:rFonts w:ascii="Times New Roman" w:eastAsiaTheme="majorEastAsia"/>
                <w:sz w:val="20"/>
                <w:szCs w:val="20"/>
              </w:rPr>
            </w:pPr>
          </w:p>
        </w:tc>
        <w:tc>
          <w:tcPr>
            <w:tcW w:w="970" w:type="dxa"/>
            <w:vAlign w:val="center"/>
          </w:tcPr>
          <w:p>
            <w:pPr>
              <w:pStyle w:val="82"/>
              <w:spacing w:line="560" w:lineRule="exact"/>
              <w:ind w:firstLine="0" w:firstLineChars="0"/>
              <w:jc w:val="left"/>
              <w:rPr>
                <w:rFonts w:ascii="Times New Roman" w:eastAsiaTheme="majorEastAsia"/>
                <w:sz w:val="20"/>
                <w:szCs w:val="20"/>
              </w:rPr>
            </w:pPr>
          </w:p>
        </w:tc>
        <w:tc>
          <w:tcPr>
            <w:tcW w:w="970" w:type="dxa"/>
            <w:vAlign w:val="center"/>
          </w:tcPr>
          <w:p>
            <w:pPr>
              <w:pStyle w:val="82"/>
              <w:spacing w:line="560" w:lineRule="exact"/>
              <w:ind w:firstLine="0" w:firstLineChars="0"/>
              <w:jc w:val="left"/>
              <w:rPr>
                <w:rFonts w:ascii="Times New Roman" w:eastAsiaTheme="majorEastAsia"/>
                <w:sz w:val="20"/>
                <w:szCs w:val="20"/>
              </w:rPr>
            </w:pPr>
          </w:p>
        </w:tc>
        <w:tc>
          <w:tcPr>
            <w:tcW w:w="970" w:type="dxa"/>
            <w:vAlign w:val="center"/>
          </w:tcPr>
          <w:p>
            <w:pPr>
              <w:pStyle w:val="82"/>
              <w:spacing w:line="560" w:lineRule="exact"/>
              <w:ind w:firstLine="0" w:firstLineChars="0"/>
              <w:jc w:val="left"/>
              <w:rPr>
                <w:rFonts w:ascii="Times New Roman" w:eastAsiaTheme="majorEastAsia"/>
                <w:sz w:val="20"/>
                <w:szCs w:val="20"/>
              </w:rPr>
            </w:pPr>
          </w:p>
        </w:tc>
        <w:tc>
          <w:tcPr>
            <w:tcW w:w="970" w:type="dxa"/>
            <w:vAlign w:val="center"/>
          </w:tcPr>
          <w:p>
            <w:pPr>
              <w:pStyle w:val="82"/>
              <w:spacing w:line="560" w:lineRule="exact"/>
              <w:ind w:firstLine="0" w:firstLineChars="0"/>
              <w:jc w:val="left"/>
              <w:rPr>
                <w:rFonts w:ascii="Times New Roman" w:eastAsiaTheme="majorEastAsia"/>
                <w:sz w:val="20"/>
                <w:szCs w:val="20"/>
              </w:rPr>
            </w:pPr>
          </w:p>
        </w:tc>
        <w:tc>
          <w:tcPr>
            <w:tcW w:w="970" w:type="dxa"/>
            <w:vAlign w:val="center"/>
          </w:tcPr>
          <w:p>
            <w:pPr>
              <w:pStyle w:val="82"/>
              <w:spacing w:line="560" w:lineRule="exact"/>
              <w:ind w:firstLine="0" w:firstLineChars="0"/>
              <w:jc w:val="left"/>
              <w:rPr>
                <w:rFonts w:ascii="Times New Roman" w:eastAsiaTheme="majorEastAsia"/>
                <w:sz w:val="20"/>
                <w:szCs w:val="20"/>
              </w:rPr>
            </w:pPr>
          </w:p>
        </w:tc>
        <w:tc>
          <w:tcPr>
            <w:tcW w:w="970" w:type="dxa"/>
            <w:vAlign w:val="center"/>
          </w:tcPr>
          <w:p>
            <w:pPr>
              <w:pStyle w:val="82"/>
              <w:spacing w:line="560" w:lineRule="exact"/>
              <w:ind w:firstLine="0" w:firstLineChars="0"/>
              <w:jc w:val="left"/>
              <w:rPr>
                <w:rFonts w:ascii="Times New Roman" w:eastAsiaTheme="majorEastAsia"/>
                <w:sz w:val="20"/>
                <w:szCs w:val="20"/>
              </w:rPr>
            </w:pPr>
          </w:p>
        </w:tc>
        <w:tc>
          <w:tcPr>
            <w:tcW w:w="970" w:type="dxa"/>
            <w:vAlign w:val="center"/>
          </w:tcPr>
          <w:p>
            <w:pPr>
              <w:pStyle w:val="82"/>
              <w:spacing w:line="560" w:lineRule="exact"/>
              <w:ind w:firstLine="0" w:firstLineChars="0"/>
              <w:jc w:val="left"/>
              <w:rPr>
                <w:rFonts w:ascii="Times New Roman" w:eastAsiaTheme="majorEastAsia"/>
                <w:sz w:val="20"/>
                <w:szCs w:val="20"/>
              </w:rPr>
            </w:pPr>
          </w:p>
        </w:tc>
        <w:tc>
          <w:tcPr>
            <w:tcW w:w="973" w:type="dxa"/>
            <w:vAlign w:val="center"/>
          </w:tcPr>
          <w:p>
            <w:pPr>
              <w:pStyle w:val="82"/>
              <w:spacing w:line="560" w:lineRule="exact"/>
              <w:ind w:firstLine="0" w:firstLineChars="0"/>
              <w:jc w:val="left"/>
              <w:rPr>
                <w:rFonts w:ascii="Times New Roman" w:eastAsiaTheme="majorEastAsia"/>
                <w:sz w:val="20"/>
                <w:szCs w:val="20"/>
              </w:rPr>
            </w:pPr>
          </w:p>
        </w:tc>
      </w:tr>
    </w:tbl>
    <w:p>
      <w:pPr>
        <w:pStyle w:val="82"/>
        <w:keepNext w:val="0"/>
        <w:keepLines w:val="0"/>
        <w:pageBreakBefore w:val="0"/>
        <w:widowControl/>
        <w:kinsoku/>
        <w:wordWrap/>
        <w:overflowPunct/>
        <w:topLinePunct w:val="0"/>
        <w:autoSpaceDE w:val="0"/>
        <w:autoSpaceDN w:val="0"/>
        <w:bidi w:val="0"/>
        <w:adjustRightInd/>
        <w:snapToGrid/>
        <w:spacing w:before="325" w:beforeLines="100" w:after="156" w:afterLines="50" w:line="560" w:lineRule="exact"/>
        <w:ind w:firstLine="0" w:firstLineChars="0"/>
        <w:jc w:val="center"/>
        <w:textAlignment w:val="auto"/>
        <w:rPr>
          <w:rFonts w:ascii="Times New Roman" w:eastAsiaTheme="majorEastAsia"/>
          <w:spacing w:val="4"/>
          <w:szCs w:val="21"/>
        </w:rPr>
      </w:pPr>
      <w:r>
        <w:rPr>
          <w:rFonts w:hint="eastAsia" w:ascii="Times New Roman" w:eastAsiaTheme="majorEastAsia"/>
          <w:spacing w:val="4"/>
          <w:szCs w:val="21"/>
          <w:lang w:val="en-US" w:eastAsia="zh-CN"/>
        </w:rPr>
        <w:t>B5</w:t>
      </w:r>
      <w:r>
        <w:rPr>
          <w:rFonts w:ascii="Times New Roman" w:eastAsiaTheme="majorEastAsia"/>
          <w:spacing w:val="4"/>
          <w:szCs w:val="21"/>
        </w:rPr>
        <w:t xml:space="preserve"> 幼树调查记录表</w:t>
      </w:r>
    </w:p>
    <w:p>
      <w:pPr>
        <w:pStyle w:val="82"/>
        <w:ind w:left="0" w:leftChars="0" w:firstLine="638" w:firstLineChars="307"/>
        <w:jc w:val="left"/>
        <w:rPr>
          <w:rFonts w:ascii="Times New Roman" w:eastAsiaTheme="majorEastAsia"/>
          <w:spacing w:val="4"/>
          <w:sz w:val="20"/>
          <w:szCs w:val="20"/>
        </w:rPr>
      </w:pPr>
      <w:r>
        <w:rPr>
          <w:rFonts w:ascii="Times New Roman" w:eastAsiaTheme="majorEastAsia"/>
          <w:spacing w:val="4"/>
          <w:sz w:val="20"/>
          <w:szCs w:val="20"/>
        </w:rPr>
        <w:t>样地号：            调查人：             调查时间：</w:t>
      </w:r>
    </w:p>
    <w:tbl>
      <w:tblPr>
        <w:tblStyle w:val="21"/>
        <w:tblW w:w="85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722"/>
        <w:gridCol w:w="1260"/>
        <w:gridCol w:w="1772"/>
        <w:gridCol w:w="1896"/>
        <w:gridCol w:w="1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81" w:type="dxa"/>
            <w:vMerge w:val="restart"/>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样方号</w:t>
            </w:r>
          </w:p>
        </w:tc>
        <w:tc>
          <w:tcPr>
            <w:tcW w:w="722" w:type="dxa"/>
            <w:vMerge w:val="restart"/>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树种</w:t>
            </w:r>
          </w:p>
        </w:tc>
        <w:tc>
          <w:tcPr>
            <w:tcW w:w="4928" w:type="dxa"/>
            <w:gridSpan w:val="3"/>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株数</w:t>
            </w:r>
          </w:p>
        </w:tc>
        <w:tc>
          <w:tcPr>
            <w:tcW w:w="1884" w:type="dxa"/>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位置特征注记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81" w:type="dxa"/>
            <w:vMerge w:val="continue"/>
            <w:vAlign w:val="center"/>
          </w:tcPr>
          <w:p>
            <w:pPr>
              <w:pStyle w:val="82"/>
              <w:spacing w:line="360" w:lineRule="exact"/>
              <w:ind w:firstLine="0" w:firstLineChars="0"/>
              <w:jc w:val="center"/>
              <w:rPr>
                <w:rFonts w:ascii="Times New Roman" w:eastAsiaTheme="majorEastAsia"/>
                <w:sz w:val="20"/>
                <w:szCs w:val="20"/>
              </w:rPr>
            </w:pPr>
          </w:p>
        </w:tc>
        <w:tc>
          <w:tcPr>
            <w:tcW w:w="722" w:type="dxa"/>
            <w:vMerge w:val="continue"/>
            <w:vAlign w:val="center"/>
          </w:tcPr>
          <w:p>
            <w:pPr>
              <w:pStyle w:val="82"/>
              <w:spacing w:line="360" w:lineRule="exact"/>
              <w:ind w:firstLine="0" w:firstLineChars="0"/>
              <w:jc w:val="center"/>
              <w:rPr>
                <w:rFonts w:ascii="Times New Roman" w:eastAsiaTheme="majorEastAsia"/>
                <w:sz w:val="20"/>
                <w:szCs w:val="20"/>
              </w:rPr>
            </w:pPr>
          </w:p>
        </w:tc>
        <w:tc>
          <w:tcPr>
            <w:tcW w:w="1260" w:type="dxa"/>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高＜30cm</w:t>
            </w:r>
          </w:p>
        </w:tc>
        <w:tc>
          <w:tcPr>
            <w:tcW w:w="1772" w:type="dxa"/>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30cm≤高＜50cm</w:t>
            </w:r>
          </w:p>
        </w:tc>
        <w:tc>
          <w:tcPr>
            <w:tcW w:w="1896" w:type="dxa"/>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50cm≤高＜200cm</w:t>
            </w:r>
          </w:p>
        </w:tc>
        <w:tc>
          <w:tcPr>
            <w:tcW w:w="1884" w:type="dxa"/>
            <w:vMerge w:val="restart"/>
            <w:vAlign w:val="center"/>
          </w:tcPr>
          <w:p>
            <w:pPr>
              <w:pStyle w:val="82"/>
              <w:spacing w:line="360" w:lineRule="exact"/>
              <w:ind w:firstLine="0" w:firstLineChars="0"/>
              <w:jc w:val="center"/>
              <w:rPr>
                <w:rFonts w:ascii="Times New Roman" w:eastAsiaTheme="maj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81" w:type="dxa"/>
            <w:vAlign w:val="center"/>
          </w:tcPr>
          <w:p>
            <w:pPr>
              <w:pStyle w:val="82"/>
              <w:spacing w:line="360" w:lineRule="exact"/>
              <w:ind w:firstLine="0" w:firstLineChars="0"/>
              <w:jc w:val="center"/>
              <w:rPr>
                <w:rFonts w:ascii="Times New Roman" w:eastAsiaTheme="majorEastAsia"/>
                <w:sz w:val="20"/>
                <w:szCs w:val="20"/>
              </w:rPr>
            </w:pPr>
          </w:p>
        </w:tc>
        <w:tc>
          <w:tcPr>
            <w:tcW w:w="722" w:type="dxa"/>
            <w:vAlign w:val="center"/>
          </w:tcPr>
          <w:p>
            <w:pPr>
              <w:pStyle w:val="82"/>
              <w:spacing w:line="360" w:lineRule="exact"/>
              <w:ind w:firstLine="0" w:firstLineChars="0"/>
              <w:jc w:val="center"/>
              <w:rPr>
                <w:rFonts w:ascii="Times New Roman" w:eastAsiaTheme="majorEastAsia"/>
                <w:sz w:val="20"/>
                <w:szCs w:val="20"/>
              </w:rPr>
            </w:pPr>
          </w:p>
        </w:tc>
        <w:tc>
          <w:tcPr>
            <w:tcW w:w="1260" w:type="dxa"/>
            <w:vAlign w:val="center"/>
          </w:tcPr>
          <w:p>
            <w:pPr>
              <w:pStyle w:val="82"/>
              <w:spacing w:line="360" w:lineRule="exact"/>
              <w:ind w:firstLine="0" w:firstLineChars="0"/>
              <w:jc w:val="center"/>
              <w:rPr>
                <w:rFonts w:ascii="Times New Roman" w:eastAsiaTheme="majorEastAsia"/>
                <w:sz w:val="20"/>
                <w:szCs w:val="20"/>
              </w:rPr>
            </w:pPr>
          </w:p>
        </w:tc>
        <w:tc>
          <w:tcPr>
            <w:tcW w:w="1772" w:type="dxa"/>
            <w:vAlign w:val="center"/>
          </w:tcPr>
          <w:p>
            <w:pPr>
              <w:pStyle w:val="82"/>
              <w:spacing w:line="360" w:lineRule="exact"/>
              <w:ind w:firstLine="0" w:firstLineChars="0"/>
              <w:jc w:val="center"/>
              <w:rPr>
                <w:rFonts w:ascii="Times New Roman" w:eastAsiaTheme="majorEastAsia"/>
                <w:sz w:val="20"/>
                <w:szCs w:val="20"/>
              </w:rPr>
            </w:pPr>
          </w:p>
        </w:tc>
        <w:tc>
          <w:tcPr>
            <w:tcW w:w="1896" w:type="dxa"/>
            <w:vAlign w:val="center"/>
          </w:tcPr>
          <w:p>
            <w:pPr>
              <w:pStyle w:val="82"/>
              <w:spacing w:line="360" w:lineRule="exact"/>
              <w:ind w:firstLine="0" w:firstLineChars="0"/>
              <w:jc w:val="center"/>
              <w:rPr>
                <w:rFonts w:ascii="Times New Roman" w:eastAsiaTheme="majorEastAsia"/>
                <w:sz w:val="20"/>
                <w:szCs w:val="20"/>
              </w:rPr>
            </w:pPr>
          </w:p>
        </w:tc>
        <w:tc>
          <w:tcPr>
            <w:tcW w:w="1884" w:type="dxa"/>
            <w:vMerge w:val="continue"/>
            <w:vAlign w:val="center"/>
          </w:tcPr>
          <w:p>
            <w:pPr>
              <w:pStyle w:val="82"/>
              <w:spacing w:line="360" w:lineRule="exact"/>
              <w:ind w:firstLine="0" w:firstLineChars="0"/>
              <w:jc w:val="center"/>
              <w:rPr>
                <w:rFonts w:ascii="Times New Roman" w:eastAsiaTheme="maj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81" w:type="dxa"/>
            <w:vAlign w:val="center"/>
          </w:tcPr>
          <w:p>
            <w:pPr>
              <w:pStyle w:val="82"/>
              <w:spacing w:line="360" w:lineRule="exact"/>
              <w:ind w:firstLine="0" w:firstLineChars="0"/>
              <w:jc w:val="center"/>
              <w:rPr>
                <w:rFonts w:ascii="Times New Roman" w:eastAsiaTheme="majorEastAsia"/>
                <w:sz w:val="20"/>
                <w:szCs w:val="20"/>
              </w:rPr>
            </w:pPr>
          </w:p>
        </w:tc>
        <w:tc>
          <w:tcPr>
            <w:tcW w:w="722" w:type="dxa"/>
            <w:vAlign w:val="center"/>
          </w:tcPr>
          <w:p>
            <w:pPr>
              <w:pStyle w:val="82"/>
              <w:spacing w:line="360" w:lineRule="exact"/>
              <w:ind w:firstLine="0" w:firstLineChars="0"/>
              <w:jc w:val="center"/>
              <w:rPr>
                <w:rFonts w:ascii="Times New Roman" w:eastAsiaTheme="majorEastAsia"/>
                <w:sz w:val="20"/>
                <w:szCs w:val="20"/>
              </w:rPr>
            </w:pPr>
          </w:p>
        </w:tc>
        <w:tc>
          <w:tcPr>
            <w:tcW w:w="1260" w:type="dxa"/>
            <w:vAlign w:val="center"/>
          </w:tcPr>
          <w:p>
            <w:pPr>
              <w:pStyle w:val="82"/>
              <w:spacing w:line="360" w:lineRule="exact"/>
              <w:ind w:firstLine="0" w:firstLineChars="0"/>
              <w:jc w:val="center"/>
              <w:rPr>
                <w:rFonts w:ascii="Times New Roman" w:eastAsiaTheme="majorEastAsia"/>
                <w:sz w:val="20"/>
                <w:szCs w:val="20"/>
              </w:rPr>
            </w:pPr>
          </w:p>
        </w:tc>
        <w:tc>
          <w:tcPr>
            <w:tcW w:w="1772" w:type="dxa"/>
            <w:vAlign w:val="center"/>
          </w:tcPr>
          <w:p>
            <w:pPr>
              <w:pStyle w:val="82"/>
              <w:spacing w:line="360" w:lineRule="exact"/>
              <w:ind w:firstLine="0" w:firstLineChars="0"/>
              <w:jc w:val="center"/>
              <w:rPr>
                <w:rFonts w:ascii="Times New Roman" w:eastAsiaTheme="majorEastAsia"/>
                <w:sz w:val="20"/>
                <w:szCs w:val="20"/>
              </w:rPr>
            </w:pPr>
          </w:p>
        </w:tc>
        <w:tc>
          <w:tcPr>
            <w:tcW w:w="1896" w:type="dxa"/>
            <w:vAlign w:val="center"/>
          </w:tcPr>
          <w:p>
            <w:pPr>
              <w:pStyle w:val="82"/>
              <w:spacing w:line="360" w:lineRule="exact"/>
              <w:ind w:firstLine="0" w:firstLineChars="0"/>
              <w:jc w:val="center"/>
              <w:rPr>
                <w:rFonts w:ascii="Times New Roman" w:eastAsiaTheme="majorEastAsia"/>
                <w:sz w:val="20"/>
                <w:szCs w:val="20"/>
              </w:rPr>
            </w:pPr>
          </w:p>
        </w:tc>
        <w:tc>
          <w:tcPr>
            <w:tcW w:w="1884" w:type="dxa"/>
            <w:vMerge w:val="continue"/>
            <w:vAlign w:val="center"/>
          </w:tcPr>
          <w:p>
            <w:pPr>
              <w:pStyle w:val="82"/>
              <w:spacing w:line="360" w:lineRule="exact"/>
              <w:ind w:firstLine="0" w:firstLineChars="0"/>
              <w:jc w:val="center"/>
              <w:rPr>
                <w:rFonts w:ascii="Times New Roman" w:eastAsiaTheme="maj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81" w:type="dxa"/>
            <w:vAlign w:val="center"/>
          </w:tcPr>
          <w:p>
            <w:pPr>
              <w:pStyle w:val="82"/>
              <w:spacing w:line="360" w:lineRule="exact"/>
              <w:ind w:firstLine="0" w:firstLineChars="0"/>
              <w:jc w:val="center"/>
              <w:rPr>
                <w:rFonts w:ascii="Times New Roman" w:eastAsiaTheme="majorEastAsia"/>
                <w:sz w:val="20"/>
                <w:szCs w:val="20"/>
              </w:rPr>
            </w:pPr>
          </w:p>
        </w:tc>
        <w:tc>
          <w:tcPr>
            <w:tcW w:w="722" w:type="dxa"/>
            <w:vAlign w:val="center"/>
          </w:tcPr>
          <w:p>
            <w:pPr>
              <w:pStyle w:val="82"/>
              <w:spacing w:line="360" w:lineRule="exact"/>
              <w:ind w:firstLine="0" w:firstLineChars="0"/>
              <w:jc w:val="center"/>
              <w:rPr>
                <w:rFonts w:ascii="Times New Roman" w:eastAsiaTheme="majorEastAsia"/>
                <w:sz w:val="20"/>
                <w:szCs w:val="20"/>
              </w:rPr>
            </w:pPr>
          </w:p>
        </w:tc>
        <w:tc>
          <w:tcPr>
            <w:tcW w:w="1260" w:type="dxa"/>
            <w:vAlign w:val="center"/>
          </w:tcPr>
          <w:p>
            <w:pPr>
              <w:pStyle w:val="82"/>
              <w:spacing w:line="360" w:lineRule="exact"/>
              <w:ind w:firstLine="0" w:firstLineChars="0"/>
              <w:jc w:val="center"/>
              <w:rPr>
                <w:rFonts w:ascii="Times New Roman" w:eastAsiaTheme="majorEastAsia"/>
                <w:sz w:val="20"/>
                <w:szCs w:val="20"/>
              </w:rPr>
            </w:pPr>
          </w:p>
        </w:tc>
        <w:tc>
          <w:tcPr>
            <w:tcW w:w="1772" w:type="dxa"/>
            <w:vAlign w:val="center"/>
          </w:tcPr>
          <w:p>
            <w:pPr>
              <w:pStyle w:val="82"/>
              <w:spacing w:line="360" w:lineRule="exact"/>
              <w:ind w:firstLine="0" w:firstLineChars="0"/>
              <w:jc w:val="center"/>
              <w:rPr>
                <w:rFonts w:ascii="Times New Roman" w:eastAsiaTheme="majorEastAsia"/>
                <w:sz w:val="20"/>
                <w:szCs w:val="20"/>
              </w:rPr>
            </w:pPr>
          </w:p>
        </w:tc>
        <w:tc>
          <w:tcPr>
            <w:tcW w:w="1896" w:type="dxa"/>
            <w:vAlign w:val="center"/>
          </w:tcPr>
          <w:p>
            <w:pPr>
              <w:pStyle w:val="82"/>
              <w:spacing w:line="360" w:lineRule="exact"/>
              <w:ind w:firstLine="0" w:firstLineChars="0"/>
              <w:jc w:val="center"/>
              <w:rPr>
                <w:rFonts w:ascii="Times New Roman" w:eastAsiaTheme="majorEastAsia"/>
                <w:sz w:val="20"/>
                <w:szCs w:val="20"/>
              </w:rPr>
            </w:pPr>
          </w:p>
        </w:tc>
        <w:tc>
          <w:tcPr>
            <w:tcW w:w="1884" w:type="dxa"/>
            <w:vMerge w:val="continue"/>
            <w:vAlign w:val="center"/>
          </w:tcPr>
          <w:p>
            <w:pPr>
              <w:pStyle w:val="82"/>
              <w:spacing w:line="360" w:lineRule="exact"/>
              <w:ind w:firstLine="0" w:firstLineChars="0"/>
              <w:jc w:val="center"/>
              <w:rPr>
                <w:rFonts w:ascii="Times New Roman" w:eastAsiaTheme="maj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81" w:type="dxa"/>
            <w:vAlign w:val="center"/>
          </w:tcPr>
          <w:p>
            <w:pPr>
              <w:pStyle w:val="82"/>
              <w:spacing w:line="360" w:lineRule="exact"/>
              <w:ind w:firstLine="0" w:firstLineChars="0"/>
              <w:jc w:val="center"/>
              <w:rPr>
                <w:rFonts w:ascii="Times New Roman" w:eastAsiaTheme="majorEastAsia"/>
                <w:sz w:val="20"/>
                <w:szCs w:val="20"/>
              </w:rPr>
            </w:pPr>
          </w:p>
        </w:tc>
        <w:tc>
          <w:tcPr>
            <w:tcW w:w="722" w:type="dxa"/>
            <w:vAlign w:val="center"/>
          </w:tcPr>
          <w:p>
            <w:pPr>
              <w:pStyle w:val="82"/>
              <w:spacing w:line="360" w:lineRule="exact"/>
              <w:ind w:firstLine="0" w:firstLineChars="0"/>
              <w:jc w:val="center"/>
              <w:rPr>
                <w:rFonts w:ascii="Times New Roman" w:eastAsiaTheme="majorEastAsia"/>
                <w:sz w:val="20"/>
                <w:szCs w:val="20"/>
              </w:rPr>
            </w:pPr>
          </w:p>
        </w:tc>
        <w:tc>
          <w:tcPr>
            <w:tcW w:w="1260" w:type="dxa"/>
            <w:vAlign w:val="center"/>
          </w:tcPr>
          <w:p>
            <w:pPr>
              <w:pStyle w:val="82"/>
              <w:spacing w:line="360" w:lineRule="exact"/>
              <w:ind w:firstLine="0" w:firstLineChars="0"/>
              <w:jc w:val="center"/>
              <w:rPr>
                <w:rFonts w:ascii="Times New Roman" w:eastAsiaTheme="majorEastAsia"/>
                <w:sz w:val="20"/>
                <w:szCs w:val="20"/>
              </w:rPr>
            </w:pPr>
          </w:p>
        </w:tc>
        <w:tc>
          <w:tcPr>
            <w:tcW w:w="1772" w:type="dxa"/>
            <w:vAlign w:val="center"/>
          </w:tcPr>
          <w:p>
            <w:pPr>
              <w:pStyle w:val="82"/>
              <w:spacing w:line="360" w:lineRule="exact"/>
              <w:ind w:firstLine="0" w:firstLineChars="0"/>
              <w:jc w:val="center"/>
              <w:rPr>
                <w:rFonts w:ascii="Times New Roman" w:eastAsiaTheme="majorEastAsia"/>
                <w:sz w:val="20"/>
                <w:szCs w:val="20"/>
              </w:rPr>
            </w:pPr>
          </w:p>
        </w:tc>
        <w:tc>
          <w:tcPr>
            <w:tcW w:w="1896" w:type="dxa"/>
            <w:vAlign w:val="center"/>
          </w:tcPr>
          <w:p>
            <w:pPr>
              <w:pStyle w:val="82"/>
              <w:spacing w:line="360" w:lineRule="exact"/>
              <w:ind w:firstLine="0" w:firstLineChars="0"/>
              <w:jc w:val="center"/>
              <w:rPr>
                <w:rFonts w:ascii="Times New Roman" w:eastAsiaTheme="majorEastAsia"/>
                <w:sz w:val="20"/>
                <w:szCs w:val="20"/>
              </w:rPr>
            </w:pPr>
          </w:p>
        </w:tc>
        <w:tc>
          <w:tcPr>
            <w:tcW w:w="1884" w:type="dxa"/>
            <w:vMerge w:val="continue"/>
            <w:vAlign w:val="center"/>
          </w:tcPr>
          <w:p>
            <w:pPr>
              <w:pStyle w:val="82"/>
              <w:spacing w:line="360" w:lineRule="exact"/>
              <w:ind w:firstLine="0" w:firstLineChars="0"/>
              <w:jc w:val="center"/>
              <w:rPr>
                <w:rFonts w:ascii="Times New Roman" w:eastAsiaTheme="majorEastAsia"/>
                <w:sz w:val="20"/>
                <w:szCs w:val="20"/>
              </w:rPr>
            </w:pPr>
          </w:p>
        </w:tc>
      </w:tr>
    </w:tbl>
    <w:p>
      <w:pPr>
        <w:pStyle w:val="82"/>
        <w:keepNext w:val="0"/>
        <w:keepLines w:val="0"/>
        <w:pageBreakBefore w:val="0"/>
        <w:widowControl/>
        <w:kinsoku/>
        <w:wordWrap/>
        <w:overflowPunct/>
        <w:topLinePunct w:val="0"/>
        <w:autoSpaceDE w:val="0"/>
        <w:autoSpaceDN w:val="0"/>
        <w:bidi w:val="0"/>
        <w:adjustRightInd/>
        <w:snapToGrid/>
        <w:spacing w:before="325" w:beforeLines="100" w:after="156" w:afterLines="50" w:line="560" w:lineRule="exact"/>
        <w:ind w:firstLine="0" w:firstLineChars="0"/>
        <w:jc w:val="center"/>
        <w:textAlignment w:val="auto"/>
        <w:rPr>
          <w:rFonts w:ascii="Times New Roman" w:eastAsiaTheme="majorEastAsia"/>
          <w:spacing w:val="4"/>
          <w:szCs w:val="21"/>
        </w:rPr>
      </w:pPr>
      <w:r>
        <w:rPr>
          <w:rFonts w:hint="eastAsia" w:ascii="Times New Roman" w:eastAsiaTheme="majorEastAsia"/>
          <w:spacing w:val="4"/>
          <w:szCs w:val="21"/>
          <w:lang w:val="en-US" w:eastAsia="zh-CN"/>
        </w:rPr>
        <w:t>B6</w:t>
      </w:r>
      <w:r>
        <w:rPr>
          <w:rFonts w:ascii="Times New Roman" w:eastAsiaTheme="majorEastAsia"/>
          <w:spacing w:val="4"/>
          <w:szCs w:val="21"/>
        </w:rPr>
        <w:t xml:space="preserve"> 灌木调查记录表</w:t>
      </w:r>
    </w:p>
    <w:p>
      <w:pPr>
        <w:pStyle w:val="82"/>
        <w:ind w:left="0" w:leftChars="0" w:firstLine="638" w:firstLineChars="307"/>
        <w:jc w:val="left"/>
        <w:rPr>
          <w:rFonts w:ascii="Times New Roman" w:eastAsiaTheme="majorEastAsia"/>
          <w:spacing w:val="4"/>
          <w:sz w:val="20"/>
          <w:szCs w:val="20"/>
        </w:rPr>
      </w:pPr>
      <w:r>
        <w:rPr>
          <w:rFonts w:ascii="Times New Roman" w:eastAsiaTheme="majorEastAsia"/>
          <w:spacing w:val="4"/>
          <w:sz w:val="20"/>
          <w:szCs w:val="20"/>
        </w:rPr>
        <w:t>样地号：           调查人：            调查时间：</w:t>
      </w:r>
    </w:p>
    <w:tbl>
      <w:tblPr>
        <w:tblStyle w:val="21"/>
        <w:tblW w:w="85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130"/>
        <w:gridCol w:w="2130"/>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29" w:type="dxa"/>
            <w:tcBorders>
              <w:top w:val="single" w:color="auto" w:sz="4" w:space="0"/>
              <w:bottom w:val="single" w:color="auto" w:sz="4" w:space="0"/>
              <w:right w:val="single" w:color="auto" w:sz="4" w:space="0"/>
            </w:tcBorders>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样方号</w:t>
            </w:r>
          </w:p>
        </w:tc>
        <w:tc>
          <w:tcPr>
            <w:tcW w:w="2130" w:type="dxa"/>
            <w:tcBorders>
              <w:top w:val="single" w:color="auto" w:sz="4" w:space="0"/>
              <w:bottom w:val="single" w:color="auto" w:sz="4" w:space="0"/>
              <w:right w:val="single" w:color="auto" w:sz="4" w:space="0"/>
            </w:tcBorders>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名称</w:t>
            </w:r>
          </w:p>
        </w:tc>
        <w:tc>
          <w:tcPr>
            <w:tcW w:w="2130" w:type="dxa"/>
            <w:tcBorders>
              <w:top w:val="single" w:color="auto" w:sz="4" w:space="0"/>
              <w:left w:val="single" w:color="auto" w:sz="4" w:space="0"/>
              <w:bottom w:val="single" w:color="auto" w:sz="4" w:space="0"/>
              <w:right w:val="single" w:color="auto" w:sz="4" w:space="0"/>
            </w:tcBorders>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平均高</w:t>
            </w:r>
          </w:p>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（m）</w:t>
            </w:r>
          </w:p>
        </w:tc>
        <w:tc>
          <w:tcPr>
            <w:tcW w:w="2130" w:type="dxa"/>
            <w:tcBorders>
              <w:left w:val="single" w:color="auto" w:sz="4" w:space="0"/>
              <w:right w:val="single" w:color="auto" w:sz="4" w:space="0"/>
            </w:tcBorders>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覆盖度</w:t>
            </w:r>
          </w:p>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29"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left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left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29"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left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left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29"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left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left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r>
    </w:tbl>
    <w:p>
      <w:pPr>
        <w:pStyle w:val="82"/>
        <w:keepNext w:val="0"/>
        <w:keepLines w:val="0"/>
        <w:pageBreakBefore w:val="0"/>
        <w:widowControl/>
        <w:kinsoku/>
        <w:wordWrap/>
        <w:overflowPunct/>
        <w:topLinePunct w:val="0"/>
        <w:autoSpaceDE w:val="0"/>
        <w:autoSpaceDN w:val="0"/>
        <w:bidi w:val="0"/>
        <w:adjustRightInd/>
        <w:snapToGrid/>
        <w:spacing w:before="325" w:beforeLines="100" w:after="156" w:afterLines="50" w:line="560" w:lineRule="exact"/>
        <w:ind w:firstLine="0" w:firstLineChars="0"/>
        <w:jc w:val="center"/>
        <w:textAlignment w:val="auto"/>
        <w:rPr>
          <w:rFonts w:ascii="Times New Roman" w:eastAsiaTheme="majorEastAsia"/>
          <w:spacing w:val="4"/>
          <w:szCs w:val="21"/>
        </w:rPr>
      </w:pPr>
      <w:r>
        <w:rPr>
          <w:rFonts w:hint="eastAsia" w:ascii="Times New Roman" w:eastAsiaTheme="majorEastAsia"/>
          <w:spacing w:val="4"/>
          <w:szCs w:val="21"/>
          <w:lang w:val="en-US" w:eastAsia="zh-CN"/>
        </w:rPr>
        <w:t>B7</w:t>
      </w:r>
      <w:r>
        <w:rPr>
          <w:rFonts w:ascii="Times New Roman" w:eastAsiaTheme="majorEastAsia"/>
          <w:spacing w:val="4"/>
          <w:szCs w:val="21"/>
        </w:rPr>
        <w:t xml:space="preserve"> 草本调查记录表</w:t>
      </w:r>
    </w:p>
    <w:p>
      <w:pPr>
        <w:pStyle w:val="82"/>
        <w:ind w:left="0" w:leftChars="0" w:firstLine="638" w:firstLineChars="307"/>
        <w:jc w:val="left"/>
        <w:rPr>
          <w:rFonts w:ascii="Times New Roman" w:eastAsiaTheme="majorEastAsia"/>
          <w:spacing w:val="4"/>
          <w:sz w:val="20"/>
          <w:szCs w:val="20"/>
        </w:rPr>
      </w:pPr>
      <w:r>
        <w:rPr>
          <w:rFonts w:ascii="Times New Roman" w:eastAsiaTheme="majorEastAsia"/>
          <w:spacing w:val="4"/>
          <w:sz w:val="20"/>
          <w:szCs w:val="20"/>
        </w:rPr>
        <w:t>样地号：             调查人：           调查时间：</w:t>
      </w:r>
    </w:p>
    <w:tbl>
      <w:tblPr>
        <w:tblStyle w:val="21"/>
        <w:tblW w:w="85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130"/>
        <w:gridCol w:w="2130"/>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29" w:type="dxa"/>
            <w:tcBorders>
              <w:top w:val="single" w:color="auto" w:sz="4" w:space="0"/>
              <w:bottom w:val="single" w:color="auto" w:sz="4" w:space="0"/>
              <w:right w:val="single" w:color="auto" w:sz="4" w:space="0"/>
            </w:tcBorders>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样方号</w:t>
            </w:r>
          </w:p>
        </w:tc>
        <w:tc>
          <w:tcPr>
            <w:tcW w:w="2130" w:type="dxa"/>
            <w:tcBorders>
              <w:top w:val="single" w:color="auto" w:sz="4" w:space="0"/>
              <w:bottom w:val="single" w:color="auto" w:sz="4" w:space="0"/>
              <w:right w:val="single" w:color="auto" w:sz="4" w:space="0"/>
            </w:tcBorders>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名称</w:t>
            </w:r>
          </w:p>
        </w:tc>
        <w:tc>
          <w:tcPr>
            <w:tcW w:w="2130" w:type="dxa"/>
            <w:tcBorders>
              <w:top w:val="single" w:color="auto" w:sz="4" w:space="0"/>
              <w:left w:val="single" w:color="auto" w:sz="4" w:space="0"/>
              <w:bottom w:val="single" w:color="auto" w:sz="4" w:space="0"/>
              <w:right w:val="single" w:color="auto" w:sz="4" w:space="0"/>
            </w:tcBorders>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平均高</w:t>
            </w:r>
          </w:p>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（m）</w:t>
            </w:r>
          </w:p>
        </w:tc>
        <w:tc>
          <w:tcPr>
            <w:tcW w:w="2130" w:type="dxa"/>
            <w:tcBorders>
              <w:left w:val="single" w:color="auto" w:sz="4" w:space="0"/>
              <w:right w:val="single" w:color="auto" w:sz="4" w:space="0"/>
            </w:tcBorders>
            <w:vAlign w:val="center"/>
          </w:tcPr>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覆盖度</w:t>
            </w:r>
          </w:p>
          <w:p>
            <w:pPr>
              <w:pStyle w:val="82"/>
              <w:spacing w:line="360" w:lineRule="exact"/>
              <w:ind w:firstLine="0" w:firstLineChars="0"/>
              <w:jc w:val="center"/>
              <w:rPr>
                <w:rFonts w:ascii="Times New Roman" w:eastAsiaTheme="majorEastAsia"/>
                <w:sz w:val="20"/>
                <w:szCs w:val="20"/>
              </w:rPr>
            </w:pPr>
            <w:r>
              <w:rPr>
                <w:rFonts w:ascii="Times New Roman" w:eastAsiaTheme="maj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29"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left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left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29"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left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left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29"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top w:val="single" w:color="auto" w:sz="4" w:space="0"/>
              <w:left w:val="single" w:color="auto" w:sz="4" w:space="0"/>
              <w:bottom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c>
          <w:tcPr>
            <w:tcW w:w="2130" w:type="dxa"/>
            <w:tcBorders>
              <w:left w:val="single" w:color="auto" w:sz="4" w:space="0"/>
              <w:right w:val="single" w:color="auto" w:sz="4" w:space="0"/>
            </w:tcBorders>
          </w:tcPr>
          <w:p>
            <w:pPr>
              <w:pStyle w:val="82"/>
              <w:spacing w:line="360" w:lineRule="exact"/>
              <w:ind w:firstLine="0" w:firstLineChars="0"/>
              <w:jc w:val="center"/>
              <w:rPr>
                <w:rFonts w:ascii="Times New Roman" w:eastAsiaTheme="majorEastAsia"/>
                <w:sz w:val="20"/>
                <w:szCs w:val="20"/>
              </w:rPr>
            </w:pPr>
          </w:p>
        </w:tc>
      </w:tr>
    </w:tbl>
    <w:p>
      <w:pPr>
        <w:widowControl/>
        <w:ind w:firstLine="420"/>
        <w:jc w:val="center"/>
        <w:outlineLvl w:val="9"/>
        <w:rPr>
          <w:rFonts w:eastAsia="黑体"/>
          <w:bCs/>
          <w:szCs w:val="21"/>
        </w:rPr>
      </w:pPr>
    </w:p>
    <w:p>
      <w:pPr>
        <w:pStyle w:val="82"/>
        <w:keepNext w:val="0"/>
        <w:keepLines w:val="0"/>
        <w:pageBreakBefore w:val="0"/>
        <w:widowControl/>
        <w:kinsoku/>
        <w:wordWrap/>
        <w:overflowPunct/>
        <w:topLinePunct w:val="0"/>
        <w:autoSpaceDE w:val="0"/>
        <w:autoSpaceDN w:val="0"/>
        <w:bidi w:val="0"/>
        <w:adjustRightInd/>
        <w:snapToGrid/>
        <w:spacing w:before="325" w:beforeLines="100" w:after="156" w:afterLines="50" w:line="560" w:lineRule="exact"/>
        <w:ind w:firstLine="0" w:firstLineChars="0"/>
        <w:jc w:val="center"/>
        <w:textAlignment w:val="auto"/>
        <w:rPr>
          <w:rFonts w:ascii="Times New Roman" w:eastAsiaTheme="majorEastAsia"/>
          <w:spacing w:val="4"/>
          <w:szCs w:val="21"/>
        </w:rPr>
      </w:pPr>
      <w:r>
        <w:rPr>
          <w:rFonts w:hint="eastAsia" w:ascii="Times New Roman" w:eastAsiaTheme="majorEastAsia"/>
          <w:spacing w:val="4"/>
          <w:szCs w:val="21"/>
          <w:lang w:val="en-US" w:eastAsia="zh-CN"/>
        </w:rPr>
        <w:t>B8</w:t>
      </w:r>
      <w:r>
        <w:rPr>
          <w:rFonts w:ascii="Times New Roman" w:eastAsiaTheme="majorEastAsia"/>
          <w:spacing w:val="4"/>
          <w:szCs w:val="21"/>
        </w:rPr>
        <w:t xml:space="preserve"> </w:t>
      </w:r>
      <w:r>
        <w:rPr>
          <w:rFonts w:hint="eastAsia" w:ascii="Times New Roman" w:eastAsiaTheme="majorEastAsia"/>
          <w:spacing w:val="4"/>
          <w:szCs w:val="21"/>
          <w:lang w:val="en-US" w:eastAsia="zh-CN"/>
        </w:rPr>
        <w:t>未成林造林地</w:t>
      </w:r>
      <w:r>
        <w:rPr>
          <w:rFonts w:ascii="Times New Roman" w:eastAsiaTheme="majorEastAsia"/>
          <w:spacing w:val="4"/>
          <w:szCs w:val="21"/>
        </w:rPr>
        <w:t>调查记录表</w:t>
      </w:r>
    </w:p>
    <w:p>
      <w:pPr>
        <w:pStyle w:val="82"/>
        <w:ind w:left="0" w:leftChars="0" w:firstLine="638" w:firstLineChars="307"/>
        <w:jc w:val="left"/>
        <w:rPr>
          <w:rFonts w:ascii="Times New Roman" w:eastAsiaTheme="majorEastAsia"/>
          <w:spacing w:val="4"/>
          <w:sz w:val="20"/>
          <w:szCs w:val="20"/>
        </w:rPr>
      </w:pPr>
      <w:r>
        <w:rPr>
          <w:rFonts w:ascii="Times New Roman" w:eastAsiaTheme="majorEastAsia"/>
          <w:spacing w:val="4"/>
          <w:sz w:val="20"/>
          <w:szCs w:val="20"/>
        </w:rPr>
        <w:t>样地号：             调查人：           调查时间：</w:t>
      </w:r>
    </w:p>
    <w:tbl>
      <w:tblPr>
        <w:tblStyle w:val="2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57"/>
        <w:gridCol w:w="957"/>
        <w:gridCol w:w="957"/>
        <w:gridCol w:w="957"/>
        <w:gridCol w:w="957"/>
        <w:gridCol w:w="957"/>
        <w:gridCol w:w="957"/>
        <w:gridCol w:w="957"/>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 w:type="dxa"/>
            <w:vMerge w:val="restart"/>
            <w:vAlign w:val="center"/>
          </w:tcPr>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造林</w:t>
            </w:r>
          </w:p>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年度</w:t>
            </w:r>
          </w:p>
        </w:tc>
        <w:tc>
          <w:tcPr>
            <w:tcW w:w="957" w:type="dxa"/>
            <w:vMerge w:val="restart"/>
            <w:vAlign w:val="center"/>
          </w:tcPr>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苗龄</w:t>
            </w:r>
          </w:p>
        </w:tc>
        <w:tc>
          <w:tcPr>
            <w:tcW w:w="957" w:type="dxa"/>
            <w:vMerge w:val="restart"/>
            <w:vAlign w:val="center"/>
          </w:tcPr>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造林</w:t>
            </w:r>
          </w:p>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株数</w:t>
            </w:r>
          </w:p>
        </w:tc>
        <w:tc>
          <w:tcPr>
            <w:tcW w:w="957" w:type="dxa"/>
            <w:vMerge w:val="restart"/>
            <w:vAlign w:val="center"/>
          </w:tcPr>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成活</w:t>
            </w:r>
          </w:p>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株数</w:t>
            </w:r>
          </w:p>
        </w:tc>
        <w:tc>
          <w:tcPr>
            <w:tcW w:w="957" w:type="dxa"/>
            <w:vMerge w:val="restart"/>
            <w:vAlign w:val="center"/>
          </w:tcPr>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初植面度/(株/hm2)</w:t>
            </w:r>
          </w:p>
        </w:tc>
        <w:tc>
          <w:tcPr>
            <w:tcW w:w="957" w:type="dxa"/>
            <w:vMerge w:val="restart"/>
            <w:vAlign w:val="center"/>
          </w:tcPr>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苗木成活（保存）/率/%</w:t>
            </w:r>
          </w:p>
        </w:tc>
        <w:tc>
          <w:tcPr>
            <w:tcW w:w="957" w:type="dxa"/>
            <w:vMerge w:val="restart"/>
            <w:vAlign w:val="center"/>
          </w:tcPr>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抚育管理措施</w:t>
            </w:r>
          </w:p>
        </w:tc>
        <w:tc>
          <w:tcPr>
            <w:tcW w:w="2872" w:type="dxa"/>
            <w:gridSpan w:val="3"/>
            <w:vAlign w:val="center"/>
          </w:tcPr>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树种组成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 w:type="dxa"/>
            <w:vMerge w:val="continue"/>
            <w:vAlign w:val="center"/>
          </w:tcPr>
          <w:p>
            <w:pPr>
              <w:widowControl/>
              <w:ind w:left="0" w:leftChars="0" w:firstLine="0" w:firstLineChars="0"/>
              <w:jc w:val="center"/>
              <w:outlineLvl w:val="9"/>
              <w:rPr>
                <w:rFonts w:hint="eastAsia"/>
                <w:sz w:val="21"/>
                <w:vertAlign w:val="baseline"/>
                <w:lang w:val="en-US" w:eastAsia="zh-CN"/>
              </w:rPr>
            </w:pPr>
          </w:p>
        </w:tc>
        <w:tc>
          <w:tcPr>
            <w:tcW w:w="957" w:type="dxa"/>
            <w:vMerge w:val="continue"/>
            <w:vAlign w:val="center"/>
          </w:tcPr>
          <w:p>
            <w:pPr>
              <w:widowControl/>
              <w:ind w:left="0" w:leftChars="0" w:firstLine="0" w:firstLineChars="0"/>
              <w:jc w:val="center"/>
              <w:outlineLvl w:val="9"/>
              <w:rPr>
                <w:rFonts w:hint="eastAsia"/>
                <w:sz w:val="21"/>
                <w:vertAlign w:val="baseline"/>
                <w:lang w:val="en-US" w:eastAsia="zh-CN"/>
              </w:rPr>
            </w:pPr>
          </w:p>
        </w:tc>
        <w:tc>
          <w:tcPr>
            <w:tcW w:w="957" w:type="dxa"/>
            <w:vMerge w:val="continue"/>
            <w:vAlign w:val="center"/>
          </w:tcPr>
          <w:p>
            <w:pPr>
              <w:widowControl/>
              <w:ind w:left="0" w:leftChars="0" w:firstLine="0" w:firstLineChars="0"/>
              <w:jc w:val="center"/>
              <w:outlineLvl w:val="9"/>
              <w:rPr>
                <w:rFonts w:hint="eastAsia"/>
                <w:sz w:val="21"/>
                <w:vertAlign w:val="baseline"/>
                <w:lang w:val="en-US" w:eastAsia="zh-CN"/>
              </w:rPr>
            </w:pPr>
          </w:p>
        </w:tc>
        <w:tc>
          <w:tcPr>
            <w:tcW w:w="957" w:type="dxa"/>
            <w:vMerge w:val="continue"/>
            <w:vAlign w:val="center"/>
          </w:tcPr>
          <w:p>
            <w:pPr>
              <w:widowControl/>
              <w:ind w:left="0" w:leftChars="0" w:firstLine="0" w:firstLineChars="0"/>
              <w:jc w:val="center"/>
              <w:outlineLvl w:val="9"/>
              <w:rPr>
                <w:rFonts w:hint="eastAsia"/>
                <w:sz w:val="21"/>
                <w:vertAlign w:val="baseline"/>
                <w:lang w:val="en-US" w:eastAsia="zh-CN"/>
              </w:rPr>
            </w:pPr>
          </w:p>
        </w:tc>
        <w:tc>
          <w:tcPr>
            <w:tcW w:w="957" w:type="dxa"/>
            <w:vMerge w:val="continue"/>
            <w:vAlign w:val="center"/>
          </w:tcPr>
          <w:p>
            <w:pPr>
              <w:widowControl/>
              <w:ind w:left="0" w:leftChars="0" w:firstLine="0" w:firstLineChars="0"/>
              <w:jc w:val="center"/>
              <w:outlineLvl w:val="9"/>
              <w:rPr>
                <w:rFonts w:hint="eastAsia"/>
                <w:sz w:val="21"/>
                <w:vertAlign w:val="baseline"/>
                <w:lang w:val="en-US" w:eastAsia="zh-CN"/>
              </w:rPr>
            </w:pPr>
          </w:p>
        </w:tc>
        <w:tc>
          <w:tcPr>
            <w:tcW w:w="957" w:type="dxa"/>
            <w:vMerge w:val="continue"/>
            <w:vAlign w:val="center"/>
          </w:tcPr>
          <w:p>
            <w:pPr>
              <w:widowControl/>
              <w:ind w:left="0" w:leftChars="0" w:firstLine="0" w:firstLineChars="0"/>
              <w:jc w:val="center"/>
              <w:outlineLvl w:val="9"/>
              <w:rPr>
                <w:rFonts w:hint="eastAsia"/>
                <w:sz w:val="21"/>
                <w:vertAlign w:val="baseline"/>
                <w:lang w:val="en-US" w:eastAsia="zh-CN"/>
              </w:rPr>
            </w:pPr>
          </w:p>
        </w:tc>
        <w:tc>
          <w:tcPr>
            <w:tcW w:w="957" w:type="dxa"/>
            <w:vMerge w:val="continue"/>
            <w:vAlign w:val="center"/>
          </w:tcPr>
          <w:p>
            <w:pPr>
              <w:widowControl/>
              <w:ind w:left="0" w:leftChars="0" w:firstLine="0" w:firstLineChars="0"/>
              <w:jc w:val="center"/>
              <w:outlineLvl w:val="9"/>
              <w:rPr>
                <w:rFonts w:hint="eastAsia"/>
                <w:sz w:val="21"/>
                <w:vertAlign w:val="baseline"/>
                <w:lang w:val="en-US" w:eastAsia="zh-CN"/>
              </w:rPr>
            </w:pPr>
          </w:p>
        </w:tc>
        <w:tc>
          <w:tcPr>
            <w:tcW w:w="957" w:type="dxa"/>
            <w:vAlign w:val="center"/>
          </w:tcPr>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树种</w:t>
            </w:r>
          </w:p>
        </w:tc>
        <w:tc>
          <w:tcPr>
            <w:tcW w:w="957" w:type="dxa"/>
            <w:vAlign w:val="center"/>
          </w:tcPr>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株数</w:t>
            </w:r>
          </w:p>
        </w:tc>
        <w:tc>
          <w:tcPr>
            <w:tcW w:w="958" w:type="dxa"/>
            <w:vAlign w:val="center"/>
          </w:tcPr>
          <w:p>
            <w:pPr>
              <w:widowControl/>
              <w:ind w:left="0" w:leftChars="0" w:firstLine="0" w:firstLineChars="0"/>
              <w:jc w:val="center"/>
              <w:outlineLvl w:val="9"/>
              <w:rPr>
                <w:rFonts w:hint="eastAsia"/>
                <w:sz w:val="21"/>
                <w:vertAlign w:val="baseline"/>
                <w:lang w:val="en-US" w:eastAsia="zh-CN"/>
              </w:rPr>
            </w:pPr>
            <w:r>
              <w:rPr>
                <w:rFonts w:hint="eastAsia"/>
                <w:sz w:val="21"/>
                <w:vertAlign w:val="baseline"/>
                <w:lang w:val="en-US" w:eastAsia="zh-CN"/>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99" w:type="dxa"/>
            <w:gridSpan w:val="7"/>
            <w:vMerge w:val="restart"/>
          </w:tcPr>
          <w:p>
            <w:pPr>
              <w:widowControl/>
              <w:jc w:val="center"/>
              <w:outlineLvl w:val="9"/>
              <w:rPr>
                <w:sz w:val="21"/>
                <w:vertAlign w:val="baseline"/>
              </w:rPr>
            </w:pPr>
          </w:p>
        </w:tc>
        <w:tc>
          <w:tcPr>
            <w:tcW w:w="957" w:type="dxa"/>
          </w:tcPr>
          <w:p>
            <w:pPr>
              <w:widowControl/>
              <w:jc w:val="center"/>
              <w:outlineLvl w:val="9"/>
              <w:rPr>
                <w:sz w:val="21"/>
                <w:vertAlign w:val="baseline"/>
              </w:rPr>
            </w:pPr>
          </w:p>
        </w:tc>
        <w:tc>
          <w:tcPr>
            <w:tcW w:w="957" w:type="dxa"/>
          </w:tcPr>
          <w:p>
            <w:pPr>
              <w:widowControl/>
              <w:jc w:val="center"/>
              <w:outlineLvl w:val="9"/>
              <w:rPr>
                <w:sz w:val="21"/>
                <w:vertAlign w:val="baseline"/>
              </w:rPr>
            </w:pPr>
          </w:p>
        </w:tc>
        <w:tc>
          <w:tcPr>
            <w:tcW w:w="958" w:type="dxa"/>
          </w:tcPr>
          <w:p>
            <w:pPr>
              <w:widowControl/>
              <w:jc w:val="center"/>
              <w:outlineLvl w:val="9"/>
              <w:rPr>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99" w:type="dxa"/>
            <w:gridSpan w:val="7"/>
            <w:vMerge w:val="continue"/>
          </w:tcPr>
          <w:p>
            <w:pPr>
              <w:widowControl/>
              <w:jc w:val="center"/>
              <w:outlineLvl w:val="9"/>
              <w:rPr>
                <w:sz w:val="21"/>
                <w:vertAlign w:val="baseline"/>
              </w:rPr>
            </w:pPr>
          </w:p>
        </w:tc>
        <w:tc>
          <w:tcPr>
            <w:tcW w:w="957" w:type="dxa"/>
          </w:tcPr>
          <w:p>
            <w:pPr>
              <w:widowControl/>
              <w:jc w:val="center"/>
              <w:outlineLvl w:val="9"/>
              <w:rPr>
                <w:sz w:val="21"/>
                <w:vertAlign w:val="baseline"/>
              </w:rPr>
            </w:pPr>
          </w:p>
        </w:tc>
        <w:tc>
          <w:tcPr>
            <w:tcW w:w="957" w:type="dxa"/>
          </w:tcPr>
          <w:p>
            <w:pPr>
              <w:widowControl/>
              <w:jc w:val="center"/>
              <w:outlineLvl w:val="9"/>
              <w:rPr>
                <w:sz w:val="21"/>
                <w:vertAlign w:val="baseline"/>
              </w:rPr>
            </w:pPr>
          </w:p>
        </w:tc>
        <w:tc>
          <w:tcPr>
            <w:tcW w:w="958" w:type="dxa"/>
          </w:tcPr>
          <w:p>
            <w:pPr>
              <w:widowControl/>
              <w:jc w:val="center"/>
              <w:outlineLvl w:val="9"/>
              <w:rPr>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99" w:type="dxa"/>
            <w:gridSpan w:val="7"/>
            <w:vMerge w:val="continue"/>
          </w:tcPr>
          <w:p>
            <w:pPr>
              <w:widowControl/>
              <w:jc w:val="center"/>
              <w:outlineLvl w:val="9"/>
              <w:rPr>
                <w:sz w:val="21"/>
                <w:vertAlign w:val="baseline"/>
              </w:rPr>
            </w:pPr>
          </w:p>
        </w:tc>
        <w:tc>
          <w:tcPr>
            <w:tcW w:w="957" w:type="dxa"/>
          </w:tcPr>
          <w:p>
            <w:pPr>
              <w:widowControl/>
              <w:jc w:val="center"/>
              <w:outlineLvl w:val="9"/>
              <w:rPr>
                <w:sz w:val="21"/>
                <w:vertAlign w:val="baseline"/>
              </w:rPr>
            </w:pPr>
          </w:p>
        </w:tc>
        <w:tc>
          <w:tcPr>
            <w:tcW w:w="957" w:type="dxa"/>
          </w:tcPr>
          <w:p>
            <w:pPr>
              <w:widowControl/>
              <w:jc w:val="center"/>
              <w:outlineLvl w:val="9"/>
              <w:rPr>
                <w:sz w:val="21"/>
                <w:vertAlign w:val="baseline"/>
              </w:rPr>
            </w:pPr>
          </w:p>
        </w:tc>
        <w:tc>
          <w:tcPr>
            <w:tcW w:w="958" w:type="dxa"/>
          </w:tcPr>
          <w:p>
            <w:pPr>
              <w:widowControl/>
              <w:jc w:val="center"/>
              <w:outlineLvl w:val="9"/>
              <w:rPr>
                <w:sz w:val="21"/>
                <w:vertAlign w:val="baseline"/>
              </w:rPr>
            </w:pPr>
          </w:p>
        </w:tc>
      </w:tr>
    </w:tbl>
    <w:p>
      <w:pPr>
        <w:widowControl/>
        <w:ind w:firstLine="420"/>
        <w:jc w:val="center"/>
        <w:outlineLvl w:val="9"/>
        <w:rPr>
          <w:rFonts w:eastAsia="黑体"/>
          <w:bCs/>
          <w:szCs w:val="21"/>
        </w:rPr>
      </w:pPr>
    </w:p>
    <w:p>
      <w:pPr>
        <w:rPr>
          <w:rFonts w:hint="eastAsia" w:ascii="Times New Roman" w:eastAsiaTheme="majorEastAsia"/>
          <w:spacing w:val="4"/>
          <w:szCs w:val="21"/>
          <w:lang w:val="en-US" w:eastAsia="zh-CN"/>
        </w:rPr>
      </w:pPr>
      <w:r>
        <w:rPr>
          <w:rFonts w:hint="eastAsia" w:ascii="Times New Roman" w:eastAsiaTheme="majorEastAsia"/>
          <w:spacing w:val="4"/>
          <w:szCs w:val="21"/>
          <w:lang w:val="en-US" w:eastAsia="zh-CN"/>
        </w:rPr>
        <w:br w:type="page"/>
      </w:r>
    </w:p>
    <w:p>
      <w:pPr>
        <w:pStyle w:val="82"/>
        <w:keepNext w:val="0"/>
        <w:keepLines w:val="0"/>
        <w:pageBreakBefore w:val="0"/>
        <w:widowControl/>
        <w:kinsoku/>
        <w:wordWrap/>
        <w:overflowPunct/>
        <w:topLinePunct w:val="0"/>
        <w:autoSpaceDE w:val="0"/>
        <w:autoSpaceDN w:val="0"/>
        <w:bidi w:val="0"/>
        <w:adjustRightInd/>
        <w:snapToGrid/>
        <w:spacing w:before="325" w:beforeLines="100" w:line="560" w:lineRule="exact"/>
        <w:ind w:firstLine="0" w:firstLineChars="0"/>
        <w:jc w:val="center"/>
        <w:textAlignment w:val="auto"/>
        <w:rPr>
          <w:rFonts w:ascii="Times New Roman" w:eastAsiaTheme="majorEastAsia"/>
          <w:spacing w:val="4"/>
          <w:szCs w:val="21"/>
        </w:rPr>
      </w:pPr>
      <w:r>
        <w:rPr>
          <w:rFonts w:hint="eastAsia" w:ascii="Times New Roman" w:eastAsiaTheme="majorEastAsia"/>
          <w:spacing w:val="4"/>
          <w:szCs w:val="21"/>
          <w:lang w:val="en-US" w:eastAsia="zh-CN"/>
        </w:rPr>
        <w:t>B9</w:t>
      </w:r>
      <w:r>
        <w:rPr>
          <w:rFonts w:ascii="Times New Roman" w:eastAsiaTheme="majorEastAsia"/>
          <w:spacing w:val="4"/>
          <w:szCs w:val="21"/>
        </w:rPr>
        <w:t xml:space="preserve"> </w:t>
      </w:r>
      <w:r>
        <w:rPr>
          <w:rFonts w:hint="eastAsia" w:ascii="Times New Roman" w:eastAsiaTheme="majorEastAsia"/>
          <w:spacing w:val="4"/>
          <w:szCs w:val="21"/>
          <w:lang w:val="en-US" w:eastAsia="zh-CN"/>
        </w:rPr>
        <w:t>土壤</w:t>
      </w:r>
      <w:r>
        <w:rPr>
          <w:rFonts w:ascii="Times New Roman" w:eastAsiaTheme="majorEastAsia"/>
          <w:spacing w:val="4"/>
          <w:szCs w:val="21"/>
        </w:rPr>
        <w:t>调查记录表</w:t>
      </w:r>
    </w:p>
    <w:p>
      <w:pPr>
        <w:pStyle w:val="82"/>
        <w:ind w:left="0" w:leftChars="0" w:firstLine="638" w:firstLineChars="307"/>
        <w:jc w:val="left"/>
        <w:rPr>
          <w:rFonts w:ascii="Times New Roman" w:eastAsiaTheme="majorEastAsia"/>
          <w:spacing w:val="4"/>
          <w:sz w:val="20"/>
          <w:szCs w:val="20"/>
        </w:rPr>
      </w:pPr>
      <w:r>
        <w:rPr>
          <w:rFonts w:ascii="Times New Roman" w:eastAsiaTheme="majorEastAsia"/>
          <w:spacing w:val="4"/>
          <w:sz w:val="20"/>
          <w:szCs w:val="20"/>
        </w:rPr>
        <w:t>样地号：             调查人：           调查时间：</w:t>
      </w:r>
      <w:r>
        <w:rPr>
          <w:rFonts w:hint="eastAsia" w:ascii="Times New Roman" w:eastAsiaTheme="majorEastAsia"/>
          <w:spacing w:val="4"/>
          <w:sz w:val="20"/>
          <w:szCs w:val="20"/>
          <w:lang w:val="en-US" w:eastAsia="zh-CN"/>
        </w:rPr>
        <w:t xml:space="preserve">        </w:t>
      </w:r>
      <w:r>
        <w:rPr>
          <w:rFonts w:ascii="Times New Roman" w:eastAsiaTheme="majorEastAsia"/>
          <w:spacing w:val="4"/>
          <w:sz w:val="20"/>
          <w:szCs w:val="20"/>
        </w:rPr>
        <w:t>土壤类型：</w:t>
      </w:r>
    </w:p>
    <w:tbl>
      <w:tblPr>
        <w:tblStyle w:val="84"/>
        <w:tblW w:w="935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8"/>
        <w:gridCol w:w="334"/>
        <w:gridCol w:w="271"/>
        <w:gridCol w:w="92"/>
        <w:gridCol w:w="596"/>
        <w:gridCol w:w="339"/>
        <w:gridCol w:w="348"/>
        <w:gridCol w:w="630"/>
        <w:gridCol w:w="80"/>
        <w:gridCol w:w="550"/>
        <w:gridCol w:w="174"/>
        <w:gridCol w:w="35"/>
        <w:gridCol w:w="421"/>
        <w:gridCol w:w="73"/>
        <w:gridCol w:w="559"/>
        <w:gridCol w:w="261"/>
        <w:gridCol w:w="369"/>
        <w:gridCol w:w="127"/>
        <w:gridCol w:w="503"/>
        <w:gridCol w:w="298"/>
        <w:gridCol w:w="630"/>
        <w:gridCol w:w="457"/>
        <w:gridCol w:w="174"/>
        <w:gridCol w:w="269"/>
        <w:gridCol w:w="362"/>
        <w:gridCol w:w="6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9358" w:type="dxa"/>
            <w:gridSpan w:val="26"/>
            <w:vAlign w:val="top"/>
          </w:tcPr>
          <w:p>
            <w:pPr>
              <w:keepNext w:val="0"/>
              <w:keepLines w:val="0"/>
              <w:pageBreakBefore w:val="0"/>
              <w:widowControl w:val="0"/>
              <w:kinsoku/>
              <w:wordWrap/>
              <w:overflowPunct/>
              <w:topLinePunct w:val="0"/>
              <w:autoSpaceDE/>
              <w:autoSpaceDN/>
              <w:bidi w:val="0"/>
              <w:adjustRightInd/>
              <w:snapToGrid/>
              <w:spacing w:before="68" w:line="233" w:lineRule="auto"/>
              <w:ind w:left="105" w:leftChars="50" w:right="105" w:rightChars="50" w:firstLine="0" w:firstLineChars="0"/>
              <w:textAlignment w:val="auto"/>
              <w:rPr>
                <w:rFonts w:hint="default" w:ascii="Times New Roman" w:hAnsi="Times New Roman" w:eastAsia="Times New Roman" w:cs="Times New Roman"/>
                <w:sz w:val="18"/>
                <w:szCs w:val="18"/>
              </w:rPr>
            </w:pPr>
            <w:r>
              <w:rPr>
                <w:rFonts w:hint="default" w:ascii="Times New Roman" w:hAnsi="Times New Roman" w:eastAsia="宋体" w:cs="Times New Roman"/>
                <w:sz w:val="18"/>
                <w:szCs w:val="18"/>
              </w:rPr>
              <w:t>枯落物层厚度（</w:t>
            </w:r>
            <w:r>
              <w:rPr>
                <w:rFonts w:hint="default" w:ascii="Times New Roman" w:hAnsi="Times New Roman" w:eastAsia="Times New Roman" w:cs="Times New Roman"/>
                <w:sz w:val="18"/>
                <w:szCs w:val="18"/>
              </w:rPr>
              <w:t>cm</w:t>
            </w:r>
            <w:r>
              <w:rPr>
                <w:rFonts w:hint="default" w:ascii="Times New Roman" w:hAnsi="Times New Roman" w:eastAsia="宋体" w:cs="Times New Roman"/>
                <w:sz w:val="18"/>
                <w:szCs w:val="18"/>
              </w:rPr>
              <w:t>）</w:t>
            </w:r>
            <w:r>
              <w:rPr>
                <w:rFonts w:hint="default" w:ascii="Times New Roman" w:hAnsi="Times New Roman" w:eastAsia="Times New Roman" w:cs="Times New Roman"/>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6" w:hRule="atLeast"/>
        </w:trPr>
        <w:tc>
          <w:tcPr>
            <w:tcW w:w="1343" w:type="dxa"/>
            <w:gridSpan w:val="3"/>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土壤发生学层</w:t>
            </w:r>
          </w:p>
        </w:tc>
        <w:tc>
          <w:tcPr>
            <w:tcW w:w="1375" w:type="dxa"/>
            <w:gridSpan w:val="4"/>
            <w:vAlign w:val="top"/>
          </w:tcPr>
          <w:p>
            <w:pPr>
              <w:keepNext w:val="0"/>
              <w:keepLines w:val="0"/>
              <w:pageBreakBefore w:val="0"/>
              <w:widowControl w:val="0"/>
              <w:kinsoku/>
              <w:wordWrap/>
              <w:overflowPunct/>
              <w:topLinePunct w:val="0"/>
              <w:autoSpaceDE/>
              <w:autoSpaceDN/>
              <w:bidi w:val="0"/>
              <w:adjustRightInd/>
              <w:snapToGrid/>
              <w:spacing w:before="51" w:line="224" w:lineRule="auto"/>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厚度（cm）</w:t>
            </w:r>
          </w:p>
        </w:tc>
        <w:tc>
          <w:tcPr>
            <w:tcW w:w="1469" w:type="dxa"/>
            <w:gridSpan w:val="5"/>
            <w:vAlign w:val="top"/>
          </w:tcPr>
          <w:p>
            <w:pPr>
              <w:keepNext w:val="0"/>
              <w:keepLines w:val="0"/>
              <w:pageBreakBefore w:val="0"/>
              <w:widowControl w:val="0"/>
              <w:kinsoku/>
              <w:wordWrap/>
              <w:overflowPunct/>
              <w:topLinePunct w:val="0"/>
              <w:autoSpaceDE/>
              <w:autoSpaceDN/>
              <w:bidi w:val="0"/>
              <w:adjustRightInd/>
              <w:snapToGrid/>
              <w:spacing w:before="54" w:line="230" w:lineRule="auto"/>
              <w:ind w:left="105" w:leftChars="50" w:right="105" w:rightChars="50" w:firstLine="0" w:firstLineChars="0"/>
              <w:jc w:val="center"/>
              <w:textAlignment w:val="auto"/>
              <w:rPr>
                <w:rFonts w:hint="default" w:ascii="Times New Roman" w:hAnsi="Times New Roman" w:eastAsia="宋体" w:cs="Times New Roman"/>
                <w:sz w:val="19"/>
                <w:szCs w:val="19"/>
              </w:rPr>
            </w:pPr>
            <w:r>
              <w:rPr>
                <w:rFonts w:hint="default" w:ascii="Times New Roman" w:hAnsi="Times New Roman" w:eastAsia="宋体" w:cs="Times New Roman"/>
                <w:spacing w:val="5"/>
                <w:sz w:val="19"/>
                <w:szCs w:val="19"/>
              </w:rPr>
              <w:t>颜色</w:t>
            </w:r>
          </w:p>
        </w:tc>
        <w:tc>
          <w:tcPr>
            <w:tcW w:w="2611" w:type="dxa"/>
            <w:gridSpan w:val="8"/>
            <w:vAlign w:val="top"/>
          </w:tcPr>
          <w:p>
            <w:pPr>
              <w:keepNext w:val="0"/>
              <w:keepLines w:val="0"/>
              <w:pageBreakBefore w:val="0"/>
              <w:widowControl w:val="0"/>
              <w:kinsoku/>
              <w:wordWrap/>
              <w:overflowPunct/>
              <w:topLinePunct w:val="0"/>
              <w:autoSpaceDE/>
              <w:autoSpaceDN/>
              <w:bidi w:val="0"/>
              <w:adjustRightInd/>
              <w:snapToGrid/>
              <w:spacing w:before="54" w:line="229" w:lineRule="auto"/>
              <w:ind w:left="105" w:leftChars="50" w:right="105" w:rightChars="50" w:firstLine="0" w:firstLineChars="0"/>
              <w:jc w:val="center"/>
              <w:textAlignment w:val="auto"/>
              <w:rPr>
                <w:rFonts w:hint="default" w:ascii="Times New Roman" w:hAnsi="Times New Roman" w:eastAsia="宋体" w:cs="Times New Roman"/>
                <w:sz w:val="19"/>
                <w:szCs w:val="19"/>
              </w:rPr>
            </w:pPr>
            <w:r>
              <w:rPr>
                <w:rFonts w:hint="default" w:ascii="Times New Roman" w:hAnsi="Times New Roman" w:eastAsia="宋体" w:cs="Times New Roman"/>
                <w:spacing w:val="4"/>
                <w:sz w:val="19"/>
                <w:szCs w:val="19"/>
              </w:rPr>
              <w:t>质地</w:t>
            </w:r>
          </w:p>
        </w:tc>
        <w:tc>
          <w:tcPr>
            <w:tcW w:w="1530" w:type="dxa"/>
            <w:gridSpan w:val="4"/>
            <w:vAlign w:val="top"/>
          </w:tcPr>
          <w:p>
            <w:pPr>
              <w:keepNext w:val="0"/>
              <w:keepLines w:val="0"/>
              <w:pageBreakBefore w:val="0"/>
              <w:widowControl w:val="0"/>
              <w:kinsoku/>
              <w:wordWrap/>
              <w:overflowPunct/>
              <w:topLinePunct w:val="0"/>
              <w:autoSpaceDE/>
              <w:autoSpaceDN/>
              <w:bidi w:val="0"/>
              <w:adjustRightInd/>
              <w:snapToGrid/>
              <w:spacing w:before="54" w:line="229" w:lineRule="auto"/>
              <w:ind w:left="105" w:leftChars="50" w:right="105" w:rightChars="50" w:firstLine="0" w:firstLineChars="0"/>
              <w:jc w:val="center"/>
              <w:textAlignment w:val="auto"/>
              <w:rPr>
                <w:rFonts w:hint="default" w:ascii="Times New Roman" w:hAnsi="Times New Roman" w:eastAsia="宋体" w:cs="Times New Roman"/>
                <w:sz w:val="19"/>
                <w:szCs w:val="19"/>
              </w:rPr>
            </w:pPr>
            <w:r>
              <w:rPr>
                <w:rFonts w:hint="default" w:ascii="Times New Roman" w:hAnsi="Times New Roman" w:eastAsia="宋体" w:cs="Times New Roman"/>
                <w:spacing w:val="5"/>
                <w:sz w:val="19"/>
                <w:szCs w:val="19"/>
              </w:rPr>
              <w:t>根量</w:t>
            </w:r>
          </w:p>
        </w:tc>
        <w:tc>
          <w:tcPr>
            <w:tcW w:w="1030" w:type="dxa"/>
            <w:gridSpan w:val="2"/>
            <w:vAlign w:val="top"/>
          </w:tcPr>
          <w:p>
            <w:pPr>
              <w:keepNext w:val="0"/>
              <w:keepLines w:val="0"/>
              <w:pageBreakBefore w:val="0"/>
              <w:widowControl w:val="0"/>
              <w:kinsoku/>
              <w:wordWrap/>
              <w:overflowPunct/>
              <w:topLinePunct w:val="0"/>
              <w:autoSpaceDE/>
              <w:autoSpaceDN/>
              <w:bidi w:val="0"/>
              <w:adjustRightInd/>
              <w:snapToGrid/>
              <w:spacing w:before="55" w:line="228" w:lineRule="auto"/>
              <w:ind w:left="105" w:leftChars="50" w:right="105" w:rightChars="50" w:firstLine="0" w:firstLineChars="0"/>
              <w:jc w:val="center"/>
              <w:textAlignment w:val="auto"/>
              <w:rPr>
                <w:rFonts w:hint="default" w:ascii="Times New Roman" w:hAnsi="Times New Roman" w:eastAsia="宋体" w:cs="Times New Roman"/>
                <w:sz w:val="19"/>
                <w:szCs w:val="19"/>
              </w:rPr>
            </w:pPr>
            <w:r>
              <w:rPr>
                <w:rFonts w:hint="default" w:ascii="Times New Roman" w:hAnsi="Times New Roman" w:eastAsia="宋体" w:cs="Times New Roman"/>
                <w:spacing w:val="7"/>
                <w:sz w:val="19"/>
                <w:szCs w:val="19"/>
              </w:rPr>
              <w:t>石砾含量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1343"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腐殖质层</w:t>
            </w:r>
          </w:p>
        </w:tc>
        <w:tc>
          <w:tcPr>
            <w:tcW w:w="1375"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469"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2611" w:type="dxa"/>
            <w:gridSpan w:val="8"/>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530"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0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6" w:hRule="atLeast"/>
        </w:trPr>
        <w:tc>
          <w:tcPr>
            <w:tcW w:w="1343" w:type="dxa"/>
            <w:gridSpan w:val="3"/>
            <w:vAlign w:val="top"/>
          </w:tcPr>
          <w:p>
            <w:pPr>
              <w:keepNext w:val="0"/>
              <w:keepLines w:val="0"/>
              <w:pageBreakBefore w:val="0"/>
              <w:widowControl w:val="0"/>
              <w:kinsoku/>
              <w:wordWrap/>
              <w:overflowPunct/>
              <w:topLinePunct w:val="0"/>
              <w:autoSpaceDE/>
              <w:autoSpaceDN/>
              <w:bidi w:val="0"/>
              <w:adjustRightInd/>
              <w:snapToGrid/>
              <w:spacing w:before="63" w:line="220" w:lineRule="auto"/>
              <w:ind w:left="105" w:leftChars="50" w:right="105" w:rightChars="5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灰化层</w:t>
            </w:r>
          </w:p>
        </w:tc>
        <w:tc>
          <w:tcPr>
            <w:tcW w:w="1375"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469"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2611" w:type="dxa"/>
            <w:gridSpan w:val="8"/>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530"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0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1343" w:type="dxa"/>
            <w:gridSpan w:val="3"/>
            <w:vAlign w:val="top"/>
          </w:tcPr>
          <w:p>
            <w:pPr>
              <w:keepNext w:val="0"/>
              <w:keepLines w:val="0"/>
              <w:pageBreakBefore w:val="0"/>
              <w:widowControl w:val="0"/>
              <w:kinsoku/>
              <w:wordWrap/>
              <w:overflowPunct/>
              <w:topLinePunct w:val="0"/>
              <w:autoSpaceDE/>
              <w:autoSpaceDN/>
              <w:bidi w:val="0"/>
              <w:adjustRightInd/>
              <w:snapToGrid/>
              <w:spacing w:before="64" w:line="220" w:lineRule="auto"/>
              <w:ind w:left="105" w:leftChars="50" w:right="105" w:rightChars="5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淀积层</w:t>
            </w:r>
          </w:p>
        </w:tc>
        <w:tc>
          <w:tcPr>
            <w:tcW w:w="1375"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469"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2611" w:type="dxa"/>
            <w:gridSpan w:val="8"/>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530"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0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343" w:type="dxa"/>
            <w:gridSpan w:val="3"/>
            <w:vAlign w:val="top"/>
          </w:tcPr>
          <w:p>
            <w:pPr>
              <w:keepNext w:val="0"/>
              <w:keepLines w:val="0"/>
              <w:pageBreakBefore w:val="0"/>
              <w:widowControl w:val="0"/>
              <w:kinsoku/>
              <w:wordWrap/>
              <w:overflowPunct/>
              <w:topLinePunct w:val="0"/>
              <w:autoSpaceDE/>
              <w:autoSpaceDN/>
              <w:bidi w:val="0"/>
              <w:adjustRightInd/>
              <w:snapToGrid/>
              <w:spacing w:before="66" w:line="220" w:lineRule="auto"/>
              <w:ind w:left="105" w:leftChars="50" w:right="105" w:rightChars="5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母质层</w:t>
            </w:r>
          </w:p>
        </w:tc>
        <w:tc>
          <w:tcPr>
            <w:tcW w:w="1375"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469"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2611" w:type="dxa"/>
            <w:gridSpan w:val="8"/>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530"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0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9358" w:type="dxa"/>
            <w:gridSpan w:val="26"/>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4" w:hRule="atLeast"/>
        </w:trPr>
        <w:tc>
          <w:tcPr>
            <w:tcW w:w="1072" w:type="dxa"/>
            <w:gridSpan w:val="2"/>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p>
        </w:tc>
        <w:tc>
          <w:tcPr>
            <w:tcW w:w="1298" w:type="dxa"/>
            <w:gridSpan w:val="4"/>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鲜总重量</w:t>
            </w:r>
          </w:p>
        </w:tc>
        <w:tc>
          <w:tcPr>
            <w:tcW w:w="1058" w:type="dxa"/>
            <w:gridSpan w:val="3"/>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鲜样品重</w:t>
            </w:r>
          </w:p>
        </w:tc>
        <w:tc>
          <w:tcPr>
            <w:tcW w:w="1253" w:type="dxa"/>
            <w:gridSpan w:val="5"/>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烘干样品重</w:t>
            </w:r>
          </w:p>
        </w:tc>
        <w:tc>
          <w:tcPr>
            <w:tcW w:w="1316" w:type="dxa"/>
            <w:gridSpan w:val="4"/>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自然含水率(﹪)</w:t>
            </w:r>
          </w:p>
        </w:tc>
        <w:tc>
          <w:tcPr>
            <w:tcW w:w="1888" w:type="dxa"/>
            <w:gridSpan w:val="4"/>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干总重量</w:t>
            </w:r>
          </w:p>
        </w:tc>
        <w:tc>
          <w:tcPr>
            <w:tcW w:w="1473" w:type="dxa"/>
            <w:gridSpan w:val="4"/>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枯落物总储量</w:t>
            </w:r>
          </w:p>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(吨/公顷)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95" w:hRule="atLeast"/>
        </w:trPr>
        <w:tc>
          <w:tcPr>
            <w:tcW w:w="107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枯落物未分解层/克</w:t>
            </w:r>
          </w:p>
        </w:tc>
        <w:tc>
          <w:tcPr>
            <w:tcW w:w="1298"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058"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253"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316"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888"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473"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0" w:hRule="atLeast"/>
        </w:trPr>
        <w:tc>
          <w:tcPr>
            <w:tcW w:w="107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枯落物半分解层/克</w:t>
            </w:r>
          </w:p>
        </w:tc>
        <w:tc>
          <w:tcPr>
            <w:tcW w:w="1298"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058"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253"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316"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888"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473"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6" w:hRule="atLeast"/>
        </w:trPr>
        <w:tc>
          <w:tcPr>
            <w:tcW w:w="9358" w:type="dxa"/>
            <w:gridSpan w:val="26"/>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59" w:hRule="atLeast"/>
        </w:trPr>
        <w:tc>
          <w:tcPr>
            <w:tcW w:w="107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1298" w:type="dxa"/>
            <w:gridSpan w:val="4"/>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风干样品</w:t>
            </w:r>
          </w:p>
        </w:tc>
        <w:tc>
          <w:tcPr>
            <w:tcW w:w="1058" w:type="dxa"/>
            <w:gridSpan w:val="3"/>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样品编号</w:t>
            </w:r>
          </w:p>
        </w:tc>
        <w:tc>
          <w:tcPr>
            <w:tcW w:w="1253" w:type="dxa"/>
            <w:gridSpan w:val="5"/>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风干样品重</w:t>
            </w:r>
          </w:p>
        </w:tc>
        <w:tc>
          <w:tcPr>
            <w:tcW w:w="1316" w:type="dxa"/>
            <w:gridSpan w:val="4"/>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吸水24h后重</w:t>
            </w:r>
          </w:p>
        </w:tc>
        <w:tc>
          <w:tcPr>
            <w:tcW w:w="2062" w:type="dxa"/>
            <w:gridSpan w:val="5"/>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最大持水量g/kg</w:t>
            </w:r>
          </w:p>
        </w:tc>
        <w:tc>
          <w:tcPr>
            <w:tcW w:w="1299" w:type="dxa"/>
            <w:gridSpan w:val="3"/>
            <w:vAlign w:val="center"/>
          </w:tcPr>
          <w:p>
            <w:pPr>
              <w:pStyle w:val="85"/>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2"/>
                <w:kern w:val="2"/>
                <w:sz w:val="18"/>
                <w:szCs w:val="18"/>
                <w:lang w:val="en-US" w:eastAsia="zh-CN" w:bidi="ar-SA"/>
              </w:rPr>
            </w:pPr>
            <w:r>
              <w:rPr>
                <w:rFonts w:hint="default" w:ascii="Times New Roman" w:hAnsi="Times New Roman" w:eastAsia="宋体" w:cs="Times New Roman"/>
                <w:spacing w:val="-2"/>
                <w:kern w:val="2"/>
                <w:sz w:val="18"/>
                <w:szCs w:val="18"/>
                <w:lang w:val="en-US" w:eastAsia="zh-CN" w:bidi="ar-SA"/>
              </w:rPr>
              <w:t>最大持水率%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1072" w:type="dxa"/>
            <w:gridSpan w:val="2"/>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枯落物</w:t>
            </w:r>
          </w:p>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未分解层</w:t>
            </w:r>
          </w:p>
        </w:tc>
        <w:tc>
          <w:tcPr>
            <w:tcW w:w="1298" w:type="dxa"/>
            <w:gridSpan w:val="4"/>
            <w:vAlign w:val="top"/>
          </w:tcPr>
          <w:p>
            <w:pPr>
              <w:keepNext w:val="0"/>
              <w:keepLines w:val="0"/>
              <w:pageBreakBefore w:val="0"/>
              <w:widowControl w:val="0"/>
              <w:kinsoku/>
              <w:wordWrap/>
              <w:overflowPunct/>
              <w:topLinePunct w:val="0"/>
              <w:autoSpaceDE/>
              <w:autoSpaceDN/>
              <w:bidi w:val="0"/>
              <w:adjustRightInd/>
              <w:snapToGrid/>
              <w:spacing w:before="58" w:line="229" w:lineRule="auto"/>
              <w:ind w:left="105" w:leftChars="50" w:right="105" w:rightChars="50" w:firstLine="0" w:firstLineChars="0"/>
              <w:jc w:val="center"/>
              <w:textAlignment w:val="auto"/>
              <w:rPr>
                <w:rFonts w:hint="default" w:ascii="Times New Roman" w:hAnsi="Times New Roman" w:eastAsia="Calibri" w:cs="Times New Roman"/>
                <w:spacing w:val="0"/>
                <w:sz w:val="19"/>
                <w:szCs w:val="19"/>
              </w:rPr>
            </w:pPr>
            <w:r>
              <w:rPr>
                <w:rFonts w:hint="default" w:ascii="Times New Roman" w:hAnsi="Times New Roman" w:eastAsia="宋体" w:cs="Times New Roman"/>
                <w:spacing w:val="0"/>
                <w:sz w:val="19"/>
                <w:szCs w:val="19"/>
              </w:rPr>
              <w:t xml:space="preserve">重复 </w:t>
            </w:r>
            <w:r>
              <w:rPr>
                <w:rFonts w:hint="default" w:ascii="Times New Roman" w:hAnsi="Times New Roman" w:eastAsia="Calibri" w:cs="Times New Roman"/>
                <w:spacing w:val="0"/>
                <w:sz w:val="19"/>
                <w:szCs w:val="19"/>
              </w:rPr>
              <w:t>1</w:t>
            </w:r>
          </w:p>
        </w:tc>
        <w:tc>
          <w:tcPr>
            <w:tcW w:w="1058"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53"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316"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2062"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99"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6" w:hRule="atLeast"/>
        </w:trPr>
        <w:tc>
          <w:tcPr>
            <w:tcW w:w="1072" w:type="dxa"/>
            <w:gridSpan w:val="2"/>
            <w:vMerge w:val="continue"/>
            <w:tcBorders>
              <w:top w:val="nil"/>
              <w:bottom w:val="nil"/>
            </w:tcBorders>
            <w:vAlign w:val="center"/>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jc w:val="center"/>
              <w:textAlignment w:val="auto"/>
              <w:rPr>
                <w:rFonts w:hint="default" w:ascii="Times New Roman" w:hAnsi="Times New Roman" w:eastAsia="宋体" w:cs="Times New Roman"/>
                <w:spacing w:val="0"/>
                <w:kern w:val="2"/>
                <w:sz w:val="18"/>
                <w:szCs w:val="18"/>
                <w:lang w:val="en-US" w:eastAsia="zh-CN" w:bidi="ar-SA"/>
              </w:rPr>
            </w:pPr>
          </w:p>
        </w:tc>
        <w:tc>
          <w:tcPr>
            <w:tcW w:w="1298" w:type="dxa"/>
            <w:gridSpan w:val="4"/>
            <w:vAlign w:val="top"/>
          </w:tcPr>
          <w:p>
            <w:pPr>
              <w:keepNext w:val="0"/>
              <w:keepLines w:val="0"/>
              <w:pageBreakBefore w:val="0"/>
              <w:widowControl w:val="0"/>
              <w:kinsoku/>
              <w:wordWrap/>
              <w:overflowPunct/>
              <w:topLinePunct w:val="0"/>
              <w:autoSpaceDE/>
              <w:autoSpaceDN/>
              <w:bidi w:val="0"/>
              <w:adjustRightInd/>
              <w:snapToGrid/>
              <w:spacing w:before="57" w:line="229" w:lineRule="auto"/>
              <w:ind w:left="105" w:leftChars="50" w:right="105" w:rightChars="50" w:firstLine="0" w:firstLineChars="0"/>
              <w:jc w:val="center"/>
              <w:textAlignment w:val="auto"/>
              <w:rPr>
                <w:rFonts w:hint="default" w:ascii="Times New Roman" w:hAnsi="Times New Roman" w:eastAsia="Calibri" w:cs="Times New Roman"/>
                <w:spacing w:val="0"/>
                <w:sz w:val="19"/>
                <w:szCs w:val="19"/>
              </w:rPr>
            </w:pPr>
            <w:r>
              <w:rPr>
                <w:rFonts w:hint="default" w:ascii="Times New Roman" w:hAnsi="Times New Roman" w:eastAsia="宋体" w:cs="Times New Roman"/>
                <w:spacing w:val="0"/>
                <w:sz w:val="19"/>
                <w:szCs w:val="19"/>
              </w:rPr>
              <w:t xml:space="preserve">重复 </w:t>
            </w:r>
            <w:r>
              <w:rPr>
                <w:rFonts w:hint="default" w:ascii="Times New Roman" w:hAnsi="Times New Roman" w:eastAsia="Calibri" w:cs="Times New Roman"/>
                <w:spacing w:val="0"/>
                <w:sz w:val="19"/>
                <w:szCs w:val="19"/>
              </w:rPr>
              <w:t>2</w:t>
            </w:r>
          </w:p>
        </w:tc>
        <w:tc>
          <w:tcPr>
            <w:tcW w:w="1058"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53"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316"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2062"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99"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1072" w:type="dxa"/>
            <w:gridSpan w:val="2"/>
            <w:vMerge w:val="continue"/>
            <w:tcBorders>
              <w:top w:val="nil"/>
            </w:tcBorders>
            <w:vAlign w:val="center"/>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jc w:val="center"/>
              <w:textAlignment w:val="auto"/>
              <w:rPr>
                <w:rFonts w:hint="default" w:ascii="Times New Roman" w:hAnsi="Times New Roman" w:eastAsia="宋体" w:cs="Times New Roman"/>
                <w:spacing w:val="0"/>
                <w:kern w:val="2"/>
                <w:sz w:val="18"/>
                <w:szCs w:val="18"/>
                <w:lang w:val="en-US" w:eastAsia="zh-CN" w:bidi="ar-SA"/>
              </w:rPr>
            </w:pPr>
          </w:p>
        </w:tc>
        <w:tc>
          <w:tcPr>
            <w:tcW w:w="1298" w:type="dxa"/>
            <w:gridSpan w:val="4"/>
            <w:vAlign w:val="top"/>
          </w:tcPr>
          <w:p>
            <w:pPr>
              <w:keepNext w:val="0"/>
              <w:keepLines w:val="0"/>
              <w:pageBreakBefore w:val="0"/>
              <w:widowControl w:val="0"/>
              <w:kinsoku/>
              <w:wordWrap/>
              <w:overflowPunct/>
              <w:topLinePunct w:val="0"/>
              <w:autoSpaceDE/>
              <w:autoSpaceDN/>
              <w:bidi w:val="0"/>
              <w:adjustRightInd/>
              <w:snapToGrid/>
              <w:spacing w:before="58" w:line="229" w:lineRule="auto"/>
              <w:ind w:left="105" w:leftChars="50" w:right="105" w:rightChars="50" w:firstLine="0" w:firstLineChars="0"/>
              <w:jc w:val="center"/>
              <w:textAlignment w:val="auto"/>
              <w:rPr>
                <w:rFonts w:hint="default" w:ascii="Times New Roman" w:hAnsi="Times New Roman" w:eastAsia="Calibri" w:cs="Times New Roman"/>
                <w:spacing w:val="0"/>
                <w:sz w:val="19"/>
                <w:szCs w:val="19"/>
              </w:rPr>
            </w:pPr>
            <w:r>
              <w:rPr>
                <w:rFonts w:hint="default" w:ascii="Times New Roman" w:hAnsi="Times New Roman" w:eastAsia="宋体" w:cs="Times New Roman"/>
                <w:spacing w:val="0"/>
                <w:sz w:val="19"/>
                <w:szCs w:val="19"/>
              </w:rPr>
              <w:t xml:space="preserve">重复 </w:t>
            </w:r>
            <w:r>
              <w:rPr>
                <w:rFonts w:hint="default" w:ascii="Times New Roman" w:hAnsi="Times New Roman" w:eastAsia="Calibri" w:cs="Times New Roman"/>
                <w:spacing w:val="0"/>
                <w:sz w:val="19"/>
                <w:szCs w:val="19"/>
              </w:rPr>
              <w:t>3</w:t>
            </w:r>
          </w:p>
        </w:tc>
        <w:tc>
          <w:tcPr>
            <w:tcW w:w="1058"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53"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316"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2062"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99"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1072" w:type="dxa"/>
            <w:gridSpan w:val="2"/>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枯落物</w:t>
            </w:r>
          </w:p>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半分解层</w:t>
            </w:r>
          </w:p>
        </w:tc>
        <w:tc>
          <w:tcPr>
            <w:tcW w:w="1298" w:type="dxa"/>
            <w:gridSpan w:val="4"/>
            <w:vAlign w:val="top"/>
          </w:tcPr>
          <w:p>
            <w:pPr>
              <w:keepNext w:val="0"/>
              <w:keepLines w:val="0"/>
              <w:pageBreakBefore w:val="0"/>
              <w:widowControl w:val="0"/>
              <w:kinsoku/>
              <w:wordWrap/>
              <w:overflowPunct/>
              <w:topLinePunct w:val="0"/>
              <w:autoSpaceDE/>
              <w:autoSpaceDN/>
              <w:bidi w:val="0"/>
              <w:adjustRightInd/>
              <w:snapToGrid/>
              <w:spacing w:before="58" w:line="229" w:lineRule="auto"/>
              <w:ind w:left="105" w:leftChars="50" w:right="105" w:rightChars="50" w:firstLine="0" w:firstLineChars="0"/>
              <w:jc w:val="center"/>
              <w:textAlignment w:val="auto"/>
              <w:rPr>
                <w:rFonts w:hint="default" w:ascii="Times New Roman" w:hAnsi="Times New Roman" w:eastAsia="Calibri" w:cs="Times New Roman"/>
                <w:spacing w:val="0"/>
                <w:sz w:val="19"/>
                <w:szCs w:val="19"/>
              </w:rPr>
            </w:pPr>
            <w:r>
              <w:rPr>
                <w:rFonts w:hint="default" w:ascii="Times New Roman" w:hAnsi="Times New Roman" w:eastAsia="宋体" w:cs="Times New Roman"/>
                <w:spacing w:val="0"/>
                <w:sz w:val="19"/>
                <w:szCs w:val="19"/>
              </w:rPr>
              <w:t xml:space="preserve">重复 </w:t>
            </w:r>
            <w:r>
              <w:rPr>
                <w:rFonts w:hint="default" w:ascii="Times New Roman" w:hAnsi="Times New Roman" w:eastAsia="Calibri" w:cs="Times New Roman"/>
                <w:spacing w:val="0"/>
                <w:sz w:val="19"/>
                <w:szCs w:val="19"/>
              </w:rPr>
              <w:t>1</w:t>
            </w:r>
          </w:p>
        </w:tc>
        <w:tc>
          <w:tcPr>
            <w:tcW w:w="1058"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53"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316"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2062"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99"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1072" w:type="dxa"/>
            <w:gridSpan w:val="2"/>
            <w:vMerge w:val="continue"/>
            <w:tcBorders>
              <w:top w:val="nil"/>
              <w:bottom w:val="nil"/>
            </w:tcBorders>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98" w:type="dxa"/>
            <w:gridSpan w:val="4"/>
            <w:vAlign w:val="top"/>
          </w:tcPr>
          <w:p>
            <w:pPr>
              <w:keepNext w:val="0"/>
              <w:keepLines w:val="0"/>
              <w:pageBreakBefore w:val="0"/>
              <w:widowControl w:val="0"/>
              <w:kinsoku/>
              <w:wordWrap/>
              <w:overflowPunct/>
              <w:topLinePunct w:val="0"/>
              <w:autoSpaceDE/>
              <w:autoSpaceDN/>
              <w:bidi w:val="0"/>
              <w:adjustRightInd/>
              <w:snapToGrid/>
              <w:spacing w:before="57" w:line="229" w:lineRule="auto"/>
              <w:ind w:left="105" w:leftChars="50" w:right="105" w:rightChars="50" w:firstLine="0" w:firstLineChars="0"/>
              <w:jc w:val="center"/>
              <w:textAlignment w:val="auto"/>
              <w:rPr>
                <w:rFonts w:hint="default" w:ascii="Times New Roman" w:hAnsi="Times New Roman" w:eastAsia="Calibri" w:cs="Times New Roman"/>
                <w:spacing w:val="0"/>
                <w:sz w:val="19"/>
                <w:szCs w:val="19"/>
              </w:rPr>
            </w:pPr>
            <w:r>
              <w:rPr>
                <w:rFonts w:hint="default" w:ascii="Times New Roman" w:hAnsi="Times New Roman" w:eastAsia="宋体" w:cs="Times New Roman"/>
                <w:spacing w:val="0"/>
                <w:sz w:val="19"/>
                <w:szCs w:val="19"/>
              </w:rPr>
              <w:t xml:space="preserve">重复 </w:t>
            </w:r>
            <w:r>
              <w:rPr>
                <w:rFonts w:hint="default" w:ascii="Times New Roman" w:hAnsi="Times New Roman" w:eastAsia="Calibri" w:cs="Times New Roman"/>
                <w:spacing w:val="0"/>
                <w:sz w:val="19"/>
                <w:szCs w:val="19"/>
              </w:rPr>
              <w:t>2</w:t>
            </w:r>
          </w:p>
        </w:tc>
        <w:tc>
          <w:tcPr>
            <w:tcW w:w="1058"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53"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316"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2062"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99"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9" w:hRule="atLeast"/>
        </w:trPr>
        <w:tc>
          <w:tcPr>
            <w:tcW w:w="1072" w:type="dxa"/>
            <w:gridSpan w:val="2"/>
            <w:vMerge w:val="continue"/>
            <w:tcBorders>
              <w:top w:val="nil"/>
            </w:tcBorders>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98" w:type="dxa"/>
            <w:gridSpan w:val="4"/>
            <w:vAlign w:val="top"/>
          </w:tcPr>
          <w:p>
            <w:pPr>
              <w:keepNext w:val="0"/>
              <w:keepLines w:val="0"/>
              <w:pageBreakBefore w:val="0"/>
              <w:widowControl w:val="0"/>
              <w:kinsoku/>
              <w:wordWrap/>
              <w:overflowPunct/>
              <w:topLinePunct w:val="0"/>
              <w:autoSpaceDE/>
              <w:autoSpaceDN/>
              <w:bidi w:val="0"/>
              <w:adjustRightInd/>
              <w:snapToGrid/>
              <w:spacing w:before="59" w:line="229" w:lineRule="auto"/>
              <w:ind w:left="105" w:leftChars="50" w:right="105" w:rightChars="50" w:firstLine="0" w:firstLineChars="0"/>
              <w:jc w:val="center"/>
              <w:textAlignment w:val="auto"/>
              <w:rPr>
                <w:rFonts w:hint="default" w:ascii="Times New Roman" w:hAnsi="Times New Roman" w:eastAsia="Calibri" w:cs="Times New Roman"/>
                <w:spacing w:val="0"/>
                <w:sz w:val="19"/>
                <w:szCs w:val="19"/>
              </w:rPr>
            </w:pPr>
            <w:r>
              <w:rPr>
                <w:rFonts w:hint="default" w:ascii="Times New Roman" w:hAnsi="Times New Roman" w:eastAsia="宋体" w:cs="Times New Roman"/>
                <w:spacing w:val="0"/>
                <w:sz w:val="19"/>
                <w:szCs w:val="19"/>
              </w:rPr>
              <w:t xml:space="preserve">重复 </w:t>
            </w:r>
            <w:r>
              <w:rPr>
                <w:rFonts w:hint="default" w:ascii="Times New Roman" w:hAnsi="Times New Roman" w:eastAsia="Calibri" w:cs="Times New Roman"/>
                <w:spacing w:val="0"/>
                <w:sz w:val="19"/>
                <w:szCs w:val="19"/>
              </w:rPr>
              <w:t>3</w:t>
            </w:r>
          </w:p>
        </w:tc>
        <w:tc>
          <w:tcPr>
            <w:tcW w:w="1058"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53"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316"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2062"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c>
          <w:tcPr>
            <w:tcW w:w="1299"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spacing w:val="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91" w:hRule="atLeast"/>
        </w:trPr>
        <w:tc>
          <w:tcPr>
            <w:tcW w:w="9358" w:type="dxa"/>
            <w:gridSpan w:val="26"/>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90" w:hRule="atLeast"/>
        </w:trPr>
        <w:tc>
          <w:tcPr>
            <w:tcW w:w="738"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0-10cm</w:t>
            </w:r>
          </w:p>
        </w:tc>
        <w:tc>
          <w:tcPr>
            <w:tcW w:w="697"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环刀（含滤纸）干重g</w:t>
            </w:r>
          </w:p>
        </w:tc>
        <w:tc>
          <w:tcPr>
            <w:tcW w:w="596"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最大持水量g/kg</w:t>
            </w:r>
          </w:p>
        </w:tc>
        <w:tc>
          <w:tcPr>
            <w:tcW w:w="687"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最大持水率%</w:t>
            </w:r>
          </w:p>
        </w:tc>
        <w:tc>
          <w:tcPr>
            <w:tcW w:w="63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毛管持水量g/kg</w:t>
            </w:r>
          </w:p>
        </w:tc>
        <w:tc>
          <w:tcPr>
            <w:tcW w:w="63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毛管持水率%</w:t>
            </w:r>
          </w:p>
        </w:tc>
        <w:tc>
          <w:tcPr>
            <w:tcW w:w="63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最小</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持水量g/kg</w:t>
            </w:r>
          </w:p>
        </w:tc>
        <w:tc>
          <w:tcPr>
            <w:tcW w:w="63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最小持水率%</w:t>
            </w:r>
          </w:p>
        </w:tc>
        <w:tc>
          <w:tcPr>
            <w:tcW w:w="63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自然含水量g/kg</w:t>
            </w:r>
          </w:p>
        </w:tc>
        <w:tc>
          <w:tcPr>
            <w:tcW w:w="63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自然含水率﹪</w:t>
            </w:r>
          </w:p>
        </w:tc>
        <w:tc>
          <w:tcPr>
            <w:tcW w:w="928"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土壤容重g/cm</w:t>
            </w:r>
            <w:r>
              <w:rPr>
                <w:rFonts w:hint="default" w:ascii="Times New Roman" w:hAnsi="Times New Roman" w:eastAsia="宋体" w:cs="Times New Roman"/>
                <w:spacing w:val="0"/>
                <w:kern w:val="2"/>
                <w:sz w:val="18"/>
                <w:szCs w:val="18"/>
                <w:vertAlign w:val="superscript"/>
                <w:lang w:val="en-US" w:eastAsia="zh-CN" w:bidi="ar-SA"/>
              </w:rPr>
              <w:t>3</w:t>
            </w:r>
          </w:p>
        </w:tc>
        <w:tc>
          <w:tcPr>
            <w:tcW w:w="63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非毛管孔隙度</w:t>
            </w:r>
          </w:p>
        </w:tc>
        <w:tc>
          <w:tcPr>
            <w:tcW w:w="63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毛管孔隙度</w:t>
            </w:r>
          </w:p>
        </w:tc>
        <w:tc>
          <w:tcPr>
            <w:tcW w:w="668"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eastAsia="宋体" w:cs="Times New Roman"/>
                <w:spacing w:val="0"/>
                <w:kern w:val="2"/>
                <w:sz w:val="18"/>
                <w:szCs w:val="18"/>
                <w:lang w:val="en-US" w:eastAsia="zh-CN" w:bidi="ar-SA"/>
              </w:rPr>
            </w:pPr>
            <w:r>
              <w:rPr>
                <w:rFonts w:hint="default" w:ascii="Times New Roman" w:hAnsi="Times New Roman" w:eastAsia="宋体" w:cs="Times New Roman"/>
                <w:spacing w:val="0"/>
                <w:kern w:val="2"/>
                <w:sz w:val="18"/>
                <w:szCs w:val="18"/>
                <w:lang w:val="en-US" w:eastAsia="zh-CN" w:bidi="ar-SA"/>
              </w:rPr>
              <w:t>总孔隙度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58" w:line="229" w:lineRule="auto"/>
              <w:ind w:left="105" w:leftChars="50" w:right="105" w:rightChars="50" w:firstLine="0" w:firstLineChars="0"/>
              <w:textAlignment w:val="auto"/>
              <w:rPr>
                <w:rFonts w:hint="default" w:ascii="Times New Roman" w:hAnsi="Times New Roman" w:eastAsia="Calibri" w:cs="Times New Roman"/>
                <w:spacing w:val="0"/>
                <w:w w:val="90"/>
                <w:sz w:val="19"/>
                <w:szCs w:val="19"/>
              </w:rPr>
            </w:pPr>
            <w:r>
              <w:rPr>
                <w:rFonts w:hint="default" w:ascii="Times New Roman" w:hAnsi="Times New Roman" w:eastAsia="宋体" w:cs="Times New Roman"/>
                <w:spacing w:val="0"/>
                <w:w w:val="90"/>
                <w:sz w:val="19"/>
                <w:szCs w:val="19"/>
              </w:rPr>
              <w:t xml:space="preserve">重复 </w:t>
            </w:r>
            <w:r>
              <w:rPr>
                <w:rFonts w:hint="default" w:ascii="Times New Roman" w:hAnsi="Times New Roman" w:eastAsia="Calibri" w:cs="Times New Roman"/>
                <w:spacing w:val="0"/>
                <w:w w:val="90"/>
                <w:sz w:val="19"/>
                <w:szCs w:val="19"/>
              </w:rPr>
              <w:t>1</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6"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58" w:line="229" w:lineRule="auto"/>
              <w:ind w:left="105" w:leftChars="50" w:right="105" w:rightChars="50" w:firstLine="0" w:firstLineChars="0"/>
              <w:textAlignment w:val="auto"/>
              <w:rPr>
                <w:rFonts w:hint="default" w:ascii="Times New Roman" w:hAnsi="Times New Roman" w:eastAsia="Calibri" w:cs="Times New Roman"/>
                <w:spacing w:val="0"/>
                <w:w w:val="90"/>
                <w:sz w:val="19"/>
                <w:szCs w:val="19"/>
              </w:rPr>
            </w:pPr>
            <w:r>
              <w:rPr>
                <w:rFonts w:hint="default" w:ascii="Times New Roman" w:hAnsi="Times New Roman" w:eastAsia="宋体" w:cs="Times New Roman"/>
                <w:spacing w:val="0"/>
                <w:w w:val="90"/>
                <w:sz w:val="19"/>
                <w:szCs w:val="19"/>
              </w:rPr>
              <w:t xml:space="preserve">重复 </w:t>
            </w:r>
            <w:r>
              <w:rPr>
                <w:rFonts w:hint="default" w:ascii="Times New Roman" w:hAnsi="Times New Roman" w:eastAsia="Calibri" w:cs="Times New Roman"/>
                <w:spacing w:val="0"/>
                <w:w w:val="90"/>
                <w:sz w:val="19"/>
                <w:szCs w:val="19"/>
              </w:rPr>
              <w:t>2</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9"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61" w:line="229" w:lineRule="auto"/>
              <w:ind w:left="105" w:leftChars="50" w:right="105" w:rightChars="50" w:firstLine="0" w:firstLineChars="0"/>
              <w:textAlignment w:val="auto"/>
              <w:rPr>
                <w:rFonts w:hint="default" w:ascii="Times New Roman" w:hAnsi="Times New Roman" w:eastAsia="Calibri" w:cs="Times New Roman"/>
                <w:spacing w:val="0"/>
                <w:w w:val="90"/>
                <w:sz w:val="19"/>
                <w:szCs w:val="19"/>
              </w:rPr>
            </w:pPr>
            <w:r>
              <w:rPr>
                <w:rFonts w:hint="default" w:ascii="Times New Roman" w:hAnsi="Times New Roman" w:eastAsia="宋体" w:cs="Times New Roman"/>
                <w:spacing w:val="0"/>
                <w:w w:val="90"/>
                <w:sz w:val="19"/>
                <w:szCs w:val="19"/>
              </w:rPr>
              <w:t xml:space="preserve">重复 </w:t>
            </w:r>
            <w:r>
              <w:rPr>
                <w:rFonts w:hint="default" w:ascii="Times New Roman" w:hAnsi="Times New Roman" w:eastAsia="Calibri" w:cs="Times New Roman"/>
                <w:spacing w:val="0"/>
                <w:w w:val="90"/>
                <w:sz w:val="19"/>
                <w:szCs w:val="19"/>
              </w:rPr>
              <w:t>3</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6"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58" w:line="229" w:lineRule="auto"/>
              <w:ind w:left="105" w:leftChars="50" w:right="105" w:rightChars="50" w:firstLine="0" w:firstLineChars="0"/>
              <w:textAlignment w:val="auto"/>
              <w:rPr>
                <w:rFonts w:hint="default" w:ascii="Times New Roman" w:hAnsi="Times New Roman" w:eastAsia="宋体" w:cs="Times New Roman"/>
                <w:spacing w:val="0"/>
                <w:w w:val="90"/>
                <w:sz w:val="19"/>
                <w:szCs w:val="19"/>
              </w:rPr>
            </w:pPr>
            <w:r>
              <w:rPr>
                <w:rFonts w:hint="default" w:ascii="Times New Roman" w:hAnsi="Times New Roman" w:eastAsia="宋体" w:cs="Times New Roman"/>
                <w:spacing w:val="0"/>
                <w:w w:val="90"/>
                <w:sz w:val="19"/>
                <w:szCs w:val="19"/>
              </w:rPr>
              <w:t>平均</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cs="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90" w:hRule="atLeast"/>
        </w:trPr>
        <w:tc>
          <w:tcPr>
            <w:tcW w:w="9358" w:type="dxa"/>
            <w:gridSpan w:val="26"/>
            <w:vAlign w:val="top"/>
          </w:tcPr>
          <w:p>
            <w:pPr>
              <w:keepNext w:val="0"/>
              <w:keepLines w:val="0"/>
              <w:pageBreakBefore w:val="0"/>
              <w:widowControl w:val="0"/>
              <w:kinsoku/>
              <w:wordWrap/>
              <w:overflowPunct/>
              <w:topLinePunct w:val="0"/>
              <w:autoSpaceDE/>
              <w:autoSpaceDN/>
              <w:bidi w:val="0"/>
              <w:adjustRightInd/>
              <w:snapToGrid/>
              <w:spacing w:line="185" w:lineRule="auto"/>
              <w:ind w:left="105" w:leftChars="50" w:right="105" w:rightChars="50" w:firstLine="0" w:firstLineChars="0"/>
              <w:textAlignment w:val="auto"/>
              <w:rPr>
                <w:rFonts w:hint="default" w:ascii="Times New Roman" w:hAnsi="Times New Roman" w:eastAsia="Calibri" w:cs="Times New Roman"/>
                <w:sz w:val="19"/>
                <w:szCs w:val="19"/>
              </w:rPr>
            </w:pPr>
            <w:r>
              <w:rPr>
                <w:rFonts w:hint="default" w:ascii="Times New Roman" w:hAnsi="Times New Roman" w:eastAsia="Calibri" w:cs="Times New Roman"/>
                <w:spacing w:val="3"/>
                <w:sz w:val="19"/>
                <w:szCs w:val="19"/>
              </w:rPr>
              <w:t>10-20</w:t>
            </w:r>
            <w:r>
              <w:rPr>
                <w:rFonts w:hint="default" w:ascii="Times New Roman" w:hAnsi="Times New Roman" w:eastAsia="Calibri" w:cs="Times New Roman"/>
                <w:sz w:val="19"/>
                <w:szCs w:val="19"/>
              </w:rPr>
              <w:t>cm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58" w:line="229" w:lineRule="auto"/>
              <w:ind w:left="105" w:leftChars="50" w:right="105" w:rightChars="50" w:firstLine="0" w:firstLineChars="0"/>
              <w:textAlignment w:val="auto"/>
              <w:rPr>
                <w:rFonts w:hint="default" w:ascii="Times New Roman" w:hAnsi="Times New Roman" w:eastAsia="Calibri" w:cs="Times New Roman"/>
                <w:snapToGrid w:val="0"/>
                <w:color w:val="000000"/>
                <w:kern w:val="0"/>
                <w:sz w:val="19"/>
                <w:szCs w:val="19"/>
                <w:lang w:val="en-US" w:eastAsia="en-US" w:bidi="ar-SA"/>
              </w:rPr>
            </w:pPr>
            <w:r>
              <w:rPr>
                <w:rFonts w:hint="default" w:ascii="Times New Roman" w:hAnsi="Times New Roman" w:eastAsia="宋体" w:cs="Times New Roman"/>
                <w:spacing w:val="0"/>
                <w:w w:val="90"/>
                <w:sz w:val="19"/>
                <w:szCs w:val="19"/>
              </w:rPr>
              <w:t xml:space="preserve">重复 </w:t>
            </w:r>
            <w:r>
              <w:rPr>
                <w:rFonts w:hint="default" w:ascii="Times New Roman" w:hAnsi="Times New Roman" w:eastAsia="Calibri" w:cs="Times New Roman"/>
                <w:spacing w:val="0"/>
                <w:w w:val="90"/>
                <w:sz w:val="19"/>
                <w:szCs w:val="19"/>
              </w:rPr>
              <w:t>1</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58" w:line="229" w:lineRule="auto"/>
              <w:ind w:left="105" w:leftChars="50" w:right="105" w:rightChars="50" w:firstLine="0" w:firstLineChars="0"/>
              <w:textAlignment w:val="auto"/>
              <w:rPr>
                <w:rFonts w:hint="default" w:ascii="Times New Roman" w:hAnsi="Times New Roman" w:eastAsia="Calibri" w:cs="Times New Roman"/>
                <w:snapToGrid w:val="0"/>
                <w:color w:val="000000"/>
                <w:kern w:val="0"/>
                <w:sz w:val="19"/>
                <w:szCs w:val="19"/>
                <w:lang w:val="en-US" w:eastAsia="en-US" w:bidi="ar-SA"/>
              </w:rPr>
            </w:pPr>
            <w:r>
              <w:rPr>
                <w:rFonts w:hint="default" w:ascii="Times New Roman" w:hAnsi="Times New Roman" w:eastAsia="宋体" w:cs="Times New Roman"/>
                <w:spacing w:val="0"/>
                <w:w w:val="90"/>
                <w:sz w:val="19"/>
                <w:szCs w:val="19"/>
              </w:rPr>
              <w:t xml:space="preserve">重复 </w:t>
            </w:r>
            <w:r>
              <w:rPr>
                <w:rFonts w:hint="default" w:ascii="Times New Roman" w:hAnsi="Times New Roman" w:eastAsia="Calibri" w:cs="Times New Roman"/>
                <w:spacing w:val="0"/>
                <w:w w:val="90"/>
                <w:sz w:val="19"/>
                <w:szCs w:val="19"/>
              </w:rPr>
              <w:t>2</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61" w:line="229" w:lineRule="auto"/>
              <w:ind w:left="105" w:leftChars="50" w:right="105" w:rightChars="50" w:firstLine="0" w:firstLineChars="0"/>
              <w:textAlignment w:val="auto"/>
              <w:rPr>
                <w:rFonts w:hint="default" w:ascii="Times New Roman" w:hAnsi="Times New Roman" w:eastAsia="Calibri" w:cs="Times New Roman"/>
                <w:snapToGrid w:val="0"/>
                <w:color w:val="000000"/>
                <w:kern w:val="0"/>
                <w:sz w:val="19"/>
                <w:szCs w:val="19"/>
                <w:lang w:val="en-US" w:eastAsia="en-US" w:bidi="ar-SA"/>
              </w:rPr>
            </w:pPr>
            <w:r>
              <w:rPr>
                <w:rFonts w:hint="default" w:ascii="Times New Roman" w:hAnsi="Times New Roman" w:eastAsia="宋体" w:cs="Times New Roman"/>
                <w:spacing w:val="0"/>
                <w:w w:val="90"/>
                <w:sz w:val="19"/>
                <w:szCs w:val="19"/>
              </w:rPr>
              <w:t xml:space="preserve">重复 </w:t>
            </w:r>
            <w:r>
              <w:rPr>
                <w:rFonts w:hint="default" w:ascii="Times New Roman" w:hAnsi="Times New Roman" w:eastAsia="Calibri" w:cs="Times New Roman"/>
                <w:spacing w:val="0"/>
                <w:w w:val="90"/>
                <w:sz w:val="19"/>
                <w:szCs w:val="19"/>
              </w:rPr>
              <w:t>3</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58" w:line="229" w:lineRule="auto"/>
              <w:ind w:left="105" w:leftChars="50" w:right="105" w:rightChars="50" w:firstLine="0" w:firstLineChars="0"/>
              <w:textAlignment w:val="auto"/>
              <w:rPr>
                <w:rFonts w:hint="default" w:ascii="Times New Roman" w:hAnsi="Times New Roman" w:eastAsia="宋体" w:cs="Times New Roman"/>
                <w:snapToGrid w:val="0"/>
                <w:color w:val="000000"/>
                <w:kern w:val="0"/>
                <w:sz w:val="19"/>
                <w:szCs w:val="19"/>
                <w:lang w:val="en-US" w:eastAsia="en-US" w:bidi="ar-SA"/>
              </w:rPr>
            </w:pPr>
            <w:r>
              <w:rPr>
                <w:rFonts w:hint="default" w:ascii="Times New Roman" w:hAnsi="Times New Roman" w:eastAsia="宋体" w:cs="Times New Roman"/>
                <w:spacing w:val="0"/>
                <w:w w:val="90"/>
                <w:sz w:val="19"/>
                <w:szCs w:val="19"/>
              </w:rPr>
              <w:t>平均</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9358" w:type="dxa"/>
            <w:gridSpan w:val="26"/>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eastAsia="Calibri" w:cs="Times New Roman"/>
                <w:spacing w:val="4"/>
                <w:sz w:val="19"/>
                <w:szCs w:val="19"/>
              </w:rPr>
              <w:t>20-40</w:t>
            </w:r>
            <w:r>
              <w:rPr>
                <w:rFonts w:hint="default" w:ascii="Times New Roman" w:hAnsi="Times New Roman" w:eastAsia="Calibri" w:cs="Times New Roman"/>
                <w:sz w:val="19"/>
                <w:szCs w:val="19"/>
              </w:rPr>
              <w:t>cm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56" w:line="229" w:lineRule="auto"/>
              <w:ind w:left="105" w:leftChars="50" w:right="105" w:rightChars="50" w:firstLine="0" w:firstLineChars="0"/>
              <w:textAlignment w:val="auto"/>
              <w:rPr>
                <w:rFonts w:hint="default" w:ascii="Times New Roman" w:hAnsi="Times New Roman" w:eastAsia="Calibri" w:cs="Times New Roman"/>
                <w:snapToGrid w:val="0"/>
                <w:color w:val="000000"/>
                <w:spacing w:val="0"/>
                <w:w w:val="90"/>
                <w:kern w:val="0"/>
                <w:sz w:val="19"/>
                <w:szCs w:val="19"/>
                <w:lang w:val="en-US" w:eastAsia="en-US" w:bidi="ar-SA"/>
              </w:rPr>
            </w:pPr>
            <w:r>
              <w:rPr>
                <w:rFonts w:hint="default" w:ascii="Times New Roman" w:hAnsi="Times New Roman" w:eastAsia="宋体" w:cs="Times New Roman"/>
                <w:spacing w:val="0"/>
                <w:w w:val="90"/>
                <w:sz w:val="19"/>
                <w:szCs w:val="19"/>
              </w:rPr>
              <w:t xml:space="preserve">重复 </w:t>
            </w:r>
            <w:r>
              <w:rPr>
                <w:rFonts w:hint="default" w:ascii="Times New Roman" w:hAnsi="Times New Roman" w:eastAsia="Calibri" w:cs="Times New Roman"/>
                <w:spacing w:val="0"/>
                <w:w w:val="90"/>
                <w:sz w:val="19"/>
                <w:szCs w:val="19"/>
              </w:rPr>
              <w:t>1</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56" w:line="229" w:lineRule="auto"/>
              <w:ind w:left="105" w:leftChars="50" w:right="105" w:rightChars="50" w:firstLine="0" w:firstLineChars="0"/>
              <w:textAlignment w:val="auto"/>
              <w:rPr>
                <w:rFonts w:hint="default" w:ascii="Times New Roman" w:hAnsi="Times New Roman" w:eastAsia="Calibri" w:cs="Times New Roman"/>
                <w:snapToGrid w:val="0"/>
                <w:color w:val="000000"/>
                <w:spacing w:val="0"/>
                <w:w w:val="90"/>
                <w:kern w:val="0"/>
                <w:sz w:val="19"/>
                <w:szCs w:val="19"/>
                <w:lang w:val="en-US" w:eastAsia="en-US" w:bidi="ar-SA"/>
              </w:rPr>
            </w:pPr>
            <w:r>
              <w:rPr>
                <w:rFonts w:hint="default" w:ascii="Times New Roman" w:hAnsi="Times New Roman" w:eastAsia="宋体" w:cs="Times New Roman"/>
                <w:spacing w:val="0"/>
                <w:w w:val="90"/>
                <w:sz w:val="19"/>
                <w:szCs w:val="19"/>
              </w:rPr>
              <w:t xml:space="preserve">重复 </w:t>
            </w:r>
            <w:r>
              <w:rPr>
                <w:rFonts w:hint="default" w:ascii="Times New Roman" w:hAnsi="Times New Roman" w:eastAsia="Calibri" w:cs="Times New Roman"/>
                <w:spacing w:val="0"/>
                <w:w w:val="90"/>
                <w:sz w:val="19"/>
                <w:szCs w:val="19"/>
              </w:rPr>
              <w:t>2</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57" w:line="229" w:lineRule="auto"/>
              <w:ind w:left="105" w:leftChars="50" w:right="105" w:rightChars="50" w:firstLine="0" w:firstLineChars="0"/>
              <w:textAlignment w:val="auto"/>
              <w:rPr>
                <w:rFonts w:hint="default" w:ascii="Times New Roman" w:hAnsi="Times New Roman" w:eastAsia="Calibri" w:cs="Times New Roman"/>
                <w:snapToGrid w:val="0"/>
                <w:color w:val="000000"/>
                <w:spacing w:val="0"/>
                <w:w w:val="90"/>
                <w:kern w:val="0"/>
                <w:sz w:val="19"/>
                <w:szCs w:val="19"/>
                <w:lang w:val="en-US" w:eastAsia="en-US" w:bidi="ar-SA"/>
              </w:rPr>
            </w:pPr>
            <w:r>
              <w:rPr>
                <w:rFonts w:hint="default" w:ascii="Times New Roman" w:hAnsi="Times New Roman" w:eastAsia="宋体" w:cs="Times New Roman"/>
                <w:spacing w:val="0"/>
                <w:w w:val="90"/>
                <w:sz w:val="19"/>
                <w:szCs w:val="19"/>
              </w:rPr>
              <w:t xml:space="preserve">重复 </w:t>
            </w:r>
            <w:r>
              <w:rPr>
                <w:rFonts w:hint="default" w:ascii="Times New Roman" w:hAnsi="Times New Roman" w:eastAsia="Calibri" w:cs="Times New Roman"/>
                <w:spacing w:val="0"/>
                <w:w w:val="90"/>
                <w:sz w:val="19"/>
                <w:szCs w:val="19"/>
              </w:rPr>
              <w:t>3</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57" w:line="229" w:lineRule="auto"/>
              <w:ind w:left="105" w:leftChars="50" w:right="105" w:rightChars="50" w:firstLine="0" w:firstLineChars="0"/>
              <w:textAlignment w:val="auto"/>
              <w:rPr>
                <w:rFonts w:hint="default" w:ascii="Times New Roman" w:hAnsi="Times New Roman" w:eastAsia="宋体" w:cs="Times New Roman"/>
                <w:snapToGrid w:val="0"/>
                <w:color w:val="000000"/>
                <w:spacing w:val="0"/>
                <w:w w:val="90"/>
                <w:kern w:val="0"/>
                <w:sz w:val="19"/>
                <w:szCs w:val="19"/>
                <w:lang w:val="en-US" w:eastAsia="en-US" w:bidi="ar-SA"/>
              </w:rPr>
            </w:pPr>
            <w:r>
              <w:rPr>
                <w:rFonts w:hint="default" w:ascii="Times New Roman" w:hAnsi="Times New Roman" w:eastAsia="宋体" w:cs="Times New Roman"/>
                <w:spacing w:val="0"/>
                <w:w w:val="90"/>
                <w:sz w:val="19"/>
                <w:szCs w:val="19"/>
              </w:rPr>
              <w:t>平均</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738" w:type="dxa"/>
            <w:vAlign w:val="top"/>
          </w:tcPr>
          <w:p>
            <w:pPr>
              <w:keepNext w:val="0"/>
              <w:keepLines w:val="0"/>
              <w:pageBreakBefore w:val="0"/>
              <w:widowControl w:val="0"/>
              <w:kinsoku/>
              <w:wordWrap/>
              <w:overflowPunct/>
              <w:topLinePunct w:val="0"/>
              <w:autoSpaceDE/>
              <w:autoSpaceDN/>
              <w:bidi w:val="0"/>
              <w:adjustRightInd/>
              <w:snapToGrid/>
              <w:spacing w:before="60" w:line="229" w:lineRule="auto"/>
              <w:ind w:left="105" w:leftChars="50" w:right="105" w:rightChars="50" w:firstLine="0" w:firstLineChars="0"/>
              <w:textAlignment w:val="auto"/>
              <w:rPr>
                <w:rFonts w:hint="default" w:ascii="Times New Roman" w:hAnsi="Times New Roman" w:eastAsia="宋体" w:cs="Times New Roman"/>
                <w:snapToGrid w:val="0"/>
                <w:color w:val="000000"/>
                <w:spacing w:val="0"/>
                <w:w w:val="90"/>
                <w:kern w:val="0"/>
                <w:sz w:val="19"/>
                <w:szCs w:val="19"/>
                <w:lang w:val="en-US" w:eastAsia="en-US" w:bidi="ar-SA"/>
              </w:rPr>
            </w:pPr>
            <w:r>
              <w:rPr>
                <w:rFonts w:hint="default" w:ascii="Times New Roman" w:hAnsi="Times New Roman" w:eastAsia="宋体" w:cs="Times New Roman"/>
                <w:spacing w:val="0"/>
                <w:w w:val="90"/>
                <w:sz w:val="19"/>
                <w:szCs w:val="19"/>
              </w:rPr>
              <w:t>总平均</w:t>
            </w:r>
          </w:p>
        </w:tc>
        <w:tc>
          <w:tcPr>
            <w:tcW w:w="697"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596"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87"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2"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0"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928"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31" w:type="dxa"/>
            <w:gridSpan w:val="2"/>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c>
          <w:tcPr>
            <w:tcW w:w="668" w:type="dxa"/>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spacing w:val="0"/>
                <w:w w:val="9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9358" w:type="dxa"/>
            <w:gridSpan w:val="26"/>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1435" w:type="dxa"/>
            <w:gridSpan w:val="4"/>
            <w:vAlign w:val="center"/>
          </w:tcPr>
          <w:p>
            <w:pPr>
              <w:keepNext w:val="0"/>
              <w:keepLines w:val="0"/>
              <w:pageBreakBefore w:val="0"/>
              <w:widowControl w:val="0"/>
              <w:kinsoku/>
              <w:wordWrap/>
              <w:overflowPunct/>
              <w:topLinePunct w:val="0"/>
              <w:autoSpaceDE/>
              <w:autoSpaceDN/>
              <w:bidi w:val="0"/>
              <w:adjustRightInd/>
              <w:snapToGrid/>
              <w:spacing w:before="59" w:line="220" w:lineRule="auto"/>
              <w:ind w:left="105" w:leftChars="50" w:right="105" w:rightChars="50" w:firstLine="0" w:firstLineChars="0"/>
              <w:jc w:val="center"/>
              <w:textAlignment w:val="auto"/>
              <w:rPr>
                <w:rFonts w:hint="default" w:ascii="Times New Roman" w:hAnsi="Times New Roman" w:eastAsia="宋体" w:cs="Times New Roman"/>
                <w:snapToGrid w:val="0"/>
                <w:color w:val="000000"/>
                <w:kern w:val="0"/>
                <w:sz w:val="18"/>
                <w:szCs w:val="18"/>
                <w:lang w:val="en-US" w:eastAsia="en-US" w:bidi="ar-SA"/>
              </w:rPr>
            </w:pPr>
            <w:r>
              <w:rPr>
                <w:rFonts w:hint="default" w:ascii="Times New Roman" w:hAnsi="Times New Roman" w:eastAsia="宋体" w:cs="Times New Roman"/>
                <w:spacing w:val="-3"/>
                <w:sz w:val="18"/>
                <w:szCs w:val="18"/>
              </w:rPr>
              <w:t>厚度</w:t>
            </w:r>
          </w:p>
        </w:tc>
        <w:tc>
          <w:tcPr>
            <w:tcW w:w="1283" w:type="dxa"/>
            <w:gridSpan w:val="3"/>
            <w:vAlign w:val="center"/>
          </w:tcPr>
          <w:p>
            <w:pPr>
              <w:keepNext w:val="0"/>
              <w:keepLines w:val="0"/>
              <w:pageBreakBefore w:val="0"/>
              <w:widowControl w:val="0"/>
              <w:kinsoku/>
              <w:wordWrap/>
              <w:overflowPunct/>
              <w:topLinePunct w:val="0"/>
              <w:autoSpaceDE/>
              <w:autoSpaceDN/>
              <w:bidi w:val="0"/>
              <w:adjustRightInd/>
              <w:snapToGrid/>
              <w:spacing w:before="62" w:line="228" w:lineRule="auto"/>
              <w:ind w:left="105" w:leftChars="50" w:right="105" w:rightChars="50" w:firstLine="0" w:firstLineChars="0"/>
              <w:jc w:val="center"/>
              <w:textAlignment w:val="auto"/>
              <w:rPr>
                <w:rFonts w:hint="default" w:ascii="Times New Roman" w:hAnsi="Times New Roman" w:eastAsia="宋体" w:cs="Times New Roman"/>
                <w:snapToGrid w:val="0"/>
                <w:color w:val="000000"/>
                <w:kern w:val="0"/>
                <w:sz w:val="19"/>
                <w:szCs w:val="19"/>
                <w:lang w:val="en-US" w:eastAsia="en-US" w:bidi="ar-SA"/>
              </w:rPr>
            </w:pPr>
            <w:r>
              <w:rPr>
                <w:rFonts w:hint="default" w:ascii="Times New Roman" w:hAnsi="Times New Roman" w:eastAsia="Calibri" w:cs="Times New Roman"/>
                <w:spacing w:val="-2"/>
                <w:sz w:val="19"/>
                <w:szCs w:val="19"/>
              </w:rPr>
              <w:t>Ph</w:t>
            </w:r>
            <w:r>
              <w:rPr>
                <w:rFonts w:hint="default" w:ascii="Times New Roman" w:hAnsi="Times New Roman" w:eastAsia="Calibri" w:cs="Times New Roman"/>
                <w:spacing w:val="16"/>
                <w:w w:val="101"/>
                <w:sz w:val="19"/>
                <w:szCs w:val="19"/>
              </w:rPr>
              <w:t xml:space="preserve"> </w:t>
            </w:r>
            <w:r>
              <w:rPr>
                <w:rFonts w:hint="default" w:ascii="Times New Roman" w:hAnsi="Times New Roman" w:eastAsia="宋体" w:cs="Times New Roman"/>
                <w:spacing w:val="-2"/>
                <w:sz w:val="19"/>
                <w:szCs w:val="19"/>
              </w:rPr>
              <w:t>值</w:t>
            </w: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before="62" w:line="235" w:lineRule="auto"/>
              <w:ind w:left="105" w:leftChars="50" w:right="105" w:rightChars="50" w:firstLine="0" w:firstLineChars="0"/>
              <w:jc w:val="center"/>
              <w:textAlignment w:val="auto"/>
              <w:rPr>
                <w:rFonts w:hint="default" w:ascii="Times New Roman" w:hAnsi="Times New Roman" w:eastAsia="Calibri" w:cs="Times New Roman"/>
                <w:snapToGrid w:val="0"/>
                <w:color w:val="000000"/>
                <w:kern w:val="0"/>
                <w:sz w:val="19"/>
                <w:szCs w:val="19"/>
                <w:lang w:val="en-US" w:eastAsia="en-US" w:bidi="ar-SA"/>
              </w:rPr>
            </w:pPr>
            <w:r>
              <w:rPr>
                <w:rFonts w:hint="default" w:ascii="Times New Roman" w:hAnsi="Times New Roman" w:eastAsia="宋体" w:cs="Times New Roman"/>
                <w:spacing w:val="6"/>
                <w:sz w:val="19"/>
                <w:szCs w:val="19"/>
              </w:rPr>
              <w:t>有机质</w:t>
            </w:r>
            <w:r>
              <w:rPr>
                <w:rFonts w:hint="default" w:ascii="Times New Roman" w:hAnsi="Times New Roman" w:eastAsia="宋体" w:cs="Times New Roman"/>
                <w:spacing w:val="-40"/>
                <w:sz w:val="19"/>
                <w:szCs w:val="19"/>
              </w:rPr>
              <w:t xml:space="preserve"> </w:t>
            </w:r>
            <w:r>
              <w:rPr>
                <w:rFonts w:hint="default" w:ascii="Times New Roman" w:hAnsi="Times New Roman" w:eastAsia="Calibri" w:cs="Times New Roman"/>
                <w:spacing w:val="6"/>
                <w:sz w:val="19"/>
                <w:szCs w:val="19"/>
              </w:rPr>
              <w:t>g/</w:t>
            </w:r>
            <w:r>
              <w:rPr>
                <w:rFonts w:hint="default" w:ascii="Times New Roman" w:hAnsi="Times New Roman" w:eastAsia="Calibri" w:cs="Times New Roman"/>
                <w:sz w:val="19"/>
                <w:szCs w:val="19"/>
              </w:rPr>
              <w:t>kg</w:t>
            </w:r>
          </w:p>
        </w:tc>
        <w:tc>
          <w:tcPr>
            <w:tcW w:w="1349" w:type="dxa"/>
            <w:gridSpan w:val="5"/>
            <w:vAlign w:val="center"/>
          </w:tcPr>
          <w:p>
            <w:pPr>
              <w:keepNext w:val="0"/>
              <w:keepLines w:val="0"/>
              <w:pageBreakBefore w:val="0"/>
              <w:widowControl w:val="0"/>
              <w:kinsoku/>
              <w:wordWrap/>
              <w:overflowPunct/>
              <w:topLinePunct w:val="0"/>
              <w:autoSpaceDE/>
              <w:autoSpaceDN/>
              <w:bidi w:val="0"/>
              <w:adjustRightInd/>
              <w:snapToGrid/>
              <w:spacing w:before="62" w:line="235" w:lineRule="auto"/>
              <w:ind w:left="105" w:leftChars="50" w:right="105" w:rightChars="50" w:firstLine="0" w:firstLineChars="0"/>
              <w:jc w:val="center"/>
              <w:textAlignment w:val="auto"/>
              <w:rPr>
                <w:rFonts w:hint="default" w:ascii="Times New Roman" w:hAnsi="Times New Roman" w:eastAsia="Calibri" w:cs="Times New Roman"/>
                <w:snapToGrid w:val="0"/>
                <w:color w:val="000000"/>
                <w:kern w:val="0"/>
                <w:sz w:val="19"/>
                <w:szCs w:val="19"/>
                <w:lang w:val="en-US" w:eastAsia="en-US" w:bidi="ar-SA"/>
              </w:rPr>
            </w:pPr>
            <w:r>
              <w:rPr>
                <w:rFonts w:hint="default" w:ascii="Times New Roman" w:hAnsi="Times New Roman" w:eastAsia="宋体" w:cs="Times New Roman"/>
                <w:spacing w:val="6"/>
                <w:sz w:val="19"/>
                <w:szCs w:val="19"/>
              </w:rPr>
              <w:t>碱解氮</w:t>
            </w:r>
            <w:r>
              <w:rPr>
                <w:rFonts w:hint="default" w:ascii="Times New Roman" w:hAnsi="Times New Roman" w:eastAsia="宋体" w:cs="Times New Roman"/>
                <w:spacing w:val="-38"/>
                <w:sz w:val="19"/>
                <w:szCs w:val="19"/>
              </w:rPr>
              <w:t xml:space="preserve"> </w:t>
            </w:r>
            <w:r>
              <w:rPr>
                <w:rFonts w:hint="default" w:ascii="Times New Roman" w:hAnsi="Times New Roman" w:eastAsia="Calibri" w:cs="Times New Roman"/>
                <w:spacing w:val="6"/>
                <w:sz w:val="19"/>
                <w:szCs w:val="19"/>
              </w:rPr>
              <w:t>g/</w:t>
            </w:r>
            <w:r>
              <w:rPr>
                <w:rFonts w:hint="default" w:ascii="Times New Roman" w:hAnsi="Times New Roman" w:eastAsia="Calibri" w:cs="Times New Roman"/>
                <w:sz w:val="19"/>
                <w:szCs w:val="19"/>
              </w:rPr>
              <w:t>kg</w:t>
            </w:r>
          </w:p>
        </w:tc>
        <w:tc>
          <w:tcPr>
            <w:tcW w:w="1927" w:type="dxa"/>
            <w:gridSpan w:val="5"/>
            <w:vAlign w:val="center"/>
          </w:tcPr>
          <w:p>
            <w:pPr>
              <w:keepNext w:val="0"/>
              <w:keepLines w:val="0"/>
              <w:pageBreakBefore w:val="0"/>
              <w:widowControl w:val="0"/>
              <w:kinsoku/>
              <w:wordWrap/>
              <w:overflowPunct/>
              <w:topLinePunct w:val="0"/>
              <w:autoSpaceDE/>
              <w:autoSpaceDN/>
              <w:bidi w:val="0"/>
              <w:adjustRightInd/>
              <w:snapToGrid/>
              <w:spacing w:before="58" w:line="275" w:lineRule="auto"/>
              <w:ind w:left="105" w:leftChars="50" w:right="105" w:rightChars="50" w:firstLine="0" w:firstLineChars="0"/>
              <w:jc w:val="center"/>
              <w:textAlignment w:val="auto"/>
              <w:rPr>
                <w:rFonts w:hint="default" w:ascii="Times New Roman" w:hAnsi="Times New Roman" w:eastAsia="Calibri" w:cs="Times New Roman"/>
                <w:snapToGrid w:val="0"/>
                <w:color w:val="000000"/>
                <w:kern w:val="0"/>
                <w:sz w:val="19"/>
                <w:szCs w:val="19"/>
                <w:lang w:val="en-US" w:eastAsia="en-US" w:bidi="ar-SA"/>
              </w:rPr>
            </w:pPr>
            <w:r>
              <w:rPr>
                <w:rFonts w:hint="default" w:ascii="Times New Roman" w:hAnsi="Times New Roman" w:eastAsia="宋体" w:cs="Times New Roman"/>
                <w:sz w:val="19"/>
                <w:szCs w:val="19"/>
              </w:rPr>
              <w:t>速效磷含量</w:t>
            </w:r>
            <w:r>
              <w:rPr>
                <w:rFonts w:hint="default" w:ascii="Times New Roman" w:hAnsi="Times New Roman" w:eastAsia="Calibri" w:cs="Times New Roman"/>
                <w:sz w:val="19"/>
                <w:szCs w:val="19"/>
              </w:rPr>
              <w:t>mg</w:t>
            </w:r>
            <w:r>
              <w:rPr>
                <w:rFonts w:hint="default" w:ascii="Times New Roman" w:hAnsi="Times New Roman" w:eastAsia="Calibri" w:cs="Times New Roman"/>
                <w:spacing w:val="8"/>
                <w:sz w:val="19"/>
                <w:szCs w:val="19"/>
              </w:rPr>
              <w:t>/</w:t>
            </w:r>
            <w:r>
              <w:rPr>
                <w:rFonts w:hint="default" w:ascii="Times New Roman" w:hAnsi="Times New Roman" w:eastAsia="Calibri" w:cs="Times New Roman"/>
                <w:sz w:val="19"/>
                <w:szCs w:val="19"/>
              </w:rPr>
              <w:t>kg</w:t>
            </w:r>
          </w:p>
        </w:tc>
        <w:tc>
          <w:tcPr>
            <w:tcW w:w="1930" w:type="dxa"/>
            <w:gridSpan w:val="5"/>
            <w:vAlign w:val="center"/>
          </w:tcPr>
          <w:p>
            <w:pPr>
              <w:keepNext w:val="0"/>
              <w:keepLines w:val="0"/>
              <w:pageBreakBefore w:val="0"/>
              <w:widowControl w:val="0"/>
              <w:kinsoku/>
              <w:wordWrap/>
              <w:overflowPunct/>
              <w:topLinePunct w:val="0"/>
              <w:autoSpaceDE/>
              <w:autoSpaceDN/>
              <w:bidi w:val="0"/>
              <w:adjustRightInd/>
              <w:snapToGrid/>
              <w:spacing w:before="58" w:line="275" w:lineRule="auto"/>
              <w:ind w:left="105" w:leftChars="50" w:right="105" w:rightChars="50" w:firstLine="0" w:firstLineChars="0"/>
              <w:jc w:val="center"/>
              <w:textAlignment w:val="auto"/>
              <w:rPr>
                <w:rFonts w:hint="default" w:ascii="Times New Roman" w:hAnsi="Times New Roman" w:eastAsia="Calibri" w:cs="Times New Roman"/>
                <w:snapToGrid w:val="0"/>
                <w:color w:val="000000"/>
                <w:kern w:val="0"/>
                <w:sz w:val="19"/>
                <w:szCs w:val="19"/>
                <w:lang w:val="en-US" w:eastAsia="en-US" w:bidi="ar-SA"/>
              </w:rPr>
            </w:pPr>
            <w:r>
              <w:rPr>
                <w:rFonts w:hint="default" w:ascii="Times New Roman" w:hAnsi="Times New Roman" w:eastAsia="宋体" w:cs="Times New Roman"/>
                <w:sz w:val="19"/>
                <w:szCs w:val="19"/>
              </w:rPr>
              <w:t xml:space="preserve">速效钾含量 </w:t>
            </w:r>
            <w:r>
              <w:rPr>
                <w:rFonts w:hint="default" w:ascii="Times New Roman" w:hAnsi="Times New Roman" w:eastAsia="Calibri" w:cs="Times New Roman"/>
                <w:sz w:val="19"/>
                <w:szCs w:val="19"/>
              </w:rPr>
              <w:t>mg</w:t>
            </w:r>
            <w:r>
              <w:rPr>
                <w:rFonts w:hint="default" w:ascii="Times New Roman" w:hAnsi="Times New Roman" w:eastAsia="Calibri" w:cs="Times New Roman"/>
                <w:spacing w:val="8"/>
                <w:sz w:val="19"/>
                <w:szCs w:val="19"/>
              </w:rPr>
              <w:t>/</w:t>
            </w:r>
            <w:r>
              <w:rPr>
                <w:rFonts w:hint="default" w:ascii="Times New Roman" w:hAnsi="Times New Roman" w:eastAsia="Calibri" w:cs="Times New Roman"/>
                <w:sz w:val="19"/>
                <w:szCs w:val="19"/>
              </w:rPr>
              <w:t>kg</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1435" w:type="dxa"/>
            <w:gridSpan w:val="4"/>
            <w:vAlign w:val="top"/>
          </w:tcPr>
          <w:p>
            <w:pPr>
              <w:keepNext w:val="0"/>
              <w:keepLines w:val="0"/>
              <w:pageBreakBefore w:val="0"/>
              <w:widowControl w:val="0"/>
              <w:kinsoku/>
              <w:wordWrap/>
              <w:overflowPunct/>
              <w:topLinePunct w:val="0"/>
              <w:autoSpaceDE/>
              <w:autoSpaceDN/>
              <w:bidi w:val="0"/>
              <w:adjustRightInd/>
              <w:snapToGrid/>
              <w:spacing w:before="99" w:line="185" w:lineRule="auto"/>
              <w:ind w:left="105" w:leftChars="50" w:right="105" w:rightChars="50" w:firstLine="0" w:firstLineChars="0"/>
              <w:textAlignment w:val="auto"/>
              <w:rPr>
                <w:rFonts w:hint="default" w:ascii="Times New Roman" w:hAnsi="Times New Roman" w:eastAsia="Calibri" w:cs="Times New Roman"/>
                <w:snapToGrid w:val="0"/>
                <w:color w:val="000000"/>
                <w:kern w:val="0"/>
                <w:sz w:val="19"/>
                <w:szCs w:val="19"/>
                <w:lang w:val="en-US" w:eastAsia="en-US" w:bidi="ar-SA"/>
              </w:rPr>
            </w:pPr>
            <w:r>
              <w:rPr>
                <w:rFonts w:hint="default" w:ascii="Times New Roman" w:hAnsi="Times New Roman" w:eastAsia="Calibri" w:cs="Times New Roman"/>
                <w:spacing w:val="5"/>
                <w:sz w:val="19"/>
                <w:szCs w:val="19"/>
              </w:rPr>
              <w:t>0-10</w:t>
            </w:r>
            <w:r>
              <w:rPr>
                <w:rFonts w:hint="default" w:ascii="Times New Roman" w:hAnsi="Times New Roman" w:eastAsia="Calibri" w:cs="Times New Roman"/>
                <w:sz w:val="19"/>
                <w:szCs w:val="19"/>
              </w:rPr>
              <w:t>cm</w:t>
            </w:r>
          </w:p>
        </w:tc>
        <w:tc>
          <w:tcPr>
            <w:tcW w:w="1283"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434"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349"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927"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930"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1435" w:type="dxa"/>
            <w:gridSpan w:val="4"/>
            <w:vAlign w:val="top"/>
          </w:tcPr>
          <w:p>
            <w:pPr>
              <w:keepNext w:val="0"/>
              <w:keepLines w:val="0"/>
              <w:pageBreakBefore w:val="0"/>
              <w:widowControl w:val="0"/>
              <w:kinsoku/>
              <w:wordWrap/>
              <w:overflowPunct/>
              <w:topLinePunct w:val="0"/>
              <w:autoSpaceDE/>
              <w:autoSpaceDN/>
              <w:bidi w:val="0"/>
              <w:adjustRightInd/>
              <w:snapToGrid/>
              <w:spacing w:before="100" w:line="185" w:lineRule="auto"/>
              <w:ind w:left="105" w:leftChars="50" w:right="105" w:rightChars="50" w:firstLine="0" w:firstLineChars="0"/>
              <w:textAlignment w:val="auto"/>
              <w:rPr>
                <w:rFonts w:hint="default" w:ascii="Times New Roman" w:hAnsi="Times New Roman" w:eastAsia="Calibri" w:cs="Times New Roman"/>
                <w:snapToGrid w:val="0"/>
                <w:color w:val="000000"/>
                <w:kern w:val="0"/>
                <w:sz w:val="19"/>
                <w:szCs w:val="19"/>
                <w:lang w:val="en-US" w:eastAsia="en-US" w:bidi="ar-SA"/>
              </w:rPr>
            </w:pPr>
            <w:r>
              <w:rPr>
                <w:rFonts w:hint="default" w:ascii="Times New Roman" w:hAnsi="Times New Roman" w:eastAsia="Calibri" w:cs="Times New Roman"/>
                <w:spacing w:val="3"/>
                <w:sz w:val="19"/>
                <w:szCs w:val="19"/>
              </w:rPr>
              <w:t>10-20</w:t>
            </w:r>
            <w:r>
              <w:rPr>
                <w:rFonts w:hint="default" w:ascii="Times New Roman" w:hAnsi="Times New Roman" w:eastAsia="Calibri" w:cs="Times New Roman"/>
                <w:sz w:val="19"/>
                <w:szCs w:val="19"/>
              </w:rPr>
              <w:t>cm</w:t>
            </w:r>
          </w:p>
        </w:tc>
        <w:tc>
          <w:tcPr>
            <w:tcW w:w="1283"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434"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349"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927"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930"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1" w:hRule="atLeast"/>
        </w:trPr>
        <w:tc>
          <w:tcPr>
            <w:tcW w:w="1435" w:type="dxa"/>
            <w:gridSpan w:val="4"/>
            <w:vAlign w:val="top"/>
          </w:tcPr>
          <w:p>
            <w:pPr>
              <w:keepNext w:val="0"/>
              <w:keepLines w:val="0"/>
              <w:pageBreakBefore w:val="0"/>
              <w:widowControl w:val="0"/>
              <w:kinsoku/>
              <w:wordWrap/>
              <w:overflowPunct/>
              <w:topLinePunct w:val="0"/>
              <w:autoSpaceDE/>
              <w:autoSpaceDN/>
              <w:bidi w:val="0"/>
              <w:adjustRightInd/>
              <w:snapToGrid/>
              <w:spacing w:before="101" w:line="185" w:lineRule="auto"/>
              <w:ind w:left="105" w:leftChars="50" w:right="105" w:rightChars="50" w:firstLine="0" w:firstLineChars="0"/>
              <w:textAlignment w:val="auto"/>
              <w:rPr>
                <w:rFonts w:hint="default" w:ascii="Times New Roman" w:hAnsi="Times New Roman" w:eastAsia="Calibri" w:cs="Times New Roman"/>
                <w:snapToGrid w:val="0"/>
                <w:color w:val="000000"/>
                <w:kern w:val="0"/>
                <w:sz w:val="19"/>
                <w:szCs w:val="19"/>
                <w:lang w:val="en-US" w:eastAsia="en-US" w:bidi="ar-SA"/>
              </w:rPr>
            </w:pPr>
            <w:r>
              <w:rPr>
                <w:rFonts w:hint="default" w:ascii="Times New Roman" w:hAnsi="Times New Roman" w:eastAsia="Calibri" w:cs="Times New Roman"/>
                <w:spacing w:val="4"/>
                <w:sz w:val="19"/>
                <w:szCs w:val="19"/>
              </w:rPr>
              <w:t>20-40</w:t>
            </w:r>
            <w:r>
              <w:rPr>
                <w:rFonts w:hint="default" w:ascii="Times New Roman" w:hAnsi="Times New Roman" w:eastAsia="Calibri" w:cs="Times New Roman"/>
                <w:sz w:val="19"/>
                <w:szCs w:val="19"/>
              </w:rPr>
              <w:t>cm</w:t>
            </w:r>
          </w:p>
        </w:tc>
        <w:tc>
          <w:tcPr>
            <w:tcW w:w="1283" w:type="dxa"/>
            <w:gridSpan w:val="3"/>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434" w:type="dxa"/>
            <w:gridSpan w:val="4"/>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349"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927"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c>
          <w:tcPr>
            <w:tcW w:w="1930" w:type="dxa"/>
            <w:gridSpan w:val="5"/>
            <w:vAlign w:val="top"/>
          </w:tcPr>
          <w:p>
            <w:pPr>
              <w:pStyle w:val="85"/>
              <w:keepNext w:val="0"/>
              <w:keepLines w:val="0"/>
              <w:pageBreakBefore w:val="0"/>
              <w:widowControl w:val="0"/>
              <w:kinsoku/>
              <w:wordWrap/>
              <w:overflowPunct/>
              <w:topLinePunct w:val="0"/>
              <w:autoSpaceDE/>
              <w:autoSpaceDN/>
              <w:bidi w:val="0"/>
              <w:adjustRightInd/>
              <w:snapToGrid/>
              <w:ind w:left="105" w:leftChars="50" w:right="105" w:rightChars="50" w:firstLine="0" w:firstLineChars="0"/>
              <w:textAlignment w:val="auto"/>
              <w:rPr>
                <w:rFonts w:hint="default" w:ascii="Times New Roman" w:hAnsi="Times New Roman" w:eastAsia="Arial" w:cs="Times New Roman"/>
                <w:snapToGrid w:val="0"/>
                <w:color w:val="000000"/>
                <w:kern w:val="0"/>
                <w:sz w:val="21"/>
                <w:szCs w:val="21"/>
                <w:lang w:val="en-US" w:eastAsia="en-US" w:bidi="ar-SA"/>
              </w:rPr>
            </w:pPr>
          </w:p>
        </w:tc>
      </w:tr>
    </w:tbl>
    <w:p>
      <w:pPr>
        <w:widowControl/>
        <w:ind w:firstLine="420"/>
        <w:jc w:val="center"/>
        <w:outlineLvl w:val="9"/>
        <w:rPr>
          <w:rFonts w:eastAsia="黑体"/>
          <w:bCs/>
          <w:szCs w:val="21"/>
        </w:rPr>
      </w:pPr>
    </w:p>
    <w:p>
      <w:pPr>
        <w:widowControl/>
        <w:ind w:firstLine="420"/>
        <w:jc w:val="center"/>
        <w:outlineLvl w:val="9"/>
        <w:rPr>
          <w:rFonts w:eastAsia="黑体"/>
          <w:bCs/>
          <w:szCs w:val="21"/>
        </w:rPr>
      </w:pPr>
    </w:p>
    <w:p>
      <w:pPr>
        <w:widowControl/>
        <w:ind w:firstLine="420"/>
        <w:jc w:val="center"/>
        <w:outlineLvl w:val="9"/>
        <w:rPr>
          <w:rFonts w:eastAsia="黑体"/>
          <w:bCs/>
          <w:szCs w:val="21"/>
        </w:rPr>
        <w:sectPr>
          <w:headerReference r:id="rId15" w:type="even"/>
          <w:pgSz w:w="11906" w:h="16838"/>
          <w:pgMar w:top="1837" w:right="1134" w:bottom="1440" w:left="1417" w:header="1417" w:footer="992" w:gutter="0"/>
          <w:pgNumType w:fmt="decimal"/>
          <w:cols w:space="0" w:num="1"/>
          <w:rtlGutter w:val="0"/>
          <w:docGrid w:type="lines" w:linePitch="324" w:charSpace="0"/>
        </w:sectPr>
      </w:pPr>
      <w:r>
        <w:rPr>
          <w:sz w:val="21"/>
        </w:rPr>
        <mc:AlternateContent>
          <mc:Choice Requires="wps">
            <w:drawing>
              <wp:anchor distT="0" distB="0" distL="114300" distR="114300" simplePos="0" relativeHeight="251663360" behindDoc="0" locked="0" layoutInCell="1" allowOverlap="1">
                <wp:simplePos x="0" y="0"/>
                <wp:positionH relativeFrom="column">
                  <wp:posOffset>1886585</wp:posOffset>
                </wp:positionH>
                <wp:positionV relativeFrom="paragraph">
                  <wp:posOffset>178435</wp:posOffset>
                </wp:positionV>
                <wp:extent cx="2255520" cy="8255"/>
                <wp:effectExtent l="0" t="6350" r="5080" b="10795"/>
                <wp:wrapNone/>
                <wp:docPr id="6" name="直接连接符 6"/>
                <wp:cNvGraphicFramePr/>
                <a:graphic xmlns:a="http://schemas.openxmlformats.org/drawingml/2006/main">
                  <a:graphicData uri="http://schemas.microsoft.com/office/word/2010/wordprocessingShape">
                    <wps:wsp>
                      <wps:cNvCnPr/>
                      <wps:spPr>
                        <a:xfrm flipV="1">
                          <a:off x="2493645" y="9729470"/>
                          <a:ext cx="2255520" cy="8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148.55pt;margin-top:14.05pt;height:0.65pt;width:177.6pt;z-index:251663360;mso-width-relative:page;mso-height-relative:page;" filled="f" stroked="t" coordsize="21600,21600" o:gfxdata="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VGqEV1gAAAAkBAAAPAAAA&#10;AAAAAAEAIAAAACIAAABkcnMvZG93bnJldi54bWxQSwECFAAUAAAACACHTuJAma1SD94BAAB9AwAA&#10;DgAAAAAAAAABACAAAAAlAQAAZHJzL2Uyb0RvYy54bWxQSwUGAAAAAAYABgBZAQAAdQUAAAAA&#10;">
                <v:fill on="f" focussize="0,0"/>
                <v:stroke weight="1pt" color="#000000 [3213]" miterlimit="8" joinstyle="miter"/>
                <v:imagedata o:title=""/>
                <o:lock v:ext="edit" aspectratio="f"/>
              </v:line>
            </w:pict>
          </mc:Fallback>
        </mc:AlternateContent>
      </w:r>
    </w:p>
    <w:p>
      <w:pPr>
        <w:widowControl/>
        <w:ind w:firstLine="420"/>
        <w:jc w:val="center"/>
        <w:outlineLvl w:val="9"/>
        <w:rPr>
          <w:rFonts w:eastAsia="黑体"/>
          <w:bCs/>
          <w:szCs w:val="21"/>
        </w:rPr>
      </w:pPr>
      <w:r>
        <w:rPr>
          <w:sz w:val="21"/>
        </w:rPr>
        <mc:AlternateContent>
          <mc:Choice Requires="wps">
            <w:drawing>
              <wp:anchor distT="0" distB="0" distL="114300" distR="114300" simplePos="0" relativeHeight="251664384" behindDoc="0" locked="0" layoutInCell="1" allowOverlap="1">
                <wp:simplePos x="0" y="0"/>
                <wp:positionH relativeFrom="column">
                  <wp:posOffset>6005830</wp:posOffset>
                </wp:positionH>
                <wp:positionV relativeFrom="paragraph">
                  <wp:posOffset>-21590</wp:posOffset>
                </wp:positionV>
                <wp:extent cx="422275" cy="1917065"/>
                <wp:effectExtent l="4445" t="4445" r="5080" b="8890"/>
                <wp:wrapNone/>
                <wp:docPr id="9" name="文本框 9"/>
                <wp:cNvGraphicFramePr/>
                <a:graphic xmlns:a="http://schemas.openxmlformats.org/drawingml/2006/main">
                  <a:graphicData uri="http://schemas.microsoft.com/office/word/2010/wordprocessingShape">
                    <wps:wsp>
                      <wps:cNvSpPr txBox="1"/>
                      <wps:spPr>
                        <a:xfrm rot="10800000">
                          <a:off x="6136640" y="1379220"/>
                          <a:ext cx="422275" cy="191706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pStyle w:val="14"/>
                              <w:ind w:firstLine="420"/>
                              <w:jc w:val="right"/>
                              <w:rPr>
                                <w:rFonts w:hint="eastAsia" w:ascii="黑体" w:hAnsi="黑体" w:eastAsia="黑体" w:cs="黑体"/>
                                <w:sz w:val="28"/>
                                <w:szCs w:val="28"/>
                              </w:rPr>
                            </w:pPr>
                            <w:r>
                              <w:rPr>
                                <w:rFonts w:hint="eastAsia" w:ascii="黑体" w:hAnsi="黑体" w:eastAsia="黑体" w:cs="黑体"/>
                                <w:sz w:val="28"/>
                                <w:szCs w:val="28"/>
                              </w:rPr>
                              <w:t>DB43/T XXX-XXXX</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2.9pt;margin-top:-1.7pt;height:150.95pt;width:33.25pt;rotation:11796480f;z-index:251664384;mso-width-relative:page;mso-height-relative:page;" fillcolor="#FFFFFF [3201]" filled="t" stroked="t" coordsize="21600,21600" o:gfxdata="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b5ZDE2gAAAAsBAAAPAAAA&#10;AAAAAAEAIAAAACIAAABkcnMvZG93bnJldi54bWxQSwECFAAUAAAACACHTuJA/oNh/UwCAACHBAAA&#10;DgAAAAAAAAABACAAAAApAQAAZHJzL2Uyb0RvYy54bWxQSwUGAAAAAAYABgBZAQAA5wUAAAAA&#10;">
                <v:fill on="t" focussize="0,0"/>
                <v:stroke weight="0.5pt" color="#FFFFFF [3212]" joinstyle="round"/>
                <v:imagedata o:title=""/>
                <o:lock v:ext="edit" aspectratio="f"/>
                <v:textbox style="layout-flow:vertical-ideographic;">
                  <w:txbxContent>
                    <w:p>
                      <w:pPr>
                        <w:pStyle w:val="14"/>
                        <w:ind w:firstLine="420"/>
                        <w:jc w:val="right"/>
                        <w:rPr>
                          <w:rFonts w:hint="eastAsia" w:ascii="黑体" w:hAnsi="黑体" w:eastAsia="黑体" w:cs="黑体"/>
                          <w:sz w:val="28"/>
                          <w:szCs w:val="28"/>
                        </w:rPr>
                      </w:pPr>
                      <w:r>
                        <w:rPr>
                          <w:rFonts w:hint="eastAsia" w:ascii="黑体" w:hAnsi="黑体" w:eastAsia="黑体" w:cs="黑体"/>
                          <w:sz w:val="28"/>
                          <w:szCs w:val="28"/>
                        </w:rPr>
                        <w:t>DB43/T XXX-XXXX</w:t>
                      </w:r>
                    </w:p>
                  </w:txbxContent>
                </v:textbox>
              </v:shape>
            </w:pict>
          </mc:Fallback>
        </mc:AlternateContent>
      </w:r>
    </w:p>
    <w:bookmarkEnd w:id="16"/>
    <w:p>
      <w:pPr>
        <w:ind w:firstLine="0" w:firstLineChars="0"/>
        <w:rPr>
          <w:rFonts w:hint="eastAsia"/>
        </w:rPr>
      </w:pPr>
    </w:p>
    <w:sectPr>
      <w:headerReference r:id="rId16" w:type="even"/>
      <w:footerReference r:id="rId17" w:type="even"/>
      <w:pgSz w:w="11906" w:h="16838"/>
      <w:pgMar w:top="1837" w:right="1134" w:bottom="1440" w:left="1134" w:header="1417" w:footer="992" w:gutter="0"/>
      <w:pgNumType w:fmt="decimal"/>
      <w:cols w:space="0" w:num="1"/>
      <w:rtlGutter w:val="0"/>
      <w:docGrid w:type="lines" w:linePitch="32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黑体简体">
    <w:altName w:val="微软雅黑"/>
    <w:panose1 w:val="00000000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3"/>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j4x0QAgAABwQAAA4AAABkcnMvZTJvRG9jLnhtbK1TzY7TMBC+I/EO&#10;lu80aRG7Vd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oI+MdEAIAAAcEAAAOAAAAAAAAAAEAIAAA&#10;AB8BAABkcnMvZTJvRG9jLnhtbFBLBQYAAAAABgAGAFkBAAChBQAAAAA=&#10;">
              <v:fill on="f" focussize="0,0"/>
              <v:stroke on="f" weight="0.5pt"/>
              <v:imagedata o:title=""/>
              <o:lock v:ext="edit" aspectratio="f"/>
              <v:textbox inset="0mm,0mm,0mm,0mm" style="mso-fit-shape-to-text:t;">
                <w:txbxContent>
                  <w:p>
                    <w:pPr>
                      <w:pStyle w:val="13"/>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OYf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3o0UxhR5evXy7ffly+fybwgaDW+gXydhaZoXttOiSPfg9nnLur&#10;nIpfTEQQB9b5Sq/oAuHx0nw2n+cIccTGH+BnT9et8+GNMIpEo6AO+0u0stPWhz51TInVtNk0UqYd&#10;Sk3agt68fJWnC9cIwKVGjThE32y0Qrfvhsn2pjxjMGd6bXjLNw2Kb5kPj8xBDGgYAg8POCppUMQM&#10;FiW1cZ/+5o/52BGilLQQV0E11E+JfKuxOwCG0XCjsR8NfVR3Bmqd4uFYn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ss5h/A4CAAAJBAAADgAAAAAAAAABACAAAAAf&#10;AQAAZHJzL2Uyb0RvYy54bWxQSwUGAAAAAAYABgBZAQAAnwUAAAAA&#10;">
              <v:fill on="f" focussize="0,0"/>
              <v:stroke on="f" weight="0.5pt"/>
              <v:imagedata o:title=""/>
              <o:lock v:ext="edit" aspectratio="f"/>
              <v:textbox inset="0mm,0mm,0mm,0mm" style="mso-fit-shape-to-text:t;">
                <w:txbxContent>
                  <w:p>
                    <w:pPr>
                      <w:pStyle w:val="13"/>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oYlDwQAgAACQQAAA4AAABkcnMvZTJvRG9jLnhtbK1TzY7TMBC+I/EO&#10;lu80aVes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1dv83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KGJQ8EAIAAAkEAAAOAAAAAAAAAAEAIAAA&#10;AB8BAABkcnMvZTJvRG9jLnhtbFBLBQYAAAAABgAGAFkBAAChBQAAAAA=&#10;">
              <v:fill on="f" focussize="0,0"/>
              <v:stroke on="f" weight="0.5pt"/>
              <v:imagedata o:title=""/>
              <o:lock v:ext="edit" aspectratio="f"/>
              <v:textbox inset="0mm,0mm,0mm,0mm" style="mso-fit-shape-to-text:t;">
                <w:txbxContent>
                  <w:p>
                    <w:pPr>
                      <w:pStyle w:val="13"/>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oX50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RtKNFPY0enH99PPh9OvbwQ6ANRaP4PfxsIzdO9MB+dB76GMc3eV&#10;U/HGRAR2QH28wCu6QHgMmk6m0xwmDtvwQP7sMdw6H94Lo0gUCuqwvwQrO6x96F0Hl1hNm1UjZdqh&#10;1KQt6NXrt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B2hfnRQCAAAVBAAADgAAAAAAAAAB&#10;ACAAAAAfAQAAZHJzL2Uyb0RvYy54bWxQSwUGAAAAAAYABgBZAQAApQ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v:fill on="f" focussize="0,0"/>
              <v:stroke on="f" weight="0.5pt"/>
              <v:imagedata o:title=""/>
              <o:lock v:ext="edit" aspectratio="f"/>
              <v:textbox inset="0mm,0mm,0mm,0mm" style="mso-fit-shape-to-text:t;">
                <w:txbxContent>
                  <w:p>
                    <w:pPr>
                      <w:pStyle w:val="13"/>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420"/>
      <w:jc w:val="right"/>
      <w:rPr>
        <w:sz w:val="21"/>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420"/>
      <w:jc w:val="right"/>
    </w:pPr>
    <w:r>
      <w:rPr>
        <w:rFonts w:hint="eastAsia"/>
        <w:sz w:val="21"/>
        <w:szCs w:val="32"/>
      </w:rPr>
      <w:t>DB43/T 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420"/>
      <w:jc w:val="right"/>
      <w:rPr>
        <w:sz w:val="21"/>
        <w:szCs w:val="32"/>
      </w:rPr>
    </w:pPr>
    <w:r>
      <w:rPr>
        <w:rFonts w:hint="eastAsia"/>
        <w:sz w:val="21"/>
        <w:szCs w:val="32"/>
      </w:rPr>
      <w:t>DB43/T 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420"/>
      <w:jc w:val="right"/>
      <w:rPr>
        <w:sz w:val="21"/>
        <w:szCs w:val="32"/>
      </w:rPr>
    </w:pPr>
    <w:r>
      <w:rPr>
        <w:rFonts w:hint="eastAsia"/>
        <w:sz w:val="21"/>
        <w:szCs w:val="32"/>
      </w:rPr>
      <w:t>DB43/T 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0" w:leftChars="0" w:firstLine="0" w:firstLineChars="0"/>
      <w:jc w:val="left"/>
    </w:pPr>
    <w:r>
      <w:rPr>
        <w:rFonts w:hint="eastAsia"/>
        <w:sz w:val="21"/>
        <w:szCs w:val="32"/>
      </w:rPr>
      <w:t>DB43/T 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0" w:leftChars="0" w:firstLine="0" w:firstLineChars="0"/>
      <w:jc w:val="left"/>
    </w:pPr>
    <w:r>
      <w:rPr>
        <w:rFonts w:hint="eastAsia"/>
        <w:sz w:val="21"/>
        <w:szCs w:val="32"/>
      </w:rPr>
      <w:t>DB43/T 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0" w:leftChars="0" w:firstLine="0" w:firstLineChars="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25"/>
      <w:suff w:val="nothing"/>
      <w:lvlText w:val="%1　"/>
      <w:lvlJc w:val="left"/>
      <w:pPr>
        <w:ind w:left="0" w:firstLine="0"/>
      </w:pPr>
      <w:rPr>
        <w:rFonts w:hint="default" w:ascii="Times New Roman" w:hAnsi="Times New Roman" w:eastAsia="黑体" w:cs="Times New Roman"/>
        <w:b w:val="0"/>
        <w:i w:val="0"/>
        <w:sz w:val="21"/>
        <w:szCs w:val="21"/>
      </w:rPr>
    </w:lvl>
    <w:lvl w:ilvl="1" w:tentative="0">
      <w:start w:val="1"/>
      <w:numFmt w:val="decimal"/>
      <w:pStyle w:val="27"/>
      <w:suff w:val="nothing"/>
      <w:lvlText w:val="%1.%2　"/>
      <w:lvlJc w:val="left"/>
      <w:pPr>
        <w:ind w:left="0" w:firstLine="0"/>
      </w:pPr>
      <w:rPr>
        <w:rFonts w:hint="default" w:ascii="Times New Roman"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8"/>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mirrorMargins w:val="1"/>
  <w:bordersDoNotSurroundHeader w:val="0"/>
  <w:bordersDoNotSurroundFooter w:val="0"/>
  <w:documentProtection w:enforcement="0"/>
  <w:defaultTabStop w:val="420"/>
  <w:evenAndOddHeaders w:val="1"/>
  <w:drawingGridVerticalSpacing w:val="162"/>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2Y2NjMTA2OGY2YzgxNDNlNTNhZjEzMjRhOTZiNTEifQ=="/>
  </w:docVars>
  <w:rsids>
    <w:rsidRoot w:val="00172A27"/>
    <w:rsid w:val="00000EDF"/>
    <w:rsid w:val="000123B9"/>
    <w:rsid w:val="00027770"/>
    <w:rsid w:val="000577EE"/>
    <w:rsid w:val="000A00D9"/>
    <w:rsid w:val="000E0F16"/>
    <w:rsid w:val="000E64A2"/>
    <w:rsid w:val="00121B97"/>
    <w:rsid w:val="00172A27"/>
    <w:rsid w:val="00174973"/>
    <w:rsid w:val="00194BDD"/>
    <w:rsid w:val="001C2FF6"/>
    <w:rsid w:val="002163A8"/>
    <w:rsid w:val="00223088"/>
    <w:rsid w:val="0026299A"/>
    <w:rsid w:val="00292789"/>
    <w:rsid w:val="00295FC1"/>
    <w:rsid w:val="002C7DA0"/>
    <w:rsid w:val="002E41E7"/>
    <w:rsid w:val="002E78AE"/>
    <w:rsid w:val="0031012F"/>
    <w:rsid w:val="00312957"/>
    <w:rsid w:val="00345933"/>
    <w:rsid w:val="00355F3C"/>
    <w:rsid w:val="00374B0F"/>
    <w:rsid w:val="00386E24"/>
    <w:rsid w:val="00395AF4"/>
    <w:rsid w:val="00445E91"/>
    <w:rsid w:val="00451A30"/>
    <w:rsid w:val="00452C0C"/>
    <w:rsid w:val="00453F41"/>
    <w:rsid w:val="004A5EAE"/>
    <w:rsid w:val="004B6593"/>
    <w:rsid w:val="004D1917"/>
    <w:rsid w:val="00565C49"/>
    <w:rsid w:val="005B4D53"/>
    <w:rsid w:val="005E54A0"/>
    <w:rsid w:val="00601756"/>
    <w:rsid w:val="00676CC6"/>
    <w:rsid w:val="006E5D6A"/>
    <w:rsid w:val="00772C21"/>
    <w:rsid w:val="007B2A94"/>
    <w:rsid w:val="007C7B32"/>
    <w:rsid w:val="007D6AA9"/>
    <w:rsid w:val="007E7BE5"/>
    <w:rsid w:val="00807DE8"/>
    <w:rsid w:val="00816962"/>
    <w:rsid w:val="00830C12"/>
    <w:rsid w:val="008958D6"/>
    <w:rsid w:val="0089785D"/>
    <w:rsid w:val="0090532F"/>
    <w:rsid w:val="009377FD"/>
    <w:rsid w:val="0094326F"/>
    <w:rsid w:val="00975776"/>
    <w:rsid w:val="009D76FF"/>
    <w:rsid w:val="009E2CB0"/>
    <w:rsid w:val="00A02A82"/>
    <w:rsid w:val="00A35C6D"/>
    <w:rsid w:val="00AB44DB"/>
    <w:rsid w:val="00AF7492"/>
    <w:rsid w:val="00B02A0E"/>
    <w:rsid w:val="00B206E0"/>
    <w:rsid w:val="00B262C5"/>
    <w:rsid w:val="00B56811"/>
    <w:rsid w:val="00B910D2"/>
    <w:rsid w:val="00BA7629"/>
    <w:rsid w:val="00BC0F05"/>
    <w:rsid w:val="00BE12E5"/>
    <w:rsid w:val="00BE4A0E"/>
    <w:rsid w:val="00BF2A20"/>
    <w:rsid w:val="00C02C34"/>
    <w:rsid w:val="00C27F80"/>
    <w:rsid w:val="00CE78D6"/>
    <w:rsid w:val="00CF5CC2"/>
    <w:rsid w:val="00D33131"/>
    <w:rsid w:val="00D47D53"/>
    <w:rsid w:val="00D93310"/>
    <w:rsid w:val="00DA03B1"/>
    <w:rsid w:val="00DA4119"/>
    <w:rsid w:val="00DC4A05"/>
    <w:rsid w:val="00DD0067"/>
    <w:rsid w:val="00DE3895"/>
    <w:rsid w:val="00E02FB1"/>
    <w:rsid w:val="00E240F6"/>
    <w:rsid w:val="00E24389"/>
    <w:rsid w:val="00E401F3"/>
    <w:rsid w:val="00E41E33"/>
    <w:rsid w:val="00E70221"/>
    <w:rsid w:val="00E72CFD"/>
    <w:rsid w:val="00E73D06"/>
    <w:rsid w:val="00EA757F"/>
    <w:rsid w:val="00EE0CB5"/>
    <w:rsid w:val="00EE4DEB"/>
    <w:rsid w:val="00EF62D0"/>
    <w:rsid w:val="00EF7A1B"/>
    <w:rsid w:val="00F13DA8"/>
    <w:rsid w:val="00F311FD"/>
    <w:rsid w:val="00F764A2"/>
    <w:rsid w:val="00F83DD2"/>
    <w:rsid w:val="00F85314"/>
    <w:rsid w:val="00FE7C16"/>
    <w:rsid w:val="00FF6D74"/>
    <w:rsid w:val="010C29CF"/>
    <w:rsid w:val="011D40F7"/>
    <w:rsid w:val="01422103"/>
    <w:rsid w:val="01817543"/>
    <w:rsid w:val="01B61016"/>
    <w:rsid w:val="01D317E1"/>
    <w:rsid w:val="02EE5A57"/>
    <w:rsid w:val="03751D27"/>
    <w:rsid w:val="037A7C8E"/>
    <w:rsid w:val="03BF1520"/>
    <w:rsid w:val="046910B7"/>
    <w:rsid w:val="04B5476C"/>
    <w:rsid w:val="050942D3"/>
    <w:rsid w:val="058D5965"/>
    <w:rsid w:val="05D2064F"/>
    <w:rsid w:val="05F05066"/>
    <w:rsid w:val="062A6E17"/>
    <w:rsid w:val="06392EFF"/>
    <w:rsid w:val="06E36B85"/>
    <w:rsid w:val="07217117"/>
    <w:rsid w:val="07AF50F0"/>
    <w:rsid w:val="07CE0288"/>
    <w:rsid w:val="07F95E80"/>
    <w:rsid w:val="085A316E"/>
    <w:rsid w:val="085E6400"/>
    <w:rsid w:val="08722C5F"/>
    <w:rsid w:val="099455D1"/>
    <w:rsid w:val="09CD7EFB"/>
    <w:rsid w:val="09F740E7"/>
    <w:rsid w:val="0A2D6C4C"/>
    <w:rsid w:val="0A697808"/>
    <w:rsid w:val="0AE6734D"/>
    <w:rsid w:val="0AF41947"/>
    <w:rsid w:val="0B86195F"/>
    <w:rsid w:val="0B9F0651"/>
    <w:rsid w:val="0BB2486D"/>
    <w:rsid w:val="0C2216B0"/>
    <w:rsid w:val="0C237EB2"/>
    <w:rsid w:val="0C366FBB"/>
    <w:rsid w:val="0C540E4C"/>
    <w:rsid w:val="0C5F082D"/>
    <w:rsid w:val="0DC84134"/>
    <w:rsid w:val="0DDD2FEE"/>
    <w:rsid w:val="0DE96AF7"/>
    <w:rsid w:val="0E143C00"/>
    <w:rsid w:val="0E25561C"/>
    <w:rsid w:val="100D0F09"/>
    <w:rsid w:val="101A5B0D"/>
    <w:rsid w:val="102B7360"/>
    <w:rsid w:val="106F0BF6"/>
    <w:rsid w:val="10882251"/>
    <w:rsid w:val="10B80CD5"/>
    <w:rsid w:val="110C6C66"/>
    <w:rsid w:val="112C2B4A"/>
    <w:rsid w:val="113562CC"/>
    <w:rsid w:val="11B1090C"/>
    <w:rsid w:val="11EF3968"/>
    <w:rsid w:val="11F800AF"/>
    <w:rsid w:val="11FB7DDC"/>
    <w:rsid w:val="12717B23"/>
    <w:rsid w:val="128B422F"/>
    <w:rsid w:val="12A4756A"/>
    <w:rsid w:val="13431BD6"/>
    <w:rsid w:val="136E0BA9"/>
    <w:rsid w:val="13B2320E"/>
    <w:rsid w:val="13C15AD3"/>
    <w:rsid w:val="141C7ABE"/>
    <w:rsid w:val="142F1D4F"/>
    <w:rsid w:val="14482858"/>
    <w:rsid w:val="1486485F"/>
    <w:rsid w:val="14AB2D76"/>
    <w:rsid w:val="15197931"/>
    <w:rsid w:val="15947D44"/>
    <w:rsid w:val="15B074A7"/>
    <w:rsid w:val="16BF12D9"/>
    <w:rsid w:val="179808AA"/>
    <w:rsid w:val="17FF2C9A"/>
    <w:rsid w:val="18456D15"/>
    <w:rsid w:val="184A7326"/>
    <w:rsid w:val="184D0862"/>
    <w:rsid w:val="18AF669A"/>
    <w:rsid w:val="18D8439C"/>
    <w:rsid w:val="18EC3EC3"/>
    <w:rsid w:val="190F5A48"/>
    <w:rsid w:val="193302B0"/>
    <w:rsid w:val="19455088"/>
    <w:rsid w:val="19D255C2"/>
    <w:rsid w:val="19E9206A"/>
    <w:rsid w:val="19E956AF"/>
    <w:rsid w:val="19EC7771"/>
    <w:rsid w:val="1A215F40"/>
    <w:rsid w:val="1A3D526C"/>
    <w:rsid w:val="1A5555A8"/>
    <w:rsid w:val="1A7A110F"/>
    <w:rsid w:val="1B3F484D"/>
    <w:rsid w:val="1B49437E"/>
    <w:rsid w:val="1BEA54ED"/>
    <w:rsid w:val="1C4A10B7"/>
    <w:rsid w:val="1C8D77DD"/>
    <w:rsid w:val="1CB13A7C"/>
    <w:rsid w:val="1D0E488D"/>
    <w:rsid w:val="1D4F4366"/>
    <w:rsid w:val="1D633C12"/>
    <w:rsid w:val="1D7F4E54"/>
    <w:rsid w:val="1DA82DF2"/>
    <w:rsid w:val="1DB83C5A"/>
    <w:rsid w:val="1E60243D"/>
    <w:rsid w:val="1EA17B7E"/>
    <w:rsid w:val="1EF1475E"/>
    <w:rsid w:val="1F2B0E81"/>
    <w:rsid w:val="1F405FFD"/>
    <w:rsid w:val="1F7B5B0E"/>
    <w:rsid w:val="1F837329"/>
    <w:rsid w:val="1FC908AF"/>
    <w:rsid w:val="20C17CA2"/>
    <w:rsid w:val="21577AB1"/>
    <w:rsid w:val="217E7688"/>
    <w:rsid w:val="218B7A33"/>
    <w:rsid w:val="21993377"/>
    <w:rsid w:val="2199701E"/>
    <w:rsid w:val="227814F7"/>
    <w:rsid w:val="22C135CD"/>
    <w:rsid w:val="234E4553"/>
    <w:rsid w:val="23505742"/>
    <w:rsid w:val="243B4C10"/>
    <w:rsid w:val="244236FA"/>
    <w:rsid w:val="246A5F2E"/>
    <w:rsid w:val="250626FB"/>
    <w:rsid w:val="25C76EC2"/>
    <w:rsid w:val="25E333DC"/>
    <w:rsid w:val="25EE33E0"/>
    <w:rsid w:val="25F36BB8"/>
    <w:rsid w:val="26144F23"/>
    <w:rsid w:val="2646298A"/>
    <w:rsid w:val="26E03277"/>
    <w:rsid w:val="26F1147D"/>
    <w:rsid w:val="272079EC"/>
    <w:rsid w:val="28841465"/>
    <w:rsid w:val="2960707B"/>
    <w:rsid w:val="298E2817"/>
    <w:rsid w:val="29DB4FEE"/>
    <w:rsid w:val="2A42239D"/>
    <w:rsid w:val="2A534983"/>
    <w:rsid w:val="2A9A4345"/>
    <w:rsid w:val="2AAC43D1"/>
    <w:rsid w:val="2ACB22A5"/>
    <w:rsid w:val="2B61543F"/>
    <w:rsid w:val="2B625ABB"/>
    <w:rsid w:val="2B6C2F94"/>
    <w:rsid w:val="2B6E721C"/>
    <w:rsid w:val="2BA34150"/>
    <w:rsid w:val="2BCB1B5E"/>
    <w:rsid w:val="2BDA1B00"/>
    <w:rsid w:val="2CE4634D"/>
    <w:rsid w:val="2DBA15EC"/>
    <w:rsid w:val="2DC231E7"/>
    <w:rsid w:val="2EB22E6E"/>
    <w:rsid w:val="2EC03A92"/>
    <w:rsid w:val="2EFF40DD"/>
    <w:rsid w:val="2F1B207C"/>
    <w:rsid w:val="2F747AD7"/>
    <w:rsid w:val="2F772CB3"/>
    <w:rsid w:val="2F943512"/>
    <w:rsid w:val="2FE100F2"/>
    <w:rsid w:val="2FE61344"/>
    <w:rsid w:val="30176275"/>
    <w:rsid w:val="30957DBB"/>
    <w:rsid w:val="30A27FD6"/>
    <w:rsid w:val="30A87CBD"/>
    <w:rsid w:val="30BB2CF1"/>
    <w:rsid w:val="30D965FC"/>
    <w:rsid w:val="30EF69DC"/>
    <w:rsid w:val="31163F80"/>
    <w:rsid w:val="31B57F7C"/>
    <w:rsid w:val="320675DA"/>
    <w:rsid w:val="32801CC6"/>
    <w:rsid w:val="32A13BDD"/>
    <w:rsid w:val="33384637"/>
    <w:rsid w:val="33506000"/>
    <w:rsid w:val="34201319"/>
    <w:rsid w:val="347969E3"/>
    <w:rsid w:val="35271460"/>
    <w:rsid w:val="358C6347"/>
    <w:rsid w:val="35A468E6"/>
    <w:rsid w:val="36067478"/>
    <w:rsid w:val="364467B6"/>
    <w:rsid w:val="364C7E41"/>
    <w:rsid w:val="36522153"/>
    <w:rsid w:val="36645463"/>
    <w:rsid w:val="36F30094"/>
    <w:rsid w:val="37187EC4"/>
    <w:rsid w:val="373B1CAB"/>
    <w:rsid w:val="37567A0E"/>
    <w:rsid w:val="376413D6"/>
    <w:rsid w:val="37954760"/>
    <w:rsid w:val="37BD0283"/>
    <w:rsid w:val="380E37C5"/>
    <w:rsid w:val="38397E9B"/>
    <w:rsid w:val="38F5295E"/>
    <w:rsid w:val="39342DFB"/>
    <w:rsid w:val="397C36AE"/>
    <w:rsid w:val="399615D7"/>
    <w:rsid w:val="39BE3AF3"/>
    <w:rsid w:val="3AD036B9"/>
    <w:rsid w:val="3B8A2EE8"/>
    <w:rsid w:val="3B930743"/>
    <w:rsid w:val="3C757222"/>
    <w:rsid w:val="3C7D0202"/>
    <w:rsid w:val="3C9E28EE"/>
    <w:rsid w:val="3CD4773D"/>
    <w:rsid w:val="3D3E5ABF"/>
    <w:rsid w:val="3D404D91"/>
    <w:rsid w:val="3DC954FF"/>
    <w:rsid w:val="3DD31D5E"/>
    <w:rsid w:val="3E837B72"/>
    <w:rsid w:val="3ECF170D"/>
    <w:rsid w:val="3F0F03B5"/>
    <w:rsid w:val="3F1D105C"/>
    <w:rsid w:val="3F3A17CD"/>
    <w:rsid w:val="3F7A0D4C"/>
    <w:rsid w:val="3F963AEE"/>
    <w:rsid w:val="3FD91A12"/>
    <w:rsid w:val="402A12EA"/>
    <w:rsid w:val="4076066E"/>
    <w:rsid w:val="40EE11AC"/>
    <w:rsid w:val="41525477"/>
    <w:rsid w:val="416D333B"/>
    <w:rsid w:val="418A487E"/>
    <w:rsid w:val="41DD111E"/>
    <w:rsid w:val="4290560F"/>
    <w:rsid w:val="433211DB"/>
    <w:rsid w:val="43A54C6C"/>
    <w:rsid w:val="442246D3"/>
    <w:rsid w:val="44F10A5B"/>
    <w:rsid w:val="44F878CB"/>
    <w:rsid w:val="455E3176"/>
    <w:rsid w:val="45647E4C"/>
    <w:rsid w:val="45657254"/>
    <w:rsid w:val="45856C7B"/>
    <w:rsid w:val="459725EF"/>
    <w:rsid w:val="45F00BFA"/>
    <w:rsid w:val="465A1FDD"/>
    <w:rsid w:val="4697346D"/>
    <w:rsid w:val="46C04516"/>
    <w:rsid w:val="47881111"/>
    <w:rsid w:val="47A625E8"/>
    <w:rsid w:val="47B1784E"/>
    <w:rsid w:val="47C62E44"/>
    <w:rsid w:val="48270D4B"/>
    <w:rsid w:val="482A15BF"/>
    <w:rsid w:val="483C543F"/>
    <w:rsid w:val="48C63063"/>
    <w:rsid w:val="49343823"/>
    <w:rsid w:val="495601C8"/>
    <w:rsid w:val="498C56D9"/>
    <w:rsid w:val="49A32E41"/>
    <w:rsid w:val="49BD5166"/>
    <w:rsid w:val="4A8145AC"/>
    <w:rsid w:val="4B4C242B"/>
    <w:rsid w:val="4B510630"/>
    <w:rsid w:val="4B6B79CA"/>
    <w:rsid w:val="4BCC762F"/>
    <w:rsid w:val="4BE847A7"/>
    <w:rsid w:val="4BF8007D"/>
    <w:rsid w:val="4C140264"/>
    <w:rsid w:val="4C290849"/>
    <w:rsid w:val="4DAA689A"/>
    <w:rsid w:val="4DE518FD"/>
    <w:rsid w:val="4E046D67"/>
    <w:rsid w:val="4F136D19"/>
    <w:rsid w:val="4F41407F"/>
    <w:rsid w:val="4F686C4D"/>
    <w:rsid w:val="4FC022EC"/>
    <w:rsid w:val="4FE01DDB"/>
    <w:rsid w:val="502D3353"/>
    <w:rsid w:val="50662AA4"/>
    <w:rsid w:val="50A94CF8"/>
    <w:rsid w:val="50BC593C"/>
    <w:rsid w:val="50C0060E"/>
    <w:rsid w:val="50CE4DB1"/>
    <w:rsid w:val="50CF2730"/>
    <w:rsid w:val="50E6408C"/>
    <w:rsid w:val="50F546E3"/>
    <w:rsid w:val="512F2039"/>
    <w:rsid w:val="51434BF8"/>
    <w:rsid w:val="51B43DA5"/>
    <w:rsid w:val="51E15E4B"/>
    <w:rsid w:val="526E3B56"/>
    <w:rsid w:val="52A4017E"/>
    <w:rsid w:val="52F06EE4"/>
    <w:rsid w:val="52FE7645"/>
    <w:rsid w:val="5313275B"/>
    <w:rsid w:val="533E585B"/>
    <w:rsid w:val="5341496C"/>
    <w:rsid w:val="536502EF"/>
    <w:rsid w:val="537134F7"/>
    <w:rsid w:val="53A55C7D"/>
    <w:rsid w:val="54004237"/>
    <w:rsid w:val="541640CF"/>
    <w:rsid w:val="5434153E"/>
    <w:rsid w:val="5441402A"/>
    <w:rsid w:val="54E1632A"/>
    <w:rsid w:val="55471C58"/>
    <w:rsid w:val="563C68D2"/>
    <w:rsid w:val="56481F72"/>
    <w:rsid w:val="567D201D"/>
    <w:rsid w:val="56923E5A"/>
    <w:rsid w:val="56EF52B8"/>
    <w:rsid w:val="57A82103"/>
    <w:rsid w:val="580A1693"/>
    <w:rsid w:val="58284A0C"/>
    <w:rsid w:val="585F131E"/>
    <w:rsid w:val="58654A00"/>
    <w:rsid w:val="58D42611"/>
    <w:rsid w:val="59212661"/>
    <w:rsid w:val="593E59C1"/>
    <w:rsid w:val="59D03F45"/>
    <w:rsid w:val="59D364E4"/>
    <w:rsid w:val="5A2D3CF5"/>
    <w:rsid w:val="5AF56F55"/>
    <w:rsid w:val="5B2A4A11"/>
    <w:rsid w:val="5B9B5D70"/>
    <w:rsid w:val="5C4E219A"/>
    <w:rsid w:val="5C7E67F8"/>
    <w:rsid w:val="5CC42E8B"/>
    <w:rsid w:val="5CCD3599"/>
    <w:rsid w:val="5D033B52"/>
    <w:rsid w:val="5D9F5E74"/>
    <w:rsid w:val="5DF94AE0"/>
    <w:rsid w:val="5F546472"/>
    <w:rsid w:val="5F6F1648"/>
    <w:rsid w:val="5F867585"/>
    <w:rsid w:val="5F890299"/>
    <w:rsid w:val="5FF03AC9"/>
    <w:rsid w:val="600565A8"/>
    <w:rsid w:val="60663508"/>
    <w:rsid w:val="606E0643"/>
    <w:rsid w:val="60BE4FEC"/>
    <w:rsid w:val="60E26C55"/>
    <w:rsid w:val="612044DA"/>
    <w:rsid w:val="6139293A"/>
    <w:rsid w:val="61CA13D3"/>
    <w:rsid w:val="61CC6864"/>
    <w:rsid w:val="623F75F2"/>
    <w:rsid w:val="6272432A"/>
    <w:rsid w:val="62CA1DD3"/>
    <w:rsid w:val="630D0CA5"/>
    <w:rsid w:val="631D71AB"/>
    <w:rsid w:val="63327662"/>
    <w:rsid w:val="63500E98"/>
    <w:rsid w:val="6392140D"/>
    <w:rsid w:val="63BB7953"/>
    <w:rsid w:val="64085DD0"/>
    <w:rsid w:val="640F7A0B"/>
    <w:rsid w:val="64515B47"/>
    <w:rsid w:val="649E0B76"/>
    <w:rsid w:val="64AB34D7"/>
    <w:rsid w:val="64B85575"/>
    <w:rsid w:val="64C747C2"/>
    <w:rsid w:val="650E53FE"/>
    <w:rsid w:val="6512428A"/>
    <w:rsid w:val="654B73B4"/>
    <w:rsid w:val="655B26E8"/>
    <w:rsid w:val="65617613"/>
    <w:rsid w:val="666A12F7"/>
    <w:rsid w:val="66D26F87"/>
    <w:rsid w:val="672D1F6E"/>
    <w:rsid w:val="67386742"/>
    <w:rsid w:val="67A00FDE"/>
    <w:rsid w:val="67E660D5"/>
    <w:rsid w:val="68083FC1"/>
    <w:rsid w:val="689D18BB"/>
    <w:rsid w:val="69421930"/>
    <w:rsid w:val="699659D3"/>
    <w:rsid w:val="69CE2026"/>
    <w:rsid w:val="6AA079A3"/>
    <w:rsid w:val="6AF50395"/>
    <w:rsid w:val="6B0660A9"/>
    <w:rsid w:val="6B1110D8"/>
    <w:rsid w:val="6B3F39FB"/>
    <w:rsid w:val="6C526AED"/>
    <w:rsid w:val="6CC5652F"/>
    <w:rsid w:val="6CDE7E13"/>
    <w:rsid w:val="6D026235"/>
    <w:rsid w:val="6D0A2704"/>
    <w:rsid w:val="6D1C7EA5"/>
    <w:rsid w:val="6DD24284"/>
    <w:rsid w:val="6DD46164"/>
    <w:rsid w:val="6DDB2EBA"/>
    <w:rsid w:val="6E48447E"/>
    <w:rsid w:val="6EA46047"/>
    <w:rsid w:val="6EC4788F"/>
    <w:rsid w:val="6F2D3087"/>
    <w:rsid w:val="6F9B4BD4"/>
    <w:rsid w:val="6FB87F99"/>
    <w:rsid w:val="6FDB58E6"/>
    <w:rsid w:val="7048651B"/>
    <w:rsid w:val="707C47C8"/>
    <w:rsid w:val="70A65013"/>
    <w:rsid w:val="70D948F4"/>
    <w:rsid w:val="70EC2C24"/>
    <w:rsid w:val="717B0F8B"/>
    <w:rsid w:val="719B32C3"/>
    <w:rsid w:val="71B42AA5"/>
    <w:rsid w:val="71CB12A7"/>
    <w:rsid w:val="720B2D9A"/>
    <w:rsid w:val="721B3CE6"/>
    <w:rsid w:val="72B62614"/>
    <w:rsid w:val="72BE447D"/>
    <w:rsid w:val="73111A61"/>
    <w:rsid w:val="7328342E"/>
    <w:rsid w:val="734A128E"/>
    <w:rsid w:val="73850510"/>
    <w:rsid w:val="74221841"/>
    <w:rsid w:val="75A900D4"/>
    <w:rsid w:val="75AA2E4F"/>
    <w:rsid w:val="75C43C8B"/>
    <w:rsid w:val="75CA0357"/>
    <w:rsid w:val="75CC35C8"/>
    <w:rsid w:val="75F87F31"/>
    <w:rsid w:val="768F4CC2"/>
    <w:rsid w:val="76903282"/>
    <w:rsid w:val="778464A1"/>
    <w:rsid w:val="77924E5F"/>
    <w:rsid w:val="77A02DF3"/>
    <w:rsid w:val="77C6382D"/>
    <w:rsid w:val="77CD5D4D"/>
    <w:rsid w:val="78015178"/>
    <w:rsid w:val="78474CDC"/>
    <w:rsid w:val="78921A0F"/>
    <w:rsid w:val="78B107F9"/>
    <w:rsid w:val="7A1104E6"/>
    <w:rsid w:val="7A5C1D4F"/>
    <w:rsid w:val="7A6A36BC"/>
    <w:rsid w:val="7A973A64"/>
    <w:rsid w:val="7AEF4401"/>
    <w:rsid w:val="7B1F5636"/>
    <w:rsid w:val="7B5D7E6C"/>
    <w:rsid w:val="7B94311B"/>
    <w:rsid w:val="7BC0636E"/>
    <w:rsid w:val="7BDD23F7"/>
    <w:rsid w:val="7BF7225F"/>
    <w:rsid w:val="7C2A201D"/>
    <w:rsid w:val="7C405911"/>
    <w:rsid w:val="7D3E1404"/>
    <w:rsid w:val="7D402FAA"/>
    <w:rsid w:val="7D5E7FBE"/>
    <w:rsid w:val="7D614DB1"/>
    <w:rsid w:val="7DBB3566"/>
    <w:rsid w:val="7DC10D83"/>
    <w:rsid w:val="7DFB22FB"/>
    <w:rsid w:val="7E327D58"/>
    <w:rsid w:val="7E4D104E"/>
    <w:rsid w:val="7E6A20B4"/>
    <w:rsid w:val="7E951535"/>
    <w:rsid w:val="7ED914D2"/>
    <w:rsid w:val="7F007037"/>
    <w:rsid w:val="7F1C2831"/>
    <w:rsid w:val="7F5A4E4D"/>
    <w:rsid w:val="7FE12A5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0"/>
    <w:qFormat/>
    <w:uiPriority w:val="9"/>
    <w:pPr>
      <w:keepNext/>
      <w:keepLines/>
      <w:widowControl/>
      <w:adjustRightInd w:val="0"/>
      <w:snapToGrid w:val="0"/>
      <w:spacing w:before="100" w:beforeLines="100" w:after="100" w:afterLines="100"/>
      <w:ind w:firstLine="0" w:firstLineChars="0"/>
      <w:jc w:val="left"/>
      <w:outlineLvl w:val="0"/>
    </w:pPr>
    <w:rPr>
      <w:rFonts w:eastAsia="黑体"/>
      <w:bCs/>
      <w:kern w:val="44"/>
      <w:szCs w:val="44"/>
      <w:lang w:val="zh-CN"/>
    </w:rPr>
  </w:style>
  <w:style w:type="paragraph" w:styleId="3">
    <w:name w:val="heading 2"/>
    <w:basedOn w:val="1"/>
    <w:next w:val="1"/>
    <w:link w:val="52"/>
    <w:qFormat/>
    <w:uiPriority w:val="9"/>
    <w:pPr>
      <w:keepNext/>
      <w:keepLines/>
      <w:widowControl/>
      <w:adjustRightInd w:val="0"/>
      <w:snapToGrid w:val="0"/>
      <w:spacing w:before="50" w:beforeLines="50" w:after="50" w:afterLines="50"/>
      <w:ind w:firstLine="0" w:firstLineChars="0"/>
      <w:jc w:val="left"/>
      <w:outlineLvl w:val="1"/>
    </w:pPr>
    <w:rPr>
      <w:rFonts w:eastAsia="黑体"/>
      <w:bCs/>
      <w:kern w:val="0"/>
      <w:szCs w:val="32"/>
      <w:lang w:val="zh-CN"/>
    </w:rPr>
  </w:style>
  <w:style w:type="paragraph" w:styleId="4">
    <w:name w:val="heading 3"/>
    <w:basedOn w:val="1"/>
    <w:next w:val="1"/>
    <w:link w:val="48"/>
    <w:qFormat/>
    <w:uiPriority w:val="9"/>
    <w:pPr>
      <w:keepNext/>
      <w:keepLines/>
      <w:widowControl/>
      <w:adjustRightInd w:val="0"/>
      <w:snapToGrid w:val="0"/>
      <w:spacing w:before="50" w:beforeLines="50" w:after="50" w:afterLines="50" w:line="240" w:lineRule="exact"/>
      <w:ind w:firstLine="0" w:firstLineChars="0"/>
      <w:jc w:val="left"/>
      <w:outlineLvl w:val="2"/>
    </w:pPr>
    <w:rPr>
      <w:rFonts w:eastAsia="黑体"/>
      <w:kern w:val="0"/>
      <w:szCs w:val="22"/>
      <w:lang w:val="zh-CN"/>
    </w:rPr>
  </w:style>
  <w:style w:type="paragraph" w:styleId="5">
    <w:name w:val="heading 4"/>
    <w:basedOn w:val="1"/>
    <w:next w:val="1"/>
    <w:link w:val="55"/>
    <w:qFormat/>
    <w:uiPriority w:val="9"/>
    <w:pPr>
      <w:keepNext/>
      <w:keepLines/>
      <w:widowControl/>
      <w:adjustRightInd w:val="0"/>
      <w:snapToGrid w:val="0"/>
      <w:spacing w:before="280" w:after="290" w:line="376" w:lineRule="auto"/>
      <w:jc w:val="left"/>
      <w:outlineLvl w:val="3"/>
    </w:pPr>
    <w:rPr>
      <w:rFonts w:ascii="等线 Light" w:hAnsi="等线 Light" w:eastAsia="等线 Light"/>
      <w:b/>
      <w:bCs/>
      <w:kern w:val="0"/>
      <w:sz w:val="28"/>
      <w:szCs w:val="28"/>
      <w:lang w:val="zh-CN"/>
    </w:rPr>
  </w:style>
  <w:style w:type="paragraph" w:styleId="6">
    <w:name w:val="heading 5"/>
    <w:basedOn w:val="1"/>
    <w:next w:val="1"/>
    <w:link w:val="41"/>
    <w:qFormat/>
    <w:uiPriority w:val="9"/>
    <w:pPr>
      <w:keepNext/>
      <w:keepLines/>
      <w:widowControl/>
      <w:adjustRightInd w:val="0"/>
      <w:snapToGrid w:val="0"/>
      <w:spacing w:before="280" w:after="290" w:line="376" w:lineRule="auto"/>
      <w:jc w:val="left"/>
      <w:outlineLvl w:val="4"/>
    </w:pPr>
    <w:rPr>
      <w:rFonts w:ascii="Tahoma" w:hAnsi="Tahoma"/>
      <w:b/>
      <w:bCs/>
      <w:kern w:val="0"/>
      <w:sz w:val="28"/>
      <w:szCs w:val="28"/>
      <w:lang w:val="zh-CN"/>
    </w:rPr>
  </w:style>
  <w:style w:type="character" w:default="1" w:styleId="17">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40"/>
    <w:unhideWhenUsed/>
    <w:qFormat/>
    <w:uiPriority w:val="99"/>
    <w:rPr>
      <w:b/>
      <w:bCs/>
    </w:rPr>
  </w:style>
  <w:style w:type="paragraph" w:styleId="8">
    <w:name w:val="annotation text"/>
    <w:basedOn w:val="1"/>
    <w:link w:val="43"/>
    <w:unhideWhenUsed/>
    <w:qFormat/>
    <w:uiPriority w:val="99"/>
    <w:pPr>
      <w:widowControl/>
      <w:adjustRightInd w:val="0"/>
      <w:snapToGrid w:val="0"/>
      <w:spacing w:after="200"/>
      <w:jc w:val="left"/>
    </w:pPr>
    <w:rPr>
      <w:rFonts w:ascii="Tahoma" w:hAnsi="Tahoma"/>
      <w:kern w:val="0"/>
      <w:sz w:val="22"/>
      <w:szCs w:val="22"/>
    </w:rPr>
  </w:style>
  <w:style w:type="paragraph" w:styleId="9">
    <w:name w:val="Document Map"/>
    <w:basedOn w:val="1"/>
    <w:link w:val="39"/>
    <w:qFormat/>
    <w:uiPriority w:val="99"/>
    <w:pPr>
      <w:shd w:val="clear" w:color="auto" w:fill="000080"/>
    </w:pPr>
  </w:style>
  <w:style w:type="paragraph" w:styleId="10">
    <w:name w:val="Plain Text"/>
    <w:basedOn w:val="1"/>
    <w:link w:val="54"/>
    <w:qFormat/>
    <w:uiPriority w:val="0"/>
    <w:rPr>
      <w:rFonts w:ascii="宋体" w:hAnsi="Courier New" w:cs="Courier New"/>
      <w:szCs w:val="21"/>
    </w:rPr>
  </w:style>
  <w:style w:type="paragraph" w:styleId="11">
    <w:name w:val="Date"/>
    <w:basedOn w:val="1"/>
    <w:next w:val="1"/>
    <w:link w:val="51"/>
    <w:unhideWhenUsed/>
    <w:qFormat/>
    <w:uiPriority w:val="99"/>
    <w:pPr>
      <w:widowControl/>
      <w:adjustRightInd w:val="0"/>
      <w:snapToGrid w:val="0"/>
      <w:spacing w:after="200"/>
      <w:ind w:left="100" w:leftChars="2500"/>
      <w:jc w:val="left"/>
    </w:pPr>
    <w:rPr>
      <w:rFonts w:ascii="Tahoma" w:hAnsi="Tahoma"/>
      <w:kern w:val="0"/>
      <w:sz w:val="22"/>
      <w:szCs w:val="22"/>
    </w:rPr>
  </w:style>
  <w:style w:type="paragraph" w:styleId="12">
    <w:name w:val="Balloon Text"/>
    <w:basedOn w:val="1"/>
    <w:link w:val="42"/>
    <w:unhideWhenUsed/>
    <w:qFormat/>
    <w:uiPriority w:val="99"/>
    <w:pPr>
      <w:widowControl/>
      <w:adjustRightInd w:val="0"/>
      <w:snapToGrid w:val="0"/>
      <w:jc w:val="left"/>
    </w:pPr>
    <w:rPr>
      <w:rFonts w:ascii="Tahoma" w:hAnsi="Tahoma"/>
      <w:kern w:val="0"/>
      <w:sz w:val="18"/>
      <w:szCs w:val="18"/>
    </w:rPr>
  </w:style>
  <w:style w:type="paragraph" w:styleId="13">
    <w:name w:val="footer"/>
    <w:basedOn w:val="1"/>
    <w:link w:val="53"/>
    <w:qFormat/>
    <w:uiPriority w:val="99"/>
    <w:pPr>
      <w:tabs>
        <w:tab w:val="center" w:pos="4153"/>
        <w:tab w:val="right" w:pos="8306"/>
      </w:tabs>
      <w:snapToGrid w:val="0"/>
      <w:jc w:val="left"/>
    </w:pPr>
    <w:rPr>
      <w:sz w:val="18"/>
    </w:rPr>
  </w:style>
  <w:style w:type="paragraph" w:styleId="14">
    <w:name w:val="header"/>
    <w:basedOn w:val="1"/>
    <w:link w:val="5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8">
    <w:name w:val="Strong"/>
    <w:qFormat/>
    <w:uiPriority w:val="22"/>
    <w:rPr>
      <w:b/>
      <w:bCs/>
    </w:rPr>
  </w:style>
  <w:style w:type="character" w:styleId="19">
    <w:name w:val="Hyperlink"/>
    <w:basedOn w:val="17"/>
    <w:qFormat/>
    <w:uiPriority w:val="99"/>
    <w:rPr>
      <w:color w:val="0000FF"/>
      <w:spacing w:val="0"/>
      <w:w w:val="100"/>
      <w:szCs w:val="21"/>
      <w:u w:val="single"/>
    </w:rPr>
  </w:style>
  <w:style w:type="character" w:styleId="20">
    <w:name w:val="annotation reference"/>
    <w:unhideWhenUsed/>
    <w:qFormat/>
    <w:uiPriority w:val="99"/>
    <w:rPr>
      <w:sz w:val="21"/>
      <w:szCs w:val="21"/>
    </w:rPr>
  </w:style>
  <w:style w:type="table" w:styleId="22">
    <w:name w:val="Table Grid"/>
    <w:basedOn w:val="2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3">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4">
    <w:name w:val="段"/>
    <w:link w:val="29"/>
    <w:qFormat/>
    <w:uiPriority w:val="99"/>
    <w:pPr>
      <w:tabs>
        <w:tab w:val="center" w:pos="4201"/>
        <w:tab w:val="right" w:leader="dot" w:pos="9298"/>
      </w:tabs>
      <w:autoSpaceDE w:val="0"/>
      <w:autoSpaceDN w:val="0"/>
      <w:ind w:firstLine="420" w:firstLineChars="200"/>
      <w:jc w:val="both"/>
    </w:pPr>
    <w:rPr>
      <w:rFonts w:ascii="Times New Roman" w:hAnsi="Times New Roman" w:eastAsia="宋体" w:cs="Times New Roman"/>
      <w:sz w:val="21"/>
      <w:lang w:val="en-US" w:eastAsia="zh-CN" w:bidi="ar-SA"/>
    </w:rPr>
  </w:style>
  <w:style w:type="paragraph" w:customStyle="1" w:styleId="25">
    <w:name w:val="章标题"/>
    <w:next w:val="24"/>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
    <w:name w:val="一级无"/>
    <w:basedOn w:val="27"/>
    <w:qFormat/>
    <w:uiPriority w:val="0"/>
    <w:pPr>
      <w:spacing w:before="0" w:beforeLines="0" w:after="0" w:afterLines="0"/>
    </w:pPr>
    <w:rPr>
      <w:rFonts w:ascii="宋体" w:eastAsia="宋体"/>
    </w:rPr>
  </w:style>
  <w:style w:type="paragraph" w:customStyle="1" w:styleId="27">
    <w:name w:val="一级条标题"/>
    <w:next w:val="24"/>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8">
    <w:name w:val="二级条标题"/>
    <w:basedOn w:val="27"/>
    <w:next w:val="24"/>
    <w:qFormat/>
    <w:uiPriority w:val="0"/>
    <w:pPr>
      <w:numPr>
        <w:ilvl w:val="2"/>
      </w:numPr>
      <w:spacing w:before="50" w:after="50"/>
      <w:outlineLvl w:val="3"/>
    </w:pPr>
  </w:style>
  <w:style w:type="character" w:customStyle="1" w:styleId="29">
    <w:name w:val="段 Char"/>
    <w:link w:val="24"/>
    <w:qFormat/>
    <w:uiPriority w:val="99"/>
    <w:rPr>
      <w:sz w:val="21"/>
    </w:rPr>
  </w:style>
  <w:style w:type="paragraph" w:customStyle="1" w:styleId="30">
    <w:name w:val="附录标识"/>
    <w:basedOn w:val="1"/>
    <w:next w:val="24"/>
    <w:qFormat/>
    <w:uiPriority w:val="0"/>
    <w:pPr>
      <w:keepNext/>
      <w:widowControl/>
      <w:shd w:val="clear" w:color="FFFFFF" w:fill="FFFFFF"/>
      <w:tabs>
        <w:tab w:val="left" w:pos="6405"/>
      </w:tabs>
      <w:spacing w:before="640" w:after="280"/>
      <w:jc w:val="center"/>
      <w:outlineLvl w:val="0"/>
    </w:pPr>
    <w:rPr>
      <w:rFonts w:ascii="黑体" w:eastAsia="黑体"/>
      <w:kern w:val="0"/>
      <w:szCs w:val="20"/>
    </w:rPr>
  </w:style>
  <w:style w:type="character" w:customStyle="1" w:styleId="31">
    <w:name w:val="标题 1 字符"/>
    <w:basedOn w:val="17"/>
    <w:qFormat/>
    <w:uiPriority w:val="0"/>
    <w:rPr>
      <w:b/>
      <w:bCs/>
      <w:kern w:val="44"/>
      <w:sz w:val="44"/>
      <w:szCs w:val="44"/>
    </w:rPr>
  </w:style>
  <w:style w:type="character" w:customStyle="1" w:styleId="32">
    <w:name w:val="标题 2 字符"/>
    <w:basedOn w:val="17"/>
    <w:semiHidden/>
    <w:qFormat/>
    <w:uiPriority w:val="0"/>
    <w:rPr>
      <w:rFonts w:asciiTheme="majorHAnsi" w:hAnsiTheme="majorHAnsi" w:eastAsiaTheme="majorEastAsia" w:cstheme="majorBidi"/>
      <w:b/>
      <w:bCs/>
      <w:kern w:val="2"/>
      <w:sz w:val="32"/>
      <w:szCs w:val="32"/>
    </w:rPr>
  </w:style>
  <w:style w:type="character" w:customStyle="1" w:styleId="33">
    <w:name w:val="标题 3 字符"/>
    <w:basedOn w:val="17"/>
    <w:semiHidden/>
    <w:qFormat/>
    <w:uiPriority w:val="0"/>
    <w:rPr>
      <w:b/>
      <w:bCs/>
      <w:kern w:val="2"/>
      <w:sz w:val="32"/>
      <w:szCs w:val="32"/>
    </w:rPr>
  </w:style>
  <w:style w:type="character" w:customStyle="1" w:styleId="34">
    <w:name w:val="标题 4 字符"/>
    <w:basedOn w:val="17"/>
    <w:semiHidden/>
    <w:qFormat/>
    <w:uiPriority w:val="0"/>
    <w:rPr>
      <w:rFonts w:asciiTheme="majorHAnsi" w:hAnsiTheme="majorHAnsi" w:eastAsiaTheme="majorEastAsia" w:cstheme="majorBidi"/>
      <w:b/>
      <w:bCs/>
      <w:kern w:val="2"/>
      <w:sz w:val="28"/>
      <w:szCs w:val="28"/>
    </w:rPr>
  </w:style>
  <w:style w:type="character" w:customStyle="1" w:styleId="35">
    <w:name w:val="标题 5 字符"/>
    <w:basedOn w:val="17"/>
    <w:semiHidden/>
    <w:qFormat/>
    <w:uiPriority w:val="0"/>
    <w:rPr>
      <w:b/>
      <w:bCs/>
      <w:kern w:val="2"/>
      <w:sz w:val="28"/>
      <w:szCs w:val="28"/>
    </w:rPr>
  </w:style>
  <w:style w:type="character" w:customStyle="1" w:styleId="36">
    <w:name w:val="font21"/>
    <w:basedOn w:val="17"/>
    <w:qFormat/>
    <w:uiPriority w:val="0"/>
    <w:rPr>
      <w:rFonts w:hint="eastAsia" w:ascii="宋体" w:hAnsi="宋体" w:eastAsia="宋体" w:cs="宋体"/>
      <w:b/>
      <w:color w:val="000000"/>
      <w:sz w:val="24"/>
      <w:szCs w:val="24"/>
      <w:u w:val="none"/>
    </w:rPr>
  </w:style>
  <w:style w:type="character" w:customStyle="1" w:styleId="37">
    <w:name w:val="页脚 Char"/>
    <w:qFormat/>
    <w:uiPriority w:val="99"/>
    <w:rPr>
      <w:rFonts w:ascii="Tahoma" w:hAnsi="Tahoma"/>
      <w:sz w:val="18"/>
      <w:szCs w:val="18"/>
    </w:rPr>
  </w:style>
  <w:style w:type="character" w:customStyle="1" w:styleId="38">
    <w:name w:val="未处理的提及1"/>
    <w:unhideWhenUsed/>
    <w:qFormat/>
    <w:uiPriority w:val="99"/>
    <w:rPr>
      <w:color w:val="605E5C"/>
      <w:shd w:val="clear" w:color="auto" w:fill="E1DFDD"/>
    </w:rPr>
  </w:style>
  <w:style w:type="character" w:customStyle="1" w:styleId="39">
    <w:name w:val="文档结构图 字符"/>
    <w:link w:val="9"/>
    <w:qFormat/>
    <w:uiPriority w:val="99"/>
    <w:rPr>
      <w:kern w:val="2"/>
      <w:sz w:val="21"/>
      <w:szCs w:val="24"/>
      <w:shd w:val="clear" w:color="auto" w:fill="000080"/>
    </w:rPr>
  </w:style>
  <w:style w:type="character" w:customStyle="1" w:styleId="40">
    <w:name w:val="批注主题 字符1"/>
    <w:link w:val="7"/>
    <w:qFormat/>
    <w:uiPriority w:val="99"/>
    <w:rPr>
      <w:rFonts w:ascii="Tahoma" w:hAnsi="Tahoma"/>
      <w:b/>
      <w:bCs/>
      <w:sz w:val="22"/>
      <w:szCs w:val="22"/>
    </w:rPr>
  </w:style>
  <w:style w:type="character" w:customStyle="1" w:styleId="41">
    <w:name w:val="标题 5 字符1"/>
    <w:link w:val="6"/>
    <w:qFormat/>
    <w:uiPriority w:val="9"/>
    <w:rPr>
      <w:rFonts w:ascii="Tahoma" w:hAnsi="Tahoma"/>
      <w:b/>
      <w:bCs/>
      <w:sz w:val="28"/>
      <w:szCs w:val="28"/>
      <w:lang w:val="zh-CN" w:eastAsia="zh-CN"/>
    </w:rPr>
  </w:style>
  <w:style w:type="character" w:customStyle="1" w:styleId="42">
    <w:name w:val="批注框文本 字符1"/>
    <w:link w:val="12"/>
    <w:qFormat/>
    <w:uiPriority w:val="99"/>
    <w:rPr>
      <w:rFonts w:ascii="Tahoma" w:hAnsi="Tahoma"/>
      <w:sz w:val="18"/>
      <w:szCs w:val="18"/>
    </w:rPr>
  </w:style>
  <w:style w:type="character" w:customStyle="1" w:styleId="43">
    <w:name w:val="批注文字 字符1"/>
    <w:link w:val="8"/>
    <w:qFormat/>
    <w:uiPriority w:val="99"/>
    <w:rPr>
      <w:rFonts w:ascii="Tahoma" w:hAnsi="Tahoma"/>
      <w:sz w:val="22"/>
      <w:szCs w:val="22"/>
    </w:rPr>
  </w:style>
  <w:style w:type="character" w:customStyle="1" w:styleId="44">
    <w:name w:val="t.表图.标题.单位： Char"/>
    <w:basedOn w:val="45"/>
    <w:link w:val="47"/>
    <w:qFormat/>
    <w:locked/>
    <w:uiPriority w:val="0"/>
    <w:rPr>
      <w:kern w:val="2"/>
      <w:sz w:val="21"/>
      <w:szCs w:val="21"/>
    </w:rPr>
  </w:style>
  <w:style w:type="character" w:customStyle="1" w:styleId="45">
    <w:name w:val="t.表图.标题 Char"/>
    <w:link w:val="46"/>
    <w:qFormat/>
    <w:locked/>
    <w:uiPriority w:val="0"/>
    <w:rPr>
      <w:kern w:val="2"/>
      <w:sz w:val="21"/>
      <w:szCs w:val="21"/>
    </w:rPr>
  </w:style>
  <w:style w:type="paragraph" w:customStyle="1" w:styleId="46">
    <w:name w:val="t.表图.标题"/>
    <w:basedOn w:val="1"/>
    <w:link w:val="45"/>
    <w:qFormat/>
    <w:uiPriority w:val="0"/>
    <w:pPr>
      <w:autoSpaceDE w:val="0"/>
      <w:autoSpaceDN w:val="0"/>
      <w:adjustRightInd w:val="0"/>
      <w:jc w:val="center"/>
      <w:outlineLvl w:val="5"/>
    </w:pPr>
    <w:rPr>
      <w:szCs w:val="21"/>
    </w:rPr>
  </w:style>
  <w:style w:type="paragraph" w:customStyle="1" w:styleId="47">
    <w:name w:val="t.表图.标题.单位："/>
    <w:basedOn w:val="46"/>
    <w:link w:val="44"/>
    <w:qFormat/>
    <w:uiPriority w:val="0"/>
    <w:pPr>
      <w:outlineLvl w:val="9"/>
    </w:pPr>
  </w:style>
  <w:style w:type="character" w:customStyle="1" w:styleId="48">
    <w:name w:val="标题 3 字符1"/>
    <w:link w:val="4"/>
    <w:qFormat/>
    <w:uiPriority w:val="9"/>
    <w:rPr>
      <w:rFonts w:eastAsia="黑体"/>
      <w:sz w:val="21"/>
      <w:szCs w:val="22"/>
      <w:lang w:val="zh-CN"/>
    </w:rPr>
  </w:style>
  <w:style w:type="character" w:customStyle="1" w:styleId="49">
    <w:name w:val="纯文本 Char"/>
    <w:semiHidden/>
    <w:qFormat/>
    <w:uiPriority w:val="99"/>
    <w:rPr>
      <w:rFonts w:ascii="宋体" w:hAnsi="Courier New" w:eastAsia="宋体" w:cs="Courier New"/>
      <w:sz w:val="21"/>
      <w:szCs w:val="21"/>
    </w:rPr>
  </w:style>
  <w:style w:type="character" w:customStyle="1" w:styleId="50">
    <w:name w:val="标题 1 字符1"/>
    <w:link w:val="2"/>
    <w:qFormat/>
    <w:uiPriority w:val="9"/>
    <w:rPr>
      <w:rFonts w:eastAsia="黑体"/>
      <w:bCs/>
      <w:kern w:val="44"/>
      <w:sz w:val="21"/>
      <w:szCs w:val="44"/>
      <w:lang w:val="zh-CN"/>
    </w:rPr>
  </w:style>
  <w:style w:type="character" w:customStyle="1" w:styleId="51">
    <w:name w:val="日期 字符1"/>
    <w:link w:val="11"/>
    <w:qFormat/>
    <w:uiPriority w:val="99"/>
    <w:rPr>
      <w:rFonts w:ascii="Tahoma" w:hAnsi="Tahoma"/>
      <w:sz w:val="22"/>
      <w:szCs w:val="22"/>
    </w:rPr>
  </w:style>
  <w:style w:type="character" w:customStyle="1" w:styleId="52">
    <w:name w:val="标题 2 字符1"/>
    <w:link w:val="3"/>
    <w:qFormat/>
    <w:uiPriority w:val="9"/>
    <w:rPr>
      <w:rFonts w:eastAsia="黑体"/>
      <w:bCs/>
      <w:sz w:val="21"/>
      <w:szCs w:val="32"/>
      <w:lang w:val="zh-CN"/>
    </w:rPr>
  </w:style>
  <w:style w:type="character" w:customStyle="1" w:styleId="53">
    <w:name w:val="页脚 字符"/>
    <w:link w:val="13"/>
    <w:qFormat/>
    <w:uiPriority w:val="99"/>
    <w:rPr>
      <w:kern w:val="2"/>
      <w:sz w:val="18"/>
      <w:szCs w:val="24"/>
    </w:rPr>
  </w:style>
  <w:style w:type="character" w:customStyle="1" w:styleId="54">
    <w:name w:val="纯文本 字符"/>
    <w:link w:val="10"/>
    <w:qFormat/>
    <w:uiPriority w:val="0"/>
    <w:rPr>
      <w:rFonts w:ascii="宋体" w:hAnsi="Courier New" w:cs="Courier New"/>
      <w:kern w:val="2"/>
      <w:sz w:val="21"/>
      <w:szCs w:val="21"/>
    </w:rPr>
  </w:style>
  <w:style w:type="character" w:customStyle="1" w:styleId="55">
    <w:name w:val="标题 4 字符1"/>
    <w:link w:val="5"/>
    <w:qFormat/>
    <w:uiPriority w:val="9"/>
    <w:rPr>
      <w:rFonts w:ascii="等线 Light" w:hAnsi="等线 Light" w:eastAsia="等线 Light"/>
      <w:b/>
      <w:bCs/>
      <w:sz w:val="28"/>
      <w:szCs w:val="28"/>
      <w:lang w:val="zh-CN" w:eastAsia="zh-CN"/>
    </w:rPr>
  </w:style>
  <w:style w:type="character" w:customStyle="1" w:styleId="56">
    <w:name w:val="页眉 字符"/>
    <w:link w:val="14"/>
    <w:qFormat/>
    <w:uiPriority w:val="99"/>
    <w:rPr>
      <w:kern w:val="2"/>
      <w:sz w:val="18"/>
      <w:szCs w:val="24"/>
    </w:rPr>
  </w:style>
  <w:style w:type="paragraph" w:customStyle="1" w:styleId="57">
    <w:name w:val="_Style 48"/>
    <w:basedOn w:val="1"/>
    <w:next w:val="58"/>
    <w:qFormat/>
    <w:uiPriority w:val="99"/>
    <w:pPr>
      <w:widowControl/>
      <w:adjustRightInd w:val="0"/>
      <w:snapToGrid w:val="0"/>
      <w:spacing w:after="200"/>
      <w:ind w:firstLine="420"/>
      <w:jc w:val="left"/>
    </w:pPr>
    <w:rPr>
      <w:rFonts w:ascii="Tahoma" w:hAnsi="Tahoma"/>
      <w:kern w:val="0"/>
      <w:sz w:val="22"/>
      <w:szCs w:val="22"/>
    </w:rPr>
  </w:style>
  <w:style w:type="paragraph" w:customStyle="1" w:styleId="58">
    <w:name w:val="列表段落1"/>
    <w:basedOn w:val="1"/>
    <w:qFormat/>
    <w:uiPriority w:val="99"/>
    <w:pPr>
      <w:ind w:firstLine="420"/>
    </w:pPr>
  </w:style>
  <w:style w:type="character" w:customStyle="1" w:styleId="59">
    <w:name w:val="批注文字 字符"/>
    <w:basedOn w:val="17"/>
    <w:qFormat/>
    <w:uiPriority w:val="0"/>
    <w:rPr>
      <w:kern w:val="2"/>
      <w:sz w:val="21"/>
      <w:szCs w:val="24"/>
    </w:rPr>
  </w:style>
  <w:style w:type="character" w:customStyle="1" w:styleId="60">
    <w:name w:val="批注主题 字符"/>
    <w:basedOn w:val="59"/>
    <w:qFormat/>
    <w:uiPriority w:val="0"/>
    <w:rPr>
      <w:b/>
      <w:bCs/>
      <w:kern w:val="2"/>
      <w:sz w:val="21"/>
      <w:szCs w:val="24"/>
    </w:rPr>
  </w:style>
  <w:style w:type="character" w:customStyle="1" w:styleId="61">
    <w:name w:val="日期 字符"/>
    <w:basedOn w:val="17"/>
    <w:qFormat/>
    <w:uiPriority w:val="0"/>
    <w:rPr>
      <w:kern w:val="2"/>
      <w:sz w:val="21"/>
      <w:szCs w:val="24"/>
    </w:rPr>
  </w:style>
  <w:style w:type="character" w:customStyle="1" w:styleId="62">
    <w:name w:val="批注框文本 字符"/>
    <w:basedOn w:val="17"/>
    <w:qFormat/>
    <w:uiPriority w:val="0"/>
    <w:rPr>
      <w:kern w:val="2"/>
      <w:sz w:val="18"/>
      <w:szCs w:val="18"/>
    </w:rPr>
  </w:style>
  <w:style w:type="paragraph" w:customStyle="1" w:styleId="63">
    <w:name w:val="样式2"/>
    <w:basedOn w:val="1"/>
    <w:qFormat/>
    <w:uiPriority w:val="0"/>
    <w:pPr>
      <w:spacing w:line="440" w:lineRule="exact"/>
      <w:jc w:val="left"/>
    </w:pPr>
    <w:rPr>
      <w:rFonts w:ascii="仿宋_GB2312" w:eastAsia="仿宋_GB2312"/>
      <w:bCs/>
      <w:kern w:val="0"/>
      <w:sz w:val="28"/>
      <w:szCs w:val="28"/>
    </w:rPr>
  </w:style>
  <w:style w:type="paragraph" w:customStyle="1" w:styleId="64">
    <w:name w:val="w.正文"/>
    <w:basedOn w:val="1"/>
    <w:qFormat/>
    <w:uiPriority w:val="0"/>
    <w:pPr>
      <w:spacing w:line="400" w:lineRule="atLeast"/>
      <w:ind w:firstLine="420"/>
    </w:pPr>
    <w:rPr>
      <w:color w:val="000000"/>
      <w:szCs w:val="20"/>
    </w:rPr>
  </w:style>
  <w:style w:type="paragraph" w:customStyle="1" w:styleId="65">
    <w:name w:val="__DFS Standard"/>
    <w:qFormat/>
    <w:uiPriority w:val="0"/>
    <w:pPr>
      <w:spacing w:line="300" w:lineRule="atLeast"/>
      <w:jc w:val="both"/>
    </w:pPr>
    <w:rPr>
      <w:rFonts w:ascii="Arial" w:hAnsi="Arial" w:eastAsia="Times New Roman" w:cs="Times New Roman"/>
      <w:sz w:val="22"/>
      <w:lang w:val="de-DE" w:eastAsia="de-DE" w:bidi="ar-SA"/>
    </w:rPr>
  </w:style>
  <w:style w:type="paragraph" w:customStyle="1" w:styleId="66">
    <w:name w:val="TOC 标题1"/>
    <w:basedOn w:val="2"/>
    <w:next w:val="1"/>
    <w:qFormat/>
    <w:uiPriority w:val="39"/>
    <w:pPr>
      <w:adjustRightInd/>
      <w:snapToGrid/>
      <w:spacing w:before="240" w:after="0" w:line="259" w:lineRule="auto"/>
      <w:outlineLvl w:val="9"/>
    </w:pPr>
    <w:rPr>
      <w:rFonts w:ascii="等线 Light" w:hAnsi="等线 Light" w:eastAsia="等线 Light"/>
      <w:b/>
      <w:bCs w:val="0"/>
      <w:color w:val="2F5496"/>
      <w:kern w:val="0"/>
      <w:szCs w:val="32"/>
    </w:rPr>
  </w:style>
  <w:style w:type="paragraph" w:customStyle="1" w:styleId="67">
    <w:name w:val="w_正文1"/>
    <w:basedOn w:val="1"/>
    <w:link w:val="68"/>
    <w:qFormat/>
    <w:uiPriority w:val="0"/>
    <w:pPr>
      <w:autoSpaceDE w:val="0"/>
      <w:autoSpaceDN w:val="0"/>
      <w:adjustRightInd w:val="0"/>
      <w:spacing w:line="472" w:lineRule="atLeast"/>
      <w:ind w:firstLine="480"/>
    </w:pPr>
    <w:rPr>
      <w:sz w:val="24"/>
    </w:rPr>
  </w:style>
  <w:style w:type="character" w:customStyle="1" w:styleId="68">
    <w:name w:val="w_正文1 Char"/>
    <w:basedOn w:val="17"/>
    <w:link w:val="67"/>
    <w:qFormat/>
    <w:uiPriority w:val="0"/>
    <w:rPr>
      <w:kern w:val="2"/>
      <w:sz w:val="24"/>
      <w:szCs w:val="24"/>
    </w:rPr>
  </w:style>
  <w:style w:type="character" w:customStyle="1" w:styleId="69">
    <w:name w:val="w.表副标题"/>
    <w:basedOn w:val="17"/>
    <w:qFormat/>
    <w:uiPriority w:val="0"/>
    <w:rPr>
      <w:sz w:val="21"/>
      <w:szCs w:val="21"/>
    </w:rPr>
  </w:style>
  <w:style w:type="paragraph" w:customStyle="1" w:styleId="70">
    <w:name w:val="w.图表标题"/>
    <w:basedOn w:val="1"/>
    <w:link w:val="71"/>
    <w:qFormat/>
    <w:uiPriority w:val="0"/>
    <w:pPr>
      <w:keepNext/>
      <w:spacing w:line="360" w:lineRule="auto"/>
      <w:jc w:val="center"/>
      <w:outlineLvl w:val="2"/>
    </w:pPr>
    <w:rPr>
      <w:rFonts w:eastAsia="黑体"/>
      <w:kern w:val="0"/>
      <w:sz w:val="24"/>
      <w:shd w:val="clear" w:color="auto" w:fill="FFFFFF"/>
    </w:rPr>
  </w:style>
  <w:style w:type="character" w:customStyle="1" w:styleId="71">
    <w:name w:val="w.图表标题 Char"/>
    <w:basedOn w:val="17"/>
    <w:link w:val="70"/>
    <w:qFormat/>
    <w:uiPriority w:val="0"/>
    <w:rPr>
      <w:rFonts w:eastAsia="黑体"/>
      <w:sz w:val="24"/>
      <w:szCs w:val="24"/>
    </w:rPr>
  </w:style>
  <w:style w:type="paragraph" w:customStyle="1" w:styleId="72">
    <w:name w:val="w.表.正文.居中.小五"/>
    <w:basedOn w:val="1"/>
    <w:qFormat/>
    <w:uiPriority w:val="0"/>
    <w:pPr>
      <w:autoSpaceDE w:val="0"/>
      <w:autoSpaceDN w:val="0"/>
      <w:adjustRightInd w:val="0"/>
      <w:snapToGrid w:val="0"/>
      <w:spacing w:line="240" w:lineRule="atLeast"/>
      <w:jc w:val="center"/>
    </w:pPr>
    <w:rPr>
      <w:sz w:val="18"/>
      <w:szCs w:val="18"/>
      <w:lang w:val="zh-CN"/>
    </w:rPr>
  </w:style>
  <w:style w:type="paragraph" w:customStyle="1" w:styleId="73">
    <w:name w:val="w.表.正文.两端对齐.小五"/>
    <w:basedOn w:val="1"/>
    <w:qFormat/>
    <w:uiPriority w:val="0"/>
    <w:pPr>
      <w:autoSpaceDE w:val="0"/>
      <w:autoSpaceDN w:val="0"/>
      <w:adjustRightInd w:val="0"/>
      <w:snapToGrid w:val="0"/>
      <w:spacing w:line="240" w:lineRule="atLeast"/>
    </w:pPr>
    <w:rPr>
      <w:sz w:val="18"/>
      <w:szCs w:val="18"/>
      <w:lang w:val="zh-CN"/>
    </w:rPr>
  </w:style>
  <w:style w:type="paragraph" w:customStyle="1" w:styleId="74">
    <w:name w:val="w.表.正文.右齐.小五"/>
    <w:basedOn w:val="1"/>
    <w:link w:val="75"/>
    <w:qFormat/>
    <w:uiPriority w:val="0"/>
    <w:pPr>
      <w:snapToGrid w:val="0"/>
      <w:spacing w:line="240" w:lineRule="atLeast"/>
      <w:jc w:val="right"/>
    </w:pPr>
    <w:rPr>
      <w:kern w:val="0"/>
      <w:sz w:val="18"/>
      <w:szCs w:val="18"/>
    </w:rPr>
  </w:style>
  <w:style w:type="character" w:customStyle="1" w:styleId="75">
    <w:name w:val="w.表.正文.右齐.小五 Char"/>
    <w:basedOn w:val="17"/>
    <w:link w:val="74"/>
    <w:qFormat/>
    <w:uiPriority w:val="0"/>
    <w:rPr>
      <w:sz w:val="18"/>
      <w:szCs w:val="18"/>
    </w:rPr>
  </w:style>
  <w:style w:type="paragraph" w:customStyle="1" w:styleId="76">
    <w:name w:val="列项——（一级）"/>
    <w:qFormat/>
    <w:uiPriority w:val="0"/>
    <w:pPr>
      <w:widowControl w:val="0"/>
      <w:jc w:val="both"/>
    </w:pPr>
    <w:rPr>
      <w:rFonts w:ascii="宋体" w:hAnsi="Times New Roman" w:eastAsia="宋体" w:cs="Times New Roman"/>
      <w:sz w:val="21"/>
      <w:lang w:val="en-US" w:eastAsia="zh-CN" w:bidi="ar-SA"/>
    </w:rPr>
  </w:style>
  <w:style w:type="paragraph" w:customStyle="1" w:styleId="77">
    <w:name w:val="附录章标题"/>
    <w:next w:val="24"/>
    <w:qFormat/>
    <w:uiPriority w:val="0"/>
    <w:pPr>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character" w:customStyle="1" w:styleId="78">
    <w:name w:val="font01"/>
    <w:basedOn w:val="17"/>
    <w:qFormat/>
    <w:uiPriority w:val="0"/>
    <w:rPr>
      <w:rFonts w:hint="default" w:ascii="Times New Roman" w:hAnsi="Times New Roman" w:cs="Times New Roman"/>
      <w:color w:val="FF0000"/>
      <w:sz w:val="18"/>
      <w:szCs w:val="18"/>
      <w:u w:val="none"/>
    </w:rPr>
  </w:style>
  <w:style w:type="character" w:customStyle="1" w:styleId="79">
    <w:name w:val="font41"/>
    <w:basedOn w:val="17"/>
    <w:qFormat/>
    <w:uiPriority w:val="0"/>
    <w:rPr>
      <w:rFonts w:hint="eastAsia" w:ascii="宋体" w:hAnsi="宋体" w:eastAsia="宋体"/>
      <w:color w:val="FF0000"/>
      <w:sz w:val="18"/>
      <w:szCs w:val="18"/>
      <w:u w:val="none"/>
    </w:rPr>
  </w:style>
  <w:style w:type="character" w:customStyle="1" w:styleId="80">
    <w:name w:val="font11"/>
    <w:basedOn w:val="17"/>
    <w:qFormat/>
    <w:uiPriority w:val="0"/>
    <w:rPr>
      <w:rFonts w:hint="default" w:ascii="Times New Roman" w:hAnsi="Times New Roman" w:cs="Times New Roman"/>
      <w:color w:val="000000"/>
      <w:sz w:val="18"/>
      <w:szCs w:val="18"/>
      <w:u w:val="none"/>
    </w:rPr>
  </w:style>
  <w:style w:type="paragraph" w:customStyle="1" w:styleId="81">
    <w:name w:val="WPSOffice手动目录 1"/>
    <w:qFormat/>
    <w:uiPriority w:val="0"/>
    <w:rPr>
      <w:rFonts w:ascii="Times New Roman" w:hAnsi="Times New Roman" w:eastAsia="宋体" w:cs="Times New Roman"/>
      <w:lang w:val="en-US" w:eastAsia="zh-CN" w:bidi="ar-SA"/>
    </w:rPr>
  </w:style>
  <w:style w:type="paragraph" w:customStyle="1" w:styleId="82">
    <w:name w:val="标准文件_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83">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 w:type="table" w:customStyle="1" w:styleId="84">
    <w:name w:val="Table Normal"/>
    <w:unhideWhenUsed/>
    <w:qFormat/>
    <w:uiPriority w:val="0"/>
    <w:tblPr>
      <w:tblLayout w:type="fixed"/>
      <w:tblCellMar>
        <w:top w:w="0" w:type="dxa"/>
        <w:left w:w="0" w:type="dxa"/>
        <w:bottom w:w="0" w:type="dxa"/>
        <w:right w:w="0" w:type="dxa"/>
      </w:tblCellMar>
    </w:tblPr>
  </w:style>
  <w:style w:type="paragraph" w:customStyle="1" w:styleId="85">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142F7A-041E-4CB8-99E2-253BAA848623}">
  <ds:schemaRefs/>
</ds:datastoreItem>
</file>

<file path=docProps/app.xml><?xml version="1.0" encoding="utf-8"?>
<Properties xmlns="http://schemas.openxmlformats.org/officeDocument/2006/extended-properties" xmlns:vt="http://schemas.openxmlformats.org/officeDocument/2006/docPropsVTypes">
  <Template>Normal</Template>
  <Pages>15</Pages>
  <Words>7282</Words>
  <Characters>8046</Characters>
  <Lines>68</Lines>
  <Paragraphs>19</Paragraphs>
  <TotalTime>0</TotalTime>
  <ScaleCrop>false</ScaleCrop>
  <LinksUpToDate>false</LinksUpToDate>
  <CharactersWithSpaces>9427</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2023-10-08T13:45:00Z</dcterms:created>
  <dc:creator>易烜</dc:creator>
  <cp:lastModifiedBy>易 烜</cp:lastModifiedBy>
  <cp:lastPrinted>2021-11-17T02:12:00Z</cp:lastPrinted>
  <dcterms:modified xsi:type="dcterms:W3CDTF">2023-10-16T07:40:01Z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DA6573B1D8644FF3AA834FD330BE8799_13</vt:lpwstr>
  </property>
</Properties>
</file>