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0000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烧结墙体材料生产企业温室气体排放核算与报告要求</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Requirements of the greenhouse gas emission accounting and reportin</w:t>
      </w:r>
      <w:r>
        <w:rPr>
          <w:rFonts w:hint="eastAsia" w:eastAsia="黑体"/>
          <w:szCs w:val="28"/>
        </w:rPr>
        <w:t>g</w:t>
      </w:r>
      <w:r>
        <w:rPr>
          <w:rFonts w:eastAsia="黑体"/>
          <w:szCs w:val="28"/>
        </w:rPr>
        <w:t xml:space="preserve"> </w:t>
      </w:r>
      <w:r>
        <w:rPr>
          <w:rFonts w:hint="eastAsia" w:eastAsia="黑体"/>
          <w:szCs w:val="28"/>
        </w:rPr>
        <w:t>for</w:t>
      </w:r>
      <w:r>
        <w:rPr>
          <w:rFonts w:eastAsia="黑体"/>
          <w:szCs w:val="28"/>
        </w:rPr>
        <w:t xml:space="preserve"> </w:t>
      </w:r>
    </w:p>
    <w:p>
      <w:pPr>
        <w:pStyle w:val="125"/>
        <w:framePr w:w="9639" w:h="6974" w:hRule="exact" w:wrap="around" w:vAnchor="page" w:hAnchor="page" w:x="1419" w:y="6408" w:anchorLock="1"/>
        <w:textAlignment w:val="bottom"/>
        <w:rPr>
          <w:rFonts w:eastAsia="黑体"/>
          <w:szCs w:val="28"/>
        </w:rPr>
      </w:pPr>
      <w:r>
        <w:rPr>
          <w:rFonts w:hint="eastAsia" w:eastAsia="黑体"/>
          <w:szCs w:val="28"/>
        </w:rPr>
        <w:t xml:space="preserve"> sintering </w:t>
      </w:r>
      <w:r>
        <w:rPr>
          <w:rFonts w:eastAsia="黑体"/>
          <w:szCs w:val="28"/>
        </w:rPr>
        <w:t>wall material</w:t>
      </w:r>
      <w:r>
        <w:rPr>
          <w:rFonts w:hint="eastAsia" w:eastAsia="黑体"/>
          <w:szCs w:val="28"/>
        </w:rPr>
        <w:t>s enterprise</w:t>
      </w:r>
      <w:r>
        <w:rPr>
          <w:rFonts w:eastAsia="黑体"/>
          <w:szCs w:val="28"/>
        </w:rPr>
        <w:t xml:space="preserve">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21397311"/>
      <w:bookmarkStart w:id="23" w:name="_Toc121397250"/>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"_Toc121397515" </w:instrText>
      </w:r>
      <w:r>
        <w:fldChar w:fldCharType="separate"/>
      </w:r>
      <w:r>
        <w:rPr>
          <w:rStyle w:val="32"/>
        </w:rPr>
        <w:t>前言</w:t>
      </w:r>
      <w:r>
        <w:tab/>
      </w:r>
      <w:r>
        <w:fldChar w:fldCharType="begin"/>
      </w:r>
      <w:r>
        <w:instrText xml:space="preserve"> PAGEREF _Toc121397515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"_Toc121397516" </w:instrText>
      </w:r>
      <w:r>
        <w:fldChar w:fldCharType="separate"/>
      </w:r>
      <w:r>
        <w:rPr>
          <w:rStyle w:val="32"/>
        </w:rPr>
        <w:t>1  范围</w:t>
      </w:r>
      <w:r>
        <w:tab/>
      </w:r>
      <w:r>
        <w:fldChar w:fldCharType="begin"/>
      </w:r>
      <w:r>
        <w:instrText xml:space="preserve"> PAGEREF _Toc121397516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"_Toc121397517" </w:instrText>
      </w:r>
      <w:r>
        <w:fldChar w:fldCharType="separate"/>
      </w:r>
      <w:r>
        <w:rPr>
          <w:rStyle w:val="32"/>
        </w:rPr>
        <w:t>2  规范性引用文件</w:t>
      </w:r>
      <w:r>
        <w:tab/>
      </w:r>
      <w:r>
        <w:fldChar w:fldCharType="begin"/>
      </w:r>
      <w:r>
        <w:instrText xml:space="preserve"> PAGEREF _Toc121397517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"_Toc121397518" </w:instrText>
      </w:r>
      <w:r>
        <w:fldChar w:fldCharType="separate"/>
      </w:r>
      <w:r>
        <w:rPr>
          <w:rStyle w:val="32"/>
        </w:rPr>
        <w:t>3  术语和定义</w:t>
      </w:r>
      <w:r>
        <w:tab/>
      </w:r>
      <w:r>
        <w:fldChar w:fldCharType="begin"/>
      </w:r>
      <w:r>
        <w:instrText xml:space="preserve"> PAGEREF _Toc121397518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"_Toc121397529" </w:instrText>
      </w:r>
      <w:r>
        <w:fldChar w:fldCharType="separate"/>
      </w:r>
      <w:r>
        <w:rPr>
          <w:rStyle w:val="32"/>
        </w:rPr>
        <w:t>4  核算边界</w:t>
      </w:r>
      <w:r>
        <w:tab/>
      </w:r>
      <w:r>
        <w:fldChar w:fldCharType="begin"/>
      </w:r>
      <w:r>
        <w:instrText xml:space="preserve"> PAGEREF _Toc121397529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"_Toc121397530" </w:instrText>
      </w:r>
      <w:r>
        <w:fldChar w:fldCharType="separate"/>
      </w:r>
      <w:r>
        <w:rPr>
          <w:rStyle w:val="32"/>
          <w14:scene3d>
            <w14:lightRig w14:rig="threePt" w14:dir="t">
              <w14:rot w14:lat="0" w14:lon="0" w14:rev="0"/>
            </w14:lightRig>
          </w14:scene3d>
        </w:rPr>
        <w:t xml:space="preserve">4.1 </w:t>
      </w:r>
      <w:r>
        <w:rPr>
          <w:rStyle w:val="32"/>
        </w:rPr>
        <w:t xml:space="preserve"> 概述</w:t>
      </w:r>
      <w:r>
        <w:tab/>
      </w:r>
      <w:r>
        <w:fldChar w:fldCharType="begin"/>
      </w:r>
      <w:r>
        <w:instrText xml:space="preserve"> PAGEREF _Toc121397530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"_Toc121397531" </w:instrText>
      </w:r>
      <w:r>
        <w:fldChar w:fldCharType="separate"/>
      </w:r>
      <w:r>
        <w:rPr>
          <w:rStyle w:val="32"/>
          <w14:scene3d>
            <w14:lightRig w14:rig="threePt" w14:dir="t">
              <w14:rot w14:lat="0" w14:lon="0" w14:rev="0"/>
            </w14:lightRig>
          </w14:scene3d>
        </w:rPr>
        <w:t xml:space="preserve">4.2 </w:t>
      </w:r>
      <w:r>
        <w:rPr>
          <w:rStyle w:val="32"/>
        </w:rPr>
        <w:t xml:space="preserve"> 核算和报告范围</w:t>
      </w:r>
      <w:r>
        <w:tab/>
      </w:r>
      <w:r>
        <w:fldChar w:fldCharType="begin"/>
      </w:r>
      <w:r>
        <w:instrText xml:space="preserve"> PAGEREF _Toc121397531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"_Toc121397532" </w:instrText>
      </w:r>
      <w:r>
        <w:fldChar w:fldCharType="separate"/>
      </w:r>
      <w:r>
        <w:rPr>
          <w:rStyle w:val="32"/>
        </w:rPr>
        <w:t>5  核算步骤与核算方法</w:t>
      </w:r>
      <w:r>
        <w:tab/>
      </w:r>
      <w:r>
        <w:fldChar w:fldCharType="begin"/>
      </w:r>
      <w:r>
        <w:instrText xml:space="preserve"> PAGEREF _Toc121397532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"_Toc121397533" </w:instrText>
      </w:r>
      <w:r>
        <w:fldChar w:fldCharType="separate"/>
      </w:r>
      <w:r>
        <w:rPr>
          <w:rStyle w:val="32"/>
          <w14:scene3d>
            <w14:lightRig w14:rig="threePt" w14:dir="t">
              <w14:rot w14:lat="0" w14:lon="0" w14:rev="0"/>
            </w14:lightRig>
          </w14:scene3d>
        </w:rPr>
        <w:t xml:space="preserve">5.1 </w:t>
      </w:r>
      <w:r>
        <w:rPr>
          <w:rStyle w:val="32"/>
        </w:rPr>
        <w:t xml:space="preserve"> 核算步骤</w:t>
      </w:r>
      <w:r>
        <w:tab/>
      </w:r>
      <w:r>
        <w:fldChar w:fldCharType="begin"/>
      </w:r>
      <w:r>
        <w:instrText xml:space="preserve"> PAGEREF _Toc121397533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"_Toc121397534" </w:instrText>
      </w:r>
      <w:r>
        <w:fldChar w:fldCharType="separate"/>
      </w:r>
      <w:r>
        <w:rPr>
          <w:rStyle w:val="32"/>
          <w14:scene3d>
            <w14:lightRig w14:rig="threePt" w14:dir="t">
              <w14:rot w14:lat="0" w14:lon="0" w14:rev="0"/>
            </w14:lightRig>
          </w14:scene3d>
        </w:rPr>
        <w:t xml:space="preserve">5.2 </w:t>
      </w:r>
      <w:r>
        <w:rPr>
          <w:rStyle w:val="32"/>
        </w:rPr>
        <w:t xml:space="preserve"> 核算方法</w:t>
      </w:r>
      <w:r>
        <w:tab/>
      </w:r>
      <w:r>
        <w:fldChar w:fldCharType="begin"/>
      </w:r>
      <w:r>
        <w:instrText xml:space="preserve"> PAGEREF _Toc121397534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"_Toc121397535" </w:instrText>
      </w:r>
      <w:r>
        <w:fldChar w:fldCharType="separate"/>
      </w:r>
      <w:r>
        <w:rPr>
          <w:rStyle w:val="32"/>
        </w:rPr>
        <w:t>6  数据质量管理</w:t>
      </w:r>
      <w:r>
        <w:tab/>
      </w:r>
      <w:r>
        <w:fldChar w:fldCharType="begin"/>
      </w:r>
      <w:r>
        <w:instrText xml:space="preserve"> PAGEREF _Toc121397535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"_Toc121397536" </w:instrText>
      </w:r>
      <w:r>
        <w:fldChar w:fldCharType="separate"/>
      </w:r>
      <w:r>
        <w:rPr>
          <w:rStyle w:val="32"/>
        </w:rPr>
        <w:t>7  报告内容和格式</w:t>
      </w:r>
      <w:r>
        <w:tab/>
      </w:r>
      <w:r>
        <w:fldChar w:fldCharType="begin"/>
      </w:r>
      <w:r>
        <w:instrText xml:space="preserve"> PAGEREF _Toc121397536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"_Toc121397537" </w:instrText>
      </w:r>
      <w:r>
        <w:fldChar w:fldCharType="separate"/>
      </w:r>
      <w:r>
        <w:rPr>
          <w:rStyle w:val="32"/>
          <w14:scene3d>
            <w14:lightRig w14:rig="threePt" w14:dir="t">
              <w14:rot w14:lat="0" w14:lon="0" w14:rev="0"/>
            </w14:lightRig>
          </w14:scene3d>
        </w:rPr>
        <w:t xml:space="preserve">7.1 </w:t>
      </w:r>
      <w:r>
        <w:rPr>
          <w:rStyle w:val="32"/>
        </w:rPr>
        <w:t xml:space="preserve"> 概述</w:t>
      </w:r>
      <w:r>
        <w:tab/>
      </w:r>
      <w:r>
        <w:fldChar w:fldCharType="begin"/>
      </w:r>
      <w:r>
        <w:instrText xml:space="preserve"> PAGEREF _Toc121397537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"_Toc121397538" </w:instrText>
      </w:r>
      <w:r>
        <w:fldChar w:fldCharType="separate"/>
      </w:r>
      <w:r>
        <w:rPr>
          <w:rStyle w:val="32"/>
          <w14:scene3d>
            <w14:lightRig w14:rig="threePt" w14:dir="t">
              <w14:rot w14:lat="0" w14:lon="0" w14:rev="0"/>
            </w14:lightRig>
          </w14:scene3d>
        </w:rPr>
        <w:t xml:space="preserve">7.2 </w:t>
      </w:r>
      <w:r>
        <w:rPr>
          <w:rStyle w:val="32"/>
        </w:rPr>
        <w:t xml:space="preserve"> 报告主体基本信息</w:t>
      </w:r>
      <w:r>
        <w:tab/>
      </w:r>
      <w:r>
        <w:fldChar w:fldCharType="begin"/>
      </w:r>
      <w:r>
        <w:instrText xml:space="preserve"> PAGEREF _Toc121397538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"_Toc121397539" </w:instrText>
      </w:r>
      <w:r>
        <w:fldChar w:fldCharType="separate"/>
      </w:r>
      <w:r>
        <w:rPr>
          <w:rStyle w:val="32"/>
          <w14:scene3d>
            <w14:lightRig w14:rig="threePt" w14:dir="t">
              <w14:rot w14:lat="0" w14:lon="0" w14:rev="0"/>
            </w14:lightRig>
          </w14:scene3d>
        </w:rPr>
        <w:t xml:space="preserve">7.3 </w:t>
      </w:r>
      <w:r>
        <w:rPr>
          <w:rStyle w:val="32"/>
        </w:rPr>
        <w:t xml:space="preserve"> 温室气体排放量</w:t>
      </w:r>
      <w:r>
        <w:tab/>
      </w:r>
      <w:r>
        <w:fldChar w:fldCharType="begin"/>
      </w:r>
      <w:r>
        <w:instrText xml:space="preserve"> PAGEREF _Toc121397539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"_Toc121397540" </w:instrText>
      </w:r>
      <w:r>
        <w:fldChar w:fldCharType="separate"/>
      </w:r>
      <w:r>
        <w:rPr>
          <w:rStyle w:val="32"/>
          <w14:scene3d>
            <w14:lightRig w14:rig="threePt" w14:dir="t">
              <w14:rot w14:lat="0" w14:lon="0" w14:rev="0"/>
            </w14:lightRig>
          </w14:scene3d>
        </w:rPr>
        <w:t xml:space="preserve">7.4 </w:t>
      </w:r>
      <w:r>
        <w:rPr>
          <w:rStyle w:val="32"/>
        </w:rPr>
        <w:t xml:space="preserve"> 活动数据及来源</w:t>
      </w:r>
      <w:r>
        <w:tab/>
      </w:r>
      <w:r>
        <w:fldChar w:fldCharType="begin"/>
      </w:r>
      <w:r>
        <w:instrText xml:space="preserve"> PAGEREF _Toc121397540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"_Toc121397541" </w:instrText>
      </w:r>
      <w:r>
        <w:fldChar w:fldCharType="separate"/>
      </w:r>
      <w:r>
        <w:rPr>
          <w:rStyle w:val="32"/>
          <w14:scene3d>
            <w14:lightRig w14:rig="threePt" w14:dir="t">
              <w14:rot w14:lat="0" w14:lon="0" w14:rev="0"/>
            </w14:lightRig>
          </w14:scene3d>
        </w:rPr>
        <w:t xml:space="preserve">7.5 </w:t>
      </w:r>
      <w:r>
        <w:rPr>
          <w:rStyle w:val="32"/>
        </w:rPr>
        <w:t xml:space="preserve"> 排放因子数据及来源</w:t>
      </w:r>
      <w:r>
        <w:tab/>
      </w:r>
      <w:r>
        <w:fldChar w:fldCharType="begin"/>
      </w:r>
      <w:r>
        <w:instrText xml:space="preserve"> PAGEREF _Toc121397541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"_Toc121397542" </w:instrText>
      </w:r>
      <w:r>
        <w:fldChar w:fldCharType="separate"/>
      </w:r>
      <w:r>
        <w:rPr>
          <w:rStyle w:val="32"/>
        </w:rPr>
        <w:t>附录A（资料性附录） 报告格式模板</w:t>
      </w:r>
      <w:r>
        <w:tab/>
      </w:r>
      <w:r>
        <w:fldChar w:fldCharType="begin"/>
      </w:r>
      <w:r>
        <w:instrText xml:space="preserve"> PAGEREF _Toc121397542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"_Toc121397543" </w:instrText>
      </w:r>
      <w:r>
        <w:fldChar w:fldCharType="separate"/>
      </w:r>
      <w:r>
        <w:rPr>
          <w:rStyle w:val="32"/>
        </w:rPr>
        <w:t>附录B（资料性附录） 相关参数值推荐</w:t>
      </w:r>
      <w:r>
        <w:tab/>
      </w:r>
      <w:r>
        <w:fldChar w:fldCharType="begin"/>
      </w:r>
      <w:r>
        <w:instrText xml:space="preserve"> PAGEREF _Toc121397543 \h </w:instrText>
      </w:r>
      <w:r>
        <w:fldChar w:fldCharType="separate"/>
      </w:r>
      <w:r>
        <w:t>14</w:t>
      </w:r>
      <w:r>
        <w:fldChar w:fldCharType="end"/>
      </w:r>
      <w:r>
        <w:fldChar w:fldCharType="end"/>
      </w:r>
    </w:p>
    <w:p>
      <w:pPr>
        <w:pStyle w:val="91"/>
        <w:spacing w:after="468"/>
        <w:sectPr>
          <w:headerReference r:id="rId11" w:type="default"/>
          <w:footerReference r:id="rId13" w:type="default"/>
          <w:headerReference r:id="rId12" w:type="even"/>
          <w:pgSz w:w="11906" w:h="16838"/>
          <w:pgMar w:top="567"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r>
        <w:fldChar w:fldCharType="end"/>
      </w:r>
    </w:p>
    <w:bookmarkEnd w:id="21"/>
    <w:p>
      <w:pPr>
        <w:pStyle w:val="89"/>
        <w:spacing w:after="468"/>
      </w:pPr>
      <w:bookmarkStart w:id="24" w:name="_Toc121397515"/>
      <w:bookmarkStart w:id="25" w:name="BookMark2"/>
      <w:r>
        <w:rPr>
          <w:spacing w:val="320"/>
        </w:rPr>
        <w:t>前</w:t>
      </w:r>
      <w:r>
        <w:t>言</w:t>
      </w:r>
      <w:bookmarkEnd w:id="22"/>
      <w:bookmarkEnd w:id="23"/>
      <w:bookmarkEnd w:id="24"/>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本文件由湖南省工业和信息化厅提出并归口。</w:t>
      </w:r>
    </w:p>
    <w:p>
      <w:pPr>
        <w:pStyle w:val="56"/>
        <w:ind w:firstLine="420"/>
      </w:pPr>
      <w:r>
        <w:rPr>
          <w:rFonts w:hint="eastAsia"/>
        </w:rPr>
        <w:t>本文件起草单位：</w:t>
      </w:r>
      <w:bookmarkStart w:id="152" w:name="_GoBack"/>
      <w:r>
        <w:rPr>
          <w:rFonts w:hint="eastAsia"/>
        </w:rPr>
        <w:t>湖南省节能监测中心、致能科技有限公司</w:t>
      </w:r>
      <w:bookmarkEnd w:id="152"/>
      <w:r>
        <w:rPr>
          <w:rFonts w:hint="eastAsia"/>
        </w:rPr>
        <w:t>。</w:t>
      </w:r>
    </w:p>
    <w:p>
      <w:pPr>
        <w:pStyle w:val="56"/>
        <w:ind w:firstLine="420"/>
      </w:pPr>
      <w:r>
        <w:rPr>
          <w:rFonts w:hint="eastAsia"/>
        </w:rPr>
        <w:t>本文件主要起草人：徐飞、周浩</w:t>
      </w:r>
      <w:r>
        <w:rPr>
          <w:rFonts w:hint="eastAsia"/>
          <w:lang w:eastAsia="zh-CN"/>
        </w:rPr>
        <w:t>、</w:t>
      </w:r>
      <w:r>
        <w:rPr>
          <w:rFonts w:hint="eastAsia"/>
        </w:rPr>
        <w:t>卞相燕、张健、武强、周洪波、李劼、章灿。</w:t>
      </w:r>
    </w:p>
    <w:p>
      <w:pPr>
        <w:pStyle w:val="56"/>
        <w:ind w:firstLine="420"/>
      </w:pPr>
    </w:p>
    <w:p>
      <w:pPr>
        <w:pStyle w:val="56"/>
        <w:ind w:firstLine="420"/>
        <w:sectPr>
          <w:pgSz w:w="11906" w:h="16838"/>
          <w:pgMar w:top="567" w:right="1134" w:bottom="1134" w:left="1134" w:header="1418" w:footer="1134" w:gutter="284"/>
          <w:pgBorders>
            <w:top w:val="none" w:sz="0" w:space="0"/>
            <w:left w:val="none" w:sz="0" w:space="0"/>
            <w:bottom w:val="none" w:sz="0" w:space="0"/>
            <w:right w:val="none" w:sz="0" w:space="0"/>
          </w:pgBorders>
          <w:pgNumType w:fmt="upperRoman"/>
          <w:cols w:space="425" w:num="1"/>
          <w:formProt w:val="0"/>
          <w:docGrid w:type="lines" w:linePitch="312" w:charSpace="0"/>
        </w:sectPr>
      </w:pPr>
    </w:p>
    <w:bookmarkEnd w:id="25"/>
    <w:p>
      <w:pPr>
        <w:spacing w:line="20" w:lineRule="exact"/>
        <w:jc w:val="center"/>
        <w:rPr>
          <w:rFonts w:ascii="黑体" w:hAnsi="黑体" w:eastAsia="黑体"/>
          <w:sz w:val="32"/>
          <w:szCs w:val="32"/>
        </w:rPr>
      </w:pPr>
      <w:bookmarkStart w:id="26" w:name="BookMark4"/>
    </w:p>
    <w:p>
      <w:pPr>
        <w:spacing w:line="20" w:lineRule="exact"/>
        <w:jc w:val="center"/>
        <w:rPr>
          <w:rFonts w:ascii="黑体" w:hAnsi="黑体" w:eastAsia="黑体"/>
          <w:sz w:val="32"/>
          <w:szCs w:val="32"/>
        </w:rPr>
      </w:pPr>
    </w:p>
    <w:sdt>
      <w:sdtPr>
        <w:tag w:val="NEW_STAND_NAME"/>
        <w:id w:val="595910757"/>
        <w:lock w:val="sdtLocked"/>
        <w:placeholder>
          <w:docPart w:val="F166581C48484AB2ABB642678DF80966"/>
        </w:placeholder>
      </w:sdtPr>
      <w:sdtContent>
        <w:p>
          <w:pPr>
            <w:pStyle w:val="177"/>
            <w:spacing w:before="567" w:beforeLines="182" w:after="686" w:afterLines="220"/>
          </w:pPr>
          <w:bookmarkStart w:id="27" w:name="NEW_STAND_NAME"/>
          <w:r>
            <w:rPr>
              <w:rFonts w:hint="eastAsia"/>
            </w:rPr>
            <w:t>烧结墙体材料生产企业温室气体排放核算与报告要求</w:t>
          </w:r>
        </w:p>
      </w:sdtContent>
    </w:sdt>
    <w:bookmarkEnd w:id="27"/>
    <w:p>
      <w:pPr>
        <w:pStyle w:val="104"/>
        <w:spacing w:before="312" w:after="312"/>
      </w:pPr>
      <w:bookmarkStart w:id="28" w:name="_Toc26986530"/>
      <w:bookmarkStart w:id="29" w:name="_Toc121397312"/>
      <w:bookmarkStart w:id="30" w:name="_Toc17233325"/>
      <w:bookmarkStart w:id="31" w:name="_Toc24884211"/>
      <w:bookmarkStart w:id="32" w:name="_Toc26648465"/>
      <w:bookmarkStart w:id="33" w:name="_Toc24884218"/>
      <w:bookmarkStart w:id="34" w:name="_Toc121397251"/>
      <w:bookmarkStart w:id="35" w:name="_Toc26986771"/>
      <w:bookmarkStart w:id="36" w:name="_Toc26718930"/>
      <w:bookmarkStart w:id="37" w:name="_Toc121397516"/>
      <w:bookmarkStart w:id="38" w:name="_Toc17233333"/>
      <w:r>
        <w:rPr>
          <w:rFonts w:hint="eastAsia"/>
        </w:rPr>
        <w:t>范围</w:t>
      </w:r>
      <w:bookmarkEnd w:id="28"/>
      <w:bookmarkEnd w:id="29"/>
      <w:bookmarkEnd w:id="30"/>
      <w:bookmarkEnd w:id="31"/>
      <w:bookmarkEnd w:id="32"/>
      <w:bookmarkEnd w:id="33"/>
      <w:bookmarkEnd w:id="34"/>
      <w:bookmarkEnd w:id="35"/>
      <w:bookmarkEnd w:id="36"/>
      <w:bookmarkEnd w:id="37"/>
      <w:bookmarkEnd w:id="38"/>
    </w:p>
    <w:p>
      <w:pPr>
        <w:pStyle w:val="56"/>
        <w:ind w:firstLine="420"/>
      </w:pPr>
      <w:bookmarkStart w:id="39" w:name="_Toc24884212"/>
      <w:bookmarkStart w:id="40" w:name="_Toc24884219"/>
      <w:bookmarkStart w:id="41" w:name="_Toc17233334"/>
      <w:bookmarkStart w:id="42" w:name="_Toc17233326"/>
      <w:bookmarkStart w:id="43" w:name="_Toc26648466"/>
      <w:r>
        <w:rPr>
          <w:rFonts w:hint="eastAsia"/>
        </w:rPr>
        <w:t>本文件规定了烧结墙体材料生产企业温室气体排放量的核算和报告相关的核算边界</w:t>
      </w:r>
      <w:r>
        <w:rPr>
          <w:rFonts w:hint="eastAsia"/>
          <w:lang w:eastAsia="zh-CN"/>
        </w:rPr>
        <w:t>与报告范围</w:t>
      </w:r>
      <w:r>
        <w:rPr>
          <w:rFonts w:hint="eastAsia"/>
        </w:rPr>
        <w:t>、核算步骤与核算方法、数据质量管理、报告内容和格式。</w:t>
      </w:r>
    </w:p>
    <w:p>
      <w:pPr>
        <w:pStyle w:val="56"/>
        <w:ind w:firstLine="420"/>
      </w:pPr>
      <w:r>
        <w:rPr>
          <w:rFonts w:hint="eastAsia"/>
        </w:rPr>
        <w:t>本文件适用于烧结墙体材料生产企业温室气体排放量的核算和报告。</w:t>
      </w:r>
    </w:p>
    <w:p>
      <w:pPr>
        <w:pStyle w:val="104"/>
        <w:spacing w:before="312" w:after="312"/>
      </w:pPr>
      <w:bookmarkStart w:id="44" w:name="_Toc26986772"/>
      <w:bookmarkStart w:id="45" w:name="_Toc26718931"/>
      <w:bookmarkStart w:id="46" w:name="_Toc26986531"/>
      <w:bookmarkStart w:id="47" w:name="_Toc121397252"/>
      <w:bookmarkStart w:id="48" w:name="_Toc121397313"/>
      <w:bookmarkStart w:id="49" w:name="_Toc121397517"/>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B26CF0CE124649DF85D838DF6691C72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ascii="Times New Roman"/>
        </w:rPr>
      </w:pPr>
      <w:r>
        <w:rPr>
          <w:rFonts w:ascii="Times New Roman"/>
        </w:rPr>
        <w:t>GB/T 213  煤的发热量测定方法</w:t>
      </w:r>
    </w:p>
    <w:p>
      <w:pPr>
        <w:pStyle w:val="56"/>
        <w:ind w:firstLine="420"/>
        <w:rPr>
          <w:rFonts w:ascii="Times New Roman"/>
        </w:rPr>
      </w:pPr>
      <w:r>
        <w:rPr>
          <w:rFonts w:ascii="Times New Roman"/>
        </w:rPr>
        <w:t>GB/T 32150  工业企业温室气体排放核算和报告通则</w:t>
      </w:r>
    </w:p>
    <w:p>
      <w:pPr>
        <w:pStyle w:val="104"/>
        <w:spacing w:before="312" w:after="312"/>
      </w:pPr>
      <w:bookmarkStart w:id="50" w:name="_Toc121397314"/>
      <w:bookmarkStart w:id="51" w:name="_Toc121397253"/>
      <w:bookmarkStart w:id="52" w:name="_Toc121397518"/>
      <w:r>
        <w:rPr>
          <w:rFonts w:hint="eastAsia"/>
          <w:szCs w:val="21"/>
        </w:rPr>
        <w:t>术语和定义</w:t>
      </w:r>
      <w:bookmarkEnd w:id="50"/>
      <w:bookmarkEnd w:id="51"/>
      <w:bookmarkEnd w:id="52"/>
    </w:p>
    <w:sdt>
      <w:sdtPr>
        <w:id w:val="-1909835108"/>
        <w:placeholder>
          <w:docPart w:val="E14FB3F84737488F917B803B68C9BBB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3" w:name="_Toc26986532"/>
          <w:bookmarkEnd w:id="53"/>
          <w:r>
            <w:t>下列术语和定义适用于本文件。</w:t>
          </w:r>
        </w:p>
      </w:sdtContent>
    </w:sdt>
    <w:p>
      <w:pPr>
        <w:pStyle w:val="105"/>
        <w:spacing w:before="156" w:after="156"/>
      </w:pPr>
      <w:bookmarkStart w:id="54" w:name="_Toc121397254"/>
      <w:bookmarkEnd w:id="54"/>
      <w:bookmarkStart w:id="55" w:name="_Toc121397519"/>
      <w:bookmarkEnd w:id="55"/>
      <w:bookmarkStart w:id="56" w:name="_Toc120612078"/>
      <w:bookmarkEnd w:id="56"/>
      <w:bookmarkStart w:id="57" w:name="_Toc121397315"/>
      <w:bookmarkEnd w:id="57"/>
    </w:p>
    <w:p>
      <w:pPr>
        <w:pStyle w:val="224"/>
        <w:numPr>
          <w:ilvl w:val="0"/>
          <w:numId w:val="0"/>
        </w:numPr>
        <w:ind w:firstLine="420" w:firstLineChars="200"/>
        <w:rPr>
          <w:rFonts w:ascii="黑体" w:hAnsi="黑体" w:eastAsia="黑体"/>
        </w:rPr>
      </w:pPr>
      <w:r>
        <w:rPr>
          <w:rFonts w:hint="eastAsia" w:ascii="黑体" w:hAnsi="黑体" w:eastAsia="黑体"/>
        </w:rPr>
        <w:t xml:space="preserve">温室气体 </w:t>
      </w:r>
      <w:r>
        <w:rPr>
          <w:rFonts w:ascii="黑体" w:hAnsi="黑体" w:eastAsia="黑体"/>
        </w:rPr>
        <w:t xml:space="preserve"> greenhouse gas</w:t>
      </w:r>
    </w:p>
    <w:p>
      <w:pPr>
        <w:pStyle w:val="56"/>
        <w:ind w:firstLine="420"/>
      </w:pPr>
      <w:r>
        <w:rPr>
          <w:rFonts w:hint="eastAsia"/>
        </w:rPr>
        <w:t>大气层中自然存在的和由于人类活动产生的能够吸收和散发由地球表面、大气层和云层所产生的、波长在红外光谱内的辐射的气态成分。</w:t>
      </w:r>
    </w:p>
    <w:p>
      <w:pPr>
        <w:pStyle w:val="56"/>
        <w:ind w:firstLine="420"/>
        <w:rPr>
          <w:rFonts w:ascii="Times New Roman"/>
        </w:rPr>
      </w:pPr>
      <w:r>
        <w:rPr>
          <w:rFonts w:ascii="Times New Roman"/>
        </w:rPr>
        <w:t>[GB/T 32150-2015，定义3.1]</w:t>
      </w:r>
    </w:p>
    <w:p>
      <w:pPr>
        <w:pStyle w:val="179"/>
      </w:pPr>
      <w:r>
        <w:rPr>
          <w:rFonts w:hint="eastAsia"/>
        </w:rPr>
        <w:t>本文件涉及的温室气体只包含</w:t>
      </w:r>
      <w:r>
        <w:rPr>
          <w:rFonts w:ascii="Times New Roman"/>
        </w:rPr>
        <w:t>CO</w:t>
      </w:r>
      <w:r>
        <w:rPr>
          <w:rFonts w:ascii="Times New Roman"/>
          <w:vertAlign w:val="subscript"/>
        </w:rPr>
        <w:t>2</w:t>
      </w:r>
      <w:r>
        <w:rPr>
          <w:rFonts w:hint="eastAsia"/>
        </w:rPr>
        <w:t>。</w:t>
      </w:r>
    </w:p>
    <w:p>
      <w:pPr>
        <w:pStyle w:val="105"/>
        <w:spacing w:before="156" w:after="156"/>
      </w:pPr>
      <w:bookmarkStart w:id="58" w:name="_Toc121397316"/>
      <w:bookmarkEnd w:id="58"/>
      <w:bookmarkStart w:id="59" w:name="_Toc120612079"/>
      <w:bookmarkEnd w:id="59"/>
      <w:bookmarkStart w:id="60" w:name="_Toc121397255"/>
      <w:bookmarkEnd w:id="60"/>
      <w:bookmarkStart w:id="61" w:name="_Toc121397520"/>
      <w:bookmarkEnd w:id="61"/>
    </w:p>
    <w:p>
      <w:pPr>
        <w:pStyle w:val="132"/>
        <w:numPr>
          <w:ilvl w:val="0"/>
          <w:numId w:val="0"/>
        </w:numPr>
        <w:ind w:left="851" w:hanging="426"/>
        <w:rPr>
          <w:rFonts w:ascii="Times New Roman" w:eastAsia="黑体"/>
        </w:rPr>
      </w:pPr>
      <w:r>
        <w:rPr>
          <w:rFonts w:ascii="Times New Roman" w:eastAsia="黑体"/>
        </w:rPr>
        <w:t>报告主体</w:t>
      </w:r>
      <w:r>
        <w:rPr>
          <w:rFonts w:hint="eastAsia" w:ascii="Times New Roman" w:eastAsia="黑体"/>
        </w:rPr>
        <w:t xml:space="preserve"> </w:t>
      </w:r>
      <w:r>
        <w:rPr>
          <w:rFonts w:ascii="Times New Roman" w:eastAsia="黑体"/>
        </w:rPr>
        <w:t xml:space="preserve"> </w:t>
      </w:r>
      <w:r>
        <w:rPr>
          <w:rFonts w:ascii="黑体" w:hAnsi="黑体" w:eastAsia="黑体"/>
        </w:rPr>
        <w:t>reporting entity</w:t>
      </w:r>
    </w:p>
    <w:p>
      <w:pPr>
        <w:spacing w:line="240" w:lineRule="auto"/>
        <w:ind w:firstLine="420" w:firstLineChars="200"/>
      </w:pPr>
      <w:bookmarkStart w:id="62" w:name="_Hlk104187461"/>
      <w:r>
        <w:rPr>
          <w:rFonts w:hint="eastAsia"/>
        </w:rPr>
        <w:t>具有温室气体排放行为的法人企业或视同法人的独立核算单位。</w:t>
      </w:r>
    </w:p>
    <w:p>
      <w:pPr>
        <w:pStyle w:val="56"/>
        <w:ind w:firstLine="420"/>
        <w:rPr>
          <w:rFonts w:ascii="Times New Roman"/>
        </w:rPr>
      </w:pPr>
      <w:r>
        <w:rPr>
          <w:rFonts w:ascii="Times New Roman"/>
        </w:rPr>
        <w:t>[GB/T 32150-2015，定义3.2]</w:t>
      </w:r>
    </w:p>
    <w:p>
      <w:pPr>
        <w:pStyle w:val="105"/>
        <w:spacing w:before="156" w:after="156"/>
      </w:pPr>
    </w:p>
    <w:p>
      <w:pPr>
        <w:pStyle w:val="56"/>
        <w:ind w:firstLine="420"/>
        <w:rPr>
          <w:rFonts w:ascii="黑体" w:hAnsi="黑体" w:eastAsia="黑体"/>
        </w:rPr>
      </w:pPr>
      <w:r>
        <w:rPr>
          <w:rFonts w:hint="eastAsia" w:ascii="黑体" w:hAnsi="黑体" w:eastAsia="黑体"/>
        </w:rPr>
        <w:t>烧结墙体材料 sintering</w:t>
      </w:r>
      <w:r>
        <w:rPr>
          <w:rFonts w:ascii="黑体" w:hAnsi="黑体" w:eastAsia="黑体"/>
        </w:rPr>
        <w:t xml:space="preserve"> wall material</w:t>
      </w:r>
    </w:p>
    <w:p>
      <w:pPr>
        <w:pStyle w:val="56"/>
        <w:ind w:firstLine="420"/>
        <w:rPr>
          <w:rFonts w:ascii="Times New Roman"/>
        </w:rPr>
      </w:pPr>
      <w:r>
        <w:rPr>
          <w:rFonts w:hint="eastAsia" w:ascii="Calibri" w:hAnsi="Calibri"/>
          <w:kern w:val="2"/>
          <w:szCs w:val="21"/>
        </w:rPr>
        <w:t>以黏土</w:t>
      </w:r>
      <w:r>
        <w:rPr>
          <w:rFonts w:hint="eastAsia" w:ascii="Calibri" w:hAnsi="Calibri"/>
          <w:kern w:val="2"/>
          <w:szCs w:val="21"/>
          <w:lang w:eastAsia="zh-CN"/>
        </w:rPr>
        <w:t>、</w:t>
      </w:r>
      <w:r>
        <w:rPr>
          <w:rFonts w:hint="eastAsia" w:ascii="Calibri" w:hAnsi="Calibri"/>
          <w:kern w:val="2"/>
          <w:szCs w:val="21"/>
        </w:rPr>
        <w:t>页岩、煤矸石、粉煤灰、淤泥、建筑废弃土及工业固体废弃物等为主要原料，经</w:t>
      </w:r>
      <w:r>
        <w:rPr>
          <w:rFonts w:hint="eastAsia" w:ascii="Calibri" w:hAnsi="Calibri"/>
          <w:kern w:val="2"/>
          <w:szCs w:val="21"/>
          <w:lang w:eastAsia="zh-CN"/>
        </w:rPr>
        <w:t>配料、</w:t>
      </w:r>
      <w:r>
        <w:rPr>
          <w:rFonts w:hint="eastAsia" w:ascii="Calibri" w:hAnsi="Calibri"/>
          <w:kern w:val="2"/>
          <w:szCs w:val="21"/>
        </w:rPr>
        <w:t>坯料制备、成型、焙烧而成的墙体材料制品。</w:t>
      </w:r>
    </w:p>
    <w:p>
      <w:pPr>
        <w:pStyle w:val="56"/>
        <w:ind w:firstLine="420"/>
        <w:rPr>
          <w:rFonts w:ascii="Times New Roman"/>
        </w:rPr>
      </w:pPr>
    </w:p>
    <w:bookmarkEnd w:id="62"/>
    <w:p>
      <w:pPr>
        <w:pStyle w:val="105"/>
        <w:spacing w:before="156" w:after="156"/>
      </w:pPr>
      <w:bookmarkStart w:id="63" w:name="_Toc121397318"/>
      <w:bookmarkEnd w:id="63"/>
      <w:bookmarkStart w:id="64" w:name="_Toc121397317"/>
      <w:bookmarkEnd w:id="64"/>
      <w:bookmarkStart w:id="65" w:name="_Toc121397522"/>
      <w:bookmarkEnd w:id="65"/>
      <w:bookmarkStart w:id="66" w:name="_Toc120612081"/>
      <w:bookmarkEnd w:id="66"/>
      <w:bookmarkStart w:id="67" w:name="_Toc120612080"/>
      <w:bookmarkEnd w:id="67"/>
      <w:bookmarkStart w:id="68" w:name="_Toc121397257"/>
      <w:bookmarkEnd w:id="68"/>
      <w:bookmarkStart w:id="69" w:name="_Toc121397521"/>
      <w:bookmarkEnd w:id="69"/>
      <w:bookmarkStart w:id="70" w:name="_Toc121397256"/>
      <w:bookmarkEnd w:id="70"/>
      <w:bookmarkStart w:id="71" w:name="_Hlk104187548"/>
    </w:p>
    <w:p>
      <w:pPr>
        <w:pStyle w:val="56"/>
        <w:ind w:firstLine="420"/>
        <w:rPr>
          <w:rFonts w:ascii="黑体" w:hAnsi="黑体" w:eastAsia="黑体"/>
        </w:rPr>
      </w:pPr>
      <w:r>
        <w:rPr>
          <w:rFonts w:hint="eastAsia" w:ascii="黑体" w:hAnsi="黑体" w:eastAsia="黑体"/>
        </w:rPr>
        <w:t>烧结墙体材料生产企业 sintering</w:t>
      </w:r>
      <w:r>
        <w:rPr>
          <w:rFonts w:ascii="黑体" w:hAnsi="黑体" w:eastAsia="黑体"/>
        </w:rPr>
        <w:t xml:space="preserve"> wall material</w:t>
      </w:r>
      <w:r>
        <w:rPr>
          <w:rFonts w:hint="eastAsia" w:ascii="黑体" w:hAnsi="黑体" w:eastAsia="黑体"/>
        </w:rPr>
        <w:t xml:space="preserve"> enterprise</w:t>
      </w:r>
    </w:p>
    <w:p>
      <w:pPr>
        <w:spacing w:line="240" w:lineRule="auto"/>
        <w:ind w:firstLine="420" w:firstLineChars="200"/>
      </w:pPr>
      <w:r>
        <w:rPr>
          <w:rFonts w:hint="eastAsia"/>
        </w:rPr>
        <w:t>以烧结墙体材料生产为主营业务的独立核算单位。</w:t>
      </w:r>
    </w:p>
    <w:p>
      <w:pPr>
        <w:pStyle w:val="105"/>
        <w:spacing w:before="156" w:after="156"/>
      </w:pPr>
    </w:p>
    <w:p>
      <w:pPr>
        <w:pStyle w:val="56"/>
        <w:ind w:firstLine="420"/>
        <w:rPr>
          <w:rFonts w:ascii="黑体" w:hAnsi="黑体" w:eastAsia="黑体"/>
        </w:rPr>
      </w:pPr>
      <w:r>
        <w:rPr>
          <w:rFonts w:hint="eastAsia" w:ascii="黑体" w:hAnsi="黑体" w:eastAsia="黑体"/>
        </w:rPr>
        <w:t>燃料燃烧排放</w:t>
      </w:r>
      <w:r>
        <w:rPr>
          <w:rFonts w:ascii="黑体" w:hAnsi="黑体" w:eastAsia="黑体"/>
        </w:rPr>
        <w:t xml:space="preserve">  </w:t>
      </w:r>
      <w:r>
        <w:rPr>
          <w:rFonts w:hint="eastAsia" w:ascii="黑体" w:hAnsi="黑体" w:eastAsia="黑体"/>
        </w:rPr>
        <w:t>fuel combustion emission</w:t>
      </w:r>
    </w:p>
    <w:p>
      <w:pPr>
        <w:spacing w:line="240" w:lineRule="auto"/>
        <w:ind w:firstLine="420" w:firstLineChars="200"/>
      </w:pPr>
      <w:bookmarkStart w:id="72" w:name="_Hlk104187696"/>
      <w:r>
        <w:rPr>
          <w:rFonts w:hint="eastAsia"/>
          <w:lang w:eastAsia="zh-CN"/>
        </w:rPr>
        <w:t>碳质燃料和原料</w:t>
      </w:r>
      <w:r>
        <w:rPr>
          <w:rFonts w:hint="eastAsia"/>
        </w:rPr>
        <w:t>在氧化燃烧过程中产生的</w:t>
      </w:r>
      <w:r>
        <w:rPr>
          <w:rFonts w:hint="eastAsia"/>
          <w:lang w:eastAsia="zh-CN"/>
        </w:rPr>
        <w:t>二氧化碳</w:t>
      </w:r>
      <w:r>
        <w:rPr>
          <w:rFonts w:hint="eastAsia"/>
        </w:rPr>
        <w:t>排放。</w:t>
      </w:r>
    </w:p>
    <w:bookmarkEnd w:id="71"/>
    <w:bookmarkEnd w:id="72"/>
    <w:p>
      <w:pPr>
        <w:pStyle w:val="179"/>
        <w:rPr>
          <w:rFonts w:ascii="Times New Roman"/>
        </w:rPr>
      </w:pPr>
      <w:bookmarkStart w:id="73" w:name="_Toc120612082"/>
      <w:bookmarkEnd w:id="73"/>
      <w:bookmarkStart w:id="74" w:name="_Toc121397523"/>
      <w:bookmarkEnd w:id="74"/>
      <w:bookmarkStart w:id="75" w:name="_Toc121397258"/>
      <w:bookmarkEnd w:id="75"/>
      <w:bookmarkStart w:id="76" w:name="_Toc121397319"/>
      <w:bookmarkEnd w:id="76"/>
      <w:r>
        <w:rPr>
          <w:rFonts w:ascii="Times New Roman"/>
        </w:rPr>
        <w:t>改写GB/T 32150-2015，定义3.</w:t>
      </w:r>
      <w:r>
        <w:rPr>
          <w:rFonts w:hint="eastAsia" w:ascii="Times New Roman"/>
          <w:lang w:val="en-US" w:eastAsia="zh-CN"/>
        </w:rPr>
        <w:t>7。</w:t>
      </w:r>
    </w:p>
    <w:p>
      <w:pPr>
        <w:pStyle w:val="56"/>
      </w:pPr>
    </w:p>
    <w:p>
      <w:pPr>
        <w:pStyle w:val="105"/>
        <w:spacing w:before="156" w:after="156"/>
      </w:pPr>
    </w:p>
    <w:p>
      <w:pPr>
        <w:pStyle w:val="56"/>
        <w:ind w:firstLine="420"/>
        <w:rPr>
          <w:rFonts w:ascii="黑体" w:hAnsi="黑体" w:eastAsia="黑体"/>
        </w:rPr>
      </w:pPr>
      <w:r>
        <w:rPr>
          <w:rFonts w:hint="eastAsia" w:ascii="黑体" w:hAnsi="黑体" w:eastAsia="黑体"/>
        </w:rPr>
        <w:t>过程排放</w:t>
      </w:r>
      <w:r>
        <w:rPr>
          <w:rFonts w:ascii="黑体" w:hAnsi="黑体" w:eastAsia="黑体"/>
        </w:rPr>
        <w:t xml:space="preserve">  </w:t>
      </w:r>
      <w:r>
        <w:rPr>
          <w:rFonts w:hint="eastAsia" w:ascii="黑体" w:hAnsi="黑体" w:eastAsia="黑体"/>
        </w:rPr>
        <w:t>process emission</w:t>
      </w:r>
    </w:p>
    <w:p>
      <w:pPr>
        <w:pStyle w:val="56"/>
        <w:ind w:firstLine="420"/>
        <w:rPr>
          <w:rFonts w:ascii="Times New Roman"/>
        </w:rPr>
      </w:pPr>
      <w:bookmarkStart w:id="77" w:name="_Hlk104188493"/>
      <w:r>
        <w:rPr>
          <w:rFonts w:hint="eastAsia" w:ascii="Times New Roman"/>
        </w:rPr>
        <w:t>在生产、废弃物处理处置等过程中除燃烧之外的物理或化学变化造成的</w:t>
      </w:r>
      <w:r>
        <w:rPr>
          <w:rFonts w:hint="eastAsia" w:ascii="Times New Roman"/>
          <w:lang w:eastAsia="zh-CN"/>
        </w:rPr>
        <w:t>二氧化碳</w:t>
      </w:r>
      <w:r>
        <w:rPr>
          <w:rFonts w:hint="eastAsia" w:ascii="Times New Roman"/>
        </w:rPr>
        <w:t>排放。</w:t>
      </w:r>
    </w:p>
    <w:p>
      <w:pPr>
        <w:pStyle w:val="179"/>
        <w:rPr>
          <w:rFonts w:ascii="Times New Roman"/>
        </w:rPr>
      </w:pPr>
      <w:r>
        <w:rPr>
          <w:rFonts w:ascii="Times New Roman"/>
        </w:rPr>
        <w:t>改写GB/T 32150-2015，定义3.8</w:t>
      </w:r>
      <w:r>
        <w:rPr>
          <w:rFonts w:hint="eastAsia" w:ascii="Times New Roman"/>
        </w:rPr>
        <w:t>。</w:t>
      </w:r>
    </w:p>
    <w:bookmarkEnd w:id="77"/>
    <w:p>
      <w:pPr>
        <w:pStyle w:val="105"/>
        <w:spacing w:before="156" w:after="156"/>
      </w:pPr>
      <w:bookmarkStart w:id="78" w:name="_Toc121397259"/>
      <w:bookmarkEnd w:id="78"/>
      <w:bookmarkStart w:id="79" w:name="_Toc121397524"/>
      <w:bookmarkEnd w:id="79"/>
      <w:bookmarkStart w:id="80" w:name="_Toc121397320"/>
      <w:bookmarkEnd w:id="80"/>
      <w:bookmarkStart w:id="81" w:name="_Toc120612083"/>
      <w:bookmarkEnd w:id="81"/>
    </w:p>
    <w:p>
      <w:pPr>
        <w:pStyle w:val="56"/>
        <w:ind w:firstLine="420"/>
        <w:rPr>
          <w:rFonts w:ascii="黑体" w:hAnsi="黑体" w:eastAsia="黑体"/>
        </w:rPr>
      </w:pPr>
      <w:r>
        <w:rPr>
          <w:rFonts w:hint="eastAsia" w:ascii="黑体" w:hAnsi="黑体" w:eastAsia="黑体"/>
        </w:rPr>
        <w:t>购入的电力、热力产生的排放</w:t>
      </w:r>
      <w:r>
        <w:rPr>
          <w:rFonts w:ascii="黑体" w:hAnsi="黑体" w:eastAsia="黑体"/>
        </w:rPr>
        <w:t xml:space="preserve">  </w:t>
      </w:r>
      <w:r>
        <w:rPr>
          <w:rFonts w:hint="eastAsia" w:ascii="黑体" w:hAnsi="黑体" w:eastAsia="黑体"/>
        </w:rPr>
        <w:t>emission from purchased electricity and heat</w:t>
      </w:r>
    </w:p>
    <w:p>
      <w:pPr>
        <w:pStyle w:val="56"/>
        <w:ind w:firstLine="420"/>
      </w:pPr>
      <w:r>
        <w:rPr>
          <w:rFonts w:hint="eastAsia"/>
        </w:rPr>
        <w:t>企业消费的购入电力、热力所对应的电力、热力生产环节产生的二氧化碳排放。</w:t>
      </w:r>
    </w:p>
    <w:p>
      <w:pPr>
        <w:pStyle w:val="179"/>
      </w:pPr>
      <w:r>
        <w:rPr>
          <w:rFonts w:hint="eastAsia"/>
        </w:rPr>
        <w:t>热力包括蒸汽、热水。</w:t>
      </w:r>
    </w:p>
    <w:p>
      <w:pPr>
        <w:pStyle w:val="56"/>
        <w:ind w:firstLine="420"/>
        <w:rPr>
          <w:rFonts w:ascii="Times New Roman"/>
        </w:rPr>
      </w:pPr>
      <w:bookmarkStart w:id="82" w:name="_Hlk104189240"/>
      <w:r>
        <w:rPr>
          <w:rFonts w:ascii="Times New Roman"/>
        </w:rPr>
        <w:t>[GB/T 32150-2015，定义3.9]</w:t>
      </w:r>
    </w:p>
    <w:bookmarkEnd w:id="82"/>
    <w:p>
      <w:pPr>
        <w:pStyle w:val="105"/>
        <w:spacing w:before="156" w:after="156"/>
      </w:pPr>
      <w:bookmarkStart w:id="83" w:name="_Toc121397525"/>
      <w:bookmarkEnd w:id="83"/>
      <w:bookmarkStart w:id="84" w:name="_Toc121397321"/>
      <w:bookmarkEnd w:id="84"/>
      <w:bookmarkStart w:id="85" w:name="_Toc121397260"/>
      <w:bookmarkEnd w:id="85"/>
      <w:bookmarkStart w:id="86" w:name="_Toc120612084"/>
      <w:bookmarkEnd w:id="86"/>
    </w:p>
    <w:p>
      <w:pPr>
        <w:pStyle w:val="56"/>
        <w:ind w:firstLine="420"/>
        <w:rPr>
          <w:rFonts w:ascii="黑体" w:hAnsi="黑体" w:eastAsia="黑体"/>
        </w:rPr>
      </w:pPr>
      <w:r>
        <w:rPr>
          <w:rFonts w:hint="eastAsia" w:ascii="黑体" w:hAnsi="黑体" w:eastAsia="黑体"/>
        </w:rPr>
        <w:t>输出的电力、热力产生的排放</w:t>
      </w:r>
      <w:r>
        <w:rPr>
          <w:rFonts w:ascii="黑体" w:hAnsi="黑体" w:eastAsia="黑体"/>
        </w:rPr>
        <w:t xml:space="preserve">  </w:t>
      </w:r>
      <w:r>
        <w:rPr>
          <w:rFonts w:hint="eastAsia" w:ascii="黑体" w:hAnsi="黑体" w:eastAsia="黑体"/>
        </w:rPr>
        <w:t>emission from exported of electricity and heat</w:t>
      </w:r>
    </w:p>
    <w:p>
      <w:pPr>
        <w:spacing w:line="240" w:lineRule="auto"/>
        <w:ind w:firstLine="420" w:firstLineChars="200"/>
      </w:pPr>
      <w:bookmarkStart w:id="87" w:name="_Hlk104189915"/>
      <w:r>
        <w:rPr>
          <w:rFonts w:hint="eastAsia"/>
        </w:rPr>
        <w:t>企业输出的电力、热力所对应的电力、热力生产环节产生的二氧化碳排放。</w:t>
      </w:r>
    </w:p>
    <w:bookmarkEnd w:id="87"/>
    <w:p>
      <w:pPr>
        <w:pStyle w:val="56"/>
        <w:ind w:firstLine="420"/>
        <w:rPr>
          <w:rFonts w:ascii="Times New Roman"/>
        </w:rPr>
      </w:pPr>
      <w:r>
        <w:rPr>
          <w:rFonts w:ascii="Times New Roman"/>
        </w:rPr>
        <w:t>[GB/T 32150-2015，定义3.10]</w:t>
      </w:r>
    </w:p>
    <w:p>
      <w:pPr>
        <w:pStyle w:val="105"/>
        <w:spacing w:before="156" w:after="156"/>
      </w:pPr>
      <w:bookmarkStart w:id="88" w:name="_Toc121397261"/>
      <w:bookmarkEnd w:id="88"/>
      <w:bookmarkStart w:id="89" w:name="_Toc121397322"/>
      <w:bookmarkEnd w:id="89"/>
      <w:bookmarkStart w:id="90" w:name="_Toc121397526"/>
      <w:bookmarkEnd w:id="90"/>
      <w:bookmarkStart w:id="91" w:name="_Toc120612085"/>
      <w:bookmarkEnd w:id="91"/>
    </w:p>
    <w:p>
      <w:pPr>
        <w:pStyle w:val="56"/>
        <w:ind w:firstLine="420"/>
        <w:rPr>
          <w:rFonts w:ascii="黑体" w:hAnsi="黑体" w:eastAsia="黑体"/>
        </w:rPr>
      </w:pPr>
      <w:r>
        <w:rPr>
          <w:rFonts w:hint="eastAsia" w:ascii="黑体" w:hAnsi="黑体" w:eastAsia="黑体"/>
        </w:rPr>
        <w:t xml:space="preserve">活动数据 </w:t>
      </w:r>
      <w:r>
        <w:rPr>
          <w:rFonts w:ascii="黑体" w:hAnsi="黑体" w:eastAsia="黑体"/>
        </w:rPr>
        <w:t xml:space="preserve"> </w:t>
      </w:r>
      <w:r>
        <w:rPr>
          <w:rFonts w:hint="eastAsia" w:ascii="黑体" w:hAnsi="黑体" w:eastAsia="黑体"/>
        </w:rPr>
        <w:t>activity data</w:t>
      </w:r>
    </w:p>
    <w:p>
      <w:pPr>
        <w:pStyle w:val="56"/>
        <w:ind w:firstLine="420"/>
        <w:rPr>
          <w:rFonts w:hAnsi="宋体"/>
        </w:rPr>
      </w:pPr>
      <w:r>
        <w:rPr>
          <w:rFonts w:hint="eastAsia" w:hAnsi="宋体"/>
        </w:rPr>
        <w:t>导致温室气体排放的生产或消费活动量的表征值。</w:t>
      </w:r>
    </w:p>
    <w:p>
      <w:pPr>
        <w:pStyle w:val="179"/>
      </w:pPr>
      <w:r>
        <w:rPr>
          <w:rFonts w:hint="eastAsia"/>
        </w:rPr>
        <w:t>例如各种燃料的消耗量、原材料的使用量、购入的电量、购入的热量等。</w:t>
      </w:r>
    </w:p>
    <w:p>
      <w:pPr>
        <w:pStyle w:val="56"/>
        <w:ind w:firstLine="420"/>
        <w:rPr>
          <w:rFonts w:ascii="Times New Roman"/>
        </w:rPr>
      </w:pPr>
      <w:r>
        <w:rPr>
          <w:rFonts w:ascii="Times New Roman"/>
        </w:rPr>
        <w:t>[GB/T 32150-2015，定义3.12]</w:t>
      </w:r>
    </w:p>
    <w:p>
      <w:pPr>
        <w:pStyle w:val="105"/>
        <w:spacing w:before="156" w:after="156"/>
      </w:pPr>
      <w:bookmarkStart w:id="92" w:name="_Toc121397527"/>
      <w:bookmarkEnd w:id="92"/>
      <w:bookmarkStart w:id="93" w:name="_Toc120612086"/>
      <w:bookmarkEnd w:id="93"/>
      <w:bookmarkStart w:id="94" w:name="_Toc121397323"/>
      <w:bookmarkEnd w:id="94"/>
      <w:bookmarkStart w:id="95" w:name="_Toc121397262"/>
      <w:bookmarkEnd w:id="95"/>
    </w:p>
    <w:p>
      <w:pPr>
        <w:pStyle w:val="56"/>
        <w:ind w:firstLine="420"/>
        <w:rPr>
          <w:rFonts w:ascii="黑体" w:hAnsi="黑体" w:eastAsia="黑体"/>
        </w:rPr>
      </w:pPr>
      <w:r>
        <w:rPr>
          <w:rFonts w:hint="eastAsia" w:ascii="黑体" w:hAnsi="黑体" w:eastAsia="黑体"/>
        </w:rPr>
        <w:t>排放因子</w:t>
      </w:r>
      <w:r>
        <w:rPr>
          <w:rFonts w:ascii="黑体" w:hAnsi="黑体" w:eastAsia="黑体"/>
        </w:rPr>
        <w:t xml:space="preserve">  </w:t>
      </w:r>
      <w:r>
        <w:rPr>
          <w:rFonts w:hint="eastAsia" w:ascii="黑体" w:hAnsi="黑体" w:eastAsia="黑体"/>
        </w:rPr>
        <w:t>emission factor</w:t>
      </w:r>
    </w:p>
    <w:p>
      <w:pPr>
        <w:pStyle w:val="56"/>
        <w:ind w:firstLine="420"/>
      </w:pPr>
      <w:r>
        <w:rPr>
          <w:rFonts w:hint="eastAsia"/>
        </w:rPr>
        <w:t>表征单位生产或消费活动量的温室气体排放的系数。</w:t>
      </w:r>
    </w:p>
    <w:p>
      <w:pPr>
        <w:pStyle w:val="56"/>
        <w:ind w:firstLine="420"/>
        <w:rPr>
          <w:rFonts w:ascii="Times New Roman"/>
        </w:rPr>
      </w:pPr>
      <w:r>
        <w:rPr>
          <w:rFonts w:ascii="Times New Roman"/>
        </w:rPr>
        <w:t>[GB/T 32150-2015，定义3.13]</w:t>
      </w:r>
    </w:p>
    <w:p>
      <w:pPr>
        <w:pStyle w:val="179"/>
      </w:pPr>
      <w:r>
        <w:rPr>
          <w:rFonts w:hint="eastAsia"/>
        </w:rPr>
        <w:t>例如每单位燃料消耗所对应的二氧化碳排放量、购入的每千瓦时电量所对应的二氧化碳排放量等。</w:t>
      </w:r>
    </w:p>
    <w:p>
      <w:pPr>
        <w:pStyle w:val="105"/>
        <w:spacing w:before="156" w:after="156"/>
      </w:pPr>
      <w:bookmarkStart w:id="96" w:name="_Toc121397263"/>
      <w:bookmarkEnd w:id="96"/>
      <w:bookmarkStart w:id="97" w:name="_Toc120612087"/>
      <w:bookmarkEnd w:id="97"/>
      <w:bookmarkStart w:id="98" w:name="_Toc121397324"/>
      <w:bookmarkEnd w:id="98"/>
      <w:bookmarkStart w:id="99" w:name="_Toc121397528"/>
      <w:bookmarkEnd w:id="99"/>
    </w:p>
    <w:p>
      <w:pPr>
        <w:pStyle w:val="56"/>
        <w:ind w:firstLine="420"/>
        <w:rPr>
          <w:rFonts w:ascii="黑体" w:hAnsi="黑体" w:eastAsia="黑体"/>
        </w:rPr>
      </w:pPr>
      <w:r>
        <w:rPr>
          <w:rFonts w:hint="eastAsia" w:ascii="黑体" w:hAnsi="黑体" w:eastAsia="黑体"/>
        </w:rPr>
        <w:t>碳氧化率 carbon oxidation rate</w:t>
      </w:r>
    </w:p>
    <w:p>
      <w:pPr>
        <w:pStyle w:val="56"/>
        <w:ind w:firstLine="420"/>
      </w:pPr>
      <w:r>
        <w:rPr>
          <w:rFonts w:hint="eastAsia"/>
        </w:rPr>
        <w:t>燃料中的碳在燃烧过程中被完全氧化的百分比。</w:t>
      </w:r>
    </w:p>
    <w:p>
      <w:pPr>
        <w:pStyle w:val="56"/>
        <w:ind w:firstLine="420"/>
        <w:rPr>
          <w:rFonts w:ascii="Times New Roman"/>
        </w:rPr>
      </w:pPr>
      <w:r>
        <w:rPr>
          <w:rFonts w:ascii="Times New Roman"/>
        </w:rPr>
        <w:t>[GB/T 32150-2015，定义3.14]</w:t>
      </w:r>
    </w:p>
    <w:p>
      <w:pPr>
        <w:pStyle w:val="104"/>
        <w:spacing w:before="312" w:after="312"/>
      </w:pPr>
      <w:bookmarkStart w:id="100" w:name="_Toc121397264"/>
      <w:bookmarkStart w:id="101" w:name="_Toc121397325"/>
      <w:bookmarkStart w:id="102" w:name="_Toc121397529"/>
      <w:r>
        <w:rPr>
          <w:rFonts w:hint="eastAsia"/>
        </w:rPr>
        <w:t>核算边界</w:t>
      </w:r>
      <w:bookmarkEnd w:id="100"/>
      <w:bookmarkEnd w:id="101"/>
      <w:bookmarkEnd w:id="102"/>
      <w:r>
        <w:rPr>
          <w:rFonts w:hint="eastAsia"/>
          <w:lang w:eastAsia="zh-CN"/>
        </w:rPr>
        <w:t>与报告范围</w:t>
      </w:r>
    </w:p>
    <w:p>
      <w:pPr>
        <w:pStyle w:val="56"/>
        <w:ind w:firstLine="420"/>
      </w:pPr>
      <w:r>
        <w:rPr>
          <w:rFonts w:hint="eastAsia"/>
        </w:rPr>
        <w:t>报告主体应以企业法人或视同法人的独立核算单位为边界，核算和报告其生产系统产生的温室气体排放。生产系统包括主要生产系统、辅助生产系统及直接为生产服务的附属生产系统，其中辅助生产系统包括动力、供电、供水、检验、机修、库房、运输等，附属生产系统包括生产指挥系统（厂部）和厂区内为生产服务的部门和单位（如职工食堂、车间浴室、保健站等）。</w:t>
      </w:r>
    </w:p>
    <w:p>
      <w:pPr>
        <w:pStyle w:val="56"/>
        <w:ind w:firstLine="420"/>
      </w:pPr>
      <w:r>
        <w:rPr>
          <w:rFonts w:hint="eastAsia"/>
        </w:rPr>
        <w:t>烧结墙体材料生产企业在生产过程中，其温室气体排放主要包括燃料燃烧排放、过程排放、购入和输出的电力及热力产生的排放。烧结墙体材料生产企业温室气体核算边界如图1所示。</w:t>
      </w:r>
    </w:p>
    <w:p>
      <w:pPr>
        <w:pStyle w:val="56"/>
        <w:ind w:firstLine="0" w:firstLineChars="0"/>
        <w:jc w:val="center"/>
      </w:pPr>
      <w:r>
        <w:drawing>
          <wp:inline distT="0" distB="0" distL="114300" distR="114300">
            <wp:extent cx="4916170" cy="3723005"/>
            <wp:effectExtent l="0" t="0" r="17780"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4916170" cy="3723005"/>
                    </a:xfrm>
                    <a:prstGeom prst="rect">
                      <a:avLst/>
                    </a:prstGeom>
                    <a:noFill/>
                    <a:ln>
                      <a:noFill/>
                    </a:ln>
                  </pic:spPr>
                </pic:pic>
              </a:graphicData>
            </a:graphic>
          </wp:inline>
        </w:drawing>
      </w:r>
    </w:p>
    <w:p>
      <w:pPr>
        <w:pStyle w:val="114"/>
        <w:spacing w:before="156" w:after="156"/>
      </w:pPr>
      <w:r>
        <w:rPr>
          <w:rFonts w:hint="eastAsia"/>
        </w:rPr>
        <w:t>烧结墙体材料生产企业温室气体核算边界示意图</w:t>
      </w:r>
    </w:p>
    <w:p>
      <w:pPr>
        <w:pStyle w:val="104"/>
        <w:spacing w:before="312" w:after="312"/>
      </w:pPr>
      <w:bookmarkStart w:id="103" w:name="_Toc121397271"/>
      <w:bookmarkStart w:id="104" w:name="_Toc121397328"/>
      <w:bookmarkStart w:id="105" w:name="_Toc121397532"/>
      <w:r>
        <w:rPr>
          <w:rFonts w:hint="eastAsia"/>
        </w:rPr>
        <w:t>核算步骤与核算方法</w:t>
      </w:r>
      <w:bookmarkEnd w:id="103"/>
      <w:bookmarkEnd w:id="104"/>
      <w:bookmarkEnd w:id="105"/>
    </w:p>
    <w:p>
      <w:pPr>
        <w:pStyle w:val="105"/>
        <w:spacing w:before="156" w:after="156"/>
      </w:pPr>
      <w:bookmarkStart w:id="106" w:name="_Toc121397329"/>
      <w:bookmarkStart w:id="107" w:name="_Toc121397272"/>
      <w:bookmarkStart w:id="108" w:name="_Toc121397533"/>
      <w:r>
        <w:rPr>
          <w:rFonts w:hint="eastAsia"/>
        </w:rPr>
        <w:t>核算步骤</w:t>
      </w:r>
      <w:bookmarkEnd w:id="106"/>
      <w:bookmarkEnd w:id="107"/>
      <w:bookmarkEnd w:id="108"/>
    </w:p>
    <w:p>
      <w:pPr>
        <w:pStyle w:val="56"/>
        <w:ind w:firstLine="420"/>
      </w:pPr>
      <w:r>
        <w:rPr>
          <w:rFonts w:hint="eastAsia"/>
        </w:rPr>
        <w:t>报告主体进行企业温室气体排放核算和报告的工作流程包括以下步骤：</w:t>
      </w:r>
    </w:p>
    <w:p>
      <w:pPr>
        <w:pStyle w:val="56"/>
        <w:ind w:firstLine="420"/>
      </w:pPr>
      <w:r>
        <w:rPr>
          <w:rFonts w:hint="eastAsia"/>
        </w:rPr>
        <w:t>a）识别排放源；</w:t>
      </w:r>
    </w:p>
    <w:p>
      <w:pPr>
        <w:pStyle w:val="56"/>
        <w:ind w:firstLine="420"/>
      </w:pPr>
      <w:r>
        <w:rPr>
          <w:rFonts w:hint="eastAsia"/>
        </w:rPr>
        <w:t>b）收集活动数据；</w:t>
      </w:r>
    </w:p>
    <w:p>
      <w:pPr>
        <w:pStyle w:val="56"/>
        <w:ind w:firstLine="420"/>
      </w:pPr>
      <w:r>
        <w:rPr>
          <w:rFonts w:hint="eastAsia"/>
        </w:rPr>
        <w:t>c）选择和获取排放因子数据；</w:t>
      </w:r>
    </w:p>
    <w:p>
      <w:pPr>
        <w:pStyle w:val="56"/>
        <w:ind w:firstLine="420"/>
      </w:pPr>
      <w:r>
        <w:rPr>
          <w:rFonts w:hint="eastAsia"/>
        </w:rPr>
        <w:t>d）分别计算燃料燃烧排放量、过程排放量、购入和输出的电力及热力所对应的排放量；</w:t>
      </w:r>
    </w:p>
    <w:p>
      <w:pPr>
        <w:pStyle w:val="56"/>
        <w:ind w:firstLine="420"/>
      </w:pPr>
      <w:r>
        <w:rPr>
          <w:rFonts w:hint="eastAsia"/>
        </w:rPr>
        <w:t>e）汇总计算企业温室气体排放量。</w:t>
      </w:r>
    </w:p>
    <w:p>
      <w:pPr>
        <w:pStyle w:val="105"/>
        <w:spacing w:before="156" w:after="156"/>
      </w:pPr>
      <w:bookmarkStart w:id="109" w:name="_Toc121397534"/>
      <w:bookmarkStart w:id="110" w:name="_Toc121397273"/>
      <w:bookmarkStart w:id="111" w:name="_Toc121397330"/>
      <w:r>
        <w:rPr>
          <w:rFonts w:hint="eastAsia"/>
        </w:rPr>
        <w:t>核算方法</w:t>
      </w:r>
      <w:bookmarkEnd w:id="109"/>
      <w:bookmarkEnd w:id="110"/>
      <w:bookmarkEnd w:id="111"/>
    </w:p>
    <w:p>
      <w:pPr>
        <w:pStyle w:val="65"/>
        <w:spacing w:before="156" w:after="156"/>
      </w:pPr>
      <w:bookmarkStart w:id="112" w:name="_Toc120612098"/>
      <w:bookmarkStart w:id="113" w:name="_Toc121397274"/>
      <w:r>
        <w:rPr>
          <w:rFonts w:hint="eastAsia"/>
        </w:rPr>
        <w:t>概述</w:t>
      </w:r>
      <w:bookmarkEnd w:id="112"/>
      <w:bookmarkEnd w:id="113"/>
    </w:p>
    <w:p>
      <w:pPr>
        <w:pStyle w:val="56"/>
        <w:ind w:firstLine="420"/>
      </w:pPr>
      <w:bookmarkStart w:id="114" w:name="_Hlk122363793"/>
      <w:r>
        <w:rPr>
          <w:rFonts w:hint="eastAsia"/>
        </w:rPr>
        <w:t>烧结墙体材料生产企业的二氧化碳排放总量等于企业边界内所有的燃料燃烧排放量、过程排放量、企业购入电力和热力产生的排放量之和，扣除输出的电力和热力对应的排放量，按式</w:t>
      </w:r>
      <w:r>
        <w:rPr>
          <w:rFonts w:ascii="Times New Roman"/>
        </w:rPr>
        <w:t>（1）</w:t>
      </w:r>
      <w:r>
        <w:rPr>
          <w:rFonts w:hint="eastAsia"/>
        </w:rPr>
        <w:t>计算：</w:t>
      </w:r>
    </w:p>
    <w:p>
      <w:pPr>
        <w:pStyle w:val="113"/>
      </w:pPr>
      <w:r>
        <w:tab/>
      </w:r>
      <m:oMath>
        <m:r>
          <m:rPr/>
          <w:rPr>
            <w:rFonts w:ascii="Cambria Math" w:hAnsi="Cambria Math"/>
          </w:rPr>
          <m:t>E=</m:t>
        </m:r>
        <m:sSub>
          <m:sSubPr>
            <m:ctrlPr>
              <w:rPr>
                <w:rFonts w:ascii="Cambria Math" w:hAnsi="Cambria Math"/>
                <w:i/>
                <w:iCs/>
              </w:rPr>
            </m:ctrlPr>
          </m:sSubPr>
          <m:e>
            <m:r>
              <m:rPr/>
              <w:rPr>
                <w:rFonts w:ascii="Cambria Math" w:hAnsi="Cambria Math"/>
              </w:rPr>
              <m:t>E</m:t>
            </m:r>
            <m:ctrlPr>
              <w:rPr>
                <w:rFonts w:ascii="Cambria Math" w:hAnsi="Cambria Math"/>
                <w:i/>
                <w:iCs/>
              </w:rPr>
            </m:ctrlPr>
          </m:e>
          <m:sub>
            <m:r>
              <m:rPr/>
              <w:rPr>
                <w:rFonts w:hint="eastAsia" w:ascii="Cambria Math" w:hAnsi="Cambria Math"/>
              </w:rPr>
              <m:t>燃烧</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m:t>
            </m:r>
            <m:ctrlPr>
              <w:rPr>
                <w:rFonts w:ascii="Cambria Math" w:hAnsi="Cambria Math"/>
                <w:i/>
                <w:iCs/>
              </w:rPr>
            </m:ctrlPr>
          </m:e>
          <m:sub>
            <m:r>
              <m:rPr/>
              <w:rPr>
                <w:rFonts w:hint="eastAsia" w:ascii="Cambria Math" w:hAnsi="Cambria Math"/>
              </w:rPr>
              <m:t>过程</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m:t>
            </m:r>
            <m:ctrlPr>
              <w:rPr>
                <w:rFonts w:ascii="Cambria Math" w:hAnsi="Cambria Math"/>
                <w:i/>
                <w:iCs/>
              </w:rPr>
            </m:ctrlPr>
          </m:e>
          <m:sub>
            <m:r>
              <m:rPr/>
              <w:rPr>
                <w:rFonts w:hint="eastAsia" w:ascii="Cambria Math" w:hAnsi="Cambria Math"/>
              </w:rPr>
              <m:t>购入电</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ascii="Cambria Math" w:hAnsi="Cambria Math"/>
              </w:rPr>
              <m:t>E</m:t>
            </m:r>
            <m:ctrlPr>
              <w:rPr>
                <w:rFonts w:ascii="Cambria Math" w:hAnsi="Cambria Math"/>
                <w:i/>
                <w:iCs/>
              </w:rPr>
            </m:ctrlPr>
          </m:e>
          <m:sub>
            <m:r>
              <m:rPr/>
              <w:rPr>
                <w:rFonts w:hint="eastAsia" w:ascii="Cambria Math" w:hAnsi="Cambria Math"/>
              </w:rPr>
              <m:t>购入热</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m:t>
            </m:r>
            <m:ctrlPr>
              <w:rPr>
                <w:rFonts w:ascii="Cambria Math" w:hAnsi="Cambria Math"/>
                <w:i/>
                <w:iCs/>
              </w:rPr>
            </m:ctrlPr>
          </m:e>
          <m:sub>
            <m:r>
              <m:rPr/>
              <w:rPr>
                <w:rFonts w:hint="eastAsia" w:ascii="Cambria Math" w:hAnsi="Cambria Math"/>
              </w:rPr>
              <m:t>输出电</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m:t>
            </m:r>
            <m:ctrlPr>
              <w:rPr>
                <w:rFonts w:ascii="Cambria Math" w:hAnsi="Cambria Math"/>
                <w:i/>
                <w:iCs/>
              </w:rPr>
            </m:ctrlPr>
          </m:e>
          <m:sub>
            <m:r>
              <m:rPr/>
              <w:rPr>
                <w:rFonts w:hint="eastAsia" w:ascii="Cambria Math" w:hAnsi="Cambria Math"/>
              </w:rPr>
              <m:t>输出热</m:t>
            </m:r>
            <m:ctrlPr>
              <w:rPr>
                <w:rFonts w:ascii="Cambria Math" w:hAnsi="Cambria Math"/>
                <w:i/>
                <w:iCs/>
              </w:rPr>
            </m:ctrlPr>
          </m:sub>
        </m:sSub>
      </m:oMath>
      <w:r>
        <w:rPr>
          <w:rFonts w:ascii="微软雅黑" w:hAns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6"/>
        <w:ind w:firstLine="420"/>
        <w:rPr>
          <w:rFonts w:ascii="Times New Roman"/>
        </w:rPr>
      </w:pPr>
      <w:r>
        <w:rPr>
          <w:rFonts w:ascii="Times New Roman"/>
          <w:i/>
          <w:iCs/>
        </w:rPr>
        <w:t xml:space="preserve">E </w:t>
      </w:r>
      <w:r>
        <w:rPr>
          <w:rFonts w:ascii="Times New Roman"/>
        </w:rPr>
        <w:t>——报告主体二氧化碳排放总量，单位为吨二氧化碳（tCO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E</w:t>
      </w:r>
      <w:r>
        <w:rPr>
          <w:rFonts w:ascii="Times New Roman"/>
          <w:i/>
          <w:iCs/>
          <w:vertAlign w:val="subscript"/>
        </w:rPr>
        <w:t>燃烧</w:t>
      </w:r>
      <w:r>
        <w:rPr>
          <w:rFonts w:ascii="Times New Roman"/>
        </w:rPr>
        <w:t>——报告主体的燃料燃烧二氧化碳排放量，单位为吨二氧化碳（tCO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E</w:t>
      </w:r>
      <w:r>
        <w:rPr>
          <w:rFonts w:ascii="Times New Roman"/>
          <w:i/>
          <w:iCs/>
          <w:vertAlign w:val="subscript"/>
        </w:rPr>
        <w:t>过程</w:t>
      </w:r>
      <w:r>
        <w:rPr>
          <w:rFonts w:ascii="Times New Roman"/>
        </w:rPr>
        <w:t>——报告主体在生产过程中原料碳酸盐分解产生的二氧化碳排放量，单位为吨二氧化碳（tCO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E</w:t>
      </w:r>
      <w:r>
        <w:rPr>
          <w:rFonts w:ascii="Times New Roman"/>
          <w:i/>
          <w:iCs/>
          <w:vertAlign w:val="subscript"/>
        </w:rPr>
        <w:t>购入电</w:t>
      </w:r>
      <w:r>
        <w:rPr>
          <w:rFonts w:ascii="Times New Roman"/>
        </w:rPr>
        <w:t>——报告主体购入的电力所产生的二氧化碳排放量，单位为吨二氧化碳（tCO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E</w:t>
      </w:r>
      <w:r>
        <w:rPr>
          <w:rFonts w:ascii="Times New Roman"/>
          <w:i/>
          <w:iCs/>
          <w:vertAlign w:val="subscript"/>
        </w:rPr>
        <w:t>购入热</w:t>
      </w:r>
      <w:r>
        <w:rPr>
          <w:rFonts w:ascii="Times New Roman"/>
        </w:rPr>
        <w:t>——报告主体购入的热力所产生的二氧化碳排放量，单位为吨二氧化碳（tCO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E</w:t>
      </w:r>
      <w:r>
        <w:rPr>
          <w:rFonts w:ascii="Times New Roman"/>
          <w:i/>
          <w:iCs/>
          <w:vertAlign w:val="subscript"/>
        </w:rPr>
        <w:t>输出电</w:t>
      </w:r>
      <w:r>
        <w:rPr>
          <w:rFonts w:ascii="Times New Roman"/>
        </w:rPr>
        <w:t>——报告主体输出的电力所产生的二氧化碳排放量，单位为吨二氧化碳（tCO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E</w:t>
      </w:r>
      <w:r>
        <w:rPr>
          <w:rFonts w:ascii="Times New Roman"/>
          <w:i/>
          <w:iCs/>
          <w:vertAlign w:val="subscript"/>
        </w:rPr>
        <w:t>输出热</w:t>
      </w:r>
      <w:r>
        <w:rPr>
          <w:rFonts w:ascii="Times New Roman"/>
        </w:rPr>
        <w:t>——报告主体输出的热力所产生的二氧化碳排放量，单位为吨二氧化碳（tCO</w:t>
      </w:r>
      <w:r>
        <w:rPr>
          <w:rFonts w:ascii="Times New Roman"/>
          <w:vertAlign w:val="subscript"/>
        </w:rPr>
        <w:t>2</w:t>
      </w:r>
      <w:r>
        <w:rPr>
          <w:rFonts w:ascii="Times New Roman"/>
        </w:rPr>
        <w:t>）。</w:t>
      </w:r>
    </w:p>
    <w:bookmarkEnd w:id="114"/>
    <w:p>
      <w:pPr>
        <w:pStyle w:val="65"/>
        <w:spacing w:before="156" w:after="156"/>
      </w:pPr>
      <w:bookmarkStart w:id="115" w:name="_Toc120612099"/>
      <w:bookmarkStart w:id="116" w:name="_Toc121397275"/>
      <w:r>
        <w:rPr>
          <w:rFonts w:hint="eastAsia"/>
        </w:rPr>
        <w:t>燃料燃烧排放</w:t>
      </w:r>
      <w:bookmarkEnd w:id="115"/>
      <w:bookmarkEnd w:id="116"/>
    </w:p>
    <w:p>
      <w:pPr>
        <w:pStyle w:val="94"/>
        <w:spacing w:before="156" w:after="156"/>
      </w:pPr>
      <w:r>
        <w:rPr>
          <w:rFonts w:hint="eastAsia"/>
        </w:rPr>
        <w:t>计算公式</w:t>
      </w:r>
    </w:p>
    <w:p>
      <w:pPr>
        <w:pStyle w:val="56"/>
        <w:ind w:firstLine="420"/>
        <w:rPr>
          <w:rFonts w:ascii="Times New Roman"/>
        </w:rPr>
      </w:pPr>
      <w:bookmarkStart w:id="117" w:name="_Hlk122363878"/>
      <w:r>
        <w:rPr>
          <w:rFonts w:ascii="Times New Roman"/>
        </w:rPr>
        <w:t>在烧结墙体材料生产中，使用</w:t>
      </w:r>
      <w:r>
        <w:rPr>
          <w:rFonts w:hint="eastAsia" w:ascii="Times New Roman"/>
          <w:lang w:eastAsia="zh-CN"/>
        </w:rPr>
        <w:t>碳质燃料和原料</w:t>
      </w:r>
      <w:r>
        <w:rPr>
          <w:rFonts w:ascii="Times New Roman"/>
        </w:rPr>
        <w:t>燃烧产生的二氧化碳排放，按式</w:t>
      </w:r>
      <w:r>
        <w:rPr>
          <w:rFonts w:hint="eastAsia" w:ascii="Times New Roman"/>
        </w:rPr>
        <w:t>（</w:t>
      </w:r>
      <w:r>
        <w:rPr>
          <w:rFonts w:ascii="Times New Roman"/>
        </w:rPr>
        <w:t>2</w:t>
      </w:r>
      <w:r>
        <w:rPr>
          <w:rFonts w:hint="eastAsia" w:ascii="Times New Roman"/>
        </w:rPr>
        <w:t>）</w:t>
      </w:r>
      <w:r>
        <w:rPr>
          <w:rFonts w:ascii="Times New Roman"/>
        </w:rPr>
        <w:t>~式</w:t>
      </w:r>
      <w:r>
        <w:rPr>
          <w:rFonts w:hint="eastAsia" w:ascii="Times New Roman"/>
        </w:rPr>
        <w:t>（</w:t>
      </w:r>
      <w:r>
        <w:rPr>
          <w:rFonts w:ascii="Times New Roman"/>
        </w:rPr>
        <w:t>4</w:t>
      </w:r>
      <w:r>
        <w:rPr>
          <w:rFonts w:hint="eastAsia" w:ascii="Times New Roman"/>
        </w:rPr>
        <w:t>）</w:t>
      </w:r>
      <w:r>
        <w:rPr>
          <w:rFonts w:ascii="Times New Roman"/>
        </w:rPr>
        <w:t>计算：</w:t>
      </w:r>
    </w:p>
    <w:p>
      <w:pPr>
        <w:pStyle w:val="113"/>
      </w:pPr>
      <w:r>
        <w:tab/>
      </w:r>
      <m:oMath>
        <m:sSub>
          <m:sSubPr>
            <m:ctrlPr>
              <w:rPr>
                <w:rFonts w:ascii="Cambria Math" w:hAnsi="Cambria Math"/>
                <w:i/>
                <w:iCs/>
              </w:rPr>
            </m:ctrlPr>
          </m:sSubPr>
          <m:e>
            <m:r>
              <m:rPr/>
              <w:rPr>
                <w:rFonts w:ascii="Cambria Math" w:hAnsi="Cambria Math"/>
              </w:rPr>
              <m:t>E</m:t>
            </m:r>
            <m:ctrlPr>
              <w:rPr>
                <w:rFonts w:ascii="Cambria Math" w:hAnsi="Cambria Math"/>
                <w:i/>
                <w:iCs/>
              </w:rPr>
            </m:ctrlPr>
          </m:e>
          <m:sub>
            <m:r>
              <m:rPr/>
              <w:rPr>
                <w:rFonts w:hint="eastAsia" w:ascii="Cambria Math" w:hAnsi="Cambria Math"/>
              </w:rPr>
              <m:t>燃烧</m:t>
            </m:r>
            <m:ctrlPr>
              <w:rPr>
                <w:rFonts w:ascii="Cambria Math" w:hAnsi="Cambria Math"/>
                <w:i/>
                <w:iCs/>
              </w:rPr>
            </m:ctrlPr>
          </m:sub>
        </m:sSub>
        <m:r>
          <m:rPr/>
          <w:rPr>
            <w:rFonts w:ascii="Cambria Math" w:hAnsi="Cambria Math"/>
          </w:rPr>
          <m:t>=</m:t>
        </m:r>
        <m:nary>
          <m:naryPr>
            <m:chr m:val="∑"/>
            <m:limLoc m:val="undOvr"/>
            <m:ctrlPr>
              <w:rPr>
                <w:rFonts w:ascii="Cambria Math" w:hAnsi="Cambria Math"/>
                <w:i/>
                <w:iCs/>
              </w:rPr>
            </m:ctrlPr>
          </m:naryPr>
          <m:sub>
            <m:r>
              <m:rPr/>
              <w:rPr>
                <w:rFonts w:hint="eastAsia" w:ascii="Cambria Math" w:hAnsi="Cambria Math"/>
              </w:rPr>
              <m:t>i</m:t>
            </m:r>
            <m:r>
              <m:rPr/>
              <w:rPr>
                <w:rFonts w:ascii="Cambria Math" w:hAnsi="Cambria Math"/>
              </w:rPr>
              <m:t>=1</m:t>
            </m:r>
            <m:ctrlPr>
              <w:rPr>
                <w:rFonts w:ascii="Cambria Math" w:hAnsi="Cambria Math"/>
                <w:i/>
                <w:iCs/>
              </w:rPr>
            </m:ctrlPr>
          </m:sub>
          <m:sup>
            <m:r>
              <m:rPr/>
              <w:rPr>
                <w:rFonts w:hint="eastAsia" w:ascii="Cambria Math" w:hAnsi="Cambria Math"/>
              </w:rPr>
              <m:t>n</m:t>
            </m:r>
            <m:ctrlPr>
              <w:rPr>
                <w:rFonts w:ascii="Cambria Math" w:hAnsi="Cambria Math"/>
                <w:i/>
                <w:iCs/>
              </w:rPr>
            </m:ctrlPr>
          </m:sup>
          <m:e>
            <m:r>
              <m:rPr/>
              <w:rPr>
                <w:rFonts w:hint="eastAsia" w:ascii="Cambria Math" w:hAnsi="Cambria Math"/>
              </w:rPr>
              <m:t>（</m:t>
            </m:r>
            <m:sSub>
              <m:sSubPr>
                <m:ctrlPr>
                  <w:rPr>
                    <w:rFonts w:ascii="Cambria Math" w:hAnsi="Cambria Math"/>
                    <w:i/>
                    <w:iCs/>
                  </w:rPr>
                </m:ctrlPr>
              </m:sSubPr>
              <m:e>
                <m:r>
                  <m:rPr/>
                  <w:rPr>
                    <w:rFonts w:ascii="Cambria Math" w:hAnsi="Cambria Math"/>
                  </w:rPr>
                  <m:t>AD</m:t>
                </m:r>
                <m:ctrlPr>
                  <w:rPr>
                    <w:rFonts w:ascii="Cambria Math" w:hAnsi="Cambria Math"/>
                    <w:i/>
                    <w:iCs/>
                  </w:rPr>
                </m:ctrlPr>
              </m:e>
              <m:sub>
                <m:r>
                  <m:rPr/>
                  <w:rPr>
                    <w:rFonts w:ascii="Cambria Math" w:hAnsi="Cambria Math"/>
                  </w:rPr>
                  <m:t>i</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EF</m:t>
                </m:r>
                <m:ctrlPr>
                  <w:rPr>
                    <w:rFonts w:ascii="Cambria Math" w:hAnsi="Cambria Math"/>
                    <w:i/>
                    <w:iCs/>
                  </w:rPr>
                </m:ctrlPr>
              </m:e>
              <m:sub>
                <m:r>
                  <m:rPr/>
                  <w:rPr>
                    <w:rFonts w:hint="eastAsia" w:ascii="Cambria Math" w:hAnsi="Cambria Math"/>
                  </w:rPr>
                  <m:t>i</m:t>
                </m:r>
                <m:ctrlPr>
                  <w:rPr>
                    <w:rFonts w:ascii="Cambria Math" w:hAnsi="Cambria Math"/>
                    <w:i/>
                    <w:iCs/>
                  </w:rPr>
                </m:ctrlPr>
              </m:sub>
            </m:sSub>
            <m:r>
              <m:rPr/>
              <w:rPr>
                <w:rFonts w:hint="eastAsia" w:ascii="Cambria Math" w:hAnsi="Cambria Math"/>
              </w:rPr>
              <m:t>）</m:t>
            </m:r>
            <m:ctrlPr>
              <w:rPr>
                <w:rFonts w:ascii="Cambria Math" w:hAnsi="Cambria Math"/>
                <w:i/>
                <w:iCs/>
              </w:rPr>
            </m:ctrlPr>
          </m:e>
        </m:nary>
      </m:oMath>
      <w:r>
        <w:rPr>
          <w:rFonts w:ascii="微软雅黑" w:hAnsi="微软雅黑" w:eastAsia="微软雅黑"/>
        </w:rPr>
        <w:tab/>
      </w:r>
      <w:r>
        <w:t>(</w:t>
      </w:r>
      <w:r>
        <w:rPr>
          <w:rFonts w:hint="eastAsia"/>
        </w:rPr>
        <w:t>2</w:t>
      </w:r>
      <w:r>
        <w:t>)</w:t>
      </w:r>
    </w:p>
    <w:p>
      <w:pPr>
        <w:pStyle w:val="55"/>
        <w:ind w:firstLine="420"/>
      </w:pPr>
      <w:r>
        <w:rPr>
          <w:rFonts w:hint="eastAsia"/>
        </w:rPr>
        <w:t>式中：</w:t>
      </w:r>
    </w:p>
    <w:p>
      <w:pPr>
        <w:pStyle w:val="56"/>
        <w:ind w:firstLine="420"/>
        <w:rPr>
          <w:rFonts w:ascii="Times New Roman"/>
        </w:rPr>
      </w:pPr>
      <w:r>
        <w:rPr>
          <w:rFonts w:ascii="Times New Roman"/>
          <w:i/>
          <w:iCs/>
        </w:rPr>
        <w:t>E</w:t>
      </w:r>
      <w:r>
        <w:rPr>
          <w:rFonts w:ascii="Times New Roman"/>
          <w:i/>
          <w:iCs/>
          <w:vertAlign w:val="subscript"/>
        </w:rPr>
        <w:t>燃烧</w:t>
      </w:r>
      <w:r>
        <w:rPr>
          <w:rFonts w:ascii="Times New Roman"/>
        </w:rPr>
        <w:t>——核算和报告期内消耗的燃料燃烧产生的二氧化碳排放，单位为吨二氧化碳（tCO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AD</w:t>
      </w:r>
      <w:r>
        <w:rPr>
          <w:rFonts w:ascii="Times New Roman"/>
          <w:i/>
          <w:iCs/>
          <w:vertAlign w:val="subscript"/>
        </w:rPr>
        <w:t>i</w:t>
      </w:r>
      <w:r>
        <w:rPr>
          <w:rFonts w:ascii="Times New Roman"/>
          <w:i/>
          <w:iCs/>
        </w:rPr>
        <w:t xml:space="preserve"> </w:t>
      </w:r>
      <w:r>
        <w:rPr>
          <w:rFonts w:ascii="Times New Roman"/>
        </w:rPr>
        <w:t>——核算和报告期内消耗的第</w:t>
      </w:r>
      <w:r>
        <w:rPr>
          <w:rFonts w:ascii="Times New Roman"/>
          <w:i/>
          <w:iCs/>
        </w:rPr>
        <w:t>i</w:t>
      </w:r>
      <w:r>
        <w:rPr>
          <w:rFonts w:ascii="Times New Roman"/>
        </w:rPr>
        <w:t>种燃料的活动水平，单位为吉焦（GJ）；</w:t>
      </w:r>
    </w:p>
    <w:p>
      <w:pPr>
        <w:pStyle w:val="56"/>
        <w:ind w:firstLine="420"/>
        <w:rPr>
          <w:rFonts w:ascii="Times New Roman"/>
        </w:rPr>
      </w:pPr>
      <w:r>
        <w:rPr>
          <w:rFonts w:ascii="Times New Roman"/>
          <w:i/>
          <w:iCs/>
        </w:rPr>
        <w:t>EF</w:t>
      </w:r>
      <w:r>
        <w:rPr>
          <w:rFonts w:ascii="Times New Roman"/>
          <w:i/>
          <w:iCs/>
          <w:vertAlign w:val="subscript"/>
        </w:rPr>
        <w:t>i</w:t>
      </w:r>
      <w:r>
        <w:rPr>
          <w:rFonts w:ascii="Times New Roman"/>
          <w:vertAlign w:val="subscript"/>
        </w:rPr>
        <w:t xml:space="preserve"> </w:t>
      </w:r>
      <w:r>
        <w:rPr>
          <w:rFonts w:ascii="Times New Roman"/>
        </w:rPr>
        <w:t>——第</w:t>
      </w:r>
      <w:r>
        <w:rPr>
          <w:rFonts w:ascii="Times New Roman"/>
          <w:i/>
          <w:iCs/>
        </w:rPr>
        <w:t>i</w:t>
      </w:r>
      <w:r>
        <w:rPr>
          <w:rFonts w:ascii="Times New Roman"/>
        </w:rPr>
        <w:t>种燃料的二氧化碳排放因子，单位为吨二氧化碳每吉焦（tCO</w:t>
      </w:r>
      <w:r>
        <w:rPr>
          <w:rFonts w:ascii="Times New Roman"/>
          <w:vertAlign w:val="subscript"/>
        </w:rPr>
        <w:t>2</w:t>
      </w:r>
      <w:r>
        <w:rPr>
          <w:rFonts w:ascii="Times New Roman"/>
        </w:rPr>
        <w:t>/GJ）；</w:t>
      </w:r>
    </w:p>
    <w:p>
      <w:pPr>
        <w:pStyle w:val="56"/>
        <w:ind w:firstLine="420"/>
        <w:rPr>
          <w:rFonts w:ascii="Times New Roman"/>
        </w:rPr>
      </w:pPr>
      <w:r>
        <w:rPr>
          <w:rFonts w:ascii="Times New Roman"/>
          <w:i/>
          <w:iCs/>
        </w:rPr>
        <w:t>i</w:t>
      </w:r>
      <w:r>
        <w:rPr>
          <w:rFonts w:ascii="Times New Roman"/>
        </w:rPr>
        <w:t xml:space="preserve"> ——燃料类型代号。</w:t>
      </w:r>
    </w:p>
    <w:p>
      <w:pPr>
        <w:pStyle w:val="56"/>
        <w:ind w:firstLine="420"/>
        <w:rPr>
          <w:rFonts w:ascii="Times New Roman"/>
        </w:rPr>
      </w:pPr>
      <w:r>
        <w:rPr>
          <w:rFonts w:hint="eastAsia" w:ascii="Times New Roman"/>
        </w:rPr>
        <w:t>核算和报告期内消耗的第i种燃料的活动水平AD</w:t>
      </w:r>
      <w:r>
        <w:rPr>
          <w:rFonts w:hint="eastAsia" w:ascii="Times New Roman"/>
          <w:vertAlign w:val="subscript"/>
        </w:rPr>
        <w:t>i</w:t>
      </w:r>
      <w:r>
        <w:rPr>
          <w:rFonts w:hint="eastAsia" w:ascii="Times New Roman"/>
        </w:rPr>
        <w:t xml:space="preserve">，按式（3）计算： </w:t>
      </w:r>
    </w:p>
    <w:p>
      <w:pPr>
        <w:pStyle w:val="113"/>
      </w:pPr>
      <w:r>
        <w:tab/>
      </w:r>
      <m:oMath>
        <m:sSub>
          <m:sSubPr>
            <m:ctrlPr>
              <w:rPr>
                <w:rFonts w:ascii="Cambria Math" w:hAnsi="Cambria Math"/>
                <w:i/>
                <w:iCs/>
              </w:rPr>
            </m:ctrlPr>
          </m:sSubPr>
          <m:e>
            <m:r>
              <m:rPr/>
              <w:rPr>
                <w:rFonts w:hint="eastAsia" w:ascii="Cambria Math" w:hAnsi="Cambria Math"/>
              </w:rPr>
              <m:t>AD</m:t>
            </m:r>
            <m:ctrlPr>
              <w:rPr>
                <w:rFonts w:ascii="Cambria Math" w:hAnsi="Cambria Math"/>
                <w:i/>
                <w:iCs/>
              </w:rPr>
            </m:ctrlPr>
          </m:e>
          <m:sub>
            <m:r>
              <m:rPr/>
              <w:rPr>
                <w:rFonts w:ascii="Cambria Math" w:hAnsi="Cambria Math"/>
              </w:rPr>
              <m:t>i</m:t>
            </m:r>
            <m:ctrlPr>
              <w:rPr>
                <w:rFonts w:ascii="Cambria Math" w:hAnsi="Cambria Math"/>
                <w:i/>
                <w:iCs/>
              </w:rPr>
            </m:ctrlPr>
          </m:sub>
        </m:sSub>
        <m:r>
          <m:rPr/>
          <w:rPr>
            <w:rFonts w:hint="eastAsia" w:ascii="Cambria Math" w:hAnsi="Cambria Math"/>
          </w:rPr>
          <m:t>=</m:t>
        </m:r>
        <m:sSub>
          <m:sSubPr>
            <m:ctrlPr>
              <w:rPr>
                <w:rFonts w:ascii="Cambria Math" w:hAnsi="Cambria Math"/>
                <w:i/>
                <w:iCs/>
              </w:rPr>
            </m:ctrlPr>
          </m:sSubPr>
          <m:e>
            <m:r>
              <m:rPr/>
              <w:rPr>
                <w:rFonts w:ascii="Cambria Math" w:hAnsi="Cambria Math"/>
              </w:rPr>
              <m:t>NCV</m:t>
            </m:r>
            <m:ctrlPr>
              <w:rPr>
                <w:rFonts w:ascii="Cambria Math" w:hAnsi="Cambria Math"/>
                <w:i/>
                <w:iCs/>
              </w:rPr>
            </m:ctrlPr>
          </m:e>
          <m:sub>
            <m:r>
              <m:rPr/>
              <w:rPr>
                <w:rFonts w:ascii="Cambria Math" w:hAnsi="Cambria Math"/>
              </w:rPr>
              <m:t>i</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ascii="Cambria Math" w:hAnsi="Cambria Math"/>
              </w:rPr>
              <m:t>FC</m:t>
            </m:r>
            <m:ctrlPr>
              <w:rPr>
                <w:rFonts w:ascii="Cambria Math" w:hAnsi="Cambria Math"/>
                <w:i/>
                <w:iCs/>
              </w:rPr>
            </m:ctrlPr>
          </m:e>
          <m:sub>
            <m:r>
              <m:rPr/>
              <w:rPr>
                <w:rFonts w:ascii="Cambria Math" w:hAnsi="Cambria Math"/>
              </w:rPr>
              <m:t>i</m:t>
            </m:r>
            <m:ctrlPr>
              <w:rPr>
                <w:rFonts w:ascii="Cambria Math" w:hAnsi="Cambria Math"/>
                <w:i/>
                <w:iCs/>
              </w:rPr>
            </m:ctrlPr>
          </m:sub>
        </m:sSub>
      </m:oMath>
      <w:r>
        <w:rPr>
          <w:rFonts w:ascii="微软雅黑" w:hAnsi="微软雅黑" w:eastAsia="微软雅黑"/>
        </w:rPr>
        <w:tab/>
      </w:r>
      <w:r>
        <w:t>(</w:t>
      </w:r>
      <w:r>
        <w:rPr>
          <w:rFonts w:hint="eastAsia"/>
        </w:rPr>
        <w:t>3</w:t>
      </w:r>
      <w:r>
        <w:t>)</w:t>
      </w:r>
    </w:p>
    <w:p>
      <w:pPr>
        <w:pStyle w:val="55"/>
        <w:ind w:firstLine="420"/>
      </w:pPr>
      <w:r>
        <w:rPr>
          <w:rFonts w:hint="eastAsia"/>
        </w:rPr>
        <w:t>式中：</w:t>
      </w:r>
    </w:p>
    <w:p>
      <w:pPr>
        <w:pStyle w:val="56"/>
        <w:ind w:firstLine="420"/>
        <w:rPr>
          <w:rFonts w:ascii="Times New Roman"/>
        </w:rPr>
      </w:pPr>
      <w:r>
        <w:rPr>
          <w:rFonts w:ascii="Times New Roman"/>
          <w:i/>
          <w:iCs/>
        </w:rPr>
        <w:t>NCV</w:t>
      </w:r>
      <w:r>
        <w:rPr>
          <w:rFonts w:ascii="Times New Roman"/>
          <w:i/>
          <w:iCs/>
          <w:vertAlign w:val="subscript"/>
        </w:rPr>
        <w:t>i</w:t>
      </w:r>
      <w:r>
        <w:rPr>
          <w:rFonts w:ascii="Times New Roman"/>
          <w:i/>
          <w:iCs/>
        </w:rPr>
        <w:t xml:space="preserve"> </w:t>
      </w:r>
      <w:r>
        <w:rPr>
          <w:rFonts w:ascii="Times New Roman"/>
        </w:rPr>
        <w:t>——核算和报告期内第i种燃料的平均低位发热量。对固体或液体燃料，单位为吉焦每吨（GJ/t）；对气体燃料，单位为吉焦每万标立方米（GJ/10</w:t>
      </w:r>
      <w:r>
        <w:rPr>
          <w:rFonts w:ascii="Times New Roman"/>
          <w:vertAlign w:val="superscript"/>
        </w:rPr>
        <w:t>4</w:t>
      </w:r>
      <w:r>
        <w:rPr>
          <w:rFonts w:ascii="Times New Roman"/>
        </w:rPr>
        <w:t>Nm</w:t>
      </w:r>
      <w:r>
        <w:rPr>
          <w:rFonts w:ascii="Times New Roman"/>
          <w:vertAlign w:val="superscript"/>
        </w:rPr>
        <w:t>3</w:t>
      </w:r>
      <w:r>
        <w:rPr>
          <w:rFonts w:ascii="Times New Roman"/>
        </w:rPr>
        <w:t>）；</w:t>
      </w:r>
    </w:p>
    <w:p>
      <w:pPr>
        <w:pStyle w:val="56"/>
        <w:ind w:firstLine="420"/>
        <w:rPr>
          <w:rFonts w:ascii="Times New Roman"/>
        </w:rPr>
      </w:pPr>
      <w:r>
        <w:rPr>
          <w:rFonts w:ascii="Times New Roman"/>
          <w:i/>
          <w:iCs/>
        </w:rPr>
        <w:t>FC</w:t>
      </w:r>
      <w:r>
        <w:rPr>
          <w:rFonts w:ascii="Times New Roman"/>
          <w:i/>
          <w:iCs/>
          <w:vertAlign w:val="subscript"/>
        </w:rPr>
        <w:t>i</w:t>
      </w:r>
      <w:r>
        <w:rPr>
          <w:rFonts w:ascii="Times New Roman"/>
          <w:i/>
          <w:iCs/>
        </w:rPr>
        <w:t xml:space="preserve"> </w:t>
      </w:r>
      <w:r>
        <w:rPr>
          <w:rFonts w:ascii="Times New Roman"/>
        </w:rPr>
        <w:t xml:space="preserve"> ——核算和报告期内第i种燃料的净消耗量。对固体或液体燃料，单位为吨（t）；对气体燃料，单位为万标立方米（10</w:t>
      </w:r>
      <w:r>
        <w:rPr>
          <w:rFonts w:ascii="Times New Roman"/>
          <w:vertAlign w:val="superscript"/>
        </w:rPr>
        <w:t>4</w:t>
      </w:r>
      <w:r>
        <w:rPr>
          <w:rFonts w:ascii="Times New Roman"/>
        </w:rPr>
        <w:t>Nm</w:t>
      </w:r>
      <w:r>
        <w:rPr>
          <w:rFonts w:ascii="Times New Roman"/>
          <w:vertAlign w:val="superscript"/>
        </w:rPr>
        <w:t>3</w:t>
      </w:r>
      <w:r>
        <w:rPr>
          <w:rFonts w:ascii="Times New Roman"/>
        </w:rPr>
        <w:t>）。</w:t>
      </w:r>
    </w:p>
    <w:p>
      <w:pPr>
        <w:pStyle w:val="56"/>
        <w:ind w:firstLine="420"/>
      </w:pPr>
      <w:r>
        <w:rPr>
          <w:rFonts w:hint="eastAsia"/>
        </w:rPr>
        <w:t>燃料的二氧化碳排放因子按式</w:t>
      </w:r>
      <w:r>
        <w:rPr>
          <w:rFonts w:ascii="Times New Roman"/>
        </w:rPr>
        <w:t>（4）</w:t>
      </w:r>
      <w:r>
        <w:rPr>
          <w:rFonts w:hint="eastAsia"/>
        </w:rPr>
        <w:t>计算：</w:t>
      </w:r>
    </w:p>
    <w:p>
      <w:pPr>
        <w:pStyle w:val="113"/>
      </w:pPr>
      <w:r>
        <w:tab/>
      </w:r>
      <m:oMath>
        <m:sSub>
          <m:sSubPr>
            <m:ctrlPr>
              <w:rPr>
                <w:rFonts w:ascii="Cambria Math" w:hAnsi="Cambria Math"/>
                <w:i/>
                <w:iCs/>
              </w:rPr>
            </m:ctrlPr>
          </m:sSubPr>
          <m:e>
            <m:r>
              <m:rPr/>
              <w:rPr>
                <w:rFonts w:ascii="Cambria Math" w:hAnsi="Cambria Math"/>
              </w:rPr>
              <m:t>EF</m:t>
            </m:r>
            <m:ctrlPr>
              <w:rPr>
                <w:rFonts w:ascii="Cambria Math" w:hAnsi="Cambria Math"/>
                <w:i/>
                <w:iCs/>
              </w:rPr>
            </m:ctrlPr>
          </m:e>
          <m:sub>
            <m:r>
              <m:rPr/>
              <w:rPr>
                <w:rFonts w:ascii="Cambria Math" w:hAnsi="Cambria Math"/>
              </w:rPr>
              <m:t>i</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ascii="Cambria Math" w:hAnsi="Cambria Math"/>
              </w:rPr>
              <m:t>CC</m:t>
            </m:r>
            <m:ctrlPr>
              <w:rPr>
                <w:rFonts w:ascii="Cambria Math" w:hAnsi="Cambria Math"/>
                <w:i/>
                <w:iCs/>
              </w:rPr>
            </m:ctrlPr>
          </m:e>
          <m:sub>
            <m:r>
              <m:rPr/>
              <w:rPr>
                <w:rFonts w:ascii="Cambria Math" w:hAnsi="Cambria Math"/>
              </w:rPr>
              <m:t>i</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ascii="Cambria Math" w:hAnsi="Cambria Math"/>
              </w:rPr>
              <m:t>OF</m:t>
            </m:r>
            <m:ctrlPr>
              <w:rPr>
                <w:rFonts w:ascii="Cambria Math" w:hAnsi="Cambria Math"/>
                <w:i/>
                <w:iCs/>
              </w:rPr>
            </m:ctrlPr>
          </m:e>
          <m:sub>
            <m:r>
              <m:rPr/>
              <w:rPr>
                <w:rFonts w:ascii="Cambria Math" w:hAnsi="Cambria Math"/>
              </w:rPr>
              <m:t>i</m:t>
            </m:r>
            <m:ctrlPr>
              <w:rPr>
                <w:rFonts w:ascii="Cambria Math" w:hAnsi="Cambria Math"/>
                <w:i/>
                <w:iCs/>
              </w:rPr>
            </m:ctrlPr>
          </m:sub>
        </m:sSub>
      </m:oMath>
      <w:r>
        <w:rPr>
          <w:rFonts w:hint="eastAsia"/>
          <w:iCs/>
        </w:rPr>
        <w:t>×</w:t>
      </w:r>
      <m:oMath>
        <m:f>
          <m:fPr>
            <m:ctrlPr>
              <w:rPr>
                <w:rFonts w:ascii="Cambria Math" w:hAnsi="Cambria Math"/>
                <w:i/>
                <w:iCs/>
                <w:sz w:val="28"/>
                <w:szCs w:val="28"/>
              </w:rPr>
            </m:ctrlPr>
          </m:fPr>
          <m:num>
            <m:r>
              <m:rPr/>
              <w:rPr>
                <w:rFonts w:ascii="Cambria Math" w:hAnsi="Cambria Math"/>
                <w:sz w:val="28"/>
                <w:szCs w:val="28"/>
              </w:rPr>
              <m:t>44</m:t>
            </m:r>
            <m:ctrlPr>
              <w:rPr>
                <w:rFonts w:ascii="Cambria Math" w:hAnsi="Cambria Math"/>
                <w:i/>
                <w:iCs/>
                <w:sz w:val="28"/>
                <w:szCs w:val="28"/>
              </w:rPr>
            </m:ctrlPr>
          </m:num>
          <m:den>
            <m:r>
              <m:rPr/>
              <w:rPr>
                <w:rFonts w:ascii="Cambria Math" w:hAnsi="Cambria Math"/>
                <w:sz w:val="28"/>
                <w:szCs w:val="28"/>
              </w:rPr>
              <m:t>12</m:t>
            </m:r>
            <m:ctrlPr>
              <w:rPr>
                <w:rFonts w:ascii="Cambria Math" w:hAnsi="Cambria Math"/>
                <w:i/>
                <w:iCs/>
                <w:sz w:val="28"/>
                <w:szCs w:val="28"/>
              </w:rPr>
            </m:ctrlPr>
          </m:den>
        </m:f>
      </m:oMath>
      <w:r>
        <w:rPr>
          <w:rFonts w:ascii="微软雅黑" w:hAnsi="微软雅黑" w:eastAsia="微软雅黑"/>
        </w:rPr>
        <w:tab/>
      </w:r>
      <w:r>
        <w:t>(</w:t>
      </w:r>
      <w:r>
        <w:rPr>
          <w:rFonts w:hint="eastAsia"/>
        </w:rPr>
        <w:t>4</w:t>
      </w:r>
      <w:r>
        <w:t>)</w:t>
      </w:r>
    </w:p>
    <w:p>
      <w:pPr>
        <w:pStyle w:val="55"/>
        <w:ind w:firstLine="420"/>
      </w:pPr>
      <w:r>
        <w:rPr>
          <w:rFonts w:hint="eastAsia"/>
        </w:rPr>
        <w:t>式中：</w:t>
      </w:r>
    </w:p>
    <w:p>
      <w:pPr>
        <w:pStyle w:val="56"/>
        <w:ind w:firstLine="420"/>
        <w:rPr>
          <w:rFonts w:hint="default" w:ascii="Times New Roman" w:hAnsi="Times New Roman" w:cs="Times New Roman"/>
        </w:rPr>
      </w:pPr>
      <w:r>
        <w:rPr>
          <w:rFonts w:hint="default" w:ascii="Times New Roman" w:hAnsi="Times New Roman" w:cs="Times New Roman"/>
          <w:i/>
          <w:iCs/>
        </w:rPr>
        <w:t>CC</w:t>
      </w:r>
      <w:r>
        <w:rPr>
          <w:rFonts w:hint="default" w:ascii="Times New Roman" w:hAnsi="Times New Roman" w:cs="Times New Roman"/>
          <w:i/>
          <w:iCs/>
          <w:vertAlign w:val="subscript"/>
        </w:rPr>
        <w:t xml:space="preserve">i </w:t>
      </w:r>
      <w:r>
        <w:rPr>
          <w:rFonts w:hint="default" w:ascii="Times New Roman" w:hAnsi="Times New Roman" w:cs="Times New Roman"/>
        </w:rPr>
        <w:t>——第</w:t>
      </w:r>
      <w:r>
        <w:rPr>
          <w:rFonts w:hint="default" w:ascii="Times New Roman" w:hAnsi="Times New Roman" w:cs="Times New Roman"/>
          <w:i/>
          <w:iCs/>
        </w:rPr>
        <w:t>i</w:t>
      </w:r>
      <w:r>
        <w:rPr>
          <w:rFonts w:hint="default" w:ascii="Times New Roman" w:hAnsi="Times New Roman" w:cs="Times New Roman"/>
        </w:rPr>
        <w:t>种燃料的单位热值含碳量，单位为吨碳每吉焦（tC/GJ）；</w:t>
      </w:r>
    </w:p>
    <w:p>
      <w:pPr>
        <w:pStyle w:val="56"/>
        <w:ind w:firstLine="420"/>
        <w:rPr>
          <w:rFonts w:hint="default" w:ascii="Times New Roman" w:hAnsi="Times New Roman" w:cs="Times New Roman"/>
        </w:rPr>
      </w:pPr>
      <w:r>
        <w:rPr>
          <w:rFonts w:hint="default" w:ascii="Times New Roman" w:hAnsi="Times New Roman" w:cs="Times New Roman"/>
          <w:i/>
          <w:iCs/>
        </w:rPr>
        <w:t>OF</w:t>
      </w:r>
      <w:r>
        <w:rPr>
          <w:rFonts w:hint="default" w:ascii="Times New Roman" w:hAnsi="Times New Roman" w:cs="Times New Roman"/>
          <w:i/>
          <w:iCs/>
          <w:vertAlign w:val="subscript"/>
        </w:rPr>
        <w:t xml:space="preserve">i </w:t>
      </w:r>
      <w:r>
        <w:rPr>
          <w:rFonts w:hint="default" w:ascii="Times New Roman" w:hAnsi="Times New Roman" w:cs="Times New Roman"/>
        </w:rPr>
        <w:t>——第</w:t>
      </w:r>
      <w:r>
        <w:rPr>
          <w:rFonts w:hint="default" w:ascii="Times New Roman" w:hAnsi="Times New Roman" w:cs="Times New Roman"/>
          <w:i/>
          <w:iCs/>
        </w:rPr>
        <w:t>i</w:t>
      </w:r>
      <w:r>
        <w:rPr>
          <w:rFonts w:hint="default" w:ascii="Times New Roman" w:hAnsi="Times New Roman" w:cs="Times New Roman"/>
        </w:rPr>
        <w:t>种燃料的碳氧化率，以%表示；</w:t>
      </w:r>
    </w:p>
    <w:p>
      <w:pPr>
        <w:pStyle w:val="56"/>
        <w:ind w:firstLine="420"/>
        <w:rPr>
          <w:rFonts w:hint="default" w:ascii="Times New Roman" w:hAnsi="Times New Roman" w:cs="Times New Roman"/>
        </w:rPr>
      </w:pPr>
      <m:oMath>
        <m:f>
          <m:fPr>
            <m:ctrlPr>
              <w:rPr>
                <w:rFonts w:hint="default" w:ascii="Cambria Math" w:hAnsi="Cambria Math" w:cs="Times New Roman"/>
                <w:i/>
              </w:rPr>
            </m:ctrlPr>
          </m:fPr>
          <m:num>
            <m:r>
              <m:rPr/>
              <w:rPr>
                <w:rFonts w:hint="default" w:ascii="Cambria Math" w:hAnsi="Cambria Math" w:cs="Times New Roman"/>
              </w:rPr>
              <m:t>44</m:t>
            </m:r>
            <m:ctrlPr>
              <w:rPr>
                <w:rFonts w:hint="default" w:ascii="Cambria Math" w:hAnsi="Cambria Math" w:cs="Times New Roman"/>
                <w:i/>
              </w:rPr>
            </m:ctrlPr>
          </m:num>
          <m:den>
            <m:r>
              <m:rPr/>
              <w:rPr>
                <w:rFonts w:hint="default" w:ascii="Cambria Math" w:hAnsi="Cambria Math" w:cs="Times New Roman"/>
              </w:rPr>
              <m:t>12</m:t>
            </m:r>
            <m:ctrlPr>
              <w:rPr>
                <w:rFonts w:hint="default" w:ascii="Cambria Math" w:hAnsi="Cambria Math" w:cs="Times New Roman"/>
                <w:i/>
              </w:rPr>
            </m:ctrlPr>
          </m:den>
        </m:f>
        <m:r>
          <m:rPr/>
          <w:rPr>
            <w:rFonts w:hint="default" w:ascii="Cambria Math" w:hAnsi="Cambria Math" w:cs="Times New Roman"/>
          </w:rPr>
          <m:t xml:space="preserve"> </m:t>
        </m:r>
      </m:oMath>
      <w:r>
        <w:rPr>
          <w:rFonts w:hint="default" w:ascii="Times New Roman" w:hAnsi="Times New Roman" w:cs="Times New Roman"/>
        </w:rPr>
        <w:t>——二氧化碳与碳的相对分子质量之比。</w:t>
      </w:r>
    </w:p>
    <w:bookmarkEnd w:id="117"/>
    <w:p>
      <w:pPr>
        <w:pStyle w:val="94"/>
        <w:spacing w:before="156" w:after="156"/>
      </w:pPr>
      <w:r>
        <w:rPr>
          <w:rFonts w:hint="eastAsia"/>
        </w:rPr>
        <w:t>活动数据获取</w:t>
      </w:r>
    </w:p>
    <w:p>
      <w:pPr>
        <w:pStyle w:val="56"/>
        <w:ind w:firstLine="420"/>
        <w:rPr>
          <w:rFonts w:ascii="Times New Roman"/>
        </w:rPr>
      </w:pPr>
      <w:r>
        <w:rPr>
          <w:rFonts w:ascii="Times New Roman"/>
        </w:rPr>
        <w:t>根据核算和报告期内各种燃料消耗的计量数据来确定各种燃料的消耗量。</w:t>
      </w:r>
      <w:r>
        <w:rPr>
          <w:rFonts w:hint="eastAsia"/>
        </w:rPr>
        <w:t>各种燃料的平均低位发热量应优先采用实测值加权平均取得，实测值可由具备条件的企业自行测定，或委托有资质的专业机构进行检测，也可采用与相关方结算凭证中提供的检测值，燃料低位发热量检测应遵循GB/T 213等相关标准。无实测低位发热量的燃料，可选择采用本文件提供的燃料平均低位发热量数据</w:t>
      </w:r>
      <w:r>
        <w:rPr>
          <w:rFonts w:hint="eastAsia"/>
          <w:lang w:eastAsia="zh-CN"/>
        </w:rPr>
        <w:t>，推荐发热量数据为范围值时，取中间值</w:t>
      </w:r>
      <w:r>
        <w:rPr>
          <w:rFonts w:hint="eastAsia"/>
        </w:rPr>
        <w:t>（</w:t>
      </w:r>
      <w:r>
        <w:rPr>
          <w:rFonts w:hint="eastAsia"/>
          <w:lang w:eastAsia="zh-CN"/>
        </w:rPr>
        <w:t>参</w:t>
      </w:r>
      <w:r>
        <w:rPr>
          <w:rFonts w:hint="eastAsia"/>
        </w:rPr>
        <w:t>见表B.1）。</w:t>
      </w:r>
    </w:p>
    <w:p>
      <w:pPr>
        <w:pStyle w:val="94"/>
        <w:spacing w:before="156" w:after="156"/>
      </w:pPr>
      <w:r>
        <w:rPr>
          <w:rFonts w:hint="eastAsia"/>
        </w:rPr>
        <w:t>排放因子数据获取</w:t>
      </w:r>
    </w:p>
    <w:p>
      <w:pPr>
        <w:pStyle w:val="56"/>
        <w:ind w:firstLine="420"/>
        <w:rPr>
          <w:rFonts w:ascii="Times New Roman"/>
        </w:rPr>
      </w:pPr>
      <w:r>
        <w:rPr>
          <w:rFonts w:ascii="Times New Roman"/>
        </w:rPr>
        <w:t>可采用</w:t>
      </w:r>
      <w:r>
        <w:rPr>
          <w:rFonts w:hint="eastAsia" w:ascii="Times New Roman"/>
        </w:rPr>
        <w:t>本文件</w:t>
      </w:r>
      <w:r>
        <w:rPr>
          <w:rFonts w:ascii="Times New Roman"/>
        </w:rPr>
        <w:t>提供的单位热值含碳量和碳氧化率数据（</w:t>
      </w:r>
      <w:r>
        <w:rPr>
          <w:rFonts w:hint="eastAsia" w:ascii="Times New Roman"/>
          <w:lang w:eastAsia="zh-CN"/>
        </w:rPr>
        <w:t>参</w:t>
      </w:r>
      <w:r>
        <w:rPr>
          <w:rFonts w:ascii="Times New Roman"/>
        </w:rPr>
        <w:t>见表B.1）。</w:t>
      </w:r>
    </w:p>
    <w:p>
      <w:pPr>
        <w:pStyle w:val="65"/>
        <w:spacing w:before="156" w:after="156"/>
      </w:pPr>
      <w:bookmarkStart w:id="118" w:name="_Toc121397276"/>
      <w:bookmarkStart w:id="119" w:name="_Toc120612100"/>
      <w:r>
        <w:rPr>
          <w:rFonts w:hint="eastAsia"/>
        </w:rPr>
        <w:t>过程排放</w:t>
      </w:r>
      <w:bookmarkEnd w:id="118"/>
      <w:bookmarkEnd w:id="119"/>
    </w:p>
    <w:p>
      <w:pPr>
        <w:pStyle w:val="94"/>
        <w:spacing w:before="156" w:after="156"/>
      </w:pPr>
      <w:r>
        <w:rPr>
          <w:rFonts w:hint="eastAsia"/>
        </w:rPr>
        <w:t>计算公式</w:t>
      </w:r>
    </w:p>
    <w:p>
      <w:pPr>
        <w:pStyle w:val="56"/>
        <w:ind w:firstLine="420"/>
      </w:pPr>
      <w:bookmarkStart w:id="120" w:name="_Hlk122364200"/>
      <w:r>
        <w:rPr>
          <w:rFonts w:hint="eastAsia"/>
        </w:rPr>
        <w:t>烧结墙体材料生产过程排放主要指原料</w:t>
      </w:r>
      <w:r>
        <w:rPr>
          <w:rFonts w:hint="eastAsia"/>
          <w:lang w:eastAsia="zh-CN"/>
        </w:rPr>
        <w:t>和燃料</w:t>
      </w:r>
      <w:r>
        <w:rPr>
          <w:rFonts w:hint="eastAsia"/>
        </w:rPr>
        <w:t>碳酸盐分解产生的二氧化碳排放量，可按式（</w:t>
      </w:r>
      <w:r>
        <w:rPr>
          <w:rFonts w:ascii="Times New Roman"/>
        </w:rPr>
        <w:t>5）</w:t>
      </w:r>
      <w:r>
        <w:rPr>
          <w:rFonts w:hint="eastAsia"/>
        </w:rPr>
        <w:t>计算：</w:t>
      </w:r>
    </w:p>
    <w:p>
      <w:pPr>
        <w:pStyle w:val="113"/>
      </w:pPr>
      <w:r>
        <w:tab/>
      </w:r>
      <m:oMath>
        <m:sSub>
          <m:sSubPr>
            <m:ctrlPr>
              <w:rPr>
                <w:rFonts w:ascii="Cambria Math" w:hAnsi="Cambria Math"/>
                <w:i/>
                <w:iCs/>
              </w:rPr>
            </m:ctrlPr>
          </m:sSubPr>
          <m:e>
            <m:r>
              <m:rPr/>
              <w:rPr>
                <w:rFonts w:ascii="Cambria Math" w:hAnsi="Cambria Math"/>
              </w:rPr>
              <m:t>E</m:t>
            </m:r>
            <m:ctrlPr>
              <w:rPr>
                <w:rFonts w:ascii="Cambria Math" w:hAnsi="Cambria Math"/>
                <w:i/>
                <w:iCs/>
              </w:rPr>
            </m:ctrlPr>
          </m:e>
          <m:sub>
            <m:r>
              <m:rPr/>
              <w:rPr>
                <w:rFonts w:hint="default" w:ascii="Cambria Math" w:hAnsi="Cambria Math"/>
                <w:lang w:eastAsia="zh-CN"/>
              </w:rPr>
              <m:t>过程</m:t>
            </m:r>
            <m:ctrlPr>
              <w:rPr>
                <w:rFonts w:ascii="Cambria Math" w:hAnsi="Cambria Math"/>
                <w:i/>
                <w:iCs/>
              </w:rPr>
            </m:ctrlPr>
          </m:sub>
        </m:sSub>
        <m:r>
          <m:rPr/>
          <w:rPr>
            <w:rFonts w:ascii="Cambria Math" w:hAnsi="Cambria Math"/>
          </w:rPr>
          <m:t>=</m:t>
        </m:r>
        <m:f>
          <m:fPr>
            <m:ctrlPr>
              <w:rPr>
                <w:rFonts w:ascii="Cambria Math" w:hAnsi="Cambria Math"/>
                <w:i/>
                <w:iCs/>
                <w:sz w:val="28"/>
                <w:szCs w:val="28"/>
              </w:rPr>
            </m:ctrlPr>
          </m:fPr>
          <m:num>
            <m:r>
              <m:rPr/>
              <w:rPr>
                <w:rFonts w:ascii="Cambria Math" w:hAnsi="Cambria Math"/>
                <w:sz w:val="28"/>
                <w:szCs w:val="28"/>
              </w:rPr>
              <m:t>Q</m:t>
            </m:r>
            <m:ctrlPr>
              <w:rPr>
                <w:rFonts w:ascii="Cambria Math" w:hAnsi="Cambria Math"/>
                <w:i/>
                <w:iCs/>
                <w:sz w:val="28"/>
                <w:szCs w:val="28"/>
              </w:rPr>
            </m:ctrlPr>
          </m:num>
          <m:den>
            <m:r>
              <m:rPr/>
              <w:rPr>
                <w:rFonts w:ascii="Cambria Math" w:hAnsi="Cambria Math"/>
                <w:sz w:val="28"/>
                <w:szCs w:val="28"/>
              </w:rPr>
              <m:t>1−L</m:t>
            </m:r>
            <m:ctrlPr>
              <w:rPr>
                <w:rFonts w:ascii="Cambria Math" w:hAnsi="Cambria Math"/>
                <w:i/>
                <w:iCs/>
                <w:sz w:val="28"/>
                <w:szCs w:val="28"/>
              </w:rPr>
            </m:ctrlPr>
          </m:den>
        </m:f>
      </m:oMath>
      <w:r>
        <w:rPr>
          <w:rFonts w:hint="eastAsia"/>
          <w:iCs/>
        </w:rPr>
        <w:t>×</w:t>
      </w:r>
      <m:oMath>
        <m:r>
          <m:rPr/>
          <w:rPr>
            <w:rFonts w:ascii="Cambria Math" w:hAnsi="Cambria Math"/>
          </w:rPr>
          <m:t>(</m:t>
        </m:r>
        <m:r>
          <m:rPr/>
          <w:rPr>
            <w:rFonts w:ascii="Cambria Math" w:hAnsi="Cambria Math" w:eastAsia="微软雅黑" w:cs="微软雅黑"/>
          </w:rPr>
          <m:t>L−</m:t>
        </m:r>
        <m:r>
          <m:rPr/>
          <w:rPr>
            <w:rFonts w:ascii="Cambria Math" w:hAnsi="Cambria Math"/>
          </w:rPr>
          <m:t>C−W)</m:t>
        </m:r>
      </m:oMath>
      <w:r>
        <w:rPr>
          <w:rFonts w:ascii="微软雅黑" w:hAnsi="微软雅黑" w:eastAsia="微软雅黑"/>
        </w:rPr>
        <w:tab/>
      </w:r>
      <w:r>
        <w:t>(</w:t>
      </w:r>
      <w:r>
        <w:rPr>
          <w:rFonts w:hint="eastAsia"/>
        </w:rPr>
        <w:t>5</w:t>
      </w:r>
      <w:r>
        <w:t>)</w:t>
      </w:r>
    </w:p>
    <w:p>
      <w:pPr>
        <w:pStyle w:val="55"/>
        <w:ind w:firstLine="420"/>
      </w:pPr>
      <w:r>
        <w:rPr>
          <w:rFonts w:hint="eastAsia"/>
        </w:rPr>
        <w:t>式中：</w:t>
      </w:r>
    </w:p>
    <w:p>
      <w:pPr>
        <w:pStyle w:val="56"/>
        <w:ind w:firstLine="420"/>
        <w:rPr>
          <w:rFonts w:ascii="Times New Roman"/>
        </w:rPr>
      </w:pPr>
      <w:r>
        <w:rPr>
          <w:rFonts w:ascii="Times New Roman"/>
          <w:i/>
          <w:iCs/>
        </w:rPr>
        <w:t>E</w:t>
      </w:r>
      <w:r>
        <w:rPr>
          <w:rFonts w:hint="eastAsia" w:ascii="Times New Roman"/>
          <w:i/>
          <w:iCs/>
          <w:vertAlign w:val="subscript"/>
          <w:lang w:eastAsia="zh-CN"/>
        </w:rPr>
        <w:t>过程</w:t>
      </w:r>
      <w:r>
        <w:rPr>
          <w:rFonts w:hint="eastAsia" w:ascii="Times New Roman"/>
          <w:i/>
          <w:iCs/>
          <w:vertAlign w:val="subscript"/>
        </w:rPr>
        <w:t xml:space="preserve"> </w:t>
      </w:r>
      <w:r>
        <w:rPr>
          <w:rFonts w:ascii="Times New Roman"/>
          <w:i/>
          <w:iCs/>
        </w:rPr>
        <w:t>——</w:t>
      </w:r>
      <w:r>
        <w:rPr>
          <w:rFonts w:ascii="Times New Roman"/>
        </w:rPr>
        <w:t>核算和报告期内，原料</w:t>
      </w:r>
      <w:r>
        <w:rPr>
          <w:rFonts w:hint="eastAsia" w:ascii="Times New Roman"/>
          <w:lang w:eastAsia="zh-CN"/>
        </w:rPr>
        <w:t>和燃料</w:t>
      </w:r>
      <w:r>
        <w:rPr>
          <w:rFonts w:ascii="Times New Roman"/>
        </w:rPr>
        <w:t>碳酸盐分解产生的二氧化碳排放量，单位为吨二氧化碳（tCO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 xml:space="preserve">Q </w:t>
      </w:r>
      <w:r>
        <w:rPr>
          <w:rFonts w:ascii="Times New Roman"/>
        </w:rPr>
        <w:t>——烧结墙体材料的产量，单位为吨（t）；</w:t>
      </w:r>
    </w:p>
    <w:p>
      <w:pPr>
        <w:pStyle w:val="56"/>
        <w:ind w:firstLine="420"/>
        <w:rPr>
          <w:rFonts w:ascii="Times New Roman"/>
        </w:rPr>
      </w:pPr>
      <w:r>
        <w:rPr>
          <w:rFonts w:ascii="Times New Roman"/>
          <w:i/>
          <w:iCs/>
        </w:rPr>
        <w:t xml:space="preserve">L </w:t>
      </w:r>
      <w:r>
        <w:rPr>
          <w:rFonts w:ascii="Times New Roman"/>
        </w:rPr>
        <w:t>——干坯料烧失量，以%表示；</w:t>
      </w:r>
    </w:p>
    <w:p>
      <w:pPr>
        <w:pStyle w:val="56"/>
        <w:ind w:firstLine="420"/>
        <w:rPr>
          <w:rFonts w:ascii="Times New Roman"/>
        </w:rPr>
      </w:pPr>
      <w:r>
        <w:rPr>
          <w:rFonts w:ascii="Times New Roman"/>
          <w:i/>
          <w:iCs/>
        </w:rPr>
        <w:t xml:space="preserve">C </w:t>
      </w:r>
      <w:r>
        <w:rPr>
          <w:rFonts w:ascii="Times New Roman"/>
        </w:rPr>
        <w:t>——干坯料中可燃碳元素的质量分数，以%表示</w:t>
      </w:r>
      <w:r>
        <w:rPr>
          <w:rFonts w:hint="eastAsia" w:ascii="Times New Roman"/>
        </w:rPr>
        <w:t>。</w:t>
      </w:r>
    </w:p>
    <w:p>
      <w:pPr>
        <w:pStyle w:val="56"/>
        <w:ind w:firstLine="420"/>
        <w:rPr>
          <w:rFonts w:ascii="Times New Roman"/>
        </w:rPr>
      </w:pPr>
      <w:r>
        <w:rPr>
          <w:rFonts w:ascii="Times New Roman"/>
          <w:i/>
          <w:iCs/>
        </w:rPr>
        <w:t xml:space="preserve">W </w:t>
      </w:r>
      <w:r>
        <w:rPr>
          <w:rFonts w:ascii="Times New Roman"/>
        </w:rPr>
        <w:t>——干坯料中水和其它有机挥发物的质量分数（企业</w:t>
      </w:r>
      <w:r>
        <w:rPr>
          <w:rFonts w:hint="eastAsia" w:ascii="Times New Roman"/>
        </w:rPr>
        <w:t>具备条件</w:t>
      </w:r>
      <w:r>
        <w:rPr>
          <w:rFonts w:ascii="Times New Roman"/>
        </w:rPr>
        <w:t>进行了</w:t>
      </w:r>
      <w:r>
        <w:rPr>
          <w:rFonts w:hint="eastAsia" w:ascii="Times New Roman"/>
        </w:rPr>
        <w:t>相关</w:t>
      </w:r>
      <w:r>
        <w:rPr>
          <w:rFonts w:ascii="Times New Roman"/>
        </w:rPr>
        <w:t>检测</w:t>
      </w:r>
      <w:r>
        <w:rPr>
          <w:rFonts w:hint="eastAsia" w:ascii="Times New Roman"/>
        </w:rPr>
        <w:t>的</w:t>
      </w:r>
      <w:r>
        <w:rPr>
          <w:rFonts w:ascii="Times New Roman"/>
        </w:rPr>
        <w:t>，取实测值</w:t>
      </w:r>
      <w:r>
        <w:rPr>
          <w:rFonts w:hint="eastAsia" w:ascii="Times New Roman"/>
        </w:rPr>
        <w:t>；未进行检测的，</w:t>
      </w:r>
      <w:r>
        <w:rPr>
          <w:rFonts w:ascii="Times New Roman"/>
        </w:rPr>
        <w:t>取固定值2%）</w:t>
      </w:r>
      <w:r>
        <w:rPr>
          <w:rFonts w:hint="eastAsia" w:ascii="Times New Roman"/>
        </w:rPr>
        <w:t>，</w:t>
      </w:r>
      <w:r>
        <w:rPr>
          <w:rFonts w:ascii="Times New Roman"/>
        </w:rPr>
        <w:t>以%表示。</w:t>
      </w:r>
    </w:p>
    <w:p>
      <w:pPr>
        <w:pStyle w:val="56"/>
        <w:ind w:firstLine="420"/>
        <w:rPr>
          <w:rFonts w:ascii="Calibri" w:hAnsi="Calibri"/>
          <w:color w:val="000000" w:themeColor="text1"/>
          <w:kern w:val="2"/>
          <w:szCs w:val="21"/>
          <w14:textFill>
            <w14:solidFill>
              <w14:schemeClr w14:val="tx1"/>
            </w14:solidFill>
          </w14:textFill>
        </w:rPr>
      </w:pPr>
      <w:r>
        <w:rPr>
          <w:rFonts w:hint="eastAsia" w:ascii="Calibri" w:hAnsi="Calibri"/>
          <w:color w:val="000000" w:themeColor="text1"/>
          <w:kern w:val="2"/>
          <w:szCs w:val="21"/>
          <w14:textFill>
            <w14:solidFill>
              <w14:schemeClr w14:val="tx1"/>
            </w14:solidFill>
          </w14:textFill>
        </w:rPr>
        <w:t>烧结墙体材料干坯料中可燃碳元素的质量分数原则上以实测数据为准，无实测数据的根据干坯配热数据按式（6）计算：</w:t>
      </w:r>
    </w:p>
    <w:p>
      <w:pPr>
        <w:pStyle w:val="113"/>
      </w:pPr>
      <w:r>
        <w:tab/>
      </w:r>
      <m:oMath>
        <m:r>
          <m:rPr>
            <m:sty m:val="p"/>
          </m:rPr>
          <w:rPr>
            <w:rFonts w:ascii="Cambria Math" w:hAnsi="Cambria Math"/>
            <w:color w:val="000000" w:themeColor="text1"/>
            <w14:textFill>
              <w14:solidFill>
                <w14:schemeClr w14:val="tx1"/>
              </w14:solidFill>
            </w14:textFill>
          </w:rPr>
          <m:t xml:space="preserve">C </m:t>
        </m:r>
      </m:oMath>
      <w:r>
        <w:rPr>
          <w:rFonts w:hint="eastAsia"/>
          <w:color w:val="000000" w:themeColor="text1"/>
          <w14:textFill>
            <w14:solidFill>
              <w14:schemeClr w14:val="tx1"/>
            </w14:solidFill>
          </w14:textFill>
        </w:rPr>
        <w:t>=</w:t>
      </w:r>
      <m:oMath>
        <m:r>
          <m:rPr/>
          <w:rPr>
            <w:rFonts w:ascii="Cambria Math" w:hAnsi="Cambria Math"/>
            <w:color w:val="FF0000"/>
            <w:sz w:val="22"/>
            <w:szCs w:val="22"/>
          </w:rPr>
          <m:t xml:space="preserve"> </m:t>
        </m:r>
        <m:f>
          <m:fPr>
            <m:ctrlPr>
              <w:rPr>
                <w:rFonts w:ascii="Cambria Math" w:hAnsi="Cambria Math"/>
                <w:i/>
                <w:iCs/>
                <w:sz w:val="32"/>
                <w:szCs w:val="32"/>
              </w:rPr>
            </m:ctrlPr>
          </m:fPr>
          <m:num>
            <m:r>
              <m:rPr/>
              <w:rPr>
                <w:rFonts w:ascii="Cambria Math" w:hAnsi="Cambria Math"/>
                <w:sz w:val="32"/>
                <w:szCs w:val="32"/>
              </w:rPr>
              <m:t>q</m:t>
            </m:r>
            <m:ctrlPr>
              <w:rPr>
                <w:rFonts w:ascii="Cambria Math" w:hAnsi="Cambria Math"/>
                <w:i/>
                <w:iCs/>
                <w:sz w:val="32"/>
                <w:szCs w:val="32"/>
              </w:rPr>
            </m:ctrlPr>
          </m:num>
          <m:den>
            <m:r>
              <m:rPr/>
              <w:rPr>
                <w:rFonts w:ascii="Cambria Math" w:hAnsi="Cambria Math"/>
                <w:sz w:val="32"/>
                <w:szCs w:val="32"/>
              </w:rPr>
              <m:t>32700</m:t>
            </m:r>
            <m:ctrlPr>
              <w:rPr>
                <w:rFonts w:ascii="Cambria Math" w:hAnsi="Cambria Math"/>
                <w:i/>
                <w:iCs/>
                <w:sz w:val="32"/>
                <w:szCs w:val="32"/>
              </w:rPr>
            </m:ctrlPr>
          </m:den>
        </m:f>
      </m:oMath>
      <w:r>
        <w:rPr>
          <w:rFonts w:ascii="微软雅黑" w:hAnsi="微软雅黑" w:eastAsia="微软雅黑"/>
        </w:rPr>
        <w:tab/>
      </w:r>
      <w:r>
        <w:t>(</w:t>
      </w:r>
      <w:r>
        <w:rPr>
          <w:rFonts w:hint="eastAsia"/>
        </w:rPr>
        <w:t>6</w:t>
      </w:r>
      <w:r>
        <w:t>)</w:t>
      </w:r>
    </w:p>
    <w:p>
      <w:pPr>
        <w:pStyle w:val="55"/>
        <w:ind w:firstLine="420"/>
      </w:pPr>
      <w:r>
        <w:rPr>
          <w:rFonts w:hint="eastAsia"/>
        </w:rPr>
        <w:t>式中：</w:t>
      </w:r>
    </w:p>
    <w:p>
      <w:pPr>
        <w:pStyle w:val="56"/>
        <w:ind w:firstLine="420"/>
        <w:rPr>
          <w:rFonts w:ascii="Times New Roman"/>
        </w:rPr>
      </w:pPr>
      <w:r>
        <w:rPr>
          <w:rFonts w:hint="eastAsia" w:ascii="Times New Roman"/>
        </w:rPr>
        <w:t>q</w:t>
      </w:r>
      <w:r>
        <w:rPr>
          <w:rFonts w:ascii="Times New Roman"/>
        </w:rPr>
        <w:t xml:space="preserve"> ——干坯料配热，单位为</w:t>
      </w:r>
      <w:r>
        <w:rPr>
          <w:rFonts w:ascii="Times New Roman"/>
          <w:spacing w:val="20"/>
        </w:rPr>
        <w:t>kJ/kg</w:t>
      </w:r>
      <w:r>
        <w:rPr>
          <w:rFonts w:ascii="Times New Roman"/>
        </w:rPr>
        <w:t>；</w:t>
      </w:r>
    </w:p>
    <w:p>
      <w:pPr>
        <w:pStyle w:val="56"/>
        <w:ind w:firstLine="420"/>
        <w:rPr>
          <w:rFonts w:ascii="Times New Roman"/>
        </w:rPr>
      </w:pPr>
      <w:r>
        <w:rPr>
          <w:rFonts w:ascii="Times New Roman"/>
        </w:rPr>
        <w:t>32700 ——纯碳发热量，单位为</w:t>
      </w:r>
      <w:r>
        <w:rPr>
          <w:rFonts w:ascii="Times New Roman"/>
          <w:spacing w:val="20"/>
        </w:rPr>
        <w:t>kJ/kg</w:t>
      </w:r>
      <w:r>
        <w:rPr>
          <w:rFonts w:ascii="Times New Roman"/>
        </w:rPr>
        <w:t>。</w:t>
      </w:r>
    </w:p>
    <w:p>
      <w:pPr>
        <w:pStyle w:val="94"/>
        <w:spacing w:before="156" w:after="156"/>
      </w:pPr>
      <w:r>
        <w:rPr>
          <w:rFonts w:hint="eastAsia"/>
        </w:rPr>
        <w:t>活动数据获取</w:t>
      </w:r>
    </w:p>
    <w:p>
      <w:pPr>
        <w:pStyle w:val="56"/>
        <w:ind w:firstLine="420"/>
        <w:rPr>
          <w:rFonts w:hint="eastAsia" w:ascii="Times New Roman" w:eastAsia="宋体"/>
          <w:lang w:eastAsia="zh-CN"/>
        </w:rPr>
      </w:pPr>
      <w:r>
        <w:rPr>
          <w:rFonts w:ascii="Times New Roman"/>
        </w:rPr>
        <w:t>烧结墙体材料的产量采用核算和报告期内企业的生产记录数据</w:t>
      </w:r>
      <w:r>
        <w:rPr>
          <w:rFonts w:hint="eastAsia" w:ascii="Times New Roman"/>
          <w:lang w:eastAsia="zh-CN"/>
        </w:rPr>
        <w:t>。</w:t>
      </w:r>
    </w:p>
    <w:bookmarkEnd w:id="120"/>
    <w:p>
      <w:pPr>
        <w:pStyle w:val="65"/>
        <w:spacing w:before="156" w:after="156"/>
      </w:pPr>
      <w:bookmarkStart w:id="121" w:name="_Toc121397277"/>
      <w:bookmarkStart w:id="122" w:name="_Toc120612101"/>
      <w:r>
        <w:rPr>
          <w:rFonts w:hint="eastAsia"/>
        </w:rPr>
        <w:t>购入和输出的电力、热力产生的排放</w:t>
      </w:r>
      <w:bookmarkEnd w:id="121"/>
      <w:bookmarkEnd w:id="122"/>
    </w:p>
    <w:p>
      <w:pPr>
        <w:pStyle w:val="94"/>
        <w:spacing w:before="156" w:after="156"/>
      </w:pPr>
      <w:r>
        <w:rPr>
          <w:rFonts w:hint="eastAsia"/>
        </w:rPr>
        <w:t>计算公式</w:t>
      </w:r>
    </w:p>
    <w:p>
      <w:pPr>
        <w:pStyle w:val="56"/>
        <w:numPr>
          <w:ilvl w:val="0"/>
          <w:numId w:val="32"/>
        </w:numPr>
        <w:ind w:firstLineChars="0"/>
      </w:pPr>
      <w:r>
        <w:rPr>
          <w:rFonts w:hint="eastAsia"/>
        </w:rPr>
        <w:t>购入电力产生的二氧化碳排放量按式（</w:t>
      </w:r>
      <w:r>
        <w:rPr>
          <w:rFonts w:ascii="Times New Roman"/>
        </w:rPr>
        <w:t>7</w:t>
      </w:r>
      <w:r>
        <w:rPr>
          <w:rFonts w:hint="eastAsia"/>
        </w:rPr>
        <w:t>）计算：</w:t>
      </w:r>
    </w:p>
    <w:p>
      <w:pPr>
        <w:pStyle w:val="113"/>
      </w:pPr>
      <w:r>
        <w:tab/>
      </w:r>
      <m:oMath>
        <m:sSub>
          <m:sSubPr>
            <m:ctrlPr>
              <w:rPr>
                <w:rFonts w:ascii="Cambria Math" w:hAnsi="Cambria Math"/>
                <w:i/>
                <w:iCs/>
              </w:rPr>
            </m:ctrlPr>
          </m:sSubPr>
          <m:e>
            <m:r>
              <m:rPr/>
              <w:rPr>
                <w:rFonts w:ascii="Cambria Math" w:hAnsi="Cambria Math"/>
              </w:rPr>
              <m:t>E</m:t>
            </m:r>
            <m:ctrlPr>
              <w:rPr>
                <w:rFonts w:ascii="Cambria Math" w:hAnsi="Cambria Math"/>
                <w:i/>
                <w:iCs/>
              </w:rPr>
            </m:ctrlPr>
          </m:e>
          <m:sub>
            <m:r>
              <m:rPr/>
              <w:rPr>
                <w:rFonts w:hint="eastAsia" w:ascii="Cambria Math" w:hAnsi="Cambria Math"/>
              </w:rPr>
              <m:t>购入电</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AD</m:t>
            </m:r>
            <m:ctrlPr>
              <w:rPr>
                <w:rFonts w:ascii="Cambria Math" w:hAnsi="Cambria Math"/>
                <w:i/>
                <w:iCs/>
              </w:rPr>
            </m:ctrlPr>
          </m:e>
          <m:sub>
            <m:r>
              <m:rPr/>
              <w:rPr>
                <w:rFonts w:hint="eastAsia" w:ascii="Cambria Math" w:hAnsi="Cambria Math"/>
              </w:rPr>
              <m:t>购入电</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EF</m:t>
            </m:r>
            <m:ctrlPr>
              <w:rPr>
                <w:rFonts w:ascii="Cambria Math" w:hAnsi="Cambria Math"/>
                <w:i/>
                <w:iCs/>
              </w:rPr>
            </m:ctrlPr>
          </m:e>
          <m:sub>
            <m:r>
              <m:rPr/>
              <w:rPr>
                <w:rFonts w:hint="eastAsia" w:ascii="Cambria Math" w:hAnsi="Cambria Math"/>
              </w:rPr>
              <m:t>电</m:t>
            </m:r>
            <m:ctrlPr>
              <w:rPr>
                <w:rFonts w:ascii="Cambria Math" w:hAnsi="Cambria Math"/>
                <w:i/>
                <w:iCs/>
              </w:rPr>
            </m:ctrlPr>
          </m:sub>
        </m:sSub>
      </m:oMath>
      <w:r>
        <w:rPr>
          <w:rFonts w:ascii="微软雅黑" w:hAnsi="微软雅黑" w:eastAsia="微软雅黑"/>
        </w:rPr>
        <w:tab/>
      </w:r>
      <w:r>
        <w:t>(</w:t>
      </w:r>
      <w:r>
        <w:rPr>
          <w:rFonts w:hint="eastAsia"/>
        </w:rPr>
        <w:t>7</w:t>
      </w:r>
      <w:r>
        <w:t>)</w:t>
      </w:r>
    </w:p>
    <w:p>
      <w:pPr>
        <w:pStyle w:val="55"/>
        <w:ind w:firstLine="420"/>
      </w:pPr>
      <w:r>
        <w:rPr>
          <w:rFonts w:hint="eastAsia"/>
        </w:rPr>
        <w:t>式中：</w:t>
      </w:r>
    </w:p>
    <w:p>
      <w:pPr>
        <w:pStyle w:val="56"/>
        <w:ind w:firstLine="420"/>
        <w:rPr>
          <w:rFonts w:ascii="Times New Roman"/>
        </w:rPr>
      </w:pPr>
      <w:r>
        <w:rPr>
          <w:rFonts w:ascii="Times New Roman"/>
          <w:i/>
          <w:iCs/>
        </w:rPr>
        <w:t>E</w:t>
      </w:r>
      <w:r>
        <w:rPr>
          <w:rFonts w:ascii="Times New Roman"/>
          <w:i/>
          <w:iCs/>
          <w:vertAlign w:val="subscript"/>
        </w:rPr>
        <w:t>购入电</w:t>
      </w:r>
      <w:r>
        <w:rPr>
          <w:rFonts w:hint="eastAsia" w:ascii="Times New Roman"/>
          <w:i/>
          <w:iCs/>
          <w:vertAlign w:val="subscript"/>
        </w:rPr>
        <w:t xml:space="preserve"> </w:t>
      </w:r>
      <w:r>
        <w:rPr>
          <w:rFonts w:ascii="Times New Roman"/>
        </w:rPr>
        <w:t>——购入电力所产生的二氧化碳排放量，单位为吨二氧化碳（tCO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AD</w:t>
      </w:r>
      <w:r>
        <w:rPr>
          <w:rFonts w:ascii="Times New Roman"/>
          <w:i/>
          <w:iCs/>
          <w:vertAlign w:val="subscript"/>
        </w:rPr>
        <w:t>购入电</w:t>
      </w:r>
      <w:r>
        <w:rPr>
          <w:rFonts w:hint="eastAsia" w:ascii="Times New Roman"/>
          <w:i/>
          <w:iCs/>
          <w:vertAlign w:val="subscript"/>
        </w:rPr>
        <w:t xml:space="preserve"> </w:t>
      </w:r>
      <w:r>
        <w:rPr>
          <w:rFonts w:ascii="Times New Roman"/>
        </w:rPr>
        <w:t>——核算和报告期内购入的电量，单位为兆瓦时（MWh）；</w:t>
      </w:r>
    </w:p>
    <w:p>
      <w:pPr>
        <w:pStyle w:val="56"/>
        <w:ind w:firstLine="420"/>
        <w:rPr>
          <w:rFonts w:ascii="Times New Roman"/>
        </w:rPr>
      </w:pPr>
      <w:r>
        <w:rPr>
          <w:rFonts w:ascii="Times New Roman"/>
          <w:i/>
          <w:iCs/>
        </w:rPr>
        <w:t>EF</w:t>
      </w:r>
      <w:r>
        <w:rPr>
          <w:rFonts w:ascii="Times New Roman"/>
          <w:i/>
          <w:iCs/>
          <w:vertAlign w:val="subscript"/>
        </w:rPr>
        <w:t>电</w:t>
      </w:r>
      <w:r>
        <w:rPr>
          <w:rFonts w:hint="eastAsia" w:ascii="Times New Roman"/>
          <w:i/>
          <w:iCs/>
          <w:vertAlign w:val="subscript"/>
        </w:rPr>
        <w:t xml:space="preserve"> </w:t>
      </w:r>
      <w:r>
        <w:rPr>
          <w:rFonts w:ascii="Times New Roman"/>
          <w:i/>
          <w:iCs/>
          <w:vertAlign w:val="subscript"/>
        </w:rPr>
        <w:t xml:space="preserve"> </w:t>
      </w:r>
      <w:r>
        <w:rPr>
          <w:rFonts w:ascii="Times New Roman"/>
        </w:rPr>
        <w:t>——电力的二氧化碳排放因子，单位为吨二氧化碳每兆瓦时（tCO</w:t>
      </w:r>
      <w:r>
        <w:rPr>
          <w:rFonts w:ascii="Times New Roman"/>
          <w:vertAlign w:val="subscript"/>
        </w:rPr>
        <w:t>2</w:t>
      </w:r>
      <w:r>
        <w:rPr>
          <w:rFonts w:ascii="Times New Roman"/>
        </w:rPr>
        <w:t>/MWh）。</w:t>
      </w:r>
    </w:p>
    <w:p>
      <w:pPr>
        <w:pStyle w:val="56"/>
        <w:numPr>
          <w:ilvl w:val="0"/>
          <w:numId w:val="32"/>
        </w:numPr>
        <w:ind w:firstLineChars="0"/>
        <w:rPr>
          <w:rFonts w:ascii="Times New Roman"/>
        </w:rPr>
      </w:pPr>
      <w:r>
        <w:rPr>
          <w:rFonts w:hint="eastAsia" w:ascii="Times New Roman"/>
        </w:rPr>
        <w:t>购入热力产生的二氧化碳排放量按式（8）计算：</w:t>
      </w:r>
    </w:p>
    <w:p>
      <w:pPr>
        <w:pStyle w:val="113"/>
      </w:pPr>
      <w:r>
        <w:tab/>
      </w:r>
      <m:oMath>
        <m:sSub>
          <m:sSubPr>
            <m:ctrlPr>
              <w:rPr>
                <w:rFonts w:ascii="Cambria Math" w:hAnsi="Cambria Math"/>
                <w:i/>
                <w:iCs/>
              </w:rPr>
            </m:ctrlPr>
          </m:sSubPr>
          <m:e>
            <m:r>
              <m:rPr/>
              <w:rPr>
                <w:rFonts w:ascii="Cambria Math" w:hAnsi="Cambria Math"/>
              </w:rPr>
              <m:t>E</m:t>
            </m:r>
            <m:ctrlPr>
              <w:rPr>
                <w:rFonts w:ascii="Cambria Math" w:hAnsi="Cambria Math"/>
                <w:i/>
                <w:iCs/>
              </w:rPr>
            </m:ctrlPr>
          </m:e>
          <m:sub>
            <m:r>
              <m:rPr/>
              <w:rPr>
                <w:rFonts w:hint="eastAsia" w:ascii="Cambria Math" w:hAnsi="Cambria Math"/>
              </w:rPr>
              <m:t>购入热</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AD</m:t>
            </m:r>
            <m:ctrlPr>
              <w:rPr>
                <w:rFonts w:ascii="Cambria Math" w:hAnsi="Cambria Math"/>
                <w:i/>
                <w:iCs/>
              </w:rPr>
            </m:ctrlPr>
          </m:e>
          <m:sub>
            <m:r>
              <m:rPr/>
              <w:rPr>
                <w:rFonts w:hint="eastAsia" w:ascii="Cambria Math" w:hAnsi="Cambria Math"/>
              </w:rPr>
              <m:t>购入热</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EF</m:t>
            </m:r>
            <m:ctrlPr>
              <w:rPr>
                <w:rFonts w:ascii="Cambria Math" w:hAnsi="Cambria Math"/>
                <w:i/>
                <w:iCs/>
              </w:rPr>
            </m:ctrlPr>
          </m:e>
          <m:sub>
            <m:r>
              <m:rPr/>
              <w:rPr>
                <w:rFonts w:hint="eastAsia" w:ascii="Cambria Math" w:hAnsi="Cambria Math"/>
              </w:rPr>
              <m:t>热</m:t>
            </m:r>
            <m:ctrlPr>
              <w:rPr>
                <w:rFonts w:ascii="Cambria Math" w:hAnsi="Cambria Math"/>
                <w:i/>
                <w:iCs/>
              </w:rPr>
            </m:ctrlPr>
          </m:sub>
        </m:sSub>
      </m:oMath>
      <w:r>
        <w:rPr>
          <w:rFonts w:ascii="微软雅黑" w:hAnsi="微软雅黑" w:eastAsia="微软雅黑"/>
        </w:rPr>
        <w:tab/>
      </w:r>
      <w:r>
        <w:t>(</w:t>
      </w:r>
      <w:r>
        <w:rPr>
          <w:rFonts w:hint="eastAsia"/>
        </w:rPr>
        <w:t>8</w:t>
      </w:r>
      <w:r>
        <w:t>)</w:t>
      </w:r>
    </w:p>
    <w:p>
      <w:pPr>
        <w:pStyle w:val="55"/>
        <w:ind w:firstLine="420"/>
      </w:pPr>
      <w:r>
        <w:rPr>
          <w:rFonts w:hint="eastAsia"/>
        </w:rPr>
        <w:t>式中：</w:t>
      </w:r>
    </w:p>
    <w:p>
      <w:pPr>
        <w:pStyle w:val="56"/>
        <w:ind w:firstLine="420"/>
        <w:rPr>
          <w:rFonts w:ascii="Times New Roman"/>
        </w:rPr>
      </w:pPr>
      <w:r>
        <w:rPr>
          <w:rFonts w:ascii="Times New Roman"/>
          <w:i/>
          <w:iCs/>
        </w:rPr>
        <w:t>E</w:t>
      </w:r>
      <w:r>
        <w:rPr>
          <w:rFonts w:ascii="Times New Roman"/>
          <w:i/>
          <w:iCs/>
          <w:vertAlign w:val="subscript"/>
        </w:rPr>
        <w:t>购入热</w:t>
      </w:r>
      <w:r>
        <w:rPr>
          <w:rFonts w:hint="eastAsia" w:ascii="Times New Roman"/>
          <w:i/>
          <w:iCs/>
          <w:vertAlign w:val="subscript"/>
        </w:rPr>
        <w:t xml:space="preserve"> </w:t>
      </w:r>
      <w:r>
        <w:rPr>
          <w:rFonts w:ascii="Times New Roman"/>
        </w:rPr>
        <w:t>——购入热力所产生的二氧化碳排放量，单位为吨二氧化碳（tCO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AD</w:t>
      </w:r>
      <w:r>
        <w:rPr>
          <w:rFonts w:hint="eastAsia" w:ascii="Times New Roman"/>
          <w:i/>
          <w:iCs/>
          <w:vertAlign w:val="subscript"/>
        </w:rPr>
        <w:t xml:space="preserve">购入热 </w:t>
      </w:r>
      <w:r>
        <w:rPr>
          <w:rFonts w:ascii="Times New Roman"/>
        </w:rPr>
        <w:t>——核算和报告期内购入的热量，单位为吉焦（GJ）；</w:t>
      </w:r>
    </w:p>
    <w:p>
      <w:pPr>
        <w:pStyle w:val="56"/>
        <w:ind w:firstLine="420"/>
        <w:rPr>
          <w:rFonts w:ascii="Times New Roman"/>
        </w:rPr>
      </w:pPr>
      <w:r>
        <w:rPr>
          <w:rFonts w:ascii="Times New Roman"/>
          <w:i/>
          <w:iCs/>
        </w:rPr>
        <w:t>EF</w:t>
      </w:r>
      <w:r>
        <w:rPr>
          <w:rFonts w:ascii="Times New Roman"/>
          <w:i/>
          <w:iCs/>
          <w:vertAlign w:val="subscript"/>
        </w:rPr>
        <w:t>热</w:t>
      </w:r>
      <w:r>
        <w:rPr>
          <w:rFonts w:hint="eastAsia" w:ascii="Times New Roman"/>
          <w:i/>
          <w:iCs/>
          <w:vertAlign w:val="subscript"/>
        </w:rPr>
        <w:t xml:space="preserve"> </w:t>
      </w:r>
      <w:r>
        <w:rPr>
          <w:rFonts w:ascii="Times New Roman"/>
        </w:rPr>
        <w:t>——热力的二氧化碳排放因子，单位为吨二氧化碳每吉焦（tCO</w:t>
      </w:r>
      <w:r>
        <w:rPr>
          <w:rFonts w:ascii="Times New Roman"/>
          <w:vertAlign w:val="subscript"/>
        </w:rPr>
        <w:t>2</w:t>
      </w:r>
      <w:r>
        <w:rPr>
          <w:rFonts w:ascii="Times New Roman"/>
        </w:rPr>
        <w:t>/GJ）。</w:t>
      </w:r>
    </w:p>
    <w:p>
      <w:pPr>
        <w:pStyle w:val="230"/>
        <w:numPr>
          <w:ilvl w:val="0"/>
          <w:numId w:val="32"/>
        </w:numPr>
        <w:ind w:firstLineChars="0"/>
      </w:pPr>
      <w:r>
        <w:rPr>
          <w:rFonts w:hint="eastAsia"/>
        </w:rPr>
        <w:t>输出电力产生的二氧化碳排放量按式（9）计算：</w:t>
      </w:r>
    </w:p>
    <w:p>
      <w:pPr>
        <w:pStyle w:val="113"/>
      </w:pPr>
      <w:r>
        <w:tab/>
      </w:r>
      <m:oMath>
        <m:sSub>
          <m:sSubPr>
            <m:ctrlPr>
              <w:rPr>
                <w:rFonts w:ascii="Cambria Math" w:hAnsi="Cambria Math"/>
                <w:i/>
                <w:iCs/>
              </w:rPr>
            </m:ctrlPr>
          </m:sSubPr>
          <m:e>
            <m:r>
              <m:rPr/>
              <w:rPr>
                <w:rFonts w:hint="eastAsia" w:ascii="Cambria Math" w:hAnsi="Cambria Math"/>
              </w:rPr>
              <m:t>E</m:t>
            </m:r>
            <m:ctrlPr>
              <w:rPr>
                <w:rFonts w:ascii="Cambria Math" w:hAnsi="Cambria Math"/>
                <w:i/>
                <w:iCs/>
              </w:rPr>
            </m:ctrlPr>
          </m:e>
          <m:sub>
            <m:r>
              <m:rPr/>
              <w:rPr>
                <w:rFonts w:hint="eastAsia" w:ascii="Cambria Math" w:hAnsi="Cambria Math"/>
              </w:rPr>
              <m:t>输出电</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AD</m:t>
            </m:r>
            <m:ctrlPr>
              <w:rPr>
                <w:rFonts w:ascii="Cambria Math" w:hAnsi="Cambria Math"/>
                <w:i/>
                <w:iCs/>
              </w:rPr>
            </m:ctrlPr>
          </m:e>
          <m:sub>
            <m:r>
              <m:rPr/>
              <w:rPr>
                <w:rFonts w:hint="eastAsia" w:ascii="Cambria Math" w:hAnsi="Cambria Math"/>
              </w:rPr>
              <m:t>输出电</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EF</m:t>
            </m:r>
            <m:ctrlPr>
              <w:rPr>
                <w:rFonts w:ascii="Cambria Math" w:hAnsi="Cambria Math"/>
                <w:i/>
                <w:iCs/>
              </w:rPr>
            </m:ctrlPr>
          </m:e>
          <m:sub>
            <m:r>
              <m:rPr/>
              <w:rPr>
                <w:rFonts w:hint="eastAsia" w:ascii="Cambria Math" w:hAnsi="Cambria Math"/>
              </w:rPr>
              <m:t>电</m:t>
            </m:r>
            <m:ctrlPr>
              <w:rPr>
                <w:rFonts w:ascii="Cambria Math" w:hAnsi="Cambria Math"/>
                <w:i/>
                <w:iCs/>
              </w:rPr>
            </m:ctrlPr>
          </m:sub>
        </m:sSub>
      </m:oMath>
      <w:r>
        <w:rPr>
          <w:rFonts w:ascii="微软雅黑" w:hAnsi="微软雅黑" w:eastAsia="微软雅黑"/>
        </w:rPr>
        <w:tab/>
      </w:r>
      <w:r>
        <w:t>(</w:t>
      </w:r>
      <w:r>
        <w:rPr>
          <w:rFonts w:hint="eastAsia"/>
        </w:rPr>
        <w:t>9</w:t>
      </w:r>
      <w:r>
        <w:t>)</w:t>
      </w:r>
    </w:p>
    <w:p>
      <w:pPr>
        <w:pStyle w:val="55"/>
        <w:ind w:firstLine="420"/>
      </w:pPr>
      <w:r>
        <w:rPr>
          <w:rFonts w:hint="eastAsia"/>
        </w:rPr>
        <w:t>式中：</w:t>
      </w:r>
    </w:p>
    <w:p>
      <w:pPr>
        <w:pStyle w:val="56"/>
        <w:ind w:firstLine="420"/>
        <w:rPr>
          <w:rFonts w:ascii="Times New Roman"/>
        </w:rPr>
      </w:pPr>
      <w:r>
        <w:rPr>
          <w:rFonts w:ascii="Times New Roman"/>
          <w:i/>
          <w:iCs/>
        </w:rPr>
        <w:t>E</w:t>
      </w:r>
      <w:r>
        <w:rPr>
          <w:rFonts w:ascii="Times New Roman"/>
          <w:i/>
          <w:iCs/>
          <w:vertAlign w:val="subscript"/>
        </w:rPr>
        <w:t>输出电</w:t>
      </w:r>
      <w:r>
        <w:rPr>
          <w:rFonts w:hint="eastAsia" w:ascii="Times New Roman"/>
          <w:i/>
          <w:iCs/>
          <w:vertAlign w:val="subscript"/>
        </w:rPr>
        <w:t xml:space="preserve"> </w:t>
      </w:r>
      <w:r>
        <w:rPr>
          <w:rFonts w:ascii="Times New Roman"/>
        </w:rPr>
        <w:t>——输出电力所产生的二氧化碳排放量，单位为吨二氧化碳（tCO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AD</w:t>
      </w:r>
      <w:r>
        <w:rPr>
          <w:rFonts w:ascii="Times New Roman"/>
          <w:i/>
          <w:iCs/>
          <w:vertAlign w:val="subscript"/>
        </w:rPr>
        <w:t>输出电</w:t>
      </w:r>
      <w:r>
        <w:rPr>
          <w:rFonts w:hint="eastAsia" w:ascii="Times New Roman"/>
          <w:i/>
          <w:iCs/>
          <w:vertAlign w:val="subscript"/>
        </w:rPr>
        <w:t xml:space="preserve"> </w:t>
      </w:r>
      <w:r>
        <w:rPr>
          <w:rFonts w:ascii="Times New Roman"/>
        </w:rPr>
        <w:t>——核算和报告期内输出的电量，单位为兆瓦时（MWh）；</w:t>
      </w:r>
    </w:p>
    <w:p>
      <w:pPr>
        <w:pStyle w:val="56"/>
        <w:ind w:firstLine="420"/>
        <w:rPr>
          <w:rFonts w:ascii="Times New Roman"/>
        </w:rPr>
      </w:pPr>
      <w:r>
        <w:rPr>
          <w:rFonts w:ascii="Times New Roman"/>
          <w:i/>
          <w:iCs/>
        </w:rPr>
        <w:t>EF</w:t>
      </w:r>
      <w:r>
        <w:rPr>
          <w:rFonts w:ascii="Times New Roman"/>
          <w:i/>
          <w:iCs/>
          <w:vertAlign w:val="subscript"/>
        </w:rPr>
        <w:t>电</w:t>
      </w:r>
      <w:r>
        <w:rPr>
          <w:rFonts w:hint="eastAsia" w:ascii="Times New Roman"/>
          <w:i/>
          <w:iCs/>
          <w:vertAlign w:val="subscript"/>
        </w:rPr>
        <w:t xml:space="preserve"> </w:t>
      </w:r>
      <w:r>
        <w:rPr>
          <w:rFonts w:ascii="Times New Roman"/>
          <w:i/>
          <w:iCs/>
          <w:vertAlign w:val="subscript"/>
        </w:rPr>
        <w:t xml:space="preserve"> </w:t>
      </w:r>
      <w:r>
        <w:rPr>
          <w:rFonts w:ascii="Times New Roman"/>
        </w:rPr>
        <w:t>——电力的二氧化碳排放因子，单位为吨二氧化碳每兆瓦时（tCO</w:t>
      </w:r>
      <w:r>
        <w:rPr>
          <w:rFonts w:ascii="Times New Roman"/>
          <w:vertAlign w:val="subscript"/>
        </w:rPr>
        <w:t>2</w:t>
      </w:r>
      <w:r>
        <w:rPr>
          <w:rFonts w:ascii="Times New Roman"/>
        </w:rPr>
        <w:t>/MWh）。</w:t>
      </w:r>
    </w:p>
    <w:p>
      <w:pPr>
        <w:pStyle w:val="230"/>
        <w:numPr>
          <w:ilvl w:val="0"/>
          <w:numId w:val="32"/>
        </w:numPr>
        <w:ind w:firstLineChars="0"/>
      </w:pPr>
      <w:r>
        <w:rPr>
          <w:rFonts w:hint="eastAsia"/>
        </w:rPr>
        <w:t>输出热力产生的二氧化碳排放量按式（</w:t>
      </w:r>
      <w:r>
        <w:rPr>
          <w:rFonts w:ascii="Times New Roman" w:hAnsi="Times New Roman"/>
        </w:rPr>
        <w:t>10</w:t>
      </w:r>
      <w:r>
        <w:rPr>
          <w:rFonts w:hint="eastAsia"/>
        </w:rPr>
        <w:t>）计算：</w:t>
      </w:r>
    </w:p>
    <w:p>
      <w:pPr>
        <w:pStyle w:val="113"/>
      </w:pPr>
      <w:r>
        <w:tab/>
      </w:r>
      <m:oMath>
        <m:sSub>
          <m:sSubPr>
            <m:ctrlPr>
              <w:rPr>
                <w:rFonts w:ascii="Cambria Math" w:hAnsi="Cambria Math"/>
                <w:i/>
                <w:iCs/>
              </w:rPr>
            </m:ctrlPr>
          </m:sSubPr>
          <m:e>
            <m:r>
              <m:rPr/>
              <w:rPr>
                <w:rFonts w:hint="eastAsia" w:ascii="Cambria Math" w:hAnsi="Cambria Math"/>
              </w:rPr>
              <m:t>E</m:t>
            </m:r>
            <m:ctrlPr>
              <w:rPr>
                <w:rFonts w:ascii="Cambria Math" w:hAnsi="Cambria Math"/>
                <w:i/>
                <w:iCs/>
              </w:rPr>
            </m:ctrlPr>
          </m:e>
          <m:sub>
            <m:r>
              <m:rPr/>
              <w:rPr>
                <w:rFonts w:hint="eastAsia" w:ascii="Cambria Math" w:hAnsi="Cambria Math"/>
              </w:rPr>
              <m:t>输出热</m:t>
            </m:r>
            <m:ctrlPr>
              <w:rPr>
                <w:rFonts w:ascii="Cambria Math" w:hAnsi="Cambria Math"/>
                <w:i/>
                <w:iCs/>
              </w:rPr>
            </m:ctrlPr>
          </m:sub>
        </m:sSub>
        <m:r>
          <m:rPr/>
          <w:rPr>
            <w:rFonts w:hint="eastAsia" w:ascii="Cambria Math" w:hAnsi="Cambria Math"/>
          </w:rPr>
          <m:t>=</m:t>
        </m:r>
        <m:sSub>
          <m:sSubPr>
            <m:ctrlPr>
              <w:rPr>
                <w:rFonts w:ascii="Cambria Math" w:hAnsi="Cambria Math"/>
                <w:i/>
                <w:iCs/>
              </w:rPr>
            </m:ctrlPr>
          </m:sSubPr>
          <m:e>
            <m:r>
              <m:rPr/>
              <w:rPr>
                <w:rFonts w:hint="eastAsia" w:ascii="Cambria Math" w:hAnsi="Cambria Math"/>
              </w:rPr>
              <m:t>AD</m:t>
            </m:r>
            <m:ctrlPr>
              <w:rPr>
                <w:rFonts w:ascii="Cambria Math" w:hAnsi="Cambria Math"/>
                <w:i/>
                <w:iCs/>
              </w:rPr>
            </m:ctrlPr>
          </m:e>
          <m:sub>
            <m:r>
              <m:rPr/>
              <w:rPr>
                <w:rFonts w:hint="eastAsia" w:ascii="Cambria Math" w:hAnsi="Cambria Math"/>
              </w:rPr>
              <m:t>输出热</m:t>
            </m:r>
            <m:ctrlPr>
              <w:rPr>
                <w:rFonts w:ascii="Cambria Math" w:hAnsi="Cambria Math"/>
                <w:i/>
                <w:iCs/>
              </w:rPr>
            </m:ctrlPr>
          </m:sub>
        </m:sSub>
        <m:r>
          <m:rPr/>
          <w:rPr>
            <w:rFonts w:ascii="Cambria Math" w:hAnsi="Cambria Math"/>
          </w:rPr>
          <m:t>+</m:t>
        </m:r>
        <m:sSub>
          <m:sSubPr>
            <m:ctrlPr>
              <w:rPr>
                <w:rFonts w:ascii="Cambria Math" w:hAnsi="Cambria Math"/>
                <w:i/>
                <w:iCs/>
              </w:rPr>
            </m:ctrlPr>
          </m:sSubPr>
          <m:e>
            <m:r>
              <m:rPr/>
              <w:rPr>
                <w:rFonts w:hint="eastAsia" w:ascii="Cambria Math" w:hAnsi="Cambria Math"/>
              </w:rPr>
              <m:t>EF</m:t>
            </m:r>
            <m:ctrlPr>
              <w:rPr>
                <w:rFonts w:ascii="Cambria Math" w:hAnsi="Cambria Math"/>
                <w:i/>
                <w:iCs/>
              </w:rPr>
            </m:ctrlPr>
          </m:e>
          <m:sub>
            <m:r>
              <m:rPr/>
              <w:rPr>
                <w:rFonts w:hint="eastAsia" w:ascii="Cambria Math" w:hAnsi="Cambria Math"/>
              </w:rPr>
              <m:t>热</m:t>
            </m:r>
            <m:ctrlPr>
              <w:rPr>
                <w:rFonts w:ascii="Cambria Math" w:hAnsi="Cambria Math"/>
                <w:i/>
                <w:iCs/>
              </w:rPr>
            </m:ctrlPr>
          </m:sub>
        </m:sSub>
      </m:oMath>
      <w:r>
        <w:rPr>
          <w:rFonts w:ascii="微软雅黑" w:hAnsi="微软雅黑" w:eastAsia="微软雅黑"/>
        </w:rPr>
        <w:tab/>
      </w:r>
      <w:r>
        <w:t>(</w:t>
      </w:r>
      <w:r>
        <w:fldChar w:fldCharType="begin"/>
      </w:r>
      <w:r>
        <w:instrText xml:space="preserve"> AUTONUM </w:instrText>
      </w:r>
      <w:r>
        <w:fldChar w:fldCharType="end"/>
      </w:r>
      <w:r>
        <w:rPr>
          <w:rFonts w:hint="eastAsia"/>
        </w:rPr>
        <w:t>0</w:t>
      </w:r>
      <w:r>
        <w:t>)</w:t>
      </w:r>
    </w:p>
    <w:p>
      <w:pPr>
        <w:pStyle w:val="55"/>
        <w:ind w:firstLine="420"/>
      </w:pPr>
      <w:r>
        <w:rPr>
          <w:rFonts w:hint="eastAsia"/>
        </w:rPr>
        <w:t>式中：</w:t>
      </w:r>
    </w:p>
    <w:p>
      <w:pPr>
        <w:pStyle w:val="56"/>
        <w:ind w:firstLine="420"/>
        <w:rPr>
          <w:rFonts w:ascii="Times New Roman"/>
        </w:rPr>
      </w:pPr>
      <w:r>
        <w:rPr>
          <w:rFonts w:ascii="Times New Roman"/>
          <w:i/>
          <w:iCs/>
        </w:rPr>
        <w:t>E</w:t>
      </w:r>
      <w:r>
        <w:rPr>
          <w:rFonts w:ascii="Times New Roman"/>
          <w:i/>
          <w:iCs/>
          <w:vertAlign w:val="subscript"/>
        </w:rPr>
        <w:t>输出热</w:t>
      </w:r>
      <w:r>
        <w:rPr>
          <w:rFonts w:hint="eastAsia" w:ascii="Times New Roman"/>
          <w:i/>
          <w:iCs/>
          <w:vertAlign w:val="subscript"/>
        </w:rPr>
        <w:t xml:space="preserve"> </w:t>
      </w:r>
      <w:r>
        <w:rPr>
          <w:rFonts w:ascii="Times New Roman"/>
        </w:rPr>
        <w:t>——输出热力所产生的二氧化碳排放量，单位为吨二氧化碳（tCO</w:t>
      </w:r>
      <w:r>
        <w:rPr>
          <w:rFonts w:ascii="Times New Roman"/>
          <w:vertAlign w:val="subscript"/>
        </w:rPr>
        <w:t>2</w:t>
      </w:r>
      <w:r>
        <w:rPr>
          <w:rFonts w:ascii="Times New Roman"/>
        </w:rPr>
        <w:t>）；</w:t>
      </w:r>
    </w:p>
    <w:p>
      <w:pPr>
        <w:pStyle w:val="56"/>
        <w:ind w:firstLine="420"/>
        <w:rPr>
          <w:rFonts w:ascii="Times New Roman"/>
        </w:rPr>
      </w:pPr>
      <w:r>
        <w:rPr>
          <w:rFonts w:ascii="Times New Roman"/>
          <w:i/>
          <w:iCs/>
        </w:rPr>
        <w:t>AD</w:t>
      </w:r>
      <w:r>
        <w:rPr>
          <w:rFonts w:ascii="Times New Roman"/>
          <w:i/>
          <w:iCs/>
          <w:vertAlign w:val="subscript"/>
        </w:rPr>
        <w:t>输出热</w:t>
      </w:r>
      <w:r>
        <w:rPr>
          <w:rFonts w:hint="eastAsia" w:ascii="Times New Roman"/>
          <w:i/>
          <w:iCs/>
          <w:vertAlign w:val="subscript"/>
        </w:rPr>
        <w:t xml:space="preserve"> </w:t>
      </w:r>
      <w:r>
        <w:rPr>
          <w:rFonts w:ascii="Times New Roman"/>
        </w:rPr>
        <w:t>——核算和报告期内输出的热量，单位为吉焦（GJ）；</w:t>
      </w:r>
    </w:p>
    <w:p>
      <w:pPr>
        <w:pStyle w:val="56"/>
        <w:ind w:firstLine="420"/>
        <w:rPr>
          <w:rFonts w:ascii="Times New Roman"/>
        </w:rPr>
      </w:pPr>
      <w:r>
        <w:rPr>
          <w:rFonts w:ascii="Times New Roman"/>
          <w:i/>
          <w:iCs/>
        </w:rPr>
        <w:t>EF</w:t>
      </w:r>
      <w:r>
        <w:rPr>
          <w:rFonts w:ascii="Times New Roman"/>
          <w:i/>
          <w:iCs/>
          <w:vertAlign w:val="subscript"/>
        </w:rPr>
        <w:t>热</w:t>
      </w:r>
      <w:r>
        <w:rPr>
          <w:rFonts w:hint="eastAsia" w:ascii="Times New Roman"/>
          <w:i/>
          <w:iCs/>
          <w:vertAlign w:val="subscript"/>
        </w:rPr>
        <w:t xml:space="preserve"> </w:t>
      </w:r>
      <w:r>
        <w:rPr>
          <w:rFonts w:ascii="Times New Roman"/>
          <w:i/>
          <w:iCs/>
          <w:vertAlign w:val="subscript"/>
        </w:rPr>
        <w:t xml:space="preserve"> </w:t>
      </w:r>
      <w:r>
        <w:rPr>
          <w:rFonts w:ascii="Times New Roman"/>
        </w:rPr>
        <w:t>——热力的二氧化碳排放因子，单位为吨二氧化碳每吉焦（tCO</w:t>
      </w:r>
      <w:r>
        <w:rPr>
          <w:rFonts w:ascii="Times New Roman"/>
          <w:vertAlign w:val="subscript"/>
        </w:rPr>
        <w:t>2</w:t>
      </w:r>
      <w:r>
        <w:rPr>
          <w:rFonts w:ascii="Times New Roman"/>
        </w:rPr>
        <w:t>/GJ）。</w:t>
      </w:r>
    </w:p>
    <w:p>
      <w:pPr>
        <w:pStyle w:val="94"/>
        <w:spacing w:before="156" w:after="156"/>
      </w:pPr>
      <w:r>
        <w:rPr>
          <w:rFonts w:hint="eastAsia"/>
        </w:rPr>
        <w:t>活动数据获取</w:t>
      </w:r>
    </w:p>
    <w:p>
      <w:pPr>
        <w:pStyle w:val="56"/>
        <w:ind w:firstLine="420"/>
      </w:pPr>
      <w:r>
        <w:rPr>
          <w:rFonts w:hint="eastAsia"/>
        </w:rPr>
        <w:t>活动数据以企业电表、热力表记录的读数为准，也可采用供应商提供的发票或者结算单等结算凭证上的数据。</w:t>
      </w:r>
    </w:p>
    <w:p>
      <w:pPr>
        <w:pStyle w:val="94"/>
        <w:spacing w:before="156" w:after="156"/>
      </w:pPr>
      <w:r>
        <w:rPr>
          <w:rFonts w:hint="eastAsia"/>
        </w:rPr>
        <w:t>排放因子数据获取</w:t>
      </w:r>
    </w:p>
    <w:p>
      <w:pPr>
        <w:pStyle w:val="56"/>
        <w:ind w:firstLine="420"/>
        <w:rPr>
          <w:rFonts w:ascii="Times New Roman"/>
        </w:rPr>
      </w:pPr>
      <w:r>
        <w:rPr>
          <w:rFonts w:ascii="Times New Roman"/>
        </w:rPr>
        <w:t>电力</w:t>
      </w:r>
      <w:r>
        <w:rPr>
          <w:rFonts w:hint="eastAsia" w:ascii="Times New Roman"/>
          <w:lang w:eastAsia="zh-CN"/>
        </w:rPr>
        <w:t>、热力</w:t>
      </w:r>
      <w:r>
        <w:rPr>
          <w:rFonts w:ascii="Times New Roman"/>
        </w:rPr>
        <w:t>消费的排放因子可采用</w:t>
      </w:r>
      <w:r>
        <w:rPr>
          <w:rFonts w:hint="eastAsia" w:ascii="Times New Roman"/>
        </w:rPr>
        <w:t>本文件</w:t>
      </w:r>
      <w:r>
        <w:rPr>
          <w:rFonts w:ascii="Times New Roman"/>
        </w:rPr>
        <w:t>提供的数据（见表B.</w:t>
      </w:r>
      <w:r>
        <w:rPr>
          <w:rFonts w:hint="eastAsia" w:ascii="Times New Roman"/>
          <w:lang w:val="en-US" w:eastAsia="zh-CN"/>
        </w:rPr>
        <w:t>2</w:t>
      </w:r>
      <w:r>
        <w:rPr>
          <w:rFonts w:ascii="Times New Roman"/>
        </w:rPr>
        <w:t>），也可采用政府主管部门发布的官方数据。</w:t>
      </w:r>
    </w:p>
    <w:p>
      <w:pPr>
        <w:pStyle w:val="104"/>
        <w:spacing w:before="312" w:after="312"/>
      </w:pPr>
      <w:bookmarkStart w:id="123" w:name="_Toc121397331"/>
      <w:bookmarkStart w:id="124" w:name="_Toc121397278"/>
      <w:bookmarkStart w:id="125" w:name="_Toc121397535"/>
      <w:r>
        <w:rPr>
          <w:rFonts w:hint="eastAsia"/>
        </w:rPr>
        <w:t>数据质量管理</w:t>
      </w:r>
      <w:bookmarkEnd w:id="123"/>
      <w:bookmarkEnd w:id="124"/>
      <w:bookmarkEnd w:id="125"/>
    </w:p>
    <w:p>
      <w:pPr>
        <w:pStyle w:val="56"/>
        <w:ind w:firstLine="420"/>
      </w:pPr>
      <w:r>
        <w:rPr>
          <w:rFonts w:hint="eastAsia"/>
        </w:rPr>
        <w:t>报告主体宜加强温室气体数据质量管理工作，包括但不限于：</w:t>
      </w:r>
    </w:p>
    <w:p>
      <w:pPr>
        <w:pStyle w:val="56"/>
        <w:ind w:left="735" w:leftChars="200" w:hanging="315" w:hangingChars="150"/>
      </w:pPr>
      <w:r>
        <w:rPr>
          <w:rFonts w:hint="eastAsia"/>
        </w:rPr>
        <w:t>a）建立企业温室气体排放核算和报告的规章制度，包括负责机构和人员、工作流程和内容、工作周期和时间节点等；指定专职人员负责企业温室气体排放核算和报告工作；</w:t>
      </w:r>
    </w:p>
    <w:p>
      <w:pPr>
        <w:pStyle w:val="56"/>
        <w:ind w:left="735" w:leftChars="200" w:hanging="315" w:hangingChars="150"/>
      </w:pPr>
      <w:r>
        <w:rPr>
          <w:rFonts w:hint="eastAsia"/>
        </w:rPr>
        <w:t>b）根据各种类型的温室气体排放源的重要程度对其进行等级划分，并建立企业温室气体排放源一览表，对于不同等级的排放源的活动水平数据和排放因子数据的获取提出相应的要求；</w:t>
      </w:r>
    </w:p>
    <w:p>
      <w:pPr>
        <w:pStyle w:val="56"/>
        <w:ind w:left="735" w:leftChars="200" w:hanging="315" w:hangingChars="150"/>
      </w:pPr>
      <w:r>
        <w:rPr>
          <w:rFonts w:hint="eastAsia"/>
        </w:rPr>
        <w:t>c）对现有监测条件进行评估，不断提高自身监测能力，并制定相应的监测计划，包括对活动水平数据的监测和对燃料低位发热量等参数的监测；定期对计量器具、检测设备和在线监测仪表进行维护管理，并记录存档；</w:t>
      </w:r>
    </w:p>
    <w:p>
      <w:pPr>
        <w:pStyle w:val="56"/>
        <w:ind w:left="735" w:leftChars="200" w:hanging="315" w:hangingChars="150"/>
      </w:pPr>
      <w:r>
        <w:rPr>
          <w:rFonts w:hint="eastAsia"/>
        </w:rPr>
        <w:t>d）建立健全温室气体数据记录管理体系，包括数据来源、数据获取时间及相关责任人等信息的记录管理；</w:t>
      </w:r>
    </w:p>
    <w:p>
      <w:pPr>
        <w:pStyle w:val="56"/>
        <w:ind w:left="735" w:leftChars="200" w:hanging="315" w:hangingChars="150"/>
      </w:pPr>
      <w:r>
        <w:rPr>
          <w:rFonts w:hint="eastAsia"/>
        </w:rPr>
        <w:t>e）建立企业温室气体排放报告内部审核制度。定期对温室气体排放数据进行</w:t>
      </w:r>
      <w:r>
        <w:rPr>
          <w:rFonts w:hint="eastAsia"/>
          <w:lang w:eastAsia="zh-CN"/>
        </w:rPr>
        <w:t>交叉</w:t>
      </w:r>
      <w:r>
        <w:rPr>
          <w:rFonts w:hint="eastAsia"/>
        </w:rPr>
        <w:t>校验，对可能产生的数据误差风险进行识别，并提出相应的解决方案。</w:t>
      </w:r>
    </w:p>
    <w:p>
      <w:pPr>
        <w:pStyle w:val="104"/>
        <w:spacing w:before="312" w:after="312"/>
      </w:pPr>
      <w:bookmarkStart w:id="126" w:name="_Toc121397279"/>
      <w:bookmarkStart w:id="127" w:name="_Toc121397536"/>
      <w:bookmarkStart w:id="128" w:name="_Toc121397332"/>
      <w:r>
        <w:rPr>
          <w:rFonts w:hint="eastAsia"/>
        </w:rPr>
        <w:t>报告内容和格式</w:t>
      </w:r>
      <w:bookmarkEnd w:id="126"/>
      <w:bookmarkEnd w:id="127"/>
      <w:bookmarkEnd w:id="128"/>
    </w:p>
    <w:p>
      <w:pPr>
        <w:pStyle w:val="105"/>
        <w:spacing w:before="156" w:after="156"/>
      </w:pPr>
      <w:bookmarkStart w:id="129" w:name="_Toc121397537"/>
      <w:bookmarkStart w:id="130" w:name="_Toc121397280"/>
      <w:bookmarkStart w:id="131" w:name="_Toc121397333"/>
      <w:r>
        <w:rPr>
          <w:rFonts w:hint="eastAsia"/>
        </w:rPr>
        <w:t>概述</w:t>
      </w:r>
      <w:bookmarkEnd w:id="129"/>
      <w:bookmarkEnd w:id="130"/>
      <w:bookmarkEnd w:id="131"/>
    </w:p>
    <w:p>
      <w:pPr>
        <w:pStyle w:val="56"/>
        <w:ind w:firstLine="420"/>
      </w:pPr>
      <w:r>
        <w:rPr>
          <w:rFonts w:hint="eastAsia"/>
        </w:rPr>
        <w:t>报告主体应参照附录A的格式进行报告</w:t>
      </w:r>
      <w:r>
        <w:rPr>
          <w:rFonts w:hint="eastAsia"/>
          <w:lang w:eastAsia="zh-CN"/>
        </w:rPr>
        <w:t>编制</w:t>
      </w:r>
      <w:r>
        <w:rPr>
          <w:rFonts w:hint="eastAsia"/>
        </w:rPr>
        <w:t>。</w:t>
      </w:r>
    </w:p>
    <w:p>
      <w:pPr>
        <w:pStyle w:val="105"/>
        <w:spacing w:before="156" w:after="156"/>
      </w:pPr>
      <w:bookmarkStart w:id="132" w:name="_Toc121397281"/>
      <w:bookmarkStart w:id="133" w:name="_Toc121397334"/>
      <w:bookmarkStart w:id="134" w:name="_Toc121397538"/>
      <w:r>
        <w:rPr>
          <w:rFonts w:hint="eastAsia"/>
        </w:rPr>
        <w:t>报告主体基本信息</w:t>
      </w:r>
      <w:bookmarkEnd w:id="132"/>
      <w:bookmarkEnd w:id="133"/>
      <w:bookmarkEnd w:id="134"/>
    </w:p>
    <w:p>
      <w:pPr>
        <w:pStyle w:val="56"/>
        <w:ind w:firstLine="420"/>
      </w:pPr>
      <w:r>
        <w:rPr>
          <w:rFonts w:hint="eastAsia"/>
        </w:rPr>
        <w:t>报告主体基本信息应包括报告主体名称、单位性质、报告年度、所属行业、统一社会信用代码、法定代表人、填报负责人和联系人信息等。</w:t>
      </w:r>
    </w:p>
    <w:p>
      <w:pPr>
        <w:pStyle w:val="105"/>
        <w:spacing w:before="156" w:after="156"/>
      </w:pPr>
      <w:bookmarkStart w:id="135" w:name="_Toc121397539"/>
      <w:bookmarkStart w:id="136" w:name="_Toc121397282"/>
      <w:bookmarkStart w:id="137" w:name="_Toc121397335"/>
      <w:r>
        <w:rPr>
          <w:rFonts w:hint="eastAsia"/>
        </w:rPr>
        <w:t>温室气体排放量</w:t>
      </w:r>
      <w:bookmarkEnd w:id="135"/>
      <w:bookmarkEnd w:id="136"/>
      <w:bookmarkEnd w:id="137"/>
    </w:p>
    <w:p>
      <w:pPr>
        <w:pStyle w:val="56"/>
        <w:ind w:firstLine="420"/>
      </w:pPr>
      <w:r>
        <w:rPr>
          <w:rFonts w:hint="eastAsia"/>
        </w:rPr>
        <w:t>报告主体应报告在核算和报告期内温室气体排放总量，并分别报告燃料燃烧排放量、生产过程排放量、购入和输出的电力及热力产生的排放量。</w:t>
      </w:r>
    </w:p>
    <w:p>
      <w:pPr>
        <w:pStyle w:val="105"/>
        <w:spacing w:before="156" w:after="156"/>
      </w:pPr>
      <w:bookmarkStart w:id="138" w:name="_Toc121397336"/>
      <w:bookmarkStart w:id="139" w:name="_Toc121397283"/>
      <w:bookmarkStart w:id="140" w:name="_Toc121397540"/>
      <w:r>
        <w:rPr>
          <w:rFonts w:hint="eastAsia"/>
        </w:rPr>
        <w:t>活动数据及来源</w:t>
      </w:r>
      <w:bookmarkEnd w:id="138"/>
      <w:bookmarkEnd w:id="139"/>
      <w:bookmarkEnd w:id="140"/>
    </w:p>
    <w:p>
      <w:pPr>
        <w:pStyle w:val="56"/>
        <w:ind w:firstLine="420"/>
      </w:pPr>
      <w:r>
        <w:rPr>
          <w:rFonts w:hint="eastAsia"/>
        </w:rPr>
        <w:t>活动数据包括，报告主体在报告期内生产所使用的各种燃料的消耗量和相应的低位发热量、烧结墙体材料产量、干坯料烧失量、干坯料配热、购入的电量和热量、输出的电量和热量</w:t>
      </w:r>
      <w:r>
        <w:rPr>
          <w:rFonts w:hint="eastAsia"/>
          <w:lang w:eastAsia="zh-CN"/>
        </w:rPr>
        <w:t>等</w:t>
      </w:r>
      <w:r>
        <w:rPr>
          <w:rFonts w:hint="eastAsia"/>
        </w:rPr>
        <w:t>。</w:t>
      </w:r>
    </w:p>
    <w:p>
      <w:pPr>
        <w:pStyle w:val="105"/>
        <w:spacing w:before="156" w:after="156"/>
      </w:pPr>
      <w:bookmarkStart w:id="141" w:name="_Toc121397541"/>
      <w:bookmarkStart w:id="142" w:name="_Toc121397284"/>
      <w:bookmarkStart w:id="143" w:name="_Toc121397337"/>
      <w:r>
        <w:rPr>
          <w:rFonts w:hint="eastAsia"/>
        </w:rPr>
        <w:t>排放因子数据及来源</w:t>
      </w:r>
      <w:bookmarkEnd w:id="141"/>
      <w:bookmarkEnd w:id="142"/>
      <w:bookmarkEnd w:id="143"/>
    </w:p>
    <w:p>
      <w:pPr>
        <w:pStyle w:val="56"/>
        <w:ind w:firstLine="420"/>
      </w:pPr>
      <w:r>
        <w:rPr>
          <w:rFonts w:hint="eastAsia"/>
        </w:rPr>
        <w:t>报告主体在报告期内生产所使用的各种燃料的单位热值含碳量和碳氧化率数据</w:t>
      </w:r>
      <w:r>
        <w:rPr>
          <w:rFonts w:hint="eastAsia"/>
          <w:lang w:eastAsia="zh-CN"/>
        </w:rPr>
        <w:t>，</w:t>
      </w:r>
      <w:r>
        <w:rPr>
          <w:rFonts w:hint="eastAsia"/>
        </w:rPr>
        <w:t>电力、热力排放因子可参考附录B的推荐值。</w:t>
      </w:r>
    </w:p>
    <w:p>
      <w:pPr>
        <w:pStyle w:val="56"/>
        <w:ind w:firstLine="420"/>
        <w:sectPr>
          <w:pgSz w:w="11906" w:h="16838"/>
          <w:pgMar w:top="567" w:right="1134" w:bottom="1134" w:left="1134"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pPr>
    </w:p>
    <w:bookmarkEnd w:id="26"/>
    <w:p>
      <w:pPr>
        <w:pStyle w:val="198"/>
        <w:rPr>
          <w:vanish w:val="0"/>
        </w:rPr>
      </w:pPr>
      <w:bookmarkStart w:id="144" w:name="BookMark5"/>
    </w:p>
    <w:p>
      <w:pPr>
        <w:pStyle w:val="199"/>
        <w:rPr>
          <w:vanish w:val="0"/>
        </w:rPr>
      </w:pPr>
    </w:p>
    <w:p>
      <w:pPr>
        <w:pStyle w:val="76"/>
        <w:spacing w:before="78" w:after="156"/>
      </w:pPr>
      <w:r>
        <w:br w:type="textWrapping"/>
      </w:r>
      <w:bookmarkStart w:id="145" w:name="_Toc121397285"/>
      <w:bookmarkStart w:id="146" w:name="_Toc121397542"/>
      <w:bookmarkStart w:id="147" w:name="_Toc121397338"/>
      <w:r>
        <w:rPr>
          <w:rFonts w:hint="eastAsia"/>
        </w:rPr>
        <w:t>（资料性附录）</w:t>
      </w:r>
      <w:r>
        <w:br w:type="textWrapping"/>
      </w:r>
      <w:r>
        <w:rPr>
          <w:rFonts w:hint="eastAsia"/>
        </w:rPr>
        <w:t>报告格式模板</w:t>
      </w:r>
      <w:bookmarkEnd w:id="145"/>
      <w:bookmarkEnd w:id="146"/>
      <w:bookmarkEnd w:id="147"/>
    </w:p>
    <w:p>
      <w:pPr>
        <w:pStyle w:val="56"/>
        <w:ind w:firstLine="420"/>
      </w:pPr>
    </w:p>
    <w:p>
      <w:pPr>
        <w:pStyle w:val="56"/>
        <w:ind w:firstLine="420"/>
      </w:pPr>
    </w:p>
    <w:p>
      <w:pPr>
        <w:pStyle w:val="56"/>
        <w:ind w:firstLine="0" w:firstLineChars="0"/>
      </w:pPr>
    </w:p>
    <w:p>
      <w:pPr>
        <w:pStyle w:val="56"/>
        <w:ind w:firstLine="0" w:firstLineChars="0"/>
        <w:jc w:val="center"/>
        <w:rPr>
          <w:rFonts w:ascii="黑体" w:hAnsi="黑体" w:eastAsia="黑体"/>
          <w:sz w:val="40"/>
          <w:szCs w:val="36"/>
        </w:rPr>
      </w:pPr>
      <w:r>
        <w:rPr>
          <w:rFonts w:hint="eastAsia" w:ascii="黑体" w:hAnsi="黑体" w:eastAsia="黑体"/>
          <w:sz w:val="40"/>
          <w:szCs w:val="36"/>
        </w:rPr>
        <w:t>烧结墙体材料生产企业温室气体排放报告</w:t>
      </w: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pStyle w:val="56"/>
        <w:ind w:firstLine="800"/>
        <w:jc w:val="left"/>
        <w:rPr>
          <w:rFonts w:ascii="黑体" w:hAnsi="黑体" w:eastAsia="黑体"/>
          <w:sz w:val="40"/>
          <w:szCs w:val="36"/>
        </w:rPr>
      </w:pPr>
    </w:p>
    <w:p>
      <w:pPr>
        <w:spacing w:line="480" w:lineRule="auto"/>
        <w:ind w:firstLine="592" w:firstLineChars="200"/>
        <w:rPr>
          <w:rFonts w:ascii="黑体" w:hAnsi="黑体" w:eastAsia="黑体" w:cs="Calibri"/>
          <w:color w:val="000000"/>
          <w:spacing w:val="-2"/>
          <w:sz w:val="30"/>
        </w:rPr>
      </w:pPr>
      <w:r>
        <w:rPr>
          <w:rFonts w:ascii="黑体" w:hAnsi="黑体" w:eastAsia="黑体" w:cs="Calibri"/>
          <w:color w:val="000000"/>
          <w:spacing w:val="-2"/>
          <w:sz w:val="30"/>
        </w:rPr>
        <w:t>报告主体</w:t>
      </w:r>
      <w:r>
        <w:rPr>
          <w:rFonts w:hint="eastAsia" w:ascii="黑体" w:hAnsi="黑体" w:eastAsia="黑体" w:cs="Calibri"/>
          <w:color w:val="000000"/>
          <w:spacing w:val="-2"/>
          <w:sz w:val="30"/>
        </w:rPr>
        <w:t>（</w:t>
      </w:r>
      <w:r>
        <w:rPr>
          <w:rFonts w:ascii="黑体" w:hAnsi="黑体" w:eastAsia="黑体" w:cs="Calibri"/>
          <w:color w:val="000000"/>
          <w:spacing w:val="-2"/>
          <w:sz w:val="30"/>
        </w:rPr>
        <w:t>盖章</w:t>
      </w:r>
      <w:r>
        <w:rPr>
          <w:rFonts w:hint="eastAsia" w:ascii="黑体" w:hAnsi="黑体" w:eastAsia="黑体" w:cs="Calibri"/>
          <w:color w:val="000000"/>
          <w:spacing w:val="-2"/>
          <w:sz w:val="30"/>
        </w:rPr>
        <w:t>）：</w:t>
      </w:r>
    </w:p>
    <w:p>
      <w:pPr>
        <w:spacing w:line="480" w:lineRule="auto"/>
        <w:ind w:firstLine="576" w:firstLineChars="200"/>
        <w:rPr>
          <w:rFonts w:ascii="黑体" w:hAnsi="黑体" w:eastAsia="黑体" w:cs="黑体"/>
          <w:color w:val="000000"/>
          <w:spacing w:val="-6"/>
          <w:position w:val="3"/>
          <w:sz w:val="30"/>
        </w:rPr>
      </w:pPr>
      <w:r>
        <w:rPr>
          <w:rFonts w:ascii="黑体" w:hAnsi="黑体" w:eastAsia="黑体" w:cs="黑体"/>
          <w:color w:val="000000"/>
          <w:spacing w:val="-6"/>
          <w:position w:val="3"/>
          <w:sz w:val="30"/>
        </w:rPr>
        <w:t>报告年度：</w:t>
      </w:r>
    </w:p>
    <w:p>
      <w:pPr>
        <w:spacing w:line="480" w:lineRule="auto"/>
        <w:ind w:firstLine="576" w:firstLineChars="200"/>
        <w:rPr>
          <w:rFonts w:ascii="黑体" w:hAnsi="黑体" w:eastAsia="黑体" w:cs="黑体"/>
          <w:color w:val="000000"/>
          <w:spacing w:val="-6"/>
          <w:sz w:val="30"/>
        </w:rPr>
      </w:pPr>
      <w:r>
        <w:rPr>
          <w:rFonts w:ascii="黑体" w:hAnsi="黑体" w:eastAsia="黑体" w:cs="黑体"/>
          <w:color w:val="000000"/>
          <w:spacing w:val="-6"/>
          <w:sz w:val="30"/>
        </w:rPr>
        <w:t>编制日期</w:t>
      </w:r>
      <w:r>
        <w:rPr>
          <w:rFonts w:hint="eastAsia" w:ascii="黑体" w:hAnsi="黑体" w:eastAsia="黑体" w:cs="黑体"/>
          <w:color w:val="000000"/>
          <w:spacing w:val="-6"/>
          <w:sz w:val="30"/>
        </w:rPr>
        <w:t xml:space="preserve">： </w:t>
      </w:r>
      <w:r>
        <w:rPr>
          <w:rFonts w:ascii="黑体" w:hAnsi="黑体" w:eastAsia="黑体" w:cs="黑体"/>
          <w:color w:val="000000"/>
          <w:spacing w:val="-6"/>
          <w:sz w:val="30"/>
        </w:rPr>
        <w:t xml:space="preserve">   </w:t>
      </w:r>
      <w:r>
        <w:rPr>
          <w:rFonts w:hint="eastAsia" w:ascii="黑体" w:hAnsi="黑体" w:eastAsia="黑体" w:cs="黑体"/>
          <w:color w:val="000000"/>
          <w:spacing w:val="-6"/>
          <w:sz w:val="30"/>
        </w:rPr>
        <w:t xml:space="preserve">年 </w:t>
      </w:r>
      <w:r>
        <w:rPr>
          <w:rFonts w:ascii="黑体" w:hAnsi="黑体" w:eastAsia="黑体" w:cs="黑体"/>
          <w:color w:val="000000"/>
          <w:spacing w:val="-6"/>
          <w:sz w:val="30"/>
        </w:rPr>
        <w:t xml:space="preserve">   </w:t>
      </w:r>
      <w:r>
        <w:rPr>
          <w:rFonts w:hint="eastAsia" w:ascii="黑体" w:hAnsi="黑体" w:eastAsia="黑体" w:cs="黑体"/>
          <w:color w:val="000000"/>
          <w:spacing w:val="-6"/>
          <w:sz w:val="30"/>
        </w:rPr>
        <w:t xml:space="preserve">月 </w:t>
      </w:r>
      <w:r>
        <w:rPr>
          <w:rFonts w:ascii="黑体" w:hAnsi="黑体" w:eastAsia="黑体" w:cs="黑体"/>
          <w:color w:val="000000"/>
          <w:spacing w:val="-6"/>
          <w:sz w:val="30"/>
        </w:rPr>
        <w:t xml:space="preserve">   </w:t>
      </w:r>
      <w:r>
        <w:rPr>
          <w:rFonts w:hint="eastAsia" w:ascii="黑体" w:hAnsi="黑体" w:eastAsia="黑体" w:cs="黑体"/>
          <w:color w:val="000000"/>
          <w:spacing w:val="-6"/>
          <w:sz w:val="30"/>
        </w:rPr>
        <w:t>日</w:t>
      </w:r>
    </w:p>
    <w:p>
      <w:pPr>
        <w:widowControl/>
        <w:adjustRightInd/>
        <w:spacing w:line="240" w:lineRule="auto"/>
        <w:jc w:val="left"/>
        <w:rPr>
          <w:rFonts w:ascii="黑体" w:hAnsi="黑体" w:eastAsia="黑体"/>
          <w:kern w:val="0"/>
          <w:sz w:val="40"/>
          <w:szCs w:val="36"/>
        </w:rPr>
      </w:pPr>
    </w:p>
    <w:p>
      <w:pPr>
        <w:widowControl/>
        <w:ind w:firstLine="504" w:firstLineChars="200"/>
        <w:jc w:val="left"/>
        <w:rPr>
          <w:rFonts w:ascii="黑体" w:hAnsi="黑体" w:eastAsia="黑体" w:cs="华文仿宋"/>
          <w:color w:val="000000"/>
          <w:spacing w:val="-14"/>
          <w:sz w:val="28"/>
          <w:szCs w:val="20"/>
        </w:rPr>
      </w:pPr>
      <w:r>
        <w:rPr>
          <w:rFonts w:ascii="黑体" w:hAnsi="黑体" w:eastAsia="黑体" w:cs="华文仿宋"/>
          <w:color w:val="000000"/>
          <w:spacing w:val="-14"/>
          <w:sz w:val="28"/>
          <w:szCs w:val="20"/>
        </w:rPr>
        <w:t>本报告主体核算了</w:t>
      </w:r>
      <w:r>
        <w:rPr>
          <w:rFonts w:hint="eastAsia" w:ascii="黑体" w:hAnsi="黑体" w:eastAsia="黑体" w:cs="华文仿宋"/>
          <w:color w:val="000000"/>
          <w:spacing w:val="-14"/>
          <w:sz w:val="28"/>
          <w:szCs w:val="20"/>
          <w:u w:val="single"/>
        </w:rPr>
        <w:t xml:space="preserve"> </w:t>
      </w:r>
      <w:r>
        <w:rPr>
          <w:rFonts w:ascii="黑体" w:hAnsi="黑体" w:eastAsia="黑体" w:cs="华文仿宋"/>
          <w:color w:val="000000"/>
          <w:spacing w:val="-14"/>
          <w:sz w:val="28"/>
          <w:szCs w:val="20"/>
          <w:u w:val="single"/>
        </w:rPr>
        <w:t xml:space="preserve">      </w:t>
      </w:r>
      <w:r>
        <w:rPr>
          <w:rFonts w:hint="eastAsia" w:ascii="黑体" w:hAnsi="黑体" w:eastAsia="黑体" w:cs="华文仿宋"/>
          <w:color w:val="000000"/>
          <w:spacing w:val="-14"/>
          <w:sz w:val="28"/>
          <w:szCs w:val="20"/>
        </w:rPr>
        <w:t>年度温室气体排放量，并填写了相关数据表格。现将有关情况报告如下：</w:t>
      </w:r>
    </w:p>
    <w:p>
      <w:pPr>
        <w:spacing w:line="720" w:lineRule="auto"/>
        <w:ind w:firstLine="536" w:firstLineChars="200"/>
        <w:rPr>
          <w:rFonts w:ascii="宋体" w:hAnsi="宋体"/>
          <w:sz w:val="20"/>
          <w:szCs w:val="20"/>
        </w:rPr>
      </w:pPr>
      <w:r>
        <w:rPr>
          <w:rFonts w:hint="eastAsia" w:ascii="宋体" w:hAnsi="宋体" w:cs="黑体"/>
          <w:color w:val="000000"/>
          <w:spacing w:val="-6"/>
          <w:sz w:val="28"/>
          <w:szCs w:val="20"/>
        </w:rPr>
        <w:t>一、</w:t>
      </w:r>
      <w:r>
        <w:rPr>
          <w:rFonts w:ascii="宋体" w:hAnsi="宋体" w:cs="黑体"/>
          <w:color w:val="000000"/>
          <w:spacing w:val="-6"/>
          <w:sz w:val="28"/>
          <w:szCs w:val="20"/>
        </w:rPr>
        <w:t>企业基本情况</w:t>
      </w:r>
    </w:p>
    <w:p>
      <w:pPr>
        <w:spacing w:line="720" w:lineRule="auto"/>
        <w:ind w:firstLine="536" w:firstLineChars="200"/>
        <w:rPr>
          <w:rFonts w:ascii="宋体" w:hAnsi="宋体"/>
          <w:sz w:val="20"/>
          <w:szCs w:val="20"/>
        </w:rPr>
      </w:pPr>
      <w:r>
        <w:rPr>
          <w:rFonts w:ascii="宋体" w:hAnsi="宋体" w:cs="黑体"/>
          <w:color w:val="000000"/>
          <w:spacing w:val="-6"/>
          <w:sz w:val="28"/>
          <w:szCs w:val="20"/>
        </w:rPr>
        <w:t>二、温室气体排放</w:t>
      </w:r>
    </w:p>
    <w:p>
      <w:pPr>
        <w:spacing w:line="720" w:lineRule="auto"/>
        <w:ind w:firstLine="536" w:firstLineChars="200"/>
        <w:rPr>
          <w:rFonts w:ascii="宋体" w:hAnsi="宋体"/>
          <w:sz w:val="20"/>
          <w:szCs w:val="20"/>
        </w:rPr>
      </w:pPr>
      <w:r>
        <w:rPr>
          <w:rFonts w:ascii="宋体" w:hAnsi="宋体" w:cs="黑体"/>
          <w:color w:val="000000"/>
          <w:spacing w:val="-6"/>
          <w:sz w:val="28"/>
          <w:szCs w:val="20"/>
        </w:rPr>
        <w:t>三、活动水平数据及来源说明</w:t>
      </w:r>
    </w:p>
    <w:p>
      <w:pPr>
        <w:spacing w:line="720" w:lineRule="auto"/>
        <w:ind w:firstLine="536" w:firstLineChars="200"/>
        <w:rPr>
          <w:rFonts w:ascii="宋体" w:hAnsi="宋体"/>
          <w:sz w:val="20"/>
          <w:szCs w:val="20"/>
        </w:rPr>
      </w:pPr>
      <w:r>
        <w:rPr>
          <w:rFonts w:ascii="宋体" w:hAnsi="宋体" w:cs="黑体"/>
          <w:color w:val="000000"/>
          <w:spacing w:val="-6"/>
          <w:sz w:val="28"/>
          <w:szCs w:val="20"/>
        </w:rPr>
        <w:t>四、排放因子数据及来源说明</w:t>
      </w:r>
    </w:p>
    <w:p>
      <w:pPr>
        <w:spacing w:line="720" w:lineRule="auto"/>
        <w:ind w:firstLine="528" w:firstLineChars="200"/>
        <w:rPr>
          <w:rFonts w:ascii="宋体" w:hAnsi="宋体"/>
          <w:sz w:val="20"/>
          <w:szCs w:val="20"/>
        </w:rPr>
      </w:pPr>
      <w:r>
        <w:rPr>
          <w:rFonts w:ascii="宋体" w:hAnsi="宋体" w:cs="华文仿宋"/>
          <w:color w:val="000000"/>
          <w:spacing w:val="-8"/>
          <w:sz w:val="28"/>
          <w:szCs w:val="20"/>
        </w:rPr>
        <w:t>本企业</w:t>
      </w:r>
      <w:r>
        <w:rPr>
          <w:rFonts w:ascii="宋体" w:hAnsi="宋体" w:cs="华文仿宋"/>
          <w:color w:val="000000"/>
          <w:spacing w:val="-6"/>
          <w:sz w:val="28"/>
          <w:szCs w:val="20"/>
        </w:rPr>
        <w:t>将承</w:t>
      </w:r>
      <w:r>
        <w:rPr>
          <w:rFonts w:hint="eastAsia" w:ascii="宋体" w:hAnsi="宋体" w:cs="华文仿宋"/>
          <w:color w:val="000000"/>
          <w:spacing w:val="-6"/>
          <w:sz w:val="28"/>
          <w:szCs w:val="20"/>
        </w:rPr>
        <w:t>诺对本报告的真实性负责</w:t>
      </w:r>
      <w:r>
        <w:rPr>
          <w:rFonts w:ascii="宋体" w:hAnsi="宋体" w:cs="华文仿宋"/>
          <w:color w:val="000000"/>
          <w:spacing w:val="-6"/>
          <w:sz w:val="28"/>
          <w:szCs w:val="20"/>
        </w:rPr>
        <w:t>。</w:t>
      </w: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firstLine="0" w:firstLineChars="0"/>
        <w:rPr>
          <w:rFonts w:ascii="黑体" w:hAnsi="黑体" w:eastAsia="黑体"/>
        </w:rPr>
      </w:pPr>
    </w:p>
    <w:p>
      <w:pPr>
        <w:pStyle w:val="56"/>
        <w:ind w:right="2016" w:firstLine="0" w:firstLineChars="0"/>
        <w:jc w:val="right"/>
        <w:rPr>
          <w:rFonts w:hAnsi="宋体"/>
          <w:color w:val="000000"/>
          <w:spacing w:val="-2"/>
          <w:sz w:val="30"/>
        </w:rPr>
      </w:pPr>
      <w:r>
        <w:rPr>
          <w:rFonts w:hAnsi="宋体" w:cs="华文仿宋"/>
          <w:color w:val="000000"/>
          <w:spacing w:val="-6"/>
          <w:position w:val="2"/>
          <w:sz w:val="30"/>
        </w:rPr>
        <w:t>法人</w:t>
      </w:r>
      <w:r>
        <w:rPr>
          <w:rFonts w:hint="eastAsia" w:hAnsi="宋体"/>
          <w:color w:val="000000"/>
          <w:spacing w:val="-3"/>
          <w:sz w:val="30"/>
        </w:rPr>
        <w:t>（</w:t>
      </w:r>
      <w:r>
        <w:rPr>
          <w:rFonts w:hAnsi="宋体" w:cs="华文仿宋"/>
          <w:color w:val="000000"/>
          <w:spacing w:val="-6"/>
          <w:position w:val="2"/>
          <w:sz w:val="30"/>
        </w:rPr>
        <w:t>签字</w:t>
      </w:r>
      <w:r>
        <w:rPr>
          <w:rFonts w:hint="eastAsia" w:hAnsi="宋体"/>
          <w:color w:val="000000"/>
          <w:spacing w:val="-2"/>
          <w:sz w:val="30"/>
        </w:rPr>
        <w:t>）：</w:t>
      </w:r>
    </w:p>
    <w:p>
      <w:pPr>
        <w:pStyle w:val="56"/>
        <w:wordWrap w:val="0"/>
        <w:ind w:right="864" w:firstLine="0" w:firstLineChars="0"/>
        <w:jc w:val="right"/>
        <w:rPr>
          <w:rFonts w:hAnsi="宋体"/>
          <w:color w:val="000000"/>
          <w:spacing w:val="-2"/>
          <w:sz w:val="30"/>
        </w:rPr>
      </w:pPr>
      <w:r>
        <w:rPr>
          <w:rFonts w:hint="eastAsia" w:hAnsi="宋体"/>
          <w:color w:val="000000"/>
          <w:spacing w:val="-2"/>
          <w:sz w:val="30"/>
        </w:rPr>
        <w:t>年</w:t>
      </w:r>
      <w:r>
        <w:rPr>
          <w:rFonts w:hAnsi="宋体"/>
          <w:color w:val="000000"/>
          <w:spacing w:val="-2"/>
          <w:sz w:val="30"/>
        </w:rPr>
        <w:t xml:space="preserve">  </w:t>
      </w:r>
      <w:r>
        <w:rPr>
          <w:rFonts w:hint="eastAsia" w:hAnsi="宋体"/>
          <w:color w:val="000000"/>
          <w:spacing w:val="-2"/>
          <w:sz w:val="30"/>
        </w:rPr>
        <w:t xml:space="preserve">月 </w:t>
      </w:r>
      <w:r>
        <w:rPr>
          <w:rFonts w:hAnsi="宋体"/>
          <w:color w:val="000000"/>
          <w:spacing w:val="-2"/>
          <w:sz w:val="30"/>
        </w:rPr>
        <w:t xml:space="preserve"> </w:t>
      </w:r>
      <w:r>
        <w:rPr>
          <w:rFonts w:hint="eastAsia" w:hAnsi="宋体"/>
          <w:color w:val="000000"/>
          <w:spacing w:val="-2"/>
          <w:sz w:val="30"/>
        </w:rPr>
        <w:t>日</w:t>
      </w:r>
    </w:p>
    <w:p>
      <w:pPr>
        <w:widowControl/>
        <w:adjustRightInd/>
        <w:spacing w:line="240" w:lineRule="auto"/>
        <w:jc w:val="left"/>
        <w:rPr>
          <w:rFonts w:ascii="黑体" w:hAnsi="黑体" w:eastAsia="黑体"/>
          <w:kern w:val="0"/>
          <w:sz w:val="40"/>
          <w:szCs w:val="36"/>
        </w:rPr>
      </w:pPr>
      <w:r>
        <w:rPr>
          <w:rFonts w:ascii="黑体" w:hAnsi="黑体" w:eastAsia="黑体"/>
          <w:sz w:val="40"/>
          <w:szCs w:val="36"/>
        </w:rPr>
        <w:br w:type="page"/>
      </w:r>
    </w:p>
    <w:p>
      <w:pPr>
        <w:pStyle w:val="77"/>
        <w:spacing w:before="468" w:beforeLines="150" w:after="312" w:afterLines="100"/>
      </w:pPr>
      <w:bookmarkStart w:id="148" w:name="_Hlk118124548"/>
      <w:r>
        <w:rPr>
          <w:rFonts w:hint="eastAsia"/>
        </w:rPr>
        <w:t>报告主体</w:t>
      </w:r>
      <w:r>
        <w:rPr>
          <w:rFonts w:hint="eastAsia"/>
          <w:u w:val="single"/>
        </w:rPr>
        <w:t xml:space="preserve"> </w:t>
      </w:r>
      <w:r>
        <w:rPr>
          <w:u w:val="single"/>
        </w:rPr>
        <w:t xml:space="preserve">      </w:t>
      </w:r>
      <w:r>
        <w:rPr>
          <w:rFonts w:hint="eastAsia"/>
        </w:rPr>
        <w:t>年温室气体排放量报告</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667" w:type="dxa"/>
            <w:tcBorders>
              <w:top w:val="single" w:color="auto" w:sz="8" w:space="0"/>
              <w:bottom w:val="single" w:color="auto" w:sz="4" w:space="0"/>
            </w:tcBorders>
            <w:shd w:val="clear" w:color="auto" w:fill="auto"/>
            <w:vAlign w:val="top"/>
          </w:tcPr>
          <w:p>
            <w:pPr>
              <w:pStyle w:val="178"/>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排放源的类别</w:t>
            </w:r>
          </w:p>
        </w:tc>
        <w:tc>
          <w:tcPr>
            <w:tcW w:w="4667" w:type="dxa"/>
            <w:tcBorders>
              <w:top w:val="single" w:color="auto" w:sz="8" w:space="0"/>
              <w:bottom w:val="single" w:color="auto" w:sz="4" w:space="0"/>
            </w:tcBorders>
            <w:shd w:val="clear" w:color="auto" w:fill="auto"/>
            <w:vAlign w:val="top"/>
          </w:tcPr>
          <w:p>
            <w:pPr>
              <w:pStyle w:val="178"/>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总计/ tCO</w:t>
            </w:r>
            <w:r>
              <w:rPr>
                <w:rFonts w:hint="default" w:ascii="Times New Roman" w:hAnsi="Times New Roman" w:eastAsia="黑体" w:cs="Times New Roman"/>
                <w:sz w:val="21"/>
                <w:szCs w:val="21"/>
                <w:vertAlign w:val="subscript"/>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eastAsia="zh-CN"/>
              </w:rPr>
              <w:t>燃料燃烧排放量</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 xml:space="preserve"> </w:t>
            </w:r>
            <w:r>
              <w:rPr>
                <w:rFonts w:hint="default" w:ascii="Times New Roman" w:hAnsi="Times New Roman" w:cs="Times New Roman"/>
                <w:sz w:val="18"/>
                <w:szCs w:val="18"/>
              </w:rPr>
              <w:t>tCO</w:t>
            </w:r>
            <w:r>
              <w:rPr>
                <w:rFonts w:hint="default" w:ascii="Times New Roman" w:hAnsi="Times New Roman" w:cs="Times New Roman"/>
                <w:sz w:val="18"/>
                <w:szCs w:val="18"/>
                <w:vertAlign w:val="subscript"/>
              </w:rPr>
              <w:t>2</w:t>
            </w:r>
          </w:p>
        </w:tc>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r>
              <w:rPr>
                <w:rFonts w:hint="default" w:ascii="Times New Roman" w:hAnsi="Times New Roman" w:cs="Times New Roman"/>
                <w:sz w:val="18"/>
                <w:szCs w:val="18"/>
              </w:rPr>
              <w:t>过程排放量/</w:t>
            </w:r>
            <w:r>
              <w:rPr>
                <w:rFonts w:hint="default" w:ascii="Times New Roman" w:hAnsi="Times New Roman" w:cs="Times New Roman"/>
                <w:sz w:val="18"/>
                <w:szCs w:val="18"/>
                <w:lang w:val="en-US" w:eastAsia="zh-CN"/>
              </w:rPr>
              <w:t xml:space="preserve"> </w:t>
            </w:r>
            <w:r>
              <w:rPr>
                <w:rFonts w:hint="default" w:ascii="Times New Roman" w:hAnsi="Times New Roman" w:cs="Times New Roman"/>
                <w:sz w:val="18"/>
                <w:szCs w:val="18"/>
              </w:rPr>
              <w:t>tCO</w:t>
            </w:r>
            <w:r>
              <w:rPr>
                <w:rFonts w:hint="default" w:ascii="Times New Roman" w:hAnsi="Times New Roman" w:cs="Times New Roman"/>
                <w:sz w:val="18"/>
                <w:szCs w:val="18"/>
                <w:vertAlign w:val="subscript"/>
              </w:rPr>
              <w:t>2</w:t>
            </w:r>
          </w:p>
        </w:tc>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r>
              <w:rPr>
                <w:rFonts w:hint="default" w:ascii="Times New Roman" w:hAnsi="Times New Roman" w:cs="Times New Roman"/>
                <w:sz w:val="18"/>
                <w:szCs w:val="18"/>
              </w:rPr>
              <w:t>购入电力产生的排放量/ tCO</w:t>
            </w:r>
            <w:r>
              <w:rPr>
                <w:rFonts w:hint="default" w:ascii="Times New Roman" w:hAnsi="Times New Roman" w:cs="Times New Roman"/>
                <w:sz w:val="18"/>
                <w:szCs w:val="18"/>
                <w:vertAlign w:val="subscript"/>
              </w:rPr>
              <w:t>2</w:t>
            </w:r>
          </w:p>
        </w:tc>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r>
              <w:rPr>
                <w:rFonts w:hint="default" w:ascii="Times New Roman" w:hAnsi="Times New Roman" w:cs="Times New Roman"/>
                <w:sz w:val="18"/>
                <w:szCs w:val="18"/>
              </w:rPr>
              <w:t>购入热力产生的排放量/ tCO</w:t>
            </w:r>
            <w:r>
              <w:rPr>
                <w:rFonts w:hint="default" w:ascii="Times New Roman" w:hAnsi="Times New Roman" w:cs="Times New Roman"/>
                <w:sz w:val="18"/>
                <w:szCs w:val="18"/>
                <w:vertAlign w:val="subscript"/>
              </w:rPr>
              <w:t>2</w:t>
            </w:r>
          </w:p>
        </w:tc>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r>
              <w:rPr>
                <w:rFonts w:hint="default" w:ascii="Times New Roman" w:hAnsi="Times New Roman" w:cs="Times New Roman"/>
                <w:sz w:val="18"/>
                <w:szCs w:val="18"/>
              </w:rPr>
              <w:t>输出电力产生的排放量/ tCO</w:t>
            </w:r>
            <w:r>
              <w:rPr>
                <w:rFonts w:hint="default" w:ascii="Times New Roman" w:hAnsi="Times New Roman" w:cs="Times New Roman"/>
                <w:sz w:val="18"/>
                <w:szCs w:val="18"/>
                <w:vertAlign w:val="subscript"/>
              </w:rPr>
              <w:t>2</w:t>
            </w:r>
          </w:p>
        </w:tc>
        <w:tc>
          <w:tcPr>
            <w:tcW w:w="4667" w:type="dxa"/>
            <w:tcBorders>
              <w:top w:val="single" w:color="auto" w:sz="4" w:space="0"/>
              <w:bottom w:val="single" w:color="auto" w:sz="4" w:space="0"/>
            </w:tcBorders>
            <w:shd w:val="clear" w:color="auto" w:fill="auto"/>
            <w:vAlign w:val="top"/>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67" w:type="dxa"/>
            <w:tcBorders>
              <w:top w:val="single" w:color="auto" w:sz="4" w:space="0"/>
            </w:tcBorders>
            <w:shd w:val="clear" w:color="auto" w:fill="auto"/>
            <w:vAlign w:val="top"/>
          </w:tcPr>
          <w:p>
            <w:pPr>
              <w:pStyle w:val="178"/>
              <w:rPr>
                <w:rFonts w:hint="default" w:ascii="Times New Roman" w:hAnsi="Times New Roman" w:cs="Times New Roman"/>
                <w:sz w:val="18"/>
                <w:szCs w:val="18"/>
              </w:rPr>
            </w:pPr>
            <w:r>
              <w:rPr>
                <w:rFonts w:hint="default" w:ascii="Times New Roman" w:hAnsi="Times New Roman" w:cs="Times New Roman"/>
                <w:sz w:val="18"/>
                <w:szCs w:val="18"/>
              </w:rPr>
              <w:t>输出热力产生的排放量/ tCO</w:t>
            </w:r>
            <w:r>
              <w:rPr>
                <w:rFonts w:hint="default" w:ascii="Times New Roman" w:hAnsi="Times New Roman" w:cs="Times New Roman"/>
                <w:sz w:val="18"/>
                <w:szCs w:val="18"/>
                <w:vertAlign w:val="subscript"/>
              </w:rPr>
              <w:t>2</w:t>
            </w:r>
          </w:p>
        </w:tc>
        <w:tc>
          <w:tcPr>
            <w:tcW w:w="4667" w:type="dxa"/>
            <w:tcBorders>
              <w:top w:val="single" w:color="auto" w:sz="4" w:space="0"/>
            </w:tcBorders>
            <w:shd w:val="clear" w:color="auto" w:fill="auto"/>
            <w:vAlign w:val="top"/>
          </w:tcPr>
          <w:p>
            <w:pPr>
              <w:pStyle w:val="178"/>
              <w:rPr>
                <w:rFonts w:hint="default" w:ascii="Times New Roman" w:hAnsi="Times New Roman" w:cs="Times New Roman"/>
                <w:sz w:val="18"/>
                <w:szCs w:val="18"/>
              </w:rPr>
            </w:pPr>
          </w:p>
        </w:tc>
      </w:tr>
    </w:tbl>
    <w:p>
      <w:pPr>
        <w:pStyle w:val="77"/>
        <w:spacing w:before="312" w:beforeLines="100" w:after="312" w:afterLines="100"/>
      </w:pPr>
      <w:r>
        <w:rPr>
          <w:rFonts w:hint="eastAsia"/>
        </w:rPr>
        <w:t>报告主体活动数据一览表</w:t>
      </w:r>
      <w:r>
        <w:rPr>
          <w:rFonts w:hint="eastAsia"/>
          <w:vertAlign w:val="superscript"/>
        </w:rPr>
        <w:t>a</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866" w:type="dxa"/>
            <w:tcBorders>
              <w:top w:val="single" w:color="auto" w:sz="8" w:space="0"/>
              <w:bottom w:val="single" w:color="auto" w:sz="8" w:space="0"/>
            </w:tcBorders>
            <w:shd w:val="clear" w:color="auto" w:fill="auto"/>
            <w:vAlign w:val="center"/>
          </w:tcPr>
          <w:p>
            <w:pPr>
              <w:pStyle w:val="178"/>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排放源类别</w:t>
            </w:r>
          </w:p>
        </w:tc>
        <w:tc>
          <w:tcPr>
            <w:tcW w:w="1867" w:type="dxa"/>
            <w:tcBorders>
              <w:top w:val="single" w:color="auto" w:sz="8" w:space="0"/>
              <w:bottom w:val="single" w:color="auto" w:sz="8" w:space="0"/>
            </w:tcBorders>
            <w:shd w:val="clear" w:color="auto" w:fill="auto"/>
            <w:vAlign w:val="center"/>
          </w:tcPr>
          <w:p>
            <w:pPr>
              <w:pStyle w:val="178"/>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燃料品种</w:t>
            </w:r>
          </w:p>
        </w:tc>
        <w:tc>
          <w:tcPr>
            <w:tcW w:w="1867" w:type="dxa"/>
            <w:tcBorders>
              <w:top w:val="single" w:color="auto" w:sz="8" w:space="0"/>
              <w:bottom w:val="single" w:color="auto" w:sz="8" w:space="0"/>
            </w:tcBorders>
            <w:shd w:val="clear" w:color="auto" w:fill="auto"/>
            <w:vAlign w:val="center"/>
          </w:tcPr>
          <w:p>
            <w:pPr>
              <w:pStyle w:val="178"/>
              <w:rPr>
                <w:rFonts w:hint="default" w:ascii="Times New Roman" w:hAnsi="Times New Roman" w:eastAsia="黑体" w:cs="Times New Roman"/>
                <w:sz w:val="21"/>
                <w:szCs w:val="21"/>
              </w:rPr>
            </w:pPr>
            <w:r>
              <w:rPr>
                <w:rFonts w:hint="default" w:ascii="Times New Roman" w:hAnsi="Times New Roman" w:eastAsia="黑体" w:cs="Times New Roman"/>
                <w:sz w:val="21"/>
                <w:szCs w:val="21"/>
              </w:rPr>
              <w:t>计量单位</w:t>
            </w:r>
          </w:p>
        </w:tc>
        <w:tc>
          <w:tcPr>
            <w:tcW w:w="1867" w:type="dxa"/>
            <w:tcBorders>
              <w:top w:val="single" w:color="auto" w:sz="8" w:space="0"/>
              <w:bottom w:val="single" w:color="auto" w:sz="8" w:space="0"/>
            </w:tcBorders>
            <w:shd w:val="clear" w:color="auto" w:fill="auto"/>
            <w:vAlign w:val="center"/>
          </w:tcPr>
          <w:p>
            <w:pPr>
              <w:pStyle w:val="178"/>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净消耗量</w:t>
            </w:r>
          </w:p>
          <w:p>
            <w:pPr>
              <w:pStyle w:val="178"/>
              <w:rPr>
                <w:rFonts w:hint="default" w:ascii="Times New Roman" w:hAnsi="Times New Roman" w:eastAsia="黑体" w:cs="Times New Roman"/>
                <w:sz w:val="21"/>
                <w:szCs w:val="21"/>
              </w:rPr>
            </w:pPr>
            <w:r>
              <w:rPr>
                <w:rFonts w:hint="default" w:ascii="Times New Roman" w:hAnsi="Times New Roman" w:eastAsia="黑体" w:cs="Times New Roman"/>
                <w:spacing w:val="20"/>
                <w:sz w:val="21"/>
                <w:szCs w:val="21"/>
              </w:rPr>
              <w:t>t或10</w:t>
            </w:r>
            <w:r>
              <w:rPr>
                <w:rFonts w:hint="default" w:ascii="Times New Roman" w:hAnsi="Times New Roman" w:eastAsia="黑体" w:cs="Times New Roman"/>
                <w:spacing w:val="20"/>
                <w:sz w:val="21"/>
                <w:szCs w:val="21"/>
                <w:vertAlign w:val="superscript"/>
              </w:rPr>
              <w:t>4</w:t>
            </w:r>
            <w:r>
              <w:rPr>
                <w:rFonts w:hint="default" w:ascii="Times New Roman" w:hAnsi="Times New Roman" w:eastAsia="黑体" w:cs="Times New Roman"/>
                <w:spacing w:val="20"/>
                <w:sz w:val="21"/>
                <w:szCs w:val="21"/>
              </w:rPr>
              <w:t>Nm</w:t>
            </w:r>
            <w:r>
              <w:rPr>
                <w:rFonts w:hint="default" w:ascii="Times New Roman" w:hAnsi="Times New Roman" w:eastAsia="黑体" w:cs="Times New Roman"/>
                <w:spacing w:val="20"/>
                <w:sz w:val="21"/>
                <w:szCs w:val="21"/>
                <w:vertAlign w:val="superscript"/>
              </w:rPr>
              <w:t>3</w:t>
            </w:r>
          </w:p>
        </w:tc>
        <w:tc>
          <w:tcPr>
            <w:tcW w:w="1867" w:type="dxa"/>
            <w:tcBorders>
              <w:top w:val="single" w:color="auto" w:sz="8" w:space="0"/>
              <w:bottom w:val="single" w:color="auto" w:sz="8" w:space="0"/>
            </w:tcBorders>
            <w:shd w:val="clear" w:color="auto" w:fill="auto"/>
            <w:vAlign w:val="center"/>
          </w:tcPr>
          <w:p>
            <w:pPr>
              <w:pStyle w:val="178"/>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低位发热量</w:t>
            </w:r>
          </w:p>
          <w:p>
            <w:pPr>
              <w:pStyle w:val="178"/>
              <w:jc w:val="center"/>
              <w:rPr>
                <w:rFonts w:hint="default" w:ascii="Times New Roman" w:hAnsi="Times New Roman" w:eastAsia="黑体" w:cs="Times New Roman"/>
                <w:sz w:val="21"/>
                <w:szCs w:val="21"/>
              </w:rPr>
            </w:pPr>
            <w:r>
              <w:rPr>
                <w:rFonts w:hint="default" w:ascii="Times New Roman" w:hAnsi="Times New Roman" w:eastAsia="黑体" w:cs="Times New Roman"/>
                <w:spacing w:val="20"/>
                <w:sz w:val="21"/>
                <w:szCs w:val="21"/>
              </w:rPr>
              <w:t>GJ/t或GJ/10</w:t>
            </w:r>
            <w:r>
              <w:rPr>
                <w:rFonts w:hint="default" w:ascii="Times New Roman" w:hAnsi="Times New Roman" w:eastAsia="黑体" w:cs="Times New Roman"/>
                <w:spacing w:val="20"/>
                <w:sz w:val="21"/>
                <w:szCs w:val="21"/>
                <w:vertAlign w:val="superscript"/>
              </w:rPr>
              <w:t>4</w:t>
            </w:r>
            <w:r>
              <w:rPr>
                <w:rFonts w:hint="default" w:ascii="Times New Roman" w:hAnsi="Times New Roman" w:eastAsia="黑体" w:cs="Times New Roman"/>
                <w:spacing w:val="20"/>
                <w:sz w:val="21"/>
                <w:szCs w:val="21"/>
              </w:rPr>
              <w:t>Nm</w:t>
            </w:r>
            <w:r>
              <w:rPr>
                <w:rFonts w:hint="default" w:ascii="Times New Roman" w:hAnsi="Times New Roman" w:eastAsia="黑体" w:cs="Times New Roman"/>
                <w:spacing w:val="20"/>
                <w:sz w:val="21"/>
                <w:szCs w:val="21"/>
                <w:vertAlign w:val="superscript"/>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restart"/>
            <w:tcBorders>
              <w:top w:val="single" w:color="auto" w:sz="8" w:space="0"/>
            </w:tcBorders>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燃料燃烧</w:t>
            </w:r>
            <w:r>
              <w:rPr>
                <w:rFonts w:hint="default" w:ascii="Times New Roman" w:hAnsi="Times New Roman" w:eastAsia="宋体" w:cs="Times New Roman"/>
                <w:sz w:val="18"/>
                <w:szCs w:val="18"/>
                <w:vertAlign w:val="superscript"/>
              </w:rPr>
              <w:t>b</w:t>
            </w:r>
          </w:p>
        </w:tc>
        <w:tc>
          <w:tcPr>
            <w:tcW w:w="1867" w:type="dxa"/>
            <w:tcBorders>
              <w:top w:val="single" w:color="auto" w:sz="8" w:space="0"/>
            </w:tcBorders>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无烟煤</w:t>
            </w:r>
          </w:p>
        </w:tc>
        <w:tc>
          <w:tcPr>
            <w:tcW w:w="1867" w:type="dxa"/>
            <w:tcBorders>
              <w:top w:val="single" w:color="auto" w:sz="8" w:space="0"/>
            </w:tcBorders>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tcBorders>
              <w:top w:val="single" w:color="auto" w:sz="8" w:space="0"/>
            </w:tcBorders>
            <w:shd w:val="clear" w:color="auto" w:fill="auto"/>
            <w:vAlign w:val="center"/>
          </w:tcPr>
          <w:p>
            <w:pPr>
              <w:pStyle w:val="178"/>
              <w:rPr>
                <w:rFonts w:hint="default" w:ascii="Times New Roman" w:hAnsi="Times New Roman" w:eastAsia="宋体" w:cs="Times New Roman"/>
                <w:sz w:val="18"/>
                <w:szCs w:val="18"/>
              </w:rPr>
            </w:pPr>
          </w:p>
        </w:tc>
        <w:tc>
          <w:tcPr>
            <w:tcW w:w="1867" w:type="dxa"/>
            <w:tcBorders>
              <w:top w:val="single" w:color="auto" w:sz="8" w:space="0"/>
            </w:tcBorders>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烟煤</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褐煤</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煤矸石</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焦炭</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top"/>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lang w:eastAsia="zh-CN"/>
              </w:rPr>
              <w:t>石油焦</w:t>
            </w:r>
          </w:p>
        </w:tc>
        <w:tc>
          <w:tcPr>
            <w:tcW w:w="1867" w:type="dxa"/>
            <w:shd w:val="clear" w:color="auto" w:fill="auto"/>
          </w:tcPr>
          <w:p>
            <w:pPr>
              <w:pStyle w:val="178"/>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top"/>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煤渣、粉煤灰等</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 w:hRule="atLeast"/>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汽油</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柴油</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液化天然气</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液化石油气</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t</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天然气</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bidi="ar-SA"/>
              </w:rPr>
              <w:t>10</w:t>
            </w:r>
            <w:r>
              <w:rPr>
                <w:rFonts w:hint="default" w:ascii="Times New Roman" w:hAnsi="Times New Roman" w:eastAsia="宋体" w:cs="Times New Roman"/>
                <w:sz w:val="18"/>
                <w:szCs w:val="18"/>
                <w:vertAlign w:val="superscript"/>
                <w:lang w:val="en-US" w:eastAsia="zh-CN" w:bidi="ar-SA"/>
              </w:rPr>
              <w:t>4</w:t>
            </w:r>
            <w:r>
              <w:rPr>
                <w:rFonts w:hint="default" w:ascii="Times New Roman" w:hAnsi="Times New Roman" w:eastAsia="宋体" w:cs="Times New Roman"/>
                <w:sz w:val="18"/>
                <w:szCs w:val="18"/>
                <w:lang w:val="en-US" w:eastAsia="zh-CN" w:bidi="ar-SA"/>
              </w:rPr>
              <w:t>Nm</w:t>
            </w:r>
            <w:r>
              <w:rPr>
                <w:rFonts w:hint="default" w:ascii="Times New Roman" w:hAnsi="Times New Roman" w:eastAsia="宋体" w:cs="Times New Roman"/>
                <w:sz w:val="18"/>
                <w:szCs w:val="18"/>
                <w:vertAlign w:val="superscript"/>
                <w:lang w:val="en-US" w:eastAsia="zh-CN" w:bidi="ar-SA"/>
              </w:rPr>
              <w:t>3</w:t>
            </w: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top"/>
          </w:tcPr>
          <w:p>
            <w:pPr>
              <w:pStyle w:val="178"/>
              <w:ind w:firstLine="0" w:firstLineChars="0"/>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其他：</w:t>
            </w:r>
            <w:r>
              <w:rPr>
                <w:rFonts w:hint="default" w:ascii="Times New Roman" w:hAnsi="Times New Roman" w:eastAsia="宋体" w:cs="Times New Roman"/>
                <w:sz w:val="18"/>
                <w:szCs w:val="18"/>
                <w:u w:val="single"/>
              </w:rPr>
              <w:t xml:space="preserve">     </w:t>
            </w:r>
          </w:p>
        </w:tc>
        <w:tc>
          <w:tcPr>
            <w:tcW w:w="1867" w:type="dxa"/>
            <w:shd w:val="clear" w:color="auto" w:fill="auto"/>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restart"/>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生产过程</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参数名称</w:t>
            </w:r>
          </w:p>
        </w:tc>
        <w:tc>
          <w:tcPr>
            <w:tcW w:w="3734" w:type="dxa"/>
            <w:gridSpan w:val="2"/>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数据</w:t>
            </w:r>
          </w:p>
        </w:tc>
        <w:tc>
          <w:tcPr>
            <w:tcW w:w="1867" w:type="dxa"/>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tcPr>
          <w:p>
            <w:pPr>
              <w:pStyle w:val="178"/>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eastAsia="zh-CN"/>
              </w:rPr>
              <w:t>烧结墙体材料产量</w:t>
            </w:r>
          </w:p>
        </w:tc>
        <w:tc>
          <w:tcPr>
            <w:tcW w:w="3734" w:type="dxa"/>
            <w:gridSpan w:val="2"/>
            <w:shd w:val="clear" w:color="auto" w:fill="auto"/>
            <w:vAlign w:val="center"/>
          </w:tcPr>
          <w:p>
            <w:pPr>
              <w:pStyle w:val="178"/>
              <w:rPr>
                <w:rFonts w:hint="default" w:ascii="Times New Roman" w:hAnsi="Times New Roman" w:eastAsia="宋体" w:cs="Times New Roman"/>
                <w:sz w:val="18"/>
                <w:szCs w:val="18"/>
              </w:rPr>
            </w:pPr>
          </w:p>
        </w:tc>
        <w:tc>
          <w:tcPr>
            <w:tcW w:w="1867" w:type="dxa"/>
            <w:shd w:val="clear" w:color="auto" w:fill="auto"/>
            <w:vAlign w:val="center"/>
          </w:tcPr>
          <w:p>
            <w:pPr>
              <w:pStyle w:val="178"/>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val="en-US" w:eastAsia="zh-CN"/>
              </w:rPr>
              <w:t>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restart"/>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电力、热力</w:t>
            </w:r>
          </w:p>
        </w:tc>
        <w:tc>
          <w:tcPr>
            <w:tcW w:w="1867" w:type="dxa"/>
            <w:vMerge w:val="restart"/>
            <w:shd w:val="clear" w:color="auto" w:fill="auto"/>
            <w:vAlign w:val="center"/>
          </w:tcPr>
          <w:p>
            <w:pPr>
              <w:pStyle w:val="178"/>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参数名称</w:t>
            </w:r>
          </w:p>
        </w:tc>
        <w:tc>
          <w:tcPr>
            <w:tcW w:w="3734" w:type="dxa"/>
            <w:gridSpan w:val="2"/>
            <w:shd w:val="clear" w:color="auto" w:fill="auto"/>
            <w:vAlign w:val="center"/>
          </w:tcPr>
          <w:p>
            <w:pPr>
              <w:pStyle w:val="178"/>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数据</w:t>
            </w:r>
          </w:p>
        </w:tc>
        <w:tc>
          <w:tcPr>
            <w:tcW w:w="1867" w:type="dxa"/>
            <w:vMerge w:val="restart"/>
            <w:shd w:val="clear" w:color="auto" w:fill="auto"/>
            <w:vAlign w:val="center"/>
          </w:tcPr>
          <w:p>
            <w:pPr>
              <w:pStyle w:val="178"/>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pStyle w:val="178"/>
              <w:rPr>
                <w:rFonts w:hint="default" w:ascii="Times New Roman" w:hAnsi="Times New Roman" w:eastAsia="宋体" w:cs="Times New Roman"/>
                <w:sz w:val="18"/>
                <w:szCs w:val="18"/>
              </w:rPr>
            </w:pPr>
          </w:p>
        </w:tc>
        <w:tc>
          <w:tcPr>
            <w:tcW w:w="1867" w:type="dxa"/>
            <w:vMerge w:val="continue"/>
            <w:tcBorders>
              <w:bottom w:val="single" w:color="auto" w:sz="2" w:space="0"/>
            </w:tcBorders>
            <w:shd w:val="clear" w:color="auto" w:fill="auto"/>
          </w:tcPr>
          <w:p>
            <w:pPr>
              <w:pStyle w:val="178"/>
              <w:rPr>
                <w:rFonts w:hint="default" w:ascii="Times New Roman" w:hAnsi="Times New Roman" w:eastAsia="宋体" w:cs="Times New Roman"/>
                <w:sz w:val="18"/>
                <w:szCs w:val="18"/>
              </w:rPr>
            </w:pPr>
          </w:p>
        </w:tc>
        <w:tc>
          <w:tcPr>
            <w:tcW w:w="1867" w:type="dxa"/>
            <w:tcBorders>
              <w:bottom w:val="single" w:color="auto" w:sz="2" w:space="0"/>
            </w:tcBorders>
            <w:shd w:val="clear" w:color="auto" w:fill="auto"/>
            <w:vAlign w:val="center"/>
          </w:tcPr>
          <w:p>
            <w:pPr>
              <w:pStyle w:val="178"/>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eastAsia="zh-CN"/>
              </w:rPr>
              <w:t>购入</w:t>
            </w:r>
          </w:p>
        </w:tc>
        <w:tc>
          <w:tcPr>
            <w:tcW w:w="1867" w:type="dxa"/>
            <w:tcBorders>
              <w:bottom w:val="single" w:color="auto" w:sz="2" w:space="0"/>
            </w:tcBorders>
            <w:shd w:val="clear" w:color="auto" w:fill="auto"/>
            <w:vAlign w:val="center"/>
          </w:tcPr>
          <w:p>
            <w:pPr>
              <w:pStyle w:val="178"/>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eastAsia="zh-CN"/>
              </w:rPr>
              <w:t>输出</w:t>
            </w:r>
          </w:p>
        </w:tc>
        <w:tc>
          <w:tcPr>
            <w:tcW w:w="1867" w:type="dxa"/>
            <w:vMerge w:val="continue"/>
            <w:tcBorders>
              <w:bottom w:val="single" w:color="auto" w:sz="2" w:space="0"/>
            </w:tcBorders>
            <w:shd w:val="clear" w:color="auto" w:fill="auto"/>
            <w:vAlign w:val="center"/>
          </w:tcPr>
          <w:p>
            <w:pPr>
              <w:pStyle w:val="178"/>
              <w:rPr>
                <w:rFonts w:hint="default" w:ascii="Times New Roman" w:hAnsi="Times New Roman" w:eastAsia="宋体"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shd w:val="clear" w:color="auto" w:fill="auto"/>
            <w:vAlign w:val="center"/>
          </w:tcPr>
          <w:p>
            <w:pPr>
              <w:widowControl/>
              <w:adjustRightInd/>
              <w:spacing w:line="240" w:lineRule="auto"/>
              <w:jc w:val="left"/>
              <w:rPr>
                <w:rFonts w:hint="default" w:ascii="Times New Roman" w:hAnsi="Times New Roman" w:eastAsia="宋体" w:cs="Times New Roman"/>
                <w:sz w:val="18"/>
                <w:szCs w:val="18"/>
              </w:rPr>
            </w:pPr>
          </w:p>
        </w:tc>
        <w:tc>
          <w:tcPr>
            <w:tcW w:w="1867" w:type="dxa"/>
            <w:tcBorders>
              <w:top w:val="single" w:color="auto" w:sz="2" w:space="0"/>
              <w:bottom w:val="single" w:color="auto" w:sz="4" w:space="0"/>
            </w:tcBorders>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电力</w:t>
            </w:r>
          </w:p>
        </w:tc>
        <w:tc>
          <w:tcPr>
            <w:tcW w:w="1867" w:type="dxa"/>
            <w:tcBorders>
              <w:top w:val="single" w:color="auto" w:sz="2" w:space="0"/>
              <w:bottom w:val="single" w:color="auto" w:sz="4" w:space="0"/>
            </w:tcBorders>
            <w:shd w:val="clear" w:color="auto" w:fill="auto"/>
            <w:vAlign w:val="center"/>
          </w:tcPr>
          <w:p>
            <w:pPr>
              <w:pStyle w:val="178"/>
              <w:rPr>
                <w:rFonts w:hint="default" w:ascii="Times New Roman" w:hAnsi="Times New Roman" w:eastAsia="宋体" w:cs="Times New Roman"/>
                <w:sz w:val="18"/>
                <w:szCs w:val="18"/>
              </w:rPr>
            </w:pPr>
          </w:p>
        </w:tc>
        <w:tc>
          <w:tcPr>
            <w:tcW w:w="1867" w:type="dxa"/>
            <w:tcBorders>
              <w:top w:val="single" w:color="auto" w:sz="2" w:space="0"/>
              <w:bottom w:val="single" w:color="auto" w:sz="4" w:space="0"/>
            </w:tcBorders>
            <w:shd w:val="clear" w:color="auto" w:fill="auto"/>
            <w:vAlign w:val="center"/>
          </w:tcPr>
          <w:p>
            <w:pPr>
              <w:pStyle w:val="178"/>
              <w:rPr>
                <w:rFonts w:hint="default" w:ascii="Times New Roman" w:hAnsi="Times New Roman" w:eastAsia="宋体" w:cs="Times New Roman"/>
                <w:sz w:val="18"/>
                <w:szCs w:val="18"/>
              </w:rPr>
            </w:pPr>
          </w:p>
        </w:tc>
        <w:tc>
          <w:tcPr>
            <w:tcW w:w="1867" w:type="dxa"/>
            <w:tcBorders>
              <w:top w:val="single" w:color="auto" w:sz="2" w:space="0"/>
              <w:bottom w:val="single" w:color="auto" w:sz="4" w:space="0"/>
            </w:tcBorders>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color w:val="000000"/>
                <w:spacing w:val="-2"/>
                <w:sz w:val="18"/>
                <w:szCs w:val="18"/>
              </w:rPr>
              <w:t>MWh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66" w:type="dxa"/>
            <w:vMerge w:val="continue"/>
            <w:tcBorders>
              <w:bottom w:val="single" w:color="auto" w:sz="4" w:space="0"/>
            </w:tcBorders>
            <w:shd w:val="clear" w:color="auto" w:fill="auto"/>
            <w:vAlign w:val="center"/>
          </w:tcPr>
          <w:p>
            <w:pPr>
              <w:widowControl/>
              <w:adjustRightInd/>
              <w:spacing w:line="240" w:lineRule="auto"/>
              <w:jc w:val="left"/>
              <w:rPr>
                <w:rFonts w:hint="default" w:ascii="Times New Roman" w:hAnsi="Times New Roman" w:eastAsia="宋体" w:cs="Times New Roman"/>
                <w:sz w:val="18"/>
                <w:szCs w:val="18"/>
              </w:rPr>
            </w:pPr>
          </w:p>
        </w:tc>
        <w:tc>
          <w:tcPr>
            <w:tcW w:w="1867" w:type="dxa"/>
            <w:tcBorders>
              <w:top w:val="single" w:color="auto" w:sz="2" w:space="0"/>
              <w:bottom w:val="single" w:color="auto" w:sz="4" w:space="0"/>
            </w:tcBorders>
            <w:shd w:val="clear" w:color="auto" w:fill="auto"/>
          </w:tcPr>
          <w:p>
            <w:pPr>
              <w:pStyle w:val="178"/>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热力</w:t>
            </w:r>
          </w:p>
        </w:tc>
        <w:tc>
          <w:tcPr>
            <w:tcW w:w="1867" w:type="dxa"/>
            <w:tcBorders>
              <w:top w:val="single" w:color="auto" w:sz="2" w:space="0"/>
              <w:bottom w:val="single" w:color="auto" w:sz="4" w:space="0"/>
            </w:tcBorders>
            <w:shd w:val="clear" w:color="auto" w:fill="auto"/>
            <w:vAlign w:val="center"/>
          </w:tcPr>
          <w:p>
            <w:pPr>
              <w:pStyle w:val="178"/>
              <w:rPr>
                <w:rFonts w:hint="default" w:ascii="Times New Roman" w:hAnsi="Times New Roman" w:eastAsia="宋体" w:cs="Times New Roman"/>
                <w:sz w:val="18"/>
                <w:szCs w:val="18"/>
              </w:rPr>
            </w:pPr>
          </w:p>
        </w:tc>
        <w:tc>
          <w:tcPr>
            <w:tcW w:w="1867" w:type="dxa"/>
            <w:tcBorders>
              <w:top w:val="single" w:color="auto" w:sz="2" w:space="0"/>
              <w:bottom w:val="single" w:color="auto" w:sz="4" w:space="0"/>
            </w:tcBorders>
            <w:shd w:val="clear" w:color="auto" w:fill="auto"/>
            <w:vAlign w:val="center"/>
          </w:tcPr>
          <w:p>
            <w:pPr>
              <w:pStyle w:val="178"/>
              <w:rPr>
                <w:rFonts w:hint="default" w:ascii="Times New Roman" w:hAnsi="Times New Roman" w:eastAsia="宋体" w:cs="Times New Roman"/>
                <w:sz w:val="18"/>
                <w:szCs w:val="18"/>
              </w:rPr>
            </w:pPr>
          </w:p>
        </w:tc>
        <w:tc>
          <w:tcPr>
            <w:tcW w:w="1867" w:type="dxa"/>
            <w:tcBorders>
              <w:top w:val="single" w:color="auto" w:sz="2" w:space="0"/>
              <w:bottom w:val="single" w:color="auto" w:sz="4" w:space="0"/>
            </w:tcBorders>
            <w:shd w:val="clear" w:color="auto" w:fill="auto"/>
            <w:vAlign w:val="center"/>
          </w:tcPr>
          <w:p>
            <w:pPr>
              <w:pStyle w:val="178"/>
              <w:rPr>
                <w:rFonts w:hint="default" w:ascii="Times New Roman" w:hAnsi="Times New Roman" w:eastAsia="宋体" w:cs="Times New Roman"/>
                <w:sz w:val="18"/>
                <w:szCs w:val="18"/>
              </w:rPr>
            </w:pPr>
            <w:r>
              <w:rPr>
                <w:rFonts w:hint="default" w:ascii="Times New Roman" w:hAnsi="Times New Roman" w:eastAsia="宋体" w:cs="Times New Roman"/>
                <w:color w:val="000000"/>
                <w:spacing w:val="-2"/>
                <w:sz w:val="18"/>
                <w:szCs w:val="18"/>
              </w:rPr>
              <w:t>GJ</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4" w:type="dxa"/>
            <w:gridSpan w:val="5"/>
            <w:tcBorders>
              <w:top w:val="single" w:color="auto" w:sz="8" w:space="0"/>
            </w:tcBorders>
            <w:shd w:val="clear" w:color="auto" w:fill="auto"/>
            <w:vAlign w:val="center"/>
          </w:tcPr>
          <w:p>
            <w:pPr>
              <w:pStyle w:val="178"/>
              <w:ind w:firstLine="360" w:firstLineChars="200"/>
              <w:jc w:val="left"/>
            </w:pPr>
            <w:r>
              <w:rPr>
                <w:rFonts w:hint="eastAsia"/>
                <w:vertAlign w:val="superscript"/>
              </w:rPr>
              <w:t>a</w:t>
            </w:r>
            <w:r>
              <w:rPr>
                <w:vertAlign w:val="superscript"/>
              </w:rPr>
              <w:t xml:space="preserve"> </w:t>
            </w:r>
            <w:r>
              <w:rPr>
                <w:rFonts w:hint="eastAsia"/>
              </w:rPr>
              <w:t xml:space="preserve"> 报告主体如果还从事烧结墙体材料以外的产品生产活动，并存在本文件未涵盖的温室气体排放环节，应自行</w:t>
            </w:r>
          </w:p>
          <w:p>
            <w:pPr>
              <w:pStyle w:val="178"/>
              <w:ind w:firstLine="540" w:firstLineChars="300"/>
              <w:jc w:val="left"/>
            </w:pPr>
            <w:r>
              <w:rPr>
                <w:rFonts w:hint="eastAsia"/>
              </w:rPr>
              <w:t>加行报告。</w:t>
            </w:r>
          </w:p>
          <w:p>
            <w:pPr>
              <w:pStyle w:val="178"/>
              <w:ind w:firstLine="360" w:firstLineChars="200"/>
              <w:jc w:val="left"/>
            </w:pPr>
            <w:r>
              <w:rPr>
                <w:vertAlign w:val="superscript"/>
              </w:rPr>
              <w:t xml:space="preserve">b </w:t>
            </w:r>
            <w:r>
              <w:t xml:space="preserve"> </w:t>
            </w:r>
            <w:r>
              <w:rPr>
                <w:rFonts w:hint="eastAsia"/>
              </w:rPr>
              <w:t>报告主体应自行添加未在表中列出但企业实际消耗的其他能源品种。</w:t>
            </w:r>
          </w:p>
        </w:tc>
      </w:tr>
    </w:tbl>
    <w:p>
      <w:pPr>
        <w:pStyle w:val="77"/>
        <w:numPr>
          <w:ilvl w:val="1"/>
          <w:numId w:val="0"/>
        </w:numPr>
        <w:spacing w:before="312" w:beforeLines="100" w:after="156"/>
        <w:ind w:left="420"/>
        <w:jc w:val="both"/>
      </w:pPr>
    </w:p>
    <w:p>
      <w:pPr>
        <w:pStyle w:val="56"/>
      </w:pPr>
    </w:p>
    <w:p>
      <w:pPr>
        <w:pStyle w:val="56"/>
      </w:pPr>
    </w:p>
    <w:p>
      <w:pPr>
        <w:pStyle w:val="77"/>
        <w:numPr>
          <w:ilvl w:val="1"/>
          <w:numId w:val="0"/>
        </w:numPr>
        <w:spacing w:before="312" w:beforeLines="100" w:after="156"/>
        <w:jc w:val="both"/>
      </w:pPr>
    </w:p>
    <w:p>
      <w:pPr>
        <w:pStyle w:val="77"/>
        <w:spacing w:before="312" w:beforeLines="100" w:after="156"/>
      </w:pPr>
      <w:r>
        <w:rPr>
          <w:rFonts w:hint="eastAsia"/>
        </w:rPr>
        <w:t>报告主体排放因子和计算系数一览表</w:t>
      </w:r>
      <w:r>
        <w:rPr>
          <w:rFonts w:hint="eastAsia"/>
          <w:vertAlign w:val="superscript"/>
        </w:rPr>
        <w:t>a</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4"/>
        <w:gridCol w:w="2333"/>
        <w:gridCol w:w="1403"/>
        <w:gridCol w:w="1350"/>
        <w:gridCol w:w="19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4" w:type="dxa"/>
            <w:tcBorders>
              <w:top w:val="single" w:color="auto" w:sz="8" w:space="0"/>
              <w:bottom w:val="single" w:color="auto" w:sz="8" w:space="0"/>
            </w:tcBorders>
            <w:shd w:val="clear" w:color="auto" w:fill="auto"/>
            <w:vAlign w:val="center"/>
          </w:tcPr>
          <w:p>
            <w:pPr>
              <w:widowControl/>
              <w:spacing w:line="300" w:lineRule="exact"/>
              <w:jc w:val="center"/>
              <w:rPr>
                <w:rFonts w:hint="default" w:ascii="Times New Roman" w:hAnsi="Times New Roman" w:eastAsia="黑体" w:cs="Times New Roman"/>
                <w:color w:val="000000"/>
                <w:spacing w:val="-2"/>
                <w:kern w:val="0"/>
                <w:sz w:val="21"/>
                <w:szCs w:val="21"/>
                <w:lang w:val="en-US" w:eastAsia="zh-CN" w:bidi="ar-SA"/>
              </w:rPr>
            </w:pPr>
            <w:r>
              <w:rPr>
                <w:rFonts w:hint="default" w:ascii="Times New Roman" w:hAnsi="Times New Roman" w:eastAsia="黑体" w:cs="Times New Roman"/>
                <w:color w:val="000000"/>
                <w:spacing w:val="-2"/>
                <w:kern w:val="0"/>
                <w:sz w:val="21"/>
                <w:szCs w:val="21"/>
                <w:lang w:val="en-US" w:eastAsia="zh-CN" w:bidi="ar-SA"/>
              </w:rPr>
              <w:t>排放源类别</w:t>
            </w:r>
          </w:p>
        </w:tc>
        <w:tc>
          <w:tcPr>
            <w:tcW w:w="2333" w:type="dxa"/>
            <w:tcBorders>
              <w:top w:val="single" w:color="auto" w:sz="8" w:space="0"/>
              <w:bottom w:val="single" w:color="auto" w:sz="8" w:space="0"/>
            </w:tcBorders>
            <w:shd w:val="clear" w:color="auto" w:fill="auto"/>
            <w:vAlign w:val="center"/>
          </w:tcPr>
          <w:p>
            <w:pPr>
              <w:widowControl/>
              <w:spacing w:line="300" w:lineRule="exact"/>
              <w:jc w:val="center"/>
              <w:rPr>
                <w:rFonts w:hint="default" w:ascii="Times New Roman" w:hAnsi="Times New Roman" w:eastAsia="黑体" w:cs="Times New Roman"/>
                <w:color w:val="000000"/>
                <w:spacing w:val="-2"/>
                <w:kern w:val="0"/>
                <w:sz w:val="21"/>
                <w:szCs w:val="21"/>
                <w:lang w:val="en-US" w:eastAsia="zh-CN" w:bidi="ar-SA"/>
              </w:rPr>
            </w:pPr>
            <w:r>
              <w:rPr>
                <w:rFonts w:hint="default" w:ascii="Times New Roman" w:hAnsi="Times New Roman" w:eastAsia="黑体" w:cs="Times New Roman"/>
                <w:color w:val="000000"/>
                <w:spacing w:val="-2"/>
                <w:kern w:val="0"/>
                <w:sz w:val="21"/>
                <w:szCs w:val="21"/>
                <w:lang w:val="en-US" w:eastAsia="zh-CN" w:bidi="ar-SA"/>
              </w:rPr>
              <w:t>燃料品种</w:t>
            </w:r>
          </w:p>
        </w:tc>
        <w:tc>
          <w:tcPr>
            <w:tcW w:w="2753" w:type="dxa"/>
            <w:gridSpan w:val="2"/>
            <w:tcBorders>
              <w:top w:val="single" w:color="auto" w:sz="8" w:space="0"/>
              <w:bottom w:val="single" w:color="auto" w:sz="8" w:space="0"/>
            </w:tcBorders>
            <w:shd w:val="clear" w:color="auto" w:fill="auto"/>
            <w:vAlign w:val="center"/>
          </w:tcPr>
          <w:p>
            <w:pPr>
              <w:widowControl/>
              <w:spacing w:line="300" w:lineRule="exact"/>
              <w:jc w:val="center"/>
              <w:rPr>
                <w:rFonts w:hint="default" w:ascii="Times New Roman" w:hAnsi="Times New Roman" w:eastAsia="黑体" w:cs="Times New Roman"/>
                <w:color w:val="000000"/>
                <w:spacing w:val="-2"/>
                <w:kern w:val="0"/>
                <w:sz w:val="21"/>
                <w:szCs w:val="21"/>
                <w:lang w:val="en-US" w:eastAsia="zh-CN" w:bidi="ar-SA"/>
              </w:rPr>
            </w:pPr>
            <w:r>
              <w:rPr>
                <w:rFonts w:hint="default" w:ascii="Times New Roman" w:hAnsi="Times New Roman" w:eastAsia="黑体" w:cs="Times New Roman"/>
                <w:color w:val="000000"/>
                <w:spacing w:val="-2"/>
                <w:kern w:val="0"/>
                <w:sz w:val="21"/>
                <w:szCs w:val="21"/>
                <w:lang w:val="en-US" w:eastAsia="zh-CN" w:bidi="ar-SA"/>
              </w:rPr>
              <w:t>单位热值含碳量</w:t>
            </w:r>
          </w:p>
          <w:p>
            <w:pPr>
              <w:widowControl/>
              <w:spacing w:line="300" w:lineRule="exact"/>
              <w:jc w:val="center"/>
              <w:rPr>
                <w:rFonts w:hint="default" w:ascii="Times New Roman" w:hAnsi="Times New Roman" w:eastAsia="黑体" w:cs="Times New Roman"/>
                <w:color w:val="000000"/>
                <w:spacing w:val="-2"/>
                <w:kern w:val="0"/>
                <w:sz w:val="21"/>
                <w:szCs w:val="21"/>
                <w:lang w:val="en-US" w:eastAsia="zh-CN" w:bidi="ar-SA"/>
              </w:rPr>
            </w:pPr>
            <w:r>
              <w:rPr>
                <w:rFonts w:hint="default" w:ascii="Times New Roman" w:hAnsi="Times New Roman" w:eastAsia="黑体" w:cs="Times New Roman"/>
                <w:color w:val="000000"/>
                <w:spacing w:val="-2"/>
                <w:kern w:val="0"/>
                <w:sz w:val="21"/>
                <w:szCs w:val="21"/>
                <w:lang w:val="en-US" w:eastAsia="zh-CN" w:bidi="ar-SA"/>
              </w:rPr>
              <w:t>tC/GJ</w:t>
            </w:r>
          </w:p>
        </w:tc>
        <w:tc>
          <w:tcPr>
            <w:tcW w:w="1914" w:type="dxa"/>
            <w:tcBorders>
              <w:top w:val="single" w:color="auto" w:sz="8" w:space="0"/>
              <w:bottom w:val="single" w:color="auto" w:sz="8" w:space="0"/>
            </w:tcBorders>
            <w:shd w:val="clear" w:color="auto" w:fill="auto"/>
            <w:vAlign w:val="center"/>
          </w:tcPr>
          <w:p>
            <w:pPr>
              <w:widowControl/>
              <w:spacing w:line="300" w:lineRule="exact"/>
              <w:jc w:val="center"/>
              <w:rPr>
                <w:rFonts w:hint="default" w:ascii="Times New Roman" w:hAnsi="Times New Roman" w:eastAsia="黑体" w:cs="Times New Roman"/>
                <w:color w:val="000000"/>
                <w:spacing w:val="-2"/>
                <w:kern w:val="0"/>
                <w:sz w:val="21"/>
                <w:szCs w:val="21"/>
                <w:lang w:val="en-US" w:eastAsia="zh-CN" w:bidi="ar-SA"/>
              </w:rPr>
            </w:pPr>
            <w:r>
              <w:rPr>
                <w:rFonts w:hint="default" w:ascii="Times New Roman" w:hAnsi="Times New Roman" w:eastAsia="黑体" w:cs="Times New Roman"/>
                <w:color w:val="000000"/>
                <w:spacing w:val="-2"/>
                <w:kern w:val="0"/>
                <w:sz w:val="21"/>
                <w:szCs w:val="21"/>
                <w:lang w:val="en-US" w:eastAsia="zh-CN" w:bidi="ar-SA"/>
              </w:rPr>
              <w:t>碳氧化率</w:t>
            </w:r>
          </w:p>
          <w:p>
            <w:pPr>
              <w:widowControl/>
              <w:spacing w:line="300" w:lineRule="exact"/>
              <w:jc w:val="center"/>
              <w:rPr>
                <w:rFonts w:hint="default" w:ascii="Times New Roman" w:hAnsi="Times New Roman" w:eastAsia="黑体" w:cs="Times New Roman"/>
                <w:color w:val="000000"/>
                <w:spacing w:val="-2"/>
                <w:kern w:val="0"/>
                <w:sz w:val="21"/>
                <w:szCs w:val="21"/>
                <w:lang w:val="en-US" w:eastAsia="zh-CN" w:bidi="ar-SA"/>
              </w:rPr>
            </w:pPr>
            <w:r>
              <w:rPr>
                <w:rFonts w:hint="default" w:ascii="Times New Roman" w:hAnsi="Times New Roman" w:eastAsia="黑体" w:cs="Times New Roman"/>
                <w:color w:val="000000"/>
                <w:spacing w:val="-2"/>
                <w:kern w:val="0"/>
                <w:sz w:val="21"/>
                <w:szCs w:val="21"/>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restart"/>
            <w:tcBorders>
              <w:top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燃料燃烧</w:t>
            </w:r>
            <w:r>
              <w:rPr>
                <w:rFonts w:hint="default" w:ascii="Times New Roman" w:hAnsi="Times New Roman" w:cs="Times New Roman"/>
                <w:sz w:val="18"/>
                <w:szCs w:val="18"/>
                <w:vertAlign w:val="superscript"/>
              </w:rPr>
              <w:t>b</w:t>
            </w:r>
          </w:p>
        </w:tc>
        <w:tc>
          <w:tcPr>
            <w:tcW w:w="2333" w:type="dxa"/>
            <w:tcBorders>
              <w:top w:val="single" w:color="auto" w:sz="8" w:space="0"/>
            </w:tcBorders>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无烟煤</w:t>
            </w:r>
          </w:p>
        </w:tc>
        <w:tc>
          <w:tcPr>
            <w:tcW w:w="2753" w:type="dxa"/>
            <w:gridSpan w:val="2"/>
            <w:tcBorders>
              <w:top w:val="single" w:color="auto" w:sz="8" w:space="0"/>
            </w:tcBorders>
            <w:shd w:val="clear" w:color="auto" w:fill="auto"/>
            <w:vAlign w:val="center"/>
          </w:tcPr>
          <w:p>
            <w:pPr>
              <w:pStyle w:val="178"/>
              <w:rPr>
                <w:rFonts w:hint="default" w:ascii="Times New Roman" w:hAnsi="Times New Roman" w:cs="Times New Roman"/>
                <w:sz w:val="18"/>
                <w:szCs w:val="18"/>
              </w:rPr>
            </w:pPr>
          </w:p>
        </w:tc>
        <w:tc>
          <w:tcPr>
            <w:tcW w:w="1914" w:type="dxa"/>
            <w:tcBorders>
              <w:top w:val="single" w:color="auto" w:sz="8" w:space="0"/>
            </w:tcBorders>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烟煤</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褐煤</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煤矸石</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焦炭</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tcPr>
          <w:p>
            <w:pPr>
              <w:pStyle w:val="178"/>
              <w:rPr>
                <w:rFonts w:hint="default" w:ascii="Times New Roman" w:hAnsi="Times New Roman" w:cs="Times New Roman"/>
                <w:sz w:val="18"/>
                <w:szCs w:val="18"/>
                <w:lang w:eastAsia="zh-CN"/>
              </w:rPr>
            </w:pPr>
            <w:r>
              <w:rPr>
                <w:rFonts w:hint="default" w:ascii="Times New Roman" w:hAnsi="Times New Roman" w:cs="Times New Roman"/>
                <w:sz w:val="18"/>
                <w:szCs w:val="18"/>
                <w:lang w:eastAsia="zh-CN"/>
              </w:rPr>
              <w:t>石油焦</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煤渣、粉煤灰等</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lang w:val="en-US" w:eastAsia="zh-CN"/>
              </w:rPr>
              <w:t>汽油</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lang w:val="en-US" w:eastAsia="zh-CN"/>
              </w:rPr>
              <w:t>柴油</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lang w:val="en-US" w:eastAsia="zh-CN"/>
              </w:rPr>
              <w:t>液化天然气</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lang w:val="en-US" w:eastAsia="zh-CN"/>
              </w:rPr>
              <w:t>液化石油气</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lang w:val="en-US" w:eastAsia="zh-CN"/>
              </w:rPr>
              <w:t>天然气</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其他：</w:t>
            </w:r>
            <w:r>
              <w:rPr>
                <w:rFonts w:hint="default" w:ascii="Times New Roman" w:hAnsi="Times New Roman" w:cs="Times New Roman"/>
                <w:sz w:val="18"/>
                <w:szCs w:val="18"/>
                <w:u w:val="single"/>
              </w:rPr>
              <w:t xml:space="preserve">     </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restart"/>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生产过程</w:t>
            </w:r>
          </w:p>
        </w:tc>
        <w:tc>
          <w:tcPr>
            <w:tcW w:w="2333"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参数名称</w:t>
            </w:r>
          </w:p>
        </w:tc>
        <w:tc>
          <w:tcPr>
            <w:tcW w:w="2753" w:type="dxa"/>
            <w:gridSpan w:val="2"/>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数据</w:t>
            </w:r>
          </w:p>
        </w:tc>
        <w:tc>
          <w:tcPr>
            <w:tcW w:w="1914"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干坯料配热</w:t>
            </w:r>
          </w:p>
        </w:tc>
        <w:tc>
          <w:tcPr>
            <w:tcW w:w="2753" w:type="dxa"/>
            <w:gridSpan w:val="2"/>
            <w:shd w:val="clear" w:color="auto" w:fill="auto"/>
            <w:vAlign w:val="center"/>
          </w:tcPr>
          <w:p>
            <w:pPr>
              <w:pStyle w:val="178"/>
              <w:rPr>
                <w:rFonts w:hint="default" w:ascii="Times New Roman" w:hAnsi="Times New Roman" w:cs="Times New Roman"/>
                <w:sz w:val="18"/>
                <w:szCs w:val="18"/>
              </w:rPr>
            </w:pPr>
          </w:p>
        </w:tc>
        <w:tc>
          <w:tcPr>
            <w:tcW w:w="1914"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pacing w:val="20"/>
                <w:sz w:val="18"/>
                <w:szCs w:val="18"/>
              </w:rPr>
              <w:t>kJ/kg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tcBorders>
              <w:bottom w:val="single" w:color="auto" w:sz="8" w:space="0"/>
            </w:tcBorders>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干坯料中水和其它有机挥发物的质量分数</w:t>
            </w:r>
          </w:p>
        </w:tc>
        <w:tc>
          <w:tcPr>
            <w:tcW w:w="2753" w:type="dxa"/>
            <w:gridSpan w:val="2"/>
            <w:tcBorders>
              <w:bottom w:val="single" w:color="auto" w:sz="8" w:space="0"/>
            </w:tcBorders>
            <w:shd w:val="clear" w:color="auto" w:fill="auto"/>
            <w:vAlign w:val="center"/>
          </w:tcPr>
          <w:p>
            <w:pPr>
              <w:pStyle w:val="178"/>
              <w:rPr>
                <w:rFonts w:hint="default" w:ascii="Times New Roman" w:hAnsi="Times New Roman" w:cs="Times New Roman"/>
                <w:sz w:val="18"/>
                <w:szCs w:val="18"/>
              </w:rPr>
            </w:pPr>
          </w:p>
        </w:tc>
        <w:tc>
          <w:tcPr>
            <w:tcW w:w="1914" w:type="dxa"/>
            <w:tcBorders>
              <w:bottom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tcBorders>
              <w:bottom w:val="single" w:color="auto" w:sz="8" w:space="0"/>
            </w:tcBorders>
            <w:shd w:val="clear" w:color="auto" w:fill="auto"/>
            <w:vAlign w:val="center"/>
          </w:tcPr>
          <w:p>
            <w:pPr>
              <w:pStyle w:val="178"/>
              <w:rPr>
                <w:rFonts w:hint="default" w:ascii="Times New Roman" w:hAnsi="Times New Roman" w:cs="Times New Roman"/>
                <w:sz w:val="18"/>
                <w:szCs w:val="18"/>
              </w:rPr>
            </w:pPr>
          </w:p>
        </w:tc>
        <w:tc>
          <w:tcPr>
            <w:tcW w:w="2333" w:type="dxa"/>
            <w:tcBorders>
              <w:bottom w:val="single" w:color="auto" w:sz="8" w:space="0"/>
            </w:tcBorders>
            <w:shd w:val="clear" w:color="auto" w:fill="auto"/>
          </w:tcPr>
          <w:p>
            <w:pPr>
              <w:pStyle w:val="178"/>
              <w:rPr>
                <w:rFonts w:hint="default" w:ascii="Times New Roman" w:hAnsi="Times New Roman" w:cs="Times New Roman"/>
                <w:sz w:val="18"/>
                <w:szCs w:val="18"/>
              </w:rPr>
            </w:pPr>
            <w:r>
              <w:rPr>
                <w:rFonts w:hint="default" w:ascii="Times New Roman" w:hAnsi="Times New Roman" w:cs="Times New Roman"/>
                <w:sz w:val="18"/>
                <w:szCs w:val="18"/>
              </w:rPr>
              <w:t>干坯料烧失量</w:t>
            </w:r>
          </w:p>
        </w:tc>
        <w:tc>
          <w:tcPr>
            <w:tcW w:w="2753" w:type="dxa"/>
            <w:gridSpan w:val="2"/>
            <w:tcBorders>
              <w:bottom w:val="single" w:color="auto" w:sz="8" w:space="0"/>
            </w:tcBorders>
            <w:shd w:val="clear" w:color="auto" w:fill="auto"/>
            <w:vAlign w:val="center"/>
          </w:tcPr>
          <w:p>
            <w:pPr>
              <w:pStyle w:val="178"/>
              <w:rPr>
                <w:rFonts w:hint="default" w:ascii="Times New Roman" w:hAnsi="Times New Roman" w:cs="Times New Roman"/>
                <w:sz w:val="18"/>
                <w:szCs w:val="18"/>
              </w:rPr>
            </w:pPr>
          </w:p>
        </w:tc>
        <w:tc>
          <w:tcPr>
            <w:tcW w:w="1914" w:type="dxa"/>
            <w:tcBorders>
              <w:bottom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restart"/>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电力、热力</w:t>
            </w:r>
          </w:p>
        </w:tc>
        <w:tc>
          <w:tcPr>
            <w:tcW w:w="2333" w:type="dxa"/>
            <w:vMerge w:val="restart"/>
            <w:shd w:val="clear" w:color="auto" w:fill="auto"/>
            <w:vAlign w:val="center"/>
          </w:tcPr>
          <w:p>
            <w:pPr>
              <w:pStyle w:val="178"/>
              <w:jc w:val="center"/>
              <w:rPr>
                <w:rFonts w:hint="default" w:ascii="Times New Roman" w:hAnsi="Times New Roman" w:cs="Times New Roman"/>
                <w:sz w:val="18"/>
                <w:szCs w:val="18"/>
              </w:rPr>
            </w:pPr>
            <w:r>
              <w:rPr>
                <w:rFonts w:hint="default" w:ascii="Times New Roman" w:hAnsi="Times New Roman" w:cs="Times New Roman"/>
                <w:sz w:val="18"/>
                <w:szCs w:val="18"/>
              </w:rPr>
              <w:t>参数名称</w:t>
            </w:r>
          </w:p>
        </w:tc>
        <w:tc>
          <w:tcPr>
            <w:tcW w:w="2753" w:type="dxa"/>
            <w:gridSpan w:val="2"/>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r>
              <w:rPr>
                <w:rFonts w:hint="default" w:ascii="Times New Roman" w:hAnsi="Times New Roman" w:cs="Times New Roman"/>
                <w:sz w:val="18"/>
                <w:szCs w:val="18"/>
              </w:rPr>
              <w:t>数据</w:t>
            </w:r>
          </w:p>
        </w:tc>
        <w:tc>
          <w:tcPr>
            <w:tcW w:w="1914" w:type="dxa"/>
            <w:vMerge w:val="restart"/>
            <w:shd w:val="clear" w:color="auto" w:fill="auto"/>
            <w:vAlign w:val="center"/>
          </w:tcPr>
          <w:p>
            <w:pPr>
              <w:pStyle w:val="178"/>
              <w:jc w:val="center"/>
              <w:rPr>
                <w:rFonts w:hint="default" w:ascii="Times New Roman" w:hAnsi="Times New Roman" w:cs="Times New Roman"/>
                <w:sz w:val="18"/>
                <w:szCs w:val="18"/>
              </w:rPr>
            </w:pPr>
            <w:r>
              <w:rPr>
                <w:rFonts w:hint="default" w:ascii="Times New Roman" w:hAnsi="Times New Roman" w:cs="Times New Roman"/>
                <w:sz w:val="18"/>
                <w:szCs w:val="18"/>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vMerge w:val="continue"/>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p>
        </w:tc>
        <w:tc>
          <w:tcPr>
            <w:tcW w:w="1403" w:type="dxa"/>
            <w:tcBorders>
              <w:bottom w:val="single" w:color="auto" w:sz="8" w:space="0"/>
            </w:tcBorders>
            <w:shd w:val="clear" w:color="auto" w:fill="auto"/>
            <w:vAlign w:val="center"/>
          </w:tcPr>
          <w:p>
            <w:pPr>
              <w:pStyle w:val="178"/>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购入</w:t>
            </w:r>
          </w:p>
        </w:tc>
        <w:tc>
          <w:tcPr>
            <w:tcW w:w="1350" w:type="dxa"/>
            <w:tcBorders>
              <w:bottom w:val="single" w:color="auto" w:sz="8" w:space="0"/>
            </w:tcBorders>
            <w:shd w:val="clear" w:color="auto" w:fill="auto"/>
            <w:vAlign w:val="center"/>
          </w:tcPr>
          <w:p>
            <w:pPr>
              <w:pStyle w:val="178"/>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输出</w:t>
            </w:r>
          </w:p>
        </w:tc>
        <w:tc>
          <w:tcPr>
            <w:tcW w:w="1914" w:type="dxa"/>
            <w:vMerge w:val="continue"/>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shd w:val="clear" w:color="auto" w:fill="auto"/>
            <w:vAlign w:val="center"/>
          </w:tcPr>
          <w:p>
            <w:pPr>
              <w:pStyle w:val="178"/>
              <w:rPr>
                <w:rFonts w:hint="default" w:ascii="Times New Roman" w:hAnsi="Times New Roman" w:cs="Times New Roman"/>
                <w:sz w:val="18"/>
                <w:szCs w:val="18"/>
              </w:rPr>
            </w:pPr>
          </w:p>
        </w:tc>
        <w:tc>
          <w:tcPr>
            <w:tcW w:w="2333" w:type="dxa"/>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r>
              <w:rPr>
                <w:rFonts w:hint="default" w:ascii="Times New Roman" w:hAnsi="Times New Roman" w:cs="Times New Roman"/>
                <w:sz w:val="18"/>
                <w:szCs w:val="18"/>
              </w:rPr>
              <w:t>输出电力</w:t>
            </w:r>
          </w:p>
        </w:tc>
        <w:tc>
          <w:tcPr>
            <w:tcW w:w="1403" w:type="dxa"/>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p>
        </w:tc>
        <w:tc>
          <w:tcPr>
            <w:tcW w:w="1350" w:type="dxa"/>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p>
        </w:tc>
        <w:tc>
          <w:tcPr>
            <w:tcW w:w="1914" w:type="dxa"/>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r>
              <w:rPr>
                <w:rFonts w:hint="default" w:ascii="Times New Roman" w:hAnsi="Times New Roman" w:eastAsia="华文仿宋" w:cs="Times New Roman"/>
                <w:color w:val="000000"/>
                <w:spacing w:val="-2"/>
                <w:sz w:val="18"/>
                <w:szCs w:val="18"/>
              </w:rPr>
              <w:t>tCO</w:t>
            </w:r>
            <w:r>
              <w:rPr>
                <w:rFonts w:hint="default" w:ascii="Times New Roman" w:hAnsi="Times New Roman" w:eastAsia="华文仿宋" w:cs="Times New Roman"/>
                <w:color w:val="000000"/>
                <w:spacing w:val="-2"/>
                <w:sz w:val="18"/>
                <w:szCs w:val="18"/>
                <w:vertAlign w:val="subscript"/>
              </w:rPr>
              <w:t>2</w:t>
            </w:r>
            <w:r>
              <w:rPr>
                <w:rFonts w:hint="default" w:ascii="Times New Roman" w:hAnsi="Times New Roman" w:cs="Times New Roman"/>
                <w:spacing w:val="20"/>
                <w:sz w:val="18"/>
                <w:szCs w:val="18"/>
              </w:rPr>
              <w:t>/</w:t>
            </w:r>
            <w:r>
              <w:rPr>
                <w:rFonts w:hint="default" w:ascii="Times New Roman" w:hAnsi="Times New Roman" w:eastAsia="华文仿宋" w:cs="Times New Roman"/>
                <w:color w:val="000000"/>
                <w:spacing w:val="-2"/>
                <w:sz w:val="18"/>
                <w:szCs w:val="18"/>
              </w:rPr>
              <w:t>MWh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vMerge w:val="continue"/>
            <w:tcBorders>
              <w:bottom w:val="single" w:color="auto" w:sz="8" w:space="0"/>
            </w:tcBorders>
            <w:shd w:val="clear" w:color="auto" w:fill="auto"/>
            <w:vAlign w:val="center"/>
          </w:tcPr>
          <w:p>
            <w:pPr>
              <w:pStyle w:val="178"/>
              <w:rPr>
                <w:rFonts w:hint="default" w:ascii="Times New Roman" w:hAnsi="Times New Roman" w:cs="Times New Roman"/>
                <w:sz w:val="18"/>
                <w:szCs w:val="18"/>
              </w:rPr>
            </w:pPr>
          </w:p>
        </w:tc>
        <w:tc>
          <w:tcPr>
            <w:tcW w:w="2333" w:type="dxa"/>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r>
              <w:rPr>
                <w:rFonts w:hint="default" w:ascii="Times New Roman" w:hAnsi="Times New Roman" w:cs="Times New Roman"/>
                <w:sz w:val="18"/>
                <w:szCs w:val="18"/>
              </w:rPr>
              <w:t>输出热力</w:t>
            </w:r>
          </w:p>
        </w:tc>
        <w:tc>
          <w:tcPr>
            <w:tcW w:w="1403" w:type="dxa"/>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p>
        </w:tc>
        <w:tc>
          <w:tcPr>
            <w:tcW w:w="1350" w:type="dxa"/>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p>
        </w:tc>
        <w:tc>
          <w:tcPr>
            <w:tcW w:w="1914" w:type="dxa"/>
            <w:tcBorders>
              <w:bottom w:val="single" w:color="auto" w:sz="8" w:space="0"/>
            </w:tcBorders>
            <w:shd w:val="clear" w:color="auto" w:fill="auto"/>
            <w:vAlign w:val="center"/>
          </w:tcPr>
          <w:p>
            <w:pPr>
              <w:pStyle w:val="178"/>
              <w:jc w:val="center"/>
              <w:rPr>
                <w:rFonts w:hint="default" w:ascii="Times New Roman" w:hAnsi="Times New Roman" w:cs="Times New Roman"/>
                <w:sz w:val="18"/>
                <w:szCs w:val="18"/>
              </w:rPr>
            </w:pPr>
            <w:r>
              <w:rPr>
                <w:rFonts w:hint="default" w:ascii="Times New Roman" w:hAnsi="Times New Roman" w:eastAsia="华文仿宋" w:cs="Times New Roman"/>
                <w:color w:val="000000"/>
                <w:spacing w:val="-2"/>
                <w:sz w:val="18"/>
                <w:szCs w:val="18"/>
              </w:rPr>
              <w:t>tCO</w:t>
            </w:r>
            <w:r>
              <w:rPr>
                <w:rFonts w:hint="default" w:ascii="Times New Roman" w:hAnsi="Times New Roman" w:eastAsia="华文仿宋" w:cs="Times New Roman"/>
                <w:color w:val="000000"/>
                <w:spacing w:val="-2"/>
                <w:sz w:val="18"/>
                <w:szCs w:val="18"/>
                <w:vertAlign w:val="subscript"/>
              </w:rPr>
              <w:t>2</w:t>
            </w:r>
            <w:r>
              <w:rPr>
                <w:rFonts w:hint="default" w:ascii="Times New Roman" w:hAnsi="Times New Roman" w:cs="Times New Roman"/>
                <w:spacing w:val="20"/>
                <w:sz w:val="18"/>
                <w:szCs w:val="18"/>
              </w:rPr>
              <w:t>/</w:t>
            </w:r>
            <w:r>
              <w:rPr>
                <w:rFonts w:hint="default" w:ascii="Times New Roman" w:hAnsi="Times New Roman" w:eastAsia="华文仿宋" w:cs="Times New Roman"/>
                <w:color w:val="000000"/>
                <w:spacing w:val="-2"/>
                <w:sz w:val="18"/>
                <w:szCs w:val="18"/>
              </w:rPr>
              <w:t>GJ</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pPr>
              <w:pStyle w:val="178"/>
              <w:ind w:firstLine="360" w:firstLineChars="200"/>
              <w:jc w:val="left"/>
            </w:pPr>
            <w:r>
              <w:rPr>
                <w:rFonts w:hint="eastAsia"/>
                <w:vertAlign w:val="superscript"/>
              </w:rPr>
              <w:t>a</w:t>
            </w:r>
            <w:r>
              <w:rPr>
                <w:vertAlign w:val="superscript"/>
              </w:rPr>
              <w:t xml:space="preserve"> </w:t>
            </w:r>
            <w:r>
              <w:rPr>
                <w:rFonts w:hint="eastAsia"/>
              </w:rPr>
              <w:t xml:space="preserve"> 报告主体如果还从事烧结墙体材料以外的产品生产活动，并存在本文件未涵盖的温室气体排放环节，应自行</w:t>
            </w:r>
          </w:p>
          <w:p>
            <w:pPr>
              <w:pStyle w:val="178"/>
              <w:ind w:firstLine="540" w:firstLineChars="300"/>
              <w:jc w:val="left"/>
            </w:pPr>
            <w:r>
              <w:rPr>
                <w:rFonts w:hint="eastAsia"/>
              </w:rPr>
              <w:t>加行报告。</w:t>
            </w:r>
          </w:p>
          <w:p>
            <w:pPr>
              <w:pStyle w:val="178"/>
              <w:ind w:firstLine="360" w:firstLineChars="200"/>
              <w:jc w:val="left"/>
            </w:pPr>
            <w:r>
              <w:rPr>
                <w:vertAlign w:val="superscript"/>
              </w:rPr>
              <w:t xml:space="preserve">b </w:t>
            </w:r>
            <w:r>
              <w:t xml:space="preserve"> </w:t>
            </w:r>
            <w:r>
              <w:rPr>
                <w:rFonts w:hint="eastAsia"/>
              </w:rPr>
              <w:t>报告主体应自行添加未在表中列出但企业实际消耗的其他能源品种。</w:t>
            </w:r>
          </w:p>
        </w:tc>
      </w:tr>
    </w:tbl>
    <w:p>
      <w:pPr>
        <w:pStyle w:val="56"/>
        <w:ind w:firstLine="420"/>
      </w:pPr>
    </w:p>
    <w:p>
      <w:pPr>
        <w:pStyle w:val="56"/>
        <w:ind w:firstLine="420"/>
      </w:pPr>
    </w:p>
    <w:p>
      <w:pPr>
        <w:widowControl/>
        <w:spacing w:line="300" w:lineRule="exact"/>
        <w:jc w:val="left"/>
        <w:rPr>
          <w:rFonts w:ascii="黑体" w:hAnsi="黑体" w:eastAsia="黑体"/>
          <w:color w:val="000000"/>
          <w:spacing w:val="-2"/>
          <w:sz w:val="24"/>
          <w:szCs w:val="18"/>
        </w:rPr>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p>
    <w:p>
      <w:pPr>
        <w:pStyle w:val="198"/>
        <w:rPr>
          <w:vanish w:val="0"/>
        </w:rPr>
      </w:pPr>
    </w:p>
    <w:p>
      <w:pPr>
        <w:pStyle w:val="199"/>
        <w:rPr>
          <w:vanish w:val="0"/>
        </w:rPr>
      </w:pPr>
    </w:p>
    <w:p>
      <w:pPr>
        <w:pStyle w:val="76"/>
        <w:spacing w:before="78" w:after="156"/>
      </w:pPr>
      <w:r>
        <w:br w:type="textWrapping"/>
      </w:r>
      <w:bookmarkStart w:id="149" w:name="_Toc121397543"/>
      <w:bookmarkStart w:id="150" w:name="_Toc121397339"/>
      <w:bookmarkStart w:id="151" w:name="_Toc121397286"/>
      <w:r>
        <w:rPr>
          <w:rFonts w:hint="eastAsia"/>
        </w:rPr>
        <w:t>（资料性附录）</w:t>
      </w:r>
      <w:r>
        <w:br w:type="textWrapping"/>
      </w:r>
      <w:r>
        <w:rPr>
          <w:rFonts w:hint="eastAsia"/>
        </w:rPr>
        <w:t>相关参数值推荐</w:t>
      </w:r>
      <w:bookmarkEnd w:id="149"/>
      <w:bookmarkEnd w:id="150"/>
      <w:bookmarkEnd w:id="151"/>
    </w:p>
    <w:p>
      <w:pPr>
        <w:pStyle w:val="56"/>
        <w:ind w:firstLine="420"/>
      </w:pPr>
      <w:r>
        <w:rPr>
          <w:rFonts w:hint="eastAsia"/>
        </w:rPr>
        <w:t>相关参数推荐值见表B</w:t>
      </w:r>
      <w:r>
        <w:t>.</w:t>
      </w:r>
      <w:r>
        <w:rPr>
          <w:rFonts w:hint="eastAsia"/>
        </w:rPr>
        <w:t>1、表B</w:t>
      </w:r>
      <w:r>
        <w:t>.</w:t>
      </w:r>
      <w:r>
        <w:rPr>
          <w:rFonts w:hint="eastAsia"/>
        </w:rPr>
        <w:t>2</w:t>
      </w:r>
    </w:p>
    <w:p>
      <w:pPr>
        <w:pStyle w:val="77"/>
        <w:spacing w:before="156" w:after="156"/>
      </w:pPr>
      <w:r>
        <w:rPr>
          <w:rFonts w:hint="eastAsia"/>
        </w:rPr>
        <w:t>常用燃料相关参数的推荐值</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825"/>
        <w:gridCol w:w="993"/>
        <w:gridCol w:w="2404"/>
        <w:gridCol w:w="1556"/>
        <w:gridCol w:w="15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825" w:type="dxa"/>
            <w:tcBorders>
              <w:top w:val="single" w:color="auto" w:sz="8" w:space="0"/>
              <w:bottom w:val="single" w:color="auto" w:sz="8" w:space="0"/>
            </w:tcBorders>
            <w:shd w:val="clear" w:color="auto" w:fill="auto"/>
            <w:vAlign w:val="center"/>
          </w:tcPr>
          <w:p>
            <w:pPr>
              <w:pStyle w:val="178"/>
              <w:rPr>
                <w:rFonts w:hint="default" w:ascii="Times New Roman" w:hAnsi="Times New Roman" w:eastAsia="黑体" w:cs="Times New Roman"/>
                <w:sz w:val="21"/>
              </w:rPr>
            </w:pPr>
            <w:r>
              <w:rPr>
                <w:rFonts w:hint="default" w:ascii="Times New Roman" w:hAnsi="Times New Roman" w:eastAsia="黑体" w:cs="Times New Roman"/>
                <w:sz w:val="21"/>
              </w:rPr>
              <w:t>燃料品种</w:t>
            </w:r>
          </w:p>
        </w:tc>
        <w:tc>
          <w:tcPr>
            <w:tcW w:w="993" w:type="dxa"/>
            <w:tcBorders>
              <w:top w:val="single" w:color="auto" w:sz="8" w:space="0"/>
              <w:bottom w:val="single" w:color="auto" w:sz="8" w:space="0"/>
            </w:tcBorders>
            <w:shd w:val="clear" w:color="auto" w:fill="auto"/>
            <w:vAlign w:val="center"/>
          </w:tcPr>
          <w:p>
            <w:pPr>
              <w:pStyle w:val="178"/>
              <w:rPr>
                <w:rFonts w:hint="default" w:ascii="Times New Roman" w:hAnsi="Times New Roman" w:eastAsia="黑体" w:cs="Times New Roman"/>
                <w:sz w:val="21"/>
              </w:rPr>
            </w:pPr>
            <w:r>
              <w:rPr>
                <w:rFonts w:hint="default" w:ascii="Times New Roman" w:hAnsi="Times New Roman" w:eastAsia="黑体" w:cs="Times New Roman"/>
                <w:sz w:val="21"/>
              </w:rPr>
              <w:t>计量单位</w:t>
            </w:r>
          </w:p>
        </w:tc>
        <w:tc>
          <w:tcPr>
            <w:tcW w:w="2404" w:type="dxa"/>
            <w:tcBorders>
              <w:top w:val="single" w:color="auto" w:sz="8" w:space="0"/>
              <w:bottom w:val="single" w:color="auto" w:sz="8" w:space="0"/>
            </w:tcBorders>
            <w:shd w:val="clear" w:color="auto" w:fill="auto"/>
            <w:vAlign w:val="center"/>
          </w:tcPr>
          <w:p>
            <w:pPr>
              <w:pStyle w:val="178"/>
              <w:snapToGrid w:val="0"/>
              <w:spacing w:line="360" w:lineRule="exact"/>
              <w:rPr>
                <w:rFonts w:hint="default" w:ascii="Times New Roman" w:hAnsi="Times New Roman" w:eastAsia="黑体" w:cs="Times New Roman"/>
                <w:sz w:val="21"/>
              </w:rPr>
            </w:pPr>
            <w:r>
              <w:rPr>
                <w:rFonts w:hint="default" w:ascii="Times New Roman" w:hAnsi="Times New Roman" w:eastAsia="黑体" w:cs="Times New Roman"/>
                <w:color w:val="000000"/>
                <w:spacing w:val="-2"/>
                <w:sz w:val="21"/>
              </w:rPr>
              <w:t>低位发热量GJ/t或GJ/10</w:t>
            </w:r>
            <w:r>
              <w:rPr>
                <w:rFonts w:hint="default" w:ascii="Times New Roman" w:hAnsi="Times New Roman" w:eastAsia="黑体" w:cs="Times New Roman"/>
                <w:color w:val="000000"/>
                <w:spacing w:val="-2"/>
                <w:sz w:val="21"/>
                <w:vertAlign w:val="superscript"/>
              </w:rPr>
              <w:t>4</w:t>
            </w:r>
            <w:r>
              <w:rPr>
                <w:rFonts w:hint="default" w:ascii="Times New Roman" w:hAnsi="Times New Roman" w:eastAsia="黑体" w:cs="Times New Roman"/>
                <w:color w:val="000000"/>
                <w:spacing w:val="-2"/>
                <w:sz w:val="21"/>
              </w:rPr>
              <w:t>Nm</w:t>
            </w:r>
            <w:r>
              <w:rPr>
                <w:rFonts w:hint="default" w:ascii="Times New Roman" w:hAnsi="Times New Roman" w:eastAsia="黑体" w:cs="Times New Roman"/>
                <w:color w:val="000000"/>
                <w:spacing w:val="-2"/>
                <w:sz w:val="21"/>
                <w:vertAlign w:val="superscript"/>
              </w:rPr>
              <w:t>3</w:t>
            </w:r>
          </w:p>
        </w:tc>
        <w:tc>
          <w:tcPr>
            <w:tcW w:w="1556" w:type="dxa"/>
            <w:tcBorders>
              <w:top w:val="single" w:color="auto" w:sz="8" w:space="0"/>
              <w:bottom w:val="single" w:color="auto" w:sz="8" w:space="0"/>
            </w:tcBorders>
            <w:shd w:val="clear" w:color="auto" w:fill="auto"/>
            <w:vAlign w:val="center"/>
          </w:tcPr>
          <w:p>
            <w:pPr>
              <w:widowControl/>
              <w:snapToGrid w:val="0"/>
              <w:spacing w:line="240" w:lineRule="auto"/>
              <w:jc w:val="center"/>
              <w:rPr>
                <w:rFonts w:hint="default" w:ascii="Times New Roman" w:hAnsi="Times New Roman" w:eastAsia="黑体" w:cs="Times New Roman"/>
                <w:color w:val="000000"/>
                <w:spacing w:val="-2"/>
                <w:szCs w:val="20"/>
              </w:rPr>
            </w:pPr>
            <w:r>
              <w:rPr>
                <w:rFonts w:hint="default" w:ascii="Times New Roman" w:hAnsi="Times New Roman" w:eastAsia="黑体" w:cs="Times New Roman"/>
                <w:color w:val="000000"/>
                <w:spacing w:val="-2"/>
                <w:szCs w:val="20"/>
              </w:rPr>
              <w:t>单位热值</w:t>
            </w:r>
          </w:p>
          <w:p>
            <w:pPr>
              <w:pStyle w:val="178"/>
              <w:rPr>
                <w:rFonts w:hint="default" w:ascii="Times New Roman" w:hAnsi="Times New Roman" w:eastAsia="黑体" w:cs="Times New Roman"/>
                <w:sz w:val="21"/>
              </w:rPr>
            </w:pPr>
            <w:r>
              <w:rPr>
                <w:rFonts w:hint="default" w:ascii="Times New Roman" w:hAnsi="Times New Roman" w:eastAsia="黑体" w:cs="Times New Roman"/>
                <w:color w:val="000000"/>
                <w:spacing w:val="-2"/>
                <w:sz w:val="21"/>
              </w:rPr>
              <w:t>含碳量tC/GJ</w:t>
            </w:r>
          </w:p>
        </w:tc>
        <w:tc>
          <w:tcPr>
            <w:tcW w:w="1556" w:type="dxa"/>
            <w:tcBorders>
              <w:top w:val="single" w:color="auto" w:sz="8" w:space="0"/>
              <w:bottom w:val="single" w:color="auto" w:sz="8" w:space="0"/>
            </w:tcBorders>
            <w:shd w:val="clear" w:color="auto" w:fill="auto"/>
            <w:vAlign w:val="center"/>
          </w:tcPr>
          <w:p>
            <w:pPr>
              <w:pStyle w:val="178"/>
              <w:rPr>
                <w:rFonts w:hint="default" w:ascii="Times New Roman" w:hAnsi="Times New Roman" w:eastAsia="黑体" w:cs="Times New Roman"/>
                <w:sz w:val="21"/>
              </w:rPr>
            </w:pPr>
            <w:r>
              <w:rPr>
                <w:rFonts w:hint="default" w:ascii="Times New Roman" w:hAnsi="Times New Roman" w:eastAsia="黑体" w:cs="Times New Roman"/>
                <w:sz w:val="21"/>
              </w:rPr>
              <w:t>燃料碳氧化率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tcBorders>
              <w:top w:val="single" w:color="auto" w:sz="8" w:space="0"/>
            </w:tcBorders>
            <w:shd w:val="clear" w:color="auto" w:fill="auto"/>
            <w:vAlign w:val="center"/>
          </w:tcPr>
          <w:p>
            <w:pPr>
              <w:pStyle w:val="178"/>
              <w:rPr>
                <w:rFonts w:ascii="宋体" w:hAnsi="宋体" w:eastAsia="宋体" w:cs="华文仿宋"/>
                <w:color w:val="000000"/>
                <w:spacing w:val="-6"/>
                <w:sz w:val="18"/>
                <w:szCs w:val="18"/>
                <w:lang w:val="en-US" w:eastAsia="zh-CN" w:bidi="ar-SA"/>
              </w:rPr>
            </w:pPr>
            <w:r>
              <w:rPr>
                <w:rFonts w:ascii="宋体" w:hAnsi="宋体" w:eastAsia="宋体" w:cs="华文仿宋"/>
                <w:color w:val="000000"/>
                <w:spacing w:val="-6"/>
                <w:sz w:val="18"/>
                <w:szCs w:val="18"/>
                <w:lang w:val="en-US" w:eastAsia="zh-CN" w:bidi="ar-SA"/>
              </w:rPr>
              <w:t>无烟煤</w:t>
            </w:r>
          </w:p>
        </w:tc>
        <w:tc>
          <w:tcPr>
            <w:tcW w:w="993" w:type="dxa"/>
            <w:tcBorders>
              <w:top w:val="single" w:color="auto" w:sz="8" w:space="0"/>
            </w:tcBorders>
            <w:shd w:val="clear" w:color="auto" w:fill="auto"/>
            <w:vAlign w:val="center"/>
          </w:tcPr>
          <w:p>
            <w:pPr>
              <w:pStyle w:val="178"/>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tcBorders>
              <w:top w:val="single" w:color="auto" w:sz="8" w:space="0"/>
            </w:tcBorders>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24.515</w:t>
            </w:r>
          </w:p>
        </w:tc>
        <w:tc>
          <w:tcPr>
            <w:tcW w:w="1556" w:type="dxa"/>
            <w:tcBorders>
              <w:top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27.4×10</w:t>
            </w:r>
            <w:r>
              <w:rPr>
                <w:rFonts w:hint="default" w:ascii="Times New Roman" w:hAnsi="Times New Roman" w:eastAsia="华文仿宋" w:cs="Times New Roman"/>
                <w:sz w:val="18"/>
                <w:szCs w:val="18"/>
                <w:vertAlign w:val="superscript"/>
              </w:rPr>
              <w:t>－3</w:t>
            </w:r>
          </w:p>
        </w:tc>
        <w:tc>
          <w:tcPr>
            <w:tcW w:w="1556" w:type="dxa"/>
            <w:tcBorders>
              <w:top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94%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178"/>
              <w:rPr>
                <w:rFonts w:ascii="宋体" w:hAnsi="宋体" w:eastAsia="宋体" w:cs="华文仿宋"/>
                <w:color w:val="000000"/>
                <w:spacing w:val="-6"/>
                <w:sz w:val="18"/>
                <w:szCs w:val="18"/>
                <w:lang w:val="en-US" w:eastAsia="zh-CN" w:bidi="ar-SA"/>
              </w:rPr>
            </w:pPr>
            <w:r>
              <w:rPr>
                <w:rFonts w:ascii="宋体" w:hAnsi="宋体" w:eastAsia="宋体" w:cs="华文仿宋"/>
                <w:color w:val="000000"/>
                <w:spacing w:val="-6"/>
                <w:sz w:val="18"/>
                <w:szCs w:val="18"/>
                <w:lang w:val="en-US" w:eastAsia="zh-CN" w:bidi="ar-SA"/>
              </w:rPr>
              <w:t>烟煤</w:t>
            </w:r>
          </w:p>
        </w:tc>
        <w:tc>
          <w:tcPr>
            <w:tcW w:w="993" w:type="dxa"/>
            <w:shd w:val="clear" w:color="auto" w:fill="auto"/>
            <w:vAlign w:val="center"/>
          </w:tcPr>
          <w:p>
            <w:pPr>
              <w:pStyle w:val="178"/>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23.204</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26.1×10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178"/>
              <w:rPr>
                <w:rFonts w:ascii="宋体" w:hAnsi="宋体" w:eastAsia="宋体" w:cs="华文仿宋"/>
                <w:color w:val="000000"/>
                <w:spacing w:val="-6"/>
                <w:sz w:val="18"/>
                <w:szCs w:val="18"/>
                <w:lang w:val="en-US" w:eastAsia="zh-CN" w:bidi="ar-SA"/>
              </w:rPr>
            </w:pPr>
            <w:r>
              <w:rPr>
                <w:rFonts w:ascii="宋体" w:hAnsi="宋体" w:eastAsia="宋体" w:cs="华文仿宋"/>
                <w:color w:val="000000"/>
                <w:spacing w:val="-6"/>
                <w:sz w:val="18"/>
                <w:szCs w:val="18"/>
                <w:lang w:val="en-US" w:eastAsia="zh-CN" w:bidi="ar-SA"/>
              </w:rPr>
              <w:t>褐煤</w:t>
            </w:r>
          </w:p>
        </w:tc>
        <w:tc>
          <w:tcPr>
            <w:tcW w:w="993" w:type="dxa"/>
            <w:shd w:val="clear" w:color="auto" w:fill="auto"/>
            <w:vAlign w:val="center"/>
          </w:tcPr>
          <w:p>
            <w:pPr>
              <w:pStyle w:val="178"/>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14.449</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28.0×10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178"/>
              <w:rPr>
                <w:rFonts w:ascii="宋体" w:hAnsi="宋体" w:eastAsia="宋体" w:cs="华文仿宋"/>
                <w:color w:val="000000"/>
                <w:spacing w:val="-6"/>
                <w:sz w:val="18"/>
                <w:szCs w:val="18"/>
                <w:lang w:val="en-US" w:eastAsia="zh-CN" w:bidi="ar-SA"/>
              </w:rPr>
            </w:pPr>
            <w:r>
              <w:rPr>
                <w:rFonts w:ascii="宋体" w:hAnsi="宋体" w:eastAsia="宋体" w:cs="华文仿宋"/>
                <w:color w:val="000000"/>
                <w:spacing w:val="-6"/>
                <w:sz w:val="18"/>
                <w:szCs w:val="18"/>
                <w:lang w:val="en-US" w:eastAsia="zh-CN" w:bidi="ar-SA"/>
              </w:rPr>
              <w:t>焦炭</w:t>
            </w:r>
          </w:p>
        </w:tc>
        <w:tc>
          <w:tcPr>
            <w:tcW w:w="993" w:type="dxa"/>
            <w:shd w:val="clear" w:color="auto" w:fill="auto"/>
            <w:vAlign w:val="center"/>
          </w:tcPr>
          <w:p>
            <w:pPr>
              <w:pStyle w:val="178"/>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28.435</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29.5×10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178"/>
              <w:rPr>
                <w:rFonts w:hint="eastAsia" w:ascii="宋体" w:hAnsi="宋体" w:eastAsia="宋体" w:cs="华文仿宋"/>
                <w:color w:val="000000"/>
                <w:spacing w:val="-6"/>
                <w:sz w:val="18"/>
                <w:szCs w:val="18"/>
                <w:lang w:val="en-US" w:eastAsia="zh-CN" w:bidi="ar-SA"/>
              </w:rPr>
            </w:pPr>
            <w:r>
              <w:rPr>
                <w:rFonts w:hint="eastAsia" w:ascii="宋体" w:hAnsi="宋体" w:eastAsia="宋体" w:cs="华文仿宋"/>
                <w:color w:val="000000"/>
                <w:spacing w:val="-6"/>
                <w:sz w:val="18"/>
                <w:szCs w:val="18"/>
                <w:lang w:val="en-US" w:eastAsia="zh-CN" w:bidi="ar-SA"/>
              </w:rPr>
              <w:t>石油焦</w:t>
            </w:r>
          </w:p>
        </w:tc>
        <w:tc>
          <w:tcPr>
            <w:tcW w:w="993" w:type="dxa"/>
            <w:shd w:val="clear" w:color="auto" w:fill="auto"/>
            <w:vAlign w:val="center"/>
          </w:tcPr>
          <w:p>
            <w:pPr>
              <w:pStyle w:val="178"/>
              <w:rPr>
                <w:rFonts w:hint="eastAsia" w:ascii="Times New Roman" w:hAnsi="Times New Roman" w:eastAsia="宋体" w:cs="Times New Roman"/>
                <w:sz w:val="18"/>
                <w:szCs w:val="18"/>
                <w:lang w:val="en-US" w:eastAsia="zh-CN" w:bidi="ar-SA"/>
              </w:rPr>
            </w:pPr>
            <w:r>
              <w:rPr>
                <w:rFonts w:hint="eastAsia"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32.5</w:t>
            </w:r>
          </w:p>
        </w:tc>
        <w:tc>
          <w:tcPr>
            <w:tcW w:w="1556" w:type="dxa"/>
            <w:shd w:val="clear" w:color="auto" w:fill="auto"/>
            <w:vAlign w:val="center"/>
          </w:tcPr>
          <w:p>
            <w:pPr>
              <w:pStyle w:val="178"/>
              <w:rPr>
                <w:rFonts w:hint="default" w:ascii="Times New Roman" w:hAnsi="Times New Roman" w:eastAsia="华文仿宋" w:cs="Times New Roman"/>
                <w:sz w:val="18"/>
                <w:szCs w:val="18"/>
                <w:lang w:val="en-US" w:eastAsia="zh-CN"/>
              </w:rPr>
            </w:pPr>
            <w:r>
              <w:rPr>
                <w:rFonts w:hint="default" w:ascii="Times New Roman" w:hAnsi="Times New Roman" w:eastAsia="华文仿宋" w:cs="Times New Roman"/>
                <w:sz w:val="18"/>
                <w:szCs w:val="18"/>
                <w:lang w:val="en-US" w:eastAsia="zh-CN"/>
              </w:rPr>
              <w:t>27.5×</w:t>
            </w:r>
            <w:r>
              <w:rPr>
                <w:rFonts w:hint="default" w:ascii="Times New Roman" w:hAnsi="Times New Roman" w:eastAsia="华文仿宋" w:cs="Times New Roman"/>
                <w:sz w:val="18"/>
                <w:szCs w:val="18"/>
              </w:rPr>
              <w:t>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178"/>
              <w:rPr>
                <w:rFonts w:hint="default" w:ascii="Times New Roman" w:hAnsi="Times New Roman" w:eastAsia="华文仿宋" w:cs="Times New Roman"/>
                <w:sz w:val="18"/>
                <w:szCs w:val="18"/>
                <w:lang w:val="en-US" w:eastAsia="zh-CN"/>
              </w:rPr>
            </w:pPr>
            <w:r>
              <w:rPr>
                <w:rFonts w:hint="default" w:ascii="Times New Roman" w:hAnsi="Times New Roman" w:eastAsia="华文仿宋" w:cs="Times New Roman"/>
                <w:sz w:val="18"/>
                <w:szCs w:val="18"/>
                <w:lang w:val="en-US" w:eastAsia="zh-CN"/>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178"/>
              <w:rPr>
                <w:rFonts w:ascii="宋体" w:hAnsi="宋体" w:eastAsia="宋体" w:cs="华文仿宋"/>
                <w:color w:val="000000"/>
                <w:spacing w:val="-6"/>
                <w:sz w:val="18"/>
                <w:szCs w:val="18"/>
                <w:lang w:val="en-US" w:eastAsia="zh-CN" w:bidi="ar-SA"/>
              </w:rPr>
            </w:pPr>
            <w:r>
              <w:rPr>
                <w:rFonts w:hint="eastAsia" w:ascii="宋体" w:hAnsi="宋体" w:eastAsia="宋体" w:cs="华文仿宋"/>
                <w:color w:val="000000"/>
                <w:spacing w:val="-6"/>
                <w:sz w:val="18"/>
                <w:szCs w:val="18"/>
                <w:lang w:val="en-US" w:eastAsia="zh-CN" w:bidi="ar-SA"/>
              </w:rPr>
              <w:t>煤矸石</w:t>
            </w:r>
          </w:p>
        </w:tc>
        <w:tc>
          <w:tcPr>
            <w:tcW w:w="993" w:type="dxa"/>
            <w:shd w:val="clear" w:color="auto" w:fill="auto"/>
            <w:vAlign w:val="center"/>
          </w:tcPr>
          <w:p>
            <w:pPr>
              <w:pStyle w:val="178"/>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1.67~5</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27.4×10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94%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178"/>
              <w:rPr>
                <w:rFonts w:ascii="宋体" w:hAnsi="宋体" w:eastAsia="宋体" w:cs="华文仿宋"/>
                <w:color w:val="000000"/>
                <w:spacing w:val="-6"/>
                <w:sz w:val="18"/>
                <w:szCs w:val="18"/>
                <w:lang w:val="en-US" w:eastAsia="zh-CN" w:bidi="ar-SA"/>
              </w:rPr>
            </w:pPr>
            <w:r>
              <w:rPr>
                <w:rFonts w:hint="eastAsia" w:ascii="宋体" w:hAnsi="宋体" w:eastAsia="宋体" w:cs="华文仿宋"/>
                <w:color w:val="000000"/>
                <w:spacing w:val="-6"/>
                <w:sz w:val="18"/>
                <w:szCs w:val="18"/>
                <w:lang w:val="en-US" w:eastAsia="zh-CN" w:bidi="ar-SA"/>
              </w:rPr>
              <w:t>煤渣、粉煤灰等</w:t>
            </w:r>
          </w:p>
        </w:tc>
        <w:tc>
          <w:tcPr>
            <w:tcW w:w="993" w:type="dxa"/>
            <w:shd w:val="clear" w:color="auto" w:fill="auto"/>
            <w:vAlign w:val="center"/>
          </w:tcPr>
          <w:p>
            <w:pPr>
              <w:pStyle w:val="178"/>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0.8~6.3</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29.5×10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eastAsia="华文仿宋" w:cs="Times New Roman"/>
                <w:sz w:val="18"/>
                <w:szCs w:val="18"/>
              </w:rPr>
              <w:t>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56"/>
              <w:snapToGrid w:val="0"/>
              <w:ind w:firstLine="0" w:firstLineChars="0"/>
              <w:jc w:val="center"/>
              <w:rPr>
                <w:rFonts w:hint="eastAsia" w:ascii="宋体" w:hAnsi="宋体" w:eastAsia="宋体" w:cs="华文仿宋"/>
                <w:color w:val="000000"/>
                <w:spacing w:val="-6"/>
                <w:sz w:val="18"/>
                <w:szCs w:val="18"/>
                <w:lang w:val="en-US" w:eastAsia="zh-CN" w:bidi="ar-SA"/>
              </w:rPr>
            </w:pPr>
            <w:r>
              <w:rPr>
                <w:rFonts w:ascii="宋体" w:hAnsi="宋体" w:eastAsia="宋体" w:cs="华文仿宋"/>
                <w:color w:val="000000"/>
                <w:spacing w:val="-6"/>
                <w:sz w:val="18"/>
                <w:szCs w:val="18"/>
                <w:lang w:val="en-US" w:eastAsia="zh-CN" w:bidi="ar-SA"/>
              </w:rPr>
              <w:t>汽油</w:t>
            </w:r>
          </w:p>
        </w:tc>
        <w:tc>
          <w:tcPr>
            <w:tcW w:w="993" w:type="dxa"/>
            <w:shd w:val="clear" w:color="auto" w:fill="auto"/>
            <w:vAlign w:val="center"/>
          </w:tcPr>
          <w:p>
            <w:pPr>
              <w:pStyle w:val="56"/>
              <w:snapToGrid w:val="0"/>
              <w:ind w:firstLine="0" w:firstLineChars="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43.070</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18.9×10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56"/>
              <w:snapToGrid w:val="0"/>
              <w:ind w:firstLine="0" w:firstLineChars="0"/>
              <w:jc w:val="center"/>
              <w:rPr>
                <w:rFonts w:hint="eastAsia" w:ascii="宋体" w:hAnsi="宋体" w:eastAsia="宋体" w:cs="华文仿宋"/>
                <w:color w:val="000000"/>
                <w:spacing w:val="-6"/>
                <w:sz w:val="18"/>
                <w:szCs w:val="18"/>
                <w:lang w:val="en-US" w:eastAsia="zh-CN" w:bidi="ar-SA"/>
              </w:rPr>
            </w:pPr>
            <w:r>
              <w:rPr>
                <w:rFonts w:ascii="宋体" w:hAnsi="宋体" w:eastAsia="宋体" w:cs="华文仿宋"/>
                <w:color w:val="000000"/>
                <w:spacing w:val="-6"/>
                <w:sz w:val="18"/>
                <w:szCs w:val="18"/>
                <w:lang w:val="en-US" w:eastAsia="zh-CN" w:bidi="ar-SA"/>
              </w:rPr>
              <w:t>柴油</w:t>
            </w:r>
          </w:p>
        </w:tc>
        <w:tc>
          <w:tcPr>
            <w:tcW w:w="993" w:type="dxa"/>
            <w:shd w:val="clear" w:color="auto" w:fill="auto"/>
            <w:vAlign w:val="center"/>
          </w:tcPr>
          <w:p>
            <w:pPr>
              <w:pStyle w:val="56"/>
              <w:snapToGrid w:val="0"/>
              <w:ind w:firstLine="0" w:firstLineChars="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42.652</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20.2×10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56"/>
              <w:snapToGrid w:val="0"/>
              <w:ind w:firstLine="0" w:firstLineChars="0"/>
              <w:jc w:val="center"/>
              <w:rPr>
                <w:rFonts w:hint="eastAsia" w:ascii="宋体" w:hAnsi="宋体" w:eastAsia="宋体" w:cs="华文仿宋"/>
                <w:color w:val="000000"/>
                <w:spacing w:val="-6"/>
                <w:sz w:val="18"/>
                <w:szCs w:val="18"/>
                <w:lang w:val="en-US" w:eastAsia="zh-CN" w:bidi="ar-SA"/>
              </w:rPr>
            </w:pPr>
            <w:r>
              <w:rPr>
                <w:rFonts w:ascii="宋体" w:hAnsi="宋体" w:eastAsia="宋体" w:cs="华文仿宋"/>
                <w:color w:val="000000"/>
                <w:spacing w:val="-6"/>
                <w:sz w:val="18"/>
                <w:szCs w:val="18"/>
                <w:lang w:val="en-US" w:eastAsia="zh-CN" w:bidi="ar-SA"/>
              </w:rPr>
              <w:t>液化天然气</w:t>
            </w:r>
          </w:p>
        </w:tc>
        <w:tc>
          <w:tcPr>
            <w:tcW w:w="993" w:type="dxa"/>
            <w:shd w:val="clear" w:color="auto" w:fill="auto"/>
            <w:vAlign w:val="center"/>
          </w:tcPr>
          <w:p>
            <w:pPr>
              <w:pStyle w:val="56"/>
              <w:snapToGrid w:val="0"/>
              <w:ind w:firstLine="0" w:firstLineChars="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44.2</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17.2×10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56"/>
              <w:snapToGrid w:val="0"/>
              <w:ind w:firstLine="0" w:firstLineChars="0"/>
              <w:jc w:val="center"/>
              <w:rPr>
                <w:rFonts w:hint="eastAsia" w:ascii="宋体" w:hAnsi="宋体" w:eastAsia="宋体" w:cs="华文仿宋"/>
                <w:color w:val="000000"/>
                <w:spacing w:val="-6"/>
                <w:sz w:val="18"/>
                <w:szCs w:val="18"/>
                <w:lang w:val="en-US" w:eastAsia="zh-CN" w:bidi="ar-SA"/>
              </w:rPr>
            </w:pPr>
            <w:r>
              <w:rPr>
                <w:rFonts w:ascii="宋体" w:hAnsi="宋体" w:eastAsia="宋体" w:cs="华文仿宋"/>
                <w:color w:val="000000"/>
                <w:spacing w:val="-6"/>
                <w:sz w:val="18"/>
                <w:szCs w:val="18"/>
                <w:lang w:val="en-US" w:eastAsia="zh-CN" w:bidi="ar-SA"/>
              </w:rPr>
              <w:t>液化石油气</w:t>
            </w:r>
          </w:p>
        </w:tc>
        <w:tc>
          <w:tcPr>
            <w:tcW w:w="993" w:type="dxa"/>
            <w:shd w:val="clear" w:color="auto" w:fill="auto"/>
            <w:vAlign w:val="center"/>
          </w:tcPr>
          <w:p>
            <w:pPr>
              <w:pStyle w:val="56"/>
              <w:snapToGrid w:val="0"/>
              <w:ind w:firstLine="0" w:firstLineChars="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t</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50.179</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17.2×10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825" w:type="dxa"/>
            <w:shd w:val="clear" w:color="auto" w:fill="auto"/>
            <w:vAlign w:val="center"/>
          </w:tcPr>
          <w:p>
            <w:pPr>
              <w:pStyle w:val="56"/>
              <w:snapToGrid w:val="0"/>
              <w:ind w:firstLine="0" w:firstLineChars="0"/>
              <w:jc w:val="center"/>
              <w:rPr>
                <w:rFonts w:hint="eastAsia" w:ascii="宋体" w:hAnsi="宋体" w:eastAsia="宋体" w:cs="华文仿宋"/>
                <w:color w:val="000000"/>
                <w:spacing w:val="-6"/>
                <w:sz w:val="18"/>
                <w:szCs w:val="18"/>
                <w:lang w:val="en-US" w:eastAsia="zh-CN" w:bidi="ar-SA"/>
              </w:rPr>
            </w:pPr>
            <w:r>
              <w:rPr>
                <w:rFonts w:hint="eastAsia" w:ascii="宋体" w:hAnsi="宋体" w:eastAsia="宋体" w:cs="华文仿宋"/>
                <w:color w:val="000000"/>
                <w:spacing w:val="-6"/>
                <w:sz w:val="18"/>
                <w:szCs w:val="18"/>
                <w:lang w:val="en-US" w:eastAsia="zh-CN" w:bidi="ar-SA"/>
              </w:rPr>
              <w:t>天然气</w:t>
            </w:r>
          </w:p>
        </w:tc>
        <w:tc>
          <w:tcPr>
            <w:tcW w:w="993" w:type="dxa"/>
            <w:shd w:val="clear" w:color="auto" w:fill="auto"/>
            <w:vAlign w:val="center"/>
          </w:tcPr>
          <w:p>
            <w:pPr>
              <w:pStyle w:val="56"/>
              <w:snapToGrid w:val="0"/>
              <w:ind w:firstLine="0" w:firstLineChars="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t>10</w:t>
            </w:r>
            <w:r>
              <w:rPr>
                <w:rFonts w:ascii="Times New Roman" w:hAnsi="Times New Roman" w:eastAsia="宋体" w:cs="Times New Roman"/>
                <w:sz w:val="18"/>
                <w:szCs w:val="18"/>
                <w:vertAlign w:val="superscript"/>
                <w:lang w:val="en-US" w:eastAsia="zh-CN" w:bidi="ar-SA"/>
              </w:rPr>
              <w:t>4</w:t>
            </w:r>
            <w:r>
              <w:rPr>
                <w:rFonts w:hint="eastAsia" w:ascii="Times New Roman" w:hAnsi="Times New Roman" w:eastAsia="宋体" w:cs="Times New Roman"/>
                <w:sz w:val="18"/>
                <w:szCs w:val="18"/>
                <w:lang w:val="en-US" w:eastAsia="zh-CN" w:bidi="ar-SA"/>
              </w:rPr>
              <w:t>N</w:t>
            </w:r>
            <w:r>
              <w:rPr>
                <w:rFonts w:ascii="Times New Roman" w:hAnsi="Times New Roman" w:eastAsia="宋体" w:cs="Times New Roman"/>
                <w:sz w:val="18"/>
                <w:szCs w:val="18"/>
                <w:lang w:val="en-US" w:eastAsia="zh-CN" w:bidi="ar-SA"/>
              </w:rPr>
              <w:t>m</w:t>
            </w:r>
            <w:r>
              <w:rPr>
                <w:rFonts w:ascii="Times New Roman" w:hAnsi="Times New Roman" w:eastAsia="宋体" w:cs="Times New Roman"/>
                <w:sz w:val="18"/>
                <w:szCs w:val="18"/>
                <w:vertAlign w:val="superscript"/>
                <w:lang w:val="en-US" w:eastAsia="zh-CN" w:bidi="ar-SA"/>
              </w:rPr>
              <w:t>3</w:t>
            </w:r>
          </w:p>
        </w:tc>
        <w:tc>
          <w:tcPr>
            <w:tcW w:w="2404" w:type="dxa"/>
            <w:shd w:val="clear" w:color="auto" w:fill="auto"/>
            <w:vAlign w:val="center"/>
          </w:tcPr>
          <w:p>
            <w:pPr>
              <w:pStyle w:val="178"/>
              <w:rPr>
                <w:rFonts w:hint="default" w:ascii="Times New Roman" w:hAnsi="Times New Roman" w:eastAsia="宋体" w:cs="Times New Roman"/>
                <w:sz w:val="18"/>
                <w:szCs w:val="18"/>
                <w:lang w:val="en-US" w:eastAsia="zh-CN" w:bidi="ar-SA"/>
              </w:rPr>
            </w:pPr>
            <w:r>
              <w:rPr>
                <w:rFonts w:hint="default" w:ascii="Times New Roman" w:hAnsi="Times New Roman" w:eastAsia="宋体" w:cs="Times New Roman"/>
                <w:sz w:val="18"/>
                <w:szCs w:val="18"/>
                <w:lang w:val="en-US" w:eastAsia="zh-CN" w:bidi="ar-SA"/>
              </w:rPr>
              <w:t>389.31</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15.3×10</w:t>
            </w:r>
            <w:r>
              <w:rPr>
                <w:rFonts w:hint="default" w:ascii="Times New Roman" w:hAnsi="Times New Roman" w:eastAsia="华文仿宋" w:cs="Times New Roman"/>
                <w:sz w:val="18"/>
                <w:szCs w:val="18"/>
                <w:vertAlign w:val="superscript"/>
              </w:rPr>
              <w:t>－3</w:t>
            </w:r>
          </w:p>
        </w:tc>
        <w:tc>
          <w:tcPr>
            <w:tcW w:w="1556" w:type="dxa"/>
            <w:shd w:val="clear" w:color="auto" w:fill="auto"/>
            <w:vAlign w:val="center"/>
          </w:tcPr>
          <w:p>
            <w:pPr>
              <w:pStyle w:val="56"/>
              <w:snapToGrid w:val="0"/>
              <w:ind w:firstLine="0" w:firstLineChars="0"/>
              <w:jc w:val="center"/>
              <w:rPr>
                <w:rFonts w:hint="default" w:ascii="Times New Roman" w:hAnsi="Times New Roman" w:eastAsia="华文仿宋" w:cs="Times New Roman"/>
                <w:sz w:val="18"/>
                <w:szCs w:val="18"/>
              </w:rPr>
            </w:pPr>
            <w:r>
              <w:rPr>
                <w:rFonts w:hint="default" w:ascii="Times New Roman" w:hAnsi="Times New Roman" w:eastAsia="华文仿宋" w:cs="Times New Roman"/>
                <w:sz w:val="18"/>
                <w:szCs w:val="18"/>
              </w:rPr>
              <w:t>99%</w:t>
            </w:r>
          </w:p>
        </w:tc>
      </w:tr>
    </w:tbl>
    <w:p>
      <w:pPr>
        <w:pStyle w:val="56"/>
      </w:pPr>
    </w:p>
    <w:p>
      <w:pPr>
        <w:pStyle w:val="56"/>
      </w:pPr>
    </w:p>
    <w:p>
      <w:pPr>
        <w:pStyle w:val="77"/>
        <w:spacing w:before="156" w:after="156"/>
      </w:pPr>
      <w:r>
        <w:rPr>
          <w:rFonts w:hint="eastAsia"/>
        </w:rPr>
        <w:t>其他排放因子和参数推荐值</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251"/>
        <w:gridCol w:w="2971"/>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251" w:type="dxa"/>
            <w:tcBorders>
              <w:top w:val="single" w:color="auto" w:sz="8" w:space="0"/>
              <w:bottom w:val="single" w:color="auto" w:sz="8" w:space="0"/>
            </w:tcBorders>
            <w:shd w:val="clear" w:color="auto" w:fill="auto"/>
            <w:vAlign w:val="center"/>
          </w:tcPr>
          <w:p>
            <w:pPr>
              <w:pStyle w:val="178"/>
              <w:rPr>
                <w:rFonts w:hint="eastAsia" w:ascii="黑体" w:hAnsi="黑体" w:eastAsia="黑体" w:cs="黑体"/>
                <w:sz w:val="21"/>
                <w:szCs w:val="21"/>
              </w:rPr>
            </w:pPr>
            <w:r>
              <w:rPr>
                <w:rFonts w:hint="eastAsia" w:ascii="黑体" w:hAnsi="黑体" w:eastAsia="黑体" w:cs="黑体"/>
                <w:sz w:val="21"/>
                <w:szCs w:val="21"/>
              </w:rPr>
              <w:t>参数名称</w:t>
            </w:r>
          </w:p>
        </w:tc>
        <w:tc>
          <w:tcPr>
            <w:tcW w:w="2971" w:type="dxa"/>
            <w:tcBorders>
              <w:top w:val="single" w:color="auto" w:sz="8" w:space="0"/>
              <w:bottom w:val="single" w:color="auto" w:sz="8" w:space="0"/>
            </w:tcBorders>
            <w:shd w:val="clear" w:color="auto" w:fill="auto"/>
            <w:vAlign w:val="center"/>
          </w:tcPr>
          <w:p>
            <w:pPr>
              <w:pStyle w:val="178"/>
              <w:rPr>
                <w:rFonts w:hint="eastAsia" w:ascii="黑体" w:hAnsi="黑体" w:eastAsia="黑体" w:cs="黑体"/>
                <w:sz w:val="21"/>
                <w:szCs w:val="21"/>
              </w:rPr>
            </w:pPr>
            <w:r>
              <w:rPr>
                <w:rFonts w:hint="eastAsia" w:ascii="黑体" w:hAnsi="黑体" w:eastAsia="黑体" w:cs="黑体"/>
                <w:sz w:val="21"/>
                <w:szCs w:val="21"/>
              </w:rPr>
              <w:t>单位</w:t>
            </w:r>
          </w:p>
        </w:tc>
        <w:tc>
          <w:tcPr>
            <w:tcW w:w="3112" w:type="dxa"/>
            <w:tcBorders>
              <w:top w:val="single" w:color="auto" w:sz="8" w:space="0"/>
              <w:bottom w:val="single" w:color="auto" w:sz="8" w:space="0"/>
            </w:tcBorders>
            <w:shd w:val="clear" w:color="auto" w:fill="auto"/>
            <w:vAlign w:val="center"/>
          </w:tcPr>
          <w:p>
            <w:pPr>
              <w:pStyle w:val="178"/>
              <w:rPr>
                <w:rFonts w:hint="eastAsia" w:ascii="黑体" w:hAnsi="黑体" w:eastAsia="黑体" w:cs="黑体"/>
                <w:sz w:val="21"/>
                <w:szCs w:val="21"/>
              </w:rPr>
            </w:pPr>
            <w:r>
              <w:rPr>
                <w:rFonts w:hint="eastAsia" w:ascii="黑体" w:hAnsi="黑体" w:eastAsia="黑体" w:cs="黑体"/>
                <w:sz w:val="21"/>
                <w:szCs w:val="21"/>
              </w:rPr>
              <w:t>二氧化碳排放因子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251" w:type="dxa"/>
            <w:tcBorders>
              <w:top w:val="single" w:color="auto" w:sz="8" w:space="0"/>
              <w:bottom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区域电网年平均供电排放因子</w:t>
            </w:r>
          </w:p>
        </w:tc>
        <w:tc>
          <w:tcPr>
            <w:tcW w:w="2971" w:type="dxa"/>
            <w:tcBorders>
              <w:top w:val="single" w:color="auto" w:sz="8" w:space="0"/>
              <w:bottom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tCO</w:t>
            </w:r>
            <w:r>
              <w:rPr>
                <w:rFonts w:hint="default" w:ascii="Times New Roman" w:hAnsi="Times New Roman" w:cs="Times New Roman"/>
                <w:sz w:val="18"/>
                <w:szCs w:val="18"/>
                <w:vertAlign w:val="subscript"/>
              </w:rPr>
              <w:t>2</w:t>
            </w:r>
            <w:r>
              <w:rPr>
                <w:rFonts w:hint="default" w:ascii="Times New Roman" w:hAnsi="Times New Roman" w:cs="Times New Roman"/>
                <w:sz w:val="18"/>
                <w:szCs w:val="18"/>
              </w:rPr>
              <w:t>/MWh</w:t>
            </w:r>
          </w:p>
        </w:tc>
        <w:tc>
          <w:tcPr>
            <w:tcW w:w="3112" w:type="dxa"/>
            <w:tcBorders>
              <w:top w:val="single" w:color="auto" w:sz="8" w:space="0"/>
              <w:bottom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采用国家最新发布值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251" w:type="dxa"/>
            <w:tcBorders>
              <w:top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热力消费的排放因子</w:t>
            </w:r>
          </w:p>
        </w:tc>
        <w:tc>
          <w:tcPr>
            <w:tcW w:w="2971" w:type="dxa"/>
            <w:tcBorders>
              <w:top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tCO</w:t>
            </w:r>
            <w:r>
              <w:rPr>
                <w:rFonts w:hint="default" w:ascii="Times New Roman" w:hAnsi="Times New Roman" w:cs="Times New Roman"/>
                <w:sz w:val="18"/>
                <w:szCs w:val="18"/>
                <w:vertAlign w:val="subscript"/>
              </w:rPr>
              <w:t>2</w:t>
            </w:r>
            <w:r>
              <w:rPr>
                <w:rFonts w:hint="default" w:ascii="Times New Roman" w:hAnsi="Times New Roman" w:cs="Times New Roman"/>
                <w:sz w:val="18"/>
                <w:szCs w:val="18"/>
              </w:rPr>
              <w:t>/GJ</w:t>
            </w:r>
          </w:p>
        </w:tc>
        <w:tc>
          <w:tcPr>
            <w:tcW w:w="3112" w:type="dxa"/>
            <w:tcBorders>
              <w:top w:val="single" w:color="auto" w:sz="8" w:space="0"/>
            </w:tcBorders>
            <w:shd w:val="clear" w:color="auto" w:fill="auto"/>
            <w:vAlign w:val="center"/>
          </w:tcPr>
          <w:p>
            <w:pPr>
              <w:pStyle w:val="178"/>
              <w:rPr>
                <w:rFonts w:hint="default" w:ascii="Times New Roman" w:hAnsi="Times New Roman" w:cs="Times New Roman"/>
                <w:sz w:val="18"/>
                <w:szCs w:val="18"/>
              </w:rPr>
            </w:pPr>
            <w:r>
              <w:rPr>
                <w:rFonts w:hint="default" w:ascii="Times New Roman" w:hAnsi="Times New Roman" w:cs="Times New Roman"/>
                <w:sz w:val="18"/>
                <w:szCs w:val="18"/>
              </w:rPr>
              <w:t>0.11</w:t>
            </w:r>
          </w:p>
        </w:tc>
      </w:tr>
      <w:bookmarkEnd w:id="144"/>
      <w:bookmarkEnd w:id="148"/>
    </w:tbl>
    <w:p>
      <w:pPr>
        <w:pStyle w:val="56"/>
        <w:ind w:firstLine="0" w:firstLineChars="0"/>
      </w:pPr>
    </w:p>
    <w:sectPr>
      <w:pgSz w:w="11906" w:h="16838"/>
      <w:pgMar w:top="567"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2677172"/>
    <w:multiLevelType w:val="multilevel"/>
    <w:tmpl w:val="22677172"/>
    <w:lvl w:ilvl="0" w:tentative="0">
      <w:start w:val="1"/>
      <w:numFmt w:val="lowerLetter"/>
      <w:lvlText w:val="%1）"/>
      <w:lvlJc w:val="left"/>
      <w:pPr>
        <w:ind w:left="644" w:hanging="360"/>
      </w:pPr>
      <w:rPr>
        <w:rFonts w:hint="default" w:ascii="Times New Roman" w:hAnsi="Times New Roman" w:cs="Times New Roman"/>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attachedTemplate r:id="rId1"/>
  <w:documentProtection w:edit="forms" w:enforcement="1" w:cryptProviderType="rsaAES" w:cryptAlgorithmClass="hash" w:cryptAlgorithmType="typeAny" w:cryptAlgorithmSid="14" w:cryptSpinCount="100000" w:hash="9PCmMr9TdGKbgr0nhmjqQXjFRii0RolSMyJe70YxcVjDeAoobIVI+Py3CMDbMTNYy7FbUdLufKILLOBmL677pA==" w:salt="aGKSWo1DC50H3u1aUuxRmA=="/>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JiNzA2OGU0YTY4ZmRiODY5YTY2MDFjZmU5NWY2OTQifQ=="/>
  </w:docVars>
  <w:rsids>
    <w:rsidRoot w:val="00CB477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241"/>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6E1"/>
    <w:rsid w:val="000539DD"/>
    <w:rsid w:val="00053BD3"/>
    <w:rsid w:val="000556ED"/>
    <w:rsid w:val="00055FE2"/>
    <w:rsid w:val="0005616F"/>
    <w:rsid w:val="00060C2E"/>
    <w:rsid w:val="00061033"/>
    <w:rsid w:val="000619E9"/>
    <w:rsid w:val="000622D4"/>
    <w:rsid w:val="0006357D"/>
    <w:rsid w:val="00067F1E"/>
    <w:rsid w:val="00071CC0"/>
    <w:rsid w:val="00072ABC"/>
    <w:rsid w:val="00073C8C"/>
    <w:rsid w:val="00077B64"/>
    <w:rsid w:val="00080A1C"/>
    <w:rsid w:val="00082317"/>
    <w:rsid w:val="00083D2C"/>
    <w:rsid w:val="0008417A"/>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7D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1867"/>
    <w:rsid w:val="00104926"/>
    <w:rsid w:val="00113B1E"/>
    <w:rsid w:val="0011711C"/>
    <w:rsid w:val="0012059C"/>
    <w:rsid w:val="00124E4F"/>
    <w:rsid w:val="001260B7"/>
    <w:rsid w:val="001265CB"/>
    <w:rsid w:val="001321C6"/>
    <w:rsid w:val="001325C4"/>
    <w:rsid w:val="00133010"/>
    <w:rsid w:val="001338EE"/>
    <w:rsid w:val="00133A34"/>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DE5"/>
    <w:rsid w:val="00173FB1"/>
    <w:rsid w:val="00174EA8"/>
    <w:rsid w:val="00176DFD"/>
    <w:rsid w:val="001852C9"/>
    <w:rsid w:val="00190087"/>
    <w:rsid w:val="001913C4"/>
    <w:rsid w:val="0019348F"/>
    <w:rsid w:val="00193A07"/>
    <w:rsid w:val="00194C95"/>
    <w:rsid w:val="00195C34"/>
    <w:rsid w:val="00196EF5"/>
    <w:rsid w:val="001A1A53"/>
    <w:rsid w:val="001A22F4"/>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1254"/>
    <w:rsid w:val="001D212F"/>
    <w:rsid w:val="001D29D7"/>
    <w:rsid w:val="001D2DE7"/>
    <w:rsid w:val="001D411C"/>
    <w:rsid w:val="001D7B16"/>
    <w:rsid w:val="001E1B6A"/>
    <w:rsid w:val="001E2484"/>
    <w:rsid w:val="001E3CC4"/>
    <w:rsid w:val="001E4882"/>
    <w:rsid w:val="001E73AB"/>
    <w:rsid w:val="001F092D"/>
    <w:rsid w:val="001F143A"/>
    <w:rsid w:val="001F1605"/>
    <w:rsid w:val="001F21F8"/>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988"/>
    <w:rsid w:val="00281BB8"/>
    <w:rsid w:val="00281E9E"/>
    <w:rsid w:val="00282405"/>
    <w:rsid w:val="00285170"/>
    <w:rsid w:val="00285361"/>
    <w:rsid w:val="002911E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7AF"/>
    <w:rsid w:val="002B0C40"/>
    <w:rsid w:val="002B1966"/>
    <w:rsid w:val="002B4508"/>
    <w:rsid w:val="002B5779"/>
    <w:rsid w:val="002B7332"/>
    <w:rsid w:val="002B7F51"/>
    <w:rsid w:val="002C09E7"/>
    <w:rsid w:val="002C1E06"/>
    <w:rsid w:val="002C1E1C"/>
    <w:rsid w:val="002C3F07"/>
    <w:rsid w:val="002C4AB4"/>
    <w:rsid w:val="002C5278"/>
    <w:rsid w:val="002C5EB9"/>
    <w:rsid w:val="002C7EBB"/>
    <w:rsid w:val="002D06C1"/>
    <w:rsid w:val="002D42B5"/>
    <w:rsid w:val="002D4F1A"/>
    <w:rsid w:val="002D6EC6"/>
    <w:rsid w:val="002D79AC"/>
    <w:rsid w:val="002E039D"/>
    <w:rsid w:val="002E4D5A"/>
    <w:rsid w:val="002E6326"/>
    <w:rsid w:val="002E67D4"/>
    <w:rsid w:val="002F30E0"/>
    <w:rsid w:val="002F35E4"/>
    <w:rsid w:val="002F3730"/>
    <w:rsid w:val="002F38E1"/>
    <w:rsid w:val="002F7AF6"/>
    <w:rsid w:val="00300177"/>
    <w:rsid w:val="00300E63"/>
    <w:rsid w:val="00302F5F"/>
    <w:rsid w:val="0030441D"/>
    <w:rsid w:val="00306063"/>
    <w:rsid w:val="003079A4"/>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0CA"/>
    <w:rsid w:val="00376713"/>
    <w:rsid w:val="00381815"/>
    <w:rsid w:val="003819AF"/>
    <w:rsid w:val="003820E9"/>
    <w:rsid w:val="00382DE7"/>
    <w:rsid w:val="00384FFC"/>
    <w:rsid w:val="003872FC"/>
    <w:rsid w:val="00387ADC"/>
    <w:rsid w:val="00390020"/>
    <w:rsid w:val="003903D6"/>
    <w:rsid w:val="00390EE6"/>
    <w:rsid w:val="0039118F"/>
    <w:rsid w:val="003924EE"/>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9F1"/>
    <w:rsid w:val="00432DAA"/>
    <w:rsid w:val="00434305"/>
    <w:rsid w:val="00435DF7"/>
    <w:rsid w:val="0044083F"/>
    <w:rsid w:val="00441AE7"/>
    <w:rsid w:val="00445574"/>
    <w:rsid w:val="004467FB"/>
    <w:rsid w:val="00452D6B"/>
    <w:rsid w:val="00452E7B"/>
    <w:rsid w:val="00454484"/>
    <w:rsid w:val="0045517B"/>
    <w:rsid w:val="00455F8A"/>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3D22"/>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19E"/>
    <w:rsid w:val="004E4AA5"/>
    <w:rsid w:val="004E4AEE"/>
    <w:rsid w:val="004E59E3"/>
    <w:rsid w:val="004E67C0"/>
    <w:rsid w:val="004F391A"/>
    <w:rsid w:val="004F3CFB"/>
    <w:rsid w:val="004F5046"/>
    <w:rsid w:val="004F6456"/>
    <w:rsid w:val="004F696E"/>
    <w:rsid w:val="004F6C71"/>
    <w:rsid w:val="0050052E"/>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3B1B"/>
    <w:rsid w:val="0058409C"/>
    <w:rsid w:val="00584262"/>
    <w:rsid w:val="00586630"/>
    <w:rsid w:val="00587ADD"/>
    <w:rsid w:val="00590437"/>
    <w:rsid w:val="00596160"/>
    <w:rsid w:val="005966E2"/>
    <w:rsid w:val="00597007"/>
    <w:rsid w:val="005A0966"/>
    <w:rsid w:val="005A11B7"/>
    <w:rsid w:val="005A260B"/>
    <w:rsid w:val="005A4A1B"/>
    <w:rsid w:val="005A653D"/>
    <w:rsid w:val="005A7830"/>
    <w:rsid w:val="005A7FCE"/>
    <w:rsid w:val="005B0F3F"/>
    <w:rsid w:val="005B4903"/>
    <w:rsid w:val="005B51CE"/>
    <w:rsid w:val="005B5885"/>
    <w:rsid w:val="005B5CD7"/>
    <w:rsid w:val="005B6CF6"/>
    <w:rsid w:val="005B716C"/>
    <w:rsid w:val="005B7422"/>
    <w:rsid w:val="005C29B8"/>
    <w:rsid w:val="005C36A4"/>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736C"/>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19D"/>
    <w:rsid w:val="00677A84"/>
    <w:rsid w:val="0068026D"/>
    <w:rsid w:val="00680A27"/>
    <w:rsid w:val="006816A4"/>
    <w:rsid w:val="006819B8"/>
    <w:rsid w:val="006840A6"/>
    <w:rsid w:val="0068469D"/>
    <w:rsid w:val="006850CD"/>
    <w:rsid w:val="00685AAB"/>
    <w:rsid w:val="006A07AA"/>
    <w:rsid w:val="006A25E5"/>
    <w:rsid w:val="006A2B46"/>
    <w:rsid w:val="006A336D"/>
    <w:rsid w:val="006A37B9"/>
    <w:rsid w:val="006B2672"/>
    <w:rsid w:val="006B4879"/>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3690"/>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481"/>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ED2"/>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695A"/>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2F8F"/>
    <w:rsid w:val="00863E05"/>
    <w:rsid w:val="00865ACA"/>
    <w:rsid w:val="00865D28"/>
    <w:rsid w:val="00865F85"/>
    <w:rsid w:val="00867C10"/>
    <w:rsid w:val="00870439"/>
    <w:rsid w:val="00870DA1"/>
    <w:rsid w:val="00872B04"/>
    <w:rsid w:val="00883F93"/>
    <w:rsid w:val="00884DB3"/>
    <w:rsid w:val="00885A9D"/>
    <w:rsid w:val="008864F6"/>
    <w:rsid w:val="0089049D"/>
    <w:rsid w:val="008928C9"/>
    <w:rsid w:val="008930CB"/>
    <w:rsid w:val="008938DC"/>
    <w:rsid w:val="00893FD1"/>
    <w:rsid w:val="00894148"/>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23B"/>
    <w:rsid w:val="008C1797"/>
    <w:rsid w:val="008C219C"/>
    <w:rsid w:val="008C2914"/>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27686"/>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0A1B"/>
    <w:rsid w:val="0098104A"/>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ACF"/>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5F9C"/>
    <w:rsid w:val="00A67866"/>
    <w:rsid w:val="00A70B07"/>
    <w:rsid w:val="00A723F8"/>
    <w:rsid w:val="00A77CCB"/>
    <w:rsid w:val="00A83D8D"/>
    <w:rsid w:val="00A8446B"/>
    <w:rsid w:val="00A8473F"/>
    <w:rsid w:val="00A85034"/>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75A"/>
    <w:rsid w:val="00B54ABC"/>
    <w:rsid w:val="00B54DDE"/>
    <w:rsid w:val="00B56FBE"/>
    <w:rsid w:val="00B60ACF"/>
    <w:rsid w:val="00B62B37"/>
    <w:rsid w:val="00B62B58"/>
    <w:rsid w:val="00B65149"/>
    <w:rsid w:val="00B66567"/>
    <w:rsid w:val="00B66F52"/>
    <w:rsid w:val="00B66FE5"/>
    <w:rsid w:val="00B72880"/>
    <w:rsid w:val="00B758BF"/>
    <w:rsid w:val="00B77EC8"/>
    <w:rsid w:val="00B827A6"/>
    <w:rsid w:val="00B831CE"/>
    <w:rsid w:val="00B86677"/>
    <w:rsid w:val="00B87131"/>
    <w:rsid w:val="00B93810"/>
    <w:rsid w:val="00B939B1"/>
    <w:rsid w:val="00B96D40"/>
    <w:rsid w:val="00B97386"/>
    <w:rsid w:val="00BA263B"/>
    <w:rsid w:val="00BA42B2"/>
    <w:rsid w:val="00BA58D4"/>
    <w:rsid w:val="00BA5B9E"/>
    <w:rsid w:val="00BA6117"/>
    <w:rsid w:val="00BA7C9A"/>
    <w:rsid w:val="00BB5F8F"/>
    <w:rsid w:val="00BB657A"/>
    <w:rsid w:val="00BC1A4E"/>
    <w:rsid w:val="00BC44D6"/>
    <w:rsid w:val="00BC5DC7"/>
    <w:rsid w:val="00BC6B8B"/>
    <w:rsid w:val="00BC73D8"/>
    <w:rsid w:val="00BD1D35"/>
    <w:rsid w:val="00BD2607"/>
    <w:rsid w:val="00BD52D7"/>
    <w:rsid w:val="00BD5AD2"/>
    <w:rsid w:val="00BE07FA"/>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A3C"/>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4A7"/>
    <w:rsid w:val="00C80CB8"/>
    <w:rsid w:val="00C819F8"/>
    <w:rsid w:val="00C8248C"/>
    <w:rsid w:val="00C84E33"/>
    <w:rsid w:val="00C86D6F"/>
    <w:rsid w:val="00C905FC"/>
    <w:rsid w:val="00C906F7"/>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776"/>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614"/>
    <w:rsid w:val="00CE0C4F"/>
    <w:rsid w:val="00CE30EA"/>
    <w:rsid w:val="00CF048A"/>
    <w:rsid w:val="00CF155A"/>
    <w:rsid w:val="00CF2947"/>
    <w:rsid w:val="00CF3E8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F9D"/>
    <w:rsid w:val="00D20737"/>
    <w:rsid w:val="00D21E81"/>
    <w:rsid w:val="00D223DE"/>
    <w:rsid w:val="00D23C73"/>
    <w:rsid w:val="00D25E37"/>
    <w:rsid w:val="00D2661A"/>
    <w:rsid w:val="00D27582"/>
    <w:rsid w:val="00D27EC4"/>
    <w:rsid w:val="00D32719"/>
    <w:rsid w:val="00D33333"/>
    <w:rsid w:val="00D33457"/>
    <w:rsid w:val="00D352A2"/>
    <w:rsid w:val="00D4162B"/>
    <w:rsid w:val="00D4514F"/>
    <w:rsid w:val="00D451E2"/>
    <w:rsid w:val="00D45883"/>
    <w:rsid w:val="00D45E89"/>
    <w:rsid w:val="00D45E8D"/>
    <w:rsid w:val="00D466AE"/>
    <w:rsid w:val="00D468AE"/>
    <w:rsid w:val="00D4734F"/>
    <w:rsid w:val="00D51BF3"/>
    <w:rsid w:val="00D54515"/>
    <w:rsid w:val="00D66846"/>
    <w:rsid w:val="00D675FB"/>
    <w:rsid w:val="00D71F25"/>
    <w:rsid w:val="00D72A9C"/>
    <w:rsid w:val="00D77031"/>
    <w:rsid w:val="00D84941"/>
    <w:rsid w:val="00D84FA1"/>
    <w:rsid w:val="00D851F0"/>
    <w:rsid w:val="00D86DB7"/>
    <w:rsid w:val="00D926D0"/>
    <w:rsid w:val="00D93030"/>
    <w:rsid w:val="00D94D0E"/>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135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33B4"/>
    <w:rsid w:val="00E34A98"/>
    <w:rsid w:val="00E35D1E"/>
    <w:rsid w:val="00E364F9"/>
    <w:rsid w:val="00E365FA"/>
    <w:rsid w:val="00E36789"/>
    <w:rsid w:val="00E4322D"/>
    <w:rsid w:val="00E44A83"/>
    <w:rsid w:val="00E47580"/>
    <w:rsid w:val="00E502C1"/>
    <w:rsid w:val="00E502DD"/>
    <w:rsid w:val="00E50D3A"/>
    <w:rsid w:val="00E51387"/>
    <w:rsid w:val="00E51E68"/>
    <w:rsid w:val="00E52EFD"/>
    <w:rsid w:val="00E5408A"/>
    <w:rsid w:val="00E56800"/>
    <w:rsid w:val="00E57835"/>
    <w:rsid w:val="00E60C63"/>
    <w:rsid w:val="00E62FF9"/>
    <w:rsid w:val="00E635D6"/>
    <w:rsid w:val="00E639BC"/>
    <w:rsid w:val="00E664CC"/>
    <w:rsid w:val="00E70388"/>
    <w:rsid w:val="00E70F92"/>
    <w:rsid w:val="00E7348B"/>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B17"/>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0B6B"/>
    <w:rsid w:val="00F06D37"/>
    <w:rsid w:val="00F07B9D"/>
    <w:rsid w:val="00F11586"/>
    <w:rsid w:val="00F1183B"/>
    <w:rsid w:val="00F11C9F"/>
    <w:rsid w:val="00F12263"/>
    <w:rsid w:val="00F1409D"/>
    <w:rsid w:val="00F14214"/>
    <w:rsid w:val="00F157A9"/>
    <w:rsid w:val="00F16ACA"/>
    <w:rsid w:val="00F25BB6"/>
    <w:rsid w:val="00F26B7E"/>
    <w:rsid w:val="00F27A3B"/>
    <w:rsid w:val="00F33817"/>
    <w:rsid w:val="00F420D5"/>
    <w:rsid w:val="00F451EA"/>
    <w:rsid w:val="00F45447"/>
    <w:rsid w:val="00F456C6"/>
    <w:rsid w:val="00F4577B"/>
    <w:rsid w:val="00F46496"/>
    <w:rsid w:val="00F474D0"/>
    <w:rsid w:val="00F50179"/>
    <w:rsid w:val="00F515EE"/>
    <w:rsid w:val="00F564F7"/>
    <w:rsid w:val="00F56511"/>
    <w:rsid w:val="00F6194E"/>
    <w:rsid w:val="00F623AC"/>
    <w:rsid w:val="00F6412A"/>
    <w:rsid w:val="00F65893"/>
    <w:rsid w:val="00F66A4A"/>
    <w:rsid w:val="00F71E22"/>
    <w:rsid w:val="00F72142"/>
    <w:rsid w:val="00F72AE7"/>
    <w:rsid w:val="00F77071"/>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736F"/>
    <w:rsid w:val="00FD00E6"/>
    <w:rsid w:val="00FD09A1"/>
    <w:rsid w:val="00FD2A7C"/>
    <w:rsid w:val="00FD59EB"/>
    <w:rsid w:val="00FD7299"/>
    <w:rsid w:val="00FE1FBE"/>
    <w:rsid w:val="00FE3901"/>
    <w:rsid w:val="00FE39D3"/>
    <w:rsid w:val="00FE3CFE"/>
    <w:rsid w:val="00FE4BCE"/>
    <w:rsid w:val="00FE54AE"/>
    <w:rsid w:val="00FE576A"/>
    <w:rsid w:val="00FE598B"/>
    <w:rsid w:val="00FE7E79"/>
    <w:rsid w:val="00FF3E7D"/>
    <w:rsid w:val="00FF5B99"/>
    <w:rsid w:val="00FF730C"/>
    <w:rsid w:val="00FF73F4"/>
    <w:rsid w:val="00FF7CE4"/>
    <w:rsid w:val="00FF7E39"/>
    <w:rsid w:val="030A0A72"/>
    <w:rsid w:val="04BE5ABA"/>
    <w:rsid w:val="0507403B"/>
    <w:rsid w:val="072A5EE8"/>
    <w:rsid w:val="07E01880"/>
    <w:rsid w:val="092959CA"/>
    <w:rsid w:val="09756C09"/>
    <w:rsid w:val="0C2D57D1"/>
    <w:rsid w:val="0E3270CE"/>
    <w:rsid w:val="1102547E"/>
    <w:rsid w:val="119F2CCD"/>
    <w:rsid w:val="12744159"/>
    <w:rsid w:val="152F2AA1"/>
    <w:rsid w:val="181D2B9D"/>
    <w:rsid w:val="19C86B39"/>
    <w:rsid w:val="1AC94917"/>
    <w:rsid w:val="1AE300CE"/>
    <w:rsid w:val="1B723200"/>
    <w:rsid w:val="1BB750B7"/>
    <w:rsid w:val="1F52137F"/>
    <w:rsid w:val="21F66939"/>
    <w:rsid w:val="238166D6"/>
    <w:rsid w:val="26C87518"/>
    <w:rsid w:val="288A4E8C"/>
    <w:rsid w:val="2B3C1135"/>
    <w:rsid w:val="2FC5794B"/>
    <w:rsid w:val="331C3D26"/>
    <w:rsid w:val="342310E4"/>
    <w:rsid w:val="36D52B69"/>
    <w:rsid w:val="3B714E2B"/>
    <w:rsid w:val="3E9A01F4"/>
    <w:rsid w:val="3F80388E"/>
    <w:rsid w:val="419E0693"/>
    <w:rsid w:val="41C467D3"/>
    <w:rsid w:val="43C66AD7"/>
    <w:rsid w:val="4588524B"/>
    <w:rsid w:val="4B7C7600"/>
    <w:rsid w:val="4B8122E6"/>
    <w:rsid w:val="4C5077B9"/>
    <w:rsid w:val="4D3360BD"/>
    <w:rsid w:val="4DBB2FCD"/>
    <w:rsid w:val="5AB75F5E"/>
    <w:rsid w:val="5D0D6309"/>
    <w:rsid w:val="630737FB"/>
    <w:rsid w:val="63C81B5F"/>
    <w:rsid w:val="67051F22"/>
    <w:rsid w:val="672E1BB9"/>
    <w:rsid w:val="68437083"/>
    <w:rsid w:val="6F6C3363"/>
    <w:rsid w:val="724F0D1A"/>
    <w:rsid w:val="749173C8"/>
    <w:rsid w:val="75A373B3"/>
    <w:rsid w:val="75A97A63"/>
    <w:rsid w:val="76164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styleId="23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166581C48484AB2ABB642678DF80966"/>
        <w:style w:val=""/>
        <w:category>
          <w:name w:val="常规"/>
          <w:gallery w:val="placeholder"/>
        </w:category>
        <w:types>
          <w:type w:val="bbPlcHdr"/>
        </w:types>
        <w:behaviors>
          <w:behavior w:val="content"/>
        </w:behaviors>
        <w:description w:val=""/>
        <w:guid w:val="{17C8A94E-D0AD-4306-9CB7-4C6FEEF65889}"/>
      </w:docPartPr>
      <w:docPartBody>
        <w:p>
          <w:pPr>
            <w:pStyle w:val="5"/>
          </w:pPr>
          <w:r>
            <w:rPr>
              <w:rStyle w:val="4"/>
              <w:rFonts w:hint="eastAsia"/>
            </w:rPr>
            <w:t>单击或点击此处输入文字。</w:t>
          </w:r>
        </w:p>
      </w:docPartBody>
    </w:docPart>
    <w:docPart>
      <w:docPartPr>
        <w:name w:val="B26CF0CE124649DF85D838DF6691C729"/>
        <w:style w:val=""/>
        <w:category>
          <w:name w:val="常规"/>
          <w:gallery w:val="placeholder"/>
        </w:category>
        <w:types>
          <w:type w:val="bbPlcHdr"/>
        </w:types>
        <w:behaviors>
          <w:behavior w:val="content"/>
        </w:behaviors>
        <w:description w:val=""/>
        <w:guid w:val="{B945EF32-43CD-452F-AD5F-E1B7B24A6DDD}"/>
      </w:docPartPr>
      <w:docPartBody>
        <w:p>
          <w:pPr>
            <w:pStyle w:val="6"/>
          </w:pPr>
          <w:r>
            <w:rPr>
              <w:rStyle w:val="4"/>
              <w:rFonts w:hint="eastAsia"/>
            </w:rPr>
            <w:t>选择一项。</w:t>
          </w:r>
        </w:p>
      </w:docPartBody>
    </w:docPart>
    <w:docPart>
      <w:docPartPr>
        <w:name w:val="E14FB3F84737488F917B803B68C9BBB8"/>
        <w:style w:val=""/>
        <w:category>
          <w:name w:val="常规"/>
          <w:gallery w:val="placeholder"/>
        </w:category>
        <w:types>
          <w:type w:val="bbPlcHdr"/>
        </w:types>
        <w:behaviors>
          <w:behavior w:val="content"/>
        </w:behaviors>
        <w:description w:val=""/>
        <w:guid w:val="{DDC61435-8C6A-4FD6-922A-D5EECDC594B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40"/>
    <w:rsid w:val="000B2410"/>
    <w:rsid w:val="000D531D"/>
    <w:rsid w:val="0016665F"/>
    <w:rsid w:val="00175B81"/>
    <w:rsid w:val="003A318C"/>
    <w:rsid w:val="00411572"/>
    <w:rsid w:val="00514982"/>
    <w:rsid w:val="0051574D"/>
    <w:rsid w:val="00584A21"/>
    <w:rsid w:val="00590940"/>
    <w:rsid w:val="00622D1D"/>
    <w:rsid w:val="00700F8A"/>
    <w:rsid w:val="00730DBE"/>
    <w:rsid w:val="008B70E0"/>
    <w:rsid w:val="008D37EB"/>
    <w:rsid w:val="00A15C83"/>
    <w:rsid w:val="00A3479F"/>
    <w:rsid w:val="00A41B4E"/>
    <w:rsid w:val="00AA159B"/>
    <w:rsid w:val="00AC46C5"/>
    <w:rsid w:val="00C03C39"/>
    <w:rsid w:val="00D3779F"/>
    <w:rsid w:val="00D417B2"/>
    <w:rsid w:val="00DA3AE5"/>
    <w:rsid w:val="00E01E67"/>
    <w:rsid w:val="00E95042"/>
    <w:rsid w:val="00ED77F5"/>
    <w:rsid w:val="00EE7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166581C48484AB2ABB642678DF8096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26CF0CE124649DF85D838DF6691C7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14FB3F84737488F917B803B68C9BBB8"/>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EAA66F-20E6-48E1-8D17-A523E553FFC0}">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5520</Words>
  <Characters>6500</Characters>
  <Lines>68</Lines>
  <Paragraphs>19</Paragraphs>
  <TotalTime>30</TotalTime>
  <ScaleCrop>false</ScaleCrop>
  <LinksUpToDate>false</LinksUpToDate>
  <CharactersWithSpaces>6756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2022-12-19T09:39:00Z</dcterms:created>
  <dc:creator>李劼</dc:creator>
  <dc:description>&lt;config cover="true" show_menu="true" version="1.0.0" doctype="SDKXY"&gt;_x000d_
&lt;/config&gt;</dc:description>
  <cp:lastModifiedBy>张健</cp:lastModifiedBy>
  <cp:lastPrinted>2022-11-29T06:57:00Z</cp:lastPrinted>
  <dcterms:modified xsi:type="dcterms:W3CDTF">2023-09-11T01:40:58Z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46B3F22723394DC9BF39B9B8B63BB3E9</vt:lpwstr>
  </property>
</Properties>
</file>