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240"/>
        <w:rPr>
          <w:rFonts w:ascii="Times New Roman" w:hAnsi="Times New Roman" w:cs="Times New Roman"/>
          <w:color w:val="000000"/>
          <w:lang w:eastAsia="zh-CN"/>
        </w:rPr>
      </w:pPr>
    </w:p>
    <w:p>
      <w:pPr>
        <w:pStyle w:val="2"/>
        <w:ind w:firstLine="240"/>
        <w:rPr>
          <w:rFonts w:ascii="Times New Roman" w:hAnsi="Times New Roman" w:cs="Times New Roman"/>
          <w:color w:val="000000"/>
          <w:lang w:eastAsia="zh-CN"/>
        </w:rPr>
      </w:pPr>
      <w:bookmarkStart w:id="159" w:name="_GoBack"/>
      <w:bookmarkEnd w:id="159"/>
    </w:p>
    <w:p>
      <w:pPr>
        <w:pStyle w:val="2"/>
        <w:ind w:firstLine="240"/>
        <w:rPr>
          <w:rFonts w:ascii="Times New Roman" w:hAnsi="Times New Roman" w:cs="Times New Roman"/>
          <w:color w:val="000000"/>
          <w:lang w:eastAsia="zh-CN"/>
        </w:rPr>
      </w:pPr>
    </w:p>
    <w:p>
      <w:pPr>
        <w:pStyle w:val="2"/>
        <w:ind w:firstLine="240"/>
        <w:rPr>
          <w:rFonts w:ascii="Times New Roman" w:hAnsi="Times New Roman" w:cs="Times New Roman"/>
          <w:color w:val="000000"/>
          <w:lang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黑体" w:cs="Times New Roman"/>
          <w:color w:val="000000"/>
          <w:spacing w:val="2"/>
          <w:sz w:val="44"/>
          <w:szCs w:val="44"/>
          <w:lang w:eastAsia="zh-CN"/>
        </w:rPr>
      </w:pPr>
      <w:bookmarkStart w:id="0" w:name="_Toc3936"/>
      <w:bookmarkStart w:id="1" w:name="_Toc25151"/>
      <w:bookmarkStart w:id="2" w:name="_Toc23719"/>
      <w:bookmarkStart w:id="3" w:name="_Toc6361"/>
      <w:bookmarkStart w:id="4" w:name="_Toc136274975"/>
      <w:bookmarkStart w:id="5" w:name="_Toc12233"/>
      <w:bookmarkStart w:id="6" w:name="_Toc136467356"/>
      <w:bookmarkStart w:id="7" w:name="_Toc13817"/>
      <w:bookmarkStart w:id="8" w:name="_Toc30062"/>
      <w:bookmarkStart w:id="9" w:name="_Toc19171"/>
      <w:bookmarkStart w:id="10" w:name="_Toc16491"/>
      <w:bookmarkStart w:id="11" w:name="_Toc13017"/>
      <w:bookmarkStart w:id="12" w:name="_Toc24352"/>
      <w:bookmarkStart w:id="13" w:name="_Toc27137"/>
      <w:bookmarkStart w:id="14" w:name="_Toc14114"/>
      <w:bookmarkStart w:id="15" w:name="_Toc13905"/>
      <w:bookmarkStart w:id="16" w:name="_Toc309"/>
      <w:bookmarkStart w:id="17" w:name="_Toc25407"/>
      <w:bookmarkStart w:id="18" w:name="_Toc6187"/>
      <w:bookmarkStart w:id="19" w:name="_Toc29929"/>
      <w:r>
        <w:rPr>
          <w:rFonts w:ascii="Times New Roman" w:hAnsi="Times New Roman" w:eastAsia="黑体" w:cs="Times New Roman"/>
          <w:color w:val="000000"/>
          <w:sz w:val="44"/>
          <w:szCs w:val="44"/>
          <w:lang w:eastAsia="zh-CN"/>
        </w:rPr>
        <w:t>《工业废水</w:t>
      </w:r>
      <w:r>
        <w:rPr>
          <w:rFonts w:ascii="Times New Roman" w:hAnsi="Times New Roman" w:eastAsia="黑体" w:cs="Times New Roman"/>
          <w:color w:val="000000"/>
          <w:spacing w:val="2"/>
          <w:sz w:val="44"/>
          <w:szCs w:val="44"/>
          <w:lang w:eastAsia="zh-CN"/>
        </w:rPr>
        <w:t>高氯酸盐</w:t>
      </w:r>
      <w:r>
        <w:rPr>
          <w:rFonts w:ascii="Times New Roman" w:hAnsi="Times New Roman" w:eastAsia="黑体" w:cs="Times New Roman"/>
          <w:color w:val="000000"/>
          <w:sz w:val="44"/>
          <w:szCs w:val="44"/>
          <w:lang w:eastAsia="zh-CN"/>
        </w:rPr>
        <w:t>污</w:t>
      </w:r>
      <w:r>
        <w:rPr>
          <w:rFonts w:ascii="Times New Roman" w:hAnsi="Times New Roman" w:eastAsia="黑体" w:cs="Times New Roman"/>
          <w:color w:val="000000"/>
          <w:spacing w:val="2"/>
          <w:sz w:val="44"/>
          <w:szCs w:val="44"/>
          <w:lang w:eastAsia="zh-CN"/>
        </w:rPr>
        <w:t>染</w:t>
      </w:r>
      <w:r>
        <w:rPr>
          <w:rFonts w:ascii="Times New Roman" w:hAnsi="Times New Roman" w:eastAsia="黑体" w:cs="Times New Roman"/>
          <w:color w:val="000000"/>
          <w:sz w:val="44"/>
          <w:szCs w:val="44"/>
          <w:lang w:eastAsia="zh-CN"/>
        </w:rPr>
        <w:t>物排</w:t>
      </w:r>
      <w:r>
        <w:rPr>
          <w:rFonts w:ascii="Times New Roman" w:hAnsi="Times New Roman" w:eastAsia="黑体" w:cs="Times New Roman"/>
          <w:color w:val="000000"/>
          <w:spacing w:val="2"/>
          <w:sz w:val="44"/>
          <w:szCs w:val="44"/>
          <w:lang w:eastAsia="zh-CN"/>
        </w:rPr>
        <w:t>放</w:t>
      </w:r>
      <w:r>
        <w:rPr>
          <w:rFonts w:ascii="Times New Roman" w:hAnsi="Times New Roman" w:eastAsia="黑体" w:cs="Times New Roman"/>
          <w:color w:val="000000"/>
          <w:sz w:val="44"/>
          <w:szCs w:val="44"/>
          <w:lang w:eastAsia="zh-CN"/>
        </w:rPr>
        <w:t>标准</w:t>
      </w:r>
      <w:r>
        <w:rPr>
          <w:rFonts w:ascii="Times New Roman" w:hAnsi="Times New Roman" w:eastAsia="黑体" w:cs="Times New Roman"/>
          <w:color w:val="000000"/>
          <w:spacing w:val="2"/>
          <w:sz w:val="44"/>
          <w:szCs w:val="44"/>
          <w:lang w:eastAsia="zh-CN"/>
        </w:rPr>
        <w:t>》</w:t>
      </w:r>
      <w:bookmarkEnd w:id="0"/>
      <w:bookmarkEnd w:id="1"/>
      <w:bookmarkEnd w:id="2"/>
      <w:bookmarkEnd w:id="3"/>
      <w:bookmarkEnd w:id="4"/>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黑体" w:cs="Times New Roman"/>
          <w:color w:val="000000"/>
          <w:sz w:val="44"/>
          <w:szCs w:val="44"/>
          <w:lang w:eastAsia="zh-CN"/>
        </w:rPr>
      </w:pPr>
      <w:bookmarkStart w:id="20" w:name="_Toc1000"/>
      <w:bookmarkStart w:id="21" w:name="_Toc136467357"/>
      <w:bookmarkStart w:id="22" w:name="_Toc22314"/>
      <w:bookmarkStart w:id="23" w:name="_Toc19934"/>
      <w:bookmarkStart w:id="24" w:name="_Toc23283"/>
      <w:bookmarkStart w:id="25" w:name="_Toc24624"/>
      <w:bookmarkStart w:id="26" w:name="_Toc136274976"/>
      <w:bookmarkStart w:id="27" w:name="_Toc21367"/>
      <w:bookmarkStart w:id="28" w:name="_Toc25760"/>
      <w:r>
        <w:rPr>
          <w:rFonts w:ascii="Times New Roman" w:hAnsi="Times New Roman" w:eastAsia="黑体" w:cs="Times New Roman"/>
          <w:color w:val="000000"/>
          <w:sz w:val="44"/>
          <w:szCs w:val="44"/>
          <w:lang w:eastAsia="zh-CN"/>
        </w:rPr>
        <w:t>编制</w:t>
      </w:r>
      <w:r>
        <w:rPr>
          <w:rFonts w:ascii="Times New Roman" w:hAnsi="Times New Roman" w:eastAsia="黑体" w:cs="Times New Roman"/>
          <w:color w:val="000000"/>
          <w:spacing w:val="2"/>
          <w:sz w:val="44"/>
          <w:szCs w:val="44"/>
          <w:lang w:eastAsia="zh-CN"/>
        </w:rPr>
        <w:t>说</w:t>
      </w:r>
      <w:r>
        <w:rPr>
          <w:rFonts w:ascii="Times New Roman" w:hAnsi="Times New Roman" w:eastAsia="黑体" w:cs="Times New Roman"/>
          <w:color w:val="000000"/>
          <w:sz w:val="44"/>
          <w:szCs w:val="44"/>
          <w:lang w:eastAsia="zh-CN"/>
        </w:rPr>
        <w:t>明</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黑体" w:cs="Times New Roman"/>
          <w:color w:val="000000"/>
          <w:sz w:val="44"/>
          <w:szCs w:val="44"/>
          <w:lang w:eastAsia="zh-CN"/>
        </w:rPr>
      </w:pPr>
      <w:bookmarkStart w:id="29" w:name="_Toc13710"/>
      <w:bookmarkStart w:id="30" w:name="_Toc20362"/>
      <w:bookmarkStart w:id="31" w:name="_Toc2805"/>
      <w:bookmarkStart w:id="32" w:name="_Toc356"/>
      <w:bookmarkStart w:id="33" w:name="_Toc2332"/>
      <w:bookmarkStart w:id="34" w:name="_Toc18215"/>
      <w:bookmarkStart w:id="35" w:name="_Toc16926"/>
      <w:bookmarkStart w:id="36" w:name="_Toc136274977"/>
      <w:bookmarkStart w:id="37" w:name="_Toc136467358"/>
      <w:r>
        <w:rPr>
          <w:rFonts w:ascii="Times New Roman" w:hAnsi="Times New Roman" w:eastAsia="黑体" w:cs="Times New Roman"/>
          <w:color w:val="000000"/>
          <w:sz w:val="44"/>
          <w:szCs w:val="44"/>
          <w:lang w:eastAsia="zh-CN"/>
        </w:rPr>
        <w:t>（</w:t>
      </w:r>
      <w:r>
        <w:rPr>
          <w:rFonts w:hint="eastAsia" w:ascii="Times New Roman" w:hAnsi="Times New Roman" w:eastAsia="黑体" w:cs="Times New Roman"/>
          <w:color w:val="000000"/>
          <w:sz w:val="44"/>
          <w:szCs w:val="44"/>
          <w:lang w:eastAsia="zh-CN"/>
        </w:rPr>
        <w:t>征求意见稿</w:t>
      </w:r>
      <w:r>
        <w:rPr>
          <w:rFonts w:ascii="Times New Roman" w:hAnsi="Times New Roman" w:eastAsia="黑体" w:cs="Times New Roman"/>
          <w:color w:val="000000"/>
          <w:sz w:val="44"/>
          <w:szCs w:val="44"/>
          <w:lang w:eastAsia="zh-CN"/>
        </w:rPr>
        <w:t>）</w:t>
      </w:r>
      <w:bookmarkEnd w:id="29"/>
      <w:bookmarkEnd w:id="30"/>
      <w:bookmarkEnd w:id="31"/>
      <w:bookmarkEnd w:id="32"/>
      <w:bookmarkEnd w:id="33"/>
      <w:bookmarkEnd w:id="34"/>
      <w:bookmarkEnd w:id="35"/>
      <w:bookmarkEnd w:id="36"/>
      <w:bookmarkEnd w:id="37"/>
    </w:p>
    <w:p>
      <w:pPr>
        <w:spacing w:line="360" w:lineRule="auto"/>
        <w:jc w:val="both"/>
        <w:rPr>
          <w:rFonts w:ascii="Times New Roman" w:hAnsi="Times New Roman" w:eastAsia="仿宋"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pStyle w:val="2"/>
        <w:ind w:firstLine="280"/>
        <w:rPr>
          <w:rFonts w:ascii="Times New Roman" w:hAnsi="Times New Roman" w:cs="Times New Roman"/>
          <w:color w:val="000000"/>
          <w:sz w:val="28"/>
          <w:szCs w:val="28"/>
          <w:lang w:eastAsia="zh-CN"/>
        </w:rPr>
      </w:pPr>
    </w:p>
    <w:p>
      <w:pPr>
        <w:spacing w:line="360" w:lineRule="auto"/>
        <w:jc w:val="center"/>
        <w:rPr>
          <w:rFonts w:ascii="Times New Roman" w:hAnsi="Times New Roman" w:eastAsia="楷体" w:cs="Times New Roman"/>
          <w:color w:val="000000"/>
          <w:sz w:val="15"/>
          <w:szCs w:val="15"/>
          <w:lang w:eastAsia="zh-CN"/>
        </w:rPr>
      </w:pPr>
      <w:r>
        <w:rPr>
          <w:rFonts w:hint="eastAsia" w:ascii="Times New Roman" w:hAnsi="Times New Roman" w:eastAsia="楷体" w:cs="Times New Roman"/>
          <w:color w:val="000000"/>
          <w:spacing w:val="2"/>
          <w:sz w:val="32"/>
          <w:szCs w:val="32"/>
          <w:lang w:eastAsia="zh-CN"/>
        </w:rPr>
        <w:t>《工业废水高氯酸盐污染物排放标准》</w:t>
      </w:r>
      <w:r>
        <w:rPr>
          <w:rFonts w:ascii="Times New Roman" w:hAnsi="Times New Roman" w:eastAsia="楷体" w:cs="Times New Roman"/>
          <w:color w:val="000000"/>
          <w:spacing w:val="2"/>
          <w:sz w:val="32"/>
          <w:szCs w:val="32"/>
          <w:lang w:eastAsia="zh-CN"/>
        </w:rPr>
        <w:t>编制</w:t>
      </w:r>
      <w:r>
        <w:rPr>
          <w:rFonts w:ascii="Times New Roman" w:hAnsi="Times New Roman" w:eastAsia="楷体" w:cs="Times New Roman"/>
          <w:color w:val="000000"/>
          <w:sz w:val="32"/>
          <w:szCs w:val="32"/>
          <w:lang w:eastAsia="zh-CN"/>
        </w:rPr>
        <w:t>组</w:t>
      </w:r>
    </w:p>
    <w:p>
      <w:pPr>
        <w:spacing w:line="360" w:lineRule="auto"/>
        <w:jc w:val="center"/>
        <w:rPr>
          <w:rFonts w:ascii="Times New Roman" w:hAnsi="Times New Roman" w:eastAsia="楷体" w:cs="Times New Roman"/>
          <w:color w:val="000000"/>
          <w:sz w:val="32"/>
          <w:szCs w:val="32"/>
          <w:lang w:eastAsia="zh-CN"/>
        </w:rPr>
      </w:pPr>
      <w:r>
        <w:rPr>
          <w:rFonts w:ascii="Times New Roman" w:hAnsi="Times New Roman" w:eastAsia="楷体" w:cs="Times New Roman"/>
          <w:color w:val="000000"/>
          <w:spacing w:val="1"/>
          <w:sz w:val="32"/>
          <w:szCs w:val="32"/>
          <w:lang w:eastAsia="zh-CN"/>
        </w:rPr>
        <w:t>20</w:t>
      </w:r>
      <w:r>
        <w:rPr>
          <w:rFonts w:ascii="Times New Roman" w:hAnsi="Times New Roman" w:eastAsia="楷体" w:cs="Times New Roman"/>
          <w:color w:val="000000"/>
          <w:spacing w:val="-2"/>
          <w:sz w:val="32"/>
          <w:szCs w:val="32"/>
          <w:lang w:eastAsia="zh-CN"/>
        </w:rPr>
        <w:t>2</w:t>
      </w:r>
      <w:r>
        <w:rPr>
          <w:rFonts w:ascii="Times New Roman" w:hAnsi="Times New Roman" w:eastAsia="楷体" w:cs="Times New Roman"/>
          <w:color w:val="000000"/>
          <w:sz w:val="32"/>
          <w:szCs w:val="32"/>
          <w:lang w:eastAsia="zh-CN"/>
        </w:rPr>
        <w:t>3</w:t>
      </w:r>
      <w:r>
        <w:rPr>
          <w:rFonts w:ascii="Times New Roman" w:hAnsi="Times New Roman" w:eastAsia="楷体" w:cs="Times New Roman"/>
          <w:color w:val="000000"/>
          <w:spacing w:val="-5"/>
          <w:sz w:val="32"/>
          <w:szCs w:val="32"/>
          <w:lang w:eastAsia="zh-CN"/>
        </w:rPr>
        <w:t xml:space="preserve"> </w:t>
      </w:r>
      <w:r>
        <w:rPr>
          <w:rFonts w:ascii="Times New Roman" w:hAnsi="Times New Roman" w:eastAsia="楷体" w:cs="Times New Roman"/>
          <w:color w:val="000000"/>
          <w:sz w:val="32"/>
          <w:szCs w:val="32"/>
          <w:lang w:eastAsia="zh-CN"/>
        </w:rPr>
        <w:t>年</w:t>
      </w:r>
      <w:r>
        <w:rPr>
          <w:rFonts w:hint="eastAsia" w:ascii="Times New Roman" w:hAnsi="Times New Roman" w:eastAsia="楷体" w:cs="Times New Roman"/>
          <w:color w:val="000000"/>
          <w:sz w:val="32"/>
          <w:szCs w:val="32"/>
          <w:lang w:val="en-US" w:eastAsia="zh-CN"/>
        </w:rPr>
        <w:t>8</w:t>
      </w:r>
      <w:r>
        <w:rPr>
          <w:rFonts w:ascii="Times New Roman" w:hAnsi="Times New Roman" w:eastAsia="楷体" w:cs="Times New Roman"/>
          <w:color w:val="000000"/>
          <w:sz w:val="32"/>
          <w:szCs w:val="32"/>
          <w:lang w:eastAsia="zh-CN"/>
        </w:rPr>
        <w:t>月</w:t>
      </w:r>
    </w:p>
    <w:p>
      <w:pPr>
        <w:spacing w:line="360" w:lineRule="auto"/>
        <w:jc w:val="center"/>
        <w:rPr>
          <w:rFonts w:ascii="Times New Roman" w:hAnsi="Times New Roman" w:eastAsia="仿宋" w:cs="Times New Roman"/>
          <w:color w:val="000000"/>
          <w:sz w:val="32"/>
          <w:szCs w:val="32"/>
          <w:lang w:eastAsia="zh-CN"/>
        </w:rPr>
        <w:sectPr>
          <w:type w:val="continuous"/>
          <w:pgSz w:w="11906" w:h="16840"/>
          <w:pgMar w:top="1560" w:right="1680" w:bottom="280" w:left="1680" w:header="720" w:footer="720" w:gutter="0"/>
          <w:cols w:space="720" w:num="1"/>
        </w:sectPr>
      </w:pPr>
    </w:p>
    <w:p>
      <w:pPr>
        <w:tabs>
          <w:tab w:val="left" w:pos="880"/>
        </w:tabs>
        <w:spacing w:line="360" w:lineRule="auto"/>
        <w:jc w:val="center"/>
        <w:rPr>
          <w:rFonts w:ascii="Times New Roman" w:hAnsi="Times New Roman" w:eastAsia="仿宋" w:cs="Times New Roman"/>
          <w:color w:val="000000"/>
          <w:sz w:val="36"/>
          <w:szCs w:val="36"/>
          <w:lang w:eastAsia="zh-CN"/>
        </w:rPr>
      </w:pPr>
      <w:bookmarkStart w:id="38" w:name="1项目背景"/>
      <w:bookmarkEnd w:id="38"/>
      <w:bookmarkStart w:id="39" w:name="_bookmark0"/>
      <w:bookmarkEnd w:id="39"/>
      <w:r>
        <w:rPr>
          <w:rFonts w:ascii="Times New Roman" w:hAnsi="Times New Roman" w:eastAsia="仿宋" w:cs="Times New Roman"/>
          <w:color w:val="000000"/>
          <w:sz w:val="40"/>
          <w:szCs w:val="40"/>
          <w:lang w:eastAsia="zh-CN"/>
        </w:rPr>
        <w:t>目  录</w:t>
      </w:r>
    </w:p>
    <w:p>
      <w:pPr>
        <w:pStyle w:val="12"/>
        <w:tabs>
          <w:tab w:val="right" w:leader="dot" w:pos="8786"/>
        </w:tabs>
        <w:spacing w:line="360" w:lineRule="auto"/>
        <w:rPr>
          <w:rFonts w:ascii="Times New Roman" w:hAnsi="Times New Roman" w:eastAsia="仿宋" w:cs="Times New Roman"/>
          <w:sz w:val="28"/>
          <w:szCs w:val="28"/>
        </w:rPr>
      </w:pPr>
      <w:r>
        <w:rPr>
          <w:rFonts w:ascii="Times New Roman" w:hAnsi="Times New Roman" w:eastAsia="仿宋" w:cs="Times New Roman"/>
          <w:color w:val="000000"/>
          <w:sz w:val="28"/>
          <w:szCs w:val="28"/>
        </w:rPr>
        <w:fldChar w:fldCharType="begin"/>
      </w:r>
      <w:r>
        <w:rPr>
          <w:rFonts w:ascii="Times New Roman" w:hAnsi="Times New Roman" w:eastAsia="仿宋" w:cs="Times New Roman"/>
          <w:color w:val="000000"/>
          <w:sz w:val="28"/>
          <w:szCs w:val="28"/>
        </w:rPr>
        <w:instrText xml:space="preserve">TOC \o "1-2" \h \u </w:instrText>
      </w:r>
      <w:r>
        <w:rPr>
          <w:rFonts w:ascii="Times New Roman" w:hAnsi="Times New Roman" w:eastAsia="仿宋" w:cs="Times New Roman"/>
          <w:color w:val="000000"/>
          <w:sz w:val="28"/>
          <w:szCs w:val="28"/>
        </w:rPr>
        <w:fldChar w:fldCharType="separate"/>
      </w:r>
      <w:r>
        <w:fldChar w:fldCharType="begin"/>
      </w:r>
      <w:r>
        <w:instrText xml:space="preserve"> HYPERLINK \l "_Toc16281" </w:instrText>
      </w:r>
      <w:r>
        <w:fldChar w:fldCharType="separate"/>
      </w:r>
      <w:r>
        <w:rPr>
          <w:rFonts w:ascii="Times New Roman" w:hAnsi="Times New Roman" w:eastAsia="仿宋" w:cs="Times New Roman"/>
          <w:bCs/>
          <w:sz w:val="28"/>
          <w:szCs w:val="28"/>
          <w:lang w:eastAsia="zh-CN"/>
        </w:rPr>
        <w:t>1 项目背景</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_Toc16281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1</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"_Toc976" </w:instrText>
      </w:r>
      <w:r>
        <w:fldChar w:fldCharType="separate"/>
      </w:r>
      <w:r>
        <w:rPr>
          <w:rFonts w:ascii="Times New Roman" w:hAnsi="Times New Roman" w:eastAsia="仿宋" w:cs="Times New Roman"/>
          <w:bCs/>
          <w:sz w:val="28"/>
          <w:szCs w:val="28"/>
          <w:lang w:eastAsia="zh-CN"/>
        </w:rPr>
        <w:t>1.1 任</w:t>
      </w:r>
      <w:r>
        <w:rPr>
          <w:rFonts w:ascii="Times New Roman" w:hAnsi="Times New Roman" w:eastAsia="仿宋" w:cs="Times New Roman"/>
          <w:bCs/>
          <w:spacing w:val="2"/>
          <w:sz w:val="28"/>
          <w:szCs w:val="28"/>
          <w:lang w:eastAsia="zh-CN"/>
        </w:rPr>
        <w:t>务</w:t>
      </w:r>
      <w:r>
        <w:rPr>
          <w:rFonts w:ascii="Times New Roman" w:hAnsi="Times New Roman" w:eastAsia="仿宋" w:cs="Times New Roman"/>
          <w:bCs/>
          <w:sz w:val="28"/>
          <w:szCs w:val="28"/>
          <w:lang w:eastAsia="zh-CN"/>
        </w:rPr>
        <w:t>来源</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_Toc976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1</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"_Toc28566" </w:instrText>
      </w:r>
      <w:r>
        <w:fldChar w:fldCharType="separate"/>
      </w:r>
      <w:r>
        <w:rPr>
          <w:rFonts w:ascii="Times New Roman" w:hAnsi="Times New Roman" w:eastAsia="仿宋" w:cs="Times New Roman"/>
          <w:bCs/>
          <w:sz w:val="28"/>
          <w:szCs w:val="28"/>
          <w:lang w:eastAsia="zh-CN"/>
        </w:rPr>
        <w:t>1.2 工作过程</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_Toc28566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1</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2"/>
        <w:tabs>
          <w:tab w:val="right" w:leader="dot" w:pos="8786"/>
        </w:tabs>
        <w:spacing w:line="360" w:lineRule="auto"/>
        <w:rPr>
          <w:rFonts w:ascii="Times New Roman" w:hAnsi="Times New Roman" w:eastAsia="仿宋" w:cs="Times New Roman"/>
          <w:sz w:val="28"/>
          <w:szCs w:val="28"/>
        </w:rPr>
      </w:pPr>
      <w:r>
        <w:fldChar w:fldCharType="begin"/>
      </w:r>
      <w:r>
        <w:instrText xml:space="preserve"> HYPERLINK \l "_Toc7670" </w:instrText>
      </w:r>
      <w:r>
        <w:fldChar w:fldCharType="separate"/>
      </w:r>
      <w:r>
        <w:rPr>
          <w:rFonts w:ascii="Times New Roman" w:hAnsi="Times New Roman" w:eastAsia="仿宋" w:cs="Times New Roman"/>
          <w:bCs/>
          <w:sz w:val="28"/>
          <w:szCs w:val="28"/>
          <w:lang w:eastAsia="zh-CN"/>
        </w:rPr>
        <w:t>2 标准制定必要性分析</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_Toc7670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4</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"_Toc11502" </w:instrText>
      </w:r>
      <w:r>
        <w:fldChar w:fldCharType="separate"/>
      </w:r>
      <w:r>
        <w:rPr>
          <w:rFonts w:ascii="Times New Roman" w:hAnsi="Times New Roman" w:eastAsia="仿宋" w:cs="Times New Roman"/>
          <w:bCs/>
          <w:sz w:val="28"/>
          <w:szCs w:val="28"/>
          <w:lang w:eastAsia="zh-CN"/>
        </w:rPr>
        <w:t>2.1 防范高氯酸盐环境污染，保障居民饮水安全</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_Toc11502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4</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"_Toc9257" </w:instrText>
      </w:r>
      <w:r>
        <w:fldChar w:fldCharType="separate"/>
      </w:r>
      <w:r>
        <w:rPr>
          <w:rFonts w:ascii="Times New Roman" w:hAnsi="Times New Roman" w:eastAsia="仿宋" w:cs="Times New Roman"/>
          <w:bCs/>
          <w:sz w:val="28"/>
          <w:szCs w:val="28"/>
          <w:lang w:eastAsia="zh-CN"/>
        </w:rPr>
        <w:t>2.2 加强企业废水排放监管，推动涉高氯酸盐行业绿色发展</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_Toc9257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4</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2"/>
        <w:tabs>
          <w:tab w:val="right" w:leader="dot" w:pos="8786"/>
        </w:tabs>
        <w:spacing w:line="360" w:lineRule="auto"/>
        <w:rPr>
          <w:rFonts w:ascii="Times New Roman" w:hAnsi="Times New Roman" w:eastAsia="仿宋" w:cs="Times New Roman"/>
          <w:sz w:val="28"/>
          <w:szCs w:val="28"/>
        </w:rPr>
      </w:pPr>
      <w:r>
        <w:fldChar w:fldCharType="begin"/>
      </w:r>
      <w:r>
        <w:instrText xml:space="preserve"> HYPERLINK \l "_Toc15042" </w:instrText>
      </w:r>
      <w:r>
        <w:fldChar w:fldCharType="separate"/>
      </w:r>
      <w:r>
        <w:rPr>
          <w:rFonts w:ascii="Times New Roman" w:hAnsi="Times New Roman" w:eastAsia="仿宋" w:cs="Times New Roman"/>
          <w:bCs/>
          <w:sz w:val="28"/>
          <w:szCs w:val="28"/>
          <w:lang w:eastAsia="zh-CN"/>
        </w:rPr>
        <w:t>3 国内外相关标准情况</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_Toc15042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5</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"_Toc2061" </w:instrText>
      </w:r>
      <w:r>
        <w:fldChar w:fldCharType="separate"/>
      </w:r>
      <w:r>
        <w:rPr>
          <w:rFonts w:ascii="Times New Roman" w:hAnsi="Times New Roman" w:eastAsia="仿宋" w:cs="Times New Roman"/>
          <w:bCs/>
          <w:sz w:val="28"/>
          <w:szCs w:val="28"/>
          <w:lang w:eastAsia="zh-CN"/>
        </w:rPr>
        <w:t>3.1 国外涉高氯酸盐标准</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_Toc2061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5</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"_Toc6938" </w:instrText>
      </w:r>
      <w:r>
        <w:fldChar w:fldCharType="separate"/>
      </w:r>
      <w:r>
        <w:rPr>
          <w:rFonts w:ascii="Times New Roman" w:hAnsi="Times New Roman" w:eastAsia="仿宋" w:cs="Times New Roman"/>
          <w:bCs/>
          <w:sz w:val="28"/>
          <w:szCs w:val="28"/>
          <w:lang w:eastAsia="zh-CN"/>
        </w:rPr>
        <w:t>3.2 国内涉高氯酸盐标准</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_Toc6938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5</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2"/>
        <w:tabs>
          <w:tab w:val="right" w:leader="dot" w:pos="8786"/>
        </w:tabs>
        <w:spacing w:line="360" w:lineRule="auto"/>
        <w:rPr>
          <w:rFonts w:ascii="Times New Roman" w:hAnsi="Times New Roman" w:eastAsia="仿宋" w:cs="Times New Roman"/>
          <w:sz w:val="28"/>
          <w:szCs w:val="28"/>
        </w:rPr>
      </w:pPr>
      <w:r>
        <w:fldChar w:fldCharType="begin"/>
      </w:r>
      <w:r>
        <w:instrText xml:space="preserve"> HYPERLINK \l "_Toc9880" </w:instrText>
      </w:r>
      <w:r>
        <w:fldChar w:fldCharType="separate"/>
      </w:r>
      <w:r>
        <w:rPr>
          <w:rFonts w:ascii="Times New Roman" w:hAnsi="Times New Roman" w:eastAsia="仿宋" w:cs="Times New Roman"/>
          <w:bCs/>
          <w:sz w:val="28"/>
          <w:szCs w:val="28"/>
          <w:lang w:eastAsia="zh-CN"/>
        </w:rPr>
        <w:t>4 涉高氯酸盐行业产排污分析</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_Toc9880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7</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"_Toc21985" </w:instrText>
      </w:r>
      <w:r>
        <w:fldChar w:fldCharType="separate"/>
      </w:r>
      <w:r>
        <w:rPr>
          <w:rFonts w:ascii="Times New Roman" w:hAnsi="Times New Roman" w:eastAsia="仿宋" w:cs="Times New Roman"/>
          <w:bCs/>
          <w:sz w:val="28"/>
          <w:szCs w:val="28"/>
          <w:lang w:eastAsia="zh-CN"/>
        </w:rPr>
        <w:t>4.1  高氯酸盐生产企业产排污分析</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_Toc21985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7</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"_Toc13228" </w:instrText>
      </w:r>
      <w:r>
        <w:fldChar w:fldCharType="separate"/>
      </w:r>
      <w:r>
        <w:rPr>
          <w:rFonts w:ascii="Times New Roman" w:hAnsi="Times New Roman" w:eastAsia="仿宋" w:cs="Times New Roman"/>
          <w:bCs/>
          <w:sz w:val="28"/>
          <w:szCs w:val="28"/>
          <w:lang w:eastAsia="zh-CN"/>
        </w:rPr>
        <w:t>4.2  烟花爆竹企业（高氯酸盐使用企业）产排污分析</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_Toc13228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10</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"_Toc29833" </w:instrText>
      </w:r>
      <w:r>
        <w:fldChar w:fldCharType="separate"/>
      </w:r>
      <w:r>
        <w:rPr>
          <w:rFonts w:ascii="Times New Roman" w:hAnsi="Times New Roman" w:eastAsia="仿宋" w:cs="Times New Roman"/>
          <w:bCs/>
          <w:sz w:val="28"/>
          <w:szCs w:val="28"/>
          <w:lang w:eastAsia="zh-CN"/>
        </w:rPr>
        <w:t>4.3  其他使用企业情况</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_Toc29833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13</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"_Toc2980" </w:instrText>
      </w:r>
      <w:r>
        <w:fldChar w:fldCharType="separate"/>
      </w:r>
      <w:r>
        <w:rPr>
          <w:rFonts w:ascii="Times New Roman" w:hAnsi="Times New Roman" w:eastAsia="仿宋" w:cs="Times New Roman"/>
          <w:bCs/>
          <w:sz w:val="28"/>
          <w:szCs w:val="28"/>
          <w:lang w:eastAsia="zh-CN"/>
        </w:rPr>
        <w:t>4.</w:t>
      </w:r>
      <w:r>
        <w:rPr>
          <w:rFonts w:hint="eastAsia" w:ascii="Times New Roman" w:hAnsi="Times New Roman" w:eastAsia="仿宋" w:cs="Times New Roman"/>
          <w:bCs/>
          <w:sz w:val="28"/>
          <w:szCs w:val="28"/>
          <w:lang w:eastAsia="zh-CN"/>
        </w:rPr>
        <w:t>4</w:t>
      </w:r>
      <w:r>
        <w:rPr>
          <w:rFonts w:ascii="Times New Roman" w:hAnsi="Times New Roman" w:eastAsia="仿宋" w:cs="Times New Roman"/>
          <w:bCs/>
          <w:sz w:val="28"/>
          <w:szCs w:val="28"/>
          <w:lang w:eastAsia="zh-CN"/>
        </w:rPr>
        <w:t xml:space="preserve">  国内外高氯酸盐废水处理技术进展</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_Toc2980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13</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2"/>
        <w:tabs>
          <w:tab w:val="right" w:leader="dot" w:pos="8786"/>
        </w:tabs>
        <w:spacing w:line="360" w:lineRule="auto"/>
        <w:rPr>
          <w:rFonts w:ascii="Times New Roman" w:hAnsi="Times New Roman" w:eastAsia="仿宋" w:cs="Times New Roman"/>
          <w:sz w:val="28"/>
          <w:szCs w:val="28"/>
        </w:rPr>
      </w:pPr>
      <w:r>
        <w:fldChar w:fldCharType="begin"/>
      </w:r>
      <w:r>
        <w:instrText xml:space="preserve"> HYPERLINK \l "_Toc16366" </w:instrText>
      </w:r>
      <w:r>
        <w:fldChar w:fldCharType="separate"/>
      </w:r>
      <w:r>
        <w:rPr>
          <w:rFonts w:ascii="Times New Roman" w:hAnsi="Times New Roman" w:eastAsia="仿宋" w:cs="Times New Roman"/>
          <w:bCs/>
          <w:sz w:val="28"/>
          <w:szCs w:val="28"/>
          <w:lang w:eastAsia="zh-CN"/>
        </w:rPr>
        <w:t>5 标准制订的基本原则和技术路线</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_Toc16366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18</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"_Toc25137" </w:instrText>
      </w:r>
      <w:r>
        <w:fldChar w:fldCharType="separate"/>
      </w:r>
      <w:r>
        <w:rPr>
          <w:rFonts w:ascii="Times New Roman" w:hAnsi="Times New Roman" w:eastAsia="仿宋" w:cs="Times New Roman"/>
          <w:bCs/>
          <w:sz w:val="28"/>
          <w:szCs w:val="28"/>
          <w:lang w:eastAsia="zh-CN"/>
        </w:rPr>
        <w:t>5.1 基本原则</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_Toc25137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18</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"_Toc31283" </w:instrText>
      </w:r>
      <w:r>
        <w:fldChar w:fldCharType="separate"/>
      </w:r>
      <w:r>
        <w:rPr>
          <w:rFonts w:ascii="Times New Roman" w:hAnsi="Times New Roman" w:eastAsia="仿宋" w:cs="Times New Roman"/>
          <w:bCs/>
          <w:sz w:val="28"/>
          <w:szCs w:val="28"/>
          <w:lang w:eastAsia="zh-CN"/>
        </w:rPr>
        <w:t>5.2 技术路线</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_Toc31283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18</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2"/>
        <w:tabs>
          <w:tab w:val="right" w:leader="dot" w:pos="8786"/>
        </w:tabs>
        <w:spacing w:line="360" w:lineRule="auto"/>
        <w:rPr>
          <w:rFonts w:ascii="Times New Roman" w:hAnsi="Times New Roman" w:eastAsia="仿宋" w:cs="Times New Roman"/>
          <w:sz w:val="28"/>
          <w:szCs w:val="28"/>
        </w:rPr>
      </w:pPr>
      <w:r>
        <w:fldChar w:fldCharType="begin"/>
      </w:r>
      <w:r>
        <w:instrText xml:space="preserve"> HYPERLINK \l "_Toc16699" </w:instrText>
      </w:r>
      <w:r>
        <w:fldChar w:fldCharType="separate"/>
      </w:r>
      <w:r>
        <w:rPr>
          <w:rFonts w:ascii="Times New Roman" w:hAnsi="Times New Roman" w:eastAsia="仿宋" w:cs="Times New Roman"/>
          <w:bCs/>
          <w:sz w:val="28"/>
          <w:szCs w:val="28"/>
          <w:lang w:eastAsia="zh-CN"/>
        </w:rPr>
        <w:t>6 标准主要技术内容</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_Toc16699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20</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"_Toc23727" </w:instrText>
      </w:r>
      <w:r>
        <w:fldChar w:fldCharType="separate"/>
      </w:r>
      <w:r>
        <w:rPr>
          <w:rFonts w:ascii="Times New Roman" w:hAnsi="Times New Roman" w:eastAsia="仿宋" w:cs="Times New Roman"/>
          <w:bCs/>
          <w:sz w:val="28"/>
          <w:szCs w:val="28"/>
          <w:lang w:eastAsia="zh-CN"/>
        </w:rPr>
        <w:t>6.1 标准适用范围</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_Toc23727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20</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"_Toc8092" </w:instrText>
      </w:r>
      <w:r>
        <w:fldChar w:fldCharType="separate"/>
      </w:r>
      <w:r>
        <w:rPr>
          <w:rFonts w:ascii="Times New Roman" w:hAnsi="Times New Roman" w:eastAsia="仿宋" w:cs="Times New Roman"/>
          <w:bCs/>
          <w:sz w:val="28"/>
          <w:szCs w:val="28"/>
          <w:lang w:eastAsia="zh-CN"/>
        </w:rPr>
        <w:t>6.2 规范性引用文件</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_Toc8092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20</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"_Toc8744" </w:instrText>
      </w:r>
      <w:r>
        <w:fldChar w:fldCharType="separate"/>
      </w:r>
      <w:r>
        <w:rPr>
          <w:rFonts w:ascii="Times New Roman" w:hAnsi="Times New Roman" w:eastAsia="仿宋" w:cs="Times New Roman"/>
          <w:bCs/>
          <w:sz w:val="28"/>
          <w:szCs w:val="28"/>
          <w:lang w:eastAsia="zh-CN"/>
        </w:rPr>
        <w:t>6.3 术语和定义</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_Toc8744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21</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"_Toc22262" </w:instrText>
      </w:r>
      <w:r>
        <w:fldChar w:fldCharType="separate"/>
      </w:r>
      <w:r>
        <w:rPr>
          <w:rFonts w:ascii="Times New Roman" w:hAnsi="Times New Roman" w:eastAsia="仿宋" w:cs="Times New Roman"/>
          <w:bCs/>
          <w:sz w:val="28"/>
          <w:szCs w:val="28"/>
          <w:lang w:eastAsia="zh-CN"/>
        </w:rPr>
        <w:t>6.4 标准排放限值的测算</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_Toc22262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22</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"_Toc26599" </w:instrText>
      </w:r>
      <w:r>
        <w:fldChar w:fldCharType="separate"/>
      </w:r>
      <w:r>
        <w:rPr>
          <w:rFonts w:ascii="Times New Roman" w:hAnsi="Times New Roman" w:eastAsia="仿宋" w:cs="Times New Roman"/>
          <w:bCs/>
          <w:sz w:val="28"/>
          <w:szCs w:val="28"/>
          <w:lang w:eastAsia="zh-CN"/>
        </w:rPr>
        <w:t>6.5 标准排放限值的确定</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_Toc26599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24</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"_Toc14578" </w:instrText>
      </w:r>
      <w:r>
        <w:fldChar w:fldCharType="separate"/>
      </w:r>
      <w:r>
        <w:rPr>
          <w:rFonts w:ascii="Times New Roman" w:hAnsi="Times New Roman" w:eastAsia="仿宋" w:cs="Times New Roman"/>
          <w:bCs/>
          <w:sz w:val="28"/>
          <w:szCs w:val="28"/>
          <w:lang w:eastAsia="zh-CN"/>
        </w:rPr>
        <w:t>6.6 单位产品基准排水量确定</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_Toc14578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25</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"_Toc17516" </w:instrText>
      </w:r>
      <w:r>
        <w:fldChar w:fldCharType="separate"/>
      </w:r>
      <w:r>
        <w:rPr>
          <w:rFonts w:ascii="Times New Roman" w:hAnsi="Times New Roman" w:eastAsia="仿宋" w:cs="Times New Roman"/>
          <w:bCs/>
          <w:sz w:val="28"/>
          <w:szCs w:val="28"/>
          <w:lang w:eastAsia="zh-CN"/>
        </w:rPr>
        <w:t>6.7 污染物监测要求</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_Toc17516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26</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"_Toc18335" </w:instrText>
      </w:r>
      <w:r>
        <w:fldChar w:fldCharType="separate"/>
      </w:r>
      <w:r>
        <w:rPr>
          <w:rFonts w:ascii="Times New Roman" w:hAnsi="Times New Roman" w:eastAsia="仿宋" w:cs="Times New Roman"/>
          <w:bCs/>
          <w:sz w:val="28"/>
          <w:szCs w:val="28"/>
          <w:lang w:eastAsia="zh-CN"/>
        </w:rPr>
        <w:t>6.8 监测方法</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_Toc18335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26</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"_Toc10446" </w:instrText>
      </w:r>
      <w:r>
        <w:fldChar w:fldCharType="separate"/>
      </w:r>
      <w:r>
        <w:rPr>
          <w:rFonts w:ascii="Times New Roman" w:hAnsi="Times New Roman" w:eastAsia="仿宋" w:cs="Times New Roman"/>
          <w:bCs/>
          <w:sz w:val="28"/>
          <w:szCs w:val="28"/>
          <w:lang w:eastAsia="zh-CN"/>
        </w:rPr>
        <w:t>6.9 污水排放口规范化要求</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_Toc10446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27</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"_Toc29151" </w:instrText>
      </w:r>
      <w:r>
        <w:fldChar w:fldCharType="separate"/>
      </w:r>
      <w:r>
        <w:rPr>
          <w:rFonts w:ascii="Times New Roman" w:hAnsi="Times New Roman" w:eastAsia="仿宋" w:cs="Times New Roman"/>
          <w:bCs/>
          <w:sz w:val="28"/>
          <w:szCs w:val="28"/>
          <w:lang w:eastAsia="zh-CN"/>
        </w:rPr>
        <w:t>6.10 实施与监督</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_Toc29151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27</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2"/>
        <w:tabs>
          <w:tab w:val="right" w:leader="dot" w:pos="8786"/>
        </w:tabs>
        <w:spacing w:line="360" w:lineRule="auto"/>
        <w:rPr>
          <w:rFonts w:ascii="Times New Roman" w:hAnsi="Times New Roman" w:eastAsia="仿宋" w:cs="Times New Roman"/>
          <w:sz w:val="28"/>
          <w:szCs w:val="28"/>
        </w:rPr>
      </w:pPr>
      <w:r>
        <w:fldChar w:fldCharType="begin"/>
      </w:r>
      <w:r>
        <w:instrText xml:space="preserve"> HYPERLINK \l "_Toc2566" </w:instrText>
      </w:r>
      <w:r>
        <w:fldChar w:fldCharType="separate"/>
      </w:r>
      <w:r>
        <w:rPr>
          <w:rFonts w:ascii="Times New Roman" w:hAnsi="Times New Roman" w:eastAsia="仿宋" w:cs="Times New Roman"/>
          <w:bCs/>
          <w:sz w:val="28"/>
          <w:szCs w:val="28"/>
          <w:lang w:eastAsia="zh-CN"/>
        </w:rPr>
        <w:t>7  标准技术可达性分析</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_Toc2566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29</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"_Toc31729" </w:instrText>
      </w:r>
      <w:r>
        <w:fldChar w:fldCharType="separate"/>
      </w:r>
      <w:r>
        <w:rPr>
          <w:rFonts w:ascii="Times New Roman" w:hAnsi="Times New Roman" w:eastAsia="仿宋" w:cs="Times New Roman"/>
          <w:bCs/>
          <w:sz w:val="28"/>
          <w:szCs w:val="28"/>
          <w:lang w:eastAsia="zh-CN"/>
        </w:rPr>
        <w:t xml:space="preserve">7.1 </w:t>
      </w:r>
      <w:r>
        <w:rPr>
          <w:rFonts w:ascii="Times New Roman" w:hAnsi="Times New Roman" w:eastAsia="仿宋" w:cs="Times New Roman"/>
          <w:sz w:val="28"/>
          <w:szCs w:val="28"/>
          <w:lang w:eastAsia="zh-CN"/>
        </w:rPr>
        <w:t>高效吸附处理技术</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_Toc31729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29</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"_Toc31166" </w:instrText>
      </w:r>
      <w:r>
        <w:fldChar w:fldCharType="separate"/>
      </w:r>
      <w:r>
        <w:rPr>
          <w:rFonts w:ascii="Times New Roman" w:hAnsi="Times New Roman" w:eastAsia="仿宋" w:cs="Times New Roman"/>
          <w:bCs/>
          <w:sz w:val="28"/>
          <w:szCs w:val="28"/>
          <w:lang w:eastAsia="zh-CN"/>
        </w:rPr>
        <w:t xml:space="preserve">7.2 </w:t>
      </w:r>
      <w:r>
        <w:rPr>
          <w:rFonts w:ascii="Times New Roman" w:hAnsi="Times New Roman" w:eastAsia="仿宋" w:cs="Times New Roman"/>
          <w:sz w:val="28"/>
          <w:szCs w:val="28"/>
          <w:lang w:eastAsia="zh-CN"/>
        </w:rPr>
        <w:t>化学还原工艺技术</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_Toc31166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30</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"_Toc15774" </w:instrText>
      </w:r>
      <w:r>
        <w:fldChar w:fldCharType="separate"/>
      </w:r>
      <w:r>
        <w:rPr>
          <w:rFonts w:ascii="Times New Roman" w:hAnsi="Times New Roman" w:eastAsia="仿宋" w:cs="Times New Roman"/>
          <w:sz w:val="28"/>
          <w:szCs w:val="28"/>
          <w:lang w:eastAsia="zh-CN"/>
        </w:rPr>
        <w:t>7.3 微生物还原工艺技术</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_Toc15774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31</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2"/>
        <w:tabs>
          <w:tab w:val="right" w:leader="dot" w:pos="8786"/>
        </w:tabs>
        <w:spacing w:line="360" w:lineRule="auto"/>
        <w:rPr>
          <w:rFonts w:ascii="Times New Roman" w:hAnsi="Times New Roman" w:eastAsia="仿宋" w:cs="Times New Roman"/>
          <w:sz w:val="28"/>
          <w:szCs w:val="28"/>
        </w:rPr>
      </w:pPr>
      <w:r>
        <w:fldChar w:fldCharType="begin"/>
      </w:r>
      <w:r>
        <w:instrText xml:space="preserve"> HYPERLINK \l "_Toc21076" </w:instrText>
      </w:r>
      <w:r>
        <w:fldChar w:fldCharType="separate"/>
      </w:r>
      <w:r>
        <w:rPr>
          <w:rFonts w:ascii="Times New Roman" w:hAnsi="Times New Roman" w:eastAsia="仿宋" w:cs="Times New Roman"/>
          <w:bCs/>
          <w:sz w:val="28"/>
          <w:szCs w:val="28"/>
          <w:lang w:eastAsia="zh-CN"/>
        </w:rPr>
        <w:t>8 标准实施的环境、社会效益分析</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_Toc21076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32</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"_Toc27294" </w:instrText>
      </w:r>
      <w:r>
        <w:fldChar w:fldCharType="separate"/>
      </w:r>
      <w:r>
        <w:rPr>
          <w:rFonts w:ascii="Times New Roman" w:hAnsi="Times New Roman" w:eastAsia="仿宋" w:cs="Times New Roman"/>
          <w:bCs/>
          <w:sz w:val="28"/>
          <w:szCs w:val="28"/>
          <w:lang w:eastAsia="zh-CN"/>
        </w:rPr>
        <w:t>8.1 环境效益分析</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_Toc27294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32</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3"/>
        <w:tabs>
          <w:tab w:val="right" w:leader="dot" w:pos="8786"/>
        </w:tabs>
        <w:spacing w:line="360" w:lineRule="auto"/>
        <w:ind w:left="440"/>
        <w:rPr>
          <w:rFonts w:ascii="Times New Roman" w:hAnsi="Times New Roman" w:eastAsia="仿宋" w:cs="Times New Roman"/>
          <w:sz w:val="28"/>
          <w:szCs w:val="28"/>
        </w:rPr>
      </w:pPr>
      <w:r>
        <w:fldChar w:fldCharType="begin"/>
      </w:r>
      <w:r>
        <w:instrText xml:space="preserve"> HYPERLINK \l "_Toc30767" </w:instrText>
      </w:r>
      <w:r>
        <w:fldChar w:fldCharType="separate"/>
      </w:r>
      <w:r>
        <w:rPr>
          <w:rFonts w:ascii="Times New Roman" w:hAnsi="Times New Roman" w:eastAsia="仿宋" w:cs="Times New Roman"/>
          <w:bCs/>
          <w:sz w:val="28"/>
          <w:szCs w:val="28"/>
          <w:lang w:eastAsia="zh-CN"/>
        </w:rPr>
        <w:t>8.2 社会效益分析</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_Toc30767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32</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pStyle w:val="12"/>
        <w:tabs>
          <w:tab w:val="right" w:leader="dot" w:pos="8786"/>
        </w:tabs>
        <w:spacing w:line="360" w:lineRule="auto"/>
        <w:rPr>
          <w:rFonts w:ascii="Times New Roman" w:hAnsi="Times New Roman" w:eastAsia="仿宋" w:cs="Times New Roman"/>
          <w:sz w:val="28"/>
          <w:szCs w:val="28"/>
        </w:rPr>
      </w:pPr>
      <w:r>
        <w:fldChar w:fldCharType="begin"/>
      </w:r>
      <w:r>
        <w:instrText xml:space="preserve"> HYPERLINK \l "_Toc32542" </w:instrText>
      </w:r>
      <w:r>
        <w:fldChar w:fldCharType="separate"/>
      </w:r>
      <w:r>
        <w:rPr>
          <w:rFonts w:ascii="Times New Roman" w:hAnsi="Times New Roman" w:eastAsia="仿宋" w:cs="Times New Roman"/>
          <w:bCs/>
          <w:sz w:val="28"/>
          <w:szCs w:val="28"/>
          <w:lang w:eastAsia="zh-CN"/>
        </w:rPr>
        <w:t>9  标准实施建议</w:t>
      </w:r>
      <w:r>
        <w:rPr>
          <w:rFonts w:ascii="Times New Roman" w:hAnsi="Times New Roman" w:eastAsia="仿宋" w:cs="Times New Roman"/>
          <w:sz w:val="28"/>
          <w:szCs w:val="28"/>
        </w:rPr>
        <w:tab/>
      </w:r>
      <w:r>
        <w:rPr>
          <w:rFonts w:ascii="Times New Roman" w:hAnsi="Times New Roman" w:eastAsia="仿宋" w:cs="Times New Roman"/>
          <w:sz w:val="28"/>
          <w:szCs w:val="28"/>
        </w:rPr>
        <w:fldChar w:fldCharType="begin"/>
      </w:r>
      <w:r>
        <w:rPr>
          <w:rFonts w:ascii="Times New Roman" w:hAnsi="Times New Roman" w:eastAsia="仿宋" w:cs="Times New Roman"/>
          <w:sz w:val="28"/>
          <w:szCs w:val="28"/>
        </w:rPr>
        <w:instrText xml:space="preserve"> PAGEREF _Toc32542 \h </w:instrText>
      </w:r>
      <w:r>
        <w:rPr>
          <w:rFonts w:ascii="Times New Roman" w:hAnsi="Times New Roman" w:eastAsia="仿宋" w:cs="Times New Roman"/>
          <w:sz w:val="28"/>
          <w:szCs w:val="28"/>
        </w:rPr>
        <w:fldChar w:fldCharType="separate"/>
      </w:r>
      <w:r>
        <w:rPr>
          <w:rFonts w:ascii="Times New Roman" w:hAnsi="Times New Roman" w:eastAsia="仿宋" w:cs="Times New Roman"/>
          <w:sz w:val="28"/>
          <w:szCs w:val="28"/>
        </w:rPr>
        <w:t>33</w:t>
      </w:r>
      <w:r>
        <w:rPr>
          <w:rFonts w:ascii="Times New Roman" w:hAnsi="Times New Roman" w:eastAsia="仿宋" w:cs="Times New Roman"/>
          <w:sz w:val="28"/>
          <w:szCs w:val="28"/>
        </w:rPr>
        <w:fldChar w:fldCharType="end"/>
      </w:r>
      <w:r>
        <w:rPr>
          <w:rFonts w:ascii="Times New Roman" w:hAnsi="Times New Roman" w:eastAsia="仿宋" w:cs="Times New Roman"/>
          <w:sz w:val="28"/>
          <w:szCs w:val="28"/>
        </w:rPr>
        <w:fldChar w:fldCharType="end"/>
      </w:r>
    </w:p>
    <w:p>
      <w:pPr>
        <w:spacing w:line="360" w:lineRule="auto"/>
        <w:rPr>
          <w:rFonts w:ascii="Times New Roman" w:hAnsi="Times New Roman" w:eastAsia="仿宋" w:cs="Times New Roman"/>
          <w:color w:val="000000"/>
          <w:sz w:val="24"/>
          <w:szCs w:val="24"/>
        </w:rPr>
      </w:pPr>
      <w:r>
        <w:rPr>
          <w:rFonts w:ascii="Times New Roman" w:hAnsi="Times New Roman" w:eastAsia="仿宋" w:cs="Times New Roman"/>
          <w:color w:val="000000"/>
          <w:sz w:val="28"/>
          <w:szCs w:val="28"/>
        </w:rPr>
        <w:fldChar w:fldCharType="end"/>
      </w:r>
    </w:p>
    <w:p>
      <w:pPr>
        <w:rPr>
          <w:rFonts w:ascii="Times New Roman" w:hAnsi="Times New Roman" w:eastAsia="仿宋_GB2312" w:cs="Times New Roman"/>
          <w:color w:val="000000"/>
          <w:sz w:val="24"/>
          <w:szCs w:val="24"/>
        </w:rPr>
      </w:pPr>
    </w:p>
    <w:p>
      <w:pPr>
        <w:ind w:firstLine="480" w:firstLineChars="200"/>
        <w:rPr>
          <w:rFonts w:ascii="Times New Roman" w:hAnsi="Times New Roman" w:eastAsia="仿宋_GB2312" w:cs="Times New Roman"/>
          <w:color w:val="000000"/>
          <w:sz w:val="24"/>
          <w:szCs w:val="24"/>
        </w:rPr>
        <w:sectPr>
          <w:footerReference r:id="rId3" w:type="default"/>
          <w:pgSz w:w="11906" w:h="16840"/>
          <w:pgMar w:top="1480" w:right="1440" w:bottom="1380" w:left="1680" w:header="0" w:footer="1196" w:gutter="0"/>
          <w:pgNumType w:fmt="upperRoman" w:start="1"/>
          <w:cols w:space="720" w:num="1"/>
        </w:sectPr>
      </w:pPr>
    </w:p>
    <w:p>
      <w:pPr>
        <w:keepNext/>
        <w:spacing w:line="360" w:lineRule="auto"/>
        <w:jc w:val="both"/>
        <w:outlineLvl w:val="0"/>
        <w:rPr>
          <w:rFonts w:ascii="Times New Roman" w:hAnsi="Times New Roman" w:eastAsia="仿宋" w:cs="Times New Roman"/>
          <w:b/>
          <w:bCs/>
          <w:color w:val="000000"/>
          <w:sz w:val="36"/>
          <w:szCs w:val="36"/>
          <w:lang w:eastAsia="zh-CN"/>
        </w:rPr>
      </w:pPr>
      <w:bookmarkStart w:id="40" w:name="_Toc1060"/>
      <w:bookmarkStart w:id="41" w:name="_Toc6825"/>
      <w:bookmarkStart w:id="42" w:name="_Toc16281"/>
      <w:bookmarkStart w:id="43" w:name="_Hlk140267298"/>
      <w:r>
        <w:rPr>
          <w:rFonts w:ascii="Times New Roman" w:hAnsi="Times New Roman" w:eastAsia="仿宋" w:cs="Times New Roman"/>
          <w:b/>
          <w:bCs/>
          <w:color w:val="000000"/>
          <w:sz w:val="36"/>
          <w:szCs w:val="36"/>
          <w:lang w:eastAsia="zh-CN"/>
        </w:rPr>
        <w:t>1 项目背景</w:t>
      </w:r>
      <w:bookmarkEnd w:id="40"/>
      <w:bookmarkEnd w:id="41"/>
      <w:bookmarkEnd w:id="42"/>
    </w:p>
    <w:p>
      <w:pPr>
        <w:pStyle w:val="3"/>
        <w:spacing w:line="360" w:lineRule="auto"/>
        <w:ind w:left="0"/>
        <w:jc w:val="both"/>
        <w:outlineLvl w:val="1"/>
        <w:rPr>
          <w:rFonts w:ascii="Times New Roman" w:hAnsi="Times New Roman" w:cs="Times New Roman"/>
          <w:color w:val="000000"/>
          <w:sz w:val="32"/>
          <w:szCs w:val="32"/>
          <w:lang w:eastAsia="zh-CN"/>
        </w:rPr>
      </w:pPr>
      <w:bookmarkStart w:id="44" w:name="_bookmark1"/>
      <w:bookmarkEnd w:id="44"/>
      <w:bookmarkStart w:id="45" w:name="1.1任务来源"/>
      <w:bookmarkEnd w:id="45"/>
      <w:bookmarkStart w:id="46" w:name="_Toc976"/>
      <w:bookmarkStart w:id="47" w:name="_Toc1068"/>
      <w:r>
        <w:rPr>
          <w:rFonts w:ascii="Times New Roman" w:hAnsi="Times New Roman" w:cs="Times New Roman"/>
          <w:b/>
          <w:bCs/>
          <w:color w:val="000000"/>
          <w:sz w:val="32"/>
          <w:szCs w:val="32"/>
          <w:lang w:eastAsia="zh-CN"/>
        </w:rPr>
        <w:t>1.1 任</w:t>
      </w:r>
      <w:r>
        <w:rPr>
          <w:rFonts w:ascii="Times New Roman" w:hAnsi="Times New Roman" w:cs="Times New Roman"/>
          <w:b/>
          <w:bCs/>
          <w:color w:val="000000"/>
          <w:spacing w:val="2"/>
          <w:sz w:val="32"/>
          <w:szCs w:val="32"/>
          <w:lang w:eastAsia="zh-CN"/>
        </w:rPr>
        <w:t>务</w:t>
      </w:r>
      <w:r>
        <w:rPr>
          <w:rFonts w:ascii="Times New Roman" w:hAnsi="Times New Roman" w:cs="Times New Roman"/>
          <w:b/>
          <w:bCs/>
          <w:color w:val="000000"/>
          <w:sz w:val="32"/>
          <w:szCs w:val="32"/>
          <w:lang w:eastAsia="zh-CN"/>
        </w:rPr>
        <w:t>来源</w:t>
      </w:r>
      <w:bookmarkEnd w:id="46"/>
      <w:bookmarkEnd w:id="47"/>
    </w:p>
    <w:p>
      <w:pPr>
        <w:pStyle w:val="3"/>
        <w:spacing w:line="360" w:lineRule="auto"/>
        <w:ind w:firstLine="640" w:firstLineChars="200"/>
        <w:jc w:val="both"/>
        <w:rPr>
          <w:rFonts w:ascii="Times New Roman" w:hAnsi="Times New Roman" w:cs="Times New Roman"/>
          <w:color w:val="000000"/>
          <w:sz w:val="28"/>
          <w:szCs w:val="28"/>
          <w:highlight w:val="yellow"/>
          <w:lang w:eastAsia="zh-CN"/>
        </w:rPr>
      </w:pPr>
      <w:r>
        <w:rPr>
          <w:rFonts w:ascii="Times New Roman" w:hAnsi="Times New Roman" w:cs="Times New Roman"/>
          <w:color w:val="000000"/>
          <w:sz w:val="32"/>
          <w:szCs w:val="32"/>
          <w:lang w:eastAsia="zh-CN"/>
        </w:rPr>
        <w:t xml:space="preserve">高氯酸盐是一种新兴的持久性污染物，在我国高氯酸盐应用广泛，需求量大，尤其是在航天和烟花制造方面。自2002年国务院办公厅印发《关于进一步加强民用爆炸物品安全管理的通知》（国办发〔2002〕52号）明令禁止使用氯酸钾配置烟火剂生产烟花爆竹后，高氯酸钾作为代替品成为烟花制造厂商配置烟火的主要原料，其生产和使用量逐渐增加。2022年3月，国家卫健委发布《生活饮用水卫生标准》（GB 5749-2022），增加了4项指标，其中1项指标为高氯酸盐，标准限值0.07 </w:t>
      </w:r>
      <w:r>
        <w:rPr>
          <w:rFonts w:hint="eastAsia" w:ascii="Times New Roman" w:hAnsi="Times New Roman" w:cs="Times New Roman"/>
          <w:color w:val="000000"/>
          <w:sz w:val="32"/>
          <w:szCs w:val="32"/>
          <w:lang w:eastAsia="zh-CN"/>
        </w:rPr>
        <w:t>m</w:t>
      </w:r>
      <w:r>
        <w:rPr>
          <w:rFonts w:ascii="Times New Roman" w:hAnsi="Times New Roman" w:cs="Times New Roman"/>
          <w:color w:val="000000"/>
          <w:sz w:val="32"/>
          <w:szCs w:val="32"/>
          <w:lang w:eastAsia="zh-CN"/>
        </w:rPr>
        <w:t>g/L</w:t>
      </w:r>
      <w:bookmarkEnd w:id="43"/>
      <w:r>
        <w:rPr>
          <w:rFonts w:hint="eastAsia" w:ascii="Times New Roman" w:hAnsi="Times New Roman" w:cs="Times New Roman"/>
          <w:color w:val="000000"/>
          <w:sz w:val="32"/>
          <w:szCs w:val="32"/>
          <w:lang w:eastAsia="zh-CN"/>
        </w:rPr>
        <w:t>。高氯酸盐</w:t>
      </w:r>
      <w:r>
        <w:rPr>
          <w:rFonts w:ascii="Times New Roman" w:hAnsi="Times New Roman" w:cs="Times New Roman"/>
          <w:color w:val="000000"/>
          <w:sz w:val="32"/>
          <w:szCs w:val="32"/>
          <w:lang w:eastAsia="zh-CN"/>
        </w:rPr>
        <w:t>前期一直没有实施监测和管控，目前国内还没有环境质量标准和排放标准，给监管、执法工作形成障碍。因此，为加强对我省高氯酸盐污染物排放监管，促进我省涉高氯酸盐行业企业绿色发展，亟需根据现状制定出台工业废水高氯酸盐污染物排放标准。该标准编制任务由湖南省生态环境厅提出，起草单位为湖南省环境保护科学研究院、中国环境科学研究院、湖南省生态事务中心、中国烟花爆竹协会、湖南省生态环境监测中心，项目技术归口单位为湖南省生态环境厅。</w:t>
      </w:r>
    </w:p>
    <w:p>
      <w:pPr>
        <w:pStyle w:val="3"/>
        <w:spacing w:line="360" w:lineRule="auto"/>
        <w:ind w:left="0"/>
        <w:jc w:val="both"/>
        <w:outlineLvl w:val="1"/>
        <w:rPr>
          <w:rFonts w:ascii="Times New Roman" w:hAnsi="Times New Roman" w:cs="Times New Roman"/>
          <w:b/>
          <w:bCs/>
          <w:color w:val="000000"/>
          <w:sz w:val="32"/>
          <w:szCs w:val="32"/>
          <w:lang w:eastAsia="zh-CN"/>
        </w:rPr>
      </w:pPr>
      <w:bookmarkStart w:id="48" w:name="_bookmark2"/>
      <w:bookmarkEnd w:id="48"/>
      <w:bookmarkStart w:id="49" w:name="1.2工作过程"/>
      <w:bookmarkEnd w:id="49"/>
      <w:bookmarkStart w:id="50" w:name="_Toc16475"/>
      <w:bookmarkStart w:id="51" w:name="_Toc28566"/>
      <w:bookmarkStart w:id="52" w:name="_Hlk140268058"/>
      <w:r>
        <w:rPr>
          <w:rFonts w:ascii="Times New Roman" w:hAnsi="Times New Roman" w:cs="Times New Roman"/>
          <w:b/>
          <w:bCs/>
          <w:color w:val="000000"/>
          <w:sz w:val="32"/>
          <w:szCs w:val="32"/>
          <w:lang w:eastAsia="zh-CN"/>
        </w:rPr>
        <w:t>1.2 工作过程</w:t>
      </w:r>
      <w:bookmarkEnd w:id="50"/>
      <w:bookmarkEnd w:id="51"/>
    </w:p>
    <w:p>
      <w:pPr>
        <w:pStyle w:val="3"/>
        <w:spacing w:line="360" w:lineRule="auto"/>
        <w:ind w:left="0" w:firstLine="642" w:firstLineChars="200"/>
        <w:jc w:val="both"/>
        <w:rPr>
          <w:rFonts w:ascii="Times New Roman" w:hAnsi="Times New Roman" w:cs="Times New Roman"/>
          <w:b/>
          <w:bCs/>
          <w:color w:val="000000"/>
          <w:sz w:val="32"/>
          <w:szCs w:val="32"/>
          <w:lang w:eastAsia="zh-CN"/>
        </w:rPr>
      </w:pPr>
      <w:bookmarkStart w:id="53" w:name="_Toc17065"/>
      <w:bookmarkStart w:id="54" w:name="_Toc28905"/>
      <w:r>
        <w:rPr>
          <w:rFonts w:ascii="Times New Roman" w:hAnsi="Times New Roman" w:cs="Times New Roman"/>
          <w:b/>
          <w:bCs/>
          <w:color w:val="000000"/>
          <w:sz w:val="32"/>
          <w:szCs w:val="32"/>
          <w:lang w:eastAsia="zh-CN"/>
        </w:rPr>
        <w:t>（1）</w:t>
      </w:r>
      <w:r>
        <w:rPr>
          <w:rFonts w:hint="eastAsia" w:ascii="Times New Roman" w:hAnsi="Times New Roman" w:cs="Times New Roman"/>
          <w:b/>
          <w:bCs/>
          <w:color w:val="000000"/>
          <w:sz w:val="32"/>
          <w:szCs w:val="32"/>
          <w:lang w:eastAsia="zh-CN"/>
        </w:rPr>
        <w:t>资料收集与现场调研</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2023年3月，为</w:t>
      </w:r>
      <w:r>
        <w:rPr>
          <w:rFonts w:hint="eastAsia" w:ascii="Times New Roman" w:hAnsi="Times New Roman" w:cs="Times New Roman"/>
          <w:color w:val="000000"/>
          <w:sz w:val="32"/>
          <w:szCs w:val="32"/>
          <w:lang w:val="en-US" w:eastAsia="zh-CN"/>
        </w:rPr>
        <w:t>配合做好高氯酸盐污染防治工作</w:t>
      </w:r>
      <w:r>
        <w:rPr>
          <w:rFonts w:ascii="Times New Roman" w:hAnsi="Times New Roman" w:cs="Times New Roman"/>
          <w:color w:val="000000"/>
          <w:sz w:val="32"/>
          <w:szCs w:val="32"/>
          <w:lang w:eastAsia="zh-CN"/>
        </w:rPr>
        <w:t>，</w:t>
      </w:r>
      <w:r>
        <w:rPr>
          <w:rFonts w:hint="eastAsia" w:ascii="Times New Roman" w:hAnsi="Times New Roman" w:cs="Times New Roman"/>
          <w:color w:val="000000"/>
          <w:sz w:val="32"/>
          <w:szCs w:val="32"/>
          <w:lang w:val="en-US" w:eastAsia="zh-CN"/>
        </w:rPr>
        <w:t>湖南省环境保护科学研究院</w:t>
      </w:r>
      <w:r>
        <w:rPr>
          <w:rFonts w:ascii="Times New Roman" w:hAnsi="Times New Roman" w:cs="Times New Roman"/>
          <w:color w:val="000000"/>
          <w:sz w:val="32"/>
          <w:szCs w:val="32"/>
          <w:lang w:eastAsia="zh-CN"/>
        </w:rPr>
        <w:t>组织技术力量制定</w:t>
      </w:r>
      <w:r>
        <w:rPr>
          <w:rFonts w:hint="eastAsia" w:ascii="Times New Roman" w:hAnsi="Times New Roman" w:cs="Times New Roman"/>
          <w:color w:val="000000"/>
          <w:sz w:val="32"/>
          <w:szCs w:val="32"/>
          <w:lang w:val="en-US" w:eastAsia="zh-CN"/>
        </w:rPr>
        <w:t>调研</w:t>
      </w:r>
      <w:r>
        <w:rPr>
          <w:rFonts w:ascii="Times New Roman" w:hAnsi="Times New Roman" w:cs="Times New Roman"/>
          <w:color w:val="000000"/>
          <w:sz w:val="32"/>
          <w:szCs w:val="32"/>
          <w:lang w:eastAsia="zh-CN"/>
        </w:rPr>
        <w:t>工作计划</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4</w:t>
      </w:r>
      <w:r>
        <w:rPr>
          <w:rFonts w:hint="eastAsia" w:ascii="Times New Roman" w:hAnsi="Times New Roman" w:cs="Times New Roman"/>
          <w:color w:val="000000"/>
          <w:sz w:val="32"/>
          <w:szCs w:val="32"/>
          <w:lang w:eastAsia="zh-CN"/>
        </w:rPr>
        <w:t>月</w:t>
      </w:r>
      <w:r>
        <w:rPr>
          <w:rFonts w:ascii="Times New Roman" w:hAnsi="Times New Roman" w:cs="Times New Roman"/>
          <w:color w:val="000000"/>
          <w:sz w:val="32"/>
          <w:szCs w:val="32"/>
          <w:lang w:eastAsia="zh-CN"/>
        </w:rPr>
        <w:t>，梳理了国内外涉高氯酸盐相关标准，高氯酸盐污染治理技术等资料，</w:t>
      </w:r>
      <w:r>
        <w:rPr>
          <w:rFonts w:hint="eastAsia" w:ascii="Times New Roman" w:hAnsi="Times New Roman" w:cs="Times New Roman"/>
          <w:color w:val="000000"/>
          <w:sz w:val="32"/>
          <w:szCs w:val="32"/>
          <w:lang w:eastAsia="zh-CN"/>
        </w:rPr>
        <w:t>并</w:t>
      </w:r>
      <w:r>
        <w:rPr>
          <w:rFonts w:ascii="Times New Roman" w:hAnsi="Times New Roman" w:cs="Times New Roman"/>
          <w:color w:val="000000"/>
          <w:sz w:val="32"/>
          <w:szCs w:val="32"/>
          <w:lang w:eastAsia="zh-CN"/>
        </w:rPr>
        <w:t>先后前往长沙、株洲、湘潭、衡阳、郴州和常德等地开展了</w:t>
      </w:r>
      <w:r>
        <w:rPr>
          <w:rFonts w:hint="eastAsia" w:ascii="Times New Roman" w:hAnsi="Times New Roman" w:cs="Times New Roman"/>
          <w:color w:val="000000"/>
          <w:sz w:val="32"/>
          <w:szCs w:val="32"/>
          <w:lang w:eastAsia="zh-CN"/>
        </w:rPr>
        <w:t>现场调研与座谈</w:t>
      </w:r>
      <w:r>
        <w:rPr>
          <w:rFonts w:ascii="Times New Roman" w:hAnsi="Times New Roman" w:cs="Times New Roman"/>
          <w:color w:val="000000"/>
          <w:sz w:val="32"/>
          <w:szCs w:val="32"/>
          <w:lang w:eastAsia="zh-CN"/>
        </w:rPr>
        <w:t>，了解高氯酸盐行业</w:t>
      </w:r>
      <w:r>
        <w:rPr>
          <w:rFonts w:hint="eastAsia" w:ascii="Times New Roman" w:hAnsi="Times New Roman" w:cs="Times New Roman"/>
          <w:color w:val="000000"/>
          <w:sz w:val="32"/>
          <w:szCs w:val="32"/>
          <w:lang w:eastAsia="zh-CN"/>
        </w:rPr>
        <w:t>污染</w:t>
      </w:r>
      <w:r>
        <w:rPr>
          <w:rFonts w:ascii="Times New Roman" w:hAnsi="Times New Roman" w:cs="Times New Roman"/>
          <w:color w:val="000000"/>
          <w:sz w:val="32"/>
          <w:szCs w:val="32"/>
          <w:lang w:eastAsia="zh-CN"/>
        </w:rPr>
        <w:t>现状</w:t>
      </w:r>
      <w:r>
        <w:rPr>
          <w:rFonts w:hint="eastAsia" w:ascii="Times New Roman" w:hAnsi="Times New Roman" w:cs="Times New Roman"/>
          <w:color w:val="000000"/>
          <w:sz w:val="32"/>
          <w:szCs w:val="32"/>
          <w:lang w:eastAsia="zh-CN"/>
        </w:rPr>
        <w:t>，指导</w:t>
      </w:r>
      <w:r>
        <w:rPr>
          <w:rFonts w:ascii="Times New Roman" w:hAnsi="Times New Roman" w:cs="Times New Roman"/>
          <w:color w:val="000000"/>
          <w:sz w:val="32"/>
          <w:szCs w:val="32"/>
          <w:lang w:eastAsia="zh-CN"/>
        </w:rPr>
        <w:t>高氯酸盐</w:t>
      </w:r>
      <w:r>
        <w:rPr>
          <w:rFonts w:hint="eastAsia" w:ascii="Times New Roman" w:hAnsi="Times New Roman" w:cs="Times New Roman"/>
          <w:color w:val="000000"/>
          <w:sz w:val="32"/>
          <w:szCs w:val="32"/>
          <w:lang w:eastAsia="zh-CN"/>
        </w:rPr>
        <w:t>企业开展</w:t>
      </w:r>
      <w:r>
        <w:rPr>
          <w:rFonts w:ascii="Times New Roman" w:hAnsi="Times New Roman" w:cs="Times New Roman"/>
          <w:color w:val="000000"/>
          <w:sz w:val="32"/>
          <w:szCs w:val="32"/>
          <w:lang w:eastAsia="zh-CN"/>
        </w:rPr>
        <w:t>污染</w:t>
      </w:r>
      <w:r>
        <w:rPr>
          <w:rFonts w:hint="eastAsia" w:ascii="Times New Roman" w:hAnsi="Times New Roman" w:cs="Times New Roman"/>
          <w:color w:val="000000"/>
          <w:sz w:val="32"/>
          <w:szCs w:val="32"/>
          <w:lang w:eastAsia="zh-CN"/>
        </w:rPr>
        <w:t>防控，全面考察企业的生产工艺、污染治理状况等内容，全面掌握湖南省涉高氯酸盐工业企业的污染治理现状和区域环境质量现状。同时还赴江西省烟花爆竹企业、</w:t>
      </w:r>
      <w:r>
        <w:rPr>
          <w:rFonts w:ascii="Times New Roman" w:hAnsi="Times New Roman" w:cs="Times New Roman"/>
          <w:color w:val="000000" w:themeColor="text1"/>
          <w:sz w:val="32"/>
          <w:szCs w:val="32"/>
          <w:lang w:eastAsia="zh-CN"/>
          <w14:textFill>
            <w14:solidFill>
              <w14:schemeClr w14:val="tx1"/>
            </w14:solidFill>
          </w14:textFill>
        </w:rPr>
        <w:t>以及江西和湖南交界邓家洲断面</w:t>
      </w:r>
      <w:r>
        <w:rPr>
          <w:rFonts w:hint="eastAsia" w:ascii="Times New Roman" w:hAnsi="Times New Roman" w:cs="Times New Roman"/>
          <w:color w:val="000000" w:themeColor="text1"/>
          <w:sz w:val="32"/>
          <w:szCs w:val="32"/>
          <w:lang w:eastAsia="zh-CN"/>
          <w14:textFill>
            <w14:solidFill>
              <w14:schemeClr w14:val="tx1"/>
            </w14:solidFill>
          </w14:textFill>
        </w:rPr>
        <w:t>开展调研</w:t>
      </w:r>
      <w:r>
        <w:rPr>
          <w:rFonts w:ascii="Times New Roman" w:hAnsi="Times New Roman" w:cs="Times New Roman"/>
          <w:color w:val="000000" w:themeColor="text1"/>
          <w:sz w:val="32"/>
          <w:szCs w:val="32"/>
          <w:lang w:eastAsia="zh-CN"/>
          <w14:textFill>
            <w14:solidFill>
              <w14:schemeClr w14:val="tx1"/>
            </w14:solidFill>
          </w14:textFill>
        </w:rPr>
        <w:t>，详细了解江西省烟花爆竹企业分布</w:t>
      </w:r>
      <w:r>
        <w:rPr>
          <w:rFonts w:hint="eastAsia" w:ascii="Times New Roman" w:hAnsi="Times New Roman" w:cs="Times New Roman"/>
          <w:color w:val="000000" w:themeColor="text1"/>
          <w:sz w:val="32"/>
          <w:szCs w:val="32"/>
          <w:lang w:eastAsia="zh-CN"/>
          <w14:textFill>
            <w14:solidFill>
              <w14:schemeClr w14:val="tx1"/>
            </w14:solidFill>
          </w14:textFill>
        </w:rPr>
        <w:t>情况和</w:t>
      </w:r>
      <w:r>
        <w:rPr>
          <w:rFonts w:ascii="Times New Roman" w:hAnsi="Times New Roman" w:cs="Times New Roman"/>
          <w:color w:val="000000" w:themeColor="text1"/>
          <w:sz w:val="32"/>
          <w:szCs w:val="32"/>
          <w:lang w:eastAsia="zh-CN"/>
          <w14:textFill>
            <w14:solidFill>
              <w14:schemeClr w14:val="tx1"/>
            </w14:solidFill>
          </w14:textFill>
        </w:rPr>
        <w:t>整改情况</w:t>
      </w:r>
      <w:r>
        <w:rPr>
          <w:rFonts w:hint="eastAsia" w:ascii="Times New Roman" w:hAnsi="Times New Roman" w:cs="Times New Roman"/>
          <w:color w:val="000000" w:themeColor="text1"/>
          <w:sz w:val="32"/>
          <w:szCs w:val="32"/>
          <w:lang w:eastAsia="zh-CN"/>
          <w14:textFill>
            <w14:solidFill>
              <w14:schemeClr w14:val="tx1"/>
            </w14:solidFill>
          </w14:textFill>
        </w:rPr>
        <w:t>。</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hint="eastAsia" w:ascii="Times New Roman" w:hAnsi="Times New Roman" w:cs="Times New Roman"/>
          <w:b/>
          <w:bCs/>
          <w:color w:val="000000"/>
          <w:sz w:val="32"/>
          <w:szCs w:val="32"/>
          <w:lang w:eastAsia="zh-CN"/>
        </w:rPr>
        <w:t>（3）</w:t>
      </w:r>
      <w:r>
        <w:rPr>
          <w:rFonts w:ascii="Times New Roman" w:hAnsi="Times New Roman" w:cs="Times New Roman"/>
          <w:b/>
          <w:bCs/>
          <w:color w:val="000000"/>
          <w:sz w:val="32"/>
          <w:szCs w:val="32"/>
          <w:lang w:eastAsia="zh-CN"/>
        </w:rPr>
        <w:t>形成标准和编制说明讨论稿</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2023年6</w:t>
      </w:r>
      <w:r>
        <w:rPr>
          <w:rFonts w:hint="eastAsia" w:ascii="Times New Roman" w:hAnsi="Times New Roman" w:cs="Times New Roman"/>
          <w:color w:val="000000"/>
          <w:sz w:val="32"/>
          <w:szCs w:val="32"/>
          <w:lang w:eastAsia="zh-CN"/>
        </w:rPr>
        <w:t>月</w:t>
      </w:r>
      <w:bookmarkStart w:id="55" w:name="OLE_LINK2"/>
      <w:r>
        <w:rPr>
          <w:rFonts w:ascii="Times New Roman" w:hAnsi="Times New Roman" w:cs="Times New Roman"/>
          <w:color w:val="000000"/>
          <w:sz w:val="32"/>
          <w:szCs w:val="32"/>
          <w:lang w:eastAsia="zh-CN"/>
        </w:rPr>
        <w:t>21日，</w:t>
      </w:r>
      <w:bookmarkEnd w:id="55"/>
      <w:r>
        <w:rPr>
          <w:rFonts w:ascii="Times New Roman" w:hAnsi="Times New Roman" w:cs="Times New Roman"/>
          <w:color w:val="000000"/>
          <w:sz w:val="32"/>
          <w:szCs w:val="32"/>
          <w:lang w:eastAsia="zh-CN"/>
        </w:rPr>
        <w:t>正式确定湖南省环境保护科学研究院作为标准编制牵头单位，并联合中国环境科学研究院、湖南省生态事务中心、中国烟花爆竹协会、湖南省生态环境监测中心形成标准编制团队。</w:t>
      </w:r>
      <w:r>
        <w:rPr>
          <w:rFonts w:hint="eastAsia" w:ascii="Times New Roman" w:hAnsi="Times New Roman" w:cs="Times New Roman"/>
          <w:color w:val="000000"/>
          <w:sz w:val="32"/>
          <w:szCs w:val="32"/>
          <w:lang w:eastAsia="zh-CN"/>
        </w:rPr>
        <w:t>会后编制团队在</w:t>
      </w:r>
      <w:r>
        <w:rPr>
          <w:rFonts w:hint="eastAsia" w:ascii="Times New Roman" w:hAnsi="Times New Roman" w:cs="Times New Roman"/>
          <w:color w:val="000000"/>
          <w:sz w:val="32"/>
          <w:szCs w:val="32"/>
          <w:lang w:val="en-US" w:eastAsia="zh-CN"/>
        </w:rPr>
        <w:t>前期</w:t>
      </w:r>
      <w:r>
        <w:rPr>
          <w:rFonts w:hint="eastAsia" w:ascii="Times New Roman" w:hAnsi="Times New Roman" w:cs="Times New Roman"/>
          <w:color w:val="000000"/>
          <w:sz w:val="32"/>
          <w:szCs w:val="32"/>
          <w:lang w:eastAsia="zh-CN"/>
        </w:rPr>
        <w:t>大量调研与资料收集的基础上，组织编制了标准（初稿）和标准编制说明初稿。</w:t>
      </w:r>
      <w:r>
        <w:rPr>
          <w:rFonts w:hint="eastAsia" w:ascii="Times New Roman" w:hAnsi="Times New Roman" w:cs="Times New Roman"/>
          <w:color w:val="000000"/>
          <w:sz w:val="32"/>
          <w:szCs w:val="32"/>
          <w:lang w:val="en-US" w:eastAsia="zh-CN"/>
        </w:rPr>
        <w:t>经多轮次的讨论</w:t>
      </w:r>
      <w:r>
        <w:rPr>
          <w:rFonts w:ascii="Times New Roman" w:hAnsi="Times New Roman" w:cs="Times New Roman"/>
          <w:color w:val="000000"/>
          <w:sz w:val="32"/>
          <w:szCs w:val="32"/>
          <w:lang w:eastAsia="zh-CN"/>
        </w:rPr>
        <w:t>对标准初稿进一步修改完善，对排放限值、单位产品基准排水量等内容进行了论证，形成《工业废水高氯酸盐污染物排放标准》（讨论稿）和标准编制说明讨论稿</w:t>
      </w:r>
      <w:r>
        <w:rPr>
          <w:rFonts w:hint="eastAsia" w:ascii="Times New Roman" w:hAnsi="Times New Roman" w:cs="Times New Roman"/>
          <w:color w:val="000000"/>
          <w:sz w:val="32"/>
          <w:szCs w:val="32"/>
          <w:lang w:eastAsia="zh-CN"/>
        </w:rPr>
        <w:t>。</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w:t>
      </w:r>
      <w:r>
        <w:rPr>
          <w:rFonts w:hint="eastAsia" w:ascii="Times New Roman" w:hAnsi="Times New Roman" w:cs="Times New Roman"/>
          <w:b/>
          <w:bCs/>
          <w:color w:val="000000"/>
          <w:sz w:val="32"/>
          <w:szCs w:val="32"/>
          <w:lang w:eastAsia="zh-CN"/>
        </w:rPr>
        <w:t>4</w:t>
      </w:r>
      <w:r>
        <w:rPr>
          <w:rFonts w:ascii="Times New Roman" w:hAnsi="Times New Roman" w:cs="Times New Roman"/>
          <w:b/>
          <w:bCs/>
          <w:color w:val="000000"/>
          <w:sz w:val="32"/>
          <w:szCs w:val="32"/>
          <w:lang w:eastAsia="zh-CN"/>
        </w:rPr>
        <w:t>）</w:t>
      </w:r>
      <w:r>
        <w:rPr>
          <w:rFonts w:hint="eastAsia" w:ascii="Times New Roman" w:hAnsi="Times New Roman" w:cs="Times New Roman"/>
          <w:b/>
          <w:bCs/>
          <w:color w:val="000000"/>
          <w:sz w:val="32"/>
          <w:szCs w:val="32"/>
          <w:lang w:eastAsia="zh-CN"/>
        </w:rPr>
        <w:t>标准申请立项</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2023年7月</w:t>
      </w:r>
      <w:r>
        <w:rPr>
          <w:rFonts w:hint="eastAsia" w:ascii="Times New Roman" w:hAnsi="Times New Roman" w:cs="Times New Roman"/>
          <w:color w:val="000000"/>
          <w:sz w:val="32"/>
          <w:szCs w:val="32"/>
          <w:lang w:eastAsia="zh-CN"/>
        </w:rPr>
        <w:t>初</w:t>
      </w:r>
      <w:r>
        <w:rPr>
          <w:rFonts w:ascii="Times New Roman" w:hAnsi="Times New Roman" w:cs="Times New Roman"/>
          <w:color w:val="000000"/>
          <w:sz w:val="32"/>
          <w:szCs w:val="32"/>
          <w:lang w:eastAsia="zh-CN"/>
        </w:rPr>
        <w:t>，</w:t>
      </w:r>
      <w:r>
        <w:rPr>
          <w:rFonts w:hint="eastAsia" w:ascii="Times New Roman" w:hAnsi="Times New Roman" w:cs="Times New Roman"/>
          <w:color w:val="000000"/>
          <w:sz w:val="32"/>
          <w:szCs w:val="32"/>
          <w:lang w:eastAsia="zh-CN"/>
        </w:rPr>
        <w:t>省</w:t>
      </w:r>
      <w:r>
        <w:rPr>
          <w:rFonts w:hint="eastAsia" w:ascii="Times New Roman" w:hAnsi="Times New Roman" w:cs="Times New Roman"/>
          <w:color w:val="000000"/>
          <w:sz w:val="32"/>
          <w:szCs w:val="32"/>
          <w:lang w:val="en-US" w:eastAsia="zh-CN"/>
        </w:rPr>
        <w:t>生态环境厅</w:t>
      </w:r>
      <w:r>
        <w:rPr>
          <w:rFonts w:hint="eastAsia" w:ascii="Times New Roman" w:hAnsi="Times New Roman" w:cs="Times New Roman"/>
          <w:color w:val="000000"/>
          <w:sz w:val="32"/>
          <w:szCs w:val="32"/>
          <w:lang w:eastAsia="zh-CN"/>
        </w:rPr>
        <w:t>组织标准编制团队向省市场监督管理局申请</w:t>
      </w:r>
      <w:r>
        <w:rPr>
          <w:rFonts w:ascii="Times New Roman" w:hAnsi="Times New Roman" w:cs="Times New Roman"/>
          <w:color w:val="000000"/>
          <w:sz w:val="32"/>
          <w:szCs w:val="32"/>
          <w:lang w:eastAsia="zh-CN"/>
        </w:rPr>
        <w:t>《工业废水高氯酸盐污染物排放标准》</w:t>
      </w:r>
      <w:r>
        <w:rPr>
          <w:rFonts w:hint="eastAsia" w:ascii="Times New Roman" w:hAnsi="Times New Roman" w:cs="Times New Roman"/>
          <w:color w:val="000000"/>
          <w:sz w:val="32"/>
          <w:szCs w:val="32"/>
          <w:lang w:eastAsia="zh-CN"/>
        </w:rPr>
        <w:t>项目立项，提交立项相关材料。</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w:t>
      </w:r>
      <w:r>
        <w:rPr>
          <w:rFonts w:hint="eastAsia" w:ascii="Times New Roman" w:hAnsi="Times New Roman" w:cs="Times New Roman"/>
          <w:b/>
          <w:bCs/>
          <w:color w:val="000000"/>
          <w:sz w:val="32"/>
          <w:szCs w:val="32"/>
          <w:lang w:eastAsia="zh-CN"/>
        </w:rPr>
        <w:t>5</w:t>
      </w:r>
      <w:r>
        <w:rPr>
          <w:rFonts w:ascii="Times New Roman" w:hAnsi="Times New Roman" w:cs="Times New Roman"/>
          <w:b/>
          <w:bCs/>
          <w:color w:val="000000"/>
          <w:sz w:val="32"/>
          <w:szCs w:val="32"/>
          <w:lang w:eastAsia="zh-CN"/>
        </w:rPr>
        <w:t>）技术审查及征求意见</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2023年7月，标准编制团队内部开展了多次研讨，经修改完善后，形成《工业废水高氯酸盐污染物排放标准》（技术审查稿）和标准编制说明技术审查稿，省厅</w:t>
      </w:r>
      <w:r>
        <w:rPr>
          <w:rFonts w:hint="eastAsia" w:ascii="Times New Roman" w:hAnsi="Times New Roman" w:cs="Times New Roman"/>
          <w:color w:val="000000"/>
          <w:sz w:val="32"/>
          <w:szCs w:val="32"/>
          <w:lang w:eastAsia="zh-CN"/>
        </w:rPr>
        <w:t>会同</w:t>
      </w:r>
      <w:r>
        <w:rPr>
          <w:rFonts w:hint="eastAsia" w:ascii="仿宋_GB2312" w:eastAsia="仿宋_GB2312"/>
          <w:sz w:val="32"/>
          <w:szCs w:val="32"/>
          <w:lang w:eastAsia="zh-CN"/>
        </w:rPr>
        <w:t>省市场</w:t>
      </w:r>
      <w:r>
        <w:rPr>
          <w:rFonts w:hint="eastAsia" w:ascii="仿宋_GB2312"/>
          <w:sz w:val="32"/>
          <w:szCs w:val="32"/>
          <w:lang w:eastAsia="zh-CN"/>
        </w:rPr>
        <w:t>监督管理</w:t>
      </w:r>
      <w:r>
        <w:rPr>
          <w:rFonts w:hint="eastAsia" w:ascii="仿宋_GB2312" w:eastAsia="仿宋_GB2312"/>
          <w:sz w:val="32"/>
          <w:szCs w:val="32"/>
          <w:lang w:eastAsia="zh-CN"/>
        </w:rPr>
        <w:t>局</w:t>
      </w:r>
      <w:r>
        <w:rPr>
          <w:rFonts w:hint="eastAsia" w:ascii="仿宋_GB2312"/>
          <w:sz w:val="32"/>
          <w:szCs w:val="32"/>
          <w:lang w:val="en" w:eastAsia="zh-CN"/>
        </w:rPr>
        <w:t>、</w:t>
      </w:r>
      <w:r>
        <w:rPr>
          <w:rFonts w:hint="eastAsia" w:ascii="仿宋_GB2312"/>
          <w:sz w:val="32"/>
          <w:szCs w:val="32"/>
          <w:lang w:val="en-US" w:eastAsia="zh-CN"/>
        </w:rPr>
        <w:t>省应急管理厅、</w:t>
      </w:r>
      <w:r>
        <w:rPr>
          <w:rFonts w:hint="eastAsia" w:ascii="仿宋_GB2312"/>
          <w:sz w:val="32"/>
          <w:szCs w:val="32"/>
          <w:lang w:eastAsia="zh-CN"/>
        </w:rPr>
        <w:t>省生态环境保护标准化技术委员会秘书处</w:t>
      </w:r>
      <w:r>
        <w:rPr>
          <w:rFonts w:ascii="Times New Roman" w:hAnsi="Times New Roman" w:cs="Times New Roman"/>
          <w:color w:val="000000"/>
          <w:sz w:val="32"/>
          <w:szCs w:val="32"/>
          <w:lang w:eastAsia="zh-CN"/>
        </w:rPr>
        <w:t>于</w:t>
      </w:r>
      <w:r>
        <w:rPr>
          <w:rFonts w:ascii="Times New Roman" w:hAnsi="Times New Roman" w:eastAsia="仿宋_GB2312" w:cs="Times New Roman"/>
          <w:color w:val="000000"/>
          <w:sz w:val="32"/>
          <w:szCs w:val="32"/>
          <w:lang w:eastAsia="zh-CN"/>
        </w:rPr>
        <w:t>7月19日组织召开《工业废水高氯</w:t>
      </w:r>
      <w:r>
        <w:rPr>
          <w:rFonts w:hint="eastAsia" w:ascii="Times New Roman" w:hAnsi="Times New Roman" w:cs="Times New Roman"/>
          <w:color w:val="000000"/>
          <w:sz w:val="32"/>
          <w:szCs w:val="32"/>
          <w:lang w:eastAsia="zh-CN"/>
        </w:rPr>
        <w:t>酸盐污染物排放标准》开题论证暨技术审查会，根据审查会专家意见，修改形成</w:t>
      </w:r>
      <w:r>
        <w:rPr>
          <w:rFonts w:ascii="Times New Roman" w:hAnsi="Times New Roman" w:cs="Times New Roman"/>
          <w:color w:val="000000"/>
          <w:sz w:val="32"/>
          <w:szCs w:val="32"/>
          <w:lang w:eastAsia="zh-CN"/>
        </w:rPr>
        <w:t>《工业废水高氯酸盐污染物排放标准》（征求意见稿）和标准编制说明征求意见稿。</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w:t>
      </w:r>
      <w:r>
        <w:rPr>
          <w:rFonts w:hint="eastAsia" w:ascii="Times New Roman" w:hAnsi="Times New Roman" w:cs="Times New Roman"/>
          <w:b/>
          <w:bCs/>
          <w:color w:val="000000"/>
          <w:sz w:val="32"/>
          <w:szCs w:val="32"/>
          <w:lang w:eastAsia="zh-CN"/>
        </w:rPr>
        <w:t>6</w:t>
      </w:r>
      <w:r>
        <w:rPr>
          <w:rFonts w:ascii="Times New Roman" w:hAnsi="Times New Roman" w:cs="Times New Roman"/>
          <w:b/>
          <w:bCs/>
          <w:color w:val="000000"/>
          <w:sz w:val="32"/>
          <w:szCs w:val="32"/>
          <w:lang w:eastAsia="zh-CN"/>
        </w:rPr>
        <w:t>）对外公开征求意见</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2023年</w:t>
      </w:r>
      <w:r>
        <w:rPr>
          <w:rFonts w:hint="eastAsia" w:ascii="Times New Roman" w:hAnsi="Times New Roman" w:cs="Times New Roman"/>
          <w:color w:val="000000"/>
          <w:sz w:val="32"/>
          <w:szCs w:val="32"/>
          <w:lang w:val="en-US" w:eastAsia="zh-CN"/>
        </w:rPr>
        <w:t>8</w:t>
      </w:r>
      <w:r>
        <w:rPr>
          <w:rFonts w:ascii="Times New Roman" w:hAnsi="Times New Roman" w:cs="Times New Roman"/>
          <w:color w:val="000000"/>
          <w:sz w:val="32"/>
          <w:szCs w:val="32"/>
          <w:lang w:eastAsia="zh-CN"/>
        </w:rPr>
        <w:t>月</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对外公开征求意见，根据公开征求意见修改形成标准</w:t>
      </w:r>
      <w:r>
        <w:rPr>
          <w:rFonts w:hint="eastAsia" w:ascii="Times New Roman" w:hAnsi="Times New Roman" w:cs="Times New Roman"/>
          <w:color w:val="000000"/>
          <w:sz w:val="32"/>
          <w:szCs w:val="32"/>
          <w:lang w:eastAsia="zh-CN"/>
        </w:rPr>
        <w:t>送审</w:t>
      </w:r>
      <w:r>
        <w:rPr>
          <w:rFonts w:ascii="Times New Roman" w:hAnsi="Times New Roman" w:cs="Times New Roman"/>
          <w:color w:val="000000"/>
          <w:sz w:val="32"/>
          <w:szCs w:val="32"/>
          <w:lang w:eastAsia="zh-CN"/>
        </w:rPr>
        <w:t>稿。</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w:t>
      </w:r>
      <w:r>
        <w:rPr>
          <w:rFonts w:hint="eastAsia" w:ascii="Times New Roman" w:hAnsi="Times New Roman" w:cs="Times New Roman"/>
          <w:b/>
          <w:bCs/>
          <w:color w:val="000000"/>
          <w:sz w:val="32"/>
          <w:szCs w:val="32"/>
          <w:lang w:eastAsia="zh-CN"/>
        </w:rPr>
        <w:t>7</w:t>
      </w:r>
      <w:r>
        <w:rPr>
          <w:rFonts w:ascii="Times New Roman" w:hAnsi="Times New Roman" w:cs="Times New Roman"/>
          <w:b/>
          <w:bCs/>
          <w:color w:val="000000"/>
          <w:sz w:val="32"/>
          <w:szCs w:val="32"/>
          <w:lang w:eastAsia="zh-CN"/>
        </w:rPr>
        <w:t>）形成标准</w:t>
      </w:r>
      <w:r>
        <w:rPr>
          <w:rFonts w:hint="eastAsia" w:ascii="Times New Roman" w:hAnsi="Times New Roman" w:cs="Times New Roman"/>
          <w:b/>
          <w:bCs/>
          <w:color w:val="000000"/>
          <w:sz w:val="32"/>
          <w:szCs w:val="32"/>
          <w:lang w:eastAsia="zh-CN"/>
        </w:rPr>
        <w:t>送审</w:t>
      </w:r>
      <w:r>
        <w:rPr>
          <w:rFonts w:ascii="Times New Roman" w:hAnsi="Times New Roman" w:cs="Times New Roman"/>
          <w:b/>
          <w:bCs/>
          <w:color w:val="000000"/>
          <w:sz w:val="32"/>
          <w:szCs w:val="32"/>
          <w:lang w:eastAsia="zh-CN"/>
        </w:rPr>
        <w:t>稿</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下一步将</w:t>
      </w:r>
      <w:r>
        <w:rPr>
          <w:rFonts w:ascii="Times New Roman" w:hAnsi="Times New Roman" w:cs="Times New Roman"/>
          <w:color w:val="000000"/>
          <w:sz w:val="32"/>
          <w:szCs w:val="32"/>
          <w:lang w:eastAsia="zh-CN"/>
        </w:rPr>
        <w:t>根据相关部门意见进一步</w:t>
      </w:r>
      <w:bookmarkStart w:id="56" w:name="OLE_LINK5"/>
      <w:r>
        <w:rPr>
          <w:rFonts w:ascii="Times New Roman" w:hAnsi="Times New Roman" w:cs="Times New Roman"/>
          <w:color w:val="000000"/>
          <w:sz w:val="32"/>
          <w:szCs w:val="32"/>
          <w:lang w:eastAsia="zh-CN"/>
        </w:rPr>
        <w:t>修改完善，形成标准</w:t>
      </w:r>
      <w:r>
        <w:rPr>
          <w:rFonts w:hint="eastAsia" w:ascii="Times New Roman" w:hAnsi="Times New Roman" w:cs="Times New Roman"/>
          <w:color w:val="000000"/>
          <w:sz w:val="32"/>
          <w:szCs w:val="32"/>
          <w:lang w:eastAsia="zh-CN"/>
        </w:rPr>
        <w:t>送审稿</w:t>
      </w:r>
      <w:r>
        <w:rPr>
          <w:rFonts w:ascii="Times New Roman" w:hAnsi="Times New Roman" w:cs="Times New Roman"/>
          <w:color w:val="000000"/>
          <w:sz w:val="32"/>
          <w:szCs w:val="32"/>
          <w:lang w:eastAsia="zh-CN"/>
        </w:rPr>
        <w:t>。</w:t>
      </w:r>
      <w:bookmarkEnd w:id="56"/>
    </w:p>
    <w:bookmarkEnd w:id="52"/>
    <w:p>
      <w:pPr>
        <w:widowControl/>
        <w:rPr>
          <w:rFonts w:ascii="Times New Roman" w:hAnsi="Times New Roman" w:eastAsia="仿宋" w:cs="Times New Roman"/>
          <w:b/>
          <w:bCs/>
          <w:color w:val="000000"/>
          <w:sz w:val="36"/>
          <w:szCs w:val="36"/>
          <w:lang w:eastAsia="zh-CN"/>
        </w:rPr>
      </w:pPr>
      <w:r>
        <w:rPr>
          <w:rFonts w:ascii="Times New Roman" w:hAnsi="Times New Roman" w:eastAsia="仿宋" w:cs="Times New Roman"/>
          <w:b/>
          <w:bCs/>
          <w:color w:val="000000"/>
          <w:sz w:val="36"/>
          <w:szCs w:val="36"/>
          <w:lang w:eastAsia="zh-CN"/>
        </w:rPr>
        <w:br w:type="page"/>
      </w:r>
    </w:p>
    <w:p>
      <w:pPr>
        <w:keepNext/>
        <w:spacing w:line="360" w:lineRule="auto"/>
        <w:jc w:val="both"/>
        <w:outlineLvl w:val="0"/>
        <w:rPr>
          <w:rFonts w:ascii="Times New Roman" w:hAnsi="Times New Roman" w:eastAsia="仿宋" w:cs="Times New Roman"/>
          <w:b/>
          <w:bCs/>
          <w:color w:val="000000"/>
          <w:sz w:val="36"/>
          <w:szCs w:val="36"/>
          <w:lang w:eastAsia="zh-CN"/>
        </w:rPr>
      </w:pPr>
      <w:bookmarkStart w:id="57" w:name="_Toc7670"/>
      <w:r>
        <w:rPr>
          <w:rFonts w:ascii="Times New Roman" w:hAnsi="Times New Roman" w:eastAsia="仿宋" w:cs="Times New Roman"/>
          <w:b/>
          <w:bCs/>
          <w:color w:val="000000"/>
          <w:sz w:val="36"/>
          <w:szCs w:val="36"/>
          <w:lang w:eastAsia="zh-CN"/>
        </w:rPr>
        <w:t>2 标准制定必要性分析</w:t>
      </w:r>
      <w:bookmarkEnd w:id="53"/>
      <w:bookmarkEnd w:id="54"/>
      <w:bookmarkEnd w:id="57"/>
    </w:p>
    <w:p>
      <w:pPr>
        <w:pStyle w:val="3"/>
        <w:spacing w:line="360" w:lineRule="auto"/>
        <w:ind w:left="0"/>
        <w:outlineLvl w:val="1"/>
        <w:rPr>
          <w:rFonts w:ascii="Times New Roman" w:hAnsi="Times New Roman" w:cs="Times New Roman"/>
          <w:b/>
          <w:bCs/>
          <w:color w:val="000000"/>
          <w:sz w:val="32"/>
          <w:szCs w:val="32"/>
          <w:lang w:eastAsia="zh-CN"/>
        </w:rPr>
      </w:pPr>
      <w:bookmarkStart w:id="58" w:name="2.1防范涉铊水环境风险，加强湖南省工业废水铊污染防控"/>
      <w:bookmarkEnd w:id="58"/>
      <w:bookmarkStart w:id="59" w:name="_bookmark4"/>
      <w:bookmarkEnd w:id="59"/>
      <w:bookmarkStart w:id="60" w:name="_Toc5150"/>
      <w:bookmarkStart w:id="61" w:name="_Toc140337135"/>
      <w:bookmarkStart w:id="62" w:name="_Toc26357"/>
      <w:bookmarkStart w:id="63" w:name="_Toc11502"/>
      <w:r>
        <w:rPr>
          <w:rFonts w:ascii="Times New Roman" w:hAnsi="Times New Roman" w:cs="Times New Roman"/>
          <w:b/>
          <w:bCs/>
          <w:color w:val="000000"/>
          <w:sz w:val="32"/>
          <w:szCs w:val="32"/>
          <w:lang w:eastAsia="zh-CN"/>
        </w:rPr>
        <w:t xml:space="preserve">2.1 </w:t>
      </w:r>
      <w:r>
        <w:rPr>
          <w:rFonts w:hint="eastAsia" w:ascii="Times New Roman" w:hAnsi="Times New Roman" w:cs="Times New Roman"/>
          <w:b/>
          <w:bCs/>
          <w:color w:val="000000"/>
          <w:sz w:val="32"/>
          <w:szCs w:val="32"/>
          <w:lang w:eastAsia="zh-CN"/>
        </w:rPr>
        <w:t>防范高氯酸盐环境污染</w:t>
      </w:r>
      <w:r>
        <w:rPr>
          <w:rFonts w:ascii="Times New Roman" w:hAnsi="Times New Roman" w:cs="Times New Roman"/>
          <w:b/>
          <w:bCs/>
          <w:color w:val="000000"/>
          <w:sz w:val="32"/>
          <w:szCs w:val="32"/>
          <w:lang w:eastAsia="zh-CN"/>
        </w:rPr>
        <w:t>，</w:t>
      </w:r>
      <w:bookmarkEnd w:id="60"/>
      <w:r>
        <w:rPr>
          <w:rFonts w:ascii="Times New Roman" w:hAnsi="Times New Roman" w:cs="Times New Roman"/>
          <w:b/>
          <w:bCs/>
          <w:color w:val="000000"/>
          <w:sz w:val="32"/>
          <w:szCs w:val="32"/>
          <w:lang w:eastAsia="zh-CN"/>
        </w:rPr>
        <w:t>保障居民饮水安全</w:t>
      </w:r>
      <w:bookmarkEnd w:id="61"/>
      <w:bookmarkEnd w:id="62"/>
      <w:bookmarkEnd w:id="63"/>
    </w:p>
    <w:p>
      <w:pPr>
        <w:pStyle w:val="3"/>
        <w:spacing w:line="360" w:lineRule="auto"/>
        <w:ind w:left="0" w:firstLine="640" w:firstLineChars="200"/>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湖南省委省政府高度重视</w:t>
      </w:r>
      <w:r>
        <w:rPr>
          <w:rFonts w:hint="eastAsia" w:ascii="Times New Roman" w:hAnsi="Times New Roman" w:cs="Times New Roman"/>
          <w:color w:val="000000"/>
          <w:sz w:val="32"/>
          <w:szCs w:val="32"/>
          <w:lang w:eastAsia="zh-CN"/>
        </w:rPr>
        <w:t>高氯酸盐污染防控</w:t>
      </w:r>
      <w:r>
        <w:rPr>
          <w:rFonts w:ascii="Times New Roman" w:hAnsi="Times New Roman" w:cs="Times New Roman"/>
          <w:color w:val="000000"/>
          <w:sz w:val="32"/>
          <w:szCs w:val="32"/>
          <w:lang w:eastAsia="zh-CN"/>
        </w:rPr>
        <w:t>，</w:t>
      </w:r>
      <w:r>
        <w:rPr>
          <w:rFonts w:hint="eastAsia" w:ascii="Times New Roman" w:hAnsi="Times New Roman" w:cs="Times New Roman"/>
          <w:color w:val="000000"/>
          <w:sz w:val="32"/>
          <w:szCs w:val="32"/>
          <w:lang w:eastAsia="zh-CN"/>
        </w:rPr>
        <w:t>省生态环境厅</w:t>
      </w:r>
      <w:r>
        <w:rPr>
          <w:rFonts w:ascii="Times New Roman" w:hAnsi="Times New Roman" w:cs="Times New Roman"/>
          <w:color w:val="000000"/>
          <w:sz w:val="32"/>
          <w:szCs w:val="32"/>
          <w:lang w:eastAsia="zh-CN"/>
        </w:rPr>
        <w:t>成立工作专班，</w:t>
      </w:r>
      <w:r>
        <w:rPr>
          <w:rFonts w:hint="eastAsia" w:ascii="Times New Roman" w:hAnsi="Times New Roman" w:cs="Times New Roman"/>
          <w:color w:val="000000"/>
          <w:sz w:val="32"/>
          <w:szCs w:val="32"/>
          <w:lang w:eastAsia="zh-CN"/>
        </w:rPr>
        <w:t>迅速部署开展</w:t>
      </w:r>
      <w:r>
        <w:rPr>
          <w:rFonts w:ascii="Times New Roman" w:hAnsi="Times New Roman" w:cs="Times New Roman"/>
          <w:color w:val="000000"/>
          <w:sz w:val="32"/>
          <w:szCs w:val="32"/>
          <w:lang w:eastAsia="zh-CN"/>
        </w:rPr>
        <w:t>溯源监测、企业监管和源头治理等工作</w:t>
      </w:r>
      <w:r>
        <w:rPr>
          <w:rFonts w:hint="eastAsia" w:ascii="Times New Roman" w:hAnsi="Times New Roman" w:cs="Times New Roman"/>
          <w:color w:val="000000"/>
          <w:sz w:val="32"/>
          <w:szCs w:val="32"/>
          <w:lang w:eastAsia="zh-CN"/>
        </w:rPr>
        <w:t>。为</w:t>
      </w:r>
      <w:r>
        <w:rPr>
          <w:rFonts w:ascii="Times New Roman" w:hAnsi="Times New Roman" w:cs="Times New Roman"/>
          <w:color w:val="000000"/>
          <w:sz w:val="32"/>
          <w:szCs w:val="32"/>
          <w:lang w:eastAsia="zh-CN"/>
        </w:rPr>
        <w:t>保障居民饮用水安全，需要从源头加强对企业排放</w:t>
      </w:r>
      <w:r>
        <w:rPr>
          <w:rFonts w:hint="eastAsia" w:ascii="Times New Roman" w:hAnsi="Times New Roman" w:cs="Times New Roman"/>
          <w:color w:val="000000"/>
          <w:sz w:val="32"/>
          <w:szCs w:val="32"/>
          <w:lang w:eastAsia="zh-CN"/>
        </w:rPr>
        <w:t>废水</w:t>
      </w:r>
      <w:r>
        <w:rPr>
          <w:rFonts w:ascii="Times New Roman" w:hAnsi="Times New Roman" w:cs="Times New Roman"/>
          <w:color w:val="000000"/>
          <w:sz w:val="32"/>
          <w:szCs w:val="32"/>
          <w:lang w:eastAsia="zh-CN"/>
        </w:rPr>
        <w:t>监管，制定符合湖南省水</w:t>
      </w:r>
      <w:r>
        <w:rPr>
          <w:rFonts w:hint="eastAsia" w:ascii="Times New Roman" w:hAnsi="Times New Roman" w:cs="Times New Roman"/>
          <w:color w:val="000000"/>
          <w:sz w:val="32"/>
          <w:szCs w:val="32"/>
          <w:lang w:eastAsia="zh-CN"/>
        </w:rPr>
        <w:t>生态</w:t>
      </w:r>
      <w:r>
        <w:rPr>
          <w:rFonts w:ascii="Times New Roman" w:hAnsi="Times New Roman" w:cs="Times New Roman"/>
          <w:color w:val="000000"/>
          <w:sz w:val="32"/>
          <w:szCs w:val="32"/>
          <w:lang w:eastAsia="zh-CN"/>
        </w:rPr>
        <w:t>环境管理要求的高氯酸盐污染物排放标准。</w:t>
      </w:r>
    </w:p>
    <w:p>
      <w:pPr>
        <w:pStyle w:val="3"/>
        <w:spacing w:line="360" w:lineRule="auto"/>
        <w:ind w:left="0"/>
        <w:outlineLvl w:val="1"/>
        <w:rPr>
          <w:rFonts w:ascii="Times New Roman" w:hAnsi="Times New Roman" w:cs="Times New Roman"/>
          <w:b/>
          <w:bCs/>
          <w:color w:val="000000"/>
          <w:sz w:val="32"/>
          <w:szCs w:val="32"/>
          <w:lang w:eastAsia="zh-CN"/>
        </w:rPr>
      </w:pPr>
      <w:bookmarkStart w:id="64" w:name="_bookmark5"/>
      <w:bookmarkEnd w:id="64"/>
      <w:bookmarkStart w:id="65" w:name="2.2提高涉铊行业污染防治水平，推动含铊废水的治理"/>
      <w:bookmarkEnd w:id="65"/>
      <w:bookmarkStart w:id="66" w:name="_Toc24527"/>
      <w:bookmarkStart w:id="67" w:name="_Toc15244"/>
      <w:bookmarkStart w:id="68" w:name="_Toc9257"/>
      <w:bookmarkStart w:id="69" w:name="_Toc140337136"/>
      <w:r>
        <w:rPr>
          <w:rFonts w:ascii="Times New Roman" w:hAnsi="Times New Roman" w:cs="Times New Roman"/>
          <w:b/>
          <w:bCs/>
          <w:color w:val="000000"/>
          <w:sz w:val="32"/>
          <w:szCs w:val="32"/>
          <w:lang w:eastAsia="zh-CN"/>
        </w:rPr>
        <w:t>2.2 加强企业废水排放监管，</w:t>
      </w:r>
      <w:bookmarkEnd w:id="66"/>
      <w:bookmarkEnd w:id="67"/>
      <w:r>
        <w:rPr>
          <w:rFonts w:ascii="Times New Roman" w:hAnsi="Times New Roman" w:cs="Times New Roman"/>
          <w:b/>
          <w:bCs/>
          <w:color w:val="000000"/>
          <w:sz w:val="32"/>
          <w:szCs w:val="32"/>
          <w:lang w:eastAsia="zh-CN"/>
        </w:rPr>
        <w:t>推动</w:t>
      </w:r>
      <w:r>
        <w:rPr>
          <w:rFonts w:hint="eastAsia" w:ascii="Times New Roman" w:hAnsi="Times New Roman" w:cs="Times New Roman"/>
          <w:b/>
          <w:bCs/>
          <w:color w:val="000000"/>
          <w:sz w:val="32"/>
          <w:szCs w:val="32"/>
          <w:lang w:eastAsia="zh-CN"/>
        </w:rPr>
        <w:t>涉高氯酸盐</w:t>
      </w:r>
      <w:r>
        <w:rPr>
          <w:rFonts w:ascii="Times New Roman" w:hAnsi="Times New Roman" w:cs="Times New Roman"/>
          <w:b/>
          <w:bCs/>
          <w:color w:val="000000"/>
          <w:sz w:val="32"/>
          <w:szCs w:val="32"/>
          <w:lang w:eastAsia="zh-CN"/>
        </w:rPr>
        <w:t>行业绿色发展</w:t>
      </w:r>
      <w:bookmarkEnd w:id="68"/>
      <w:bookmarkEnd w:id="69"/>
      <w:r>
        <w:rPr>
          <w:rFonts w:ascii="Times New Roman" w:hAnsi="Times New Roman" w:cs="Times New Roman"/>
          <w:b/>
          <w:bCs/>
          <w:color w:val="000000"/>
          <w:sz w:val="32"/>
          <w:szCs w:val="32"/>
          <w:lang w:eastAsia="zh-CN"/>
        </w:rPr>
        <w:t xml:space="preserve"> </w:t>
      </w:r>
    </w:p>
    <w:p>
      <w:pPr>
        <w:pStyle w:val="3"/>
        <w:spacing w:line="360" w:lineRule="auto"/>
        <w:ind w:left="0" w:firstLine="640" w:firstLineChars="200"/>
        <w:jc w:val="both"/>
        <w:rPr>
          <w:rFonts w:ascii="Times New Roman" w:hAnsi="Times New Roman" w:cs="Times New Roman"/>
          <w:b/>
          <w:bCs/>
          <w:color w:val="000000"/>
          <w:sz w:val="36"/>
          <w:szCs w:val="36"/>
          <w:lang w:eastAsia="zh-CN"/>
        </w:rPr>
      </w:pPr>
      <w:r>
        <w:rPr>
          <w:rFonts w:ascii="Times New Roman" w:hAnsi="Times New Roman" w:cs="Times New Roman"/>
          <w:color w:val="000000"/>
          <w:sz w:val="32"/>
          <w:szCs w:val="32"/>
          <w:lang w:eastAsia="zh-CN"/>
        </w:rPr>
        <w:t>目前，除国家卫健委发布的《生活饮用水卫生标准》（GB 5749-2022）外，国家和省级层面均没有对高氯酸盐污染物提出管控要求，没有环境质量标准和排放标准，这也造成了生态环境等监管部门无</w:t>
      </w:r>
      <w:r>
        <w:rPr>
          <w:rFonts w:hint="eastAsia" w:ascii="Times New Roman" w:hAnsi="Times New Roman" w:cs="Times New Roman"/>
          <w:color w:val="000000"/>
          <w:sz w:val="32"/>
          <w:szCs w:val="32"/>
          <w:lang w:val="en-US" w:eastAsia="zh-CN"/>
        </w:rPr>
        <w:t>标准</w:t>
      </w:r>
      <w:r>
        <w:rPr>
          <w:rFonts w:ascii="Times New Roman" w:hAnsi="Times New Roman" w:cs="Times New Roman"/>
          <w:color w:val="000000"/>
          <w:sz w:val="32"/>
          <w:szCs w:val="32"/>
          <w:lang w:eastAsia="zh-CN"/>
        </w:rPr>
        <w:t>可依，监管、执法工作难以有效开展。制定废水高氯酸盐污染物排放标准</w:t>
      </w:r>
      <w:r>
        <w:rPr>
          <w:rFonts w:hint="eastAsia" w:ascii="Times New Roman" w:hAnsi="Times New Roman" w:cs="Times New Roman"/>
          <w:color w:val="000000"/>
          <w:sz w:val="32"/>
          <w:szCs w:val="32"/>
          <w:lang w:eastAsia="zh-CN"/>
        </w:rPr>
        <w:t>，有利于指导</w:t>
      </w:r>
      <w:r>
        <w:rPr>
          <w:rFonts w:ascii="Times New Roman" w:hAnsi="Times New Roman" w:cs="Times New Roman"/>
          <w:color w:val="000000"/>
          <w:sz w:val="32"/>
          <w:szCs w:val="32"/>
          <w:lang w:eastAsia="zh-CN"/>
        </w:rPr>
        <w:t>企业加强污染防治，推动</w:t>
      </w:r>
      <w:r>
        <w:rPr>
          <w:rFonts w:hint="eastAsia" w:ascii="Times New Roman" w:hAnsi="Times New Roman" w:cs="Times New Roman"/>
          <w:color w:val="000000"/>
          <w:sz w:val="32"/>
          <w:szCs w:val="32"/>
          <w:lang w:eastAsia="zh-CN"/>
        </w:rPr>
        <w:t>涉高氯酸盐行业</w:t>
      </w:r>
      <w:r>
        <w:rPr>
          <w:rFonts w:ascii="Times New Roman" w:hAnsi="Times New Roman" w:cs="Times New Roman"/>
          <w:color w:val="000000"/>
          <w:sz w:val="32"/>
          <w:szCs w:val="32"/>
          <w:lang w:eastAsia="zh-CN"/>
        </w:rPr>
        <w:t>绿色发展。</w:t>
      </w:r>
      <w:bookmarkStart w:id="70" w:name="_bookmark7"/>
      <w:bookmarkEnd w:id="70"/>
      <w:bookmarkStart w:id="71" w:name="3涉铊行业产排污分析"/>
      <w:bookmarkEnd w:id="71"/>
      <w:bookmarkStart w:id="72" w:name="_Toc6483"/>
      <w:bookmarkStart w:id="73" w:name="_Toc13667"/>
      <w:bookmarkStart w:id="74" w:name="_Toc841"/>
      <w:bookmarkStart w:id="75" w:name="_Toc27692"/>
    </w:p>
    <w:p>
      <w:pPr>
        <w:widowControl/>
        <w:rPr>
          <w:rFonts w:ascii="Times New Roman" w:hAnsi="Times New Roman" w:eastAsia="仿宋" w:cs="Times New Roman"/>
          <w:b/>
          <w:bCs/>
          <w:color w:val="000000"/>
          <w:sz w:val="36"/>
          <w:szCs w:val="36"/>
          <w:lang w:eastAsia="zh-CN"/>
        </w:rPr>
      </w:pPr>
      <w:r>
        <w:rPr>
          <w:rFonts w:ascii="Times New Roman" w:hAnsi="Times New Roman" w:eastAsia="仿宋" w:cs="Times New Roman"/>
          <w:b/>
          <w:bCs/>
          <w:color w:val="000000"/>
          <w:sz w:val="36"/>
          <w:szCs w:val="36"/>
          <w:lang w:eastAsia="zh-CN"/>
        </w:rPr>
        <w:br w:type="page"/>
      </w:r>
    </w:p>
    <w:p>
      <w:pPr>
        <w:keepNext/>
        <w:spacing w:line="360" w:lineRule="auto"/>
        <w:jc w:val="both"/>
        <w:outlineLvl w:val="0"/>
        <w:rPr>
          <w:rFonts w:ascii="Times New Roman" w:hAnsi="Times New Roman" w:eastAsia="仿宋" w:cs="Times New Roman"/>
          <w:b/>
          <w:bCs/>
          <w:color w:val="000000"/>
          <w:sz w:val="36"/>
          <w:szCs w:val="36"/>
          <w:lang w:eastAsia="zh-CN"/>
        </w:rPr>
      </w:pPr>
      <w:bookmarkStart w:id="76" w:name="_Toc15042"/>
      <w:r>
        <w:rPr>
          <w:rFonts w:ascii="Times New Roman" w:hAnsi="Times New Roman" w:eastAsia="仿宋" w:cs="Times New Roman"/>
          <w:b/>
          <w:bCs/>
          <w:color w:val="000000"/>
          <w:sz w:val="36"/>
          <w:szCs w:val="36"/>
          <w:lang w:eastAsia="zh-CN"/>
        </w:rPr>
        <w:t>3 国内外相关标准情况</w:t>
      </w:r>
      <w:bookmarkEnd w:id="72"/>
      <w:bookmarkEnd w:id="73"/>
      <w:bookmarkEnd w:id="76"/>
    </w:p>
    <w:p>
      <w:pPr>
        <w:pStyle w:val="3"/>
        <w:spacing w:line="360" w:lineRule="auto"/>
        <w:ind w:left="0"/>
        <w:jc w:val="both"/>
        <w:outlineLvl w:val="1"/>
        <w:rPr>
          <w:rFonts w:ascii="Times New Roman" w:hAnsi="Times New Roman" w:cs="Times New Roman"/>
          <w:b/>
          <w:bCs/>
          <w:color w:val="000000"/>
          <w:sz w:val="32"/>
          <w:szCs w:val="32"/>
          <w:lang w:eastAsia="zh-CN"/>
        </w:rPr>
      </w:pPr>
      <w:bookmarkStart w:id="77" w:name="_bookmark23"/>
      <w:bookmarkEnd w:id="77"/>
      <w:bookmarkStart w:id="78" w:name="5.1国内相关涉铊标准对比"/>
      <w:bookmarkEnd w:id="78"/>
      <w:bookmarkStart w:id="79" w:name="_Toc2061"/>
      <w:bookmarkStart w:id="80" w:name="_Toc30324"/>
      <w:r>
        <w:rPr>
          <w:rFonts w:ascii="Times New Roman" w:hAnsi="Times New Roman" w:cs="Times New Roman"/>
          <w:b/>
          <w:bCs/>
          <w:color w:val="000000"/>
          <w:sz w:val="32"/>
          <w:szCs w:val="32"/>
          <w:lang w:eastAsia="zh-CN"/>
        </w:rPr>
        <w:t>3.1 国外涉高氯酸盐标准</w:t>
      </w:r>
      <w:bookmarkEnd w:id="79"/>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目前，对高氯酸盐污染</w:t>
      </w:r>
      <w:r>
        <w:rPr>
          <w:rFonts w:hint="eastAsia" w:ascii="Times New Roman" w:hAnsi="Times New Roman" w:cs="Times New Roman"/>
          <w:color w:val="000000"/>
          <w:sz w:val="32"/>
          <w:szCs w:val="32"/>
          <w:lang w:eastAsia="zh-CN"/>
        </w:rPr>
        <w:t>治理</w:t>
      </w:r>
      <w:r>
        <w:rPr>
          <w:rFonts w:ascii="Times New Roman" w:hAnsi="Times New Roman" w:cs="Times New Roman"/>
          <w:color w:val="000000"/>
          <w:sz w:val="32"/>
          <w:szCs w:val="32"/>
          <w:lang w:eastAsia="zh-CN"/>
        </w:rPr>
        <w:t>研究最多最深入的国家是美国，美国环境保护署（EPA）和美国许多州已经对环境水体和饮用水中高氯酸盐的浓度做出了建议性规定，且高氯酸盐已被美国EPA列入到环境污染物候选名单。2005年，EPA将人体每日摄入高氯酸盐的安全浓度限值规定为0.7 μg/(kg•d)，合计饮用水当量安全阈值24.5 μg/L，2009年EPA推荐饮用水的高氯酸盐参考浓度限值为15 μg/L。此外，在2005-2016年，美国20个地方州相继对饮用水中高氯酸盐浓度做出了规定，</w:t>
      </w:r>
      <w:r>
        <w:rPr>
          <w:rFonts w:hint="eastAsia" w:ascii="Times New Roman" w:hAnsi="Times New Roman" w:cs="Times New Roman"/>
          <w:color w:val="000000"/>
          <w:sz w:val="32"/>
          <w:szCs w:val="32"/>
          <w:lang w:eastAsia="zh-CN"/>
        </w:rPr>
        <w:t>浓度限值</w:t>
      </w:r>
      <w:r>
        <w:rPr>
          <w:rFonts w:ascii="Times New Roman" w:hAnsi="Times New Roman" w:cs="Times New Roman"/>
          <w:color w:val="000000"/>
          <w:sz w:val="32"/>
          <w:szCs w:val="32"/>
          <w:lang w:eastAsia="zh-CN"/>
        </w:rPr>
        <w:t>为0.8-71 μg/L。然而，美国尚未制定高氯酸盐废水排放标准。</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其他多个国家和组织规定了饮用水中高氯酸盐浓度限值。加拿大饮用水中高氯酸盐浓度限值为6 μg/L；韩国将高氯酸盐列入水污染物名单，并规定其浓度限值为15 μg/L；日本规定作为水源的地下水中高氯酸盐浓度限值为15 μg/L；世界卫生组织规定饮用水中高氯酸盐浓度限值为70 μg/L</w:t>
      </w:r>
      <w:r>
        <w:rPr>
          <w:rFonts w:ascii="Times New Roman" w:hAnsi="Times New Roman" w:cs="Times New Roman"/>
          <w:color w:val="000000"/>
          <w:spacing w:val="2"/>
          <w:sz w:val="32"/>
          <w:szCs w:val="32"/>
          <w:lang w:eastAsia="zh-CN"/>
        </w:rPr>
        <w:t>；</w:t>
      </w:r>
      <w:r>
        <w:rPr>
          <w:rFonts w:ascii="Times New Roman" w:hAnsi="Times New Roman" w:cs="Times New Roman"/>
          <w:color w:val="000000"/>
          <w:sz w:val="32"/>
          <w:szCs w:val="32"/>
          <w:lang w:eastAsia="zh-CN"/>
        </w:rPr>
        <w:t>我</w:t>
      </w:r>
      <w:r>
        <w:rPr>
          <w:rFonts w:ascii="Times New Roman" w:hAnsi="Times New Roman" w:cs="Times New Roman"/>
          <w:color w:val="000000"/>
          <w:spacing w:val="2"/>
          <w:sz w:val="32"/>
          <w:szCs w:val="32"/>
          <w:lang w:eastAsia="zh-CN"/>
        </w:rPr>
        <w:t>国</w:t>
      </w:r>
      <w:r>
        <w:rPr>
          <w:rFonts w:ascii="Times New Roman" w:hAnsi="Times New Roman" w:cs="Times New Roman"/>
          <w:color w:val="000000"/>
          <w:sz w:val="32"/>
          <w:szCs w:val="32"/>
          <w:lang w:eastAsia="zh-CN"/>
        </w:rPr>
        <w:t>《生活饮用水卫生标</w:t>
      </w:r>
      <w:r>
        <w:rPr>
          <w:rFonts w:ascii="Times New Roman" w:hAnsi="Times New Roman" w:cs="Times New Roman"/>
          <w:color w:val="000000"/>
          <w:spacing w:val="2"/>
          <w:sz w:val="32"/>
          <w:szCs w:val="32"/>
          <w:lang w:eastAsia="zh-CN"/>
        </w:rPr>
        <w:t>准</w:t>
      </w:r>
      <w:r>
        <w:rPr>
          <w:rFonts w:ascii="Times New Roman" w:hAnsi="Times New Roman" w:cs="Times New Roman"/>
          <w:color w:val="000000"/>
          <w:spacing w:val="-5"/>
          <w:sz w:val="32"/>
          <w:szCs w:val="32"/>
          <w:lang w:eastAsia="zh-CN"/>
        </w:rPr>
        <w:t>》</w:t>
      </w:r>
      <w:r>
        <w:rPr>
          <w:rFonts w:ascii="Times New Roman" w:hAnsi="Times New Roman" w:cs="Times New Roman"/>
          <w:color w:val="000000"/>
          <w:sz w:val="32"/>
          <w:szCs w:val="32"/>
          <w:lang w:eastAsia="zh-CN"/>
        </w:rPr>
        <w:t>（</w:t>
      </w:r>
      <w:r>
        <w:rPr>
          <w:rFonts w:ascii="Times New Roman" w:hAnsi="Times New Roman" w:cs="Times New Roman"/>
          <w:color w:val="000000"/>
          <w:spacing w:val="-1"/>
          <w:sz w:val="32"/>
          <w:szCs w:val="32"/>
          <w:lang w:eastAsia="zh-CN"/>
        </w:rPr>
        <w:t>G</w:t>
      </w:r>
      <w:r>
        <w:rPr>
          <w:rFonts w:ascii="Times New Roman" w:hAnsi="Times New Roman" w:cs="Times New Roman"/>
          <w:color w:val="000000"/>
          <w:sz w:val="32"/>
          <w:szCs w:val="32"/>
          <w:lang w:eastAsia="zh-CN"/>
        </w:rPr>
        <w:t>B 5749</w:t>
      </w:r>
      <w:r>
        <w:rPr>
          <w:rFonts w:ascii="Times New Roman" w:hAnsi="Times New Roman" w:cs="Times New Roman"/>
          <w:color w:val="000000"/>
          <w:spacing w:val="-1"/>
          <w:sz w:val="32"/>
          <w:szCs w:val="32"/>
          <w:lang w:eastAsia="zh-CN"/>
        </w:rPr>
        <w:t>-</w:t>
      </w:r>
      <w:r>
        <w:rPr>
          <w:rFonts w:ascii="Times New Roman" w:hAnsi="Times New Roman" w:cs="Times New Roman"/>
          <w:color w:val="000000"/>
          <w:sz w:val="32"/>
          <w:szCs w:val="32"/>
          <w:lang w:eastAsia="zh-CN"/>
        </w:rPr>
        <w:t>2022）规定饮用水中标准限值为70 μg/L，与世界卫生组织标准一致，宽于其他国家标准。</w:t>
      </w:r>
    </w:p>
    <w:p>
      <w:pPr>
        <w:pStyle w:val="3"/>
        <w:spacing w:line="360" w:lineRule="auto"/>
        <w:ind w:left="0" w:firstLine="642" w:firstLineChars="200"/>
        <w:jc w:val="both"/>
        <w:rPr>
          <w:rFonts w:ascii="Times New Roman" w:hAnsi="Times New Roman" w:cs="Times New Roman"/>
          <w:b/>
          <w:bCs/>
          <w:color w:val="000000"/>
          <w:sz w:val="28"/>
          <w:szCs w:val="28"/>
          <w:lang w:eastAsia="zh-CN"/>
        </w:rPr>
      </w:pPr>
      <w:r>
        <w:rPr>
          <w:rFonts w:ascii="Times New Roman" w:hAnsi="Times New Roman" w:cs="Times New Roman"/>
          <w:b/>
          <w:bCs/>
          <w:color w:val="000000"/>
          <w:sz w:val="32"/>
          <w:szCs w:val="32"/>
          <w:lang w:eastAsia="zh-CN"/>
        </w:rPr>
        <w:t>综上，</w:t>
      </w:r>
      <w:r>
        <w:rPr>
          <w:rFonts w:ascii="Times New Roman" w:hAnsi="Times New Roman" w:cs="Times New Roman"/>
          <w:b/>
          <w:bCs/>
          <w:color w:val="000000"/>
          <w:sz w:val="30"/>
          <w:szCs w:val="30"/>
          <w:lang w:eastAsia="zh-CN"/>
        </w:rPr>
        <w:t>不同国家和地区对</w:t>
      </w:r>
      <w:r>
        <w:rPr>
          <w:rFonts w:ascii="Times New Roman" w:hAnsi="Times New Roman" w:cs="Times New Roman"/>
          <w:b/>
          <w:bCs/>
          <w:color w:val="000000"/>
          <w:sz w:val="32"/>
          <w:szCs w:val="32"/>
          <w:lang w:eastAsia="zh-CN"/>
        </w:rPr>
        <w:t>饮用水中高氯酸盐浓度提出了限值要求，没有对高氯酸盐排放提出管控要求。</w:t>
      </w:r>
    </w:p>
    <w:p>
      <w:pPr>
        <w:pStyle w:val="3"/>
        <w:keepNext/>
        <w:spacing w:line="360" w:lineRule="auto"/>
        <w:ind w:left="0"/>
        <w:jc w:val="both"/>
        <w:outlineLvl w:val="1"/>
        <w:rPr>
          <w:rFonts w:ascii="Times New Roman" w:hAnsi="Times New Roman" w:cs="Times New Roman"/>
          <w:b/>
          <w:bCs/>
          <w:color w:val="000000"/>
          <w:sz w:val="32"/>
          <w:szCs w:val="32"/>
          <w:lang w:eastAsia="zh-CN"/>
        </w:rPr>
      </w:pPr>
      <w:bookmarkStart w:id="81" w:name="_Toc6938"/>
      <w:bookmarkStart w:id="82" w:name="_Hlk140268255"/>
      <w:r>
        <w:rPr>
          <w:rFonts w:ascii="Times New Roman" w:hAnsi="Times New Roman" w:cs="Times New Roman"/>
          <w:b/>
          <w:bCs/>
          <w:color w:val="000000"/>
          <w:sz w:val="32"/>
          <w:szCs w:val="32"/>
          <w:lang w:eastAsia="zh-CN"/>
        </w:rPr>
        <w:t>3.2 国内涉高氯酸盐标准</w:t>
      </w:r>
      <w:bookmarkEnd w:id="80"/>
      <w:bookmarkEnd w:id="81"/>
    </w:p>
    <w:p>
      <w:pPr>
        <w:pStyle w:val="3"/>
        <w:spacing w:line="360" w:lineRule="auto"/>
        <w:ind w:left="0" w:firstLine="640" w:firstLineChars="200"/>
        <w:jc w:val="both"/>
        <w:rPr>
          <w:rFonts w:ascii="Times New Roman" w:hAnsi="Times New Roman" w:cs="Times New Roman"/>
          <w:color w:val="000000"/>
          <w:sz w:val="32"/>
          <w:szCs w:val="32"/>
          <w:lang w:eastAsia="zh-CN"/>
        </w:rPr>
        <w:sectPr>
          <w:footerReference r:id="rId4" w:type="default"/>
          <w:pgSz w:w="11906" w:h="16840"/>
          <w:pgMar w:top="1440" w:right="1560" w:bottom="1380" w:left="1680" w:header="0" w:footer="1196" w:gutter="0"/>
          <w:pgNumType w:start="1"/>
          <w:cols w:space="720" w:num="1"/>
        </w:sectPr>
      </w:pPr>
      <w:r>
        <w:rPr>
          <w:rFonts w:ascii="Times New Roman" w:hAnsi="Times New Roman" w:cs="Times New Roman"/>
          <w:color w:val="000000"/>
          <w:sz w:val="32"/>
          <w:szCs w:val="32"/>
          <w:lang w:eastAsia="zh-CN"/>
        </w:rPr>
        <w:t>我国《地表水环境质量标准》（GB3838-2002）、《农田灌溉水质标准》（GB5084-2021）、《渔业水质标准》（GB11607-89）和《海水水质标准》（GB3097-1997）中均未规定高氯酸盐指标。《农田灌溉水质标准》（GB5084-2021）中规定了全盐量要求（非盐碱地区1000</w:t>
      </w:r>
      <w:r>
        <w:rPr>
          <w:rFonts w:hint="eastAsia" w:ascii="Times New Roman" w:hAnsi="Times New Roman" w:cs="Times New Roman"/>
          <w:color w:val="000000"/>
          <w:sz w:val="32"/>
          <w:szCs w:val="32"/>
          <w:lang w:eastAsia="zh-CN"/>
        </w:rPr>
        <w:t xml:space="preserve"> </w:t>
      </w:r>
      <w:r>
        <w:rPr>
          <w:rFonts w:ascii="Times New Roman" w:hAnsi="Times New Roman" w:cs="Times New Roman"/>
          <w:color w:val="000000"/>
          <w:sz w:val="32"/>
          <w:szCs w:val="32"/>
          <w:lang w:eastAsia="zh-CN"/>
        </w:rPr>
        <w:t>mg/L；盐碱地区2000</w:t>
      </w:r>
      <w:r>
        <w:rPr>
          <w:rFonts w:hint="eastAsia" w:ascii="Times New Roman" w:hAnsi="Times New Roman" w:cs="Times New Roman"/>
          <w:color w:val="000000"/>
          <w:sz w:val="32"/>
          <w:szCs w:val="32"/>
          <w:lang w:eastAsia="zh-CN"/>
        </w:rPr>
        <w:t xml:space="preserve"> </w:t>
      </w:r>
      <w:r>
        <w:rPr>
          <w:rFonts w:ascii="Times New Roman" w:hAnsi="Times New Roman" w:cs="Times New Roman"/>
          <w:color w:val="000000"/>
          <w:sz w:val="32"/>
          <w:szCs w:val="32"/>
          <w:lang w:eastAsia="zh-CN"/>
        </w:rPr>
        <w:t>mg/L），虽涵盖高氯酸盐，但限值水平不足以对高氯酸盐进行控制。我国涉及高氯酸盐排放的行业主要是高氯酸盐</w:t>
      </w:r>
      <w:r>
        <w:rPr>
          <w:rFonts w:hint="eastAsia" w:ascii="Times New Roman" w:hAnsi="Times New Roman" w:cs="Times New Roman"/>
          <w:color w:val="000000"/>
          <w:sz w:val="32"/>
          <w:szCs w:val="32"/>
          <w:lang w:eastAsia="zh-CN"/>
        </w:rPr>
        <w:t>生产行</w:t>
      </w:r>
      <w:r>
        <w:rPr>
          <w:rFonts w:ascii="Times New Roman" w:hAnsi="Times New Roman" w:cs="Times New Roman"/>
          <w:color w:val="000000"/>
          <w:sz w:val="32"/>
          <w:szCs w:val="32"/>
          <w:lang w:eastAsia="zh-CN"/>
        </w:rPr>
        <w:t>业，烟花爆竹产品制造业，炸药及</w:t>
      </w:r>
      <w:r>
        <w:rPr>
          <w:rFonts w:hint="eastAsia" w:ascii="Times New Roman" w:hAnsi="Times New Roman" w:cs="Times New Roman"/>
          <w:color w:val="000000"/>
          <w:sz w:val="32"/>
          <w:szCs w:val="32"/>
          <w:lang w:eastAsia="zh-CN"/>
        </w:rPr>
        <w:t>军工</w:t>
      </w:r>
      <w:r>
        <w:rPr>
          <w:rFonts w:ascii="Times New Roman" w:hAnsi="Times New Roman" w:cs="Times New Roman"/>
          <w:color w:val="000000"/>
          <w:sz w:val="32"/>
          <w:szCs w:val="32"/>
          <w:lang w:eastAsia="zh-CN"/>
        </w:rPr>
        <w:t>产品制造业，适用的水污染物排放标准包括</w:t>
      </w:r>
      <w:r>
        <w:rPr>
          <w:rFonts w:hint="eastAsia" w:ascii="Times New Roman" w:hAnsi="Times New Roman" w:cs="Times New Roman"/>
          <w:color w:val="000000"/>
          <w:sz w:val="32"/>
          <w:szCs w:val="32"/>
          <w:lang w:eastAsia="zh-CN"/>
        </w:rPr>
        <w:t>《无机化学工业污染物排放标准》（</w:t>
      </w:r>
      <w:r>
        <w:rPr>
          <w:rFonts w:ascii="Times New Roman" w:hAnsi="Times New Roman" w:cs="Times New Roman"/>
          <w:color w:val="000000"/>
          <w:sz w:val="32"/>
          <w:szCs w:val="32"/>
          <w:lang w:eastAsia="zh-CN"/>
        </w:rPr>
        <w:t>GB 31573-2015</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《污水综合排放标准》（GB8978-1996）和兵器工业《兵器工业水污染物排放标准 火炸药》（GB14470.1-2002）、《兵器工业水污染物排放标准 火工药剂》（GB14470.2-2002）、《弹药装药行业水污染物排放标准》（GB14470.3-2011）等行业排放标准，但这类涉高氯酸盐行业标准中均无针对高氯酸盐的排放管控要求。</w:t>
      </w:r>
      <w:r>
        <w:rPr>
          <w:rFonts w:ascii="Times New Roman" w:hAnsi="Times New Roman" w:cs="Times New Roman"/>
          <w:b/>
          <w:bCs/>
          <w:color w:val="000000"/>
          <w:sz w:val="32"/>
          <w:szCs w:val="32"/>
          <w:lang w:eastAsia="zh-CN"/>
        </w:rPr>
        <w:t>经核实，现行65项国家水污染物排放标准中均未设置该项指标。</w:t>
      </w:r>
    </w:p>
    <w:bookmarkEnd w:id="82"/>
    <w:p>
      <w:pPr>
        <w:keepNext/>
        <w:spacing w:line="360" w:lineRule="auto"/>
        <w:jc w:val="both"/>
        <w:outlineLvl w:val="0"/>
        <w:rPr>
          <w:rFonts w:ascii="Times New Roman" w:hAnsi="Times New Roman" w:eastAsia="仿宋" w:cs="Times New Roman"/>
          <w:b/>
          <w:bCs/>
          <w:color w:val="000000"/>
          <w:sz w:val="36"/>
          <w:szCs w:val="36"/>
          <w:lang w:eastAsia="zh-CN"/>
        </w:rPr>
      </w:pPr>
      <w:bookmarkStart w:id="83" w:name="_Toc9880"/>
      <w:r>
        <w:rPr>
          <w:rFonts w:ascii="Times New Roman" w:hAnsi="Times New Roman" w:eastAsia="仿宋" w:cs="Times New Roman"/>
          <w:b/>
          <w:bCs/>
          <w:color w:val="000000"/>
          <w:sz w:val="36"/>
          <w:szCs w:val="36"/>
          <w:lang w:eastAsia="zh-CN"/>
        </w:rPr>
        <w:t>4 涉高氯酸盐行业产排污分析</w:t>
      </w:r>
      <w:bookmarkEnd w:id="74"/>
      <w:bookmarkEnd w:id="75"/>
      <w:bookmarkEnd w:id="83"/>
    </w:p>
    <w:p>
      <w:pPr>
        <w:pStyle w:val="3"/>
        <w:spacing w:line="360" w:lineRule="auto"/>
        <w:ind w:left="0"/>
        <w:jc w:val="both"/>
        <w:outlineLvl w:val="1"/>
        <w:rPr>
          <w:rFonts w:ascii="Times New Roman" w:hAnsi="Times New Roman" w:cs="Times New Roman"/>
          <w:b/>
          <w:bCs/>
          <w:color w:val="000000"/>
          <w:sz w:val="32"/>
          <w:szCs w:val="32"/>
          <w:lang w:eastAsia="zh-CN"/>
        </w:rPr>
      </w:pPr>
      <w:bookmarkStart w:id="84" w:name="3.1铊的污染现状"/>
      <w:bookmarkEnd w:id="84"/>
      <w:bookmarkStart w:id="85" w:name="_bookmark8"/>
      <w:bookmarkEnd w:id="85"/>
      <w:bookmarkStart w:id="86" w:name="_Toc21985"/>
      <w:bookmarkStart w:id="87" w:name="_Toc29375"/>
      <w:r>
        <w:rPr>
          <w:rFonts w:ascii="Times New Roman" w:hAnsi="Times New Roman" w:cs="Times New Roman"/>
          <w:b/>
          <w:bCs/>
          <w:color w:val="000000"/>
          <w:sz w:val="32"/>
          <w:szCs w:val="32"/>
          <w:lang w:eastAsia="zh-CN"/>
        </w:rPr>
        <w:t>4.1  高氯酸盐生产企业产排污分析</w:t>
      </w:r>
      <w:bookmarkEnd w:id="86"/>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（1）全国高氯酸盐产能</w:t>
      </w:r>
      <w:r>
        <w:rPr>
          <w:rFonts w:hint="eastAsia" w:ascii="Times New Roman" w:hAnsi="Times New Roman" w:cs="Times New Roman"/>
          <w:b/>
          <w:bCs/>
          <w:color w:val="000000"/>
          <w:sz w:val="32"/>
          <w:szCs w:val="32"/>
          <w:lang w:eastAsia="zh-CN"/>
        </w:rPr>
        <w:t>及趋势分析</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我国高氯酸盐产品主要包括高氯酸钾、高氯酸钠、高氯酸铵，全国年产能合计约30多万吨，主要分布在湖南、四川、青海等地，其中湖南省年产能最高9.25万吨，占比达30.4%。</w:t>
      </w:r>
      <w:r>
        <w:rPr>
          <w:rFonts w:hint="eastAsia" w:ascii="Times New Roman" w:hAnsi="Times New Roman" w:cs="Times New Roman"/>
          <w:color w:val="000000"/>
          <w:sz w:val="32"/>
          <w:szCs w:val="32"/>
          <w:lang w:eastAsia="zh-CN"/>
        </w:rPr>
        <w:t>2</w:t>
      </w:r>
      <w:r>
        <w:rPr>
          <w:rFonts w:ascii="Times New Roman" w:hAnsi="Times New Roman" w:cs="Times New Roman"/>
          <w:color w:val="000000"/>
          <w:sz w:val="32"/>
          <w:szCs w:val="32"/>
          <w:lang w:eastAsia="zh-CN"/>
        </w:rPr>
        <w:t>015</w:t>
      </w:r>
      <w:r>
        <w:rPr>
          <w:rFonts w:hint="eastAsia" w:ascii="Times New Roman" w:hAnsi="Times New Roman" w:cs="Times New Roman"/>
          <w:color w:val="000000"/>
          <w:sz w:val="32"/>
          <w:szCs w:val="32"/>
          <w:lang w:eastAsia="zh-CN"/>
        </w:rPr>
        <w:t>年国务院印发《中国制造2025》中提出，优化产品结构，全面提升设计、制造、工艺和管理水平，促进石化、高氯酸盐系列产品等产业向价值链高端发展，推进智能制造和绿色制造，促进产业迈向中高端发展。在今后产业发展中，政府需大力推动并加快高氯酸盐生产技术升级改造，产业产品结构逐步由低端产品向中高端产品升级。</w:t>
      </w:r>
    </w:p>
    <w:p>
      <w:pPr>
        <w:pStyle w:val="3"/>
        <w:spacing w:line="360" w:lineRule="auto"/>
        <w:ind w:left="0" w:firstLine="642" w:firstLineChars="200"/>
        <w:jc w:val="both"/>
        <w:rPr>
          <w:rFonts w:ascii="Times New Roman" w:hAnsi="Times New Roman" w:cs="Times New Roman"/>
          <w:color w:val="000000"/>
          <w:sz w:val="32"/>
          <w:szCs w:val="32"/>
          <w:lang w:eastAsia="zh-CN"/>
        </w:rPr>
      </w:pPr>
      <w:r>
        <w:rPr>
          <w:rFonts w:ascii="Times New Roman" w:hAnsi="Times New Roman" w:cs="Times New Roman"/>
          <w:b/>
          <w:bCs/>
          <w:color w:val="000000"/>
          <w:sz w:val="32"/>
          <w:szCs w:val="32"/>
          <w:lang w:eastAsia="zh-CN"/>
        </w:rPr>
        <w:t>（2）湖南省高氯酸盐产能</w:t>
      </w:r>
    </w:p>
    <w:p>
      <w:pPr>
        <w:pStyle w:val="3"/>
        <w:spacing w:line="360" w:lineRule="auto"/>
        <w:ind w:left="0" w:firstLine="640" w:firstLineChars="200"/>
        <w:jc w:val="both"/>
        <w:rPr>
          <w:rFonts w:ascii="Times New Roman" w:hAnsi="Times New Roman" w:eastAsia="仿宋_GB2312" w:cs="Times New Roman"/>
          <w:color w:val="000000"/>
          <w:sz w:val="32"/>
          <w:szCs w:val="32"/>
          <w:lang w:eastAsia="zh-CN"/>
        </w:rPr>
      </w:pPr>
      <w:r>
        <w:rPr>
          <w:rFonts w:ascii="Times New Roman" w:hAnsi="Times New Roman" w:cs="Times New Roman"/>
          <w:color w:val="000000"/>
          <w:sz w:val="32"/>
          <w:szCs w:val="32"/>
          <w:lang w:eastAsia="zh-CN"/>
        </w:rPr>
        <w:t>经排查，湖南省高氯酸盐生产企业主要分布在长沙、湘潭、株洲、衡阳、郴州、永州和常德等地。高氯酸盐生产企业属于高耗能行业，用电量大，一般建在水电站旁边，主要分布在洣水、渌水、涟水等湘江支流上，可以享受优惠电价政策，目前均没有进入工业园集中管理。</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（3）生产工艺及废水产生环节</w:t>
      </w:r>
    </w:p>
    <w:p>
      <w:pPr>
        <w:pStyle w:val="3"/>
        <w:spacing w:line="360" w:lineRule="auto"/>
        <w:ind w:left="0" w:firstLine="640" w:firstLineChars="200"/>
        <w:jc w:val="both"/>
        <w:rPr>
          <w:rFonts w:ascii="Times New Roman" w:hAnsi="Times New Roman" w:cs="Times New Roman"/>
          <w:color w:val="000000"/>
          <w:sz w:val="28"/>
          <w:szCs w:val="28"/>
          <w:lang w:eastAsia="zh-CN"/>
        </w:rPr>
      </w:pPr>
      <w:r>
        <w:rPr>
          <w:rFonts w:ascii="Times New Roman" w:hAnsi="Times New Roman" w:cs="Times New Roman"/>
          <w:color w:val="000000"/>
          <w:sz w:val="32"/>
          <w:szCs w:val="32"/>
          <w:lang w:eastAsia="zh-CN"/>
        </w:rPr>
        <w:t>目前，高氯酸钠生产工艺主要采用电解法，高氯酸钾和高氯酸铵生产工艺主要使用复分解法，通过电解制得的高氯酸钠溶液与氯化钾、氯化铵进行复分解反应，再通过蒸发浓缩、冷却结晶形成高氯酸钾和高氯酸铵。</w:t>
      </w:r>
    </w:p>
    <w:p>
      <w:pPr>
        <w:pStyle w:val="3"/>
        <w:spacing w:line="360" w:lineRule="auto"/>
        <w:ind w:left="0" w:firstLine="642" w:firstLineChars="200"/>
        <w:jc w:val="both"/>
        <w:rPr>
          <w:rFonts w:ascii="Times New Roman" w:hAnsi="Times New Roman" w:cs="Times New Roman"/>
          <w:color w:val="000000"/>
          <w:sz w:val="32"/>
          <w:szCs w:val="32"/>
          <w:lang w:eastAsia="zh-CN"/>
        </w:rPr>
      </w:pPr>
      <w:r>
        <w:rPr>
          <w:rFonts w:ascii="Times New Roman" w:hAnsi="Times New Roman" w:cs="Times New Roman"/>
          <w:b/>
          <w:bCs/>
          <w:color w:val="000000"/>
          <w:sz w:val="32"/>
          <w:szCs w:val="32"/>
          <w:lang w:eastAsia="zh-CN"/>
        </w:rPr>
        <w:t>一次电解（由氯化钠生产氯酸钠）：</w:t>
      </w:r>
      <w:r>
        <w:rPr>
          <w:rFonts w:ascii="Times New Roman" w:hAnsi="Times New Roman" w:cs="Times New Roman"/>
          <w:color w:val="000000"/>
          <w:sz w:val="32"/>
          <w:szCs w:val="32"/>
          <w:lang w:eastAsia="zh-CN"/>
        </w:rPr>
        <w:t>盐水工序原理是利用氢氧化钠和碳酸钠去除工业盐中含有的钙离子和镁离子等杂质。一次电解工序主要是使用氯化钠溶液电解生成氯气和单质钠，氯气与水反应生成次氯酸和盐酸，再通过与氢氧根离子反应生成次氯酸，次氯酸在酸性条件下变成氯酸钠的过程。</w:t>
      </w:r>
    </w:p>
    <w:p>
      <w:pPr>
        <w:pStyle w:val="3"/>
        <w:spacing w:line="360" w:lineRule="auto"/>
        <w:ind w:left="0"/>
        <w:jc w:val="center"/>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NaCl+H</w:t>
      </w:r>
      <w:r>
        <w:rPr>
          <w:rFonts w:ascii="Times New Roman" w:hAnsi="Times New Roman" w:cs="Times New Roman"/>
          <w:color w:val="000000"/>
          <w:sz w:val="32"/>
          <w:szCs w:val="32"/>
          <w:vertAlign w:val="subscript"/>
          <w:lang w:eastAsia="zh-CN"/>
        </w:rPr>
        <w:t>2</w:t>
      </w:r>
      <w:r>
        <w:rPr>
          <w:rFonts w:ascii="Times New Roman" w:hAnsi="Times New Roman" w:cs="Times New Roman"/>
          <w:color w:val="000000"/>
          <w:sz w:val="32"/>
          <w:szCs w:val="32"/>
          <w:lang w:eastAsia="zh-CN"/>
        </w:rPr>
        <w:t>O→NaClO</w:t>
      </w:r>
      <w:r>
        <w:rPr>
          <w:rFonts w:ascii="Times New Roman" w:hAnsi="Times New Roman" w:cs="Times New Roman"/>
          <w:color w:val="000000"/>
          <w:sz w:val="32"/>
          <w:szCs w:val="32"/>
          <w:vertAlign w:val="subscript"/>
          <w:lang w:eastAsia="zh-CN"/>
        </w:rPr>
        <w:t>3+</w:t>
      </w:r>
      <w:r>
        <w:rPr>
          <w:rFonts w:ascii="Times New Roman" w:hAnsi="Times New Roman" w:cs="Times New Roman"/>
          <w:color w:val="000000"/>
          <w:sz w:val="32"/>
          <w:szCs w:val="32"/>
          <w:lang w:eastAsia="zh-CN"/>
        </w:rPr>
        <w:t>H</w:t>
      </w:r>
      <w:r>
        <w:rPr>
          <w:rFonts w:ascii="Times New Roman" w:hAnsi="Times New Roman" w:cs="Times New Roman"/>
          <w:color w:val="000000"/>
          <w:sz w:val="32"/>
          <w:szCs w:val="32"/>
          <w:vertAlign w:val="subscript"/>
          <w:lang w:eastAsia="zh-CN"/>
        </w:rPr>
        <w:t>2</w:t>
      </w:r>
      <w:r>
        <w:rPr>
          <w:rFonts w:ascii="Times New Roman" w:hAnsi="Times New Roman" w:cs="Times New Roman"/>
          <w:color w:val="000000"/>
          <w:sz w:val="32"/>
          <w:szCs w:val="32"/>
          <w:lang w:eastAsia="zh-CN"/>
        </w:rPr>
        <w:t>↑</w:t>
      </w:r>
    </w:p>
    <w:p>
      <w:pPr>
        <w:pStyle w:val="3"/>
        <w:spacing w:line="360" w:lineRule="auto"/>
        <w:ind w:left="0" w:firstLine="642" w:firstLineChars="200"/>
        <w:jc w:val="both"/>
        <w:rPr>
          <w:rFonts w:ascii="Times New Roman" w:hAnsi="Times New Roman" w:cs="Times New Roman"/>
          <w:color w:val="000000"/>
          <w:sz w:val="32"/>
          <w:szCs w:val="32"/>
          <w:lang w:eastAsia="zh-CN"/>
        </w:rPr>
      </w:pPr>
      <w:r>
        <w:rPr>
          <w:rFonts w:ascii="Times New Roman" w:hAnsi="Times New Roman" w:cs="Times New Roman"/>
          <w:b/>
          <w:bCs/>
          <w:color w:val="000000"/>
          <w:sz w:val="32"/>
          <w:szCs w:val="32"/>
          <w:lang w:eastAsia="zh-CN"/>
        </w:rPr>
        <w:t>二次电解（由氯酸钠生产高氯酸钠）：</w:t>
      </w:r>
      <w:r>
        <w:rPr>
          <w:rFonts w:ascii="Times New Roman" w:hAnsi="Times New Roman" w:cs="Times New Roman"/>
          <w:color w:val="000000"/>
          <w:sz w:val="32"/>
          <w:szCs w:val="32"/>
          <w:lang w:eastAsia="zh-CN"/>
        </w:rPr>
        <w:t>次氯酸钠溶液进入电解槽后在阴、阳极发生氧化还原反应，分别在阴阳两极得到氢气和高氯酸钠溶液。</w:t>
      </w:r>
    </w:p>
    <w:p>
      <w:pPr>
        <w:pStyle w:val="3"/>
        <w:spacing w:line="360" w:lineRule="auto"/>
        <w:ind w:left="0"/>
        <w:jc w:val="center"/>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NaClO</w:t>
      </w:r>
      <w:r>
        <w:rPr>
          <w:rFonts w:ascii="Times New Roman" w:hAnsi="Times New Roman" w:cs="Times New Roman"/>
          <w:color w:val="000000"/>
          <w:sz w:val="32"/>
          <w:szCs w:val="32"/>
          <w:vertAlign w:val="subscript"/>
          <w:lang w:eastAsia="zh-CN"/>
        </w:rPr>
        <w:t>3</w:t>
      </w:r>
      <w:r>
        <w:rPr>
          <w:rFonts w:ascii="Times New Roman" w:hAnsi="Times New Roman" w:cs="Times New Roman"/>
          <w:color w:val="000000"/>
          <w:sz w:val="32"/>
          <w:szCs w:val="32"/>
          <w:lang w:eastAsia="zh-CN"/>
        </w:rPr>
        <w:t>+H</w:t>
      </w:r>
      <w:r>
        <w:rPr>
          <w:rFonts w:ascii="Times New Roman" w:hAnsi="Times New Roman" w:cs="Times New Roman"/>
          <w:color w:val="000000"/>
          <w:sz w:val="32"/>
          <w:szCs w:val="32"/>
          <w:vertAlign w:val="subscript"/>
          <w:lang w:eastAsia="zh-CN"/>
        </w:rPr>
        <w:t>2</w:t>
      </w:r>
      <w:r>
        <w:rPr>
          <w:rFonts w:ascii="Times New Roman" w:hAnsi="Times New Roman" w:cs="Times New Roman"/>
          <w:color w:val="000000"/>
          <w:sz w:val="32"/>
          <w:szCs w:val="32"/>
          <w:lang w:eastAsia="zh-CN"/>
        </w:rPr>
        <w:t>O→NaClO</w:t>
      </w:r>
      <w:r>
        <w:rPr>
          <w:rFonts w:ascii="Times New Roman" w:hAnsi="Times New Roman" w:cs="Times New Roman"/>
          <w:color w:val="000000"/>
          <w:sz w:val="32"/>
          <w:szCs w:val="32"/>
          <w:vertAlign w:val="subscript"/>
          <w:lang w:eastAsia="zh-CN"/>
        </w:rPr>
        <w:t>4+</w:t>
      </w:r>
      <w:r>
        <w:rPr>
          <w:rFonts w:ascii="Times New Roman" w:hAnsi="Times New Roman" w:cs="Times New Roman"/>
          <w:color w:val="000000"/>
          <w:sz w:val="32"/>
          <w:szCs w:val="32"/>
          <w:lang w:eastAsia="zh-CN"/>
        </w:rPr>
        <w:t>H</w:t>
      </w:r>
      <w:r>
        <w:rPr>
          <w:rFonts w:ascii="Times New Roman" w:hAnsi="Times New Roman" w:cs="Times New Roman"/>
          <w:color w:val="000000"/>
          <w:sz w:val="32"/>
          <w:szCs w:val="32"/>
          <w:vertAlign w:val="subscript"/>
          <w:lang w:eastAsia="zh-CN"/>
        </w:rPr>
        <w:t>2</w:t>
      </w:r>
      <w:r>
        <w:rPr>
          <w:rFonts w:ascii="Times New Roman" w:hAnsi="Times New Roman" w:cs="Times New Roman"/>
          <w:color w:val="000000"/>
          <w:sz w:val="32"/>
          <w:szCs w:val="32"/>
          <w:lang w:eastAsia="zh-CN"/>
        </w:rPr>
        <w:t>↑</w:t>
      </w:r>
    </w:p>
    <w:p>
      <w:pPr>
        <w:pStyle w:val="3"/>
        <w:spacing w:line="360" w:lineRule="auto"/>
        <w:ind w:left="0" w:firstLine="642" w:firstLineChars="200"/>
        <w:jc w:val="both"/>
        <w:rPr>
          <w:rFonts w:ascii="Times New Roman" w:hAnsi="Times New Roman" w:cs="Times New Roman"/>
          <w:color w:val="000000"/>
          <w:sz w:val="32"/>
          <w:szCs w:val="32"/>
          <w:lang w:eastAsia="zh-CN"/>
        </w:rPr>
      </w:pPr>
      <w:r>
        <w:rPr>
          <w:rFonts w:ascii="Times New Roman" w:hAnsi="Times New Roman" w:cs="Times New Roman"/>
          <w:b/>
          <w:bCs/>
          <w:color w:val="000000"/>
          <w:sz w:val="32"/>
          <w:szCs w:val="32"/>
          <w:lang w:eastAsia="zh-CN"/>
        </w:rPr>
        <w:t>复分解反应（高氯酸钠生产高氯酸钾或高氯酸铵）：</w:t>
      </w:r>
      <w:r>
        <w:rPr>
          <w:rFonts w:ascii="Times New Roman" w:hAnsi="Times New Roman" w:cs="Times New Roman"/>
          <w:color w:val="000000"/>
          <w:sz w:val="32"/>
          <w:szCs w:val="32"/>
          <w:lang w:eastAsia="zh-CN"/>
        </w:rPr>
        <w:t>在二次电解得到的高氯酸钠溶液中加入氯化钾或氯化铵溶液，两者发生复分解反应得到氯化钠和高氯酸钾或高氯酸铵溶液，通过控制溶液温度，把高氯酸钾或高氯酸铵晶体从溶液中析出，再经干燥、计量包装即得到最终产品。</w:t>
      </w:r>
    </w:p>
    <w:p>
      <w:pPr>
        <w:pStyle w:val="3"/>
        <w:spacing w:line="360" w:lineRule="auto"/>
        <w:ind w:left="0"/>
        <w:jc w:val="center"/>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NaClO</w:t>
      </w:r>
      <w:r>
        <w:rPr>
          <w:rFonts w:ascii="Times New Roman" w:hAnsi="Times New Roman" w:cs="Times New Roman"/>
          <w:color w:val="000000"/>
          <w:sz w:val="32"/>
          <w:szCs w:val="32"/>
          <w:vertAlign w:val="subscript"/>
          <w:lang w:eastAsia="zh-CN"/>
        </w:rPr>
        <w:t>4</w:t>
      </w:r>
      <w:r>
        <w:rPr>
          <w:rFonts w:ascii="Times New Roman" w:hAnsi="Times New Roman" w:cs="Times New Roman"/>
          <w:color w:val="000000"/>
          <w:sz w:val="32"/>
          <w:szCs w:val="32"/>
          <w:lang w:eastAsia="zh-CN"/>
        </w:rPr>
        <w:t>+KCl→KClO</w:t>
      </w:r>
      <w:r>
        <w:rPr>
          <w:rFonts w:ascii="Times New Roman" w:hAnsi="Times New Roman" w:cs="Times New Roman"/>
          <w:color w:val="000000"/>
          <w:sz w:val="32"/>
          <w:szCs w:val="32"/>
          <w:vertAlign w:val="subscript"/>
          <w:lang w:eastAsia="zh-CN"/>
        </w:rPr>
        <w:t>4</w:t>
      </w:r>
      <w:r>
        <w:rPr>
          <w:rFonts w:ascii="Times New Roman" w:hAnsi="Times New Roman" w:cs="Times New Roman"/>
          <w:color w:val="000000"/>
          <w:sz w:val="32"/>
          <w:szCs w:val="32"/>
          <w:lang w:eastAsia="zh-CN"/>
        </w:rPr>
        <w:t>+NaCl</w:t>
      </w:r>
    </w:p>
    <w:p>
      <w:pPr>
        <w:pStyle w:val="3"/>
        <w:spacing w:line="360" w:lineRule="auto"/>
        <w:ind w:left="0"/>
        <w:jc w:val="center"/>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NaClO</w:t>
      </w:r>
      <w:r>
        <w:rPr>
          <w:rFonts w:ascii="Times New Roman" w:hAnsi="Times New Roman" w:cs="Times New Roman"/>
          <w:color w:val="000000"/>
          <w:sz w:val="32"/>
          <w:szCs w:val="32"/>
          <w:vertAlign w:val="subscript"/>
          <w:lang w:eastAsia="zh-CN"/>
        </w:rPr>
        <w:t>4+</w:t>
      </w:r>
      <w:r>
        <w:rPr>
          <w:rFonts w:ascii="Times New Roman" w:hAnsi="Times New Roman" w:cs="Times New Roman"/>
          <w:color w:val="000000"/>
          <w:sz w:val="32"/>
          <w:szCs w:val="32"/>
          <w:lang w:eastAsia="zh-CN"/>
        </w:rPr>
        <w:t>NH</w:t>
      </w:r>
      <w:r>
        <w:rPr>
          <w:rFonts w:ascii="Times New Roman" w:hAnsi="Times New Roman" w:cs="Times New Roman"/>
          <w:color w:val="000000"/>
          <w:sz w:val="32"/>
          <w:szCs w:val="32"/>
          <w:vertAlign w:val="subscript"/>
          <w:lang w:eastAsia="zh-CN"/>
        </w:rPr>
        <w:t>4</w:t>
      </w:r>
      <w:r>
        <w:rPr>
          <w:rFonts w:ascii="Times New Roman" w:hAnsi="Times New Roman" w:cs="Times New Roman"/>
          <w:color w:val="000000"/>
          <w:sz w:val="32"/>
          <w:szCs w:val="32"/>
          <w:lang w:eastAsia="zh-CN"/>
        </w:rPr>
        <w:t>Cl→NH</w:t>
      </w:r>
      <w:r>
        <w:rPr>
          <w:rFonts w:ascii="Times New Roman" w:hAnsi="Times New Roman" w:cs="Times New Roman"/>
          <w:color w:val="000000"/>
          <w:sz w:val="32"/>
          <w:szCs w:val="32"/>
          <w:vertAlign w:val="subscript"/>
          <w:lang w:eastAsia="zh-CN"/>
        </w:rPr>
        <w:t>4</w:t>
      </w:r>
      <w:r>
        <w:rPr>
          <w:rFonts w:ascii="Times New Roman" w:hAnsi="Times New Roman" w:cs="Times New Roman"/>
          <w:color w:val="000000"/>
          <w:sz w:val="32"/>
          <w:szCs w:val="32"/>
          <w:lang w:eastAsia="zh-CN"/>
        </w:rPr>
        <w:t>ClO</w:t>
      </w:r>
      <w:r>
        <w:rPr>
          <w:rFonts w:ascii="Times New Roman" w:hAnsi="Times New Roman" w:cs="Times New Roman"/>
          <w:color w:val="000000"/>
          <w:sz w:val="32"/>
          <w:szCs w:val="32"/>
          <w:vertAlign w:val="subscript"/>
          <w:lang w:eastAsia="zh-CN"/>
        </w:rPr>
        <w:t>4</w:t>
      </w:r>
      <w:r>
        <w:rPr>
          <w:rFonts w:ascii="Times New Roman" w:hAnsi="Times New Roman" w:cs="Times New Roman"/>
          <w:color w:val="000000"/>
          <w:sz w:val="32"/>
          <w:szCs w:val="32"/>
          <w:lang w:eastAsia="zh-CN"/>
        </w:rPr>
        <w:t>+NaCl</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下图是以高氯酸钾为例的生产工艺物料流程图：</w:t>
      </w:r>
    </w:p>
    <w:p>
      <w:pPr>
        <w:pStyle w:val="3"/>
        <w:spacing w:line="360" w:lineRule="auto"/>
        <w:ind w:left="119" w:firstLine="640" w:firstLineChars="200"/>
        <w:jc w:val="both"/>
        <w:rPr>
          <w:rFonts w:ascii="Times New Roman" w:hAnsi="Times New Roman" w:cs="Times New Roman"/>
          <w:color w:val="000000"/>
          <w:sz w:val="32"/>
          <w:szCs w:val="32"/>
          <w:lang w:eastAsia="zh-CN"/>
        </w:rPr>
      </w:pPr>
      <w:r>
        <w:rPr>
          <w:rFonts w:ascii="Times New Roman" w:hAnsi="Times New Roman" w:cs="Times New Roman"/>
          <w:bCs/>
          <w:color w:val="000000"/>
          <w:sz w:val="32"/>
          <w:szCs w:val="32"/>
          <w:lang w:eastAsia="zh-CN"/>
        </w:rPr>
        <w:t>通过对高氯酸盐生产工序分析可知</w:t>
      </w:r>
      <w:r>
        <w:rPr>
          <w:rFonts w:ascii="Times New Roman" w:hAnsi="Times New Roman" w:cs="Times New Roman"/>
          <w:color w:val="000000"/>
          <w:sz w:val="32"/>
          <w:szCs w:val="32"/>
          <w:lang w:eastAsia="zh-CN"/>
        </w:rPr>
        <w:t>产生水污染物的环节主要有电解母液及复分解母液、结晶过程冷却水、车间地面冲洗废水、初期雨水、锅炉纯水制备过程排水、员工清洗工作服和清扫废水及员工生活污水等。其水污染物产生环节以某公司年产1万吨高氯酸钾项目为例。</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fldChar w:fldCharType="begin"/>
      </w:r>
      <w:r>
        <w:rPr>
          <w:rFonts w:ascii="Times New Roman" w:hAnsi="Times New Roman" w:cs="Times New Roman"/>
          <w:b/>
          <w:bCs/>
          <w:color w:val="000000"/>
          <w:sz w:val="32"/>
          <w:szCs w:val="32"/>
          <w:lang w:eastAsia="zh-CN"/>
        </w:rPr>
        <w:instrText xml:space="preserve"> = 1 \* GB3 </w:instrText>
      </w:r>
      <w:r>
        <w:rPr>
          <w:rFonts w:ascii="Times New Roman" w:hAnsi="Times New Roman" w:cs="Times New Roman"/>
          <w:b/>
          <w:bCs/>
          <w:color w:val="000000"/>
          <w:sz w:val="32"/>
          <w:szCs w:val="32"/>
          <w:lang w:eastAsia="zh-CN"/>
        </w:rPr>
        <w:fldChar w:fldCharType="separate"/>
      </w:r>
      <w:r>
        <w:rPr>
          <w:rFonts w:hint="eastAsia" w:ascii="宋体" w:hAnsi="宋体" w:eastAsia="宋体"/>
          <w:b/>
          <w:bCs/>
          <w:color w:val="000000"/>
          <w:sz w:val="32"/>
          <w:szCs w:val="32"/>
          <w:lang w:eastAsia="zh-CN"/>
        </w:rPr>
        <w:t>①</w:t>
      </w:r>
      <w:r>
        <w:rPr>
          <w:rFonts w:ascii="Times New Roman" w:hAnsi="Times New Roman" w:cs="Times New Roman"/>
          <w:b/>
          <w:bCs/>
          <w:color w:val="000000"/>
          <w:sz w:val="32"/>
          <w:szCs w:val="32"/>
          <w:lang w:eastAsia="zh-CN"/>
        </w:rPr>
        <w:fldChar w:fldCharType="end"/>
      </w:r>
      <w:r>
        <w:rPr>
          <w:rFonts w:ascii="Times New Roman" w:hAnsi="Times New Roman" w:cs="Times New Roman"/>
          <w:b/>
          <w:bCs/>
          <w:color w:val="000000"/>
          <w:sz w:val="32"/>
          <w:szCs w:val="32"/>
          <w:lang w:eastAsia="zh-CN"/>
        </w:rPr>
        <w:t>冷却水</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冷却水来源于电解槽、结晶罐和复分解罐等设备，项目冷却都是间接冷却，其中电解槽冷却水量100 m</w:t>
      </w:r>
      <w:r>
        <w:rPr>
          <w:rFonts w:ascii="Times New Roman" w:hAnsi="Times New Roman" w:cs="Times New Roman"/>
          <w:color w:val="000000"/>
          <w:sz w:val="32"/>
          <w:szCs w:val="32"/>
          <w:vertAlign w:val="superscript"/>
          <w:lang w:eastAsia="zh-CN"/>
        </w:rPr>
        <w:t>3</w:t>
      </w:r>
      <w:r>
        <w:rPr>
          <w:rFonts w:ascii="Times New Roman" w:hAnsi="Times New Roman" w:cs="Times New Roman"/>
          <w:color w:val="000000"/>
          <w:sz w:val="32"/>
          <w:szCs w:val="32"/>
          <w:lang w:eastAsia="zh-CN"/>
        </w:rPr>
        <w:t>/d，结晶罐冷却水量60 m</w:t>
      </w:r>
      <w:r>
        <w:rPr>
          <w:rFonts w:ascii="Times New Roman" w:hAnsi="Times New Roman" w:cs="Times New Roman"/>
          <w:color w:val="000000"/>
          <w:sz w:val="32"/>
          <w:szCs w:val="32"/>
          <w:vertAlign w:val="superscript"/>
          <w:lang w:eastAsia="zh-CN"/>
        </w:rPr>
        <w:t>3</w:t>
      </w:r>
      <w:r>
        <w:rPr>
          <w:rFonts w:ascii="Times New Roman" w:hAnsi="Times New Roman" w:cs="Times New Roman"/>
          <w:color w:val="000000"/>
          <w:sz w:val="32"/>
          <w:szCs w:val="32"/>
          <w:lang w:eastAsia="zh-CN"/>
        </w:rPr>
        <w:t>/d，复分解罐冷却水量40 m</w:t>
      </w:r>
      <w:r>
        <w:rPr>
          <w:rFonts w:ascii="Times New Roman" w:hAnsi="Times New Roman" w:cs="Times New Roman"/>
          <w:color w:val="000000"/>
          <w:sz w:val="32"/>
          <w:szCs w:val="32"/>
          <w:vertAlign w:val="superscript"/>
          <w:lang w:eastAsia="zh-CN"/>
        </w:rPr>
        <w:t>3</w:t>
      </w:r>
      <w:r>
        <w:rPr>
          <w:rFonts w:ascii="Times New Roman" w:hAnsi="Times New Roman" w:cs="Times New Roman"/>
          <w:color w:val="000000"/>
          <w:sz w:val="32"/>
          <w:szCs w:val="32"/>
          <w:lang w:eastAsia="zh-CN"/>
        </w:rPr>
        <w:t>/d，水温40-50℃左右，无有害杂质成分，冷却水经冷却塔冷却后可循环使用。</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fldChar w:fldCharType="begin"/>
      </w:r>
      <w:r>
        <w:rPr>
          <w:rFonts w:ascii="Times New Roman" w:hAnsi="Times New Roman" w:cs="Times New Roman"/>
          <w:b/>
          <w:bCs/>
          <w:color w:val="000000"/>
          <w:sz w:val="32"/>
          <w:szCs w:val="32"/>
          <w:lang w:eastAsia="zh-CN"/>
        </w:rPr>
        <w:instrText xml:space="preserve"> = 2 \* GB3 </w:instrText>
      </w:r>
      <w:r>
        <w:rPr>
          <w:rFonts w:ascii="Times New Roman" w:hAnsi="Times New Roman" w:cs="Times New Roman"/>
          <w:b/>
          <w:bCs/>
          <w:color w:val="000000"/>
          <w:sz w:val="32"/>
          <w:szCs w:val="32"/>
          <w:lang w:eastAsia="zh-CN"/>
        </w:rPr>
        <w:fldChar w:fldCharType="separate"/>
      </w:r>
      <w:r>
        <w:rPr>
          <w:rFonts w:hint="eastAsia" w:ascii="宋体" w:hAnsi="宋体" w:eastAsia="宋体"/>
          <w:b/>
          <w:bCs/>
          <w:color w:val="000000"/>
          <w:sz w:val="32"/>
          <w:szCs w:val="32"/>
          <w:lang w:eastAsia="zh-CN"/>
        </w:rPr>
        <w:t>②</w:t>
      </w:r>
      <w:r>
        <w:rPr>
          <w:rFonts w:ascii="Times New Roman" w:hAnsi="Times New Roman" w:cs="Times New Roman"/>
          <w:b/>
          <w:bCs/>
          <w:color w:val="000000"/>
          <w:sz w:val="32"/>
          <w:szCs w:val="32"/>
          <w:lang w:eastAsia="zh-CN"/>
        </w:rPr>
        <w:fldChar w:fldCharType="end"/>
      </w:r>
      <w:r>
        <w:rPr>
          <w:rFonts w:ascii="Times New Roman" w:hAnsi="Times New Roman" w:cs="Times New Roman"/>
          <w:b/>
          <w:bCs/>
          <w:color w:val="000000"/>
          <w:sz w:val="32"/>
          <w:szCs w:val="32"/>
          <w:lang w:eastAsia="zh-CN"/>
        </w:rPr>
        <w:t>车间地面冲洗废水</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高氯酸盐生产工序为连续反应式，不需要冲洗设备，主要是冲洗地面用水，产生的冲洗废水量约为1 m</w:t>
      </w:r>
      <w:r>
        <w:rPr>
          <w:rFonts w:ascii="Times New Roman" w:hAnsi="Times New Roman" w:cs="Times New Roman"/>
          <w:color w:val="000000"/>
          <w:sz w:val="32"/>
          <w:szCs w:val="32"/>
          <w:vertAlign w:val="superscript"/>
          <w:lang w:eastAsia="zh-CN"/>
        </w:rPr>
        <w:t>3</w:t>
      </w:r>
      <w:r>
        <w:rPr>
          <w:rFonts w:ascii="Times New Roman" w:hAnsi="Times New Roman" w:cs="Times New Roman"/>
          <w:color w:val="000000"/>
          <w:sz w:val="32"/>
          <w:szCs w:val="32"/>
          <w:lang w:eastAsia="zh-CN"/>
        </w:rPr>
        <w:t>/d，主要含高氯酸盐、铬、悬浮物等污染因子。</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fldChar w:fldCharType="begin"/>
      </w:r>
      <w:r>
        <w:rPr>
          <w:rFonts w:ascii="Times New Roman" w:hAnsi="Times New Roman" w:cs="Times New Roman"/>
          <w:b/>
          <w:bCs/>
          <w:color w:val="000000"/>
          <w:sz w:val="32"/>
          <w:szCs w:val="32"/>
          <w:lang w:eastAsia="zh-CN"/>
        </w:rPr>
        <w:instrText xml:space="preserve"> = 3 \* GB3 </w:instrText>
      </w:r>
      <w:r>
        <w:rPr>
          <w:rFonts w:ascii="Times New Roman" w:hAnsi="Times New Roman" w:cs="Times New Roman"/>
          <w:b/>
          <w:bCs/>
          <w:color w:val="000000"/>
          <w:sz w:val="32"/>
          <w:szCs w:val="32"/>
          <w:lang w:eastAsia="zh-CN"/>
        </w:rPr>
        <w:fldChar w:fldCharType="separate"/>
      </w:r>
      <w:r>
        <w:rPr>
          <w:rFonts w:hint="eastAsia" w:ascii="宋体" w:hAnsi="宋体" w:eastAsia="宋体"/>
          <w:b/>
          <w:bCs/>
          <w:color w:val="000000"/>
          <w:sz w:val="32"/>
          <w:szCs w:val="32"/>
          <w:lang w:eastAsia="zh-CN"/>
        </w:rPr>
        <w:t>③</w:t>
      </w:r>
      <w:r>
        <w:rPr>
          <w:rFonts w:ascii="Times New Roman" w:hAnsi="Times New Roman" w:cs="Times New Roman"/>
          <w:b/>
          <w:bCs/>
          <w:color w:val="000000"/>
          <w:sz w:val="32"/>
          <w:szCs w:val="32"/>
          <w:lang w:eastAsia="zh-CN"/>
        </w:rPr>
        <w:fldChar w:fldCharType="end"/>
      </w:r>
      <w:r>
        <w:rPr>
          <w:rFonts w:ascii="Times New Roman" w:hAnsi="Times New Roman" w:cs="Times New Roman"/>
          <w:b/>
          <w:bCs/>
          <w:color w:val="000000"/>
          <w:sz w:val="32"/>
          <w:szCs w:val="32"/>
          <w:lang w:eastAsia="zh-CN"/>
        </w:rPr>
        <w:t>电解母液及复分解母液</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高氯酸盐电解过程中会产生电解母液以及复分解母液，主要含有次氯酸钠、氯酸钠、氯化钠等物质。</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fldChar w:fldCharType="begin"/>
      </w:r>
      <w:r>
        <w:rPr>
          <w:rFonts w:ascii="Times New Roman" w:hAnsi="Times New Roman" w:cs="Times New Roman"/>
          <w:b/>
          <w:bCs/>
          <w:color w:val="000000"/>
          <w:sz w:val="32"/>
          <w:szCs w:val="32"/>
          <w:lang w:eastAsia="zh-CN"/>
        </w:rPr>
        <w:instrText xml:space="preserve"> = 4 \* GB3 </w:instrText>
      </w:r>
      <w:r>
        <w:rPr>
          <w:rFonts w:ascii="Times New Roman" w:hAnsi="Times New Roman" w:cs="Times New Roman"/>
          <w:b/>
          <w:bCs/>
          <w:color w:val="000000"/>
          <w:sz w:val="32"/>
          <w:szCs w:val="32"/>
          <w:lang w:eastAsia="zh-CN"/>
        </w:rPr>
        <w:fldChar w:fldCharType="separate"/>
      </w:r>
      <w:r>
        <w:rPr>
          <w:rFonts w:hint="eastAsia" w:ascii="宋体" w:hAnsi="宋体" w:eastAsia="宋体"/>
          <w:b/>
          <w:bCs/>
          <w:color w:val="000000"/>
          <w:sz w:val="32"/>
          <w:szCs w:val="32"/>
          <w:lang w:eastAsia="zh-CN"/>
        </w:rPr>
        <w:t>④</w:t>
      </w:r>
      <w:r>
        <w:rPr>
          <w:rFonts w:ascii="Times New Roman" w:hAnsi="Times New Roman" w:cs="Times New Roman"/>
          <w:b/>
          <w:bCs/>
          <w:color w:val="000000"/>
          <w:sz w:val="32"/>
          <w:szCs w:val="32"/>
          <w:lang w:eastAsia="zh-CN"/>
        </w:rPr>
        <w:fldChar w:fldCharType="end"/>
      </w:r>
      <w:r>
        <w:rPr>
          <w:rFonts w:ascii="Times New Roman" w:hAnsi="Times New Roman" w:cs="Times New Roman"/>
          <w:b/>
          <w:bCs/>
          <w:color w:val="000000"/>
          <w:sz w:val="32"/>
          <w:szCs w:val="32"/>
          <w:lang w:eastAsia="zh-CN"/>
        </w:rPr>
        <w:t>氯气、氯化氢吸收液</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一次电解产生的尾气通过填料塔二级洗涤，会产生一定量的废水，其产生量为147.3 m</w:t>
      </w:r>
      <w:r>
        <w:rPr>
          <w:rFonts w:ascii="Times New Roman" w:hAnsi="Times New Roman" w:cs="Times New Roman"/>
          <w:color w:val="000000"/>
          <w:sz w:val="32"/>
          <w:szCs w:val="32"/>
          <w:vertAlign w:val="superscript"/>
          <w:lang w:eastAsia="zh-CN"/>
        </w:rPr>
        <w:t>3</w:t>
      </w:r>
      <w:r>
        <w:rPr>
          <w:rFonts w:ascii="Times New Roman" w:hAnsi="Times New Roman" w:cs="Times New Roman"/>
          <w:color w:val="000000"/>
          <w:sz w:val="32"/>
          <w:szCs w:val="32"/>
          <w:lang w:eastAsia="zh-CN"/>
        </w:rPr>
        <w:t>/a，其主要成份为稀盐酸、氯化钠溶液。</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fldChar w:fldCharType="begin"/>
      </w:r>
      <w:r>
        <w:rPr>
          <w:rFonts w:ascii="Times New Roman" w:hAnsi="Times New Roman" w:cs="Times New Roman"/>
          <w:b/>
          <w:bCs/>
          <w:color w:val="000000"/>
          <w:sz w:val="32"/>
          <w:szCs w:val="32"/>
          <w:lang w:eastAsia="zh-CN"/>
        </w:rPr>
        <w:instrText xml:space="preserve"> = 5 \* GB3 </w:instrText>
      </w:r>
      <w:r>
        <w:rPr>
          <w:rFonts w:ascii="Times New Roman" w:hAnsi="Times New Roman" w:cs="Times New Roman"/>
          <w:b/>
          <w:bCs/>
          <w:color w:val="000000"/>
          <w:sz w:val="32"/>
          <w:szCs w:val="32"/>
          <w:lang w:eastAsia="zh-CN"/>
        </w:rPr>
        <w:fldChar w:fldCharType="separate"/>
      </w:r>
      <w:r>
        <w:rPr>
          <w:rFonts w:hint="eastAsia" w:ascii="宋体" w:hAnsi="宋体" w:eastAsia="宋体"/>
          <w:b/>
          <w:bCs/>
          <w:color w:val="000000"/>
          <w:sz w:val="32"/>
          <w:szCs w:val="32"/>
          <w:lang w:eastAsia="zh-CN"/>
        </w:rPr>
        <w:t>⑤</w:t>
      </w:r>
      <w:r>
        <w:rPr>
          <w:rFonts w:ascii="Times New Roman" w:hAnsi="Times New Roman" w:cs="Times New Roman"/>
          <w:b/>
          <w:bCs/>
          <w:color w:val="000000"/>
          <w:sz w:val="32"/>
          <w:szCs w:val="32"/>
          <w:lang w:eastAsia="zh-CN"/>
        </w:rPr>
        <w:fldChar w:fldCharType="end"/>
      </w:r>
      <w:r>
        <w:rPr>
          <w:rFonts w:ascii="Times New Roman" w:hAnsi="Times New Roman" w:cs="Times New Roman"/>
          <w:b/>
          <w:bCs/>
          <w:color w:val="000000"/>
          <w:sz w:val="32"/>
          <w:szCs w:val="32"/>
          <w:lang w:eastAsia="zh-CN"/>
        </w:rPr>
        <w:t>锅炉纯水制备过程排水</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锅炉需用到软水，在纯水制备过程中会产生少量的排水，根据类比分析，其污水产生量约为28 m</w:t>
      </w:r>
      <w:r>
        <w:rPr>
          <w:rFonts w:ascii="Times New Roman" w:hAnsi="Times New Roman" w:cs="Times New Roman"/>
          <w:color w:val="000000"/>
          <w:sz w:val="32"/>
          <w:szCs w:val="32"/>
          <w:vertAlign w:val="superscript"/>
          <w:lang w:eastAsia="zh-CN"/>
        </w:rPr>
        <w:t>3</w:t>
      </w:r>
      <w:r>
        <w:rPr>
          <w:rFonts w:ascii="Times New Roman" w:hAnsi="Times New Roman" w:cs="Times New Roman"/>
          <w:color w:val="000000"/>
          <w:sz w:val="32"/>
          <w:szCs w:val="32"/>
          <w:lang w:eastAsia="zh-CN"/>
        </w:rPr>
        <w:t>/d，主要污染物为低浓度盐类。</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fldChar w:fldCharType="begin"/>
      </w:r>
      <w:r>
        <w:rPr>
          <w:rFonts w:ascii="Times New Roman" w:hAnsi="Times New Roman" w:cs="Times New Roman"/>
          <w:b/>
          <w:bCs/>
          <w:color w:val="000000"/>
          <w:sz w:val="32"/>
          <w:szCs w:val="32"/>
          <w:lang w:eastAsia="zh-CN"/>
        </w:rPr>
        <w:instrText xml:space="preserve"> = 6 \* GB3 </w:instrText>
      </w:r>
      <w:r>
        <w:rPr>
          <w:rFonts w:ascii="Times New Roman" w:hAnsi="Times New Roman" w:cs="Times New Roman"/>
          <w:b/>
          <w:bCs/>
          <w:color w:val="000000"/>
          <w:sz w:val="32"/>
          <w:szCs w:val="32"/>
          <w:lang w:eastAsia="zh-CN"/>
        </w:rPr>
        <w:fldChar w:fldCharType="separate"/>
      </w:r>
      <w:r>
        <w:rPr>
          <w:rFonts w:hint="eastAsia" w:ascii="宋体" w:hAnsi="宋体" w:eastAsia="宋体"/>
          <w:b/>
          <w:bCs/>
          <w:color w:val="000000"/>
          <w:sz w:val="32"/>
          <w:szCs w:val="32"/>
          <w:lang w:eastAsia="zh-CN"/>
        </w:rPr>
        <w:t>⑥</w:t>
      </w:r>
      <w:r>
        <w:rPr>
          <w:rFonts w:ascii="Times New Roman" w:hAnsi="Times New Roman" w:cs="Times New Roman"/>
          <w:b/>
          <w:bCs/>
          <w:color w:val="000000"/>
          <w:sz w:val="32"/>
          <w:szCs w:val="32"/>
          <w:lang w:eastAsia="zh-CN"/>
        </w:rPr>
        <w:fldChar w:fldCharType="end"/>
      </w:r>
      <w:r>
        <w:rPr>
          <w:rFonts w:ascii="Times New Roman" w:hAnsi="Times New Roman" w:cs="Times New Roman"/>
          <w:b/>
          <w:bCs/>
          <w:color w:val="000000"/>
          <w:sz w:val="32"/>
          <w:szCs w:val="32"/>
          <w:lang w:eastAsia="zh-CN"/>
        </w:rPr>
        <w:t>锅炉除尘用水</w:t>
      </w:r>
    </w:p>
    <w:p>
      <w:pPr>
        <w:pStyle w:val="3"/>
        <w:spacing w:line="360" w:lineRule="auto"/>
        <w:ind w:firstLine="640" w:firstLineChars="200"/>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除尘脱硫过程中需水60 m</w:t>
      </w:r>
      <w:r>
        <w:rPr>
          <w:rFonts w:ascii="Times New Roman" w:hAnsi="Times New Roman" w:cs="Times New Roman"/>
          <w:color w:val="000000"/>
          <w:sz w:val="32"/>
          <w:szCs w:val="32"/>
          <w:vertAlign w:val="superscript"/>
          <w:lang w:eastAsia="zh-CN"/>
        </w:rPr>
        <w:t>3</w:t>
      </w:r>
      <w:r>
        <w:rPr>
          <w:rFonts w:ascii="Times New Roman" w:hAnsi="Times New Roman" w:cs="Times New Roman"/>
          <w:color w:val="000000"/>
          <w:sz w:val="32"/>
          <w:szCs w:val="32"/>
          <w:lang w:eastAsia="zh-CN"/>
        </w:rPr>
        <w:t>/d。根据经验，锅炉除尘脱硫过程中约有5%的循环液被废气和废渣带走，则损耗水量约为3 m</w:t>
      </w:r>
      <w:r>
        <w:rPr>
          <w:rFonts w:ascii="Times New Roman" w:hAnsi="Times New Roman" w:cs="Times New Roman"/>
          <w:color w:val="000000"/>
          <w:sz w:val="32"/>
          <w:szCs w:val="32"/>
          <w:vertAlign w:val="superscript"/>
          <w:lang w:eastAsia="zh-CN"/>
        </w:rPr>
        <w:t>3</w:t>
      </w:r>
      <w:r>
        <w:rPr>
          <w:rFonts w:ascii="Times New Roman" w:hAnsi="Times New Roman" w:cs="Times New Roman"/>
          <w:color w:val="000000"/>
          <w:sz w:val="32"/>
          <w:szCs w:val="32"/>
          <w:lang w:eastAsia="zh-CN"/>
        </w:rPr>
        <w:t>/d，损耗的水量由自来水补充。</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fldChar w:fldCharType="begin"/>
      </w:r>
      <w:r>
        <w:rPr>
          <w:rFonts w:ascii="Times New Roman" w:hAnsi="Times New Roman" w:cs="Times New Roman"/>
          <w:b/>
          <w:bCs/>
          <w:color w:val="000000"/>
          <w:sz w:val="32"/>
          <w:szCs w:val="32"/>
          <w:lang w:eastAsia="zh-CN"/>
        </w:rPr>
        <w:instrText xml:space="preserve"> = 7 \* GB3 </w:instrText>
      </w:r>
      <w:r>
        <w:rPr>
          <w:rFonts w:ascii="Times New Roman" w:hAnsi="Times New Roman" w:cs="Times New Roman"/>
          <w:b/>
          <w:bCs/>
          <w:color w:val="000000"/>
          <w:sz w:val="32"/>
          <w:szCs w:val="32"/>
          <w:lang w:eastAsia="zh-CN"/>
        </w:rPr>
        <w:fldChar w:fldCharType="separate"/>
      </w:r>
      <w:r>
        <w:rPr>
          <w:rFonts w:hint="eastAsia" w:ascii="宋体" w:hAnsi="宋体" w:eastAsia="宋体"/>
          <w:b/>
          <w:bCs/>
          <w:color w:val="000000"/>
          <w:sz w:val="32"/>
          <w:szCs w:val="32"/>
          <w:lang w:eastAsia="zh-CN"/>
        </w:rPr>
        <w:t>⑦</w:t>
      </w:r>
      <w:r>
        <w:rPr>
          <w:rFonts w:ascii="Times New Roman" w:hAnsi="Times New Roman" w:cs="Times New Roman"/>
          <w:b/>
          <w:bCs/>
          <w:color w:val="000000"/>
          <w:sz w:val="32"/>
          <w:szCs w:val="32"/>
          <w:lang w:eastAsia="zh-CN"/>
        </w:rPr>
        <w:fldChar w:fldCharType="end"/>
      </w:r>
      <w:r>
        <w:rPr>
          <w:rFonts w:ascii="Times New Roman" w:hAnsi="Times New Roman" w:cs="Times New Roman"/>
          <w:b/>
          <w:bCs/>
          <w:color w:val="000000"/>
          <w:sz w:val="32"/>
          <w:szCs w:val="32"/>
          <w:lang w:eastAsia="zh-CN"/>
        </w:rPr>
        <w:t>员工清洗工作服及洗手废水</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根据要求，员工离开工作区域要求做好个人卫生，避免将高氯酸盐带离所在区域，因此除生产废水外，员工的清洗废水同样含有高氯酸盐。</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fldChar w:fldCharType="begin"/>
      </w:r>
      <w:r>
        <w:rPr>
          <w:rFonts w:ascii="Times New Roman" w:hAnsi="Times New Roman" w:cs="Times New Roman"/>
          <w:b/>
          <w:bCs/>
          <w:color w:val="000000"/>
          <w:sz w:val="32"/>
          <w:szCs w:val="32"/>
          <w:lang w:eastAsia="zh-CN"/>
        </w:rPr>
        <w:instrText xml:space="preserve"> = 8 \* GB3 </w:instrText>
      </w:r>
      <w:r>
        <w:rPr>
          <w:rFonts w:ascii="Times New Roman" w:hAnsi="Times New Roman" w:cs="Times New Roman"/>
          <w:b/>
          <w:bCs/>
          <w:color w:val="000000"/>
          <w:sz w:val="32"/>
          <w:szCs w:val="32"/>
          <w:lang w:eastAsia="zh-CN"/>
        </w:rPr>
        <w:fldChar w:fldCharType="separate"/>
      </w:r>
      <w:r>
        <w:rPr>
          <w:rFonts w:hint="eastAsia" w:ascii="宋体" w:hAnsi="宋体" w:eastAsia="宋体"/>
          <w:b/>
          <w:bCs/>
          <w:color w:val="000000"/>
          <w:sz w:val="32"/>
          <w:szCs w:val="32"/>
          <w:lang w:eastAsia="zh-CN"/>
        </w:rPr>
        <w:t>⑧</w:t>
      </w:r>
      <w:r>
        <w:rPr>
          <w:rFonts w:ascii="Times New Roman" w:hAnsi="Times New Roman" w:cs="Times New Roman"/>
          <w:b/>
          <w:bCs/>
          <w:color w:val="000000"/>
          <w:sz w:val="32"/>
          <w:szCs w:val="32"/>
          <w:lang w:eastAsia="zh-CN"/>
        </w:rPr>
        <w:fldChar w:fldCharType="end"/>
      </w:r>
      <w:r>
        <w:rPr>
          <w:rFonts w:ascii="Times New Roman" w:hAnsi="Times New Roman" w:cs="Times New Roman"/>
          <w:b/>
          <w:bCs/>
          <w:color w:val="000000"/>
          <w:sz w:val="32"/>
          <w:szCs w:val="32"/>
          <w:lang w:eastAsia="zh-CN"/>
        </w:rPr>
        <w:t>员工生活污水</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生活污水主要污染因子为化学需氧量、悬浮物、氨氮、植物油等。根据《湖南省地方标准用水定额》（DB43/T388-2020），住宿人员用水量按每人每天150L计，非住宿人员用水量按每人每天45L计，生活污水排放系数按0.8计。</w:t>
      </w:r>
    </w:p>
    <w:p>
      <w:pPr>
        <w:pStyle w:val="3"/>
        <w:spacing w:line="360" w:lineRule="auto"/>
        <w:ind w:left="0"/>
        <w:jc w:val="both"/>
        <w:outlineLvl w:val="1"/>
        <w:rPr>
          <w:rFonts w:ascii="Times New Roman" w:hAnsi="Times New Roman" w:cs="Times New Roman"/>
          <w:b/>
          <w:bCs/>
          <w:color w:val="000000"/>
          <w:sz w:val="32"/>
          <w:szCs w:val="32"/>
          <w:lang w:eastAsia="zh-CN"/>
        </w:rPr>
      </w:pPr>
      <w:bookmarkStart w:id="88" w:name="_Toc13228"/>
      <w:r>
        <w:rPr>
          <w:rFonts w:ascii="Times New Roman" w:hAnsi="Times New Roman" w:cs="Times New Roman"/>
          <w:b/>
          <w:bCs/>
          <w:color w:val="000000"/>
          <w:sz w:val="32"/>
          <w:szCs w:val="32"/>
          <w:lang w:eastAsia="zh-CN"/>
        </w:rPr>
        <w:t xml:space="preserve">4.2  </w:t>
      </w:r>
      <w:r>
        <w:rPr>
          <w:rFonts w:hint="eastAsia" w:ascii="Times New Roman" w:hAnsi="Times New Roman" w:cs="Times New Roman"/>
          <w:b/>
          <w:bCs/>
          <w:color w:val="000000"/>
          <w:sz w:val="32"/>
          <w:szCs w:val="32"/>
          <w:lang w:eastAsia="zh-CN"/>
        </w:rPr>
        <w:t>烟花爆竹企业</w:t>
      </w:r>
      <w:r>
        <w:rPr>
          <w:rFonts w:ascii="Times New Roman" w:hAnsi="Times New Roman" w:cs="Times New Roman"/>
          <w:b/>
          <w:bCs/>
          <w:color w:val="000000"/>
          <w:sz w:val="32"/>
          <w:szCs w:val="32"/>
          <w:lang w:eastAsia="zh-CN"/>
        </w:rPr>
        <w:t>（高氯酸盐使用企业）产排污分析</w:t>
      </w:r>
      <w:bookmarkEnd w:id="88"/>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（1）</w:t>
      </w:r>
      <w:r>
        <w:rPr>
          <w:rFonts w:hint="eastAsia" w:ascii="Times New Roman" w:hAnsi="Times New Roman" w:cs="Times New Roman"/>
          <w:b/>
          <w:bCs/>
          <w:color w:val="000000"/>
          <w:sz w:val="32"/>
          <w:szCs w:val="32"/>
          <w:lang w:eastAsia="zh-CN"/>
        </w:rPr>
        <w:t>我国烟花爆竹企业发展概况</w:t>
      </w:r>
    </w:p>
    <w:p>
      <w:pPr>
        <w:spacing w:line="360" w:lineRule="auto"/>
        <w:ind w:firstLine="640" w:firstLineChars="200"/>
        <w:jc w:val="both"/>
        <w:rPr>
          <w:rFonts w:ascii="Times New Roman" w:hAnsi="Times New Roman" w:eastAsia="仿宋" w:cs="Times New Roman"/>
          <w:color w:val="000000"/>
          <w:sz w:val="32"/>
          <w:szCs w:val="32"/>
          <w:highlight w:val="yellow"/>
          <w:lang w:eastAsia="zh-CN"/>
        </w:rPr>
      </w:pPr>
      <w:r>
        <w:rPr>
          <w:rFonts w:hint="eastAsia" w:ascii="Times New Roman" w:hAnsi="Times New Roman" w:eastAsia="仿宋" w:cs="Times New Roman"/>
          <w:color w:val="000000"/>
          <w:sz w:val="32"/>
          <w:szCs w:val="32"/>
          <w:lang w:eastAsia="zh-CN"/>
        </w:rPr>
        <w:t>目前，我国是全球最大的花炮生产、出口和消费国，花炮产量占到全球产量的</w:t>
      </w:r>
      <w:r>
        <w:rPr>
          <w:rFonts w:ascii="Times New Roman" w:hAnsi="Times New Roman" w:eastAsia="仿宋" w:cs="Times New Roman"/>
          <w:color w:val="000000"/>
          <w:sz w:val="32"/>
          <w:szCs w:val="32"/>
          <w:lang w:eastAsia="zh-CN"/>
        </w:rPr>
        <w:t>90%</w:t>
      </w:r>
      <w:r>
        <w:rPr>
          <w:rFonts w:hint="eastAsia" w:ascii="Times New Roman" w:hAnsi="Times New Roman" w:eastAsia="仿宋" w:cs="Times New Roman"/>
          <w:color w:val="000000"/>
          <w:sz w:val="32"/>
          <w:szCs w:val="32"/>
          <w:lang w:eastAsia="zh-CN"/>
        </w:rPr>
        <w:t>，约占世界贸易量的</w:t>
      </w:r>
      <w:r>
        <w:rPr>
          <w:rFonts w:ascii="Times New Roman" w:hAnsi="Times New Roman" w:eastAsia="仿宋" w:cs="Times New Roman"/>
          <w:color w:val="000000"/>
          <w:sz w:val="32"/>
          <w:szCs w:val="32"/>
          <w:lang w:eastAsia="zh-CN"/>
        </w:rPr>
        <w:t>80%</w:t>
      </w:r>
      <w:r>
        <w:rPr>
          <w:rFonts w:hint="eastAsia" w:ascii="Times New Roman" w:hAnsi="Times New Roman" w:eastAsia="仿宋" w:cs="Times New Roman"/>
          <w:color w:val="000000"/>
          <w:sz w:val="32"/>
          <w:szCs w:val="32"/>
          <w:lang w:eastAsia="zh-CN"/>
        </w:rPr>
        <w:t>。根据中国海关数据显示，</w:t>
      </w:r>
      <w:r>
        <w:rPr>
          <w:rFonts w:ascii="Times New Roman" w:hAnsi="Times New Roman" w:eastAsia="仿宋" w:cs="Times New Roman"/>
          <w:color w:val="000000"/>
          <w:sz w:val="32"/>
          <w:szCs w:val="32"/>
          <w:lang w:eastAsia="zh-CN"/>
        </w:rPr>
        <w:t>2022</w:t>
      </w:r>
      <w:r>
        <w:rPr>
          <w:rFonts w:hint="eastAsia" w:ascii="Times New Roman" w:hAnsi="Times New Roman" w:eastAsia="仿宋" w:cs="Times New Roman"/>
          <w:color w:val="000000"/>
          <w:sz w:val="32"/>
          <w:szCs w:val="32"/>
          <w:lang w:eastAsia="zh-CN"/>
        </w:rPr>
        <w:t>年</w:t>
      </w:r>
      <w:r>
        <w:rPr>
          <w:rFonts w:ascii="Times New Roman" w:hAnsi="Times New Roman" w:eastAsia="仿宋" w:cs="Times New Roman"/>
          <w:color w:val="000000"/>
          <w:sz w:val="32"/>
          <w:szCs w:val="32"/>
          <w:lang w:eastAsia="zh-CN"/>
        </w:rPr>
        <w:t>1-11</w:t>
      </w:r>
      <w:r>
        <w:rPr>
          <w:rFonts w:hint="eastAsia" w:ascii="Times New Roman" w:hAnsi="Times New Roman" w:eastAsia="仿宋" w:cs="Times New Roman"/>
          <w:color w:val="000000"/>
          <w:sz w:val="32"/>
          <w:szCs w:val="32"/>
          <w:lang w:eastAsia="zh-CN"/>
        </w:rPr>
        <w:t>月我国烟花爆竹出口量达到</w:t>
      </w:r>
      <w:r>
        <w:rPr>
          <w:rFonts w:ascii="Times New Roman" w:hAnsi="Times New Roman" w:eastAsia="仿宋" w:cs="Times New Roman"/>
          <w:color w:val="000000"/>
          <w:sz w:val="32"/>
          <w:szCs w:val="32"/>
          <w:lang w:eastAsia="zh-CN"/>
        </w:rPr>
        <w:t>38.03</w:t>
      </w:r>
      <w:r>
        <w:rPr>
          <w:rFonts w:hint="eastAsia" w:ascii="Times New Roman" w:hAnsi="Times New Roman" w:eastAsia="仿宋" w:cs="Times New Roman"/>
          <w:color w:val="000000"/>
          <w:sz w:val="32"/>
          <w:szCs w:val="32"/>
          <w:lang w:eastAsia="zh-CN"/>
        </w:rPr>
        <w:t>万吨，出口金额突破</w:t>
      </w:r>
      <w:r>
        <w:rPr>
          <w:rFonts w:ascii="Times New Roman" w:hAnsi="Times New Roman" w:eastAsia="仿宋" w:cs="Times New Roman"/>
          <w:color w:val="000000"/>
          <w:sz w:val="32"/>
          <w:szCs w:val="32"/>
          <w:lang w:eastAsia="zh-CN"/>
        </w:rPr>
        <w:t>10</w:t>
      </w:r>
      <w:r>
        <w:rPr>
          <w:rFonts w:hint="eastAsia" w:ascii="Times New Roman" w:hAnsi="Times New Roman" w:eastAsia="仿宋" w:cs="Times New Roman"/>
          <w:color w:val="000000"/>
          <w:sz w:val="32"/>
          <w:szCs w:val="32"/>
          <w:lang w:eastAsia="zh-CN"/>
        </w:rPr>
        <w:t>亿美元，同比增长</w:t>
      </w:r>
      <w:r>
        <w:rPr>
          <w:rFonts w:ascii="Times New Roman" w:hAnsi="Times New Roman" w:eastAsia="仿宋" w:cs="Times New Roman"/>
          <w:color w:val="000000"/>
          <w:sz w:val="32"/>
          <w:szCs w:val="32"/>
          <w:lang w:eastAsia="zh-CN"/>
        </w:rPr>
        <w:t>45.93%</w:t>
      </w:r>
      <w:r>
        <w:rPr>
          <w:rFonts w:hint="eastAsia" w:ascii="Times New Roman" w:hAnsi="Times New Roman" w:eastAsia="仿宋" w:cs="Times New Roman"/>
          <w:color w:val="000000"/>
          <w:sz w:val="32"/>
          <w:szCs w:val="32"/>
          <w:lang w:eastAsia="zh-CN"/>
        </w:rPr>
        <w:t>。根据国家发展改革委最新发布的《产业结构调整指导目录（</w:t>
      </w:r>
      <w:r>
        <w:rPr>
          <w:rFonts w:ascii="Times New Roman" w:hAnsi="Times New Roman" w:eastAsia="仿宋" w:cs="Times New Roman"/>
          <w:color w:val="000000"/>
          <w:sz w:val="32"/>
          <w:szCs w:val="32"/>
          <w:lang w:eastAsia="zh-CN"/>
        </w:rPr>
        <w:t>2023</w:t>
      </w:r>
      <w:r>
        <w:rPr>
          <w:rFonts w:hint="eastAsia" w:ascii="Times New Roman" w:hAnsi="Times New Roman" w:eastAsia="仿宋" w:cs="Times New Roman"/>
          <w:color w:val="000000"/>
          <w:sz w:val="32"/>
          <w:szCs w:val="32"/>
          <w:lang w:eastAsia="zh-CN"/>
        </w:rPr>
        <w:t>年本，征求意见稿）》，“钝感烟火药、无（微）烟烟火药、安全环保型烟花爆竹，自动化智能化烟花爆竹生产设备、生产线”为鼓励类产业；爆竹、组合烟花、喷花等产品的手工装药生产工艺以及含起爆药等敏感药剂成分的烟火药及烟花爆竹产品属于“淘汰类”。未来在环保和安全生产要求日趋严格情况下，烟花爆竹企业将进一步整合，并需要加快产业转型，走安全环保、自动化智能化发展之路。</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hint="eastAsia" w:ascii="Times New Roman" w:hAnsi="Times New Roman" w:cs="Times New Roman"/>
          <w:b/>
          <w:bCs/>
          <w:color w:val="000000"/>
          <w:sz w:val="32"/>
          <w:szCs w:val="32"/>
          <w:lang w:eastAsia="zh-CN"/>
        </w:rPr>
        <w:t>（2）</w:t>
      </w:r>
      <w:r>
        <w:rPr>
          <w:rFonts w:ascii="Times New Roman" w:hAnsi="Times New Roman" w:cs="Times New Roman"/>
          <w:b/>
          <w:bCs/>
          <w:color w:val="000000"/>
          <w:sz w:val="32"/>
          <w:szCs w:val="32"/>
          <w:lang w:eastAsia="zh-CN"/>
        </w:rPr>
        <w:t>湖南省</w:t>
      </w:r>
      <w:r>
        <w:rPr>
          <w:rFonts w:hint="eastAsia" w:ascii="Times New Roman" w:hAnsi="Times New Roman" w:cs="Times New Roman"/>
          <w:b/>
          <w:bCs/>
          <w:color w:val="000000"/>
          <w:sz w:val="32"/>
          <w:szCs w:val="32"/>
          <w:lang w:eastAsia="zh-CN"/>
        </w:rPr>
        <w:t>烟花爆竹企业</w:t>
      </w:r>
      <w:r>
        <w:rPr>
          <w:rFonts w:ascii="Times New Roman" w:hAnsi="Times New Roman" w:cs="Times New Roman"/>
          <w:b/>
          <w:bCs/>
          <w:color w:val="000000"/>
          <w:sz w:val="32"/>
          <w:szCs w:val="32"/>
          <w:lang w:eastAsia="zh-CN"/>
        </w:rPr>
        <w:t>数量与分布</w:t>
      </w:r>
    </w:p>
    <w:p>
      <w:pPr>
        <w:spacing w:line="360" w:lineRule="auto"/>
        <w:ind w:firstLine="640" w:firstLineChars="200"/>
        <w:jc w:val="both"/>
        <w:rPr>
          <w:rFonts w:ascii="Times New Roman" w:hAnsi="Times New Roman" w:eastAsia="仿宋" w:cs="Times New Roman"/>
          <w:color w:val="000000"/>
          <w:sz w:val="32"/>
          <w:szCs w:val="32"/>
          <w:lang w:eastAsia="zh-CN"/>
        </w:rPr>
      </w:pPr>
      <w:r>
        <w:rPr>
          <w:rFonts w:ascii="Times New Roman" w:hAnsi="Times New Roman" w:eastAsia="仿宋" w:cs="Times New Roman"/>
          <w:color w:val="000000"/>
          <w:sz w:val="32"/>
          <w:szCs w:val="32"/>
          <w:lang w:eastAsia="zh-CN"/>
        </w:rPr>
        <w:t>湖南省</w:t>
      </w:r>
      <w:r>
        <w:rPr>
          <w:rFonts w:hint="eastAsia" w:ascii="Times New Roman" w:hAnsi="Times New Roman" w:eastAsia="仿宋" w:cs="Times New Roman"/>
          <w:color w:val="000000"/>
          <w:sz w:val="32"/>
          <w:szCs w:val="32"/>
          <w:lang w:eastAsia="zh-CN"/>
        </w:rPr>
        <w:t>烟花爆竹企业主要分布在</w:t>
      </w:r>
      <w:r>
        <w:rPr>
          <w:rFonts w:ascii="Times New Roman" w:hAnsi="Times New Roman" w:eastAsia="仿宋" w:cs="Times New Roman"/>
          <w:color w:val="000000"/>
          <w:sz w:val="32"/>
          <w:szCs w:val="32"/>
          <w:lang w:eastAsia="zh-CN"/>
        </w:rPr>
        <w:t>共781家，</w:t>
      </w:r>
      <w:r>
        <w:rPr>
          <w:rFonts w:hint="eastAsia" w:ascii="Times New Roman" w:hAnsi="Times New Roman" w:eastAsia="仿宋" w:cs="Times New Roman"/>
          <w:color w:val="000000"/>
          <w:sz w:val="32"/>
          <w:szCs w:val="32"/>
          <w:lang w:eastAsia="zh-CN"/>
        </w:rPr>
        <w:t>从各区县分布来看，</w:t>
      </w:r>
      <w:r>
        <w:rPr>
          <w:rFonts w:ascii="Times New Roman" w:hAnsi="Times New Roman" w:eastAsia="仿宋" w:cs="Times New Roman"/>
          <w:color w:val="000000"/>
          <w:sz w:val="32"/>
          <w:szCs w:val="32"/>
          <w:lang w:eastAsia="zh-CN"/>
        </w:rPr>
        <w:t>浏阳市442家，占比56.59%，其次是醴陵市176家，临澧、宜章、永兴、攸县等县市也有分布</w:t>
      </w:r>
      <w:r>
        <w:rPr>
          <w:rFonts w:hint="eastAsia" w:ascii="Times New Roman" w:hAnsi="Times New Roman" w:eastAsia="仿宋" w:cs="Times New Roman"/>
          <w:color w:val="000000"/>
          <w:sz w:val="32"/>
          <w:szCs w:val="32"/>
          <w:lang w:eastAsia="zh-CN"/>
        </w:rPr>
        <w:t>；从生产种类来看，只生产烟花的企业约462家，占比59.15%，只生产鞭炮的企业约191家，24.46%，烟花爆竹都生产的约39家，占比4.99%，还有一部分企业生产引线和黑火药等占比11.40%</w:t>
      </w:r>
      <w:r>
        <w:rPr>
          <w:rFonts w:ascii="Times New Roman" w:hAnsi="Times New Roman" w:eastAsia="仿宋" w:cs="Times New Roman"/>
          <w:color w:val="000000"/>
          <w:sz w:val="32"/>
          <w:szCs w:val="32"/>
          <w:lang w:eastAsia="zh-CN"/>
        </w:rPr>
        <w:t>。烟花爆竹的主要原材料为高氯酸钾、硫磺和铝粉。</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w:t>
      </w:r>
      <w:r>
        <w:rPr>
          <w:rFonts w:hint="eastAsia" w:ascii="Times New Roman" w:hAnsi="Times New Roman" w:cs="Times New Roman"/>
          <w:b/>
          <w:bCs/>
          <w:color w:val="000000"/>
          <w:sz w:val="32"/>
          <w:szCs w:val="32"/>
          <w:lang w:eastAsia="zh-CN"/>
        </w:rPr>
        <w:t>3</w:t>
      </w:r>
      <w:r>
        <w:rPr>
          <w:rFonts w:ascii="Times New Roman" w:hAnsi="Times New Roman" w:cs="Times New Roman"/>
          <w:b/>
          <w:bCs/>
          <w:color w:val="000000"/>
          <w:sz w:val="32"/>
          <w:szCs w:val="32"/>
          <w:lang w:eastAsia="zh-CN"/>
        </w:rPr>
        <w:t>）烟花制造企业废水产生环节</w:t>
      </w:r>
    </w:p>
    <w:p>
      <w:pPr>
        <w:spacing w:line="360" w:lineRule="auto"/>
        <w:ind w:firstLine="640" w:firstLineChars="200"/>
        <w:rPr>
          <w:rFonts w:ascii="Times New Roman" w:hAnsi="Times New Roman" w:eastAsia="仿宋" w:cs="Times New Roman"/>
          <w:color w:val="000000"/>
          <w:sz w:val="32"/>
          <w:szCs w:val="32"/>
          <w:lang w:eastAsia="zh-CN"/>
        </w:rPr>
      </w:pPr>
      <w:r>
        <w:rPr>
          <w:rFonts w:ascii="Times New Roman" w:hAnsi="Times New Roman" w:eastAsia="仿宋" w:cs="Times New Roman"/>
          <w:color w:val="000000"/>
          <w:sz w:val="32"/>
          <w:szCs w:val="32"/>
          <w:lang w:eastAsia="zh-CN"/>
        </w:rPr>
        <w:t>不同类型烟花产品的生产工艺不同，以</w:t>
      </w:r>
      <w:r>
        <w:rPr>
          <w:rFonts w:hint="eastAsia" w:ascii="Times New Roman" w:hAnsi="Times New Roman" w:eastAsia="仿宋" w:cs="Times New Roman"/>
          <w:color w:val="000000"/>
          <w:sz w:val="32"/>
          <w:szCs w:val="32"/>
          <w:lang w:eastAsia="zh-CN"/>
        </w:rPr>
        <w:t>某公司生产</w:t>
      </w:r>
      <w:r>
        <w:rPr>
          <w:rFonts w:ascii="Times New Roman" w:hAnsi="Times New Roman" w:eastAsia="仿宋" w:cs="Times New Roman"/>
          <w:color w:val="000000"/>
          <w:sz w:val="32"/>
          <w:szCs w:val="32"/>
          <w:lang w:eastAsia="zh-CN"/>
        </w:rPr>
        <w:t>组合烟花产品为例，其生产工艺流程主要有无药部件制作、组盆安引、装发射药、装纸片、装效果件、包装、储存等过程，其水污染物产生主要环节</w:t>
      </w:r>
      <w:r>
        <w:rPr>
          <w:rFonts w:hint="eastAsia" w:ascii="Times New Roman" w:hAnsi="Times New Roman" w:eastAsia="仿宋" w:cs="Times New Roman"/>
          <w:color w:val="000000"/>
          <w:sz w:val="32"/>
          <w:szCs w:val="32"/>
          <w:lang w:eastAsia="zh-CN"/>
        </w:rPr>
        <w:t>是</w:t>
      </w:r>
      <w:r>
        <w:rPr>
          <w:rFonts w:ascii="Times New Roman" w:hAnsi="Times New Roman" w:eastAsia="仿宋" w:cs="Times New Roman"/>
          <w:color w:val="000000"/>
          <w:sz w:val="32"/>
          <w:szCs w:val="32"/>
          <w:lang w:eastAsia="zh-CN"/>
        </w:rPr>
        <w:t xml:space="preserve">装药车间地面及工作平台冲洗废水、员工生活污水等。 </w:t>
      </w:r>
    </w:p>
    <w:p>
      <w:pPr>
        <w:spacing w:line="360" w:lineRule="auto"/>
        <w:ind w:firstLine="642" w:firstLineChars="200"/>
        <w:rPr>
          <w:rFonts w:ascii="Times New Roman" w:hAnsi="Times New Roman" w:eastAsia="仿宋" w:cs="Times New Roman"/>
          <w:b/>
          <w:bCs/>
          <w:color w:val="000000"/>
          <w:sz w:val="32"/>
          <w:szCs w:val="32"/>
          <w:lang w:eastAsia="zh-CN"/>
        </w:rPr>
      </w:pPr>
      <w:r>
        <w:rPr>
          <w:rFonts w:ascii="Times New Roman" w:hAnsi="Times New Roman" w:eastAsia="仿宋" w:cs="Times New Roman"/>
          <w:b/>
          <w:bCs/>
          <w:color w:val="000000"/>
          <w:sz w:val="32"/>
          <w:szCs w:val="32"/>
          <w:lang w:eastAsia="zh-CN"/>
        </w:rPr>
        <w:fldChar w:fldCharType="begin"/>
      </w:r>
      <w:r>
        <w:rPr>
          <w:rFonts w:ascii="Times New Roman" w:hAnsi="Times New Roman" w:eastAsia="仿宋" w:cs="Times New Roman"/>
          <w:b/>
          <w:bCs/>
          <w:color w:val="000000"/>
          <w:sz w:val="32"/>
          <w:szCs w:val="32"/>
          <w:lang w:eastAsia="zh-CN"/>
        </w:rPr>
        <w:instrText xml:space="preserve"> = 1 \* GB3 </w:instrText>
      </w:r>
      <w:r>
        <w:rPr>
          <w:rFonts w:ascii="Times New Roman" w:hAnsi="Times New Roman" w:eastAsia="仿宋" w:cs="Times New Roman"/>
          <w:b/>
          <w:bCs/>
          <w:color w:val="000000"/>
          <w:sz w:val="32"/>
          <w:szCs w:val="32"/>
          <w:lang w:eastAsia="zh-CN"/>
        </w:rPr>
        <w:fldChar w:fldCharType="separate"/>
      </w:r>
      <w:r>
        <w:rPr>
          <w:rFonts w:hint="eastAsia" w:ascii="宋体" w:hAnsi="宋体" w:eastAsia="宋体"/>
          <w:b/>
          <w:bCs/>
          <w:color w:val="000000"/>
          <w:sz w:val="32"/>
          <w:szCs w:val="32"/>
          <w:lang w:eastAsia="zh-CN"/>
        </w:rPr>
        <w:t>①</w:t>
      </w:r>
      <w:r>
        <w:rPr>
          <w:rFonts w:ascii="Times New Roman" w:hAnsi="Times New Roman" w:eastAsia="仿宋" w:cs="Times New Roman"/>
          <w:b/>
          <w:bCs/>
          <w:color w:val="000000"/>
          <w:sz w:val="32"/>
          <w:szCs w:val="32"/>
          <w:lang w:eastAsia="zh-CN"/>
        </w:rPr>
        <w:fldChar w:fldCharType="end"/>
      </w:r>
      <w:r>
        <w:rPr>
          <w:rFonts w:ascii="Times New Roman" w:hAnsi="Times New Roman" w:eastAsia="仿宋" w:cs="Times New Roman"/>
          <w:b/>
          <w:bCs/>
          <w:color w:val="000000"/>
          <w:sz w:val="32"/>
          <w:szCs w:val="32"/>
          <w:lang w:eastAsia="zh-CN"/>
        </w:rPr>
        <w:t>生产废水</w:t>
      </w:r>
      <w:r>
        <w:rPr>
          <w:rFonts w:hint="eastAsia" w:ascii="Times New Roman" w:hAnsi="Times New Roman" w:eastAsia="仿宋" w:cs="Times New Roman"/>
          <w:b/>
          <w:bCs/>
          <w:color w:val="000000"/>
          <w:sz w:val="32"/>
          <w:szCs w:val="32"/>
          <w:lang w:eastAsia="zh-CN"/>
        </w:rPr>
        <w:t>及雨水</w:t>
      </w:r>
    </w:p>
    <w:p>
      <w:pPr>
        <w:spacing w:line="360" w:lineRule="auto"/>
        <w:ind w:firstLine="640" w:firstLineChars="200"/>
        <w:rPr>
          <w:rFonts w:ascii="Times New Roman" w:hAnsi="Times New Roman" w:eastAsia="仿宋" w:cs="Times New Roman"/>
          <w:bCs/>
          <w:color w:val="000000"/>
          <w:sz w:val="32"/>
          <w:szCs w:val="32"/>
          <w:lang w:eastAsia="zh-CN"/>
        </w:rPr>
      </w:pPr>
      <w:r>
        <w:rPr>
          <w:rFonts w:ascii="Times New Roman" w:hAnsi="Times New Roman" w:eastAsia="仿宋" w:cs="Times New Roman"/>
          <w:color w:val="000000"/>
          <w:sz w:val="32"/>
          <w:szCs w:val="32"/>
          <w:lang w:eastAsia="zh-CN"/>
        </w:rPr>
        <w:t>除中转房和存药库外，其余车间为防止药品粉尘堆积达到爆炸临界值，保持空气湿度，均需定时冲洗车间地面及操作平台。因此，生产废水主要</w:t>
      </w:r>
      <w:r>
        <w:rPr>
          <w:rFonts w:hint="eastAsia" w:ascii="Times New Roman" w:hAnsi="Times New Roman" w:eastAsia="仿宋" w:cs="Times New Roman"/>
          <w:color w:val="000000"/>
          <w:sz w:val="32"/>
          <w:szCs w:val="32"/>
          <w:lang w:eastAsia="zh-CN"/>
        </w:rPr>
        <w:t>是</w:t>
      </w:r>
      <w:r>
        <w:rPr>
          <w:rFonts w:ascii="Times New Roman" w:hAnsi="Times New Roman" w:eastAsia="仿宋" w:cs="Times New Roman"/>
          <w:color w:val="000000"/>
          <w:sz w:val="32"/>
          <w:szCs w:val="32"/>
          <w:lang w:eastAsia="zh-CN"/>
        </w:rPr>
        <w:t>装药车间地面及工作平台的冲洗废水。冲洗用水量一般按照1~4 L/(m</w:t>
      </w:r>
      <w:r>
        <w:rPr>
          <w:rFonts w:ascii="Times New Roman" w:hAnsi="Times New Roman" w:eastAsia="仿宋" w:cs="Times New Roman"/>
          <w:color w:val="000000"/>
          <w:sz w:val="32"/>
          <w:szCs w:val="32"/>
          <w:vertAlign w:val="superscript"/>
          <w:lang w:eastAsia="zh-CN"/>
        </w:rPr>
        <w:t xml:space="preserve">2 </w:t>
      </w:r>
      <w:r>
        <w:rPr>
          <w:rFonts w:ascii="Times New Roman" w:hAnsi="Times New Roman" w:eastAsia="仿宋" w:cs="Times New Roman"/>
          <w:color w:val="000000"/>
          <w:sz w:val="32"/>
          <w:szCs w:val="32"/>
          <w:lang w:eastAsia="zh-CN"/>
        </w:rPr>
        <w:t>• 次)。环评要求生产车间配套完善</w:t>
      </w:r>
      <w:r>
        <w:rPr>
          <w:rFonts w:hint="eastAsia" w:ascii="Times New Roman" w:hAnsi="Times New Roman" w:eastAsia="仿宋" w:cs="Times New Roman"/>
          <w:color w:val="000000"/>
          <w:sz w:val="32"/>
          <w:szCs w:val="32"/>
          <w:lang w:eastAsia="zh-CN"/>
        </w:rPr>
        <w:t>的</w:t>
      </w:r>
      <w:r>
        <w:rPr>
          <w:rFonts w:ascii="Times New Roman" w:hAnsi="Times New Roman" w:eastAsia="仿宋" w:cs="Times New Roman"/>
          <w:color w:val="000000"/>
          <w:sz w:val="32"/>
          <w:szCs w:val="32"/>
          <w:lang w:eastAsia="zh-CN"/>
        </w:rPr>
        <w:t>沉淀池</w:t>
      </w:r>
      <w:r>
        <w:rPr>
          <w:rFonts w:hint="eastAsia" w:ascii="Times New Roman" w:hAnsi="Times New Roman" w:eastAsia="仿宋" w:cs="Times New Roman"/>
          <w:color w:val="000000"/>
          <w:sz w:val="32"/>
          <w:szCs w:val="32"/>
          <w:lang w:eastAsia="zh-CN"/>
        </w:rPr>
        <w:t>及</w:t>
      </w:r>
      <w:r>
        <w:rPr>
          <w:rFonts w:ascii="Times New Roman" w:hAnsi="Times New Roman" w:eastAsia="仿宋" w:cs="Times New Roman"/>
          <w:color w:val="000000"/>
          <w:sz w:val="32"/>
          <w:szCs w:val="32"/>
          <w:lang w:eastAsia="zh-CN"/>
        </w:rPr>
        <w:t>废水回用设施，</w:t>
      </w:r>
      <w:r>
        <w:rPr>
          <w:rFonts w:ascii="Times New Roman" w:hAnsi="Times New Roman" w:eastAsia="仿宋" w:cs="Times New Roman"/>
          <w:bCs/>
          <w:color w:val="000000"/>
          <w:sz w:val="32"/>
          <w:szCs w:val="32"/>
          <w:lang w:eastAsia="zh-CN"/>
        </w:rPr>
        <w:t>沉淀池容积不小于20 m</w:t>
      </w:r>
      <w:r>
        <w:rPr>
          <w:rFonts w:ascii="Times New Roman" w:hAnsi="Times New Roman" w:eastAsia="仿宋" w:cs="Times New Roman"/>
          <w:bCs/>
          <w:color w:val="000000"/>
          <w:sz w:val="32"/>
          <w:szCs w:val="32"/>
          <w:vertAlign w:val="superscript"/>
          <w:lang w:eastAsia="zh-CN"/>
        </w:rPr>
        <w:t>3</w:t>
      </w:r>
      <w:r>
        <w:rPr>
          <w:rFonts w:ascii="Times New Roman" w:hAnsi="Times New Roman" w:eastAsia="仿宋" w:cs="Times New Roman"/>
          <w:bCs/>
          <w:color w:val="000000"/>
          <w:sz w:val="32"/>
          <w:szCs w:val="32"/>
          <w:lang w:eastAsia="zh-CN"/>
        </w:rPr>
        <w:t>，并对</w:t>
      </w:r>
      <w:r>
        <w:rPr>
          <w:rFonts w:ascii="Times New Roman" w:hAnsi="Times New Roman" w:eastAsia="仿宋" w:cs="Times New Roman"/>
          <w:color w:val="000000"/>
          <w:sz w:val="32"/>
          <w:szCs w:val="32"/>
          <w:lang w:eastAsia="zh-CN"/>
        </w:rPr>
        <w:t>沉淀池做好防雨、防渗措施，沉淀池内含药，底泥及时清掏。车间周边</w:t>
      </w:r>
      <w:r>
        <w:rPr>
          <w:rFonts w:hint="eastAsia" w:ascii="Times New Roman" w:hAnsi="Times New Roman" w:eastAsia="仿宋" w:cs="Times New Roman"/>
          <w:color w:val="000000"/>
          <w:sz w:val="32"/>
          <w:szCs w:val="32"/>
          <w:lang w:eastAsia="zh-CN"/>
        </w:rPr>
        <w:t>应</w:t>
      </w:r>
      <w:r>
        <w:rPr>
          <w:rFonts w:ascii="Times New Roman" w:hAnsi="Times New Roman" w:eastAsia="仿宋" w:cs="Times New Roman"/>
          <w:color w:val="000000"/>
          <w:sz w:val="32"/>
          <w:szCs w:val="32"/>
          <w:lang w:eastAsia="zh-CN"/>
        </w:rPr>
        <w:t>设置集水沟，排入附近水塘</w:t>
      </w:r>
      <w:r>
        <w:rPr>
          <w:rFonts w:hint="eastAsia" w:ascii="Times New Roman" w:hAnsi="Times New Roman" w:eastAsia="仿宋" w:cs="Times New Roman"/>
          <w:color w:val="000000"/>
          <w:sz w:val="32"/>
          <w:szCs w:val="32"/>
          <w:lang w:eastAsia="zh-CN"/>
        </w:rPr>
        <w:t>，避免进入沉淀池</w:t>
      </w:r>
      <w:r>
        <w:rPr>
          <w:rFonts w:ascii="Times New Roman" w:hAnsi="Times New Roman" w:eastAsia="仿宋" w:cs="Times New Roman"/>
          <w:color w:val="000000"/>
          <w:sz w:val="32"/>
          <w:szCs w:val="32"/>
          <w:lang w:eastAsia="zh-CN"/>
        </w:rPr>
        <w:t>。</w:t>
      </w:r>
    </w:p>
    <w:p>
      <w:pPr>
        <w:spacing w:line="360" w:lineRule="auto"/>
        <w:ind w:firstLine="642" w:firstLineChars="200"/>
        <w:rPr>
          <w:rFonts w:ascii="Times New Roman" w:hAnsi="Times New Roman" w:eastAsia="仿宋" w:cs="Times New Roman"/>
          <w:b/>
          <w:bCs/>
          <w:color w:val="000000"/>
          <w:sz w:val="32"/>
          <w:szCs w:val="32"/>
          <w:lang w:eastAsia="zh-CN"/>
        </w:rPr>
      </w:pPr>
      <w:r>
        <w:rPr>
          <w:rFonts w:ascii="Times New Roman" w:hAnsi="Times New Roman" w:eastAsia="仿宋" w:cs="Times New Roman"/>
          <w:b/>
          <w:bCs/>
          <w:color w:val="000000"/>
          <w:sz w:val="32"/>
          <w:szCs w:val="32"/>
          <w:lang w:eastAsia="zh-CN"/>
        </w:rPr>
        <w:fldChar w:fldCharType="begin"/>
      </w:r>
      <w:r>
        <w:rPr>
          <w:rFonts w:ascii="Times New Roman" w:hAnsi="Times New Roman" w:eastAsia="仿宋" w:cs="Times New Roman"/>
          <w:b/>
          <w:bCs/>
          <w:color w:val="000000"/>
          <w:sz w:val="32"/>
          <w:szCs w:val="32"/>
          <w:lang w:eastAsia="zh-CN"/>
        </w:rPr>
        <w:instrText xml:space="preserve"> = 2 \* GB3 </w:instrText>
      </w:r>
      <w:r>
        <w:rPr>
          <w:rFonts w:ascii="Times New Roman" w:hAnsi="Times New Roman" w:eastAsia="仿宋" w:cs="Times New Roman"/>
          <w:b/>
          <w:bCs/>
          <w:color w:val="000000"/>
          <w:sz w:val="32"/>
          <w:szCs w:val="32"/>
          <w:lang w:eastAsia="zh-CN"/>
        </w:rPr>
        <w:fldChar w:fldCharType="separate"/>
      </w:r>
      <w:r>
        <w:rPr>
          <w:rFonts w:hint="eastAsia" w:ascii="宋体" w:hAnsi="宋体" w:eastAsia="宋体"/>
          <w:b/>
          <w:bCs/>
          <w:color w:val="000000"/>
          <w:sz w:val="32"/>
          <w:szCs w:val="32"/>
          <w:lang w:eastAsia="zh-CN"/>
        </w:rPr>
        <w:t>②</w:t>
      </w:r>
      <w:r>
        <w:rPr>
          <w:rFonts w:ascii="Times New Roman" w:hAnsi="Times New Roman" w:eastAsia="仿宋" w:cs="Times New Roman"/>
          <w:b/>
          <w:bCs/>
          <w:color w:val="000000"/>
          <w:sz w:val="32"/>
          <w:szCs w:val="32"/>
          <w:lang w:eastAsia="zh-CN"/>
        </w:rPr>
        <w:fldChar w:fldCharType="end"/>
      </w:r>
      <w:r>
        <w:rPr>
          <w:rFonts w:ascii="Times New Roman" w:hAnsi="Times New Roman" w:eastAsia="仿宋" w:cs="Times New Roman"/>
          <w:b/>
          <w:bCs/>
          <w:color w:val="000000"/>
          <w:sz w:val="32"/>
          <w:szCs w:val="32"/>
          <w:lang w:eastAsia="zh-CN"/>
        </w:rPr>
        <w:t>员工生活污水</w:t>
      </w:r>
    </w:p>
    <w:p>
      <w:pPr>
        <w:spacing w:line="360" w:lineRule="auto"/>
        <w:ind w:firstLine="640" w:firstLineChars="200"/>
        <w:jc w:val="both"/>
        <w:rPr>
          <w:rFonts w:ascii="Times New Roman" w:hAnsi="Times New Roman" w:eastAsia="仿宋" w:cs="Times New Roman"/>
          <w:color w:val="000000"/>
          <w:sz w:val="32"/>
          <w:szCs w:val="32"/>
          <w:lang w:eastAsia="zh-CN"/>
        </w:rPr>
      </w:pPr>
      <w:r>
        <w:rPr>
          <w:rFonts w:ascii="Times New Roman" w:hAnsi="Times New Roman" w:eastAsia="仿宋" w:cs="Times New Roman"/>
          <w:color w:val="000000"/>
          <w:sz w:val="32"/>
          <w:szCs w:val="32"/>
          <w:lang w:eastAsia="zh-CN"/>
        </w:rPr>
        <w:t>根据《湖南省地方标准用水定额》（DB43/T388-2020），住宿人员用水量按每人每天150 L计，非住宿人员用水量按每人每天45 L计，生活污水排放系数按0.8计。生活污水主要污染因子</w:t>
      </w:r>
      <w:r>
        <w:rPr>
          <w:rFonts w:hint="eastAsia" w:ascii="Times New Roman" w:hAnsi="Times New Roman" w:eastAsia="仿宋" w:cs="Times New Roman"/>
          <w:color w:val="000000"/>
          <w:sz w:val="32"/>
          <w:szCs w:val="32"/>
          <w:lang w:eastAsia="zh-CN"/>
        </w:rPr>
        <w:t>是</w:t>
      </w:r>
      <w:r>
        <w:rPr>
          <w:rFonts w:ascii="Times New Roman" w:hAnsi="Times New Roman" w:eastAsia="仿宋" w:cs="Times New Roman"/>
          <w:color w:val="000000"/>
          <w:sz w:val="32"/>
          <w:szCs w:val="32"/>
          <w:lang w:eastAsia="zh-CN"/>
        </w:rPr>
        <w:t>化学需氧量、悬浮物、氨氮、植物油等，经化粪池处理后，收集</w:t>
      </w:r>
      <w:r>
        <w:rPr>
          <w:rFonts w:hint="eastAsia" w:ascii="Times New Roman" w:hAnsi="Times New Roman" w:eastAsia="仿宋" w:cs="Times New Roman"/>
          <w:color w:val="000000"/>
          <w:sz w:val="32"/>
          <w:szCs w:val="32"/>
          <w:lang w:eastAsia="zh-CN"/>
        </w:rPr>
        <w:t>作为</w:t>
      </w:r>
      <w:r>
        <w:rPr>
          <w:rFonts w:ascii="Times New Roman" w:hAnsi="Times New Roman" w:eastAsia="仿宋" w:cs="Times New Roman"/>
          <w:color w:val="000000"/>
          <w:sz w:val="32"/>
          <w:szCs w:val="32"/>
          <w:lang w:eastAsia="zh-CN"/>
        </w:rPr>
        <w:t>厂区周边农肥和林地绿化用水，不外排。</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w:t>
      </w:r>
      <w:r>
        <w:rPr>
          <w:rFonts w:hint="eastAsia" w:ascii="Times New Roman" w:hAnsi="Times New Roman" w:cs="Times New Roman"/>
          <w:b/>
          <w:bCs/>
          <w:color w:val="000000"/>
          <w:sz w:val="32"/>
          <w:szCs w:val="32"/>
          <w:lang w:eastAsia="zh-CN"/>
        </w:rPr>
        <w:t>4</w:t>
      </w:r>
      <w:r>
        <w:rPr>
          <w:rFonts w:ascii="Times New Roman" w:hAnsi="Times New Roman" w:cs="Times New Roman"/>
          <w:b/>
          <w:bCs/>
          <w:color w:val="000000"/>
          <w:sz w:val="32"/>
          <w:szCs w:val="32"/>
          <w:lang w:eastAsia="zh-CN"/>
        </w:rPr>
        <w:t>）鞭炮制造企业废水产生环节</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鞭炮生产工艺流程主要</w:t>
      </w:r>
      <w:r>
        <w:rPr>
          <w:rFonts w:hint="eastAsia" w:ascii="Times New Roman" w:hAnsi="Times New Roman" w:cs="Times New Roman"/>
          <w:color w:val="000000"/>
          <w:sz w:val="32"/>
          <w:szCs w:val="32"/>
          <w:lang w:eastAsia="zh-CN"/>
        </w:rPr>
        <w:t>是</w:t>
      </w:r>
      <w:r>
        <w:rPr>
          <w:rFonts w:ascii="Times New Roman" w:hAnsi="Times New Roman" w:cs="Times New Roman"/>
          <w:color w:val="000000"/>
          <w:sz w:val="32"/>
          <w:szCs w:val="32"/>
          <w:lang w:eastAsia="zh-CN"/>
        </w:rPr>
        <w:t>无药部件制作、插引、装爆炸药、封口、结鞭、包装、储存等过程（具体</w:t>
      </w:r>
      <w:r>
        <w:rPr>
          <w:rFonts w:ascii="Times New Roman" w:hAnsi="Times New Roman" w:cs="Times New Roman"/>
          <w:bCs/>
          <w:color w:val="000000"/>
          <w:sz w:val="32"/>
          <w:szCs w:val="32"/>
          <w:lang w:eastAsia="zh-CN"/>
        </w:rPr>
        <w:t>生产流程及产污节点</w:t>
      </w:r>
      <w:r>
        <w:rPr>
          <w:rFonts w:ascii="Times New Roman" w:hAnsi="Times New Roman" w:cs="Times New Roman"/>
          <w:color w:val="000000"/>
          <w:sz w:val="32"/>
          <w:szCs w:val="32"/>
          <w:lang w:eastAsia="zh-CN"/>
        </w:rPr>
        <w:t>详见图4-</w:t>
      </w:r>
      <w:r>
        <w:rPr>
          <w:rFonts w:hint="eastAsia" w:ascii="Times New Roman" w:hAnsi="Times New Roman" w:cs="Times New Roman"/>
          <w:color w:val="000000"/>
          <w:sz w:val="32"/>
          <w:szCs w:val="32"/>
          <w:lang w:eastAsia="zh-CN"/>
        </w:rPr>
        <w:t>5</w:t>
      </w:r>
      <w:r>
        <w:rPr>
          <w:rFonts w:ascii="Times New Roman" w:hAnsi="Times New Roman" w:cs="Times New Roman"/>
          <w:color w:val="000000"/>
          <w:sz w:val="32"/>
          <w:szCs w:val="32"/>
          <w:lang w:eastAsia="zh-CN"/>
        </w:rPr>
        <w:t>），与烟花企业相似，</w:t>
      </w:r>
      <w:r>
        <w:rPr>
          <w:rFonts w:ascii="Times New Roman" w:hAnsi="Times New Roman" w:cs="Times New Roman"/>
          <w:bCs/>
          <w:color w:val="000000"/>
          <w:sz w:val="32"/>
          <w:szCs w:val="32"/>
          <w:lang w:eastAsia="zh-CN"/>
        </w:rPr>
        <w:t>废水主要</w:t>
      </w:r>
      <w:r>
        <w:rPr>
          <w:rFonts w:hint="eastAsia" w:ascii="Times New Roman" w:hAnsi="Times New Roman" w:cs="Times New Roman"/>
          <w:bCs/>
          <w:color w:val="000000"/>
          <w:sz w:val="32"/>
          <w:szCs w:val="32"/>
          <w:lang w:eastAsia="zh-CN"/>
        </w:rPr>
        <w:t>是</w:t>
      </w:r>
      <w:r>
        <w:rPr>
          <w:rFonts w:ascii="Times New Roman" w:hAnsi="Times New Roman" w:cs="Times New Roman"/>
          <w:bCs/>
          <w:color w:val="000000"/>
          <w:sz w:val="32"/>
          <w:szCs w:val="32"/>
          <w:lang w:eastAsia="zh-CN"/>
        </w:rPr>
        <w:t>厂区冲洗废水</w:t>
      </w:r>
      <w:r>
        <w:rPr>
          <w:rFonts w:hint="eastAsia" w:ascii="Times New Roman" w:hAnsi="Times New Roman" w:cs="Times New Roman"/>
          <w:bCs/>
          <w:color w:val="000000"/>
          <w:sz w:val="32"/>
          <w:szCs w:val="32"/>
          <w:lang w:eastAsia="zh-CN"/>
        </w:rPr>
        <w:t>和</w:t>
      </w:r>
      <w:r>
        <w:rPr>
          <w:rFonts w:ascii="Times New Roman" w:hAnsi="Times New Roman" w:cs="Times New Roman"/>
          <w:bCs/>
          <w:color w:val="000000"/>
          <w:sz w:val="32"/>
          <w:szCs w:val="32"/>
          <w:lang w:eastAsia="zh-CN"/>
        </w:rPr>
        <w:t>生活污水</w:t>
      </w:r>
      <w:r>
        <w:rPr>
          <w:rFonts w:hint="eastAsia" w:ascii="Times New Roman" w:hAnsi="Times New Roman" w:cs="Times New Roman"/>
          <w:bCs/>
          <w:color w:val="000000"/>
          <w:sz w:val="32"/>
          <w:szCs w:val="32"/>
          <w:lang w:eastAsia="zh-CN"/>
        </w:rPr>
        <w:t>，</w:t>
      </w:r>
      <w:r>
        <w:rPr>
          <w:rFonts w:ascii="Times New Roman" w:hAnsi="Times New Roman" w:cs="Times New Roman"/>
          <w:color w:val="000000"/>
          <w:sz w:val="32"/>
          <w:szCs w:val="32"/>
          <w:lang w:eastAsia="zh-CN"/>
        </w:rPr>
        <w:t>以浏阳某鞭炮企业为例，</w:t>
      </w:r>
      <w:r>
        <w:rPr>
          <w:rFonts w:hint="eastAsia" w:ascii="Times New Roman" w:hAnsi="Times New Roman" w:cs="Times New Roman"/>
          <w:color w:val="000000"/>
          <w:sz w:val="32"/>
          <w:szCs w:val="32"/>
          <w:lang w:eastAsia="zh-CN"/>
        </w:rPr>
        <w:t>分析其产污环节</w:t>
      </w:r>
      <w:r>
        <w:rPr>
          <w:rFonts w:ascii="Times New Roman" w:hAnsi="Times New Roman" w:cs="Times New Roman"/>
          <w:color w:val="000000"/>
          <w:sz w:val="32"/>
          <w:szCs w:val="32"/>
          <w:lang w:eastAsia="zh-CN"/>
        </w:rPr>
        <w:t>。</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fldChar w:fldCharType="begin"/>
      </w:r>
      <w:r>
        <w:rPr>
          <w:rFonts w:ascii="Times New Roman" w:hAnsi="Times New Roman" w:cs="Times New Roman"/>
          <w:b/>
          <w:bCs/>
          <w:color w:val="000000"/>
          <w:sz w:val="32"/>
          <w:szCs w:val="32"/>
          <w:lang w:eastAsia="zh-CN"/>
        </w:rPr>
        <w:instrText xml:space="preserve"> = 1 \* GB3 </w:instrText>
      </w:r>
      <w:r>
        <w:rPr>
          <w:rFonts w:ascii="Times New Roman" w:hAnsi="Times New Roman" w:cs="Times New Roman"/>
          <w:b/>
          <w:bCs/>
          <w:color w:val="000000"/>
          <w:sz w:val="32"/>
          <w:szCs w:val="32"/>
          <w:lang w:eastAsia="zh-CN"/>
        </w:rPr>
        <w:fldChar w:fldCharType="separate"/>
      </w:r>
      <w:r>
        <w:rPr>
          <w:rFonts w:hint="eastAsia" w:ascii="宋体" w:hAnsi="宋体" w:eastAsia="宋体"/>
          <w:b/>
          <w:bCs/>
          <w:color w:val="000000"/>
          <w:sz w:val="32"/>
          <w:szCs w:val="32"/>
          <w:lang w:eastAsia="zh-CN"/>
        </w:rPr>
        <w:t>①</w:t>
      </w:r>
      <w:r>
        <w:rPr>
          <w:rFonts w:ascii="Times New Roman" w:hAnsi="Times New Roman" w:cs="Times New Roman"/>
          <w:b/>
          <w:bCs/>
          <w:color w:val="000000"/>
          <w:sz w:val="32"/>
          <w:szCs w:val="32"/>
          <w:lang w:eastAsia="zh-CN"/>
        </w:rPr>
        <w:fldChar w:fldCharType="end"/>
      </w:r>
      <w:r>
        <w:rPr>
          <w:rFonts w:ascii="Times New Roman" w:hAnsi="Times New Roman" w:cs="Times New Roman"/>
          <w:b/>
          <w:bCs/>
          <w:color w:val="000000"/>
          <w:sz w:val="32"/>
          <w:szCs w:val="32"/>
          <w:lang w:eastAsia="zh-CN"/>
        </w:rPr>
        <w:t>生产废水</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为防止地面含火药的粉尘堆积引发安全事故，需定期用水清洗工作台和地面</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冲洗用水量一般按照1~4 L/(m</w:t>
      </w:r>
      <w:r>
        <w:rPr>
          <w:rFonts w:ascii="Times New Roman" w:hAnsi="Times New Roman" w:cs="Times New Roman"/>
          <w:color w:val="000000"/>
          <w:sz w:val="32"/>
          <w:szCs w:val="32"/>
          <w:vertAlign w:val="superscript"/>
          <w:lang w:eastAsia="zh-CN"/>
        </w:rPr>
        <w:t>2</w:t>
      </w:r>
      <w:r>
        <w:rPr>
          <w:rFonts w:ascii="Times New Roman" w:hAnsi="Times New Roman" w:cs="Times New Roman"/>
          <w:color w:val="000000"/>
          <w:sz w:val="32"/>
          <w:szCs w:val="32"/>
          <w:lang w:eastAsia="zh-CN"/>
        </w:rPr>
        <w:t>·次)。厂区周边设置截水沟，工房外侧均设置小沉淀池，装药车间清洗地面、工作平台冲洗废水通过截水沟收集沉淀后回用于车间地面、工作平台清洗。</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fldChar w:fldCharType="begin"/>
      </w:r>
      <w:r>
        <w:rPr>
          <w:rFonts w:ascii="Times New Roman" w:hAnsi="Times New Roman" w:cs="Times New Roman"/>
          <w:b/>
          <w:bCs/>
          <w:color w:val="000000"/>
          <w:sz w:val="32"/>
          <w:szCs w:val="32"/>
          <w:lang w:eastAsia="zh-CN"/>
        </w:rPr>
        <w:instrText xml:space="preserve"> = 2 \* GB3 </w:instrText>
      </w:r>
      <w:r>
        <w:rPr>
          <w:rFonts w:ascii="Times New Roman" w:hAnsi="Times New Roman" w:cs="Times New Roman"/>
          <w:b/>
          <w:bCs/>
          <w:color w:val="000000"/>
          <w:sz w:val="32"/>
          <w:szCs w:val="32"/>
          <w:lang w:eastAsia="zh-CN"/>
        </w:rPr>
        <w:fldChar w:fldCharType="separate"/>
      </w:r>
      <w:r>
        <w:rPr>
          <w:rFonts w:hint="eastAsia" w:ascii="宋体" w:hAnsi="宋体" w:eastAsia="宋体"/>
          <w:b/>
          <w:bCs/>
          <w:color w:val="000000"/>
          <w:sz w:val="32"/>
          <w:szCs w:val="32"/>
          <w:lang w:eastAsia="zh-CN"/>
        </w:rPr>
        <w:t>②</w:t>
      </w:r>
      <w:r>
        <w:rPr>
          <w:rFonts w:ascii="Times New Roman" w:hAnsi="Times New Roman" w:cs="Times New Roman"/>
          <w:b/>
          <w:bCs/>
          <w:color w:val="000000"/>
          <w:sz w:val="32"/>
          <w:szCs w:val="32"/>
          <w:lang w:eastAsia="zh-CN"/>
        </w:rPr>
        <w:fldChar w:fldCharType="end"/>
      </w:r>
      <w:r>
        <w:rPr>
          <w:rFonts w:ascii="Times New Roman" w:hAnsi="Times New Roman" w:cs="Times New Roman"/>
          <w:b/>
          <w:bCs/>
          <w:color w:val="000000"/>
          <w:sz w:val="32"/>
          <w:szCs w:val="32"/>
          <w:lang w:eastAsia="zh-CN"/>
        </w:rPr>
        <w:t>生活污水</w:t>
      </w:r>
    </w:p>
    <w:p>
      <w:pPr>
        <w:spacing w:line="360" w:lineRule="auto"/>
        <w:ind w:firstLine="640" w:firstLineChars="200"/>
        <w:rPr>
          <w:rFonts w:ascii="Times New Roman" w:hAnsi="Times New Roman" w:cs="Times New Roman"/>
          <w:color w:val="000000"/>
          <w:sz w:val="32"/>
          <w:szCs w:val="32"/>
          <w:lang w:eastAsia="zh-CN"/>
        </w:rPr>
      </w:pPr>
      <w:r>
        <w:rPr>
          <w:rFonts w:ascii="Times New Roman" w:hAnsi="Times New Roman" w:eastAsia="仿宋" w:cs="Times New Roman"/>
          <w:color w:val="000000"/>
          <w:sz w:val="32"/>
          <w:szCs w:val="32"/>
          <w:lang w:eastAsia="zh-CN"/>
        </w:rPr>
        <w:t>生活污水主要污染因子为化学需氧量、悬浮物、氨氮、植物油等，经化粪池处理后，收集作</w:t>
      </w:r>
      <w:r>
        <w:rPr>
          <w:rFonts w:hint="eastAsia" w:ascii="Times New Roman" w:hAnsi="Times New Roman" w:eastAsia="仿宋" w:cs="Times New Roman"/>
          <w:color w:val="000000"/>
          <w:sz w:val="32"/>
          <w:szCs w:val="32"/>
          <w:lang w:eastAsia="zh-CN"/>
        </w:rPr>
        <w:t>为</w:t>
      </w:r>
      <w:r>
        <w:rPr>
          <w:rFonts w:ascii="Times New Roman" w:hAnsi="Times New Roman" w:eastAsia="仿宋" w:cs="Times New Roman"/>
          <w:color w:val="000000"/>
          <w:sz w:val="32"/>
          <w:szCs w:val="32"/>
          <w:lang w:eastAsia="zh-CN"/>
        </w:rPr>
        <w:t>厂区周边农肥和林地绿化用水。</w:t>
      </w:r>
    </w:p>
    <w:p>
      <w:pPr>
        <w:pStyle w:val="3"/>
        <w:keepNext/>
        <w:spacing w:line="360" w:lineRule="auto"/>
        <w:ind w:left="0"/>
        <w:jc w:val="both"/>
        <w:outlineLvl w:val="1"/>
        <w:rPr>
          <w:rFonts w:ascii="Times New Roman" w:hAnsi="Times New Roman" w:cs="Times New Roman"/>
          <w:b/>
          <w:bCs/>
          <w:color w:val="000000"/>
          <w:sz w:val="32"/>
          <w:szCs w:val="32"/>
          <w:lang w:eastAsia="zh-CN"/>
        </w:rPr>
      </w:pPr>
      <w:bookmarkStart w:id="89" w:name="_Toc29833"/>
      <w:r>
        <w:rPr>
          <w:rFonts w:ascii="Times New Roman" w:hAnsi="Times New Roman" w:cs="Times New Roman"/>
          <w:b/>
          <w:bCs/>
          <w:color w:val="000000"/>
          <w:sz w:val="32"/>
          <w:szCs w:val="32"/>
          <w:lang w:eastAsia="zh-CN"/>
        </w:rPr>
        <w:t>4.3  其他使用企业情况</w:t>
      </w:r>
      <w:bookmarkEnd w:id="89"/>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通过与高氯酸盐生产企业座谈调研，省内</w:t>
      </w:r>
      <w:r>
        <w:rPr>
          <w:rFonts w:hint="eastAsia" w:ascii="Times New Roman" w:hAnsi="Times New Roman" w:cs="Times New Roman"/>
          <w:color w:val="000000"/>
          <w:sz w:val="32"/>
          <w:szCs w:val="32"/>
          <w:lang w:eastAsia="zh-CN"/>
        </w:rPr>
        <w:t>绝大部分</w:t>
      </w:r>
      <w:r>
        <w:rPr>
          <w:rFonts w:ascii="Times New Roman" w:hAnsi="Times New Roman" w:cs="Times New Roman"/>
          <w:color w:val="000000"/>
          <w:sz w:val="32"/>
          <w:szCs w:val="32"/>
          <w:lang w:eastAsia="zh-CN"/>
        </w:rPr>
        <w:t>高氯酸盐</w:t>
      </w:r>
      <w:r>
        <w:rPr>
          <w:rFonts w:hint="eastAsia" w:ascii="Times New Roman" w:hAnsi="Times New Roman" w:cs="Times New Roman"/>
          <w:color w:val="000000"/>
          <w:sz w:val="32"/>
          <w:szCs w:val="32"/>
          <w:lang w:eastAsia="zh-CN"/>
        </w:rPr>
        <w:t>原料</w:t>
      </w:r>
      <w:r>
        <w:rPr>
          <w:rFonts w:ascii="Times New Roman" w:hAnsi="Times New Roman" w:cs="Times New Roman"/>
          <w:color w:val="000000"/>
          <w:sz w:val="32"/>
          <w:szCs w:val="32"/>
          <w:lang w:eastAsia="zh-CN"/>
        </w:rPr>
        <w:t>用于烟花爆竹制造和军工生产</w:t>
      </w:r>
      <w:r>
        <w:rPr>
          <w:rFonts w:hint="eastAsia" w:ascii="Times New Roman" w:hAnsi="Times New Roman" w:cs="Times New Roman"/>
          <w:color w:val="000000"/>
          <w:sz w:val="32"/>
          <w:szCs w:val="32"/>
          <w:lang w:eastAsia="zh-CN"/>
        </w:rPr>
        <w:t>，极少部分作为添加剂，</w:t>
      </w:r>
      <w:r>
        <w:rPr>
          <w:rFonts w:ascii="Times New Roman" w:hAnsi="Times New Roman" w:cs="Times New Roman"/>
          <w:color w:val="000000"/>
          <w:sz w:val="32"/>
          <w:szCs w:val="32"/>
          <w:lang w:eastAsia="zh-CN"/>
        </w:rPr>
        <w:t>用</w:t>
      </w:r>
      <w:r>
        <w:rPr>
          <w:rFonts w:hint="eastAsia" w:ascii="Times New Roman" w:hAnsi="Times New Roman" w:cs="Times New Roman"/>
          <w:color w:val="000000"/>
          <w:sz w:val="32"/>
          <w:szCs w:val="32"/>
          <w:lang w:eastAsia="zh-CN"/>
        </w:rPr>
        <w:t>于</w:t>
      </w:r>
      <w:r>
        <w:rPr>
          <w:rFonts w:ascii="Times New Roman" w:hAnsi="Times New Roman" w:cs="Times New Roman"/>
          <w:color w:val="000000"/>
          <w:sz w:val="32"/>
          <w:szCs w:val="32"/>
          <w:lang w:eastAsia="zh-CN"/>
        </w:rPr>
        <w:t>锂电池</w:t>
      </w:r>
      <w:r>
        <w:rPr>
          <w:rFonts w:hint="eastAsia" w:ascii="Times New Roman" w:hAnsi="Times New Roman" w:cs="Times New Roman"/>
          <w:color w:val="000000"/>
          <w:sz w:val="32"/>
          <w:szCs w:val="32"/>
          <w:lang w:eastAsia="zh-CN"/>
        </w:rPr>
        <w:t>、纺织染整</w:t>
      </w:r>
      <w:r>
        <w:rPr>
          <w:rFonts w:ascii="Times New Roman" w:hAnsi="Times New Roman" w:cs="Times New Roman"/>
          <w:color w:val="000000"/>
          <w:sz w:val="32"/>
          <w:szCs w:val="32"/>
          <w:lang w:eastAsia="zh-CN"/>
        </w:rPr>
        <w:t>和塑料袋</w:t>
      </w:r>
      <w:r>
        <w:rPr>
          <w:rFonts w:hint="eastAsia" w:ascii="Times New Roman" w:hAnsi="Times New Roman" w:cs="Times New Roman"/>
          <w:color w:val="000000"/>
          <w:sz w:val="32"/>
          <w:szCs w:val="32"/>
          <w:lang w:eastAsia="zh-CN"/>
        </w:rPr>
        <w:t>的制作</w:t>
      </w:r>
      <w:r>
        <w:rPr>
          <w:rFonts w:ascii="Times New Roman" w:hAnsi="Times New Roman" w:cs="Times New Roman"/>
          <w:color w:val="000000"/>
          <w:sz w:val="32"/>
          <w:szCs w:val="32"/>
          <w:lang w:eastAsia="zh-CN"/>
        </w:rPr>
        <w:t>，作为原材料添加到生产</w:t>
      </w:r>
      <w:r>
        <w:rPr>
          <w:rFonts w:hint="eastAsia" w:ascii="Times New Roman" w:hAnsi="Times New Roman" w:cs="Times New Roman"/>
          <w:color w:val="000000"/>
          <w:sz w:val="32"/>
          <w:szCs w:val="32"/>
          <w:lang w:eastAsia="zh-CN"/>
        </w:rPr>
        <w:t>工艺</w:t>
      </w:r>
      <w:r>
        <w:rPr>
          <w:rFonts w:ascii="Times New Roman" w:hAnsi="Times New Roman" w:cs="Times New Roman"/>
          <w:color w:val="000000"/>
          <w:sz w:val="32"/>
          <w:szCs w:val="32"/>
          <w:lang w:eastAsia="zh-CN"/>
        </w:rPr>
        <w:t>过程中。其中，作为锂电池原料主要是销往江西赣州锂电，省内相关企业少。因此，</w:t>
      </w:r>
      <w:r>
        <w:rPr>
          <w:rFonts w:hint="eastAsia" w:ascii="Times New Roman" w:hAnsi="Times New Roman" w:cs="Times New Roman"/>
          <w:color w:val="000000"/>
          <w:sz w:val="32"/>
          <w:szCs w:val="32"/>
          <w:lang w:eastAsia="zh-CN"/>
        </w:rPr>
        <w:t>本文件</w:t>
      </w:r>
      <w:r>
        <w:rPr>
          <w:rFonts w:ascii="Times New Roman" w:hAnsi="Times New Roman" w:cs="Times New Roman"/>
          <w:color w:val="000000"/>
          <w:sz w:val="32"/>
          <w:szCs w:val="32"/>
          <w:lang w:eastAsia="zh-CN"/>
        </w:rPr>
        <w:t>主要考虑高氯酸盐生产企业和烟花爆竹</w:t>
      </w:r>
      <w:r>
        <w:rPr>
          <w:rFonts w:hint="eastAsia" w:ascii="Times New Roman" w:hAnsi="Times New Roman" w:cs="Times New Roman"/>
          <w:color w:val="000000"/>
          <w:sz w:val="32"/>
          <w:szCs w:val="32"/>
          <w:lang w:eastAsia="zh-CN"/>
        </w:rPr>
        <w:t>引线</w:t>
      </w:r>
      <w:r>
        <w:rPr>
          <w:rFonts w:ascii="Times New Roman" w:hAnsi="Times New Roman" w:cs="Times New Roman"/>
          <w:color w:val="000000"/>
          <w:sz w:val="32"/>
          <w:szCs w:val="32"/>
          <w:lang w:eastAsia="zh-CN"/>
        </w:rPr>
        <w:t>制造企业高氯酸盐污染防控。</w:t>
      </w:r>
    </w:p>
    <w:bookmarkEnd w:id="87"/>
    <w:p>
      <w:pPr>
        <w:pStyle w:val="3"/>
        <w:keepNext/>
        <w:spacing w:line="360" w:lineRule="auto"/>
        <w:ind w:left="0"/>
        <w:jc w:val="both"/>
        <w:outlineLvl w:val="1"/>
        <w:rPr>
          <w:rFonts w:ascii="Times New Roman" w:hAnsi="Times New Roman" w:cs="Times New Roman"/>
          <w:b/>
          <w:bCs/>
          <w:color w:val="000000"/>
          <w:sz w:val="32"/>
          <w:szCs w:val="32"/>
          <w:lang w:eastAsia="zh-CN"/>
        </w:rPr>
      </w:pPr>
      <w:bookmarkStart w:id="90" w:name="_bookmark9"/>
      <w:bookmarkEnd w:id="90"/>
      <w:bookmarkStart w:id="91" w:name="3.2_我省涉铊行业情况"/>
      <w:bookmarkEnd w:id="91"/>
      <w:bookmarkStart w:id="92" w:name="_Toc2980"/>
      <w:r>
        <w:rPr>
          <w:rFonts w:ascii="Times New Roman" w:hAnsi="Times New Roman" w:cs="Times New Roman"/>
          <w:b/>
          <w:bCs/>
          <w:color w:val="000000"/>
          <w:sz w:val="32"/>
          <w:szCs w:val="32"/>
          <w:lang w:eastAsia="zh-CN"/>
        </w:rPr>
        <w:t>4.</w:t>
      </w:r>
      <w:r>
        <w:rPr>
          <w:rFonts w:hint="eastAsia" w:ascii="Times New Roman" w:hAnsi="Times New Roman" w:cs="Times New Roman"/>
          <w:b/>
          <w:bCs/>
          <w:color w:val="000000"/>
          <w:sz w:val="32"/>
          <w:szCs w:val="32"/>
          <w:lang w:eastAsia="zh-CN"/>
        </w:rPr>
        <w:t>4</w:t>
      </w:r>
      <w:r>
        <w:rPr>
          <w:rFonts w:ascii="Times New Roman" w:hAnsi="Times New Roman" w:cs="Times New Roman"/>
          <w:b/>
          <w:bCs/>
          <w:color w:val="000000"/>
          <w:sz w:val="32"/>
          <w:szCs w:val="32"/>
          <w:lang w:eastAsia="zh-CN"/>
        </w:rPr>
        <w:t xml:space="preserve">  国内外高氯酸盐废水处理技术进展</w:t>
      </w:r>
      <w:bookmarkEnd w:id="92"/>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由于高氯酸盐</w:t>
      </w:r>
      <w:r>
        <w:rPr>
          <w:rFonts w:hint="eastAsia" w:ascii="Times New Roman" w:hAnsi="Times New Roman" w:cs="Times New Roman"/>
          <w:color w:val="000000"/>
          <w:sz w:val="32"/>
          <w:szCs w:val="32"/>
          <w:lang w:eastAsia="zh-CN"/>
        </w:rPr>
        <w:t>的高</w:t>
      </w:r>
      <w:r>
        <w:rPr>
          <w:rFonts w:ascii="Times New Roman" w:hAnsi="Times New Roman" w:cs="Times New Roman"/>
          <w:color w:val="000000"/>
          <w:sz w:val="32"/>
          <w:szCs w:val="32"/>
          <w:lang w:eastAsia="zh-CN"/>
        </w:rPr>
        <w:t>稳定性</w:t>
      </w:r>
      <w:r>
        <w:rPr>
          <w:rFonts w:hint="eastAsia" w:ascii="Times New Roman" w:hAnsi="Times New Roman" w:cs="Times New Roman"/>
          <w:color w:val="000000"/>
          <w:sz w:val="32"/>
          <w:szCs w:val="32"/>
          <w:lang w:eastAsia="zh-CN"/>
        </w:rPr>
        <w:t>和溶解性</w:t>
      </w:r>
      <w:r>
        <w:rPr>
          <w:rFonts w:ascii="Times New Roman" w:hAnsi="Times New Roman" w:cs="Times New Roman"/>
          <w:color w:val="000000"/>
          <w:sz w:val="32"/>
          <w:szCs w:val="32"/>
          <w:lang w:eastAsia="zh-CN"/>
        </w:rPr>
        <w:t>，其在自然环境条件</w:t>
      </w:r>
      <w:r>
        <w:rPr>
          <w:rFonts w:hint="eastAsia" w:ascii="Times New Roman" w:hAnsi="Times New Roman" w:cs="Times New Roman"/>
          <w:color w:val="000000"/>
          <w:sz w:val="32"/>
          <w:szCs w:val="32"/>
          <w:lang w:eastAsia="zh-CN"/>
        </w:rPr>
        <w:t>中</w:t>
      </w:r>
      <w:r>
        <w:rPr>
          <w:rFonts w:ascii="Times New Roman" w:hAnsi="Times New Roman" w:cs="Times New Roman"/>
          <w:color w:val="000000"/>
          <w:sz w:val="32"/>
          <w:szCs w:val="32"/>
          <w:lang w:eastAsia="zh-CN"/>
        </w:rPr>
        <w:t>降解需要几十年甚至更长时间，常规废水处理工艺很难将其有效去除。迄今为止，国内外</w:t>
      </w:r>
      <w:r>
        <w:rPr>
          <w:rFonts w:hint="eastAsia" w:ascii="Times New Roman" w:hAnsi="Times New Roman" w:cs="Times New Roman"/>
          <w:color w:val="000000"/>
          <w:sz w:val="32"/>
          <w:szCs w:val="32"/>
          <w:lang w:eastAsia="zh-CN"/>
        </w:rPr>
        <w:t>废水处理</w:t>
      </w:r>
      <w:r>
        <w:rPr>
          <w:rFonts w:ascii="Times New Roman" w:hAnsi="Times New Roman" w:cs="Times New Roman"/>
          <w:color w:val="000000"/>
          <w:sz w:val="32"/>
          <w:szCs w:val="32"/>
          <w:lang w:eastAsia="zh-CN"/>
        </w:rPr>
        <w:t>采用较多的方法有物理法、化学法和生物法。</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（1）物理法</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物理法主要是通过吸附、离子交换等方法将水中</w:t>
      </w:r>
      <w:r>
        <w:rPr>
          <w:rFonts w:hint="eastAsia" w:ascii="Times New Roman" w:hAnsi="Times New Roman" w:cs="Times New Roman"/>
          <w:color w:val="000000"/>
          <w:sz w:val="32"/>
          <w:szCs w:val="32"/>
          <w:lang w:eastAsia="zh-CN"/>
        </w:rPr>
        <w:t>高氯酸盐</w:t>
      </w:r>
      <w:r>
        <w:rPr>
          <w:rFonts w:ascii="Times New Roman" w:hAnsi="Times New Roman" w:cs="Times New Roman"/>
          <w:color w:val="000000"/>
          <w:sz w:val="32"/>
          <w:szCs w:val="32"/>
          <w:lang w:eastAsia="zh-CN"/>
        </w:rPr>
        <w:t>吸附去除，或与其他无害阴离子交换，主要的材料有活性炭、壳聚糖、离子交换树脂及其改性材料等。</w:t>
      </w:r>
    </w:p>
    <w:p>
      <w:pPr>
        <w:pStyle w:val="3"/>
        <w:spacing w:line="360" w:lineRule="auto"/>
        <w:ind w:left="0" w:firstLine="642" w:firstLineChars="200"/>
        <w:jc w:val="both"/>
        <w:rPr>
          <w:rFonts w:ascii="Times New Roman" w:hAnsi="Times New Roman" w:cs="Times New Roman"/>
          <w:color w:val="000000"/>
          <w:sz w:val="32"/>
          <w:szCs w:val="32"/>
          <w:lang w:eastAsia="zh-CN"/>
        </w:rPr>
      </w:pPr>
      <w:r>
        <w:rPr>
          <w:rFonts w:ascii="Times New Roman" w:hAnsi="Times New Roman" w:cs="Times New Roman"/>
          <w:b/>
          <w:bCs/>
          <w:color w:val="000000"/>
          <w:sz w:val="32"/>
          <w:szCs w:val="32"/>
          <w:lang w:eastAsia="zh-CN"/>
        </w:rPr>
        <w:fldChar w:fldCharType="begin"/>
      </w:r>
      <w:r>
        <w:rPr>
          <w:rFonts w:ascii="Times New Roman" w:hAnsi="Times New Roman" w:cs="Times New Roman"/>
          <w:b/>
          <w:bCs/>
          <w:color w:val="000000"/>
          <w:sz w:val="32"/>
          <w:szCs w:val="32"/>
          <w:lang w:eastAsia="zh-CN"/>
        </w:rPr>
        <w:instrText xml:space="preserve"> = 1 \* GB3 </w:instrText>
      </w:r>
      <w:r>
        <w:rPr>
          <w:rFonts w:ascii="Times New Roman" w:hAnsi="Times New Roman" w:cs="Times New Roman"/>
          <w:b/>
          <w:bCs/>
          <w:color w:val="000000"/>
          <w:sz w:val="32"/>
          <w:szCs w:val="32"/>
          <w:lang w:eastAsia="zh-CN"/>
        </w:rPr>
        <w:fldChar w:fldCharType="separate"/>
      </w:r>
      <w:r>
        <w:rPr>
          <w:rFonts w:hint="eastAsia" w:ascii="宋体" w:hAnsi="宋体" w:eastAsia="宋体"/>
          <w:b/>
          <w:bCs/>
          <w:color w:val="000000"/>
          <w:sz w:val="32"/>
          <w:szCs w:val="32"/>
          <w:lang w:eastAsia="zh-CN"/>
        </w:rPr>
        <w:t>①</w:t>
      </w:r>
      <w:r>
        <w:rPr>
          <w:rFonts w:ascii="Times New Roman" w:hAnsi="Times New Roman" w:cs="Times New Roman"/>
          <w:b/>
          <w:bCs/>
          <w:color w:val="000000"/>
          <w:sz w:val="32"/>
          <w:szCs w:val="32"/>
          <w:lang w:eastAsia="zh-CN"/>
        </w:rPr>
        <w:fldChar w:fldCharType="end"/>
      </w:r>
      <w:r>
        <w:rPr>
          <w:rFonts w:hint="eastAsia" w:ascii="Times New Roman" w:hAnsi="Times New Roman" w:cs="Times New Roman"/>
          <w:b/>
          <w:bCs/>
          <w:color w:val="000000"/>
          <w:sz w:val="32"/>
          <w:szCs w:val="32"/>
          <w:lang w:eastAsia="zh-CN"/>
        </w:rPr>
        <w:t>离子交换法。</w:t>
      </w:r>
      <w:r>
        <w:rPr>
          <w:rFonts w:ascii="Times New Roman" w:hAnsi="Times New Roman" w:cs="Times New Roman"/>
          <w:color w:val="000000"/>
          <w:sz w:val="32"/>
          <w:szCs w:val="32"/>
          <w:lang w:eastAsia="zh-CN"/>
        </w:rPr>
        <w:t>离子交换是一种比较成熟的髙氯酸盐去除方法，其去除高氯酸盐的过程主要是通过离子交换，不需要添加其他</w:t>
      </w:r>
      <w:r>
        <w:rPr>
          <w:rFonts w:hint="eastAsia" w:ascii="Times New Roman" w:hAnsi="Times New Roman" w:cs="Times New Roman"/>
          <w:color w:val="000000"/>
          <w:sz w:val="32"/>
          <w:szCs w:val="32"/>
          <w:lang w:eastAsia="zh-CN"/>
        </w:rPr>
        <w:t>材料</w:t>
      </w:r>
      <w:r>
        <w:rPr>
          <w:rFonts w:ascii="Times New Roman" w:hAnsi="Times New Roman" w:cs="Times New Roman"/>
          <w:color w:val="000000"/>
          <w:sz w:val="32"/>
          <w:szCs w:val="32"/>
          <w:lang w:eastAsia="zh-CN"/>
        </w:rPr>
        <w:t>，且在运行中可以使用高流速，使设备小型化，提高</w:t>
      </w:r>
      <w:r>
        <w:rPr>
          <w:rFonts w:hint="eastAsia" w:ascii="Times New Roman" w:hAnsi="Times New Roman" w:cs="Times New Roman"/>
          <w:color w:val="000000"/>
          <w:sz w:val="32"/>
          <w:szCs w:val="32"/>
          <w:lang w:eastAsia="zh-CN"/>
        </w:rPr>
        <w:t>处理</w:t>
      </w:r>
      <w:r>
        <w:rPr>
          <w:rFonts w:ascii="Times New Roman" w:hAnsi="Times New Roman" w:cs="Times New Roman"/>
          <w:color w:val="000000"/>
          <w:sz w:val="32"/>
          <w:szCs w:val="32"/>
          <w:lang w:eastAsia="zh-CN"/>
        </w:rPr>
        <w:t>效率，降低运行成本。</w:t>
      </w:r>
      <w:r>
        <w:rPr>
          <w:rFonts w:hint="eastAsia" w:ascii="Times New Roman" w:hAnsi="Times New Roman" w:cs="Times New Roman"/>
          <w:color w:val="000000"/>
          <w:sz w:val="32"/>
          <w:szCs w:val="32"/>
          <w:lang w:eastAsia="zh-CN"/>
        </w:rPr>
        <w:t>在</w:t>
      </w:r>
      <w:r>
        <w:rPr>
          <w:rFonts w:ascii="Times New Roman" w:hAnsi="Times New Roman" w:cs="Times New Roman"/>
          <w:color w:val="000000"/>
          <w:sz w:val="32"/>
          <w:szCs w:val="32"/>
          <w:lang w:eastAsia="zh-CN"/>
        </w:rPr>
        <w:t>实验室条件下，改性树脂的最大吸附容量约为90</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300 mg/g，对高浓度髙氯酸盐的去除率</w:t>
      </w:r>
      <w:r>
        <w:rPr>
          <w:rFonts w:hint="eastAsia" w:ascii="Times New Roman" w:hAnsi="Times New Roman" w:cs="Times New Roman"/>
          <w:color w:val="000000"/>
          <w:sz w:val="32"/>
          <w:szCs w:val="32"/>
          <w:lang w:eastAsia="zh-CN"/>
        </w:rPr>
        <w:t>可</w:t>
      </w:r>
      <w:r>
        <w:rPr>
          <w:rFonts w:ascii="Times New Roman" w:hAnsi="Times New Roman" w:cs="Times New Roman"/>
          <w:color w:val="000000"/>
          <w:sz w:val="32"/>
          <w:szCs w:val="32"/>
          <w:lang w:eastAsia="zh-CN"/>
        </w:rPr>
        <w:t>达99%。针对</w:t>
      </w:r>
      <w:r>
        <w:rPr>
          <w:rFonts w:hint="eastAsia" w:ascii="Times New Roman" w:hAnsi="Times New Roman" w:cs="Times New Roman"/>
          <w:color w:val="000000"/>
          <w:sz w:val="32"/>
          <w:szCs w:val="32"/>
          <w:lang w:eastAsia="zh-CN"/>
        </w:rPr>
        <w:t>烟花爆竹企业</w:t>
      </w:r>
      <w:r>
        <w:rPr>
          <w:rFonts w:ascii="Times New Roman" w:hAnsi="Times New Roman" w:cs="Times New Roman"/>
          <w:color w:val="000000"/>
          <w:sz w:val="32"/>
          <w:szCs w:val="32"/>
          <w:lang w:eastAsia="zh-CN"/>
        </w:rPr>
        <w:t>生产废水，</w:t>
      </w:r>
      <w:r>
        <w:rPr>
          <w:rFonts w:hint="eastAsia" w:ascii="Times New Roman" w:hAnsi="Times New Roman" w:cs="Times New Roman"/>
          <w:color w:val="000000"/>
          <w:sz w:val="32"/>
          <w:szCs w:val="32"/>
          <w:lang w:eastAsia="zh-CN"/>
        </w:rPr>
        <w:t>通过</w:t>
      </w:r>
      <w:r>
        <w:rPr>
          <w:rFonts w:ascii="Times New Roman" w:hAnsi="Times New Roman" w:cs="Times New Roman"/>
          <w:color w:val="000000"/>
          <w:sz w:val="32"/>
          <w:szCs w:val="32"/>
          <w:lang w:eastAsia="zh-CN"/>
        </w:rPr>
        <w:t>“絮凝沉淀—砂滤—离子交换</w:t>
      </w:r>
      <w:r>
        <w:rPr>
          <w:rFonts w:hint="eastAsia" w:ascii="Times New Roman" w:hAnsi="Times New Roman" w:cs="Times New Roman"/>
          <w:color w:val="000000"/>
          <w:sz w:val="32"/>
          <w:szCs w:val="32"/>
          <w:lang w:eastAsia="zh-CN"/>
        </w:rPr>
        <w:t>吸附</w:t>
      </w:r>
      <w:r>
        <w:rPr>
          <w:rFonts w:ascii="Times New Roman" w:hAnsi="Times New Roman" w:cs="Times New Roman"/>
          <w:color w:val="000000"/>
          <w:sz w:val="32"/>
          <w:szCs w:val="32"/>
          <w:lang w:eastAsia="zh-CN"/>
        </w:rPr>
        <w:t>”</w:t>
      </w:r>
      <w:r>
        <w:rPr>
          <w:rFonts w:hint="eastAsia" w:ascii="Times New Roman" w:hAnsi="Times New Roman" w:cs="Times New Roman"/>
          <w:color w:val="000000"/>
          <w:sz w:val="32"/>
          <w:szCs w:val="32"/>
          <w:lang w:eastAsia="zh-CN"/>
        </w:rPr>
        <w:t>工艺</w:t>
      </w:r>
      <w:r>
        <w:rPr>
          <w:rFonts w:ascii="Times New Roman" w:hAnsi="Times New Roman" w:cs="Times New Roman"/>
          <w:color w:val="000000"/>
          <w:sz w:val="32"/>
          <w:szCs w:val="32"/>
          <w:lang w:eastAsia="zh-CN"/>
        </w:rPr>
        <w:t>，可将浓度80</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600 mg/L的废水处理至30</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50 μg/L，出水可实现直排或回用。</w:t>
      </w:r>
    </w:p>
    <w:p>
      <w:pPr>
        <w:pStyle w:val="3"/>
        <w:spacing w:line="360" w:lineRule="auto"/>
        <w:ind w:left="0" w:firstLine="642" w:firstLineChars="200"/>
        <w:jc w:val="both"/>
        <w:rPr>
          <w:rFonts w:ascii="Times New Roman" w:hAnsi="Times New Roman" w:cs="Times New Roman"/>
          <w:color w:val="000000"/>
          <w:sz w:val="32"/>
          <w:szCs w:val="32"/>
          <w:lang w:eastAsia="zh-CN"/>
        </w:rPr>
      </w:pPr>
      <w:r>
        <w:rPr>
          <w:rFonts w:ascii="Times New Roman" w:hAnsi="Times New Roman" w:cs="Times New Roman"/>
          <w:b/>
          <w:color w:val="000000"/>
          <w:sz w:val="32"/>
          <w:szCs w:val="32"/>
          <w:lang w:eastAsia="zh-CN"/>
        </w:rPr>
        <w:fldChar w:fldCharType="begin"/>
      </w:r>
      <w:r>
        <w:rPr>
          <w:rFonts w:ascii="Times New Roman" w:hAnsi="Times New Roman" w:cs="Times New Roman"/>
          <w:b/>
          <w:color w:val="000000"/>
          <w:sz w:val="32"/>
          <w:szCs w:val="32"/>
          <w:lang w:eastAsia="zh-CN"/>
        </w:rPr>
        <w:instrText xml:space="preserve"> = 2 \* GB3 </w:instrText>
      </w:r>
      <w:r>
        <w:rPr>
          <w:rFonts w:ascii="Times New Roman" w:hAnsi="Times New Roman" w:cs="Times New Roman"/>
          <w:b/>
          <w:color w:val="000000"/>
          <w:sz w:val="32"/>
          <w:szCs w:val="32"/>
          <w:lang w:eastAsia="zh-CN"/>
        </w:rPr>
        <w:fldChar w:fldCharType="separate"/>
      </w:r>
      <w:r>
        <w:rPr>
          <w:rFonts w:hint="eastAsia" w:ascii="宋体" w:hAnsi="宋体" w:eastAsia="宋体"/>
          <w:b/>
          <w:color w:val="000000"/>
          <w:sz w:val="32"/>
          <w:szCs w:val="32"/>
          <w:lang w:eastAsia="zh-CN"/>
        </w:rPr>
        <w:t>②</w:t>
      </w:r>
      <w:r>
        <w:rPr>
          <w:rFonts w:ascii="Times New Roman" w:hAnsi="Times New Roman" w:cs="Times New Roman"/>
          <w:b/>
          <w:color w:val="000000"/>
          <w:sz w:val="32"/>
          <w:szCs w:val="32"/>
          <w:lang w:eastAsia="zh-CN"/>
        </w:rPr>
        <w:fldChar w:fldCharType="end"/>
      </w:r>
      <w:r>
        <w:rPr>
          <w:rFonts w:ascii="Times New Roman" w:hAnsi="Times New Roman" w:cs="Times New Roman"/>
          <w:b/>
          <w:color w:val="000000"/>
          <w:sz w:val="32"/>
          <w:szCs w:val="32"/>
          <w:lang w:eastAsia="zh-CN"/>
        </w:rPr>
        <w:t>吸附法</w:t>
      </w:r>
      <w:r>
        <w:rPr>
          <w:rFonts w:ascii="Times New Roman" w:hAnsi="Times New Roman" w:cs="Times New Roman"/>
          <w:color w:val="000000"/>
          <w:sz w:val="32"/>
          <w:szCs w:val="32"/>
          <w:lang w:eastAsia="zh-CN"/>
        </w:rPr>
        <w:t>。大多数研究证明，颗粒状活性炭对高氯酸盐有较强吸附能力，但吸附效果会受到初始高氯酸盐浓度、</w:t>
      </w:r>
      <w:r>
        <w:rPr>
          <w:rFonts w:hint="eastAsia" w:ascii="Times New Roman" w:hAnsi="Times New Roman" w:cs="Times New Roman"/>
          <w:color w:val="000000"/>
          <w:sz w:val="32"/>
          <w:szCs w:val="32"/>
          <w:lang w:eastAsia="zh-CN"/>
        </w:rPr>
        <w:t>共存离子、</w:t>
      </w:r>
      <w:r>
        <w:rPr>
          <w:rFonts w:ascii="Times New Roman" w:hAnsi="Times New Roman" w:cs="Times New Roman"/>
          <w:color w:val="000000"/>
          <w:sz w:val="32"/>
          <w:szCs w:val="32"/>
          <w:lang w:eastAsia="zh-CN"/>
        </w:rPr>
        <w:t>溶液温度和pH值等多种因素影响。因此，只有通过控制适当的反应条件，活性炭才能对高氯酸盐有最好的处理效</w:t>
      </w:r>
      <w:r>
        <w:rPr>
          <w:rFonts w:hint="eastAsia" w:ascii="Times New Roman" w:hAnsi="Times New Roman" w:cs="Times New Roman"/>
          <w:color w:val="000000"/>
          <w:sz w:val="32"/>
          <w:szCs w:val="32"/>
          <w:lang w:eastAsia="zh-CN"/>
        </w:rPr>
        <w:t>果。有研究团队通过</w:t>
      </w:r>
      <w:r>
        <w:rPr>
          <w:rFonts w:ascii="Times New Roman" w:hAnsi="Times New Roman" w:cs="Times New Roman"/>
          <w:color w:val="000000"/>
          <w:sz w:val="32"/>
          <w:szCs w:val="32"/>
          <w:lang w:eastAsia="zh-CN"/>
        </w:rPr>
        <w:t>稻草秸秆和污泥活性炭按质量比1:10加入吸附系统的填充柱中，</w:t>
      </w:r>
      <w:r>
        <w:rPr>
          <w:rFonts w:hint="eastAsia" w:ascii="Times New Roman" w:hAnsi="Times New Roman" w:cs="Times New Roman"/>
          <w:color w:val="000000"/>
          <w:sz w:val="32"/>
          <w:szCs w:val="32"/>
          <w:lang w:eastAsia="zh-CN"/>
        </w:rPr>
        <w:t>其</w:t>
      </w:r>
      <w:r>
        <w:rPr>
          <w:rFonts w:ascii="Times New Roman" w:hAnsi="Times New Roman" w:cs="Times New Roman"/>
          <w:color w:val="000000"/>
          <w:sz w:val="32"/>
          <w:szCs w:val="32"/>
          <w:lang w:eastAsia="zh-CN"/>
        </w:rPr>
        <w:t>对高氯酸钠的吸附容量为0.78 mg/g。也有研究使用合成的交联磁性壳聚糖和氧化石墨烯珠来研究从废水中去除高氯酸盐，该过程可在较宽的pH值范围内进行</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且吸附剂再生性能良好。</w:t>
      </w:r>
    </w:p>
    <w:p>
      <w:pPr>
        <w:pStyle w:val="3"/>
        <w:spacing w:line="360" w:lineRule="auto"/>
        <w:ind w:left="0" w:firstLine="642" w:firstLineChars="200"/>
        <w:jc w:val="both"/>
        <w:rPr>
          <w:rFonts w:ascii="Times New Roman" w:hAnsi="Times New Roman" w:cs="Times New Roman"/>
          <w:color w:val="000000"/>
          <w:sz w:val="32"/>
          <w:szCs w:val="32"/>
          <w:lang w:eastAsia="zh-CN"/>
        </w:rPr>
      </w:pPr>
      <w:r>
        <w:rPr>
          <w:rFonts w:ascii="Times New Roman" w:hAnsi="Times New Roman" w:cs="Times New Roman"/>
          <w:b/>
          <w:bCs/>
          <w:color w:val="000000"/>
          <w:sz w:val="32"/>
          <w:szCs w:val="32"/>
          <w:lang w:eastAsia="zh-CN"/>
        </w:rPr>
        <w:fldChar w:fldCharType="begin"/>
      </w:r>
      <w:r>
        <w:rPr>
          <w:rFonts w:ascii="Times New Roman" w:hAnsi="Times New Roman" w:cs="Times New Roman"/>
          <w:b/>
          <w:bCs/>
          <w:color w:val="000000"/>
          <w:sz w:val="32"/>
          <w:szCs w:val="32"/>
          <w:lang w:eastAsia="zh-CN"/>
        </w:rPr>
        <w:instrText xml:space="preserve"> = 3 \* GB3 </w:instrText>
      </w:r>
      <w:r>
        <w:rPr>
          <w:rFonts w:ascii="Times New Roman" w:hAnsi="Times New Roman" w:cs="Times New Roman"/>
          <w:b/>
          <w:bCs/>
          <w:color w:val="000000"/>
          <w:sz w:val="32"/>
          <w:szCs w:val="32"/>
          <w:lang w:eastAsia="zh-CN"/>
        </w:rPr>
        <w:fldChar w:fldCharType="separate"/>
      </w:r>
      <w:r>
        <w:rPr>
          <w:rFonts w:hint="eastAsia" w:ascii="宋体" w:hAnsi="宋体" w:eastAsia="宋体"/>
          <w:b/>
          <w:bCs/>
          <w:color w:val="000000"/>
          <w:sz w:val="32"/>
          <w:szCs w:val="32"/>
          <w:lang w:eastAsia="zh-CN"/>
        </w:rPr>
        <w:t>③</w:t>
      </w:r>
      <w:r>
        <w:rPr>
          <w:rFonts w:ascii="Times New Roman" w:hAnsi="Times New Roman" w:cs="Times New Roman"/>
          <w:b/>
          <w:bCs/>
          <w:color w:val="000000"/>
          <w:sz w:val="32"/>
          <w:szCs w:val="32"/>
          <w:lang w:eastAsia="zh-CN"/>
        </w:rPr>
        <w:fldChar w:fldCharType="end"/>
      </w:r>
      <w:r>
        <w:rPr>
          <w:rFonts w:hint="eastAsia" w:ascii="Times New Roman" w:hAnsi="Times New Roman" w:cs="Times New Roman"/>
          <w:b/>
          <w:bCs/>
          <w:color w:val="000000"/>
          <w:sz w:val="32"/>
          <w:szCs w:val="32"/>
          <w:lang w:eastAsia="zh-CN"/>
        </w:rPr>
        <w:t>膜过滤。</w:t>
      </w:r>
      <w:r>
        <w:rPr>
          <w:rFonts w:ascii="Times New Roman" w:hAnsi="Times New Roman" w:cs="Times New Roman"/>
          <w:color w:val="000000"/>
          <w:sz w:val="32"/>
          <w:szCs w:val="32"/>
          <w:lang w:eastAsia="zh-CN"/>
        </w:rPr>
        <w:t>膜过滤是去除饮用水高氯酸盐的重要技术。有研究人员设计了一种阳离子金属-有机骨架混合超滤聚维尼龙氟化物膜，该膜优于传统的吸附材料，对高氯酸盐具有特殊亲和力，即使存在大量竞争阴离子，高氯酸盐的去除率也可达到99.6%。同时，膜可以再生重复使用。膜处理技术类似于离子交换法，水中的</w:t>
      </w:r>
      <w:r>
        <w:rPr>
          <w:rFonts w:hint="eastAsia" w:ascii="Times New Roman" w:hAnsi="Times New Roman" w:cs="Times New Roman"/>
          <w:color w:val="000000"/>
          <w:sz w:val="32"/>
          <w:szCs w:val="32"/>
          <w:lang w:eastAsia="zh-CN"/>
        </w:rPr>
        <w:t>高氯酸根</w:t>
      </w:r>
      <w:r>
        <w:rPr>
          <w:rFonts w:ascii="Times New Roman" w:hAnsi="Times New Roman" w:cs="Times New Roman"/>
          <w:color w:val="000000"/>
          <w:sz w:val="32"/>
          <w:szCs w:val="32"/>
          <w:lang w:eastAsia="zh-CN"/>
        </w:rPr>
        <w:t>仅被浓缩，但未完全去除，但膜的生产成本昂贵暂无工程实例。</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吸附法中用到的吸附剂可能会增加成本产生二次污染；膜过滤法虽然具备一定的应用前景，但</w:t>
      </w:r>
      <w:r>
        <w:rPr>
          <w:rFonts w:hint="eastAsia" w:ascii="Times New Roman" w:hAnsi="Times New Roman" w:cs="Times New Roman"/>
          <w:color w:val="000000"/>
          <w:sz w:val="32"/>
          <w:szCs w:val="32"/>
          <w:lang w:eastAsia="zh-CN"/>
        </w:rPr>
        <w:t>使用成本高昂</w:t>
      </w:r>
      <w:r>
        <w:rPr>
          <w:rFonts w:ascii="Times New Roman" w:hAnsi="Times New Roman" w:cs="Times New Roman"/>
          <w:color w:val="000000"/>
          <w:sz w:val="32"/>
          <w:szCs w:val="32"/>
          <w:lang w:eastAsia="zh-CN"/>
        </w:rPr>
        <w:t>的</w:t>
      </w:r>
      <w:r>
        <w:rPr>
          <w:rFonts w:hint="eastAsia" w:ascii="Times New Roman" w:hAnsi="Times New Roman" w:cs="Times New Roman"/>
          <w:color w:val="000000"/>
          <w:sz w:val="32"/>
          <w:szCs w:val="32"/>
          <w:lang w:eastAsia="zh-CN"/>
        </w:rPr>
        <w:t>缺点</w:t>
      </w:r>
      <w:r>
        <w:rPr>
          <w:rFonts w:ascii="Times New Roman" w:hAnsi="Times New Roman" w:cs="Times New Roman"/>
          <w:color w:val="000000"/>
          <w:sz w:val="32"/>
          <w:szCs w:val="32"/>
          <w:lang w:eastAsia="zh-CN"/>
        </w:rPr>
        <w:t>决定其难以投入大规模</w:t>
      </w:r>
      <w:r>
        <w:rPr>
          <w:rFonts w:hint="eastAsia" w:ascii="Times New Roman" w:hAnsi="Times New Roman" w:cs="Times New Roman"/>
          <w:color w:val="000000"/>
          <w:sz w:val="32"/>
          <w:szCs w:val="32"/>
          <w:lang w:eastAsia="zh-CN"/>
        </w:rPr>
        <w:t>的</w:t>
      </w:r>
      <w:r>
        <w:rPr>
          <w:rFonts w:ascii="Times New Roman" w:hAnsi="Times New Roman" w:cs="Times New Roman"/>
          <w:color w:val="000000"/>
          <w:sz w:val="32"/>
          <w:szCs w:val="32"/>
          <w:lang w:eastAsia="zh-CN"/>
        </w:rPr>
        <w:t>实际应用当中</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离子交换法被认为是去除</w:t>
      </w:r>
      <w:r>
        <w:rPr>
          <w:rFonts w:hint="eastAsia" w:ascii="Times New Roman" w:hAnsi="Times New Roman" w:cs="Times New Roman"/>
          <w:color w:val="000000"/>
          <w:sz w:val="32"/>
          <w:szCs w:val="32"/>
          <w:lang w:eastAsia="zh-CN"/>
        </w:rPr>
        <w:t>水体</w:t>
      </w:r>
      <w:r>
        <w:rPr>
          <w:rFonts w:ascii="Times New Roman" w:hAnsi="Times New Roman" w:cs="Times New Roman"/>
          <w:color w:val="000000"/>
          <w:sz w:val="32"/>
          <w:szCs w:val="32"/>
          <w:lang w:eastAsia="zh-CN"/>
        </w:rPr>
        <w:t>中高氯酸盐最有前途的技术之一，但在工艺上仍然存在一些缺陷，如废树脂的再生和浓盐水的处理就是一个重要的问题。</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（2）化学法</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物理去除技术虽然能有效去除水中的高氯酸盐，但不能完全解决高氯酸盐污染问题。高氯酸盐从一种液体转移到另一相仍然需要进一步的处理和处置</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化学还原</w:t>
      </w:r>
      <w:r>
        <w:rPr>
          <w:rFonts w:hint="eastAsia" w:ascii="Times New Roman" w:hAnsi="Times New Roman" w:cs="Times New Roman"/>
          <w:color w:val="000000"/>
          <w:sz w:val="32"/>
          <w:szCs w:val="32"/>
          <w:lang w:eastAsia="zh-CN"/>
        </w:rPr>
        <w:t>法可以</w:t>
      </w:r>
      <w:r>
        <w:rPr>
          <w:rFonts w:ascii="Times New Roman" w:hAnsi="Times New Roman" w:cs="Times New Roman"/>
          <w:color w:val="000000"/>
          <w:sz w:val="32"/>
          <w:szCs w:val="32"/>
          <w:lang w:eastAsia="zh-CN"/>
        </w:rPr>
        <w:t>将水中高氯酸盐降解为无害的氯离子，</w:t>
      </w:r>
      <w:r>
        <w:rPr>
          <w:rFonts w:hint="eastAsia" w:ascii="Times New Roman" w:hAnsi="Times New Roman" w:cs="Times New Roman"/>
          <w:color w:val="000000"/>
          <w:sz w:val="32"/>
          <w:szCs w:val="32"/>
          <w:lang w:eastAsia="zh-CN"/>
        </w:rPr>
        <w:t>是一种重要的处理方法</w:t>
      </w:r>
      <w:r>
        <w:rPr>
          <w:rFonts w:ascii="Times New Roman" w:hAnsi="Times New Roman" w:cs="Times New Roman"/>
          <w:color w:val="000000"/>
          <w:sz w:val="32"/>
          <w:szCs w:val="32"/>
          <w:lang w:eastAsia="zh-CN"/>
        </w:rPr>
        <w:t>。高氯酸盐通常以两种方式被还原：通过氧原子转移反应进行间接还原，或通过高活性的还原性H原子进行氢化脱氧。高氯酸盐还原需要较高的反应活化能，使用催化剂可以有效缩短反应时间，然而催化还原需要相对苛刻的反应条件。此外，贵金属的使用增加了成本，而且添加金属催化剂可能会造成额外的环境风险。</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实验室条件下，采用纳米</w:t>
      </w:r>
      <w:r>
        <w:rPr>
          <w:rFonts w:hint="eastAsia" w:ascii="Times New Roman" w:hAnsi="Times New Roman" w:cs="Times New Roman"/>
          <w:color w:val="000000"/>
          <w:sz w:val="32"/>
          <w:szCs w:val="32"/>
          <w:lang w:eastAsia="zh-CN"/>
        </w:rPr>
        <w:t>零价</w:t>
      </w:r>
      <w:r>
        <w:rPr>
          <w:rFonts w:ascii="Times New Roman" w:hAnsi="Times New Roman" w:cs="Times New Roman"/>
          <w:color w:val="000000"/>
          <w:sz w:val="32"/>
          <w:szCs w:val="32"/>
          <w:lang w:eastAsia="zh-CN"/>
        </w:rPr>
        <w:t>铁</w:t>
      </w:r>
      <w:r>
        <w:rPr>
          <w:rFonts w:hint="eastAsia" w:ascii="Times New Roman" w:hAnsi="Times New Roman" w:cs="Times New Roman"/>
          <w:color w:val="000000"/>
          <w:sz w:val="32"/>
          <w:szCs w:val="32"/>
          <w:lang w:eastAsia="zh-CN"/>
        </w:rPr>
        <w:t>可以</w:t>
      </w:r>
      <w:r>
        <w:rPr>
          <w:rFonts w:ascii="Times New Roman" w:hAnsi="Times New Roman" w:cs="Times New Roman"/>
          <w:color w:val="000000"/>
          <w:sz w:val="32"/>
          <w:szCs w:val="32"/>
          <w:lang w:eastAsia="zh-CN"/>
        </w:rPr>
        <w:t>快速还原高氯酸根离子，反应温度控制在60~95℃，其间不断添加无机酸以维持反应的酸度，</w:t>
      </w:r>
      <w:r>
        <w:rPr>
          <w:rFonts w:hint="eastAsia" w:ascii="Times New Roman" w:hAnsi="Times New Roman" w:cs="Times New Roman"/>
          <w:color w:val="000000"/>
          <w:sz w:val="32"/>
          <w:szCs w:val="32"/>
          <w:lang w:eastAsia="zh-CN"/>
        </w:rPr>
        <w:t>反应</w:t>
      </w:r>
      <w:r>
        <w:rPr>
          <w:rFonts w:ascii="Times New Roman" w:hAnsi="Times New Roman" w:cs="Times New Roman"/>
          <w:color w:val="000000"/>
          <w:sz w:val="32"/>
          <w:szCs w:val="32"/>
          <w:lang w:eastAsia="zh-CN"/>
        </w:rPr>
        <w:t>3小时</w:t>
      </w:r>
      <w:r>
        <w:rPr>
          <w:rFonts w:hint="eastAsia" w:ascii="Times New Roman" w:hAnsi="Times New Roman" w:cs="Times New Roman"/>
          <w:color w:val="000000"/>
          <w:sz w:val="32"/>
          <w:szCs w:val="32"/>
          <w:lang w:eastAsia="zh-CN"/>
        </w:rPr>
        <w:t>即可实现对高氯酸根</w:t>
      </w:r>
      <w:r>
        <w:rPr>
          <w:rFonts w:ascii="Times New Roman" w:hAnsi="Times New Roman" w:cs="Times New Roman"/>
          <w:color w:val="000000"/>
          <w:sz w:val="32"/>
          <w:szCs w:val="32"/>
          <w:lang w:eastAsia="zh-CN"/>
        </w:rPr>
        <w:t>94%</w:t>
      </w:r>
      <w:r>
        <w:rPr>
          <w:rFonts w:hint="eastAsia" w:ascii="Times New Roman" w:hAnsi="Times New Roman" w:cs="Times New Roman"/>
          <w:color w:val="000000"/>
          <w:sz w:val="32"/>
          <w:szCs w:val="32"/>
          <w:lang w:eastAsia="zh-CN"/>
        </w:rPr>
        <w:t>的降解</w:t>
      </w:r>
      <w:r>
        <w:rPr>
          <w:rFonts w:ascii="Times New Roman" w:hAnsi="Times New Roman" w:cs="Times New Roman"/>
          <w:color w:val="000000"/>
          <w:sz w:val="32"/>
          <w:szCs w:val="32"/>
          <w:lang w:eastAsia="zh-CN"/>
        </w:rPr>
        <w:t>率；以壳聚糖为稳定剂制备出的稳定型纳米零价铁对高氯酸根的降解率</w:t>
      </w:r>
      <w:r>
        <w:rPr>
          <w:rFonts w:hint="eastAsia" w:ascii="Times New Roman" w:hAnsi="Times New Roman" w:cs="Times New Roman"/>
          <w:color w:val="000000"/>
          <w:sz w:val="32"/>
          <w:szCs w:val="32"/>
          <w:lang w:eastAsia="zh-CN"/>
        </w:rPr>
        <w:t>可达</w:t>
      </w:r>
      <w:r>
        <w:rPr>
          <w:rFonts w:ascii="Times New Roman" w:hAnsi="Times New Roman" w:cs="Times New Roman"/>
          <w:color w:val="000000"/>
          <w:sz w:val="32"/>
          <w:szCs w:val="32"/>
          <w:lang w:eastAsia="zh-CN"/>
        </w:rPr>
        <w:t>96%，10 mg/L的高氯酸盐在8 h内浓度下降到0.39 mg/L。</w:t>
      </w:r>
      <w:r>
        <w:rPr>
          <w:rFonts w:hint="eastAsia" w:ascii="Times New Roman" w:hAnsi="Times New Roman" w:cs="Times New Roman"/>
          <w:color w:val="000000"/>
          <w:sz w:val="32"/>
          <w:szCs w:val="32"/>
          <w:lang w:eastAsia="zh-CN"/>
        </w:rPr>
        <w:t>目前</w:t>
      </w:r>
      <w:r>
        <w:rPr>
          <w:rFonts w:ascii="Times New Roman" w:hAnsi="Times New Roman" w:cs="Times New Roman"/>
          <w:color w:val="000000"/>
          <w:sz w:val="32"/>
          <w:szCs w:val="32"/>
          <w:lang w:eastAsia="zh-CN"/>
        </w:rPr>
        <w:t>化学还原法主要在实验室小规模应用，在</w:t>
      </w:r>
      <w:r>
        <w:rPr>
          <w:rFonts w:hint="eastAsia" w:ascii="Times New Roman" w:hAnsi="Times New Roman" w:cs="Times New Roman"/>
          <w:color w:val="000000"/>
          <w:sz w:val="32"/>
          <w:szCs w:val="32"/>
          <w:lang w:eastAsia="zh-CN"/>
        </w:rPr>
        <w:t>工业化</w:t>
      </w:r>
      <w:r>
        <w:rPr>
          <w:rFonts w:ascii="Times New Roman" w:hAnsi="Times New Roman" w:cs="Times New Roman"/>
          <w:color w:val="000000"/>
          <w:sz w:val="32"/>
          <w:szCs w:val="32"/>
          <w:lang w:eastAsia="zh-CN"/>
        </w:rPr>
        <w:t>应用之前仍有许多问题需要解决。</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（3）</w:t>
      </w:r>
      <w:r>
        <w:rPr>
          <w:rFonts w:hint="eastAsia" w:ascii="Times New Roman" w:hAnsi="Times New Roman" w:cs="Times New Roman"/>
          <w:b/>
          <w:bCs/>
          <w:color w:val="000000"/>
          <w:sz w:val="32"/>
          <w:szCs w:val="32"/>
          <w:lang w:eastAsia="zh-CN"/>
        </w:rPr>
        <w:t>生物还原</w:t>
      </w:r>
      <w:r>
        <w:rPr>
          <w:rFonts w:ascii="Times New Roman" w:hAnsi="Times New Roman" w:cs="Times New Roman"/>
          <w:b/>
          <w:bCs/>
          <w:color w:val="000000"/>
          <w:sz w:val="32"/>
          <w:szCs w:val="32"/>
          <w:lang w:eastAsia="zh-CN"/>
        </w:rPr>
        <w:t>法</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生物</w:t>
      </w:r>
      <w:r>
        <w:rPr>
          <w:rFonts w:hint="eastAsia" w:ascii="Times New Roman" w:hAnsi="Times New Roman" w:cs="Times New Roman"/>
          <w:color w:val="000000"/>
          <w:sz w:val="32"/>
          <w:szCs w:val="32"/>
          <w:lang w:eastAsia="zh-CN"/>
        </w:rPr>
        <w:t>还原</w:t>
      </w:r>
      <w:r>
        <w:rPr>
          <w:rFonts w:ascii="Times New Roman" w:hAnsi="Times New Roman" w:cs="Times New Roman"/>
          <w:color w:val="000000"/>
          <w:sz w:val="32"/>
          <w:szCs w:val="32"/>
          <w:lang w:eastAsia="zh-CN"/>
        </w:rPr>
        <w:t>法主要是利用微生物在特定环境下的新陈代谢，将</w:t>
      </w:r>
      <w:r>
        <w:rPr>
          <w:rFonts w:hint="eastAsia" w:ascii="Times New Roman" w:hAnsi="Times New Roman" w:cs="Times New Roman"/>
          <w:color w:val="000000"/>
          <w:sz w:val="32"/>
          <w:szCs w:val="32"/>
          <w:lang w:eastAsia="zh-CN"/>
        </w:rPr>
        <w:t>高氯酸根</w:t>
      </w:r>
      <w:r>
        <w:rPr>
          <w:rFonts w:ascii="Times New Roman" w:hAnsi="Times New Roman" w:cs="Times New Roman"/>
          <w:color w:val="000000"/>
          <w:sz w:val="32"/>
          <w:szCs w:val="32"/>
          <w:lang w:eastAsia="zh-CN"/>
        </w:rPr>
        <w:t>还原降解成无毒的</w:t>
      </w:r>
      <w:r>
        <w:rPr>
          <w:rFonts w:hint="eastAsia" w:ascii="Times New Roman" w:hAnsi="Times New Roman" w:cs="Times New Roman"/>
          <w:color w:val="000000"/>
          <w:sz w:val="32"/>
          <w:szCs w:val="32"/>
          <w:lang w:eastAsia="zh-CN"/>
        </w:rPr>
        <w:t>氯离子</w:t>
      </w:r>
      <w:r>
        <w:rPr>
          <w:rFonts w:ascii="Times New Roman" w:hAnsi="Times New Roman" w:cs="Times New Roman"/>
          <w:color w:val="000000"/>
          <w:sz w:val="32"/>
          <w:szCs w:val="32"/>
          <w:lang w:eastAsia="zh-CN"/>
        </w:rPr>
        <w:t>。与常用的物理、化学方法相比，通过生物学作用</w:t>
      </w:r>
      <w:r>
        <w:rPr>
          <w:rFonts w:hint="eastAsia" w:ascii="Times New Roman" w:hAnsi="Times New Roman" w:cs="Times New Roman"/>
          <w:color w:val="000000"/>
          <w:sz w:val="32"/>
          <w:szCs w:val="32"/>
          <w:lang w:eastAsia="zh-CN"/>
        </w:rPr>
        <w:t>还原</w:t>
      </w:r>
      <w:r>
        <w:rPr>
          <w:rFonts w:ascii="Times New Roman" w:hAnsi="Times New Roman" w:cs="Times New Roman"/>
          <w:color w:val="000000"/>
          <w:sz w:val="32"/>
          <w:szCs w:val="32"/>
          <w:lang w:eastAsia="zh-CN"/>
        </w:rPr>
        <w:t>高氯酸盐具有成本低、去除效果好、去除产物少、二次污染小等一系列优势，是研究高氯酸盐</w:t>
      </w:r>
      <w:r>
        <w:rPr>
          <w:rFonts w:hint="eastAsia" w:ascii="Times New Roman" w:hAnsi="Times New Roman" w:cs="Times New Roman"/>
          <w:color w:val="000000"/>
          <w:sz w:val="32"/>
          <w:szCs w:val="32"/>
          <w:lang w:eastAsia="zh-CN"/>
        </w:rPr>
        <w:t>降解</w:t>
      </w:r>
      <w:r>
        <w:rPr>
          <w:rFonts w:ascii="Times New Roman" w:hAnsi="Times New Roman" w:cs="Times New Roman"/>
          <w:color w:val="000000"/>
          <w:sz w:val="32"/>
          <w:szCs w:val="32"/>
          <w:lang w:eastAsia="zh-CN"/>
        </w:rPr>
        <w:t>最为有效的方式。</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生物还原法以电子供体类型的差异作为区别，分为异养还原和自养还原两大类。异养还原是将有机物作为电子供体，高氯酸盐作为电子受体，从而将高氯酸</w:t>
      </w:r>
      <w:r>
        <w:rPr>
          <w:rFonts w:hint="eastAsia" w:ascii="Times New Roman" w:hAnsi="Times New Roman" w:cs="Times New Roman"/>
          <w:color w:val="000000"/>
          <w:sz w:val="32"/>
          <w:szCs w:val="32"/>
          <w:lang w:eastAsia="zh-CN"/>
        </w:rPr>
        <w:t>根</w:t>
      </w:r>
      <w:r>
        <w:rPr>
          <w:rFonts w:ascii="Times New Roman" w:hAnsi="Times New Roman" w:cs="Times New Roman"/>
          <w:color w:val="000000"/>
          <w:sz w:val="32"/>
          <w:szCs w:val="32"/>
          <w:lang w:eastAsia="zh-CN"/>
        </w:rPr>
        <w:t>还原为氯离子</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其常用电子供体包括醋酸盐、乳酸盐、甲醇和乙醇。以往研究者对细菌生长进行研究时发现，以醋酸盐为电子供体的细菌生长速率最快，是最常使用的外加碳源，同时异养法虽然具有较高的还原效率，但该方法需要投加适量的有机物以实现高氯酸盐高效还原。一方面，当有机物投加过量时，出水易造成二次污染；另一方面，当有机物投加不足时，高氯酸盐无法完全还原，选择合适的碳源及投加浓度是制约该技术进一步推广的核心问题。异养微生物降解往往适合处理高浓度的废水，但并不适用于处理饮用水。自养还原是将无机物作为电子供体，高氯酸盐作为电子受体，实现将高氯酸</w:t>
      </w:r>
      <w:r>
        <w:rPr>
          <w:rFonts w:hint="eastAsia" w:ascii="Times New Roman" w:hAnsi="Times New Roman" w:cs="Times New Roman"/>
          <w:color w:val="000000"/>
          <w:sz w:val="32"/>
          <w:szCs w:val="32"/>
          <w:lang w:eastAsia="zh-CN"/>
        </w:rPr>
        <w:t>根还原为</w:t>
      </w:r>
      <w:r>
        <w:rPr>
          <w:rFonts w:ascii="Times New Roman" w:hAnsi="Times New Roman" w:cs="Times New Roman"/>
          <w:color w:val="000000"/>
          <w:sz w:val="32"/>
          <w:szCs w:val="32"/>
          <w:lang w:eastAsia="zh-CN"/>
        </w:rPr>
        <w:t>氯离子的目标。目前主要以H</w:t>
      </w:r>
      <w:r>
        <w:rPr>
          <w:rFonts w:ascii="Times New Roman" w:hAnsi="Times New Roman" w:cs="Times New Roman"/>
          <w:color w:val="000000"/>
          <w:sz w:val="32"/>
          <w:szCs w:val="32"/>
          <w:vertAlign w:val="subscript"/>
          <w:lang w:eastAsia="zh-CN"/>
        </w:rPr>
        <w:t>2</w:t>
      </w:r>
      <w:r>
        <w:rPr>
          <w:rFonts w:ascii="Times New Roman" w:hAnsi="Times New Roman" w:cs="Times New Roman"/>
          <w:color w:val="000000"/>
          <w:sz w:val="32"/>
          <w:szCs w:val="32"/>
          <w:lang w:eastAsia="zh-CN"/>
        </w:rPr>
        <w:t>、Fe、S等物质作为无机电子供体。</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在</w:t>
      </w:r>
      <w:r>
        <w:rPr>
          <w:rFonts w:ascii="Times New Roman" w:hAnsi="Times New Roman" w:cs="Times New Roman"/>
          <w:color w:val="000000"/>
          <w:sz w:val="32"/>
          <w:szCs w:val="32"/>
          <w:lang w:eastAsia="zh-CN"/>
        </w:rPr>
        <w:t>实验室条件下，流化床生物反应器以甘油基为电子供体，可以使得浓度为100 mg/L的</w:t>
      </w:r>
      <w:r>
        <w:rPr>
          <w:rFonts w:hint="eastAsia" w:ascii="Times New Roman" w:hAnsi="Times New Roman" w:cs="Times New Roman"/>
          <w:color w:val="000000"/>
          <w:sz w:val="32"/>
          <w:szCs w:val="32"/>
          <w:lang w:eastAsia="zh-CN"/>
        </w:rPr>
        <w:t>高氯酸根</w:t>
      </w:r>
      <w:r>
        <w:rPr>
          <w:rFonts w:ascii="Times New Roman" w:hAnsi="Times New Roman" w:cs="Times New Roman"/>
          <w:color w:val="000000"/>
          <w:sz w:val="32"/>
          <w:szCs w:val="32"/>
          <w:lang w:eastAsia="zh-CN"/>
        </w:rPr>
        <w:t>降解率超过99.5%。</w:t>
      </w:r>
      <w:r>
        <w:rPr>
          <w:rFonts w:hint="eastAsia" w:ascii="Times New Roman" w:hAnsi="Times New Roman" w:cs="Times New Roman"/>
          <w:color w:val="000000"/>
          <w:sz w:val="32"/>
          <w:szCs w:val="32"/>
          <w:lang w:eastAsia="zh-CN"/>
        </w:rPr>
        <w:t>有</w:t>
      </w:r>
      <w:r>
        <w:rPr>
          <w:rFonts w:ascii="Times New Roman" w:hAnsi="Times New Roman" w:cs="Times New Roman"/>
          <w:color w:val="000000"/>
          <w:sz w:val="32"/>
          <w:szCs w:val="32"/>
          <w:lang w:eastAsia="zh-CN"/>
        </w:rPr>
        <w:t>技术团队研发了一种降解高浓度高氯酸盐废水的</w:t>
      </w:r>
      <w:r>
        <w:rPr>
          <w:rFonts w:hint="eastAsia" w:ascii="Times New Roman" w:hAnsi="Times New Roman" w:cs="Times New Roman"/>
          <w:color w:val="000000"/>
          <w:sz w:val="32"/>
          <w:szCs w:val="32"/>
          <w:lang w:eastAsia="zh-CN"/>
        </w:rPr>
        <w:t>微生物反应</w:t>
      </w:r>
      <w:r>
        <w:rPr>
          <w:rFonts w:ascii="Times New Roman" w:hAnsi="Times New Roman" w:cs="Times New Roman"/>
          <w:color w:val="000000"/>
          <w:sz w:val="32"/>
          <w:szCs w:val="32"/>
          <w:lang w:eastAsia="zh-CN"/>
        </w:rPr>
        <w:t>系统，通过异养-自养结合分段进水策略调控系统，对1300 mg/L的高浓度高氯酸盐</w:t>
      </w:r>
      <w:r>
        <w:rPr>
          <w:rFonts w:hint="eastAsia" w:ascii="Times New Roman" w:hAnsi="Times New Roman" w:cs="Times New Roman"/>
          <w:color w:val="000000"/>
          <w:sz w:val="32"/>
          <w:szCs w:val="32"/>
          <w:lang w:eastAsia="zh-CN"/>
        </w:rPr>
        <w:t>废水</w:t>
      </w:r>
      <w:r>
        <w:rPr>
          <w:rFonts w:ascii="Times New Roman" w:hAnsi="Times New Roman" w:cs="Times New Roman"/>
          <w:color w:val="000000"/>
          <w:sz w:val="32"/>
          <w:szCs w:val="32"/>
          <w:lang w:eastAsia="zh-CN"/>
        </w:rPr>
        <w:t>去除率可达99%以上</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相比于单一的异养工艺，去除的高氯酸盐负荷可提高10-15倍。</w:t>
      </w:r>
    </w:p>
    <w:p>
      <w:pPr>
        <w:widowControl/>
        <w:rPr>
          <w:rFonts w:ascii="Times New Roman" w:hAnsi="Times New Roman" w:eastAsia="仿宋" w:cs="Times New Roman"/>
          <w:b/>
          <w:bCs/>
          <w:color w:val="000000"/>
          <w:sz w:val="36"/>
          <w:szCs w:val="36"/>
          <w:lang w:eastAsia="zh-CN"/>
        </w:rPr>
      </w:pPr>
      <w:r>
        <w:rPr>
          <w:rFonts w:ascii="Times New Roman" w:hAnsi="Times New Roman" w:eastAsia="仿宋" w:cs="Times New Roman"/>
          <w:b/>
          <w:bCs/>
          <w:color w:val="000000"/>
          <w:sz w:val="36"/>
          <w:szCs w:val="36"/>
          <w:lang w:eastAsia="zh-CN"/>
        </w:rPr>
        <w:br w:type="page"/>
      </w:r>
    </w:p>
    <w:p>
      <w:pPr>
        <w:keepNext/>
        <w:spacing w:line="360" w:lineRule="auto"/>
        <w:jc w:val="both"/>
        <w:outlineLvl w:val="0"/>
        <w:rPr>
          <w:rFonts w:ascii="Times New Roman" w:hAnsi="Times New Roman" w:eastAsia="仿宋" w:cs="Times New Roman"/>
          <w:b/>
          <w:bCs/>
          <w:color w:val="000000"/>
          <w:sz w:val="36"/>
          <w:szCs w:val="36"/>
          <w:lang w:eastAsia="zh-CN"/>
        </w:rPr>
      </w:pPr>
      <w:bookmarkStart w:id="93" w:name="_Toc16366"/>
      <w:r>
        <w:rPr>
          <w:rFonts w:ascii="Times New Roman" w:hAnsi="Times New Roman" w:eastAsia="仿宋" w:cs="Times New Roman"/>
          <w:b/>
          <w:bCs/>
          <w:color w:val="000000"/>
          <w:sz w:val="36"/>
          <w:szCs w:val="36"/>
          <w:lang w:eastAsia="zh-CN"/>
        </w:rPr>
        <w:t>5 标准制订的基本原则和技术路线</w:t>
      </w:r>
      <w:bookmarkEnd w:id="93"/>
    </w:p>
    <w:p>
      <w:pPr>
        <w:pStyle w:val="3"/>
        <w:spacing w:line="360" w:lineRule="auto"/>
        <w:ind w:left="0"/>
        <w:jc w:val="both"/>
        <w:outlineLvl w:val="1"/>
        <w:rPr>
          <w:rFonts w:ascii="Times New Roman" w:hAnsi="Times New Roman" w:cs="Times New Roman"/>
          <w:b/>
          <w:bCs/>
          <w:color w:val="000000"/>
          <w:sz w:val="32"/>
          <w:szCs w:val="32"/>
          <w:lang w:eastAsia="zh-CN"/>
        </w:rPr>
      </w:pPr>
      <w:bookmarkStart w:id="94" w:name="_Toc25137"/>
      <w:bookmarkStart w:id="95" w:name="_Toc20568"/>
      <w:r>
        <w:rPr>
          <w:rFonts w:ascii="Times New Roman" w:hAnsi="Times New Roman" w:cs="Times New Roman"/>
          <w:b/>
          <w:bCs/>
          <w:color w:val="000000"/>
          <w:sz w:val="32"/>
          <w:szCs w:val="32"/>
          <w:lang w:eastAsia="zh-CN"/>
        </w:rPr>
        <w:t>5.1 基本原则</w:t>
      </w:r>
      <w:bookmarkEnd w:id="94"/>
    </w:p>
    <w:p>
      <w:pPr>
        <w:pStyle w:val="3"/>
        <w:spacing w:line="360" w:lineRule="auto"/>
        <w:ind w:left="0" w:firstLine="640" w:firstLineChars="200"/>
        <w:jc w:val="both"/>
        <w:rPr>
          <w:rFonts w:ascii="Times New Roman" w:hAnsi="Times New Roman" w:cs="Times New Roman"/>
          <w:color w:val="000000"/>
          <w:sz w:val="32"/>
          <w:szCs w:val="32"/>
          <w:lang w:eastAsia="zh-CN"/>
        </w:rPr>
      </w:pPr>
      <w:bookmarkStart w:id="96" w:name="_Hlk140269288"/>
      <w:r>
        <w:rPr>
          <w:rFonts w:ascii="Times New Roman" w:hAnsi="Times New Roman" w:cs="Times New Roman"/>
          <w:color w:val="000000"/>
          <w:sz w:val="32"/>
          <w:szCs w:val="32"/>
          <w:lang w:eastAsia="zh-CN"/>
        </w:rPr>
        <w:t>党的二十大报告指出，必须牢固树立和践行绿水青山就是金山银山的理念，站在人与自然和谐共生的高度谋划发展。依据《中华人民共和国水污染防治法》《国家水污染物排放标准制订技术导则》（HJ 945.2-2018）等法律法规、标准规范相关要求，</w:t>
      </w:r>
      <w:r>
        <w:rPr>
          <w:rFonts w:hint="eastAsia" w:ascii="Times New Roman" w:hAnsi="Times New Roman" w:cs="Times New Roman"/>
          <w:color w:val="000000"/>
          <w:sz w:val="32"/>
          <w:szCs w:val="32"/>
          <w:lang w:eastAsia="zh-CN"/>
        </w:rPr>
        <w:t>本文件编制</w:t>
      </w:r>
      <w:r>
        <w:rPr>
          <w:rFonts w:ascii="Times New Roman" w:hAnsi="Times New Roman" w:cs="Times New Roman"/>
          <w:color w:val="000000"/>
          <w:sz w:val="32"/>
          <w:szCs w:val="32"/>
          <w:lang w:eastAsia="zh-CN"/>
        </w:rPr>
        <w:t>遵循如下原则：</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（1）饮用水安全优先原则</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以保障我省部分流域饮用水水源地安全为前提，结合企业管控现状，提出符合实际要求的高氯酸盐污染物排放限值。</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（2）技术经济可行性原则</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对基于饮用水安全、水环境质量改善需要提出的排放限值进行技术经济</w:t>
      </w:r>
      <w:r>
        <w:rPr>
          <w:rFonts w:hint="eastAsia" w:ascii="Times New Roman" w:hAnsi="Times New Roman" w:cs="Times New Roman"/>
          <w:color w:val="000000"/>
          <w:sz w:val="32"/>
          <w:szCs w:val="32"/>
          <w:lang w:eastAsia="zh-CN"/>
        </w:rPr>
        <w:t>可行性</w:t>
      </w:r>
      <w:r>
        <w:rPr>
          <w:rFonts w:ascii="Times New Roman" w:hAnsi="Times New Roman" w:cs="Times New Roman"/>
          <w:color w:val="000000"/>
          <w:sz w:val="32"/>
          <w:szCs w:val="32"/>
          <w:lang w:eastAsia="zh-CN"/>
        </w:rPr>
        <w:t>论证，</w:t>
      </w:r>
      <w:r>
        <w:rPr>
          <w:rFonts w:hint="eastAsia" w:ascii="Times New Roman" w:hAnsi="Times New Roman" w:cs="Times New Roman"/>
          <w:color w:val="000000"/>
          <w:sz w:val="32"/>
          <w:szCs w:val="32"/>
          <w:lang w:eastAsia="zh-CN"/>
        </w:rPr>
        <w:t>考虑企业可承受的经济</w:t>
      </w:r>
      <w:r>
        <w:rPr>
          <w:rFonts w:ascii="Times New Roman" w:hAnsi="Times New Roman" w:cs="Times New Roman"/>
          <w:color w:val="000000"/>
          <w:sz w:val="32"/>
          <w:szCs w:val="32"/>
          <w:lang w:eastAsia="zh-CN"/>
        </w:rPr>
        <w:t>成本</w:t>
      </w:r>
      <w:r>
        <w:rPr>
          <w:rFonts w:hint="eastAsia" w:ascii="Times New Roman" w:hAnsi="Times New Roman" w:cs="Times New Roman"/>
          <w:color w:val="000000"/>
          <w:sz w:val="32"/>
          <w:szCs w:val="32"/>
          <w:lang w:eastAsia="zh-CN"/>
        </w:rPr>
        <w:t>，提出标准管控限值。</w:t>
      </w:r>
    </w:p>
    <w:p>
      <w:pPr>
        <w:pStyle w:val="3"/>
        <w:spacing w:line="360" w:lineRule="auto"/>
        <w:ind w:left="0" w:firstLine="642" w:firstLineChars="200"/>
        <w:jc w:val="both"/>
        <w:rPr>
          <w:rFonts w:ascii="Times New Roman" w:hAnsi="Times New Roman" w:cs="Times New Roman"/>
          <w:color w:val="000000"/>
          <w:sz w:val="32"/>
          <w:szCs w:val="32"/>
          <w:lang w:eastAsia="zh-CN"/>
        </w:rPr>
      </w:pPr>
      <w:r>
        <w:rPr>
          <w:rFonts w:ascii="Times New Roman" w:hAnsi="Times New Roman" w:cs="Times New Roman"/>
          <w:b/>
          <w:bCs/>
          <w:color w:val="000000"/>
          <w:sz w:val="32"/>
          <w:szCs w:val="32"/>
          <w:lang w:eastAsia="zh-CN"/>
        </w:rPr>
        <w:t>（3）科学</w:t>
      </w:r>
      <w:r>
        <w:rPr>
          <w:rFonts w:hint="eastAsia" w:ascii="Times New Roman" w:hAnsi="Times New Roman" w:cs="Times New Roman"/>
          <w:b/>
          <w:bCs/>
          <w:color w:val="000000"/>
          <w:sz w:val="32"/>
          <w:szCs w:val="32"/>
          <w:lang w:eastAsia="zh-CN"/>
        </w:rPr>
        <w:t>合理</w:t>
      </w:r>
      <w:r>
        <w:rPr>
          <w:rFonts w:ascii="Times New Roman" w:hAnsi="Times New Roman" w:cs="Times New Roman"/>
          <w:b/>
          <w:bCs/>
          <w:color w:val="000000"/>
          <w:sz w:val="32"/>
          <w:szCs w:val="32"/>
          <w:lang w:eastAsia="zh-CN"/>
        </w:rPr>
        <w:t>性原则</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开展重点流域环境水体、污染源调查分析，</w:t>
      </w:r>
      <w:r>
        <w:rPr>
          <w:rFonts w:hint="eastAsia" w:ascii="Times New Roman" w:hAnsi="Times New Roman" w:cs="Times New Roman"/>
          <w:color w:val="000000"/>
          <w:sz w:val="32"/>
          <w:szCs w:val="32"/>
          <w:lang w:eastAsia="zh-CN"/>
        </w:rPr>
        <w:t>根据相关技术规范</w:t>
      </w:r>
      <w:r>
        <w:rPr>
          <w:rFonts w:ascii="Times New Roman" w:hAnsi="Times New Roman" w:cs="Times New Roman"/>
          <w:color w:val="000000"/>
          <w:sz w:val="32"/>
          <w:szCs w:val="32"/>
          <w:lang w:eastAsia="zh-CN"/>
        </w:rPr>
        <w:t>选择</w:t>
      </w:r>
      <w:r>
        <w:rPr>
          <w:rFonts w:hint="eastAsia" w:ascii="Times New Roman" w:hAnsi="Times New Roman" w:cs="Times New Roman"/>
          <w:color w:val="000000"/>
          <w:sz w:val="32"/>
          <w:szCs w:val="32"/>
          <w:lang w:eastAsia="zh-CN"/>
        </w:rPr>
        <w:t>合适的测算方法</w:t>
      </w:r>
      <w:r>
        <w:rPr>
          <w:rFonts w:ascii="Times New Roman" w:hAnsi="Times New Roman" w:cs="Times New Roman"/>
          <w:color w:val="000000"/>
          <w:sz w:val="32"/>
          <w:szCs w:val="32"/>
          <w:lang w:eastAsia="zh-CN"/>
        </w:rPr>
        <w:t>，合理选定相关参数，科学确定基于水环境质量改善目标的排放限值。</w:t>
      </w:r>
      <w:bookmarkEnd w:id="96"/>
    </w:p>
    <w:p>
      <w:pPr>
        <w:pStyle w:val="3"/>
        <w:spacing w:line="360" w:lineRule="auto"/>
        <w:ind w:left="0"/>
        <w:jc w:val="both"/>
        <w:outlineLvl w:val="1"/>
        <w:rPr>
          <w:rFonts w:ascii="Times New Roman" w:hAnsi="Times New Roman" w:cs="Times New Roman"/>
          <w:b/>
          <w:bCs/>
          <w:color w:val="000000"/>
          <w:sz w:val="32"/>
          <w:szCs w:val="32"/>
          <w:lang w:eastAsia="zh-CN"/>
        </w:rPr>
      </w:pPr>
      <w:bookmarkStart w:id="97" w:name="_Toc31283"/>
      <w:r>
        <w:rPr>
          <w:rFonts w:ascii="Times New Roman" w:hAnsi="Times New Roman" w:cs="Times New Roman"/>
          <w:b/>
          <w:bCs/>
          <w:color w:val="000000"/>
          <w:sz w:val="32"/>
          <w:szCs w:val="32"/>
          <w:lang w:eastAsia="zh-CN"/>
        </w:rPr>
        <w:t>5.2 技术路线</w:t>
      </w:r>
      <w:bookmarkEnd w:id="95"/>
      <w:bookmarkEnd w:id="97"/>
    </w:p>
    <w:p>
      <w:pPr>
        <w:pStyle w:val="3"/>
        <w:spacing w:line="360" w:lineRule="auto"/>
        <w:ind w:left="0" w:firstLine="640" w:firstLineChars="200"/>
        <w:jc w:val="both"/>
        <w:rPr>
          <w:rFonts w:ascii="Times New Roman" w:hAnsi="Times New Roman" w:cs="Times New Roman"/>
          <w:color w:val="000000"/>
          <w:sz w:val="32"/>
          <w:szCs w:val="32"/>
          <w:lang w:eastAsia="zh-CN"/>
        </w:rPr>
      </w:pPr>
      <w:bookmarkStart w:id="98" w:name="_Hlk140269425"/>
      <w:r>
        <w:rPr>
          <w:rFonts w:hint="eastAsia" w:ascii="Times New Roman" w:hAnsi="Times New Roman" w:cs="Times New Roman"/>
          <w:color w:val="000000"/>
          <w:sz w:val="32"/>
          <w:szCs w:val="32"/>
          <w:lang w:eastAsia="zh-CN"/>
        </w:rPr>
        <w:t>本文件</w:t>
      </w:r>
      <w:r>
        <w:rPr>
          <w:rFonts w:ascii="Times New Roman" w:hAnsi="Times New Roman" w:cs="Times New Roman"/>
          <w:color w:val="000000"/>
          <w:sz w:val="32"/>
          <w:szCs w:val="32"/>
          <w:lang w:eastAsia="zh-CN"/>
        </w:rPr>
        <w:t>编制按照国家</w:t>
      </w:r>
      <w:r>
        <w:rPr>
          <w:rFonts w:hint="eastAsia" w:ascii="Times New Roman" w:hAnsi="Times New Roman" w:cs="Times New Roman"/>
          <w:color w:val="000000"/>
          <w:sz w:val="32"/>
          <w:szCs w:val="32"/>
          <w:lang w:val="en-US" w:eastAsia="zh-CN"/>
        </w:rPr>
        <w:t>及我省</w:t>
      </w:r>
      <w:r>
        <w:rPr>
          <w:rFonts w:ascii="Times New Roman" w:hAnsi="Times New Roman" w:cs="Times New Roman"/>
          <w:color w:val="000000"/>
          <w:sz w:val="32"/>
          <w:szCs w:val="32"/>
          <w:lang w:eastAsia="zh-CN"/>
        </w:rPr>
        <w:t>环境保护</w:t>
      </w:r>
      <w:r>
        <w:rPr>
          <w:rFonts w:hint="eastAsia" w:ascii="Times New Roman" w:hAnsi="Times New Roman" w:cs="Times New Roman"/>
          <w:color w:val="000000"/>
          <w:sz w:val="32"/>
          <w:szCs w:val="32"/>
          <w:lang w:val="en-US" w:eastAsia="zh-CN"/>
        </w:rPr>
        <w:t>标准</w:t>
      </w:r>
      <w:r>
        <w:rPr>
          <w:rFonts w:ascii="Times New Roman" w:hAnsi="Times New Roman" w:cs="Times New Roman"/>
          <w:color w:val="000000"/>
          <w:sz w:val="32"/>
          <w:szCs w:val="32"/>
          <w:lang w:eastAsia="zh-CN"/>
        </w:rPr>
        <w:t>制修订工作管理办法进行，制定过程中充分考虑我省涉高氯酸盐工业企业现状及废水排放特征，以及高氯酸盐污染防治技术经济可行性，确保标准科学性、可行性和可操作性，</w:t>
      </w:r>
      <w:r>
        <w:rPr>
          <w:rFonts w:hint="eastAsia" w:ascii="Times New Roman" w:hAnsi="Times New Roman" w:cs="Times New Roman"/>
          <w:color w:val="000000"/>
          <w:sz w:val="32"/>
          <w:szCs w:val="32"/>
          <w:lang w:eastAsia="zh-CN"/>
        </w:rPr>
        <w:t>具体</w:t>
      </w:r>
      <w:r>
        <w:rPr>
          <w:rFonts w:ascii="Times New Roman" w:hAnsi="Times New Roman" w:cs="Times New Roman"/>
          <w:color w:val="000000"/>
          <w:sz w:val="32"/>
          <w:szCs w:val="32"/>
          <w:lang w:eastAsia="zh-CN"/>
        </w:rPr>
        <w:t>技术路线图如下：</w:t>
      </w:r>
      <w:bookmarkEnd w:id="98"/>
    </w:p>
    <w:p>
      <w:pPr>
        <w:pStyle w:val="3"/>
        <w:spacing w:line="360" w:lineRule="auto"/>
        <w:ind w:left="0"/>
        <w:jc w:val="center"/>
        <w:rPr>
          <w:rFonts w:ascii="Times New Roman" w:hAnsi="Times New Roman" w:cs="Times New Roman"/>
          <w:color w:val="000000"/>
          <w:sz w:val="28"/>
          <w:szCs w:val="28"/>
          <w:lang w:eastAsia="zh-CN"/>
        </w:rPr>
      </w:pPr>
      <w:r>
        <w:rPr>
          <w:rFonts w:ascii="Times New Roman" w:hAnsi="Times New Roman" w:cs="Times New Roman"/>
          <w:color w:val="000000"/>
          <w:sz w:val="28"/>
          <w:szCs w:val="28"/>
          <w:lang w:eastAsia="zh-CN"/>
        </w:rPr>
        <w:drawing>
          <wp:inline distT="0" distB="0" distL="0" distR="0">
            <wp:extent cx="5631815" cy="5793105"/>
            <wp:effectExtent l="0" t="0" r="6985" b="0"/>
            <wp:docPr id="1038" name="ECB019B1-382A-4266-B25C-5B523AA43C14-1" descr="C:/Users/admin/AppData/Local/Temp/wps.fWXvaHwps"/>
            <wp:cNvGraphicFramePr/>
            <a:graphic xmlns:a="http://schemas.openxmlformats.org/drawingml/2006/main">
              <a:graphicData uri="http://schemas.openxmlformats.org/drawingml/2006/picture">
                <pic:pic xmlns:pic="http://schemas.openxmlformats.org/drawingml/2006/picture">
                  <pic:nvPicPr>
                    <pic:cNvPr id="1038" name="ECB019B1-382A-4266-B25C-5B523AA43C14-1" descr="C:/Users/admin/AppData/Local/Temp/wps.fWXvaHwps"/>
                    <pic:cNvPicPr/>
                  </pic:nvPicPr>
                  <pic:blipFill>
                    <a:blip r:embed="rId7" cstate="print"/>
                    <a:srcRect l="2929" r="6502" b="1764"/>
                    <a:stretch>
                      <a:fillRect/>
                    </a:stretch>
                  </pic:blipFill>
                  <pic:spPr>
                    <a:xfrm>
                      <a:off x="0" y="0"/>
                      <a:ext cx="5631815" cy="5793105"/>
                    </a:xfrm>
                    <a:prstGeom prst="rect">
                      <a:avLst/>
                    </a:prstGeom>
                  </pic:spPr>
                </pic:pic>
              </a:graphicData>
            </a:graphic>
          </wp:inline>
        </w:drawing>
      </w:r>
    </w:p>
    <w:p>
      <w:pPr>
        <w:pStyle w:val="3"/>
        <w:spacing w:line="360" w:lineRule="auto"/>
        <w:ind w:left="0"/>
        <w:jc w:val="center"/>
        <w:outlineLvl w:val="4"/>
        <w:rPr>
          <w:rFonts w:ascii="Times New Roman" w:hAnsi="Times New Roman" w:cs="Times New Roman"/>
          <w:b/>
          <w:bCs/>
          <w:color w:val="000000"/>
          <w:sz w:val="30"/>
          <w:szCs w:val="30"/>
          <w:lang w:eastAsia="zh-CN"/>
        </w:rPr>
      </w:pPr>
      <w:r>
        <w:rPr>
          <w:rFonts w:ascii="Times New Roman" w:hAnsi="Times New Roman" w:cs="Times New Roman"/>
          <w:b/>
          <w:bCs/>
          <w:color w:val="000000"/>
          <w:sz w:val="30"/>
          <w:szCs w:val="30"/>
          <w:lang w:eastAsia="zh-CN"/>
        </w:rPr>
        <w:t>图5-1 标准编制技术路线图</w:t>
      </w:r>
    </w:p>
    <w:p>
      <w:pPr>
        <w:keepNext/>
        <w:spacing w:line="360" w:lineRule="auto"/>
        <w:jc w:val="both"/>
        <w:outlineLvl w:val="0"/>
        <w:rPr>
          <w:rFonts w:ascii="Times New Roman" w:hAnsi="Times New Roman" w:eastAsia="仿宋" w:cs="Times New Roman"/>
          <w:b/>
          <w:bCs/>
          <w:color w:val="000000"/>
          <w:sz w:val="36"/>
          <w:szCs w:val="36"/>
          <w:lang w:eastAsia="zh-CN"/>
        </w:rPr>
        <w:sectPr>
          <w:footerReference r:id="rId5" w:type="default"/>
          <w:pgSz w:w="11906" w:h="16840"/>
          <w:pgMar w:top="1440" w:right="1560" w:bottom="1380" w:left="1680" w:header="0" w:footer="1196" w:gutter="0"/>
          <w:cols w:space="720" w:num="1"/>
        </w:sectPr>
      </w:pPr>
    </w:p>
    <w:p>
      <w:pPr>
        <w:keepNext/>
        <w:spacing w:line="360" w:lineRule="auto"/>
        <w:jc w:val="both"/>
        <w:outlineLvl w:val="0"/>
        <w:rPr>
          <w:rFonts w:ascii="Times New Roman" w:hAnsi="Times New Roman" w:eastAsia="仿宋" w:cs="Times New Roman"/>
          <w:b/>
          <w:bCs/>
          <w:color w:val="000000"/>
          <w:sz w:val="36"/>
          <w:szCs w:val="36"/>
          <w:lang w:eastAsia="zh-CN"/>
        </w:rPr>
      </w:pPr>
      <w:bookmarkStart w:id="99" w:name="_Toc11009"/>
      <w:bookmarkStart w:id="100" w:name="_Toc1813"/>
      <w:bookmarkStart w:id="101" w:name="_Toc16699"/>
      <w:r>
        <w:rPr>
          <w:rFonts w:hint="eastAsia" w:ascii="Times New Roman" w:hAnsi="Times New Roman" w:eastAsia="仿宋" w:cs="Times New Roman"/>
          <w:b/>
          <w:bCs/>
          <w:color w:val="000000"/>
          <w:sz w:val="36"/>
          <w:szCs w:val="36"/>
          <w:lang w:eastAsia="zh-CN"/>
        </w:rPr>
        <w:t>6</w:t>
      </w:r>
      <w:r>
        <w:rPr>
          <w:rFonts w:ascii="Times New Roman" w:hAnsi="Times New Roman" w:eastAsia="仿宋" w:cs="Times New Roman"/>
          <w:b/>
          <w:bCs/>
          <w:color w:val="000000"/>
          <w:sz w:val="36"/>
          <w:szCs w:val="36"/>
          <w:lang w:eastAsia="zh-CN"/>
        </w:rPr>
        <w:t xml:space="preserve"> 标准主要技术内容</w:t>
      </w:r>
      <w:bookmarkEnd w:id="99"/>
      <w:bookmarkEnd w:id="100"/>
      <w:bookmarkEnd w:id="101"/>
    </w:p>
    <w:p>
      <w:pPr>
        <w:pStyle w:val="3"/>
        <w:spacing w:line="360" w:lineRule="auto"/>
        <w:ind w:left="0" w:firstLine="640" w:firstLineChars="200"/>
        <w:jc w:val="both"/>
        <w:rPr>
          <w:rFonts w:ascii="Times New Roman" w:hAnsi="Times New Roman" w:cs="Times New Roman"/>
          <w:color w:val="000000"/>
          <w:sz w:val="32"/>
          <w:szCs w:val="32"/>
          <w:lang w:eastAsia="zh-CN"/>
        </w:rPr>
      </w:pPr>
      <w:bookmarkStart w:id="102" w:name="4.3标准适用范围"/>
      <w:bookmarkEnd w:id="102"/>
      <w:bookmarkStart w:id="103" w:name="_bookmark12"/>
      <w:bookmarkEnd w:id="103"/>
      <w:bookmarkStart w:id="104" w:name="_bookmark14"/>
      <w:bookmarkEnd w:id="104"/>
      <w:bookmarkStart w:id="105" w:name="4.1标准修订原则"/>
      <w:bookmarkEnd w:id="105"/>
      <w:bookmarkStart w:id="106" w:name="_Toc18484"/>
      <w:bookmarkStart w:id="107" w:name="_Toc23727"/>
      <w:r>
        <w:rPr>
          <w:rFonts w:hint="eastAsia" w:ascii="Times New Roman" w:hAnsi="Times New Roman" w:cs="Times New Roman"/>
          <w:color w:val="000000"/>
          <w:sz w:val="32"/>
          <w:szCs w:val="32"/>
          <w:lang w:eastAsia="zh-CN"/>
        </w:rPr>
        <w:t>本文件按照《标准化工作导则》（GB/T 1.1—2020）的要求进行编制，包括前言、引言、适用范围、规范性引用文件、术语和定义、水污染物排放控制要求、污染物监测要求、污水排放口规范化要求和实施与监督九部分内容。</w:t>
      </w:r>
    </w:p>
    <w:p>
      <w:pPr>
        <w:pStyle w:val="3"/>
        <w:spacing w:line="360" w:lineRule="auto"/>
        <w:ind w:left="0"/>
        <w:jc w:val="both"/>
        <w:outlineLvl w:val="1"/>
        <w:rPr>
          <w:rFonts w:ascii="Times New Roman" w:hAnsi="Times New Roman" w:cs="Times New Roman"/>
          <w:b/>
          <w:bCs/>
          <w:color w:val="000000"/>
          <w:sz w:val="32"/>
          <w:szCs w:val="32"/>
          <w:lang w:eastAsia="zh-CN"/>
        </w:rPr>
      </w:pPr>
      <w:r>
        <w:rPr>
          <w:rFonts w:hint="eastAsia" w:ascii="Times New Roman" w:hAnsi="Times New Roman" w:cs="Times New Roman"/>
          <w:b/>
          <w:bCs/>
          <w:color w:val="000000"/>
          <w:sz w:val="32"/>
          <w:szCs w:val="32"/>
          <w:lang w:eastAsia="zh-CN"/>
        </w:rPr>
        <w:t>6</w:t>
      </w:r>
      <w:r>
        <w:rPr>
          <w:rFonts w:ascii="Times New Roman" w:hAnsi="Times New Roman" w:cs="Times New Roman"/>
          <w:b/>
          <w:bCs/>
          <w:color w:val="000000"/>
          <w:sz w:val="32"/>
          <w:szCs w:val="32"/>
          <w:lang w:eastAsia="zh-CN"/>
        </w:rPr>
        <w:t>.1 标准适用范围</w:t>
      </w:r>
      <w:bookmarkEnd w:id="106"/>
      <w:bookmarkEnd w:id="107"/>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考虑到湖南省辖区内涉高氯酸盐工业企业的基本情况，按照针对性重点管理的原则，本文件适用的高氯酸盐工业范围包括高氯酸盐生产企业及烟花、爆竹、引火线制造业四大类。同时考虑到涉高氯酸盐工业污水集中处理设施，建议可根据实际情况参考本文件执行。本文件的适用范围确定如下：</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（1）本文件规定了涉高氯酸盐工业企业的水污染物高氯酸盐排放控制要求、监测要求和监督管理要求。</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2）本文件适用于湖南省现有涉高氯酸盐工业企业的水污染物排放管理，以及涉高氯酸盐工业企业建设项目的环境影响评价、环境保护设施设计、竣工环境保护验收、排污许可证核发及其投产后的水污染物排放管理。</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（3）本文件规定的水污染物排放控制要求适用于涉高氯酸盐工业企业、涉高氯酸盐工业污水集中处理设施向其法定边界外排放水污染物的行为</w:t>
      </w:r>
      <w:r>
        <w:rPr>
          <w:rFonts w:ascii="Times New Roman" w:hAnsi="Times New Roman" w:cs="Times New Roman"/>
          <w:color w:val="000000"/>
          <w:sz w:val="32"/>
          <w:szCs w:val="32"/>
          <w:lang w:eastAsia="zh-CN"/>
        </w:rPr>
        <w:t>。</w:t>
      </w:r>
    </w:p>
    <w:p>
      <w:pPr>
        <w:pStyle w:val="3"/>
        <w:spacing w:line="360" w:lineRule="auto"/>
        <w:ind w:left="0"/>
        <w:jc w:val="both"/>
        <w:outlineLvl w:val="1"/>
        <w:rPr>
          <w:rFonts w:ascii="Times New Roman" w:hAnsi="Times New Roman" w:cs="Times New Roman"/>
          <w:b/>
          <w:bCs/>
          <w:color w:val="000000"/>
          <w:sz w:val="32"/>
          <w:szCs w:val="32"/>
          <w:lang w:eastAsia="zh-CN"/>
        </w:rPr>
      </w:pPr>
      <w:bookmarkStart w:id="108" w:name="4.4术语和定义"/>
      <w:bookmarkEnd w:id="108"/>
      <w:bookmarkStart w:id="109" w:name="_bookmark15"/>
      <w:bookmarkEnd w:id="109"/>
      <w:bookmarkStart w:id="110" w:name="_Toc19617"/>
      <w:bookmarkStart w:id="111" w:name="_Toc29053415"/>
      <w:bookmarkStart w:id="112" w:name="_Toc8092"/>
      <w:bookmarkStart w:id="113" w:name="_Toc31788"/>
      <w:r>
        <w:rPr>
          <w:rFonts w:hint="eastAsia" w:ascii="Times New Roman" w:hAnsi="Times New Roman" w:cs="Times New Roman"/>
          <w:b/>
          <w:bCs/>
          <w:color w:val="000000"/>
          <w:sz w:val="32"/>
          <w:szCs w:val="32"/>
          <w:lang w:eastAsia="zh-CN"/>
        </w:rPr>
        <w:t>6</w:t>
      </w:r>
      <w:r>
        <w:rPr>
          <w:rFonts w:ascii="Times New Roman" w:hAnsi="Times New Roman" w:cs="Times New Roman"/>
          <w:b/>
          <w:bCs/>
          <w:color w:val="000000"/>
          <w:sz w:val="32"/>
          <w:szCs w:val="32"/>
          <w:lang w:eastAsia="zh-CN"/>
        </w:rPr>
        <w:t xml:space="preserve">.2 </w:t>
      </w:r>
      <w:bookmarkEnd w:id="110"/>
      <w:r>
        <w:rPr>
          <w:rFonts w:ascii="Times New Roman" w:hAnsi="Times New Roman" w:cs="Times New Roman"/>
          <w:b/>
          <w:bCs/>
          <w:color w:val="000000"/>
          <w:sz w:val="32"/>
          <w:szCs w:val="32"/>
          <w:lang w:eastAsia="zh-CN"/>
        </w:rPr>
        <w:t>规范性引用文件</w:t>
      </w:r>
      <w:bookmarkEnd w:id="111"/>
      <w:bookmarkEnd w:id="112"/>
    </w:p>
    <w:p>
      <w:pPr>
        <w:pStyle w:val="3"/>
        <w:spacing w:line="360" w:lineRule="auto"/>
        <w:ind w:left="0" w:firstLine="640" w:firstLineChars="200"/>
        <w:jc w:val="both"/>
        <w:rPr>
          <w:rFonts w:ascii="Times New Roman" w:hAnsi="Times New Roman" w:cs="Times New Roman"/>
          <w:color w:val="000000"/>
          <w:sz w:val="32"/>
          <w:szCs w:val="32"/>
          <w:lang w:eastAsia="zh-CN"/>
        </w:rPr>
      </w:pPr>
      <w:bookmarkStart w:id="114" w:name="_Toc31847"/>
      <w:r>
        <w:rPr>
          <w:rFonts w:hint="eastAsia" w:ascii="Times New Roman" w:hAnsi="Times New Roman" w:cs="Times New Roman"/>
          <w:color w:val="000000"/>
          <w:sz w:val="32"/>
          <w:szCs w:val="32"/>
          <w:lang w:eastAsia="zh-CN"/>
        </w:rPr>
        <w:t>本部分主要包括湖南省涉高氯酸盐工业采样、样品保存、分析方法、监测技术规范以及排污口设置规范等所需要遵循的相关环境保护标准和文件。文件中的内容通过文中的规范性引用而构成本文件必不可少的条款。</w:t>
      </w:r>
      <w:r>
        <w:rPr>
          <w:rFonts w:ascii="Times New Roman" w:hAnsi="Times New Roman" w:cs="Times New Roman"/>
          <w:color w:val="000000"/>
          <w:sz w:val="32"/>
          <w:szCs w:val="32"/>
          <w:lang w:eastAsia="zh-CN"/>
        </w:rPr>
        <w:t>其中，注日期的引用文件，仅该日期对应的版本适用于本</w:t>
      </w:r>
      <w:r>
        <w:rPr>
          <w:rFonts w:hint="eastAsia" w:ascii="Times New Roman" w:hAnsi="Times New Roman" w:cs="Times New Roman"/>
          <w:color w:val="000000"/>
          <w:sz w:val="32"/>
          <w:szCs w:val="32"/>
          <w:lang w:eastAsia="zh-CN"/>
        </w:rPr>
        <w:t>文件</w:t>
      </w:r>
      <w:r>
        <w:rPr>
          <w:rFonts w:ascii="Times New Roman" w:hAnsi="Times New Roman" w:cs="Times New Roman"/>
          <w:color w:val="000000"/>
          <w:sz w:val="32"/>
          <w:szCs w:val="32"/>
          <w:lang w:eastAsia="zh-CN"/>
        </w:rPr>
        <w:t>；不注日期的引用文件，其最新版本（包括所有的修改单）适用于本</w:t>
      </w:r>
      <w:r>
        <w:rPr>
          <w:rFonts w:hint="eastAsia" w:ascii="Times New Roman" w:hAnsi="Times New Roman" w:cs="Times New Roman"/>
          <w:color w:val="000000"/>
          <w:sz w:val="32"/>
          <w:szCs w:val="32"/>
          <w:lang w:eastAsia="zh-CN"/>
        </w:rPr>
        <w:t>文件</w:t>
      </w:r>
      <w:r>
        <w:rPr>
          <w:rFonts w:ascii="Times New Roman" w:hAnsi="Times New Roman" w:cs="Times New Roman"/>
          <w:color w:val="000000"/>
          <w:sz w:val="32"/>
          <w:szCs w:val="32"/>
          <w:lang w:eastAsia="zh-CN"/>
        </w:rPr>
        <w:t>。</w:t>
      </w:r>
    </w:p>
    <w:p>
      <w:pPr>
        <w:pStyle w:val="3"/>
        <w:spacing w:line="360" w:lineRule="auto"/>
        <w:ind w:left="0"/>
        <w:jc w:val="both"/>
        <w:outlineLvl w:val="1"/>
        <w:rPr>
          <w:rFonts w:ascii="Times New Roman" w:hAnsi="Times New Roman" w:cs="Times New Roman"/>
          <w:b/>
          <w:bCs/>
          <w:color w:val="000000"/>
          <w:sz w:val="32"/>
          <w:szCs w:val="32"/>
          <w:lang w:eastAsia="zh-CN"/>
        </w:rPr>
      </w:pPr>
      <w:bookmarkStart w:id="115" w:name="_Toc8744"/>
      <w:r>
        <w:rPr>
          <w:rFonts w:hint="eastAsia" w:ascii="Times New Roman" w:hAnsi="Times New Roman" w:cs="Times New Roman"/>
          <w:b/>
          <w:bCs/>
          <w:color w:val="000000"/>
          <w:sz w:val="32"/>
          <w:szCs w:val="32"/>
          <w:lang w:eastAsia="zh-CN"/>
        </w:rPr>
        <w:t>6</w:t>
      </w:r>
      <w:r>
        <w:rPr>
          <w:rFonts w:ascii="Times New Roman" w:hAnsi="Times New Roman" w:cs="Times New Roman"/>
          <w:b/>
          <w:bCs/>
          <w:color w:val="000000"/>
          <w:sz w:val="32"/>
          <w:szCs w:val="32"/>
          <w:lang w:eastAsia="zh-CN"/>
        </w:rPr>
        <w:t>.3 术语和定义</w:t>
      </w:r>
      <w:bookmarkEnd w:id="113"/>
      <w:bookmarkEnd w:id="114"/>
      <w:bookmarkEnd w:id="115"/>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本文件按照《国家水污染物排放标准制订技术导则》（HJ945.2-2018）的要求，参考国家最新发布的相关行业水污染物排放标准的相关术语定义，并</w:t>
      </w:r>
      <w:r>
        <w:rPr>
          <w:rFonts w:ascii="Times New Roman" w:hAnsi="Times New Roman" w:cs="Times New Roman"/>
          <w:color w:val="000000"/>
          <w:sz w:val="32"/>
          <w:szCs w:val="32"/>
          <w:lang w:eastAsia="zh-CN"/>
        </w:rPr>
        <w:t>结合湖南省实际情况</w:t>
      </w:r>
      <w:r>
        <w:rPr>
          <w:rFonts w:ascii="Times New Roman" w:hAnsi="Times New Roman" w:cs="Times New Roman"/>
          <w:color w:val="000000"/>
          <w:spacing w:val="-24"/>
          <w:sz w:val="32"/>
          <w:szCs w:val="32"/>
          <w:lang w:eastAsia="zh-CN"/>
        </w:rPr>
        <w:t>，</w:t>
      </w:r>
      <w:r>
        <w:rPr>
          <w:rFonts w:hint="eastAsia" w:ascii="Times New Roman" w:hAnsi="Times New Roman" w:cs="Times New Roman"/>
          <w:color w:val="000000"/>
          <w:spacing w:val="-24"/>
          <w:sz w:val="32"/>
          <w:szCs w:val="32"/>
          <w:lang w:eastAsia="zh-CN"/>
        </w:rPr>
        <w:t>在充分调研的基础上，</w:t>
      </w:r>
      <w:r>
        <w:rPr>
          <w:rFonts w:ascii="Times New Roman" w:hAnsi="Times New Roman" w:cs="Times New Roman"/>
          <w:color w:val="000000"/>
          <w:sz w:val="32"/>
          <w:szCs w:val="32"/>
          <w:lang w:eastAsia="zh-CN"/>
        </w:rPr>
        <w:t>本</w:t>
      </w:r>
      <w:r>
        <w:rPr>
          <w:rFonts w:hint="eastAsia" w:ascii="Times New Roman" w:hAnsi="Times New Roman" w:cs="Times New Roman"/>
          <w:color w:val="000000"/>
          <w:sz w:val="32"/>
          <w:szCs w:val="32"/>
          <w:lang w:eastAsia="zh-CN"/>
        </w:rPr>
        <w:t>文件</w:t>
      </w:r>
      <w:r>
        <w:rPr>
          <w:rFonts w:ascii="Times New Roman" w:hAnsi="Times New Roman" w:cs="Times New Roman"/>
          <w:color w:val="000000"/>
          <w:sz w:val="32"/>
          <w:szCs w:val="32"/>
          <w:lang w:eastAsia="zh-CN"/>
        </w:rPr>
        <w:t>给出</w:t>
      </w:r>
      <w:r>
        <w:rPr>
          <w:rFonts w:ascii="Times New Roman" w:hAnsi="Times New Roman" w:cs="Times New Roman"/>
          <w:color w:val="000000"/>
          <w:spacing w:val="-22"/>
          <w:sz w:val="32"/>
          <w:szCs w:val="32"/>
          <w:lang w:eastAsia="zh-CN"/>
        </w:rPr>
        <w:t>了</w:t>
      </w:r>
      <w:r>
        <w:rPr>
          <w:rFonts w:ascii="Times New Roman" w:hAnsi="Times New Roman" w:cs="Times New Roman"/>
          <w:color w:val="000000"/>
          <w:sz w:val="32"/>
          <w:szCs w:val="32"/>
          <w:lang w:eastAsia="zh-CN"/>
        </w:rPr>
        <w:t>“涉高氯酸盐工业</w:t>
      </w:r>
      <w:r>
        <w:rPr>
          <w:rFonts w:ascii="Times New Roman" w:hAnsi="Times New Roman" w:cs="Times New Roman"/>
          <w:color w:val="000000"/>
          <w:spacing w:val="-24"/>
          <w:sz w:val="32"/>
          <w:szCs w:val="32"/>
          <w:lang w:eastAsia="zh-CN"/>
        </w:rPr>
        <w:t>、</w:t>
      </w:r>
      <w:r>
        <w:rPr>
          <w:rFonts w:hint="eastAsia" w:ascii="Times New Roman" w:hAnsi="Times New Roman" w:cs="Times New Roman"/>
          <w:color w:val="000000"/>
          <w:sz w:val="32"/>
          <w:szCs w:val="32"/>
          <w:lang w:eastAsia="zh-CN"/>
        </w:rPr>
        <w:t>现有企业</w:t>
      </w:r>
      <w:r>
        <w:rPr>
          <w:rFonts w:ascii="Times New Roman" w:hAnsi="Times New Roman" w:cs="Times New Roman"/>
          <w:color w:val="000000"/>
          <w:spacing w:val="-20"/>
          <w:sz w:val="32"/>
          <w:szCs w:val="32"/>
          <w:lang w:eastAsia="zh-CN"/>
        </w:rPr>
        <w:t>、</w:t>
      </w:r>
      <w:r>
        <w:rPr>
          <w:rFonts w:hint="eastAsia" w:ascii="Times New Roman" w:hAnsi="Times New Roman" w:cs="Times New Roman"/>
          <w:color w:val="000000"/>
          <w:sz w:val="32"/>
          <w:szCs w:val="32"/>
          <w:lang w:eastAsia="zh-CN"/>
        </w:rPr>
        <w:t>新建企业</w:t>
      </w:r>
      <w:r>
        <w:rPr>
          <w:rFonts w:ascii="Times New Roman" w:hAnsi="Times New Roman" w:cs="Times New Roman"/>
          <w:color w:val="000000"/>
          <w:sz w:val="32"/>
          <w:szCs w:val="32"/>
          <w:lang w:eastAsia="zh-CN"/>
        </w:rPr>
        <w:t>、涉高氯酸盐工业污水集中处理设施</w:t>
      </w:r>
      <w:r>
        <w:rPr>
          <w:rFonts w:hint="eastAsia" w:ascii="Times New Roman" w:hAnsi="Times New Roman" w:cs="Times New Roman"/>
          <w:color w:val="000000"/>
          <w:sz w:val="32"/>
          <w:szCs w:val="32"/>
          <w:lang w:eastAsia="zh-CN"/>
        </w:rPr>
        <w:t>和单位产品基准排水量</w:t>
      </w:r>
      <w:r>
        <w:rPr>
          <w:rFonts w:ascii="Times New Roman" w:hAnsi="Times New Roman" w:cs="Times New Roman"/>
          <w:color w:val="000000"/>
          <w:sz w:val="32"/>
          <w:szCs w:val="32"/>
          <w:lang w:eastAsia="zh-CN"/>
        </w:rPr>
        <w:t>”等</w:t>
      </w:r>
      <w:r>
        <w:rPr>
          <w:rFonts w:hint="eastAsia" w:ascii="Times New Roman" w:hAnsi="Times New Roman" w:cs="Times New Roman"/>
          <w:color w:val="000000"/>
          <w:sz w:val="32"/>
          <w:szCs w:val="32"/>
          <w:lang w:eastAsia="zh-CN"/>
        </w:rPr>
        <w:t>五个</w:t>
      </w:r>
      <w:r>
        <w:rPr>
          <w:rFonts w:ascii="Times New Roman" w:hAnsi="Times New Roman" w:cs="Times New Roman"/>
          <w:color w:val="000000"/>
          <w:sz w:val="32"/>
          <w:szCs w:val="32"/>
          <w:lang w:eastAsia="zh-CN"/>
        </w:rPr>
        <w:t>术语和定义，具体如下：</w:t>
      </w:r>
    </w:p>
    <w:p>
      <w:pPr>
        <w:pStyle w:val="3"/>
        <w:spacing w:line="360" w:lineRule="auto"/>
        <w:ind w:left="0" w:firstLine="648"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pacing w:val="2"/>
          <w:sz w:val="32"/>
          <w:szCs w:val="32"/>
          <w:lang w:eastAsia="zh-CN"/>
        </w:rPr>
        <w:t>（1）涉高氯酸盐工</w:t>
      </w:r>
      <w:r>
        <w:rPr>
          <w:rFonts w:ascii="Times New Roman" w:hAnsi="Times New Roman" w:cs="Times New Roman"/>
          <w:color w:val="000000"/>
          <w:sz w:val="32"/>
          <w:szCs w:val="32"/>
          <w:lang w:eastAsia="zh-CN"/>
        </w:rPr>
        <w:t>业</w:t>
      </w:r>
      <w:r>
        <w:rPr>
          <w:rFonts w:ascii="Times New Roman" w:hAnsi="Times New Roman" w:cs="Times New Roman"/>
          <w:color w:val="000000"/>
          <w:spacing w:val="2"/>
          <w:sz w:val="32"/>
          <w:szCs w:val="32"/>
          <w:lang w:eastAsia="zh-CN"/>
        </w:rPr>
        <w:t>：</w:t>
      </w:r>
      <w:r>
        <w:rPr>
          <w:rFonts w:hint="eastAsia" w:ascii="Times New Roman" w:hAnsi="Times New Roman" w:cs="Times New Roman"/>
          <w:color w:val="000000"/>
          <w:spacing w:val="2"/>
          <w:sz w:val="32"/>
          <w:szCs w:val="32"/>
          <w:lang w:eastAsia="zh-CN"/>
        </w:rPr>
        <w:t>本文件涉高氯酸盐工业主要指高氯酸盐生产工业及烟花、爆竹、引火线制造工业</w:t>
      </w:r>
      <w:r>
        <w:rPr>
          <w:rFonts w:ascii="Times New Roman" w:hAnsi="Times New Roman" w:cs="Times New Roman"/>
          <w:color w:val="000000"/>
          <w:spacing w:val="2"/>
          <w:sz w:val="32"/>
          <w:szCs w:val="32"/>
          <w:lang w:eastAsia="zh-CN"/>
        </w:rPr>
        <w:t>。</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（2）</w:t>
      </w:r>
      <w:r>
        <w:rPr>
          <w:rFonts w:hint="eastAsia" w:ascii="Times New Roman" w:hAnsi="Times New Roman" w:cs="Times New Roman"/>
          <w:color w:val="000000"/>
          <w:sz w:val="32"/>
          <w:szCs w:val="32"/>
          <w:lang w:eastAsia="zh-CN"/>
        </w:rPr>
        <w:t>现有企业</w:t>
      </w:r>
      <w:r>
        <w:rPr>
          <w:rFonts w:ascii="Times New Roman" w:hAnsi="Times New Roman" w:cs="Times New Roman"/>
          <w:color w:val="000000"/>
          <w:sz w:val="32"/>
          <w:szCs w:val="32"/>
          <w:lang w:eastAsia="zh-CN"/>
        </w:rPr>
        <w:t>：</w:t>
      </w:r>
      <w:r>
        <w:rPr>
          <w:rFonts w:hint="eastAsia" w:ascii="Times New Roman" w:hAnsi="Times New Roman" w:cs="Times New Roman"/>
          <w:color w:val="000000"/>
          <w:sz w:val="32"/>
          <w:szCs w:val="32"/>
          <w:lang w:eastAsia="zh-CN"/>
        </w:rPr>
        <w:t>本文件实施之日前已建成投产或环境影响评价文件已通过审批的涉高氯酸盐工业企业。</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w:t>
      </w:r>
      <w:r>
        <w:rPr>
          <w:rFonts w:ascii="Times New Roman" w:hAnsi="Times New Roman" w:cs="Times New Roman"/>
          <w:color w:val="000000"/>
          <w:spacing w:val="2"/>
          <w:sz w:val="32"/>
          <w:szCs w:val="32"/>
          <w:lang w:eastAsia="zh-CN"/>
        </w:rPr>
        <w:t>3）</w:t>
      </w:r>
      <w:r>
        <w:rPr>
          <w:rFonts w:hint="eastAsia" w:ascii="Times New Roman" w:hAnsi="Times New Roman" w:cs="Times New Roman"/>
          <w:color w:val="000000"/>
          <w:sz w:val="32"/>
          <w:szCs w:val="32"/>
          <w:lang w:eastAsia="zh-CN"/>
        </w:rPr>
        <w:t>新建企业</w:t>
      </w:r>
      <w:r>
        <w:rPr>
          <w:rFonts w:ascii="Times New Roman" w:hAnsi="Times New Roman" w:cs="Times New Roman"/>
          <w:color w:val="000000"/>
          <w:spacing w:val="2"/>
          <w:sz w:val="32"/>
          <w:szCs w:val="32"/>
          <w:lang w:eastAsia="zh-CN"/>
        </w:rPr>
        <w:t>：</w:t>
      </w:r>
      <w:r>
        <w:rPr>
          <w:rFonts w:hint="eastAsia" w:ascii="Times New Roman" w:hAnsi="Times New Roman" w:cs="Times New Roman"/>
          <w:color w:val="000000"/>
          <w:sz w:val="32"/>
          <w:szCs w:val="32"/>
          <w:lang w:eastAsia="zh-CN"/>
        </w:rPr>
        <w:t>本文件实施之日起环境影响评价文件通过审批的新建、改建和扩建的涉高氯酸盐工业建设项目。</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（4）涉高氯酸盐工业污水集中处理设施：</w:t>
      </w:r>
      <w:r>
        <w:rPr>
          <w:rFonts w:hint="eastAsia" w:ascii="Times New Roman" w:hAnsi="Times New Roman" w:cs="Times New Roman"/>
          <w:color w:val="000000"/>
          <w:sz w:val="32"/>
          <w:szCs w:val="32"/>
          <w:lang w:eastAsia="zh-CN"/>
        </w:rPr>
        <w:t>专门为两家及两家以上涉高氯酸盐工业企业提供污水处理服务（不收集处理其他工业废水及生活污水）的污水集中处理设施。</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（5）单位产品基准排水量：用于核定水污染物排放浓度而规定的生产单位产品的排水量上限值。</w:t>
      </w:r>
    </w:p>
    <w:p>
      <w:pPr>
        <w:pStyle w:val="3"/>
        <w:spacing w:line="360" w:lineRule="auto"/>
        <w:ind w:left="0"/>
        <w:jc w:val="both"/>
        <w:outlineLvl w:val="1"/>
        <w:rPr>
          <w:rFonts w:ascii="Times New Roman" w:hAnsi="Times New Roman" w:cs="Times New Roman"/>
          <w:b/>
          <w:bCs/>
          <w:color w:val="000000"/>
          <w:sz w:val="32"/>
          <w:szCs w:val="32"/>
          <w:lang w:eastAsia="zh-CN"/>
        </w:rPr>
      </w:pPr>
      <w:bookmarkStart w:id="116" w:name="4.5水污染物排放控制要求"/>
      <w:bookmarkEnd w:id="116"/>
      <w:bookmarkStart w:id="117" w:name="_bookmark16"/>
      <w:bookmarkEnd w:id="117"/>
      <w:bookmarkStart w:id="118" w:name="_Toc22262"/>
      <w:bookmarkStart w:id="119" w:name="_Toc18730"/>
      <w:r>
        <w:rPr>
          <w:rFonts w:hint="eastAsia" w:ascii="Times New Roman" w:hAnsi="Times New Roman" w:cs="Times New Roman"/>
          <w:b/>
          <w:bCs/>
          <w:color w:val="000000"/>
          <w:sz w:val="32"/>
          <w:szCs w:val="32"/>
          <w:lang w:eastAsia="zh-CN"/>
        </w:rPr>
        <w:t>6</w:t>
      </w:r>
      <w:r>
        <w:rPr>
          <w:rFonts w:ascii="Times New Roman" w:hAnsi="Times New Roman" w:cs="Times New Roman"/>
          <w:b/>
          <w:bCs/>
          <w:color w:val="000000"/>
          <w:sz w:val="32"/>
          <w:szCs w:val="32"/>
          <w:lang w:eastAsia="zh-CN"/>
        </w:rPr>
        <w:t>.4 标准排放限值的测算</w:t>
      </w:r>
      <w:bookmarkEnd w:id="118"/>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由于国内外均没有高氯酸盐排放标准，且无法按企业达标率方法进行限值测算。因此，本文件</w:t>
      </w:r>
      <w:r>
        <w:rPr>
          <w:rFonts w:ascii="Times New Roman" w:hAnsi="Times New Roman" w:cs="Times New Roman"/>
          <w:color w:val="000000"/>
          <w:sz w:val="32"/>
          <w:szCs w:val="32"/>
          <w:lang w:eastAsia="zh-CN"/>
        </w:rPr>
        <w:t>主要采用了稀释倍数法、污染物消减系数法和水域纳污能力实测法分别计算高氯酸盐污染物排放标准限值，具体如下：</w:t>
      </w:r>
    </w:p>
    <w:p>
      <w:pPr>
        <w:pStyle w:val="3"/>
        <w:spacing w:line="360" w:lineRule="auto"/>
        <w:ind w:left="0" w:firstLine="48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（1）稀释倍数法</w:t>
      </w:r>
    </w:p>
    <w:p>
      <w:pPr>
        <w:pStyle w:val="3"/>
        <w:spacing w:line="360" w:lineRule="auto"/>
        <w:ind w:left="0" w:firstLine="48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流域水污染物排放标准制订技术导则》（HJ945.3-2020）规定，“根据流域近五年环境水体特征和实际调查数据，测算水体稀释倍数，以水环境质量改善目标浓度限值与稀释倍数的乘积作为流域水污染物排放标准的浓度限值”。</w:t>
      </w:r>
      <w:r>
        <w:rPr>
          <w:rFonts w:hint="eastAsia" w:ascii="Times New Roman" w:hAnsi="Times New Roman" w:cs="Times New Roman"/>
          <w:color w:val="000000"/>
          <w:sz w:val="32"/>
          <w:szCs w:val="32"/>
          <w:lang w:eastAsia="zh-CN"/>
        </w:rPr>
        <w:t>本文件</w:t>
      </w:r>
      <w:r>
        <w:rPr>
          <w:rFonts w:ascii="Times New Roman" w:hAnsi="Times New Roman" w:cs="Times New Roman"/>
          <w:color w:val="000000"/>
          <w:sz w:val="32"/>
          <w:szCs w:val="32"/>
          <w:lang w:eastAsia="zh-CN"/>
        </w:rPr>
        <w:t>以《生活饮用水卫生标准》（GB 5749-2022）规定高氯酸盐浓度限值0.07 mg/L为水环境质量改善目标浓度限值，按排放标准取质量标准的5～20倍取值，得到企业总排口浓度限值在0.35-1.4 mg/L。</w:t>
      </w:r>
    </w:p>
    <w:p>
      <w:pPr>
        <w:pStyle w:val="3"/>
        <w:spacing w:line="360" w:lineRule="auto"/>
        <w:ind w:left="0" w:firstLine="48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（2）污染物综合消减系数法</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流域水污染物排放标准制订技术导则》（HJ945.3-2020）规定，“当流域水流稳定时，根据流域近五年上、下断面水质监测资料，以及排污口和支流加入的水流的水质监测资料和相应的水量资料，测算污染物综合消减系数”。</w:t>
      </w:r>
      <w:r>
        <w:rPr>
          <w:rFonts w:hint="eastAsia" w:ascii="Times New Roman" w:hAnsi="Times New Roman" w:cs="Times New Roman"/>
          <w:color w:val="000000"/>
          <w:sz w:val="32"/>
          <w:szCs w:val="32"/>
          <w:lang w:eastAsia="zh-CN"/>
        </w:rPr>
        <w:t>本测算方法</w:t>
      </w:r>
      <w:r>
        <w:rPr>
          <w:rFonts w:hint="eastAsia" w:ascii="Times New Roman" w:hAnsi="Times New Roman"/>
          <w:sz w:val="32"/>
          <w:szCs w:val="32"/>
          <w:lang w:eastAsia="zh-CN"/>
        </w:rPr>
        <w:t>按“从严管控、守住底线”原则，取高氯酸盐污染物综合衰减系数为</w:t>
      </w:r>
      <w:r>
        <w:rPr>
          <w:rFonts w:ascii="Times New Roman" w:hAnsi="Times New Roman"/>
          <w:sz w:val="32"/>
          <w:szCs w:val="32"/>
          <w:lang w:eastAsia="zh-CN"/>
        </w:rPr>
        <w:t>0</w:t>
      </w:r>
      <w:r>
        <w:rPr>
          <w:rFonts w:hint="eastAsia" w:ascii="Times New Roman" w:hAnsi="Times New Roman"/>
          <w:sz w:val="32"/>
          <w:szCs w:val="32"/>
          <w:lang w:eastAsia="zh-CN"/>
        </w:rPr>
        <w:t>，取各流域90%保证率月平均最枯水量，取流域范围内所有涉高氯酸盐工业企业每天最大排水量总和等极端条件，按水环境质量改善目标0.07 mg/L要求，根据导则计算公式和相关流量数据测算，得到烟花爆竹企业污染物排放限值范围为2.45-4.18 mg/L，高氯酸盐生产企业污染物排放限值范围为1.08-4.87 mg/L。</w:t>
      </w:r>
    </w:p>
    <w:p>
      <w:pPr>
        <w:pStyle w:val="3"/>
        <w:spacing w:line="360" w:lineRule="auto"/>
        <w:ind w:left="0" w:firstLine="48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（3）水域纳污能力</w:t>
      </w:r>
      <w:r>
        <w:rPr>
          <w:rFonts w:hint="eastAsia" w:ascii="Times New Roman" w:hAnsi="Times New Roman" w:cs="Times New Roman"/>
          <w:b/>
          <w:bCs/>
          <w:color w:val="000000"/>
          <w:sz w:val="32"/>
          <w:szCs w:val="32"/>
          <w:lang w:eastAsia="zh-CN"/>
        </w:rPr>
        <w:t>实测法</w:t>
      </w:r>
    </w:p>
    <w:p>
      <w:pPr>
        <w:pStyle w:val="3"/>
        <w:spacing w:line="360" w:lineRule="auto"/>
        <w:ind w:left="0" w:firstLine="640" w:firstLineChars="200"/>
        <w:jc w:val="both"/>
        <w:rPr>
          <w:rFonts w:ascii="Times New Roman" w:hAnsi="Times New Roman" w:cs="Times New Roman"/>
          <w:color w:val="000000"/>
          <w:sz w:val="28"/>
          <w:szCs w:val="28"/>
          <w:lang w:eastAsia="zh-CN"/>
        </w:rPr>
      </w:pPr>
      <w:r>
        <w:rPr>
          <w:rFonts w:ascii="Times New Roman" w:hAnsi="Times New Roman" w:cs="Times New Roman"/>
          <w:color w:val="000000"/>
          <w:sz w:val="32"/>
          <w:szCs w:val="32"/>
          <w:lang w:eastAsia="zh-CN"/>
        </w:rPr>
        <w:t>根据《水域纳污能力计算规程》（GB/T 25173-2010）规定“污染物在河段横断面上均匀混合，可采用河流一维模型计算水域纳污能力，主要适用于Q≤150 m</w:t>
      </w:r>
      <w:r>
        <w:rPr>
          <w:rFonts w:ascii="Times New Roman" w:hAnsi="Times New Roman" w:cs="Times New Roman"/>
          <w:color w:val="000000"/>
          <w:sz w:val="32"/>
          <w:szCs w:val="32"/>
          <w:vertAlign w:val="superscript"/>
          <w:lang w:eastAsia="zh-CN"/>
        </w:rPr>
        <w:t>3</w:t>
      </w:r>
      <w:r>
        <w:rPr>
          <w:rFonts w:ascii="Times New Roman" w:hAnsi="Times New Roman" w:cs="Times New Roman"/>
          <w:color w:val="000000"/>
          <w:sz w:val="32"/>
          <w:szCs w:val="32"/>
          <w:lang w:eastAsia="zh-CN"/>
        </w:rPr>
        <w:t>/s的中小型河段”。</w:t>
      </w:r>
      <w:r>
        <w:rPr>
          <w:rFonts w:hint="eastAsia" w:ascii="Times New Roman" w:hAnsi="Times New Roman"/>
          <w:sz w:val="32"/>
          <w:szCs w:val="32"/>
          <w:lang w:eastAsia="zh-CN"/>
        </w:rPr>
        <w:t>基于高氯酸盐高稳定性、易扩散性和持久性的化学性质，本测算方法重点考虑流量较小、水质净化技术单一且监管环节薄弱的乡镇集中式生活饮用水水源地。</w:t>
      </w:r>
      <w:r>
        <w:rPr>
          <w:rFonts w:ascii="Times New Roman" w:hAnsi="Times New Roman"/>
          <w:sz w:val="32"/>
          <w:szCs w:val="32"/>
          <w:lang w:eastAsia="zh-CN"/>
        </w:rPr>
        <w:t>实测浏阳、醴陵饮用水源地河宽、水深、流速以及高氯酸盐背景浓度等参数，通过排查饮用水</w:t>
      </w:r>
      <w:r>
        <w:rPr>
          <w:rFonts w:hint="eastAsia" w:ascii="Times New Roman" w:hAnsi="Times New Roman"/>
          <w:sz w:val="32"/>
          <w:szCs w:val="32"/>
          <w:lang w:eastAsia="zh-CN"/>
        </w:rPr>
        <w:t>水</w:t>
      </w:r>
      <w:r>
        <w:rPr>
          <w:rFonts w:ascii="Times New Roman" w:hAnsi="Times New Roman"/>
          <w:sz w:val="32"/>
          <w:szCs w:val="32"/>
          <w:lang w:eastAsia="zh-CN"/>
        </w:rPr>
        <w:t>源地周边烟花爆竹企业数量及规模，确定该饮用水</w:t>
      </w:r>
      <w:r>
        <w:rPr>
          <w:rFonts w:hint="eastAsia" w:ascii="Times New Roman" w:hAnsi="Times New Roman"/>
          <w:sz w:val="32"/>
          <w:szCs w:val="32"/>
          <w:lang w:eastAsia="zh-CN"/>
        </w:rPr>
        <w:t>水</w:t>
      </w:r>
      <w:r>
        <w:rPr>
          <w:rFonts w:ascii="Times New Roman" w:hAnsi="Times New Roman"/>
          <w:sz w:val="32"/>
          <w:szCs w:val="32"/>
          <w:lang w:eastAsia="zh-CN"/>
        </w:rPr>
        <w:t>源地剩余纳污能力，得到企业总排口污染物排放限值范围为</w:t>
      </w:r>
      <w:r>
        <w:rPr>
          <w:rFonts w:hint="eastAsia" w:ascii="Times New Roman" w:hAnsi="Times New Roman"/>
          <w:sz w:val="32"/>
          <w:szCs w:val="32"/>
          <w:lang w:eastAsia="zh-CN"/>
        </w:rPr>
        <w:t xml:space="preserve">0.72-15.44 </w:t>
      </w:r>
      <w:r>
        <w:rPr>
          <w:rFonts w:ascii="Times New Roman" w:hAnsi="Times New Roman"/>
          <w:sz w:val="32"/>
          <w:szCs w:val="32"/>
          <w:lang w:eastAsia="zh-CN"/>
        </w:rPr>
        <w:t>mg/L</w:t>
      </w:r>
      <w:r>
        <w:rPr>
          <w:rFonts w:ascii="Times New Roman" w:hAnsi="Times New Roman" w:cs="Times New Roman"/>
          <w:color w:val="000000"/>
          <w:sz w:val="32"/>
          <w:lang w:eastAsia="zh-CN"/>
        </w:rPr>
        <w:t>。</w:t>
      </w:r>
    </w:p>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（4）结果分析</w:t>
      </w:r>
    </w:p>
    <w:p>
      <w:pPr>
        <w:pStyle w:val="3"/>
        <w:spacing w:line="360" w:lineRule="auto"/>
        <w:ind w:left="0" w:firstLine="640" w:firstLineChars="200"/>
        <w:jc w:val="both"/>
        <w:rPr>
          <w:rFonts w:ascii="Times New Roman" w:hAnsi="Times New Roman" w:cs="Times New Roman"/>
          <w:color w:val="000000"/>
          <w:sz w:val="32"/>
          <w:szCs w:val="32"/>
          <w:lang w:eastAsia="zh-CN"/>
        </w:rPr>
      </w:pPr>
      <w:bookmarkStart w:id="120" w:name="OLE_LINK3"/>
      <w:r>
        <w:rPr>
          <w:rFonts w:ascii="Times New Roman" w:hAnsi="Times New Roman" w:cs="Times New Roman"/>
          <w:color w:val="000000"/>
          <w:sz w:val="32"/>
          <w:szCs w:val="32"/>
          <w:lang w:eastAsia="zh-CN"/>
        </w:rPr>
        <w:t>根据《流域水污染物排放标准制定技术导则》（HJ945.3-2020）和《水域纳污能力计算规程》（GB/T 25173-2010）中基于水环境质量改善目标确定排放限值的要求，</w:t>
      </w:r>
      <w:bookmarkEnd w:id="120"/>
      <w:r>
        <w:rPr>
          <w:rFonts w:ascii="Times New Roman" w:hAnsi="Times New Roman" w:cs="Times New Roman"/>
          <w:color w:val="000000"/>
          <w:sz w:val="32"/>
          <w:szCs w:val="32"/>
          <w:lang w:eastAsia="zh-CN"/>
        </w:rPr>
        <w:t>稀释倍数法、污染物消减系数法和水域纳污能力法3</w:t>
      </w:r>
      <w:r>
        <w:rPr>
          <w:rFonts w:hint="eastAsia" w:ascii="Times New Roman" w:hAnsi="Times New Roman" w:cs="Times New Roman"/>
          <w:color w:val="000000"/>
          <w:sz w:val="32"/>
          <w:szCs w:val="32"/>
          <w:lang w:eastAsia="zh-CN"/>
        </w:rPr>
        <w:t>种方法的</w:t>
      </w:r>
      <w:r>
        <w:rPr>
          <w:rFonts w:ascii="Times New Roman" w:hAnsi="Times New Roman" w:cs="Times New Roman"/>
          <w:color w:val="000000"/>
          <w:sz w:val="32"/>
          <w:szCs w:val="32"/>
          <w:lang w:eastAsia="zh-CN"/>
        </w:rPr>
        <w:t>测算</w:t>
      </w:r>
      <w:r>
        <w:rPr>
          <w:rFonts w:hint="eastAsia" w:ascii="Times New Roman" w:hAnsi="Times New Roman" w:cs="Times New Roman"/>
          <w:color w:val="000000"/>
          <w:sz w:val="32"/>
          <w:szCs w:val="32"/>
          <w:lang w:eastAsia="zh-CN"/>
        </w:rPr>
        <w:t>结果如下表所示</w:t>
      </w:r>
      <w:r>
        <w:rPr>
          <w:rFonts w:ascii="Times New Roman" w:hAnsi="Times New Roman" w:cs="Times New Roman"/>
          <w:color w:val="000000"/>
          <w:sz w:val="32"/>
          <w:szCs w:val="32"/>
          <w:lang w:eastAsia="zh-CN"/>
        </w:rPr>
        <w:t>。</w:t>
      </w:r>
    </w:p>
    <w:p>
      <w:pPr>
        <w:pStyle w:val="3"/>
        <w:spacing w:line="360" w:lineRule="auto"/>
        <w:ind w:left="0"/>
        <w:jc w:val="center"/>
        <w:outlineLvl w:val="4"/>
        <w:rPr>
          <w:rFonts w:ascii="Times New Roman" w:hAnsi="Times New Roman" w:cs="Times New Roman"/>
          <w:b/>
          <w:bCs/>
          <w:color w:val="000000"/>
          <w:sz w:val="30"/>
          <w:szCs w:val="30"/>
          <w:lang w:eastAsia="zh-CN"/>
        </w:rPr>
      </w:pPr>
      <w:r>
        <w:rPr>
          <w:rFonts w:ascii="Times New Roman" w:hAnsi="Times New Roman" w:cs="Times New Roman"/>
          <w:b/>
          <w:bCs/>
          <w:color w:val="000000"/>
          <w:sz w:val="30"/>
          <w:szCs w:val="30"/>
          <w:lang w:eastAsia="zh-CN"/>
        </w:rPr>
        <w:t>表</w:t>
      </w:r>
      <w:r>
        <w:rPr>
          <w:rFonts w:hint="eastAsia" w:ascii="Times New Roman" w:hAnsi="Times New Roman" w:cs="Times New Roman"/>
          <w:b/>
          <w:bCs/>
          <w:color w:val="000000"/>
          <w:sz w:val="30"/>
          <w:szCs w:val="30"/>
          <w:lang w:eastAsia="zh-CN"/>
        </w:rPr>
        <w:t>6</w:t>
      </w:r>
      <w:r>
        <w:rPr>
          <w:rFonts w:ascii="Times New Roman" w:hAnsi="Times New Roman" w:cs="Times New Roman"/>
          <w:b/>
          <w:bCs/>
          <w:color w:val="000000"/>
          <w:sz w:val="30"/>
          <w:szCs w:val="30"/>
          <w:lang w:eastAsia="zh-CN"/>
        </w:rPr>
        <w:t>-</w:t>
      </w:r>
      <w:r>
        <w:rPr>
          <w:rFonts w:hint="eastAsia" w:ascii="Times New Roman" w:hAnsi="Times New Roman" w:cs="Times New Roman"/>
          <w:b/>
          <w:bCs/>
          <w:color w:val="000000"/>
          <w:sz w:val="30"/>
          <w:szCs w:val="30"/>
          <w:lang w:val="en-US" w:eastAsia="zh-CN"/>
        </w:rPr>
        <w:t>1</w:t>
      </w:r>
      <w:r>
        <w:rPr>
          <w:rFonts w:ascii="Times New Roman" w:hAnsi="Times New Roman" w:cs="Times New Roman"/>
          <w:b/>
          <w:bCs/>
          <w:color w:val="000000"/>
          <w:sz w:val="30"/>
          <w:szCs w:val="30"/>
          <w:lang w:eastAsia="zh-CN"/>
        </w:rPr>
        <w:t xml:space="preserve"> 废水中高氯酸盐浓度限值计算结果</w:t>
      </w:r>
    </w:p>
    <w:tbl>
      <w:tblPr>
        <w:tblStyle w:val="18"/>
        <w:tblW w:w="8931" w:type="dxa"/>
        <w:tblInd w:w="-3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76"/>
        <w:gridCol w:w="1276"/>
        <w:gridCol w:w="4820"/>
        <w:gridCol w:w="155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1276" w:type="dxa"/>
            <w:vAlign w:val="center"/>
          </w:tcPr>
          <w:p>
            <w:pPr>
              <w:pStyle w:val="3"/>
              <w:spacing w:line="360" w:lineRule="auto"/>
              <w:ind w:left="0"/>
              <w:jc w:val="center"/>
              <w:outlineLvl w:val="4"/>
              <w:rPr>
                <w:rFonts w:ascii="Times New Roman" w:hAnsi="Times New Roman" w:cs="Times New Roman"/>
                <w:b/>
                <w:bCs/>
                <w:color w:val="000000"/>
                <w:spacing w:val="-1"/>
                <w:lang w:eastAsia="zh-CN"/>
              </w:rPr>
            </w:pPr>
            <w:r>
              <w:rPr>
                <w:rFonts w:ascii="Times New Roman" w:hAnsi="Times New Roman" w:cs="Times New Roman"/>
                <w:b/>
                <w:bCs/>
                <w:color w:val="000000"/>
                <w:spacing w:val="-1"/>
                <w:lang w:eastAsia="zh-CN"/>
              </w:rPr>
              <w:t>污染物</w:t>
            </w:r>
          </w:p>
        </w:tc>
        <w:tc>
          <w:tcPr>
            <w:tcW w:w="1276" w:type="dxa"/>
            <w:vAlign w:val="center"/>
          </w:tcPr>
          <w:p>
            <w:pPr>
              <w:pStyle w:val="3"/>
              <w:spacing w:line="360" w:lineRule="auto"/>
              <w:ind w:left="0"/>
              <w:jc w:val="center"/>
              <w:outlineLvl w:val="4"/>
              <w:rPr>
                <w:rFonts w:ascii="Times New Roman" w:hAnsi="Times New Roman" w:cs="Times New Roman"/>
                <w:b/>
                <w:bCs/>
                <w:color w:val="000000"/>
                <w:spacing w:val="-1"/>
                <w:lang w:eastAsia="zh-CN"/>
              </w:rPr>
            </w:pPr>
            <w:r>
              <w:rPr>
                <w:rFonts w:ascii="Times New Roman" w:hAnsi="Times New Roman" w:cs="Times New Roman"/>
                <w:b/>
                <w:bCs/>
                <w:color w:val="000000"/>
                <w:spacing w:val="-1"/>
                <w:lang w:eastAsia="zh-CN"/>
              </w:rPr>
              <w:t>计算对象</w:t>
            </w:r>
          </w:p>
        </w:tc>
        <w:tc>
          <w:tcPr>
            <w:tcW w:w="4820" w:type="dxa"/>
            <w:vAlign w:val="center"/>
          </w:tcPr>
          <w:p>
            <w:pPr>
              <w:pStyle w:val="3"/>
              <w:spacing w:line="360" w:lineRule="auto"/>
              <w:ind w:left="0"/>
              <w:jc w:val="center"/>
              <w:outlineLvl w:val="4"/>
              <w:rPr>
                <w:rFonts w:ascii="Times New Roman" w:hAnsi="Times New Roman" w:cs="Times New Roman"/>
                <w:b/>
                <w:bCs/>
                <w:color w:val="000000"/>
                <w:spacing w:val="-1"/>
                <w:lang w:eastAsia="zh-CN"/>
              </w:rPr>
            </w:pPr>
            <w:r>
              <w:rPr>
                <w:rFonts w:ascii="Times New Roman" w:hAnsi="Times New Roman" w:cs="Times New Roman"/>
                <w:b/>
                <w:bCs/>
                <w:color w:val="000000"/>
                <w:spacing w:val="-1"/>
                <w:lang w:eastAsia="zh-CN"/>
              </w:rPr>
              <w:t>计算方法</w:t>
            </w:r>
          </w:p>
        </w:tc>
        <w:tc>
          <w:tcPr>
            <w:tcW w:w="1559" w:type="dxa"/>
            <w:vAlign w:val="center"/>
          </w:tcPr>
          <w:p>
            <w:pPr>
              <w:pStyle w:val="3"/>
              <w:spacing w:line="360" w:lineRule="auto"/>
              <w:ind w:left="0"/>
              <w:jc w:val="center"/>
              <w:outlineLvl w:val="4"/>
              <w:rPr>
                <w:rFonts w:ascii="Times New Roman" w:hAnsi="Times New Roman" w:cs="Times New Roman"/>
                <w:b/>
                <w:bCs/>
                <w:color w:val="000000"/>
                <w:spacing w:val="-1"/>
                <w:lang w:eastAsia="zh-CN"/>
              </w:rPr>
            </w:pPr>
            <w:r>
              <w:rPr>
                <w:rFonts w:ascii="Times New Roman" w:hAnsi="Times New Roman" w:cs="Times New Roman"/>
                <w:b/>
                <w:bCs/>
                <w:color w:val="000000"/>
                <w:spacing w:val="-1"/>
                <w:lang w:eastAsia="zh-CN"/>
              </w:rPr>
              <w:t>计算值（mg/L）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trPr>
        <w:tc>
          <w:tcPr>
            <w:tcW w:w="1276" w:type="dxa"/>
            <w:vMerge w:val="restart"/>
            <w:vAlign w:val="center"/>
          </w:tcPr>
          <w:p>
            <w:pPr>
              <w:pStyle w:val="3"/>
              <w:spacing w:line="360" w:lineRule="auto"/>
              <w:ind w:left="0"/>
              <w:jc w:val="center"/>
              <w:outlineLvl w:val="4"/>
              <w:rPr>
                <w:rFonts w:ascii="Times New Roman" w:hAnsi="Times New Roman" w:cs="Times New Roman"/>
                <w:color w:val="000000"/>
                <w:spacing w:val="-1"/>
                <w:lang w:eastAsia="zh-CN"/>
              </w:rPr>
            </w:pPr>
            <w:r>
              <w:rPr>
                <w:rFonts w:ascii="Times New Roman" w:hAnsi="Times New Roman" w:cs="Times New Roman"/>
                <w:color w:val="000000"/>
                <w:spacing w:val="-1"/>
                <w:lang w:eastAsia="zh-CN"/>
              </w:rPr>
              <w:t>高氯酸盐</w:t>
            </w:r>
          </w:p>
        </w:tc>
        <w:tc>
          <w:tcPr>
            <w:tcW w:w="1276" w:type="dxa"/>
            <w:vMerge w:val="restart"/>
            <w:vAlign w:val="center"/>
          </w:tcPr>
          <w:p>
            <w:pPr>
              <w:pStyle w:val="3"/>
              <w:spacing w:line="360" w:lineRule="auto"/>
              <w:ind w:left="0"/>
              <w:jc w:val="center"/>
              <w:outlineLvl w:val="4"/>
              <w:rPr>
                <w:rFonts w:ascii="Times New Roman" w:hAnsi="Times New Roman" w:cs="Times New Roman"/>
                <w:color w:val="000000"/>
                <w:spacing w:val="-1"/>
                <w:lang w:eastAsia="zh-CN"/>
              </w:rPr>
            </w:pPr>
            <w:r>
              <w:rPr>
                <w:rFonts w:ascii="Times New Roman" w:hAnsi="Times New Roman" w:cs="Times New Roman"/>
                <w:color w:val="000000"/>
                <w:spacing w:val="-1"/>
                <w:lang w:eastAsia="zh-CN"/>
              </w:rPr>
              <w:t>涉高氯酸盐企业</w:t>
            </w:r>
          </w:p>
        </w:tc>
        <w:tc>
          <w:tcPr>
            <w:tcW w:w="4820" w:type="dxa"/>
            <w:vAlign w:val="center"/>
          </w:tcPr>
          <w:p>
            <w:pPr>
              <w:pStyle w:val="3"/>
              <w:spacing w:line="360" w:lineRule="auto"/>
              <w:ind w:left="0"/>
              <w:jc w:val="center"/>
              <w:outlineLvl w:val="4"/>
              <w:rPr>
                <w:rFonts w:ascii="Times New Roman" w:hAnsi="Times New Roman" w:cs="Times New Roman"/>
                <w:color w:val="000000"/>
                <w:spacing w:val="-1"/>
                <w:lang w:eastAsia="zh-CN"/>
              </w:rPr>
            </w:pPr>
            <w:r>
              <w:rPr>
                <w:rFonts w:ascii="Times New Roman" w:hAnsi="Times New Roman" w:cs="Times New Roman"/>
                <w:color w:val="000000"/>
                <w:spacing w:val="-1"/>
                <w:lang w:eastAsia="zh-CN"/>
              </w:rPr>
              <w:t>稀释倍数法（5-20倍）</w:t>
            </w:r>
          </w:p>
        </w:tc>
        <w:tc>
          <w:tcPr>
            <w:tcW w:w="1559" w:type="dxa"/>
            <w:vAlign w:val="center"/>
          </w:tcPr>
          <w:p>
            <w:pPr>
              <w:pStyle w:val="3"/>
              <w:spacing w:line="360" w:lineRule="auto"/>
              <w:ind w:left="0"/>
              <w:jc w:val="center"/>
              <w:outlineLvl w:val="4"/>
              <w:rPr>
                <w:rFonts w:ascii="Times New Roman" w:hAnsi="Times New Roman" w:cs="Times New Roman"/>
                <w:b/>
                <w:bCs/>
                <w:color w:val="000000"/>
                <w:spacing w:val="-1"/>
                <w:lang w:eastAsia="zh-CN"/>
              </w:rPr>
            </w:pPr>
            <w:r>
              <w:rPr>
                <w:rFonts w:ascii="Times New Roman" w:hAnsi="Times New Roman" w:cs="Times New Roman"/>
                <w:b/>
                <w:bCs/>
                <w:color w:val="000000"/>
                <w:spacing w:val="-1"/>
                <w:lang w:eastAsia="zh-CN"/>
              </w:rPr>
              <w:t>0.35-1.40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 w:hRule="atLeast"/>
        </w:trPr>
        <w:tc>
          <w:tcPr>
            <w:tcW w:w="1276" w:type="dxa"/>
            <w:vMerge w:val="continue"/>
            <w:vAlign w:val="center"/>
          </w:tcPr>
          <w:p>
            <w:pPr>
              <w:pStyle w:val="3"/>
              <w:spacing w:line="360" w:lineRule="auto"/>
              <w:ind w:left="0"/>
              <w:jc w:val="center"/>
              <w:outlineLvl w:val="4"/>
              <w:rPr>
                <w:rFonts w:ascii="Times New Roman" w:hAnsi="Times New Roman" w:cs="Times New Roman"/>
                <w:color w:val="000000"/>
                <w:spacing w:val="-1"/>
                <w:lang w:eastAsia="zh-CN"/>
              </w:rPr>
            </w:pPr>
          </w:p>
        </w:tc>
        <w:tc>
          <w:tcPr>
            <w:tcW w:w="1276" w:type="dxa"/>
            <w:vMerge w:val="continue"/>
            <w:vAlign w:val="center"/>
          </w:tcPr>
          <w:p>
            <w:pPr>
              <w:pStyle w:val="3"/>
              <w:spacing w:line="360" w:lineRule="auto"/>
              <w:ind w:left="0"/>
              <w:jc w:val="center"/>
              <w:outlineLvl w:val="4"/>
              <w:rPr>
                <w:rFonts w:ascii="Times New Roman" w:hAnsi="Times New Roman" w:cs="Times New Roman"/>
                <w:color w:val="000000"/>
                <w:spacing w:val="-1"/>
                <w:lang w:eastAsia="zh-CN"/>
              </w:rPr>
            </w:pPr>
          </w:p>
        </w:tc>
        <w:tc>
          <w:tcPr>
            <w:tcW w:w="4820" w:type="dxa"/>
            <w:vAlign w:val="center"/>
          </w:tcPr>
          <w:p>
            <w:pPr>
              <w:pStyle w:val="3"/>
              <w:spacing w:line="360" w:lineRule="auto"/>
              <w:ind w:left="0"/>
              <w:jc w:val="center"/>
              <w:outlineLvl w:val="4"/>
              <w:rPr>
                <w:rFonts w:ascii="Times New Roman" w:hAnsi="Times New Roman" w:cs="Times New Roman"/>
                <w:color w:val="000000"/>
                <w:spacing w:val="-1"/>
                <w:lang w:eastAsia="zh-CN"/>
              </w:rPr>
            </w:pPr>
            <w:r>
              <w:rPr>
                <w:rFonts w:ascii="Times New Roman" w:hAnsi="Times New Roman" w:cs="Times New Roman"/>
                <w:color w:val="000000"/>
                <w:spacing w:val="-1"/>
                <w:lang w:eastAsia="zh-CN"/>
              </w:rPr>
              <w:t>污染物综合消减系数法（浏阳河）</w:t>
            </w:r>
          </w:p>
        </w:tc>
        <w:tc>
          <w:tcPr>
            <w:tcW w:w="1559" w:type="dxa"/>
            <w:vAlign w:val="center"/>
          </w:tcPr>
          <w:p>
            <w:pPr>
              <w:pStyle w:val="3"/>
              <w:spacing w:line="360" w:lineRule="auto"/>
              <w:ind w:left="0"/>
              <w:jc w:val="center"/>
              <w:outlineLvl w:val="4"/>
              <w:rPr>
                <w:rFonts w:ascii="Times New Roman" w:hAnsi="Times New Roman" w:cs="Times New Roman"/>
                <w:b/>
                <w:bCs/>
                <w:color w:val="000000"/>
                <w:spacing w:val="-1"/>
                <w:lang w:eastAsia="zh-CN"/>
              </w:rPr>
            </w:pPr>
            <w:r>
              <w:rPr>
                <w:rFonts w:ascii="Times New Roman" w:hAnsi="Times New Roman" w:cs="Times New Roman"/>
                <w:b/>
                <w:bCs/>
                <w:color w:val="000000"/>
                <w:spacing w:val="-1"/>
                <w:lang w:eastAsia="zh-CN"/>
              </w:rPr>
              <w:t>2.45-4.18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22" w:hRule="atLeast"/>
        </w:trPr>
        <w:tc>
          <w:tcPr>
            <w:tcW w:w="1276" w:type="dxa"/>
            <w:vMerge w:val="continue"/>
            <w:vAlign w:val="center"/>
          </w:tcPr>
          <w:p>
            <w:pPr>
              <w:pStyle w:val="3"/>
              <w:spacing w:line="360" w:lineRule="auto"/>
              <w:ind w:left="0"/>
              <w:jc w:val="center"/>
              <w:outlineLvl w:val="4"/>
              <w:rPr>
                <w:rFonts w:ascii="Times New Roman" w:hAnsi="Times New Roman" w:cs="Times New Roman"/>
                <w:color w:val="000000"/>
                <w:spacing w:val="-1"/>
                <w:lang w:eastAsia="zh-CN"/>
              </w:rPr>
            </w:pPr>
          </w:p>
        </w:tc>
        <w:tc>
          <w:tcPr>
            <w:tcW w:w="1276" w:type="dxa"/>
            <w:vMerge w:val="continue"/>
            <w:vAlign w:val="center"/>
          </w:tcPr>
          <w:p>
            <w:pPr>
              <w:pStyle w:val="3"/>
              <w:spacing w:line="360" w:lineRule="auto"/>
              <w:ind w:left="0"/>
              <w:jc w:val="center"/>
              <w:outlineLvl w:val="4"/>
              <w:rPr>
                <w:rFonts w:ascii="Times New Roman" w:hAnsi="Times New Roman" w:cs="Times New Roman"/>
                <w:color w:val="000000"/>
                <w:spacing w:val="-1"/>
                <w:lang w:eastAsia="zh-CN"/>
              </w:rPr>
            </w:pPr>
          </w:p>
        </w:tc>
        <w:tc>
          <w:tcPr>
            <w:tcW w:w="4820" w:type="dxa"/>
            <w:vAlign w:val="center"/>
          </w:tcPr>
          <w:p>
            <w:pPr>
              <w:pStyle w:val="3"/>
              <w:spacing w:line="360" w:lineRule="auto"/>
              <w:ind w:left="0"/>
              <w:jc w:val="center"/>
              <w:outlineLvl w:val="4"/>
              <w:rPr>
                <w:rFonts w:ascii="Times New Roman" w:hAnsi="Times New Roman" w:cs="Times New Roman"/>
                <w:color w:val="000000"/>
                <w:spacing w:val="-1"/>
                <w:lang w:eastAsia="zh-CN"/>
              </w:rPr>
            </w:pPr>
            <w:r>
              <w:rPr>
                <w:rFonts w:ascii="Times New Roman" w:hAnsi="Times New Roman" w:cs="Times New Roman"/>
                <w:color w:val="000000"/>
                <w:spacing w:val="-1"/>
                <w:lang w:eastAsia="zh-CN"/>
              </w:rPr>
              <w:t>水域纳污能力计算法（乡镇级饮用水源地）</w:t>
            </w:r>
          </w:p>
        </w:tc>
        <w:tc>
          <w:tcPr>
            <w:tcW w:w="1559" w:type="dxa"/>
            <w:vAlign w:val="center"/>
          </w:tcPr>
          <w:p>
            <w:pPr>
              <w:pStyle w:val="3"/>
              <w:spacing w:line="360" w:lineRule="auto"/>
              <w:ind w:left="0"/>
              <w:jc w:val="center"/>
              <w:outlineLvl w:val="4"/>
              <w:rPr>
                <w:rFonts w:ascii="Times New Roman" w:hAnsi="Times New Roman" w:cs="Times New Roman"/>
                <w:b/>
                <w:bCs/>
                <w:color w:val="000000"/>
                <w:spacing w:val="-1"/>
                <w:lang w:eastAsia="zh-CN"/>
              </w:rPr>
            </w:pPr>
            <w:r>
              <w:rPr>
                <w:rFonts w:hint="eastAsia" w:ascii="Times New Roman" w:hAnsi="Times New Roman" w:cs="Times New Roman"/>
                <w:b/>
                <w:bCs/>
                <w:color w:val="000000"/>
                <w:spacing w:val="-1"/>
                <w:lang w:eastAsia="zh-CN"/>
              </w:rPr>
              <w:t>0.72</w:t>
            </w:r>
            <w:r>
              <w:rPr>
                <w:rFonts w:ascii="Times New Roman" w:hAnsi="Times New Roman" w:cs="Times New Roman"/>
                <w:b/>
                <w:bCs/>
                <w:color w:val="000000"/>
                <w:spacing w:val="-1"/>
                <w:lang w:eastAsia="zh-CN"/>
              </w:rPr>
              <w:t>-1</w:t>
            </w:r>
            <w:r>
              <w:rPr>
                <w:rFonts w:hint="eastAsia" w:ascii="Times New Roman" w:hAnsi="Times New Roman" w:cs="Times New Roman"/>
                <w:b/>
                <w:bCs/>
                <w:color w:val="000000"/>
                <w:spacing w:val="-1"/>
                <w:lang w:eastAsia="zh-CN"/>
              </w:rPr>
              <w:t>5</w:t>
            </w:r>
            <w:r>
              <w:rPr>
                <w:rFonts w:ascii="Times New Roman" w:hAnsi="Times New Roman" w:cs="Times New Roman"/>
                <w:b/>
                <w:bCs/>
                <w:color w:val="000000"/>
                <w:spacing w:val="-1"/>
                <w:lang w:eastAsia="zh-CN"/>
              </w:rPr>
              <w:t>.44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2" w:hRule="atLeast"/>
        </w:trPr>
        <w:tc>
          <w:tcPr>
            <w:tcW w:w="1276" w:type="dxa"/>
            <w:vMerge w:val="continue"/>
            <w:vAlign w:val="center"/>
          </w:tcPr>
          <w:p>
            <w:pPr>
              <w:pStyle w:val="3"/>
              <w:spacing w:line="360" w:lineRule="auto"/>
              <w:ind w:left="0"/>
              <w:jc w:val="center"/>
              <w:outlineLvl w:val="4"/>
              <w:rPr>
                <w:rFonts w:ascii="Times New Roman" w:hAnsi="Times New Roman" w:cs="Times New Roman"/>
                <w:color w:val="000000"/>
                <w:spacing w:val="-1"/>
                <w:lang w:eastAsia="zh-CN"/>
              </w:rPr>
            </w:pPr>
          </w:p>
        </w:tc>
        <w:tc>
          <w:tcPr>
            <w:tcW w:w="1276" w:type="dxa"/>
            <w:vMerge w:val="continue"/>
            <w:vAlign w:val="center"/>
          </w:tcPr>
          <w:p>
            <w:pPr>
              <w:pStyle w:val="3"/>
              <w:spacing w:line="360" w:lineRule="auto"/>
              <w:ind w:left="0"/>
              <w:jc w:val="center"/>
              <w:outlineLvl w:val="4"/>
              <w:rPr>
                <w:rFonts w:ascii="Times New Roman" w:hAnsi="Times New Roman" w:cs="Times New Roman"/>
                <w:color w:val="000000"/>
                <w:spacing w:val="-1"/>
                <w:lang w:eastAsia="zh-CN"/>
              </w:rPr>
            </w:pPr>
          </w:p>
        </w:tc>
        <w:tc>
          <w:tcPr>
            <w:tcW w:w="4820" w:type="dxa"/>
            <w:vAlign w:val="center"/>
          </w:tcPr>
          <w:p>
            <w:pPr>
              <w:pStyle w:val="3"/>
              <w:spacing w:line="360" w:lineRule="auto"/>
              <w:ind w:left="0"/>
              <w:jc w:val="center"/>
              <w:outlineLvl w:val="4"/>
              <w:rPr>
                <w:rFonts w:ascii="Times New Roman" w:hAnsi="Times New Roman" w:cs="Times New Roman"/>
                <w:color w:val="000000"/>
                <w:spacing w:val="-1"/>
                <w:lang w:eastAsia="zh-CN"/>
              </w:rPr>
            </w:pPr>
            <w:r>
              <w:rPr>
                <w:rFonts w:ascii="Times New Roman" w:hAnsi="Times New Roman" w:cs="Times New Roman"/>
                <w:color w:val="000000"/>
                <w:spacing w:val="-1"/>
                <w:lang w:eastAsia="zh-CN"/>
              </w:rPr>
              <w:t>污染物综合消减系数法（洣水）</w:t>
            </w:r>
          </w:p>
        </w:tc>
        <w:tc>
          <w:tcPr>
            <w:tcW w:w="1559" w:type="dxa"/>
            <w:vAlign w:val="center"/>
          </w:tcPr>
          <w:p>
            <w:pPr>
              <w:pStyle w:val="3"/>
              <w:spacing w:line="360" w:lineRule="auto"/>
              <w:ind w:left="0"/>
              <w:jc w:val="center"/>
              <w:outlineLvl w:val="4"/>
              <w:rPr>
                <w:rFonts w:ascii="Times New Roman" w:hAnsi="Times New Roman" w:cs="Times New Roman"/>
                <w:b/>
                <w:bCs/>
                <w:color w:val="000000"/>
                <w:spacing w:val="-1"/>
                <w:lang w:eastAsia="zh-CN"/>
              </w:rPr>
            </w:pPr>
            <w:r>
              <w:rPr>
                <w:rFonts w:hint="eastAsia" w:ascii="Times New Roman" w:hAnsi="Times New Roman" w:cs="Times New Roman"/>
                <w:b/>
                <w:bCs/>
                <w:color w:val="000000"/>
                <w:spacing w:val="-1"/>
                <w:lang w:eastAsia="zh-CN"/>
              </w:rPr>
              <w:t>1</w:t>
            </w:r>
            <w:r>
              <w:rPr>
                <w:rFonts w:ascii="Times New Roman" w:hAnsi="Times New Roman" w:cs="Times New Roman"/>
                <w:b/>
                <w:bCs/>
                <w:color w:val="000000"/>
                <w:spacing w:val="-1"/>
                <w:lang w:eastAsia="zh-CN"/>
              </w:rPr>
              <w:t>.0</w:t>
            </w:r>
            <w:r>
              <w:rPr>
                <w:rFonts w:hint="eastAsia" w:ascii="Times New Roman" w:hAnsi="Times New Roman" w:cs="Times New Roman"/>
                <w:b/>
                <w:bCs/>
                <w:color w:val="000000"/>
                <w:spacing w:val="-1"/>
                <w:lang w:eastAsia="zh-CN"/>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2" w:hRule="atLeast"/>
        </w:trPr>
        <w:tc>
          <w:tcPr>
            <w:tcW w:w="1276" w:type="dxa"/>
            <w:vMerge w:val="continue"/>
            <w:vAlign w:val="center"/>
          </w:tcPr>
          <w:p>
            <w:pPr>
              <w:pStyle w:val="3"/>
              <w:spacing w:line="360" w:lineRule="auto"/>
              <w:ind w:left="0"/>
              <w:jc w:val="center"/>
              <w:outlineLvl w:val="4"/>
              <w:rPr>
                <w:rFonts w:ascii="Times New Roman" w:hAnsi="Times New Roman" w:cs="Times New Roman"/>
                <w:color w:val="000000"/>
                <w:spacing w:val="-1"/>
                <w:lang w:eastAsia="zh-CN"/>
              </w:rPr>
            </w:pPr>
          </w:p>
        </w:tc>
        <w:tc>
          <w:tcPr>
            <w:tcW w:w="1276" w:type="dxa"/>
            <w:vMerge w:val="continue"/>
            <w:vAlign w:val="center"/>
          </w:tcPr>
          <w:p>
            <w:pPr>
              <w:pStyle w:val="3"/>
              <w:spacing w:line="360" w:lineRule="auto"/>
              <w:ind w:left="0"/>
              <w:jc w:val="center"/>
              <w:outlineLvl w:val="4"/>
              <w:rPr>
                <w:rFonts w:ascii="Times New Roman" w:hAnsi="Times New Roman" w:cs="Times New Roman"/>
                <w:color w:val="000000"/>
                <w:spacing w:val="-1"/>
                <w:lang w:eastAsia="zh-CN"/>
              </w:rPr>
            </w:pPr>
          </w:p>
        </w:tc>
        <w:tc>
          <w:tcPr>
            <w:tcW w:w="4820" w:type="dxa"/>
            <w:vAlign w:val="center"/>
          </w:tcPr>
          <w:p>
            <w:pPr>
              <w:pStyle w:val="3"/>
              <w:spacing w:line="360" w:lineRule="auto"/>
              <w:ind w:left="0"/>
              <w:jc w:val="center"/>
              <w:outlineLvl w:val="4"/>
              <w:rPr>
                <w:rFonts w:ascii="Times New Roman" w:hAnsi="Times New Roman" w:cs="Times New Roman"/>
                <w:color w:val="000000"/>
                <w:spacing w:val="-1"/>
                <w:lang w:eastAsia="zh-CN"/>
              </w:rPr>
            </w:pPr>
            <w:r>
              <w:rPr>
                <w:rFonts w:ascii="Times New Roman" w:hAnsi="Times New Roman" w:cs="Times New Roman"/>
                <w:color w:val="000000"/>
                <w:spacing w:val="-1"/>
                <w:lang w:eastAsia="zh-CN"/>
              </w:rPr>
              <w:t>污染物综合消减系数法（涟水）</w:t>
            </w:r>
          </w:p>
        </w:tc>
        <w:tc>
          <w:tcPr>
            <w:tcW w:w="1559" w:type="dxa"/>
            <w:vAlign w:val="center"/>
          </w:tcPr>
          <w:p>
            <w:pPr>
              <w:pStyle w:val="3"/>
              <w:spacing w:line="360" w:lineRule="auto"/>
              <w:ind w:left="0"/>
              <w:jc w:val="center"/>
              <w:outlineLvl w:val="4"/>
              <w:rPr>
                <w:rFonts w:ascii="Times New Roman" w:hAnsi="Times New Roman" w:cs="Times New Roman"/>
                <w:b/>
                <w:bCs/>
                <w:color w:val="000000"/>
                <w:spacing w:val="-1"/>
                <w:lang w:eastAsia="zh-CN"/>
              </w:rPr>
            </w:pPr>
            <w:r>
              <w:rPr>
                <w:rFonts w:hint="eastAsia" w:ascii="Times New Roman" w:hAnsi="Times New Roman" w:cs="Times New Roman"/>
                <w:b/>
                <w:bCs/>
                <w:color w:val="000000"/>
                <w:spacing w:val="-1"/>
                <w:lang w:eastAsia="zh-CN"/>
              </w:rPr>
              <w:t>4</w:t>
            </w:r>
            <w:r>
              <w:rPr>
                <w:rFonts w:ascii="Times New Roman" w:hAnsi="Times New Roman" w:cs="Times New Roman"/>
                <w:b/>
                <w:bCs/>
                <w:color w:val="000000"/>
                <w:spacing w:val="-1"/>
                <w:lang w:eastAsia="zh-CN"/>
              </w:rPr>
              <w:t>.</w:t>
            </w:r>
            <w:r>
              <w:rPr>
                <w:rFonts w:hint="eastAsia" w:ascii="Times New Roman" w:hAnsi="Times New Roman" w:cs="Times New Roman"/>
                <w:b/>
                <w:bCs/>
                <w:color w:val="000000"/>
                <w:spacing w:val="-1"/>
                <w:lang w:eastAsia="zh-CN"/>
              </w:rPr>
              <w:t>8</w:t>
            </w:r>
            <w:r>
              <w:rPr>
                <w:rFonts w:ascii="Times New Roman" w:hAnsi="Times New Roman" w:cs="Times New Roman"/>
                <w:b/>
                <w:bCs/>
                <w:color w:val="000000"/>
                <w:spacing w:val="-1"/>
                <w:lang w:eastAsia="zh-CN"/>
              </w:rPr>
              <w:t>7</w:t>
            </w:r>
          </w:p>
        </w:tc>
      </w:tr>
    </w:tbl>
    <w:p>
      <w:pPr>
        <w:pStyle w:val="3"/>
        <w:spacing w:line="360" w:lineRule="auto"/>
        <w:ind w:left="0" w:firstLine="48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综上，根据污染物综合消减系数法和</w:t>
      </w:r>
      <w:r>
        <w:rPr>
          <w:rFonts w:ascii="Times New Roman" w:hAnsi="Times New Roman" w:cs="Times New Roman"/>
          <w:color w:val="000000"/>
          <w:sz w:val="32"/>
          <w:szCs w:val="32"/>
          <w:lang w:eastAsia="zh-CN"/>
        </w:rPr>
        <w:t>水域纳污能力实测法</w:t>
      </w:r>
      <w:r>
        <w:rPr>
          <w:rFonts w:hint="eastAsia" w:ascii="Times New Roman" w:hAnsi="Times New Roman" w:cs="Times New Roman"/>
          <w:color w:val="000000"/>
          <w:sz w:val="32"/>
          <w:szCs w:val="32"/>
          <w:lang w:eastAsia="zh-CN"/>
        </w:rPr>
        <w:t>测算烟花爆竹企业</w:t>
      </w:r>
      <w:r>
        <w:rPr>
          <w:rFonts w:ascii="Times New Roman" w:hAnsi="Times New Roman" w:cs="Times New Roman"/>
          <w:color w:val="000000"/>
          <w:sz w:val="32"/>
          <w:szCs w:val="32"/>
          <w:lang w:eastAsia="zh-CN"/>
        </w:rPr>
        <w:t>的排放限值范围为</w:t>
      </w:r>
      <w:r>
        <w:rPr>
          <w:rFonts w:hint="eastAsia" w:ascii="Times New Roman" w:hAnsi="Times New Roman" w:cs="Times New Roman"/>
          <w:color w:val="000000"/>
          <w:sz w:val="32"/>
          <w:szCs w:val="32"/>
          <w:lang w:eastAsia="zh-CN"/>
        </w:rPr>
        <w:t>0.72-15.44</w:t>
      </w:r>
      <w:r>
        <w:rPr>
          <w:rFonts w:ascii="Times New Roman" w:hAnsi="Times New Roman" w:cs="Times New Roman"/>
          <w:color w:val="000000"/>
          <w:sz w:val="32"/>
          <w:szCs w:val="32"/>
          <w:lang w:eastAsia="zh-CN"/>
        </w:rPr>
        <w:t xml:space="preserve"> mg/L</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测算高氯酸盐生产企业的排放限值范围为</w:t>
      </w:r>
      <w:r>
        <w:rPr>
          <w:rFonts w:hint="eastAsia" w:ascii="Times New Roman" w:hAnsi="Times New Roman" w:cs="Times New Roman"/>
          <w:color w:val="000000"/>
          <w:sz w:val="32"/>
          <w:szCs w:val="32"/>
          <w:lang w:eastAsia="zh-CN"/>
        </w:rPr>
        <w:t>1</w:t>
      </w:r>
      <w:r>
        <w:rPr>
          <w:rFonts w:ascii="Times New Roman" w:hAnsi="Times New Roman" w:cs="Times New Roman"/>
          <w:color w:val="000000"/>
          <w:sz w:val="32"/>
          <w:szCs w:val="32"/>
          <w:lang w:eastAsia="zh-CN"/>
        </w:rPr>
        <w:t>.0</w:t>
      </w:r>
      <w:r>
        <w:rPr>
          <w:rFonts w:hint="eastAsia" w:ascii="Times New Roman" w:hAnsi="Times New Roman" w:cs="Times New Roman"/>
          <w:color w:val="000000"/>
          <w:sz w:val="32"/>
          <w:szCs w:val="32"/>
          <w:lang w:eastAsia="zh-CN"/>
        </w:rPr>
        <w:t>8</w:t>
      </w:r>
      <w:r>
        <w:rPr>
          <w:rFonts w:ascii="Times New Roman" w:hAnsi="Times New Roman" w:cs="Times New Roman"/>
          <w:color w:val="000000"/>
          <w:sz w:val="32"/>
          <w:szCs w:val="32"/>
          <w:lang w:eastAsia="zh-CN"/>
        </w:rPr>
        <w:t>-</w:t>
      </w:r>
      <w:r>
        <w:rPr>
          <w:rFonts w:hint="eastAsia" w:ascii="Times New Roman" w:hAnsi="Times New Roman" w:cs="Times New Roman"/>
          <w:color w:val="000000"/>
          <w:sz w:val="32"/>
          <w:szCs w:val="32"/>
          <w:lang w:eastAsia="zh-CN"/>
        </w:rPr>
        <w:t>4</w:t>
      </w:r>
      <w:r>
        <w:rPr>
          <w:rFonts w:ascii="Times New Roman" w:hAnsi="Times New Roman" w:cs="Times New Roman"/>
          <w:color w:val="000000"/>
          <w:sz w:val="32"/>
          <w:szCs w:val="32"/>
          <w:lang w:eastAsia="zh-CN"/>
        </w:rPr>
        <w:t>.</w:t>
      </w:r>
      <w:r>
        <w:rPr>
          <w:rFonts w:hint="eastAsia" w:ascii="Times New Roman" w:hAnsi="Times New Roman" w:cs="Times New Roman"/>
          <w:color w:val="000000"/>
          <w:sz w:val="32"/>
          <w:szCs w:val="32"/>
          <w:lang w:eastAsia="zh-CN"/>
        </w:rPr>
        <w:t>8</w:t>
      </w:r>
      <w:r>
        <w:rPr>
          <w:rFonts w:ascii="Times New Roman" w:hAnsi="Times New Roman" w:cs="Times New Roman"/>
          <w:color w:val="000000"/>
          <w:sz w:val="32"/>
          <w:szCs w:val="32"/>
          <w:lang w:eastAsia="zh-CN"/>
        </w:rPr>
        <w:t>7 mg/L。</w:t>
      </w:r>
    </w:p>
    <w:p>
      <w:pPr>
        <w:pStyle w:val="3"/>
        <w:keepNext/>
        <w:spacing w:line="360" w:lineRule="auto"/>
        <w:ind w:left="0"/>
        <w:jc w:val="both"/>
        <w:outlineLvl w:val="1"/>
        <w:rPr>
          <w:rFonts w:ascii="Times New Roman" w:hAnsi="Times New Roman" w:cs="Times New Roman"/>
          <w:b/>
          <w:bCs/>
          <w:color w:val="000000"/>
          <w:sz w:val="32"/>
          <w:szCs w:val="32"/>
          <w:lang w:eastAsia="zh-CN"/>
        </w:rPr>
      </w:pPr>
      <w:bookmarkStart w:id="121" w:name="_Toc26599"/>
      <w:r>
        <w:rPr>
          <w:rFonts w:hint="eastAsia" w:ascii="Times New Roman" w:hAnsi="Times New Roman" w:cs="Times New Roman"/>
          <w:b/>
          <w:bCs/>
          <w:color w:val="000000"/>
          <w:sz w:val="32"/>
          <w:szCs w:val="32"/>
          <w:lang w:eastAsia="zh-CN"/>
        </w:rPr>
        <w:t>6</w:t>
      </w:r>
      <w:r>
        <w:rPr>
          <w:rFonts w:ascii="Times New Roman" w:hAnsi="Times New Roman" w:cs="Times New Roman"/>
          <w:b/>
          <w:bCs/>
          <w:color w:val="000000"/>
          <w:sz w:val="32"/>
          <w:szCs w:val="32"/>
          <w:lang w:eastAsia="zh-CN"/>
        </w:rPr>
        <w:t xml:space="preserve">.5 </w:t>
      </w:r>
      <w:bookmarkEnd w:id="119"/>
      <w:r>
        <w:rPr>
          <w:rFonts w:ascii="Times New Roman" w:hAnsi="Times New Roman" w:cs="Times New Roman"/>
          <w:b/>
          <w:bCs/>
          <w:color w:val="000000"/>
          <w:sz w:val="32"/>
          <w:szCs w:val="32"/>
          <w:lang w:eastAsia="zh-CN"/>
        </w:rPr>
        <w:t>标准排放限值的确定</w:t>
      </w:r>
      <w:bookmarkEnd w:id="121"/>
    </w:p>
    <w:p>
      <w:pPr>
        <w:pStyle w:val="3"/>
        <w:spacing w:line="360" w:lineRule="auto"/>
        <w:ind w:left="0" w:firstLine="640" w:firstLineChars="200"/>
        <w:jc w:val="both"/>
        <w:rPr>
          <w:rFonts w:ascii="Times New Roman" w:hAnsi="Times New Roman" w:cs="Times New Roman"/>
          <w:color w:val="000000"/>
          <w:sz w:val="32"/>
          <w:szCs w:val="32"/>
          <w:lang w:eastAsia="zh-CN"/>
        </w:rPr>
      </w:pPr>
      <w:bookmarkStart w:id="122" w:name="4.5.1本标准铊污染物排放控制要求"/>
      <w:bookmarkEnd w:id="122"/>
      <w:r>
        <w:rPr>
          <w:rFonts w:ascii="Times New Roman" w:hAnsi="Times New Roman" w:cs="Times New Roman"/>
          <w:color w:val="000000"/>
          <w:sz w:val="32"/>
          <w:szCs w:val="32"/>
          <w:lang w:eastAsia="zh-CN"/>
        </w:rPr>
        <w:t>为确保</w:t>
      </w:r>
      <w:r>
        <w:rPr>
          <w:rFonts w:hint="eastAsia" w:ascii="Times New Roman" w:hAnsi="Times New Roman" w:cs="Times New Roman"/>
          <w:color w:val="000000"/>
          <w:sz w:val="32"/>
          <w:szCs w:val="32"/>
          <w:lang w:eastAsia="zh-CN"/>
        </w:rPr>
        <w:t>涉高氯酸盐企业分布的区域县级、乡镇级</w:t>
      </w:r>
      <w:r>
        <w:rPr>
          <w:rFonts w:ascii="Times New Roman" w:hAnsi="Times New Roman" w:cs="Times New Roman"/>
          <w:color w:val="000000"/>
          <w:sz w:val="32"/>
          <w:szCs w:val="32"/>
          <w:lang w:eastAsia="zh-CN"/>
        </w:rPr>
        <w:t>饮用水水源地高氯酸盐浓度达标，综合考虑</w:t>
      </w:r>
      <w:r>
        <w:rPr>
          <w:rFonts w:hint="eastAsia" w:ascii="Times New Roman" w:hAnsi="Times New Roman" w:cs="Times New Roman"/>
          <w:color w:val="000000"/>
          <w:sz w:val="32"/>
          <w:szCs w:val="32"/>
          <w:lang w:eastAsia="zh-CN"/>
        </w:rPr>
        <w:t>废水处理技术经济可行性</w:t>
      </w:r>
      <w:r>
        <w:rPr>
          <w:rFonts w:ascii="Times New Roman" w:hAnsi="Times New Roman" w:cs="Times New Roman"/>
          <w:color w:val="000000"/>
          <w:sz w:val="32"/>
          <w:szCs w:val="32"/>
          <w:lang w:eastAsia="zh-CN"/>
        </w:rPr>
        <w:t>，取</w:t>
      </w:r>
      <w:r>
        <w:rPr>
          <w:rFonts w:hint="eastAsia" w:ascii="Times New Roman" w:hAnsi="Times New Roman" w:cs="Times New Roman"/>
          <w:color w:val="000000"/>
          <w:sz w:val="32"/>
          <w:szCs w:val="32"/>
          <w:lang w:eastAsia="zh-CN"/>
        </w:rPr>
        <w:t>测算的</w:t>
      </w:r>
      <w:r>
        <w:rPr>
          <w:rFonts w:ascii="Times New Roman" w:hAnsi="Times New Roman" w:cs="Times New Roman"/>
          <w:color w:val="000000"/>
          <w:sz w:val="32"/>
          <w:szCs w:val="32"/>
          <w:lang w:eastAsia="zh-CN"/>
        </w:rPr>
        <w:t>排放限值范围</w:t>
      </w:r>
      <w:r>
        <w:rPr>
          <w:rFonts w:hint="eastAsia" w:ascii="Times New Roman" w:hAnsi="Times New Roman" w:cs="Times New Roman"/>
          <w:color w:val="000000"/>
          <w:sz w:val="32"/>
          <w:szCs w:val="32"/>
          <w:lang w:eastAsia="zh-CN"/>
        </w:rPr>
        <w:t>中最严的值，</w:t>
      </w:r>
      <w:r>
        <w:rPr>
          <w:rFonts w:ascii="Times New Roman" w:hAnsi="Times New Roman" w:cs="Times New Roman"/>
          <w:color w:val="000000"/>
          <w:sz w:val="32"/>
          <w:szCs w:val="32"/>
          <w:lang w:eastAsia="zh-CN"/>
        </w:rPr>
        <w:t>拟定高氯酸盐生产企业排放限值为</w:t>
      </w:r>
      <w:r>
        <w:rPr>
          <w:rFonts w:hint="eastAsia" w:ascii="Times New Roman" w:hAnsi="Times New Roman" w:cs="Times New Roman"/>
          <w:color w:val="000000"/>
          <w:sz w:val="32"/>
          <w:szCs w:val="32"/>
          <w:lang w:eastAsia="zh-CN"/>
        </w:rPr>
        <w:t>1.0</w:t>
      </w:r>
      <w:r>
        <w:rPr>
          <w:rFonts w:ascii="Times New Roman" w:hAnsi="Times New Roman" w:cs="Times New Roman"/>
          <w:color w:val="000000"/>
          <w:sz w:val="32"/>
          <w:szCs w:val="32"/>
          <w:lang w:eastAsia="zh-CN"/>
        </w:rPr>
        <w:t xml:space="preserve"> mg/L；</w:t>
      </w:r>
      <w:r>
        <w:rPr>
          <w:rFonts w:hint="eastAsia" w:ascii="Times New Roman" w:hAnsi="Times New Roman" w:cs="Times New Roman"/>
          <w:color w:val="000000"/>
          <w:sz w:val="32"/>
          <w:szCs w:val="32"/>
          <w:lang w:eastAsia="zh-CN"/>
        </w:rPr>
        <w:t>烟花爆竹企业</w:t>
      </w:r>
      <w:r>
        <w:rPr>
          <w:rFonts w:ascii="Times New Roman" w:hAnsi="Times New Roman" w:cs="Times New Roman"/>
          <w:color w:val="000000"/>
          <w:sz w:val="32"/>
          <w:szCs w:val="32"/>
          <w:lang w:eastAsia="zh-CN"/>
        </w:rPr>
        <w:t>排放限值为</w:t>
      </w:r>
      <w:r>
        <w:rPr>
          <w:rFonts w:hint="eastAsia" w:ascii="Times New Roman" w:hAnsi="Times New Roman" w:cs="Times New Roman"/>
          <w:color w:val="000000"/>
          <w:sz w:val="32"/>
          <w:szCs w:val="32"/>
          <w:lang w:eastAsia="zh-CN"/>
        </w:rPr>
        <w:t xml:space="preserve">0.7 </w:t>
      </w:r>
      <w:r>
        <w:rPr>
          <w:rFonts w:ascii="Times New Roman" w:hAnsi="Times New Roman" w:cs="Times New Roman"/>
          <w:color w:val="000000"/>
          <w:sz w:val="32"/>
          <w:szCs w:val="32"/>
          <w:lang w:eastAsia="zh-CN"/>
        </w:rPr>
        <w:t>mg/L</w:t>
      </w:r>
      <w:r>
        <w:rPr>
          <w:rFonts w:hint="eastAsia" w:ascii="Times New Roman" w:hAnsi="Times New Roman" w:cs="Times New Roman"/>
          <w:color w:val="000000"/>
          <w:sz w:val="32"/>
          <w:szCs w:val="32"/>
          <w:lang w:eastAsia="zh-CN"/>
        </w:rPr>
        <w:t>。</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特别排放限值参考其他污染物排放标准与饮用水限值倍数关系，考虑最严格的要求稀释5倍，得出高氯酸盐生产企业和</w:t>
      </w:r>
      <w:r>
        <w:rPr>
          <w:rFonts w:hint="eastAsia" w:ascii="Times New Roman" w:hAnsi="Times New Roman" w:cs="Times New Roman"/>
          <w:color w:val="000000"/>
          <w:sz w:val="32"/>
          <w:szCs w:val="32"/>
          <w:lang w:eastAsia="zh-CN"/>
        </w:rPr>
        <w:t>烟花爆竹企业</w:t>
      </w:r>
      <w:r>
        <w:rPr>
          <w:rFonts w:ascii="Times New Roman" w:hAnsi="Times New Roman" w:cs="Times New Roman"/>
          <w:color w:val="000000"/>
          <w:sz w:val="32"/>
          <w:szCs w:val="32"/>
          <w:lang w:eastAsia="zh-CN"/>
        </w:rPr>
        <w:t>的特别排放限值</w:t>
      </w:r>
      <w:r>
        <w:rPr>
          <w:rFonts w:hint="eastAsia" w:ascii="Times New Roman" w:hAnsi="Times New Roman" w:cs="Times New Roman"/>
          <w:color w:val="000000"/>
          <w:sz w:val="32"/>
          <w:szCs w:val="32"/>
          <w:lang w:eastAsia="zh-CN"/>
        </w:rPr>
        <w:t>均</w:t>
      </w:r>
      <w:r>
        <w:rPr>
          <w:rFonts w:ascii="Times New Roman" w:hAnsi="Times New Roman" w:cs="Times New Roman"/>
          <w:color w:val="000000"/>
          <w:sz w:val="32"/>
          <w:szCs w:val="32"/>
          <w:lang w:eastAsia="zh-CN"/>
        </w:rPr>
        <w:t>为0.35 mg/L。</w:t>
      </w:r>
    </w:p>
    <w:p>
      <w:pPr>
        <w:pStyle w:val="3"/>
        <w:keepNext/>
        <w:spacing w:line="360" w:lineRule="auto"/>
        <w:ind w:left="0"/>
        <w:jc w:val="center"/>
        <w:outlineLvl w:val="4"/>
        <w:rPr>
          <w:rFonts w:ascii="Times New Roman" w:hAnsi="Times New Roman" w:cs="Times New Roman"/>
          <w:b/>
          <w:bCs/>
          <w:color w:val="000000"/>
          <w:sz w:val="28"/>
          <w:szCs w:val="28"/>
          <w:lang w:eastAsia="zh-CN"/>
        </w:rPr>
      </w:pPr>
      <w:r>
        <w:rPr>
          <w:rFonts w:ascii="Times New Roman" w:hAnsi="Times New Roman" w:cs="Times New Roman"/>
          <w:b/>
          <w:bCs/>
          <w:color w:val="000000"/>
          <w:sz w:val="28"/>
          <w:szCs w:val="28"/>
          <w:lang w:eastAsia="zh-CN"/>
        </w:rPr>
        <w:t>表</w:t>
      </w:r>
      <w:r>
        <w:rPr>
          <w:rFonts w:hint="eastAsia" w:ascii="Times New Roman" w:hAnsi="Times New Roman" w:cs="Times New Roman"/>
          <w:b/>
          <w:bCs/>
          <w:color w:val="000000"/>
          <w:sz w:val="28"/>
          <w:szCs w:val="28"/>
          <w:lang w:eastAsia="zh-CN"/>
        </w:rPr>
        <w:t>6</w:t>
      </w:r>
      <w:r>
        <w:rPr>
          <w:rFonts w:ascii="Times New Roman" w:hAnsi="Times New Roman" w:cs="Times New Roman"/>
          <w:b/>
          <w:bCs/>
          <w:color w:val="000000"/>
          <w:sz w:val="28"/>
          <w:szCs w:val="28"/>
          <w:lang w:eastAsia="zh-CN"/>
        </w:rPr>
        <w:t>-</w:t>
      </w:r>
      <w:r>
        <w:rPr>
          <w:rFonts w:hint="eastAsia" w:ascii="Times New Roman" w:hAnsi="Times New Roman" w:cs="Times New Roman"/>
          <w:b/>
          <w:bCs/>
          <w:color w:val="000000"/>
          <w:sz w:val="28"/>
          <w:szCs w:val="28"/>
          <w:lang w:val="en-US" w:eastAsia="zh-CN"/>
        </w:rPr>
        <w:t>2</w:t>
      </w:r>
      <w:r>
        <w:rPr>
          <w:rFonts w:ascii="Times New Roman" w:hAnsi="Times New Roman" w:cs="Times New Roman"/>
          <w:b/>
          <w:bCs/>
          <w:color w:val="000000"/>
          <w:sz w:val="28"/>
          <w:szCs w:val="28"/>
          <w:lang w:eastAsia="zh-CN"/>
        </w:rPr>
        <w:t xml:space="preserve"> 高氯酸盐污染物排放限值</w:t>
      </w:r>
    </w:p>
    <w:tbl>
      <w:tblPr>
        <w:tblStyle w:val="18"/>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34"/>
        <w:gridCol w:w="1702"/>
        <w:gridCol w:w="1842"/>
        <w:gridCol w:w="1734"/>
        <w:gridCol w:w="137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258" w:type="pct"/>
            <w:vMerge w:val="restart"/>
            <w:vAlign w:val="center"/>
          </w:tcPr>
          <w:p>
            <w:pPr>
              <w:pStyle w:val="3"/>
              <w:spacing w:line="360" w:lineRule="auto"/>
              <w:ind w:left="0"/>
              <w:jc w:val="center"/>
              <w:outlineLvl w:val="4"/>
              <w:rPr>
                <w:rFonts w:ascii="Times New Roman" w:hAnsi="Times New Roman" w:cs="Times New Roman"/>
                <w:b/>
                <w:color w:val="000000"/>
              </w:rPr>
            </w:pPr>
            <w:bookmarkStart w:id="123" w:name="_Toc18947"/>
            <w:r>
              <w:rPr>
                <w:rFonts w:ascii="Times New Roman" w:hAnsi="Times New Roman" w:cs="Times New Roman"/>
                <w:b/>
                <w:color w:val="000000"/>
                <w:spacing w:val="-1"/>
              </w:rPr>
              <w:t>行业类别</w:t>
            </w:r>
          </w:p>
        </w:tc>
        <w:tc>
          <w:tcPr>
            <w:tcW w:w="958" w:type="pct"/>
            <w:vMerge w:val="restart"/>
            <w:vAlign w:val="center"/>
          </w:tcPr>
          <w:p>
            <w:pPr>
              <w:pStyle w:val="3"/>
              <w:spacing w:line="360" w:lineRule="auto"/>
              <w:ind w:left="0"/>
              <w:jc w:val="center"/>
              <w:outlineLvl w:val="4"/>
              <w:rPr>
                <w:rFonts w:ascii="Times New Roman" w:hAnsi="Times New Roman" w:cs="Times New Roman"/>
                <w:b/>
                <w:color w:val="000000"/>
              </w:rPr>
            </w:pPr>
            <w:r>
              <w:rPr>
                <w:rFonts w:ascii="Times New Roman" w:hAnsi="Times New Roman" w:cs="Times New Roman"/>
                <w:b/>
                <w:color w:val="000000"/>
                <w:spacing w:val="-1"/>
              </w:rPr>
              <w:t>污染物项目</w:t>
            </w:r>
          </w:p>
        </w:tc>
        <w:tc>
          <w:tcPr>
            <w:tcW w:w="2013" w:type="pct"/>
            <w:gridSpan w:val="2"/>
            <w:vAlign w:val="center"/>
          </w:tcPr>
          <w:p>
            <w:pPr>
              <w:pStyle w:val="3"/>
              <w:spacing w:line="360" w:lineRule="auto"/>
              <w:ind w:left="0"/>
              <w:jc w:val="center"/>
              <w:outlineLvl w:val="4"/>
              <w:rPr>
                <w:rFonts w:ascii="Times New Roman" w:hAnsi="Times New Roman" w:cs="Times New Roman"/>
                <w:b/>
                <w:color w:val="000000"/>
                <w:spacing w:val="-1"/>
              </w:rPr>
            </w:pPr>
            <w:r>
              <w:rPr>
                <w:rFonts w:ascii="Times New Roman" w:hAnsi="Times New Roman" w:cs="Times New Roman"/>
                <w:b/>
                <w:color w:val="000000"/>
                <w:spacing w:val="-1"/>
              </w:rPr>
              <w:t>浓度限值（</w:t>
            </w:r>
            <w:r>
              <w:rPr>
                <w:rFonts w:ascii="Times New Roman" w:hAnsi="Times New Roman" w:cs="Times New Roman"/>
                <w:b/>
                <w:color w:val="000000"/>
              </w:rPr>
              <w:t>mg/L</w:t>
            </w:r>
            <w:r>
              <w:rPr>
                <w:rFonts w:ascii="Times New Roman" w:hAnsi="Times New Roman" w:cs="Times New Roman"/>
                <w:b/>
                <w:color w:val="000000"/>
                <w:spacing w:val="-1"/>
              </w:rPr>
              <w:t>）</w:t>
            </w:r>
            <w:r>
              <w:rPr>
                <w:rFonts w:hint="eastAsia" w:ascii="宋体" w:hAnsi="宋体"/>
                <w:spacing w:val="-1"/>
                <w:szCs w:val="18"/>
                <w:vertAlign w:val="superscript"/>
              </w:rPr>
              <w:t>(1)</w:t>
            </w:r>
          </w:p>
        </w:tc>
        <w:tc>
          <w:tcPr>
            <w:tcW w:w="771" w:type="pct"/>
            <w:vMerge w:val="restart"/>
            <w:vAlign w:val="center"/>
          </w:tcPr>
          <w:p>
            <w:pPr>
              <w:pStyle w:val="3"/>
              <w:spacing w:line="360" w:lineRule="auto"/>
              <w:ind w:left="0"/>
              <w:jc w:val="center"/>
              <w:outlineLvl w:val="4"/>
              <w:rPr>
                <w:rFonts w:ascii="Times New Roman" w:hAnsi="Times New Roman" w:cs="Times New Roman"/>
                <w:b w:val="0"/>
                <w:bCs/>
                <w:color w:val="000000"/>
              </w:rPr>
            </w:pPr>
            <w:r>
              <w:rPr>
                <w:rFonts w:ascii="Times New Roman" w:hAnsi="Times New Roman" w:cs="Times New Roman"/>
                <w:b/>
                <w:color w:val="000000"/>
                <w:spacing w:val="-1"/>
              </w:rPr>
              <w:t>污染物监控位置</w:t>
            </w:r>
            <w:r>
              <w:rPr>
                <w:rFonts w:hint="eastAsia" w:ascii="宋体" w:hAnsi="宋体"/>
                <w:spacing w:val="-1"/>
                <w:szCs w:val="18"/>
                <w:vertAlign w:val="superscript"/>
              </w:rPr>
              <w:t>(</w:t>
            </w:r>
            <w:r>
              <w:rPr>
                <w:rFonts w:hint="eastAsia" w:ascii="宋体" w:hAnsi="宋体"/>
                <w:spacing w:val="-1"/>
                <w:szCs w:val="18"/>
                <w:vertAlign w:val="superscript"/>
                <w:lang w:val="en-US" w:eastAsia="zh-CN"/>
              </w:rPr>
              <w:t>2</w:t>
            </w:r>
            <w:r>
              <w:rPr>
                <w:rFonts w:hint="eastAsia" w:ascii="宋体" w:hAnsi="宋体"/>
                <w:spacing w:val="-1"/>
                <w:szCs w:val="18"/>
                <w:vertAlign w:val="superscript"/>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258" w:type="pct"/>
            <w:vMerge w:val="continue"/>
            <w:vAlign w:val="center"/>
          </w:tcPr>
          <w:p>
            <w:pPr>
              <w:pStyle w:val="3"/>
              <w:spacing w:line="360" w:lineRule="auto"/>
              <w:jc w:val="center"/>
              <w:rPr>
                <w:rFonts w:ascii="Times New Roman" w:hAnsi="Times New Roman" w:cs="Times New Roman"/>
                <w:b/>
                <w:color w:val="000000"/>
              </w:rPr>
            </w:pPr>
          </w:p>
        </w:tc>
        <w:tc>
          <w:tcPr>
            <w:tcW w:w="958" w:type="pct"/>
            <w:vMerge w:val="continue"/>
            <w:vAlign w:val="center"/>
          </w:tcPr>
          <w:p>
            <w:pPr>
              <w:pStyle w:val="3"/>
              <w:spacing w:line="360" w:lineRule="auto"/>
              <w:jc w:val="center"/>
              <w:rPr>
                <w:rFonts w:ascii="Times New Roman" w:hAnsi="Times New Roman" w:cs="Times New Roman"/>
                <w:b/>
                <w:color w:val="000000"/>
              </w:rPr>
            </w:pPr>
          </w:p>
        </w:tc>
        <w:tc>
          <w:tcPr>
            <w:tcW w:w="1037" w:type="pct"/>
            <w:vAlign w:val="center"/>
          </w:tcPr>
          <w:p>
            <w:pPr>
              <w:pStyle w:val="3"/>
              <w:spacing w:line="360" w:lineRule="auto"/>
              <w:ind w:left="0"/>
              <w:jc w:val="center"/>
              <w:outlineLvl w:val="4"/>
              <w:rPr>
                <w:rFonts w:ascii="Times New Roman" w:hAnsi="Times New Roman" w:cs="Times New Roman"/>
                <w:b/>
                <w:color w:val="000000"/>
              </w:rPr>
            </w:pPr>
            <w:r>
              <w:rPr>
                <w:rFonts w:ascii="Times New Roman" w:hAnsi="Times New Roman" w:cs="Times New Roman"/>
                <w:b/>
                <w:color w:val="000000"/>
              </w:rPr>
              <w:t>排放限值</w:t>
            </w:r>
          </w:p>
        </w:tc>
        <w:tc>
          <w:tcPr>
            <w:tcW w:w="976" w:type="pct"/>
            <w:vAlign w:val="center"/>
          </w:tcPr>
          <w:p>
            <w:pPr>
              <w:pStyle w:val="3"/>
              <w:spacing w:line="360" w:lineRule="auto"/>
              <w:ind w:left="0"/>
              <w:jc w:val="center"/>
              <w:outlineLvl w:val="4"/>
              <w:rPr>
                <w:rFonts w:ascii="Times New Roman" w:hAnsi="Times New Roman" w:cs="Times New Roman"/>
                <w:b/>
                <w:color w:val="000000"/>
              </w:rPr>
            </w:pPr>
            <w:r>
              <w:rPr>
                <w:rFonts w:ascii="Times New Roman" w:hAnsi="Times New Roman" w:cs="Times New Roman"/>
                <w:b/>
                <w:color w:val="000000"/>
              </w:rPr>
              <w:t>特别排放限值</w:t>
            </w:r>
          </w:p>
        </w:tc>
        <w:tc>
          <w:tcPr>
            <w:tcW w:w="771" w:type="pct"/>
            <w:vMerge w:val="continue"/>
            <w:vAlign w:val="center"/>
          </w:tcPr>
          <w:p>
            <w:pPr>
              <w:pStyle w:val="3"/>
              <w:spacing w:line="360" w:lineRule="auto"/>
              <w:jc w:val="center"/>
              <w:rPr>
                <w:rFonts w:ascii="Times New Roman" w:hAnsi="Times New Roman" w:cs="Times New Roman"/>
                <w:b/>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7" w:hRule="atLeast"/>
          <w:jc w:val="center"/>
        </w:trPr>
        <w:tc>
          <w:tcPr>
            <w:tcW w:w="1258" w:type="pct"/>
            <w:vAlign w:val="center"/>
          </w:tcPr>
          <w:p>
            <w:pPr>
              <w:pStyle w:val="3"/>
              <w:spacing w:line="360" w:lineRule="auto"/>
              <w:ind w:left="0"/>
              <w:jc w:val="center"/>
              <w:outlineLvl w:val="4"/>
              <w:rPr>
                <w:rFonts w:ascii="Times New Roman" w:hAnsi="Times New Roman" w:cs="Times New Roman"/>
                <w:color w:val="000000"/>
              </w:rPr>
            </w:pPr>
            <w:r>
              <w:rPr>
                <w:rFonts w:ascii="Times New Roman" w:hAnsi="Times New Roman" w:cs="Times New Roman"/>
                <w:color w:val="000000"/>
              </w:rPr>
              <w:t>高氯酸盐生产企业</w:t>
            </w:r>
          </w:p>
        </w:tc>
        <w:tc>
          <w:tcPr>
            <w:tcW w:w="958" w:type="pct"/>
            <w:vMerge w:val="restart"/>
            <w:vAlign w:val="center"/>
          </w:tcPr>
          <w:p>
            <w:pPr>
              <w:pStyle w:val="3"/>
              <w:spacing w:line="360" w:lineRule="auto"/>
              <w:ind w:left="0"/>
              <w:jc w:val="center"/>
              <w:outlineLvl w:val="4"/>
              <w:rPr>
                <w:rFonts w:ascii="Times New Roman" w:hAnsi="Times New Roman" w:cs="Times New Roman"/>
                <w:color w:val="000000"/>
              </w:rPr>
            </w:pPr>
            <w:r>
              <w:rPr>
                <w:rFonts w:ascii="Times New Roman" w:hAnsi="Times New Roman" w:cs="Times New Roman"/>
                <w:color w:val="000000"/>
              </w:rPr>
              <w:t>高氯酸盐</w:t>
            </w:r>
          </w:p>
        </w:tc>
        <w:tc>
          <w:tcPr>
            <w:tcW w:w="1037" w:type="pct"/>
            <w:vAlign w:val="center"/>
          </w:tcPr>
          <w:p>
            <w:pPr>
              <w:pStyle w:val="3"/>
              <w:spacing w:line="360" w:lineRule="auto"/>
              <w:jc w:val="center"/>
              <w:outlineLvl w:val="4"/>
              <w:rPr>
                <w:rFonts w:ascii="Times New Roman" w:hAnsi="Times New Roman" w:cs="Times New Roman"/>
                <w:color w:val="000000"/>
                <w:spacing w:val="-1"/>
              </w:rPr>
            </w:pPr>
            <w:r>
              <w:rPr>
                <w:rFonts w:hint="eastAsia" w:ascii="Times New Roman" w:hAnsi="Times New Roman" w:cs="Times New Roman"/>
                <w:color w:val="000000"/>
                <w:spacing w:val="-1"/>
                <w:lang w:eastAsia="zh-CN"/>
              </w:rPr>
              <w:t>1</w:t>
            </w:r>
            <w:r>
              <w:rPr>
                <w:rFonts w:ascii="Times New Roman" w:hAnsi="Times New Roman" w:cs="Times New Roman"/>
                <w:color w:val="000000"/>
                <w:spacing w:val="-1"/>
              </w:rPr>
              <w:t>.0</w:t>
            </w:r>
          </w:p>
        </w:tc>
        <w:tc>
          <w:tcPr>
            <w:tcW w:w="976" w:type="pct"/>
            <w:vAlign w:val="center"/>
          </w:tcPr>
          <w:p>
            <w:pPr>
              <w:pStyle w:val="3"/>
              <w:spacing w:line="360" w:lineRule="auto"/>
              <w:jc w:val="center"/>
              <w:outlineLvl w:val="4"/>
              <w:rPr>
                <w:rFonts w:ascii="Times New Roman" w:hAnsi="Times New Roman" w:cs="Times New Roman"/>
                <w:color w:val="000000"/>
                <w:spacing w:val="-1"/>
              </w:rPr>
            </w:pPr>
            <w:r>
              <w:rPr>
                <w:rFonts w:ascii="Times New Roman" w:hAnsi="Times New Roman" w:cs="Times New Roman"/>
                <w:color w:val="000000"/>
                <w:spacing w:val="-1"/>
              </w:rPr>
              <w:t>0.35</w:t>
            </w:r>
          </w:p>
        </w:tc>
        <w:tc>
          <w:tcPr>
            <w:tcW w:w="771" w:type="pct"/>
            <w:vMerge w:val="restart"/>
            <w:vAlign w:val="center"/>
          </w:tcPr>
          <w:p>
            <w:pPr>
              <w:widowControl/>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企业</w:t>
            </w:r>
            <w:r>
              <w:rPr>
                <w:rFonts w:hint="eastAsia" w:ascii="Times New Roman" w:hAnsi="Times New Roman" w:eastAsia="仿宋" w:cs="Times New Roman"/>
                <w:color w:val="000000"/>
                <w:sz w:val="24"/>
                <w:szCs w:val="24"/>
                <w:lang w:eastAsia="zh-CN"/>
              </w:rPr>
              <w:t>废水</w:t>
            </w:r>
            <w:r>
              <w:rPr>
                <w:rFonts w:ascii="Times New Roman" w:hAnsi="Times New Roman" w:eastAsia="仿宋" w:cs="Times New Roman"/>
                <w:color w:val="000000"/>
                <w:sz w:val="24"/>
                <w:szCs w:val="24"/>
              </w:rPr>
              <w:t>总排放口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258" w:type="pct"/>
            <w:vAlign w:val="center"/>
          </w:tcPr>
          <w:p>
            <w:pPr>
              <w:pStyle w:val="3"/>
              <w:spacing w:line="360" w:lineRule="auto"/>
              <w:ind w:left="0"/>
              <w:jc w:val="center"/>
              <w:rPr>
                <w:rFonts w:ascii="Times New Roman" w:hAnsi="Times New Roman" w:cs="Times New Roman"/>
                <w:color w:val="000000"/>
                <w:lang w:eastAsia="zh-CN"/>
              </w:rPr>
            </w:pPr>
            <w:r>
              <w:rPr>
                <w:rFonts w:hint="eastAsia" w:ascii="Times New Roman" w:hAnsi="Times New Roman" w:cs="Times New Roman"/>
                <w:color w:val="000000"/>
                <w:lang w:eastAsia="zh-CN"/>
              </w:rPr>
              <w:t>烟花、爆竹、引火线制造企业</w:t>
            </w:r>
          </w:p>
        </w:tc>
        <w:tc>
          <w:tcPr>
            <w:tcW w:w="958" w:type="pct"/>
            <w:vMerge w:val="continue"/>
            <w:vAlign w:val="center"/>
          </w:tcPr>
          <w:p>
            <w:pPr>
              <w:pStyle w:val="3"/>
              <w:spacing w:line="360" w:lineRule="auto"/>
              <w:jc w:val="center"/>
              <w:outlineLvl w:val="4"/>
              <w:rPr>
                <w:rFonts w:ascii="Times New Roman" w:hAnsi="Times New Roman" w:cs="Times New Roman"/>
                <w:color w:val="000000"/>
                <w:lang w:eastAsia="zh-CN"/>
              </w:rPr>
            </w:pPr>
          </w:p>
        </w:tc>
        <w:tc>
          <w:tcPr>
            <w:tcW w:w="1037" w:type="pct"/>
            <w:vAlign w:val="center"/>
          </w:tcPr>
          <w:p>
            <w:pPr>
              <w:pStyle w:val="3"/>
              <w:spacing w:line="360" w:lineRule="auto"/>
              <w:jc w:val="center"/>
              <w:outlineLvl w:val="4"/>
              <w:rPr>
                <w:rFonts w:ascii="Times New Roman" w:hAnsi="Times New Roman" w:cs="Times New Roman"/>
                <w:color w:val="000000"/>
                <w:spacing w:val="-1"/>
                <w:lang w:eastAsia="zh-CN"/>
              </w:rPr>
            </w:pPr>
            <w:r>
              <w:rPr>
                <w:rFonts w:hint="eastAsia" w:ascii="Times New Roman" w:hAnsi="Times New Roman" w:cs="Times New Roman"/>
                <w:color w:val="000000"/>
                <w:spacing w:val="-1"/>
                <w:lang w:eastAsia="zh-CN"/>
              </w:rPr>
              <w:t>0.7</w:t>
            </w:r>
          </w:p>
        </w:tc>
        <w:tc>
          <w:tcPr>
            <w:tcW w:w="976" w:type="pct"/>
            <w:vAlign w:val="center"/>
          </w:tcPr>
          <w:p>
            <w:pPr>
              <w:pStyle w:val="3"/>
              <w:spacing w:line="360" w:lineRule="auto"/>
              <w:jc w:val="center"/>
              <w:outlineLvl w:val="4"/>
              <w:rPr>
                <w:rFonts w:ascii="Times New Roman" w:hAnsi="Times New Roman" w:cs="Times New Roman"/>
                <w:color w:val="000000"/>
                <w:spacing w:val="-1"/>
              </w:rPr>
            </w:pPr>
            <w:r>
              <w:rPr>
                <w:rFonts w:ascii="Times New Roman" w:hAnsi="Times New Roman" w:cs="Times New Roman"/>
                <w:color w:val="000000"/>
                <w:spacing w:val="-1"/>
              </w:rPr>
              <w:t>0.35</w:t>
            </w:r>
          </w:p>
        </w:tc>
        <w:tc>
          <w:tcPr>
            <w:tcW w:w="771" w:type="pct"/>
            <w:vMerge w:val="continue"/>
            <w:vAlign w:val="center"/>
          </w:tcPr>
          <w:p>
            <w:pPr>
              <w:pStyle w:val="3"/>
              <w:spacing w:line="360" w:lineRule="auto"/>
              <w:jc w:val="center"/>
              <w:rPr>
                <w:rFonts w:ascii="Times New Roman" w:hAnsi="Times New Roman" w:cs="Times New Roman"/>
                <w:color w:val="00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5000" w:type="pct"/>
            <w:gridSpan w:val="5"/>
            <w:vAlign w:val="center"/>
          </w:tcPr>
          <w:p>
            <w:pPr>
              <w:pStyle w:val="3"/>
              <w:spacing w:line="324" w:lineRule="exact"/>
              <w:jc w:val="left"/>
              <w:rPr>
                <w:rFonts w:ascii="宋体" w:hAnsi="宋体"/>
                <w:sz w:val="20"/>
                <w:szCs w:val="16"/>
              </w:rPr>
            </w:pPr>
            <w:r>
              <w:rPr>
                <w:rFonts w:hint="eastAsia" w:ascii="宋体" w:hAnsi="宋体"/>
                <w:sz w:val="20"/>
                <w:szCs w:val="16"/>
                <w:lang w:eastAsia="zh-CN"/>
              </w:rPr>
              <w:t>注：</w:t>
            </w:r>
            <w:r>
              <w:rPr>
                <w:rFonts w:hint="eastAsia" w:ascii="宋体" w:hAnsi="宋体"/>
                <w:spacing w:val="-1"/>
                <w:szCs w:val="18"/>
                <w:vertAlign w:val="superscript"/>
              </w:rPr>
              <w:t>(1)</w:t>
            </w:r>
            <w:r>
              <w:rPr>
                <w:rFonts w:hint="eastAsia" w:ascii="宋体" w:hAnsi="宋体"/>
                <w:sz w:val="20"/>
                <w:szCs w:val="16"/>
              </w:rPr>
              <w:t>涉高氯酸盐工业污水集中处理设施根据接纳废水的企业类型执行相应排放限值，如涉及两类及以上不同类型企业，执行最严排放限值。</w:t>
            </w:r>
          </w:p>
          <w:p>
            <w:pPr>
              <w:pStyle w:val="3"/>
              <w:spacing w:line="360" w:lineRule="auto"/>
              <w:jc w:val="both"/>
              <w:rPr>
                <w:rFonts w:ascii="Times New Roman" w:hAnsi="Times New Roman" w:cs="Times New Roman"/>
                <w:color w:val="000000"/>
                <w:lang w:eastAsia="zh-CN"/>
              </w:rPr>
            </w:pPr>
            <w:r>
              <w:rPr>
                <w:rFonts w:hint="eastAsia" w:ascii="宋体" w:hAnsi="宋体"/>
                <w:spacing w:val="-1"/>
                <w:szCs w:val="18"/>
                <w:vertAlign w:val="superscript"/>
              </w:rPr>
              <w:t>(2)</w:t>
            </w:r>
            <w:r>
              <w:rPr>
                <w:rFonts w:hint="eastAsia" w:ascii="宋体" w:hAnsi="宋体"/>
                <w:spacing w:val="-1"/>
                <w:sz w:val="20"/>
                <w:szCs w:val="18"/>
              </w:rPr>
              <w:t>当企业废水排向</w:t>
            </w:r>
            <w:r>
              <w:rPr>
                <w:rFonts w:hint="eastAsia" w:ascii="宋体" w:hAnsi="宋体"/>
                <w:sz w:val="20"/>
                <w:szCs w:val="16"/>
              </w:rPr>
              <w:t>涉高氯酸盐工业污水集中处理设施时，污染物监控位置为涉高氯酸盐工业污水集中处理设施总排口</w:t>
            </w:r>
            <w:r>
              <w:rPr>
                <w:rFonts w:hint="eastAsia" w:ascii="宋体" w:hAnsi="宋体"/>
                <w:sz w:val="20"/>
                <w:szCs w:val="16"/>
                <w:lang w:eastAsia="zh-CN"/>
              </w:rPr>
              <w:t>。</w:t>
            </w:r>
          </w:p>
        </w:tc>
      </w:tr>
    </w:tbl>
    <w:p>
      <w:pPr>
        <w:pStyle w:val="3"/>
        <w:spacing w:line="360" w:lineRule="auto"/>
        <w:ind w:left="0"/>
        <w:jc w:val="both"/>
        <w:outlineLvl w:val="1"/>
        <w:rPr>
          <w:rFonts w:ascii="Times New Roman" w:hAnsi="Times New Roman" w:cs="Times New Roman"/>
          <w:b/>
          <w:bCs/>
          <w:color w:val="000000"/>
          <w:sz w:val="32"/>
          <w:szCs w:val="32"/>
          <w:lang w:eastAsia="zh-CN"/>
        </w:rPr>
      </w:pPr>
      <w:bookmarkStart w:id="124" w:name="_Toc14578"/>
      <w:r>
        <w:rPr>
          <w:rFonts w:hint="eastAsia" w:ascii="Times New Roman" w:hAnsi="Times New Roman" w:cs="Times New Roman"/>
          <w:b/>
          <w:bCs/>
          <w:color w:val="000000"/>
          <w:sz w:val="32"/>
          <w:szCs w:val="32"/>
          <w:lang w:eastAsia="zh-CN"/>
        </w:rPr>
        <w:t>6</w:t>
      </w:r>
      <w:r>
        <w:rPr>
          <w:rFonts w:ascii="Times New Roman" w:hAnsi="Times New Roman" w:cs="Times New Roman"/>
          <w:b/>
          <w:bCs/>
          <w:color w:val="000000"/>
          <w:sz w:val="32"/>
          <w:szCs w:val="32"/>
          <w:lang w:eastAsia="zh-CN"/>
        </w:rPr>
        <w:t>.6 单位产品基准排水量确定</w:t>
      </w:r>
      <w:bookmarkEnd w:id="124"/>
    </w:p>
    <w:p>
      <w:pPr>
        <w:pStyle w:val="3"/>
        <w:spacing w:line="360" w:lineRule="auto"/>
        <w:ind w:left="0" w:firstLine="48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（1）高氯酸盐生产企业</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根据相关文献资料对高氯酸盐生产企业清洁生产水平进行了分级，清洁生产水平一级企业的单位产品废水产生量（处理前）标准设定为≤1 m</w:t>
      </w:r>
      <w:r>
        <w:rPr>
          <w:rFonts w:hint="eastAsia" w:ascii="Times New Roman" w:hAnsi="Times New Roman" w:cs="Times New Roman"/>
          <w:color w:val="000000"/>
          <w:sz w:val="32"/>
          <w:szCs w:val="32"/>
          <w:vertAlign w:val="superscript"/>
          <w:lang w:eastAsia="zh-CN"/>
        </w:rPr>
        <w:t>3</w:t>
      </w:r>
      <w:r>
        <w:rPr>
          <w:rFonts w:hint="eastAsia" w:ascii="Times New Roman" w:hAnsi="Times New Roman" w:cs="Times New Roman"/>
          <w:color w:val="000000"/>
          <w:sz w:val="32"/>
          <w:szCs w:val="32"/>
          <w:lang w:eastAsia="zh-CN"/>
        </w:rPr>
        <w:t>/t、Ⅱ级标准为≤3 m</w:t>
      </w:r>
      <w:r>
        <w:rPr>
          <w:rFonts w:hint="eastAsia" w:ascii="Times New Roman" w:hAnsi="Times New Roman" w:cs="Times New Roman"/>
          <w:color w:val="000000"/>
          <w:sz w:val="32"/>
          <w:szCs w:val="32"/>
          <w:vertAlign w:val="superscript"/>
          <w:lang w:eastAsia="zh-CN"/>
        </w:rPr>
        <w:t>3</w:t>
      </w:r>
      <w:r>
        <w:rPr>
          <w:rFonts w:hint="eastAsia" w:ascii="Times New Roman" w:hAnsi="Times New Roman" w:cs="Times New Roman"/>
          <w:color w:val="000000"/>
          <w:sz w:val="32"/>
          <w:szCs w:val="32"/>
          <w:lang w:eastAsia="zh-CN"/>
        </w:rPr>
        <w:t>/t、Ⅲ级标准为≤6 m</w:t>
      </w:r>
      <w:r>
        <w:rPr>
          <w:rFonts w:hint="eastAsia" w:ascii="Times New Roman" w:hAnsi="Times New Roman" w:cs="Times New Roman"/>
          <w:color w:val="000000"/>
          <w:sz w:val="32"/>
          <w:szCs w:val="32"/>
          <w:vertAlign w:val="superscript"/>
          <w:lang w:eastAsia="zh-CN"/>
        </w:rPr>
        <w:t>3</w:t>
      </w:r>
      <w:r>
        <w:rPr>
          <w:rFonts w:hint="eastAsia" w:ascii="Times New Roman" w:hAnsi="Times New Roman" w:cs="Times New Roman"/>
          <w:color w:val="000000"/>
          <w:sz w:val="32"/>
          <w:szCs w:val="32"/>
          <w:lang w:eastAsia="zh-CN"/>
        </w:rPr>
        <w:t>/t。</w:t>
      </w:r>
      <w:r>
        <w:rPr>
          <w:rFonts w:hint="eastAsia" w:ascii="Times New Roman" w:hAnsi="Times New Roman" w:cs="Times New Roman"/>
          <w:color w:val="000000" w:themeColor="text1"/>
          <w:sz w:val="32"/>
          <w:szCs w:val="32"/>
          <w:lang w:eastAsia="zh-CN"/>
          <w14:textFill>
            <w14:solidFill>
              <w14:schemeClr w14:val="tx1"/>
            </w14:solidFill>
          </w14:textFill>
        </w:rPr>
        <w:t>参考《盐业、碱业氯化物排放标准》（DB41/276-2011）中制盐企业基准排水量为1 m</w:t>
      </w:r>
      <w:r>
        <w:rPr>
          <w:rFonts w:hint="eastAsia" w:ascii="Times New Roman" w:hAnsi="Times New Roman" w:cs="Times New Roman"/>
          <w:color w:val="000000" w:themeColor="text1"/>
          <w:sz w:val="32"/>
          <w:szCs w:val="32"/>
          <w:vertAlign w:val="superscript"/>
          <w:lang w:eastAsia="zh-CN"/>
          <w14:textFill>
            <w14:solidFill>
              <w14:schemeClr w14:val="tx1"/>
            </w14:solidFill>
          </w14:textFill>
        </w:rPr>
        <w:t>3</w:t>
      </w:r>
      <w:r>
        <w:rPr>
          <w:rFonts w:hint="eastAsia" w:ascii="Times New Roman" w:hAnsi="Times New Roman" w:cs="Times New Roman"/>
          <w:color w:val="000000" w:themeColor="text1"/>
          <w:sz w:val="32"/>
          <w:szCs w:val="32"/>
          <w:lang w:eastAsia="zh-CN"/>
          <w14:textFill>
            <w14:solidFill>
              <w14:schemeClr w14:val="tx1"/>
            </w14:solidFill>
          </w14:textFill>
        </w:rPr>
        <w:t>/t、</w:t>
      </w:r>
      <w:r>
        <w:rPr>
          <w:rFonts w:hint="eastAsia" w:ascii="Times New Roman" w:hAnsi="Times New Roman" w:cs="Times New Roman"/>
          <w:sz w:val="32"/>
          <w:szCs w:val="32"/>
          <w:lang w:eastAsia="zh-CN"/>
        </w:rPr>
        <w:t>《硝酸工业污染物排放标准》（GB 26131-2010）中硝酸工业单位产品基准排水量为1.5 m</w:t>
      </w:r>
      <w:r>
        <w:rPr>
          <w:rFonts w:hint="eastAsia" w:ascii="Times New Roman" w:hAnsi="Times New Roman" w:cs="Times New Roman"/>
          <w:sz w:val="32"/>
          <w:szCs w:val="32"/>
          <w:vertAlign w:val="superscript"/>
          <w:lang w:eastAsia="zh-CN"/>
        </w:rPr>
        <w:t>3</w:t>
      </w:r>
      <w:r>
        <w:rPr>
          <w:rFonts w:hint="eastAsia" w:ascii="Times New Roman" w:hAnsi="Times New Roman" w:cs="Times New Roman"/>
          <w:sz w:val="32"/>
          <w:szCs w:val="32"/>
          <w:lang w:eastAsia="zh-CN"/>
        </w:rPr>
        <w:t>/t，</w:t>
      </w:r>
      <w:r>
        <w:rPr>
          <w:rFonts w:hint="eastAsia" w:ascii="Times New Roman" w:hAnsi="Times New Roman" w:cs="Times New Roman"/>
          <w:color w:val="000000" w:themeColor="text1"/>
          <w:sz w:val="32"/>
          <w:szCs w:val="32"/>
          <w:lang w:eastAsia="zh-CN"/>
          <w14:textFill>
            <w14:solidFill>
              <w14:schemeClr w14:val="tx1"/>
            </w14:solidFill>
          </w14:textFill>
        </w:rPr>
        <w:t>结合高氯酸盐生产企业反馈的数据资料，本文件拟定高氯酸盐生产企业单位产品基准排水量不高于2.0 m</w:t>
      </w:r>
      <w:r>
        <w:rPr>
          <w:rFonts w:hint="eastAsia" w:ascii="Times New Roman" w:hAnsi="Times New Roman" w:cs="Times New Roman"/>
          <w:color w:val="000000" w:themeColor="text1"/>
          <w:sz w:val="32"/>
          <w:szCs w:val="32"/>
          <w:vertAlign w:val="superscript"/>
          <w:lang w:eastAsia="zh-CN"/>
          <w14:textFill>
            <w14:solidFill>
              <w14:schemeClr w14:val="tx1"/>
            </w14:solidFill>
          </w14:textFill>
        </w:rPr>
        <w:t>3</w:t>
      </w:r>
      <w:r>
        <w:rPr>
          <w:rFonts w:hint="eastAsia" w:ascii="Times New Roman" w:hAnsi="Times New Roman" w:cs="Times New Roman"/>
          <w:color w:val="000000" w:themeColor="text1"/>
          <w:sz w:val="32"/>
          <w:szCs w:val="32"/>
          <w:lang w:eastAsia="zh-CN"/>
          <w14:textFill>
            <w14:solidFill>
              <w14:schemeClr w14:val="tx1"/>
            </w14:solidFill>
          </w14:textFill>
        </w:rPr>
        <w:t>/t</w:t>
      </w:r>
      <w:r>
        <w:rPr>
          <w:rFonts w:ascii="Times New Roman" w:hAnsi="Times New Roman" w:cs="Times New Roman"/>
          <w:color w:val="000000" w:themeColor="text1"/>
          <w:sz w:val="32"/>
          <w:szCs w:val="32"/>
          <w:lang w:eastAsia="zh-CN"/>
          <w14:textFill>
            <w14:solidFill>
              <w14:schemeClr w14:val="tx1"/>
            </w14:solidFill>
          </w14:textFill>
        </w:rPr>
        <w:t>。</w:t>
      </w:r>
    </w:p>
    <w:p>
      <w:pPr>
        <w:pStyle w:val="3"/>
        <w:spacing w:line="360" w:lineRule="auto"/>
        <w:ind w:left="0" w:firstLine="480"/>
        <w:jc w:val="both"/>
        <w:rPr>
          <w:rFonts w:ascii="Times New Roman" w:hAnsi="Times New Roman" w:cs="Times New Roman"/>
          <w:b/>
          <w:bCs/>
          <w:color w:val="000000"/>
          <w:sz w:val="32"/>
          <w:szCs w:val="32"/>
          <w:lang w:eastAsia="zh-CN"/>
        </w:rPr>
      </w:pPr>
      <w:r>
        <w:rPr>
          <w:rFonts w:ascii="Times New Roman" w:hAnsi="Times New Roman" w:cs="Times New Roman"/>
          <w:b/>
          <w:bCs/>
          <w:color w:val="000000"/>
          <w:sz w:val="32"/>
          <w:szCs w:val="32"/>
          <w:lang w:eastAsia="zh-CN"/>
        </w:rPr>
        <w:t>（2）</w:t>
      </w:r>
      <w:r>
        <w:rPr>
          <w:rFonts w:hint="eastAsia" w:ascii="Times New Roman" w:hAnsi="Times New Roman" w:cs="Times New Roman"/>
          <w:b/>
          <w:bCs/>
          <w:color w:val="000000"/>
          <w:sz w:val="32"/>
          <w:szCs w:val="32"/>
          <w:lang w:eastAsia="zh-CN"/>
        </w:rPr>
        <w:t>烟花爆竹企业</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目前国家无烟花爆竹企业单位产品基准排水量执行标准，且该行业没有先进清洁化生产标准。烟花爆竹企业用水主要是地面冲洗水，需避免药物撒漏、地面干燥而引发安全问题。参照烟花爆竹企业环境影响评价报告，现场调研企业规模、产量、高氯酸盐使用量、日废水产生量等相关信息，在保障烟花爆竹引火线企业安全生产的前提下，本文件设定烟花制造行业单位产品基准排水量为120 m</w:t>
      </w:r>
      <w:r>
        <w:rPr>
          <w:rFonts w:hint="eastAsia" w:ascii="Times New Roman" w:hAnsi="Times New Roman" w:cs="Times New Roman"/>
          <w:color w:val="000000"/>
          <w:sz w:val="32"/>
          <w:szCs w:val="32"/>
          <w:vertAlign w:val="superscript"/>
          <w:lang w:eastAsia="zh-CN"/>
        </w:rPr>
        <w:t>3</w:t>
      </w:r>
      <w:r>
        <w:rPr>
          <w:rFonts w:hint="eastAsia" w:ascii="Times New Roman" w:hAnsi="Times New Roman" w:cs="Times New Roman"/>
          <w:color w:val="000000"/>
          <w:sz w:val="32"/>
          <w:szCs w:val="32"/>
          <w:lang w:eastAsia="zh-CN"/>
        </w:rPr>
        <w:t>/万箱，设定鞭炮制造行业单位产品基准排水量为40 m</w:t>
      </w:r>
      <w:r>
        <w:rPr>
          <w:rFonts w:hint="eastAsia" w:ascii="Times New Roman" w:hAnsi="Times New Roman" w:cs="Times New Roman"/>
          <w:color w:val="000000"/>
          <w:sz w:val="32"/>
          <w:szCs w:val="32"/>
          <w:vertAlign w:val="superscript"/>
          <w:lang w:eastAsia="zh-CN"/>
        </w:rPr>
        <w:t>3</w:t>
      </w:r>
      <w:r>
        <w:rPr>
          <w:rFonts w:hint="eastAsia" w:ascii="Times New Roman" w:hAnsi="Times New Roman" w:cs="Times New Roman"/>
          <w:color w:val="000000"/>
          <w:sz w:val="32"/>
          <w:szCs w:val="32"/>
          <w:lang w:eastAsia="zh-CN"/>
        </w:rPr>
        <w:t>/万箱，设定引火线制造行业单位产品基准排水量为0.05 m</w:t>
      </w:r>
      <w:r>
        <w:rPr>
          <w:rFonts w:hint="eastAsia" w:ascii="Times New Roman" w:hAnsi="Times New Roman" w:cs="Times New Roman"/>
          <w:color w:val="000000"/>
          <w:sz w:val="32"/>
          <w:szCs w:val="32"/>
          <w:vertAlign w:val="superscript"/>
          <w:lang w:eastAsia="zh-CN"/>
        </w:rPr>
        <w:t>3</w:t>
      </w:r>
      <w:r>
        <w:rPr>
          <w:rFonts w:hint="eastAsia" w:ascii="Times New Roman" w:hAnsi="Times New Roman" w:cs="Times New Roman"/>
          <w:color w:val="000000"/>
          <w:sz w:val="32"/>
          <w:szCs w:val="32"/>
          <w:lang w:eastAsia="zh-CN"/>
        </w:rPr>
        <w:t>/万米</w:t>
      </w:r>
      <w:r>
        <w:rPr>
          <w:rFonts w:ascii="Times New Roman" w:hAnsi="Times New Roman" w:cs="Times New Roman"/>
          <w:color w:val="000000"/>
          <w:sz w:val="32"/>
          <w:szCs w:val="32"/>
          <w:lang w:eastAsia="zh-CN"/>
        </w:rPr>
        <w:t>。</w:t>
      </w:r>
    </w:p>
    <w:p>
      <w:pPr>
        <w:pStyle w:val="3"/>
        <w:spacing w:line="360" w:lineRule="auto"/>
        <w:ind w:left="0"/>
        <w:jc w:val="center"/>
        <w:outlineLvl w:val="4"/>
        <w:rPr>
          <w:rFonts w:ascii="Times New Roman" w:hAnsi="Times New Roman" w:cs="Times New Roman"/>
          <w:b/>
          <w:bCs/>
          <w:color w:val="000000"/>
          <w:sz w:val="30"/>
          <w:szCs w:val="30"/>
          <w:lang w:eastAsia="zh-CN"/>
        </w:rPr>
      </w:pPr>
      <w:r>
        <w:rPr>
          <w:rFonts w:ascii="Times New Roman" w:hAnsi="Times New Roman" w:cs="Times New Roman"/>
          <w:b/>
          <w:bCs/>
          <w:color w:val="000000"/>
          <w:sz w:val="30"/>
          <w:szCs w:val="30"/>
          <w:lang w:eastAsia="zh-CN"/>
        </w:rPr>
        <w:t>表</w:t>
      </w:r>
      <w:r>
        <w:rPr>
          <w:rFonts w:hint="eastAsia" w:ascii="Times New Roman" w:hAnsi="Times New Roman" w:cs="Times New Roman"/>
          <w:b/>
          <w:bCs/>
          <w:color w:val="000000"/>
          <w:sz w:val="30"/>
          <w:szCs w:val="30"/>
          <w:lang w:eastAsia="zh-CN"/>
        </w:rPr>
        <w:t>6</w:t>
      </w:r>
      <w:r>
        <w:rPr>
          <w:rFonts w:ascii="Times New Roman" w:hAnsi="Times New Roman" w:cs="Times New Roman"/>
          <w:b/>
          <w:bCs/>
          <w:color w:val="000000"/>
          <w:sz w:val="30"/>
          <w:szCs w:val="30"/>
          <w:lang w:eastAsia="zh-CN"/>
        </w:rPr>
        <w:t>-</w:t>
      </w:r>
      <w:r>
        <w:rPr>
          <w:rFonts w:hint="eastAsia" w:ascii="Times New Roman" w:hAnsi="Times New Roman" w:cs="Times New Roman"/>
          <w:b/>
          <w:bCs/>
          <w:color w:val="000000"/>
          <w:sz w:val="30"/>
          <w:szCs w:val="30"/>
          <w:lang w:val="en-US" w:eastAsia="zh-CN"/>
        </w:rPr>
        <w:t>3</w:t>
      </w:r>
      <w:r>
        <w:rPr>
          <w:rFonts w:ascii="Times New Roman" w:hAnsi="Times New Roman" w:cs="Times New Roman"/>
          <w:b/>
          <w:bCs/>
          <w:color w:val="000000"/>
          <w:sz w:val="30"/>
          <w:szCs w:val="30"/>
          <w:lang w:eastAsia="zh-CN"/>
        </w:rPr>
        <w:t xml:space="preserve"> 单位产品基准排水量</w:t>
      </w:r>
    </w:p>
    <w:tbl>
      <w:tblPr>
        <w:tblStyle w:val="18"/>
        <w:tblW w:w="4961"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26"/>
        <w:gridCol w:w="2780"/>
        <w:gridCol w:w="1841"/>
        <w:gridCol w:w="1985"/>
        <w:gridCol w:w="158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355" w:type="pct"/>
            <w:vAlign w:val="center"/>
          </w:tcPr>
          <w:p>
            <w:pPr>
              <w:pStyle w:val="3"/>
              <w:spacing w:line="360" w:lineRule="auto"/>
              <w:jc w:val="center"/>
              <w:outlineLvl w:val="4"/>
              <w:rPr>
                <w:rFonts w:ascii="Times New Roman" w:hAnsi="Times New Roman" w:cs="Times New Roman"/>
                <w:b/>
                <w:color w:val="000000"/>
                <w:spacing w:val="-1"/>
              </w:rPr>
            </w:pPr>
            <w:r>
              <w:rPr>
                <w:rFonts w:ascii="Times New Roman" w:hAnsi="Times New Roman" w:cs="Times New Roman"/>
                <w:b/>
                <w:color w:val="000000"/>
                <w:spacing w:val="-1"/>
              </w:rPr>
              <w:t>序号</w:t>
            </w:r>
          </w:p>
        </w:tc>
        <w:tc>
          <w:tcPr>
            <w:tcW w:w="1577" w:type="pct"/>
            <w:vAlign w:val="center"/>
          </w:tcPr>
          <w:p>
            <w:pPr>
              <w:pStyle w:val="3"/>
              <w:spacing w:line="360" w:lineRule="auto"/>
              <w:jc w:val="center"/>
              <w:outlineLvl w:val="4"/>
              <w:rPr>
                <w:rFonts w:ascii="Times New Roman" w:hAnsi="Times New Roman" w:cs="Times New Roman"/>
                <w:b/>
                <w:color w:val="000000"/>
                <w:spacing w:val="-1"/>
              </w:rPr>
            </w:pPr>
            <w:r>
              <w:rPr>
                <w:rFonts w:ascii="Times New Roman" w:hAnsi="Times New Roman" w:cs="Times New Roman"/>
                <w:b/>
                <w:color w:val="000000"/>
                <w:spacing w:val="-1"/>
              </w:rPr>
              <w:t>行业类别</w:t>
            </w:r>
          </w:p>
        </w:tc>
        <w:tc>
          <w:tcPr>
            <w:tcW w:w="1044" w:type="pct"/>
            <w:vAlign w:val="center"/>
          </w:tcPr>
          <w:p>
            <w:pPr>
              <w:pStyle w:val="3"/>
              <w:spacing w:line="360" w:lineRule="auto"/>
              <w:jc w:val="center"/>
              <w:outlineLvl w:val="4"/>
              <w:rPr>
                <w:rFonts w:ascii="Times New Roman" w:hAnsi="Times New Roman" w:cs="Times New Roman"/>
                <w:b/>
                <w:color w:val="000000"/>
                <w:spacing w:val="-1"/>
              </w:rPr>
            </w:pPr>
            <w:r>
              <w:rPr>
                <w:rFonts w:ascii="Times New Roman" w:hAnsi="Times New Roman" w:cs="Times New Roman"/>
                <w:b/>
                <w:color w:val="000000"/>
                <w:spacing w:val="-1"/>
              </w:rPr>
              <w:t>单位</w:t>
            </w:r>
          </w:p>
        </w:tc>
        <w:tc>
          <w:tcPr>
            <w:tcW w:w="1126" w:type="pct"/>
            <w:vAlign w:val="center"/>
          </w:tcPr>
          <w:p>
            <w:pPr>
              <w:pStyle w:val="3"/>
              <w:spacing w:line="360" w:lineRule="auto"/>
              <w:jc w:val="center"/>
              <w:outlineLvl w:val="4"/>
              <w:rPr>
                <w:rFonts w:ascii="Times New Roman" w:hAnsi="Times New Roman" w:cs="Times New Roman"/>
                <w:b/>
                <w:color w:val="000000"/>
                <w:spacing w:val="-1"/>
              </w:rPr>
            </w:pPr>
            <w:r>
              <w:rPr>
                <w:rFonts w:ascii="Times New Roman" w:hAnsi="Times New Roman" w:cs="Times New Roman"/>
                <w:b/>
                <w:color w:val="000000"/>
                <w:spacing w:val="-1"/>
              </w:rPr>
              <w:t>单位产品基准排水量</w:t>
            </w:r>
          </w:p>
        </w:tc>
        <w:tc>
          <w:tcPr>
            <w:tcW w:w="897" w:type="pct"/>
            <w:vAlign w:val="center"/>
          </w:tcPr>
          <w:p>
            <w:pPr>
              <w:pStyle w:val="3"/>
              <w:spacing w:line="360" w:lineRule="auto"/>
              <w:jc w:val="center"/>
              <w:outlineLvl w:val="4"/>
              <w:rPr>
                <w:rFonts w:ascii="Times New Roman" w:hAnsi="Times New Roman" w:cs="Times New Roman"/>
                <w:b/>
                <w:color w:val="000000"/>
                <w:spacing w:val="-1"/>
              </w:rPr>
            </w:pPr>
            <w:r>
              <w:rPr>
                <w:rFonts w:ascii="Times New Roman" w:hAnsi="Times New Roman" w:cs="Times New Roman"/>
                <w:b/>
                <w:color w:val="000000"/>
                <w:spacing w:val="-1"/>
              </w:rPr>
              <w:t>排水量计量位置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2" w:hRule="atLeast"/>
          <w:jc w:val="center"/>
        </w:trPr>
        <w:tc>
          <w:tcPr>
            <w:tcW w:w="355" w:type="pct"/>
            <w:vAlign w:val="center"/>
          </w:tcPr>
          <w:p>
            <w:pPr>
              <w:pStyle w:val="3"/>
              <w:spacing w:line="360" w:lineRule="auto"/>
              <w:jc w:val="center"/>
              <w:outlineLvl w:val="4"/>
              <w:rPr>
                <w:rFonts w:ascii="Times New Roman" w:hAnsi="Times New Roman" w:cs="Times New Roman"/>
                <w:color w:val="000000"/>
                <w:spacing w:val="-1"/>
              </w:rPr>
            </w:pPr>
            <w:r>
              <w:rPr>
                <w:rFonts w:ascii="Times New Roman" w:hAnsi="Times New Roman" w:cs="Times New Roman"/>
                <w:color w:val="000000"/>
                <w:spacing w:val="-1"/>
              </w:rPr>
              <w:t>1</w:t>
            </w:r>
          </w:p>
        </w:tc>
        <w:tc>
          <w:tcPr>
            <w:tcW w:w="1577" w:type="pct"/>
            <w:vAlign w:val="center"/>
          </w:tcPr>
          <w:p>
            <w:pPr>
              <w:pStyle w:val="3"/>
              <w:spacing w:line="360" w:lineRule="auto"/>
              <w:jc w:val="center"/>
              <w:outlineLvl w:val="4"/>
              <w:rPr>
                <w:rFonts w:ascii="Times New Roman" w:hAnsi="Times New Roman" w:cs="Times New Roman"/>
                <w:color w:val="000000"/>
                <w:spacing w:val="-1"/>
              </w:rPr>
            </w:pPr>
            <w:r>
              <w:rPr>
                <w:rFonts w:ascii="Times New Roman" w:hAnsi="Times New Roman" w:cs="Times New Roman"/>
                <w:color w:val="000000"/>
              </w:rPr>
              <w:t>高氯酸盐</w:t>
            </w:r>
            <w:r>
              <w:rPr>
                <w:rFonts w:ascii="Times New Roman" w:hAnsi="Times New Roman" w:cs="Times New Roman"/>
                <w:color w:val="000000"/>
                <w:spacing w:val="-1"/>
              </w:rPr>
              <w:t>生产企业</w:t>
            </w:r>
          </w:p>
        </w:tc>
        <w:tc>
          <w:tcPr>
            <w:tcW w:w="1044" w:type="pct"/>
            <w:vAlign w:val="center"/>
          </w:tcPr>
          <w:p>
            <w:pPr>
              <w:pStyle w:val="3"/>
              <w:spacing w:line="360" w:lineRule="auto"/>
              <w:jc w:val="center"/>
              <w:outlineLvl w:val="4"/>
              <w:rPr>
                <w:rFonts w:ascii="Times New Roman" w:hAnsi="Times New Roman" w:cs="Times New Roman"/>
                <w:color w:val="000000"/>
                <w:spacing w:val="-1"/>
              </w:rPr>
            </w:pPr>
            <w:r>
              <w:rPr>
                <w:rFonts w:ascii="Times New Roman" w:hAnsi="Times New Roman" w:cs="Times New Roman"/>
                <w:color w:val="000000"/>
                <w:spacing w:val="-1"/>
              </w:rPr>
              <w:t>m</w:t>
            </w:r>
            <w:r>
              <w:rPr>
                <w:rFonts w:ascii="Times New Roman" w:hAnsi="Times New Roman" w:cs="Times New Roman"/>
                <w:color w:val="000000"/>
                <w:spacing w:val="-1"/>
                <w:vertAlign w:val="superscript"/>
              </w:rPr>
              <w:t>3</w:t>
            </w:r>
            <w:r>
              <w:rPr>
                <w:rFonts w:ascii="Times New Roman" w:hAnsi="Times New Roman" w:cs="Times New Roman"/>
                <w:color w:val="000000"/>
                <w:spacing w:val="-1"/>
              </w:rPr>
              <w:t>/t产品</w:t>
            </w:r>
          </w:p>
        </w:tc>
        <w:tc>
          <w:tcPr>
            <w:tcW w:w="1126" w:type="pct"/>
            <w:vAlign w:val="center"/>
          </w:tcPr>
          <w:p>
            <w:pPr>
              <w:pStyle w:val="3"/>
              <w:spacing w:line="360" w:lineRule="auto"/>
              <w:jc w:val="center"/>
              <w:outlineLvl w:val="4"/>
              <w:rPr>
                <w:rFonts w:ascii="Times New Roman" w:hAnsi="Times New Roman" w:cs="Times New Roman"/>
                <w:color w:val="000000"/>
                <w:spacing w:val="-1"/>
              </w:rPr>
            </w:pPr>
            <w:r>
              <w:rPr>
                <w:rFonts w:hint="eastAsia" w:ascii="Times New Roman" w:hAnsi="Times New Roman" w:cs="Times New Roman"/>
                <w:color w:val="000000"/>
                <w:spacing w:val="-1"/>
                <w:lang w:eastAsia="zh-CN"/>
              </w:rPr>
              <w:t>2</w:t>
            </w:r>
            <w:r>
              <w:rPr>
                <w:rFonts w:ascii="Times New Roman" w:hAnsi="Times New Roman" w:cs="Times New Roman"/>
                <w:color w:val="000000"/>
                <w:spacing w:val="-1"/>
              </w:rPr>
              <w:t>.0</w:t>
            </w:r>
          </w:p>
        </w:tc>
        <w:tc>
          <w:tcPr>
            <w:tcW w:w="897" w:type="pct"/>
            <w:vMerge w:val="restart"/>
            <w:vAlign w:val="center"/>
          </w:tcPr>
          <w:p>
            <w:pPr>
              <w:pStyle w:val="3"/>
              <w:spacing w:line="360" w:lineRule="auto"/>
              <w:jc w:val="center"/>
              <w:outlineLvl w:val="4"/>
              <w:rPr>
                <w:rFonts w:ascii="Times New Roman" w:hAnsi="Times New Roman" w:cs="Times New Roman"/>
                <w:color w:val="000000"/>
                <w:spacing w:val="-1"/>
                <w:lang w:eastAsia="zh-CN"/>
              </w:rPr>
            </w:pPr>
            <w:r>
              <w:rPr>
                <w:rFonts w:ascii="Times New Roman" w:hAnsi="Times New Roman" w:cs="Times New Roman"/>
                <w:color w:val="000000"/>
                <w:spacing w:val="-1"/>
                <w:lang w:eastAsia="zh-CN"/>
              </w:rPr>
              <w:t>与污染物排放监控位置一致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355" w:type="pct"/>
            <w:vAlign w:val="center"/>
          </w:tcPr>
          <w:p>
            <w:pPr>
              <w:pStyle w:val="3"/>
              <w:spacing w:line="360" w:lineRule="auto"/>
              <w:jc w:val="center"/>
              <w:outlineLvl w:val="4"/>
              <w:rPr>
                <w:rFonts w:ascii="Times New Roman" w:hAnsi="Times New Roman" w:cs="Times New Roman"/>
                <w:color w:val="000000"/>
                <w:spacing w:val="-1"/>
              </w:rPr>
            </w:pPr>
            <w:r>
              <w:rPr>
                <w:rFonts w:ascii="Times New Roman" w:hAnsi="Times New Roman" w:cs="Times New Roman"/>
                <w:color w:val="000000"/>
                <w:spacing w:val="-1"/>
              </w:rPr>
              <w:t>2</w:t>
            </w:r>
          </w:p>
        </w:tc>
        <w:tc>
          <w:tcPr>
            <w:tcW w:w="1577" w:type="pct"/>
            <w:vAlign w:val="center"/>
          </w:tcPr>
          <w:p>
            <w:pPr>
              <w:pStyle w:val="3"/>
              <w:spacing w:line="360" w:lineRule="auto"/>
              <w:jc w:val="center"/>
              <w:outlineLvl w:val="4"/>
              <w:rPr>
                <w:rFonts w:ascii="Times New Roman" w:hAnsi="Times New Roman" w:cs="Times New Roman"/>
                <w:color w:val="000000"/>
                <w:spacing w:val="-1"/>
              </w:rPr>
            </w:pPr>
            <w:r>
              <w:rPr>
                <w:rFonts w:ascii="Times New Roman" w:hAnsi="Times New Roman" w:cs="Times New Roman"/>
                <w:color w:val="000000"/>
                <w:spacing w:val="-1"/>
              </w:rPr>
              <w:t>烟花制造企业</w:t>
            </w:r>
          </w:p>
        </w:tc>
        <w:tc>
          <w:tcPr>
            <w:tcW w:w="1044" w:type="pct"/>
            <w:vAlign w:val="center"/>
          </w:tcPr>
          <w:p>
            <w:pPr>
              <w:pStyle w:val="3"/>
              <w:spacing w:line="360" w:lineRule="auto"/>
              <w:jc w:val="center"/>
              <w:outlineLvl w:val="4"/>
              <w:rPr>
                <w:rFonts w:ascii="Times New Roman" w:hAnsi="Times New Roman" w:cs="Times New Roman"/>
                <w:color w:val="000000"/>
                <w:spacing w:val="-1"/>
                <w:lang w:eastAsia="zh-CN"/>
              </w:rPr>
            </w:pPr>
            <w:r>
              <w:rPr>
                <w:rFonts w:ascii="Times New Roman" w:hAnsi="Times New Roman" w:cs="Times New Roman"/>
                <w:color w:val="000000"/>
                <w:spacing w:val="-1"/>
              </w:rPr>
              <w:t>m</w:t>
            </w:r>
            <w:r>
              <w:rPr>
                <w:rFonts w:ascii="Times New Roman" w:hAnsi="Times New Roman" w:cs="Times New Roman"/>
                <w:color w:val="000000"/>
                <w:spacing w:val="-1"/>
                <w:vertAlign w:val="superscript"/>
              </w:rPr>
              <w:t>3</w:t>
            </w:r>
            <w:r>
              <w:rPr>
                <w:rFonts w:ascii="Times New Roman" w:hAnsi="Times New Roman" w:cs="Times New Roman"/>
                <w:color w:val="000000"/>
                <w:spacing w:val="-1"/>
              </w:rPr>
              <w:t>/万</w:t>
            </w:r>
            <w:r>
              <w:rPr>
                <w:rFonts w:hint="eastAsia" w:ascii="Times New Roman" w:hAnsi="Times New Roman" w:cs="Times New Roman"/>
                <w:color w:val="000000"/>
                <w:spacing w:val="-1"/>
                <w:lang w:eastAsia="zh-CN"/>
              </w:rPr>
              <w:t>箱</w:t>
            </w:r>
          </w:p>
        </w:tc>
        <w:tc>
          <w:tcPr>
            <w:tcW w:w="1126" w:type="pct"/>
            <w:vAlign w:val="center"/>
          </w:tcPr>
          <w:p>
            <w:pPr>
              <w:pStyle w:val="3"/>
              <w:spacing w:line="360" w:lineRule="auto"/>
              <w:jc w:val="center"/>
              <w:outlineLvl w:val="4"/>
              <w:rPr>
                <w:rFonts w:ascii="Times New Roman" w:hAnsi="Times New Roman" w:cs="Times New Roman"/>
                <w:color w:val="000000"/>
                <w:spacing w:val="-1"/>
                <w:lang w:eastAsia="zh-CN"/>
              </w:rPr>
            </w:pPr>
            <w:r>
              <w:rPr>
                <w:rFonts w:hint="eastAsia" w:ascii="Times New Roman" w:hAnsi="Times New Roman" w:cs="Times New Roman"/>
                <w:color w:val="000000"/>
                <w:spacing w:val="-1"/>
                <w:lang w:eastAsia="zh-CN"/>
              </w:rPr>
              <w:t>120</w:t>
            </w:r>
          </w:p>
        </w:tc>
        <w:tc>
          <w:tcPr>
            <w:tcW w:w="897" w:type="pct"/>
            <w:vMerge w:val="continue"/>
            <w:vAlign w:val="center"/>
          </w:tcPr>
          <w:p>
            <w:pPr>
              <w:pStyle w:val="3"/>
              <w:spacing w:line="360" w:lineRule="auto"/>
              <w:jc w:val="center"/>
              <w:outlineLvl w:val="4"/>
              <w:rPr>
                <w:rFonts w:ascii="Times New Roman" w:hAnsi="Times New Roman" w:cs="Times New Roman"/>
                <w:color w:val="000000"/>
                <w:spacing w:val="-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355" w:type="pct"/>
            <w:vAlign w:val="center"/>
          </w:tcPr>
          <w:p>
            <w:pPr>
              <w:pStyle w:val="3"/>
              <w:spacing w:line="360" w:lineRule="auto"/>
              <w:jc w:val="center"/>
              <w:outlineLvl w:val="4"/>
              <w:rPr>
                <w:rFonts w:ascii="Times New Roman" w:hAnsi="Times New Roman" w:cs="Times New Roman"/>
                <w:color w:val="000000"/>
                <w:spacing w:val="-1"/>
              </w:rPr>
            </w:pPr>
            <w:r>
              <w:rPr>
                <w:rFonts w:ascii="Times New Roman" w:hAnsi="Times New Roman" w:cs="Times New Roman"/>
                <w:color w:val="000000"/>
                <w:spacing w:val="-1"/>
              </w:rPr>
              <w:t>3</w:t>
            </w:r>
          </w:p>
        </w:tc>
        <w:tc>
          <w:tcPr>
            <w:tcW w:w="1577" w:type="pct"/>
            <w:vAlign w:val="center"/>
          </w:tcPr>
          <w:p>
            <w:pPr>
              <w:pStyle w:val="3"/>
              <w:spacing w:line="360" w:lineRule="auto"/>
              <w:jc w:val="center"/>
              <w:outlineLvl w:val="4"/>
              <w:rPr>
                <w:rFonts w:ascii="Times New Roman" w:hAnsi="Times New Roman" w:cs="Times New Roman"/>
                <w:color w:val="000000"/>
                <w:spacing w:val="-1"/>
              </w:rPr>
            </w:pPr>
            <w:r>
              <w:rPr>
                <w:rFonts w:ascii="Times New Roman" w:hAnsi="Times New Roman" w:cs="Times New Roman"/>
                <w:color w:val="000000"/>
                <w:spacing w:val="-1"/>
              </w:rPr>
              <w:t>爆竹制造企业</w:t>
            </w:r>
          </w:p>
        </w:tc>
        <w:tc>
          <w:tcPr>
            <w:tcW w:w="1044" w:type="pct"/>
            <w:vAlign w:val="center"/>
          </w:tcPr>
          <w:p>
            <w:pPr>
              <w:pStyle w:val="3"/>
              <w:spacing w:line="360" w:lineRule="auto"/>
              <w:jc w:val="center"/>
              <w:outlineLvl w:val="4"/>
              <w:rPr>
                <w:rFonts w:ascii="Times New Roman" w:hAnsi="Times New Roman" w:cs="Times New Roman"/>
                <w:color w:val="000000"/>
                <w:spacing w:val="-1"/>
                <w:lang w:eastAsia="zh-CN"/>
              </w:rPr>
            </w:pPr>
            <w:r>
              <w:rPr>
                <w:rFonts w:ascii="Times New Roman" w:hAnsi="Times New Roman" w:cs="Times New Roman"/>
                <w:color w:val="000000"/>
                <w:spacing w:val="-1"/>
              </w:rPr>
              <w:t>m</w:t>
            </w:r>
            <w:r>
              <w:rPr>
                <w:rFonts w:ascii="Times New Roman" w:hAnsi="Times New Roman" w:cs="Times New Roman"/>
                <w:color w:val="000000"/>
                <w:spacing w:val="-1"/>
                <w:vertAlign w:val="superscript"/>
              </w:rPr>
              <w:t>3</w:t>
            </w:r>
            <w:r>
              <w:rPr>
                <w:rFonts w:ascii="Times New Roman" w:hAnsi="Times New Roman" w:cs="Times New Roman"/>
                <w:color w:val="000000"/>
                <w:spacing w:val="-1"/>
              </w:rPr>
              <w:t>/</w:t>
            </w:r>
            <w:r>
              <w:rPr>
                <w:rFonts w:hint="eastAsia" w:ascii="Times New Roman" w:hAnsi="Times New Roman" w:cs="Times New Roman"/>
                <w:color w:val="000000"/>
                <w:spacing w:val="-1"/>
                <w:lang w:eastAsia="zh-CN"/>
              </w:rPr>
              <w:t>万箱</w:t>
            </w:r>
          </w:p>
        </w:tc>
        <w:tc>
          <w:tcPr>
            <w:tcW w:w="1126" w:type="pct"/>
            <w:vAlign w:val="center"/>
          </w:tcPr>
          <w:p>
            <w:pPr>
              <w:pStyle w:val="3"/>
              <w:spacing w:line="360" w:lineRule="auto"/>
              <w:jc w:val="center"/>
              <w:outlineLvl w:val="4"/>
              <w:rPr>
                <w:rFonts w:ascii="Times New Roman" w:hAnsi="Times New Roman" w:cs="Times New Roman"/>
                <w:color w:val="000000"/>
                <w:spacing w:val="-1"/>
                <w:lang w:eastAsia="zh-CN"/>
              </w:rPr>
            </w:pPr>
            <w:r>
              <w:rPr>
                <w:rFonts w:hint="eastAsia" w:ascii="Times New Roman" w:hAnsi="Times New Roman" w:cs="Times New Roman"/>
                <w:color w:val="000000"/>
                <w:spacing w:val="-1"/>
                <w:lang w:eastAsia="zh-CN"/>
              </w:rPr>
              <w:t>40</w:t>
            </w:r>
          </w:p>
        </w:tc>
        <w:tc>
          <w:tcPr>
            <w:tcW w:w="897" w:type="pct"/>
            <w:vMerge w:val="continue"/>
            <w:vAlign w:val="center"/>
          </w:tcPr>
          <w:p>
            <w:pPr>
              <w:pStyle w:val="3"/>
              <w:spacing w:line="360" w:lineRule="auto"/>
              <w:jc w:val="center"/>
              <w:outlineLvl w:val="4"/>
              <w:rPr>
                <w:rFonts w:ascii="Times New Roman" w:hAnsi="Times New Roman" w:cs="Times New Roman"/>
                <w:color w:val="000000"/>
                <w:spacing w:val="-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355" w:type="pct"/>
            <w:vAlign w:val="center"/>
          </w:tcPr>
          <w:p>
            <w:pPr>
              <w:pStyle w:val="3"/>
              <w:spacing w:line="360" w:lineRule="auto"/>
              <w:jc w:val="center"/>
              <w:outlineLvl w:val="4"/>
              <w:rPr>
                <w:rFonts w:ascii="Times New Roman" w:hAnsi="Times New Roman" w:cs="Times New Roman"/>
                <w:color w:val="000000"/>
                <w:spacing w:val="-1"/>
              </w:rPr>
            </w:pPr>
            <w:r>
              <w:rPr>
                <w:rFonts w:ascii="Times New Roman" w:hAnsi="Times New Roman" w:cs="Times New Roman"/>
                <w:color w:val="000000"/>
                <w:spacing w:val="-1"/>
              </w:rPr>
              <w:t>4</w:t>
            </w:r>
          </w:p>
        </w:tc>
        <w:tc>
          <w:tcPr>
            <w:tcW w:w="1577" w:type="pct"/>
            <w:vAlign w:val="center"/>
          </w:tcPr>
          <w:p>
            <w:pPr>
              <w:pStyle w:val="3"/>
              <w:spacing w:line="360" w:lineRule="auto"/>
              <w:jc w:val="center"/>
              <w:outlineLvl w:val="4"/>
              <w:rPr>
                <w:rFonts w:ascii="Times New Roman" w:hAnsi="Times New Roman" w:cs="Times New Roman"/>
                <w:color w:val="000000"/>
                <w:spacing w:val="-1"/>
              </w:rPr>
            </w:pPr>
            <w:r>
              <w:rPr>
                <w:rFonts w:ascii="Times New Roman" w:hAnsi="Times New Roman" w:cs="Times New Roman"/>
                <w:color w:val="000000"/>
                <w:spacing w:val="-1"/>
              </w:rPr>
              <w:t>引火线制造企业</w:t>
            </w:r>
          </w:p>
        </w:tc>
        <w:tc>
          <w:tcPr>
            <w:tcW w:w="1044" w:type="pct"/>
            <w:vAlign w:val="center"/>
          </w:tcPr>
          <w:p>
            <w:pPr>
              <w:pStyle w:val="3"/>
              <w:spacing w:line="360" w:lineRule="auto"/>
              <w:jc w:val="center"/>
              <w:outlineLvl w:val="4"/>
              <w:rPr>
                <w:rFonts w:ascii="Times New Roman" w:hAnsi="Times New Roman" w:cs="Times New Roman"/>
                <w:color w:val="000000"/>
                <w:spacing w:val="-1"/>
                <w:lang w:eastAsia="zh-CN"/>
              </w:rPr>
            </w:pPr>
            <w:r>
              <w:rPr>
                <w:rFonts w:ascii="Times New Roman" w:hAnsi="Times New Roman" w:cs="Times New Roman"/>
                <w:color w:val="000000"/>
                <w:spacing w:val="-1"/>
              </w:rPr>
              <w:t>m</w:t>
            </w:r>
            <w:r>
              <w:rPr>
                <w:rFonts w:ascii="Times New Roman" w:hAnsi="Times New Roman" w:cs="Times New Roman"/>
                <w:color w:val="000000"/>
                <w:spacing w:val="-1"/>
                <w:vertAlign w:val="superscript"/>
              </w:rPr>
              <w:t>3</w:t>
            </w:r>
            <w:r>
              <w:rPr>
                <w:rFonts w:ascii="Times New Roman" w:hAnsi="Times New Roman" w:cs="Times New Roman"/>
                <w:color w:val="000000"/>
                <w:spacing w:val="-1"/>
              </w:rPr>
              <w:t>/万</w:t>
            </w:r>
            <w:r>
              <w:rPr>
                <w:rFonts w:hint="eastAsia" w:ascii="Times New Roman" w:hAnsi="Times New Roman" w:cs="Times New Roman"/>
                <w:color w:val="000000"/>
                <w:spacing w:val="-1"/>
                <w:lang w:eastAsia="zh-CN"/>
              </w:rPr>
              <w:t>米</w:t>
            </w:r>
          </w:p>
        </w:tc>
        <w:tc>
          <w:tcPr>
            <w:tcW w:w="1126" w:type="pct"/>
            <w:vAlign w:val="center"/>
          </w:tcPr>
          <w:p>
            <w:pPr>
              <w:pStyle w:val="3"/>
              <w:spacing w:line="360" w:lineRule="auto"/>
              <w:jc w:val="center"/>
              <w:outlineLvl w:val="4"/>
              <w:rPr>
                <w:rFonts w:ascii="Times New Roman" w:hAnsi="Times New Roman" w:cs="Times New Roman"/>
                <w:color w:val="000000"/>
                <w:spacing w:val="-1"/>
                <w:lang w:eastAsia="zh-CN"/>
              </w:rPr>
            </w:pPr>
            <w:r>
              <w:rPr>
                <w:rFonts w:hint="eastAsia" w:ascii="Times New Roman" w:hAnsi="Times New Roman" w:cs="Times New Roman"/>
                <w:color w:val="000000"/>
                <w:spacing w:val="-1"/>
                <w:lang w:eastAsia="zh-CN"/>
              </w:rPr>
              <w:t>0.05</w:t>
            </w:r>
          </w:p>
        </w:tc>
        <w:tc>
          <w:tcPr>
            <w:tcW w:w="897" w:type="pct"/>
            <w:vMerge w:val="continue"/>
            <w:vAlign w:val="center"/>
          </w:tcPr>
          <w:p>
            <w:pPr>
              <w:pStyle w:val="3"/>
              <w:spacing w:line="360" w:lineRule="auto"/>
              <w:jc w:val="center"/>
              <w:outlineLvl w:val="4"/>
              <w:rPr>
                <w:rFonts w:ascii="Times New Roman" w:hAnsi="Times New Roman" w:cs="Times New Roman"/>
                <w:color w:val="000000"/>
                <w:spacing w:val="-1"/>
              </w:rPr>
            </w:pPr>
          </w:p>
        </w:tc>
      </w:tr>
    </w:tbl>
    <w:p>
      <w:pPr>
        <w:pStyle w:val="3"/>
        <w:keepNext/>
        <w:spacing w:line="360" w:lineRule="auto"/>
        <w:ind w:left="0"/>
        <w:jc w:val="both"/>
        <w:outlineLvl w:val="1"/>
        <w:rPr>
          <w:rFonts w:ascii="Times New Roman" w:hAnsi="Times New Roman" w:cs="Times New Roman"/>
          <w:b/>
          <w:bCs/>
          <w:color w:val="000000"/>
          <w:sz w:val="32"/>
          <w:szCs w:val="32"/>
          <w:lang w:eastAsia="zh-CN"/>
        </w:rPr>
      </w:pPr>
      <w:bookmarkStart w:id="125" w:name="_Toc17516"/>
      <w:r>
        <w:rPr>
          <w:rFonts w:hint="eastAsia" w:ascii="Times New Roman" w:hAnsi="Times New Roman" w:cs="Times New Roman"/>
          <w:b/>
          <w:bCs/>
          <w:color w:val="000000"/>
          <w:sz w:val="32"/>
          <w:szCs w:val="32"/>
          <w:lang w:eastAsia="zh-CN"/>
        </w:rPr>
        <w:t>6</w:t>
      </w:r>
      <w:r>
        <w:rPr>
          <w:rFonts w:ascii="Times New Roman" w:hAnsi="Times New Roman" w:cs="Times New Roman"/>
          <w:b/>
          <w:bCs/>
          <w:color w:val="000000"/>
          <w:sz w:val="32"/>
          <w:szCs w:val="32"/>
          <w:lang w:eastAsia="zh-CN"/>
        </w:rPr>
        <w:t>.7 污染物监测要求</w:t>
      </w:r>
      <w:bookmarkEnd w:id="123"/>
      <w:bookmarkEnd w:id="125"/>
    </w:p>
    <w:p>
      <w:pPr>
        <w:pStyle w:val="3"/>
        <w:spacing w:line="360" w:lineRule="auto"/>
        <w:ind w:left="0" w:firstLine="640" w:firstLineChars="200"/>
        <w:jc w:val="both"/>
        <w:rPr>
          <w:rFonts w:ascii="Times New Roman" w:hAnsi="Times New Roman" w:cs="Times New Roman"/>
          <w:color w:val="000000"/>
          <w:sz w:val="32"/>
          <w:szCs w:val="32"/>
          <w:lang w:eastAsia="zh-CN"/>
        </w:rPr>
      </w:pPr>
      <w:bookmarkStart w:id="126" w:name="4.8.2水污染物监测要求"/>
      <w:bookmarkEnd w:id="126"/>
      <w:bookmarkStart w:id="127" w:name="4.8.1污染物监测的一般要求"/>
      <w:bookmarkEnd w:id="127"/>
      <w:r>
        <w:rPr>
          <w:rFonts w:hint="eastAsia" w:ascii="Times New Roman" w:hAnsi="Times New Roman" w:cs="Times New Roman"/>
          <w:color w:val="000000"/>
          <w:sz w:val="32"/>
          <w:szCs w:val="32"/>
          <w:lang w:eastAsia="zh-CN"/>
        </w:rPr>
        <w:t>本文件包括涉高氯酸盐工业企业自行监测、自动监测、监测采样、标志牌设置等内容，具体规定如下：</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（1）企业应按照有关法律和《环境监测管理办法》等规定，建立企业环境监测制度，制定监测方案，对污染物排放状况及其对周边环境的影响按要求开展自行监测，保存原始监测记录。</w:t>
      </w:r>
    </w:p>
    <w:p>
      <w:pPr>
        <w:pStyle w:val="3"/>
        <w:spacing w:line="360" w:lineRule="auto"/>
        <w:ind w:left="0" w:firstLine="648"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pacing w:val="2"/>
          <w:sz w:val="32"/>
          <w:szCs w:val="32"/>
          <w:lang w:eastAsia="zh-CN"/>
        </w:rPr>
        <w:t>（2）</w:t>
      </w:r>
      <w:r>
        <w:rPr>
          <w:rFonts w:ascii="Times New Roman" w:hAnsi="Times New Roman" w:cs="Times New Roman"/>
          <w:color w:val="000000"/>
          <w:spacing w:val="4"/>
          <w:sz w:val="32"/>
          <w:szCs w:val="32"/>
          <w:lang w:eastAsia="zh-CN"/>
        </w:rPr>
        <w:t>企业安装污染物排放自动监控设备的要求，按有关法律和《污染源自动监控管理办法》的规定执行。</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（3</w:t>
      </w:r>
      <w:r>
        <w:rPr>
          <w:rFonts w:ascii="Times New Roman" w:hAnsi="Times New Roman" w:cs="Times New Roman"/>
          <w:color w:val="000000"/>
          <w:spacing w:val="-48"/>
          <w:sz w:val="32"/>
          <w:szCs w:val="32"/>
          <w:lang w:eastAsia="zh-CN"/>
        </w:rPr>
        <w:t>）</w:t>
      </w:r>
      <w:r>
        <w:rPr>
          <w:rFonts w:ascii="Times New Roman" w:hAnsi="Times New Roman" w:cs="Times New Roman"/>
          <w:color w:val="000000"/>
          <w:sz w:val="32"/>
          <w:szCs w:val="32"/>
          <w:lang w:eastAsia="zh-CN"/>
        </w:rPr>
        <w:t>污染物监测采样点的设置与采样方法按HJ 91.1、HJ 493、HJ 494、HJ 495的规定执行。企业应按照环境监测管理规定和技术规范的要求，设计、建设、维护永久性采样口（排污口）、采样测试平台。</w:t>
      </w:r>
    </w:p>
    <w:p>
      <w:pPr>
        <w:pStyle w:val="3"/>
        <w:spacing w:line="360" w:lineRule="auto"/>
        <w:ind w:left="0"/>
        <w:jc w:val="both"/>
        <w:outlineLvl w:val="1"/>
        <w:rPr>
          <w:rFonts w:ascii="Times New Roman" w:hAnsi="Times New Roman" w:cs="Times New Roman"/>
          <w:b/>
          <w:bCs/>
          <w:color w:val="000000"/>
          <w:sz w:val="32"/>
          <w:szCs w:val="32"/>
          <w:lang w:eastAsia="zh-CN"/>
        </w:rPr>
      </w:pPr>
      <w:bookmarkStart w:id="128" w:name="_bookmark20"/>
      <w:bookmarkEnd w:id="128"/>
      <w:bookmarkStart w:id="129" w:name="4.9监测方法"/>
      <w:bookmarkEnd w:id="129"/>
      <w:bookmarkStart w:id="130" w:name="_Toc24114"/>
      <w:bookmarkStart w:id="131" w:name="_Toc18335"/>
      <w:r>
        <w:rPr>
          <w:rFonts w:hint="eastAsia" w:ascii="Times New Roman" w:hAnsi="Times New Roman" w:cs="Times New Roman"/>
          <w:b/>
          <w:bCs/>
          <w:color w:val="000000"/>
          <w:sz w:val="32"/>
          <w:szCs w:val="32"/>
          <w:lang w:eastAsia="zh-CN"/>
        </w:rPr>
        <w:t>6</w:t>
      </w:r>
      <w:r>
        <w:rPr>
          <w:rFonts w:ascii="Times New Roman" w:hAnsi="Times New Roman" w:cs="Times New Roman"/>
          <w:b/>
          <w:bCs/>
          <w:color w:val="000000"/>
          <w:sz w:val="32"/>
          <w:szCs w:val="32"/>
          <w:lang w:eastAsia="zh-CN"/>
        </w:rPr>
        <w:t>.8 监测方法</w:t>
      </w:r>
      <w:bookmarkEnd w:id="130"/>
      <w:bookmarkEnd w:id="131"/>
    </w:p>
    <w:p>
      <w:pPr>
        <w:pStyle w:val="3"/>
        <w:spacing w:line="360" w:lineRule="auto"/>
        <w:ind w:left="0" w:firstLine="640" w:firstLineChars="200"/>
        <w:jc w:val="both"/>
        <w:rPr>
          <w:rFonts w:ascii="Times New Roman" w:hAnsi="Times New Roman" w:cs="Times New Roman"/>
          <w:color w:val="000000"/>
          <w:sz w:val="32"/>
          <w:szCs w:val="32"/>
          <w:lang w:eastAsia="zh-CN"/>
        </w:rPr>
      </w:pPr>
      <w:bookmarkStart w:id="132" w:name="OLE_LINK10"/>
      <w:r>
        <w:rPr>
          <w:rFonts w:hint="eastAsia" w:ascii="Times New Roman" w:hAnsi="Times New Roman" w:cs="Times New Roman"/>
          <w:color w:val="000000"/>
          <w:sz w:val="32"/>
          <w:szCs w:val="32"/>
          <w:lang w:eastAsia="zh-CN"/>
        </w:rPr>
        <w:t>高氯酸盐检测方法主要有离子色谱法、液相色谱</w:t>
      </w:r>
      <w:r>
        <w:rPr>
          <w:rFonts w:ascii="Times New Roman" w:hAnsi="Times New Roman" w:cs="Times New Roman"/>
          <w:color w:val="000000"/>
          <w:sz w:val="32"/>
          <w:szCs w:val="32"/>
          <w:lang w:eastAsia="zh-CN"/>
        </w:rPr>
        <w:t>-</w:t>
      </w:r>
      <w:r>
        <w:rPr>
          <w:rFonts w:hint="eastAsia" w:ascii="Times New Roman" w:hAnsi="Times New Roman" w:cs="Times New Roman"/>
          <w:color w:val="000000"/>
          <w:sz w:val="32"/>
          <w:szCs w:val="32"/>
          <w:lang w:eastAsia="zh-CN"/>
        </w:rPr>
        <w:t>质谱联用法、分光光度法、比色法等，目前</w:t>
      </w:r>
      <w:r>
        <w:rPr>
          <w:rFonts w:ascii="Times New Roman" w:hAnsi="Times New Roman" w:cs="Times New Roman"/>
          <w:color w:val="000000"/>
          <w:sz w:val="32"/>
          <w:szCs w:val="32"/>
          <w:lang w:eastAsia="zh-CN"/>
        </w:rPr>
        <w:t>省生态环境监测中心正在同步制定《水质 高氯酸盐的测定 离子色谱法》</w:t>
      </w:r>
      <w:r>
        <w:rPr>
          <w:rFonts w:hint="eastAsia" w:ascii="Times New Roman" w:hAnsi="Times New Roman" w:cs="Times New Roman"/>
          <w:color w:val="000000"/>
          <w:sz w:val="32"/>
          <w:szCs w:val="32"/>
          <w:lang w:eastAsia="zh-CN"/>
        </w:rPr>
        <w:t>（DB XXXX）</w:t>
      </w:r>
      <w:r>
        <w:rPr>
          <w:rFonts w:ascii="Times New Roman" w:hAnsi="Times New Roman" w:cs="Times New Roman"/>
          <w:color w:val="000000"/>
          <w:sz w:val="32"/>
          <w:szCs w:val="32"/>
          <w:lang w:eastAsia="zh-CN"/>
        </w:rPr>
        <w:t>，</w:t>
      </w:r>
      <w:r>
        <w:rPr>
          <w:rFonts w:hint="eastAsia" w:ascii="Times New Roman" w:hAnsi="Times New Roman" w:cs="Times New Roman"/>
          <w:color w:val="000000"/>
          <w:sz w:val="32"/>
          <w:szCs w:val="32"/>
          <w:lang w:eastAsia="zh-CN"/>
        </w:rPr>
        <w:t>本文件</w:t>
      </w:r>
      <w:r>
        <w:rPr>
          <w:rFonts w:ascii="Times New Roman" w:hAnsi="Times New Roman" w:cs="Times New Roman"/>
          <w:color w:val="000000"/>
          <w:sz w:val="32"/>
          <w:szCs w:val="32"/>
          <w:lang w:eastAsia="zh-CN"/>
        </w:rPr>
        <w:t>水污染物高氯酸盐浓度的测定引用该测定标准。</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本文件</w:t>
      </w:r>
      <w:r>
        <w:rPr>
          <w:rFonts w:ascii="Times New Roman" w:hAnsi="Times New Roman" w:cs="Times New Roman"/>
          <w:color w:val="000000"/>
          <w:sz w:val="32"/>
          <w:szCs w:val="32"/>
          <w:lang w:eastAsia="zh-CN"/>
        </w:rPr>
        <w:t>实施后国家发布的污染物监测方法标准，如适用性满足要求，同样适用于</w:t>
      </w:r>
      <w:r>
        <w:rPr>
          <w:rFonts w:hint="eastAsia" w:ascii="Times New Roman" w:hAnsi="Times New Roman" w:cs="Times New Roman"/>
          <w:color w:val="000000"/>
          <w:sz w:val="32"/>
          <w:szCs w:val="32"/>
          <w:lang w:eastAsia="zh-CN"/>
        </w:rPr>
        <w:t>本文件</w:t>
      </w:r>
      <w:r>
        <w:rPr>
          <w:rFonts w:ascii="Times New Roman" w:hAnsi="Times New Roman" w:cs="Times New Roman"/>
          <w:color w:val="000000"/>
          <w:sz w:val="32"/>
          <w:szCs w:val="32"/>
          <w:lang w:eastAsia="zh-CN"/>
        </w:rPr>
        <w:t>高氯酸盐污染物的测定。</w:t>
      </w:r>
      <w:bookmarkEnd w:id="132"/>
    </w:p>
    <w:p>
      <w:pPr>
        <w:pStyle w:val="3"/>
        <w:spacing w:line="360" w:lineRule="auto"/>
        <w:ind w:left="0"/>
        <w:jc w:val="both"/>
        <w:outlineLvl w:val="1"/>
        <w:rPr>
          <w:rFonts w:ascii="Times New Roman" w:hAnsi="Times New Roman" w:cs="Times New Roman"/>
          <w:b/>
          <w:bCs/>
          <w:color w:val="000000"/>
          <w:sz w:val="32"/>
          <w:szCs w:val="32"/>
          <w:lang w:eastAsia="zh-CN"/>
        </w:rPr>
      </w:pPr>
      <w:bookmarkStart w:id="133" w:name="_bookmark21"/>
      <w:bookmarkEnd w:id="133"/>
      <w:bookmarkStart w:id="134" w:name="4.10实施与监督"/>
      <w:bookmarkEnd w:id="134"/>
      <w:bookmarkStart w:id="135" w:name="_Toc10446"/>
      <w:bookmarkStart w:id="136" w:name="_Toc10758"/>
      <w:bookmarkStart w:id="137" w:name="_Toc139320544"/>
      <w:bookmarkStart w:id="138" w:name="_Toc25758"/>
      <w:r>
        <w:rPr>
          <w:rFonts w:hint="eastAsia" w:ascii="Times New Roman" w:hAnsi="Times New Roman" w:cs="Times New Roman"/>
          <w:b/>
          <w:bCs/>
          <w:color w:val="000000"/>
          <w:sz w:val="32"/>
          <w:szCs w:val="32"/>
          <w:lang w:eastAsia="zh-CN"/>
        </w:rPr>
        <w:t>6</w:t>
      </w:r>
      <w:r>
        <w:rPr>
          <w:rFonts w:ascii="Times New Roman" w:hAnsi="Times New Roman" w:cs="Times New Roman"/>
          <w:b/>
          <w:bCs/>
          <w:color w:val="000000"/>
          <w:sz w:val="32"/>
          <w:szCs w:val="32"/>
          <w:lang w:eastAsia="zh-CN"/>
        </w:rPr>
        <w:t xml:space="preserve">.9 </w:t>
      </w:r>
      <w:r>
        <w:rPr>
          <w:rFonts w:hint="eastAsia" w:ascii="Times New Roman" w:hAnsi="Times New Roman" w:cs="Times New Roman"/>
          <w:b/>
          <w:bCs/>
          <w:color w:val="000000"/>
          <w:sz w:val="32"/>
          <w:szCs w:val="32"/>
          <w:lang w:eastAsia="zh-CN"/>
        </w:rPr>
        <w:t>污水排放口规范化要求</w:t>
      </w:r>
      <w:bookmarkEnd w:id="135"/>
      <w:bookmarkEnd w:id="136"/>
      <w:bookmarkEnd w:id="137"/>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本文件规定了污水总排放口和采样点的设置规范及排污口设置规范等内容，具体如下：</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1</w:t>
      </w:r>
      <w:r>
        <w:rPr>
          <w:rFonts w:hint="eastAsia" w:ascii="Times New Roman" w:hAnsi="Times New Roman" w:cs="Times New Roman"/>
          <w:color w:val="000000"/>
          <w:sz w:val="32"/>
          <w:szCs w:val="32"/>
          <w:lang w:eastAsia="zh-CN"/>
        </w:rPr>
        <w:t>）污水总排放口和采样点的设置应符合</w:t>
      </w:r>
      <w:r>
        <w:rPr>
          <w:rFonts w:ascii="Times New Roman" w:hAnsi="Times New Roman" w:cs="Times New Roman"/>
          <w:color w:val="000000"/>
          <w:sz w:val="32"/>
          <w:szCs w:val="32"/>
          <w:lang w:eastAsia="zh-CN"/>
        </w:rPr>
        <w:t>HJ 91.1</w:t>
      </w:r>
      <w:r>
        <w:rPr>
          <w:rFonts w:hint="eastAsia" w:ascii="Times New Roman" w:hAnsi="Times New Roman" w:cs="Times New Roman"/>
          <w:color w:val="000000"/>
          <w:sz w:val="32"/>
          <w:szCs w:val="32"/>
          <w:lang w:eastAsia="zh-CN"/>
        </w:rPr>
        <w:t>的规定。</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2</w:t>
      </w:r>
      <w:r>
        <w:rPr>
          <w:rFonts w:hint="eastAsia" w:ascii="Times New Roman" w:hAnsi="Times New Roman" w:cs="Times New Roman"/>
          <w:color w:val="000000"/>
          <w:sz w:val="32"/>
          <w:szCs w:val="32"/>
          <w:lang w:eastAsia="zh-CN"/>
        </w:rPr>
        <w:t>）应按照</w:t>
      </w:r>
      <w:r>
        <w:rPr>
          <w:rFonts w:ascii="Times New Roman" w:hAnsi="Times New Roman" w:cs="Times New Roman"/>
          <w:color w:val="000000"/>
          <w:sz w:val="32"/>
          <w:szCs w:val="32"/>
          <w:lang w:eastAsia="zh-CN"/>
        </w:rPr>
        <w:t>GB 15562.1</w:t>
      </w:r>
      <w:r>
        <w:rPr>
          <w:rFonts w:hint="eastAsia" w:ascii="Times New Roman" w:hAnsi="Times New Roman" w:cs="Times New Roman"/>
          <w:color w:val="000000"/>
          <w:sz w:val="32"/>
          <w:szCs w:val="32"/>
          <w:lang w:eastAsia="zh-CN"/>
        </w:rPr>
        <w:t>和《关于印发排放口标志牌技术规格的通知》的有关规定，在污水总排放口附近醒目处设置警告性污水排放口标志牌，并长久保留。</w:t>
      </w:r>
    </w:p>
    <w:p>
      <w:pPr>
        <w:pStyle w:val="3"/>
        <w:spacing w:line="360" w:lineRule="auto"/>
        <w:ind w:left="0"/>
        <w:jc w:val="both"/>
        <w:outlineLvl w:val="1"/>
        <w:rPr>
          <w:rFonts w:ascii="Times New Roman" w:hAnsi="Times New Roman" w:cs="Times New Roman"/>
          <w:b/>
          <w:bCs/>
          <w:color w:val="000000"/>
          <w:sz w:val="32"/>
          <w:szCs w:val="32"/>
          <w:lang w:eastAsia="zh-CN"/>
        </w:rPr>
      </w:pPr>
      <w:bookmarkStart w:id="139" w:name="_Toc29151"/>
      <w:r>
        <w:rPr>
          <w:rFonts w:hint="eastAsia" w:ascii="Times New Roman" w:hAnsi="Times New Roman" w:cs="Times New Roman"/>
          <w:b/>
          <w:bCs/>
          <w:color w:val="000000"/>
          <w:sz w:val="32"/>
          <w:szCs w:val="32"/>
          <w:lang w:eastAsia="zh-CN"/>
        </w:rPr>
        <w:t>6</w:t>
      </w:r>
      <w:r>
        <w:rPr>
          <w:rFonts w:ascii="Times New Roman" w:hAnsi="Times New Roman" w:cs="Times New Roman"/>
          <w:b/>
          <w:bCs/>
          <w:color w:val="000000"/>
          <w:sz w:val="32"/>
          <w:szCs w:val="32"/>
          <w:lang w:eastAsia="zh-CN"/>
        </w:rPr>
        <w:t>.10 实施与监督</w:t>
      </w:r>
      <w:bookmarkEnd w:id="138"/>
      <w:bookmarkEnd w:id="139"/>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本文件提出了高氯酸盐生产企业和烟花爆竹企业高氯酸盐污染物排放限值，其中，烟花爆竹企业高温停产期为</w:t>
      </w:r>
      <w:r>
        <w:rPr>
          <w:rFonts w:ascii="Times New Roman" w:hAnsi="Times New Roman" w:cs="Times New Roman"/>
          <w:color w:val="000000"/>
          <w:sz w:val="32"/>
          <w:szCs w:val="32"/>
          <w:lang w:eastAsia="zh-CN"/>
        </w:rPr>
        <w:t>6</w:t>
      </w:r>
      <w:r>
        <w:rPr>
          <w:rFonts w:hint="eastAsia" w:ascii="Times New Roman" w:hAnsi="Times New Roman" w:cs="Times New Roman"/>
          <w:color w:val="000000"/>
          <w:sz w:val="32"/>
          <w:szCs w:val="32"/>
          <w:lang w:eastAsia="zh-CN"/>
        </w:rPr>
        <w:t>月至</w:t>
      </w:r>
      <w:r>
        <w:rPr>
          <w:rFonts w:ascii="Times New Roman" w:hAnsi="Times New Roman" w:cs="Times New Roman"/>
          <w:color w:val="000000"/>
          <w:sz w:val="32"/>
          <w:szCs w:val="32"/>
          <w:lang w:eastAsia="zh-CN"/>
        </w:rPr>
        <w:t>8</w:t>
      </w:r>
      <w:r>
        <w:rPr>
          <w:rFonts w:hint="eastAsia" w:ascii="Times New Roman" w:hAnsi="Times New Roman" w:cs="Times New Roman"/>
          <w:color w:val="000000"/>
          <w:sz w:val="32"/>
          <w:szCs w:val="32"/>
          <w:lang w:eastAsia="zh-CN"/>
        </w:rPr>
        <w:t>月底，相关企业可趁着高温停产期开展整改，企业整改</w:t>
      </w:r>
      <w:r>
        <w:rPr>
          <w:rFonts w:hint="eastAsia" w:ascii="Times New Roman" w:hAnsi="Times New Roman" w:eastAsia="仿宋_GB2312" w:cs="Times New Roman"/>
          <w:color w:val="000000"/>
          <w:sz w:val="32"/>
          <w:szCs w:val="32"/>
          <w:lang w:eastAsia="zh-CN"/>
        </w:rPr>
        <w:t>均应在应急部门的监督和指导下进行，</w:t>
      </w:r>
      <w:r>
        <w:rPr>
          <w:rFonts w:hint="eastAsia" w:ascii="Times New Roman" w:hAnsi="Times New Roman" w:cs="Times New Roman"/>
          <w:color w:val="000000"/>
          <w:sz w:val="32"/>
          <w:szCs w:val="32"/>
          <w:lang w:eastAsia="zh-CN"/>
        </w:rPr>
        <w:t>建议新建企业自2023年XX月XX日起执行本文件（标准发布后），现有企业自2023年XX月XX日起执行本文件（标准发布3个月后）。</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（1）</w:t>
      </w:r>
      <w:r>
        <w:rPr>
          <w:rFonts w:hint="eastAsia" w:ascii="Times New Roman" w:hAnsi="Times New Roman" w:cs="Times New Roman"/>
          <w:color w:val="000000"/>
          <w:sz w:val="32"/>
          <w:szCs w:val="32"/>
          <w:lang w:eastAsia="zh-CN"/>
        </w:rPr>
        <w:t>本文件</w:t>
      </w:r>
      <w:r>
        <w:rPr>
          <w:rFonts w:ascii="Times New Roman" w:hAnsi="Times New Roman" w:cs="Times New Roman"/>
          <w:color w:val="000000"/>
          <w:sz w:val="32"/>
          <w:szCs w:val="32"/>
          <w:lang w:eastAsia="zh-CN"/>
        </w:rPr>
        <w:t>由生态环境主管部门负责监督实施。</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（2）涉高氯酸盐工业企业是实施</w:t>
      </w:r>
      <w:r>
        <w:rPr>
          <w:rFonts w:hint="eastAsia" w:ascii="Times New Roman" w:hAnsi="Times New Roman" w:cs="Times New Roman"/>
          <w:color w:val="000000"/>
          <w:sz w:val="32"/>
          <w:szCs w:val="32"/>
          <w:lang w:eastAsia="zh-CN"/>
        </w:rPr>
        <w:t>本文件</w:t>
      </w:r>
      <w:r>
        <w:rPr>
          <w:rFonts w:ascii="Times New Roman" w:hAnsi="Times New Roman" w:cs="Times New Roman"/>
          <w:color w:val="000000"/>
          <w:sz w:val="32"/>
          <w:szCs w:val="32"/>
          <w:lang w:eastAsia="zh-CN"/>
        </w:rPr>
        <w:t>的责任主体，在任何情况下，均应遵守本</w:t>
      </w:r>
      <w:r>
        <w:rPr>
          <w:rFonts w:hint="eastAsia" w:ascii="Times New Roman" w:hAnsi="Times New Roman" w:cs="Times New Roman"/>
          <w:color w:val="000000"/>
          <w:sz w:val="32"/>
          <w:szCs w:val="32"/>
          <w:lang w:eastAsia="zh-CN"/>
        </w:rPr>
        <w:t>文件</w:t>
      </w:r>
      <w:r>
        <w:rPr>
          <w:rFonts w:ascii="Times New Roman" w:hAnsi="Times New Roman" w:cs="Times New Roman"/>
          <w:color w:val="000000"/>
          <w:sz w:val="32"/>
          <w:szCs w:val="32"/>
          <w:lang w:eastAsia="zh-CN"/>
        </w:rPr>
        <w:t>规定的高氯酸盐污染物排放控制要求，采取必要的措施，保证污染防治设施正常运行。</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（3）生态环境主管部门在对涉高氯酸盐工业企业进行监督检查时，可以现场即时采样或监测的结果作为判定排污行为是否符合</w:t>
      </w:r>
      <w:r>
        <w:rPr>
          <w:rFonts w:hint="eastAsia" w:ascii="Times New Roman" w:hAnsi="Times New Roman" w:cs="Times New Roman"/>
          <w:color w:val="000000"/>
          <w:sz w:val="32"/>
          <w:szCs w:val="32"/>
          <w:lang w:eastAsia="zh-CN"/>
        </w:rPr>
        <w:t>本文件</w:t>
      </w:r>
      <w:r>
        <w:rPr>
          <w:rFonts w:ascii="Times New Roman" w:hAnsi="Times New Roman" w:cs="Times New Roman"/>
          <w:color w:val="000000"/>
          <w:sz w:val="32"/>
          <w:szCs w:val="32"/>
          <w:lang w:eastAsia="zh-CN"/>
        </w:rPr>
        <w:t>以及实施相关生态环境保护管理措施的依据。</w:t>
      </w:r>
    </w:p>
    <w:p>
      <w:pPr>
        <w:keepNext/>
        <w:spacing w:line="360" w:lineRule="auto"/>
        <w:jc w:val="both"/>
        <w:outlineLvl w:val="0"/>
        <w:rPr>
          <w:rFonts w:ascii="Times New Roman" w:hAnsi="Times New Roman" w:eastAsia="仿宋" w:cs="Times New Roman"/>
          <w:b/>
          <w:bCs/>
          <w:color w:val="000000"/>
          <w:sz w:val="36"/>
          <w:szCs w:val="36"/>
          <w:lang w:eastAsia="zh-CN"/>
        </w:rPr>
        <w:sectPr>
          <w:pgSz w:w="11906" w:h="16840"/>
          <w:pgMar w:top="1440" w:right="1560" w:bottom="1380" w:left="1680" w:header="0" w:footer="1196" w:gutter="0"/>
          <w:cols w:space="720" w:num="1"/>
        </w:sectPr>
      </w:pPr>
      <w:bookmarkStart w:id="140" w:name="6标准实施的环境、经济效益分析"/>
      <w:bookmarkEnd w:id="140"/>
      <w:bookmarkStart w:id="141" w:name="_bookmark25"/>
      <w:bookmarkEnd w:id="141"/>
      <w:bookmarkStart w:id="142" w:name="_bookmark22"/>
      <w:bookmarkEnd w:id="142"/>
      <w:bookmarkStart w:id="143" w:name="5国内外相关标准情况对比"/>
      <w:bookmarkEnd w:id="143"/>
      <w:bookmarkStart w:id="144" w:name="_Toc27240"/>
      <w:bookmarkStart w:id="145" w:name="_Toc21511"/>
    </w:p>
    <w:p>
      <w:pPr>
        <w:keepNext/>
        <w:spacing w:line="360" w:lineRule="auto"/>
        <w:jc w:val="both"/>
        <w:outlineLvl w:val="0"/>
        <w:rPr>
          <w:rFonts w:ascii="Times New Roman" w:hAnsi="Times New Roman" w:eastAsia="仿宋" w:cs="Times New Roman"/>
          <w:b/>
          <w:bCs/>
          <w:color w:val="000000"/>
          <w:sz w:val="36"/>
          <w:szCs w:val="36"/>
          <w:lang w:eastAsia="zh-CN"/>
        </w:rPr>
      </w:pPr>
      <w:bookmarkStart w:id="146" w:name="_Toc2566"/>
      <w:r>
        <w:rPr>
          <w:rFonts w:hint="eastAsia" w:ascii="Times New Roman" w:hAnsi="Times New Roman" w:eastAsia="仿宋" w:cs="Times New Roman"/>
          <w:b/>
          <w:bCs/>
          <w:color w:val="000000"/>
          <w:sz w:val="36"/>
          <w:szCs w:val="36"/>
          <w:lang w:eastAsia="zh-CN"/>
        </w:rPr>
        <w:t>7</w:t>
      </w:r>
      <w:r>
        <w:rPr>
          <w:rFonts w:ascii="Times New Roman" w:hAnsi="Times New Roman" w:eastAsia="仿宋" w:cs="Times New Roman"/>
          <w:b/>
          <w:bCs/>
          <w:color w:val="000000"/>
          <w:sz w:val="36"/>
          <w:szCs w:val="36"/>
          <w:lang w:eastAsia="zh-CN"/>
        </w:rPr>
        <w:t xml:space="preserve">  标准技术可达性</w:t>
      </w:r>
      <w:bookmarkEnd w:id="144"/>
      <w:bookmarkEnd w:id="145"/>
      <w:r>
        <w:rPr>
          <w:rFonts w:ascii="Times New Roman" w:hAnsi="Times New Roman" w:eastAsia="仿宋" w:cs="Times New Roman"/>
          <w:b/>
          <w:bCs/>
          <w:color w:val="000000"/>
          <w:sz w:val="36"/>
          <w:szCs w:val="36"/>
          <w:lang w:eastAsia="zh-CN"/>
        </w:rPr>
        <w:t>分析</w:t>
      </w:r>
      <w:bookmarkEnd w:id="146"/>
    </w:p>
    <w:p>
      <w:pPr>
        <w:pStyle w:val="3"/>
        <w:spacing w:line="360" w:lineRule="auto"/>
        <w:ind w:left="0"/>
        <w:jc w:val="both"/>
        <w:outlineLvl w:val="1"/>
        <w:rPr>
          <w:rFonts w:ascii="Times New Roman" w:hAnsi="Times New Roman" w:cs="Times New Roman"/>
          <w:b/>
          <w:bCs/>
          <w:color w:val="000000"/>
          <w:sz w:val="32"/>
          <w:szCs w:val="32"/>
          <w:lang w:eastAsia="zh-CN"/>
        </w:rPr>
      </w:pPr>
      <w:bookmarkStart w:id="147" w:name="6.1环境效益分析"/>
      <w:bookmarkEnd w:id="147"/>
      <w:bookmarkStart w:id="148" w:name="_bookmark26"/>
      <w:bookmarkEnd w:id="148"/>
      <w:bookmarkStart w:id="149" w:name="_Toc31729"/>
      <w:r>
        <w:rPr>
          <w:rFonts w:hint="eastAsia" w:ascii="Times New Roman" w:hAnsi="Times New Roman" w:cs="Times New Roman"/>
          <w:b/>
          <w:bCs/>
          <w:color w:val="000000"/>
          <w:sz w:val="32"/>
          <w:szCs w:val="32"/>
          <w:lang w:eastAsia="zh-CN"/>
        </w:rPr>
        <w:t>7</w:t>
      </w:r>
      <w:r>
        <w:rPr>
          <w:rFonts w:ascii="Times New Roman" w:hAnsi="Times New Roman" w:cs="Times New Roman"/>
          <w:b/>
          <w:bCs/>
          <w:color w:val="000000"/>
          <w:sz w:val="32"/>
          <w:szCs w:val="32"/>
          <w:lang w:eastAsia="zh-CN"/>
        </w:rPr>
        <w:t xml:space="preserve">.1 </w:t>
      </w:r>
      <w:r>
        <w:rPr>
          <w:rFonts w:ascii="Times New Roman" w:hAnsi="Times New Roman" w:cs="Times New Roman"/>
          <w:b/>
          <w:color w:val="000000"/>
          <w:sz w:val="32"/>
          <w:szCs w:val="32"/>
          <w:lang w:eastAsia="zh-CN"/>
        </w:rPr>
        <w:t>高效吸附处理技术</w:t>
      </w:r>
      <w:bookmarkEnd w:id="149"/>
    </w:p>
    <w:p>
      <w:pPr>
        <w:pStyle w:val="3"/>
        <w:spacing w:line="360" w:lineRule="auto"/>
        <w:ind w:left="0" w:firstLine="480"/>
        <w:jc w:val="both"/>
        <w:rPr>
          <w:rFonts w:ascii="Times New Roman" w:hAnsi="Times New Roman" w:cs="Times New Roman"/>
          <w:b/>
          <w:color w:val="000000"/>
          <w:sz w:val="32"/>
          <w:szCs w:val="32"/>
          <w:lang w:eastAsia="zh-CN"/>
        </w:rPr>
      </w:pPr>
      <w:r>
        <w:rPr>
          <w:rFonts w:ascii="Times New Roman" w:hAnsi="Times New Roman" w:cs="Times New Roman"/>
          <w:b/>
          <w:color w:val="000000"/>
          <w:sz w:val="32"/>
          <w:szCs w:val="32"/>
          <w:lang w:eastAsia="zh-CN"/>
        </w:rPr>
        <w:t>（1）高效吸附处理技术</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针对</w:t>
      </w:r>
      <w:r>
        <w:rPr>
          <w:rFonts w:hint="eastAsia" w:ascii="Times New Roman" w:hAnsi="Times New Roman" w:cs="Times New Roman"/>
          <w:color w:val="000000"/>
          <w:sz w:val="32"/>
          <w:szCs w:val="32"/>
          <w:lang w:eastAsia="zh-CN"/>
        </w:rPr>
        <w:t>烟花爆竹企业</w:t>
      </w:r>
      <w:r>
        <w:rPr>
          <w:rFonts w:ascii="Times New Roman" w:hAnsi="Times New Roman" w:cs="Times New Roman"/>
          <w:color w:val="000000"/>
          <w:sz w:val="32"/>
          <w:szCs w:val="32"/>
          <w:lang w:eastAsia="zh-CN"/>
        </w:rPr>
        <w:t>生产废水，省内科研院所已开发形成移动式一体化处理系统，日处理量可达50吨。采用预处理-砂滤-靶向高效吸附处理工艺，去除废水中高氯酸盐、重金属等因子，处理后出水高氯酸盐</w:t>
      </w:r>
      <w:r>
        <w:rPr>
          <w:rFonts w:hint="eastAsia" w:ascii="Times New Roman" w:hAnsi="Times New Roman" w:cs="Times New Roman"/>
          <w:color w:val="000000"/>
          <w:sz w:val="32"/>
          <w:szCs w:val="32"/>
          <w:lang w:eastAsia="zh-CN"/>
        </w:rPr>
        <w:t>可</w:t>
      </w:r>
      <w:r>
        <w:rPr>
          <w:rFonts w:ascii="Times New Roman" w:hAnsi="Times New Roman" w:cs="Times New Roman"/>
          <w:color w:val="000000"/>
          <w:sz w:val="32"/>
          <w:szCs w:val="32"/>
          <w:lang w:eastAsia="zh-CN"/>
        </w:rPr>
        <w:t>小于0.07 mg/L。吸附材料饱和后，进行再生处理，实现材料重复利用，高浓度再生液送往高氯酸盐生产企业回收利用</w:t>
      </w:r>
      <w:r>
        <w:rPr>
          <w:rFonts w:hint="eastAsia" w:ascii="Times New Roman" w:hAnsi="Times New Roman" w:cs="Times New Roman"/>
          <w:color w:val="000000"/>
          <w:sz w:val="32"/>
          <w:szCs w:val="32"/>
          <w:lang w:eastAsia="zh-CN"/>
        </w:rPr>
        <w:t>。</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通过</w:t>
      </w:r>
      <w:r>
        <w:rPr>
          <w:rFonts w:hint="eastAsia" w:ascii="Times New Roman" w:hAnsi="Times New Roman" w:cs="Times New Roman"/>
          <w:color w:val="000000"/>
          <w:sz w:val="32"/>
          <w:szCs w:val="32"/>
          <w:lang w:eastAsia="zh-CN"/>
        </w:rPr>
        <w:t>工业化</w:t>
      </w:r>
      <w:r>
        <w:rPr>
          <w:rFonts w:ascii="Times New Roman" w:hAnsi="Times New Roman" w:cs="Times New Roman"/>
          <w:color w:val="000000"/>
          <w:sz w:val="32"/>
          <w:szCs w:val="32"/>
          <w:lang w:eastAsia="zh-CN"/>
        </w:rPr>
        <w:t>试验效果分析，企业高氯酸盐</w:t>
      </w:r>
      <w:r>
        <w:rPr>
          <w:rFonts w:hint="eastAsia" w:ascii="Times New Roman" w:hAnsi="Times New Roman" w:cs="Times New Roman"/>
          <w:color w:val="000000"/>
          <w:sz w:val="32"/>
          <w:szCs w:val="32"/>
          <w:lang w:eastAsia="zh-CN"/>
        </w:rPr>
        <w:t>废水</w:t>
      </w:r>
      <w:r>
        <w:rPr>
          <w:rFonts w:ascii="Times New Roman" w:hAnsi="Times New Roman" w:cs="Times New Roman"/>
          <w:color w:val="000000"/>
          <w:sz w:val="32"/>
          <w:szCs w:val="32"/>
          <w:lang w:eastAsia="zh-CN"/>
        </w:rPr>
        <w:t>实现达标</w:t>
      </w:r>
      <w:r>
        <w:rPr>
          <w:rFonts w:hint="eastAsia" w:ascii="Times New Roman" w:hAnsi="Times New Roman" w:cs="Times New Roman"/>
          <w:color w:val="000000"/>
          <w:sz w:val="32"/>
          <w:szCs w:val="32"/>
          <w:lang w:eastAsia="zh-CN"/>
        </w:rPr>
        <w:t>排放技术上</w:t>
      </w:r>
      <w:r>
        <w:rPr>
          <w:rFonts w:ascii="Times New Roman" w:hAnsi="Times New Roman" w:cs="Times New Roman"/>
          <w:color w:val="000000"/>
          <w:sz w:val="32"/>
          <w:szCs w:val="32"/>
          <w:lang w:eastAsia="zh-CN"/>
        </w:rPr>
        <w:t>可行。</w:t>
      </w:r>
      <w:r>
        <w:rPr>
          <w:rFonts w:hint="eastAsia" w:ascii="Times New Roman" w:hAnsi="Times New Roman" w:cs="Times New Roman"/>
          <w:color w:val="000000"/>
          <w:sz w:val="32"/>
          <w:szCs w:val="32"/>
          <w:lang w:eastAsia="zh-CN"/>
        </w:rPr>
        <w:t>如株洲某鞭炮企业沉淀池废水高氯酸盐浓度</w:t>
      </w:r>
      <w:r>
        <w:rPr>
          <w:rFonts w:ascii="Times New Roman" w:hAnsi="Times New Roman" w:cs="Times New Roman"/>
          <w:color w:val="000000"/>
          <w:sz w:val="32"/>
          <w:szCs w:val="32"/>
          <w:lang w:eastAsia="zh-CN"/>
        </w:rPr>
        <w:t>5-15</w:t>
      </w:r>
      <w:r>
        <w:rPr>
          <w:rFonts w:ascii="Times New Roman" w:hAnsi="Times New Roman" w:cs="Times New Roman"/>
          <w:color w:val="000000"/>
          <w:lang w:eastAsia="zh-CN"/>
        </w:rPr>
        <w:t xml:space="preserve"> </w:t>
      </w:r>
      <w:r>
        <w:rPr>
          <w:rFonts w:ascii="Times New Roman" w:hAnsi="Times New Roman" w:cs="Times New Roman"/>
          <w:color w:val="000000"/>
          <w:sz w:val="32"/>
          <w:szCs w:val="32"/>
          <w:lang w:eastAsia="zh-CN"/>
        </w:rPr>
        <w:t>mg/L</w:t>
      </w:r>
      <w:r>
        <w:rPr>
          <w:rFonts w:hint="eastAsia" w:ascii="Times New Roman" w:hAnsi="Times New Roman" w:cs="Times New Roman"/>
          <w:color w:val="000000"/>
          <w:sz w:val="32"/>
          <w:szCs w:val="32"/>
          <w:lang w:eastAsia="zh-CN"/>
        </w:rPr>
        <w:t>，处理后出水小于</w:t>
      </w:r>
      <w:r>
        <w:rPr>
          <w:rFonts w:ascii="Times New Roman" w:hAnsi="Times New Roman" w:cs="Times New Roman"/>
          <w:color w:val="000000"/>
          <w:sz w:val="32"/>
          <w:szCs w:val="32"/>
          <w:lang w:eastAsia="zh-CN"/>
        </w:rPr>
        <w:t>0.05 mg/L</w:t>
      </w:r>
      <w:r>
        <w:rPr>
          <w:rFonts w:hint="eastAsia" w:ascii="Times New Roman" w:hAnsi="Times New Roman" w:cs="Times New Roman"/>
          <w:color w:val="000000"/>
          <w:sz w:val="32"/>
          <w:szCs w:val="32"/>
          <w:lang w:eastAsia="zh-CN"/>
        </w:rPr>
        <w:t>。浏阳某烟花企业沉淀池废水高氯酸盐浓度</w:t>
      </w:r>
      <w:r>
        <w:rPr>
          <w:rFonts w:ascii="Times New Roman" w:hAnsi="Times New Roman" w:cs="Times New Roman"/>
          <w:color w:val="000000"/>
          <w:sz w:val="32"/>
          <w:szCs w:val="32"/>
          <w:lang w:eastAsia="zh-CN"/>
        </w:rPr>
        <w:t>80-150</w:t>
      </w:r>
      <w:r>
        <w:rPr>
          <w:rFonts w:ascii="Times New Roman" w:hAnsi="Times New Roman" w:cs="Times New Roman"/>
          <w:color w:val="000000"/>
          <w:lang w:eastAsia="zh-CN"/>
        </w:rPr>
        <w:t xml:space="preserve"> </w:t>
      </w:r>
      <w:r>
        <w:rPr>
          <w:rFonts w:ascii="Times New Roman" w:hAnsi="Times New Roman" w:cs="Times New Roman"/>
          <w:color w:val="000000"/>
          <w:sz w:val="32"/>
          <w:szCs w:val="32"/>
          <w:lang w:eastAsia="zh-CN"/>
        </w:rPr>
        <w:t>mg/L</w:t>
      </w:r>
      <w:r>
        <w:rPr>
          <w:rFonts w:hint="eastAsia" w:ascii="Times New Roman" w:hAnsi="Times New Roman" w:cs="Times New Roman"/>
          <w:color w:val="000000"/>
          <w:sz w:val="32"/>
          <w:szCs w:val="32"/>
          <w:lang w:eastAsia="zh-CN"/>
        </w:rPr>
        <w:t>，处理后出水小于</w:t>
      </w:r>
      <w:r>
        <w:rPr>
          <w:rFonts w:ascii="Times New Roman" w:hAnsi="Times New Roman" w:cs="Times New Roman"/>
          <w:color w:val="000000"/>
          <w:sz w:val="32"/>
          <w:szCs w:val="32"/>
          <w:lang w:eastAsia="zh-CN"/>
        </w:rPr>
        <w:t>0.05 mg/L</w:t>
      </w:r>
      <w:r>
        <w:rPr>
          <w:rFonts w:hint="eastAsia" w:ascii="Times New Roman" w:hAnsi="Times New Roman" w:cs="Times New Roman"/>
          <w:color w:val="000000"/>
          <w:sz w:val="32"/>
          <w:szCs w:val="32"/>
          <w:lang w:eastAsia="zh-CN"/>
        </w:rPr>
        <w:t>。</w:t>
      </w:r>
    </w:p>
    <w:p>
      <w:pPr>
        <w:pStyle w:val="3"/>
        <w:spacing w:line="360" w:lineRule="auto"/>
        <w:ind w:left="0"/>
        <w:jc w:val="center"/>
        <w:outlineLvl w:val="4"/>
        <w:rPr>
          <w:rFonts w:ascii="Times New Roman" w:hAnsi="Times New Roman" w:cs="Times New Roman"/>
          <w:b/>
          <w:bCs/>
          <w:color w:val="000000"/>
          <w:sz w:val="30"/>
          <w:szCs w:val="30"/>
          <w:lang w:eastAsia="zh-CN"/>
        </w:rPr>
      </w:pPr>
      <w:r>
        <w:rPr>
          <w:rFonts w:ascii="Times New Roman" w:hAnsi="Times New Roman" w:cs="Times New Roman"/>
          <w:b/>
          <w:bCs/>
          <w:color w:val="000000"/>
          <w:sz w:val="30"/>
          <w:szCs w:val="30"/>
          <w:lang w:eastAsia="zh-CN"/>
        </w:rPr>
        <w:t>表</w:t>
      </w:r>
      <w:r>
        <w:rPr>
          <w:rFonts w:hint="eastAsia" w:ascii="Times New Roman" w:hAnsi="Times New Roman" w:cs="Times New Roman"/>
          <w:b/>
          <w:bCs/>
          <w:color w:val="000000"/>
          <w:sz w:val="30"/>
          <w:szCs w:val="30"/>
          <w:lang w:eastAsia="zh-CN"/>
        </w:rPr>
        <w:t>7</w:t>
      </w:r>
      <w:r>
        <w:rPr>
          <w:rFonts w:ascii="Times New Roman" w:hAnsi="Times New Roman" w:cs="Times New Roman"/>
          <w:b/>
          <w:bCs/>
          <w:color w:val="000000"/>
          <w:sz w:val="30"/>
          <w:szCs w:val="30"/>
          <w:lang w:eastAsia="zh-CN"/>
        </w:rPr>
        <w:t>-1 高氯酸盐废水处理效果一览表</w:t>
      </w:r>
    </w:p>
    <w:tbl>
      <w:tblPr>
        <w:tblStyle w:val="18"/>
        <w:tblW w:w="499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8"/>
        <w:gridCol w:w="1419"/>
        <w:gridCol w:w="1154"/>
        <w:gridCol w:w="1845"/>
        <w:gridCol w:w="265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19" w:type="pct"/>
            <w:vAlign w:val="center"/>
          </w:tcPr>
          <w:p>
            <w:pPr>
              <w:pStyle w:val="3"/>
              <w:spacing w:line="360" w:lineRule="auto"/>
              <w:ind w:left="0"/>
              <w:jc w:val="center"/>
              <w:rPr>
                <w:rFonts w:ascii="Times New Roman" w:hAnsi="Times New Roman" w:cs="Times New Roman"/>
                <w:b/>
                <w:bCs/>
                <w:color w:val="000000"/>
                <w:sz w:val="28"/>
                <w:szCs w:val="28"/>
                <w:lang w:eastAsia="zh-CN"/>
              </w:rPr>
            </w:pPr>
            <w:r>
              <w:rPr>
                <w:rFonts w:hint="eastAsia" w:ascii="Times New Roman" w:hAnsi="Times New Roman" w:cs="Times New Roman"/>
                <w:b/>
                <w:bCs/>
                <w:color w:val="000000"/>
                <w:sz w:val="28"/>
                <w:szCs w:val="28"/>
                <w:lang w:eastAsia="zh-CN"/>
              </w:rPr>
              <w:t>试验地点</w:t>
            </w:r>
          </w:p>
        </w:tc>
        <w:tc>
          <w:tcPr>
            <w:tcW w:w="799" w:type="pct"/>
            <w:vAlign w:val="center"/>
          </w:tcPr>
          <w:p>
            <w:pPr>
              <w:pStyle w:val="3"/>
              <w:spacing w:line="360" w:lineRule="auto"/>
              <w:ind w:left="0"/>
              <w:jc w:val="center"/>
              <w:rPr>
                <w:rFonts w:ascii="Times New Roman" w:hAnsi="Times New Roman" w:cs="Times New Roman"/>
                <w:b/>
                <w:bCs/>
                <w:color w:val="000000"/>
                <w:sz w:val="28"/>
                <w:szCs w:val="28"/>
                <w:lang w:eastAsia="zh-CN"/>
              </w:rPr>
            </w:pPr>
            <w:r>
              <w:rPr>
                <w:rFonts w:hint="eastAsia" w:ascii="Times New Roman" w:hAnsi="Times New Roman" w:cs="Times New Roman"/>
                <w:b/>
                <w:bCs/>
                <w:color w:val="000000"/>
                <w:sz w:val="28"/>
                <w:szCs w:val="28"/>
                <w:lang w:eastAsia="zh-CN"/>
              </w:rPr>
              <w:t>处理规模</w:t>
            </w:r>
          </w:p>
        </w:tc>
        <w:tc>
          <w:tcPr>
            <w:tcW w:w="1689" w:type="pct"/>
            <w:gridSpan w:val="2"/>
            <w:vAlign w:val="center"/>
          </w:tcPr>
          <w:p>
            <w:pPr>
              <w:pStyle w:val="3"/>
              <w:spacing w:line="360" w:lineRule="auto"/>
              <w:ind w:left="0"/>
              <w:jc w:val="center"/>
              <w:rPr>
                <w:rFonts w:ascii="Times New Roman" w:hAnsi="Times New Roman" w:cs="Times New Roman"/>
                <w:b/>
                <w:bCs/>
                <w:color w:val="000000"/>
                <w:sz w:val="28"/>
                <w:szCs w:val="28"/>
                <w:lang w:eastAsia="zh-CN"/>
              </w:rPr>
            </w:pPr>
            <w:r>
              <w:rPr>
                <w:rFonts w:hint="eastAsia" w:ascii="Times New Roman" w:hAnsi="Times New Roman" w:cs="Times New Roman"/>
                <w:b/>
                <w:bCs/>
                <w:color w:val="000000"/>
                <w:sz w:val="28"/>
                <w:szCs w:val="28"/>
                <w:lang w:eastAsia="zh-CN"/>
              </w:rPr>
              <w:t>浓度（</w:t>
            </w:r>
            <w:r>
              <w:rPr>
                <w:rFonts w:ascii="Times New Roman" w:hAnsi="Times New Roman" w:cs="Times New Roman"/>
                <w:b/>
                <w:bCs/>
                <w:color w:val="000000"/>
                <w:sz w:val="28"/>
                <w:szCs w:val="28"/>
                <w:lang w:eastAsia="zh-CN"/>
              </w:rPr>
              <w:t>mg/L</w:t>
            </w:r>
            <w:r>
              <w:rPr>
                <w:rFonts w:hint="eastAsia" w:ascii="Times New Roman" w:hAnsi="Times New Roman" w:cs="Times New Roman"/>
                <w:b/>
                <w:bCs/>
                <w:color w:val="000000"/>
                <w:sz w:val="28"/>
                <w:szCs w:val="28"/>
                <w:lang w:eastAsia="zh-CN"/>
              </w:rPr>
              <w:t>）</w:t>
            </w:r>
          </w:p>
        </w:tc>
        <w:tc>
          <w:tcPr>
            <w:tcW w:w="1493" w:type="pct"/>
            <w:vAlign w:val="center"/>
          </w:tcPr>
          <w:p>
            <w:pPr>
              <w:pStyle w:val="3"/>
              <w:spacing w:line="360" w:lineRule="auto"/>
              <w:ind w:left="0"/>
              <w:jc w:val="center"/>
              <w:rPr>
                <w:rFonts w:ascii="Times New Roman" w:hAnsi="Times New Roman" w:cs="Times New Roman"/>
                <w:b/>
                <w:bCs/>
                <w:color w:val="000000"/>
                <w:sz w:val="28"/>
                <w:szCs w:val="28"/>
                <w:lang w:eastAsia="zh-CN"/>
              </w:rPr>
            </w:pPr>
            <w:r>
              <w:rPr>
                <w:rFonts w:hint="eastAsia" w:ascii="Times New Roman" w:hAnsi="Times New Roman" w:cs="Times New Roman"/>
                <w:b/>
                <w:bCs/>
                <w:color w:val="000000"/>
                <w:sz w:val="28"/>
                <w:szCs w:val="28"/>
                <w:lang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19" w:type="pct"/>
            <w:vMerge w:val="restart"/>
            <w:vAlign w:val="center"/>
          </w:tcPr>
          <w:p>
            <w:pPr>
              <w:pStyle w:val="3"/>
              <w:spacing w:line="360" w:lineRule="auto"/>
              <w:ind w:left="0"/>
              <w:jc w:val="center"/>
              <w:rPr>
                <w:rFonts w:ascii="Times New Roman" w:hAnsi="Times New Roman" w:cs="Times New Roman"/>
                <w:color w:val="000000"/>
                <w:sz w:val="28"/>
                <w:szCs w:val="28"/>
                <w:lang w:eastAsia="zh-CN"/>
              </w:rPr>
            </w:pPr>
            <w:r>
              <w:rPr>
                <w:rFonts w:hint="eastAsia" w:ascii="Times New Roman" w:hAnsi="Times New Roman" w:cs="Times New Roman"/>
                <w:color w:val="000000"/>
                <w:sz w:val="28"/>
                <w:szCs w:val="28"/>
                <w:lang w:eastAsia="zh-CN"/>
              </w:rPr>
              <w:t>株洲某鞭炮企业</w:t>
            </w:r>
          </w:p>
        </w:tc>
        <w:tc>
          <w:tcPr>
            <w:tcW w:w="799" w:type="pct"/>
            <w:vMerge w:val="restart"/>
            <w:vAlign w:val="center"/>
          </w:tcPr>
          <w:p>
            <w:pPr>
              <w:pStyle w:val="3"/>
              <w:spacing w:line="360" w:lineRule="auto"/>
              <w:ind w:left="0"/>
              <w:jc w:val="center"/>
              <w:rPr>
                <w:rFonts w:ascii="Times New Roman" w:hAnsi="Times New Roman" w:cs="Times New Roman"/>
                <w:color w:val="000000"/>
                <w:sz w:val="28"/>
                <w:szCs w:val="28"/>
                <w:lang w:eastAsia="zh-CN"/>
              </w:rPr>
            </w:pPr>
            <w:r>
              <w:rPr>
                <w:rFonts w:ascii="Times New Roman" w:hAnsi="Times New Roman" w:cs="Times New Roman"/>
                <w:color w:val="000000"/>
                <w:sz w:val="28"/>
                <w:szCs w:val="28"/>
                <w:lang w:eastAsia="zh-CN"/>
              </w:rPr>
              <w:t>1</w:t>
            </w:r>
            <w:r>
              <w:rPr>
                <w:rFonts w:hint="eastAsia" w:ascii="Times New Roman" w:hAnsi="Times New Roman" w:cs="Times New Roman"/>
                <w:color w:val="000000"/>
                <w:sz w:val="28"/>
                <w:szCs w:val="28"/>
                <w:lang w:eastAsia="zh-CN"/>
              </w:rPr>
              <w:t>吨</w:t>
            </w:r>
          </w:p>
        </w:tc>
        <w:tc>
          <w:tcPr>
            <w:tcW w:w="650" w:type="pct"/>
            <w:vAlign w:val="center"/>
          </w:tcPr>
          <w:p>
            <w:pPr>
              <w:pStyle w:val="3"/>
              <w:spacing w:line="360" w:lineRule="auto"/>
              <w:ind w:left="0"/>
              <w:jc w:val="center"/>
              <w:rPr>
                <w:rFonts w:ascii="Times New Roman" w:hAnsi="Times New Roman" w:cs="Times New Roman"/>
                <w:color w:val="000000"/>
                <w:sz w:val="28"/>
                <w:szCs w:val="28"/>
                <w:lang w:eastAsia="zh-CN"/>
              </w:rPr>
            </w:pPr>
            <w:r>
              <w:rPr>
                <w:rFonts w:hint="eastAsia" w:ascii="Times New Roman" w:hAnsi="Times New Roman" w:cs="Times New Roman"/>
                <w:color w:val="000000"/>
                <w:sz w:val="28"/>
                <w:szCs w:val="28"/>
                <w:lang w:eastAsia="zh-CN"/>
              </w:rPr>
              <w:t>进水</w:t>
            </w:r>
          </w:p>
        </w:tc>
        <w:tc>
          <w:tcPr>
            <w:tcW w:w="1039" w:type="pct"/>
            <w:vAlign w:val="center"/>
          </w:tcPr>
          <w:p>
            <w:pPr>
              <w:pStyle w:val="3"/>
              <w:spacing w:line="360" w:lineRule="auto"/>
              <w:ind w:left="0"/>
              <w:jc w:val="center"/>
              <w:rPr>
                <w:rFonts w:ascii="Times New Roman" w:hAnsi="Times New Roman" w:cs="Times New Roman"/>
                <w:color w:val="000000"/>
                <w:sz w:val="28"/>
                <w:szCs w:val="28"/>
                <w:lang w:eastAsia="zh-CN"/>
              </w:rPr>
            </w:pPr>
            <w:r>
              <w:rPr>
                <w:rFonts w:ascii="Times New Roman" w:hAnsi="Times New Roman" w:cs="Times New Roman"/>
                <w:color w:val="000000"/>
                <w:sz w:val="28"/>
                <w:szCs w:val="28"/>
                <w:lang w:eastAsia="zh-CN"/>
              </w:rPr>
              <w:t>5-15</w:t>
            </w:r>
          </w:p>
        </w:tc>
        <w:tc>
          <w:tcPr>
            <w:tcW w:w="1493" w:type="pct"/>
            <w:vMerge w:val="restart"/>
            <w:vAlign w:val="center"/>
          </w:tcPr>
          <w:p>
            <w:pPr>
              <w:pStyle w:val="3"/>
              <w:spacing w:line="360" w:lineRule="auto"/>
              <w:ind w:left="0"/>
              <w:jc w:val="center"/>
              <w:rPr>
                <w:rFonts w:ascii="Times New Roman" w:hAnsi="Times New Roman" w:cs="Times New Roman"/>
                <w:color w:val="000000"/>
                <w:sz w:val="28"/>
                <w:szCs w:val="28"/>
                <w:lang w:eastAsia="zh-CN"/>
              </w:rPr>
            </w:pPr>
            <w:r>
              <w:rPr>
                <w:rFonts w:hint="eastAsia" w:ascii="Times New Roman" w:hAnsi="Times New Roman" w:cs="Times New Roman"/>
                <w:color w:val="000000"/>
                <w:sz w:val="28"/>
                <w:szCs w:val="28"/>
                <w:lang w:eastAsia="zh-CN"/>
              </w:rPr>
              <w:t>《生活饮用水卫生标准》（</w:t>
            </w:r>
            <w:r>
              <w:rPr>
                <w:rFonts w:ascii="Times New Roman" w:hAnsi="Times New Roman" w:cs="Times New Roman"/>
                <w:color w:val="000000"/>
                <w:sz w:val="28"/>
                <w:szCs w:val="28"/>
                <w:lang w:eastAsia="zh-CN"/>
              </w:rPr>
              <w:t>GB 5749-2022</w:t>
            </w:r>
            <w:r>
              <w:rPr>
                <w:rFonts w:hint="eastAsia" w:ascii="Times New Roman" w:hAnsi="Times New Roman" w:cs="Times New Roman"/>
                <w:color w:val="000000"/>
                <w:sz w:val="28"/>
                <w:szCs w:val="28"/>
                <w:lang w:eastAsia="zh-CN"/>
              </w:rPr>
              <w:t>）高氯酸盐标准限值</w:t>
            </w:r>
            <w:r>
              <w:rPr>
                <w:rFonts w:ascii="Times New Roman" w:hAnsi="Times New Roman" w:cs="Times New Roman"/>
                <w:color w:val="000000"/>
                <w:sz w:val="28"/>
                <w:szCs w:val="28"/>
                <w:lang w:eastAsia="zh-CN"/>
              </w:rPr>
              <w:t>0.07</w:t>
            </w:r>
            <w:r>
              <w:rPr>
                <w:rFonts w:hint="eastAsia" w:ascii="Times New Roman" w:hAnsi="Times New Roman" w:cs="Times New Roman"/>
                <w:color w:val="000000"/>
                <w:sz w:val="28"/>
                <w:szCs w:val="28"/>
                <w:lang w:eastAsia="zh-CN"/>
              </w:rPr>
              <w:t xml:space="preserve"> </w:t>
            </w:r>
            <w:r>
              <w:rPr>
                <w:rFonts w:ascii="Times New Roman" w:hAnsi="Times New Roman" w:cs="Times New Roman"/>
                <w:color w:val="000000"/>
                <w:sz w:val="28"/>
                <w:szCs w:val="28"/>
                <w:lang w:eastAsia="zh-CN"/>
              </w:rPr>
              <w:t>mg/L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19" w:type="pct"/>
            <w:vMerge w:val="continue"/>
            <w:vAlign w:val="center"/>
          </w:tcPr>
          <w:p>
            <w:pPr>
              <w:pStyle w:val="3"/>
              <w:spacing w:line="360" w:lineRule="auto"/>
              <w:ind w:left="0"/>
              <w:jc w:val="center"/>
              <w:rPr>
                <w:rFonts w:ascii="Times New Roman" w:hAnsi="Times New Roman" w:cs="Times New Roman"/>
                <w:color w:val="000000"/>
                <w:sz w:val="28"/>
                <w:szCs w:val="28"/>
                <w:lang w:eastAsia="zh-CN"/>
              </w:rPr>
            </w:pPr>
          </w:p>
        </w:tc>
        <w:tc>
          <w:tcPr>
            <w:tcW w:w="799" w:type="pct"/>
            <w:vMerge w:val="continue"/>
            <w:vAlign w:val="center"/>
          </w:tcPr>
          <w:p>
            <w:pPr>
              <w:pStyle w:val="3"/>
              <w:spacing w:line="360" w:lineRule="auto"/>
              <w:ind w:left="0"/>
              <w:jc w:val="center"/>
              <w:rPr>
                <w:rFonts w:ascii="Times New Roman" w:hAnsi="Times New Roman" w:cs="Times New Roman"/>
                <w:color w:val="000000"/>
                <w:sz w:val="28"/>
                <w:szCs w:val="28"/>
                <w:lang w:eastAsia="zh-CN"/>
              </w:rPr>
            </w:pPr>
          </w:p>
        </w:tc>
        <w:tc>
          <w:tcPr>
            <w:tcW w:w="650" w:type="pct"/>
            <w:vAlign w:val="center"/>
          </w:tcPr>
          <w:p>
            <w:pPr>
              <w:pStyle w:val="3"/>
              <w:spacing w:line="360" w:lineRule="auto"/>
              <w:ind w:left="0"/>
              <w:jc w:val="center"/>
              <w:rPr>
                <w:rFonts w:ascii="Times New Roman" w:hAnsi="Times New Roman" w:cs="Times New Roman"/>
                <w:color w:val="000000"/>
                <w:sz w:val="28"/>
                <w:szCs w:val="28"/>
                <w:lang w:eastAsia="zh-CN"/>
              </w:rPr>
            </w:pPr>
            <w:r>
              <w:rPr>
                <w:rFonts w:hint="eastAsia" w:ascii="Times New Roman" w:hAnsi="Times New Roman" w:cs="Times New Roman"/>
                <w:color w:val="000000"/>
                <w:sz w:val="28"/>
                <w:szCs w:val="28"/>
                <w:lang w:eastAsia="zh-CN"/>
              </w:rPr>
              <w:t>出水</w:t>
            </w:r>
          </w:p>
        </w:tc>
        <w:tc>
          <w:tcPr>
            <w:tcW w:w="1039" w:type="pct"/>
            <w:vAlign w:val="center"/>
          </w:tcPr>
          <w:p>
            <w:pPr>
              <w:pStyle w:val="3"/>
              <w:spacing w:line="360" w:lineRule="auto"/>
              <w:ind w:left="0"/>
              <w:jc w:val="center"/>
              <w:rPr>
                <w:rFonts w:ascii="Times New Roman" w:hAnsi="Times New Roman" w:cs="Times New Roman"/>
                <w:color w:val="000000"/>
                <w:spacing w:val="-1"/>
                <w:sz w:val="28"/>
                <w:szCs w:val="28"/>
                <w:lang w:eastAsia="zh-CN"/>
              </w:rPr>
            </w:pPr>
            <w:r>
              <w:rPr>
                <w:rFonts w:ascii="Times New Roman" w:hAnsi="Times New Roman" w:cs="Times New Roman"/>
                <w:color w:val="000000"/>
                <w:spacing w:val="-1"/>
                <w:sz w:val="28"/>
                <w:szCs w:val="28"/>
                <w:lang w:eastAsia="zh-CN"/>
              </w:rPr>
              <w:t>0.03-0.05</w:t>
            </w:r>
          </w:p>
        </w:tc>
        <w:tc>
          <w:tcPr>
            <w:tcW w:w="1493" w:type="pct"/>
            <w:vMerge w:val="continue"/>
            <w:vAlign w:val="center"/>
          </w:tcPr>
          <w:p>
            <w:pPr>
              <w:pStyle w:val="3"/>
              <w:spacing w:line="360" w:lineRule="auto"/>
              <w:ind w:left="0"/>
              <w:jc w:val="center"/>
              <w:rPr>
                <w:rFonts w:ascii="Times New Roman" w:hAnsi="Times New Roman" w:cs="Times New Roman"/>
                <w:color w:val="000000"/>
                <w:sz w:val="28"/>
                <w:szCs w:val="28"/>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1019" w:type="pct"/>
            <w:vMerge w:val="restart"/>
            <w:vAlign w:val="center"/>
          </w:tcPr>
          <w:p>
            <w:pPr>
              <w:pStyle w:val="3"/>
              <w:spacing w:line="360" w:lineRule="auto"/>
              <w:ind w:left="0"/>
              <w:jc w:val="center"/>
              <w:rPr>
                <w:rFonts w:ascii="Times New Roman" w:hAnsi="Times New Roman" w:cs="Times New Roman"/>
                <w:color w:val="000000"/>
                <w:sz w:val="28"/>
                <w:szCs w:val="28"/>
                <w:lang w:eastAsia="zh-CN"/>
              </w:rPr>
            </w:pPr>
            <w:r>
              <w:rPr>
                <w:rFonts w:hint="eastAsia" w:ascii="Times New Roman" w:hAnsi="Times New Roman" w:cs="Times New Roman"/>
                <w:color w:val="000000"/>
                <w:sz w:val="28"/>
                <w:szCs w:val="28"/>
                <w:lang w:eastAsia="zh-CN"/>
              </w:rPr>
              <w:t>株洲某烟花企业、浏阳某烟花企业</w:t>
            </w:r>
          </w:p>
        </w:tc>
        <w:tc>
          <w:tcPr>
            <w:tcW w:w="799" w:type="pct"/>
            <w:vMerge w:val="restart"/>
            <w:vAlign w:val="center"/>
          </w:tcPr>
          <w:p>
            <w:pPr>
              <w:pStyle w:val="3"/>
              <w:spacing w:line="360" w:lineRule="auto"/>
              <w:ind w:left="0"/>
              <w:jc w:val="center"/>
              <w:rPr>
                <w:rFonts w:ascii="Times New Roman" w:hAnsi="Times New Roman" w:cs="Times New Roman"/>
                <w:color w:val="000000"/>
                <w:sz w:val="28"/>
                <w:szCs w:val="28"/>
                <w:lang w:eastAsia="zh-CN"/>
              </w:rPr>
            </w:pPr>
            <w:r>
              <w:rPr>
                <w:rFonts w:ascii="Times New Roman" w:hAnsi="Times New Roman" w:cs="Times New Roman"/>
                <w:color w:val="000000"/>
                <w:sz w:val="28"/>
                <w:szCs w:val="28"/>
                <w:lang w:eastAsia="zh-CN"/>
              </w:rPr>
              <w:t>50</w:t>
            </w:r>
            <w:r>
              <w:rPr>
                <w:rFonts w:hint="eastAsia" w:ascii="Times New Roman" w:hAnsi="Times New Roman" w:cs="Times New Roman"/>
                <w:color w:val="000000"/>
                <w:sz w:val="28"/>
                <w:szCs w:val="28"/>
                <w:lang w:eastAsia="zh-CN"/>
              </w:rPr>
              <w:t>吨</w:t>
            </w:r>
          </w:p>
        </w:tc>
        <w:tc>
          <w:tcPr>
            <w:tcW w:w="650" w:type="pct"/>
            <w:vAlign w:val="center"/>
          </w:tcPr>
          <w:p>
            <w:pPr>
              <w:pStyle w:val="3"/>
              <w:spacing w:line="360" w:lineRule="auto"/>
              <w:ind w:left="0"/>
              <w:jc w:val="center"/>
              <w:rPr>
                <w:rFonts w:ascii="Times New Roman" w:hAnsi="Times New Roman" w:cs="Times New Roman"/>
                <w:color w:val="000000"/>
                <w:sz w:val="28"/>
                <w:szCs w:val="28"/>
                <w:lang w:eastAsia="zh-CN"/>
              </w:rPr>
            </w:pPr>
            <w:r>
              <w:rPr>
                <w:rFonts w:hint="eastAsia" w:ascii="Times New Roman" w:hAnsi="Times New Roman" w:cs="Times New Roman"/>
                <w:color w:val="000000"/>
                <w:sz w:val="28"/>
                <w:szCs w:val="28"/>
                <w:lang w:eastAsia="zh-CN"/>
              </w:rPr>
              <w:t>进水</w:t>
            </w:r>
          </w:p>
        </w:tc>
        <w:tc>
          <w:tcPr>
            <w:tcW w:w="1039" w:type="pct"/>
            <w:vAlign w:val="center"/>
          </w:tcPr>
          <w:p>
            <w:pPr>
              <w:pStyle w:val="3"/>
              <w:spacing w:line="360" w:lineRule="auto"/>
              <w:ind w:left="0"/>
              <w:jc w:val="center"/>
              <w:rPr>
                <w:rFonts w:ascii="Times New Roman" w:hAnsi="Times New Roman" w:cs="Times New Roman"/>
                <w:color w:val="000000"/>
                <w:spacing w:val="-1"/>
                <w:sz w:val="28"/>
                <w:szCs w:val="28"/>
                <w:lang w:eastAsia="zh-CN"/>
              </w:rPr>
            </w:pPr>
            <w:r>
              <w:rPr>
                <w:rFonts w:ascii="Times New Roman" w:hAnsi="Times New Roman" w:cs="Times New Roman"/>
                <w:color w:val="000000"/>
                <w:spacing w:val="-1"/>
                <w:sz w:val="28"/>
                <w:szCs w:val="28"/>
                <w:lang w:eastAsia="zh-CN"/>
              </w:rPr>
              <w:t>80-150</w:t>
            </w:r>
          </w:p>
        </w:tc>
        <w:tc>
          <w:tcPr>
            <w:tcW w:w="1493" w:type="pct"/>
            <w:vMerge w:val="continue"/>
            <w:vAlign w:val="center"/>
          </w:tcPr>
          <w:p>
            <w:pPr>
              <w:pStyle w:val="3"/>
              <w:spacing w:line="360" w:lineRule="auto"/>
              <w:ind w:left="0"/>
              <w:jc w:val="center"/>
              <w:rPr>
                <w:rFonts w:ascii="Times New Roman" w:hAnsi="Times New Roman" w:cs="Times New Roman"/>
                <w:color w:val="000000"/>
                <w:sz w:val="28"/>
                <w:szCs w:val="28"/>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019" w:type="pct"/>
            <w:vMerge w:val="continue"/>
            <w:vAlign w:val="center"/>
          </w:tcPr>
          <w:p>
            <w:pPr>
              <w:pStyle w:val="3"/>
              <w:spacing w:line="360" w:lineRule="auto"/>
              <w:ind w:left="0"/>
              <w:jc w:val="center"/>
              <w:rPr>
                <w:rFonts w:ascii="Times New Roman" w:hAnsi="Times New Roman" w:cs="Times New Roman"/>
                <w:color w:val="000000"/>
                <w:sz w:val="28"/>
                <w:szCs w:val="28"/>
                <w:lang w:eastAsia="zh-CN"/>
              </w:rPr>
            </w:pPr>
          </w:p>
        </w:tc>
        <w:tc>
          <w:tcPr>
            <w:tcW w:w="799" w:type="pct"/>
            <w:vMerge w:val="continue"/>
            <w:vAlign w:val="center"/>
          </w:tcPr>
          <w:p>
            <w:pPr>
              <w:pStyle w:val="3"/>
              <w:spacing w:line="360" w:lineRule="auto"/>
              <w:ind w:left="0"/>
              <w:jc w:val="center"/>
              <w:rPr>
                <w:rFonts w:ascii="Times New Roman" w:hAnsi="Times New Roman" w:cs="Times New Roman"/>
                <w:color w:val="000000"/>
                <w:sz w:val="28"/>
                <w:szCs w:val="28"/>
                <w:lang w:eastAsia="zh-CN"/>
              </w:rPr>
            </w:pPr>
          </w:p>
        </w:tc>
        <w:tc>
          <w:tcPr>
            <w:tcW w:w="650" w:type="pct"/>
            <w:vAlign w:val="center"/>
          </w:tcPr>
          <w:p>
            <w:pPr>
              <w:pStyle w:val="3"/>
              <w:spacing w:line="360" w:lineRule="auto"/>
              <w:ind w:left="0"/>
              <w:jc w:val="center"/>
              <w:rPr>
                <w:rFonts w:ascii="Times New Roman" w:hAnsi="Times New Roman" w:cs="Times New Roman"/>
                <w:color w:val="000000"/>
                <w:sz w:val="28"/>
                <w:szCs w:val="28"/>
                <w:lang w:eastAsia="zh-CN"/>
              </w:rPr>
            </w:pPr>
            <w:r>
              <w:rPr>
                <w:rFonts w:hint="eastAsia" w:ascii="Times New Roman" w:hAnsi="Times New Roman" w:cs="Times New Roman"/>
                <w:color w:val="000000"/>
                <w:sz w:val="28"/>
                <w:szCs w:val="28"/>
                <w:lang w:eastAsia="zh-CN"/>
              </w:rPr>
              <w:t>出水</w:t>
            </w:r>
          </w:p>
        </w:tc>
        <w:tc>
          <w:tcPr>
            <w:tcW w:w="1039" w:type="pct"/>
            <w:vAlign w:val="center"/>
          </w:tcPr>
          <w:p>
            <w:pPr>
              <w:pStyle w:val="3"/>
              <w:spacing w:line="360" w:lineRule="auto"/>
              <w:ind w:left="0"/>
              <w:jc w:val="center"/>
              <w:rPr>
                <w:rFonts w:ascii="Times New Roman" w:hAnsi="Times New Roman" w:cs="Times New Roman"/>
                <w:color w:val="000000"/>
                <w:spacing w:val="-1"/>
                <w:sz w:val="28"/>
                <w:szCs w:val="28"/>
                <w:lang w:eastAsia="zh-CN"/>
              </w:rPr>
            </w:pPr>
            <w:r>
              <w:rPr>
                <w:rFonts w:ascii="Times New Roman" w:hAnsi="Times New Roman" w:cs="Times New Roman"/>
                <w:color w:val="000000"/>
                <w:spacing w:val="-1"/>
                <w:sz w:val="28"/>
                <w:szCs w:val="28"/>
                <w:lang w:eastAsia="zh-CN"/>
              </w:rPr>
              <w:t>0.03-0.05</w:t>
            </w:r>
          </w:p>
        </w:tc>
        <w:tc>
          <w:tcPr>
            <w:tcW w:w="1493" w:type="pct"/>
            <w:vMerge w:val="continue"/>
            <w:vAlign w:val="center"/>
          </w:tcPr>
          <w:p>
            <w:pPr>
              <w:pStyle w:val="3"/>
              <w:spacing w:line="360" w:lineRule="auto"/>
              <w:ind w:left="0"/>
              <w:jc w:val="center"/>
              <w:rPr>
                <w:rFonts w:ascii="Times New Roman" w:hAnsi="Times New Roman" w:cs="Times New Roman"/>
                <w:color w:val="000000"/>
                <w:sz w:val="28"/>
                <w:szCs w:val="28"/>
                <w:lang w:eastAsia="zh-CN"/>
              </w:rPr>
            </w:pPr>
          </w:p>
        </w:tc>
      </w:tr>
    </w:tbl>
    <w:p>
      <w:pPr>
        <w:pStyle w:val="3"/>
        <w:spacing w:line="360" w:lineRule="auto"/>
        <w:ind w:left="0" w:firstLine="642" w:firstLineChars="200"/>
        <w:jc w:val="both"/>
        <w:rPr>
          <w:rFonts w:ascii="Times New Roman" w:hAnsi="Times New Roman" w:cs="Times New Roman"/>
          <w:b/>
          <w:bCs/>
          <w:color w:val="000000"/>
          <w:sz w:val="32"/>
          <w:szCs w:val="32"/>
          <w:lang w:eastAsia="zh-CN"/>
        </w:rPr>
      </w:pPr>
      <w:r>
        <w:rPr>
          <w:rFonts w:ascii="Times New Roman" w:hAnsi="Times New Roman" w:cs="Times New Roman"/>
          <w:b/>
          <w:color w:val="000000"/>
          <w:sz w:val="32"/>
          <w:szCs w:val="32"/>
          <w:lang w:eastAsia="zh-CN"/>
        </w:rPr>
        <w:t>（2）</w:t>
      </w:r>
      <w:r>
        <w:rPr>
          <w:rFonts w:ascii="Times New Roman" w:hAnsi="Times New Roman" w:cs="Times New Roman"/>
          <w:b/>
          <w:bCs/>
          <w:color w:val="000000"/>
          <w:sz w:val="32"/>
          <w:szCs w:val="32"/>
          <w:lang w:eastAsia="zh-CN"/>
        </w:rPr>
        <w:t>高氯酸盐净水卫士工艺</w:t>
      </w:r>
    </w:p>
    <w:p>
      <w:pPr>
        <w:pStyle w:val="3"/>
        <w:spacing w:line="360" w:lineRule="auto"/>
        <w:ind w:left="119" w:firstLine="640" w:firstLineChars="200"/>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某</w:t>
      </w:r>
      <w:r>
        <w:rPr>
          <w:rFonts w:hint="eastAsia" w:ascii="Times New Roman" w:hAnsi="Times New Roman" w:cs="Times New Roman"/>
          <w:color w:val="000000"/>
          <w:sz w:val="32"/>
          <w:szCs w:val="32"/>
          <w:lang w:eastAsia="zh-CN"/>
        </w:rPr>
        <w:t>高新</w:t>
      </w:r>
      <w:r>
        <w:rPr>
          <w:rFonts w:ascii="Times New Roman" w:hAnsi="Times New Roman" w:cs="Times New Roman"/>
          <w:color w:val="000000"/>
          <w:sz w:val="32"/>
          <w:szCs w:val="32"/>
          <w:lang w:eastAsia="zh-CN"/>
        </w:rPr>
        <w:t>技术企业研发的“高氯酸盐净水卫士工艺与设备”是一种高氯酸盐靶向吸附工艺与回收技术，包括预处理-靶向吸附系统-回收系统工艺，并已在某烟花厂和衡阳某化工厂进行试验。该项技术高氯酸盐脱除率可达99%以上，出水可稳定达0.07 mg/L以下。根据涉高氯酸盐企业现场中试数据，某烟花厂循环回用水进水</w:t>
      </w:r>
      <w:r>
        <w:rPr>
          <w:rFonts w:hint="eastAsia" w:ascii="Times New Roman" w:hAnsi="Times New Roman" w:cs="Times New Roman"/>
          <w:color w:val="000000"/>
          <w:sz w:val="32"/>
          <w:szCs w:val="32"/>
          <w:lang w:eastAsia="zh-CN"/>
        </w:rPr>
        <w:t>高氯酸盐浓度</w:t>
      </w:r>
      <w:r>
        <w:rPr>
          <w:rFonts w:ascii="Times New Roman" w:hAnsi="Times New Roman" w:cs="Times New Roman"/>
          <w:color w:val="000000"/>
          <w:sz w:val="32"/>
          <w:szCs w:val="32"/>
          <w:lang w:eastAsia="zh-CN"/>
        </w:rPr>
        <w:t>约0.6-2 mg/L，</w:t>
      </w:r>
      <w:r>
        <w:rPr>
          <w:rFonts w:hint="eastAsia" w:ascii="Times New Roman" w:hAnsi="Times New Roman" w:cs="Times New Roman"/>
          <w:color w:val="000000"/>
          <w:sz w:val="32"/>
          <w:szCs w:val="32"/>
          <w:lang w:eastAsia="zh-CN"/>
        </w:rPr>
        <w:t>处理后</w:t>
      </w:r>
      <w:r>
        <w:rPr>
          <w:rFonts w:ascii="Times New Roman" w:hAnsi="Times New Roman" w:cs="Times New Roman"/>
          <w:color w:val="000000"/>
          <w:sz w:val="32"/>
          <w:szCs w:val="32"/>
          <w:lang w:eastAsia="zh-CN"/>
        </w:rPr>
        <w:t>出水小于0.01 mg/L；烟花厂生产废水进水</w:t>
      </w:r>
      <w:r>
        <w:rPr>
          <w:rFonts w:hint="eastAsia" w:ascii="Times New Roman" w:hAnsi="Times New Roman" w:cs="Times New Roman"/>
          <w:color w:val="000000"/>
          <w:sz w:val="32"/>
          <w:szCs w:val="32"/>
          <w:lang w:eastAsia="zh-CN"/>
        </w:rPr>
        <w:t>高氯酸盐浓度</w:t>
      </w:r>
      <w:r>
        <w:rPr>
          <w:rFonts w:ascii="Times New Roman" w:hAnsi="Times New Roman" w:cs="Times New Roman"/>
          <w:color w:val="000000"/>
          <w:sz w:val="32"/>
          <w:szCs w:val="32"/>
          <w:lang w:eastAsia="zh-CN"/>
        </w:rPr>
        <w:t>约200-700 mg/L，</w:t>
      </w:r>
      <w:r>
        <w:rPr>
          <w:rFonts w:hint="eastAsia" w:ascii="Times New Roman" w:hAnsi="Times New Roman" w:cs="Times New Roman"/>
          <w:color w:val="000000"/>
          <w:sz w:val="32"/>
          <w:szCs w:val="32"/>
          <w:lang w:eastAsia="zh-CN"/>
        </w:rPr>
        <w:t>处理后</w:t>
      </w:r>
      <w:r>
        <w:rPr>
          <w:rFonts w:ascii="Times New Roman" w:hAnsi="Times New Roman" w:cs="Times New Roman"/>
          <w:color w:val="000000"/>
          <w:sz w:val="32"/>
          <w:szCs w:val="32"/>
          <w:lang w:eastAsia="zh-CN"/>
        </w:rPr>
        <w:t>出水小于0.01 mg/L，结果如表8-2。</w:t>
      </w:r>
    </w:p>
    <w:p>
      <w:pPr>
        <w:pStyle w:val="3"/>
        <w:spacing w:line="360" w:lineRule="auto"/>
        <w:ind w:left="0"/>
        <w:jc w:val="center"/>
        <w:outlineLvl w:val="4"/>
        <w:rPr>
          <w:rFonts w:ascii="Times New Roman" w:hAnsi="Times New Roman" w:cs="Times New Roman"/>
          <w:b/>
          <w:bCs/>
          <w:color w:val="000000"/>
          <w:sz w:val="30"/>
          <w:szCs w:val="30"/>
          <w:lang w:eastAsia="zh-CN"/>
        </w:rPr>
      </w:pPr>
      <w:r>
        <w:rPr>
          <w:rFonts w:ascii="Times New Roman" w:hAnsi="Times New Roman" w:cs="Times New Roman"/>
          <w:b/>
          <w:bCs/>
          <w:color w:val="000000"/>
          <w:sz w:val="30"/>
          <w:szCs w:val="30"/>
          <w:lang w:eastAsia="zh-CN"/>
        </w:rPr>
        <w:t>表</w:t>
      </w:r>
      <w:r>
        <w:rPr>
          <w:rFonts w:hint="eastAsia" w:ascii="Times New Roman" w:hAnsi="Times New Roman" w:cs="Times New Roman"/>
          <w:b/>
          <w:bCs/>
          <w:color w:val="000000"/>
          <w:sz w:val="30"/>
          <w:szCs w:val="30"/>
          <w:lang w:eastAsia="zh-CN"/>
        </w:rPr>
        <w:t>7</w:t>
      </w:r>
      <w:r>
        <w:rPr>
          <w:rFonts w:ascii="Times New Roman" w:hAnsi="Times New Roman" w:cs="Times New Roman"/>
          <w:b/>
          <w:bCs/>
          <w:color w:val="000000"/>
          <w:sz w:val="30"/>
          <w:szCs w:val="30"/>
          <w:lang w:eastAsia="zh-CN"/>
        </w:rPr>
        <w:t>-2 某烟花厂循环回用水处理效果一览表</w:t>
      </w:r>
    </w:p>
    <w:tbl>
      <w:tblPr>
        <w:tblStyle w:val="17"/>
        <w:tblW w:w="4939"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636"/>
        <w:gridCol w:w="3225"/>
        <w:gridCol w:w="19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072" w:type="pct"/>
            <w:shd w:val="clear" w:color="000000" w:fill="FFFFFF"/>
            <w:noWrap/>
            <w:vAlign w:val="center"/>
          </w:tcPr>
          <w:p>
            <w:pPr>
              <w:widowControl/>
              <w:spacing w:line="360" w:lineRule="auto"/>
              <w:jc w:val="center"/>
              <w:rPr>
                <w:rFonts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名称</w:t>
            </w:r>
          </w:p>
        </w:tc>
        <w:tc>
          <w:tcPr>
            <w:tcW w:w="1838" w:type="pct"/>
            <w:shd w:val="clear" w:color="000000" w:fill="FFFFFF"/>
            <w:noWrap/>
            <w:vAlign w:val="center"/>
          </w:tcPr>
          <w:p>
            <w:pPr>
              <w:widowControl/>
              <w:spacing w:line="360" w:lineRule="auto"/>
              <w:jc w:val="center"/>
              <w:rPr>
                <w:rFonts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浓度（</w:t>
            </w:r>
            <w:r>
              <w:rPr>
                <w:rFonts w:ascii="Times New Roman" w:hAnsi="Times New Roman" w:eastAsia="仿宋" w:cs="Times New Roman"/>
                <w:b/>
                <w:bCs/>
                <w:color w:val="000000"/>
                <w:sz w:val="28"/>
                <w:szCs w:val="28"/>
                <w:lang w:eastAsia="zh-CN"/>
              </w:rPr>
              <w:t>mg/L</w:t>
            </w:r>
            <w:r>
              <w:rPr>
                <w:rFonts w:hint="eastAsia" w:ascii="Times New Roman" w:hAnsi="Times New Roman" w:eastAsia="仿宋" w:cs="Times New Roman"/>
                <w:b/>
                <w:bCs/>
                <w:color w:val="000000"/>
                <w:sz w:val="28"/>
                <w:szCs w:val="28"/>
                <w:lang w:eastAsia="zh-CN"/>
              </w:rPr>
              <w:t>）</w:t>
            </w:r>
          </w:p>
        </w:tc>
        <w:tc>
          <w:tcPr>
            <w:tcW w:w="1090" w:type="pct"/>
            <w:shd w:val="clear" w:color="000000" w:fill="FFFFFF"/>
            <w:noWrap/>
            <w:vAlign w:val="center"/>
          </w:tcPr>
          <w:p>
            <w:pPr>
              <w:widowControl/>
              <w:spacing w:line="360" w:lineRule="auto"/>
              <w:jc w:val="center"/>
              <w:rPr>
                <w:rFonts w:ascii="Times New Roman" w:hAnsi="Times New Roman" w:eastAsia="仿宋" w:cs="Times New Roman"/>
                <w:b/>
                <w:bCs/>
                <w:color w:val="000000"/>
                <w:sz w:val="28"/>
                <w:szCs w:val="28"/>
                <w:lang w:eastAsia="zh-CN"/>
              </w:rPr>
            </w:pPr>
            <w:r>
              <w:rPr>
                <w:rFonts w:hint="eastAsia" w:ascii="Times New Roman" w:hAnsi="Times New Roman" w:eastAsia="仿宋" w:cs="Times New Roman"/>
                <w:b/>
                <w:bCs/>
                <w:color w:val="000000"/>
                <w:sz w:val="28"/>
                <w:szCs w:val="28"/>
                <w:lang w:eastAsia="zh-CN"/>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072" w:type="pct"/>
            <w:shd w:val="clear" w:color="000000" w:fill="FFFFFF"/>
            <w:noWrap/>
            <w:vAlign w:val="center"/>
          </w:tcPr>
          <w:p>
            <w:pPr>
              <w:widowControl/>
              <w:spacing w:line="36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循环回用水（进水</w:t>
            </w:r>
            <w:r>
              <w:rPr>
                <w:rFonts w:ascii="Times New Roman" w:hAnsi="Times New Roman" w:eastAsia="仿宋" w:cs="Times New Roman"/>
                <w:color w:val="000000"/>
                <w:sz w:val="28"/>
                <w:szCs w:val="28"/>
                <w:lang w:eastAsia="zh-CN"/>
              </w:rPr>
              <w:t>1</w:t>
            </w:r>
            <w:r>
              <w:rPr>
                <w:rFonts w:hint="eastAsia" w:ascii="Times New Roman" w:hAnsi="Times New Roman" w:eastAsia="仿宋" w:cs="Times New Roman"/>
                <w:color w:val="000000"/>
                <w:sz w:val="28"/>
                <w:szCs w:val="28"/>
                <w:lang w:eastAsia="zh-CN"/>
              </w:rPr>
              <w:t>）</w:t>
            </w:r>
          </w:p>
        </w:tc>
        <w:tc>
          <w:tcPr>
            <w:tcW w:w="1838" w:type="pct"/>
            <w:shd w:val="clear" w:color="000000" w:fill="FFFFFF"/>
            <w:noWrap/>
            <w:vAlign w:val="center"/>
          </w:tcPr>
          <w:p>
            <w:pPr>
              <w:widowControl/>
              <w:spacing w:line="360" w:lineRule="auto"/>
              <w:jc w:val="center"/>
              <w:rPr>
                <w:rFonts w:ascii="Times New Roman" w:hAnsi="Times New Roman" w:eastAsia="仿宋" w:cs="Times New Roman"/>
                <w:color w:val="000000"/>
                <w:sz w:val="28"/>
                <w:szCs w:val="28"/>
                <w:lang w:eastAsia="zh-CN"/>
              </w:rPr>
            </w:pPr>
            <w:r>
              <w:rPr>
                <w:rFonts w:ascii="Times New Roman" w:hAnsi="Times New Roman" w:eastAsia="仿宋" w:cs="Times New Roman"/>
                <w:color w:val="000000"/>
                <w:sz w:val="28"/>
                <w:szCs w:val="28"/>
                <w:lang w:eastAsia="zh-CN"/>
              </w:rPr>
              <w:t xml:space="preserve">1.9150 </w:t>
            </w:r>
          </w:p>
        </w:tc>
        <w:tc>
          <w:tcPr>
            <w:tcW w:w="1090" w:type="pct"/>
            <w:shd w:val="clear" w:color="000000" w:fill="FFFFFF"/>
            <w:noWrap/>
            <w:vAlign w:val="center"/>
          </w:tcPr>
          <w:p>
            <w:pPr>
              <w:widowControl/>
              <w:spacing w:line="36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072" w:type="pct"/>
            <w:shd w:val="clear" w:color="000000" w:fill="FFFFFF"/>
            <w:noWrap/>
            <w:vAlign w:val="center"/>
          </w:tcPr>
          <w:p>
            <w:pPr>
              <w:widowControl/>
              <w:spacing w:line="36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出水</w:t>
            </w:r>
            <w:r>
              <w:rPr>
                <w:rFonts w:ascii="Times New Roman" w:hAnsi="Times New Roman" w:eastAsia="仿宋" w:cs="Times New Roman"/>
                <w:color w:val="000000"/>
                <w:sz w:val="28"/>
                <w:szCs w:val="28"/>
                <w:lang w:eastAsia="zh-CN"/>
              </w:rPr>
              <w:t>1</w:t>
            </w:r>
          </w:p>
        </w:tc>
        <w:tc>
          <w:tcPr>
            <w:tcW w:w="1838" w:type="pct"/>
            <w:shd w:val="clear" w:color="000000" w:fill="FFFFFF"/>
            <w:noWrap/>
            <w:vAlign w:val="center"/>
          </w:tcPr>
          <w:p>
            <w:pPr>
              <w:widowControl/>
              <w:spacing w:line="360" w:lineRule="auto"/>
              <w:jc w:val="center"/>
              <w:rPr>
                <w:rFonts w:ascii="Times New Roman" w:hAnsi="Times New Roman" w:eastAsia="仿宋" w:cs="Times New Roman"/>
                <w:color w:val="000000"/>
                <w:sz w:val="28"/>
                <w:szCs w:val="28"/>
                <w:lang w:eastAsia="zh-CN"/>
              </w:rPr>
            </w:pPr>
            <w:r>
              <w:rPr>
                <w:rFonts w:ascii="Times New Roman" w:hAnsi="Times New Roman" w:eastAsia="仿宋" w:cs="Times New Roman"/>
                <w:color w:val="000000"/>
                <w:sz w:val="28"/>
                <w:szCs w:val="28"/>
                <w:lang w:eastAsia="zh-CN"/>
              </w:rPr>
              <w:t>&lt;0.01</w:t>
            </w:r>
          </w:p>
        </w:tc>
        <w:tc>
          <w:tcPr>
            <w:tcW w:w="1090" w:type="pct"/>
            <w:shd w:val="clear" w:color="000000" w:fill="FFFFFF"/>
            <w:noWrap/>
            <w:vAlign w:val="center"/>
          </w:tcPr>
          <w:p>
            <w:pPr>
              <w:widowControl/>
              <w:spacing w:line="36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072" w:type="pct"/>
            <w:shd w:val="clear" w:color="000000" w:fill="FFFFFF"/>
            <w:noWrap/>
            <w:vAlign w:val="center"/>
          </w:tcPr>
          <w:p>
            <w:pPr>
              <w:widowControl/>
              <w:spacing w:line="36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沉淀池废水（进水</w:t>
            </w:r>
            <w:r>
              <w:rPr>
                <w:rFonts w:ascii="Times New Roman" w:hAnsi="Times New Roman" w:eastAsia="仿宋" w:cs="Times New Roman"/>
                <w:color w:val="000000"/>
                <w:sz w:val="28"/>
                <w:szCs w:val="28"/>
                <w:lang w:eastAsia="zh-CN"/>
              </w:rPr>
              <w:t>2</w:t>
            </w:r>
            <w:r>
              <w:rPr>
                <w:rFonts w:hint="eastAsia" w:ascii="Times New Roman" w:hAnsi="Times New Roman" w:eastAsia="仿宋" w:cs="Times New Roman"/>
                <w:color w:val="000000"/>
                <w:sz w:val="28"/>
                <w:szCs w:val="28"/>
                <w:lang w:eastAsia="zh-CN"/>
              </w:rPr>
              <w:t>）</w:t>
            </w:r>
          </w:p>
        </w:tc>
        <w:tc>
          <w:tcPr>
            <w:tcW w:w="1838" w:type="pct"/>
            <w:shd w:val="clear" w:color="000000" w:fill="FFFFFF"/>
            <w:noWrap/>
            <w:vAlign w:val="center"/>
          </w:tcPr>
          <w:p>
            <w:pPr>
              <w:widowControl/>
              <w:spacing w:line="360" w:lineRule="auto"/>
              <w:jc w:val="center"/>
              <w:rPr>
                <w:rFonts w:ascii="Times New Roman" w:hAnsi="Times New Roman" w:eastAsia="仿宋" w:cs="Times New Roman"/>
                <w:color w:val="000000"/>
                <w:sz w:val="28"/>
                <w:szCs w:val="28"/>
                <w:lang w:eastAsia="zh-CN"/>
              </w:rPr>
            </w:pPr>
            <w:r>
              <w:rPr>
                <w:rFonts w:ascii="Times New Roman" w:hAnsi="Times New Roman" w:eastAsia="仿宋" w:cs="Times New Roman"/>
                <w:color w:val="000000"/>
                <w:sz w:val="28"/>
                <w:szCs w:val="28"/>
                <w:lang w:eastAsia="zh-CN"/>
              </w:rPr>
              <w:t>698.1</w:t>
            </w:r>
          </w:p>
        </w:tc>
        <w:tc>
          <w:tcPr>
            <w:tcW w:w="1090" w:type="pct"/>
            <w:shd w:val="clear" w:color="000000" w:fill="FFFFFF"/>
            <w:noWrap/>
            <w:vAlign w:val="center"/>
          </w:tcPr>
          <w:p>
            <w:pPr>
              <w:widowControl/>
              <w:spacing w:line="36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2072" w:type="pct"/>
            <w:shd w:val="clear" w:color="000000" w:fill="FFFFFF"/>
            <w:noWrap/>
            <w:vAlign w:val="center"/>
          </w:tcPr>
          <w:p>
            <w:pPr>
              <w:widowControl/>
              <w:spacing w:line="36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出水</w:t>
            </w:r>
            <w:r>
              <w:rPr>
                <w:rFonts w:ascii="Times New Roman" w:hAnsi="Times New Roman" w:eastAsia="仿宋" w:cs="Times New Roman"/>
                <w:color w:val="000000"/>
                <w:sz w:val="28"/>
                <w:szCs w:val="28"/>
                <w:lang w:eastAsia="zh-CN"/>
              </w:rPr>
              <w:t>2</w:t>
            </w:r>
          </w:p>
        </w:tc>
        <w:tc>
          <w:tcPr>
            <w:tcW w:w="1838" w:type="pct"/>
            <w:shd w:val="clear" w:color="000000" w:fill="FFFFFF"/>
            <w:noWrap/>
            <w:vAlign w:val="center"/>
          </w:tcPr>
          <w:p>
            <w:pPr>
              <w:widowControl/>
              <w:spacing w:line="360" w:lineRule="auto"/>
              <w:jc w:val="center"/>
              <w:rPr>
                <w:rFonts w:ascii="Times New Roman" w:hAnsi="Times New Roman" w:eastAsia="仿宋" w:cs="Times New Roman"/>
                <w:color w:val="000000"/>
                <w:sz w:val="28"/>
                <w:szCs w:val="28"/>
                <w:lang w:eastAsia="zh-CN"/>
              </w:rPr>
            </w:pPr>
            <w:r>
              <w:rPr>
                <w:rFonts w:ascii="Times New Roman" w:hAnsi="Times New Roman" w:eastAsia="仿宋" w:cs="Times New Roman"/>
                <w:color w:val="000000"/>
                <w:sz w:val="28"/>
                <w:szCs w:val="28"/>
                <w:lang w:eastAsia="zh-CN"/>
              </w:rPr>
              <w:t>&lt;0.01</w:t>
            </w:r>
          </w:p>
        </w:tc>
        <w:tc>
          <w:tcPr>
            <w:tcW w:w="1090" w:type="pct"/>
            <w:shd w:val="clear" w:color="000000" w:fill="FFFFFF"/>
            <w:noWrap/>
            <w:vAlign w:val="center"/>
          </w:tcPr>
          <w:p>
            <w:pPr>
              <w:widowControl/>
              <w:spacing w:line="360" w:lineRule="auto"/>
              <w:jc w:val="center"/>
              <w:rPr>
                <w:rFonts w:ascii="Times New Roman" w:hAnsi="Times New Roman" w:eastAsia="仿宋" w:cs="Times New Roman"/>
                <w:color w:val="000000"/>
                <w:sz w:val="28"/>
                <w:szCs w:val="28"/>
                <w:lang w:eastAsia="zh-CN"/>
              </w:rPr>
            </w:pPr>
            <w:r>
              <w:rPr>
                <w:rFonts w:hint="eastAsia" w:ascii="Times New Roman" w:hAnsi="Times New Roman" w:eastAsia="仿宋" w:cs="Times New Roman"/>
                <w:color w:val="000000"/>
                <w:sz w:val="28"/>
                <w:szCs w:val="28"/>
                <w:lang w:eastAsia="zh-CN"/>
              </w:rPr>
              <w:t>/</w:t>
            </w:r>
          </w:p>
        </w:tc>
      </w:tr>
    </w:tbl>
    <w:p>
      <w:pPr>
        <w:pStyle w:val="3"/>
        <w:spacing w:line="360" w:lineRule="auto"/>
        <w:ind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针对高浓度工业企业废水，可采用撬装或移动设备，进行定期处理和定期再生回收的模式。</w:t>
      </w:r>
    </w:p>
    <w:p>
      <w:pPr>
        <w:pStyle w:val="3"/>
        <w:spacing w:line="360" w:lineRule="auto"/>
        <w:ind w:left="0"/>
        <w:jc w:val="both"/>
        <w:outlineLvl w:val="1"/>
        <w:rPr>
          <w:rFonts w:ascii="Times New Roman" w:hAnsi="Times New Roman" w:cs="Times New Roman"/>
          <w:b/>
          <w:bCs/>
          <w:color w:val="000000"/>
          <w:sz w:val="32"/>
          <w:szCs w:val="32"/>
          <w:lang w:eastAsia="zh-CN"/>
        </w:rPr>
      </w:pPr>
      <w:bookmarkStart w:id="150" w:name="_Toc31166"/>
      <w:r>
        <w:rPr>
          <w:rFonts w:hint="eastAsia" w:ascii="Times New Roman" w:hAnsi="Times New Roman" w:cs="Times New Roman"/>
          <w:b/>
          <w:bCs/>
          <w:color w:val="000000"/>
          <w:sz w:val="32"/>
          <w:szCs w:val="32"/>
          <w:lang w:eastAsia="zh-CN"/>
        </w:rPr>
        <w:t>7</w:t>
      </w:r>
      <w:r>
        <w:rPr>
          <w:rFonts w:ascii="Times New Roman" w:hAnsi="Times New Roman" w:cs="Times New Roman"/>
          <w:b/>
          <w:bCs/>
          <w:color w:val="000000"/>
          <w:sz w:val="32"/>
          <w:szCs w:val="32"/>
          <w:lang w:eastAsia="zh-CN"/>
        </w:rPr>
        <w:t xml:space="preserve">.2 </w:t>
      </w:r>
      <w:r>
        <w:rPr>
          <w:rFonts w:ascii="Times New Roman" w:hAnsi="Times New Roman" w:cs="Times New Roman"/>
          <w:b/>
          <w:color w:val="000000"/>
          <w:sz w:val="32"/>
          <w:szCs w:val="32"/>
          <w:lang w:eastAsia="zh-CN"/>
        </w:rPr>
        <w:t>化学还原工艺技术</w:t>
      </w:r>
      <w:bookmarkEnd w:id="150"/>
    </w:p>
    <w:p>
      <w:pPr>
        <w:pStyle w:val="3"/>
        <w:spacing w:line="360" w:lineRule="auto"/>
        <w:ind w:left="0" w:firstLine="642" w:firstLineChars="200"/>
        <w:jc w:val="both"/>
        <w:rPr>
          <w:rFonts w:ascii="Times New Roman" w:hAnsi="Times New Roman" w:cs="Times New Roman"/>
          <w:b/>
          <w:color w:val="000000"/>
          <w:sz w:val="32"/>
          <w:szCs w:val="32"/>
          <w:lang w:eastAsia="zh-CN"/>
        </w:rPr>
      </w:pPr>
      <w:r>
        <w:rPr>
          <w:rFonts w:ascii="Times New Roman" w:hAnsi="Times New Roman" w:cs="Times New Roman"/>
          <w:b/>
          <w:color w:val="000000"/>
          <w:sz w:val="32"/>
          <w:szCs w:val="32"/>
          <w:lang w:eastAsia="zh-CN"/>
        </w:rPr>
        <w:t>（1）</w:t>
      </w:r>
      <w:bookmarkStart w:id="151" w:name="OLE_LINK4"/>
      <w:r>
        <w:rPr>
          <w:rFonts w:ascii="Times New Roman" w:hAnsi="Times New Roman" w:cs="Times New Roman"/>
          <w:b/>
          <w:color w:val="000000"/>
          <w:sz w:val="32"/>
          <w:szCs w:val="32"/>
          <w:lang w:eastAsia="zh-CN"/>
        </w:rPr>
        <w:t>高氯酸盐化学还原工艺</w:t>
      </w:r>
      <w:bookmarkEnd w:id="151"/>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针对</w:t>
      </w:r>
      <w:r>
        <w:rPr>
          <w:rFonts w:hint="eastAsia" w:ascii="Times New Roman" w:hAnsi="Times New Roman" w:cs="Times New Roman"/>
          <w:color w:val="000000"/>
          <w:sz w:val="32"/>
          <w:szCs w:val="32"/>
          <w:lang w:eastAsia="zh-CN"/>
        </w:rPr>
        <w:t>烟花爆竹</w:t>
      </w:r>
      <w:r>
        <w:rPr>
          <w:rFonts w:ascii="Times New Roman" w:hAnsi="Times New Roman" w:cs="Times New Roman"/>
          <w:color w:val="000000"/>
          <w:sz w:val="32"/>
          <w:szCs w:val="32"/>
          <w:lang w:eastAsia="zh-CN"/>
        </w:rPr>
        <w:t>高氯酸盐废水，</w:t>
      </w:r>
      <w:r>
        <w:rPr>
          <w:rFonts w:hint="eastAsia" w:ascii="Times New Roman" w:hAnsi="Times New Roman" w:cs="Times New Roman"/>
          <w:color w:val="000000"/>
          <w:sz w:val="32"/>
          <w:szCs w:val="32"/>
          <w:lang w:eastAsia="zh-CN"/>
        </w:rPr>
        <w:t>相关技术团队</w:t>
      </w:r>
      <w:r>
        <w:rPr>
          <w:rFonts w:ascii="Times New Roman" w:hAnsi="Times New Roman" w:cs="Times New Roman"/>
          <w:color w:val="000000"/>
          <w:sz w:val="32"/>
          <w:szCs w:val="32"/>
          <w:lang w:eastAsia="zh-CN"/>
        </w:rPr>
        <w:t>采用纳米零价铁</w:t>
      </w:r>
      <w:r>
        <w:rPr>
          <w:rFonts w:hint="eastAsia" w:ascii="Times New Roman" w:hAnsi="Times New Roman" w:cs="Times New Roman"/>
          <w:color w:val="000000"/>
          <w:sz w:val="32"/>
          <w:szCs w:val="32"/>
          <w:lang w:eastAsia="zh-CN"/>
        </w:rPr>
        <w:t>还原工艺</w:t>
      </w:r>
      <w:r>
        <w:rPr>
          <w:rFonts w:ascii="Times New Roman" w:hAnsi="Times New Roman" w:cs="Times New Roman"/>
          <w:color w:val="000000"/>
          <w:sz w:val="32"/>
          <w:szCs w:val="32"/>
          <w:lang w:eastAsia="zh-CN"/>
        </w:rPr>
        <w:t>，在一定条件下将高氯酸盐还原为氯离子，工艺流程“鞭炮烟花废水→沉淀池→压滤除废渣→一级反应降解→二级反应降解→三级反应降解→出水回用或排放”。该技术针对高氯酸盐生产企业废水，去除率可达50%-95%，并实现了现场试验示范。</w:t>
      </w:r>
      <w:r>
        <w:rPr>
          <w:rFonts w:hint="eastAsia" w:ascii="Times New Roman" w:hAnsi="Times New Roman" w:cs="Times New Roman"/>
          <w:color w:val="000000"/>
          <w:sz w:val="32"/>
          <w:szCs w:val="32"/>
          <w:lang w:eastAsia="zh-CN"/>
        </w:rPr>
        <w:t>处理后废渣经验证属于一般固体废弃物，可资源化利用回用于烟花爆竹厂生产。</w:t>
      </w:r>
    </w:p>
    <w:p>
      <w:pPr>
        <w:pStyle w:val="3"/>
        <w:spacing w:line="360" w:lineRule="auto"/>
        <w:ind w:left="0" w:firstLine="642" w:firstLineChars="200"/>
        <w:jc w:val="both"/>
        <w:rPr>
          <w:rFonts w:ascii="Times New Roman" w:hAnsi="Times New Roman" w:cs="Times New Roman"/>
          <w:b/>
          <w:color w:val="000000"/>
          <w:sz w:val="32"/>
          <w:szCs w:val="32"/>
          <w:lang w:eastAsia="zh-CN"/>
        </w:rPr>
      </w:pPr>
      <w:r>
        <w:rPr>
          <w:rFonts w:ascii="Times New Roman" w:hAnsi="Times New Roman" w:cs="Times New Roman"/>
          <w:b/>
          <w:color w:val="000000"/>
          <w:sz w:val="32"/>
          <w:szCs w:val="32"/>
          <w:lang w:eastAsia="zh-CN"/>
        </w:rPr>
        <w:t>（2）催化还原技术</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某高校技术团队采用催化还原机制，开发含钯等活性催化剂纳米材料，在一定酸碱度条件下通过化学还原反应去除高氯酸盐。理论上可以达到1.53 g/g，可将浓度100 mg/L的高氯酸盐废水处理至0.07 mg/L以下，目前该技术处于实验室小试阶段。</w:t>
      </w:r>
    </w:p>
    <w:p>
      <w:pPr>
        <w:pStyle w:val="3"/>
        <w:spacing w:line="360" w:lineRule="auto"/>
        <w:ind w:left="0"/>
        <w:jc w:val="both"/>
        <w:outlineLvl w:val="1"/>
        <w:rPr>
          <w:rFonts w:ascii="Times New Roman" w:hAnsi="Times New Roman" w:cs="Times New Roman"/>
          <w:b/>
          <w:color w:val="000000"/>
          <w:sz w:val="32"/>
          <w:szCs w:val="32"/>
          <w:lang w:eastAsia="zh-CN"/>
        </w:rPr>
      </w:pPr>
      <w:bookmarkStart w:id="152" w:name="_Toc15774"/>
      <w:r>
        <w:rPr>
          <w:rFonts w:hint="eastAsia" w:ascii="Times New Roman" w:hAnsi="Times New Roman" w:cs="Times New Roman"/>
          <w:b/>
          <w:color w:val="000000"/>
          <w:sz w:val="32"/>
          <w:szCs w:val="32"/>
          <w:lang w:eastAsia="zh-CN"/>
        </w:rPr>
        <w:t>7</w:t>
      </w:r>
      <w:r>
        <w:rPr>
          <w:rFonts w:ascii="Times New Roman" w:hAnsi="Times New Roman" w:cs="Times New Roman"/>
          <w:b/>
          <w:color w:val="000000"/>
          <w:sz w:val="32"/>
          <w:szCs w:val="32"/>
          <w:lang w:eastAsia="zh-CN"/>
        </w:rPr>
        <w:t>.3 微生物还原工艺技术</w:t>
      </w:r>
      <w:bookmarkEnd w:id="152"/>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某科研院所技术团队采用微生物还原法，通过培养驯化烟花企业沉淀池污泥，富集高氯酸盐还原菌</w:t>
      </w: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在厌氧条件下，菌群通过高氯酸盐还原酶，将高氯酸根离子和氯酸根离子还原为氯离子。目前实验室条件下厌氧微生物可将浓度102 mg/L的高氯酸盐废水处理至2.0 mg/L，去除率可高达98%以上，该技术可有效解决沉淀池底泥和浮渣中高氯酸盐浓度高问题，配合深度吸附处理技术，可大大降低树脂使用成本，该技术</w:t>
      </w:r>
      <w:r>
        <w:rPr>
          <w:rFonts w:hint="eastAsia" w:ascii="Times New Roman" w:hAnsi="Times New Roman" w:cs="Times New Roman"/>
          <w:color w:val="000000"/>
          <w:sz w:val="32"/>
          <w:szCs w:val="32"/>
          <w:lang w:eastAsia="zh-CN"/>
        </w:rPr>
        <w:t>已完成</w:t>
      </w:r>
      <w:r>
        <w:rPr>
          <w:rFonts w:ascii="Times New Roman" w:hAnsi="Times New Roman" w:cs="Times New Roman"/>
          <w:color w:val="000000"/>
          <w:sz w:val="32"/>
          <w:szCs w:val="32"/>
          <w:lang w:eastAsia="zh-CN"/>
        </w:rPr>
        <w:t>小试</w:t>
      </w:r>
      <w:r>
        <w:rPr>
          <w:rFonts w:hint="eastAsia" w:ascii="Times New Roman" w:hAnsi="Times New Roman" w:cs="Times New Roman"/>
          <w:color w:val="000000"/>
          <w:sz w:val="32"/>
          <w:szCs w:val="32"/>
          <w:lang w:eastAsia="zh-CN"/>
        </w:rPr>
        <w:t>试验，</w:t>
      </w:r>
      <w:r>
        <w:rPr>
          <w:rFonts w:ascii="Times New Roman" w:hAnsi="Times New Roman" w:cs="Times New Roman"/>
          <w:color w:val="000000"/>
          <w:sz w:val="32"/>
          <w:szCs w:val="32"/>
          <w:lang w:eastAsia="zh-CN"/>
        </w:rPr>
        <w:t>近期将应用于工程实践。</w:t>
      </w:r>
    </w:p>
    <w:p>
      <w:pPr>
        <w:rPr>
          <w:rFonts w:ascii="Times New Roman" w:hAnsi="Times New Roman" w:cs="Times New Roman"/>
          <w:color w:val="000000"/>
          <w:lang w:eastAsia="zh-CN"/>
        </w:rPr>
      </w:pPr>
    </w:p>
    <w:p>
      <w:pPr>
        <w:keepNext/>
        <w:spacing w:line="360" w:lineRule="auto"/>
        <w:jc w:val="both"/>
        <w:outlineLvl w:val="0"/>
        <w:rPr>
          <w:rFonts w:ascii="Times New Roman" w:hAnsi="Times New Roman" w:eastAsia="仿宋" w:cs="Times New Roman"/>
          <w:b/>
          <w:bCs/>
          <w:color w:val="000000"/>
          <w:sz w:val="36"/>
          <w:szCs w:val="36"/>
          <w:lang w:eastAsia="zh-CN"/>
        </w:rPr>
        <w:sectPr>
          <w:pgSz w:w="11906" w:h="16840"/>
          <w:pgMar w:top="1440" w:right="1560" w:bottom="1380" w:left="1680" w:header="0" w:footer="1196" w:gutter="0"/>
          <w:cols w:space="720" w:num="1"/>
        </w:sectPr>
      </w:pPr>
    </w:p>
    <w:p>
      <w:pPr>
        <w:keepNext/>
        <w:spacing w:line="360" w:lineRule="auto"/>
        <w:jc w:val="both"/>
        <w:outlineLvl w:val="0"/>
        <w:rPr>
          <w:rFonts w:ascii="Times New Roman" w:hAnsi="Times New Roman" w:eastAsia="仿宋" w:cs="Times New Roman"/>
          <w:b/>
          <w:bCs/>
          <w:color w:val="000000"/>
          <w:sz w:val="36"/>
          <w:szCs w:val="36"/>
          <w:lang w:eastAsia="zh-CN"/>
        </w:rPr>
      </w:pPr>
      <w:bookmarkStart w:id="153" w:name="_Toc21076"/>
      <w:r>
        <w:rPr>
          <w:rFonts w:hint="eastAsia" w:ascii="Times New Roman" w:hAnsi="Times New Roman" w:eastAsia="仿宋" w:cs="Times New Roman"/>
          <w:b/>
          <w:bCs/>
          <w:color w:val="000000"/>
          <w:sz w:val="36"/>
          <w:szCs w:val="36"/>
          <w:lang w:eastAsia="zh-CN"/>
        </w:rPr>
        <w:t>8</w:t>
      </w:r>
      <w:r>
        <w:rPr>
          <w:rFonts w:ascii="Times New Roman" w:hAnsi="Times New Roman" w:eastAsia="仿宋" w:cs="Times New Roman"/>
          <w:b/>
          <w:bCs/>
          <w:color w:val="000000"/>
          <w:sz w:val="36"/>
          <w:szCs w:val="36"/>
          <w:lang w:eastAsia="zh-CN"/>
        </w:rPr>
        <w:t xml:space="preserve"> 标准实施的环境、社会效益分析</w:t>
      </w:r>
      <w:bookmarkEnd w:id="153"/>
    </w:p>
    <w:p>
      <w:pPr>
        <w:pStyle w:val="3"/>
        <w:spacing w:line="360" w:lineRule="auto"/>
        <w:ind w:left="0"/>
        <w:jc w:val="both"/>
        <w:outlineLvl w:val="1"/>
        <w:rPr>
          <w:rFonts w:ascii="Times New Roman" w:hAnsi="Times New Roman" w:cs="Times New Roman"/>
          <w:b/>
          <w:bCs/>
          <w:color w:val="000000"/>
          <w:sz w:val="32"/>
          <w:szCs w:val="32"/>
          <w:lang w:eastAsia="zh-CN"/>
        </w:rPr>
      </w:pPr>
      <w:bookmarkStart w:id="154" w:name="_Toc27294"/>
      <w:r>
        <w:rPr>
          <w:rFonts w:hint="eastAsia" w:ascii="Times New Roman" w:hAnsi="Times New Roman" w:cs="Times New Roman"/>
          <w:b/>
          <w:bCs/>
          <w:color w:val="000000"/>
          <w:sz w:val="32"/>
          <w:szCs w:val="32"/>
          <w:lang w:eastAsia="zh-CN"/>
        </w:rPr>
        <w:t>8</w:t>
      </w:r>
      <w:r>
        <w:rPr>
          <w:rFonts w:ascii="Times New Roman" w:hAnsi="Times New Roman" w:cs="Times New Roman"/>
          <w:b/>
          <w:bCs/>
          <w:color w:val="000000"/>
          <w:sz w:val="32"/>
          <w:szCs w:val="32"/>
          <w:lang w:eastAsia="zh-CN"/>
        </w:rPr>
        <w:t>.1 环境效益分析</w:t>
      </w:r>
      <w:bookmarkEnd w:id="154"/>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本文件</w:t>
      </w:r>
      <w:r>
        <w:rPr>
          <w:rFonts w:ascii="Times New Roman" w:hAnsi="Times New Roman" w:cs="Times New Roman"/>
          <w:color w:val="000000"/>
          <w:sz w:val="32"/>
          <w:szCs w:val="32"/>
          <w:lang w:eastAsia="zh-CN"/>
        </w:rPr>
        <w:t>以</w:t>
      </w:r>
      <w:r>
        <w:rPr>
          <w:rFonts w:hint="eastAsia" w:ascii="Times New Roman" w:hAnsi="Times New Roman" w:cs="Times New Roman"/>
          <w:color w:val="000000"/>
          <w:sz w:val="32"/>
          <w:szCs w:val="32"/>
          <w:lang w:eastAsia="zh-CN"/>
        </w:rPr>
        <w:t>保障饮用水安全为前提，综合考虑</w:t>
      </w:r>
      <w:r>
        <w:rPr>
          <w:rFonts w:ascii="Times New Roman" w:hAnsi="Times New Roman" w:cs="Times New Roman"/>
          <w:color w:val="000000"/>
          <w:sz w:val="32"/>
          <w:szCs w:val="32"/>
          <w:lang w:eastAsia="zh-CN"/>
        </w:rPr>
        <w:t>涉高氯酸盐</w:t>
      </w:r>
      <w:r>
        <w:rPr>
          <w:rFonts w:hint="eastAsia" w:ascii="Times New Roman" w:hAnsi="Times New Roman" w:cs="Times New Roman"/>
          <w:color w:val="000000"/>
          <w:sz w:val="32"/>
          <w:szCs w:val="32"/>
          <w:lang w:eastAsia="zh-CN"/>
        </w:rPr>
        <w:t>工业企业</w:t>
      </w:r>
      <w:r>
        <w:rPr>
          <w:rFonts w:ascii="Times New Roman" w:hAnsi="Times New Roman" w:cs="Times New Roman"/>
          <w:color w:val="000000"/>
          <w:sz w:val="32"/>
          <w:szCs w:val="32"/>
          <w:lang w:eastAsia="zh-CN"/>
        </w:rPr>
        <w:t>现状及污染</w:t>
      </w:r>
      <w:r>
        <w:rPr>
          <w:rFonts w:hint="eastAsia" w:ascii="Times New Roman" w:hAnsi="Times New Roman" w:cs="Times New Roman"/>
          <w:color w:val="000000"/>
          <w:sz w:val="32"/>
          <w:szCs w:val="32"/>
          <w:lang w:eastAsia="zh-CN"/>
        </w:rPr>
        <w:t>防治</w:t>
      </w:r>
      <w:r>
        <w:rPr>
          <w:rFonts w:ascii="Times New Roman" w:hAnsi="Times New Roman" w:cs="Times New Roman"/>
          <w:color w:val="000000"/>
          <w:sz w:val="32"/>
          <w:szCs w:val="32"/>
          <w:lang w:eastAsia="zh-CN"/>
        </w:rPr>
        <w:t>水平，提出了高氯酸盐污染物排放浓度限值。</w:t>
      </w:r>
      <w:r>
        <w:rPr>
          <w:rFonts w:hint="eastAsia" w:ascii="Times New Roman" w:hAnsi="Times New Roman" w:cs="Times New Roman"/>
          <w:color w:val="000000"/>
          <w:sz w:val="32"/>
          <w:szCs w:val="32"/>
          <w:lang w:eastAsia="zh-CN"/>
        </w:rPr>
        <w:t>预计企业进一步整改及</w:t>
      </w:r>
      <w:r>
        <w:rPr>
          <w:rFonts w:ascii="Times New Roman" w:hAnsi="Times New Roman" w:cs="Times New Roman"/>
          <w:color w:val="000000"/>
          <w:sz w:val="32"/>
          <w:szCs w:val="32"/>
          <w:lang w:eastAsia="zh-CN"/>
        </w:rPr>
        <w:t>标准实施后，排污总量将大幅削减</w:t>
      </w:r>
      <w:r>
        <w:rPr>
          <w:rFonts w:ascii="Times New Roman" w:hAnsi="Times New Roman" w:cs="Times New Roman"/>
          <w:color w:val="000000"/>
          <w:spacing w:val="-34"/>
          <w:sz w:val="32"/>
          <w:szCs w:val="32"/>
          <w:lang w:eastAsia="zh-CN"/>
        </w:rPr>
        <w:t>。</w:t>
      </w:r>
      <w:r>
        <w:rPr>
          <w:rFonts w:ascii="Times New Roman" w:hAnsi="Times New Roman" w:cs="Times New Roman"/>
          <w:color w:val="000000"/>
          <w:sz w:val="32"/>
          <w:szCs w:val="32"/>
          <w:lang w:eastAsia="zh-CN"/>
        </w:rPr>
        <w:t>实施</w:t>
      </w:r>
      <w:r>
        <w:rPr>
          <w:rFonts w:hint="eastAsia" w:ascii="Times New Roman" w:hAnsi="Times New Roman" w:cs="Times New Roman"/>
          <w:color w:val="000000"/>
          <w:sz w:val="32"/>
          <w:szCs w:val="32"/>
          <w:lang w:eastAsia="zh-CN"/>
        </w:rPr>
        <w:t>本文件</w:t>
      </w:r>
      <w:r>
        <w:rPr>
          <w:rFonts w:ascii="Times New Roman" w:hAnsi="Times New Roman" w:cs="Times New Roman"/>
          <w:color w:val="000000"/>
          <w:sz w:val="32"/>
          <w:szCs w:val="32"/>
          <w:lang w:eastAsia="zh-CN"/>
        </w:rPr>
        <w:t>可有效防范</w:t>
      </w:r>
      <w:r>
        <w:rPr>
          <w:rFonts w:hint="eastAsia" w:ascii="Times New Roman" w:hAnsi="Times New Roman" w:cs="Times New Roman"/>
          <w:color w:val="000000"/>
          <w:sz w:val="32"/>
          <w:szCs w:val="32"/>
          <w:lang w:eastAsia="zh-CN"/>
        </w:rPr>
        <w:t>水</w:t>
      </w:r>
      <w:r>
        <w:rPr>
          <w:rFonts w:ascii="Times New Roman" w:hAnsi="Times New Roman" w:cs="Times New Roman"/>
          <w:color w:val="000000"/>
          <w:sz w:val="32"/>
          <w:szCs w:val="32"/>
          <w:lang w:eastAsia="zh-CN"/>
        </w:rPr>
        <w:t>环境风险</w:t>
      </w:r>
      <w:r>
        <w:rPr>
          <w:rFonts w:ascii="Times New Roman" w:hAnsi="Times New Roman" w:cs="Times New Roman"/>
          <w:color w:val="000000"/>
          <w:spacing w:val="-32"/>
          <w:sz w:val="32"/>
          <w:szCs w:val="32"/>
          <w:lang w:eastAsia="zh-CN"/>
        </w:rPr>
        <w:t>，</w:t>
      </w:r>
      <w:r>
        <w:rPr>
          <w:rFonts w:ascii="Times New Roman" w:hAnsi="Times New Roman" w:cs="Times New Roman"/>
          <w:color w:val="000000"/>
          <w:sz w:val="32"/>
          <w:szCs w:val="32"/>
          <w:lang w:eastAsia="zh-CN"/>
        </w:rPr>
        <w:t>保障饮用水安全</w:t>
      </w:r>
      <w:r>
        <w:rPr>
          <w:rFonts w:ascii="Times New Roman" w:hAnsi="Times New Roman" w:cs="Times New Roman"/>
          <w:color w:val="000000"/>
          <w:spacing w:val="-32"/>
          <w:sz w:val="32"/>
          <w:szCs w:val="32"/>
          <w:lang w:eastAsia="zh-CN"/>
        </w:rPr>
        <w:t>，</w:t>
      </w:r>
      <w:r>
        <w:rPr>
          <w:rFonts w:ascii="Times New Roman" w:hAnsi="Times New Roman" w:cs="Times New Roman"/>
          <w:color w:val="000000"/>
          <w:sz w:val="32"/>
          <w:szCs w:val="32"/>
          <w:lang w:eastAsia="zh-CN"/>
        </w:rPr>
        <w:t>有助于推动我省涉高氯酸盐行业绿色发展。</w:t>
      </w:r>
    </w:p>
    <w:p>
      <w:pPr>
        <w:pStyle w:val="3"/>
        <w:spacing w:line="360" w:lineRule="auto"/>
        <w:ind w:left="0"/>
        <w:jc w:val="both"/>
        <w:outlineLvl w:val="1"/>
        <w:rPr>
          <w:rFonts w:ascii="Times New Roman" w:hAnsi="Times New Roman" w:cs="Times New Roman"/>
          <w:b/>
          <w:bCs/>
          <w:color w:val="000000"/>
          <w:sz w:val="32"/>
          <w:szCs w:val="32"/>
          <w:lang w:eastAsia="zh-CN"/>
        </w:rPr>
      </w:pPr>
      <w:bookmarkStart w:id="155" w:name="6.2技术经济分析"/>
      <w:bookmarkEnd w:id="155"/>
      <w:bookmarkStart w:id="156" w:name="_bookmark27"/>
      <w:bookmarkEnd w:id="156"/>
      <w:bookmarkStart w:id="157" w:name="_Toc30767"/>
      <w:r>
        <w:rPr>
          <w:rFonts w:hint="eastAsia" w:ascii="Times New Roman" w:hAnsi="Times New Roman" w:cs="Times New Roman"/>
          <w:b/>
          <w:bCs/>
          <w:color w:val="000000"/>
          <w:sz w:val="32"/>
          <w:szCs w:val="32"/>
          <w:lang w:eastAsia="zh-CN"/>
        </w:rPr>
        <w:t>8</w:t>
      </w:r>
      <w:r>
        <w:rPr>
          <w:rFonts w:ascii="Times New Roman" w:hAnsi="Times New Roman" w:cs="Times New Roman"/>
          <w:b/>
          <w:bCs/>
          <w:color w:val="000000"/>
          <w:sz w:val="32"/>
          <w:szCs w:val="32"/>
          <w:lang w:eastAsia="zh-CN"/>
        </w:rPr>
        <w:t>.2 社会效益分析</w:t>
      </w:r>
      <w:bookmarkEnd w:id="157"/>
    </w:p>
    <w:p>
      <w:pPr>
        <w:pStyle w:val="3"/>
        <w:spacing w:line="360" w:lineRule="auto"/>
        <w:ind w:left="0" w:firstLine="640" w:firstLineChars="200"/>
        <w:jc w:val="both"/>
        <w:rPr>
          <w:rFonts w:ascii="Times New Roman" w:hAnsi="Times New Roman" w:cs="Times New Roman"/>
          <w:color w:val="000000"/>
          <w:sz w:val="28"/>
          <w:szCs w:val="28"/>
          <w:lang w:eastAsia="zh-CN"/>
        </w:rPr>
      </w:pPr>
      <w:r>
        <w:rPr>
          <w:rFonts w:ascii="Times New Roman" w:hAnsi="Times New Roman" w:cs="Times New Roman"/>
          <w:color w:val="000000"/>
          <w:sz w:val="32"/>
          <w:szCs w:val="32"/>
          <w:lang w:eastAsia="zh-CN"/>
        </w:rPr>
        <w:t>废水中高氯酸盐污染物不经处理直接排放，威胁饮用水安全和河流湖泊水环境。</w:t>
      </w:r>
      <w:r>
        <w:rPr>
          <w:rFonts w:hint="eastAsia" w:ascii="Times New Roman" w:hAnsi="Times New Roman" w:cs="Times New Roman"/>
          <w:color w:val="000000"/>
          <w:sz w:val="32"/>
          <w:szCs w:val="32"/>
          <w:lang w:eastAsia="zh-CN"/>
        </w:rPr>
        <w:t>本文件</w:t>
      </w:r>
      <w:r>
        <w:rPr>
          <w:rFonts w:ascii="Times New Roman" w:hAnsi="Times New Roman" w:cs="Times New Roman"/>
          <w:color w:val="000000"/>
          <w:sz w:val="32"/>
          <w:szCs w:val="32"/>
          <w:lang w:eastAsia="zh-CN"/>
        </w:rPr>
        <w:t>实施后，含高氯酸盐废水在总排口降低到排放限值以下，可显著减少高氯酸盐污染物排放量，既符</w:t>
      </w:r>
      <w:r>
        <w:rPr>
          <w:rFonts w:hint="eastAsia" w:ascii="Times New Roman" w:hAnsi="Times New Roman" w:cs="Times New Roman"/>
          <w:color w:val="000000"/>
          <w:sz w:val="32"/>
          <w:szCs w:val="32"/>
          <w:lang w:eastAsia="zh-CN"/>
        </w:rPr>
        <w:t>合污染防治攻坚战总体要求，倒逼企业</w:t>
      </w:r>
      <w:r>
        <w:rPr>
          <w:rFonts w:ascii="Times New Roman" w:hAnsi="Times New Roman" w:cs="Times New Roman"/>
          <w:color w:val="000000"/>
          <w:sz w:val="32"/>
          <w:szCs w:val="32"/>
          <w:lang w:eastAsia="zh-CN"/>
        </w:rPr>
        <w:t>提高清洁生产水平，又可实现高氯酸盐行业可持续发展，保证</w:t>
      </w:r>
      <w:r>
        <w:rPr>
          <w:rFonts w:hint="eastAsia" w:ascii="Times New Roman" w:hAnsi="Times New Roman" w:cs="Times New Roman"/>
          <w:color w:val="000000"/>
          <w:sz w:val="32"/>
          <w:szCs w:val="32"/>
          <w:lang w:val="en-US" w:eastAsia="zh-CN"/>
        </w:rPr>
        <w:t>饮用水水源安全</w:t>
      </w:r>
      <w:r>
        <w:rPr>
          <w:rFonts w:ascii="Times New Roman" w:hAnsi="Times New Roman" w:cs="Times New Roman"/>
          <w:color w:val="000000"/>
          <w:sz w:val="32"/>
          <w:szCs w:val="32"/>
          <w:lang w:eastAsia="zh-CN"/>
        </w:rPr>
        <w:t>，标准实施具有十分显著的社会效益。</w:t>
      </w:r>
    </w:p>
    <w:p>
      <w:pPr>
        <w:keepNext/>
        <w:spacing w:line="360" w:lineRule="auto"/>
        <w:jc w:val="both"/>
        <w:outlineLvl w:val="0"/>
        <w:rPr>
          <w:rFonts w:ascii="Times New Roman" w:hAnsi="Times New Roman" w:eastAsia="仿宋" w:cs="Times New Roman"/>
          <w:b/>
          <w:bCs/>
          <w:color w:val="000000"/>
          <w:sz w:val="36"/>
          <w:szCs w:val="36"/>
          <w:lang w:eastAsia="zh-CN"/>
        </w:rPr>
        <w:sectPr>
          <w:pgSz w:w="11906" w:h="16840"/>
          <w:pgMar w:top="1440" w:right="1560" w:bottom="1380" w:left="1680" w:header="0" w:footer="1196" w:gutter="0"/>
          <w:cols w:space="720" w:num="1"/>
        </w:sectPr>
      </w:pPr>
    </w:p>
    <w:p>
      <w:pPr>
        <w:keepNext/>
        <w:spacing w:line="360" w:lineRule="auto"/>
        <w:jc w:val="both"/>
        <w:outlineLvl w:val="0"/>
        <w:rPr>
          <w:rFonts w:ascii="Times New Roman" w:hAnsi="Times New Roman" w:eastAsia="仿宋" w:cs="Times New Roman"/>
          <w:b/>
          <w:bCs/>
          <w:color w:val="000000"/>
          <w:sz w:val="36"/>
          <w:szCs w:val="36"/>
          <w:lang w:eastAsia="zh-CN"/>
        </w:rPr>
      </w:pPr>
      <w:bookmarkStart w:id="158" w:name="_Toc32542"/>
      <w:r>
        <w:rPr>
          <w:rFonts w:hint="eastAsia" w:ascii="Times New Roman" w:hAnsi="Times New Roman" w:eastAsia="仿宋" w:cs="Times New Roman"/>
          <w:b/>
          <w:bCs/>
          <w:color w:val="000000"/>
          <w:sz w:val="36"/>
          <w:szCs w:val="36"/>
          <w:lang w:eastAsia="zh-CN"/>
        </w:rPr>
        <w:t>9</w:t>
      </w:r>
      <w:r>
        <w:rPr>
          <w:rFonts w:ascii="Times New Roman" w:hAnsi="Times New Roman" w:eastAsia="仿宋" w:cs="Times New Roman"/>
          <w:b/>
          <w:bCs/>
          <w:color w:val="000000"/>
          <w:sz w:val="36"/>
          <w:szCs w:val="36"/>
          <w:lang w:eastAsia="zh-CN"/>
        </w:rPr>
        <w:t xml:space="preserve">  标准实施建议</w:t>
      </w:r>
      <w:bookmarkEnd w:id="158"/>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hint="eastAsia" w:ascii="Times New Roman" w:hAnsi="Times New Roman" w:cs="Times New Roman"/>
          <w:color w:val="000000"/>
          <w:sz w:val="32"/>
          <w:szCs w:val="32"/>
          <w:lang w:eastAsia="zh-CN"/>
        </w:rPr>
        <w:t>（</w:t>
      </w:r>
      <w:r>
        <w:rPr>
          <w:rFonts w:ascii="Times New Roman" w:hAnsi="Times New Roman" w:cs="Times New Roman"/>
          <w:color w:val="000000"/>
          <w:sz w:val="32"/>
          <w:szCs w:val="32"/>
          <w:lang w:eastAsia="zh-CN"/>
        </w:rPr>
        <w:t>1</w:t>
      </w:r>
      <w:r>
        <w:rPr>
          <w:rFonts w:hint="eastAsia" w:ascii="Times New Roman" w:hAnsi="Times New Roman" w:cs="Times New Roman"/>
          <w:color w:val="000000"/>
          <w:sz w:val="32"/>
          <w:szCs w:val="32"/>
          <w:lang w:eastAsia="zh-CN"/>
        </w:rPr>
        <w:t>）</w:t>
      </w:r>
      <w:r>
        <w:rPr>
          <w:rFonts w:hint="eastAsia" w:ascii="Times New Roman" w:hAnsi="Times New Roman" w:eastAsia="仿宋_GB2312" w:cs="Times New Roman"/>
          <w:color w:val="000000"/>
          <w:sz w:val="32"/>
          <w:szCs w:val="32"/>
          <w:lang w:eastAsia="zh-CN"/>
        </w:rPr>
        <w:t>加强与应急部门协调联动，</w:t>
      </w:r>
      <w:r>
        <w:rPr>
          <w:rFonts w:hint="eastAsia" w:ascii="Times New Roman" w:hAnsi="Times New Roman" w:cs="Times New Roman"/>
          <w:color w:val="000000"/>
          <w:sz w:val="32"/>
          <w:szCs w:val="32"/>
          <w:lang w:eastAsia="zh-CN"/>
        </w:rPr>
        <w:t>企业</w:t>
      </w:r>
      <w:r>
        <w:rPr>
          <w:rFonts w:hint="eastAsia" w:ascii="Times New Roman" w:hAnsi="Times New Roman" w:eastAsia="仿宋_GB2312" w:cs="Times New Roman"/>
          <w:color w:val="000000"/>
          <w:sz w:val="32"/>
          <w:szCs w:val="32"/>
          <w:lang w:eastAsia="zh-CN"/>
        </w:rPr>
        <w:t>增设污染防治设施均应在应急部门的监督和指导下进行。</w:t>
      </w:r>
    </w:p>
    <w:p>
      <w:pPr>
        <w:pStyle w:val="3"/>
        <w:spacing w:line="360" w:lineRule="auto"/>
        <w:ind w:left="0" w:firstLine="640" w:firstLineChars="200"/>
        <w:jc w:val="both"/>
        <w:rPr>
          <w:rFonts w:ascii="Times New Roman" w:hAnsi="Times New Roman" w:cs="Times New Roman"/>
          <w:color w:val="000000"/>
          <w:sz w:val="32"/>
          <w:szCs w:val="32"/>
          <w:lang w:eastAsia="zh-CN"/>
        </w:rPr>
      </w:pPr>
      <w:r>
        <w:rPr>
          <w:rFonts w:ascii="Times New Roman" w:hAnsi="Times New Roman" w:cs="Times New Roman"/>
          <w:color w:val="000000"/>
          <w:sz w:val="32"/>
          <w:szCs w:val="32"/>
          <w:lang w:eastAsia="zh-CN"/>
        </w:rPr>
        <w:t>（2）加强标准宣贯，推动涉高氯酸盐工业企业加强废水处理，提高企业污染防治水平。</w:t>
      </w:r>
    </w:p>
    <w:p>
      <w:pPr>
        <w:pStyle w:val="3"/>
        <w:spacing w:line="360" w:lineRule="auto"/>
        <w:ind w:left="0" w:firstLine="640" w:firstLineChars="200"/>
        <w:jc w:val="both"/>
        <w:rPr>
          <w:rFonts w:ascii="Times New Roman" w:hAnsi="Times New Roman" w:cs="Times New Roman"/>
          <w:color w:val="000000"/>
          <w:lang w:eastAsia="zh-CN"/>
        </w:rPr>
      </w:pPr>
      <w:r>
        <w:rPr>
          <w:rFonts w:ascii="Times New Roman" w:hAnsi="Times New Roman" w:cs="Times New Roman"/>
          <w:color w:val="000000"/>
          <w:sz w:val="32"/>
          <w:szCs w:val="32"/>
          <w:lang w:eastAsia="zh-CN"/>
        </w:rPr>
        <w:t>（3）加强涉高氯酸盐工业企业污染</w:t>
      </w:r>
      <w:r>
        <w:rPr>
          <w:rFonts w:hint="eastAsia" w:ascii="Times New Roman" w:hAnsi="Times New Roman" w:cs="Times New Roman"/>
          <w:color w:val="000000"/>
          <w:sz w:val="32"/>
          <w:szCs w:val="32"/>
          <w:lang w:eastAsia="zh-CN"/>
        </w:rPr>
        <w:t>防治</w:t>
      </w:r>
      <w:r>
        <w:rPr>
          <w:rFonts w:ascii="Times New Roman" w:hAnsi="Times New Roman" w:cs="Times New Roman"/>
          <w:color w:val="000000"/>
          <w:sz w:val="32"/>
          <w:szCs w:val="32"/>
          <w:lang w:eastAsia="zh-CN"/>
        </w:rPr>
        <w:t>技术研究，配套出台污染防治技术规范，为企业污染防控提供技术支持。</w:t>
      </w:r>
    </w:p>
    <w:sectPr>
      <w:pgSz w:w="11906" w:h="16840"/>
      <w:pgMar w:top="1440" w:right="1560" w:bottom="1380" w:left="1680" w:header="0" w:footer="119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ascii="Times New Roman" w:hAnsi="Times New Roman" w:cs="Times New Roman"/>
        <w:sz w:val="21"/>
        <w:szCs w:val="28"/>
      </w:rPr>
    </w:pPr>
    <w:r>
      <w:rPr>
        <w:rFonts w:ascii="Times New Roman" w:hAnsi="Times New Roman" w:cs="Times New Roman"/>
        <w:sz w:val="21"/>
        <w:szCs w:val="28"/>
      </w:rPr>
      <w:fldChar w:fldCharType="begin"/>
    </w:r>
    <w:r>
      <w:rPr>
        <w:rFonts w:ascii="Times New Roman" w:hAnsi="Times New Roman" w:cs="Times New Roman"/>
        <w:sz w:val="21"/>
        <w:szCs w:val="28"/>
      </w:rPr>
      <w:instrText xml:space="preserve">PAGE   \* MERGEFORMAT</w:instrText>
    </w:r>
    <w:r>
      <w:rPr>
        <w:rFonts w:ascii="Times New Roman" w:hAnsi="Times New Roman" w:cs="Times New Roman"/>
        <w:sz w:val="21"/>
        <w:szCs w:val="28"/>
      </w:rPr>
      <w:fldChar w:fldCharType="separate"/>
    </w:r>
    <w:r>
      <w:rPr>
        <w:rFonts w:ascii="Times New Roman" w:hAnsi="Times New Roman" w:cs="Times New Roman"/>
        <w:sz w:val="21"/>
        <w:szCs w:val="28"/>
        <w:lang w:val="zh-CN" w:eastAsia="zh-CN"/>
      </w:rPr>
      <w:t>10</w:t>
    </w:r>
    <w:r>
      <w:rPr>
        <w:rFonts w:ascii="Times New Roman" w:hAnsi="Times New Roman" w:cs="Times New Roman"/>
        <w:sz w:val="21"/>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ascii="Times New Roman" w:hAnsi="Times New Roman" w:cs="Times New Roman"/>
        <w:sz w:val="21"/>
        <w:szCs w:val="28"/>
      </w:rPr>
    </w:pPr>
    <w:r>
      <w:rPr>
        <w:rFonts w:ascii="Times New Roman" w:hAnsi="Times New Roman" w:cs="Times New Roman"/>
        <w:sz w:val="21"/>
        <w:szCs w:val="28"/>
      </w:rPr>
      <w:fldChar w:fldCharType="begin"/>
    </w:r>
    <w:r>
      <w:rPr>
        <w:rFonts w:ascii="Times New Roman" w:hAnsi="Times New Roman" w:cs="Times New Roman"/>
        <w:sz w:val="21"/>
        <w:szCs w:val="28"/>
      </w:rPr>
      <w:instrText xml:space="preserve">PAGE   \* MERGEFORMAT</w:instrText>
    </w:r>
    <w:r>
      <w:rPr>
        <w:rFonts w:ascii="Times New Roman" w:hAnsi="Times New Roman" w:cs="Times New Roman"/>
        <w:sz w:val="21"/>
        <w:szCs w:val="28"/>
      </w:rPr>
      <w:fldChar w:fldCharType="separate"/>
    </w:r>
    <w:r>
      <w:rPr>
        <w:rFonts w:ascii="Times New Roman" w:hAnsi="Times New Roman" w:cs="Times New Roman"/>
        <w:sz w:val="21"/>
        <w:szCs w:val="28"/>
        <w:lang w:val="zh-CN" w:eastAsia="zh-CN"/>
      </w:rPr>
      <w:t>40</w:t>
    </w:r>
    <w:r>
      <w:rPr>
        <w:rFonts w:ascii="Times New Roman" w:hAnsi="Times New Roman" w:cs="Times New Roman"/>
        <w:sz w:val="21"/>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documentProtection w:edit="readOnly" w:enforcement="1" w:cryptProviderType="rsaFull" w:cryptAlgorithmClass="hash" w:cryptAlgorithmType="typeAny" w:cryptAlgorithmSid="4" w:cryptSpinCount="0" w:hash="u915fSi2rb1JV58kr5ZfG1EoVYA=" w:salt="pwfg13ZL13P5r0RMO/fYug=="/>
  <w:defaultTabStop w:val="720"/>
  <w:drawingGridHorizontalSpacing w:val="110"/>
  <w:noPunctuationKerning w:val="true"/>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ZjYTk1ZjRlYjE5YWEzNDYxYTQ1NDRiYzc3ZTVmZTkifQ=="/>
  </w:docVars>
  <w:rsids>
    <w:rsidRoot w:val="009645A6"/>
    <w:rsid w:val="006C58E1"/>
    <w:rsid w:val="006E2A51"/>
    <w:rsid w:val="009645A6"/>
    <w:rsid w:val="00DE05D1"/>
    <w:rsid w:val="03B25BA4"/>
    <w:rsid w:val="05804381"/>
    <w:rsid w:val="0B9D3B2C"/>
    <w:rsid w:val="1F9915B8"/>
    <w:rsid w:val="24612D17"/>
    <w:rsid w:val="26E9B407"/>
    <w:rsid w:val="363A7E1D"/>
    <w:rsid w:val="43D70B7F"/>
    <w:rsid w:val="4DF6CE8E"/>
    <w:rsid w:val="59771406"/>
    <w:rsid w:val="60400A3F"/>
    <w:rsid w:val="66893C06"/>
    <w:rsid w:val="745343F1"/>
    <w:rsid w:val="7B9E427F"/>
    <w:rsid w:val="7DFB6D20"/>
    <w:rsid w:val="7FEE3E98"/>
    <w:rsid w:val="7FF7959E"/>
    <w:rsid w:val="A1D62763"/>
    <w:rsid w:val="AEFF40BD"/>
    <w:rsid w:val="DFF6D620"/>
    <w:rsid w:val="E34C4B4D"/>
    <w:rsid w:val="EB4D2D76"/>
    <w:rsid w:val="F7FE2342"/>
    <w:rsid w:val="F9CC9A64"/>
    <w:rsid w:val="FDFD6011"/>
    <w:rsid w:val="FF5D8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pPr>
    <w:rPr>
      <w:rFonts w:ascii="Calibri" w:hAnsi="Calibri" w:eastAsia="Calibri" w:cs="宋体"/>
      <w:sz w:val="22"/>
      <w:szCs w:val="22"/>
      <w:lang w:val="en-US" w:eastAsia="en-US" w:bidi="ar-SA"/>
    </w:rPr>
  </w:style>
  <w:style w:type="paragraph" w:styleId="4">
    <w:name w:val="heading 1"/>
    <w:basedOn w:val="1"/>
    <w:next w:val="1"/>
    <w:qFormat/>
    <w:uiPriority w:val="1"/>
    <w:pPr>
      <w:ind w:left="592"/>
      <w:outlineLvl w:val="0"/>
    </w:pPr>
    <w:rPr>
      <w:rFonts w:ascii="仿宋" w:hAnsi="仿宋" w:eastAsia="仿宋"/>
      <w:sz w:val="30"/>
      <w:szCs w:val="30"/>
    </w:rPr>
  </w:style>
  <w:style w:type="paragraph" w:styleId="5">
    <w:name w:val="heading 2"/>
    <w:basedOn w:val="1"/>
    <w:next w:val="1"/>
    <w:qFormat/>
    <w:uiPriority w:val="1"/>
    <w:pPr>
      <w:ind w:left="960"/>
      <w:outlineLvl w:val="1"/>
    </w:pPr>
    <w:rPr>
      <w:rFonts w:ascii="Times New Roman" w:hAnsi="Times New Roman" w:eastAsia="Times New Roman"/>
      <w:sz w:val="28"/>
      <w:szCs w:val="28"/>
    </w:rPr>
  </w:style>
  <w:style w:type="paragraph" w:styleId="6">
    <w:name w:val="heading 3"/>
    <w:basedOn w:val="1"/>
    <w:next w:val="1"/>
    <w:qFormat/>
    <w:uiPriority w:val="0"/>
    <w:pPr>
      <w:spacing w:beforeAutospacing="1" w:afterAutospacing="1"/>
      <w:outlineLvl w:val="2"/>
    </w:pPr>
    <w:rPr>
      <w:rFonts w:hint="eastAsia" w:ascii="宋体" w:hAnsi="宋体" w:eastAsia="宋体" w:cs="Times New Roman"/>
      <w:b/>
      <w:bCs/>
      <w:sz w:val="27"/>
      <w:szCs w:val="27"/>
      <w:lang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qFormat/>
    <w:uiPriority w:val="1"/>
    <w:pPr>
      <w:ind w:left="120"/>
    </w:pPr>
    <w:rPr>
      <w:rFonts w:ascii="仿宋" w:hAnsi="仿宋" w:eastAsia="仿宋"/>
      <w:sz w:val="24"/>
      <w:szCs w:val="24"/>
    </w:rPr>
  </w:style>
  <w:style w:type="paragraph" w:styleId="7">
    <w:name w:val="annotation text"/>
    <w:basedOn w:val="1"/>
    <w:link w:val="42"/>
    <w:qFormat/>
    <w:uiPriority w:val="0"/>
  </w:style>
  <w:style w:type="paragraph" w:styleId="8">
    <w:name w:val="toc 3"/>
    <w:basedOn w:val="1"/>
    <w:next w:val="1"/>
    <w:qFormat/>
    <w:uiPriority w:val="0"/>
    <w:pPr>
      <w:ind w:left="840" w:leftChars="400"/>
    </w:pPr>
  </w:style>
  <w:style w:type="paragraph" w:styleId="9">
    <w:name w:val="Balloon Text"/>
    <w:basedOn w:val="1"/>
    <w:link w:val="48"/>
    <w:qFormat/>
    <w:uiPriority w:val="0"/>
    <w:rPr>
      <w:sz w:val="18"/>
      <w:szCs w:val="18"/>
    </w:rPr>
  </w:style>
  <w:style w:type="paragraph" w:styleId="10">
    <w:name w:val="footer"/>
    <w:basedOn w:val="1"/>
    <w:link w:val="47"/>
    <w:qFormat/>
    <w:uiPriority w:val="99"/>
    <w:pPr>
      <w:tabs>
        <w:tab w:val="center" w:pos="4153"/>
        <w:tab w:val="right" w:pos="8306"/>
      </w:tabs>
      <w:snapToGrid w:val="0"/>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2">
    <w:name w:val="toc 1"/>
    <w:basedOn w:val="1"/>
    <w:next w:val="1"/>
    <w:qFormat/>
    <w:uiPriority w:val="39"/>
  </w:style>
  <w:style w:type="paragraph" w:styleId="13">
    <w:name w:val="toc 2"/>
    <w:basedOn w:val="1"/>
    <w:next w:val="1"/>
    <w:qFormat/>
    <w:uiPriority w:val="39"/>
    <w:pPr>
      <w:ind w:left="420" w:leftChars="200"/>
    </w:pPr>
  </w:style>
  <w:style w:type="paragraph" w:styleId="14">
    <w:name w:val="Normal (Web)"/>
    <w:basedOn w:val="1"/>
    <w:qFormat/>
    <w:uiPriority w:val="99"/>
    <w:rPr>
      <w:sz w:val="24"/>
    </w:rPr>
  </w:style>
  <w:style w:type="paragraph" w:styleId="15">
    <w:name w:val="Title"/>
    <w:basedOn w:val="1"/>
    <w:next w:val="1"/>
    <w:qFormat/>
    <w:uiPriority w:val="10"/>
    <w:pPr>
      <w:jc w:val="center"/>
      <w:outlineLvl w:val="2"/>
    </w:pPr>
    <w:rPr>
      <w:rFonts w:eastAsia="方正小标宋_GBK"/>
      <w:bCs/>
      <w:sz w:val="24"/>
      <w:szCs w:val="32"/>
    </w:rPr>
  </w:style>
  <w:style w:type="paragraph" w:styleId="16">
    <w:name w:val="annotation subject"/>
    <w:basedOn w:val="7"/>
    <w:next w:val="7"/>
    <w:link w:val="43"/>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qFormat/>
    <w:uiPriority w:val="0"/>
    <w:rPr>
      <w:color w:val="800080"/>
      <w:u w:val="single"/>
    </w:rPr>
  </w:style>
  <w:style w:type="character" w:styleId="21">
    <w:name w:val="Emphasis"/>
    <w:basedOn w:val="19"/>
    <w:qFormat/>
    <w:uiPriority w:val="0"/>
    <w:rPr>
      <w:i/>
    </w:rPr>
  </w:style>
  <w:style w:type="character" w:styleId="22">
    <w:name w:val="Hyperlink"/>
    <w:basedOn w:val="19"/>
    <w:qFormat/>
    <w:uiPriority w:val="99"/>
    <w:rPr>
      <w:color w:val="0000FF"/>
      <w:u w:val="single"/>
    </w:rPr>
  </w:style>
  <w:style w:type="character" w:styleId="23">
    <w:name w:val="annotation reference"/>
    <w:basedOn w:val="19"/>
    <w:qFormat/>
    <w:uiPriority w:val="0"/>
    <w:rPr>
      <w:sz w:val="21"/>
      <w:szCs w:val="21"/>
    </w:rPr>
  </w:style>
  <w:style w:type="paragraph" w:customStyle="1" w:styleId="24">
    <w:name w:val="Default"/>
    <w:qFormat/>
    <w:uiPriority w:val="99"/>
    <w:pPr>
      <w:widowControl w:val="0"/>
      <w:autoSpaceDE w:val="0"/>
      <w:autoSpaceDN w:val="0"/>
      <w:adjustRightInd w:val="0"/>
    </w:pPr>
    <w:rPr>
      <w:rFonts w:hint="eastAsia" w:ascii="仿宋_GB2312" w:hAnsi="仿宋_GB2312" w:eastAsia="仿宋_GB2312" w:cs="Times New Roman"/>
      <w:color w:val="000000"/>
      <w:sz w:val="24"/>
      <w:lang w:val="en-US" w:eastAsia="zh-CN" w:bidi="ar-SA"/>
    </w:rPr>
  </w:style>
  <w:style w:type="table" w:customStyle="1" w:styleId="25">
    <w:name w:val="Table Normal"/>
    <w:qFormat/>
    <w:uiPriority w:val="2"/>
    <w:tblPr>
      <w:tblCellMar>
        <w:top w:w="0" w:type="dxa"/>
        <w:left w:w="0" w:type="dxa"/>
        <w:bottom w:w="0" w:type="dxa"/>
        <w:right w:w="0" w:type="dxa"/>
      </w:tblCellMar>
    </w:tblPr>
  </w:style>
  <w:style w:type="paragraph" w:styleId="26">
    <w:name w:val="List Paragraph"/>
    <w:basedOn w:val="1"/>
    <w:qFormat/>
    <w:uiPriority w:val="1"/>
  </w:style>
  <w:style w:type="paragraph" w:customStyle="1" w:styleId="27">
    <w:name w:val="Table Paragraph"/>
    <w:basedOn w:val="1"/>
    <w:qFormat/>
    <w:uiPriority w:val="1"/>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31">
    <w:name w:val="段"/>
    <w:qFormat/>
    <w:uiPriority w:val="0"/>
    <w:pPr>
      <w:autoSpaceDE w:val="0"/>
      <w:autoSpaceDN w:val="0"/>
      <w:ind w:firstLine="200" w:firstLineChars="200"/>
      <w:jc w:val="both"/>
    </w:pPr>
    <w:rPr>
      <w:rFonts w:ascii="宋体" w:hAnsi="Times New Roman" w:eastAsia="宋体" w:cs="宋体"/>
      <w:sz w:val="21"/>
      <w:szCs w:val="21"/>
      <w:lang w:val="en-US" w:eastAsia="zh-CN" w:bidi="ar-SA"/>
    </w:rPr>
  </w:style>
  <w:style w:type="character" w:customStyle="1" w:styleId="32">
    <w:name w:val="font01"/>
    <w:basedOn w:val="19"/>
    <w:qFormat/>
    <w:uiPriority w:val="0"/>
    <w:rPr>
      <w:rFonts w:hint="eastAsia" w:ascii="宋体" w:hAnsi="宋体" w:eastAsia="宋体" w:cs="宋体"/>
      <w:color w:val="000000"/>
      <w:sz w:val="22"/>
      <w:szCs w:val="22"/>
      <w:u w:val="none"/>
    </w:rPr>
  </w:style>
  <w:style w:type="character" w:customStyle="1" w:styleId="33">
    <w:name w:val="font11"/>
    <w:basedOn w:val="19"/>
    <w:qFormat/>
    <w:uiPriority w:val="0"/>
    <w:rPr>
      <w:rFonts w:hint="default" w:ascii="Times New Roman" w:hAnsi="Times New Roman" w:cs="Times New Roman"/>
      <w:color w:val="000000"/>
      <w:sz w:val="22"/>
      <w:szCs w:val="22"/>
      <w:u w:val="none"/>
    </w:rPr>
  </w:style>
  <w:style w:type="character" w:customStyle="1" w:styleId="34">
    <w:name w:val="font51"/>
    <w:basedOn w:val="19"/>
    <w:qFormat/>
    <w:uiPriority w:val="0"/>
    <w:rPr>
      <w:rFonts w:hint="default" w:ascii="Times New Roman" w:hAnsi="Times New Roman" w:cs="Times New Roman"/>
      <w:color w:val="000000"/>
      <w:sz w:val="21"/>
      <w:szCs w:val="21"/>
      <w:u w:val="none"/>
    </w:rPr>
  </w:style>
  <w:style w:type="character" w:customStyle="1" w:styleId="35">
    <w:name w:val="font71"/>
    <w:basedOn w:val="19"/>
    <w:qFormat/>
    <w:uiPriority w:val="0"/>
    <w:rPr>
      <w:rFonts w:ascii="微软雅黑" w:hAnsi="微软雅黑" w:eastAsia="微软雅黑" w:cs="微软雅黑"/>
      <w:color w:val="000000"/>
      <w:sz w:val="21"/>
      <w:szCs w:val="21"/>
      <w:u w:val="none"/>
    </w:rPr>
  </w:style>
  <w:style w:type="character" w:customStyle="1" w:styleId="36">
    <w:name w:val="font81"/>
    <w:basedOn w:val="19"/>
    <w:qFormat/>
    <w:uiPriority w:val="0"/>
    <w:rPr>
      <w:rFonts w:hint="eastAsia" w:ascii="宋体" w:hAnsi="宋体" w:eastAsia="宋体" w:cs="宋体"/>
      <w:color w:val="000000"/>
      <w:sz w:val="21"/>
      <w:szCs w:val="21"/>
      <w:u w:val="none"/>
    </w:rPr>
  </w:style>
  <w:style w:type="character" w:customStyle="1" w:styleId="37">
    <w:name w:val="font111"/>
    <w:basedOn w:val="19"/>
    <w:qFormat/>
    <w:uiPriority w:val="0"/>
    <w:rPr>
      <w:rFonts w:hint="default" w:ascii="仿宋_GB2312" w:eastAsia="仿宋_GB2312" w:cs="仿宋_GB2312"/>
      <w:color w:val="000000"/>
      <w:sz w:val="24"/>
      <w:szCs w:val="24"/>
      <w:u w:val="none"/>
    </w:rPr>
  </w:style>
  <w:style w:type="character" w:customStyle="1" w:styleId="38">
    <w:name w:val="font13"/>
    <w:basedOn w:val="19"/>
    <w:qFormat/>
    <w:uiPriority w:val="0"/>
    <w:rPr>
      <w:rFonts w:hint="default" w:ascii="Times New Roman" w:hAnsi="Times New Roman" w:cs="Times New Roman"/>
      <w:color w:val="000000"/>
      <w:sz w:val="24"/>
      <w:szCs w:val="24"/>
      <w:u w:val="none"/>
    </w:rPr>
  </w:style>
  <w:style w:type="character" w:customStyle="1" w:styleId="39">
    <w:name w:val="font21"/>
    <w:basedOn w:val="19"/>
    <w:qFormat/>
    <w:uiPriority w:val="0"/>
    <w:rPr>
      <w:rFonts w:hint="default" w:ascii="仿宋_GB2312" w:eastAsia="仿宋_GB2312" w:cs="仿宋_GB2312"/>
      <w:color w:val="000000"/>
      <w:sz w:val="22"/>
      <w:szCs w:val="22"/>
      <w:u w:val="none"/>
    </w:rPr>
  </w:style>
  <w:style w:type="character" w:customStyle="1" w:styleId="40">
    <w:name w:val="font161"/>
    <w:basedOn w:val="19"/>
    <w:qFormat/>
    <w:uiPriority w:val="0"/>
    <w:rPr>
      <w:rFonts w:hint="default" w:ascii="仿宋_GB2312" w:eastAsia="仿宋_GB2312" w:cs="仿宋_GB2312"/>
      <w:color w:val="FF0000"/>
      <w:sz w:val="22"/>
      <w:szCs w:val="22"/>
      <w:u w:val="none"/>
    </w:rPr>
  </w:style>
  <w:style w:type="paragraph" w:customStyle="1" w:styleId="41">
    <w:name w:val="修订1"/>
    <w:qFormat/>
    <w:uiPriority w:val="99"/>
    <w:rPr>
      <w:rFonts w:ascii="Calibri" w:hAnsi="Calibri" w:eastAsia="Calibri" w:cs="宋体"/>
      <w:sz w:val="22"/>
      <w:szCs w:val="22"/>
      <w:lang w:val="en-US" w:eastAsia="en-US" w:bidi="ar-SA"/>
    </w:rPr>
  </w:style>
  <w:style w:type="character" w:customStyle="1" w:styleId="42">
    <w:name w:val="批注文字 字符"/>
    <w:basedOn w:val="19"/>
    <w:link w:val="7"/>
    <w:qFormat/>
    <w:uiPriority w:val="0"/>
    <w:rPr>
      <w:rFonts w:ascii="Calibri" w:hAnsi="Calibri" w:eastAsia="Calibri" w:cs="宋体"/>
      <w:sz w:val="22"/>
      <w:szCs w:val="22"/>
      <w:lang w:eastAsia="en-US"/>
    </w:rPr>
  </w:style>
  <w:style w:type="character" w:customStyle="1" w:styleId="43">
    <w:name w:val="批注主题 字符"/>
    <w:basedOn w:val="42"/>
    <w:link w:val="16"/>
    <w:qFormat/>
    <w:uiPriority w:val="0"/>
    <w:rPr>
      <w:rFonts w:ascii="Calibri" w:hAnsi="Calibri" w:eastAsia="Calibri" w:cs="宋体"/>
      <w:b/>
      <w:bCs/>
      <w:sz w:val="22"/>
      <w:szCs w:val="22"/>
      <w:lang w:eastAsia="en-US"/>
    </w:rPr>
  </w:style>
  <w:style w:type="character" w:customStyle="1" w:styleId="44">
    <w:name w:val="font41"/>
    <w:basedOn w:val="19"/>
    <w:qFormat/>
    <w:uiPriority w:val="0"/>
    <w:rPr>
      <w:rFonts w:hint="eastAsia" w:ascii="仿宋" w:hAnsi="仿宋" w:eastAsia="仿宋" w:cs="仿宋"/>
      <w:color w:val="000000"/>
      <w:sz w:val="13"/>
      <w:szCs w:val="13"/>
      <w:u w:val="none"/>
    </w:rPr>
  </w:style>
  <w:style w:type="character" w:customStyle="1" w:styleId="45">
    <w:name w:val="font61"/>
    <w:basedOn w:val="19"/>
    <w:qFormat/>
    <w:uiPriority w:val="0"/>
    <w:rPr>
      <w:rFonts w:hint="eastAsia" w:ascii="仿宋" w:hAnsi="仿宋" w:eastAsia="仿宋" w:cs="仿宋"/>
      <w:color w:val="000000"/>
      <w:sz w:val="13"/>
      <w:szCs w:val="13"/>
      <w:u w:val="none"/>
    </w:rPr>
  </w:style>
  <w:style w:type="paragraph" w:customStyle="1" w:styleId="46">
    <w:name w:val="修订2"/>
    <w:qFormat/>
    <w:uiPriority w:val="99"/>
    <w:rPr>
      <w:rFonts w:ascii="Calibri" w:hAnsi="Calibri" w:eastAsia="Calibri" w:cs="宋体"/>
      <w:sz w:val="22"/>
      <w:szCs w:val="22"/>
      <w:lang w:val="en-US" w:eastAsia="en-US" w:bidi="ar-SA"/>
    </w:rPr>
  </w:style>
  <w:style w:type="character" w:customStyle="1" w:styleId="47">
    <w:name w:val="页脚 字符"/>
    <w:basedOn w:val="19"/>
    <w:link w:val="10"/>
    <w:qFormat/>
    <w:uiPriority w:val="99"/>
    <w:rPr>
      <w:rFonts w:ascii="Calibri" w:hAnsi="Calibri" w:eastAsia="Calibri" w:cs="宋体"/>
      <w:sz w:val="18"/>
      <w:szCs w:val="22"/>
      <w:lang w:eastAsia="en-US"/>
    </w:rPr>
  </w:style>
  <w:style w:type="character" w:customStyle="1" w:styleId="48">
    <w:name w:val="批注框文本 字符"/>
    <w:basedOn w:val="19"/>
    <w:link w:val="9"/>
    <w:qFormat/>
    <w:uiPriority w:val="0"/>
    <w:rPr>
      <w:rFonts w:ascii="Calibri" w:hAnsi="Calibri" w:eastAsia="Calibri" w:cs="宋体"/>
      <w:sz w:val="18"/>
      <w:szCs w:val="18"/>
      <w:lang w:eastAsia="en-US"/>
    </w:rPr>
  </w:style>
  <w:style w:type="paragraph" w:customStyle="1" w:styleId="49">
    <w:name w:val="修订3"/>
    <w:qFormat/>
    <w:uiPriority w:val="99"/>
    <w:rPr>
      <w:rFonts w:ascii="Calibri" w:hAnsi="Calibri" w:eastAsia="Calibri" w:cs="宋体"/>
      <w:sz w:val="22"/>
      <w:szCs w:val="22"/>
      <w:lang w:val="en-US" w:eastAsia="en-US" w:bidi="ar-SA"/>
    </w:rPr>
  </w:style>
  <w:style w:type="character" w:customStyle="1" w:styleId="50">
    <w:name w:val="font31"/>
    <w:basedOn w:val="19"/>
    <w:qFormat/>
    <w:uiPriority w:val="0"/>
    <w:rPr>
      <w:rFonts w:hint="default" w:ascii="Times New Roman" w:hAnsi="Times New Roman" w:cs="Times New Roman"/>
      <w:color w:val="000000"/>
      <w:sz w:val="24"/>
      <w:szCs w:val="24"/>
      <w:u w:val="none"/>
    </w:rPr>
  </w:style>
  <w:style w:type="paragraph" w:customStyle="1" w:styleId="51">
    <w:name w:val="修订4"/>
    <w:qFormat/>
    <w:uiPriority w:val="99"/>
    <w:rPr>
      <w:rFonts w:ascii="Calibri" w:hAnsi="Calibri" w:eastAsia="Calibri" w:cs="宋体"/>
      <w:sz w:val="22"/>
      <w:szCs w:val="22"/>
      <w:lang w:val="en-US" w:eastAsia="en-US" w:bidi="ar-SA"/>
    </w:rPr>
  </w:style>
  <w:style w:type="paragraph" w:customStyle="1" w:styleId="52">
    <w:name w:val="修订5"/>
    <w:qFormat/>
    <w:uiPriority w:val="99"/>
    <w:rPr>
      <w:rFonts w:ascii="Calibri" w:hAnsi="Calibri" w:eastAsia="Calibri" w:cs="宋体"/>
      <w:sz w:val="22"/>
      <w:szCs w:val="22"/>
      <w:lang w:val="en-US" w:eastAsia="en-US" w:bidi="ar-SA"/>
    </w:rPr>
  </w:style>
  <w:style w:type="table" w:customStyle="1" w:styleId="53">
    <w:name w:val="TableGri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extobjs>
    <extobj name="ECB019B1-382A-4266-B25C-5B523AA43C14-1">
      <extobjdata type="ECB019B1-382A-4266-B25C-5B523AA43C14" data="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2940</Words>
  <Characters>16763</Characters>
  <Lines>139</Lines>
  <Paragraphs>39</Paragraphs>
  <TotalTime>17</TotalTime>
  <ScaleCrop>false</ScaleCrop>
  <LinksUpToDate>false</LinksUpToDate>
  <CharactersWithSpaces>19664</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2023-07-30T16:53:00Z</dcterms:created>
  <dc:creator>GONG JILAI</dc:creator>
  <cp:lastModifiedBy>kylin</cp:lastModifiedBy>
  <cp:lastPrinted>2023-07-20T18:27:00Z</cp:lastPrinted>
  <dcterms:modified xsi:type="dcterms:W3CDTF">2023-08-04T17:25:14Z</dcterms:modified>
  <dc:title>附件2</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2021-08-20T00:00:00Z</vt:filetime>
  </property>
  <property fmtid="{D5CDD505-2E9C-101B-9397-08002B2CF9AE}" pid="3" name="LastSaved">
    <vt:filetime>2023-04-16T00:00:00Z</vt:filetime>
  </property>
  <property fmtid="{D5CDD505-2E9C-101B-9397-08002B2CF9AE}" pid="4" name="KSOProductBuildVer">
    <vt:lpwstr>2052-11.8.2.9958</vt:lpwstr>
  </property>
  <property fmtid="{D5CDD505-2E9C-101B-9397-08002B2CF9AE}" pid="5" name="ICV">
    <vt:lpwstr>DEA0E617BD4B42C0A622858367E2B1BA_13</vt:lpwstr>
  </property>
</Properties>
</file>