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rPr>
              <w:t>65.060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90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油茶机械化施肥技术规范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Specification for Mechanized Fertilization of Camellia </w:t>
      </w:r>
      <w:r>
        <w:rPr>
          <w:rFonts w:hint="eastAsia" w:eastAsia="黑体"/>
          <w:szCs w:val="28"/>
        </w:rPr>
        <w:t>O</w:t>
      </w:r>
      <w:r>
        <w:rPr>
          <w:rFonts w:eastAsia="黑体"/>
          <w:szCs w:val="28"/>
        </w:rPr>
        <w:t>leifera</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129" w:name="_GoBack"/>
      <w:bookmarkEnd w:id="129"/>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"_Toc141684801" </w:instrText>
      </w:r>
      <w:r>
        <w:fldChar w:fldCharType="separate"/>
      </w:r>
      <w:r>
        <w:rPr>
          <w:rStyle w:val="32"/>
          <w:rFonts w:hint="eastAsia"/>
        </w:rPr>
        <w:t>前言</w:t>
      </w:r>
      <w:r>
        <w:tab/>
      </w:r>
      <w:r>
        <w:fldChar w:fldCharType="begin"/>
      </w:r>
      <w:r>
        <w:instrText xml:space="preserve"> PAGEREF _Toc141684801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"_Toc141684802" </w:instrText>
      </w:r>
      <w:r>
        <w:fldChar w:fldCharType="separate"/>
      </w:r>
      <w:r>
        <w:rPr>
          <w:rStyle w:val="32"/>
        </w:rPr>
        <w:t xml:space="preserve">1 </w:t>
      </w:r>
      <w:r>
        <w:rPr>
          <w:rStyle w:val="32"/>
          <w:rFonts w:hint="eastAsia"/>
        </w:rPr>
        <w:t xml:space="preserve"> 范围</w:t>
      </w:r>
      <w:r>
        <w:tab/>
      </w:r>
      <w:r>
        <w:fldChar w:fldCharType="begin"/>
      </w:r>
      <w:r>
        <w:instrText xml:space="preserve"> PAGEREF _Toc141684802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"_Toc141684803"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_Toc141684803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"_Toc141684804"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_Toc141684804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"_Toc141684809" </w:instrText>
      </w:r>
      <w:r>
        <w:fldChar w:fldCharType="separate"/>
      </w:r>
      <w:r>
        <w:rPr>
          <w:rStyle w:val="32"/>
          <w:rFonts w:hAnsi="黑体"/>
        </w:rPr>
        <w:t xml:space="preserve">4 </w:t>
      </w:r>
      <w:r>
        <w:rPr>
          <w:rStyle w:val="32"/>
          <w:rFonts w:hint="eastAsia"/>
        </w:rPr>
        <w:t xml:space="preserve"> 作业条件</w:t>
      </w:r>
      <w:r>
        <w:tab/>
      </w:r>
      <w:r>
        <w:fldChar w:fldCharType="begin"/>
      </w:r>
      <w:r>
        <w:instrText xml:space="preserve"> PAGEREF _Toc141684809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"_Toc141684818" </w:instrText>
      </w:r>
      <w:r>
        <w:fldChar w:fldCharType="separate"/>
      </w:r>
      <w:r>
        <w:rPr>
          <w:rStyle w:val="32"/>
        </w:rPr>
        <w:t xml:space="preserve">5 </w:t>
      </w:r>
      <w:r>
        <w:rPr>
          <w:rStyle w:val="32"/>
          <w:rFonts w:hint="eastAsia"/>
        </w:rPr>
        <w:t xml:space="preserve"> 机械化施肥</w:t>
      </w:r>
      <w:r>
        <w:tab/>
      </w:r>
      <w:r>
        <w:fldChar w:fldCharType="begin"/>
      </w:r>
      <w:r>
        <w:instrText xml:space="preserve"> PAGEREF _Toc141684818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"_Toc141684822" </w:instrText>
      </w:r>
      <w:r>
        <w:fldChar w:fldCharType="separate"/>
      </w:r>
      <w:r>
        <w:rPr>
          <w:rStyle w:val="32"/>
        </w:rPr>
        <w:t xml:space="preserve">6 </w:t>
      </w:r>
      <w:r>
        <w:rPr>
          <w:rStyle w:val="32"/>
          <w:rFonts w:hint="eastAsia"/>
        </w:rPr>
        <w:t xml:space="preserve"> 安全要求</w:t>
      </w:r>
      <w:r>
        <w:tab/>
      </w:r>
      <w:r>
        <w:fldChar w:fldCharType="begin"/>
      </w:r>
      <w:r>
        <w:instrText xml:space="preserve"> PAGEREF _Toc141684822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"_Toc141684823" </w:instrText>
      </w:r>
      <w:r>
        <w:fldChar w:fldCharType="separate"/>
      </w:r>
      <w:r>
        <w:rPr>
          <w:rStyle w:val="32"/>
        </w:rPr>
        <w:t xml:space="preserve">7 </w:t>
      </w:r>
      <w:r>
        <w:rPr>
          <w:rStyle w:val="32"/>
          <w:rFonts w:hint="eastAsia"/>
        </w:rPr>
        <w:t xml:space="preserve"> 机具维修保养</w:t>
      </w:r>
      <w:r>
        <w:tab/>
      </w:r>
      <w:r>
        <w:fldChar w:fldCharType="begin"/>
      </w:r>
      <w:r>
        <w:instrText xml:space="preserve"> PAGEREF _Toc141684823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41684801"/>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231"/>
      </w:pPr>
      <w:r>
        <w:rPr>
          <w:rFonts w:hint="eastAsia"/>
        </w:rPr>
        <w:t>请注意本文件的某些内容可能涉及专利。本文件的发布机构不承担识别专利的责任。</w:t>
      </w:r>
    </w:p>
    <w:p>
      <w:pPr>
        <w:pStyle w:val="56"/>
        <w:ind w:firstLine="420"/>
      </w:pPr>
      <w:r>
        <w:rPr>
          <w:rFonts w:hint="eastAsia"/>
        </w:rPr>
        <w:t>本文件由湖南省农业机械管理局提出。</w:t>
      </w:r>
    </w:p>
    <w:p>
      <w:pPr>
        <w:pStyle w:val="56"/>
        <w:ind w:firstLine="420"/>
      </w:pPr>
      <w:r>
        <w:rPr>
          <w:rFonts w:hint="eastAsia"/>
        </w:rPr>
        <w:t>本文件由湖南省农业标准化技术委员会归口。</w:t>
      </w:r>
    </w:p>
    <w:p>
      <w:pPr>
        <w:pStyle w:val="56"/>
        <w:ind w:firstLine="420"/>
      </w:pPr>
      <w:r>
        <w:rPr>
          <w:rFonts w:hint="eastAsia"/>
        </w:rPr>
        <w:t>本文件起草单位：中南林业科技大学。</w:t>
      </w:r>
    </w:p>
    <w:p>
      <w:pPr>
        <w:pStyle w:val="56"/>
        <w:ind w:firstLine="420"/>
      </w:pPr>
      <w:r>
        <w:rPr>
          <w:rFonts w:hint="eastAsia"/>
        </w:rPr>
        <w:t>本文件主要起草人：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7CE6D85CE9AF4BB89DC92039F658F242"/>
        </w:placeholder>
      </w:sdtPr>
      <w:sdtContent>
        <w:p>
          <w:pPr>
            <w:pStyle w:val="177"/>
            <w:spacing w:before="312" w:beforeLines="100" w:after="686" w:afterLines="220"/>
          </w:pPr>
          <w:bookmarkStart w:id="25" w:name="NEW_STAND_NAME"/>
          <w:r>
            <w:rPr>
              <w:rFonts w:hint="eastAsia"/>
            </w:rPr>
            <w:t>油茶机械化施肥技术</w:t>
          </w:r>
          <w:r>
            <w:rPr>
              <w:rFonts w:hint="eastAsia"/>
              <w:lang w:eastAsia="zh-CN"/>
            </w:rPr>
            <w:t>规范</w:t>
          </w:r>
        </w:p>
      </w:sdtContent>
    </w:sdt>
    <w:bookmarkEnd w:id="25"/>
    <w:p>
      <w:pPr>
        <w:pStyle w:val="104"/>
        <w:spacing w:before="312" w:after="312"/>
      </w:pPr>
      <w:bookmarkStart w:id="26" w:name="_Toc24884218"/>
      <w:bookmarkStart w:id="27" w:name="_Toc26648465"/>
      <w:bookmarkStart w:id="28" w:name="_Toc26718930"/>
      <w:bookmarkStart w:id="29" w:name="_Toc26986530"/>
      <w:bookmarkStart w:id="30" w:name="_Toc26986771"/>
      <w:bookmarkStart w:id="31" w:name="_Toc97191423"/>
      <w:bookmarkStart w:id="32" w:name="_Toc141684802"/>
      <w:bookmarkStart w:id="33" w:name="_Toc17233325"/>
      <w:bookmarkStart w:id="34" w:name="_Toc17233333"/>
      <w:bookmarkStart w:id="35" w:name="_Toc24884211"/>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pPr>
      <w:bookmarkStart w:id="36" w:name="_Toc17233334"/>
      <w:bookmarkStart w:id="37" w:name="_Toc17233326"/>
      <w:bookmarkStart w:id="38" w:name="_Toc24884212"/>
      <w:bookmarkStart w:id="39" w:name="_Toc24884219"/>
      <w:bookmarkStart w:id="40" w:name="_Toc26648466"/>
      <w:r>
        <w:rPr>
          <w:rFonts w:hint="eastAsia"/>
        </w:rPr>
        <w:t>本文件规定了油茶果机械化采收的作业条件、机械化施肥、安全要求、机具维修保养。</w:t>
      </w:r>
    </w:p>
    <w:p>
      <w:pPr>
        <w:pStyle w:val="56"/>
        <w:ind w:firstLine="420"/>
      </w:pPr>
      <w:r>
        <w:rPr>
          <w:rFonts w:hint="eastAsia"/>
        </w:rPr>
        <w:t>本文件适用于油茶果机械化施肥。</w:t>
      </w:r>
    </w:p>
    <w:p>
      <w:pPr>
        <w:pStyle w:val="104"/>
        <w:spacing w:before="312" w:after="312"/>
      </w:pPr>
      <w:bookmarkStart w:id="41" w:name="_Toc26718931"/>
      <w:bookmarkStart w:id="42" w:name="_Toc26986531"/>
      <w:bookmarkStart w:id="43" w:name="_Toc26986772"/>
      <w:bookmarkStart w:id="44" w:name="_Toc97191424"/>
      <w:bookmarkStart w:id="45" w:name="_Toc141684803"/>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E673E94C67A34D3F919098CFDAAEA3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eastAsia="宋体"/>
          <w:lang w:eastAsia="zh-CN"/>
        </w:rPr>
      </w:pPr>
      <w:r>
        <w:rPr>
          <w:rFonts w:hint="eastAsia"/>
        </w:rPr>
        <w:t>DB 43/</w:t>
      </w:r>
      <w:r>
        <w:t>T</w:t>
      </w:r>
      <w:r>
        <w:rPr>
          <w:rFonts w:hint="eastAsia"/>
        </w:rPr>
        <w:t xml:space="preserve"> 1015-2015 </w:t>
      </w:r>
      <w:r>
        <w:t>油茶种植机械化作业技术</w:t>
      </w:r>
      <w:r>
        <w:rPr>
          <w:rFonts w:hint="eastAsia"/>
          <w:lang w:eastAsia="zh-CN"/>
        </w:rPr>
        <w:t>规范</w:t>
      </w:r>
    </w:p>
    <w:p>
      <w:pPr>
        <w:pStyle w:val="104"/>
        <w:spacing w:before="312" w:after="312"/>
      </w:pPr>
      <w:bookmarkStart w:id="46" w:name="_Toc97191425"/>
      <w:bookmarkStart w:id="47" w:name="_Toc141684804"/>
      <w:r>
        <w:rPr>
          <w:rFonts w:hint="eastAsia"/>
          <w:szCs w:val="21"/>
        </w:rPr>
        <w:t>术语和定义</w:t>
      </w:r>
      <w:bookmarkEnd w:id="46"/>
      <w:bookmarkEnd w:id="47"/>
    </w:p>
    <w:sdt>
      <w:sdtPr>
        <w:id w:val="-1909835108"/>
        <w:placeholder>
          <w:docPart w:val="0DF372EF86664A5F8A231DC5876ADD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8" w:name="_Toc26986532"/>
          <w:bookmarkEnd w:id="48"/>
          <w:r>
            <w:t>下列术语和定义适用于本文件。</w:t>
          </w:r>
        </w:p>
      </w:sdtContent>
    </w:sdt>
    <w:p>
      <w:pPr>
        <w:pStyle w:val="105"/>
        <w:spacing w:before="156" w:after="156"/>
      </w:pPr>
      <w:bookmarkStart w:id="49" w:name="_Toc141684805"/>
      <w:bookmarkEnd w:id="49"/>
    </w:p>
    <w:p>
      <w:pPr>
        <w:pStyle w:val="105"/>
        <w:numPr>
          <w:ilvl w:val="0"/>
          <w:numId w:val="0"/>
        </w:numPr>
        <w:spacing w:before="156" w:after="156"/>
        <w:ind w:firstLine="422" w:firstLineChars="200"/>
        <w:rPr>
          <w:b/>
        </w:rPr>
      </w:pPr>
      <w:bookmarkStart w:id="50" w:name="_Toc141684806"/>
      <w:bookmarkStart w:id="51" w:name="_Toc74688178"/>
      <w:r>
        <w:rPr>
          <w:rFonts w:hint="eastAsia"/>
          <w:b/>
        </w:rPr>
        <w:t>油茶施肥机</w:t>
      </w:r>
      <w:bookmarkEnd w:id="50"/>
      <w:bookmarkEnd w:id="51"/>
      <w:r>
        <w:rPr>
          <w:rFonts w:ascii="Times New Roman"/>
          <w:b/>
        </w:rPr>
        <w:t>camellia oleifera fertilizer</w:t>
      </w:r>
      <w:r>
        <w:rPr>
          <w:rFonts w:ascii="Times New Roman"/>
        </w:rPr>
        <w:t xml:space="preserve"> </w:t>
      </w:r>
      <w:r>
        <w:rPr>
          <w:rFonts w:ascii="Times New Roman"/>
          <w:b/>
        </w:rPr>
        <w:t>machine</w:t>
      </w:r>
    </w:p>
    <w:p>
      <w:pPr>
        <w:pStyle w:val="56"/>
        <w:ind w:firstLine="420"/>
      </w:pPr>
      <w:r>
        <w:rPr>
          <w:rFonts w:hint="eastAsia"/>
        </w:rPr>
        <w:t>用于机械化施肥的机器，</w:t>
      </w:r>
      <w:bookmarkStart w:id="52" w:name="_Hlk74660720"/>
      <w:r>
        <w:rPr>
          <w:rFonts w:hint="eastAsia"/>
        </w:rPr>
        <w:t>以下简称</w:t>
      </w:r>
      <w:bookmarkEnd w:id="52"/>
      <w:r>
        <w:rPr>
          <w:rFonts w:hint="eastAsia"/>
        </w:rPr>
        <w:t>施肥机。</w:t>
      </w:r>
    </w:p>
    <w:p>
      <w:pPr>
        <w:pStyle w:val="105"/>
        <w:spacing w:before="156" w:after="156"/>
      </w:pPr>
      <w:bookmarkStart w:id="53" w:name="_Toc141684807"/>
      <w:bookmarkEnd w:id="53"/>
      <w:bookmarkStart w:id="54" w:name="_Toc74688180"/>
    </w:p>
    <w:bookmarkEnd w:id="54"/>
    <w:p>
      <w:pPr>
        <w:pStyle w:val="105"/>
        <w:numPr>
          <w:ilvl w:val="0"/>
          <w:numId w:val="0"/>
        </w:numPr>
        <w:spacing w:before="156" w:after="156"/>
        <w:ind w:firstLine="422" w:firstLineChars="200"/>
        <w:rPr>
          <w:b/>
        </w:rPr>
      </w:pPr>
      <w:r>
        <w:rPr>
          <w:rFonts w:hint="eastAsia"/>
          <w:b/>
        </w:rPr>
        <w:t>林建机械通道</w:t>
      </w:r>
      <w:r>
        <w:rPr>
          <w:rFonts w:ascii="Times New Roman"/>
          <w:b/>
        </w:rPr>
        <w:t>road for harvester passing</w:t>
      </w:r>
    </w:p>
    <w:p>
      <w:pPr>
        <w:pStyle w:val="56"/>
        <w:ind w:firstLine="420"/>
      </w:pPr>
      <w:r>
        <w:rPr>
          <w:rFonts w:hint="eastAsia"/>
        </w:rPr>
        <w:t>油茶果树行间用于施肥机通过的通道，是平整的自然泥土道路，以下简称林间通道。</w:t>
      </w:r>
    </w:p>
    <w:p>
      <w:pPr>
        <w:pStyle w:val="104"/>
        <w:spacing w:before="312" w:after="312"/>
        <w:rPr>
          <w:rFonts w:hAnsi="黑体"/>
        </w:rPr>
      </w:pPr>
      <w:bookmarkStart w:id="55" w:name="_Toc60783582"/>
      <w:bookmarkStart w:id="56" w:name="_Toc64747720"/>
      <w:bookmarkStart w:id="57" w:name="_Toc70614319"/>
      <w:bookmarkStart w:id="58" w:name="_Toc74688181"/>
      <w:bookmarkStart w:id="59" w:name="_Toc141684809"/>
      <w:r>
        <w:rPr>
          <w:rFonts w:hint="eastAsia"/>
        </w:rPr>
        <w:t>作业条件</w:t>
      </w:r>
      <w:bookmarkEnd w:id="55"/>
      <w:bookmarkEnd w:id="56"/>
      <w:bookmarkEnd w:id="57"/>
      <w:bookmarkEnd w:id="58"/>
      <w:bookmarkEnd w:id="59"/>
    </w:p>
    <w:p>
      <w:pPr>
        <w:pStyle w:val="105"/>
        <w:spacing w:before="156" w:after="156"/>
      </w:pPr>
      <w:bookmarkStart w:id="60" w:name="_Toc64747721"/>
      <w:bookmarkStart w:id="61" w:name="_Toc60783583"/>
      <w:bookmarkStart w:id="62" w:name="_Toc74688182"/>
      <w:bookmarkStart w:id="63" w:name="_Toc70614320"/>
      <w:bookmarkStart w:id="64" w:name="_Toc141684810"/>
      <w:r>
        <w:rPr>
          <w:rFonts w:hint="eastAsia"/>
        </w:rPr>
        <w:t>机械化施肥对种植土地和种植的要求</w:t>
      </w:r>
      <w:bookmarkEnd w:id="60"/>
      <w:bookmarkEnd w:id="61"/>
      <w:bookmarkEnd w:id="62"/>
      <w:bookmarkEnd w:id="63"/>
      <w:bookmarkEnd w:id="64"/>
    </w:p>
    <w:p>
      <w:pPr>
        <w:pStyle w:val="65"/>
        <w:spacing w:before="156" w:after="156"/>
      </w:pPr>
      <w:bookmarkStart w:id="65" w:name="_Hlk67253891"/>
      <w:r>
        <w:rPr>
          <w:rFonts w:hint="eastAsia"/>
        </w:rPr>
        <w:t>种植</w:t>
      </w:r>
      <w:bookmarkEnd w:id="65"/>
      <w:r>
        <w:rPr>
          <w:rFonts w:hint="eastAsia"/>
        </w:rPr>
        <w:t xml:space="preserve">土地要求 </w:t>
      </w:r>
    </w:p>
    <w:p>
      <w:pPr>
        <w:pStyle w:val="56"/>
        <w:ind w:firstLine="420"/>
      </w:pPr>
      <w:r>
        <w:rPr>
          <w:rFonts w:hint="eastAsia"/>
        </w:rPr>
        <w:t>种植土地应是海拔600m以下，相对高度200m以下，坡度</w:t>
      </w:r>
      <w:r>
        <w:t>1</w:t>
      </w:r>
      <w:r>
        <w:rPr>
          <w:rFonts w:hint="eastAsia"/>
        </w:rPr>
        <w:t>5°以下的梯地或全垦缓坡地。</w:t>
      </w:r>
    </w:p>
    <w:p>
      <w:pPr>
        <w:pStyle w:val="65"/>
        <w:spacing w:before="156" w:after="156"/>
      </w:pPr>
      <w:r>
        <w:rPr>
          <w:rFonts w:hint="eastAsia"/>
        </w:rPr>
        <w:t>种植要求</w:t>
      </w:r>
    </w:p>
    <w:p>
      <w:pPr>
        <w:pStyle w:val="56"/>
        <w:ind w:firstLine="420"/>
      </w:pPr>
      <w:r>
        <w:rPr>
          <w:rFonts w:hint="eastAsia"/>
        </w:rPr>
        <w:t>应成行种植。</w:t>
      </w:r>
    </w:p>
    <w:p>
      <w:pPr>
        <w:pStyle w:val="65"/>
        <w:spacing w:before="156" w:after="156"/>
      </w:pPr>
      <w:bookmarkStart w:id="66" w:name="_Hlk74660236"/>
      <w:r>
        <w:rPr>
          <w:rFonts w:hint="eastAsia"/>
        </w:rPr>
        <w:t>种植密度</w:t>
      </w:r>
    </w:p>
    <w:bookmarkEnd w:id="66"/>
    <w:p>
      <w:pPr>
        <w:pStyle w:val="56"/>
        <w:ind w:firstLine="420"/>
      </w:pPr>
      <w:r>
        <w:rPr>
          <w:rFonts w:hint="eastAsia"/>
        </w:rPr>
        <w:t>机械化施肥茶油的种植密度如下:</w:t>
      </w:r>
    </w:p>
    <w:p>
      <w:pPr>
        <w:pStyle w:val="174"/>
      </w:pPr>
      <w:r>
        <w:rPr>
          <w:rFonts w:hint="eastAsia"/>
        </w:rPr>
        <w:t>全垦缓坡地；</w:t>
      </w:r>
    </w:p>
    <w:p>
      <w:pPr>
        <w:pStyle w:val="132"/>
      </w:pPr>
      <w:r>
        <w:rPr>
          <w:rFonts w:hint="eastAsia"/>
        </w:rPr>
        <w:t>新造林:宽行4 m，窄行2.5m，宽窄行相间；株距2.5m；</w:t>
      </w:r>
    </w:p>
    <w:p>
      <w:pPr>
        <w:pStyle w:val="132"/>
      </w:pPr>
      <w:r>
        <w:rPr>
          <w:rFonts w:hint="eastAsia"/>
        </w:rPr>
        <w:t>已有油茶林:应进行改造并满足以下要求：行距3m～4m，株距2.5 m～3m。</w:t>
      </w:r>
    </w:p>
    <w:p>
      <w:pPr>
        <w:pStyle w:val="174"/>
        <w:rPr>
          <w:color w:val="FF0000"/>
        </w:rPr>
      </w:pPr>
      <w:r>
        <w:rPr>
          <w:rFonts w:hint="eastAsia"/>
        </w:rPr>
        <w:t>梯土</w:t>
      </w:r>
    </w:p>
    <w:p>
      <w:pPr>
        <w:pStyle w:val="56"/>
        <w:ind w:firstLine="420"/>
        <w:rPr>
          <w:color w:val="FF0000"/>
        </w:rPr>
      </w:pPr>
      <w:r>
        <w:rPr>
          <w:rFonts w:hint="eastAsia"/>
        </w:rPr>
        <w:t>对于种植油茶果树的梯土,种植单行果树的梯土，林间通道应设于靠近山坡的里侧，林油茶树中心离梯背（山坡边）</w:t>
      </w:r>
      <w:r>
        <w:rPr>
          <w:rFonts w:hint="eastAsia"/>
          <w:color w:val="FF0000"/>
        </w:rPr>
        <w:t>应不小于</w:t>
      </w:r>
      <w:bookmarkStart w:id="67" w:name="_Hlk74661013"/>
      <w:r>
        <w:rPr>
          <w:color w:val="FF0000"/>
        </w:rPr>
        <w:t>3</w:t>
      </w:r>
      <w:r>
        <w:rPr>
          <w:rFonts w:hint="eastAsia"/>
          <w:color w:val="FF0000"/>
        </w:rPr>
        <w:t>m</w:t>
      </w:r>
      <w:bookmarkEnd w:id="67"/>
      <w:r>
        <w:rPr>
          <w:rFonts w:hint="eastAsia"/>
        </w:rPr>
        <w:t>；对于多行种植的林间通道不小于1</w:t>
      </w:r>
      <w:r>
        <w:t>.8</w:t>
      </w:r>
      <w:r>
        <w:rPr>
          <w:rFonts w:hint="eastAsia"/>
        </w:rPr>
        <w:t>m。</w:t>
      </w:r>
    </w:p>
    <w:p>
      <w:pPr>
        <w:pStyle w:val="105"/>
        <w:spacing w:before="156" w:after="156"/>
      </w:pPr>
      <w:bookmarkStart w:id="68" w:name="_Toc60783584"/>
      <w:bookmarkStart w:id="69" w:name="_Toc64747722"/>
      <w:bookmarkStart w:id="70" w:name="_Toc70614321"/>
      <w:bookmarkStart w:id="71" w:name="_Toc74688183"/>
      <w:bookmarkStart w:id="72" w:name="_Toc141684811"/>
      <w:r>
        <w:rPr>
          <w:rFonts w:hint="eastAsia"/>
        </w:rPr>
        <w:t>机耕道</w:t>
      </w:r>
      <w:bookmarkEnd w:id="68"/>
      <w:bookmarkEnd w:id="69"/>
      <w:bookmarkEnd w:id="70"/>
      <w:bookmarkEnd w:id="71"/>
      <w:bookmarkEnd w:id="72"/>
    </w:p>
    <w:p>
      <w:pPr>
        <w:pStyle w:val="165"/>
      </w:pPr>
      <w:r>
        <w:rPr>
          <w:rFonts w:hint="eastAsia"/>
          <w:color w:val="FF0000"/>
        </w:rPr>
        <w:t>所有机耕道的全程坡度均应不大于</w:t>
      </w:r>
      <w:r>
        <w:rPr>
          <w:color w:val="FF0000"/>
        </w:rPr>
        <w:t>1</w:t>
      </w:r>
      <w:r>
        <w:rPr>
          <w:rFonts w:hint="eastAsia"/>
          <w:color w:val="FF0000"/>
        </w:rPr>
        <w:t>5°</w:t>
      </w:r>
      <w:r>
        <w:rPr>
          <w:rFonts w:hint="eastAsia"/>
        </w:rPr>
        <w:t>。</w:t>
      </w:r>
    </w:p>
    <w:p>
      <w:pPr>
        <w:pStyle w:val="165"/>
      </w:pPr>
      <w:r>
        <w:rPr>
          <w:rFonts w:hint="eastAsia"/>
        </w:rPr>
        <w:t>行距为4m时,行间应留出2.5 m作为行间机耕道，该范围内不得进行起垄等作业；行间机耕道路即为林间土地，应基本平整。</w:t>
      </w:r>
      <w:r>
        <w:rPr>
          <w:rFonts w:hint="eastAsia"/>
          <w:color w:val="FF0000"/>
        </w:rPr>
        <w:t>行间机耕道坡度应不大于15</w:t>
      </w:r>
      <w:r>
        <w:rPr>
          <w:rFonts w:hint="eastAsia"/>
        </w:rPr>
        <w:t xml:space="preserve">°、倾斜度应不大于10°。 </w:t>
      </w:r>
    </w:p>
    <w:p>
      <w:pPr>
        <w:pStyle w:val="165"/>
      </w:pPr>
      <w:r>
        <w:rPr>
          <w:rFonts w:hint="eastAsia"/>
        </w:rPr>
        <w:t>上山机耕道宽度为4.5m。</w:t>
      </w:r>
    </w:p>
    <w:p>
      <w:pPr>
        <w:pStyle w:val="165"/>
      </w:pPr>
      <w:r>
        <w:rPr>
          <w:rFonts w:hint="eastAsia"/>
        </w:rPr>
        <w:t>若是梯地，行间机耕道应与上山机耕道平整相连、坡度不大于15°、倾斜度不大于10°；坡度大于15°的梯地，两端应留有3m空隙，机器施肥时应能换行转向。</w:t>
      </w:r>
    </w:p>
    <w:p>
      <w:pPr>
        <w:pStyle w:val="105"/>
        <w:spacing w:before="156" w:after="156"/>
      </w:pPr>
      <w:bookmarkStart w:id="73" w:name="_Toc60783586"/>
      <w:bookmarkStart w:id="74" w:name="_Toc64747724"/>
      <w:bookmarkStart w:id="75" w:name="_Toc70614323"/>
      <w:bookmarkStart w:id="76" w:name="_Toc74688185"/>
      <w:bookmarkStart w:id="77" w:name="_Toc141684812"/>
      <w:r>
        <w:rPr>
          <w:rFonts w:hint="eastAsia"/>
        </w:rPr>
        <w:t>油茶树</w:t>
      </w:r>
      <w:bookmarkEnd w:id="73"/>
      <w:bookmarkEnd w:id="74"/>
      <w:bookmarkEnd w:id="75"/>
      <w:r>
        <w:rPr>
          <w:rFonts w:hint="eastAsia"/>
        </w:rPr>
        <w:t>形条件</w:t>
      </w:r>
      <w:bookmarkEnd w:id="76"/>
      <w:bookmarkEnd w:id="77"/>
    </w:p>
    <w:p>
      <w:pPr>
        <w:pStyle w:val="56"/>
        <w:ind w:firstLine="420"/>
      </w:pPr>
      <w:r>
        <w:rPr>
          <w:rFonts w:hint="eastAsia"/>
        </w:rPr>
        <w:t>油茶树应主干明显，枝干应收拢，树枝离地净空应不小于0.5m。</w:t>
      </w:r>
    </w:p>
    <w:p>
      <w:pPr>
        <w:pStyle w:val="105"/>
        <w:spacing w:before="156" w:after="156"/>
      </w:pPr>
      <w:bookmarkStart w:id="78" w:name="_Toc60783587"/>
      <w:bookmarkStart w:id="79" w:name="_Toc64747727"/>
      <w:bookmarkStart w:id="80" w:name="_Toc70614324"/>
      <w:bookmarkStart w:id="81" w:name="_Toc74688186"/>
      <w:bookmarkStart w:id="82" w:name="_Toc141684813"/>
      <w:r>
        <w:rPr>
          <w:rFonts w:hint="eastAsia"/>
        </w:rPr>
        <w:t>林地清理</w:t>
      </w:r>
      <w:bookmarkEnd w:id="78"/>
      <w:bookmarkEnd w:id="79"/>
      <w:bookmarkEnd w:id="80"/>
      <w:bookmarkEnd w:id="81"/>
      <w:bookmarkEnd w:id="82"/>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机械施肥收前，应清除林间机耕道的灌木、乔木、</w:t>
      </w:r>
      <w:r>
        <w:rPr>
          <w:rFonts w:hint="eastAsia" w:ascii="宋体"/>
          <w:color w:val="000000"/>
          <w:kern w:val="0"/>
          <w:szCs w:val="20"/>
        </w:rPr>
        <w:t>泥石、杂草</w:t>
      </w:r>
      <w:r>
        <w:rPr>
          <w:rFonts w:hint="eastAsia" w:ascii="宋体"/>
          <w:kern w:val="0"/>
          <w:szCs w:val="20"/>
        </w:rPr>
        <w:t>等。</w:t>
      </w:r>
    </w:p>
    <w:p>
      <w:pPr>
        <w:pStyle w:val="105"/>
        <w:spacing w:before="156" w:after="156"/>
      </w:pPr>
      <w:bookmarkStart w:id="83" w:name="_Toc70614325"/>
      <w:bookmarkStart w:id="84" w:name="_Toc64747728"/>
      <w:bookmarkStart w:id="85" w:name="_Toc60783588"/>
      <w:bookmarkStart w:id="86" w:name="_Toc74688187"/>
      <w:bookmarkStart w:id="87" w:name="_Toc141684814"/>
      <w:r>
        <w:rPr>
          <w:rFonts w:hint="eastAsia"/>
        </w:rPr>
        <w:t>气候条件</w:t>
      </w:r>
      <w:bookmarkEnd w:id="83"/>
      <w:bookmarkEnd w:id="84"/>
      <w:bookmarkEnd w:id="85"/>
      <w:bookmarkEnd w:id="86"/>
      <w:bookmarkEnd w:id="87"/>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施肥作业应该避开雨天，雨后5日内不建议进行开沟施肥作业</w:t>
      </w:r>
      <w:r>
        <w:rPr>
          <w:rFonts w:hint="eastAsia" w:ascii="宋体" w:cs="仿宋_GB2312"/>
          <w:kern w:val="0"/>
          <w:szCs w:val="20"/>
        </w:rPr>
        <w:t>。</w:t>
      </w:r>
    </w:p>
    <w:p>
      <w:pPr>
        <w:pStyle w:val="105"/>
        <w:spacing w:before="156" w:after="156"/>
      </w:pPr>
      <w:bookmarkStart w:id="88" w:name="_Toc60783589"/>
      <w:bookmarkStart w:id="89" w:name="_Toc64747729"/>
      <w:bookmarkStart w:id="90" w:name="_Toc70614326"/>
      <w:bookmarkStart w:id="91" w:name="_Toc74688188"/>
      <w:bookmarkStart w:id="92" w:name="_Toc141684815"/>
      <w:r>
        <w:rPr>
          <w:rFonts w:hint="eastAsia"/>
        </w:rPr>
        <w:t>施肥时</w:t>
      </w:r>
      <w:bookmarkEnd w:id="88"/>
      <w:bookmarkEnd w:id="89"/>
      <w:bookmarkEnd w:id="90"/>
      <w:r>
        <w:rPr>
          <w:rFonts w:hint="eastAsia"/>
        </w:rPr>
        <w:t>机</w:t>
      </w:r>
      <w:bookmarkEnd w:id="91"/>
      <w:bookmarkEnd w:id="92"/>
    </w:p>
    <w:p>
      <w:pPr>
        <w:pStyle w:val="165"/>
      </w:pPr>
      <w:r>
        <w:rPr>
          <w:rFonts w:hint="eastAsia"/>
        </w:rPr>
        <w:t>幼林每年2次，春季3</w:t>
      </w:r>
      <w:r>
        <w:t>-4</w:t>
      </w:r>
      <w:r>
        <w:rPr>
          <w:rFonts w:hint="eastAsia"/>
        </w:rPr>
        <w:t>月，冬季1</w:t>
      </w:r>
      <w:r>
        <w:t>1</w:t>
      </w:r>
      <w:r>
        <w:rPr>
          <w:rFonts w:hint="eastAsia"/>
        </w:rPr>
        <w:t>月</w:t>
      </w:r>
      <w:r>
        <w:t>-</w:t>
      </w:r>
      <w:r>
        <w:rPr>
          <w:rFonts w:hint="eastAsia"/>
        </w:rPr>
        <w:t>翌年1月。</w:t>
      </w:r>
    </w:p>
    <w:p>
      <w:pPr>
        <w:pStyle w:val="165"/>
      </w:pPr>
      <w:r>
        <w:rPr>
          <w:rFonts w:hint="eastAsia"/>
        </w:rPr>
        <w:t>成林每年2</w:t>
      </w:r>
      <w:r>
        <w:t>-3</w:t>
      </w:r>
      <w:r>
        <w:rPr>
          <w:rFonts w:hint="eastAsia"/>
        </w:rPr>
        <w:t>次，春季3</w:t>
      </w:r>
      <w:r>
        <w:t>-4</w:t>
      </w:r>
      <w:r>
        <w:rPr>
          <w:rFonts w:hint="eastAsia"/>
        </w:rPr>
        <w:t>月，夏季6月-</w:t>
      </w:r>
      <w:r>
        <w:t>7</w:t>
      </w:r>
      <w:r>
        <w:rPr>
          <w:rFonts w:hint="eastAsia"/>
        </w:rPr>
        <w:t>月，冬季1</w:t>
      </w:r>
      <w:r>
        <w:t>1</w:t>
      </w:r>
      <w:r>
        <w:rPr>
          <w:rFonts w:hint="eastAsia"/>
        </w:rPr>
        <w:t>月</w:t>
      </w:r>
      <w:r>
        <w:t>-</w:t>
      </w:r>
      <w:r>
        <w:rPr>
          <w:rFonts w:hint="eastAsia"/>
        </w:rPr>
        <w:t>翌年1月。</w:t>
      </w:r>
    </w:p>
    <w:p>
      <w:pPr>
        <w:pStyle w:val="105"/>
        <w:spacing w:before="156" w:after="156"/>
      </w:pPr>
      <w:bookmarkStart w:id="93" w:name="_Toc141684816"/>
      <w:r>
        <w:rPr>
          <w:rFonts w:hint="eastAsia"/>
        </w:rPr>
        <w:t>施肥要求</w:t>
      </w:r>
      <w:bookmarkEnd w:id="93"/>
    </w:p>
    <w:p>
      <w:pPr>
        <w:pStyle w:val="165"/>
      </w:pPr>
      <w:r>
        <w:rPr>
          <w:rFonts w:hint="eastAsia"/>
        </w:rPr>
        <w:t>开沟施肥深度2</w:t>
      </w:r>
      <w:r>
        <w:t>0-30</w:t>
      </w:r>
      <w:r>
        <w:rPr>
          <w:rFonts w:hint="eastAsia"/>
        </w:rPr>
        <w:t>厘米，施肥后及时覆土。</w:t>
      </w:r>
    </w:p>
    <w:p>
      <w:pPr>
        <w:pStyle w:val="165"/>
      </w:pPr>
      <w:r>
        <w:rPr>
          <w:rFonts w:hint="eastAsia"/>
        </w:rPr>
        <w:t>结合地形、土壤肥力、种植密度、树龄大小等实际情况确定肥料种类和施肥量。</w:t>
      </w:r>
    </w:p>
    <w:p>
      <w:pPr>
        <w:pStyle w:val="105"/>
        <w:spacing w:before="156" w:after="156"/>
      </w:pPr>
      <w:bookmarkStart w:id="94" w:name="_Toc70614327"/>
      <w:bookmarkStart w:id="95" w:name="_Toc74688189"/>
      <w:bookmarkStart w:id="96" w:name="_Toc141684817"/>
      <w:r>
        <w:rPr>
          <w:rFonts w:hint="eastAsia"/>
        </w:rPr>
        <w:t>其他条件</w:t>
      </w:r>
      <w:bookmarkEnd w:id="94"/>
      <w:bookmarkEnd w:id="95"/>
      <w:bookmarkEnd w:id="96"/>
    </w:p>
    <w:p>
      <w:pPr>
        <w:pStyle w:val="56"/>
        <w:ind w:firstLine="420"/>
      </w:pPr>
      <w:r>
        <w:rPr>
          <w:rFonts w:hint="eastAsia"/>
        </w:rPr>
        <w:t>应符合DB 43/</w:t>
      </w:r>
      <w:r>
        <w:t>T</w:t>
      </w:r>
      <w:r>
        <w:rPr>
          <w:rFonts w:hint="eastAsia"/>
        </w:rPr>
        <w:t xml:space="preserve"> 1015-2015的要求。</w:t>
      </w:r>
    </w:p>
    <w:p>
      <w:pPr>
        <w:pStyle w:val="104"/>
        <w:spacing w:before="312" w:after="312"/>
      </w:pPr>
      <w:bookmarkStart w:id="97" w:name="_Toc60783590"/>
      <w:bookmarkStart w:id="98" w:name="_Toc64747730"/>
      <w:bookmarkStart w:id="99" w:name="_Toc70614328"/>
      <w:bookmarkStart w:id="100" w:name="_Toc74688190"/>
      <w:bookmarkStart w:id="101" w:name="_Toc141684818"/>
      <w:r>
        <w:rPr>
          <w:rFonts w:hint="eastAsia"/>
        </w:rPr>
        <w:t>机械化</w:t>
      </w:r>
      <w:bookmarkEnd w:id="97"/>
      <w:bookmarkEnd w:id="98"/>
      <w:bookmarkEnd w:id="99"/>
      <w:bookmarkEnd w:id="100"/>
      <w:r>
        <w:rPr>
          <w:rFonts w:hint="eastAsia"/>
        </w:rPr>
        <w:t>施肥</w:t>
      </w:r>
      <w:bookmarkEnd w:id="101"/>
    </w:p>
    <w:p>
      <w:pPr>
        <w:pStyle w:val="105"/>
        <w:spacing w:before="156" w:after="156"/>
      </w:pPr>
      <w:bookmarkStart w:id="102" w:name="_Toc70614329"/>
      <w:bookmarkStart w:id="103" w:name="_Toc74688191"/>
      <w:bookmarkStart w:id="104" w:name="_Toc141684819"/>
      <w:r>
        <w:rPr>
          <w:rFonts w:hint="eastAsia"/>
        </w:rPr>
        <w:t>机手</w:t>
      </w:r>
      <w:bookmarkEnd w:id="102"/>
      <w:bookmarkEnd w:id="103"/>
      <w:bookmarkEnd w:id="104"/>
    </w:p>
    <w:p>
      <w:pPr>
        <w:pStyle w:val="165"/>
      </w:pPr>
      <w:r>
        <w:rPr>
          <w:rFonts w:hint="eastAsia"/>
        </w:rPr>
        <w:t>应经过专业技术培训，熟悉所操作机型的结构、特点、使用和维护保养。未成年人、老年人和孕妇不得操作机具。</w:t>
      </w:r>
    </w:p>
    <w:p>
      <w:pPr>
        <w:pStyle w:val="165"/>
      </w:pPr>
      <w:r>
        <w:rPr>
          <w:rFonts w:hint="eastAsia"/>
        </w:rPr>
        <w:t>操作机具前应仔细阅读使用说明书。</w:t>
      </w:r>
    </w:p>
    <w:p>
      <w:pPr>
        <w:pStyle w:val="165"/>
      </w:pPr>
      <w:r>
        <w:rPr>
          <w:rFonts w:hint="eastAsia"/>
        </w:rPr>
        <w:t>禁止在饮酒、服用安定类药物和疲劳等状态下作业。</w:t>
      </w:r>
    </w:p>
    <w:p>
      <w:pPr>
        <w:pStyle w:val="165"/>
      </w:pPr>
      <w:r>
        <w:rPr>
          <w:rFonts w:hint="eastAsia"/>
        </w:rPr>
        <w:t>作业时穿戴工作服、头盔、防滑鞋，以免引起人身伤害事故。</w:t>
      </w:r>
    </w:p>
    <w:p>
      <w:pPr>
        <w:pStyle w:val="105"/>
        <w:spacing w:before="156" w:after="156"/>
      </w:pPr>
      <w:bookmarkStart w:id="105" w:name="_Toc64747726"/>
      <w:bookmarkStart w:id="106" w:name="_Toc70614330"/>
      <w:bookmarkStart w:id="107" w:name="_Toc74688192"/>
      <w:bookmarkStart w:id="108" w:name="_Toc141684820"/>
      <w:r>
        <w:rPr>
          <w:rFonts w:hint="eastAsia"/>
        </w:rPr>
        <w:t>机具</w:t>
      </w:r>
      <w:bookmarkEnd w:id="105"/>
      <w:bookmarkEnd w:id="106"/>
      <w:r>
        <w:rPr>
          <w:rFonts w:hint="eastAsia"/>
        </w:rPr>
        <w:t>准备</w:t>
      </w:r>
      <w:bookmarkEnd w:id="107"/>
      <w:bookmarkEnd w:id="108"/>
    </w:p>
    <w:p>
      <w:pPr>
        <w:pStyle w:val="165"/>
      </w:pPr>
      <w:r>
        <w:rPr>
          <w:rFonts w:hint="eastAsia"/>
        </w:rPr>
        <w:t>深施肥机启动前应进行检查。</w:t>
      </w:r>
    </w:p>
    <w:p>
      <w:pPr>
        <w:pStyle w:val="165"/>
      </w:pPr>
      <w:r>
        <w:rPr>
          <w:rFonts w:hint="eastAsia"/>
        </w:rPr>
        <w:t>机具技术状态应良好，并按使用说明书的规定进行调整、维护和保养。</w:t>
      </w:r>
    </w:p>
    <w:p>
      <w:pPr>
        <w:pStyle w:val="165"/>
      </w:pPr>
      <w:r>
        <w:rPr>
          <w:rFonts w:hint="eastAsia"/>
        </w:rPr>
        <w:t>各安全防护罩应安装正确。</w:t>
      </w:r>
    </w:p>
    <w:p>
      <w:pPr>
        <w:pStyle w:val="165"/>
      </w:pPr>
      <w:r>
        <w:rPr>
          <w:rFonts w:hint="eastAsia"/>
        </w:rPr>
        <w:t>检查传动系统和紧固件。检查传动件是否出现移位，紧固件是否松动，发现紧固件松动或者防松装置异常，应进行调整紧固。</w:t>
      </w:r>
    </w:p>
    <w:p>
      <w:pPr>
        <w:pStyle w:val="165"/>
      </w:pPr>
      <w:r>
        <w:rPr>
          <w:rFonts w:hint="eastAsia"/>
        </w:rPr>
        <w:t>检查液压系统的油位是否正常，液压系统操作手柄是否连接牢靠、是否位于待作业位置。</w:t>
      </w:r>
    </w:p>
    <w:p>
      <w:pPr>
        <w:pStyle w:val="165"/>
      </w:pPr>
      <w:r>
        <w:t>检查发动机燃油</w:t>
      </w:r>
      <w:r>
        <w:rPr>
          <w:rFonts w:hint="eastAsia"/>
        </w:rPr>
        <w:t>、</w:t>
      </w:r>
      <w:r>
        <w:t>机油和各转动</w:t>
      </w:r>
      <w:r>
        <w:rPr>
          <w:rFonts w:hint="eastAsia"/>
        </w:rPr>
        <w:t>、</w:t>
      </w:r>
      <w:r>
        <w:t>摩擦部位的润滑油</w:t>
      </w:r>
      <w:r>
        <w:rPr>
          <w:rFonts w:hint="eastAsia"/>
        </w:rPr>
        <w:t>。</w:t>
      </w:r>
    </w:p>
    <w:p>
      <w:pPr>
        <w:pStyle w:val="165"/>
      </w:pPr>
      <w:r>
        <w:rPr>
          <w:rFonts w:hint="eastAsia"/>
        </w:rPr>
        <w:t>检查机具上的安全标志。若有脱离，应及时补贴。</w:t>
      </w:r>
    </w:p>
    <w:p>
      <w:pPr>
        <w:pStyle w:val="165"/>
      </w:pPr>
      <w:r>
        <w:rPr>
          <w:rFonts w:hint="eastAsia"/>
        </w:rPr>
        <w:t>禁止机具在交通道路上行驶。机具需在交通道路上移动时，应使用卡车装载运输。</w:t>
      </w:r>
    </w:p>
    <w:p>
      <w:pPr>
        <w:pStyle w:val="105"/>
        <w:spacing w:before="156" w:after="156"/>
      </w:pPr>
      <w:bookmarkStart w:id="109" w:name="_Toc74688193"/>
      <w:bookmarkStart w:id="110" w:name="_Toc141684821"/>
      <w:r>
        <w:rPr>
          <w:rFonts w:hint="eastAsia"/>
        </w:rPr>
        <w:t>施肥流程</w:t>
      </w:r>
      <w:bookmarkEnd w:id="109"/>
      <w:bookmarkEnd w:id="110"/>
    </w:p>
    <w:p>
      <w:pPr>
        <w:pStyle w:val="165"/>
      </w:pPr>
      <w:r>
        <w:rPr>
          <w:rFonts w:hint="eastAsia"/>
        </w:rPr>
        <w:t>开沟施肥位置：树冠投影线外沿。</w:t>
      </w:r>
    </w:p>
    <w:p>
      <w:pPr>
        <w:pStyle w:val="165"/>
      </w:pPr>
      <w:r>
        <w:rPr>
          <w:rFonts w:hint="eastAsia"/>
        </w:rPr>
        <w:t>行走系统停止状态下，开启开沟系统，作业到施肥深度。</w:t>
      </w:r>
    </w:p>
    <w:p>
      <w:pPr>
        <w:pStyle w:val="165"/>
      </w:pPr>
      <w:r>
        <w:rPr>
          <w:rFonts w:hint="eastAsia"/>
        </w:rPr>
        <w:t>连续开沟施肥作业</w:t>
      </w:r>
    </w:p>
    <w:p>
      <w:pPr>
        <w:pStyle w:val="174"/>
        <w:numPr>
          <w:ilvl w:val="0"/>
          <w:numId w:val="33"/>
        </w:numPr>
      </w:pPr>
      <w:r>
        <w:rPr>
          <w:rFonts w:hint="eastAsia"/>
        </w:rPr>
        <w:t>同时开启行走系统、开沟系统和施肥系统；</w:t>
      </w:r>
    </w:p>
    <w:p>
      <w:pPr>
        <w:pStyle w:val="174"/>
      </w:pPr>
      <w:r>
        <w:rPr>
          <w:rFonts w:hint="eastAsia"/>
        </w:rPr>
        <w:t>根据土壤条件，合理控制和调整机器行走速度；</w:t>
      </w:r>
    </w:p>
    <w:p>
      <w:pPr>
        <w:pStyle w:val="174"/>
      </w:pPr>
      <w:r>
        <w:rPr>
          <w:rFonts w:hint="eastAsia"/>
        </w:rPr>
        <w:t xml:space="preserve">操作转向系统，控制开沟施肥作业路线。 </w:t>
      </w:r>
    </w:p>
    <w:p>
      <w:pPr>
        <w:pStyle w:val="165"/>
      </w:pPr>
      <w:r>
        <w:rPr>
          <w:rFonts w:hint="eastAsia"/>
        </w:rPr>
        <w:t>采收过程中发现土壤内有遗弃肥料编织袋等杂物时，应该停止开沟施肥作业，并将杂物清理出去后，再进作业。</w:t>
      </w:r>
    </w:p>
    <w:p>
      <w:pPr>
        <w:pStyle w:val="165"/>
      </w:pPr>
      <w:r>
        <w:rPr>
          <w:rFonts w:hint="eastAsia"/>
        </w:rPr>
        <w:t>开沟施肥作业是可调整开沟系统液压装置，随时调整开沟施肥作业深度。</w:t>
      </w:r>
    </w:p>
    <w:p>
      <w:pPr>
        <w:pStyle w:val="165"/>
      </w:pPr>
      <w:r>
        <w:rPr>
          <w:rFonts w:hint="eastAsia"/>
        </w:rPr>
        <w:t>调整开沟系统高度，沿作业方向实现连续开沟施肥作业或断续开沟施肥作业。</w:t>
      </w:r>
    </w:p>
    <w:p>
      <w:pPr>
        <w:pStyle w:val="165"/>
      </w:pPr>
      <w:r>
        <w:rPr>
          <w:rFonts w:hint="eastAsia"/>
        </w:rPr>
        <w:t>开沟施肥作业结束</w:t>
      </w:r>
    </w:p>
    <w:p>
      <w:pPr>
        <w:pStyle w:val="174"/>
        <w:numPr>
          <w:ilvl w:val="0"/>
          <w:numId w:val="34"/>
        </w:numPr>
      </w:pPr>
      <w:r>
        <w:rPr>
          <w:rFonts w:hint="eastAsia"/>
        </w:rPr>
        <w:t>停施肥作业系统；</w:t>
      </w:r>
    </w:p>
    <w:p>
      <w:pPr>
        <w:pStyle w:val="174"/>
      </w:pPr>
      <w:r>
        <w:rPr>
          <w:rFonts w:hint="eastAsia"/>
        </w:rPr>
        <w:t>升起开沟作业系统；</w:t>
      </w:r>
    </w:p>
    <w:p>
      <w:pPr>
        <w:pStyle w:val="174"/>
      </w:pPr>
      <w:r>
        <w:rPr>
          <w:rFonts w:hint="eastAsia"/>
        </w:rPr>
        <w:t>停开沟作业系统；</w:t>
      </w:r>
    </w:p>
    <w:p>
      <w:pPr>
        <w:pStyle w:val="174"/>
      </w:pPr>
      <w:r>
        <w:rPr>
          <w:rFonts w:hint="eastAsia"/>
        </w:rPr>
        <w:t>移动深施肥机至安全停放位置；</w:t>
      </w:r>
    </w:p>
    <w:p>
      <w:pPr>
        <w:pStyle w:val="174"/>
      </w:pPr>
      <w:r>
        <w:t xml:space="preserve"> </w:t>
      </w:r>
      <w:r>
        <w:rPr>
          <w:rFonts w:hint="eastAsia"/>
        </w:rPr>
        <w:t>熄火停机。</w:t>
      </w:r>
    </w:p>
    <w:p>
      <w:pPr>
        <w:pStyle w:val="104"/>
        <w:spacing w:before="312" w:after="312"/>
      </w:pPr>
      <w:bookmarkStart w:id="111" w:name="_Toc70614332"/>
      <w:bookmarkStart w:id="112" w:name="_Toc74688194"/>
      <w:bookmarkStart w:id="113" w:name="_Toc141684822"/>
      <w:bookmarkStart w:id="114" w:name="_Toc64747735"/>
      <w:bookmarkStart w:id="115" w:name="_Hlk74665426"/>
      <w:r>
        <w:rPr>
          <w:rFonts w:hint="eastAsia"/>
        </w:rPr>
        <w:t>安全要求</w:t>
      </w:r>
      <w:bookmarkEnd w:id="111"/>
      <w:bookmarkEnd w:id="112"/>
      <w:bookmarkEnd w:id="113"/>
      <w:bookmarkEnd w:id="114"/>
    </w:p>
    <w:bookmarkEnd w:id="115"/>
    <w:p>
      <w:pPr>
        <w:pStyle w:val="162"/>
      </w:pPr>
      <w:r>
        <w:rPr>
          <w:rFonts w:hint="eastAsia"/>
        </w:rPr>
        <w:t>起步时应注意采收机周围情况，先应该鸣喇叭提示，确认安全后，然后起步。</w:t>
      </w:r>
    </w:p>
    <w:p>
      <w:pPr>
        <w:pStyle w:val="162"/>
      </w:pPr>
      <w:r>
        <w:rPr>
          <w:rFonts w:hint="eastAsia"/>
        </w:rPr>
        <w:t>作业前检查各部位的紧固件及焊接件，是否松动或脱掉，检查各密封结合处是否有渗漏油现象，发现及时解决，各传动部件加注润滑油。</w:t>
      </w:r>
    </w:p>
    <w:p>
      <w:pPr>
        <w:pStyle w:val="162"/>
      </w:pPr>
      <w:r>
        <w:rPr>
          <w:rFonts w:hint="eastAsia"/>
        </w:rPr>
        <w:t>作业中禁止无关人员靠近机具。</w:t>
      </w:r>
      <w:r>
        <w:rPr>
          <w:rFonts w:hint="eastAsia" w:hAnsi="宋体" w:cs="仿宋_GB2312"/>
        </w:rPr>
        <w:t xml:space="preserve"> </w:t>
      </w:r>
      <w:r>
        <w:rPr>
          <w:rFonts w:hAnsi="宋体" w:cs="仿宋_GB2312"/>
        </w:rPr>
        <w:t xml:space="preserve"> </w:t>
      </w:r>
    </w:p>
    <w:p>
      <w:pPr>
        <w:pStyle w:val="162"/>
      </w:pPr>
      <w:r>
        <w:rPr>
          <w:rFonts w:hint="eastAsia"/>
        </w:rPr>
        <w:t>机械施肥作业中的安全事项</w:t>
      </w:r>
    </w:p>
    <w:p>
      <w:pPr>
        <w:pStyle w:val="165"/>
      </w:pPr>
      <w:r>
        <w:rPr>
          <w:rFonts w:hint="eastAsia"/>
        </w:rPr>
        <w:t>作业过程中，不能用手接触作业机构运动部分。</w:t>
      </w:r>
    </w:p>
    <w:p>
      <w:pPr>
        <w:pStyle w:val="165"/>
      </w:pPr>
      <w:r>
        <w:rPr>
          <w:rFonts w:hint="eastAsia"/>
        </w:rPr>
        <w:t>作业中，为防止开沟机工作时泥土飞溅、伤害机手眼睛，机手最好戴防护眼镜。</w:t>
      </w:r>
    </w:p>
    <w:p>
      <w:pPr>
        <w:pStyle w:val="162"/>
      </w:pPr>
      <w:r>
        <w:rPr>
          <w:rFonts w:hint="eastAsia"/>
        </w:rPr>
        <w:t>深施肥机工作异常时，应迅速切断主离合器，熄灭发动机，停机检查，排除故障。严禁发动机工作时检查或排除故障。</w:t>
      </w:r>
    </w:p>
    <w:p>
      <w:pPr>
        <w:pStyle w:val="162"/>
      </w:pPr>
      <w:r>
        <w:rPr>
          <w:rFonts w:hint="eastAsia"/>
        </w:rPr>
        <w:t>地头转弯、倒车时严禁开沟作业，最好是升起开沟机，切断拖拉机动力输出。</w:t>
      </w:r>
    </w:p>
    <w:p>
      <w:pPr>
        <w:pStyle w:val="162"/>
      </w:pPr>
      <w:r>
        <w:rPr>
          <w:rFonts w:hint="eastAsia"/>
        </w:rPr>
        <w:t>下坡行驶时，禁止脱开主离合器，左右离合器均位于结合状态，防止空挡滑行。</w:t>
      </w:r>
    </w:p>
    <w:p>
      <w:pPr>
        <w:pStyle w:val="162"/>
      </w:pPr>
      <w:r>
        <w:rPr>
          <w:rFonts w:hint="eastAsia"/>
        </w:rPr>
        <w:t>禁止夜间采收作业。</w:t>
      </w:r>
    </w:p>
    <w:p>
      <w:pPr>
        <w:pStyle w:val="162"/>
      </w:pPr>
      <w:r>
        <w:rPr>
          <w:rFonts w:hint="eastAsia"/>
        </w:rPr>
        <w:t>机械施肥作业中如休息时间较长时，应该将操作手柄置于“零”位，并且将发动机熄火。</w:t>
      </w:r>
    </w:p>
    <w:p>
      <w:pPr>
        <w:pStyle w:val="104"/>
        <w:spacing w:before="312" w:after="312"/>
      </w:pPr>
      <w:bookmarkStart w:id="116" w:name="_Toc60783593"/>
      <w:bookmarkStart w:id="117" w:name="_Toc64747736"/>
      <w:bookmarkStart w:id="118" w:name="_Toc70614333"/>
      <w:bookmarkStart w:id="119" w:name="_Toc74688195"/>
      <w:bookmarkStart w:id="120" w:name="_Toc141684823"/>
      <w:r>
        <w:rPr>
          <w:rFonts w:hint="eastAsia"/>
        </w:rPr>
        <w:t>机</w:t>
      </w:r>
      <w:bookmarkEnd w:id="116"/>
      <w:r>
        <w:rPr>
          <w:rFonts w:hint="eastAsia"/>
        </w:rPr>
        <w:t>具维修保养</w:t>
      </w:r>
      <w:bookmarkEnd w:id="117"/>
      <w:bookmarkEnd w:id="118"/>
      <w:bookmarkEnd w:id="119"/>
      <w:bookmarkEnd w:id="120"/>
    </w:p>
    <w:p>
      <w:pPr>
        <w:pStyle w:val="105"/>
        <w:spacing w:before="156" w:after="156"/>
      </w:pPr>
      <w:bookmarkStart w:id="121" w:name="_Toc64747737"/>
      <w:bookmarkStart w:id="122" w:name="_Toc70614334"/>
      <w:bookmarkStart w:id="123" w:name="_Toc74688196"/>
      <w:bookmarkStart w:id="124" w:name="_Toc141684824"/>
      <w:r>
        <w:rPr>
          <w:rFonts w:hint="eastAsia"/>
        </w:rPr>
        <w:t>常规保养</w:t>
      </w:r>
      <w:bookmarkEnd w:id="121"/>
      <w:bookmarkEnd w:id="122"/>
      <w:bookmarkEnd w:id="123"/>
      <w:bookmarkEnd w:id="124"/>
    </w:p>
    <w:p>
      <w:pPr>
        <w:pStyle w:val="56"/>
        <w:ind w:firstLine="420"/>
      </w:pPr>
      <w:r>
        <w:rPr>
          <w:rFonts w:hint="eastAsia"/>
        </w:rPr>
        <w:t xml:space="preserve">每天作业结束后应进行清洁保养。 </w:t>
      </w:r>
    </w:p>
    <w:p>
      <w:pPr>
        <w:pStyle w:val="105"/>
        <w:spacing w:before="156" w:after="156"/>
      </w:pPr>
      <w:bookmarkStart w:id="125" w:name="_Toc64747738"/>
      <w:bookmarkStart w:id="126" w:name="_Toc70614335"/>
      <w:bookmarkStart w:id="127" w:name="_Toc74688197"/>
      <w:bookmarkStart w:id="128" w:name="_Toc141684825"/>
      <w:r>
        <w:rPr>
          <w:rFonts w:hint="eastAsia"/>
        </w:rPr>
        <w:t>入库保养</w:t>
      </w:r>
      <w:bookmarkEnd w:id="125"/>
      <w:bookmarkEnd w:id="126"/>
      <w:bookmarkEnd w:id="127"/>
      <w:bookmarkEnd w:id="128"/>
    </w:p>
    <w:p>
      <w:pPr>
        <w:pStyle w:val="56"/>
        <w:ind w:firstLine="420"/>
      </w:pPr>
      <w:r>
        <w:rPr>
          <w:rFonts w:hint="eastAsia"/>
        </w:rPr>
        <w:t>按说明书要求及时保养。</w:t>
      </w:r>
    </w:p>
    <w:bookmarkEnd w:id="24"/>
    <w:p>
      <w:pPr>
        <w:widowControl/>
        <w:autoSpaceDE w:val="0"/>
        <w:autoSpaceDN w:val="0"/>
        <w:spacing w:line="340" w:lineRule="exact"/>
        <w:rPr>
          <w:kern w:val="0"/>
          <w:szCs w:val="20"/>
        </w:rPr>
      </w:pPr>
    </w:p>
    <w:p>
      <w:pPr>
        <w:widowControl/>
        <w:autoSpaceDE w:val="0"/>
        <w:autoSpaceDN w:val="0"/>
        <w:spacing w:line="340" w:lineRule="exact"/>
        <w:rPr>
          <w:kern w:val="0"/>
          <w:szCs w:val="20"/>
        </w:rPr>
      </w:pPr>
    </w:p>
    <w:p>
      <w:pPr>
        <w:widowControl/>
        <w:autoSpaceDE w:val="0"/>
        <w:autoSpaceDN w:val="0"/>
        <w:spacing w:line="340" w:lineRule="exact"/>
        <w:rPr>
          <w:rFonts w:hint="eastAsia"/>
        </w:rPr>
      </w:pPr>
      <w:r>
        <mc:AlternateContent>
          <mc:Choice Requires="wps">
            <w:drawing>
              <wp:anchor distT="0" distB="0" distL="114300" distR="114300" simplePos="0" relativeHeight="251661312" behindDoc="0" locked="0" layoutInCell="1" allowOverlap="1">
                <wp:simplePos x="0" y="0"/>
                <wp:positionH relativeFrom="column">
                  <wp:posOffset>1827530</wp:posOffset>
                </wp:positionH>
                <wp:positionV relativeFrom="paragraph">
                  <wp:posOffset>54610</wp:posOffset>
                </wp:positionV>
                <wp:extent cx="1811020" cy="0"/>
                <wp:effectExtent l="0" t="9525" r="17780" b="9525"/>
                <wp:wrapNone/>
                <wp:docPr id="14" name="直接连接符 14"/>
                <wp:cNvGraphicFramePr/>
                <a:graphic xmlns:a="http://schemas.openxmlformats.org/drawingml/2006/main">
                  <a:graphicData uri="http://schemas.microsoft.com/office/word/2010/wordprocessingShape">
                    <wps:wsp>
                      <wps:cNvCnPr/>
                      <wps:spPr>
                        <a:xfrm>
                          <a:off x="0" y="0"/>
                          <a:ext cx="2259965" cy="0"/>
                        </a:xfrm>
                        <a:prstGeom prst="line">
                          <a:avLst/>
                        </a:prstGeom>
                        <a:noFill/>
                        <a:ln w="19050"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margin-left:143.9pt;margin-top:4.3pt;height:0pt;width:142.6pt;z-index:251661312;mso-width-relative:page;mso-height-relative:page;" filled="f" stroked="t" coordsize="21600,21600" o:gfxdata="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rs0/TU&#10;AAAABwEAAA8AAAAAAAAAAQAgAAAAIgAAAGRycy9kb3ducmV2LnhtbFBLAQIUABQAAAAIAIdO4kD1&#10;zlWm6wEAAL8DAAAOAAAAAAAAAAEAIAAAACMBAABkcnMvZTJvRG9jLnhtbFBLBQYAAAAABgAGAFkB&#10;AACABQAAAAA=&#10;">
                <v:fill on="f" focussize="0,0"/>
                <v:stroke weight="1.5pt" color="#000000" joinstyle="round"/>
                <v:imagedata o:title=""/>
                <o:lock v:ext="edit" aspectratio="f"/>
              </v:line>
            </w:pict>
          </mc:Fallback>
        </mc:AlternateContent>
      </w:r>
    </w:p>
    <w:p>
      <w:pPr>
        <w:pStyle w:val="56"/>
        <w:ind w:firstLine="0" w:firstLineChars="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567"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34"/>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ssXhnkSrBpHKHh7q8+VK847cITU=" w:salt="mqkrYamJhr6TWPJb8FDIY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OGU5NTQzMzMwYTMxYTE0OGQ1MDk4MWRjOGI1M2QifQ=="/>
  </w:docVars>
  <w:rsids>
    <w:rsidRoot w:val="003F15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772"/>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76F"/>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5D9"/>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BD8"/>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592"/>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876"/>
    <w:rsid w:val="00454484"/>
    <w:rsid w:val="0045517B"/>
    <w:rsid w:val="00463B77"/>
    <w:rsid w:val="00463C7B"/>
    <w:rsid w:val="004644A6"/>
    <w:rsid w:val="004659BD"/>
    <w:rsid w:val="00470775"/>
    <w:rsid w:val="004746B1"/>
    <w:rsid w:val="0047583F"/>
    <w:rsid w:val="00475A2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FE7"/>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122"/>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3EF"/>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157"/>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23D"/>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883"/>
    <w:rsid w:val="00A3597D"/>
    <w:rsid w:val="00A36DD1"/>
    <w:rsid w:val="00A4006C"/>
    <w:rsid w:val="00A40091"/>
    <w:rsid w:val="00A4030F"/>
    <w:rsid w:val="00A41C79"/>
    <w:rsid w:val="00A41CB5"/>
    <w:rsid w:val="00A42CDF"/>
    <w:rsid w:val="00A4452E"/>
    <w:rsid w:val="00A4472C"/>
    <w:rsid w:val="00A44E69"/>
    <w:rsid w:val="00A4661E"/>
    <w:rsid w:val="00A5185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83D"/>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F02"/>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AD2A4E"/>
    <w:rsid w:val="1ADC0943"/>
    <w:rsid w:val="1C3E1466"/>
    <w:rsid w:val="5AED6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spacing w:line="14" w:lineRule="exact"/>
      <w:ind w:left="425"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段 Char"/>
    <w:link w:val="231"/>
    <w:uiPriority w:val="0"/>
    <w:rPr>
      <w:rFonts w:ascii="宋体"/>
      <w:sz w:val="21"/>
    </w:rPr>
  </w:style>
  <w:style w:type="paragraph" w:customStyle="1" w:styleId="231">
    <w:name w:val="段"/>
    <w:link w:val="230"/>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2">
    <w:name w:val="封面标准文稿编辑信息2"/>
    <w:basedOn w:val="123"/>
    <w:uiPriority w:val="0"/>
    <w:pPr>
      <w:framePr w:w="9639" w:h="6917" w:hRule="exact" w:wrap="around" w:vAnchor="page" w:hAnchor="page" w:xAlign="center" w:y="4469" w:anchorLock="1"/>
      <w:widowControl w:val="0"/>
      <w:spacing w:after="160"/>
      <w:textAlignment w:val="center"/>
    </w:pPr>
    <w:rPr>
      <w:szCs w:val="28"/>
    </w:rPr>
  </w:style>
  <w:style w:type="paragraph" w:customStyle="1" w:styleId="233">
    <w:name w:val="一级条标题"/>
    <w:next w:val="231"/>
    <w:uiPriority w:val="0"/>
    <w:pPr>
      <w:numPr>
        <w:ilvl w:val="1"/>
        <w:numId w:val="32"/>
      </w:numPr>
      <w:spacing w:before="156" w:beforeLines="50" w:after="156" w:afterLines="50"/>
      <w:ind w:left="142"/>
      <w:outlineLvl w:val="2"/>
    </w:pPr>
    <w:rPr>
      <w:rFonts w:ascii="黑体" w:hAnsi="Times New Roman" w:eastAsia="黑体" w:cs="Times New Roman"/>
      <w:sz w:val="21"/>
      <w:szCs w:val="21"/>
      <w:lang w:val="en-US" w:eastAsia="zh-CN" w:bidi="ar-SA"/>
    </w:rPr>
  </w:style>
  <w:style w:type="paragraph" w:customStyle="1" w:styleId="234">
    <w:name w:val="章标题"/>
    <w:next w:val="231"/>
    <w:uiPriority w:val="0"/>
    <w:pPr>
      <w:numPr>
        <w:ilvl w:val="0"/>
        <w:numId w:val="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标准书眉_偶数页"/>
    <w:basedOn w:val="236"/>
    <w:next w:val="1"/>
    <w:qFormat/>
    <w:uiPriority w:val="0"/>
    <w:pPr>
      <w:tabs>
        <w:tab w:val="center" w:pos="4154"/>
        <w:tab w:val="right" w:pos="8306"/>
      </w:tabs>
      <w:jc w:val="left"/>
    </w:pPr>
    <w:rPr>
      <w:rFonts w:ascii="黑体" w:eastAsia="黑体"/>
    </w:rPr>
  </w:style>
  <w:style w:type="paragraph" w:customStyle="1" w:styleId="23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CE6D85CE9AF4BB89DC92039F658F242"/>
        <w:style w:val=""/>
        <w:category>
          <w:name w:val="常规"/>
          <w:gallery w:val="placeholder"/>
        </w:category>
        <w:types>
          <w:type w:val="bbPlcHdr"/>
        </w:types>
        <w:behaviors>
          <w:behavior w:val="content"/>
        </w:behaviors>
        <w:description w:val=""/>
        <w:guid w:val="{39380FAE-4581-4742-891C-12F4DA3ABA26}"/>
      </w:docPartPr>
      <w:docPartBody>
        <w:p>
          <w:pPr>
            <w:pStyle w:val="5"/>
          </w:pPr>
          <w:r>
            <w:rPr>
              <w:rStyle w:val="4"/>
              <w:rFonts w:hint="eastAsia"/>
            </w:rPr>
            <w:t>单击或点击此处输入文字。</w:t>
          </w:r>
        </w:p>
      </w:docPartBody>
    </w:docPart>
    <w:docPart>
      <w:docPartPr>
        <w:name w:val="E673E94C67A34D3F919098CFDAAEA34A"/>
        <w:style w:val=""/>
        <w:category>
          <w:name w:val="常规"/>
          <w:gallery w:val="placeholder"/>
        </w:category>
        <w:types>
          <w:type w:val="bbPlcHdr"/>
        </w:types>
        <w:behaviors>
          <w:behavior w:val="content"/>
        </w:behaviors>
        <w:description w:val=""/>
        <w:guid w:val="{CCBCF82F-B201-4921-BCAD-2E119A38B715}"/>
      </w:docPartPr>
      <w:docPartBody>
        <w:p>
          <w:pPr>
            <w:pStyle w:val="6"/>
          </w:pPr>
          <w:r>
            <w:rPr>
              <w:rStyle w:val="4"/>
              <w:rFonts w:hint="eastAsia"/>
            </w:rPr>
            <w:t>选择一项。</w:t>
          </w:r>
        </w:p>
      </w:docPartBody>
    </w:docPart>
    <w:docPart>
      <w:docPartPr>
        <w:name w:val="0DF372EF86664A5F8A231DC5876ADDA8"/>
        <w:style w:val=""/>
        <w:category>
          <w:name w:val="常规"/>
          <w:gallery w:val="placeholder"/>
        </w:category>
        <w:types>
          <w:type w:val="bbPlcHdr"/>
        </w:types>
        <w:behaviors>
          <w:behavior w:val="content"/>
        </w:behaviors>
        <w:description w:val=""/>
        <w:guid w:val="{7C6FB886-C7F2-4477-A32E-71E85A7B1C7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C7"/>
    <w:rsid w:val="00317C68"/>
    <w:rsid w:val="006132C7"/>
    <w:rsid w:val="00CE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CE6D85CE9AF4BB89DC92039F658F2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673E94C67A34D3F919098CFDAAEA3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DF372EF86664A5F8A231DC5876ADDA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ECFE24-FCA9-4F57-9514-EF064972D70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2192</Words>
  <Characters>2422</Characters>
  <Lines>24</Lines>
  <Paragraphs>6</Paragraphs>
  <TotalTime>1</TotalTime>
  <ScaleCrop>false</ScaleCrop>
  <LinksUpToDate>false</LinksUpToDate>
  <CharactersWithSpaces>2492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2023-07-30T23:19:00Z</dcterms:created>
  <dc:creator>Windows 用户</dc:creator>
  <dc:description>&lt;config cover="true" show_menu="true" version="1.0.0" doctype="SDKXY"&gt;_x000d_
&lt;/config&gt;</dc:description>
  <cp:lastModifiedBy>WPS_1658105600</cp:lastModifiedBy>
  <cp:lastPrinted>2020-08-30T10:00:00Z</cp:lastPrinted>
  <dcterms:modified xsi:type="dcterms:W3CDTF">2023-08-30T02:27:46Z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868F4DAE43264D5C92E02D4D9CA60FBC_13</vt:lpwstr>
  </property>
</Properties>
</file>