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65.150</w:t>
      </w:r>
      <w:r>
        <w:fldChar w:fldCharType="end"/>
      </w:r>
      <w:bookmarkEnd w:id="0"/>
    </w:p>
    <w:p>
      <w:pPr>
        <w:pStyle w:val="125"/>
        <w:framePr w:wrap="around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B52</w:t>
      </w:r>
      <w:r>
        <w:fldChar w:fldCharType="end"/>
      </w:r>
      <w:bookmarkEnd w:id="1"/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5"/>
              <w:framePr w:wrap="around"/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noFill/>
                              </a:ln>
                            </wps:spPr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1072;v-text-anchor:middle;mso-width-relative:page;mso-height-relative:page;" fillcolor="#FFFFFF" filled="t" stroked="f" coordsize="21600,21600" o:gfxdata="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OGIp60gAAAAcBAAAPAAAAAAAAAAEAIAAAACIAAABkcnMvZG93bnJldi54bWxQSwECFAAUAAAA&#10;CACHTuJAOhySArsBAAB+AwAADgAAAAAAAAABACAAAAAhAQAAZHJzL2Uyb0RvYy54bWxQSwUGAAAA&#10;AAYABgBZAQAATgUAAAAA&#10;">
                      <v:fill on="t" focussize="0,0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>
      <w:pPr>
        <w:pStyle w:val="111"/>
        <w:framePr w:wrap="around"/>
      </w:pPr>
      <w:r>
        <w:t>D</w:t>
      </w:r>
      <w:r>
        <w:rPr>
          <w:spacing w:val="100"/>
        </w:rPr>
        <w:t>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43</w:t>
      </w:r>
      <w:r>
        <w:fldChar w:fldCharType="end"/>
      </w:r>
      <w:bookmarkEnd w:id="3"/>
    </w:p>
    <w:p>
      <w:pPr>
        <w:pStyle w:val="112"/>
        <w:framePr w:wrap="around"/>
      </w:pPr>
      <w:bookmarkStart w:id="4" w:name="c4"/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湖南省</w:t>
      </w:r>
      <w:r>
        <w:fldChar w:fldCharType="end"/>
      </w:r>
      <w:bookmarkEnd w:id="4"/>
      <w:r>
        <w:t>地方标准</w:t>
      </w:r>
    </w:p>
    <w:p>
      <w:pPr>
        <w:pStyle w:val="49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××/T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43</w:t>
      </w:r>
      <w:r>
        <w:rPr>
          <w:rFonts w:ascii="Times New Roman"/>
        </w:rPr>
        <w:t>/T</w:t>
      </w:r>
      <w:r>
        <w:rPr>
          <w:rFonts w:hAnsi="黑体"/>
        </w:rPr>
        <w:fldChar w:fldCharType="end"/>
      </w:r>
      <w:bookmarkEnd w:id="5"/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××××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××××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××××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int="eastAsia" w:hAnsi="黑体"/>
        </w:rPr>
        <w:t>202</w:t>
      </w:r>
      <w:r>
        <w:rPr>
          <w:rFonts w:hint="eastAsia" w:hAnsi="黑体"/>
          <w:lang w:val="en-US" w:eastAsia="zh-CN"/>
        </w:rPr>
        <w:t>3</w:t>
      </w:r>
      <w:r>
        <w:rPr>
          <w:rFonts w:hAnsi="黑体"/>
        </w:rPr>
        <w:fldChar w:fldCharType="end"/>
      </w:r>
      <w:bookmarkEnd w:id="7"/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8"/>
              <w:framePr w:wrap="around"/>
            </w:pPr>
            <w:bookmarkStart w:id="8" w:name="DT"/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3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noFill/>
                              </a:ln>
                            </wps:spPr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pt;margin-top:2.7pt;height:18pt;width:90pt;z-index:-251654144;v-text-anchor:middle;mso-width-relative:page;mso-height-relative:page;" fillcolor="#FFFFFF" filled="t" stroked="f" coordsize="21600,21600" o:gfxdata="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veO/&#10;z9MAAAAIAQAADwAAAAAAAAABACAAAAAiAAAAZHJzL2Rvd25yZXYueG1sUEsBAhQAFAAAAAgAh07i&#10;QDim7N21AQAAfgMAAA4AAAAAAAAAAQAgAAAAIgEAAGRycy9lMm9Eb2MueG1sUEsFBgAAAAAGAAYA&#10;WQEAAEkFAAAAAA==&#10;">
                      <v:fill on="t" focussize="0,0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>
      <w:pPr>
        <w:pStyle w:val="49"/>
        <w:framePr w:wrap="around"/>
        <w:rPr>
          <w:rFonts w:hAnsi="黑体"/>
        </w:rPr>
      </w:pPr>
    </w:p>
    <w:p>
      <w:pPr>
        <w:pStyle w:val="49"/>
        <w:framePr w:wrap="around"/>
        <w:rPr>
          <w:rFonts w:hAnsi="黑体"/>
        </w:rPr>
      </w:pPr>
    </w:p>
    <w:p>
      <w:pPr>
        <w:pStyle w:val="80"/>
        <w:framePr w:wrap="around"/>
      </w:pPr>
      <w:r>
        <w:fldChar w:fldCharType="begin">
          <w:ffData>
            <w:name w:val="StdName"/>
            <w:enabled/>
            <w:calcOnExit w:val="0"/>
            <w:textInput/>
          </w:ffData>
        </w:fldChar>
      </w:r>
      <w:bookmarkStart w:id="9" w:name="StdName"/>
      <w:r>
        <w:instrText xml:space="preserve"> FORMTEXT </w:instrText>
      </w:r>
      <w:r>
        <w:fldChar w:fldCharType="separate"/>
      </w:r>
      <w:r>
        <w:rPr>
          <w:rFonts w:hint="eastAsia"/>
        </w:rPr>
        <w:t>池塘</w:t>
      </w:r>
      <w:r>
        <w:rPr>
          <w:rFonts w:hint="eastAsia"/>
          <w:lang w:eastAsia="zh-CN"/>
        </w:rPr>
        <w:t>双季轮养优质商品草鱼</w:t>
      </w:r>
      <w:r>
        <w:rPr>
          <w:rFonts w:hint="eastAsia"/>
        </w:rPr>
        <w:t>技术规程</w:t>
      </w:r>
      <w:r>
        <w:fldChar w:fldCharType="end"/>
      </w:r>
      <w:bookmarkEnd w:id="9"/>
    </w:p>
    <w:p>
      <w:pPr>
        <w:pStyle w:val="81"/>
        <w:framePr w:wrap="around"/>
        <w:rPr>
          <w:rFonts w:hint="eastAsia"/>
        </w:rPr>
      </w:pPr>
      <w:bookmarkStart w:id="10" w:name="StdEnglishName"/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</w:p>
    <w:p>
      <w:pPr>
        <w:pStyle w:val="81"/>
        <w:framePr w:wrap="around"/>
      </w:pPr>
      <w:r>
        <w:fldChar w:fldCharType="end"/>
      </w:r>
      <w:bookmarkEnd w:id="10"/>
    </w:p>
    <w:p>
      <w:pPr>
        <w:pStyle w:val="82"/>
        <w:framePr w:wrap="around"/>
      </w:pPr>
      <w:bookmarkStart w:id="11" w:name="YZBS"/>
      <w:r>
        <w:rPr>
          <w:rFonts w:hint="default" w:ascii="Times New Roman" w:hAnsi="Times New Roman" w:cs="Times New Roman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rPr>
          <w:rFonts w:hint="default" w:ascii="Times New Roman" w:hAnsi="Times New Roman" w:cs="Times New Roman"/>
        </w:rPr>
        <w:instrText xml:space="preserve"> FORMTEXT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 xml:space="preserve">Technical specification for </w:t>
      </w:r>
      <w:r>
        <w:rPr>
          <w:rFonts w:hint="eastAsia" w:ascii="Times New Roman" w:hAnsi="Times New Roman" w:cs="Times New Roman"/>
          <w:lang w:val="en-US" w:eastAsia="zh-CN"/>
        </w:rPr>
        <w:t>rotation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culture</w:t>
      </w:r>
      <w:r>
        <w:rPr>
          <w:rFonts w:hint="default" w:ascii="Times New Roman" w:hAnsi="Times New Roman" w:cs="Times New Roman"/>
        </w:rPr>
        <w:t xml:space="preserve"> commercial grass carp</w:t>
      </w:r>
      <w:r>
        <w:rPr>
          <w:rFonts w:hint="eastAsia" w:ascii="Times New Roman" w:hAnsi="Times New Roman" w:cs="Times New Roman"/>
          <w:lang w:val="en-US" w:eastAsia="zh-CN"/>
        </w:rPr>
        <w:t xml:space="preserve"> in pond</w:t>
      </w:r>
      <w:r>
        <w:rPr>
          <w:rFonts w:hint="default" w:ascii="Times New Roman" w:hAnsi="Times New Roman" w:cs="Times New Roman"/>
        </w:rPr>
        <w:t> </w:t>
      </w:r>
      <w:r>
        <w:rPr>
          <w:rFonts w:hint="default" w:ascii="Times New Roman" w:hAnsi="Times New Roman" w:cs="Times New Roman"/>
        </w:rPr>
        <w:fldChar w:fldCharType="end"/>
      </w:r>
      <w:bookmarkEnd w:id="11"/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3"/>
              <w:framePr w:wrap="around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5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noFill/>
                              </a:ln>
                            </wps:spPr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2096;v-text-anchor:middle;mso-width-relative:page;mso-height-relative:page;" fillcolor="#FFFFFF" filled="t" stroked="f" coordsize="21600,21600" o:gfxdata="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4sDVj0wAA&#10;AAoBAAAPAAAAAAAAAAEAIAAAACIAAABkcnMvZG93bnJldi54bWxQSwECFAAUAAAACACHTuJANubx&#10;/LEBAAB+AwAADgAAAAAAAAABACAAAAAiAQAAZHJzL2Uyb0RvYy54bWxQSwUGAAAAAAYABgBZAQAA&#10;RQUAAAAA&#10;">
                      <v:fill on="t" focussize="0,0"/>
                      <v:stroke on="f" weight="2pt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4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noFill/>
                              </a:ln>
                            </wps:spPr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3120;v-text-anchor:middle;mso-width-relative:page;mso-height-relative:page;" fillcolor="#FFFFFF" filled="t" stroked="f" coordsize="21600,21600" o:gfxdata="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S&#10;XlCq1AAAAAkBAAAPAAAAAAAAAAEAIAAAACIAAABkcnMvZG93bnJldi54bWxQSwECFAAUAAAACACH&#10;TuJADY2ejLYBAAB+AwAADgAAAAAAAAABACAAAAAjAQAAZHJzL2Uyb0RvYy54bWxQSwUGAAAAAAYA&#10;BgBZAQAASwUAAAAA&#10;">
                      <v:fill on="t" focussize="0,0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4"/>
              <w:framePr w:wrap="around"/>
            </w:pPr>
            <w:bookmarkStart w:id="13" w:name="WCRQ"/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</w:tr>
    </w:tbl>
    <w:p>
      <w:pPr>
        <w:pStyle w:val="132"/>
        <w:framePr w:wrap="around"/>
      </w:pPr>
      <w:bookmarkStart w:id="14" w:name="FY"/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20</w:t>
      </w:r>
      <w:r>
        <w:rPr>
          <w:rFonts w:ascii="黑体"/>
        </w:rPr>
        <w:t>2</w:t>
      </w:r>
      <w:r>
        <w:rPr>
          <w:rFonts w:hint="eastAsia" w:ascii="黑体"/>
          <w:lang w:val="en-US" w:eastAsia="zh-CN"/>
        </w:rPr>
        <w:t>3</w:t>
      </w:r>
      <w:r>
        <w:rPr>
          <w:rFonts w:ascii="黑体"/>
        </w:rPr>
        <w:fldChar w:fldCharType="end"/>
      </w:r>
      <w:bookmarkEnd w:id="14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r>
        <w:rPr>
          <w:rFonts w:ascii="黑体"/>
        </w:rPr>
        <w:t>-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150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05pt;margin-top:728.5pt;height:0pt;width:481.5pt;mso-position-vertical-relative:page;z-index:251660288;mso-width-relative:page;mso-height-relative:page;" filled="f" stroked="t" coordsize="21600,21600" o:gfxdata="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N6UVPVAAAACwEAAA8AAAAAAAAAAQAgAAAAIgAAAGRycy9kb3ducmV2LnhtbFBL&#10;AQIUABQAAAAIAIdO4kAAF/Ja+QEAAOQDAAAOAAAAAAAAAAEAIAAAACQBAABkcnMvZTJvRG9jLnht&#10;bFBLBQYAAAAABgAGAFkBAACPBQAAAAA=&#10;">
                <v:fill on="f" focussize="0,0"/>
                <v:stroke color="#4579B8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33"/>
        <w:framePr w:wrap="around"/>
      </w:pPr>
      <w:bookmarkStart w:id="16" w:name="SY"/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20</w:t>
      </w:r>
      <w:r>
        <w:rPr>
          <w:rFonts w:ascii="黑体"/>
        </w:rPr>
        <w:t>2</w:t>
      </w:r>
      <w:r>
        <w:rPr>
          <w:rFonts w:hint="eastAsia" w:ascii="黑体"/>
          <w:lang w:val="en-US" w:eastAsia="zh-CN"/>
        </w:rPr>
        <w:t>3</w:t>
      </w:r>
      <w:r>
        <w:rPr>
          <w:rFonts w:ascii="黑体"/>
        </w:rPr>
        <w:fldChar w:fldCharType="end"/>
      </w:r>
      <w:bookmarkEnd w:id="16"/>
      <w:r>
        <w:rPr>
          <w:rFonts w:ascii="黑体"/>
        </w:rPr>
        <w:t>-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bookmarkEnd w:id="17"/>
      <w:r>
        <w:rPr>
          <w:rFonts w:ascii="黑体"/>
        </w:rPr>
        <w:t>-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××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p>
      <w:pPr>
        <w:pStyle w:val="113"/>
        <w:framePr w:wrap="around"/>
      </w:pPr>
      <w:bookmarkStart w:id="19" w:name="fm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湖南省市场监督管理局</w:t>
      </w:r>
      <w:r>
        <w:fldChar w:fldCharType="end"/>
      </w:r>
      <w:bookmarkEnd w:id="19"/>
      <w:r>
        <w:rPr>
          <w:rStyle w:val="75"/>
          <w:rFonts w:hint="eastAsia"/>
        </w:rPr>
        <w:t>发布</w:t>
      </w:r>
    </w:p>
    <w:p>
      <w:pPr>
        <w:pStyle w:val="24"/>
        <w:sectPr>
          <w:headerReference r:id="rId4" w:type="first"/>
          <w:footerReference r:id="rId6" w:type="first"/>
          <w:headerReference r:id="rId3" w:type="even"/>
          <w:footerReference r:id="rId5" w:type="even"/>
          <w:pgSz w:w="11906" w:h="16838"/>
          <w:pgMar w:top="567" w:right="850" w:bottom="1134" w:left="1418" w:header="0" w:footer="0" w:gutter="0"/>
          <w:pgNumType w:fmt="decimal" w:start="1"/>
          <w:cols w:space="425" w:num="1"/>
          <w:formProt w:val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05pt;margin-top:184.25pt;height:0pt;width:481.9pt;z-index:251661312;mso-width-relative:page;mso-height-relative:page;" filled="f" stroked="t" coordsize="21600,21600" o:gfxdata="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JDaLP1gAAAAkBAAAPAAAAAAAAAAEAIAAAACIAAABkcnMvZG93bnJldi54bWxQ&#10;SwECFAAUAAAACACHTuJAkWNWXPkBAADkAwAADgAAAAAAAAABACAAAAAlAQAAZHJzL2Uyb0RvYy54&#10;bWxQSwUGAAAAAAYABgBZAQAAkA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2"/>
        <w:rPr>
          <w:rFonts w:hint="eastAsia"/>
        </w:rPr>
      </w:pPr>
      <w:bookmarkStart w:id="20" w:name="_Toc497857110"/>
      <w:bookmarkStart w:id="21" w:name="_Toc61252791"/>
      <w:bookmarkStart w:id="22" w:name="_Toc61254403"/>
      <w:bookmarkStart w:id="23" w:name="_Toc497857063"/>
      <w:bookmarkStart w:id="24" w:name="_Toc61017452"/>
      <w:bookmarkStart w:id="25" w:name="_Toc61017431"/>
      <w:r>
        <w:rPr>
          <w:rFonts w:hint="eastAsia"/>
        </w:rPr>
        <w:t>目</w:t>
      </w:r>
      <w:bookmarkStart w:id="26" w:name="BKML"/>
      <w:r>
        <w:rPr>
          <w:rFonts w:hAnsi="黑体"/>
        </w:rPr>
        <w:t>  </w:t>
      </w:r>
      <w:r>
        <w:rPr>
          <w:rFonts w:hint="eastAsia"/>
        </w:rPr>
        <w:t>次</w:t>
      </w:r>
      <w:bookmarkEnd w:id="26"/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 w:fldLock="1"/>
      </w:r>
      <w:r>
        <w:instrText xml:space="preserve"> </w:instrText>
      </w:r>
      <w:r>
        <w:rPr>
          <w:rFonts w:hint="eastAsia"/>
        </w:rPr>
        <w:instrText xml:space="preserve">TOC \h \z \t"前言、引言标题,1,参考文献、索引标题,1,章标题,1,参考文献,1,附录标识,1" \* MERGEFORMAT</w:instrText>
      </w:r>
      <w:r>
        <w:instrText xml:space="preserve"> </w:instrText>
      </w:r>
      <w:r>
        <w:fldChar w:fldCharType="separate"/>
      </w:r>
      <w:r>
        <w:fldChar w:fldCharType="begin"/>
      </w:r>
      <w:r>
        <w:instrText xml:space="preserve"> HYPERLINK \l "_Toc62215786" </w:instrText>
      </w:r>
      <w:r>
        <w:fldChar w:fldCharType="separate"/>
      </w:r>
      <w:r>
        <w:rPr>
          <w:rStyle w:val="40"/>
          <w:rFonts w:hint="eastAsia"/>
        </w:rPr>
        <w:t>前</w:t>
      </w:r>
      <w:r>
        <w:rPr>
          <w:rStyle w:val="40"/>
          <w:rFonts w:hAnsi="黑体"/>
        </w:rPr>
        <w:t>  </w:t>
      </w:r>
      <w:r>
        <w:rPr>
          <w:rStyle w:val="40"/>
          <w:rFonts w:hint="eastAsia"/>
        </w:rPr>
        <w:t>言</w:t>
      </w:r>
      <w:r>
        <w:tab/>
      </w:r>
      <w:r>
        <w:fldChar w:fldCharType="begin" w:fldLock="1"/>
      </w:r>
      <w:r>
        <w:instrText xml:space="preserve"> PAGEREF _Toc62215786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"_Toc62215787" </w:instrText>
      </w:r>
      <w:r>
        <w:fldChar w:fldCharType="separate"/>
      </w:r>
      <w:r>
        <w:rPr>
          <w:rStyle w:val="40"/>
          <w:rFonts w:hAnsi="黑体"/>
          <w:b/>
        </w:rPr>
        <w:t>1</w:t>
      </w:r>
      <w:r>
        <w:rPr>
          <w:rStyle w:val="40"/>
          <w:rFonts w:hint="eastAsia" w:ascii="Times New Roman"/>
        </w:rPr>
        <w:t>　范围</w:t>
      </w:r>
      <w:r>
        <w:tab/>
      </w:r>
      <w:r>
        <w:fldChar w:fldCharType="begin" w:fldLock="1"/>
      </w:r>
      <w:r>
        <w:instrText xml:space="preserve"> PAGEREF _Toc62215787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"_Toc62215788" </w:instrText>
      </w:r>
      <w:r>
        <w:fldChar w:fldCharType="separate"/>
      </w:r>
      <w:r>
        <w:rPr>
          <w:rStyle w:val="40"/>
          <w:rFonts w:hAnsi="黑体"/>
          <w:b/>
        </w:rPr>
        <w:t>2</w:t>
      </w:r>
      <w:r>
        <w:rPr>
          <w:rStyle w:val="40"/>
          <w:rFonts w:hint="eastAsia" w:ascii="Times New Roman"/>
        </w:rPr>
        <w:t>　规范性引用文件</w:t>
      </w:r>
      <w:r>
        <w:tab/>
      </w:r>
      <w:r>
        <w:fldChar w:fldCharType="begin" w:fldLock="1"/>
      </w:r>
      <w:r>
        <w:instrText xml:space="preserve"> PAGEREF _Toc62215788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"_Toc62215789" </w:instrText>
      </w:r>
      <w:r>
        <w:fldChar w:fldCharType="separate"/>
      </w:r>
      <w:r>
        <w:rPr>
          <w:rStyle w:val="40"/>
          <w:rFonts w:hAnsi="黑体"/>
          <w:b/>
        </w:rPr>
        <w:t>3</w:t>
      </w:r>
      <w:r>
        <w:rPr>
          <w:rStyle w:val="40"/>
          <w:rFonts w:hint="eastAsia" w:ascii="Times New Roman"/>
        </w:rPr>
        <w:t>　术语与定义</w:t>
      </w:r>
      <w:r>
        <w:tab/>
      </w:r>
      <w:r>
        <w:fldChar w:fldCharType="begin" w:fldLock="1"/>
      </w:r>
      <w:r>
        <w:instrText xml:space="preserve"> PAGEREF _Toc62215789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"_Toc62215790" </w:instrText>
      </w:r>
      <w:r>
        <w:fldChar w:fldCharType="separate"/>
      </w:r>
      <w:r>
        <w:rPr>
          <w:rStyle w:val="40"/>
          <w:rFonts w:hAnsi="黑体"/>
          <w:b/>
        </w:rPr>
        <w:t>4</w:t>
      </w:r>
      <w:r>
        <w:rPr>
          <w:rStyle w:val="40"/>
          <w:rFonts w:hint="eastAsia" w:ascii="Times New Roman"/>
        </w:rPr>
        <w:t>　环境条件</w:t>
      </w:r>
      <w:r>
        <w:tab/>
      </w:r>
      <w:r>
        <w:fldChar w:fldCharType="begin" w:fldLock="1"/>
      </w:r>
      <w:r>
        <w:instrText xml:space="preserve"> PAGEREF _Toc62215790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"_Toc62215791" </w:instrText>
      </w:r>
      <w:r>
        <w:fldChar w:fldCharType="separate"/>
      </w:r>
      <w:r>
        <w:rPr>
          <w:rStyle w:val="40"/>
          <w:rFonts w:hAnsi="黑体"/>
          <w:b/>
        </w:rPr>
        <w:t>5</w:t>
      </w:r>
      <w:r>
        <w:rPr>
          <w:rStyle w:val="40"/>
          <w:rFonts w:hint="eastAsia" w:ascii="Times New Roman"/>
        </w:rPr>
        <w:t>　</w:t>
      </w:r>
      <w:r>
        <w:rPr>
          <w:rStyle w:val="40"/>
          <w:rFonts w:hint="eastAsia" w:ascii="Times New Roman"/>
          <w:lang w:eastAsia="zh-CN"/>
        </w:rPr>
        <w:t>苗种放养</w:t>
      </w:r>
      <w:r>
        <w:tab/>
      </w:r>
      <w:r>
        <w:fldChar w:fldCharType="begin" w:fldLock="1"/>
      </w:r>
      <w:r>
        <w:instrText xml:space="preserve"> PAGEREF _Toc62215791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"_Toc62215792" </w:instrText>
      </w:r>
      <w:r>
        <w:fldChar w:fldCharType="separate"/>
      </w:r>
      <w:r>
        <w:rPr>
          <w:rStyle w:val="40"/>
          <w:rFonts w:hAnsi="黑体"/>
          <w:b/>
        </w:rPr>
        <w:t>6</w:t>
      </w:r>
      <w:r>
        <w:rPr>
          <w:rStyle w:val="40"/>
          <w:rFonts w:hint="eastAsia" w:ascii="Times New Roman"/>
        </w:rPr>
        <w:t>　</w:t>
      </w:r>
      <w:r>
        <w:rPr>
          <w:rStyle w:val="40"/>
          <w:rFonts w:hint="eastAsia" w:ascii="Times New Roman"/>
          <w:lang w:eastAsia="zh-CN"/>
        </w:rPr>
        <w:t>饲料及投喂</w:t>
      </w:r>
      <w:r>
        <w:tab/>
      </w:r>
      <w:r>
        <w:fldChar w:fldCharType="begin" w:fldLock="1"/>
      </w:r>
      <w:r>
        <w:instrText xml:space="preserve"> PAGEREF _Toc62215792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"_Toc62215793" </w:instrText>
      </w:r>
      <w:r>
        <w:fldChar w:fldCharType="separate"/>
      </w:r>
      <w:r>
        <w:rPr>
          <w:rStyle w:val="40"/>
          <w:rFonts w:hAnsi="黑体"/>
          <w:b/>
        </w:rPr>
        <w:t>7</w:t>
      </w:r>
      <w:r>
        <w:rPr>
          <w:rStyle w:val="40"/>
          <w:rFonts w:hint="eastAsia" w:ascii="Times New Roman"/>
        </w:rPr>
        <w:t>　</w:t>
      </w:r>
      <w:r>
        <w:rPr>
          <w:rStyle w:val="40"/>
          <w:rFonts w:hint="eastAsia" w:ascii="Times New Roman"/>
          <w:lang w:eastAsia="zh-CN"/>
        </w:rPr>
        <w:t>日常管理</w:t>
      </w:r>
      <w:r>
        <w:tab/>
      </w:r>
      <w:r>
        <w:fldChar w:fldCharType="begin" w:fldLock="1"/>
      </w:r>
      <w:r>
        <w:instrText xml:space="preserve"> PAGEREF _Toc62215793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"_Toc62215794" </w:instrText>
      </w:r>
      <w:r>
        <w:fldChar w:fldCharType="separate"/>
      </w:r>
      <w:r>
        <w:rPr>
          <w:rStyle w:val="40"/>
          <w:rFonts w:hAnsi="黑体"/>
          <w:b/>
        </w:rPr>
        <w:t>8</w:t>
      </w:r>
      <w:r>
        <w:rPr>
          <w:rStyle w:val="40"/>
          <w:rFonts w:hint="eastAsia" w:ascii="Times New Roman"/>
        </w:rPr>
        <w:t>　鱼病防治</w:t>
      </w:r>
      <w:r>
        <w:tab/>
      </w:r>
      <w:r>
        <w:fldChar w:fldCharType="begin" w:fldLock="1"/>
      </w:r>
      <w:r>
        <w:instrText xml:space="preserve"> PAGEREF _Toc62215794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"_Toc62215795" </w:instrText>
      </w:r>
      <w:r>
        <w:fldChar w:fldCharType="separate"/>
      </w:r>
      <w:r>
        <w:rPr>
          <w:rStyle w:val="40"/>
          <w:rFonts w:hAnsi="黑体"/>
          <w:b/>
        </w:rPr>
        <w:t>9</w:t>
      </w:r>
      <w:r>
        <w:rPr>
          <w:rStyle w:val="40"/>
          <w:rFonts w:hint="eastAsia" w:ascii="Times New Roman"/>
        </w:rPr>
        <w:t>　尾水排放</w:t>
      </w:r>
      <w:r>
        <w:tab/>
      </w:r>
      <w:r>
        <w:fldChar w:fldCharType="begin" w:fldLock="1"/>
      </w:r>
      <w:r>
        <w:instrText xml:space="preserve"> PAGEREF _Toc62215795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20"/>
        <w:spacing w:before="78" w:after="7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"_Toc62215796" </w:instrText>
      </w:r>
      <w:r>
        <w:fldChar w:fldCharType="separate"/>
      </w:r>
      <w:r>
        <w:rPr>
          <w:rStyle w:val="40"/>
          <w:rFonts w:hAnsi="黑体"/>
          <w:b/>
        </w:rPr>
        <w:t>10</w:t>
      </w:r>
      <w:r>
        <w:rPr>
          <w:rStyle w:val="40"/>
          <w:rFonts w:hint="eastAsia" w:ascii="Times New Roman"/>
        </w:rPr>
        <w:t>养殖记录</w:t>
      </w:r>
      <w:r>
        <w:tab/>
      </w:r>
      <w:r>
        <w:fldChar w:fldCharType="begin" w:fldLock="1"/>
      </w:r>
      <w:r>
        <w:instrText xml:space="preserve"> PAGEREF _Toc62215796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24"/>
        <w:rPr>
          <w:rFonts w:hint="eastAsia"/>
        </w:rPr>
      </w:pPr>
      <w:r>
        <w:fldChar w:fldCharType="end"/>
      </w:r>
    </w:p>
    <w:p>
      <w:pPr>
        <w:pStyle w:val="114"/>
        <w:rPr>
          <w:rFonts w:hint="eastAsia"/>
        </w:rPr>
        <w:sectPr>
          <w:footerReference r:id="rId7" w:type="default"/>
          <w:pgSz w:w="11906" w:h="16838"/>
          <w:pgMar w:top="567" w:right="1134" w:bottom="1134" w:left="1418" w:header="1418" w:footer="1134" w:gutter="0"/>
          <w:pgNumType w:fmt="decimal" w:start="1"/>
          <w:cols w:space="425" w:num="1"/>
          <w:formProt w:val="0"/>
          <w:docGrid w:type="lines" w:linePitch="312" w:charSpace="0"/>
        </w:sectPr>
      </w:pPr>
      <w:bookmarkStart w:id="27" w:name="_Toc62215786"/>
    </w:p>
    <w:p>
      <w:pPr>
        <w:pStyle w:val="114"/>
      </w:pPr>
      <w:r>
        <w:rPr>
          <w:rFonts w:hint="eastAsia"/>
        </w:rPr>
        <w:t>前</w:t>
      </w:r>
      <w:bookmarkStart w:id="28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  <w:bookmarkEnd w:id="21"/>
      <w:bookmarkEnd w:id="22"/>
      <w:bookmarkEnd w:id="23"/>
      <w:bookmarkEnd w:id="24"/>
      <w:bookmarkEnd w:id="25"/>
      <w:bookmarkEnd w:id="27"/>
      <w:bookmarkEnd w:id="28"/>
    </w:p>
    <w:p>
      <w:pPr>
        <w:pStyle w:val="24"/>
        <w:ind w:firstLine="0" w:firstLineChars="0"/>
        <w:rPr>
          <w:rFonts w:hAnsi="宋体" w:cs="宋体"/>
        </w:rPr>
      </w:pPr>
      <w:r>
        <w:rPr>
          <w:rFonts w:hint="eastAsia" w:hAnsi="宋体" w:cs="宋体"/>
        </w:rPr>
        <w:t>本文件按照GB/T 1.1</w:t>
      </w:r>
      <w:r>
        <w:rPr>
          <w:rFonts w:hint="eastAsia" w:hAnsi="宋体" w:cs="宋体"/>
          <w:lang w:eastAsia="zh-CN"/>
        </w:rPr>
        <w:t>~</w:t>
      </w:r>
      <w:r>
        <w:rPr>
          <w:rFonts w:hint="eastAsia" w:hAnsi="宋体" w:cs="宋体"/>
        </w:rPr>
        <w:t>2020《标准化工作导则 第1部分：标准化文件的结构和起草规则》的规定起草。</w:t>
      </w:r>
    </w:p>
    <w:p>
      <w:pPr>
        <w:spacing w:line="324" w:lineRule="exact"/>
        <w:jc w:val="both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请注意本文件的某些内容可能涉及专利。本文件的发布机构不承担识别专利的责任。</w:t>
      </w:r>
    </w:p>
    <w:p>
      <w:pPr>
        <w:spacing w:line="324" w:lineRule="exact"/>
        <w:jc w:val="both"/>
        <w:rPr>
          <w:rFonts w:hint="eastAsia" w:ascii="宋体" w:hAnsi="宋体"/>
          <w:color w:val="000000"/>
        </w:rPr>
      </w:pPr>
      <w:r>
        <w:rPr>
          <w:rFonts w:hint="eastAsia" w:hAnsi="宋体" w:cs="宋体"/>
        </w:rPr>
        <w:t>本文件</w:t>
      </w:r>
      <w:r>
        <w:rPr>
          <w:rFonts w:hint="eastAsia" w:hAnsi="宋体" w:cs="宋体"/>
          <w:szCs w:val="22"/>
        </w:rPr>
        <w:t>由湖南省农业农村厅提出。</w:t>
      </w:r>
    </w:p>
    <w:p>
      <w:pPr>
        <w:pStyle w:val="24"/>
        <w:ind w:firstLine="0" w:firstLineChars="0"/>
        <w:rPr>
          <w:rFonts w:hAnsi="宋体" w:cs="宋体"/>
        </w:rPr>
      </w:pPr>
      <w:r>
        <w:rPr>
          <w:rFonts w:hint="eastAsia" w:hAnsi="宋体" w:cs="宋体"/>
        </w:rPr>
        <w:t>本文件由湖南省农业标准化技术委员会归口。</w:t>
      </w:r>
    </w:p>
    <w:p>
      <w:pPr>
        <w:pStyle w:val="24"/>
        <w:ind w:firstLine="0" w:firstLineChars="0"/>
      </w:pPr>
      <w:r>
        <w:rPr>
          <w:rFonts w:hint="eastAsia"/>
        </w:rPr>
        <w:t>本</w:t>
      </w:r>
      <w:r>
        <w:rPr>
          <w:rFonts w:hint="eastAsia" w:hAnsi="宋体" w:cs="宋体"/>
        </w:rPr>
        <w:t>文件</w:t>
      </w:r>
      <w:r>
        <w:rPr>
          <w:rFonts w:hint="eastAsia"/>
        </w:rPr>
        <w:t>起草单位：长沙市开福区生态休闲观光农业协会、湖南省水产科学研究所、湖南海博水产种业科技有限公司、</w:t>
      </w:r>
      <w:r>
        <w:rPr>
          <w:rFonts w:hint="eastAsia"/>
          <w:lang w:eastAsia="zh-CN"/>
        </w:rPr>
        <w:t>宁乡</w:t>
      </w:r>
      <w:r>
        <w:rPr>
          <w:rFonts w:hint="eastAsia"/>
        </w:rPr>
        <w:t>市</w:t>
      </w:r>
      <w:r>
        <w:rPr>
          <w:rFonts w:hint="eastAsia"/>
          <w:lang w:eastAsia="zh-CN"/>
        </w:rPr>
        <w:t>畜牧水产事务</w:t>
      </w:r>
      <w:r>
        <w:rPr>
          <w:rFonts w:hint="eastAsia"/>
        </w:rPr>
        <w:t>中心</w:t>
      </w:r>
      <w:r>
        <w:rPr>
          <w:rFonts w:hint="eastAsia"/>
          <w:lang w:eastAsia="zh-CN"/>
        </w:rPr>
        <w:t>、安乡县农业农村局</w:t>
      </w:r>
      <w:r>
        <w:rPr>
          <w:rFonts w:hint="eastAsia"/>
        </w:rPr>
        <w:t>。</w:t>
      </w:r>
    </w:p>
    <w:p>
      <w:pPr>
        <w:pStyle w:val="24"/>
        <w:ind w:firstLine="0" w:firstLineChars="0"/>
      </w:pPr>
      <w:r>
        <w:rPr>
          <w:rFonts w:hint="eastAsia"/>
        </w:rPr>
        <w:t>本</w:t>
      </w:r>
      <w:r>
        <w:rPr>
          <w:rFonts w:hint="eastAsia" w:hAnsi="宋体" w:cs="宋体"/>
        </w:rPr>
        <w:t>文件</w:t>
      </w:r>
      <w:r>
        <w:rPr>
          <w:rFonts w:hint="eastAsia"/>
        </w:rPr>
        <w:t>主要起草人：陈新民、丁德明、张轩杰、杨辉、</w:t>
      </w:r>
      <w:r>
        <w:rPr>
          <w:rFonts w:hint="eastAsia"/>
          <w:lang w:eastAsia="zh-CN"/>
        </w:rPr>
        <w:t>何志刚</w:t>
      </w:r>
      <w:r>
        <w:rPr>
          <w:rFonts w:hint="eastAsia"/>
        </w:rPr>
        <w:t>、</w:t>
      </w:r>
      <w:r>
        <w:rPr>
          <w:rFonts w:hint="eastAsia"/>
          <w:lang w:eastAsia="zh-CN"/>
        </w:rPr>
        <w:t>徐仕敏、</w:t>
      </w:r>
      <w:r>
        <w:rPr>
          <w:rFonts w:hint="eastAsia"/>
        </w:rPr>
        <w:t>李晓虎、李建元</w:t>
      </w:r>
      <w:r>
        <w:rPr>
          <w:rFonts w:hint="eastAsia"/>
          <w:lang w:eastAsia="zh-CN"/>
        </w:rPr>
        <w:t>、喻武强、隆伟军、刘启璋</w:t>
      </w:r>
      <w:r>
        <w:rPr>
          <w:rFonts w:hint="eastAsia"/>
        </w:rPr>
        <w:t>。</w:t>
      </w: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24"/>
        <w:ind w:firstLine="0" w:firstLineChars="0"/>
      </w:pPr>
    </w:p>
    <w:p>
      <w:pPr>
        <w:pStyle w:val="52"/>
        <w:bidi w:val="0"/>
        <w:rPr>
          <w:rFonts w:ascii="Times New Roman"/>
        </w:rPr>
      </w:pPr>
      <w:sdt>
        <w:sdtPr>
          <w:alias w:val="标准名称"/>
          <w:tag w:val="标准名称"/>
          <w:id w:val="1795105741"/>
          <w:lock w:val="sdtLocked"/>
          <w:placeholder>
            <w:docPart w:val="111"/>
          </w:placeholder>
          <w:text w:multiLine="1"/>
        </w:sdtPr>
        <w:sdtContent>
          <w:r>
            <w:rPr>
              <w:rFonts w:hint="eastAsia"/>
            </w:rPr>
            <w:t xml:space="preserve"> </w:t>
          </w:r>
          <w:r>
            <w:rPr>
              <w:rFonts w:hint="eastAsia"/>
            </w:rPr>
            <w:br w:type="textWrapping"/>
          </w:r>
          <w:r>
            <w:rPr>
              <w:rFonts w:hint="eastAsia"/>
            </w:rPr>
            <w:t>池塘</w:t>
          </w:r>
          <w:r>
            <w:rPr>
              <w:rFonts w:hint="eastAsia"/>
              <w:lang w:eastAsia="zh-CN"/>
            </w:rPr>
            <w:t>双季轮养优质商品草鱼</w:t>
          </w:r>
          <w:r>
            <w:rPr>
              <w:rFonts w:hint="eastAsia"/>
            </w:rPr>
            <w:t>技术规程</w:t>
          </w:r>
        </w:sdtContent>
      </w:sdt>
    </w:p>
    <w:p>
      <w:pPr>
        <w:pStyle w:val="47"/>
        <w:rPr>
          <w:rFonts w:hint="eastAsia"/>
        </w:rPr>
      </w:pPr>
      <w:bookmarkStart w:id="29" w:name="_Toc47605950"/>
      <w:bookmarkStart w:id="30" w:name="_Toc18977"/>
      <w:bookmarkStart w:id="31" w:name="_Toc503281677"/>
      <w:bookmarkStart w:id="32" w:name="_Toc7687"/>
      <w:bookmarkStart w:id="33" w:name="_Toc42249277"/>
      <w:bookmarkStart w:id="34" w:name="_Toc77246868"/>
      <w:bookmarkStart w:id="35" w:name="_Toc77247393"/>
      <w:bookmarkStart w:id="36" w:name="_Toc47605995"/>
      <w:bookmarkStart w:id="37" w:name="_Toc42249350"/>
      <w:bookmarkStart w:id="38" w:name="_Toc12657"/>
      <w:bookmarkStart w:id="39" w:name="_Toc42249316"/>
      <w:r>
        <w:rPr>
          <w:rFonts w:hint="eastAsia"/>
        </w:rPr>
        <w:t>范围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24"/>
        <w:rPr>
          <w:rStyle w:val="154"/>
          <w:rFonts w:ascii="Times New Roman"/>
          <w:color w:val="auto"/>
          <w:sz w:val="21"/>
          <w:szCs w:val="21"/>
        </w:rPr>
      </w:pPr>
      <w:r>
        <w:rPr>
          <w:rStyle w:val="154"/>
          <w:rFonts w:ascii="Times New Roman"/>
          <w:sz w:val="21"/>
          <w:szCs w:val="21"/>
        </w:rPr>
        <w:t>本</w:t>
      </w:r>
      <w:r>
        <w:rPr>
          <w:rStyle w:val="154"/>
          <w:rFonts w:hint="eastAsia" w:ascii="Times New Roman"/>
          <w:sz w:val="21"/>
          <w:szCs w:val="21"/>
        </w:rPr>
        <w:t>文件</w:t>
      </w:r>
      <w:r>
        <w:rPr>
          <w:rStyle w:val="154"/>
          <w:rFonts w:ascii="Times New Roman"/>
          <w:sz w:val="21"/>
          <w:szCs w:val="21"/>
        </w:rPr>
        <w:t>规定了</w:t>
      </w:r>
      <w:r>
        <w:rPr>
          <w:rStyle w:val="154"/>
          <w:rFonts w:hint="eastAsia" w:ascii="Times New Roman"/>
          <w:sz w:val="21"/>
          <w:szCs w:val="21"/>
          <w:lang w:eastAsia="zh-CN"/>
        </w:rPr>
        <w:t>池塘双季轮养优质商品草鱼</w:t>
      </w:r>
      <w:r>
        <w:rPr>
          <w:rStyle w:val="154"/>
          <w:rFonts w:ascii="Times New Roman"/>
          <w:color w:val="auto"/>
          <w:sz w:val="21"/>
          <w:szCs w:val="21"/>
        </w:rPr>
        <w:t>的</w:t>
      </w:r>
      <w:r>
        <w:rPr>
          <w:rStyle w:val="154"/>
          <w:rFonts w:hint="eastAsia" w:ascii="Times New Roman"/>
          <w:color w:val="auto"/>
          <w:sz w:val="21"/>
          <w:szCs w:val="21"/>
        </w:rPr>
        <w:t>环境条件、</w:t>
      </w:r>
      <w:r>
        <w:rPr>
          <w:rStyle w:val="154"/>
          <w:rFonts w:hint="eastAsia" w:ascii="Times New Roman"/>
          <w:color w:val="auto"/>
          <w:sz w:val="21"/>
          <w:szCs w:val="21"/>
          <w:lang w:eastAsia="zh-CN"/>
        </w:rPr>
        <w:t>池塘准备</w:t>
      </w:r>
      <w:r>
        <w:rPr>
          <w:rStyle w:val="154"/>
          <w:rFonts w:hint="eastAsia" w:ascii="Times New Roman"/>
          <w:color w:val="auto"/>
          <w:sz w:val="21"/>
          <w:szCs w:val="21"/>
        </w:rPr>
        <w:t>、</w:t>
      </w:r>
      <w:r>
        <w:rPr>
          <w:rStyle w:val="154"/>
          <w:rFonts w:hint="eastAsia" w:ascii="Times New Roman"/>
          <w:color w:val="auto"/>
          <w:sz w:val="21"/>
          <w:szCs w:val="21"/>
          <w:lang w:eastAsia="zh-CN"/>
        </w:rPr>
        <w:t>苗种放养</w:t>
      </w:r>
      <w:r>
        <w:rPr>
          <w:rStyle w:val="154"/>
          <w:rFonts w:hint="eastAsia" w:ascii="Times New Roman"/>
          <w:color w:val="auto"/>
          <w:sz w:val="21"/>
          <w:szCs w:val="21"/>
        </w:rPr>
        <w:t>、</w:t>
      </w:r>
      <w:r>
        <w:rPr>
          <w:rStyle w:val="154"/>
          <w:rFonts w:hint="eastAsia" w:ascii="Times New Roman"/>
          <w:color w:val="auto"/>
          <w:sz w:val="21"/>
          <w:szCs w:val="21"/>
          <w:lang w:eastAsia="zh-CN"/>
        </w:rPr>
        <w:t>饲料及投喂</w:t>
      </w:r>
      <w:r>
        <w:rPr>
          <w:rStyle w:val="154"/>
          <w:rFonts w:hint="eastAsia" w:ascii="Times New Roman"/>
          <w:color w:val="auto"/>
          <w:sz w:val="21"/>
          <w:szCs w:val="21"/>
        </w:rPr>
        <w:t>、</w:t>
      </w:r>
      <w:r>
        <w:rPr>
          <w:rStyle w:val="154"/>
          <w:rFonts w:hint="eastAsia" w:ascii="Times New Roman"/>
          <w:color w:val="auto"/>
          <w:sz w:val="21"/>
          <w:szCs w:val="21"/>
          <w:lang w:eastAsia="zh-CN"/>
        </w:rPr>
        <w:t>日常管理、</w:t>
      </w:r>
      <w:r>
        <w:rPr>
          <w:rStyle w:val="154"/>
          <w:rFonts w:hint="eastAsia" w:ascii="Times New Roman"/>
          <w:color w:val="auto"/>
          <w:sz w:val="21"/>
          <w:szCs w:val="21"/>
        </w:rPr>
        <w:t>鱼病防治、尾水排放和养殖记录</w:t>
      </w:r>
      <w:r>
        <w:rPr>
          <w:rStyle w:val="154"/>
          <w:rFonts w:hint="eastAsia" w:ascii="Times New Roman"/>
          <w:color w:val="auto"/>
          <w:sz w:val="21"/>
          <w:szCs w:val="21"/>
          <w:lang w:eastAsia="zh-CN"/>
        </w:rPr>
        <w:t>等</w:t>
      </w:r>
      <w:r>
        <w:rPr>
          <w:rStyle w:val="154"/>
          <w:rFonts w:ascii="Times New Roman"/>
          <w:color w:val="auto"/>
          <w:sz w:val="21"/>
          <w:szCs w:val="21"/>
        </w:rPr>
        <w:t>。</w:t>
      </w:r>
    </w:p>
    <w:p>
      <w:pPr>
        <w:pStyle w:val="24"/>
        <w:rPr>
          <w:rStyle w:val="154"/>
          <w:rFonts w:ascii="Times New Roman"/>
          <w:sz w:val="21"/>
          <w:szCs w:val="21"/>
        </w:rPr>
      </w:pPr>
      <w:r>
        <w:rPr>
          <w:rStyle w:val="154"/>
          <w:rFonts w:ascii="Times New Roman"/>
          <w:sz w:val="21"/>
          <w:szCs w:val="21"/>
        </w:rPr>
        <w:t>本</w:t>
      </w:r>
      <w:r>
        <w:rPr>
          <w:rStyle w:val="154"/>
          <w:rFonts w:hint="eastAsia" w:ascii="Times New Roman"/>
          <w:sz w:val="21"/>
          <w:szCs w:val="21"/>
        </w:rPr>
        <w:t>文件</w:t>
      </w:r>
      <w:r>
        <w:rPr>
          <w:rStyle w:val="154"/>
          <w:rFonts w:ascii="Times New Roman"/>
          <w:sz w:val="21"/>
          <w:szCs w:val="21"/>
        </w:rPr>
        <w:t>适用于</w:t>
      </w:r>
      <w:r>
        <w:rPr>
          <w:rStyle w:val="154"/>
          <w:rFonts w:hint="eastAsia" w:ascii="Times New Roman"/>
          <w:sz w:val="21"/>
          <w:szCs w:val="21"/>
        </w:rPr>
        <w:t>湖南省池塘</w:t>
      </w:r>
      <w:r>
        <w:rPr>
          <w:rStyle w:val="154"/>
          <w:rFonts w:hint="eastAsia" w:ascii="Times New Roman"/>
          <w:sz w:val="21"/>
          <w:szCs w:val="21"/>
          <w:lang w:eastAsia="zh-CN"/>
        </w:rPr>
        <w:t>双季轮养优质商品草鱼</w:t>
      </w:r>
      <w:r>
        <w:rPr>
          <w:rStyle w:val="154"/>
          <w:rFonts w:ascii="Times New Roman"/>
          <w:sz w:val="21"/>
          <w:szCs w:val="21"/>
        </w:rPr>
        <w:t>。</w:t>
      </w:r>
    </w:p>
    <w:p>
      <w:pPr>
        <w:pStyle w:val="47"/>
        <w:spacing w:before="312" w:after="312"/>
        <w:rPr>
          <w:rFonts w:ascii="Times New Roman"/>
        </w:rPr>
      </w:pPr>
      <w:bookmarkStart w:id="40" w:name="_Toc497857113"/>
      <w:bookmarkStart w:id="41" w:name="_Toc61252793"/>
      <w:bookmarkStart w:id="42" w:name="_Toc61017433"/>
      <w:bookmarkStart w:id="43" w:name="_Toc497857066"/>
      <w:bookmarkStart w:id="44" w:name="_Toc61254405"/>
      <w:bookmarkStart w:id="45" w:name="_Toc61017454"/>
      <w:bookmarkStart w:id="46" w:name="_Toc62215788"/>
      <w:r>
        <w:rPr>
          <w:rFonts w:ascii="Times New Roman"/>
        </w:rPr>
        <w:t>规范性引用文件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24"/>
        <w:rPr>
          <w:rFonts w:ascii="Times New Roman"/>
        </w:rPr>
      </w:pPr>
      <w:r>
        <w:rPr>
          <w:rFonts w:ascii="Times New Roman"/>
        </w:rPr>
        <w:t>下列文件</w:t>
      </w:r>
      <w:r>
        <w:rPr>
          <w:rFonts w:hint="eastAsia" w:ascii="Times New Roman"/>
        </w:rPr>
        <w:t>中的内容通过文中的规范性引用而构成</w:t>
      </w:r>
      <w:r>
        <w:rPr>
          <w:rFonts w:ascii="Times New Roman"/>
        </w:rPr>
        <w:t>本文件必不可少的</w:t>
      </w:r>
      <w:r>
        <w:rPr>
          <w:rFonts w:hint="eastAsia" w:ascii="Times New Roman"/>
        </w:rPr>
        <w:t>条款</w:t>
      </w:r>
      <w:r>
        <w:rPr>
          <w:rFonts w:ascii="Times New Roman"/>
        </w:rPr>
        <w:t>。</w:t>
      </w:r>
      <w:r>
        <w:rPr>
          <w:rFonts w:hint="eastAsia" w:ascii="Times New Roman"/>
        </w:rPr>
        <w:t>其中，</w:t>
      </w:r>
      <w:r>
        <w:rPr>
          <w:rFonts w:ascii="Times New Roman"/>
        </w:rPr>
        <w:t>注日期的引用文件，仅</w:t>
      </w:r>
      <w:r>
        <w:rPr>
          <w:rFonts w:hint="eastAsia" w:ascii="Times New Roman"/>
        </w:rPr>
        <w:t>该</w:t>
      </w:r>
      <w:r>
        <w:rPr>
          <w:rFonts w:ascii="Times New Roman"/>
        </w:rPr>
        <w:t>日期</w:t>
      </w:r>
      <w:r>
        <w:rPr>
          <w:rFonts w:hint="eastAsia" w:ascii="Times New Roman"/>
        </w:rPr>
        <w:t>对应</w:t>
      </w:r>
      <w:r>
        <w:rPr>
          <w:rFonts w:ascii="Times New Roman"/>
        </w:rPr>
        <w:t>的版本适用于本文件</w:t>
      </w:r>
      <w:r>
        <w:rPr>
          <w:rFonts w:hint="eastAsia" w:ascii="Times New Roman"/>
        </w:rPr>
        <w:t>；</w:t>
      </w:r>
      <w:r>
        <w:rPr>
          <w:rFonts w:ascii="Times New Roman"/>
        </w:rPr>
        <w:t>不注日期的引用文件，其最新版本（包括所有的修改单）适用于本文件。</w:t>
      </w:r>
    </w:p>
    <w:p>
      <w:pPr>
        <w:spacing w:line="324" w:lineRule="exact"/>
        <w:ind w:firstLine="420" w:firstLineChars="200"/>
      </w:pPr>
      <w:r>
        <w:t xml:space="preserve">GB </w:t>
      </w:r>
      <w:r>
        <w:rPr>
          <w:rFonts w:hint="eastAsia"/>
        </w:rPr>
        <w:t>3838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地表水环境质量标准</w:t>
      </w:r>
    </w:p>
    <w:p>
      <w:pPr>
        <w:spacing w:line="324" w:lineRule="exact"/>
        <w:ind w:firstLine="420" w:firstLineChars="200"/>
      </w:pPr>
      <w:r>
        <w:t xml:space="preserve">GB 11607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渔业水质标准</w:t>
      </w:r>
    </w:p>
    <w:p>
      <w:pPr>
        <w:spacing w:line="324" w:lineRule="exact"/>
        <w:ind w:firstLine="420" w:firstLineChars="200"/>
      </w:pPr>
      <w:r>
        <w:t>GB 1</w:t>
      </w:r>
      <w:r>
        <w:rPr>
          <w:rFonts w:hint="eastAsia"/>
        </w:rPr>
        <w:t xml:space="preserve">3078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饲料卫生标准</w:t>
      </w:r>
      <w:bookmarkStart w:id="84" w:name="_GoBack"/>
      <w:bookmarkEnd w:id="84"/>
    </w:p>
    <w:p>
      <w:pPr>
        <w:spacing w:line="324" w:lineRule="exact"/>
        <w:ind w:firstLine="420" w:firstLineChars="200"/>
        <w:rPr>
          <w:rFonts w:hint="eastAsia"/>
        </w:rPr>
      </w:pPr>
      <w:r>
        <w:t>GB</w:t>
      </w:r>
      <w:r>
        <w:rPr>
          <w:rFonts w:hint="eastAsia"/>
          <w:lang w:val="en-US" w:eastAsia="zh-CN"/>
        </w:rPr>
        <w:t>/T</w:t>
      </w:r>
      <w:r>
        <w:t xml:space="preserve"> 1</w:t>
      </w:r>
      <w:r>
        <w:rPr>
          <w:rFonts w:hint="eastAsia"/>
          <w:lang w:val="en-US" w:eastAsia="zh-CN"/>
        </w:rPr>
        <w:t>1776  草鱼鱼苗、鱼种</w:t>
      </w:r>
      <w:r>
        <w:rPr>
          <w:rFonts w:hint="eastAsia"/>
        </w:rPr>
        <w:t xml:space="preserve"> </w:t>
      </w:r>
    </w:p>
    <w:p>
      <w:pPr>
        <w:spacing w:line="324" w:lineRule="exact"/>
        <w:ind w:firstLine="420" w:firstLineChars="200"/>
        <w:rPr>
          <w:rFonts w:hint="eastAsia"/>
        </w:rPr>
      </w:pPr>
      <w:r>
        <w:t>GB</w:t>
      </w:r>
      <w:r>
        <w:rPr>
          <w:rFonts w:hint="eastAsia"/>
          <w:lang w:val="en-US" w:eastAsia="zh-CN"/>
        </w:rPr>
        <w:t>/T</w:t>
      </w:r>
      <w:r>
        <w:t xml:space="preserve"> 1</w:t>
      </w:r>
      <w:r>
        <w:rPr>
          <w:rFonts w:hint="eastAsia"/>
          <w:lang w:val="en-US" w:eastAsia="zh-CN"/>
        </w:rPr>
        <w:t>1777  鲢鱼苗、鱼种</w:t>
      </w:r>
      <w:r>
        <w:rPr>
          <w:rFonts w:hint="eastAsia"/>
        </w:rPr>
        <w:t xml:space="preserve"> </w:t>
      </w:r>
    </w:p>
    <w:p>
      <w:pPr>
        <w:spacing w:line="324" w:lineRule="exact"/>
        <w:ind w:firstLine="420" w:firstLineChars="200"/>
      </w:pPr>
      <w:r>
        <w:t>GB</w:t>
      </w:r>
      <w:r>
        <w:rPr>
          <w:rFonts w:hint="eastAsia"/>
          <w:lang w:val="en-US" w:eastAsia="zh-CN"/>
        </w:rPr>
        <w:t>/T</w:t>
      </w:r>
      <w:r>
        <w:t xml:space="preserve"> 1</w:t>
      </w:r>
      <w:r>
        <w:rPr>
          <w:rFonts w:hint="eastAsia"/>
          <w:lang w:val="en-US" w:eastAsia="zh-CN"/>
        </w:rPr>
        <w:t>1778  鳙鱼苗、鱼种</w:t>
      </w:r>
      <w:r>
        <w:rPr>
          <w:rFonts w:hint="eastAsia"/>
        </w:rPr>
        <w:t xml:space="preserve"> </w:t>
      </w:r>
    </w:p>
    <w:p>
      <w:pPr>
        <w:spacing w:line="324" w:lineRule="exact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GB/T 36205  草鱼配合饲料</w:t>
      </w:r>
    </w:p>
    <w:p>
      <w:pPr>
        <w:spacing w:line="324" w:lineRule="exact"/>
        <w:ind w:firstLine="420" w:firstLineChars="200"/>
      </w:pPr>
      <w:r>
        <w:rPr>
          <w:rFonts w:hint="eastAsia"/>
          <w:lang w:val="en-US" w:eastAsia="zh-CN"/>
        </w:rPr>
        <w:t>NY/T 391  绿色食品 产地环境质量</w:t>
      </w:r>
    </w:p>
    <w:p>
      <w:pPr>
        <w:spacing w:line="324" w:lineRule="exact"/>
        <w:ind w:firstLine="420" w:firstLineChars="200"/>
      </w:pPr>
      <w:r>
        <w:rPr>
          <w:rFonts w:hint="eastAsia"/>
        </w:rPr>
        <w:t xml:space="preserve">NY/T 471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绿色食品 饲料及饲料添加剂使用准则</w:t>
      </w:r>
    </w:p>
    <w:p>
      <w:pPr>
        <w:spacing w:line="324" w:lineRule="exact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NY/T 755  绿色食品 渔药使用准则</w:t>
      </w:r>
    </w:p>
    <w:p>
      <w:pPr>
        <w:spacing w:line="324" w:lineRule="exact"/>
        <w:ind w:firstLine="420" w:firstLineChars="200"/>
        <w:rPr>
          <w:rFonts w:hint="eastAsia"/>
        </w:rPr>
      </w:pPr>
      <w:r>
        <w:rPr>
          <w:rFonts w:hint="eastAsia"/>
        </w:rPr>
        <w:t xml:space="preserve">SC/T 1008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池塘常规培育鱼苗鱼种技术规范</w:t>
      </w:r>
    </w:p>
    <w:p>
      <w:pPr>
        <w:spacing w:line="324" w:lineRule="exact"/>
        <w:ind w:firstLine="420" w:firstLineChars="200"/>
      </w:pPr>
      <w:r>
        <w:t>DB43/T 634  畜禽水产养殖档案记录规范</w:t>
      </w:r>
    </w:p>
    <w:p>
      <w:pPr>
        <w:spacing w:line="324" w:lineRule="exact"/>
        <w:ind w:firstLine="420" w:firstLineChars="200"/>
      </w:pPr>
      <w:r>
        <w:t xml:space="preserve">DB43/ 1752 </w:t>
      </w:r>
      <w:r>
        <w:rPr>
          <w:rFonts w:hint="eastAsia"/>
          <w:lang w:val="en-US" w:eastAsia="zh-CN"/>
        </w:rPr>
        <w:t xml:space="preserve"> </w:t>
      </w:r>
      <w:r>
        <w:t>水产养殖尾水污染物排放标准</w:t>
      </w:r>
    </w:p>
    <w:p>
      <w:pPr>
        <w:pStyle w:val="47"/>
        <w:spacing w:before="312" w:after="312"/>
        <w:ind w:left="0"/>
        <w:rPr>
          <w:rFonts w:ascii="Times New Roman"/>
        </w:rPr>
      </w:pPr>
      <w:bookmarkStart w:id="47" w:name="_Toc497857068"/>
      <w:bookmarkEnd w:id="47"/>
      <w:bookmarkStart w:id="48" w:name="_Toc61254406"/>
      <w:bookmarkStart w:id="49" w:name="_Toc61252794"/>
      <w:bookmarkStart w:id="50" w:name="_Toc62215789"/>
      <w:bookmarkStart w:id="51" w:name="_Toc497857117"/>
      <w:bookmarkStart w:id="52" w:name="_Toc497857085"/>
      <w:bookmarkStart w:id="53" w:name="_Toc61017434"/>
      <w:bookmarkStart w:id="54" w:name="_Toc61017455"/>
      <w:r>
        <w:rPr>
          <w:rFonts w:hint="eastAsia" w:ascii="Times New Roman"/>
        </w:rPr>
        <w:t>术语与定义</w:t>
      </w:r>
      <w:bookmarkEnd w:id="48"/>
      <w:bookmarkEnd w:id="49"/>
      <w:bookmarkEnd w:id="50"/>
    </w:p>
    <w:p>
      <w:pPr>
        <w:pStyle w:val="24"/>
      </w:pPr>
      <w:r>
        <w:rPr>
          <w:rStyle w:val="154"/>
          <w:rFonts w:hint="eastAsia"/>
          <w:kern w:val="2"/>
          <w:sz w:val="21"/>
          <w:szCs w:val="21"/>
        </w:rPr>
        <w:t>本文件没有需要界定的术语与定义。</w:t>
      </w:r>
    </w:p>
    <w:p>
      <w:pPr>
        <w:pStyle w:val="47"/>
        <w:spacing w:before="312" w:after="312"/>
        <w:ind w:left="0"/>
        <w:rPr>
          <w:rFonts w:ascii="Times New Roman"/>
        </w:rPr>
      </w:pPr>
      <w:bookmarkStart w:id="55" w:name="_Toc61252795"/>
      <w:bookmarkStart w:id="56" w:name="_Toc62215790"/>
      <w:bookmarkStart w:id="57" w:name="_Toc61254407"/>
      <w:r>
        <w:rPr>
          <w:rFonts w:ascii="Times New Roman"/>
        </w:rPr>
        <w:t>环境</w:t>
      </w:r>
      <w:bookmarkEnd w:id="51"/>
      <w:bookmarkEnd w:id="52"/>
      <w:r>
        <w:rPr>
          <w:rFonts w:ascii="Times New Roman"/>
        </w:rPr>
        <w:t>条件</w:t>
      </w:r>
      <w:bookmarkEnd w:id="53"/>
      <w:bookmarkEnd w:id="54"/>
      <w:bookmarkEnd w:id="55"/>
      <w:bookmarkEnd w:id="56"/>
      <w:bookmarkEnd w:id="57"/>
    </w:p>
    <w:p>
      <w:pPr>
        <w:pStyle w:val="44"/>
        <w:spacing w:before="156" w:after="156"/>
        <w:ind w:left="0"/>
        <w:rPr>
          <w:rFonts w:ascii="Times New Roman"/>
        </w:rPr>
      </w:pPr>
      <w:bookmarkStart w:id="58" w:name="_Toc61017435"/>
      <w:bookmarkStart w:id="59" w:name="_Toc497857086"/>
      <w:r>
        <w:rPr>
          <w:rFonts w:ascii="Times New Roman"/>
        </w:rPr>
        <w:t>周边环境</w:t>
      </w:r>
      <w:bookmarkEnd w:id="58"/>
    </w:p>
    <w:p>
      <w:pPr>
        <w:pStyle w:val="24"/>
        <w:rPr>
          <w:rFonts w:ascii="Times New Roman"/>
        </w:rPr>
      </w:pPr>
      <w:r>
        <w:rPr>
          <w:rFonts w:hint="eastAsia" w:ascii="Times New Roman"/>
        </w:rPr>
        <w:t>周边</w:t>
      </w:r>
      <w:r>
        <w:rPr>
          <w:rFonts w:ascii="Times New Roman"/>
        </w:rPr>
        <w:t>无工</w:t>
      </w:r>
      <w:r>
        <w:rPr>
          <w:rFonts w:hint="eastAsia" w:ascii="Times New Roman"/>
        </w:rPr>
        <w:t>农</w:t>
      </w:r>
      <w:r>
        <w:rPr>
          <w:rFonts w:ascii="Times New Roman"/>
        </w:rPr>
        <w:t>业污染、垃圾堆场、污水排放口</w:t>
      </w:r>
      <w:r>
        <w:rPr>
          <w:rFonts w:hint="eastAsia" w:ascii="Times New Roman"/>
        </w:rPr>
        <w:t>，</w:t>
      </w:r>
      <w:r>
        <w:rPr>
          <w:rFonts w:ascii="Times New Roman"/>
        </w:rPr>
        <w:t>交通便利。</w:t>
      </w:r>
    </w:p>
    <w:p>
      <w:pPr>
        <w:pStyle w:val="44"/>
        <w:spacing w:before="156" w:after="156"/>
        <w:ind w:left="0"/>
        <w:rPr>
          <w:rFonts w:ascii="Times New Roman"/>
        </w:rPr>
      </w:pPr>
      <w:bookmarkStart w:id="60" w:name="_Toc61017436"/>
      <w:r>
        <w:rPr>
          <w:rFonts w:ascii="Times New Roman"/>
        </w:rPr>
        <w:t>水质</w:t>
      </w:r>
      <w:bookmarkEnd w:id="60"/>
    </w:p>
    <w:p>
      <w:pPr>
        <w:pStyle w:val="24"/>
        <w:rPr>
          <w:rFonts w:ascii="Times New Roman"/>
        </w:rPr>
      </w:pPr>
      <w:r>
        <w:rPr>
          <w:rFonts w:ascii="Times New Roman"/>
        </w:rPr>
        <w:t>水源充足，</w:t>
      </w:r>
      <w:r>
        <w:rPr>
          <w:rFonts w:hint="eastAsia" w:ascii="Times New Roman"/>
        </w:rPr>
        <w:t>排灌方便，进、排水分开，水源</w:t>
      </w:r>
      <w:r>
        <w:rPr>
          <w:rFonts w:ascii="Times New Roman"/>
        </w:rPr>
        <w:t>水质符合GB 3838（Ⅲ）和GB</w:t>
      </w:r>
      <w:r>
        <w:rPr>
          <w:rFonts w:hint="eastAsia" w:ascii="Times New Roman"/>
          <w:lang w:val="en-US" w:eastAsia="zh-CN"/>
        </w:rPr>
        <w:t xml:space="preserve"> </w:t>
      </w:r>
      <w:r>
        <w:rPr>
          <w:rFonts w:ascii="Times New Roman"/>
        </w:rPr>
        <w:t>11607的规定</w:t>
      </w:r>
      <w:bookmarkEnd w:id="59"/>
      <w:r>
        <w:rPr>
          <w:rFonts w:hint="eastAsia" w:ascii="Times New Roman"/>
          <w:lang w:eastAsia="zh-CN"/>
        </w:rPr>
        <w:t>。</w:t>
      </w:r>
    </w:p>
    <w:p>
      <w:pPr>
        <w:pStyle w:val="44"/>
        <w:spacing w:before="156" w:after="156"/>
        <w:ind w:left="0"/>
        <w:rPr>
          <w:rFonts w:ascii="Times New Roman"/>
        </w:rPr>
      </w:pPr>
      <w:bookmarkStart w:id="61" w:name="_Toc61017437"/>
      <w:r>
        <w:rPr>
          <w:rFonts w:ascii="Times New Roman"/>
        </w:rPr>
        <w:t>底质</w:t>
      </w:r>
      <w:bookmarkEnd w:id="61"/>
    </w:p>
    <w:p>
      <w:pPr>
        <w:pStyle w:val="24"/>
        <w:rPr>
          <w:rFonts w:ascii="Times New Roman"/>
        </w:rPr>
      </w:pPr>
      <w:r>
        <w:rPr>
          <w:rFonts w:hint="eastAsia" w:ascii="Times New Roman"/>
        </w:rPr>
        <w:t>池塘底质</w:t>
      </w:r>
      <w:r>
        <w:rPr>
          <w:rFonts w:ascii="Times New Roman"/>
        </w:rPr>
        <w:t>符合NY</w:t>
      </w:r>
      <w:r>
        <w:rPr>
          <w:rFonts w:hint="eastAsia" w:ascii="Times New Roman"/>
        </w:rPr>
        <w:t>/T</w:t>
      </w:r>
      <w:r>
        <w:rPr>
          <w:rFonts w:ascii="Times New Roman"/>
        </w:rPr>
        <w:t xml:space="preserve"> </w:t>
      </w:r>
      <w:r>
        <w:rPr>
          <w:rFonts w:hint="eastAsia" w:ascii="Times New Roman"/>
          <w:lang w:val="en-US" w:eastAsia="zh-CN"/>
        </w:rPr>
        <w:t>39</w:t>
      </w:r>
      <w:r>
        <w:rPr>
          <w:rFonts w:ascii="Times New Roman"/>
        </w:rPr>
        <w:t>1的规定。</w:t>
      </w:r>
    </w:p>
    <w:p>
      <w:pPr>
        <w:pStyle w:val="44"/>
        <w:spacing w:before="156" w:after="156"/>
        <w:ind w:left="0"/>
        <w:rPr>
          <w:rFonts w:ascii="Times New Roman"/>
        </w:rPr>
      </w:pPr>
      <w:bookmarkStart w:id="62" w:name="_Toc61017438"/>
      <w:bookmarkStart w:id="63" w:name="_Toc497857087"/>
      <w:r>
        <w:rPr>
          <w:rFonts w:ascii="Times New Roman"/>
        </w:rPr>
        <w:t>池塘</w:t>
      </w:r>
      <w:bookmarkEnd w:id="62"/>
    </w:p>
    <w:p>
      <w:pPr>
        <w:pStyle w:val="24"/>
        <w:rPr>
          <w:rFonts w:cs="宋体"/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池塘以长方形为宜，</w:t>
      </w:r>
      <w:r>
        <w:rPr>
          <w:rFonts w:hint="eastAsia" w:cs="宋体"/>
        </w:rPr>
        <w:t>基本要求见表1。</w:t>
      </w:r>
      <w:bookmarkEnd w:id="63"/>
    </w:p>
    <w:p>
      <w:pPr>
        <w:spacing w:line="320" w:lineRule="exact"/>
        <w:jc w:val="center"/>
        <w:rPr>
          <w:rFonts w:ascii="宋体" w:hAnsi="宋体"/>
        </w:rPr>
      </w:pPr>
      <w:r>
        <w:rPr>
          <w:rFonts w:hint="eastAsia" w:ascii="宋体" w:hAnsi="宋体"/>
        </w:rPr>
        <w:t>表1  鱼池要求</w:t>
      </w:r>
    </w:p>
    <w:tbl>
      <w:tblPr>
        <w:tblStyle w:val="3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1276"/>
        <w:gridCol w:w="1134"/>
        <w:gridCol w:w="1134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79" w:type="dxa"/>
            <w:tcBorders>
              <w:tl2br w:val="single" w:color="auto" w:sz="4" w:space="0"/>
            </w:tcBorders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类别        项目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面积（m</w:t>
            </w:r>
            <w:r>
              <w:rPr>
                <w:rFonts w:ascii="Times New Roman" w:hAnsi="Times New Roman" w:cs="Times New Roman"/>
                <w:kern w:val="0"/>
                <w:szCs w:val="20"/>
                <w:vertAlign w:val="superscript"/>
              </w:rPr>
              <w:t>2</w:t>
            </w:r>
            <w:r>
              <w:rPr>
                <w:rFonts w:hAnsi="宋体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池深（m）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水深（m）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淤泥厚度（cm）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79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鱼苗池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600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2000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1.2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0.6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1.2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不超过20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2079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鱼种池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1000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3000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1.5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1.8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1.2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不超过20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079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int="eastAsia" w:hAnsi="宋体" w:cs="宋体"/>
                <w:kern w:val="0"/>
                <w:sz w:val="18"/>
                <w:szCs w:val="18"/>
              </w:rPr>
              <w:t>成</w:t>
            </w:r>
            <w:r>
              <w:rPr>
                <w:rFonts w:hAnsi="宋体" w:cs="宋体"/>
                <w:kern w:val="0"/>
                <w:sz w:val="18"/>
                <w:szCs w:val="18"/>
              </w:rPr>
              <w:t>鱼池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2000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13000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2.0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1134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1.8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eastAsia="zh-CN"/>
              </w:rPr>
              <w:t>~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不超过20</w:t>
            </w:r>
          </w:p>
        </w:tc>
      </w:tr>
    </w:tbl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bookmarkStart w:id="64" w:name="_Toc61017439"/>
      <w:bookmarkStart w:id="65" w:name="_Toc497857088"/>
      <w:r>
        <w:rPr>
          <w:rFonts w:hint="eastAsia" w:ascii="Times New Roman"/>
          <w:lang w:val="en-US" w:eastAsia="zh-CN"/>
        </w:rPr>
        <w:t>配套</w:t>
      </w:r>
      <w:r>
        <w:rPr>
          <w:rFonts w:hint="default" w:ascii="Times New Roman"/>
          <w:lang w:val="en-US" w:eastAsia="zh-CN"/>
        </w:rPr>
        <w:t>养鱼设施设备</w:t>
      </w:r>
    </w:p>
    <w:p>
      <w:pPr>
        <w:pStyle w:val="48"/>
        <w:spacing w:before="156" w:after="156"/>
        <w:ind w:left="0"/>
      </w:pPr>
      <w:r>
        <w:rPr>
          <w:rFonts w:hint="eastAsia"/>
          <w:lang w:eastAsia="zh-CN"/>
        </w:rPr>
        <w:t>生产电源</w:t>
      </w:r>
    </w:p>
    <w:p>
      <w:pPr>
        <w:pStyle w:val="24"/>
        <w:rPr>
          <w:rFonts w:hint="default" w:ascii="Times New Roman"/>
          <w:lang w:val="en-US" w:eastAsia="zh-CN"/>
        </w:rPr>
      </w:pPr>
      <w:r>
        <w:rPr>
          <w:rFonts w:hint="default" w:ascii="Times New Roman"/>
          <w:lang w:val="en-US" w:eastAsia="zh-CN"/>
        </w:rPr>
        <w:t>配有双电源，在安装三相四线电源时，应根据池塘面积</w:t>
      </w:r>
      <w:r>
        <w:rPr>
          <w:rFonts w:hint="eastAsia" w:ascii="Times New Roman"/>
          <w:lang w:val="en-US" w:eastAsia="zh-CN"/>
        </w:rPr>
        <w:t>与</w:t>
      </w:r>
      <w:r>
        <w:rPr>
          <w:rFonts w:hint="default" w:ascii="Times New Roman"/>
          <w:lang w:val="en-US" w:eastAsia="zh-CN"/>
        </w:rPr>
        <w:t>增氧机功率大小，配套匹配的柴油发电机组，确保生产用电需要。</w:t>
      </w:r>
    </w:p>
    <w:p>
      <w:pPr>
        <w:pStyle w:val="48"/>
        <w:spacing w:before="156" w:after="156"/>
        <w:ind w:left="0"/>
      </w:pPr>
      <w:r>
        <w:rPr>
          <w:rFonts w:hint="eastAsia"/>
          <w:lang w:eastAsia="zh-CN"/>
        </w:rPr>
        <w:t>增氧设施</w:t>
      </w:r>
    </w:p>
    <w:p>
      <w:pPr>
        <w:pStyle w:val="24"/>
        <w:rPr>
          <w:rFonts w:hint="default" w:ascii="Times New Roman"/>
          <w:lang w:val="en-US" w:eastAsia="zh-CN"/>
        </w:rPr>
      </w:pPr>
      <w:r>
        <w:rPr>
          <w:rFonts w:hint="default" w:ascii="Times New Roman"/>
          <w:lang w:val="en-US" w:eastAsia="zh-CN"/>
        </w:rPr>
        <w:t>配套安装水面波浪式增氧机与底部纳米增氧盘，采取上下均衡增氧方式解决缺氧问题。水面增氧机功率与数量：每5</w:t>
      </w:r>
      <w:r>
        <w:rPr>
          <w:rFonts w:hint="eastAsia" w:ascii="Times New Roman"/>
          <w:lang w:val="en-US" w:eastAsia="zh-CN"/>
        </w:rPr>
        <w:t>~</w:t>
      </w:r>
      <w:r>
        <w:rPr>
          <w:rFonts w:hint="default" w:ascii="Times New Roman"/>
          <w:lang w:val="en-US" w:eastAsia="zh-CN"/>
        </w:rPr>
        <w:t>6亩水面安装1台3</w:t>
      </w:r>
      <w:r>
        <w:rPr>
          <w:rFonts w:hint="eastAsia" w:ascii="Times New Roman"/>
          <w:lang w:val="en-US" w:eastAsia="zh-CN"/>
        </w:rPr>
        <w:t xml:space="preserve"> KW</w:t>
      </w:r>
      <w:r>
        <w:rPr>
          <w:rFonts w:hint="default" w:ascii="Times New Roman"/>
          <w:lang w:val="en-US" w:eastAsia="zh-CN"/>
        </w:rPr>
        <w:t>的波浪式增氧机，每20</w:t>
      </w:r>
      <w:r>
        <w:rPr>
          <w:rFonts w:hint="eastAsia" w:ascii="Times New Roman"/>
          <w:lang w:val="en-US" w:eastAsia="zh-CN"/>
        </w:rPr>
        <w:t>~</w:t>
      </w:r>
      <w:r>
        <w:rPr>
          <w:rFonts w:hint="default" w:ascii="Times New Roman"/>
          <w:lang w:val="en-US" w:eastAsia="zh-CN"/>
        </w:rPr>
        <w:t>40亩水面安装1台3千瓦的螺旋式高压鼓风机，匹配充氧管连接充氧盘。按照前后、左右间隔10</w:t>
      </w:r>
      <w:r>
        <w:rPr>
          <w:rFonts w:hint="eastAsia" w:ascii="Times New Roman"/>
          <w:lang w:val="en-US" w:eastAsia="zh-CN"/>
        </w:rPr>
        <w:t xml:space="preserve"> m</w:t>
      </w:r>
      <w:r>
        <w:rPr>
          <w:rFonts w:hint="default" w:ascii="Times New Roman"/>
          <w:lang w:val="en-US" w:eastAsia="zh-CN"/>
        </w:rPr>
        <w:t>安装1个直径0.8</w:t>
      </w:r>
      <w:r>
        <w:rPr>
          <w:rFonts w:hint="eastAsia" w:ascii="Times New Roman"/>
          <w:lang w:val="en-US" w:eastAsia="zh-CN"/>
        </w:rPr>
        <w:t xml:space="preserve"> m</w:t>
      </w:r>
      <w:r>
        <w:rPr>
          <w:rFonts w:hint="default" w:ascii="Times New Roman"/>
          <w:lang w:val="en-US" w:eastAsia="zh-CN"/>
        </w:rPr>
        <w:t>的专用充氧盘，做到无死角充氧。</w:t>
      </w:r>
    </w:p>
    <w:p>
      <w:pPr>
        <w:pStyle w:val="48"/>
        <w:spacing w:before="156" w:after="156"/>
        <w:ind w:left="0"/>
      </w:pPr>
      <w:r>
        <w:rPr>
          <w:rFonts w:hint="eastAsia"/>
          <w:lang w:eastAsia="zh-CN"/>
        </w:rPr>
        <w:t>水质检测设施</w:t>
      </w:r>
    </w:p>
    <w:p>
      <w:pPr>
        <w:pStyle w:val="24"/>
        <w:rPr>
          <w:rFonts w:hint="default" w:ascii="Times New Roman"/>
          <w:lang w:val="en-US" w:eastAsia="zh-CN"/>
        </w:rPr>
      </w:pPr>
      <w:r>
        <w:rPr>
          <w:rFonts w:hint="default" w:ascii="Times New Roman"/>
          <w:lang w:val="en-US" w:eastAsia="zh-CN"/>
        </w:rPr>
        <w:t>配备1台自动测氧、</w:t>
      </w:r>
      <w:r>
        <w:rPr>
          <w:rFonts w:hint="eastAsia" w:ascii="Times New Roman"/>
          <w:lang w:val="en-US" w:eastAsia="zh-CN"/>
        </w:rPr>
        <w:t>p</w:t>
      </w:r>
      <w:r>
        <w:rPr>
          <w:rFonts w:hint="default" w:ascii="Times New Roman"/>
          <w:lang w:val="en-US" w:eastAsia="zh-CN"/>
        </w:rPr>
        <w:t>H值、氨氮、亚盐等指标的检测仪。</w:t>
      </w:r>
    </w:p>
    <w:p>
      <w:pPr>
        <w:pStyle w:val="48"/>
        <w:spacing w:before="156" w:after="156"/>
        <w:ind w:left="0"/>
      </w:pPr>
      <w:r>
        <w:rPr>
          <w:rFonts w:hint="eastAsia"/>
          <w:lang w:eastAsia="zh-CN"/>
        </w:rPr>
        <w:t>鱼种池</w:t>
      </w:r>
    </w:p>
    <w:p>
      <w:pPr>
        <w:pStyle w:val="24"/>
        <w:rPr>
          <w:rFonts w:hint="default" w:ascii="Times New Roman"/>
          <w:lang w:val="en-US" w:eastAsia="zh-CN"/>
        </w:rPr>
      </w:pPr>
      <w:r>
        <w:rPr>
          <w:rFonts w:hint="default" w:ascii="Times New Roman"/>
          <w:lang w:val="en-US" w:eastAsia="zh-CN"/>
        </w:rPr>
        <w:t>按照每10亩成品鱼养殖池塘配套1.5亩鱼种池，解决鱼种自给问题。</w:t>
      </w:r>
    </w:p>
    <w:p>
      <w:pPr>
        <w:pStyle w:val="48"/>
        <w:spacing w:before="156" w:after="156"/>
        <w:ind w:left="0"/>
      </w:pPr>
      <w:r>
        <w:rPr>
          <w:rFonts w:hint="eastAsia"/>
          <w:lang w:eastAsia="zh-CN"/>
        </w:rPr>
        <w:t>智能监测设备</w:t>
      </w:r>
    </w:p>
    <w:p>
      <w:pPr>
        <w:pStyle w:val="24"/>
        <w:rPr>
          <w:rFonts w:hint="default" w:ascii="Times New Roman"/>
          <w:lang w:val="en-US" w:eastAsia="zh-CN"/>
        </w:rPr>
      </w:pPr>
      <w:r>
        <w:rPr>
          <w:rFonts w:hint="default" w:ascii="Times New Roman"/>
          <w:lang w:val="en-US" w:eastAsia="zh-CN"/>
        </w:rPr>
        <w:t>配套安装1台与手机联网自动监控和开机增氧全频可控的跟踪设备。</w:t>
      </w:r>
    </w:p>
    <w:p>
      <w:pPr>
        <w:pStyle w:val="48"/>
        <w:spacing w:before="156" w:after="156"/>
        <w:ind w:left="0"/>
      </w:pPr>
      <w:r>
        <w:rPr>
          <w:rFonts w:hint="eastAsia"/>
          <w:lang w:eastAsia="zh-CN"/>
        </w:rPr>
        <w:t>尾水处理设施</w:t>
      </w:r>
    </w:p>
    <w:bookmarkEnd w:id="64"/>
    <w:p>
      <w:pPr>
        <w:pStyle w:val="24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养殖场</w:t>
      </w:r>
      <w:r>
        <w:rPr>
          <w:rFonts w:hint="default" w:ascii="Times New Roman"/>
          <w:lang w:val="en-US" w:eastAsia="zh-CN"/>
        </w:rPr>
        <w:t>应配套建设</w:t>
      </w:r>
      <w:r>
        <w:rPr>
          <w:rFonts w:hint="eastAsia" w:ascii="Times New Roman"/>
          <w:lang w:val="en-US" w:eastAsia="zh-CN"/>
        </w:rPr>
        <w:t>人工湿地、高效过滤池等</w:t>
      </w:r>
      <w:r>
        <w:rPr>
          <w:rFonts w:hint="default" w:ascii="Times New Roman"/>
          <w:lang w:val="en-US" w:eastAsia="zh-CN"/>
        </w:rPr>
        <w:t>尾水处理设施。</w:t>
      </w:r>
      <w:bookmarkEnd w:id="65"/>
    </w:p>
    <w:p>
      <w:pPr>
        <w:pStyle w:val="47"/>
        <w:spacing w:before="312" w:after="312"/>
        <w:ind w:left="0"/>
        <w:rPr>
          <w:rFonts w:ascii="Times New Roman"/>
        </w:rPr>
      </w:pPr>
      <w:bookmarkStart w:id="66" w:name="_Toc61017445"/>
      <w:bookmarkStart w:id="67" w:name="_Toc346024659"/>
      <w:bookmarkStart w:id="68" w:name="_Toc61017459"/>
      <w:r>
        <w:rPr>
          <w:rFonts w:hint="eastAsia" w:ascii="Times New Roman"/>
          <w:lang w:eastAsia="zh-CN"/>
        </w:rPr>
        <w:t>鱼种放养</w:t>
      </w:r>
    </w:p>
    <w:bookmarkEnd w:id="66"/>
    <w:bookmarkEnd w:id="67"/>
    <w:bookmarkEnd w:id="68"/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鱼种质量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鱼种来源于持有苗种生产许可证的省级水产良种场，符合GB/T 11776、GB/T 11777、GB/T 11778规定要求。鱼种规格整齐，游动活泼，体质健壮，无病，无伤。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放养时间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头季放养应在1月30号前投放250 g/尾以上抗病草鱼鱼种，均采取一次放足。第二季放养在6月20日至7月10日之前，放养规格为体长为10~12厘米、体重为50 g/尾当年草鱼鱼种。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鱼种消毒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选用（5~10）mg/L聚维酮碘（含有效碘10%）溶液浸浴（10~20）min。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放养密度</w:t>
      </w:r>
    </w:p>
    <w:p>
      <w:pPr>
        <w:pStyle w:val="24"/>
        <w:rPr>
          <w:rFonts w:hint="eastAsia" w:ascii="Times New Roman"/>
        </w:rPr>
      </w:pPr>
      <w:r>
        <w:rPr>
          <w:rFonts w:hint="eastAsia" w:ascii="Times New Roman"/>
          <w:lang w:val="en-US" w:eastAsia="zh-CN"/>
        </w:rPr>
        <w:t>第一茬</w:t>
      </w:r>
      <w:r>
        <w:rPr>
          <w:rFonts w:hint="eastAsia" w:ascii="Times New Roman"/>
          <w:lang w:eastAsia="zh-CN"/>
        </w:rPr>
        <w:t>放养，</w:t>
      </w:r>
      <w:r>
        <w:rPr>
          <w:rFonts w:hint="eastAsia" w:ascii="Times New Roman"/>
        </w:rPr>
        <w:t>每667m</w:t>
      </w:r>
      <w:r>
        <w:rPr>
          <w:rFonts w:hint="eastAsia" w:ascii="Times New Roman"/>
          <w:sz w:val="21"/>
          <w:vertAlign w:val="superscript"/>
        </w:rPr>
        <w:t>2</w:t>
      </w:r>
      <w:r>
        <w:rPr>
          <w:rFonts w:hint="eastAsia" w:ascii="Times New Roman"/>
        </w:rPr>
        <w:t>放养规格</w:t>
      </w:r>
      <w:r>
        <w:rPr>
          <w:rFonts w:hint="eastAsia" w:ascii="Times New Roman"/>
          <w:lang w:val="en-US" w:eastAsia="zh-CN"/>
        </w:rPr>
        <w:t>2</w:t>
      </w:r>
      <w:r>
        <w:rPr>
          <w:rFonts w:hint="eastAsia" w:ascii="Times New Roman"/>
        </w:rPr>
        <w:t>50g/尾以上</w:t>
      </w:r>
      <w:r>
        <w:rPr>
          <w:rFonts w:hint="eastAsia" w:ascii="Times New Roman"/>
          <w:lang w:eastAsia="zh-CN"/>
        </w:rPr>
        <w:t>草鱼</w:t>
      </w:r>
      <w:r>
        <w:rPr>
          <w:rFonts w:hint="eastAsia" w:ascii="Times New Roman"/>
        </w:rPr>
        <w:t>鱼种（2000~2500）尾，搭配规格（200~250）g/尾的鲢鱼种（30~40）尾，鳙鱼种（20~30）尾。</w:t>
      </w:r>
      <w:r>
        <w:rPr>
          <w:rFonts w:hint="eastAsia" w:ascii="Times New Roman"/>
          <w:lang w:eastAsia="zh-CN"/>
        </w:rPr>
        <w:t>第二</w:t>
      </w:r>
      <w:r>
        <w:rPr>
          <w:rFonts w:hint="eastAsia" w:ascii="Times New Roman"/>
          <w:lang w:val="en-US" w:eastAsia="zh-CN"/>
        </w:rPr>
        <w:t>茬</w:t>
      </w:r>
      <w:r>
        <w:rPr>
          <w:rFonts w:hint="eastAsia" w:ascii="Times New Roman"/>
          <w:lang w:eastAsia="zh-CN"/>
        </w:rPr>
        <w:t>放养</w:t>
      </w:r>
      <w:r>
        <w:rPr>
          <w:rFonts w:hint="eastAsia" w:ascii="Times New Roman"/>
        </w:rPr>
        <w:t>每667m</w:t>
      </w:r>
      <w:r>
        <w:rPr>
          <w:rFonts w:hint="eastAsia" w:ascii="Times New Roman"/>
          <w:sz w:val="21"/>
          <w:vertAlign w:val="superscript"/>
        </w:rPr>
        <w:t>2</w:t>
      </w:r>
      <w:r>
        <w:rPr>
          <w:rFonts w:hint="eastAsia" w:ascii="Times New Roman"/>
        </w:rPr>
        <w:t>投放</w:t>
      </w:r>
      <w:r>
        <w:rPr>
          <w:rFonts w:hint="eastAsia" w:ascii="Times New Roman"/>
          <w:lang w:eastAsia="zh-CN"/>
        </w:rPr>
        <w:t>体长为</w:t>
      </w:r>
      <w:r>
        <w:rPr>
          <w:rFonts w:hint="eastAsia" w:ascii="Times New Roman"/>
          <w:lang w:val="en-US" w:eastAsia="zh-CN"/>
        </w:rPr>
        <w:t>10~12厘米、体重为50</w:t>
      </w:r>
      <w:r>
        <w:rPr>
          <w:rFonts w:hint="eastAsia" w:ascii="Times New Roman"/>
        </w:rPr>
        <w:t>g/尾当年</w:t>
      </w:r>
      <w:r>
        <w:rPr>
          <w:rFonts w:hint="eastAsia" w:ascii="Times New Roman"/>
          <w:lang w:eastAsia="zh-CN"/>
        </w:rPr>
        <w:t>抗病鱼草鱼</w:t>
      </w:r>
      <w:r>
        <w:rPr>
          <w:rFonts w:hint="eastAsia" w:ascii="Times New Roman"/>
        </w:rPr>
        <w:t>鱼种</w:t>
      </w:r>
      <w:r>
        <w:rPr>
          <w:rFonts w:hint="eastAsia" w:ascii="Times New Roman"/>
          <w:lang w:val="en-US" w:eastAsia="zh-CN"/>
        </w:rPr>
        <w:t>3000</w:t>
      </w:r>
      <w:r>
        <w:rPr>
          <w:rFonts w:hint="eastAsia" w:ascii="Times New Roman"/>
        </w:rPr>
        <w:t>尾，搭配规格（50）g/尾的鲢鱼种（30~40）尾，鳙鱼种（15~</w:t>
      </w:r>
      <w:r>
        <w:rPr>
          <w:rFonts w:hint="eastAsia" w:ascii="Times New Roman"/>
          <w:lang w:eastAsia="zh-CN"/>
        </w:rPr>
        <w:t>~</w:t>
      </w:r>
      <w:r>
        <w:rPr>
          <w:rFonts w:hint="eastAsia" w:ascii="Times New Roman"/>
        </w:rPr>
        <w:t>30）尾。</w:t>
      </w:r>
    </w:p>
    <w:p>
      <w:pPr>
        <w:pStyle w:val="47"/>
        <w:spacing w:before="312" w:after="312"/>
        <w:ind w:left="0"/>
        <w:rPr>
          <w:rFonts w:ascii="Times New Roman"/>
        </w:rPr>
      </w:pPr>
      <w:r>
        <w:rPr>
          <w:rFonts w:hint="eastAsia" w:ascii="Times New Roman"/>
          <w:lang w:eastAsia="zh-CN"/>
        </w:rPr>
        <w:t>饲料及投喂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饲料要求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选择粗蛋白含量为32%~35%左右的混养鱼膨化配合饲料，质量应符合GB/T 36205和NY/T471的规定，安全限量应符合GB 13078的规定。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投喂量及投喂方法</w:t>
      </w:r>
    </w:p>
    <w:p>
      <w:pPr>
        <w:pStyle w:val="24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1~3月：日投饵总量控制在1%~1.5%为宜；4~5月：日投饵2次，即上午8~9点投饵1次，下午4~5点投饵1次，日投饵总量控制在4%~5%左右；6~10月：日投饵2次，上午8~9点改为早上6:30~7:00，下午3:30~4:00投饵。驯食、投喂量及投喂方法按照SC/T 1024的规定执行。</w:t>
      </w:r>
    </w:p>
    <w:p>
      <w:pPr>
        <w:pStyle w:val="47"/>
        <w:spacing w:before="312" w:after="312"/>
        <w:ind w:left="0"/>
        <w:rPr>
          <w:rFonts w:ascii="Times New Roman"/>
        </w:rPr>
      </w:pPr>
      <w:r>
        <w:rPr>
          <w:rFonts w:hint="eastAsia" w:ascii="Times New Roman"/>
          <w:lang w:eastAsia="zh-CN"/>
        </w:rPr>
        <w:t>日常管理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水质调控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适时注水，每次注水（5~10）cm，每隔10 d左右交替使用生石灰和微生态制剂调控水质，生石灰用量为（20~25）g/m³，微生态制剂按说明书使用。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巡塘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坚持早晚巡塘，观察水质及鱼类摄食生长与活动情况；及时启动增氧设备。</w:t>
      </w:r>
    </w:p>
    <w:p>
      <w:pPr>
        <w:pStyle w:val="47"/>
        <w:spacing w:before="312" w:after="312"/>
        <w:ind w:left="0"/>
        <w:rPr>
          <w:rFonts w:ascii="Times New Roman"/>
        </w:rPr>
      </w:pPr>
      <w:bookmarkStart w:id="69" w:name="_Toc62215794"/>
      <w:bookmarkStart w:id="70" w:name="_Toc61254411"/>
      <w:bookmarkStart w:id="71" w:name="_Toc61017449"/>
      <w:bookmarkStart w:id="72" w:name="_Toc61017463"/>
      <w:bookmarkStart w:id="73" w:name="_Toc61252799"/>
      <w:r>
        <w:rPr>
          <w:rFonts w:hint="eastAsia" w:ascii="Times New Roman"/>
          <w:lang w:eastAsia="zh-CN"/>
        </w:rPr>
        <w:t>鱼病防治</w:t>
      </w:r>
    </w:p>
    <w:bookmarkEnd w:id="69"/>
    <w:bookmarkEnd w:id="70"/>
    <w:bookmarkEnd w:id="71"/>
    <w:bookmarkEnd w:id="72"/>
    <w:bookmarkEnd w:id="73"/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鱼病预防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鱼病防治以预防为主，一般措施为：鱼苗、鱼种入塘前，严格进行消毒；鱼苗、鱼种下塘半月后，每立方米使用（1~2）g漂白粉(28％有效氯)泼洒一次；高温季节，饲料中按每千克鱼体重每日拌入5 g大蒜头或0.47 g大蒜素，连续6 d，同时加入适量食盐；死鱼应及时捞出，埋入土中；病鱼池中使用过的工具要浸洗消毒，病鱼池水未经消毒不得任意排放。鱼种放养前，彻底清塘消毒；鱼种入塘前应检疫和消毒。养殖过程中交替使用生石灰和微生态制剂。</w:t>
      </w:r>
    </w:p>
    <w:p>
      <w:pPr>
        <w:pStyle w:val="44"/>
        <w:spacing w:before="156" w:after="156"/>
        <w:ind w:left="0"/>
        <w:rPr>
          <w:rFonts w:hint="default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鱼病治疗</w:t>
      </w:r>
    </w:p>
    <w:p>
      <w:pPr>
        <w:pStyle w:val="24"/>
        <w:rPr>
          <w:rFonts w:hint="eastAsia" w:ascii="Times New Roman"/>
          <w:lang w:val="en-US" w:eastAsia="zh-CN"/>
        </w:rPr>
      </w:pPr>
      <w:r>
        <w:rPr>
          <w:rFonts w:hint="eastAsia" w:ascii="Times New Roman"/>
          <w:lang w:val="en-US" w:eastAsia="zh-CN"/>
        </w:rPr>
        <w:t>草鱼常见病诊断及治疗按GB 11776规定执行。鱼药使用和休药期按 NY/T 755的规定执行。</w:t>
      </w:r>
    </w:p>
    <w:p>
      <w:pPr>
        <w:pStyle w:val="47"/>
        <w:spacing w:before="312" w:after="312"/>
        <w:ind w:left="0"/>
        <w:rPr>
          <w:rFonts w:ascii="Times New Roman"/>
        </w:rPr>
      </w:pPr>
      <w:bookmarkStart w:id="74" w:name="_Toc61017450"/>
      <w:bookmarkStart w:id="75" w:name="_Toc61017464"/>
      <w:bookmarkStart w:id="76" w:name="_Toc61252800"/>
      <w:bookmarkStart w:id="77" w:name="_Toc62215795"/>
      <w:bookmarkStart w:id="78" w:name="_Toc61254412"/>
      <w:r>
        <w:rPr>
          <w:rFonts w:hint="eastAsia" w:ascii="Times New Roman"/>
          <w:lang w:eastAsia="zh-CN"/>
        </w:rPr>
        <w:t>尾水排放</w:t>
      </w:r>
    </w:p>
    <w:bookmarkEnd w:id="74"/>
    <w:bookmarkEnd w:id="75"/>
    <w:bookmarkEnd w:id="76"/>
    <w:bookmarkEnd w:id="77"/>
    <w:bookmarkEnd w:id="78"/>
    <w:p>
      <w:pPr>
        <w:pStyle w:val="24"/>
        <w:rPr>
          <w:rFonts w:ascii="Times New Roman"/>
        </w:rPr>
      </w:pPr>
      <w:r>
        <w:rPr>
          <w:rFonts w:hint="eastAsia" w:ascii="Times New Roman"/>
        </w:rPr>
        <w:t>池塘</w:t>
      </w:r>
      <w:r>
        <w:rPr>
          <w:rFonts w:ascii="Times New Roman"/>
        </w:rPr>
        <w:t>养殖尾水应经尾水处理设施处理</w:t>
      </w:r>
      <w:r>
        <w:rPr>
          <w:rFonts w:hint="eastAsia" w:ascii="Times New Roman"/>
        </w:rPr>
        <w:t>，</w:t>
      </w:r>
      <w:r>
        <w:rPr>
          <w:rFonts w:ascii="Times New Roman"/>
        </w:rPr>
        <w:t>符合DB43/ 1752的要求</w:t>
      </w:r>
      <w:r>
        <w:rPr>
          <w:rFonts w:hint="eastAsia" w:ascii="Times New Roman"/>
        </w:rPr>
        <w:t>后</w:t>
      </w:r>
      <w:r>
        <w:rPr>
          <w:rFonts w:ascii="Times New Roman"/>
        </w:rPr>
        <w:t>排</w:t>
      </w:r>
      <w:r>
        <w:rPr>
          <w:rFonts w:hint="eastAsia" w:ascii="Times New Roman"/>
        </w:rPr>
        <w:t>放</w:t>
      </w:r>
      <w:r>
        <w:rPr>
          <w:rFonts w:ascii="Times New Roman"/>
        </w:rPr>
        <w:t>或循环利用。</w:t>
      </w:r>
    </w:p>
    <w:p>
      <w:pPr>
        <w:pStyle w:val="47"/>
        <w:spacing w:before="312" w:after="312"/>
        <w:ind w:left="0"/>
        <w:rPr>
          <w:rFonts w:ascii="Times New Roman"/>
        </w:rPr>
      </w:pPr>
      <w:bookmarkStart w:id="79" w:name="_Toc61254413"/>
      <w:bookmarkStart w:id="80" w:name="_Toc61017451"/>
      <w:bookmarkStart w:id="81" w:name="_Toc61017465"/>
      <w:bookmarkStart w:id="82" w:name="_Toc61252801"/>
      <w:bookmarkStart w:id="83" w:name="_Toc62215796"/>
      <w:r>
        <w:rPr>
          <w:rFonts w:hint="eastAsia" w:ascii="Times New Roman"/>
          <w:lang w:eastAsia="zh-CN"/>
        </w:rPr>
        <w:t>养殖记录</w:t>
      </w:r>
    </w:p>
    <w:bookmarkEnd w:id="79"/>
    <w:bookmarkEnd w:id="80"/>
    <w:bookmarkEnd w:id="81"/>
    <w:bookmarkEnd w:id="82"/>
    <w:bookmarkEnd w:id="83"/>
    <w:p>
      <w:pPr>
        <w:pStyle w:val="24"/>
        <w:rPr>
          <w:rFonts w:hint="eastAsia" w:ascii="Times New Roman"/>
        </w:rPr>
      </w:pPr>
      <w:r>
        <w:rPr>
          <w:rFonts w:hint="eastAsia" w:ascii="Times New Roman"/>
        </w:rPr>
        <w:t>按DB43/T 634的规定执行。</w:t>
      </w:r>
    </w:p>
    <w:p>
      <w:pPr>
        <w:pStyle w:val="131"/>
        <w:framePr w:wrap="around" w:vAnchor="text" w:hAnchor="page" w:x="4438"/>
      </w:pPr>
      <w:r>
        <w:t>_________________________________</w:t>
      </w:r>
    </w:p>
    <w:p>
      <w:pPr>
        <w:rPr>
          <w:rFonts w:hint="eastAsia" w:ascii="Times New Roman"/>
          <w:lang w:eastAsia="zh-CN"/>
        </w:rPr>
      </w:pPr>
      <w:r>
        <w:rPr>
          <w:rFonts w:hint="eastAsia" w:ascii="Times New Roman"/>
          <w:lang w:eastAsia="zh-CN"/>
        </w:rPr>
        <w:br w:type="page"/>
      </w:r>
    </w:p>
    <w:p>
      <w:pPr>
        <w:pStyle w:val="13"/>
        <w:spacing w:line="360" w:lineRule="auto"/>
        <w:rPr>
          <w:rFonts w:ascii="Times New Roman"/>
        </w:rPr>
      </w:pPr>
      <w:r>
        <w:rPr>
          <w:rFonts w:hint="eastAsia" w:ascii="Times New Roman"/>
          <w:lang w:eastAsia="zh-CN"/>
        </w:rPr>
        <w:t>附录</w:t>
      </w:r>
      <w:r>
        <w:rPr>
          <w:rFonts w:hint="eastAsia" w:ascii="Times New Roman"/>
          <w:lang w:val="en-US" w:eastAsia="zh-CN"/>
        </w:rPr>
        <w:t>1：</w:t>
      </w:r>
      <w:r>
        <w:rPr>
          <w:rFonts w:hint="eastAsia" w:ascii="Times New Roman"/>
        </w:rPr>
        <w:t>主要鱼病防治</w:t>
      </w:r>
    </w:p>
    <w:tbl>
      <w:tblPr>
        <w:tblStyle w:val="33"/>
        <w:tblW w:w="0" w:type="auto"/>
        <w:tblInd w:w="-3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246"/>
        <w:gridCol w:w="945"/>
        <w:gridCol w:w="2835"/>
        <w:gridCol w:w="3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病名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主要受</w:t>
            </w:r>
          </w:p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害鱼类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主要发病季节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主要症状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防治方法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出血病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当年及二龄草青鱼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4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/>
                <w:sz w:val="21"/>
                <w:szCs w:val="21"/>
              </w:rPr>
              <w:t>10月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</w:rPr>
              <w:t>①红鳍红鳃盖型，鳍条基部，鳃盖，下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颚</w:t>
            </w:r>
            <w:r>
              <w:rPr>
                <w:rFonts w:hint="eastAsia" w:ascii="Times New Roman"/>
                <w:sz w:val="21"/>
                <w:szCs w:val="21"/>
              </w:rPr>
              <w:t>等充血；②红肌肉型，肌肉点，块状甚至全部充血发红；③肠炎型，肠道部分或全部充血发红或紫红，肠管有弹性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0"/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/>
                <w:sz w:val="21"/>
                <w:szCs w:val="21"/>
              </w:rPr>
              <w:t>①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预防：采用对草鱼种注射</w:t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草鱼免疫疫苗；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0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②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治疗：</w:t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全池泼洒“聚维酮碘溶液”(水质过肥时应先使用一次强氧化制剂改良水质)1～2次，同时内服“氟苯尼考”及“复合多维制剂”5～7天，病情稳定后选用“EM菌”“乳酸菌”等改良水质与底质，以防水质恶化使病情反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细菌性烂鳃病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草、青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4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/>
                <w:sz w:val="21"/>
                <w:szCs w:val="21"/>
              </w:rPr>
              <w:t>10月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鳃丝腐烂发白，尖端软骨外露，常带黄色粘液及污泥，鳃盖骨半透明，俗称“开天窗”，经常与赤皮病、肠炎病并发。草鱼较严重。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0"/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①镜检鳃上无寄生虫时按本法治疗。首先全池泼洒外用</w:t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instrText xml:space="preserve"> HYPERLINK "https://www.cnhnb.com/p/sjj/" \t "https://www.cnhnb.com/xt/_blank" </w:instrText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杀菌剂</w:t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“二氧化氯”“高锰酸钾”等，第二天选用“苯扎溴铵”或“戊二醛”全池泼洒，并同时内服“恩诺沙星＋维生素K 3 粉”一个疗程。</w:t>
            </w:r>
          </w:p>
          <w:p>
            <w:pPr>
              <w:pStyle w:val="3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0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② 镜检鳃上有寄生虫时按本法治疗。首先使用外用杀虫剂如“辛硫磷”或“氯氰菊酯”，鳃上感染杯体虫时选用“硫酸锌粉”，然后再按细菌性疾病防治方法防治。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赤皮病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草、青鱼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终年可见5－9月严重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鱼体两侧及腹部表皮发炎显红色，鳞片脱落，鳍条腐烂，常与烂鳃病，肠炎病并发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①全池泼洒“二氧化氯”“苯扎溴铵”“溴氯海因”“强氯精”等外用杀菌剂，然后内服“维生素K 3 粉＋恩诺沙星或氟苯尼考”一个疗程；如并发寄生虫病时则首先杀虫后再按上述方法防治；如并发“肝胆综合征”应在内服药物中加入“保肝护肝制剂＋复合多维制剂”；如并发病毒性出血病的则不能按本法防治，应按病毒性出血病的防治法防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肠炎病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草、青鱼成鱼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4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10月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腹部膨大显红斑，肛门红肿，并有黄、红色粘液流出，部分或全肠鲜红或紫红，肠管无弹性，常与赤皮病、烂鳃病并发。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①彻底清池，冬季干池时，清掉部分淤泥，亩用生石灰50KG遍洒。②发病鱼池水体消毒，药饵投喂方法同烂鳃、赤皮病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水霉病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各种鱼类的卵、鱼种、成卵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终年可见2－5月甚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鱼体表着生棉絮状的菌丝，瘦弱致死。鱼卵感染菌丝呈辐射状，俗称“太阳籽”。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1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75" w:lineRule="atLeast"/>
              <w:ind w:left="0" w:right="0" w:firstLine="0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①全池泼洒“强氯精”或“二氧化氯”“溴氯海因”“苯扎溴铵”等外用杀菌剂；</w:t>
            </w:r>
            <w:r>
              <w:rPr>
                <w:rFonts w:hint="eastAsia" w:ascii="Times New Roman" w:eastAsia="宋体"/>
                <w:sz w:val="21"/>
                <w:szCs w:val="21"/>
              </w:rPr>
              <w:t>②</w:t>
            </w:r>
            <w:r>
              <w:rPr>
                <w:rFonts w:hint="eastAsia" w:ascii="Times New Roman" w:hAnsi="Courier New" w:eastAsia="宋体" w:cs="Courier New"/>
                <w:kern w:val="2"/>
                <w:sz w:val="21"/>
                <w:szCs w:val="21"/>
                <w:lang w:val="en-US" w:eastAsia="zh-CN" w:bidi="ar-SA"/>
              </w:rPr>
              <w:t>然后内服 “硫酸新霉素”或“恩诺沙星”或“氟苯尼考”＋“复合多维制剂”一个疗程。特别提示：一旦确诊为肠炎病时首先停食1～2天，然后再使用内服药物治疗。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中华鳋病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草、青鱼等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5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10月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鳃丝未端挂着“蝇蛆”状白色小虫，草、青鱼发病称“鳃蛆病”，鲢、鳙鱼发病称“翘尾巴病”。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①每亩水面水深1米用硫酸铜0.33公斤，硫酸亚铁0.13公斤合剂泼洒。②用鳋虫净15ML或Ａ型杀虫剂20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25ML全池泼洒┃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锚头鳋病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草等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6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10月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体表等部位寄生针状虫体、患处红肿，病鱼不安，食欲减退，鱼体消瘦。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每亩水面水深1米用Ａ型杀虫剂20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25ML、鳋虫净15ML全池泼洒。15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20天以后再池泼洒一次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车轮虫病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各种鱼类的鱼种、成鱼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5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8月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体表粘液增多似白翳，池塘边狂游，有时头部微红，嘴圈显灰色。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每亩水面水深1米，用鳋虫净15ML或Ａ型杀虫剂20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25ML全池泼洒，15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20天后再全池泼洒一次。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指环虫病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草鱼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5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9月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鳃丝灰暗或苍白色、浮肿、腮盖张开，体表、鳃多粘液。</w:t>
            </w:r>
          </w:p>
        </w:tc>
        <w:tc>
          <w:tcPr>
            <w:tcW w:w="3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3"/>
              <w:spacing w:line="360" w:lineRule="auto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  <w:szCs w:val="21"/>
              </w:rPr>
              <w:t>每亩水面水深1米，用鳋虫净15ML或Ａ型杀虫剂20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25ML全池泼洒，15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~</w:t>
            </w:r>
            <w:r>
              <w:rPr>
                <w:rFonts w:hint="eastAsia" w:ascii="Times New Roman" w:eastAsia="宋体"/>
                <w:sz w:val="21"/>
                <w:szCs w:val="21"/>
              </w:rPr>
              <w:t>20天后再全池泼洒一次。</w:t>
            </w:r>
          </w:p>
        </w:tc>
      </w:tr>
    </w:tbl>
    <w:p>
      <w:pPr>
        <w:pStyle w:val="13"/>
        <w:spacing w:line="360" w:lineRule="auto"/>
        <w:rPr>
          <w:rFonts w:hint="eastAsia" w:ascii="Times New Roman" w:eastAsia="宋体"/>
        </w:rPr>
      </w:pPr>
    </w:p>
    <w:sectPr>
      <w:footerReference r:id="rId8" w:type="default"/>
      <w:pgSz w:w="11906" w:h="16838"/>
      <w:pgMar w:top="567" w:right="1134" w:bottom="1134" w:left="1418" w:header="1418" w:footer="1134" w:gutter="0"/>
      <w:pgNumType w:fmt="decimal" w:start="1"/>
      <w:cols w:space="425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952887"/>
    <w:multiLevelType w:val="multilevel"/>
    <w:tmpl w:val="0A952887"/>
    <w:lvl w:ilvl="0" w:tentative="0">
      <w:start w:val="1"/>
      <w:numFmt w:val="decimal"/>
      <w:pStyle w:val="67"/>
      <w:suff w:val="nothing"/>
      <w:lvlText w:val="注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">
    <w:nsid w:val="0F805D97"/>
    <w:multiLevelType w:val="multilevel"/>
    <w:tmpl w:val="0F805D97"/>
    <w:lvl w:ilvl="0" w:tentative="0">
      <w:start w:val="1"/>
      <w:numFmt w:val="none"/>
      <w:pStyle w:val="59"/>
      <w:suff w:val="nothing"/>
      <w:lvlText w:val="注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pStyle w:val="47"/>
      <w:suff w:val="nothing"/>
      <w:lvlText w:val="%1　"/>
      <w:lvlJc w:val="left"/>
      <w:pPr>
        <w:ind w:left="568" w:firstLine="0"/>
      </w:pPr>
      <w:rPr>
        <w:rFonts w:hint="default" w:ascii="黑体" w:hAnsi="黑体" w:eastAsia="黑体" w:cs="Times New Roman"/>
        <w:b/>
        <w:i w:val="0"/>
        <w:sz w:val="21"/>
        <w:szCs w:val="21"/>
      </w:rPr>
    </w:lvl>
    <w:lvl w:ilvl="1" w:tentative="0">
      <w:start w:val="1"/>
      <w:numFmt w:val="decimal"/>
      <w:pStyle w:val="44"/>
      <w:suff w:val="nothing"/>
      <w:lvlText w:val="%1.%2　"/>
      <w:lvlJc w:val="left"/>
      <w:pPr>
        <w:ind w:left="284" w:firstLine="0"/>
      </w:pPr>
      <w:rPr>
        <w:rFonts w:hint="default" w:ascii="黑体" w:hAnsi="黑体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8"/>
      <w:suff w:val="nothing"/>
      <w:lvlText w:val="%1.%2.%3　"/>
      <w:lvlJc w:val="left"/>
      <w:pPr>
        <w:ind w:left="567" w:firstLine="0"/>
      </w:pPr>
      <w:rPr>
        <w:rFonts w:hint="default" w:ascii="黑体" w:hAnsi="黑体" w:eastAsia="黑体" w:cs="Times New Roman"/>
        <w:b w:val="0"/>
        <w:i w:val="0"/>
        <w:sz w:val="21"/>
      </w:rPr>
    </w:lvl>
    <w:lvl w:ilvl="3" w:tentative="0">
      <w:start w:val="1"/>
      <w:numFmt w:val="decimal"/>
      <w:pStyle w:val="53"/>
      <w:suff w:val="nothing"/>
      <w:lvlText w:val="%1.%2.%3.%4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pStyle w:val="5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24B435DB"/>
    <w:multiLevelType w:val="multilevel"/>
    <w:tmpl w:val="24B435DB"/>
    <w:lvl w:ilvl="0" w:tentative="0">
      <w:start w:val="1"/>
      <w:numFmt w:val="lowerLetter"/>
      <w:pStyle w:val="123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29707437"/>
    <w:multiLevelType w:val="multilevel"/>
    <w:tmpl w:val="29707437"/>
    <w:lvl w:ilvl="0" w:tentative="0">
      <w:start w:val="1"/>
      <w:numFmt w:val="none"/>
      <w:pStyle w:val="66"/>
      <w:suff w:val="nothing"/>
      <w:lvlText w:val="%1注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2A8F7113"/>
    <w:multiLevelType w:val="multilevel"/>
    <w:tmpl w:val="2A8F7113"/>
    <w:lvl w:ilvl="0" w:tentative="0">
      <w:start w:val="1"/>
      <w:numFmt w:val="upperLetter"/>
      <w:pStyle w:val="100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1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6">
    <w:nsid w:val="2C5917C3"/>
    <w:multiLevelType w:val="multilevel"/>
    <w:tmpl w:val="2C5917C3"/>
    <w:lvl w:ilvl="0" w:tentative="0">
      <w:start w:val="1"/>
      <w:numFmt w:val="none"/>
      <w:pStyle w:val="50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2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7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8">
    <w:nsid w:val="44C50F90"/>
    <w:multiLevelType w:val="multilevel"/>
    <w:tmpl w:val="44C50F90"/>
    <w:lvl w:ilvl="0" w:tentative="0">
      <w:start w:val="1"/>
      <w:numFmt w:val="lowerLetter"/>
      <w:pStyle w:val="61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6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3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9">
    <w:nsid w:val="520F62E9"/>
    <w:multiLevelType w:val="multilevel"/>
    <w:tmpl w:val="520F62E9"/>
    <w:lvl w:ilvl="0" w:tentative="0">
      <w:start w:val="1"/>
      <w:numFmt w:val="decimal"/>
      <w:pStyle w:val="130"/>
      <w:suff w:val="nothing"/>
      <w:lvlText w:val="图%1　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5E63562F"/>
    <w:multiLevelType w:val="multilevel"/>
    <w:tmpl w:val="5E63562F"/>
    <w:lvl w:ilvl="0" w:tentative="0">
      <w:start w:val="1"/>
      <w:numFmt w:val="decimal"/>
      <w:pStyle w:val="60"/>
      <w:suff w:val="nothing"/>
      <w:lvlText w:val="注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1">
    <w:nsid w:val="60B55DC2"/>
    <w:multiLevelType w:val="multilevel"/>
    <w:tmpl w:val="60B55DC2"/>
    <w:lvl w:ilvl="0" w:tentative="0">
      <w:start w:val="1"/>
      <w:numFmt w:val="upperLetter"/>
      <w:pStyle w:val="88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9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2">
    <w:nsid w:val="63404DBE"/>
    <w:multiLevelType w:val="multilevel"/>
    <w:tmpl w:val="63404DBE"/>
    <w:lvl w:ilvl="0" w:tentative="0">
      <w:start w:val="1"/>
      <w:numFmt w:val="none"/>
      <w:pStyle w:val="54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3">
    <w:nsid w:val="63AF7EBF"/>
    <w:multiLevelType w:val="multilevel"/>
    <w:tmpl w:val="63AF7EBF"/>
    <w:lvl w:ilvl="0" w:tentative="0">
      <w:start w:val="1"/>
      <w:numFmt w:val="decimal"/>
      <w:pStyle w:val="128"/>
      <w:suff w:val="nothing"/>
      <w:lvlText w:val="表%1　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86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0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5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2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AB870ED"/>
    <w:multiLevelType w:val="multilevel"/>
    <w:tmpl w:val="6AB870ED"/>
    <w:lvl w:ilvl="0" w:tentative="0">
      <w:start w:val="1"/>
      <w:numFmt w:val="decimal"/>
      <w:pStyle w:val="64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0">
      <w:start w:val="1"/>
      <w:numFmt w:val="lowerLetter"/>
      <w:pStyle w:val="107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7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2"/>
  </w:num>
  <w:num w:numId="5">
    <w:abstractNumId w:val="8"/>
  </w:num>
  <w:num w:numId="6">
    <w:abstractNumId w:val="1"/>
  </w:num>
  <w:num w:numId="7">
    <w:abstractNumId w:val="10"/>
  </w:num>
  <w:num w:numId="8">
    <w:abstractNumId w:val="15"/>
  </w:num>
  <w:num w:numId="9">
    <w:abstractNumId w:val="4"/>
  </w:num>
  <w:num w:numId="10">
    <w:abstractNumId w:val="0"/>
  </w:num>
  <w:num w:numId="11">
    <w:abstractNumId w:val="14"/>
  </w:num>
  <w:num w:numId="12">
    <w:abstractNumId w:val="11"/>
  </w:num>
  <w:num w:numId="13">
    <w:abstractNumId w:val="16"/>
  </w:num>
  <w:num w:numId="14">
    <w:abstractNumId w:val="5"/>
  </w:num>
  <w:num w:numId="15">
    <w:abstractNumId w:val="3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iJMGQQTVj90aoC16GlS/Wt9VRb8=" w:salt="E3FaACaVvcaAonXIfgYXHw==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kYjU1YzUyYTM0Mjg0MzE4ZTJhMDY0NDUxMjllOGQifQ=="/>
  </w:docVars>
  <w:rsids>
    <w:rsidRoot w:val="00035925"/>
    <w:rsid w:val="00000244"/>
    <w:rsid w:val="00000BB3"/>
    <w:rsid w:val="0000185F"/>
    <w:rsid w:val="00004B91"/>
    <w:rsid w:val="00004E32"/>
    <w:rsid w:val="0000586F"/>
    <w:rsid w:val="00012D0B"/>
    <w:rsid w:val="00013D86"/>
    <w:rsid w:val="00013E02"/>
    <w:rsid w:val="0002143C"/>
    <w:rsid w:val="00023540"/>
    <w:rsid w:val="00025A65"/>
    <w:rsid w:val="00026C31"/>
    <w:rsid w:val="00027280"/>
    <w:rsid w:val="000306A9"/>
    <w:rsid w:val="000320A7"/>
    <w:rsid w:val="000325EA"/>
    <w:rsid w:val="00033231"/>
    <w:rsid w:val="00035290"/>
    <w:rsid w:val="00035925"/>
    <w:rsid w:val="00036C2C"/>
    <w:rsid w:val="0004054A"/>
    <w:rsid w:val="00042382"/>
    <w:rsid w:val="00045A7C"/>
    <w:rsid w:val="00055371"/>
    <w:rsid w:val="00056A24"/>
    <w:rsid w:val="00057CE5"/>
    <w:rsid w:val="000607A3"/>
    <w:rsid w:val="00062AF9"/>
    <w:rsid w:val="000657F7"/>
    <w:rsid w:val="00067BB7"/>
    <w:rsid w:val="00067CDF"/>
    <w:rsid w:val="000724B2"/>
    <w:rsid w:val="00074F5A"/>
    <w:rsid w:val="00074FBE"/>
    <w:rsid w:val="0007762A"/>
    <w:rsid w:val="00080FC6"/>
    <w:rsid w:val="00081F6E"/>
    <w:rsid w:val="00083A09"/>
    <w:rsid w:val="0009005E"/>
    <w:rsid w:val="000918A9"/>
    <w:rsid w:val="00092001"/>
    <w:rsid w:val="00092618"/>
    <w:rsid w:val="00092857"/>
    <w:rsid w:val="00092BD8"/>
    <w:rsid w:val="000958D1"/>
    <w:rsid w:val="000964C7"/>
    <w:rsid w:val="000979D9"/>
    <w:rsid w:val="000A20A9"/>
    <w:rsid w:val="000A48B1"/>
    <w:rsid w:val="000A6F80"/>
    <w:rsid w:val="000B2F0E"/>
    <w:rsid w:val="000B3143"/>
    <w:rsid w:val="000B405D"/>
    <w:rsid w:val="000B502C"/>
    <w:rsid w:val="000C0C9D"/>
    <w:rsid w:val="000C126F"/>
    <w:rsid w:val="000C2BE6"/>
    <w:rsid w:val="000C6B05"/>
    <w:rsid w:val="000C6DD6"/>
    <w:rsid w:val="000C73D4"/>
    <w:rsid w:val="000D3A09"/>
    <w:rsid w:val="000D3D4C"/>
    <w:rsid w:val="000D4F51"/>
    <w:rsid w:val="000D5751"/>
    <w:rsid w:val="000D718B"/>
    <w:rsid w:val="000D7F0E"/>
    <w:rsid w:val="000E0C46"/>
    <w:rsid w:val="000E15EE"/>
    <w:rsid w:val="000E5F1B"/>
    <w:rsid w:val="000F030C"/>
    <w:rsid w:val="000F0693"/>
    <w:rsid w:val="000F129C"/>
    <w:rsid w:val="000F174F"/>
    <w:rsid w:val="000F3973"/>
    <w:rsid w:val="00102379"/>
    <w:rsid w:val="00104E29"/>
    <w:rsid w:val="001056DE"/>
    <w:rsid w:val="001124C0"/>
    <w:rsid w:val="00117A25"/>
    <w:rsid w:val="00121293"/>
    <w:rsid w:val="00122AD7"/>
    <w:rsid w:val="0013175F"/>
    <w:rsid w:val="0013364D"/>
    <w:rsid w:val="00133B67"/>
    <w:rsid w:val="001343BB"/>
    <w:rsid w:val="00143168"/>
    <w:rsid w:val="001512B4"/>
    <w:rsid w:val="00152E75"/>
    <w:rsid w:val="00157B64"/>
    <w:rsid w:val="001620A5"/>
    <w:rsid w:val="001626D5"/>
    <w:rsid w:val="00164E53"/>
    <w:rsid w:val="0016699D"/>
    <w:rsid w:val="001670D9"/>
    <w:rsid w:val="00175159"/>
    <w:rsid w:val="00175AD7"/>
    <w:rsid w:val="00176208"/>
    <w:rsid w:val="0017780C"/>
    <w:rsid w:val="001813B2"/>
    <w:rsid w:val="0018211B"/>
    <w:rsid w:val="00183FE1"/>
    <w:rsid w:val="001840D3"/>
    <w:rsid w:val="00184782"/>
    <w:rsid w:val="00187A8A"/>
    <w:rsid w:val="001900F8"/>
    <w:rsid w:val="00191258"/>
    <w:rsid w:val="00192680"/>
    <w:rsid w:val="00193037"/>
    <w:rsid w:val="00193375"/>
    <w:rsid w:val="00193A2C"/>
    <w:rsid w:val="001A288E"/>
    <w:rsid w:val="001B1F23"/>
    <w:rsid w:val="001B4A2C"/>
    <w:rsid w:val="001B6548"/>
    <w:rsid w:val="001B6DC2"/>
    <w:rsid w:val="001B754B"/>
    <w:rsid w:val="001B7887"/>
    <w:rsid w:val="001C149C"/>
    <w:rsid w:val="001C21AC"/>
    <w:rsid w:val="001C2D8D"/>
    <w:rsid w:val="001C3689"/>
    <w:rsid w:val="001C47BA"/>
    <w:rsid w:val="001C59EA"/>
    <w:rsid w:val="001D406C"/>
    <w:rsid w:val="001D41EE"/>
    <w:rsid w:val="001D4BEB"/>
    <w:rsid w:val="001D71E6"/>
    <w:rsid w:val="001E0380"/>
    <w:rsid w:val="001E0B1B"/>
    <w:rsid w:val="001E13B1"/>
    <w:rsid w:val="001E2153"/>
    <w:rsid w:val="001F3A19"/>
    <w:rsid w:val="001F5B6E"/>
    <w:rsid w:val="002009E4"/>
    <w:rsid w:val="00201053"/>
    <w:rsid w:val="0020251B"/>
    <w:rsid w:val="002073D3"/>
    <w:rsid w:val="00215D48"/>
    <w:rsid w:val="0021624B"/>
    <w:rsid w:val="0022185E"/>
    <w:rsid w:val="00227FED"/>
    <w:rsid w:val="0023030A"/>
    <w:rsid w:val="00230F08"/>
    <w:rsid w:val="00232C77"/>
    <w:rsid w:val="00234467"/>
    <w:rsid w:val="00235BE6"/>
    <w:rsid w:val="00237D8D"/>
    <w:rsid w:val="00241DA2"/>
    <w:rsid w:val="00247FEE"/>
    <w:rsid w:val="00250E7D"/>
    <w:rsid w:val="00251F9E"/>
    <w:rsid w:val="002523DB"/>
    <w:rsid w:val="002527DD"/>
    <w:rsid w:val="00252DAA"/>
    <w:rsid w:val="002565D5"/>
    <w:rsid w:val="00256F42"/>
    <w:rsid w:val="002622C0"/>
    <w:rsid w:val="002673D0"/>
    <w:rsid w:val="00273EB8"/>
    <w:rsid w:val="0027435E"/>
    <w:rsid w:val="002748D8"/>
    <w:rsid w:val="002778AE"/>
    <w:rsid w:val="0028269A"/>
    <w:rsid w:val="00283590"/>
    <w:rsid w:val="00284CD9"/>
    <w:rsid w:val="00286973"/>
    <w:rsid w:val="00287674"/>
    <w:rsid w:val="002938A4"/>
    <w:rsid w:val="00294E70"/>
    <w:rsid w:val="002954B8"/>
    <w:rsid w:val="002967B2"/>
    <w:rsid w:val="0029763F"/>
    <w:rsid w:val="002A1924"/>
    <w:rsid w:val="002A7420"/>
    <w:rsid w:val="002A7A7E"/>
    <w:rsid w:val="002A7ABC"/>
    <w:rsid w:val="002B0F12"/>
    <w:rsid w:val="002B1308"/>
    <w:rsid w:val="002B4554"/>
    <w:rsid w:val="002B707C"/>
    <w:rsid w:val="002C0D93"/>
    <w:rsid w:val="002C1C4F"/>
    <w:rsid w:val="002C6EA7"/>
    <w:rsid w:val="002C72D8"/>
    <w:rsid w:val="002D11FA"/>
    <w:rsid w:val="002D17BC"/>
    <w:rsid w:val="002D19A4"/>
    <w:rsid w:val="002D3336"/>
    <w:rsid w:val="002D6352"/>
    <w:rsid w:val="002E0DDF"/>
    <w:rsid w:val="002E2906"/>
    <w:rsid w:val="002E5635"/>
    <w:rsid w:val="002E64C3"/>
    <w:rsid w:val="002E69EE"/>
    <w:rsid w:val="002E6A2C"/>
    <w:rsid w:val="002F035E"/>
    <w:rsid w:val="002F0FE8"/>
    <w:rsid w:val="002F1D8C"/>
    <w:rsid w:val="002F21DA"/>
    <w:rsid w:val="002F22A2"/>
    <w:rsid w:val="002F34B8"/>
    <w:rsid w:val="002F784E"/>
    <w:rsid w:val="00300650"/>
    <w:rsid w:val="00301F39"/>
    <w:rsid w:val="00303512"/>
    <w:rsid w:val="00303D27"/>
    <w:rsid w:val="00304BF7"/>
    <w:rsid w:val="00305BEE"/>
    <w:rsid w:val="00313962"/>
    <w:rsid w:val="003211D8"/>
    <w:rsid w:val="00321B97"/>
    <w:rsid w:val="003234E0"/>
    <w:rsid w:val="003256DA"/>
    <w:rsid w:val="00325926"/>
    <w:rsid w:val="00327A8A"/>
    <w:rsid w:val="003339A3"/>
    <w:rsid w:val="00336610"/>
    <w:rsid w:val="00341F5C"/>
    <w:rsid w:val="00343D23"/>
    <w:rsid w:val="00343F73"/>
    <w:rsid w:val="00345060"/>
    <w:rsid w:val="003451FB"/>
    <w:rsid w:val="00352629"/>
    <w:rsid w:val="0035323B"/>
    <w:rsid w:val="00353D19"/>
    <w:rsid w:val="00353E0D"/>
    <w:rsid w:val="0035785A"/>
    <w:rsid w:val="003609D2"/>
    <w:rsid w:val="00363CC7"/>
    <w:rsid w:val="00363F22"/>
    <w:rsid w:val="00364940"/>
    <w:rsid w:val="0036772C"/>
    <w:rsid w:val="00370D6E"/>
    <w:rsid w:val="00370D8E"/>
    <w:rsid w:val="00375564"/>
    <w:rsid w:val="00376489"/>
    <w:rsid w:val="00383191"/>
    <w:rsid w:val="003833FF"/>
    <w:rsid w:val="00386138"/>
    <w:rsid w:val="00386DED"/>
    <w:rsid w:val="00386ECC"/>
    <w:rsid w:val="00390092"/>
    <w:rsid w:val="003912E7"/>
    <w:rsid w:val="00392685"/>
    <w:rsid w:val="00393947"/>
    <w:rsid w:val="00393A0F"/>
    <w:rsid w:val="00395141"/>
    <w:rsid w:val="003A2275"/>
    <w:rsid w:val="003A6A4F"/>
    <w:rsid w:val="003A7088"/>
    <w:rsid w:val="003B00DF"/>
    <w:rsid w:val="003B0BF4"/>
    <w:rsid w:val="003B0E29"/>
    <w:rsid w:val="003B1275"/>
    <w:rsid w:val="003B1778"/>
    <w:rsid w:val="003B5048"/>
    <w:rsid w:val="003C11CB"/>
    <w:rsid w:val="003C3017"/>
    <w:rsid w:val="003C5704"/>
    <w:rsid w:val="003C6A77"/>
    <w:rsid w:val="003C75F3"/>
    <w:rsid w:val="003C78A3"/>
    <w:rsid w:val="003D1ACC"/>
    <w:rsid w:val="003D36AB"/>
    <w:rsid w:val="003E1867"/>
    <w:rsid w:val="003E1DD7"/>
    <w:rsid w:val="003E5729"/>
    <w:rsid w:val="003E6FDA"/>
    <w:rsid w:val="003E724E"/>
    <w:rsid w:val="003F1D40"/>
    <w:rsid w:val="003F22BB"/>
    <w:rsid w:val="003F2A5B"/>
    <w:rsid w:val="003F4EE0"/>
    <w:rsid w:val="003F5559"/>
    <w:rsid w:val="00400473"/>
    <w:rsid w:val="00402153"/>
    <w:rsid w:val="00402E26"/>
    <w:rsid w:val="00402FC1"/>
    <w:rsid w:val="00411EFE"/>
    <w:rsid w:val="004151CE"/>
    <w:rsid w:val="004200D9"/>
    <w:rsid w:val="00423C6E"/>
    <w:rsid w:val="00425082"/>
    <w:rsid w:val="0042652C"/>
    <w:rsid w:val="00431DEB"/>
    <w:rsid w:val="00441937"/>
    <w:rsid w:val="0044259D"/>
    <w:rsid w:val="004439D9"/>
    <w:rsid w:val="00446B29"/>
    <w:rsid w:val="00451070"/>
    <w:rsid w:val="004524BE"/>
    <w:rsid w:val="00453F9A"/>
    <w:rsid w:val="00454CC3"/>
    <w:rsid w:val="004626C1"/>
    <w:rsid w:val="00464903"/>
    <w:rsid w:val="0047118D"/>
    <w:rsid w:val="00471E91"/>
    <w:rsid w:val="00474079"/>
    <w:rsid w:val="00474675"/>
    <w:rsid w:val="0047470C"/>
    <w:rsid w:val="00484C88"/>
    <w:rsid w:val="0048619B"/>
    <w:rsid w:val="004905E7"/>
    <w:rsid w:val="004A203E"/>
    <w:rsid w:val="004A35F9"/>
    <w:rsid w:val="004A3E68"/>
    <w:rsid w:val="004A4662"/>
    <w:rsid w:val="004A7E02"/>
    <w:rsid w:val="004B157A"/>
    <w:rsid w:val="004B24C1"/>
    <w:rsid w:val="004B3092"/>
    <w:rsid w:val="004B49B1"/>
    <w:rsid w:val="004B4A90"/>
    <w:rsid w:val="004B557C"/>
    <w:rsid w:val="004C057D"/>
    <w:rsid w:val="004C292F"/>
    <w:rsid w:val="004C5BE2"/>
    <w:rsid w:val="004C657F"/>
    <w:rsid w:val="004D306F"/>
    <w:rsid w:val="004D4B02"/>
    <w:rsid w:val="004D4F76"/>
    <w:rsid w:val="004E00B9"/>
    <w:rsid w:val="004E05C5"/>
    <w:rsid w:val="004E4B13"/>
    <w:rsid w:val="004E4B8C"/>
    <w:rsid w:val="004E5A47"/>
    <w:rsid w:val="004E66FD"/>
    <w:rsid w:val="004F07E4"/>
    <w:rsid w:val="004F228C"/>
    <w:rsid w:val="004F2F09"/>
    <w:rsid w:val="004F3694"/>
    <w:rsid w:val="0050138D"/>
    <w:rsid w:val="005036E2"/>
    <w:rsid w:val="00504061"/>
    <w:rsid w:val="00510280"/>
    <w:rsid w:val="005138FB"/>
    <w:rsid w:val="00513D73"/>
    <w:rsid w:val="005148B3"/>
    <w:rsid w:val="00514A43"/>
    <w:rsid w:val="00515E9C"/>
    <w:rsid w:val="005174E5"/>
    <w:rsid w:val="00520898"/>
    <w:rsid w:val="00522393"/>
    <w:rsid w:val="00522620"/>
    <w:rsid w:val="0052474C"/>
    <w:rsid w:val="00525656"/>
    <w:rsid w:val="00525BF3"/>
    <w:rsid w:val="00531894"/>
    <w:rsid w:val="00534C02"/>
    <w:rsid w:val="005375ED"/>
    <w:rsid w:val="0054044C"/>
    <w:rsid w:val="0054264B"/>
    <w:rsid w:val="00543786"/>
    <w:rsid w:val="00545A49"/>
    <w:rsid w:val="005463CC"/>
    <w:rsid w:val="0054691E"/>
    <w:rsid w:val="00546D0D"/>
    <w:rsid w:val="0055153A"/>
    <w:rsid w:val="005533D7"/>
    <w:rsid w:val="00554B63"/>
    <w:rsid w:val="005552F3"/>
    <w:rsid w:val="00562CF6"/>
    <w:rsid w:val="0056544B"/>
    <w:rsid w:val="00567177"/>
    <w:rsid w:val="005703DE"/>
    <w:rsid w:val="005710BC"/>
    <w:rsid w:val="005755F1"/>
    <w:rsid w:val="00576743"/>
    <w:rsid w:val="005772CE"/>
    <w:rsid w:val="00582BBE"/>
    <w:rsid w:val="0058464E"/>
    <w:rsid w:val="00584CB9"/>
    <w:rsid w:val="0058650E"/>
    <w:rsid w:val="00594270"/>
    <w:rsid w:val="0059462E"/>
    <w:rsid w:val="00596856"/>
    <w:rsid w:val="005A01CB"/>
    <w:rsid w:val="005A19A9"/>
    <w:rsid w:val="005A240D"/>
    <w:rsid w:val="005A58FF"/>
    <w:rsid w:val="005A5EAF"/>
    <w:rsid w:val="005A6491"/>
    <w:rsid w:val="005A64C0"/>
    <w:rsid w:val="005A72C5"/>
    <w:rsid w:val="005B1985"/>
    <w:rsid w:val="005B2C81"/>
    <w:rsid w:val="005B3C11"/>
    <w:rsid w:val="005B4E77"/>
    <w:rsid w:val="005C0541"/>
    <w:rsid w:val="005C1C28"/>
    <w:rsid w:val="005C43D0"/>
    <w:rsid w:val="005C6AC0"/>
    <w:rsid w:val="005C6D3E"/>
    <w:rsid w:val="005C6DB5"/>
    <w:rsid w:val="005D3842"/>
    <w:rsid w:val="005D7AA0"/>
    <w:rsid w:val="005E19E7"/>
    <w:rsid w:val="005E2392"/>
    <w:rsid w:val="005E792A"/>
    <w:rsid w:val="005E7F8D"/>
    <w:rsid w:val="005F5BE6"/>
    <w:rsid w:val="00601622"/>
    <w:rsid w:val="00603DC3"/>
    <w:rsid w:val="0061037E"/>
    <w:rsid w:val="0061158C"/>
    <w:rsid w:val="00613FAA"/>
    <w:rsid w:val="00616C36"/>
    <w:rsid w:val="0061716C"/>
    <w:rsid w:val="006171AF"/>
    <w:rsid w:val="00617868"/>
    <w:rsid w:val="006243A1"/>
    <w:rsid w:val="00626005"/>
    <w:rsid w:val="00632E56"/>
    <w:rsid w:val="00635CBA"/>
    <w:rsid w:val="00636EFC"/>
    <w:rsid w:val="00640085"/>
    <w:rsid w:val="00641D63"/>
    <w:rsid w:val="0064338B"/>
    <w:rsid w:val="00646542"/>
    <w:rsid w:val="006504F4"/>
    <w:rsid w:val="006512AF"/>
    <w:rsid w:val="00651FC2"/>
    <w:rsid w:val="0065366F"/>
    <w:rsid w:val="00654BC9"/>
    <w:rsid w:val="006552FD"/>
    <w:rsid w:val="00656F0B"/>
    <w:rsid w:val="00663733"/>
    <w:rsid w:val="00663AF3"/>
    <w:rsid w:val="00666B6C"/>
    <w:rsid w:val="00670F82"/>
    <w:rsid w:val="006732ED"/>
    <w:rsid w:val="00677B54"/>
    <w:rsid w:val="00682682"/>
    <w:rsid w:val="00682702"/>
    <w:rsid w:val="00692368"/>
    <w:rsid w:val="00695192"/>
    <w:rsid w:val="006A2EBC"/>
    <w:rsid w:val="006A5BB8"/>
    <w:rsid w:val="006A5EA0"/>
    <w:rsid w:val="006A783B"/>
    <w:rsid w:val="006A7B33"/>
    <w:rsid w:val="006B4E13"/>
    <w:rsid w:val="006B61AB"/>
    <w:rsid w:val="006B75DD"/>
    <w:rsid w:val="006C047C"/>
    <w:rsid w:val="006C3D8B"/>
    <w:rsid w:val="006C4F3A"/>
    <w:rsid w:val="006C67E0"/>
    <w:rsid w:val="006C6A78"/>
    <w:rsid w:val="006C6BA5"/>
    <w:rsid w:val="006C7ABA"/>
    <w:rsid w:val="006D0A13"/>
    <w:rsid w:val="006D0D60"/>
    <w:rsid w:val="006D1122"/>
    <w:rsid w:val="006D317E"/>
    <w:rsid w:val="006D3B1E"/>
    <w:rsid w:val="006D3C00"/>
    <w:rsid w:val="006E06AD"/>
    <w:rsid w:val="006E3675"/>
    <w:rsid w:val="006E4A7F"/>
    <w:rsid w:val="006E5938"/>
    <w:rsid w:val="006E6F8B"/>
    <w:rsid w:val="006F0967"/>
    <w:rsid w:val="006F2274"/>
    <w:rsid w:val="006F64A0"/>
    <w:rsid w:val="006F72FA"/>
    <w:rsid w:val="0070038F"/>
    <w:rsid w:val="00700BF2"/>
    <w:rsid w:val="007027B1"/>
    <w:rsid w:val="0070286C"/>
    <w:rsid w:val="00704DF6"/>
    <w:rsid w:val="0070641D"/>
    <w:rsid w:val="0070651C"/>
    <w:rsid w:val="007132A3"/>
    <w:rsid w:val="00716421"/>
    <w:rsid w:val="00721419"/>
    <w:rsid w:val="00724BCD"/>
    <w:rsid w:val="00724EFB"/>
    <w:rsid w:val="00726575"/>
    <w:rsid w:val="00730310"/>
    <w:rsid w:val="00734B06"/>
    <w:rsid w:val="00740A49"/>
    <w:rsid w:val="007419C3"/>
    <w:rsid w:val="007464A2"/>
    <w:rsid w:val="00746559"/>
    <w:rsid w:val="007467A7"/>
    <w:rsid w:val="007469DD"/>
    <w:rsid w:val="0074741B"/>
    <w:rsid w:val="0074759E"/>
    <w:rsid w:val="007478EA"/>
    <w:rsid w:val="00752FFA"/>
    <w:rsid w:val="0075415C"/>
    <w:rsid w:val="0075438C"/>
    <w:rsid w:val="007547FC"/>
    <w:rsid w:val="00757097"/>
    <w:rsid w:val="00761E8B"/>
    <w:rsid w:val="00761EA3"/>
    <w:rsid w:val="00763502"/>
    <w:rsid w:val="00765081"/>
    <w:rsid w:val="00766367"/>
    <w:rsid w:val="00767667"/>
    <w:rsid w:val="007740E9"/>
    <w:rsid w:val="0077691A"/>
    <w:rsid w:val="00784618"/>
    <w:rsid w:val="00784EFB"/>
    <w:rsid w:val="007913AB"/>
    <w:rsid w:val="007914F7"/>
    <w:rsid w:val="0079284D"/>
    <w:rsid w:val="00793D36"/>
    <w:rsid w:val="00794EC4"/>
    <w:rsid w:val="00795C73"/>
    <w:rsid w:val="00797943"/>
    <w:rsid w:val="007A4809"/>
    <w:rsid w:val="007A71CC"/>
    <w:rsid w:val="007A736A"/>
    <w:rsid w:val="007B1625"/>
    <w:rsid w:val="007B706E"/>
    <w:rsid w:val="007B71EB"/>
    <w:rsid w:val="007C0748"/>
    <w:rsid w:val="007C0D28"/>
    <w:rsid w:val="007C6205"/>
    <w:rsid w:val="007C686A"/>
    <w:rsid w:val="007C728E"/>
    <w:rsid w:val="007D0BE0"/>
    <w:rsid w:val="007D204F"/>
    <w:rsid w:val="007D2C53"/>
    <w:rsid w:val="007D3D60"/>
    <w:rsid w:val="007E03CB"/>
    <w:rsid w:val="007E1980"/>
    <w:rsid w:val="007E23C2"/>
    <w:rsid w:val="007E4B76"/>
    <w:rsid w:val="007E5043"/>
    <w:rsid w:val="007E5EA8"/>
    <w:rsid w:val="007F0CF1"/>
    <w:rsid w:val="007F12A5"/>
    <w:rsid w:val="007F2D74"/>
    <w:rsid w:val="007F3FB7"/>
    <w:rsid w:val="007F4CF1"/>
    <w:rsid w:val="007F4F16"/>
    <w:rsid w:val="007F6AEA"/>
    <w:rsid w:val="007F707E"/>
    <w:rsid w:val="007F758D"/>
    <w:rsid w:val="007F7D52"/>
    <w:rsid w:val="00803033"/>
    <w:rsid w:val="0080484A"/>
    <w:rsid w:val="00805589"/>
    <w:rsid w:val="008057A5"/>
    <w:rsid w:val="00805E2F"/>
    <w:rsid w:val="0080654C"/>
    <w:rsid w:val="0080691E"/>
    <w:rsid w:val="008071C6"/>
    <w:rsid w:val="00811C93"/>
    <w:rsid w:val="00812ECB"/>
    <w:rsid w:val="00817A00"/>
    <w:rsid w:val="00820B95"/>
    <w:rsid w:val="00825891"/>
    <w:rsid w:val="00825F61"/>
    <w:rsid w:val="00831631"/>
    <w:rsid w:val="0083228D"/>
    <w:rsid w:val="00833D07"/>
    <w:rsid w:val="00835DB3"/>
    <w:rsid w:val="0083617B"/>
    <w:rsid w:val="00836342"/>
    <w:rsid w:val="00836A2D"/>
    <w:rsid w:val="00836B8B"/>
    <w:rsid w:val="008371BD"/>
    <w:rsid w:val="00840EBF"/>
    <w:rsid w:val="00846B3B"/>
    <w:rsid w:val="00846FD4"/>
    <w:rsid w:val="008504A8"/>
    <w:rsid w:val="00851B58"/>
    <w:rsid w:val="0085282E"/>
    <w:rsid w:val="008603BB"/>
    <w:rsid w:val="0086355C"/>
    <w:rsid w:val="00870077"/>
    <w:rsid w:val="0087198C"/>
    <w:rsid w:val="00872C1F"/>
    <w:rsid w:val="00873B42"/>
    <w:rsid w:val="00877CB0"/>
    <w:rsid w:val="008805AC"/>
    <w:rsid w:val="008807B8"/>
    <w:rsid w:val="00880D1A"/>
    <w:rsid w:val="0088105A"/>
    <w:rsid w:val="00884468"/>
    <w:rsid w:val="008856D8"/>
    <w:rsid w:val="00892E82"/>
    <w:rsid w:val="00893277"/>
    <w:rsid w:val="0089397D"/>
    <w:rsid w:val="00894385"/>
    <w:rsid w:val="00895FA9"/>
    <w:rsid w:val="008A1035"/>
    <w:rsid w:val="008A6E08"/>
    <w:rsid w:val="008B085A"/>
    <w:rsid w:val="008B78CF"/>
    <w:rsid w:val="008C0BE9"/>
    <w:rsid w:val="008C1B58"/>
    <w:rsid w:val="008C23B7"/>
    <w:rsid w:val="008C39AE"/>
    <w:rsid w:val="008C40DF"/>
    <w:rsid w:val="008C590D"/>
    <w:rsid w:val="008C7A53"/>
    <w:rsid w:val="008C7CC3"/>
    <w:rsid w:val="008C7F2B"/>
    <w:rsid w:val="008D2B50"/>
    <w:rsid w:val="008D447E"/>
    <w:rsid w:val="008D7566"/>
    <w:rsid w:val="008E031B"/>
    <w:rsid w:val="008E0560"/>
    <w:rsid w:val="008E2D8C"/>
    <w:rsid w:val="008E3359"/>
    <w:rsid w:val="008E4689"/>
    <w:rsid w:val="008E7029"/>
    <w:rsid w:val="008E7EF6"/>
    <w:rsid w:val="008F1F98"/>
    <w:rsid w:val="008F2340"/>
    <w:rsid w:val="008F2790"/>
    <w:rsid w:val="008F6758"/>
    <w:rsid w:val="008F7310"/>
    <w:rsid w:val="0090072E"/>
    <w:rsid w:val="009040DD"/>
    <w:rsid w:val="00905B47"/>
    <w:rsid w:val="0090690F"/>
    <w:rsid w:val="00911391"/>
    <w:rsid w:val="00912924"/>
    <w:rsid w:val="0091331C"/>
    <w:rsid w:val="009137BD"/>
    <w:rsid w:val="0091503D"/>
    <w:rsid w:val="009279DE"/>
    <w:rsid w:val="00927AB9"/>
    <w:rsid w:val="00927B37"/>
    <w:rsid w:val="00930116"/>
    <w:rsid w:val="00930625"/>
    <w:rsid w:val="00933A45"/>
    <w:rsid w:val="00936716"/>
    <w:rsid w:val="00941082"/>
    <w:rsid w:val="0094212C"/>
    <w:rsid w:val="00944853"/>
    <w:rsid w:val="0094609D"/>
    <w:rsid w:val="009507AA"/>
    <w:rsid w:val="00952457"/>
    <w:rsid w:val="0095378C"/>
    <w:rsid w:val="00954689"/>
    <w:rsid w:val="0095472A"/>
    <w:rsid w:val="0095579A"/>
    <w:rsid w:val="009567F9"/>
    <w:rsid w:val="0096005F"/>
    <w:rsid w:val="0096085A"/>
    <w:rsid w:val="009617C9"/>
    <w:rsid w:val="00961C93"/>
    <w:rsid w:val="00962B4E"/>
    <w:rsid w:val="00962BC9"/>
    <w:rsid w:val="00965324"/>
    <w:rsid w:val="0097091E"/>
    <w:rsid w:val="009760D3"/>
    <w:rsid w:val="00977132"/>
    <w:rsid w:val="009816D4"/>
    <w:rsid w:val="00981A4B"/>
    <w:rsid w:val="00982250"/>
    <w:rsid w:val="00982501"/>
    <w:rsid w:val="00982E68"/>
    <w:rsid w:val="00983D33"/>
    <w:rsid w:val="009877D3"/>
    <w:rsid w:val="0099364F"/>
    <w:rsid w:val="00994E8F"/>
    <w:rsid w:val="009951DC"/>
    <w:rsid w:val="009959BB"/>
    <w:rsid w:val="00997158"/>
    <w:rsid w:val="009A0827"/>
    <w:rsid w:val="009A17A9"/>
    <w:rsid w:val="009A3A7C"/>
    <w:rsid w:val="009A5D33"/>
    <w:rsid w:val="009A7D84"/>
    <w:rsid w:val="009B2323"/>
    <w:rsid w:val="009B2ADB"/>
    <w:rsid w:val="009B603A"/>
    <w:rsid w:val="009C209D"/>
    <w:rsid w:val="009C2D0E"/>
    <w:rsid w:val="009C3DAC"/>
    <w:rsid w:val="009C42E0"/>
    <w:rsid w:val="009C59FA"/>
    <w:rsid w:val="009D3230"/>
    <w:rsid w:val="009D5362"/>
    <w:rsid w:val="009E1415"/>
    <w:rsid w:val="009E1575"/>
    <w:rsid w:val="009E35A6"/>
    <w:rsid w:val="009E3B62"/>
    <w:rsid w:val="009E6116"/>
    <w:rsid w:val="009E7E25"/>
    <w:rsid w:val="009F6541"/>
    <w:rsid w:val="009F7659"/>
    <w:rsid w:val="00A01999"/>
    <w:rsid w:val="00A01F67"/>
    <w:rsid w:val="00A02E43"/>
    <w:rsid w:val="00A03178"/>
    <w:rsid w:val="00A05368"/>
    <w:rsid w:val="00A065F9"/>
    <w:rsid w:val="00A07011"/>
    <w:rsid w:val="00A07F34"/>
    <w:rsid w:val="00A22154"/>
    <w:rsid w:val="00A24058"/>
    <w:rsid w:val="00A2461F"/>
    <w:rsid w:val="00A24C0F"/>
    <w:rsid w:val="00A25C38"/>
    <w:rsid w:val="00A26597"/>
    <w:rsid w:val="00A33811"/>
    <w:rsid w:val="00A35824"/>
    <w:rsid w:val="00A36BBE"/>
    <w:rsid w:val="00A37C20"/>
    <w:rsid w:val="00A40D9E"/>
    <w:rsid w:val="00A41DF7"/>
    <w:rsid w:val="00A420B1"/>
    <w:rsid w:val="00A42802"/>
    <w:rsid w:val="00A42ECA"/>
    <w:rsid w:val="00A4307A"/>
    <w:rsid w:val="00A45CE6"/>
    <w:rsid w:val="00A46DEF"/>
    <w:rsid w:val="00A47EBB"/>
    <w:rsid w:val="00A51CDD"/>
    <w:rsid w:val="00A563F8"/>
    <w:rsid w:val="00A56BBA"/>
    <w:rsid w:val="00A56C34"/>
    <w:rsid w:val="00A57B0B"/>
    <w:rsid w:val="00A6730D"/>
    <w:rsid w:val="00A67C22"/>
    <w:rsid w:val="00A71625"/>
    <w:rsid w:val="00A71B9B"/>
    <w:rsid w:val="00A751C7"/>
    <w:rsid w:val="00A80008"/>
    <w:rsid w:val="00A84CE5"/>
    <w:rsid w:val="00A87844"/>
    <w:rsid w:val="00A9227B"/>
    <w:rsid w:val="00A97A55"/>
    <w:rsid w:val="00AA038C"/>
    <w:rsid w:val="00AA1E22"/>
    <w:rsid w:val="00AA2D3C"/>
    <w:rsid w:val="00AA5D4C"/>
    <w:rsid w:val="00AA644E"/>
    <w:rsid w:val="00AA7A09"/>
    <w:rsid w:val="00AB0BF4"/>
    <w:rsid w:val="00AB3484"/>
    <w:rsid w:val="00AB3B50"/>
    <w:rsid w:val="00AC05B1"/>
    <w:rsid w:val="00AC450C"/>
    <w:rsid w:val="00AD337D"/>
    <w:rsid w:val="00AD340B"/>
    <w:rsid w:val="00AD356C"/>
    <w:rsid w:val="00AD7E9A"/>
    <w:rsid w:val="00AE1B3E"/>
    <w:rsid w:val="00AE2914"/>
    <w:rsid w:val="00AE4BD0"/>
    <w:rsid w:val="00AE667D"/>
    <w:rsid w:val="00AE6D15"/>
    <w:rsid w:val="00AE7023"/>
    <w:rsid w:val="00AE78AA"/>
    <w:rsid w:val="00AF0EF3"/>
    <w:rsid w:val="00AF1F49"/>
    <w:rsid w:val="00AF2D81"/>
    <w:rsid w:val="00AF3A59"/>
    <w:rsid w:val="00B04182"/>
    <w:rsid w:val="00B05ECF"/>
    <w:rsid w:val="00B07AE3"/>
    <w:rsid w:val="00B11430"/>
    <w:rsid w:val="00B12A5D"/>
    <w:rsid w:val="00B13BD4"/>
    <w:rsid w:val="00B14089"/>
    <w:rsid w:val="00B242F4"/>
    <w:rsid w:val="00B2477A"/>
    <w:rsid w:val="00B24D1C"/>
    <w:rsid w:val="00B30072"/>
    <w:rsid w:val="00B30481"/>
    <w:rsid w:val="00B3312F"/>
    <w:rsid w:val="00B353EB"/>
    <w:rsid w:val="00B36EC4"/>
    <w:rsid w:val="00B4016F"/>
    <w:rsid w:val="00B407AC"/>
    <w:rsid w:val="00B43794"/>
    <w:rsid w:val="00B439C4"/>
    <w:rsid w:val="00B4533F"/>
    <w:rsid w:val="00B4535E"/>
    <w:rsid w:val="00B47E9F"/>
    <w:rsid w:val="00B52A8C"/>
    <w:rsid w:val="00B54707"/>
    <w:rsid w:val="00B56155"/>
    <w:rsid w:val="00B62F11"/>
    <w:rsid w:val="00B63042"/>
    <w:rsid w:val="00B636A8"/>
    <w:rsid w:val="00B648DB"/>
    <w:rsid w:val="00B665C6"/>
    <w:rsid w:val="00B72AD8"/>
    <w:rsid w:val="00B74441"/>
    <w:rsid w:val="00B758A5"/>
    <w:rsid w:val="00B805AF"/>
    <w:rsid w:val="00B82051"/>
    <w:rsid w:val="00B82BD5"/>
    <w:rsid w:val="00B85F1F"/>
    <w:rsid w:val="00B869EC"/>
    <w:rsid w:val="00B901FC"/>
    <w:rsid w:val="00B92383"/>
    <w:rsid w:val="00B92BF1"/>
    <w:rsid w:val="00B9397A"/>
    <w:rsid w:val="00B9633D"/>
    <w:rsid w:val="00B967D5"/>
    <w:rsid w:val="00BA2EBE"/>
    <w:rsid w:val="00BA6F9E"/>
    <w:rsid w:val="00BB0F28"/>
    <w:rsid w:val="00BB458A"/>
    <w:rsid w:val="00BB5342"/>
    <w:rsid w:val="00BB693F"/>
    <w:rsid w:val="00BC1CDD"/>
    <w:rsid w:val="00BC5953"/>
    <w:rsid w:val="00BD00D3"/>
    <w:rsid w:val="00BD1659"/>
    <w:rsid w:val="00BD31D7"/>
    <w:rsid w:val="00BD3AA9"/>
    <w:rsid w:val="00BD4978"/>
    <w:rsid w:val="00BD4A18"/>
    <w:rsid w:val="00BD5551"/>
    <w:rsid w:val="00BD55E4"/>
    <w:rsid w:val="00BD6DB2"/>
    <w:rsid w:val="00BD73A1"/>
    <w:rsid w:val="00BE11CF"/>
    <w:rsid w:val="00BE21AB"/>
    <w:rsid w:val="00BE55CB"/>
    <w:rsid w:val="00BE7067"/>
    <w:rsid w:val="00BF2CF8"/>
    <w:rsid w:val="00BF3BB2"/>
    <w:rsid w:val="00BF617A"/>
    <w:rsid w:val="00C0379D"/>
    <w:rsid w:val="00C03931"/>
    <w:rsid w:val="00C05FE3"/>
    <w:rsid w:val="00C11DA9"/>
    <w:rsid w:val="00C2136D"/>
    <w:rsid w:val="00C214EE"/>
    <w:rsid w:val="00C2314B"/>
    <w:rsid w:val="00C23B8B"/>
    <w:rsid w:val="00C2424E"/>
    <w:rsid w:val="00C244A0"/>
    <w:rsid w:val="00C24971"/>
    <w:rsid w:val="00C25355"/>
    <w:rsid w:val="00C26BE5"/>
    <w:rsid w:val="00C26E4D"/>
    <w:rsid w:val="00C27909"/>
    <w:rsid w:val="00C27B03"/>
    <w:rsid w:val="00C314E1"/>
    <w:rsid w:val="00C32614"/>
    <w:rsid w:val="00C34397"/>
    <w:rsid w:val="00C35930"/>
    <w:rsid w:val="00C40503"/>
    <w:rsid w:val="00C4095D"/>
    <w:rsid w:val="00C46128"/>
    <w:rsid w:val="00C5038A"/>
    <w:rsid w:val="00C561C9"/>
    <w:rsid w:val="00C57A9C"/>
    <w:rsid w:val="00C601D2"/>
    <w:rsid w:val="00C65BCC"/>
    <w:rsid w:val="00C66970"/>
    <w:rsid w:val="00C71F4D"/>
    <w:rsid w:val="00C7202A"/>
    <w:rsid w:val="00C8691C"/>
    <w:rsid w:val="00C86CB4"/>
    <w:rsid w:val="00C96295"/>
    <w:rsid w:val="00C96364"/>
    <w:rsid w:val="00CA03DF"/>
    <w:rsid w:val="00CA168A"/>
    <w:rsid w:val="00CA1776"/>
    <w:rsid w:val="00CA2097"/>
    <w:rsid w:val="00CA357E"/>
    <w:rsid w:val="00CA44F9"/>
    <w:rsid w:val="00CA4A69"/>
    <w:rsid w:val="00CB0DA5"/>
    <w:rsid w:val="00CB6ECA"/>
    <w:rsid w:val="00CB722E"/>
    <w:rsid w:val="00CC3E0C"/>
    <w:rsid w:val="00CC58D3"/>
    <w:rsid w:val="00CC5DB5"/>
    <w:rsid w:val="00CC68A3"/>
    <w:rsid w:val="00CC784D"/>
    <w:rsid w:val="00CE0DFE"/>
    <w:rsid w:val="00CF1960"/>
    <w:rsid w:val="00CF1E15"/>
    <w:rsid w:val="00D00A8D"/>
    <w:rsid w:val="00D03268"/>
    <w:rsid w:val="00D0337B"/>
    <w:rsid w:val="00D07777"/>
    <w:rsid w:val="00D079B2"/>
    <w:rsid w:val="00D114E9"/>
    <w:rsid w:val="00D14504"/>
    <w:rsid w:val="00D17CD8"/>
    <w:rsid w:val="00D2527C"/>
    <w:rsid w:val="00D313B3"/>
    <w:rsid w:val="00D32F66"/>
    <w:rsid w:val="00D35B8E"/>
    <w:rsid w:val="00D35EFC"/>
    <w:rsid w:val="00D40F07"/>
    <w:rsid w:val="00D429C6"/>
    <w:rsid w:val="00D47748"/>
    <w:rsid w:val="00D5178F"/>
    <w:rsid w:val="00D518DF"/>
    <w:rsid w:val="00D54CC3"/>
    <w:rsid w:val="00D6041A"/>
    <w:rsid w:val="00D61258"/>
    <w:rsid w:val="00D633EB"/>
    <w:rsid w:val="00D6443C"/>
    <w:rsid w:val="00D67EFB"/>
    <w:rsid w:val="00D70235"/>
    <w:rsid w:val="00D730B8"/>
    <w:rsid w:val="00D736AC"/>
    <w:rsid w:val="00D738B5"/>
    <w:rsid w:val="00D747AA"/>
    <w:rsid w:val="00D75A7E"/>
    <w:rsid w:val="00D7790D"/>
    <w:rsid w:val="00D82FF7"/>
    <w:rsid w:val="00D847FE"/>
    <w:rsid w:val="00D85BB8"/>
    <w:rsid w:val="00D86B9C"/>
    <w:rsid w:val="00D900CD"/>
    <w:rsid w:val="00D9018D"/>
    <w:rsid w:val="00D90A39"/>
    <w:rsid w:val="00D943A8"/>
    <w:rsid w:val="00D964EA"/>
    <w:rsid w:val="00D966D0"/>
    <w:rsid w:val="00DA0C59"/>
    <w:rsid w:val="00DA3991"/>
    <w:rsid w:val="00DA3C0D"/>
    <w:rsid w:val="00DA72A1"/>
    <w:rsid w:val="00DA7F95"/>
    <w:rsid w:val="00DB01F1"/>
    <w:rsid w:val="00DB3222"/>
    <w:rsid w:val="00DB3BF1"/>
    <w:rsid w:val="00DB678F"/>
    <w:rsid w:val="00DB7E6C"/>
    <w:rsid w:val="00DC4F68"/>
    <w:rsid w:val="00DC64B0"/>
    <w:rsid w:val="00DC6B1E"/>
    <w:rsid w:val="00DD252A"/>
    <w:rsid w:val="00DD53D8"/>
    <w:rsid w:val="00DD5949"/>
    <w:rsid w:val="00DD5A29"/>
    <w:rsid w:val="00DD5D9D"/>
    <w:rsid w:val="00DE35CB"/>
    <w:rsid w:val="00DF0EF0"/>
    <w:rsid w:val="00DF21E9"/>
    <w:rsid w:val="00DF22C7"/>
    <w:rsid w:val="00DF5CC9"/>
    <w:rsid w:val="00E0073F"/>
    <w:rsid w:val="00E00F14"/>
    <w:rsid w:val="00E01CB8"/>
    <w:rsid w:val="00E0476E"/>
    <w:rsid w:val="00E06386"/>
    <w:rsid w:val="00E075C5"/>
    <w:rsid w:val="00E1051A"/>
    <w:rsid w:val="00E11668"/>
    <w:rsid w:val="00E118E7"/>
    <w:rsid w:val="00E122B7"/>
    <w:rsid w:val="00E12680"/>
    <w:rsid w:val="00E21B55"/>
    <w:rsid w:val="00E221D3"/>
    <w:rsid w:val="00E24EB4"/>
    <w:rsid w:val="00E30635"/>
    <w:rsid w:val="00E320ED"/>
    <w:rsid w:val="00E3275D"/>
    <w:rsid w:val="00E33AFB"/>
    <w:rsid w:val="00E34218"/>
    <w:rsid w:val="00E4555B"/>
    <w:rsid w:val="00E46282"/>
    <w:rsid w:val="00E5216E"/>
    <w:rsid w:val="00E52643"/>
    <w:rsid w:val="00E5529C"/>
    <w:rsid w:val="00E62C13"/>
    <w:rsid w:val="00E657C6"/>
    <w:rsid w:val="00E73653"/>
    <w:rsid w:val="00E73DCA"/>
    <w:rsid w:val="00E75D40"/>
    <w:rsid w:val="00E81965"/>
    <w:rsid w:val="00E820EA"/>
    <w:rsid w:val="00E82344"/>
    <w:rsid w:val="00E84C82"/>
    <w:rsid w:val="00E84D64"/>
    <w:rsid w:val="00E87306"/>
    <w:rsid w:val="00E87408"/>
    <w:rsid w:val="00E914C4"/>
    <w:rsid w:val="00E92830"/>
    <w:rsid w:val="00E934F5"/>
    <w:rsid w:val="00E96961"/>
    <w:rsid w:val="00EA72EC"/>
    <w:rsid w:val="00EB11CB"/>
    <w:rsid w:val="00EB1C71"/>
    <w:rsid w:val="00EB26EE"/>
    <w:rsid w:val="00EB275A"/>
    <w:rsid w:val="00EB57CA"/>
    <w:rsid w:val="00EB5832"/>
    <w:rsid w:val="00EB786A"/>
    <w:rsid w:val="00EC1354"/>
    <w:rsid w:val="00EC1578"/>
    <w:rsid w:val="00EC18A4"/>
    <w:rsid w:val="00EC1BFC"/>
    <w:rsid w:val="00EC1C72"/>
    <w:rsid w:val="00EC3356"/>
    <w:rsid w:val="00EC3CC9"/>
    <w:rsid w:val="00EC3EED"/>
    <w:rsid w:val="00EC4D3C"/>
    <w:rsid w:val="00EC5D85"/>
    <w:rsid w:val="00EC680A"/>
    <w:rsid w:val="00ED511C"/>
    <w:rsid w:val="00ED7229"/>
    <w:rsid w:val="00ED7264"/>
    <w:rsid w:val="00EE016A"/>
    <w:rsid w:val="00EE25CB"/>
    <w:rsid w:val="00EE2BED"/>
    <w:rsid w:val="00EE374B"/>
    <w:rsid w:val="00EE45EB"/>
    <w:rsid w:val="00EE4A87"/>
    <w:rsid w:val="00EF2869"/>
    <w:rsid w:val="00F05D60"/>
    <w:rsid w:val="00F07224"/>
    <w:rsid w:val="00F07FD3"/>
    <w:rsid w:val="00F11BB5"/>
    <w:rsid w:val="00F1296C"/>
    <w:rsid w:val="00F1417B"/>
    <w:rsid w:val="00F15FF6"/>
    <w:rsid w:val="00F1712D"/>
    <w:rsid w:val="00F17A17"/>
    <w:rsid w:val="00F208A0"/>
    <w:rsid w:val="00F2115E"/>
    <w:rsid w:val="00F21545"/>
    <w:rsid w:val="00F22BA0"/>
    <w:rsid w:val="00F22C81"/>
    <w:rsid w:val="00F23B08"/>
    <w:rsid w:val="00F2696B"/>
    <w:rsid w:val="00F27B3D"/>
    <w:rsid w:val="00F30ABD"/>
    <w:rsid w:val="00F3262F"/>
    <w:rsid w:val="00F34B99"/>
    <w:rsid w:val="00F40B02"/>
    <w:rsid w:val="00F41DD7"/>
    <w:rsid w:val="00F41E81"/>
    <w:rsid w:val="00F457D7"/>
    <w:rsid w:val="00F45B4E"/>
    <w:rsid w:val="00F51720"/>
    <w:rsid w:val="00F51CF2"/>
    <w:rsid w:val="00F52DAB"/>
    <w:rsid w:val="00F543F0"/>
    <w:rsid w:val="00F55E3E"/>
    <w:rsid w:val="00F57601"/>
    <w:rsid w:val="00F73F99"/>
    <w:rsid w:val="00F75F80"/>
    <w:rsid w:val="00F77276"/>
    <w:rsid w:val="00F81D29"/>
    <w:rsid w:val="00F90BE5"/>
    <w:rsid w:val="00F91C37"/>
    <w:rsid w:val="00F91C4D"/>
    <w:rsid w:val="00F92FD9"/>
    <w:rsid w:val="00FA37B1"/>
    <w:rsid w:val="00FA3D4D"/>
    <w:rsid w:val="00FA3E0B"/>
    <w:rsid w:val="00FA57A5"/>
    <w:rsid w:val="00FA5EF7"/>
    <w:rsid w:val="00FA6684"/>
    <w:rsid w:val="00FA731E"/>
    <w:rsid w:val="00FA7BD0"/>
    <w:rsid w:val="00FB1DCF"/>
    <w:rsid w:val="00FB2B38"/>
    <w:rsid w:val="00FB61CE"/>
    <w:rsid w:val="00FB7A07"/>
    <w:rsid w:val="00FC04CC"/>
    <w:rsid w:val="00FC2066"/>
    <w:rsid w:val="00FC25EE"/>
    <w:rsid w:val="00FC6358"/>
    <w:rsid w:val="00FD1381"/>
    <w:rsid w:val="00FD320D"/>
    <w:rsid w:val="00FD796A"/>
    <w:rsid w:val="00FE092F"/>
    <w:rsid w:val="00FE10EA"/>
    <w:rsid w:val="00FE1B98"/>
    <w:rsid w:val="00FE23DE"/>
    <w:rsid w:val="00FE3797"/>
    <w:rsid w:val="00FE65DE"/>
    <w:rsid w:val="00FF1801"/>
    <w:rsid w:val="00FF2257"/>
    <w:rsid w:val="00FF6842"/>
    <w:rsid w:val="0BFA0849"/>
    <w:rsid w:val="0E895B66"/>
    <w:rsid w:val="0E8E0920"/>
    <w:rsid w:val="100A0417"/>
    <w:rsid w:val="107F7553"/>
    <w:rsid w:val="1E6D0D8E"/>
    <w:rsid w:val="23923578"/>
    <w:rsid w:val="25562071"/>
    <w:rsid w:val="25937E0B"/>
    <w:rsid w:val="290A0860"/>
    <w:rsid w:val="2BAD5B8F"/>
    <w:rsid w:val="2EC41B6D"/>
    <w:rsid w:val="32DD0A0A"/>
    <w:rsid w:val="33750456"/>
    <w:rsid w:val="33B04998"/>
    <w:rsid w:val="34B25789"/>
    <w:rsid w:val="3A194B96"/>
    <w:rsid w:val="3E0B26DF"/>
    <w:rsid w:val="3E7F160D"/>
    <w:rsid w:val="40F0632A"/>
    <w:rsid w:val="4C942727"/>
    <w:rsid w:val="4D5F2A89"/>
    <w:rsid w:val="4E14317B"/>
    <w:rsid w:val="54371FE4"/>
    <w:rsid w:val="547D22B3"/>
    <w:rsid w:val="5F447FDD"/>
    <w:rsid w:val="605A1DA8"/>
    <w:rsid w:val="62AF5A1E"/>
    <w:rsid w:val="64CA644D"/>
    <w:rsid w:val="64CD21AB"/>
    <w:rsid w:val="695C535D"/>
    <w:rsid w:val="697165D6"/>
    <w:rsid w:val="6AFF2C5B"/>
    <w:rsid w:val="6D1B1C12"/>
    <w:rsid w:val="6E4A1A54"/>
    <w:rsid w:val="777B41FA"/>
    <w:rsid w:val="77B45B50"/>
    <w:rsid w:val="78913050"/>
    <w:rsid w:val="78F47231"/>
    <w:rsid w:val="7B2014A6"/>
    <w:rsid w:val="7BAB42E2"/>
    <w:rsid w:val="7E320B69"/>
    <w:rsid w:val="7EA06FD1"/>
    <w:rsid w:val="7F857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4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111"/>
    </w:pPr>
    <w:rPr>
      <w:rFonts w:ascii="Times New Roman" w:hAnsi="Times New Roman" w:eastAsia="宋体" w:cs="Times New Roman"/>
      <w:sz w:val="36"/>
      <w:szCs w:val="36"/>
    </w:rPr>
  </w:style>
  <w:style w:type="paragraph" w:styleId="4">
    <w:name w:val="toc 7"/>
    <w:basedOn w:val="1"/>
    <w:next w:val="1"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5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6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7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8">
    <w:name w:val="Document Map"/>
    <w:basedOn w:val="1"/>
    <w:semiHidden/>
    <w:qFormat/>
    <w:uiPriority w:val="0"/>
    <w:pPr>
      <w:shd w:val="clear" w:color="auto" w:fill="000080"/>
    </w:pPr>
  </w:style>
  <w:style w:type="paragraph" w:styleId="9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0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1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2">
    <w:name w:val="toc 3"/>
    <w:basedOn w:val="1"/>
    <w:next w:val="1"/>
    <w:qFormat/>
    <w:uiPriority w:val="39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3">
    <w:name w:val="Plain Text"/>
    <w:basedOn w:val="1"/>
    <w:link w:val="151"/>
    <w:qFormat/>
    <w:uiPriority w:val="0"/>
    <w:rPr>
      <w:rFonts w:ascii="宋体" w:hAnsi="Courier New" w:cs="Courier New"/>
      <w:szCs w:val="21"/>
    </w:rPr>
  </w:style>
  <w:style w:type="paragraph" w:styleId="14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6">
    <w:name w:val="endnote text"/>
    <w:basedOn w:val="1"/>
    <w:semiHidden/>
    <w:qFormat/>
    <w:uiPriority w:val="0"/>
    <w:pPr>
      <w:snapToGrid w:val="0"/>
      <w:jc w:val="left"/>
    </w:pPr>
  </w:style>
  <w:style w:type="paragraph" w:styleId="17">
    <w:name w:val="Balloon Text"/>
    <w:basedOn w:val="1"/>
    <w:link w:val="143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9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0">
    <w:name w:val="toc 1"/>
    <w:basedOn w:val="1"/>
    <w:next w:val="1"/>
    <w:qFormat/>
    <w:uiPriority w:val="39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1">
    <w:name w:val="toc 4"/>
    <w:basedOn w:val="1"/>
    <w:next w:val="1"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22">
    <w:name w:val="index heading"/>
    <w:basedOn w:val="1"/>
    <w:next w:val="2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3">
    <w:name w:val="index 1"/>
    <w:basedOn w:val="1"/>
    <w:next w:val="2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4">
    <w:name w:val="段"/>
    <w:link w:val="4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5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6">
    <w:name w:val="toc 6"/>
    <w:basedOn w:val="1"/>
    <w:next w:val="1"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7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8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9">
    <w:name w:val="toc 2"/>
    <w:basedOn w:val="1"/>
    <w:next w:val="1"/>
    <w:semiHidden/>
    <w:qFormat/>
    <w:uiPriority w:val="0"/>
    <w:pPr>
      <w:tabs>
        <w:tab w:val="right" w:leader="dot" w:pos="9241"/>
      </w:tabs>
    </w:pPr>
    <w:rPr>
      <w:rFonts w:ascii="宋体"/>
      <w:szCs w:val="21"/>
    </w:rPr>
  </w:style>
  <w:style w:type="paragraph" w:styleId="30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1">
    <w:name w:val="Normal (Web)"/>
    <w:basedOn w:val="1"/>
    <w:qFormat/>
    <w:uiPriority w:val="0"/>
    <w:rPr>
      <w:sz w:val="24"/>
      <w:szCs w:val="20"/>
    </w:rPr>
  </w:style>
  <w:style w:type="paragraph" w:styleId="32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4">
    <w:name w:val="Table Grid"/>
    <w:basedOn w:val="33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endnote reference"/>
    <w:semiHidden/>
    <w:qFormat/>
    <w:uiPriority w:val="0"/>
    <w:rPr>
      <w:vertAlign w:val="superscript"/>
    </w:rPr>
  </w:style>
  <w:style w:type="character" w:styleId="37">
    <w:name w:val="page number"/>
    <w:qFormat/>
    <w:uiPriority w:val="0"/>
    <w:rPr>
      <w:rFonts w:ascii="Times New Roman" w:hAnsi="Times New Roman" w:eastAsia="宋体"/>
      <w:sz w:val="18"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basedOn w:val="35"/>
    <w:qFormat/>
    <w:uiPriority w:val="20"/>
    <w:rPr>
      <w:i/>
      <w:iCs/>
    </w:rPr>
  </w:style>
  <w:style w:type="character" w:styleId="40">
    <w:name w:val="Hyperlink"/>
    <w:basedOn w:val="35"/>
    <w:qFormat/>
    <w:uiPriority w:val="99"/>
    <w:rPr>
      <w:color w:val="0000FF"/>
      <w:spacing w:val="0"/>
      <w:w w:val="100"/>
      <w:szCs w:val="21"/>
      <w:u w:val="single"/>
    </w:rPr>
  </w:style>
  <w:style w:type="character" w:styleId="41">
    <w:name w:val="footnote reference"/>
    <w:semiHidden/>
    <w:qFormat/>
    <w:uiPriority w:val="0"/>
    <w:rPr>
      <w:vertAlign w:val="superscript"/>
    </w:rPr>
  </w:style>
  <w:style w:type="character" w:customStyle="1" w:styleId="42">
    <w:name w:val="标题 1 Char"/>
    <w:basedOn w:val="35"/>
    <w:link w:val="3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43">
    <w:name w:val="段 Char"/>
    <w:link w:val="24"/>
    <w:qFormat/>
    <w:uiPriority w:val="0"/>
    <w:rPr>
      <w:rFonts w:ascii="宋体"/>
      <w:sz w:val="21"/>
      <w:lang w:val="en-US" w:eastAsia="zh-CN" w:bidi="ar-SA"/>
    </w:rPr>
  </w:style>
  <w:style w:type="paragraph" w:customStyle="1" w:styleId="44">
    <w:name w:val="一级条标题"/>
    <w:next w:val="24"/>
    <w:qFormat/>
    <w:uiPriority w:val="99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5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6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7">
    <w:name w:val="章标题"/>
    <w:next w:val="24"/>
    <w:link w:val="147"/>
    <w:qFormat/>
    <w:uiPriority w:val="99"/>
    <w:pPr>
      <w:numPr>
        <w:ilvl w:val="0"/>
        <w:numId w:val="2"/>
      </w:numPr>
      <w:spacing w:beforeLines="100" w:afterLines="100"/>
      <w:ind w:left="142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8">
    <w:name w:val="二级条标题"/>
    <w:basedOn w:val="44"/>
    <w:next w:val="24"/>
    <w:qFormat/>
    <w:uiPriority w:val="0"/>
    <w:pPr>
      <w:numPr>
        <w:ilvl w:val="2"/>
      </w:numPr>
      <w:spacing w:before="50" w:after="50"/>
      <w:ind w:left="568"/>
      <w:outlineLvl w:val="3"/>
    </w:pPr>
  </w:style>
  <w:style w:type="paragraph" w:customStyle="1" w:styleId="49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50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1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目次、标准名称标题"/>
    <w:basedOn w:val="1"/>
    <w:next w:val="24"/>
    <w:link w:val="14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53">
    <w:name w:val="三级条标题"/>
    <w:basedOn w:val="48"/>
    <w:next w:val="24"/>
    <w:link w:val="153"/>
    <w:qFormat/>
    <w:uiPriority w:val="0"/>
    <w:pPr>
      <w:numPr>
        <w:ilvl w:val="3"/>
      </w:numPr>
      <w:outlineLvl w:val="4"/>
    </w:pPr>
  </w:style>
  <w:style w:type="paragraph" w:customStyle="1" w:styleId="54">
    <w:name w:val="示例"/>
    <w:next w:val="55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5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数字编号列项（二级）"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四级条标题"/>
    <w:basedOn w:val="53"/>
    <w:next w:val="24"/>
    <w:qFormat/>
    <w:uiPriority w:val="0"/>
    <w:pPr>
      <w:numPr>
        <w:ilvl w:val="4"/>
      </w:numPr>
      <w:outlineLvl w:val="5"/>
    </w:pPr>
  </w:style>
  <w:style w:type="paragraph" w:customStyle="1" w:styleId="58">
    <w:name w:val="五级条标题"/>
    <w:basedOn w:val="57"/>
    <w:next w:val="24"/>
    <w:qFormat/>
    <w:uiPriority w:val="0"/>
    <w:pPr>
      <w:numPr>
        <w:ilvl w:val="5"/>
      </w:numPr>
      <w:outlineLvl w:val="6"/>
    </w:pPr>
  </w:style>
  <w:style w:type="paragraph" w:customStyle="1" w:styleId="59">
    <w:name w:val="注："/>
    <w:next w:val="24"/>
    <w:qFormat/>
    <w:uiPriority w:val="0"/>
    <w:pPr>
      <w:widowControl w:val="0"/>
      <w:numPr>
        <w:ilvl w:val="0"/>
        <w:numId w:val="6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0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1">
    <w:name w:val="字母编号列项（一级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2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63">
    <w:name w:val="编号列项（三级）"/>
    <w:qFormat/>
    <w:uiPriority w:val="0"/>
    <w:pPr>
      <w:numPr>
        <w:ilvl w:val="2"/>
        <w:numId w:val="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4">
    <w:name w:val="示例×："/>
    <w:basedOn w:val="47"/>
    <w:qFormat/>
    <w:uiPriority w:val="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65">
    <w:name w:val="二级无"/>
    <w:basedOn w:val="48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66">
    <w:name w:val="注：（正文）"/>
    <w:basedOn w:val="59"/>
    <w:next w:val="24"/>
    <w:qFormat/>
    <w:uiPriority w:val="0"/>
    <w:pPr>
      <w:numPr>
        <w:numId w:val="9"/>
      </w:numPr>
      <w:ind w:left="726" w:hanging="363"/>
    </w:pPr>
  </w:style>
  <w:style w:type="paragraph" w:customStyle="1" w:styleId="67">
    <w:name w:val="注×：（正文）"/>
    <w:qFormat/>
    <w:uiPriority w:val="0"/>
    <w:pPr>
      <w:numPr>
        <w:ilvl w:val="0"/>
        <w:numId w:val="10"/>
      </w:numPr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8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9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70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1">
    <w:name w:val="标准书眉_偶数页"/>
    <w:basedOn w:val="46"/>
    <w:next w:val="1"/>
    <w:qFormat/>
    <w:uiPriority w:val="0"/>
    <w:pPr>
      <w:jc w:val="left"/>
    </w:pPr>
  </w:style>
  <w:style w:type="paragraph" w:customStyle="1" w:styleId="72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3">
    <w:name w:val="参考文献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4">
    <w:name w:val="参考文献、索引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5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6">
    <w:name w:val="发布部门"/>
    <w:next w:val="24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7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8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0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1">
    <w:name w:val="封面标准英文名称"/>
    <w:basedOn w:val="80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2">
    <w:name w:val="封面一致性程度标识"/>
    <w:basedOn w:val="81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3">
    <w:name w:val="封面标准文稿类别"/>
    <w:basedOn w:val="82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4">
    <w:name w:val="封面标准文稿编辑信息"/>
    <w:basedOn w:val="83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85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6">
    <w:name w:val="附录标识"/>
    <w:basedOn w:val="1"/>
    <w:next w:val="24"/>
    <w:qFormat/>
    <w:uiPriority w:val="0"/>
    <w:pPr>
      <w:keepNext/>
      <w:widowControl/>
      <w:numPr>
        <w:ilvl w:val="0"/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7">
    <w:name w:val="附录标题"/>
    <w:basedOn w:val="24"/>
    <w:next w:val="2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8">
    <w:name w:val="附录表标号"/>
    <w:basedOn w:val="1"/>
    <w:next w:val="24"/>
    <w:qFormat/>
    <w:uiPriority w:val="0"/>
    <w:pPr>
      <w:numPr>
        <w:ilvl w:val="0"/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9">
    <w:name w:val="附录表标题"/>
    <w:basedOn w:val="1"/>
    <w:next w:val="24"/>
    <w:qFormat/>
    <w:uiPriority w:val="0"/>
    <w:pPr>
      <w:numPr>
        <w:ilvl w:val="1"/>
        <w:numId w:val="12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0">
    <w:name w:val="附录二级条标题"/>
    <w:basedOn w:val="1"/>
    <w:next w:val="24"/>
    <w:qFormat/>
    <w:uiPriority w:val="0"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91">
    <w:name w:val="附录二级无"/>
    <w:basedOn w:val="90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2">
    <w:name w:val="附录公式"/>
    <w:basedOn w:val="24"/>
    <w:next w:val="24"/>
    <w:link w:val="93"/>
    <w:qFormat/>
    <w:uiPriority w:val="0"/>
  </w:style>
  <w:style w:type="character" w:customStyle="1" w:styleId="93">
    <w:name w:val="附录公式 Char"/>
    <w:basedOn w:val="43"/>
    <w:link w:val="92"/>
    <w:qFormat/>
    <w:uiPriority w:val="0"/>
    <w:rPr>
      <w:rFonts w:ascii="宋体"/>
      <w:sz w:val="21"/>
      <w:lang w:val="en-US" w:eastAsia="zh-CN" w:bidi="ar-SA"/>
    </w:rPr>
  </w:style>
  <w:style w:type="paragraph" w:customStyle="1" w:styleId="94">
    <w:name w:val="附录公式编号制表符"/>
    <w:basedOn w:val="1"/>
    <w:next w:val="2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5">
    <w:name w:val="附录三级条标题"/>
    <w:basedOn w:val="90"/>
    <w:next w:val="24"/>
    <w:qFormat/>
    <w:uiPriority w:val="0"/>
    <w:pPr>
      <w:numPr>
        <w:ilvl w:val="4"/>
      </w:numPr>
      <w:outlineLvl w:val="4"/>
    </w:pPr>
  </w:style>
  <w:style w:type="paragraph" w:customStyle="1" w:styleId="96">
    <w:name w:val="附录三级无"/>
    <w:basedOn w:val="9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7">
    <w:name w:val="附录数字编号列项（二级）"/>
    <w:qFormat/>
    <w:uiPriority w:val="0"/>
    <w:pPr>
      <w:numPr>
        <w:ilvl w:val="1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8">
    <w:name w:val="附录四级条标题"/>
    <w:basedOn w:val="95"/>
    <w:next w:val="24"/>
    <w:qFormat/>
    <w:uiPriority w:val="0"/>
    <w:pPr>
      <w:numPr>
        <w:ilvl w:val="5"/>
      </w:numPr>
      <w:outlineLvl w:val="5"/>
    </w:pPr>
  </w:style>
  <w:style w:type="paragraph" w:customStyle="1" w:styleId="99">
    <w:name w:val="附录四级无"/>
    <w:basedOn w:val="9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0">
    <w:name w:val="附录图标号"/>
    <w:basedOn w:val="1"/>
    <w:qFormat/>
    <w:uiPriority w:val="0"/>
    <w:pPr>
      <w:keepNext/>
      <w:pageBreakBefore/>
      <w:widowControl/>
      <w:numPr>
        <w:ilvl w:val="0"/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01">
    <w:name w:val="附录图标题"/>
    <w:basedOn w:val="1"/>
    <w:next w:val="24"/>
    <w:qFormat/>
    <w:uiPriority w:val="0"/>
    <w:pPr>
      <w:numPr>
        <w:ilvl w:val="1"/>
        <w:numId w:val="1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02">
    <w:name w:val="附录五级条标题"/>
    <w:basedOn w:val="98"/>
    <w:next w:val="24"/>
    <w:qFormat/>
    <w:uiPriority w:val="0"/>
    <w:pPr>
      <w:numPr>
        <w:ilvl w:val="6"/>
      </w:numPr>
      <w:outlineLvl w:val="6"/>
    </w:pPr>
  </w:style>
  <w:style w:type="paragraph" w:customStyle="1" w:styleId="103">
    <w:name w:val="附录五级无"/>
    <w:basedOn w:val="102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4">
    <w:name w:val="附录章标题"/>
    <w:next w:val="24"/>
    <w:qFormat/>
    <w:uiPriority w:val="0"/>
    <w:pPr>
      <w:numPr>
        <w:ilvl w:val="1"/>
        <w:numId w:val="11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5">
    <w:name w:val="附录一级条标题"/>
    <w:basedOn w:val="104"/>
    <w:next w:val="24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06">
    <w:name w:val="附录一级无"/>
    <w:basedOn w:val="10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7">
    <w:name w:val="附录字母编号列项（一级）"/>
    <w:qFormat/>
    <w:uiPriority w:val="0"/>
    <w:pPr>
      <w:numPr>
        <w:ilvl w:val="0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9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0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其他标准标志"/>
    <w:basedOn w:val="68"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2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3">
    <w:name w:val="其他发布部门"/>
    <w:basedOn w:val="76"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14">
    <w:name w:val="前言、引言标题"/>
    <w:next w:val="24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5">
    <w:name w:val="三级无"/>
    <w:basedOn w:val="53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6">
    <w:name w:val="实施日期"/>
    <w:qFormat/>
    <w:uiPriority w:val="0"/>
    <w:pPr>
      <w:framePr w:w="3997" w:h="471" w:hRule="exact" w:vSpace="181" w:wrap="around" w:vAnchor="page" w:hAnchor="page" w:x="7089" w:y="14097"/>
      <w:jc w:val="right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17">
    <w:name w:val="示例后文字"/>
    <w:basedOn w:val="24"/>
    <w:next w:val="24"/>
    <w:qFormat/>
    <w:uiPriority w:val="0"/>
    <w:pPr>
      <w:ind w:firstLine="360"/>
    </w:pPr>
    <w:rPr>
      <w:sz w:val="18"/>
    </w:rPr>
  </w:style>
  <w:style w:type="paragraph" w:customStyle="1" w:styleId="118">
    <w:name w:val="首示例"/>
    <w:next w:val="24"/>
    <w:link w:val="119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9">
    <w:name w:val="首示例 Char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20">
    <w:name w:val="四级无"/>
    <w:basedOn w:val="57"/>
    <w:uiPriority w:val="0"/>
    <w:pPr>
      <w:spacing w:beforeLines="0" w:afterLines="0"/>
    </w:pPr>
    <w:rPr>
      <w:rFonts w:ascii="宋体" w:eastAsia="宋体"/>
    </w:rPr>
  </w:style>
  <w:style w:type="paragraph" w:customStyle="1" w:styleId="121">
    <w:name w:val="条文脚注"/>
    <w:basedOn w:val="25"/>
    <w:qFormat/>
    <w:uiPriority w:val="0"/>
    <w:pPr>
      <w:numPr>
        <w:numId w:val="0"/>
      </w:numPr>
      <w:jc w:val="both"/>
    </w:pPr>
  </w:style>
  <w:style w:type="paragraph" w:customStyle="1" w:styleId="122">
    <w:name w:val="图标脚注说明"/>
    <w:basedOn w:val="2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23">
    <w:name w:val="图表脚注说明"/>
    <w:basedOn w:val="1"/>
    <w:qFormat/>
    <w:uiPriority w:val="0"/>
    <w:pPr>
      <w:numPr>
        <w:ilvl w:val="0"/>
        <w:numId w:val="15"/>
      </w:numPr>
    </w:pPr>
    <w:rPr>
      <w:rFonts w:ascii="宋体"/>
      <w:sz w:val="18"/>
      <w:szCs w:val="18"/>
    </w:rPr>
  </w:style>
  <w:style w:type="paragraph" w:customStyle="1" w:styleId="124">
    <w:name w:val="图的脚注"/>
    <w:next w:val="24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5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6">
    <w:name w:val="五级无"/>
    <w:basedOn w:val="58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7">
    <w:name w:val="一级无"/>
    <w:basedOn w:val="44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8">
    <w:name w:val="正文表标题"/>
    <w:next w:val="24"/>
    <w:qFormat/>
    <w:uiPriority w:val="0"/>
    <w:pPr>
      <w:numPr>
        <w:ilvl w:val="0"/>
        <w:numId w:val="16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9">
    <w:name w:val="正文公式编号制表符"/>
    <w:basedOn w:val="24"/>
    <w:next w:val="24"/>
    <w:qFormat/>
    <w:uiPriority w:val="0"/>
    <w:pPr>
      <w:ind w:firstLine="0" w:firstLineChars="0"/>
    </w:pPr>
  </w:style>
  <w:style w:type="paragraph" w:customStyle="1" w:styleId="130">
    <w:name w:val="正文图标题"/>
    <w:next w:val="24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1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32">
    <w:name w:val="其他发布日期"/>
    <w:qFormat/>
    <w:uiPriority w:val="0"/>
    <w:pPr>
      <w:framePr w:w="3997" w:h="471" w:hRule="exact" w:vSpace="181" w:wrap="around" w:vAnchor="page" w:hAnchor="page" w:x="141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33">
    <w:name w:val="其他实施日期"/>
    <w:basedOn w:val="116"/>
    <w:qFormat/>
    <w:uiPriority w:val="0"/>
    <w:pPr>
      <w:framePr w:wrap="around"/>
    </w:pPr>
  </w:style>
  <w:style w:type="paragraph" w:customStyle="1" w:styleId="134">
    <w:name w:val="封面标准名称2"/>
    <w:basedOn w:val="80"/>
    <w:uiPriority w:val="0"/>
    <w:pPr>
      <w:framePr w:wrap="around" w:y="4469"/>
      <w:spacing w:beforeLines="630"/>
    </w:pPr>
  </w:style>
  <w:style w:type="paragraph" w:customStyle="1" w:styleId="135">
    <w:name w:val="封面标准英文名称2"/>
    <w:basedOn w:val="81"/>
    <w:qFormat/>
    <w:uiPriority w:val="0"/>
    <w:pPr>
      <w:framePr w:wrap="around" w:y="4469"/>
    </w:pPr>
  </w:style>
  <w:style w:type="paragraph" w:customStyle="1" w:styleId="136">
    <w:name w:val="封面一致性程度标识2"/>
    <w:basedOn w:val="82"/>
    <w:qFormat/>
    <w:uiPriority w:val="0"/>
    <w:pPr>
      <w:framePr w:wrap="around" w:y="4469"/>
    </w:pPr>
  </w:style>
  <w:style w:type="paragraph" w:customStyle="1" w:styleId="137">
    <w:name w:val="封面标准文稿类别2"/>
    <w:basedOn w:val="83"/>
    <w:qFormat/>
    <w:uiPriority w:val="0"/>
    <w:pPr>
      <w:framePr w:wrap="around" w:y="4469"/>
    </w:pPr>
  </w:style>
  <w:style w:type="paragraph" w:customStyle="1" w:styleId="138">
    <w:name w:val="封面标准文稿编辑信息2"/>
    <w:basedOn w:val="84"/>
    <w:qFormat/>
    <w:uiPriority w:val="0"/>
    <w:pPr>
      <w:framePr w:wrap="around" w:y="4469"/>
    </w:pPr>
  </w:style>
  <w:style w:type="paragraph" w:customStyle="1" w:styleId="139">
    <w:name w:val="标准名称"/>
    <w:basedOn w:val="52"/>
    <w:link w:val="142"/>
    <w:qFormat/>
    <w:uiPriority w:val="0"/>
  </w:style>
  <w:style w:type="character" w:styleId="140">
    <w:name w:val="Placeholder Text"/>
    <w:basedOn w:val="35"/>
    <w:semiHidden/>
    <w:qFormat/>
    <w:uiPriority w:val="99"/>
    <w:rPr>
      <w:color w:val="808080"/>
    </w:rPr>
  </w:style>
  <w:style w:type="character" w:customStyle="1" w:styleId="141">
    <w:name w:val="目次、标准名称标题 Char"/>
    <w:basedOn w:val="35"/>
    <w:link w:val="52"/>
    <w:qFormat/>
    <w:uiPriority w:val="0"/>
    <w:rPr>
      <w:rFonts w:ascii="黑体" w:eastAsia="黑体"/>
      <w:sz w:val="32"/>
      <w:shd w:val="clear" w:color="FFFFFF" w:fill="FFFFFF"/>
    </w:rPr>
  </w:style>
  <w:style w:type="character" w:customStyle="1" w:styleId="142">
    <w:name w:val="标准名称 Char"/>
    <w:basedOn w:val="141"/>
    <w:link w:val="139"/>
    <w:uiPriority w:val="0"/>
    <w:rPr>
      <w:rFonts w:ascii="黑体" w:eastAsia="黑体"/>
      <w:sz w:val="32"/>
      <w:shd w:val="clear" w:color="FFFFFF" w:fill="FFFFFF"/>
    </w:rPr>
  </w:style>
  <w:style w:type="character" w:customStyle="1" w:styleId="143">
    <w:name w:val="批注框文本 Char"/>
    <w:basedOn w:val="35"/>
    <w:link w:val="17"/>
    <w:uiPriority w:val="0"/>
    <w:rPr>
      <w:kern w:val="2"/>
      <w:sz w:val="18"/>
      <w:szCs w:val="18"/>
    </w:rPr>
  </w:style>
  <w:style w:type="paragraph" w:styleId="144">
    <w:name w:val="List Paragraph"/>
    <w:basedOn w:val="1"/>
    <w:qFormat/>
    <w:uiPriority w:val="99"/>
    <w:pPr>
      <w:ind w:firstLine="420" w:firstLineChars="200"/>
    </w:pPr>
  </w:style>
  <w:style w:type="character" w:customStyle="1" w:styleId="145">
    <w:name w:val="ft161"/>
    <w:basedOn w:val="35"/>
    <w:uiPriority w:val="0"/>
    <w:rPr>
      <w:rFonts w:ascii="黑体" w:hAnsi="黑体" w:eastAsia="黑体" w:cs="黑体"/>
      <w:sz w:val="16"/>
      <w:szCs w:val="16"/>
    </w:rPr>
  </w:style>
  <w:style w:type="character" w:customStyle="1" w:styleId="146">
    <w:name w:val="ft151"/>
    <w:basedOn w:val="35"/>
    <w:qFormat/>
    <w:uiPriority w:val="0"/>
    <w:rPr>
      <w:rFonts w:ascii="黑体" w:hAnsi="黑体" w:eastAsia="黑体" w:cs="黑体"/>
      <w:sz w:val="16"/>
      <w:szCs w:val="16"/>
    </w:rPr>
  </w:style>
  <w:style w:type="character" w:customStyle="1" w:styleId="147">
    <w:name w:val="章标题 Char"/>
    <w:basedOn w:val="35"/>
    <w:link w:val="47"/>
    <w:qFormat/>
    <w:uiPriority w:val="99"/>
    <w:rPr>
      <w:rFonts w:ascii="黑体" w:eastAsia="黑体"/>
      <w:sz w:val="21"/>
    </w:rPr>
  </w:style>
  <w:style w:type="paragraph" w:customStyle="1" w:styleId="148">
    <w:name w:val="HTML 预设格式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Arial Unicode MS" w:hAnsi="Arial Unicode MS" w:eastAsia="Arial Unicode MS"/>
      <w:kern w:val="0"/>
      <w:sz w:val="20"/>
      <w:szCs w:val="20"/>
    </w:rPr>
  </w:style>
  <w:style w:type="character" w:customStyle="1" w:styleId="149">
    <w:name w:val="Unresolved Mention"/>
    <w:basedOn w:val="35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0">
    <w:name w:val="p0"/>
    <w:basedOn w:val="1"/>
    <w:qFormat/>
    <w:uiPriority w:val="0"/>
    <w:pPr>
      <w:widowControl/>
      <w:spacing w:line="365" w:lineRule="atLeast"/>
      <w:ind w:left="1"/>
    </w:pPr>
    <w:rPr>
      <w:kern w:val="0"/>
      <w:sz w:val="20"/>
      <w:szCs w:val="20"/>
    </w:rPr>
  </w:style>
  <w:style w:type="character" w:customStyle="1" w:styleId="151">
    <w:name w:val="纯文本 Char"/>
    <w:link w:val="1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2">
    <w:name w:val="纯文本 Char1"/>
    <w:basedOn w:val="35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3">
    <w:name w:val="三级条标题 Char"/>
    <w:link w:val="53"/>
    <w:qFormat/>
    <w:uiPriority w:val="0"/>
    <w:rPr>
      <w:rFonts w:ascii="黑体" w:eastAsia="黑体"/>
      <w:sz w:val="21"/>
      <w:szCs w:val="21"/>
    </w:rPr>
  </w:style>
  <w:style w:type="character" w:customStyle="1" w:styleId="154">
    <w:name w:val="fontstyle21"/>
    <w:basedOn w:val="35"/>
    <w:qFormat/>
    <w:uiPriority w:val="0"/>
    <w:rPr>
      <w:rFonts w:ascii="宋体" w:hAnsi="宋体" w:eastAsia="宋体" w:cs="Times New Roman"/>
      <w:color w:val="000000"/>
      <w:sz w:val="22"/>
      <w:szCs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1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8989F2-0355-49D4-BDA6-4D56B5D374C0}"/>
      </w:docPartPr>
      <w:docPartBody>
        <w:p>
          <w:pPr>
            <w:pStyle w:val="7"/>
          </w:pPr>
          <w:r>
            <w:rPr>
              <w:rStyle w:val="4"/>
              <w:rFonts w:hint="eastAsia"/>
            </w:rPr>
            <w:t>标准名称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</w:compat>
  <w:rsids>
    <w:rsidRoot w:val="004F113A"/>
    <w:rsid w:val="0002647A"/>
    <w:rsid w:val="0002653F"/>
    <w:rsid w:val="00080DE3"/>
    <w:rsid w:val="00087E40"/>
    <w:rsid w:val="000969E7"/>
    <w:rsid w:val="000A5D49"/>
    <w:rsid w:val="000C73CF"/>
    <w:rsid w:val="000D5CFA"/>
    <w:rsid w:val="001132F9"/>
    <w:rsid w:val="00114ABC"/>
    <w:rsid w:val="00180D03"/>
    <w:rsid w:val="001A084E"/>
    <w:rsid w:val="001B2FD2"/>
    <w:rsid w:val="001C16E0"/>
    <w:rsid w:val="001D0C06"/>
    <w:rsid w:val="001E06E3"/>
    <w:rsid w:val="002068C7"/>
    <w:rsid w:val="002179D0"/>
    <w:rsid w:val="002C3CA4"/>
    <w:rsid w:val="00323E80"/>
    <w:rsid w:val="00327F46"/>
    <w:rsid w:val="003372E5"/>
    <w:rsid w:val="003750AF"/>
    <w:rsid w:val="003866D6"/>
    <w:rsid w:val="003C7286"/>
    <w:rsid w:val="003F2949"/>
    <w:rsid w:val="0041521A"/>
    <w:rsid w:val="00430F92"/>
    <w:rsid w:val="004F113A"/>
    <w:rsid w:val="004F1EC5"/>
    <w:rsid w:val="00510B8C"/>
    <w:rsid w:val="00515A81"/>
    <w:rsid w:val="005335DD"/>
    <w:rsid w:val="00595E09"/>
    <w:rsid w:val="005B1FCC"/>
    <w:rsid w:val="005B406D"/>
    <w:rsid w:val="00674FBA"/>
    <w:rsid w:val="006A32C1"/>
    <w:rsid w:val="006A78E5"/>
    <w:rsid w:val="006D02E4"/>
    <w:rsid w:val="006E4645"/>
    <w:rsid w:val="0071460F"/>
    <w:rsid w:val="007216E9"/>
    <w:rsid w:val="00722CA3"/>
    <w:rsid w:val="007C6ACB"/>
    <w:rsid w:val="007D6CD2"/>
    <w:rsid w:val="007E2797"/>
    <w:rsid w:val="00800293"/>
    <w:rsid w:val="00820E7E"/>
    <w:rsid w:val="00824952"/>
    <w:rsid w:val="00874060"/>
    <w:rsid w:val="008E024D"/>
    <w:rsid w:val="008F0268"/>
    <w:rsid w:val="00902EF8"/>
    <w:rsid w:val="00982DAC"/>
    <w:rsid w:val="009B16B1"/>
    <w:rsid w:val="00A17ACD"/>
    <w:rsid w:val="00A94E45"/>
    <w:rsid w:val="00AB56E2"/>
    <w:rsid w:val="00AD6808"/>
    <w:rsid w:val="00B717AC"/>
    <w:rsid w:val="00BC67AA"/>
    <w:rsid w:val="00C56FB8"/>
    <w:rsid w:val="00C875D2"/>
    <w:rsid w:val="00CB0B2B"/>
    <w:rsid w:val="00D4454B"/>
    <w:rsid w:val="00D65DD7"/>
    <w:rsid w:val="00D73899"/>
    <w:rsid w:val="00DA4409"/>
    <w:rsid w:val="00DC28FD"/>
    <w:rsid w:val="00DE4404"/>
    <w:rsid w:val="00DF1B0E"/>
    <w:rsid w:val="00E95A08"/>
    <w:rsid w:val="00EA15BD"/>
    <w:rsid w:val="00EA32AC"/>
    <w:rsid w:val="00F859C8"/>
    <w:rsid w:val="00F93653"/>
    <w:rsid w:val="00FF0B73"/>
    <w:rsid w:val="00FF0E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cs="Times New Roman" w:asciiTheme="minorHAnsi" w:hAnsiTheme="minorHAnsi" w:eastAsiaTheme="minorEastAsia"/>
      <w:kern w:val="2"/>
      <w:sz w:val="3276"/>
      <w:szCs w:val="3276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111"/>
    <w:qFormat/>
    <w:uiPriority w:val="0"/>
    <w:pPr>
      <w:widowControl w:val="0"/>
      <w:jc w:val="both"/>
    </w:pPr>
    <w:rPr>
      <w:rFonts w:cs="Times New Roman" w:asciiTheme="minorHAnsi" w:hAnsiTheme="minorHAnsi" w:eastAsiaTheme="minorEastAsia"/>
      <w:kern w:val="2"/>
      <w:sz w:val="3276"/>
      <w:szCs w:val="3276"/>
      <w:lang w:val="en-US" w:eastAsia="zh-CN" w:bidi="ar-SA"/>
    </w:rPr>
  </w:style>
  <w:style w:type="paragraph" w:customStyle="1" w:styleId="6">
    <w:name w:val="1111"/>
    <w:qFormat/>
    <w:uiPriority w:val="0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">
    <w:name w:val="1112"/>
    <w:qFormat/>
    <w:uiPriority w:val="0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0922-DE26-4077-8726-93ED2E8726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zle</Company>
  <Pages>8</Pages>
  <Words>3386</Words>
  <Characters>3997</Characters>
  <Lines>28</Lines>
  <Paragraphs>7</Paragraphs>
  <TotalTime>4</TotalTime>
  <ScaleCrop>false</ScaleCrop>
  <LinksUpToDate>false</LinksUpToDate>
  <CharactersWithSpaces>4106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2021-01-06T07:06:00Z</dcterms:created>
  <dc:creator>CNIS</dc:creator>
  <cp:lastModifiedBy>readhzg0308</cp:lastModifiedBy>
  <cp:lastPrinted>2020-12-16T06:34:00Z</cp:lastPrinted>
  <dcterms:modified xsi:type="dcterms:W3CDTF">2023-08-17T14:55:20Z</dcterms:modified>
  <dc:title>标准名称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FF034F093A654FBCBC3AE7F49B84B07A_13</vt:lpwstr>
  </property>
</Properties>
</file>