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1181" w:rsidRDefault="00651181">
      <w:pPr>
        <w:spacing w:line="360" w:lineRule="auto"/>
        <w:ind w:firstLine="880"/>
        <w:jc w:val="center"/>
        <w:rPr>
          <w:rFonts w:ascii="Times New Roman" w:eastAsia="黑体" w:hAnsi="Times New Roman"/>
          <w:bCs/>
          <w:sz w:val="44"/>
          <w:szCs w:val="44"/>
        </w:rPr>
      </w:pPr>
    </w:p>
    <w:p w:rsidR="00651181" w:rsidRDefault="00651181">
      <w:pPr>
        <w:spacing w:line="360" w:lineRule="auto"/>
        <w:ind w:firstLine="880"/>
        <w:jc w:val="center"/>
        <w:rPr>
          <w:rFonts w:ascii="Times New Roman" w:eastAsia="黑体" w:hAnsi="Times New Roman"/>
          <w:bCs/>
          <w:sz w:val="44"/>
          <w:szCs w:val="44"/>
        </w:rPr>
      </w:pPr>
    </w:p>
    <w:p w:rsidR="00651181" w:rsidRDefault="00027E46">
      <w:pPr>
        <w:spacing w:line="360" w:lineRule="auto"/>
        <w:ind w:firstLine="880"/>
        <w:jc w:val="center"/>
        <w:rPr>
          <w:rFonts w:ascii="Times New Roman" w:eastAsia="黑体" w:hAnsi="Times New Roman"/>
          <w:bCs/>
          <w:sz w:val="44"/>
          <w:szCs w:val="44"/>
        </w:rPr>
      </w:pPr>
      <w:r>
        <w:rPr>
          <w:rFonts w:ascii="Times New Roman" w:eastAsia="黑体" w:hAnsi="Times New Roman" w:hint="eastAsia"/>
          <w:bCs/>
          <w:sz w:val="44"/>
          <w:szCs w:val="44"/>
        </w:rPr>
        <w:t>湖南省地方标准</w:t>
      </w:r>
    </w:p>
    <w:p w:rsidR="00651181" w:rsidRDefault="00027E46">
      <w:pPr>
        <w:spacing w:line="360" w:lineRule="auto"/>
        <w:ind w:firstLine="880"/>
        <w:jc w:val="center"/>
        <w:rPr>
          <w:rFonts w:ascii="Times New Roman" w:eastAsia="黑体" w:hAnsi="Times New Roman"/>
          <w:bCs/>
          <w:sz w:val="44"/>
          <w:szCs w:val="44"/>
        </w:rPr>
      </w:pPr>
      <w:r>
        <w:rPr>
          <w:rFonts w:ascii="Times New Roman" w:eastAsia="黑体" w:hAnsi="Times New Roman"/>
          <w:bCs/>
          <w:sz w:val="44"/>
          <w:szCs w:val="44"/>
        </w:rPr>
        <w:t>《</w:t>
      </w:r>
      <w:r>
        <w:rPr>
          <w:rFonts w:ascii="Times New Roman" w:eastAsia="黑体" w:hAnsi="Times New Roman" w:hint="eastAsia"/>
          <w:bCs/>
          <w:sz w:val="44"/>
          <w:szCs w:val="44"/>
        </w:rPr>
        <w:t>灌注式半柔性复合面层沥青路面</w:t>
      </w:r>
    </w:p>
    <w:p w:rsidR="00651181" w:rsidRDefault="00027E46">
      <w:pPr>
        <w:spacing w:line="360" w:lineRule="auto"/>
        <w:ind w:firstLine="880"/>
        <w:jc w:val="center"/>
        <w:rPr>
          <w:rFonts w:ascii="Times New Roman" w:eastAsia="黑体" w:hAnsi="Times New Roman"/>
          <w:bCs/>
          <w:sz w:val="44"/>
          <w:szCs w:val="44"/>
        </w:rPr>
      </w:pPr>
      <w:r>
        <w:rPr>
          <w:rFonts w:ascii="Times New Roman" w:eastAsia="黑体" w:hAnsi="Times New Roman" w:hint="eastAsia"/>
          <w:bCs/>
          <w:sz w:val="44"/>
          <w:szCs w:val="44"/>
        </w:rPr>
        <w:t>应用技术规范</w:t>
      </w:r>
      <w:r>
        <w:rPr>
          <w:rFonts w:ascii="Times New Roman" w:eastAsia="黑体" w:hAnsi="Times New Roman"/>
          <w:bCs/>
          <w:sz w:val="44"/>
          <w:szCs w:val="44"/>
        </w:rPr>
        <w:t>》</w:t>
      </w:r>
    </w:p>
    <w:p w:rsidR="00651181" w:rsidRDefault="00651181">
      <w:pPr>
        <w:spacing w:line="360" w:lineRule="auto"/>
        <w:ind w:firstLine="880"/>
        <w:jc w:val="center"/>
        <w:rPr>
          <w:rFonts w:ascii="Times New Roman" w:eastAsia="黑体" w:hAnsi="Times New Roman"/>
          <w:bCs/>
          <w:sz w:val="44"/>
          <w:szCs w:val="44"/>
        </w:rPr>
      </w:pPr>
    </w:p>
    <w:p w:rsidR="00651181" w:rsidRDefault="00651181">
      <w:pPr>
        <w:spacing w:line="360" w:lineRule="auto"/>
        <w:ind w:firstLine="880"/>
        <w:jc w:val="center"/>
        <w:rPr>
          <w:rFonts w:ascii="Times New Roman" w:eastAsia="黑体" w:hAnsi="Times New Roman"/>
          <w:bCs/>
          <w:sz w:val="44"/>
          <w:szCs w:val="44"/>
        </w:rPr>
      </w:pPr>
    </w:p>
    <w:p w:rsidR="00651181" w:rsidRDefault="00651181">
      <w:pPr>
        <w:spacing w:line="360" w:lineRule="auto"/>
        <w:ind w:firstLine="880"/>
        <w:jc w:val="center"/>
        <w:rPr>
          <w:rFonts w:ascii="Times New Roman" w:eastAsia="黑体" w:hAnsi="Times New Roman"/>
          <w:bCs/>
          <w:sz w:val="44"/>
          <w:szCs w:val="44"/>
        </w:rPr>
      </w:pPr>
    </w:p>
    <w:p w:rsidR="00651181" w:rsidRDefault="00651181">
      <w:pPr>
        <w:spacing w:line="360" w:lineRule="auto"/>
        <w:ind w:firstLine="880"/>
        <w:jc w:val="center"/>
        <w:rPr>
          <w:rFonts w:ascii="Times New Roman" w:eastAsia="黑体" w:hAnsi="Times New Roman"/>
          <w:bCs/>
          <w:sz w:val="44"/>
          <w:szCs w:val="44"/>
        </w:rPr>
      </w:pPr>
    </w:p>
    <w:p w:rsidR="00651181" w:rsidRDefault="00651181">
      <w:pPr>
        <w:spacing w:line="360" w:lineRule="auto"/>
        <w:ind w:firstLine="880"/>
        <w:jc w:val="center"/>
        <w:rPr>
          <w:rFonts w:ascii="Times New Roman" w:eastAsia="黑体" w:hAnsi="Times New Roman"/>
          <w:bCs/>
          <w:sz w:val="44"/>
          <w:szCs w:val="44"/>
        </w:rPr>
      </w:pPr>
    </w:p>
    <w:p w:rsidR="00651181" w:rsidRDefault="00027E46">
      <w:pPr>
        <w:spacing w:line="360" w:lineRule="auto"/>
        <w:ind w:firstLine="880"/>
        <w:jc w:val="center"/>
        <w:rPr>
          <w:rFonts w:ascii="Times New Roman" w:eastAsia="黑体" w:hAnsi="Times New Roman"/>
          <w:bCs/>
          <w:sz w:val="48"/>
          <w:szCs w:val="48"/>
        </w:rPr>
      </w:pPr>
      <w:r>
        <w:rPr>
          <w:rFonts w:ascii="Times New Roman" w:eastAsia="黑体" w:hAnsi="Times New Roman"/>
          <w:bCs/>
          <w:sz w:val="48"/>
          <w:szCs w:val="48"/>
        </w:rPr>
        <w:t>编</w:t>
      </w:r>
      <w:r>
        <w:rPr>
          <w:rFonts w:ascii="Times New Roman" w:eastAsia="黑体" w:hAnsi="Times New Roman"/>
          <w:bCs/>
          <w:sz w:val="48"/>
          <w:szCs w:val="48"/>
        </w:rPr>
        <w:t xml:space="preserve">  </w:t>
      </w:r>
      <w:r>
        <w:rPr>
          <w:rFonts w:ascii="Times New Roman" w:eastAsia="黑体" w:hAnsi="Times New Roman"/>
          <w:bCs/>
          <w:sz w:val="48"/>
          <w:szCs w:val="48"/>
        </w:rPr>
        <w:t>制</w:t>
      </w:r>
      <w:r>
        <w:rPr>
          <w:rFonts w:ascii="Times New Roman" w:eastAsia="黑体" w:hAnsi="Times New Roman"/>
          <w:bCs/>
          <w:sz w:val="48"/>
          <w:szCs w:val="48"/>
        </w:rPr>
        <w:t xml:space="preserve">  </w:t>
      </w:r>
      <w:r>
        <w:rPr>
          <w:rFonts w:ascii="Times New Roman" w:eastAsia="黑体" w:hAnsi="Times New Roman"/>
          <w:bCs/>
          <w:sz w:val="48"/>
          <w:szCs w:val="48"/>
        </w:rPr>
        <w:t>说</w:t>
      </w:r>
      <w:r>
        <w:rPr>
          <w:rFonts w:ascii="Times New Roman" w:eastAsia="黑体" w:hAnsi="Times New Roman"/>
          <w:bCs/>
          <w:sz w:val="48"/>
          <w:szCs w:val="48"/>
        </w:rPr>
        <w:t xml:space="preserve">  </w:t>
      </w:r>
      <w:r>
        <w:rPr>
          <w:rFonts w:ascii="Times New Roman" w:eastAsia="黑体" w:hAnsi="Times New Roman"/>
          <w:bCs/>
          <w:sz w:val="48"/>
          <w:szCs w:val="48"/>
        </w:rPr>
        <w:t>明</w:t>
      </w:r>
    </w:p>
    <w:p w:rsidR="00651181" w:rsidRDefault="00651181">
      <w:pPr>
        <w:spacing w:line="360" w:lineRule="auto"/>
        <w:ind w:firstLine="640"/>
        <w:rPr>
          <w:rFonts w:ascii="Times New Roman" w:eastAsia="仿宋_GB2312" w:hAnsi="Times New Roman"/>
          <w:b/>
          <w:bCs/>
          <w:sz w:val="32"/>
          <w:szCs w:val="32"/>
        </w:rPr>
      </w:pPr>
    </w:p>
    <w:p w:rsidR="00651181" w:rsidRDefault="00651181">
      <w:pPr>
        <w:spacing w:line="360" w:lineRule="auto"/>
        <w:ind w:firstLine="640"/>
        <w:rPr>
          <w:rFonts w:ascii="Times New Roman" w:eastAsia="仿宋_GB2312" w:hAnsi="Times New Roman"/>
          <w:b/>
          <w:bCs/>
          <w:sz w:val="32"/>
          <w:szCs w:val="32"/>
        </w:rPr>
      </w:pPr>
    </w:p>
    <w:p w:rsidR="00651181" w:rsidRDefault="00651181">
      <w:pPr>
        <w:spacing w:line="360" w:lineRule="auto"/>
        <w:ind w:firstLine="640"/>
        <w:rPr>
          <w:rFonts w:ascii="Times New Roman" w:eastAsia="仿宋_GB2312" w:hAnsi="Times New Roman"/>
          <w:b/>
          <w:bCs/>
          <w:sz w:val="32"/>
          <w:szCs w:val="32"/>
        </w:rPr>
      </w:pPr>
    </w:p>
    <w:p w:rsidR="00651181" w:rsidRDefault="00651181">
      <w:pPr>
        <w:spacing w:line="360" w:lineRule="auto"/>
        <w:ind w:firstLine="640"/>
        <w:rPr>
          <w:rFonts w:ascii="Times New Roman" w:eastAsia="仿宋_GB2312" w:hAnsi="Times New Roman"/>
          <w:b/>
          <w:bCs/>
          <w:sz w:val="32"/>
          <w:szCs w:val="32"/>
        </w:rPr>
      </w:pPr>
    </w:p>
    <w:p w:rsidR="00651181" w:rsidRDefault="00651181">
      <w:pPr>
        <w:spacing w:line="360" w:lineRule="auto"/>
        <w:ind w:firstLine="640"/>
        <w:rPr>
          <w:rFonts w:ascii="Times New Roman" w:eastAsia="仿宋_GB2312" w:hAnsi="Times New Roman"/>
          <w:b/>
          <w:bCs/>
          <w:sz w:val="32"/>
          <w:szCs w:val="32"/>
        </w:rPr>
      </w:pPr>
    </w:p>
    <w:p w:rsidR="00651181" w:rsidRDefault="00651181">
      <w:pPr>
        <w:spacing w:line="360" w:lineRule="auto"/>
        <w:ind w:firstLine="640"/>
        <w:rPr>
          <w:rFonts w:ascii="Times New Roman" w:eastAsia="仿宋_GB2312" w:hAnsi="Times New Roman"/>
          <w:b/>
          <w:bCs/>
          <w:sz w:val="32"/>
          <w:szCs w:val="32"/>
        </w:rPr>
      </w:pPr>
    </w:p>
    <w:p w:rsidR="00651181" w:rsidRDefault="00027E46">
      <w:pPr>
        <w:spacing w:line="360" w:lineRule="auto"/>
        <w:ind w:firstLine="640"/>
        <w:jc w:val="center"/>
        <w:rPr>
          <w:rFonts w:ascii="Times New Roman" w:eastAsia="仿宋_GB2312" w:hAnsi="Times New Roman"/>
          <w:b/>
          <w:bCs/>
          <w:sz w:val="32"/>
          <w:szCs w:val="32"/>
        </w:rPr>
      </w:pPr>
      <w:r>
        <w:rPr>
          <w:rFonts w:ascii="Times New Roman" w:eastAsia="仿宋_GB2312" w:hAnsi="Times New Roman" w:hint="eastAsia"/>
          <w:b/>
          <w:bCs/>
          <w:sz w:val="32"/>
          <w:szCs w:val="32"/>
        </w:rPr>
        <w:t>标准编制组</w:t>
      </w:r>
    </w:p>
    <w:p w:rsidR="00651181" w:rsidRDefault="00027E46">
      <w:pPr>
        <w:spacing w:line="360" w:lineRule="auto"/>
        <w:ind w:firstLine="640"/>
        <w:jc w:val="center"/>
        <w:rPr>
          <w:rFonts w:ascii="Times New Roman" w:eastAsia="仿宋_GB2312" w:hAnsi="Times New Roman"/>
          <w:b/>
          <w:bCs/>
          <w:sz w:val="32"/>
          <w:szCs w:val="32"/>
        </w:rPr>
      </w:pPr>
      <w:r>
        <w:rPr>
          <w:rFonts w:ascii="Times New Roman" w:eastAsia="仿宋_GB2312" w:hAnsi="Times New Roman" w:hint="eastAsia"/>
          <w:b/>
          <w:bCs/>
          <w:sz w:val="32"/>
          <w:szCs w:val="32"/>
        </w:rPr>
        <w:t>2</w:t>
      </w:r>
      <w:r>
        <w:rPr>
          <w:rFonts w:ascii="Times New Roman" w:eastAsia="仿宋_GB2312" w:hAnsi="Times New Roman"/>
          <w:b/>
          <w:bCs/>
          <w:sz w:val="32"/>
          <w:szCs w:val="32"/>
        </w:rPr>
        <w:t>023</w:t>
      </w:r>
      <w:r>
        <w:rPr>
          <w:rFonts w:ascii="Times New Roman" w:eastAsia="仿宋_GB2312" w:hAnsi="Times New Roman" w:hint="eastAsia"/>
          <w:b/>
          <w:bCs/>
          <w:sz w:val="32"/>
          <w:szCs w:val="32"/>
        </w:rPr>
        <w:t>年</w:t>
      </w:r>
      <w:r>
        <w:rPr>
          <w:rFonts w:ascii="Times New Roman" w:eastAsia="仿宋_GB2312" w:hAnsi="Times New Roman" w:hint="eastAsia"/>
          <w:b/>
          <w:bCs/>
          <w:sz w:val="32"/>
          <w:szCs w:val="32"/>
        </w:rPr>
        <w:t>5</w:t>
      </w:r>
      <w:r>
        <w:rPr>
          <w:rFonts w:ascii="Times New Roman" w:eastAsia="仿宋_GB2312" w:hAnsi="Times New Roman" w:hint="eastAsia"/>
          <w:b/>
          <w:bCs/>
          <w:sz w:val="32"/>
          <w:szCs w:val="32"/>
        </w:rPr>
        <w:t>月</w:t>
      </w:r>
    </w:p>
    <w:p w:rsidR="00651181" w:rsidRDefault="00651181">
      <w:pPr>
        <w:spacing w:line="360" w:lineRule="auto"/>
        <w:ind w:firstLine="640"/>
        <w:rPr>
          <w:rFonts w:ascii="Times New Roman" w:eastAsia="仿宋_GB2312" w:hAnsi="Times New Roman"/>
          <w:b/>
          <w:bCs/>
          <w:sz w:val="32"/>
          <w:szCs w:val="32"/>
        </w:rPr>
      </w:pPr>
    </w:p>
    <w:p w:rsidR="00651181" w:rsidRDefault="00651181">
      <w:pPr>
        <w:widowControl/>
        <w:ind w:firstLine="752"/>
        <w:jc w:val="center"/>
        <w:rPr>
          <w:rFonts w:ascii="Times New Roman" w:eastAsia="黑体" w:hAnsi="Times New Roman"/>
          <w:color w:val="000000"/>
          <w:spacing w:val="8"/>
          <w:sz w:val="36"/>
          <w:szCs w:val="36"/>
        </w:rPr>
      </w:pPr>
      <w:bookmarkStart w:id="0" w:name="_Toc355448817"/>
    </w:p>
    <w:p w:rsidR="00651181" w:rsidRDefault="00651181">
      <w:pPr>
        <w:widowControl/>
        <w:ind w:firstLine="752"/>
        <w:jc w:val="center"/>
        <w:rPr>
          <w:rFonts w:ascii="Times New Roman" w:eastAsia="黑体" w:hAnsi="Times New Roman"/>
          <w:color w:val="000000"/>
          <w:spacing w:val="8"/>
          <w:sz w:val="36"/>
          <w:szCs w:val="36"/>
        </w:rPr>
      </w:pPr>
    </w:p>
    <w:p w:rsidR="00651181" w:rsidRDefault="00651181">
      <w:pPr>
        <w:widowControl/>
        <w:ind w:firstLine="752"/>
        <w:jc w:val="center"/>
        <w:rPr>
          <w:rFonts w:ascii="Times New Roman" w:eastAsia="黑体" w:hAnsi="Times New Roman"/>
          <w:color w:val="000000"/>
          <w:spacing w:val="8"/>
          <w:sz w:val="36"/>
          <w:szCs w:val="36"/>
        </w:rPr>
      </w:pPr>
    </w:p>
    <w:p w:rsidR="00651181" w:rsidRDefault="00027E46">
      <w:pPr>
        <w:widowControl/>
        <w:spacing w:line="360" w:lineRule="auto"/>
        <w:ind w:firstLine="752"/>
        <w:jc w:val="center"/>
        <w:rPr>
          <w:rFonts w:ascii="Times New Roman" w:eastAsia="黑体" w:hAnsi="Times New Roman"/>
          <w:color w:val="000000"/>
          <w:spacing w:val="8"/>
          <w:sz w:val="24"/>
          <w:szCs w:val="24"/>
        </w:rPr>
      </w:pPr>
      <w:r>
        <w:rPr>
          <w:rFonts w:ascii="Times New Roman" w:eastAsia="黑体" w:hAnsi="Times New Roman"/>
          <w:color w:val="000000"/>
          <w:spacing w:val="8"/>
          <w:sz w:val="24"/>
          <w:szCs w:val="24"/>
        </w:rPr>
        <w:t>目</w:t>
      </w:r>
      <w:r>
        <w:rPr>
          <w:rFonts w:ascii="Times New Roman" w:eastAsia="黑体" w:hAnsi="Times New Roman"/>
          <w:color w:val="000000"/>
          <w:spacing w:val="8"/>
          <w:sz w:val="24"/>
          <w:szCs w:val="24"/>
        </w:rPr>
        <w:t xml:space="preserve"> </w:t>
      </w:r>
      <w:r>
        <w:rPr>
          <w:rFonts w:ascii="Times New Roman" w:eastAsia="黑体" w:hAnsi="Times New Roman"/>
          <w:color w:val="000000"/>
          <w:spacing w:val="8"/>
          <w:sz w:val="24"/>
          <w:szCs w:val="24"/>
        </w:rPr>
        <w:t>录</w:t>
      </w:r>
    </w:p>
    <w:p w:rsidR="00651181" w:rsidRDefault="00651181">
      <w:pPr>
        <w:widowControl/>
        <w:spacing w:line="360" w:lineRule="auto"/>
        <w:ind w:firstLine="720"/>
        <w:jc w:val="center"/>
        <w:rPr>
          <w:rFonts w:ascii="Times New Roman" w:hAnsi="Times New Roman"/>
          <w:sz w:val="24"/>
          <w:szCs w:val="24"/>
        </w:rPr>
      </w:pPr>
    </w:p>
    <w:p w:rsidR="00651181" w:rsidRDefault="00027E46">
      <w:pPr>
        <w:pStyle w:val="10"/>
        <w:tabs>
          <w:tab w:val="right" w:leader="dot" w:pos="8306"/>
        </w:tabs>
        <w:spacing w:line="360" w:lineRule="auto"/>
        <w:rPr>
          <w:rFonts w:ascii="Times New Roman" w:hAnsi="Times New Roman"/>
          <w:sz w:val="24"/>
          <w:szCs w:val="24"/>
        </w:rPr>
      </w:pPr>
      <w:r>
        <w:rPr>
          <w:rFonts w:ascii="Times New Roman" w:eastAsia="黑体" w:hAnsi="Times New Roman"/>
          <w:color w:val="000000"/>
          <w:spacing w:val="8"/>
          <w:sz w:val="24"/>
          <w:szCs w:val="24"/>
        </w:rPr>
        <w:fldChar w:fldCharType="begin"/>
      </w:r>
      <w:r>
        <w:rPr>
          <w:rFonts w:ascii="Times New Roman" w:eastAsia="黑体" w:hAnsi="Times New Roman"/>
          <w:color w:val="000000"/>
          <w:spacing w:val="8"/>
          <w:sz w:val="24"/>
          <w:szCs w:val="24"/>
        </w:rPr>
        <w:instrText xml:space="preserve"> TOC \o "1-2" \h \z \u </w:instrText>
      </w:r>
      <w:r>
        <w:rPr>
          <w:rFonts w:ascii="Times New Roman" w:eastAsia="黑体" w:hAnsi="Times New Roman"/>
          <w:color w:val="000000"/>
          <w:spacing w:val="8"/>
          <w:sz w:val="24"/>
          <w:szCs w:val="24"/>
        </w:rPr>
        <w:fldChar w:fldCharType="separate"/>
      </w:r>
      <w:hyperlink w:anchor="_Toc14873" w:history="1">
        <w:r>
          <w:rPr>
            <w:rFonts w:ascii="Times New Roman" w:eastAsia="黑体" w:hAnsi="Times New Roman"/>
            <w:spacing w:val="8"/>
            <w:sz w:val="24"/>
            <w:szCs w:val="24"/>
          </w:rPr>
          <w:t>一、项目背景</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_Toc14873 \h </w:instrText>
        </w:r>
        <w:r>
          <w:rPr>
            <w:rFonts w:ascii="Times New Roman" w:hAnsi="Times New Roman"/>
            <w:sz w:val="24"/>
            <w:szCs w:val="24"/>
          </w:rPr>
        </w:r>
        <w:r>
          <w:rPr>
            <w:rFonts w:ascii="Times New Roman" w:hAnsi="Times New Roman"/>
            <w:sz w:val="24"/>
            <w:szCs w:val="24"/>
          </w:rPr>
          <w:fldChar w:fldCharType="separate"/>
        </w:r>
        <w:r w:rsidR="008B63B5">
          <w:rPr>
            <w:rFonts w:ascii="Times New Roman" w:hAnsi="Times New Roman"/>
            <w:noProof/>
            <w:sz w:val="24"/>
            <w:szCs w:val="24"/>
          </w:rPr>
          <w:t>3</w:t>
        </w:r>
        <w:r>
          <w:rPr>
            <w:rFonts w:ascii="Times New Roman" w:hAnsi="Times New Roman"/>
            <w:sz w:val="24"/>
            <w:szCs w:val="24"/>
          </w:rPr>
          <w:fldChar w:fldCharType="end"/>
        </w:r>
      </w:hyperlink>
    </w:p>
    <w:p w:rsidR="00651181" w:rsidRDefault="00027E46">
      <w:pPr>
        <w:pStyle w:val="10"/>
        <w:tabs>
          <w:tab w:val="right" w:leader="dot" w:pos="8306"/>
        </w:tabs>
        <w:spacing w:line="360" w:lineRule="auto"/>
        <w:rPr>
          <w:rFonts w:ascii="Times New Roman" w:hAnsi="Times New Roman"/>
          <w:sz w:val="24"/>
          <w:szCs w:val="24"/>
        </w:rPr>
      </w:pPr>
      <w:hyperlink w:anchor="_Toc4467" w:history="1">
        <w:r>
          <w:rPr>
            <w:rFonts w:ascii="Times New Roman" w:eastAsia="黑体" w:hAnsi="Times New Roman"/>
            <w:spacing w:val="8"/>
            <w:sz w:val="24"/>
            <w:szCs w:val="24"/>
          </w:rPr>
          <w:t>二、</w:t>
        </w:r>
        <w:r>
          <w:rPr>
            <w:rFonts w:ascii="Times New Roman" w:eastAsia="黑体" w:hAnsi="Times New Roman"/>
            <w:spacing w:val="8"/>
            <w:sz w:val="24"/>
            <w:szCs w:val="24"/>
          </w:rPr>
          <w:t xml:space="preserve"> </w:t>
        </w:r>
        <w:r>
          <w:rPr>
            <w:rFonts w:ascii="Times New Roman" w:eastAsia="黑体" w:hAnsi="Times New Roman"/>
            <w:spacing w:val="8"/>
            <w:sz w:val="24"/>
            <w:szCs w:val="24"/>
          </w:rPr>
          <w:t>工作简况</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_Toc4467 \h </w:instrText>
        </w:r>
        <w:r>
          <w:rPr>
            <w:rFonts w:ascii="Times New Roman" w:hAnsi="Times New Roman"/>
            <w:sz w:val="24"/>
            <w:szCs w:val="24"/>
          </w:rPr>
        </w:r>
        <w:r>
          <w:rPr>
            <w:rFonts w:ascii="Times New Roman" w:hAnsi="Times New Roman"/>
            <w:sz w:val="24"/>
            <w:szCs w:val="24"/>
          </w:rPr>
          <w:fldChar w:fldCharType="separate"/>
        </w:r>
        <w:r w:rsidR="008B63B5">
          <w:rPr>
            <w:rFonts w:ascii="Times New Roman" w:hAnsi="Times New Roman"/>
            <w:noProof/>
            <w:sz w:val="24"/>
            <w:szCs w:val="24"/>
          </w:rPr>
          <w:t>5</w:t>
        </w:r>
        <w:r>
          <w:rPr>
            <w:rFonts w:ascii="Times New Roman" w:hAnsi="Times New Roman"/>
            <w:sz w:val="24"/>
            <w:szCs w:val="24"/>
          </w:rPr>
          <w:fldChar w:fldCharType="end"/>
        </w:r>
      </w:hyperlink>
    </w:p>
    <w:p w:rsidR="00651181" w:rsidRDefault="00027E46">
      <w:pPr>
        <w:pStyle w:val="21"/>
        <w:tabs>
          <w:tab w:val="right" w:leader="dot" w:pos="8306"/>
        </w:tabs>
        <w:spacing w:line="360" w:lineRule="auto"/>
        <w:rPr>
          <w:rFonts w:ascii="Times New Roman" w:hAnsi="Times New Roman"/>
          <w:sz w:val="24"/>
          <w:szCs w:val="24"/>
        </w:rPr>
      </w:pPr>
      <w:hyperlink w:anchor="_Toc2291" w:history="1">
        <w:r>
          <w:rPr>
            <w:rFonts w:ascii="Times New Roman" w:eastAsia="黑体" w:hAnsi="Times New Roman"/>
            <w:spacing w:val="8"/>
            <w:sz w:val="24"/>
            <w:szCs w:val="24"/>
          </w:rPr>
          <w:t>2.1</w:t>
        </w:r>
        <w:r>
          <w:rPr>
            <w:rFonts w:ascii="Times New Roman" w:eastAsia="黑体" w:hAnsi="Times New Roman"/>
            <w:spacing w:val="8"/>
            <w:sz w:val="24"/>
            <w:szCs w:val="24"/>
          </w:rPr>
          <w:t>标准编制任务来源</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_Toc2291 \h </w:instrText>
        </w:r>
        <w:r>
          <w:rPr>
            <w:rFonts w:ascii="Times New Roman" w:hAnsi="Times New Roman"/>
            <w:sz w:val="24"/>
            <w:szCs w:val="24"/>
          </w:rPr>
        </w:r>
        <w:r>
          <w:rPr>
            <w:rFonts w:ascii="Times New Roman" w:hAnsi="Times New Roman"/>
            <w:sz w:val="24"/>
            <w:szCs w:val="24"/>
          </w:rPr>
          <w:fldChar w:fldCharType="separate"/>
        </w:r>
        <w:r w:rsidR="008B63B5">
          <w:rPr>
            <w:rFonts w:ascii="Times New Roman" w:hAnsi="Times New Roman"/>
            <w:noProof/>
            <w:sz w:val="24"/>
            <w:szCs w:val="24"/>
          </w:rPr>
          <w:t>5</w:t>
        </w:r>
        <w:r>
          <w:rPr>
            <w:rFonts w:ascii="Times New Roman" w:hAnsi="Times New Roman"/>
            <w:sz w:val="24"/>
            <w:szCs w:val="24"/>
          </w:rPr>
          <w:fldChar w:fldCharType="end"/>
        </w:r>
      </w:hyperlink>
    </w:p>
    <w:p w:rsidR="00651181" w:rsidRDefault="00027E46">
      <w:pPr>
        <w:pStyle w:val="21"/>
        <w:tabs>
          <w:tab w:val="right" w:leader="dot" w:pos="8306"/>
        </w:tabs>
        <w:spacing w:line="360" w:lineRule="auto"/>
        <w:rPr>
          <w:rFonts w:ascii="Times New Roman" w:hAnsi="Times New Roman"/>
          <w:sz w:val="24"/>
          <w:szCs w:val="24"/>
        </w:rPr>
      </w:pPr>
      <w:hyperlink w:anchor="_Toc7671" w:history="1">
        <w:r>
          <w:rPr>
            <w:rFonts w:ascii="Times New Roman" w:eastAsia="黑体" w:hAnsi="Times New Roman"/>
            <w:spacing w:val="8"/>
            <w:sz w:val="24"/>
            <w:szCs w:val="24"/>
          </w:rPr>
          <w:t>2.2</w:t>
        </w:r>
        <w:r>
          <w:rPr>
            <w:rFonts w:ascii="Times New Roman" w:eastAsia="黑体" w:hAnsi="Times New Roman"/>
            <w:spacing w:val="8"/>
            <w:sz w:val="24"/>
            <w:szCs w:val="24"/>
          </w:rPr>
          <w:t>标准编制协作单位</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_Toc7671 \h </w:instrText>
        </w:r>
        <w:r>
          <w:rPr>
            <w:rFonts w:ascii="Times New Roman" w:hAnsi="Times New Roman"/>
            <w:sz w:val="24"/>
            <w:szCs w:val="24"/>
          </w:rPr>
        </w:r>
        <w:r>
          <w:rPr>
            <w:rFonts w:ascii="Times New Roman" w:hAnsi="Times New Roman"/>
            <w:sz w:val="24"/>
            <w:szCs w:val="24"/>
          </w:rPr>
          <w:fldChar w:fldCharType="separate"/>
        </w:r>
        <w:r w:rsidR="008B63B5">
          <w:rPr>
            <w:rFonts w:ascii="Times New Roman" w:hAnsi="Times New Roman"/>
            <w:noProof/>
            <w:sz w:val="24"/>
            <w:szCs w:val="24"/>
          </w:rPr>
          <w:t>5</w:t>
        </w:r>
        <w:r>
          <w:rPr>
            <w:rFonts w:ascii="Times New Roman" w:hAnsi="Times New Roman"/>
            <w:sz w:val="24"/>
            <w:szCs w:val="24"/>
          </w:rPr>
          <w:fldChar w:fldCharType="end"/>
        </w:r>
      </w:hyperlink>
    </w:p>
    <w:p w:rsidR="00651181" w:rsidRDefault="00027E46">
      <w:pPr>
        <w:pStyle w:val="21"/>
        <w:tabs>
          <w:tab w:val="right" w:leader="dot" w:pos="8306"/>
        </w:tabs>
        <w:spacing w:line="360" w:lineRule="auto"/>
        <w:rPr>
          <w:rFonts w:ascii="Times New Roman" w:hAnsi="Times New Roman"/>
          <w:sz w:val="24"/>
          <w:szCs w:val="24"/>
        </w:rPr>
      </w:pPr>
      <w:hyperlink w:anchor="_Toc20437" w:history="1">
        <w:r>
          <w:rPr>
            <w:rFonts w:ascii="Times New Roman" w:eastAsia="黑体" w:hAnsi="Times New Roman"/>
            <w:spacing w:val="8"/>
            <w:sz w:val="24"/>
            <w:szCs w:val="24"/>
          </w:rPr>
          <w:t>2.3</w:t>
        </w:r>
        <w:r>
          <w:rPr>
            <w:rFonts w:ascii="Times New Roman" w:eastAsia="黑体" w:hAnsi="Times New Roman"/>
            <w:spacing w:val="8"/>
            <w:sz w:val="24"/>
            <w:szCs w:val="24"/>
          </w:rPr>
          <w:t>标准主要起草</w:t>
        </w:r>
        <w:r>
          <w:rPr>
            <w:rFonts w:ascii="Times New Roman" w:eastAsia="黑体" w:hAnsi="Times New Roman"/>
            <w:spacing w:val="8"/>
            <w:sz w:val="24"/>
            <w:szCs w:val="24"/>
            <w:lang w:val="zh-CN"/>
          </w:rPr>
          <w:t>人</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_Toc20437 \h </w:instrText>
        </w:r>
        <w:r>
          <w:rPr>
            <w:rFonts w:ascii="Times New Roman" w:hAnsi="Times New Roman"/>
            <w:sz w:val="24"/>
            <w:szCs w:val="24"/>
          </w:rPr>
        </w:r>
        <w:r>
          <w:rPr>
            <w:rFonts w:ascii="Times New Roman" w:hAnsi="Times New Roman"/>
            <w:sz w:val="24"/>
            <w:szCs w:val="24"/>
          </w:rPr>
          <w:fldChar w:fldCharType="separate"/>
        </w:r>
        <w:r w:rsidR="008B63B5">
          <w:rPr>
            <w:rFonts w:ascii="Times New Roman" w:hAnsi="Times New Roman"/>
            <w:noProof/>
            <w:sz w:val="24"/>
            <w:szCs w:val="24"/>
          </w:rPr>
          <w:t>5</w:t>
        </w:r>
        <w:r>
          <w:rPr>
            <w:rFonts w:ascii="Times New Roman" w:hAnsi="Times New Roman"/>
            <w:sz w:val="24"/>
            <w:szCs w:val="24"/>
          </w:rPr>
          <w:fldChar w:fldCharType="end"/>
        </w:r>
      </w:hyperlink>
    </w:p>
    <w:p w:rsidR="00651181" w:rsidRDefault="00027E46">
      <w:pPr>
        <w:pStyle w:val="21"/>
        <w:tabs>
          <w:tab w:val="right" w:leader="dot" w:pos="8306"/>
        </w:tabs>
        <w:spacing w:line="360" w:lineRule="auto"/>
        <w:rPr>
          <w:rFonts w:ascii="Times New Roman" w:hAnsi="Times New Roman"/>
          <w:sz w:val="24"/>
          <w:szCs w:val="24"/>
        </w:rPr>
      </w:pPr>
      <w:hyperlink w:anchor="_Toc32046" w:history="1">
        <w:r>
          <w:rPr>
            <w:rFonts w:ascii="Times New Roman" w:eastAsia="黑体" w:hAnsi="Times New Roman"/>
            <w:spacing w:val="8"/>
            <w:sz w:val="24"/>
            <w:szCs w:val="24"/>
          </w:rPr>
          <w:t>2.4</w:t>
        </w:r>
        <w:r>
          <w:rPr>
            <w:rFonts w:ascii="Times New Roman" w:eastAsia="黑体" w:hAnsi="Times New Roman"/>
            <w:spacing w:val="8"/>
            <w:sz w:val="24"/>
            <w:szCs w:val="24"/>
          </w:rPr>
          <w:t>标准编制分工及进度安排</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_Toc32046 \h </w:instrText>
        </w:r>
        <w:r>
          <w:rPr>
            <w:rFonts w:ascii="Times New Roman" w:hAnsi="Times New Roman"/>
            <w:sz w:val="24"/>
            <w:szCs w:val="24"/>
          </w:rPr>
        </w:r>
        <w:r>
          <w:rPr>
            <w:rFonts w:ascii="Times New Roman" w:hAnsi="Times New Roman"/>
            <w:sz w:val="24"/>
            <w:szCs w:val="24"/>
          </w:rPr>
          <w:fldChar w:fldCharType="separate"/>
        </w:r>
        <w:r w:rsidR="008B63B5">
          <w:rPr>
            <w:rFonts w:ascii="Times New Roman" w:hAnsi="Times New Roman"/>
            <w:noProof/>
            <w:sz w:val="24"/>
            <w:szCs w:val="24"/>
          </w:rPr>
          <w:t>5</w:t>
        </w:r>
        <w:r>
          <w:rPr>
            <w:rFonts w:ascii="Times New Roman" w:hAnsi="Times New Roman"/>
            <w:sz w:val="24"/>
            <w:szCs w:val="24"/>
          </w:rPr>
          <w:fldChar w:fldCharType="end"/>
        </w:r>
      </w:hyperlink>
    </w:p>
    <w:p w:rsidR="00651181" w:rsidRDefault="00027E46">
      <w:pPr>
        <w:pStyle w:val="10"/>
        <w:tabs>
          <w:tab w:val="right" w:leader="dot" w:pos="8306"/>
        </w:tabs>
        <w:spacing w:line="360" w:lineRule="auto"/>
        <w:rPr>
          <w:rFonts w:ascii="Times New Roman" w:hAnsi="Times New Roman"/>
          <w:sz w:val="24"/>
          <w:szCs w:val="24"/>
        </w:rPr>
      </w:pPr>
      <w:hyperlink w:anchor="_Toc11064" w:history="1">
        <w:r>
          <w:rPr>
            <w:rFonts w:ascii="Times New Roman" w:eastAsia="黑体" w:hAnsi="Times New Roman"/>
            <w:spacing w:val="8"/>
            <w:sz w:val="24"/>
            <w:szCs w:val="24"/>
          </w:rPr>
          <w:t>三、</w:t>
        </w:r>
        <w:r>
          <w:rPr>
            <w:rFonts w:ascii="Times New Roman" w:eastAsia="黑体" w:hAnsi="Times New Roman"/>
            <w:spacing w:val="8"/>
            <w:sz w:val="24"/>
            <w:szCs w:val="24"/>
          </w:rPr>
          <w:t xml:space="preserve"> </w:t>
        </w:r>
        <w:r>
          <w:rPr>
            <w:rFonts w:ascii="Times New Roman" w:eastAsia="黑体" w:hAnsi="Times New Roman"/>
            <w:spacing w:val="8"/>
            <w:sz w:val="24"/>
            <w:szCs w:val="24"/>
          </w:rPr>
          <w:t>标准编制原则和确定地方标准主要内容的依据</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_Toc11064 \h </w:instrText>
        </w:r>
        <w:r>
          <w:rPr>
            <w:rFonts w:ascii="Times New Roman" w:hAnsi="Times New Roman"/>
            <w:sz w:val="24"/>
            <w:szCs w:val="24"/>
          </w:rPr>
        </w:r>
        <w:r>
          <w:rPr>
            <w:rFonts w:ascii="Times New Roman" w:hAnsi="Times New Roman"/>
            <w:sz w:val="24"/>
            <w:szCs w:val="24"/>
          </w:rPr>
          <w:fldChar w:fldCharType="separate"/>
        </w:r>
        <w:r w:rsidR="008B63B5">
          <w:rPr>
            <w:rFonts w:ascii="Times New Roman" w:hAnsi="Times New Roman"/>
            <w:noProof/>
            <w:sz w:val="24"/>
            <w:szCs w:val="24"/>
          </w:rPr>
          <w:t>6</w:t>
        </w:r>
        <w:r>
          <w:rPr>
            <w:rFonts w:ascii="Times New Roman" w:hAnsi="Times New Roman"/>
            <w:sz w:val="24"/>
            <w:szCs w:val="24"/>
          </w:rPr>
          <w:fldChar w:fldCharType="end"/>
        </w:r>
      </w:hyperlink>
    </w:p>
    <w:p w:rsidR="00651181" w:rsidRDefault="00027E46">
      <w:pPr>
        <w:pStyle w:val="21"/>
        <w:tabs>
          <w:tab w:val="right" w:leader="dot" w:pos="8306"/>
        </w:tabs>
        <w:spacing w:line="360" w:lineRule="auto"/>
        <w:rPr>
          <w:rFonts w:ascii="Times New Roman" w:hAnsi="Times New Roman"/>
          <w:sz w:val="24"/>
          <w:szCs w:val="24"/>
        </w:rPr>
      </w:pPr>
      <w:hyperlink w:anchor="_Toc16901" w:history="1">
        <w:r>
          <w:rPr>
            <w:rFonts w:ascii="Times New Roman" w:eastAsia="黑体" w:hAnsi="Times New Roman"/>
            <w:spacing w:val="8"/>
            <w:sz w:val="24"/>
            <w:szCs w:val="24"/>
          </w:rPr>
          <w:t>3.1</w:t>
        </w:r>
        <w:r>
          <w:rPr>
            <w:rFonts w:ascii="Times New Roman" w:eastAsia="黑体" w:hAnsi="Times New Roman"/>
            <w:spacing w:val="8"/>
            <w:sz w:val="24"/>
            <w:szCs w:val="24"/>
          </w:rPr>
          <w:t>标准编制原则</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_Toc16901 \h </w:instrText>
        </w:r>
        <w:r>
          <w:rPr>
            <w:rFonts w:ascii="Times New Roman" w:hAnsi="Times New Roman"/>
            <w:sz w:val="24"/>
            <w:szCs w:val="24"/>
          </w:rPr>
        </w:r>
        <w:r>
          <w:rPr>
            <w:rFonts w:ascii="Times New Roman" w:hAnsi="Times New Roman"/>
            <w:sz w:val="24"/>
            <w:szCs w:val="24"/>
          </w:rPr>
          <w:fldChar w:fldCharType="separate"/>
        </w:r>
        <w:r w:rsidR="008B63B5">
          <w:rPr>
            <w:rFonts w:ascii="Times New Roman" w:hAnsi="Times New Roman"/>
            <w:noProof/>
            <w:sz w:val="24"/>
            <w:szCs w:val="24"/>
          </w:rPr>
          <w:t>6</w:t>
        </w:r>
        <w:r>
          <w:rPr>
            <w:rFonts w:ascii="Times New Roman" w:hAnsi="Times New Roman"/>
            <w:sz w:val="24"/>
            <w:szCs w:val="24"/>
          </w:rPr>
          <w:fldChar w:fldCharType="end"/>
        </w:r>
      </w:hyperlink>
    </w:p>
    <w:p w:rsidR="00651181" w:rsidRDefault="00027E46">
      <w:pPr>
        <w:pStyle w:val="21"/>
        <w:tabs>
          <w:tab w:val="right" w:leader="dot" w:pos="8306"/>
        </w:tabs>
        <w:spacing w:line="360" w:lineRule="auto"/>
        <w:rPr>
          <w:rFonts w:ascii="Times New Roman" w:hAnsi="Times New Roman"/>
          <w:sz w:val="24"/>
          <w:szCs w:val="24"/>
        </w:rPr>
      </w:pPr>
      <w:hyperlink w:anchor="_Toc4431" w:history="1">
        <w:r>
          <w:rPr>
            <w:rFonts w:ascii="Times New Roman" w:eastAsia="黑体" w:hAnsi="Times New Roman"/>
            <w:spacing w:val="8"/>
            <w:sz w:val="24"/>
            <w:szCs w:val="24"/>
          </w:rPr>
          <w:t>3.2</w:t>
        </w:r>
        <w:r>
          <w:rPr>
            <w:rFonts w:ascii="Times New Roman" w:eastAsia="黑体" w:hAnsi="Times New Roman"/>
            <w:spacing w:val="8"/>
            <w:sz w:val="24"/>
            <w:szCs w:val="24"/>
          </w:rPr>
          <w:t>确定地方标准主要内容的依据</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_Toc4431 \h</w:instrText>
        </w:r>
        <w:r>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008B63B5">
          <w:rPr>
            <w:rFonts w:ascii="Times New Roman" w:hAnsi="Times New Roman"/>
            <w:noProof/>
            <w:sz w:val="24"/>
            <w:szCs w:val="24"/>
          </w:rPr>
          <w:t>7</w:t>
        </w:r>
        <w:r>
          <w:rPr>
            <w:rFonts w:ascii="Times New Roman" w:hAnsi="Times New Roman"/>
            <w:sz w:val="24"/>
            <w:szCs w:val="24"/>
          </w:rPr>
          <w:fldChar w:fldCharType="end"/>
        </w:r>
      </w:hyperlink>
    </w:p>
    <w:p w:rsidR="00651181" w:rsidRDefault="00027E46">
      <w:pPr>
        <w:pStyle w:val="10"/>
        <w:tabs>
          <w:tab w:val="right" w:leader="dot" w:pos="8306"/>
        </w:tabs>
        <w:spacing w:line="360" w:lineRule="auto"/>
        <w:rPr>
          <w:rFonts w:ascii="Times New Roman" w:hAnsi="Times New Roman"/>
          <w:sz w:val="24"/>
          <w:szCs w:val="24"/>
        </w:rPr>
      </w:pPr>
      <w:hyperlink w:anchor="_Toc17682" w:history="1">
        <w:r>
          <w:rPr>
            <w:rFonts w:ascii="Times New Roman" w:eastAsia="黑体" w:hAnsi="Times New Roman"/>
            <w:spacing w:val="8"/>
            <w:sz w:val="24"/>
            <w:szCs w:val="24"/>
          </w:rPr>
          <w:t>四、</w:t>
        </w:r>
        <w:r>
          <w:rPr>
            <w:rFonts w:ascii="Times New Roman" w:eastAsia="黑体" w:hAnsi="Times New Roman"/>
            <w:spacing w:val="8"/>
            <w:sz w:val="24"/>
            <w:szCs w:val="24"/>
          </w:rPr>
          <w:t xml:space="preserve"> </w:t>
        </w:r>
        <w:r>
          <w:rPr>
            <w:rFonts w:ascii="Times New Roman" w:eastAsia="黑体" w:hAnsi="Times New Roman"/>
            <w:spacing w:val="8"/>
            <w:sz w:val="24"/>
            <w:szCs w:val="24"/>
          </w:rPr>
          <w:t>主要试验（或验证）分析报告</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_Toc17682 \h </w:instrText>
        </w:r>
        <w:r>
          <w:rPr>
            <w:rFonts w:ascii="Times New Roman" w:hAnsi="Times New Roman"/>
            <w:sz w:val="24"/>
            <w:szCs w:val="24"/>
          </w:rPr>
        </w:r>
        <w:r>
          <w:rPr>
            <w:rFonts w:ascii="Times New Roman" w:hAnsi="Times New Roman"/>
            <w:sz w:val="24"/>
            <w:szCs w:val="24"/>
          </w:rPr>
          <w:fldChar w:fldCharType="separate"/>
        </w:r>
        <w:r w:rsidR="008B63B5">
          <w:rPr>
            <w:rFonts w:ascii="Times New Roman" w:hAnsi="Times New Roman"/>
            <w:noProof/>
            <w:sz w:val="24"/>
            <w:szCs w:val="24"/>
          </w:rPr>
          <w:t>8</w:t>
        </w:r>
        <w:r>
          <w:rPr>
            <w:rFonts w:ascii="Times New Roman" w:hAnsi="Times New Roman"/>
            <w:sz w:val="24"/>
            <w:szCs w:val="24"/>
          </w:rPr>
          <w:fldChar w:fldCharType="end"/>
        </w:r>
      </w:hyperlink>
    </w:p>
    <w:p w:rsidR="00651181" w:rsidRDefault="00027E46">
      <w:pPr>
        <w:pStyle w:val="10"/>
        <w:tabs>
          <w:tab w:val="right" w:leader="dot" w:pos="8306"/>
        </w:tabs>
        <w:spacing w:line="360" w:lineRule="auto"/>
        <w:rPr>
          <w:rFonts w:ascii="Times New Roman" w:hAnsi="Times New Roman"/>
          <w:sz w:val="24"/>
          <w:szCs w:val="24"/>
        </w:rPr>
      </w:pPr>
      <w:hyperlink w:anchor="_Toc28371" w:history="1">
        <w:r>
          <w:rPr>
            <w:rFonts w:ascii="Times New Roman" w:eastAsia="黑体" w:hAnsi="Times New Roman"/>
            <w:spacing w:val="8"/>
            <w:sz w:val="24"/>
            <w:szCs w:val="24"/>
          </w:rPr>
          <w:t>五、</w:t>
        </w:r>
        <w:r>
          <w:rPr>
            <w:rFonts w:ascii="Times New Roman" w:eastAsia="黑体" w:hAnsi="Times New Roman"/>
            <w:spacing w:val="8"/>
            <w:sz w:val="24"/>
            <w:szCs w:val="24"/>
          </w:rPr>
          <w:t xml:space="preserve"> </w:t>
        </w:r>
        <w:r>
          <w:rPr>
            <w:rFonts w:ascii="Times New Roman" w:eastAsia="黑体" w:hAnsi="Times New Roman"/>
            <w:spacing w:val="8"/>
            <w:sz w:val="24"/>
            <w:szCs w:val="24"/>
          </w:rPr>
          <w:t>国内外现行相关法律、法规和标准情况</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w:instrText>
        </w:r>
        <w:r>
          <w:rPr>
            <w:rFonts w:ascii="Times New Roman" w:hAnsi="Times New Roman"/>
            <w:sz w:val="24"/>
            <w:szCs w:val="24"/>
          </w:rPr>
          <w:instrText xml:space="preserve">F _Toc28371 \h </w:instrText>
        </w:r>
        <w:r>
          <w:rPr>
            <w:rFonts w:ascii="Times New Roman" w:hAnsi="Times New Roman"/>
            <w:sz w:val="24"/>
            <w:szCs w:val="24"/>
          </w:rPr>
        </w:r>
        <w:r>
          <w:rPr>
            <w:rFonts w:ascii="Times New Roman" w:hAnsi="Times New Roman"/>
            <w:sz w:val="24"/>
            <w:szCs w:val="24"/>
          </w:rPr>
          <w:fldChar w:fldCharType="separate"/>
        </w:r>
        <w:r w:rsidR="008B63B5">
          <w:rPr>
            <w:rFonts w:ascii="Times New Roman" w:hAnsi="Times New Roman"/>
            <w:noProof/>
            <w:sz w:val="24"/>
            <w:szCs w:val="24"/>
          </w:rPr>
          <w:t>10</w:t>
        </w:r>
        <w:r>
          <w:rPr>
            <w:rFonts w:ascii="Times New Roman" w:hAnsi="Times New Roman"/>
            <w:sz w:val="24"/>
            <w:szCs w:val="24"/>
          </w:rPr>
          <w:fldChar w:fldCharType="end"/>
        </w:r>
      </w:hyperlink>
    </w:p>
    <w:p w:rsidR="00651181" w:rsidRDefault="00027E46">
      <w:pPr>
        <w:pStyle w:val="10"/>
        <w:tabs>
          <w:tab w:val="right" w:leader="dot" w:pos="8306"/>
        </w:tabs>
        <w:spacing w:line="360" w:lineRule="auto"/>
        <w:rPr>
          <w:rFonts w:ascii="Times New Roman" w:hAnsi="Times New Roman"/>
          <w:sz w:val="24"/>
          <w:szCs w:val="24"/>
        </w:rPr>
      </w:pPr>
      <w:hyperlink w:anchor="_Toc25760" w:history="1">
        <w:r>
          <w:rPr>
            <w:rFonts w:ascii="Times New Roman" w:eastAsia="黑体" w:hAnsi="Times New Roman"/>
            <w:spacing w:val="8"/>
            <w:sz w:val="24"/>
            <w:szCs w:val="24"/>
          </w:rPr>
          <w:t>六、重大意见分歧的处理依据和结果（如有）</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_Toc25760 \h </w:instrText>
        </w:r>
        <w:r>
          <w:rPr>
            <w:rFonts w:ascii="Times New Roman" w:hAnsi="Times New Roman"/>
            <w:sz w:val="24"/>
            <w:szCs w:val="24"/>
          </w:rPr>
        </w:r>
        <w:r>
          <w:rPr>
            <w:rFonts w:ascii="Times New Roman" w:hAnsi="Times New Roman"/>
            <w:sz w:val="24"/>
            <w:szCs w:val="24"/>
          </w:rPr>
          <w:fldChar w:fldCharType="separate"/>
        </w:r>
        <w:r w:rsidR="008B63B5">
          <w:rPr>
            <w:rFonts w:ascii="Times New Roman" w:hAnsi="Times New Roman"/>
            <w:noProof/>
            <w:sz w:val="24"/>
            <w:szCs w:val="24"/>
          </w:rPr>
          <w:t>10</w:t>
        </w:r>
        <w:r>
          <w:rPr>
            <w:rFonts w:ascii="Times New Roman" w:hAnsi="Times New Roman"/>
            <w:sz w:val="24"/>
            <w:szCs w:val="24"/>
          </w:rPr>
          <w:fldChar w:fldCharType="end"/>
        </w:r>
      </w:hyperlink>
    </w:p>
    <w:p w:rsidR="00651181" w:rsidRDefault="00027E46">
      <w:pPr>
        <w:pStyle w:val="10"/>
        <w:tabs>
          <w:tab w:val="right" w:leader="dot" w:pos="8306"/>
        </w:tabs>
        <w:spacing w:line="360" w:lineRule="auto"/>
        <w:rPr>
          <w:rFonts w:ascii="Times New Roman" w:hAnsi="Times New Roman"/>
          <w:sz w:val="24"/>
          <w:szCs w:val="24"/>
        </w:rPr>
      </w:pPr>
      <w:hyperlink w:anchor="_Toc9083" w:history="1">
        <w:r>
          <w:rPr>
            <w:rFonts w:ascii="Times New Roman" w:eastAsia="黑体" w:hAnsi="Times New Roman"/>
            <w:spacing w:val="8"/>
            <w:sz w:val="24"/>
            <w:szCs w:val="24"/>
          </w:rPr>
          <w:t>七、实施地方标准要求和措施建议</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_Toc9083 \h </w:instrText>
        </w:r>
        <w:r>
          <w:rPr>
            <w:rFonts w:ascii="Times New Roman" w:hAnsi="Times New Roman"/>
            <w:sz w:val="24"/>
            <w:szCs w:val="24"/>
          </w:rPr>
        </w:r>
        <w:r>
          <w:rPr>
            <w:rFonts w:ascii="Times New Roman" w:hAnsi="Times New Roman"/>
            <w:sz w:val="24"/>
            <w:szCs w:val="24"/>
          </w:rPr>
          <w:fldChar w:fldCharType="separate"/>
        </w:r>
        <w:r w:rsidR="008B63B5">
          <w:rPr>
            <w:rFonts w:ascii="Times New Roman" w:hAnsi="Times New Roman"/>
            <w:noProof/>
            <w:sz w:val="24"/>
            <w:szCs w:val="24"/>
          </w:rPr>
          <w:t>10</w:t>
        </w:r>
        <w:r>
          <w:rPr>
            <w:rFonts w:ascii="Times New Roman" w:hAnsi="Times New Roman"/>
            <w:sz w:val="24"/>
            <w:szCs w:val="24"/>
          </w:rPr>
          <w:fldChar w:fldCharType="end"/>
        </w:r>
      </w:hyperlink>
    </w:p>
    <w:p w:rsidR="00651181" w:rsidRDefault="00027E46">
      <w:pPr>
        <w:widowControl/>
        <w:spacing w:line="360" w:lineRule="auto"/>
        <w:ind w:firstLine="560"/>
        <w:jc w:val="left"/>
        <w:rPr>
          <w:rFonts w:ascii="Times New Roman" w:eastAsia="黑体" w:hAnsi="Times New Roman"/>
          <w:color w:val="000000"/>
          <w:spacing w:val="8"/>
          <w:sz w:val="32"/>
          <w:szCs w:val="28"/>
        </w:rPr>
      </w:pPr>
      <w:r>
        <w:rPr>
          <w:rFonts w:ascii="Times New Roman" w:eastAsia="黑体" w:hAnsi="Times New Roman"/>
          <w:color w:val="000000"/>
          <w:spacing w:val="8"/>
          <w:sz w:val="24"/>
          <w:szCs w:val="24"/>
        </w:rPr>
        <w:fldChar w:fldCharType="end"/>
      </w:r>
      <w:r>
        <w:rPr>
          <w:rFonts w:ascii="Times New Roman" w:eastAsia="黑体" w:hAnsi="Times New Roman"/>
          <w:color w:val="000000"/>
          <w:spacing w:val="8"/>
          <w:sz w:val="32"/>
          <w:szCs w:val="28"/>
        </w:rPr>
        <w:br w:type="page"/>
      </w:r>
    </w:p>
    <w:p w:rsidR="00651181" w:rsidRDefault="00651181">
      <w:pPr>
        <w:tabs>
          <w:tab w:val="left" w:pos="720"/>
        </w:tabs>
        <w:spacing w:line="360" w:lineRule="auto"/>
        <w:ind w:firstLineChars="200" w:firstLine="480"/>
        <w:rPr>
          <w:rFonts w:ascii="Times New Roman" w:eastAsia="仿宋" w:hAnsi="Times New Roman"/>
          <w:bCs/>
          <w:sz w:val="24"/>
        </w:rPr>
      </w:pPr>
      <w:bookmarkStart w:id="1" w:name="_Toc442356580"/>
    </w:p>
    <w:p w:rsidR="00651181" w:rsidRDefault="00027E46">
      <w:pPr>
        <w:spacing w:line="360" w:lineRule="auto"/>
        <w:jc w:val="left"/>
        <w:outlineLvl w:val="0"/>
        <w:rPr>
          <w:rFonts w:ascii="Times New Roman" w:eastAsia="黑体" w:hAnsi="Times New Roman"/>
          <w:color w:val="000000"/>
          <w:spacing w:val="8"/>
          <w:sz w:val="28"/>
          <w:szCs w:val="28"/>
        </w:rPr>
      </w:pPr>
      <w:bookmarkStart w:id="2" w:name="_Toc14873"/>
      <w:bookmarkStart w:id="3" w:name="_Toc442356581"/>
      <w:bookmarkEnd w:id="0"/>
      <w:bookmarkEnd w:id="1"/>
      <w:r>
        <w:rPr>
          <w:rFonts w:ascii="Times New Roman" w:eastAsia="黑体" w:hAnsi="Times New Roman"/>
          <w:color w:val="000000"/>
          <w:spacing w:val="8"/>
          <w:sz w:val="28"/>
          <w:szCs w:val="28"/>
        </w:rPr>
        <w:t>一、项目背景</w:t>
      </w:r>
      <w:bookmarkEnd w:id="2"/>
    </w:p>
    <w:p w:rsidR="00651181" w:rsidRDefault="00027E46">
      <w:pPr>
        <w:tabs>
          <w:tab w:val="left" w:pos="720"/>
        </w:tabs>
        <w:spacing w:line="360" w:lineRule="auto"/>
        <w:ind w:firstLineChars="200" w:firstLine="480"/>
        <w:rPr>
          <w:rFonts w:ascii="Times New Roman" w:eastAsia="仿宋" w:hAnsi="Times New Roman"/>
          <w:bCs/>
          <w:sz w:val="24"/>
        </w:rPr>
      </w:pPr>
      <w:r>
        <w:rPr>
          <w:rFonts w:ascii="Times New Roman" w:eastAsia="仿宋" w:hAnsi="Times New Roman"/>
          <w:bCs/>
          <w:sz w:val="24"/>
        </w:rPr>
        <w:t>2020</w:t>
      </w:r>
      <w:r>
        <w:rPr>
          <w:rFonts w:ascii="Times New Roman" w:eastAsia="仿宋" w:hAnsi="Times New Roman"/>
          <w:bCs/>
          <w:sz w:val="24"/>
        </w:rPr>
        <w:t>年末全国公路总里程</w:t>
      </w:r>
      <w:r>
        <w:rPr>
          <w:rFonts w:ascii="Times New Roman" w:eastAsia="仿宋" w:hAnsi="Times New Roman"/>
          <w:bCs/>
          <w:sz w:val="24"/>
        </w:rPr>
        <w:t>519.81</w:t>
      </w:r>
      <w:r>
        <w:rPr>
          <w:rFonts w:ascii="Times New Roman" w:eastAsia="仿宋" w:hAnsi="Times New Roman"/>
          <w:bCs/>
          <w:sz w:val="24"/>
        </w:rPr>
        <w:t>万公里，高速公路里程</w:t>
      </w:r>
      <w:r>
        <w:rPr>
          <w:rFonts w:ascii="Times New Roman" w:eastAsia="仿宋" w:hAnsi="Times New Roman"/>
          <w:bCs/>
          <w:sz w:val="24"/>
        </w:rPr>
        <w:t>16.10</w:t>
      </w:r>
      <w:r>
        <w:rPr>
          <w:rFonts w:ascii="Times New Roman" w:eastAsia="仿宋" w:hAnsi="Times New Roman"/>
          <w:bCs/>
          <w:sz w:val="24"/>
        </w:rPr>
        <w:t>万公里，其中湖南省公路总里程达到</w:t>
      </w:r>
      <w:r>
        <w:rPr>
          <w:rFonts w:ascii="Times New Roman" w:eastAsia="仿宋" w:hAnsi="Times New Roman"/>
          <w:bCs/>
          <w:sz w:val="24"/>
        </w:rPr>
        <w:t>24.1</w:t>
      </w:r>
      <w:r>
        <w:rPr>
          <w:rFonts w:ascii="Times New Roman" w:eastAsia="仿宋" w:hAnsi="Times New Roman"/>
          <w:bCs/>
          <w:sz w:val="24"/>
        </w:rPr>
        <w:t>万公里，高速公路近</w:t>
      </w:r>
      <w:r>
        <w:rPr>
          <w:rFonts w:ascii="Times New Roman" w:eastAsia="仿宋" w:hAnsi="Times New Roman"/>
          <w:bCs/>
          <w:sz w:val="24"/>
        </w:rPr>
        <w:t>7000</w:t>
      </w:r>
      <w:r>
        <w:rPr>
          <w:rFonts w:ascii="Times New Roman" w:eastAsia="仿宋" w:hAnsi="Times New Roman"/>
          <w:bCs/>
          <w:sz w:val="24"/>
        </w:rPr>
        <w:t>公里，公路对交通运输和经济发展起着基础性、关键性的作用。同时城市道路、轨道交通在全国各大、中城市飞速发展。</w:t>
      </w:r>
    </w:p>
    <w:p w:rsidR="00651181" w:rsidRDefault="00027E46">
      <w:pPr>
        <w:tabs>
          <w:tab w:val="left" w:pos="720"/>
        </w:tabs>
        <w:spacing w:line="360" w:lineRule="auto"/>
        <w:ind w:firstLineChars="200" w:firstLine="480"/>
        <w:rPr>
          <w:rFonts w:ascii="Times New Roman" w:eastAsia="仿宋" w:hAnsi="Times New Roman"/>
          <w:bCs/>
          <w:sz w:val="24"/>
        </w:rPr>
      </w:pPr>
      <w:r>
        <w:rPr>
          <w:rFonts w:ascii="Times New Roman" w:eastAsia="仿宋" w:hAnsi="Times New Roman"/>
          <w:bCs/>
          <w:sz w:val="24"/>
        </w:rPr>
        <w:t>在道路交通行业迅速发展的同时，公路</w:t>
      </w:r>
      <w:r>
        <w:rPr>
          <w:rFonts w:ascii="Times New Roman" w:eastAsia="仿宋" w:hAnsi="Times New Roman"/>
          <w:bCs/>
          <w:sz w:val="24"/>
        </w:rPr>
        <w:t>建设与交通需求发展的供需矛盾也日益加剧，尤其是现代交通、物流运输车辆大幅度增多，运输车辆向重型化、大型化方向发展，再加上交通量日益增大和汽车超载现象非常严重，车辙等逐渐成为公路沥青路面的主要病害。</w:t>
      </w:r>
    </w:p>
    <w:p w:rsidR="00651181" w:rsidRDefault="00027E46">
      <w:pPr>
        <w:tabs>
          <w:tab w:val="left" w:pos="720"/>
        </w:tabs>
        <w:spacing w:line="360" w:lineRule="auto"/>
        <w:ind w:firstLineChars="200" w:firstLine="480"/>
        <w:rPr>
          <w:rFonts w:ascii="Times New Roman" w:eastAsia="仿宋" w:hAnsi="Times New Roman"/>
          <w:bCs/>
          <w:sz w:val="24"/>
        </w:rPr>
      </w:pPr>
      <w:r>
        <w:rPr>
          <w:rFonts w:ascii="Times New Roman" w:eastAsia="仿宋" w:hAnsi="Times New Roman"/>
          <w:bCs/>
          <w:sz w:val="24"/>
        </w:rPr>
        <w:t>（</w:t>
      </w:r>
      <w:r>
        <w:rPr>
          <w:rFonts w:ascii="Times New Roman" w:eastAsia="仿宋" w:hAnsi="Times New Roman"/>
          <w:bCs/>
          <w:sz w:val="24"/>
        </w:rPr>
        <w:t>1</w:t>
      </w:r>
      <w:r>
        <w:rPr>
          <w:rFonts w:ascii="Times New Roman" w:eastAsia="仿宋" w:hAnsi="Times New Roman"/>
          <w:bCs/>
          <w:sz w:val="24"/>
        </w:rPr>
        <w:t>）在城市道路的平交路口、公交停靠站等位置，由于大型公交频繁制动、刹车，导致车辙、推挤、拥包等沥青路面失稳性病害十分严重。</w:t>
      </w:r>
    </w:p>
    <w:p w:rsidR="00651181" w:rsidRDefault="00027E46">
      <w:pPr>
        <w:tabs>
          <w:tab w:val="left" w:pos="720"/>
        </w:tabs>
        <w:spacing w:line="360" w:lineRule="auto"/>
        <w:ind w:firstLineChars="200" w:firstLine="480"/>
        <w:rPr>
          <w:rFonts w:ascii="Times New Roman" w:eastAsia="仿宋" w:hAnsi="Times New Roman"/>
          <w:bCs/>
          <w:sz w:val="24"/>
        </w:rPr>
      </w:pPr>
      <w:r>
        <w:rPr>
          <w:rFonts w:ascii="Times New Roman" w:eastAsia="仿宋" w:hAnsi="Times New Roman"/>
          <w:bCs/>
          <w:sz w:val="24"/>
        </w:rPr>
        <w:t>（</w:t>
      </w:r>
      <w:r>
        <w:rPr>
          <w:rFonts w:ascii="Times New Roman" w:eastAsia="仿宋" w:hAnsi="Times New Roman"/>
          <w:bCs/>
          <w:sz w:val="24"/>
        </w:rPr>
        <w:t>2</w:t>
      </w:r>
      <w:r>
        <w:rPr>
          <w:rFonts w:ascii="Times New Roman" w:eastAsia="仿宋" w:hAnsi="Times New Roman"/>
          <w:bCs/>
          <w:sz w:val="24"/>
        </w:rPr>
        <w:t>）在一些城市和干线公路的平交路口，由于重载交通作用，特别是重载货车在有红绿灯的平交口刹车、等待、起步、转向，同时大贷车常常出现漏水、漏油，使平交口的沥青路面极易发生车辙、坑槽、推移、松散等早期破坏，普通的改性沥青路面如</w:t>
      </w:r>
      <w:r>
        <w:rPr>
          <w:rFonts w:ascii="Times New Roman" w:eastAsia="仿宋" w:hAnsi="Times New Roman"/>
          <w:bCs/>
          <w:sz w:val="24"/>
        </w:rPr>
        <w:t>AC-13</w:t>
      </w:r>
      <w:r>
        <w:rPr>
          <w:rFonts w:ascii="Times New Roman" w:eastAsia="仿宋" w:hAnsi="Times New Roman"/>
          <w:bCs/>
          <w:sz w:val="24"/>
        </w:rPr>
        <w:t>和</w:t>
      </w:r>
      <w:r>
        <w:rPr>
          <w:rFonts w:ascii="Times New Roman" w:eastAsia="仿宋" w:hAnsi="Times New Roman"/>
          <w:bCs/>
          <w:sz w:val="24"/>
        </w:rPr>
        <w:t>SMA-13</w:t>
      </w:r>
      <w:r>
        <w:rPr>
          <w:rFonts w:ascii="Times New Roman" w:eastAsia="仿宋" w:hAnsi="Times New Roman"/>
          <w:bCs/>
          <w:sz w:val="24"/>
        </w:rPr>
        <w:t>已无法承受这种交通状况。</w:t>
      </w:r>
    </w:p>
    <w:p w:rsidR="00651181" w:rsidRDefault="00027E46">
      <w:pPr>
        <w:tabs>
          <w:tab w:val="left" w:pos="720"/>
        </w:tabs>
        <w:spacing w:line="360" w:lineRule="auto"/>
        <w:ind w:firstLineChars="200" w:firstLine="480"/>
        <w:rPr>
          <w:rFonts w:ascii="Times New Roman" w:eastAsia="仿宋" w:hAnsi="Times New Roman"/>
          <w:bCs/>
          <w:sz w:val="24"/>
        </w:rPr>
      </w:pPr>
      <w:r>
        <w:rPr>
          <w:rFonts w:ascii="Times New Roman" w:eastAsia="仿宋" w:hAnsi="Times New Roman"/>
          <w:bCs/>
          <w:sz w:val="24"/>
        </w:rPr>
        <w:t>（</w:t>
      </w:r>
      <w:r>
        <w:rPr>
          <w:rFonts w:ascii="Times New Roman" w:eastAsia="仿宋" w:hAnsi="Times New Roman"/>
          <w:bCs/>
          <w:sz w:val="24"/>
        </w:rPr>
        <w:t>3</w:t>
      </w:r>
      <w:r>
        <w:rPr>
          <w:rFonts w:ascii="Times New Roman" w:eastAsia="仿宋" w:hAnsi="Times New Roman"/>
          <w:bCs/>
          <w:sz w:val="24"/>
        </w:rPr>
        <w:t>）城市轨道交通（如智轨）由于重型荷载长期行驶同一轨道，造成车辙十分严重。</w:t>
      </w:r>
    </w:p>
    <w:p w:rsidR="00651181" w:rsidRDefault="00027E46">
      <w:pPr>
        <w:tabs>
          <w:tab w:val="left" w:pos="720"/>
        </w:tabs>
        <w:spacing w:line="360" w:lineRule="auto"/>
        <w:ind w:firstLineChars="200" w:firstLine="480"/>
        <w:rPr>
          <w:rFonts w:ascii="Times New Roman" w:eastAsia="仿宋" w:hAnsi="Times New Roman"/>
          <w:bCs/>
          <w:sz w:val="24"/>
        </w:rPr>
      </w:pPr>
      <w:r>
        <w:rPr>
          <w:rFonts w:ascii="Times New Roman" w:eastAsia="仿宋" w:hAnsi="Times New Roman"/>
          <w:bCs/>
          <w:sz w:val="24"/>
        </w:rPr>
        <w:t>（</w:t>
      </w:r>
      <w:r>
        <w:rPr>
          <w:rFonts w:ascii="Times New Roman" w:eastAsia="仿宋" w:hAnsi="Times New Roman"/>
          <w:bCs/>
          <w:sz w:val="24"/>
        </w:rPr>
        <w:t>4</w:t>
      </w:r>
      <w:r>
        <w:rPr>
          <w:rFonts w:ascii="Times New Roman" w:eastAsia="仿宋" w:hAnsi="Times New Roman"/>
          <w:bCs/>
          <w:sz w:val="24"/>
        </w:rPr>
        <w:t>）高速公路收费站由于车辙病害、贷车等待时漏油和漏水，一直采用水泥混凝土路面，但水泥混凝土路面平整度差、维护养护时间长等问题，造成高速公路收费站路面一直路况很差。</w:t>
      </w:r>
    </w:p>
    <w:p w:rsidR="00651181" w:rsidRDefault="00027E46">
      <w:pPr>
        <w:tabs>
          <w:tab w:val="left" w:pos="720"/>
        </w:tabs>
        <w:spacing w:line="360" w:lineRule="auto"/>
        <w:ind w:firstLineChars="200" w:firstLine="480"/>
        <w:rPr>
          <w:rFonts w:ascii="Times New Roman" w:eastAsia="仿宋" w:hAnsi="Times New Roman"/>
          <w:bCs/>
          <w:sz w:val="24"/>
        </w:rPr>
      </w:pPr>
      <w:r>
        <w:rPr>
          <w:rFonts w:ascii="Times New Roman" w:eastAsia="仿宋" w:hAnsi="Times New Roman"/>
          <w:bCs/>
          <w:sz w:val="24"/>
        </w:rPr>
        <w:t>车辙、推移、坑槽（漏油、漏水造成）、松散等病害的出现，严重影响了沥青路面的服务质量和使用寿命，给路面及路面使用者带来了许多危害：（</w:t>
      </w:r>
      <w:r>
        <w:rPr>
          <w:rFonts w:ascii="Times New Roman" w:eastAsia="仿宋" w:hAnsi="Times New Roman"/>
          <w:bCs/>
          <w:sz w:val="24"/>
        </w:rPr>
        <w:t>1</w:t>
      </w:r>
      <w:r>
        <w:rPr>
          <w:rFonts w:ascii="Times New Roman" w:eastAsia="仿宋" w:hAnsi="Times New Roman"/>
          <w:bCs/>
          <w:sz w:val="24"/>
        </w:rPr>
        <w:t>）影响了路面的平整度，降低了行车舒适性；（</w:t>
      </w:r>
      <w:r>
        <w:rPr>
          <w:rFonts w:ascii="Times New Roman" w:eastAsia="仿宋" w:hAnsi="Times New Roman"/>
          <w:bCs/>
          <w:sz w:val="24"/>
        </w:rPr>
        <w:t>2</w:t>
      </w:r>
      <w:r>
        <w:rPr>
          <w:rFonts w:ascii="Times New Roman" w:eastAsia="仿宋" w:hAnsi="Times New Roman"/>
          <w:bCs/>
          <w:sz w:val="24"/>
        </w:rPr>
        <w:t>）轮迹处沥青层厚度减薄，削弱了沥青及路面结构的整体强度，从而易于诱发各种病害，如网裂和水损坏等；（</w:t>
      </w:r>
      <w:r>
        <w:rPr>
          <w:rFonts w:ascii="Times New Roman" w:eastAsia="仿宋" w:hAnsi="Times New Roman"/>
          <w:bCs/>
          <w:sz w:val="24"/>
        </w:rPr>
        <w:t>3</w:t>
      </w:r>
      <w:r>
        <w:rPr>
          <w:rFonts w:ascii="Times New Roman" w:eastAsia="仿宋" w:hAnsi="Times New Roman"/>
          <w:bCs/>
          <w:sz w:val="24"/>
        </w:rPr>
        <w:t>）雨天路表排水不畅，辙槽内积水，降低了路面的抗滑能力，从而影响交通安全</w:t>
      </w:r>
      <w:r>
        <w:rPr>
          <w:rFonts w:ascii="Times New Roman" w:eastAsia="仿宋" w:hAnsi="Times New Roman"/>
          <w:bCs/>
          <w:sz w:val="24"/>
        </w:rPr>
        <w:t>。</w:t>
      </w:r>
    </w:p>
    <w:p w:rsidR="00651181" w:rsidRDefault="00027E46">
      <w:pPr>
        <w:tabs>
          <w:tab w:val="left" w:pos="720"/>
        </w:tabs>
        <w:spacing w:line="360" w:lineRule="auto"/>
        <w:ind w:firstLineChars="200" w:firstLine="480"/>
        <w:rPr>
          <w:rFonts w:ascii="Times New Roman" w:eastAsia="仿宋" w:hAnsi="Times New Roman"/>
          <w:bCs/>
          <w:sz w:val="24"/>
        </w:rPr>
      </w:pPr>
      <w:r>
        <w:rPr>
          <w:rFonts w:ascii="Times New Roman" w:eastAsia="仿宋" w:hAnsi="Times New Roman"/>
          <w:bCs/>
          <w:sz w:val="24"/>
        </w:rPr>
        <w:t>灌入式半柔性复合沥青路面是通过基体沥青混合料路面中，灌入特种水泥浆，形成水泥</w:t>
      </w:r>
      <w:r>
        <w:rPr>
          <w:rFonts w:ascii="Times New Roman" w:eastAsia="仿宋" w:hAnsi="Times New Roman"/>
          <w:bCs/>
          <w:sz w:val="24"/>
        </w:rPr>
        <w:t>-</w:t>
      </w:r>
      <w:r>
        <w:rPr>
          <w:rFonts w:ascii="Times New Roman" w:eastAsia="仿宋" w:hAnsi="Times New Roman"/>
          <w:bCs/>
          <w:sz w:val="24"/>
        </w:rPr>
        <w:t>沥青复合形成半柔</w:t>
      </w:r>
      <w:r>
        <w:rPr>
          <w:rFonts w:ascii="Times New Roman" w:eastAsia="仿宋" w:hAnsi="Times New Roman"/>
          <w:bCs/>
          <w:sz w:val="24"/>
        </w:rPr>
        <w:t>-</w:t>
      </w:r>
      <w:r>
        <w:rPr>
          <w:rFonts w:ascii="Times New Roman" w:eastAsia="仿宋" w:hAnsi="Times New Roman"/>
          <w:bCs/>
          <w:sz w:val="24"/>
        </w:rPr>
        <w:t>半刚型的路面结构，提高路面整体抗车辙能力而且具有良好的抗油蚀性能、抗水侵蚀性（水稳定性良好）。颜色与外形基本与普通</w:t>
      </w:r>
      <w:r>
        <w:rPr>
          <w:rFonts w:ascii="Times New Roman" w:eastAsia="仿宋" w:hAnsi="Times New Roman"/>
          <w:bCs/>
          <w:sz w:val="24"/>
        </w:rPr>
        <w:lastRenderedPageBreak/>
        <w:t>沥青路面一致。从而有效地解决重载、交通量大的路段、红绿灯交叉口、停车站台以及</w:t>
      </w:r>
      <w:r>
        <w:rPr>
          <w:rFonts w:ascii="Times New Roman" w:eastAsia="仿宋" w:hAnsi="Times New Roman"/>
          <w:bCs/>
          <w:sz w:val="24"/>
        </w:rPr>
        <w:t>BRT</w:t>
      </w:r>
      <w:r>
        <w:rPr>
          <w:rFonts w:ascii="Times New Roman" w:eastAsia="仿宋" w:hAnsi="Times New Roman"/>
          <w:bCs/>
          <w:sz w:val="24"/>
        </w:rPr>
        <w:t>专业车道、大型货车停车场、长大上坡、高速公路收费站、智轨等特殊路段的抗剪切流变、抗油蚀、抗水损坏的问题。对解决我省特殊路段的典型病害有重要意义。可广泛用于城市道路和公路平交路面、红绿灯交叉口、停车站台以及</w:t>
      </w:r>
      <w:r>
        <w:rPr>
          <w:rFonts w:ascii="Times New Roman" w:eastAsia="仿宋" w:hAnsi="Times New Roman"/>
          <w:bCs/>
          <w:sz w:val="24"/>
        </w:rPr>
        <w:t>BRT</w:t>
      </w:r>
      <w:r>
        <w:rPr>
          <w:rFonts w:ascii="Times New Roman" w:eastAsia="仿宋" w:hAnsi="Times New Roman"/>
          <w:bCs/>
          <w:sz w:val="24"/>
        </w:rPr>
        <w:t>专业车</w:t>
      </w:r>
      <w:r>
        <w:rPr>
          <w:rFonts w:ascii="Times New Roman" w:eastAsia="仿宋" w:hAnsi="Times New Roman"/>
          <w:bCs/>
          <w:sz w:val="24"/>
        </w:rPr>
        <w:t>道、大型货车停车场、公路长大上坡段、高速公路收费站、智轨、大型厂矿运输车道、港口码头的场内路面等路段，具有重要的推广价值和意义。</w:t>
      </w:r>
    </w:p>
    <w:p w:rsidR="00651181" w:rsidRDefault="00027E46">
      <w:pPr>
        <w:tabs>
          <w:tab w:val="left" w:pos="720"/>
        </w:tabs>
        <w:spacing w:line="360" w:lineRule="auto"/>
        <w:ind w:firstLineChars="200" w:firstLine="480"/>
        <w:rPr>
          <w:rFonts w:ascii="Times New Roman" w:eastAsia="仿宋" w:hAnsi="Times New Roman"/>
          <w:bCs/>
          <w:sz w:val="24"/>
        </w:rPr>
      </w:pPr>
      <w:r>
        <w:rPr>
          <w:rFonts w:ascii="Times New Roman" w:eastAsia="仿宋" w:hAnsi="Times New Roman"/>
          <w:bCs/>
          <w:sz w:val="24"/>
        </w:rPr>
        <w:t>目前高性能灌入式半柔性复合沥青路面已在湖南省省内莲株高速公路、株州市政道路、株州智轨、高速公路收费站、株州沥青拌和场进出场道路、湘潭钢厂进出场道路等地方大量采用。鉴于高性能灌入式半柔性复合沥青路面优良的抗车辙特性、抗油蚀性能、抗水损害性能，后期将得到大量的推广应用。为解决高性能灌入式半柔性复合沥青路面在设计、施工、质量控制等方面的问题，编制灌入式半柔性复合沥青路面湖南省地方标准，</w:t>
      </w:r>
      <w:r>
        <w:rPr>
          <w:rFonts w:ascii="Times New Roman" w:eastAsia="仿宋" w:hAnsi="Times New Roman"/>
          <w:bCs/>
          <w:sz w:val="24"/>
        </w:rPr>
        <w:t>规范其设计、施工、质量控制，对于高性能灌入式半柔性复合沥青路面的应用推广有重要意义，对解决我省道路建设中特殊路段出现的疑难杂症有重要意义。</w:t>
      </w:r>
    </w:p>
    <w:p w:rsidR="00651181" w:rsidRDefault="00027E46">
      <w:pPr>
        <w:tabs>
          <w:tab w:val="left" w:pos="720"/>
        </w:tabs>
        <w:spacing w:line="360" w:lineRule="auto"/>
        <w:ind w:firstLineChars="200" w:firstLine="480"/>
        <w:rPr>
          <w:rFonts w:ascii="Times New Roman" w:eastAsia="仿宋" w:hAnsi="Times New Roman"/>
          <w:bCs/>
          <w:sz w:val="24"/>
        </w:rPr>
      </w:pPr>
      <w:r>
        <w:rPr>
          <w:rFonts w:ascii="Times New Roman" w:eastAsia="仿宋" w:hAnsi="Times New Roman"/>
          <w:bCs/>
          <w:sz w:val="24"/>
        </w:rPr>
        <w:t>同时智轨是近年来我国发展的新型城市轨道交通型式</w:t>
      </w:r>
      <w:r>
        <w:rPr>
          <w:rFonts w:ascii="Times New Roman" w:eastAsia="仿宋" w:hAnsi="Times New Roman"/>
          <w:bCs/>
          <w:sz w:val="24"/>
        </w:rPr>
        <w:t xml:space="preserve">, </w:t>
      </w:r>
      <w:r>
        <w:rPr>
          <w:rFonts w:ascii="Times New Roman" w:eastAsia="仿宋" w:hAnsi="Times New Roman"/>
          <w:bCs/>
          <w:sz w:val="24"/>
        </w:rPr>
        <w:t>具有凭借其智能信息化程度高、输送能力大、运行速度快、准点率高、安全舒适、节能环保等特点，已经成为智慧交通的主要实现形式之一。中车株洲所在国内首次提出电子导向胶轮系统。该系统属于智能轨道交通的新型、高端制式，通过胶轮承载，无需铺设专有物理轨道，同时基于虚拟轨道跟随技术可以实现在廊道（系统运行专用车道）内自动循迹及自主导向等</w:t>
      </w:r>
      <w:r>
        <w:rPr>
          <w:rFonts w:ascii="Times New Roman" w:eastAsia="仿宋" w:hAnsi="Times New Roman"/>
          <w:bCs/>
          <w:sz w:val="24"/>
        </w:rPr>
        <w:t>功能。电子导向胶轮系统车辆（后文简称</w:t>
      </w:r>
      <w:r>
        <w:rPr>
          <w:rFonts w:ascii="Times New Roman" w:eastAsia="仿宋" w:hAnsi="Times New Roman"/>
          <w:bCs/>
          <w:sz w:val="24"/>
        </w:rPr>
        <w:t>“</w:t>
      </w:r>
      <w:r>
        <w:rPr>
          <w:rFonts w:ascii="Times New Roman" w:eastAsia="仿宋" w:hAnsi="Times New Roman"/>
          <w:bCs/>
          <w:sz w:val="24"/>
        </w:rPr>
        <w:t>系统车辆</w:t>
      </w:r>
      <w:r>
        <w:rPr>
          <w:rFonts w:ascii="Times New Roman" w:eastAsia="仿宋" w:hAnsi="Times New Roman"/>
          <w:bCs/>
          <w:sz w:val="24"/>
        </w:rPr>
        <w:t>”</w:t>
      </w:r>
      <w:r>
        <w:rPr>
          <w:rFonts w:ascii="Times New Roman" w:eastAsia="仿宋" w:hAnsi="Times New Roman"/>
          <w:bCs/>
          <w:sz w:val="24"/>
        </w:rPr>
        <w:t>）不仅是一种</w:t>
      </w:r>
      <w:r>
        <w:rPr>
          <w:rFonts w:ascii="Times New Roman" w:eastAsia="仿宋" w:hAnsi="Times New Roman"/>
          <w:bCs/>
          <w:sz w:val="24"/>
        </w:rPr>
        <w:t>“</w:t>
      </w:r>
      <w:r>
        <w:rPr>
          <w:rFonts w:ascii="Times New Roman" w:eastAsia="仿宋" w:hAnsi="Times New Roman"/>
          <w:bCs/>
          <w:sz w:val="24"/>
        </w:rPr>
        <w:t>零污染</w:t>
      </w:r>
      <w:r>
        <w:rPr>
          <w:rFonts w:ascii="Times New Roman" w:eastAsia="仿宋" w:hAnsi="Times New Roman"/>
          <w:bCs/>
          <w:sz w:val="24"/>
        </w:rPr>
        <w:t>”</w:t>
      </w:r>
      <w:r>
        <w:rPr>
          <w:rFonts w:ascii="Times New Roman" w:eastAsia="仿宋" w:hAnsi="Times New Roman"/>
          <w:bCs/>
          <w:sz w:val="24"/>
        </w:rPr>
        <w:t>、</w:t>
      </w:r>
      <w:r>
        <w:rPr>
          <w:rFonts w:ascii="Times New Roman" w:eastAsia="仿宋" w:hAnsi="Times New Roman"/>
          <w:bCs/>
          <w:sz w:val="24"/>
        </w:rPr>
        <w:t>“</w:t>
      </w:r>
      <w:r>
        <w:rPr>
          <w:rFonts w:ascii="Times New Roman" w:eastAsia="仿宋" w:hAnsi="Times New Roman"/>
          <w:bCs/>
          <w:sz w:val="24"/>
        </w:rPr>
        <w:t>零排放</w:t>
      </w:r>
      <w:r>
        <w:rPr>
          <w:rFonts w:ascii="Times New Roman" w:eastAsia="仿宋" w:hAnsi="Times New Roman"/>
          <w:bCs/>
          <w:sz w:val="24"/>
        </w:rPr>
        <w:t>”</w:t>
      </w:r>
      <w:r>
        <w:rPr>
          <w:rFonts w:ascii="Times New Roman" w:eastAsia="仿宋" w:hAnsi="Times New Roman"/>
          <w:bCs/>
          <w:sz w:val="24"/>
        </w:rPr>
        <w:t>的新型交通工具，同时还具有建设周期短、基础设施投资小、城市适应性高、综合运力强等优势，有望为中小城市智慧交通建设提供核心技术支持。智轨的系统车辆具有</w:t>
      </w:r>
      <w:r>
        <w:rPr>
          <w:rFonts w:ascii="Times New Roman" w:eastAsia="仿宋" w:hAnsi="Times New Roman"/>
          <w:bCs/>
          <w:sz w:val="24"/>
        </w:rPr>
        <w:t>6</w:t>
      </w:r>
      <w:r>
        <w:rPr>
          <w:rFonts w:ascii="Times New Roman" w:eastAsia="仿宋" w:hAnsi="Times New Roman"/>
          <w:bCs/>
          <w:sz w:val="24"/>
        </w:rPr>
        <w:t>轴，长度是</w:t>
      </w:r>
      <w:r>
        <w:rPr>
          <w:rFonts w:ascii="Times New Roman" w:eastAsia="仿宋" w:hAnsi="Times New Roman"/>
          <w:bCs/>
          <w:sz w:val="24"/>
        </w:rPr>
        <w:t>18</w:t>
      </w:r>
      <w:r>
        <w:rPr>
          <w:rFonts w:ascii="Times New Roman" w:eastAsia="仿宋" w:hAnsi="Times New Roman"/>
          <w:bCs/>
          <w:sz w:val="24"/>
        </w:rPr>
        <w:t>米铰接式公交的</w:t>
      </w:r>
      <w:r>
        <w:rPr>
          <w:rFonts w:ascii="Times New Roman" w:eastAsia="仿宋" w:hAnsi="Times New Roman"/>
          <w:bCs/>
          <w:sz w:val="24"/>
        </w:rPr>
        <w:t>2</w:t>
      </w:r>
      <w:r>
        <w:rPr>
          <w:rFonts w:ascii="Times New Roman" w:eastAsia="仿宋" w:hAnsi="Times New Roman"/>
          <w:bCs/>
          <w:sz w:val="24"/>
        </w:rPr>
        <w:t>倍，轴型为单轴单轮，轮胎尺寸和载重大于普通公交，胎压高达</w:t>
      </w:r>
      <w:r>
        <w:rPr>
          <w:rFonts w:ascii="Times New Roman" w:eastAsia="仿宋" w:hAnsi="Times New Roman"/>
          <w:bCs/>
          <w:sz w:val="24"/>
        </w:rPr>
        <w:t>1.2MPa</w:t>
      </w:r>
      <w:r>
        <w:rPr>
          <w:rFonts w:ascii="Times New Roman" w:eastAsia="仿宋" w:hAnsi="Times New Roman"/>
          <w:bCs/>
          <w:sz w:val="24"/>
        </w:rPr>
        <w:t>，具有完全渠化、多轴、重载的特点，其对路面加载方式与现有公交车辆相比具有相当大的差异。高性能灌入式半柔性复合沥青是适用于电子导向胶轮系统的智轨廊道路面结构，已在株州智轨项目得到了应用</w:t>
      </w:r>
      <w:r>
        <w:rPr>
          <w:rFonts w:ascii="Times New Roman" w:eastAsia="仿宋" w:hAnsi="Times New Roman"/>
          <w:bCs/>
          <w:sz w:val="24"/>
        </w:rPr>
        <w:t>和验证，通过地方标准的编写，更好规范其设计、施工、质量控制，更进一步推动智轨技术的进一步应用与发展。</w:t>
      </w:r>
    </w:p>
    <w:p w:rsidR="00651181" w:rsidRDefault="00027E46">
      <w:pPr>
        <w:numPr>
          <w:ilvl w:val="0"/>
          <w:numId w:val="2"/>
        </w:numPr>
        <w:spacing w:line="360" w:lineRule="auto"/>
        <w:outlineLvl w:val="0"/>
        <w:rPr>
          <w:rFonts w:ascii="Times New Roman" w:eastAsia="黑体" w:hAnsi="Times New Roman"/>
          <w:color w:val="000000"/>
          <w:spacing w:val="8"/>
          <w:sz w:val="28"/>
          <w:szCs w:val="28"/>
        </w:rPr>
      </w:pPr>
      <w:bookmarkStart w:id="4" w:name="_Toc4467"/>
      <w:r>
        <w:rPr>
          <w:rFonts w:ascii="Times New Roman" w:eastAsia="黑体" w:hAnsi="Times New Roman"/>
          <w:color w:val="000000"/>
          <w:spacing w:val="8"/>
          <w:sz w:val="28"/>
          <w:szCs w:val="28"/>
        </w:rPr>
        <w:lastRenderedPageBreak/>
        <w:t>工作简况</w:t>
      </w:r>
      <w:bookmarkEnd w:id="4"/>
    </w:p>
    <w:p w:rsidR="00651181" w:rsidRDefault="00027E46">
      <w:pPr>
        <w:spacing w:line="360" w:lineRule="auto"/>
        <w:jc w:val="left"/>
        <w:outlineLvl w:val="1"/>
        <w:rPr>
          <w:rFonts w:ascii="Times New Roman" w:eastAsia="黑体" w:hAnsi="Times New Roman"/>
          <w:color w:val="000000"/>
          <w:spacing w:val="8"/>
          <w:sz w:val="28"/>
          <w:szCs w:val="28"/>
        </w:rPr>
      </w:pPr>
      <w:bookmarkStart w:id="5" w:name="_Toc2291"/>
      <w:r>
        <w:rPr>
          <w:rFonts w:ascii="Times New Roman" w:eastAsia="黑体" w:hAnsi="Times New Roman"/>
          <w:color w:val="000000"/>
          <w:spacing w:val="8"/>
          <w:sz w:val="28"/>
          <w:szCs w:val="28"/>
        </w:rPr>
        <w:t>2.1</w:t>
      </w:r>
      <w:r>
        <w:rPr>
          <w:rFonts w:ascii="Times New Roman" w:eastAsia="黑体" w:hAnsi="Times New Roman"/>
          <w:color w:val="000000"/>
          <w:spacing w:val="8"/>
          <w:sz w:val="28"/>
          <w:szCs w:val="28"/>
        </w:rPr>
        <w:t>标准编制任务来源</w:t>
      </w:r>
      <w:bookmarkEnd w:id="5"/>
    </w:p>
    <w:p w:rsidR="00651181" w:rsidRDefault="00027E46">
      <w:pPr>
        <w:tabs>
          <w:tab w:val="left" w:pos="720"/>
        </w:tabs>
        <w:spacing w:line="360" w:lineRule="auto"/>
        <w:ind w:firstLineChars="200" w:firstLine="480"/>
        <w:rPr>
          <w:rFonts w:ascii="Times New Roman" w:eastAsia="仿宋" w:hAnsi="Times New Roman"/>
          <w:bCs/>
          <w:sz w:val="24"/>
        </w:rPr>
      </w:pPr>
      <w:r>
        <w:rPr>
          <w:rFonts w:ascii="Times New Roman" w:eastAsia="仿宋" w:hAnsi="Times New Roman"/>
          <w:bCs/>
          <w:sz w:val="24"/>
        </w:rPr>
        <w:t>任务来源于湖南省市场监督管理局</w:t>
      </w:r>
      <w:r>
        <w:rPr>
          <w:rFonts w:ascii="Times New Roman" w:eastAsia="仿宋" w:hAnsi="Times New Roman"/>
          <w:bCs/>
          <w:sz w:val="24"/>
        </w:rPr>
        <w:t>2022</w:t>
      </w:r>
      <w:r>
        <w:rPr>
          <w:rFonts w:ascii="Times New Roman" w:eastAsia="仿宋" w:hAnsi="Times New Roman"/>
          <w:bCs/>
          <w:sz w:val="24"/>
        </w:rPr>
        <w:t>年</w:t>
      </w:r>
      <w:r>
        <w:rPr>
          <w:rFonts w:ascii="Times New Roman" w:eastAsia="仿宋" w:hAnsi="Times New Roman"/>
          <w:bCs/>
          <w:sz w:val="24"/>
        </w:rPr>
        <w:t>01</w:t>
      </w:r>
      <w:r>
        <w:rPr>
          <w:rFonts w:ascii="Times New Roman" w:eastAsia="仿宋" w:hAnsi="Times New Roman"/>
          <w:bCs/>
          <w:sz w:val="24"/>
        </w:rPr>
        <w:t>月</w:t>
      </w:r>
      <w:r>
        <w:rPr>
          <w:rFonts w:ascii="Times New Roman" w:eastAsia="仿宋" w:hAnsi="Times New Roman"/>
          <w:bCs/>
          <w:sz w:val="24"/>
        </w:rPr>
        <w:t>28</w:t>
      </w:r>
      <w:r>
        <w:rPr>
          <w:rFonts w:ascii="Times New Roman" w:eastAsia="仿宋" w:hAnsi="Times New Roman"/>
          <w:bCs/>
          <w:sz w:val="24"/>
        </w:rPr>
        <w:t>日发布的《关于下达</w:t>
      </w:r>
      <w:r>
        <w:rPr>
          <w:rFonts w:ascii="Times New Roman" w:eastAsia="仿宋" w:hAnsi="Times New Roman"/>
          <w:bCs/>
          <w:sz w:val="24"/>
        </w:rPr>
        <w:t>2022</w:t>
      </w:r>
      <w:r>
        <w:rPr>
          <w:rFonts w:ascii="Times New Roman" w:eastAsia="仿宋" w:hAnsi="Times New Roman"/>
          <w:bCs/>
          <w:sz w:val="24"/>
        </w:rPr>
        <w:t>年第一批地方标准制修订项目计划的通知》，属于新编标准，标准名称为《灌入式半柔性复合沥青路面应用技术规范》。</w:t>
      </w:r>
    </w:p>
    <w:p w:rsidR="00651181" w:rsidRDefault="00027E46">
      <w:pPr>
        <w:spacing w:line="360" w:lineRule="auto"/>
        <w:jc w:val="left"/>
        <w:outlineLvl w:val="1"/>
        <w:rPr>
          <w:rFonts w:ascii="Times New Roman" w:eastAsia="黑体" w:hAnsi="Times New Roman"/>
          <w:color w:val="000000"/>
          <w:spacing w:val="8"/>
          <w:sz w:val="28"/>
          <w:szCs w:val="28"/>
        </w:rPr>
      </w:pPr>
      <w:bookmarkStart w:id="6" w:name="_Toc7671"/>
      <w:r>
        <w:rPr>
          <w:rFonts w:ascii="Times New Roman" w:eastAsia="黑体" w:hAnsi="Times New Roman"/>
          <w:color w:val="000000"/>
          <w:spacing w:val="8"/>
          <w:sz w:val="28"/>
          <w:szCs w:val="28"/>
        </w:rPr>
        <w:t>2.2</w:t>
      </w:r>
      <w:r>
        <w:rPr>
          <w:rFonts w:ascii="Times New Roman" w:eastAsia="黑体" w:hAnsi="Times New Roman"/>
          <w:color w:val="000000"/>
          <w:spacing w:val="8"/>
          <w:sz w:val="28"/>
          <w:szCs w:val="28"/>
        </w:rPr>
        <w:t>标准编制协作单位</w:t>
      </w:r>
      <w:bookmarkEnd w:id="6"/>
    </w:p>
    <w:p w:rsidR="00651181" w:rsidRPr="008B63B5" w:rsidRDefault="00027E46" w:rsidP="008B63B5">
      <w:pPr>
        <w:pStyle w:val="af3"/>
        <w:spacing w:line="360" w:lineRule="auto"/>
        <w:ind w:firstLine="480"/>
        <w:rPr>
          <w:rFonts w:ascii="Times New Roman" w:eastAsia="仿宋"/>
          <w:bCs/>
          <w:sz w:val="24"/>
          <w:szCs w:val="22"/>
        </w:rPr>
      </w:pPr>
      <w:r>
        <w:rPr>
          <w:rFonts w:ascii="Times New Roman" w:eastAsia="仿宋" w:hint="eastAsia"/>
          <w:bCs/>
          <w:sz w:val="24"/>
          <w:szCs w:val="24"/>
        </w:rPr>
        <w:t>编制</w:t>
      </w:r>
      <w:r>
        <w:rPr>
          <w:rFonts w:ascii="Times New Roman" w:eastAsia="仿宋"/>
          <w:bCs/>
          <w:sz w:val="24"/>
          <w:szCs w:val="24"/>
        </w:rPr>
        <w:t>单位：</w:t>
      </w:r>
      <w:r w:rsidRPr="008B63B5">
        <w:rPr>
          <w:rFonts w:ascii="Times New Roman" w:eastAsia="仿宋" w:hint="eastAsia"/>
          <w:bCs/>
          <w:kern w:val="2"/>
          <w:sz w:val="24"/>
          <w:szCs w:val="22"/>
        </w:rPr>
        <w:t>湖南省湘筑工程有限公司、北京城建设计发展集团股份有限公司、湖南省交通科学研究院有限公司、湖南省路桥集团有限公司、湖南华城检测技术有限公司、湖南省公路设计有限公</w:t>
      </w:r>
      <w:r w:rsidRPr="008B63B5">
        <w:rPr>
          <w:rFonts w:ascii="Times New Roman" w:eastAsia="仿宋" w:hint="eastAsia"/>
          <w:bCs/>
          <w:kern w:val="2"/>
          <w:sz w:val="24"/>
          <w:szCs w:val="22"/>
        </w:rPr>
        <w:t>司、湖南省交通职业技术学院、湖南新湘路交通科技有限公司、江苏苏博特新材料股份有限公司、湖南省白新高速公路建设开发有限公司</w:t>
      </w:r>
    </w:p>
    <w:p w:rsidR="00651181" w:rsidRDefault="00027E46">
      <w:pPr>
        <w:spacing w:line="360" w:lineRule="auto"/>
        <w:jc w:val="left"/>
        <w:outlineLvl w:val="1"/>
        <w:rPr>
          <w:rFonts w:ascii="Times New Roman" w:eastAsia="黑体" w:hAnsi="Times New Roman"/>
          <w:color w:val="000000"/>
          <w:spacing w:val="8"/>
          <w:sz w:val="28"/>
          <w:szCs w:val="28"/>
        </w:rPr>
      </w:pPr>
      <w:bookmarkStart w:id="7" w:name="_Toc20437"/>
      <w:r>
        <w:rPr>
          <w:rFonts w:ascii="Times New Roman" w:eastAsia="黑体" w:hAnsi="Times New Roman"/>
          <w:color w:val="000000"/>
          <w:spacing w:val="8"/>
          <w:sz w:val="28"/>
          <w:szCs w:val="28"/>
        </w:rPr>
        <w:t>2</w:t>
      </w:r>
      <w:r>
        <w:rPr>
          <w:rFonts w:ascii="Times New Roman" w:eastAsia="黑体" w:hAnsi="Times New Roman"/>
          <w:color w:val="000000"/>
          <w:spacing w:val="8"/>
          <w:sz w:val="28"/>
          <w:szCs w:val="28"/>
        </w:rPr>
        <w:t>.3</w:t>
      </w:r>
      <w:r>
        <w:rPr>
          <w:rFonts w:ascii="Times New Roman" w:eastAsia="黑体" w:hAnsi="Times New Roman"/>
          <w:color w:val="000000"/>
          <w:spacing w:val="8"/>
          <w:sz w:val="28"/>
          <w:szCs w:val="28"/>
        </w:rPr>
        <w:t>标准主要起草</w:t>
      </w:r>
      <w:r>
        <w:rPr>
          <w:rFonts w:ascii="Times New Roman" w:eastAsia="黑体" w:hAnsi="Times New Roman"/>
          <w:color w:val="000000"/>
          <w:spacing w:val="8"/>
          <w:sz w:val="28"/>
          <w:szCs w:val="28"/>
          <w:lang w:val="zh-CN"/>
        </w:rPr>
        <w:t>人</w:t>
      </w:r>
      <w:bookmarkEnd w:id="7"/>
    </w:p>
    <w:p w:rsidR="00651181" w:rsidRPr="008B63B5" w:rsidRDefault="00027E46">
      <w:pPr>
        <w:pStyle w:val="af3"/>
        <w:ind w:firstLine="480"/>
        <w:rPr>
          <w:rFonts w:ascii="Times New Roman" w:eastAsia="仿宋"/>
          <w:bCs/>
          <w:kern w:val="2"/>
          <w:sz w:val="24"/>
          <w:szCs w:val="22"/>
        </w:rPr>
      </w:pPr>
      <w:bookmarkStart w:id="8" w:name="_Toc32046"/>
      <w:r w:rsidRPr="008B63B5">
        <w:rPr>
          <w:rFonts w:ascii="Times New Roman" w:eastAsia="仿宋" w:hint="eastAsia"/>
          <w:bCs/>
          <w:kern w:val="2"/>
          <w:sz w:val="24"/>
          <w:szCs w:val="22"/>
        </w:rPr>
        <w:t>刘</w:t>
      </w:r>
      <w:r w:rsidRPr="008B63B5">
        <w:rPr>
          <w:rFonts w:ascii="Times New Roman" w:eastAsia="仿宋"/>
          <w:bCs/>
          <w:kern w:val="2"/>
          <w:sz w:val="24"/>
          <w:szCs w:val="22"/>
        </w:rPr>
        <w:t>奇、张学欣、</w:t>
      </w:r>
      <w:r w:rsidRPr="008B63B5">
        <w:rPr>
          <w:rFonts w:ascii="Times New Roman" w:eastAsia="仿宋" w:hint="eastAsia"/>
          <w:bCs/>
          <w:kern w:val="2"/>
          <w:sz w:val="24"/>
          <w:szCs w:val="22"/>
        </w:rPr>
        <w:t>何彦春</w:t>
      </w:r>
      <w:r w:rsidRPr="008B63B5">
        <w:rPr>
          <w:rFonts w:ascii="Times New Roman" w:eastAsia="仿宋"/>
          <w:bCs/>
          <w:kern w:val="2"/>
          <w:sz w:val="24"/>
          <w:szCs w:val="22"/>
        </w:rPr>
        <w:t>、洪锦祥、</w:t>
      </w:r>
      <w:r w:rsidRPr="008B63B5">
        <w:rPr>
          <w:rFonts w:ascii="Times New Roman" w:eastAsia="仿宋" w:hint="eastAsia"/>
          <w:bCs/>
          <w:kern w:val="2"/>
          <w:sz w:val="24"/>
          <w:szCs w:val="22"/>
        </w:rPr>
        <w:t>黄开宇、燕平、</w:t>
      </w:r>
      <w:r w:rsidRPr="008B63B5">
        <w:rPr>
          <w:rFonts w:ascii="Times New Roman" w:eastAsia="仿宋" w:hint="eastAsia"/>
          <w:bCs/>
          <w:kern w:val="2"/>
          <w:sz w:val="24"/>
          <w:szCs w:val="22"/>
        </w:rPr>
        <w:t>李翱、</w:t>
      </w:r>
      <w:r w:rsidRPr="008B63B5">
        <w:rPr>
          <w:rFonts w:ascii="Times New Roman" w:eastAsia="仿宋"/>
          <w:bCs/>
          <w:kern w:val="2"/>
          <w:sz w:val="24"/>
          <w:szCs w:val="22"/>
        </w:rPr>
        <w:t>张洪剑、潘彪、黄允宝、</w:t>
      </w:r>
      <w:r w:rsidRPr="008B63B5">
        <w:rPr>
          <w:rFonts w:ascii="Times New Roman" w:eastAsia="仿宋" w:hint="eastAsia"/>
          <w:bCs/>
          <w:kern w:val="2"/>
          <w:sz w:val="24"/>
          <w:szCs w:val="22"/>
        </w:rPr>
        <w:t>宋小金</w:t>
      </w:r>
      <w:r w:rsidRPr="008B63B5">
        <w:rPr>
          <w:rFonts w:ascii="Times New Roman" w:eastAsia="仿宋" w:hint="eastAsia"/>
          <w:bCs/>
          <w:kern w:val="2"/>
          <w:sz w:val="24"/>
          <w:szCs w:val="22"/>
        </w:rPr>
        <w:t>、夏吉龙、</w:t>
      </w:r>
      <w:r w:rsidRPr="008B63B5">
        <w:rPr>
          <w:rFonts w:ascii="Times New Roman" w:eastAsia="仿宋" w:hint="eastAsia"/>
          <w:bCs/>
          <w:kern w:val="2"/>
          <w:sz w:val="24"/>
          <w:szCs w:val="22"/>
        </w:rPr>
        <w:t>蒋定、</w:t>
      </w:r>
      <w:r w:rsidRPr="008B63B5">
        <w:rPr>
          <w:rFonts w:ascii="Times New Roman" w:eastAsia="仿宋"/>
          <w:bCs/>
          <w:kern w:val="2"/>
          <w:sz w:val="24"/>
          <w:szCs w:val="22"/>
        </w:rPr>
        <w:t>龚明辉、邓成</w:t>
      </w:r>
      <w:r w:rsidRPr="008B63B5">
        <w:rPr>
          <w:rFonts w:ascii="Times New Roman" w:eastAsia="仿宋" w:hint="eastAsia"/>
          <w:bCs/>
          <w:kern w:val="2"/>
          <w:sz w:val="24"/>
          <w:szCs w:val="22"/>
        </w:rPr>
        <w:t>、陆勇、叶鑫、戴瑶、</w:t>
      </w:r>
      <w:r w:rsidRPr="008B63B5">
        <w:rPr>
          <w:rFonts w:ascii="Times New Roman" w:eastAsia="仿宋"/>
          <w:bCs/>
          <w:kern w:val="2"/>
          <w:sz w:val="24"/>
          <w:szCs w:val="22"/>
        </w:rPr>
        <w:t>杨梦</w:t>
      </w:r>
      <w:r w:rsidRPr="008B63B5">
        <w:rPr>
          <w:rFonts w:ascii="Times New Roman" w:eastAsia="仿宋" w:hint="eastAsia"/>
          <w:bCs/>
          <w:kern w:val="2"/>
          <w:sz w:val="24"/>
          <w:szCs w:val="22"/>
        </w:rPr>
        <w:t>、</w:t>
      </w:r>
      <w:r w:rsidRPr="008B63B5">
        <w:rPr>
          <w:rFonts w:ascii="Times New Roman" w:eastAsia="仿宋"/>
          <w:bCs/>
          <w:kern w:val="2"/>
          <w:sz w:val="24"/>
          <w:szCs w:val="22"/>
        </w:rPr>
        <w:t>熊子佳、江磊、</w:t>
      </w:r>
      <w:r w:rsidRPr="008B63B5">
        <w:rPr>
          <w:rFonts w:ascii="Times New Roman" w:eastAsia="仿宋" w:hint="eastAsia"/>
          <w:bCs/>
          <w:kern w:val="2"/>
          <w:sz w:val="24"/>
          <w:szCs w:val="22"/>
        </w:rPr>
        <w:t>范海军、</w:t>
      </w:r>
      <w:r w:rsidRPr="008B63B5">
        <w:rPr>
          <w:rFonts w:ascii="Times New Roman" w:eastAsia="仿宋" w:hint="eastAsia"/>
          <w:bCs/>
          <w:kern w:val="2"/>
          <w:sz w:val="24"/>
          <w:szCs w:val="22"/>
        </w:rPr>
        <w:t>王亚平、唐宇、</w:t>
      </w:r>
      <w:r w:rsidRPr="008B63B5">
        <w:rPr>
          <w:rFonts w:ascii="Times New Roman" w:eastAsia="仿宋"/>
          <w:bCs/>
          <w:kern w:val="2"/>
          <w:sz w:val="24"/>
          <w:szCs w:val="22"/>
        </w:rPr>
        <w:t>刘军、肖文明、</w:t>
      </w:r>
      <w:r w:rsidRPr="008B63B5">
        <w:rPr>
          <w:rFonts w:ascii="Times New Roman" w:eastAsia="仿宋" w:hint="eastAsia"/>
          <w:bCs/>
          <w:kern w:val="2"/>
          <w:sz w:val="24"/>
          <w:szCs w:val="22"/>
        </w:rPr>
        <w:t>赖雄、</w:t>
      </w:r>
      <w:r w:rsidRPr="008B63B5">
        <w:rPr>
          <w:rFonts w:ascii="Times New Roman" w:eastAsia="仿宋" w:hint="eastAsia"/>
          <w:bCs/>
          <w:kern w:val="2"/>
          <w:sz w:val="24"/>
          <w:szCs w:val="22"/>
        </w:rPr>
        <w:t>刘至飞、</w:t>
      </w:r>
      <w:r w:rsidRPr="008B63B5">
        <w:rPr>
          <w:rFonts w:ascii="Times New Roman" w:eastAsia="仿宋" w:hint="eastAsia"/>
          <w:bCs/>
          <w:kern w:val="2"/>
          <w:sz w:val="24"/>
          <w:szCs w:val="22"/>
        </w:rPr>
        <w:t>李海红、李晓虎。</w:t>
      </w:r>
    </w:p>
    <w:p w:rsidR="00651181" w:rsidRPr="008B63B5" w:rsidRDefault="00027E46">
      <w:pPr>
        <w:spacing w:line="360" w:lineRule="auto"/>
        <w:jc w:val="left"/>
        <w:outlineLvl w:val="1"/>
        <w:rPr>
          <w:rFonts w:ascii="Times New Roman" w:eastAsia="黑体" w:hAnsi="Times New Roman"/>
          <w:color w:val="000000"/>
          <w:spacing w:val="8"/>
          <w:sz w:val="28"/>
          <w:szCs w:val="28"/>
        </w:rPr>
      </w:pPr>
      <w:r w:rsidRPr="008B63B5">
        <w:rPr>
          <w:rFonts w:ascii="Times New Roman" w:eastAsia="黑体" w:hAnsi="Times New Roman"/>
          <w:color w:val="000000"/>
          <w:spacing w:val="8"/>
          <w:sz w:val="28"/>
          <w:szCs w:val="28"/>
        </w:rPr>
        <w:t>2.4</w:t>
      </w:r>
      <w:r w:rsidRPr="008B63B5">
        <w:rPr>
          <w:rFonts w:ascii="Times New Roman" w:eastAsia="黑体" w:hAnsi="Times New Roman"/>
          <w:color w:val="000000"/>
          <w:spacing w:val="8"/>
          <w:sz w:val="28"/>
          <w:szCs w:val="28"/>
        </w:rPr>
        <w:t>标准编制分工及进度安排</w:t>
      </w:r>
      <w:bookmarkEnd w:id="8"/>
    </w:p>
    <w:p w:rsidR="00651181" w:rsidRDefault="00027E46">
      <w:pPr>
        <w:tabs>
          <w:tab w:val="left" w:pos="720"/>
        </w:tabs>
        <w:spacing w:line="360" w:lineRule="auto"/>
        <w:ind w:firstLineChars="200" w:firstLine="480"/>
        <w:rPr>
          <w:rFonts w:ascii="Times New Roman" w:eastAsia="仿宋" w:hAnsi="Times New Roman"/>
          <w:bCs/>
          <w:sz w:val="24"/>
        </w:rPr>
      </w:pPr>
      <w:r>
        <w:rPr>
          <w:rFonts w:ascii="Times New Roman" w:eastAsia="仿宋" w:hAnsi="Times New Roman"/>
          <w:bCs/>
          <w:sz w:val="24"/>
        </w:rPr>
        <w:t>编制分工及进度安排如下表所示：</w:t>
      </w:r>
    </w:p>
    <w:tbl>
      <w:tblPr>
        <w:tblW w:w="5441" w:type="pct"/>
        <w:jc w:val="center"/>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1794"/>
        <w:gridCol w:w="3209"/>
        <w:gridCol w:w="4097"/>
      </w:tblGrid>
      <w:tr w:rsidR="00651181" w:rsidTr="008B63B5">
        <w:trPr>
          <w:cantSplit/>
          <w:trHeight w:val="881"/>
          <w:jc w:val="center"/>
        </w:trPr>
        <w:tc>
          <w:tcPr>
            <w:tcW w:w="986" w:type="pct"/>
            <w:tcBorders>
              <w:top w:val="single" w:sz="4" w:space="0" w:color="000000"/>
              <w:left w:val="single" w:sz="8" w:space="0" w:color="000000"/>
              <w:bottom w:val="single" w:sz="4" w:space="0" w:color="000000"/>
              <w:right w:val="single" w:sz="4" w:space="0" w:color="000000"/>
            </w:tcBorders>
            <w:vAlign w:val="center"/>
          </w:tcPr>
          <w:p w:rsidR="00651181" w:rsidRDefault="00027E46">
            <w:pPr>
              <w:tabs>
                <w:tab w:val="left" w:pos="720"/>
              </w:tabs>
              <w:spacing w:line="360" w:lineRule="auto"/>
              <w:ind w:firstLineChars="200" w:firstLine="480"/>
              <w:rPr>
                <w:rFonts w:ascii="Times New Roman" w:eastAsia="仿宋" w:hAnsi="Times New Roman"/>
                <w:bCs/>
                <w:sz w:val="24"/>
              </w:rPr>
            </w:pPr>
            <w:r>
              <w:rPr>
                <w:rFonts w:ascii="Times New Roman" w:eastAsia="仿宋" w:hAnsi="Times New Roman"/>
                <w:bCs/>
                <w:sz w:val="24"/>
              </w:rPr>
              <w:t>时间</w:t>
            </w:r>
          </w:p>
        </w:tc>
        <w:tc>
          <w:tcPr>
            <w:tcW w:w="1763" w:type="pct"/>
            <w:tcBorders>
              <w:top w:val="single" w:sz="4" w:space="0" w:color="000000"/>
              <w:left w:val="single" w:sz="4" w:space="0" w:color="000000"/>
              <w:bottom w:val="single" w:sz="4" w:space="0" w:color="000000"/>
              <w:right w:val="single" w:sz="4" w:space="0" w:color="000000"/>
            </w:tcBorders>
            <w:vAlign w:val="center"/>
          </w:tcPr>
          <w:p w:rsidR="00651181" w:rsidRDefault="00027E46">
            <w:pPr>
              <w:tabs>
                <w:tab w:val="left" w:pos="720"/>
              </w:tabs>
              <w:spacing w:line="360" w:lineRule="auto"/>
              <w:ind w:firstLineChars="200" w:firstLine="480"/>
              <w:jc w:val="center"/>
              <w:rPr>
                <w:rFonts w:ascii="Times New Roman" w:eastAsia="仿宋" w:hAnsi="Times New Roman"/>
                <w:bCs/>
                <w:sz w:val="24"/>
              </w:rPr>
            </w:pPr>
            <w:r>
              <w:rPr>
                <w:rFonts w:ascii="Times New Roman" w:eastAsia="仿宋" w:hAnsi="Times New Roman"/>
                <w:bCs/>
                <w:sz w:val="24"/>
              </w:rPr>
              <w:t>阶段工作内容</w:t>
            </w:r>
          </w:p>
        </w:tc>
        <w:tc>
          <w:tcPr>
            <w:tcW w:w="2251" w:type="pct"/>
            <w:tcBorders>
              <w:top w:val="single" w:sz="4" w:space="0" w:color="000000"/>
              <w:left w:val="single" w:sz="4" w:space="0" w:color="000000"/>
              <w:bottom w:val="single" w:sz="4" w:space="0" w:color="000000"/>
              <w:right w:val="single" w:sz="8" w:space="0" w:color="000000"/>
            </w:tcBorders>
            <w:vAlign w:val="center"/>
          </w:tcPr>
          <w:p w:rsidR="00651181" w:rsidRDefault="00027E46">
            <w:pPr>
              <w:tabs>
                <w:tab w:val="left" w:pos="720"/>
              </w:tabs>
              <w:spacing w:line="360" w:lineRule="auto"/>
              <w:ind w:firstLineChars="200" w:firstLine="480"/>
              <w:rPr>
                <w:rFonts w:ascii="Times New Roman" w:eastAsia="仿宋" w:hAnsi="Times New Roman"/>
                <w:bCs/>
                <w:sz w:val="24"/>
              </w:rPr>
            </w:pPr>
            <w:r>
              <w:rPr>
                <w:rFonts w:ascii="Times New Roman" w:eastAsia="仿宋" w:hAnsi="Times New Roman"/>
                <w:bCs/>
                <w:sz w:val="24"/>
              </w:rPr>
              <w:t>负责单位及参与单位</w:t>
            </w:r>
          </w:p>
        </w:tc>
      </w:tr>
      <w:tr w:rsidR="00651181" w:rsidTr="008B63B5">
        <w:trPr>
          <w:cantSplit/>
          <w:trHeight w:val="1399"/>
          <w:jc w:val="center"/>
        </w:trPr>
        <w:tc>
          <w:tcPr>
            <w:tcW w:w="986" w:type="pct"/>
            <w:tcBorders>
              <w:top w:val="single" w:sz="4" w:space="0" w:color="000000"/>
              <w:left w:val="single" w:sz="8" w:space="0" w:color="000000"/>
              <w:bottom w:val="single" w:sz="4" w:space="0" w:color="000000"/>
              <w:right w:val="single" w:sz="4" w:space="0" w:color="000000"/>
            </w:tcBorders>
            <w:vAlign w:val="center"/>
          </w:tcPr>
          <w:p w:rsidR="00651181" w:rsidRDefault="00027E46">
            <w:pPr>
              <w:tabs>
                <w:tab w:val="left" w:pos="720"/>
              </w:tabs>
              <w:spacing w:line="360" w:lineRule="auto"/>
              <w:jc w:val="center"/>
              <w:rPr>
                <w:rFonts w:ascii="Times New Roman" w:eastAsia="仿宋" w:hAnsi="Times New Roman"/>
                <w:bCs/>
                <w:sz w:val="24"/>
              </w:rPr>
            </w:pPr>
            <w:r>
              <w:rPr>
                <w:rFonts w:ascii="Times New Roman" w:eastAsia="仿宋" w:hAnsi="Times New Roman"/>
                <w:bCs/>
                <w:sz w:val="24"/>
              </w:rPr>
              <w:t>2022</w:t>
            </w:r>
            <w:r>
              <w:rPr>
                <w:rFonts w:ascii="Times New Roman" w:eastAsia="仿宋" w:hAnsi="Times New Roman"/>
                <w:bCs/>
                <w:sz w:val="24"/>
              </w:rPr>
              <w:t>年</w:t>
            </w:r>
            <w:r>
              <w:rPr>
                <w:rFonts w:ascii="Times New Roman" w:eastAsia="仿宋" w:hAnsi="Times New Roman"/>
                <w:bCs/>
                <w:sz w:val="24"/>
              </w:rPr>
              <w:t>1</w:t>
            </w:r>
            <w:r>
              <w:rPr>
                <w:rFonts w:ascii="Times New Roman" w:eastAsia="仿宋" w:hAnsi="Times New Roman"/>
                <w:bCs/>
                <w:sz w:val="24"/>
              </w:rPr>
              <w:t>月</w:t>
            </w:r>
            <w:r>
              <w:rPr>
                <w:rFonts w:ascii="Times New Roman" w:eastAsia="仿宋" w:hAnsi="Times New Roman"/>
                <w:bCs/>
                <w:sz w:val="24"/>
              </w:rPr>
              <w:t>-</w:t>
            </w:r>
          </w:p>
          <w:p w:rsidR="00651181" w:rsidRDefault="00027E46">
            <w:pPr>
              <w:tabs>
                <w:tab w:val="left" w:pos="720"/>
              </w:tabs>
              <w:spacing w:line="360" w:lineRule="auto"/>
              <w:jc w:val="center"/>
              <w:rPr>
                <w:rFonts w:ascii="Times New Roman" w:eastAsia="仿宋" w:hAnsi="Times New Roman"/>
                <w:bCs/>
                <w:sz w:val="24"/>
              </w:rPr>
            </w:pPr>
            <w:r>
              <w:rPr>
                <w:rFonts w:ascii="Times New Roman" w:eastAsia="仿宋" w:hAnsi="Times New Roman"/>
                <w:bCs/>
                <w:sz w:val="24"/>
              </w:rPr>
              <w:t>2022</w:t>
            </w:r>
            <w:r>
              <w:rPr>
                <w:rFonts w:ascii="Times New Roman" w:eastAsia="仿宋" w:hAnsi="Times New Roman"/>
                <w:bCs/>
                <w:sz w:val="24"/>
              </w:rPr>
              <w:t>年</w:t>
            </w:r>
            <w:r>
              <w:rPr>
                <w:rFonts w:ascii="Times New Roman" w:eastAsia="仿宋" w:hAnsi="Times New Roman"/>
                <w:bCs/>
                <w:sz w:val="24"/>
              </w:rPr>
              <w:t>6</w:t>
            </w:r>
            <w:r>
              <w:rPr>
                <w:rFonts w:ascii="Times New Roman" w:eastAsia="仿宋" w:hAnsi="Times New Roman"/>
                <w:bCs/>
                <w:sz w:val="24"/>
              </w:rPr>
              <w:t>月</w:t>
            </w:r>
          </w:p>
        </w:tc>
        <w:tc>
          <w:tcPr>
            <w:tcW w:w="1763" w:type="pct"/>
            <w:tcBorders>
              <w:top w:val="single" w:sz="4" w:space="0" w:color="000000"/>
              <w:left w:val="single" w:sz="4" w:space="0" w:color="000000"/>
              <w:bottom w:val="single" w:sz="4" w:space="0" w:color="000000"/>
              <w:right w:val="single" w:sz="4" w:space="0" w:color="000000"/>
            </w:tcBorders>
            <w:vAlign w:val="center"/>
          </w:tcPr>
          <w:p w:rsidR="00651181" w:rsidRDefault="00027E46" w:rsidP="008B63B5">
            <w:pPr>
              <w:tabs>
                <w:tab w:val="left" w:pos="720"/>
              </w:tabs>
              <w:spacing w:line="360" w:lineRule="auto"/>
              <w:rPr>
                <w:rFonts w:ascii="Times New Roman" w:eastAsia="仿宋" w:hAnsi="Times New Roman"/>
                <w:bCs/>
                <w:sz w:val="24"/>
              </w:rPr>
            </w:pPr>
            <w:r>
              <w:rPr>
                <w:rFonts w:ascii="Times New Roman" w:eastAsia="仿宋" w:hAnsi="Times New Roman"/>
                <w:bCs/>
                <w:sz w:val="24"/>
              </w:rPr>
              <w:t>完成本地方标准的申报，湖南省常祁高速公路收费站项目、株洲智轨示范段项目、莲株高速项目、株州湘阴城市交叉路口等跟踪观测，检测数据分析与评价</w:t>
            </w:r>
          </w:p>
        </w:tc>
        <w:tc>
          <w:tcPr>
            <w:tcW w:w="2251" w:type="pct"/>
            <w:tcBorders>
              <w:top w:val="single" w:sz="4" w:space="0" w:color="000000"/>
              <w:left w:val="single" w:sz="4" w:space="0" w:color="000000"/>
              <w:bottom w:val="single" w:sz="4" w:space="0" w:color="000000"/>
              <w:right w:val="single" w:sz="8" w:space="0" w:color="000000"/>
            </w:tcBorders>
            <w:vAlign w:val="center"/>
          </w:tcPr>
          <w:p w:rsidR="00651181" w:rsidRDefault="00027E46">
            <w:pPr>
              <w:tabs>
                <w:tab w:val="left" w:pos="720"/>
              </w:tabs>
              <w:spacing w:line="360" w:lineRule="auto"/>
              <w:ind w:firstLineChars="200" w:firstLine="480"/>
              <w:rPr>
                <w:rFonts w:ascii="Times New Roman" w:eastAsia="仿宋" w:hAnsi="Times New Roman"/>
                <w:bCs/>
                <w:sz w:val="24"/>
              </w:rPr>
            </w:pPr>
            <w:r>
              <w:rPr>
                <w:rFonts w:ascii="Times New Roman" w:eastAsia="仿宋" w:hAnsi="Times New Roman"/>
                <w:bCs/>
                <w:sz w:val="24"/>
              </w:rPr>
              <w:t>湖南省湘筑工程有限公司、北京城建设计发展集团股份有限公司、湖南省交通科学研究院有限公司</w:t>
            </w:r>
          </w:p>
        </w:tc>
      </w:tr>
      <w:tr w:rsidR="00651181" w:rsidTr="008B63B5">
        <w:trPr>
          <w:cantSplit/>
          <w:trHeight w:val="1399"/>
          <w:jc w:val="center"/>
        </w:trPr>
        <w:tc>
          <w:tcPr>
            <w:tcW w:w="986" w:type="pct"/>
            <w:tcBorders>
              <w:top w:val="single" w:sz="4" w:space="0" w:color="000000"/>
              <w:left w:val="single" w:sz="8" w:space="0" w:color="000000"/>
              <w:bottom w:val="single" w:sz="4" w:space="0" w:color="000000"/>
              <w:right w:val="single" w:sz="4" w:space="0" w:color="000000"/>
            </w:tcBorders>
            <w:vAlign w:val="center"/>
          </w:tcPr>
          <w:p w:rsidR="00651181" w:rsidRDefault="00027E46">
            <w:pPr>
              <w:tabs>
                <w:tab w:val="left" w:pos="720"/>
              </w:tabs>
              <w:spacing w:line="360" w:lineRule="auto"/>
              <w:jc w:val="center"/>
              <w:rPr>
                <w:rFonts w:ascii="Times New Roman" w:eastAsia="仿宋" w:hAnsi="Times New Roman"/>
                <w:bCs/>
                <w:sz w:val="24"/>
              </w:rPr>
            </w:pPr>
            <w:r>
              <w:rPr>
                <w:rFonts w:ascii="Times New Roman" w:eastAsia="仿宋" w:hAnsi="Times New Roman"/>
                <w:bCs/>
                <w:sz w:val="24"/>
              </w:rPr>
              <w:lastRenderedPageBreak/>
              <w:t>2022</w:t>
            </w:r>
            <w:r>
              <w:rPr>
                <w:rFonts w:ascii="Times New Roman" w:eastAsia="仿宋" w:hAnsi="Times New Roman"/>
                <w:bCs/>
                <w:sz w:val="24"/>
              </w:rPr>
              <w:t>年</w:t>
            </w:r>
            <w:r>
              <w:rPr>
                <w:rFonts w:ascii="Times New Roman" w:eastAsia="仿宋" w:hAnsi="Times New Roman"/>
                <w:bCs/>
                <w:sz w:val="24"/>
              </w:rPr>
              <w:t>7</w:t>
            </w:r>
            <w:r>
              <w:rPr>
                <w:rFonts w:ascii="Times New Roman" w:eastAsia="仿宋" w:hAnsi="Times New Roman"/>
                <w:bCs/>
                <w:sz w:val="24"/>
              </w:rPr>
              <w:t>月</w:t>
            </w:r>
            <w:r>
              <w:rPr>
                <w:rFonts w:ascii="Times New Roman" w:eastAsia="仿宋" w:hAnsi="Times New Roman"/>
                <w:bCs/>
                <w:sz w:val="24"/>
              </w:rPr>
              <w:t>-</w:t>
            </w:r>
          </w:p>
          <w:p w:rsidR="00651181" w:rsidRDefault="00027E46">
            <w:pPr>
              <w:tabs>
                <w:tab w:val="left" w:pos="720"/>
              </w:tabs>
              <w:spacing w:line="360" w:lineRule="auto"/>
              <w:jc w:val="center"/>
              <w:rPr>
                <w:rFonts w:ascii="Times New Roman" w:eastAsia="仿宋" w:hAnsi="Times New Roman"/>
                <w:bCs/>
                <w:sz w:val="24"/>
              </w:rPr>
            </w:pPr>
            <w:r>
              <w:rPr>
                <w:rFonts w:ascii="Times New Roman" w:eastAsia="仿宋" w:hAnsi="Times New Roman"/>
                <w:bCs/>
                <w:sz w:val="24"/>
              </w:rPr>
              <w:t>2022</w:t>
            </w:r>
            <w:r>
              <w:rPr>
                <w:rFonts w:ascii="Times New Roman" w:eastAsia="仿宋" w:hAnsi="Times New Roman"/>
                <w:bCs/>
                <w:sz w:val="24"/>
              </w:rPr>
              <w:t>年</w:t>
            </w:r>
            <w:r>
              <w:rPr>
                <w:rFonts w:ascii="Times New Roman" w:eastAsia="仿宋" w:hAnsi="Times New Roman"/>
                <w:bCs/>
                <w:sz w:val="24"/>
              </w:rPr>
              <w:t>9</w:t>
            </w:r>
            <w:r>
              <w:rPr>
                <w:rFonts w:ascii="Times New Roman" w:eastAsia="仿宋" w:hAnsi="Times New Roman"/>
                <w:bCs/>
                <w:sz w:val="24"/>
              </w:rPr>
              <w:t>月</w:t>
            </w:r>
          </w:p>
        </w:tc>
        <w:tc>
          <w:tcPr>
            <w:tcW w:w="1763" w:type="pct"/>
            <w:tcBorders>
              <w:top w:val="single" w:sz="4" w:space="0" w:color="000000"/>
              <w:left w:val="single" w:sz="4" w:space="0" w:color="000000"/>
              <w:bottom w:val="single" w:sz="4" w:space="0" w:color="000000"/>
              <w:right w:val="single" w:sz="4" w:space="0" w:color="000000"/>
            </w:tcBorders>
            <w:vAlign w:val="center"/>
          </w:tcPr>
          <w:p w:rsidR="00651181" w:rsidRDefault="00027E46" w:rsidP="008B63B5">
            <w:pPr>
              <w:tabs>
                <w:tab w:val="left" w:pos="720"/>
              </w:tabs>
              <w:spacing w:line="360" w:lineRule="auto"/>
              <w:rPr>
                <w:rFonts w:ascii="Times New Roman" w:eastAsia="仿宋" w:hAnsi="Times New Roman"/>
                <w:bCs/>
                <w:sz w:val="24"/>
              </w:rPr>
            </w:pPr>
            <w:r>
              <w:rPr>
                <w:rFonts w:ascii="Times New Roman" w:eastAsia="仿宋" w:hAnsi="Times New Roman"/>
                <w:bCs/>
                <w:sz w:val="24"/>
              </w:rPr>
              <w:t>开展调研和数据收集工作，落实依托工程。召开项目工作会议及规范大纲会议。</w:t>
            </w:r>
          </w:p>
        </w:tc>
        <w:tc>
          <w:tcPr>
            <w:tcW w:w="2251" w:type="pct"/>
            <w:tcBorders>
              <w:top w:val="single" w:sz="4" w:space="0" w:color="000000"/>
              <w:left w:val="single" w:sz="4" w:space="0" w:color="000000"/>
              <w:bottom w:val="single" w:sz="4" w:space="0" w:color="000000"/>
              <w:right w:val="single" w:sz="8" w:space="0" w:color="000000"/>
            </w:tcBorders>
            <w:vAlign w:val="center"/>
          </w:tcPr>
          <w:p w:rsidR="00651181" w:rsidRDefault="00027E46">
            <w:pPr>
              <w:tabs>
                <w:tab w:val="left" w:pos="720"/>
              </w:tabs>
              <w:spacing w:line="360" w:lineRule="auto"/>
              <w:ind w:firstLineChars="200" w:firstLine="480"/>
              <w:rPr>
                <w:rFonts w:ascii="Times New Roman" w:eastAsia="仿宋" w:hAnsi="Times New Roman"/>
                <w:bCs/>
                <w:sz w:val="24"/>
              </w:rPr>
            </w:pPr>
            <w:r>
              <w:rPr>
                <w:rFonts w:ascii="Times New Roman" w:eastAsia="仿宋" w:hAnsi="Times New Roman"/>
                <w:bCs/>
                <w:sz w:val="24"/>
              </w:rPr>
              <w:t>湖南省湘筑工程有限公司、北京城建设计发展集团股份有限公司、湖南省交通科学研究院有限公司、</w:t>
            </w:r>
            <w:r>
              <w:rPr>
                <w:rFonts w:ascii="Times New Roman" w:eastAsia="仿宋" w:hAnsi="Times New Roman"/>
                <w:bCs/>
                <w:sz w:val="24"/>
                <w:szCs w:val="24"/>
                <w:lang w:val="zh-CN"/>
              </w:rPr>
              <w:t>江苏苏博特新材料股份有限公司</w:t>
            </w:r>
          </w:p>
        </w:tc>
      </w:tr>
      <w:tr w:rsidR="00651181" w:rsidTr="008B63B5">
        <w:trPr>
          <w:cantSplit/>
          <w:trHeight w:val="1399"/>
          <w:jc w:val="center"/>
        </w:trPr>
        <w:tc>
          <w:tcPr>
            <w:tcW w:w="986" w:type="pct"/>
            <w:tcBorders>
              <w:top w:val="single" w:sz="4" w:space="0" w:color="000000"/>
              <w:left w:val="single" w:sz="8" w:space="0" w:color="000000"/>
              <w:bottom w:val="single" w:sz="4" w:space="0" w:color="000000"/>
              <w:right w:val="single" w:sz="4" w:space="0" w:color="000000"/>
            </w:tcBorders>
            <w:vAlign w:val="center"/>
          </w:tcPr>
          <w:p w:rsidR="00651181" w:rsidRDefault="00027E46">
            <w:pPr>
              <w:tabs>
                <w:tab w:val="left" w:pos="720"/>
              </w:tabs>
              <w:spacing w:line="360" w:lineRule="auto"/>
              <w:jc w:val="center"/>
              <w:rPr>
                <w:rFonts w:ascii="Times New Roman" w:eastAsia="仿宋" w:hAnsi="Times New Roman"/>
                <w:bCs/>
                <w:sz w:val="24"/>
              </w:rPr>
            </w:pPr>
            <w:r>
              <w:rPr>
                <w:rFonts w:ascii="Times New Roman" w:eastAsia="仿宋" w:hAnsi="Times New Roman"/>
                <w:bCs/>
                <w:sz w:val="24"/>
              </w:rPr>
              <w:t>2022</w:t>
            </w:r>
            <w:r>
              <w:rPr>
                <w:rFonts w:ascii="Times New Roman" w:eastAsia="仿宋" w:hAnsi="Times New Roman"/>
                <w:bCs/>
                <w:sz w:val="24"/>
              </w:rPr>
              <w:t>年</w:t>
            </w:r>
            <w:r>
              <w:rPr>
                <w:rFonts w:ascii="Times New Roman" w:eastAsia="仿宋" w:hAnsi="Times New Roman"/>
                <w:bCs/>
                <w:sz w:val="24"/>
              </w:rPr>
              <w:t>10</w:t>
            </w:r>
            <w:r>
              <w:rPr>
                <w:rFonts w:ascii="Times New Roman" w:eastAsia="仿宋" w:hAnsi="Times New Roman"/>
                <w:bCs/>
                <w:sz w:val="24"/>
              </w:rPr>
              <w:t>月</w:t>
            </w:r>
            <w:r>
              <w:rPr>
                <w:rFonts w:ascii="Times New Roman" w:eastAsia="仿宋" w:hAnsi="Times New Roman"/>
                <w:bCs/>
                <w:sz w:val="24"/>
              </w:rPr>
              <w:t>-</w:t>
            </w:r>
          </w:p>
          <w:p w:rsidR="00651181" w:rsidRDefault="00027E46">
            <w:pPr>
              <w:tabs>
                <w:tab w:val="left" w:pos="720"/>
              </w:tabs>
              <w:spacing w:line="360" w:lineRule="auto"/>
              <w:jc w:val="center"/>
              <w:rPr>
                <w:rFonts w:ascii="Times New Roman" w:eastAsia="仿宋" w:hAnsi="Times New Roman"/>
                <w:bCs/>
                <w:sz w:val="24"/>
              </w:rPr>
            </w:pPr>
            <w:r>
              <w:rPr>
                <w:rFonts w:ascii="Times New Roman" w:eastAsia="仿宋" w:hAnsi="Times New Roman"/>
                <w:bCs/>
                <w:sz w:val="24"/>
              </w:rPr>
              <w:t>2022</w:t>
            </w:r>
            <w:r>
              <w:rPr>
                <w:rFonts w:ascii="Times New Roman" w:eastAsia="仿宋" w:hAnsi="Times New Roman"/>
                <w:bCs/>
                <w:sz w:val="24"/>
              </w:rPr>
              <w:t>年</w:t>
            </w:r>
            <w:r>
              <w:rPr>
                <w:rFonts w:ascii="Times New Roman" w:eastAsia="仿宋" w:hAnsi="Times New Roman"/>
                <w:bCs/>
                <w:sz w:val="24"/>
              </w:rPr>
              <w:t>12</w:t>
            </w:r>
            <w:r>
              <w:rPr>
                <w:rFonts w:ascii="Times New Roman" w:eastAsia="仿宋" w:hAnsi="Times New Roman"/>
                <w:bCs/>
                <w:sz w:val="24"/>
              </w:rPr>
              <w:t>月</w:t>
            </w:r>
          </w:p>
        </w:tc>
        <w:tc>
          <w:tcPr>
            <w:tcW w:w="1763" w:type="pct"/>
            <w:tcBorders>
              <w:top w:val="single" w:sz="4" w:space="0" w:color="000000"/>
              <w:left w:val="single" w:sz="4" w:space="0" w:color="000000"/>
              <w:bottom w:val="single" w:sz="4" w:space="0" w:color="000000"/>
              <w:right w:val="single" w:sz="4" w:space="0" w:color="000000"/>
            </w:tcBorders>
            <w:vAlign w:val="center"/>
          </w:tcPr>
          <w:p w:rsidR="00651181" w:rsidRDefault="00027E46" w:rsidP="008B63B5">
            <w:pPr>
              <w:tabs>
                <w:tab w:val="left" w:pos="720"/>
              </w:tabs>
              <w:spacing w:line="360" w:lineRule="auto"/>
              <w:rPr>
                <w:rFonts w:ascii="Times New Roman" w:eastAsia="仿宋" w:hAnsi="Times New Roman"/>
                <w:bCs/>
                <w:sz w:val="24"/>
              </w:rPr>
            </w:pPr>
            <w:r>
              <w:rPr>
                <w:rFonts w:ascii="Times New Roman" w:eastAsia="仿宋" w:hAnsi="Times New Roman"/>
                <w:bCs/>
                <w:sz w:val="24"/>
              </w:rPr>
              <w:t>完成本地方标准初稿的编写及工作形成征求意见稿。</w:t>
            </w:r>
          </w:p>
        </w:tc>
        <w:tc>
          <w:tcPr>
            <w:tcW w:w="2251" w:type="pct"/>
            <w:tcBorders>
              <w:top w:val="single" w:sz="4" w:space="0" w:color="000000"/>
              <w:left w:val="single" w:sz="4" w:space="0" w:color="000000"/>
              <w:bottom w:val="single" w:sz="4" w:space="0" w:color="000000"/>
              <w:right w:val="single" w:sz="8" w:space="0" w:color="000000"/>
            </w:tcBorders>
            <w:vAlign w:val="center"/>
          </w:tcPr>
          <w:p w:rsidR="00651181" w:rsidRDefault="00027E46">
            <w:pPr>
              <w:tabs>
                <w:tab w:val="left" w:pos="720"/>
              </w:tabs>
              <w:spacing w:line="360" w:lineRule="auto"/>
              <w:ind w:firstLineChars="200" w:firstLine="480"/>
              <w:rPr>
                <w:rFonts w:ascii="Times New Roman" w:eastAsia="仿宋" w:hAnsi="Times New Roman"/>
                <w:bCs/>
                <w:sz w:val="24"/>
              </w:rPr>
            </w:pPr>
            <w:r>
              <w:rPr>
                <w:rFonts w:ascii="Times New Roman" w:eastAsia="仿宋" w:hAnsi="Times New Roman"/>
                <w:bCs/>
                <w:sz w:val="24"/>
              </w:rPr>
              <w:t>湖南省湘筑工程有限公司、北京城建设计发展集团股份有限公司、湖南省交通科学研究院有限公司、</w:t>
            </w:r>
            <w:r>
              <w:rPr>
                <w:rFonts w:ascii="Times New Roman" w:eastAsia="仿宋" w:hAnsi="Times New Roman"/>
                <w:bCs/>
                <w:sz w:val="24"/>
                <w:szCs w:val="24"/>
                <w:lang w:val="zh-CN"/>
              </w:rPr>
              <w:t>江苏苏博特新材料股份有限公司</w:t>
            </w:r>
          </w:p>
        </w:tc>
      </w:tr>
      <w:tr w:rsidR="00651181" w:rsidTr="008B63B5">
        <w:trPr>
          <w:cantSplit/>
          <w:trHeight w:val="1399"/>
          <w:jc w:val="center"/>
        </w:trPr>
        <w:tc>
          <w:tcPr>
            <w:tcW w:w="986" w:type="pct"/>
            <w:tcBorders>
              <w:top w:val="single" w:sz="4" w:space="0" w:color="000000"/>
              <w:left w:val="single" w:sz="8" w:space="0" w:color="000000"/>
              <w:bottom w:val="single" w:sz="4" w:space="0" w:color="000000"/>
              <w:right w:val="single" w:sz="4" w:space="0" w:color="000000"/>
            </w:tcBorders>
            <w:vAlign w:val="center"/>
          </w:tcPr>
          <w:p w:rsidR="00651181" w:rsidRDefault="00027E46">
            <w:pPr>
              <w:tabs>
                <w:tab w:val="left" w:pos="720"/>
              </w:tabs>
              <w:spacing w:line="360" w:lineRule="auto"/>
              <w:jc w:val="center"/>
              <w:rPr>
                <w:rFonts w:ascii="Times New Roman" w:eastAsia="仿宋" w:hAnsi="Times New Roman"/>
                <w:bCs/>
                <w:sz w:val="24"/>
              </w:rPr>
            </w:pPr>
            <w:r>
              <w:rPr>
                <w:rFonts w:ascii="Times New Roman" w:eastAsia="仿宋" w:hAnsi="Times New Roman"/>
                <w:bCs/>
                <w:sz w:val="24"/>
              </w:rPr>
              <w:t>2023</w:t>
            </w:r>
            <w:r>
              <w:rPr>
                <w:rFonts w:ascii="Times New Roman" w:eastAsia="仿宋" w:hAnsi="Times New Roman"/>
                <w:bCs/>
                <w:sz w:val="24"/>
              </w:rPr>
              <w:t>年</w:t>
            </w:r>
            <w:r>
              <w:rPr>
                <w:rFonts w:ascii="Times New Roman" w:eastAsia="仿宋" w:hAnsi="Times New Roman"/>
                <w:bCs/>
                <w:sz w:val="24"/>
              </w:rPr>
              <w:t>1</w:t>
            </w:r>
            <w:r>
              <w:rPr>
                <w:rFonts w:ascii="Times New Roman" w:eastAsia="仿宋" w:hAnsi="Times New Roman"/>
                <w:bCs/>
                <w:sz w:val="24"/>
              </w:rPr>
              <w:t>月</w:t>
            </w:r>
            <w:r>
              <w:rPr>
                <w:rFonts w:ascii="Times New Roman" w:eastAsia="仿宋" w:hAnsi="Times New Roman"/>
                <w:bCs/>
                <w:sz w:val="24"/>
              </w:rPr>
              <w:t>-</w:t>
            </w:r>
          </w:p>
          <w:p w:rsidR="00651181" w:rsidRDefault="00027E46" w:rsidP="008B63B5">
            <w:pPr>
              <w:tabs>
                <w:tab w:val="left" w:pos="720"/>
              </w:tabs>
              <w:spacing w:line="360" w:lineRule="auto"/>
              <w:jc w:val="center"/>
              <w:rPr>
                <w:rFonts w:ascii="Times New Roman" w:eastAsia="仿宋" w:hAnsi="Times New Roman"/>
                <w:bCs/>
                <w:sz w:val="24"/>
              </w:rPr>
            </w:pPr>
            <w:r>
              <w:rPr>
                <w:rFonts w:ascii="Times New Roman" w:eastAsia="仿宋" w:hAnsi="Times New Roman"/>
                <w:bCs/>
                <w:sz w:val="24"/>
              </w:rPr>
              <w:t>2023</w:t>
            </w:r>
            <w:r>
              <w:rPr>
                <w:rFonts w:ascii="Times New Roman" w:eastAsia="仿宋" w:hAnsi="Times New Roman"/>
                <w:bCs/>
                <w:sz w:val="24"/>
              </w:rPr>
              <w:t>年</w:t>
            </w:r>
            <w:r w:rsidR="008B63B5">
              <w:rPr>
                <w:rFonts w:ascii="Times New Roman" w:eastAsia="仿宋" w:hAnsi="Times New Roman"/>
                <w:bCs/>
                <w:sz w:val="24"/>
              </w:rPr>
              <w:t>7</w:t>
            </w:r>
            <w:r>
              <w:rPr>
                <w:rFonts w:ascii="Times New Roman" w:eastAsia="仿宋" w:hAnsi="Times New Roman"/>
                <w:bCs/>
                <w:sz w:val="24"/>
              </w:rPr>
              <w:t>月</w:t>
            </w:r>
          </w:p>
        </w:tc>
        <w:tc>
          <w:tcPr>
            <w:tcW w:w="1763" w:type="pct"/>
            <w:tcBorders>
              <w:top w:val="single" w:sz="4" w:space="0" w:color="000000"/>
              <w:left w:val="single" w:sz="4" w:space="0" w:color="000000"/>
              <w:bottom w:val="single" w:sz="4" w:space="0" w:color="000000"/>
              <w:right w:val="single" w:sz="4" w:space="0" w:color="000000"/>
            </w:tcBorders>
            <w:vAlign w:val="center"/>
          </w:tcPr>
          <w:p w:rsidR="00651181" w:rsidRDefault="00027E46" w:rsidP="008B63B5">
            <w:pPr>
              <w:tabs>
                <w:tab w:val="left" w:pos="720"/>
              </w:tabs>
              <w:spacing w:line="360" w:lineRule="auto"/>
              <w:rPr>
                <w:rFonts w:ascii="Times New Roman" w:eastAsia="仿宋" w:hAnsi="Times New Roman"/>
                <w:bCs/>
                <w:sz w:val="24"/>
              </w:rPr>
            </w:pPr>
            <w:r>
              <w:rPr>
                <w:rFonts w:ascii="Times New Roman" w:eastAsia="仿宋" w:hAnsi="Times New Roman"/>
                <w:bCs/>
                <w:sz w:val="24"/>
              </w:rPr>
              <w:t>发</w:t>
            </w:r>
            <w:r>
              <w:rPr>
                <w:rFonts w:ascii="Times New Roman" w:eastAsia="仿宋" w:hAnsi="Times New Roman"/>
                <w:bCs/>
                <w:sz w:val="24"/>
              </w:rPr>
              <w:t>送至必要的单位及专家征求意见。形成送审稿并召开审查会。</w:t>
            </w:r>
          </w:p>
        </w:tc>
        <w:tc>
          <w:tcPr>
            <w:tcW w:w="2251" w:type="pct"/>
            <w:tcBorders>
              <w:top w:val="single" w:sz="4" w:space="0" w:color="000000"/>
              <w:left w:val="single" w:sz="4" w:space="0" w:color="000000"/>
              <w:bottom w:val="single" w:sz="4" w:space="0" w:color="000000"/>
              <w:right w:val="single" w:sz="8" w:space="0" w:color="000000"/>
            </w:tcBorders>
            <w:vAlign w:val="center"/>
          </w:tcPr>
          <w:p w:rsidR="00651181" w:rsidRDefault="00027E46">
            <w:pPr>
              <w:tabs>
                <w:tab w:val="left" w:pos="720"/>
              </w:tabs>
              <w:spacing w:line="360" w:lineRule="auto"/>
              <w:ind w:firstLineChars="200" w:firstLine="480"/>
              <w:rPr>
                <w:rFonts w:ascii="Times New Roman" w:eastAsia="仿宋" w:hAnsi="Times New Roman"/>
                <w:bCs/>
                <w:sz w:val="24"/>
              </w:rPr>
            </w:pPr>
            <w:r>
              <w:rPr>
                <w:rFonts w:ascii="Times New Roman" w:eastAsia="仿宋" w:hAnsi="Times New Roman"/>
                <w:bCs/>
                <w:sz w:val="24"/>
              </w:rPr>
              <w:t>湖南省湘筑工程有限公司、北京城建设计发展集团股份有限公司、湖南省交通科学研究院有限公司、</w:t>
            </w:r>
            <w:r>
              <w:rPr>
                <w:rFonts w:ascii="Times New Roman" w:eastAsia="仿宋" w:hAnsi="Times New Roman"/>
                <w:bCs/>
                <w:sz w:val="24"/>
                <w:szCs w:val="24"/>
                <w:lang w:val="zh-CN"/>
              </w:rPr>
              <w:t>江苏苏博特新材料股份有限公司</w:t>
            </w:r>
          </w:p>
        </w:tc>
      </w:tr>
      <w:tr w:rsidR="00651181" w:rsidTr="008B63B5">
        <w:trPr>
          <w:cantSplit/>
          <w:trHeight w:val="1400"/>
          <w:jc w:val="center"/>
        </w:trPr>
        <w:tc>
          <w:tcPr>
            <w:tcW w:w="986" w:type="pct"/>
            <w:tcBorders>
              <w:top w:val="single" w:sz="4" w:space="0" w:color="000000"/>
              <w:left w:val="single" w:sz="8" w:space="0" w:color="000000"/>
              <w:bottom w:val="single" w:sz="8" w:space="0" w:color="000000"/>
              <w:right w:val="single" w:sz="4" w:space="0" w:color="000000"/>
            </w:tcBorders>
            <w:vAlign w:val="center"/>
          </w:tcPr>
          <w:p w:rsidR="00651181" w:rsidRDefault="00027E46">
            <w:pPr>
              <w:tabs>
                <w:tab w:val="left" w:pos="720"/>
              </w:tabs>
              <w:spacing w:line="360" w:lineRule="auto"/>
              <w:jc w:val="center"/>
              <w:rPr>
                <w:rFonts w:ascii="Times New Roman" w:eastAsia="仿宋" w:hAnsi="Times New Roman"/>
                <w:bCs/>
                <w:sz w:val="24"/>
              </w:rPr>
            </w:pPr>
            <w:r>
              <w:rPr>
                <w:rFonts w:ascii="Times New Roman" w:eastAsia="仿宋" w:hAnsi="Times New Roman"/>
                <w:bCs/>
                <w:sz w:val="24"/>
              </w:rPr>
              <w:t>2023</w:t>
            </w:r>
            <w:r>
              <w:rPr>
                <w:rFonts w:ascii="Times New Roman" w:eastAsia="仿宋" w:hAnsi="Times New Roman"/>
                <w:bCs/>
                <w:sz w:val="24"/>
              </w:rPr>
              <w:t>年</w:t>
            </w:r>
            <w:r w:rsidR="008B63B5">
              <w:rPr>
                <w:rFonts w:ascii="Times New Roman" w:eastAsia="仿宋" w:hAnsi="Times New Roman" w:hint="eastAsia"/>
                <w:bCs/>
                <w:sz w:val="24"/>
              </w:rPr>
              <w:t>7</w:t>
            </w:r>
            <w:r>
              <w:rPr>
                <w:rFonts w:ascii="Times New Roman" w:eastAsia="仿宋" w:hAnsi="Times New Roman"/>
                <w:bCs/>
                <w:sz w:val="24"/>
              </w:rPr>
              <w:t>月</w:t>
            </w:r>
            <w:r>
              <w:rPr>
                <w:rFonts w:ascii="Times New Roman" w:eastAsia="仿宋" w:hAnsi="Times New Roman"/>
                <w:bCs/>
                <w:sz w:val="24"/>
              </w:rPr>
              <w:t>-</w:t>
            </w:r>
          </w:p>
          <w:p w:rsidR="00651181" w:rsidRDefault="00027E46" w:rsidP="008B63B5">
            <w:pPr>
              <w:tabs>
                <w:tab w:val="left" w:pos="720"/>
              </w:tabs>
              <w:spacing w:line="360" w:lineRule="auto"/>
              <w:jc w:val="center"/>
              <w:rPr>
                <w:rFonts w:ascii="Times New Roman" w:eastAsia="仿宋" w:hAnsi="Times New Roman"/>
                <w:bCs/>
                <w:sz w:val="24"/>
              </w:rPr>
            </w:pPr>
            <w:r>
              <w:rPr>
                <w:rFonts w:ascii="Times New Roman" w:eastAsia="仿宋" w:hAnsi="Times New Roman"/>
                <w:bCs/>
                <w:sz w:val="24"/>
              </w:rPr>
              <w:t>2023</w:t>
            </w:r>
            <w:r>
              <w:rPr>
                <w:rFonts w:ascii="Times New Roman" w:eastAsia="仿宋" w:hAnsi="Times New Roman"/>
                <w:bCs/>
                <w:sz w:val="24"/>
              </w:rPr>
              <w:t>年</w:t>
            </w:r>
            <w:r w:rsidR="008B63B5">
              <w:rPr>
                <w:rFonts w:ascii="Times New Roman" w:eastAsia="仿宋" w:hAnsi="Times New Roman" w:hint="eastAsia"/>
                <w:bCs/>
                <w:sz w:val="24"/>
              </w:rPr>
              <w:t>1</w:t>
            </w:r>
            <w:r w:rsidR="008B63B5">
              <w:rPr>
                <w:rFonts w:ascii="Times New Roman" w:eastAsia="仿宋" w:hAnsi="Times New Roman"/>
                <w:bCs/>
                <w:sz w:val="24"/>
              </w:rPr>
              <w:t>2</w:t>
            </w:r>
            <w:bookmarkStart w:id="9" w:name="_GoBack"/>
            <w:bookmarkEnd w:id="9"/>
            <w:r>
              <w:rPr>
                <w:rFonts w:ascii="Times New Roman" w:eastAsia="仿宋" w:hAnsi="Times New Roman"/>
                <w:bCs/>
                <w:sz w:val="24"/>
              </w:rPr>
              <w:t>月</w:t>
            </w:r>
          </w:p>
        </w:tc>
        <w:tc>
          <w:tcPr>
            <w:tcW w:w="1763" w:type="pct"/>
            <w:tcBorders>
              <w:top w:val="single" w:sz="4" w:space="0" w:color="000000"/>
              <w:left w:val="single" w:sz="4" w:space="0" w:color="000000"/>
              <w:bottom w:val="single" w:sz="8" w:space="0" w:color="000000"/>
              <w:right w:val="single" w:sz="4" w:space="0" w:color="000000"/>
            </w:tcBorders>
            <w:vAlign w:val="center"/>
          </w:tcPr>
          <w:p w:rsidR="00651181" w:rsidRDefault="00027E46" w:rsidP="008B63B5">
            <w:pPr>
              <w:tabs>
                <w:tab w:val="left" w:pos="720"/>
              </w:tabs>
              <w:spacing w:line="360" w:lineRule="auto"/>
              <w:rPr>
                <w:rFonts w:ascii="Times New Roman" w:eastAsia="仿宋" w:hAnsi="Times New Roman"/>
                <w:bCs/>
                <w:sz w:val="24"/>
              </w:rPr>
            </w:pPr>
            <w:r>
              <w:rPr>
                <w:rFonts w:ascii="Times New Roman" w:eastAsia="仿宋" w:hAnsi="Times New Roman"/>
                <w:bCs/>
                <w:sz w:val="24"/>
              </w:rPr>
              <w:t>根</w:t>
            </w:r>
            <w:r>
              <w:rPr>
                <w:rFonts w:ascii="Times New Roman" w:eastAsia="仿宋" w:hAnsi="Times New Roman"/>
                <w:bCs/>
                <w:sz w:val="24"/>
              </w:rPr>
              <w:t>据审查意见修改形成最终稿，结题验收。</w:t>
            </w:r>
          </w:p>
        </w:tc>
        <w:tc>
          <w:tcPr>
            <w:tcW w:w="2251" w:type="pct"/>
            <w:tcBorders>
              <w:top w:val="single" w:sz="4" w:space="0" w:color="000000"/>
              <w:left w:val="single" w:sz="4" w:space="0" w:color="000000"/>
              <w:bottom w:val="single" w:sz="8" w:space="0" w:color="000000"/>
              <w:right w:val="single" w:sz="8" w:space="0" w:color="000000"/>
            </w:tcBorders>
            <w:vAlign w:val="center"/>
          </w:tcPr>
          <w:p w:rsidR="00651181" w:rsidRDefault="00027E46">
            <w:pPr>
              <w:tabs>
                <w:tab w:val="left" w:pos="720"/>
              </w:tabs>
              <w:spacing w:line="360" w:lineRule="auto"/>
              <w:ind w:firstLineChars="200" w:firstLine="480"/>
              <w:rPr>
                <w:rFonts w:ascii="Times New Roman" w:eastAsia="仿宋" w:hAnsi="Times New Roman"/>
                <w:bCs/>
                <w:sz w:val="24"/>
              </w:rPr>
            </w:pPr>
            <w:r>
              <w:rPr>
                <w:rFonts w:ascii="Times New Roman" w:eastAsia="仿宋" w:hAnsi="Times New Roman"/>
                <w:bCs/>
                <w:sz w:val="24"/>
              </w:rPr>
              <w:t>湖南省湘筑工程有限公司、</w:t>
            </w:r>
            <w:r>
              <w:rPr>
                <w:rFonts w:ascii="Times New Roman" w:eastAsia="仿宋" w:hAnsi="Times New Roman"/>
                <w:bCs/>
                <w:sz w:val="24"/>
                <w:szCs w:val="24"/>
                <w:lang w:val="zh-CN"/>
              </w:rPr>
              <w:t>北京城建设计发展集团股份有限公司、湖南省交通科学研究院有限公司、湖南省路桥集团有限公司、湖南省交通职业技术学院、江苏苏博特新材料股份有限公司、湖南省白新高速公路建设开发有限公司</w:t>
            </w:r>
          </w:p>
        </w:tc>
      </w:tr>
    </w:tbl>
    <w:p w:rsidR="00651181" w:rsidRDefault="00651181">
      <w:pPr>
        <w:tabs>
          <w:tab w:val="left" w:pos="720"/>
        </w:tabs>
        <w:spacing w:line="360" w:lineRule="auto"/>
        <w:ind w:firstLineChars="200" w:firstLine="480"/>
        <w:rPr>
          <w:rFonts w:ascii="Times New Roman" w:eastAsia="仿宋" w:hAnsi="Times New Roman"/>
          <w:bCs/>
          <w:sz w:val="24"/>
        </w:rPr>
      </w:pPr>
    </w:p>
    <w:p w:rsidR="00651181" w:rsidRDefault="00027E46">
      <w:pPr>
        <w:numPr>
          <w:ilvl w:val="0"/>
          <w:numId w:val="3"/>
        </w:numPr>
        <w:spacing w:line="360" w:lineRule="auto"/>
        <w:outlineLvl w:val="0"/>
        <w:rPr>
          <w:rFonts w:ascii="Times New Roman" w:eastAsia="黑体" w:hAnsi="Times New Roman"/>
          <w:color w:val="000000"/>
          <w:spacing w:val="8"/>
          <w:sz w:val="28"/>
          <w:szCs w:val="28"/>
        </w:rPr>
      </w:pPr>
      <w:bookmarkStart w:id="10" w:name="_Toc11064"/>
      <w:r>
        <w:rPr>
          <w:rFonts w:ascii="Times New Roman" w:eastAsia="黑体" w:hAnsi="Times New Roman"/>
          <w:color w:val="000000"/>
          <w:spacing w:val="8"/>
          <w:sz w:val="28"/>
          <w:szCs w:val="28"/>
        </w:rPr>
        <w:t>标准编制原则和确定地方标准主要内容的依据</w:t>
      </w:r>
      <w:bookmarkEnd w:id="10"/>
    </w:p>
    <w:p w:rsidR="00651181" w:rsidRDefault="00027E46">
      <w:pPr>
        <w:spacing w:line="360" w:lineRule="auto"/>
        <w:jc w:val="left"/>
        <w:outlineLvl w:val="1"/>
        <w:rPr>
          <w:rFonts w:ascii="Times New Roman" w:eastAsia="黑体" w:hAnsi="Times New Roman"/>
          <w:color w:val="000000"/>
          <w:spacing w:val="8"/>
          <w:sz w:val="28"/>
          <w:szCs w:val="28"/>
        </w:rPr>
      </w:pPr>
      <w:bookmarkStart w:id="11" w:name="_Toc16901"/>
      <w:bookmarkStart w:id="12" w:name="_Toc355448819"/>
      <w:bookmarkStart w:id="13" w:name="_Toc442356583"/>
      <w:r>
        <w:rPr>
          <w:rFonts w:ascii="Times New Roman" w:eastAsia="黑体" w:hAnsi="Times New Roman"/>
          <w:color w:val="000000"/>
          <w:spacing w:val="8"/>
          <w:sz w:val="28"/>
          <w:szCs w:val="28"/>
        </w:rPr>
        <w:t>3.1</w:t>
      </w:r>
      <w:r>
        <w:rPr>
          <w:rFonts w:ascii="Times New Roman" w:eastAsia="黑体" w:hAnsi="Times New Roman"/>
          <w:color w:val="000000"/>
          <w:spacing w:val="8"/>
          <w:sz w:val="28"/>
          <w:szCs w:val="28"/>
        </w:rPr>
        <w:t>标准编制原则</w:t>
      </w:r>
      <w:bookmarkEnd w:id="11"/>
    </w:p>
    <w:bookmarkEnd w:id="12"/>
    <w:bookmarkEnd w:id="13"/>
    <w:p w:rsidR="00651181" w:rsidRDefault="00027E46">
      <w:pPr>
        <w:tabs>
          <w:tab w:val="left" w:pos="720"/>
        </w:tabs>
        <w:spacing w:line="360" w:lineRule="auto"/>
        <w:ind w:firstLineChars="200" w:firstLine="480"/>
        <w:rPr>
          <w:rFonts w:ascii="Times New Roman" w:eastAsia="仿宋" w:hAnsi="Times New Roman"/>
          <w:bCs/>
          <w:sz w:val="24"/>
        </w:rPr>
      </w:pPr>
      <w:r>
        <w:rPr>
          <w:rFonts w:ascii="Times New Roman" w:eastAsia="仿宋" w:hAnsi="Times New Roman"/>
          <w:bCs/>
          <w:sz w:val="24"/>
        </w:rPr>
        <w:t xml:space="preserve">(1) </w:t>
      </w:r>
      <w:r>
        <w:rPr>
          <w:rFonts w:ascii="Times New Roman" w:eastAsia="仿宋" w:hAnsi="Times New Roman"/>
          <w:bCs/>
          <w:sz w:val="24"/>
        </w:rPr>
        <w:t>针对性强，主要针对道路交叉口、公交专用道、长大纵坡路段、收费站、港口码头、加油站等车辙易发路段，区别于传统的普通道路等。</w:t>
      </w:r>
    </w:p>
    <w:p w:rsidR="00651181" w:rsidRDefault="00027E46">
      <w:pPr>
        <w:tabs>
          <w:tab w:val="left" w:pos="720"/>
        </w:tabs>
        <w:spacing w:line="360" w:lineRule="auto"/>
        <w:ind w:firstLineChars="200" w:firstLine="480"/>
        <w:rPr>
          <w:rFonts w:ascii="Times New Roman" w:eastAsia="仿宋" w:hAnsi="Times New Roman"/>
          <w:bCs/>
          <w:sz w:val="24"/>
        </w:rPr>
      </w:pPr>
      <w:r>
        <w:rPr>
          <w:rFonts w:ascii="Times New Roman" w:eastAsia="仿宋" w:hAnsi="Times New Roman"/>
          <w:bCs/>
          <w:sz w:val="24"/>
        </w:rPr>
        <w:t xml:space="preserve">(2) </w:t>
      </w:r>
      <w:r>
        <w:rPr>
          <w:rFonts w:ascii="Times New Roman" w:eastAsia="仿宋" w:hAnsi="Times New Roman"/>
          <w:bCs/>
          <w:sz w:val="24"/>
        </w:rPr>
        <w:t>适用性，与工程实践情</w:t>
      </w:r>
      <w:r>
        <w:rPr>
          <w:rFonts w:ascii="Times New Roman" w:eastAsia="仿宋" w:hAnsi="Times New Roman"/>
          <w:bCs/>
          <w:sz w:val="24"/>
        </w:rPr>
        <w:t>况紧密结合，加强对共性内容的规范，并可能提出定量化的要求，使其具有可操作性，并通过工程实践的数据积累，确定验证规范的适用性。在内容章节编排上，遵循结构设计、材料性能要求和相关施工技术的逻辑框架结构，覆盖全面。</w:t>
      </w:r>
    </w:p>
    <w:p w:rsidR="00651181" w:rsidRDefault="00027E46">
      <w:pPr>
        <w:tabs>
          <w:tab w:val="left" w:pos="720"/>
        </w:tabs>
        <w:spacing w:line="360" w:lineRule="auto"/>
        <w:ind w:firstLineChars="200" w:firstLine="480"/>
        <w:rPr>
          <w:rFonts w:ascii="Times New Roman" w:eastAsia="仿宋" w:hAnsi="Times New Roman"/>
          <w:bCs/>
          <w:sz w:val="24"/>
        </w:rPr>
      </w:pPr>
      <w:r>
        <w:rPr>
          <w:rFonts w:ascii="Times New Roman" w:eastAsia="仿宋" w:hAnsi="Times New Roman"/>
          <w:bCs/>
          <w:sz w:val="24"/>
        </w:rPr>
        <w:t xml:space="preserve">(3) </w:t>
      </w:r>
      <w:r>
        <w:rPr>
          <w:rFonts w:ascii="Times New Roman" w:eastAsia="仿宋" w:hAnsi="Times New Roman"/>
          <w:bCs/>
          <w:sz w:val="24"/>
        </w:rPr>
        <w:t>互补性，协调好与现有规范的关系，相似的内容尽可能保持一致性，避</w:t>
      </w:r>
      <w:r>
        <w:rPr>
          <w:rFonts w:ascii="Times New Roman" w:eastAsia="仿宋" w:hAnsi="Times New Roman"/>
          <w:bCs/>
          <w:sz w:val="24"/>
        </w:rPr>
        <w:lastRenderedPageBreak/>
        <w:t>免冲突，但同时又通过归纳总结，完善相关规范不足之处、填补空缺规定，形相互补充。</w:t>
      </w:r>
    </w:p>
    <w:p w:rsidR="00651181" w:rsidRDefault="00027E46">
      <w:pPr>
        <w:tabs>
          <w:tab w:val="left" w:pos="720"/>
        </w:tabs>
        <w:spacing w:line="360" w:lineRule="auto"/>
        <w:ind w:firstLineChars="200" w:firstLine="480"/>
        <w:rPr>
          <w:rFonts w:ascii="Times New Roman" w:eastAsia="仿宋" w:hAnsi="Times New Roman"/>
          <w:bCs/>
          <w:sz w:val="24"/>
        </w:rPr>
      </w:pPr>
      <w:r>
        <w:rPr>
          <w:rFonts w:ascii="Times New Roman" w:eastAsia="仿宋" w:hAnsi="Times New Roman"/>
          <w:bCs/>
          <w:sz w:val="24"/>
        </w:rPr>
        <w:t xml:space="preserve">(4) </w:t>
      </w:r>
      <w:r>
        <w:rPr>
          <w:rFonts w:ascii="Times New Roman" w:eastAsia="仿宋" w:hAnsi="Times New Roman"/>
          <w:bCs/>
          <w:sz w:val="24"/>
        </w:rPr>
        <w:t>科学性，总结提炼技术难点，开展专题研究，理论分析结合必要的实践数据，为规范编制奠定科学依据。</w:t>
      </w:r>
    </w:p>
    <w:p w:rsidR="00651181" w:rsidRDefault="00027E46">
      <w:pPr>
        <w:tabs>
          <w:tab w:val="left" w:pos="720"/>
        </w:tabs>
        <w:spacing w:line="360" w:lineRule="auto"/>
        <w:ind w:firstLineChars="200" w:firstLine="480"/>
        <w:rPr>
          <w:rFonts w:ascii="Times New Roman" w:eastAsia="仿宋" w:hAnsi="Times New Roman"/>
          <w:bCs/>
          <w:sz w:val="24"/>
        </w:rPr>
      </w:pPr>
      <w:r>
        <w:rPr>
          <w:rFonts w:ascii="Times New Roman" w:eastAsia="仿宋" w:hAnsi="Times New Roman"/>
          <w:bCs/>
          <w:sz w:val="24"/>
        </w:rPr>
        <w:t xml:space="preserve">(5) </w:t>
      </w:r>
      <w:r>
        <w:rPr>
          <w:rFonts w:ascii="Times New Roman" w:eastAsia="仿宋" w:hAnsi="Times New Roman"/>
          <w:bCs/>
          <w:sz w:val="24"/>
        </w:rPr>
        <w:t>创新性，在充分借鉴国外发达国家相关标准规范</w:t>
      </w:r>
      <w:r>
        <w:rPr>
          <w:rFonts w:ascii="Times New Roman" w:eastAsia="仿宋" w:hAnsi="Times New Roman"/>
          <w:bCs/>
          <w:sz w:val="24"/>
        </w:rPr>
        <w:t>、工程经验基础上集成创新，研究适合我国道路的特点，注重原创，通过标准的制定加强与引导对新材料、新技术的应用，推动我国道路建设的创新与技术进步。</w:t>
      </w:r>
    </w:p>
    <w:p w:rsidR="00651181" w:rsidRDefault="00027E46">
      <w:pPr>
        <w:spacing w:line="360" w:lineRule="auto"/>
        <w:jc w:val="left"/>
        <w:outlineLvl w:val="1"/>
        <w:rPr>
          <w:rFonts w:ascii="Times New Roman" w:eastAsia="黑体" w:hAnsi="Times New Roman"/>
          <w:color w:val="000000"/>
          <w:spacing w:val="8"/>
          <w:sz w:val="28"/>
          <w:szCs w:val="28"/>
        </w:rPr>
      </w:pPr>
      <w:bookmarkStart w:id="14" w:name="_Toc4431"/>
      <w:r>
        <w:rPr>
          <w:rFonts w:ascii="Times New Roman" w:eastAsia="黑体" w:hAnsi="Times New Roman"/>
          <w:color w:val="000000"/>
          <w:spacing w:val="8"/>
          <w:sz w:val="28"/>
          <w:szCs w:val="28"/>
        </w:rPr>
        <w:t>3.2</w:t>
      </w:r>
      <w:r>
        <w:rPr>
          <w:rFonts w:ascii="Times New Roman" w:eastAsia="黑体" w:hAnsi="Times New Roman"/>
          <w:color w:val="000000"/>
          <w:spacing w:val="8"/>
          <w:sz w:val="28"/>
          <w:szCs w:val="28"/>
        </w:rPr>
        <w:t>确定地方标准主要内容的依据</w:t>
      </w:r>
      <w:bookmarkEnd w:id="14"/>
    </w:p>
    <w:p w:rsidR="00651181" w:rsidRDefault="00027E46">
      <w:pPr>
        <w:tabs>
          <w:tab w:val="left" w:pos="720"/>
        </w:tabs>
        <w:spacing w:line="360" w:lineRule="auto"/>
        <w:ind w:firstLineChars="200" w:firstLine="482"/>
        <w:rPr>
          <w:rFonts w:ascii="Times New Roman" w:eastAsia="仿宋" w:hAnsi="Times New Roman"/>
          <w:b/>
          <w:sz w:val="24"/>
        </w:rPr>
      </w:pPr>
      <w:bookmarkStart w:id="15" w:name="_Toc87950914"/>
      <w:bookmarkStart w:id="16" w:name="_Toc17183"/>
      <w:bookmarkStart w:id="17" w:name="_Toc79045338"/>
      <w:bookmarkStart w:id="18" w:name="_Toc77939969"/>
      <w:bookmarkStart w:id="19" w:name="_Toc6388"/>
      <w:r>
        <w:rPr>
          <w:rFonts w:ascii="Times New Roman" w:eastAsia="仿宋" w:hAnsi="Times New Roman"/>
          <w:b/>
          <w:sz w:val="24"/>
        </w:rPr>
        <w:t>（</w:t>
      </w:r>
      <w:r>
        <w:rPr>
          <w:rFonts w:ascii="Times New Roman" w:eastAsia="仿宋" w:hAnsi="Times New Roman"/>
          <w:b/>
          <w:sz w:val="24"/>
        </w:rPr>
        <w:t>1</w:t>
      </w:r>
      <w:r>
        <w:rPr>
          <w:rFonts w:ascii="Times New Roman" w:eastAsia="仿宋" w:hAnsi="Times New Roman"/>
          <w:b/>
          <w:sz w:val="24"/>
        </w:rPr>
        <w:t>）</w:t>
      </w:r>
      <w:bookmarkStart w:id="20" w:name="_Toc20781"/>
      <w:r>
        <w:rPr>
          <w:rFonts w:ascii="Times New Roman" w:eastAsia="仿宋" w:hAnsi="Times New Roman"/>
          <w:b/>
          <w:sz w:val="24"/>
        </w:rPr>
        <w:t>灌入式半柔性复合沥青路面结构设计</w:t>
      </w:r>
      <w:bookmarkEnd w:id="20"/>
    </w:p>
    <w:p w:rsidR="00651181" w:rsidRDefault="00027E46">
      <w:pPr>
        <w:tabs>
          <w:tab w:val="left" w:pos="720"/>
        </w:tabs>
        <w:spacing w:line="360" w:lineRule="auto"/>
        <w:ind w:firstLineChars="200" w:firstLine="480"/>
        <w:rPr>
          <w:rFonts w:ascii="Times New Roman" w:eastAsia="仿宋" w:hAnsi="Times New Roman"/>
          <w:bCs/>
          <w:sz w:val="24"/>
        </w:rPr>
      </w:pPr>
      <w:r>
        <w:rPr>
          <w:rFonts w:ascii="Times New Roman" w:eastAsia="仿宋" w:hAnsi="Times New Roman"/>
          <w:bCs/>
          <w:sz w:val="24"/>
        </w:rPr>
        <w:t>灌浆式半柔性路面铺装层应用层位的选择，对于发挥其优势性能非常关键。理论研究和工程应用表明，在车辆启停频繁、车辙病害易发的路段，如有信号灯控制的交叉路口、公交站台等，灌浆式半柔性路面铺装层宜用于路面的上面层，以更好地发挥其抗剪切变形能力强的优势。</w:t>
      </w:r>
    </w:p>
    <w:p w:rsidR="00651181" w:rsidRDefault="00027E46">
      <w:pPr>
        <w:tabs>
          <w:tab w:val="left" w:pos="720"/>
        </w:tabs>
        <w:spacing w:line="360" w:lineRule="auto"/>
        <w:ind w:firstLineChars="200" w:firstLine="480"/>
        <w:rPr>
          <w:rFonts w:ascii="Times New Roman" w:eastAsia="仿宋" w:hAnsi="Times New Roman"/>
          <w:bCs/>
          <w:sz w:val="24"/>
        </w:rPr>
      </w:pPr>
      <w:r>
        <w:rPr>
          <w:rFonts w:ascii="Times New Roman" w:eastAsia="仿宋" w:hAnsi="Times New Roman"/>
          <w:bCs/>
          <w:sz w:val="24"/>
        </w:rPr>
        <w:t>灌浆式半柔性路面铺装层的最小厚度不应小于基体沥青混合料集料公称最大粒径的</w:t>
      </w:r>
      <w:r>
        <w:rPr>
          <w:rFonts w:ascii="Times New Roman" w:eastAsia="仿宋" w:hAnsi="Times New Roman"/>
          <w:bCs/>
          <w:sz w:val="24"/>
        </w:rPr>
        <w:t>2</w:t>
      </w:r>
      <w:r>
        <w:rPr>
          <w:rFonts w:ascii="Times New Roman" w:eastAsia="仿宋" w:hAnsi="Times New Roman"/>
          <w:bCs/>
          <w:sz w:val="24"/>
        </w:rPr>
        <w:t>倍，同时结合半柔性路面结构模拟研究成果和工程实践，</w:t>
      </w:r>
      <w:r>
        <w:rPr>
          <w:rFonts w:ascii="Times New Roman" w:eastAsia="仿宋" w:hAnsi="Times New Roman"/>
          <w:bCs/>
          <w:sz w:val="24"/>
        </w:rPr>
        <w:t>SFP-13</w:t>
      </w:r>
      <w:r>
        <w:rPr>
          <w:rFonts w:ascii="Times New Roman" w:eastAsia="仿宋" w:hAnsi="Times New Roman"/>
          <w:bCs/>
          <w:sz w:val="24"/>
        </w:rPr>
        <w:t>结构层最小厚度建议不小于</w:t>
      </w:r>
      <w:r>
        <w:rPr>
          <w:rFonts w:ascii="Times New Roman" w:eastAsia="仿宋" w:hAnsi="Times New Roman"/>
          <w:bCs/>
          <w:sz w:val="24"/>
        </w:rPr>
        <w:t>50mm</w:t>
      </w:r>
      <w:r>
        <w:rPr>
          <w:rFonts w:ascii="Times New Roman" w:eastAsia="仿宋" w:hAnsi="Times New Roman"/>
          <w:bCs/>
          <w:sz w:val="24"/>
        </w:rPr>
        <w:t>，</w:t>
      </w:r>
      <w:r>
        <w:rPr>
          <w:rFonts w:ascii="Times New Roman" w:eastAsia="仿宋" w:hAnsi="Times New Roman"/>
          <w:bCs/>
          <w:sz w:val="24"/>
        </w:rPr>
        <w:t>SFP-16</w:t>
      </w:r>
      <w:r>
        <w:rPr>
          <w:rFonts w:ascii="Times New Roman" w:eastAsia="仿宋" w:hAnsi="Times New Roman"/>
          <w:bCs/>
          <w:sz w:val="24"/>
        </w:rPr>
        <w:t>和</w:t>
      </w:r>
      <w:r>
        <w:rPr>
          <w:rFonts w:ascii="Times New Roman" w:eastAsia="仿宋" w:hAnsi="Times New Roman"/>
          <w:bCs/>
          <w:sz w:val="24"/>
        </w:rPr>
        <w:t>SFP-20</w:t>
      </w:r>
      <w:r>
        <w:rPr>
          <w:rFonts w:ascii="Times New Roman" w:eastAsia="仿宋" w:hAnsi="Times New Roman"/>
          <w:bCs/>
          <w:sz w:val="24"/>
        </w:rPr>
        <w:t>最小厚度建议不小于</w:t>
      </w:r>
      <w:r>
        <w:rPr>
          <w:rFonts w:ascii="Times New Roman" w:eastAsia="仿宋" w:hAnsi="Times New Roman"/>
          <w:bCs/>
          <w:sz w:val="24"/>
        </w:rPr>
        <w:t>60mm</w:t>
      </w:r>
      <w:r>
        <w:rPr>
          <w:rFonts w:ascii="Times New Roman" w:eastAsia="仿宋" w:hAnsi="Times New Roman"/>
          <w:bCs/>
          <w:sz w:val="24"/>
        </w:rPr>
        <w:t>和不小于</w:t>
      </w:r>
      <w:r>
        <w:rPr>
          <w:rFonts w:ascii="Times New Roman" w:eastAsia="仿宋" w:hAnsi="Times New Roman"/>
          <w:bCs/>
          <w:sz w:val="24"/>
        </w:rPr>
        <w:t>70mm</w:t>
      </w:r>
      <w:r>
        <w:rPr>
          <w:rFonts w:ascii="Times New Roman" w:eastAsia="仿宋" w:hAnsi="Times New Roman"/>
          <w:bCs/>
          <w:sz w:val="24"/>
        </w:rPr>
        <w:t>。灌浆式半柔性路面铺装层的最大厚度主要是依据基体沥青混合料压实和灌浆渗透难易程度确定的。</w:t>
      </w:r>
      <w:r>
        <w:rPr>
          <w:rFonts w:ascii="Times New Roman" w:eastAsia="仿宋" w:hAnsi="Times New Roman"/>
          <w:bCs/>
          <w:sz w:val="24"/>
        </w:rPr>
        <w:t>SFP-13</w:t>
      </w:r>
      <w:r>
        <w:rPr>
          <w:rFonts w:ascii="Times New Roman" w:eastAsia="仿宋" w:hAnsi="Times New Roman"/>
          <w:bCs/>
          <w:sz w:val="24"/>
        </w:rPr>
        <w:t>结构层最大厚度建议不大于</w:t>
      </w:r>
      <w:r>
        <w:rPr>
          <w:rFonts w:ascii="Times New Roman" w:eastAsia="仿宋" w:hAnsi="Times New Roman"/>
          <w:bCs/>
          <w:sz w:val="24"/>
        </w:rPr>
        <w:t>100mm</w:t>
      </w:r>
      <w:r>
        <w:rPr>
          <w:rFonts w:ascii="Times New Roman" w:eastAsia="仿宋" w:hAnsi="Times New Roman"/>
          <w:bCs/>
          <w:sz w:val="24"/>
        </w:rPr>
        <w:t>，</w:t>
      </w:r>
      <w:r>
        <w:rPr>
          <w:rFonts w:ascii="Times New Roman" w:eastAsia="仿宋" w:hAnsi="Times New Roman"/>
          <w:bCs/>
          <w:sz w:val="24"/>
        </w:rPr>
        <w:t>SFP-16</w:t>
      </w:r>
      <w:r>
        <w:rPr>
          <w:rFonts w:ascii="Times New Roman" w:eastAsia="仿宋" w:hAnsi="Times New Roman"/>
          <w:bCs/>
          <w:sz w:val="24"/>
        </w:rPr>
        <w:t>和</w:t>
      </w:r>
      <w:r>
        <w:rPr>
          <w:rFonts w:ascii="Times New Roman" w:eastAsia="仿宋" w:hAnsi="Times New Roman"/>
          <w:bCs/>
          <w:sz w:val="24"/>
        </w:rPr>
        <w:t>SFP-20</w:t>
      </w:r>
      <w:r>
        <w:rPr>
          <w:rFonts w:ascii="Times New Roman" w:eastAsia="仿宋" w:hAnsi="Times New Roman"/>
          <w:bCs/>
          <w:sz w:val="24"/>
        </w:rPr>
        <w:t>结构层最大厚度建议不大于</w:t>
      </w:r>
      <w:r>
        <w:rPr>
          <w:rFonts w:ascii="Times New Roman" w:eastAsia="仿宋" w:hAnsi="Times New Roman"/>
          <w:bCs/>
          <w:sz w:val="24"/>
        </w:rPr>
        <w:t>120mm</w:t>
      </w:r>
      <w:r>
        <w:rPr>
          <w:rFonts w:ascii="Times New Roman" w:eastAsia="仿宋" w:hAnsi="Times New Roman"/>
          <w:bCs/>
          <w:sz w:val="24"/>
        </w:rPr>
        <w:t>。当工程中有出现超过此范围的情况时，需要进行必要的验证。</w:t>
      </w:r>
    </w:p>
    <w:p w:rsidR="00651181" w:rsidRDefault="00027E46">
      <w:pPr>
        <w:tabs>
          <w:tab w:val="left" w:pos="720"/>
        </w:tabs>
        <w:spacing w:line="360" w:lineRule="auto"/>
        <w:ind w:firstLineChars="200" w:firstLine="482"/>
        <w:rPr>
          <w:rFonts w:ascii="Times New Roman" w:eastAsia="仿宋" w:hAnsi="Times New Roman"/>
          <w:b/>
          <w:sz w:val="24"/>
        </w:rPr>
      </w:pPr>
      <w:r>
        <w:rPr>
          <w:rFonts w:ascii="Times New Roman" w:eastAsia="仿宋" w:hAnsi="Times New Roman"/>
          <w:b/>
          <w:sz w:val="24"/>
        </w:rPr>
        <w:t>（</w:t>
      </w:r>
      <w:r>
        <w:rPr>
          <w:rFonts w:ascii="Times New Roman" w:eastAsia="仿宋" w:hAnsi="Times New Roman"/>
          <w:b/>
          <w:sz w:val="24"/>
        </w:rPr>
        <w:t>2</w:t>
      </w:r>
      <w:r>
        <w:rPr>
          <w:rFonts w:ascii="Times New Roman" w:eastAsia="仿宋" w:hAnsi="Times New Roman"/>
          <w:b/>
          <w:sz w:val="24"/>
        </w:rPr>
        <w:t>）灌浆料性能要求</w:t>
      </w:r>
    </w:p>
    <w:p w:rsidR="00651181" w:rsidRDefault="00027E46">
      <w:pPr>
        <w:tabs>
          <w:tab w:val="left" w:pos="720"/>
        </w:tabs>
        <w:spacing w:line="360" w:lineRule="auto"/>
        <w:ind w:firstLineChars="200" w:firstLine="480"/>
        <w:rPr>
          <w:rFonts w:ascii="Times New Roman" w:eastAsia="仿宋" w:hAnsi="Times New Roman"/>
          <w:bCs/>
          <w:sz w:val="24"/>
        </w:rPr>
      </w:pPr>
      <w:r>
        <w:rPr>
          <w:rFonts w:ascii="Times New Roman" w:eastAsia="仿宋" w:hAnsi="Times New Roman"/>
          <w:bCs/>
          <w:sz w:val="24"/>
        </w:rPr>
        <w:t>灌浆式半柔性路面用灌浆料加水搅拌后形成的浆体应具有较好的流动性，能够依靠自身重力即可密实填充所需灌注的空隙，同时硬化后应具有良好的体积稳定性和力学性能。因此，流动度、干缩率和强度是灌浆料最重要的性能指标。</w:t>
      </w:r>
    </w:p>
    <w:p w:rsidR="00651181" w:rsidRDefault="00027E46">
      <w:pPr>
        <w:tabs>
          <w:tab w:val="left" w:pos="720"/>
        </w:tabs>
        <w:spacing w:line="360" w:lineRule="auto"/>
        <w:ind w:firstLineChars="200" w:firstLine="480"/>
        <w:rPr>
          <w:rFonts w:ascii="Times New Roman" w:eastAsia="仿宋" w:hAnsi="Times New Roman"/>
          <w:bCs/>
          <w:sz w:val="24"/>
        </w:rPr>
      </w:pPr>
      <w:r>
        <w:rPr>
          <w:rFonts w:ascii="Times New Roman" w:eastAsia="仿宋" w:hAnsi="Times New Roman"/>
          <w:bCs/>
          <w:sz w:val="24"/>
        </w:rPr>
        <w:t>关于灌浆料流动度技术指标，行业标准《半柔性混合料用水泥基灌浆材料》</w:t>
      </w:r>
      <w:r>
        <w:rPr>
          <w:rFonts w:ascii="Times New Roman" w:eastAsia="仿宋" w:hAnsi="Times New Roman"/>
          <w:bCs/>
          <w:sz w:val="24"/>
        </w:rPr>
        <w:t>JT/T 1238-2019</w:t>
      </w:r>
      <w:r>
        <w:rPr>
          <w:rFonts w:ascii="Times New Roman" w:eastAsia="仿宋" w:hAnsi="Times New Roman"/>
          <w:bCs/>
          <w:sz w:val="24"/>
        </w:rPr>
        <w:t>和《半柔性路面应用技术指南》（人民交通出版社，</w:t>
      </w:r>
      <w:r>
        <w:rPr>
          <w:rFonts w:ascii="Times New Roman" w:eastAsia="仿宋" w:hAnsi="Times New Roman"/>
          <w:bCs/>
          <w:sz w:val="24"/>
        </w:rPr>
        <w:t>2009</w:t>
      </w:r>
      <w:r>
        <w:rPr>
          <w:rFonts w:ascii="Times New Roman" w:eastAsia="仿宋" w:hAnsi="Times New Roman"/>
          <w:bCs/>
          <w:sz w:val="24"/>
        </w:rPr>
        <w:t>年）规定的初始流动度均为</w:t>
      </w:r>
      <w:r>
        <w:rPr>
          <w:rFonts w:ascii="Times New Roman" w:eastAsia="仿宋" w:hAnsi="Times New Roman"/>
          <w:bCs/>
          <w:sz w:val="24"/>
        </w:rPr>
        <w:t>10s</w:t>
      </w:r>
      <w:r>
        <w:rPr>
          <w:rFonts w:ascii="Times New Roman" w:eastAsia="仿宋" w:hAnsi="Times New Roman"/>
          <w:bCs/>
          <w:sz w:val="24"/>
        </w:rPr>
        <w:t>～</w:t>
      </w:r>
      <w:r>
        <w:rPr>
          <w:rFonts w:ascii="Times New Roman" w:eastAsia="仿宋" w:hAnsi="Times New Roman"/>
          <w:bCs/>
          <w:sz w:val="24"/>
        </w:rPr>
        <w:t>14s</w:t>
      </w:r>
      <w:r>
        <w:rPr>
          <w:rFonts w:ascii="Times New Roman" w:eastAsia="仿宋" w:hAnsi="Times New Roman"/>
          <w:bCs/>
          <w:sz w:val="24"/>
        </w:rPr>
        <w:t>，符合实际工程对灌浆料具有较好流动性的需要。本规程亦将灌浆料初始流动度指标技术指标定为</w:t>
      </w:r>
      <w:r>
        <w:rPr>
          <w:rFonts w:ascii="Times New Roman" w:eastAsia="仿宋" w:hAnsi="Times New Roman"/>
          <w:bCs/>
          <w:sz w:val="24"/>
        </w:rPr>
        <w:t>10s</w:t>
      </w:r>
      <w:r>
        <w:rPr>
          <w:rFonts w:ascii="Times New Roman" w:eastAsia="仿宋" w:hAnsi="Times New Roman"/>
          <w:bCs/>
          <w:sz w:val="24"/>
        </w:rPr>
        <w:t>～</w:t>
      </w:r>
      <w:r>
        <w:rPr>
          <w:rFonts w:ascii="Times New Roman" w:eastAsia="仿宋" w:hAnsi="Times New Roman"/>
          <w:bCs/>
          <w:sz w:val="24"/>
        </w:rPr>
        <w:t>14s</w:t>
      </w:r>
      <w:r>
        <w:rPr>
          <w:rFonts w:ascii="Times New Roman" w:eastAsia="仿宋" w:hAnsi="Times New Roman"/>
          <w:bCs/>
          <w:sz w:val="24"/>
        </w:rPr>
        <w:t>。</w:t>
      </w:r>
    </w:p>
    <w:p w:rsidR="00651181" w:rsidRDefault="00027E46">
      <w:pPr>
        <w:tabs>
          <w:tab w:val="left" w:pos="720"/>
        </w:tabs>
        <w:spacing w:line="360" w:lineRule="auto"/>
        <w:ind w:firstLineChars="200" w:firstLine="480"/>
        <w:rPr>
          <w:rFonts w:ascii="Times New Roman" w:eastAsia="仿宋" w:hAnsi="Times New Roman"/>
          <w:bCs/>
          <w:sz w:val="24"/>
        </w:rPr>
      </w:pPr>
      <w:r>
        <w:rPr>
          <w:rFonts w:ascii="Times New Roman" w:eastAsia="仿宋" w:hAnsi="Times New Roman"/>
          <w:bCs/>
          <w:sz w:val="24"/>
        </w:rPr>
        <w:t>30min</w:t>
      </w:r>
      <w:r>
        <w:rPr>
          <w:rFonts w:ascii="Times New Roman" w:eastAsia="仿宋" w:hAnsi="Times New Roman"/>
          <w:bCs/>
          <w:sz w:val="24"/>
        </w:rPr>
        <w:t>流动</w:t>
      </w:r>
      <w:r>
        <w:rPr>
          <w:rFonts w:ascii="Times New Roman" w:eastAsia="仿宋" w:hAnsi="Times New Roman"/>
          <w:bCs/>
          <w:sz w:val="24"/>
        </w:rPr>
        <w:t>度指标的设立是用来规定灌浆料在灌注施工过程中具有保持所</w:t>
      </w:r>
      <w:r>
        <w:rPr>
          <w:rFonts w:ascii="Times New Roman" w:eastAsia="仿宋" w:hAnsi="Times New Roman"/>
          <w:bCs/>
          <w:sz w:val="24"/>
        </w:rPr>
        <w:lastRenderedPageBreak/>
        <w:t>需流动性的能力，为更好地灌注饱满、抹面施工提供前提。本规程将灌浆料</w:t>
      </w:r>
      <w:r>
        <w:rPr>
          <w:rFonts w:ascii="Times New Roman" w:eastAsia="仿宋" w:hAnsi="Times New Roman"/>
          <w:bCs/>
          <w:sz w:val="24"/>
        </w:rPr>
        <w:t>30min</w:t>
      </w:r>
      <w:r>
        <w:rPr>
          <w:rFonts w:ascii="Times New Roman" w:eastAsia="仿宋" w:hAnsi="Times New Roman"/>
          <w:bCs/>
          <w:sz w:val="24"/>
        </w:rPr>
        <w:t>流动度指标技术指标定为</w:t>
      </w:r>
      <w:r>
        <w:rPr>
          <w:rFonts w:ascii="Times New Roman" w:eastAsia="仿宋" w:hAnsi="Times New Roman"/>
          <w:bCs/>
          <w:sz w:val="24"/>
        </w:rPr>
        <w:t>10s</w:t>
      </w:r>
      <w:r>
        <w:rPr>
          <w:rFonts w:ascii="Times New Roman" w:eastAsia="仿宋" w:hAnsi="Times New Roman"/>
          <w:bCs/>
          <w:sz w:val="24"/>
        </w:rPr>
        <w:t>～</w:t>
      </w:r>
      <w:r>
        <w:rPr>
          <w:rFonts w:ascii="Times New Roman" w:eastAsia="仿宋" w:hAnsi="Times New Roman"/>
          <w:bCs/>
          <w:sz w:val="24"/>
        </w:rPr>
        <w:t>18s</w:t>
      </w:r>
      <w:r>
        <w:rPr>
          <w:rFonts w:ascii="Times New Roman" w:eastAsia="仿宋" w:hAnsi="Times New Roman"/>
          <w:bCs/>
          <w:sz w:val="24"/>
        </w:rPr>
        <w:t>。</w:t>
      </w:r>
    </w:p>
    <w:p w:rsidR="00651181" w:rsidRDefault="00027E46">
      <w:pPr>
        <w:tabs>
          <w:tab w:val="left" w:pos="720"/>
        </w:tabs>
        <w:spacing w:line="360" w:lineRule="auto"/>
        <w:ind w:firstLineChars="200" w:firstLine="480"/>
        <w:rPr>
          <w:rFonts w:ascii="Times New Roman" w:eastAsia="仿宋" w:hAnsi="Times New Roman"/>
          <w:bCs/>
          <w:sz w:val="24"/>
        </w:rPr>
      </w:pPr>
      <w:r>
        <w:rPr>
          <w:rFonts w:ascii="Times New Roman" w:eastAsia="仿宋" w:hAnsi="Times New Roman"/>
          <w:bCs/>
          <w:sz w:val="24"/>
        </w:rPr>
        <w:t>灌浆料浆体不能出现严重的离析泌水，否则会影响浆体强度的均匀性。经过试验研究，灌浆料的自由泌水率指标控制在不大于</w:t>
      </w:r>
      <w:r>
        <w:rPr>
          <w:rFonts w:ascii="Times New Roman" w:eastAsia="仿宋" w:hAnsi="Times New Roman"/>
          <w:bCs/>
          <w:sz w:val="24"/>
        </w:rPr>
        <w:t>1%</w:t>
      </w:r>
      <w:r>
        <w:rPr>
          <w:rFonts w:ascii="Times New Roman" w:eastAsia="仿宋" w:hAnsi="Times New Roman"/>
          <w:bCs/>
          <w:sz w:val="24"/>
        </w:rPr>
        <w:t>。</w:t>
      </w:r>
    </w:p>
    <w:p w:rsidR="00651181" w:rsidRDefault="00027E46">
      <w:pPr>
        <w:tabs>
          <w:tab w:val="left" w:pos="720"/>
        </w:tabs>
        <w:spacing w:line="360" w:lineRule="auto"/>
        <w:ind w:firstLineChars="200" w:firstLine="480"/>
        <w:rPr>
          <w:rFonts w:ascii="Times New Roman" w:eastAsia="仿宋" w:hAnsi="Times New Roman"/>
          <w:bCs/>
          <w:sz w:val="24"/>
        </w:rPr>
      </w:pPr>
      <w:r>
        <w:rPr>
          <w:rFonts w:ascii="Times New Roman" w:eastAsia="仿宋" w:hAnsi="Times New Roman"/>
          <w:bCs/>
          <w:sz w:val="24"/>
        </w:rPr>
        <w:t>根据强度发展的不同，灌浆式半柔性路面所用灌浆料分为普通型灌浆料和早强型灌浆料两类，普通型灌浆料要求</w:t>
      </w:r>
      <w:r>
        <w:rPr>
          <w:rFonts w:ascii="Times New Roman" w:eastAsia="仿宋" w:hAnsi="Times New Roman"/>
          <w:bCs/>
          <w:sz w:val="24"/>
        </w:rPr>
        <w:t>1d</w:t>
      </w:r>
      <w:r>
        <w:rPr>
          <w:rFonts w:ascii="Times New Roman" w:eastAsia="仿宋" w:hAnsi="Times New Roman"/>
          <w:bCs/>
          <w:sz w:val="24"/>
        </w:rPr>
        <w:t>抗压强度不小于</w:t>
      </w:r>
      <w:r>
        <w:rPr>
          <w:rFonts w:ascii="Times New Roman" w:eastAsia="仿宋" w:hAnsi="Times New Roman"/>
          <w:bCs/>
          <w:sz w:val="24"/>
        </w:rPr>
        <w:t>10MPa</w:t>
      </w:r>
      <w:r>
        <w:rPr>
          <w:rFonts w:ascii="Times New Roman" w:eastAsia="仿宋" w:hAnsi="Times New Roman"/>
          <w:bCs/>
          <w:sz w:val="24"/>
        </w:rPr>
        <w:t>，早强型灌浆料要求</w:t>
      </w:r>
      <w:r>
        <w:rPr>
          <w:rFonts w:ascii="Times New Roman" w:eastAsia="仿宋" w:hAnsi="Times New Roman"/>
          <w:bCs/>
          <w:sz w:val="24"/>
        </w:rPr>
        <w:t>3h</w:t>
      </w:r>
      <w:r>
        <w:rPr>
          <w:rFonts w:ascii="Times New Roman" w:eastAsia="仿宋" w:hAnsi="Times New Roman"/>
          <w:bCs/>
          <w:sz w:val="24"/>
        </w:rPr>
        <w:t>抗压强度不小于</w:t>
      </w:r>
      <w:r>
        <w:rPr>
          <w:rFonts w:ascii="Times New Roman" w:eastAsia="仿宋" w:hAnsi="Times New Roman"/>
          <w:bCs/>
          <w:sz w:val="24"/>
        </w:rPr>
        <w:t>10MPa</w:t>
      </w:r>
      <w:r>
        <w:rPr>
          <w:rFonts w:ascii="Times New Roman" w:eastAsia="仿宋" w:hAnsi="Times New Roman"/>
          <w:bCs/>
          <w:sz w:val="24"/>
        </w:rPr>
        <w:t>，可以满足不同工程开放交通的需求。</w:t>
      </w:r>
    </w:p>
    <w:p w:rsidR="00651181" w:rsidRDefault="00027E46">
      <w:pPr>
        <w:tabs>
          <w:tab w:val="left" w:pos="720"/>
        </w:tabs>
        <w:spacing w:line="360" w:lineRule="auto"/>
        <w:ind w:firstLineChars="200" w:firstLine="482"/>
        <w:rPr>
          <w:rFonts w:ascii="Times New Roman" w:eastAsia="仿宋" w:hAnsi="Times New Roman"/>
          <w:b/>
          <w:sz w:val="24"/>
        </w:rPr>
      </w:pPr>
      <w:r>
        <w:rPr>
          <w:rFonts w:ascii="Times New Roman" w:eastAsia="仿宋" w:hAnsi="Times New Roman"/>
          <w:b/>
          <w:sz w:val="24"/>
        </w:rPr>
        <w:t>（</w:t>
      </w:r>
      <w:r>
        <w:rPr>
          <w:rFonts w:ascii="Times New Roman" w:eastAsia="仿宋" w:hAnsi="Times New Roman"/>
          <w:b/>
          <w:sz w:val="24"/>
        </w:rPr>
        <w:t>3</w:t>
      </w:r>
      <w:r>
        <w:rPr>
          <w:rFonts w:ascii="Times New Roman" w:eastAsia="仿宋" w:hAnsi="Times New Roman"/>
          <w:b/>
          <w:sz w:val="24"/>
        </w:rPr>
        <w:t>）基体沥青混</w:t>
      </w:r>
      <w:r>
        <w:rPr>
          <w:rFonts w:ascii="Times New Roman" w:eastAsia="仿宋" w:hAnsi="Times New Roman"/>
          <w:b/>
          <w:sz w:val="24"/>
        </w:rPr>
        <w:t>合料配合比设计</w:t>
      </w:r>
      <w:bookmarkEnd w:id="15"/>
      <w:bookmarkEnd w:id="16"/>
      <w:bookmarkEnd w:id="17"/>
      <w:bookmarkEnd w:id="18"/>
      <w:bookmarkEnd w:id="19"/>
      <w:r>
        <w:rPr>
          <w:rFonts w:ascii="Times New Roman" w:eastAsia="仿宋" w:hAnsi="Times New Roman"/>
          <w:b/>
          <w:sz w:val="24"/>
        </w:rPr>
        <w:t>和性能要求</w:t>
      </w:r>
    </w:p>
    <w:p w:rsidR="00651181" w:rsidRDefault="00027E46">
      <w:pPr>
        <w:tabs>
          <w:tab w:val="left" w:pos="720"/>
        </w:tabs>
        <w:spacing w:line="360" w:lineRule="auto"/>
        <w:ind w:firstLineChars="200" w:firstLine="480"/>
        <w:rPr>
          <w:rFonts w:ascii="Times New Roman" w:eastAsia="仿宋" w:hAnsi="Times New Roman"/>
          <w:bCs/>
          <w:sz w:val="24"/>
        </w:rPr>
      </w:pPr>
      <w:r>
        <w:rPr>
          <w:rFonts w:ascii="Times New Roman" w:eastAsia="仿宋" w:hAnsi="Times New Roman"/>
          <w:bCs/>
          <w:sz w:val="24"/>
        </w:rPr>
        <w:t>关于马歇尔稳定度、飞散损失技术指标，行业标准《排水沥青路面设计与施工技术规范》</w:t>
      </w:r>
      <w:r>
        <w:rPr>
          <w:rFonts w:ascii="Times New Roman" w:eastAsia="仿宋" w:hAnsi="Times New Roman"/>
          <w:bCs/>
          <w:sz w:val="24"/>
        </w:rPr>
        <w:t>JTG /T 3350-03-2020</w:t>
      </w:r>
      <w:r>
        <w:rPr>
          <w:rFonts w:ascii="Times New Roman" w:eastAsia="仿宋" w:hAnsi="Times New Roman"/>
          <w:bCs/>
          <w:sz w:val="24"/>
        </w:rPr>
        <w:t>规定排水沥青混合料马歇尔稳定度不小于</w:t>
      </w:r>
      <w:r>
        <w:rPr>
          <w:rFonts w:ascii="Times New Roman" w:eastAsia="仿宋" w:hAnsi="Times New Roman"/>
          <w:bCs/>
          <w:sz w:val="24"/>
        </w:rPr>
        <w:t>5kN</w:t>
      </w:r>
      <w:r>
        <w:rPr>
          <w:rFonts w:ascii="Times New Roman" w:eastAsia="仿宋" w:hAnsi="Times New Roman"/>
          <w:bCs/>
          <w:sz w:val="24"/>
        </w:rPr>
        <w:t>、飞散损失不大于</w:t>
      </w:r>
      <w:r>
        <w:rPr>
          <w:rFonts w:ascii="Times New Roman" w:eastAsia="仿宋" w:hAnsi="Times New Roman"/>
          <w:bCs/>
          <w:sz w:val="24"/>
        </w:rPr>
        <w:t>15%</w:t>
      </w:r>
      <w:r>
        <w:rPr>
          <w:rFonts w:ascii="Times New Roman" w:eastAsia="仿宋" w:hAnsi="Times New Roman"/>
          <w:bCs/>
          <w:sz w:val="24"/>
        </w:rPr>
        <w:t>。而本规程中，由于灌注前基体沥青混合料不直接承受交通荷载，根据试验研究和工程经验，基体沥青混合料的马歇尔稳定度、飞散损失等部分性能指标与排水沥青混合料的指标相比可适当放宽。</w:t>
      </w:r>
    </w:p>
    <w:p w:rsidR="00651181" w:rsidRDefault="00027E46">
      <w:pPr>
        <w:tabs>
          <w:tab w:val="left" w:pos="720"/>
        </w:tabs>
        <w:spacing w:line="360" w:lineRule="auto"/>
        <w:ind w:firstLineChars="200" w:firstLine="480"/>
        <w:rPr>
          <w:rFonts w:ascii="Times New Roman" w:eastAsia="仿宋" w:hAnsi="Times New Roman"/>
          <w:bCs/>
          <w:sz w:val="24"/>
        </w:rPr>
      </w:pPr>
      <w:r>
        <w:rPr>
          <w:rFonts w:ascii="Times New Roman" w:eastAsia="仿宋" w:hAnsi="Times New Roman"/>
          <w:bCs/>
          <w:sz w:val="24"/>
        </w:rPr>
        <w:t>关于析漏损失技术指标，行业标准《公路沥青路面施工技术规范》</w:t>
      </w:r>
      <w:r>
        <w:rPr>
          <w:rFonts w:ascii="Times New Roman" w:eastAsia="仿宋" w:hAnsi="Times New Roman"/>
          <w:bCs/>
          <w:sz w:val="24"/>
        </w:rPr>
        <w:t>JTG F40-2004</w:t>
      </w:r>
      <w:r>
        <w:rPr>
          <w:rFonts w:ascii="Times New Roman" w:eastAsia="仿宋" w:hAnsi="Times New Roman"/>
          <w:bCs/>
          <w:sz w:val="24"/>
        </w:rPr>
        <w:t>规定排水沥青混合料析漏损失小于</w:t>
      </w:r>
      <w:r>
        <w:rPr>
          <w:rFonts w:ascii="Times New Roman" w:eastAsia="仿宋" w:hAnsi="Times New Roman"/>
          <w:bCs/>
          <w:sz w:val="24"/>
        </w:rPr>
        <w:t>0.3%</w:t>
      </w:r>
      <w:r>
        <w:rPr>
          <w:rFonts w:ascii="Times New Roman" w:eastAsia="仿宋" w:hAnsi="Times New Roman"/>
          <w:bCs/>
          <w:sz w:val="24"/>
        </w:rPr>
        <w:t>，行业标准《</w:t>
      </w:r>
      <w:r>
        <w:rPr>
          <w:rFonts w:ascii="Times New Roman" w:eastAsia="仿宋" w:hAnsi="Times New Roman"/>
          <w:bCs/>
          <w:sz w:val="24"/>
        </w:rPr>
        <w:t>排水沥青路面设计与施工技术规范》</w:t>
      </w:r>
      <w:r>
        <w:rPr>
          <w:rFonts w:ascii="Times New Roman" w:eastAsia="仿宋" w:hAnsi="Times New Roman"/>
          <w:bCs/>
          <w:sz w:val="24"/>
        </w:rPr>
        <w:t>JTG /T 3350-03-2020</w:t>
      </w:r>
      <w:r>
        <w:rPr>
          <w:rFonts w:ascii="Times New Roman" w:eastAsia="仿宋" w:hAnsi="Times New Roman"/>
          <w:bCs/>
          <w:sz w:val="24"/>
        </w:rPr>
        <w:t>规定排水沥青混合料析漏损失不大于</w:t>
      </w:r>
      <w:r>
        <w:rPr>
          <w:rFonts w:ascii="Times New Roman" w:eastAsia="仿宋" w:hAnsi="Times New Roman"/>
          <w:bCs/>
          <w:sz w:val="24"/>
        </w:rPr>
        <w:t>0.8%</w:t>
      </w:r>
      <w:r>
        <w:rPr>
          <w:rFonts w:ascii="Times New Roman" w:eastAsia="仿宋" w:hAnsi="Times New Roman"/>
          <w:bCs/>
          <w:sz w:val="24"/>
        </w:rPr>
        <w:t>。根据灌浆式半柔性路面材料试验研究和工程实践，本规程将基体沥青混合料的析漏损失指标技术指标定为不大于</w:t>
      </w:r>
      <w:r>
        <w:rPr>
          <w:rFonts w:ascii="Times New Roman" w:eastAsia="仿宋" w:hAnsi="Times New Roman"/>
          <w:bCs/>
          <w:sz w:val="24"/>
        </w:rPr>
        <w:t>0.5%</w:t>
      </w:r>
      <w:r>
        <w:rPr>
          <w:rFonts w:ascii="Times New Roman" w:eastAsia="仿宋" w:hAnsi="Times New Roman"/>
          <w:bCs/>
          <w:sz w:val="24"/>
        </w:rPr>
        <w:t>。</w:t>
      </w:r>
    </w:p>
    <w:p w:rsidR="00651181" w:rsidRDefault="00027E46">
      <w:pPr>
        <w:numPr>
          <w:ilvl w:val="0"/>
          <w:numId w:val="3"/>
        </w:numPr>
        <w:spacing w:line="360" w:lineRule="auto"/>
        <w:outlineLvl w:val="0"/>
        <w:rPr>
          <w:rFonts w:ascii="Times New Roman" w:eastAsia="黑体" w:hAnsi="Times New Roman"/>
          <w:color w:val="000000"/>
          <w:spacing w:val="8"/>
          <w:sz w:val="28"/>
          <w:szCs w:val="28"/>
        </w:rPr>
      </w:pPr>
      <w:bookmarkStart w:id="21" w:name="_Toc17682"/>
      <w:r>
        <w:rPr>
          <w:rFonts w:ascii="Times New Roman" w:eastAsia="黑体" w:hAnsi="Times New Roman"/>
          <w:color w:val="000000"/>
          <w:spacing w:val="8"/>
          <w:sz w:val="28"/>
          <w:szCs w:val="28"/>
        </w:rPr>
        <w:t>主要试验（或验证）分析报告</w:t>
      </w:r>
      <w:bookmarkEnd w:id="21"/>
    </w:p>
    <w:p w:rsidR="00651181" w:rsidRDefault="00027E46">
      <w:pPr>
        <w:tabs>
          <w:tab w:val="left" w:pos="720"/>
        </w:tabs>
        <w:spacing w:line="360" w:lineRule="auto"/>
        <w:ind w:firstLineChars="200" w:firstLine="480"/>
        <w:rPr>
          <w:rFonts w:ascii="Times New Roman" w:eastAsia="仿宋" w:hAnsi="Times New Roman"/>
          <w:bCs/>
          <w:sz w:val="24"/>
        </w:rPr>
      </w:pPr>
      <w:r>
        <w:rPr>
          <w:rFonts w:ascii="Times New Roman" w:eastAsia="仿宋" w:hAnsi="Times New Roman"/>
          <w:bCs/>
          <w:sz w:val="24"/>
        </w:rPr>
        <w:t>基于工程实践和专项研究，对灌浆式半柔性路面一些关键的材料性能指标、路面组合结构设计、路面验收指标进行了验证，如基体大空隙沥青混合料的级配范围、路面抗车辙最优组合结构、开放交通灌浆料强度要求、低温弯曲破坏应变、灌浆饱满度等。</w:t>
      </w:r>
      <w:r>
        <w:rPr>
          <w:rFonts w:ascii="Times New Roman" w:eastAsia="仿宋" w:hAnsi="Times New Roman"/>
          <w:bCs/>
          <w:sz w:val="24"/>
        </w:rPr>
        <w:t xml:space="preserve"> </w:t>
      </w:r>
    </w:p>
    <w:p w:rsidR="00651181" w:rsidRDefault="00027E46">
      <w:pPr>
        <w:tabs>
          <w:tab w:val="left" w:pos="720"/>
        </w:tabs>
        <w:spacing w:line="360" w:lineRule="auto"/>
        <w:ind w:firstLineChars="200" w:firstLine="482"/>
        <w:rPr>
          <w:rFonts w:ascii="Times New Roman" w:eastAsia="仿宋" w:hAnsi="Times New Roman"/>
          <w:b/>
          <w:sz w:val="24"/>
        </w:rPr>
      </w:pPr>
      <w:r>
        <w:rPr>
          <w:rFonts w:ascii="Times New Roman" w:eastAsia="仿宋" w:hAnsi="Times New Roman"/>
          <w:b/>
          <w:sz w:val="24"/>
        </w:rPr>
        <w:t>（</w:t>
      </w:r>
      <w:r>
        <w:rPr>
          <w:rFonts w:ascii="Times New Roman" w:eastAsia="仿宋" w:hAnsi="Times New Roman"/>
          <w:b/>
          <w:sz w:val="24"/>
        </w:rPr>
        <w:t>1</w:t>
      </w:r>
      <w:r>
        <w:rPr>
          <w:rFonts w:ascii="Times New Roman" w:eastAsia="仿宋" w:hAnsi="Times New Roman"/>
          <w:b/>
          <w:sz w:val="24"/>
        </w:rPr>
        <w:t>）基体大空隙沥青混合料的级配试验验证</w:t>
      </w:r>
    </w:p>
    <w:p w:rsidR="00651181" w:rsidRDefault="00027E46">
      <w:pPr>
        <w:tabs>
          <w:tab w:val="left" w:pos="720"/>
        </w:tabs>
        <w:spacing w:line="360" w:lineRule="auto"/>
        <w:ind w:firstLineChars="200" w:firstLine="480"/>
        <w:rPr>
          <w:rFonts w:ascii="Times New Roman" w:eastAsia="仿宋" w:hAnsi="Times New Roman"/>
          <w:bCs/>
          <w:sz w:val="24"/>
        </w:rPr>
      </w:pPr>
      <w:r>
        <w:rPr>
          <w:rFonts w:ascii="Times New Roman" w:eastAsia="仿宋" w:hAnsi="Times New Roman"/>
          <w:bCs/>
          <w:sz w:val="24"/>
        </w:rPr>
        <w:t>在基体大空隙沥青混合料的级配范围的试验验证过程中，通过对近</w:t>
      </w:r>
      <w:r>
        <w:rPr>
          <w:rFonts w:ascii="Times New Roman" w:eastAsia="仿宋" w:hAnsi="Times New Roman"/>
          <w:bCs/>
          <w:sz w:val="24"/>
        </w:rPr>
        <w:t>65</w:t>
      </w:r>
      <w:r>
        <w:rPr>
          <w:rFonts w:ascii="Times New Roman" w:eastAsia="仿宋" w:hAnsi="Times New Roman"/>
          <w:bCs/>
          <w:sz w:val="24"/>
        </w:rPr>
        <w:t>个灌浆式半柔性路面实际工程中基体大空隙沥青混合料的配合比设计过程的级配曲线、连通空隙率等性能数据的统计分析，最终确定了适宜的级配范围区间，如下表所示。</w:t>
      </w:r>
    </w:p>
    <w:p w:rsidR="00651181" w:rsidRDefault="00651181">
      <w:pPr>
        <w:tabs>
          <w:tab w:val="left" w:pos="720"/>
        </w:tabs>
        <w:spacing w:line="360" w:lineRule="auto"/>
        <w:ind w:firstLineChars="200" w:firstLine="480"/>
        <w:rPr>
          <w:rFonts w:ascii="Times New Roman" w:eastAsia="仿宋" w:hAnsi="Times New Roman"/>
          <w:bCs/>
          <w:sz w:val="24"/>
        </w:rPr>
      </w:pPr>
    </w:p>
    <w:p w:rsidR="00651181" w:rsidRDefault="00027E46">
      <w:pPr>
        <w:pStyle w:val="af2"/>
        <w:spacing w:before="156"/>
        <w:rPr>
          <w:rFonts w:ascii="Times New Roman" w:eastAsia="仿宋" w:hAnsi="Times New Roman" w:cs="Times New Roman"/>
          <w:b w:val="0"/>
          <w:bCs/>
          <w:color w:val="000000"/>
          <w:sz w:val="21"/>
          <w:szCs w:val="21"/>
        </w:rPr>
      </w:pPr>
      <w:r>
        <w:rPr>
          <w:rFonts w:ascii="Times New Roman" w:eastAsia="仿宋" w:hAnsi="Times New Roman" w:cs="Times New Roman"/>
          <w:b w:val="0"/>
          <w:bCs/>
          <w:color w:val="000000"/>
          <w:sz w:val="21"/>
          <w:szCs w:val="21"/>
        </w:rPr>
        <w:lastRenderedPageBreak/>
        <w:t>表</w:t>
      </w:r>
      <w:r>
        <w:rPr>
          <w:rFonts w:ascii="Times New Roman" w:eastAsia="仿宋" w:hAnsi="Times New Roman" w:cs="Times New Roman"/>
          <w:b w:val="0"/>
          <w:bCs/>
          <w:color w:val="000000"/>
          <w:sz w:val="21"/>
          <w:szCs w:val="21"/>
        </w:rPr>
        <w:t xml:space="preserve">1 </w:t>
      </w:r>
      <w:r>
        <w:rPr>
          <w:rFonts w:ascii="Times New Roman" w:eastAsia="仿宋" w:hAnsi="Times New Roman" w:cs="Times New Roman"/>
          <w:b w:val="0"/>
          <w:bCs/>
          <w:color w:val="000000"/>
          <w:sz w:val="21"/>
          <w:szCs w:val="21"/>
        </w:rPr>
        <w:t>半柔基体大空隙沥青混合料矿料级配范围</w:t>
      </w:r>
    </w:p>
    <w:tbl>
      <w:tblPr>
        <w:tblW w:w="10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3"/>
        <w:gridCol w:w="568"/>
        <w:gridCol w:w="852"/>
        <w:gridCol w:w="851"/>
        <w:gridCol w:w="851"/>
        <w:gridCol w:w="781"/>
        <w:gridCol w:w="851"/>
        <w:gridCol w:w="850"/>
        <w:gridCol w:w="709"/>
        <w:gridCol w:w="709"/>
        <w:gridCol w:w="663"/>
        <w:gridCol w:w="657"/>
        <w:gridCol w:w="750"/>
      </w:tblGrid>
      <w:tr w:rsidR="00651181">
        <w:trPr>
          <w:trHeight w:val="374"/>
          <w:jc w:val="center"/>
        </w:trPr>
        <w:tc>
          <w:tcPr>
            <w:tcW w:w="1063" w:type="dxa"/>
            <w:vMerge w:val="restart"/>
            <w:tcBorders>
              <w:top w:val="single" w:sz="4" w:space="0" w:color="auto"/>
              <w:left w:val="single" w:sz="4" w:space="0" w:color="auto"/>
              <w:bottom w:val="single" w:sz="4" w:space="0" w:color="auto"/>
              <w:right w:val="single" w:sz="4" w:space="0" w:color="auto"/>
            </w:tcBorders>
            <w:vAlign w:val="center"/>
          </w:tcPr>
          <w:p w:rsidR="00651181" w:rsidRDefault="00027E46">
            <w:pPr>
              <w:spacing w:line="400" w:lineRule="exact"/>
              <w:jc w:val="center"/>
              <w:rPr>
                <w:rFonts w:ascii="Times New Roman" w:hAnsi="Times New Roman"/>
                <w:color w:val="000000"/>
                <w:szCs w:val="21"/>
              </w:rPr>
            </w:pPr>
            <w:r>
              <w:rPr>
                <w:rFonts w:ascii="Times New Roman" w:hAnsi="Times New Roman"/>
                <w:color w:val="000000"/>
                <w:szCs w:val="21"/>
              </w:rPr>
              <w:t>级配</w:t>
            </w:r>
          </w:p>
          <w:p w:rsidR="00651181" w:rsidRDefault="00027E46">
            <w:pPr>
              <w:spacing w:line="400" w:lineRule="exact"/>
              <w:jc w:val="center"/>
              <w:rPr>
                <w:rFonts w:ascii="Times New Roman" w:hAnsi="Times New Roman"/>
                <w:color w:val="000000"/>
                <w:szCs w:val="21"/>
              </w:rPr>
            </w:pPr>
            <w:r>
              <w:rPr>
                <w:rFonts w:ascii="Times New Roman" w:hAnsi="Times New Roman"/>
                <w:color w:val="000000"/>
                <w:szCs w:val="21"/>
              </w:rPr>
              <w:t>类型</w:t>
            </w:r>
          </w:p>
        </w:tc>
        <w:tc>
          <w:tcPr>
            <w:tcW w:w="9092" w:type="dxa"/>
            <w:gridSpan w:val="12"/>
            <w:tcBorders>
              <w:top w:val="single" w:sz="4" w:space="0" w:color="auto"/>
              <w:left w:val="single" w:sz="4" w:space="0" w:color="auto"/>
              <w:bottom w:val="single" w:sz="4" w:space="0" w:color="auto"/>
              <w:right w:val="single" w:sz="4" w:space="0" w:color="auto"/>
            </w:tcBorders>
          </w:tcPr>
          <w:p w:rsidR="00651181" w:rsidRDefault="00027E46">
            <w:pPr>
              <w:spacing w:line="400" w:lineRule="exact"/>
              <w:jc w:val="center"/>
              <w:rPr>
                <w:rFonts w:ascii="Times New Roman" w:hAnsi="Times New Roman"/>
                <w:color w:val="000000"/>
                <w:szCs w:val="21"/>
              </w:rPr>
            </w:pPr>
            <w:r>
              <w:rPr>
                <w:rFonts w:ascii="Times New Roman" w:hAnsi="Times New Roman"/>
                <w:color w:val="000000"/>
                <w:szCs w:val="21"/>
              </w:rPr>
              <w:t>通过下列筛孔（</w:t>
            </w:r>
            <w:r>
              <w:rPr>
                <w:rFonts w:ascii="Times New Roman" w:hAnsi="Times New Roman"/>
                <w:color w:val="000000"/>
                <w:szCs w:val="21"/>
              </w:rPr>
              <w:t>mm</w:t>
            </w:r>
            <w:r>
              <w:rPr>
                <w:rFonts w:ascii="Times New Roman" w:hAnsi="Times New Roman"/>
                <w:color w:val="000000"/>
                <w:szCs w:val="21"/>
              </w:rPr>
              <w:t>）的质量百分率（</w:t>
            </w:r>
            <w:r>
              <w:rPr>
                <w:rFonts w:ascii="Times New Roman" w:hAnsi="Times New Roman"/>
                <w:color w:val="000000"/>
                <w:szCs w:val="21"/>
              </w:rPr>
              <w:t>%</w:t>
            </w:r>
            <w:r>
              <w:rPr>
                <w:rFonts w:ascii="Times New Roman" w:hAnsi="Times New Roman"/>
                <w:color w:val="000000"/>
                <w:szCs w:val="21"/>
              </w:rPr>
              <w:t>）</w:t>
            </w:r>
          </w:p>
        </w:tc>
      </w:tr>
      <w:tr w:rsidR="00651181">
        <w:trPr>
          <w:trHeight w:val="374"/>
          <w:jc w:val="center"/>
        </w:trPr>
        <w:tc>
          <w:tcPr>
            <w:tcW w:w="1063" w:type="dxa"/>
            <w:vMerge/>
            <w:tcBorders>
              <w:top w:val="single" w:sz="4" w:space="0" w:color="auto"/>
              <w:left w:val="single" w:sz="4" w:space="0" w:color="auto"/>
              <w:bottom w:val="single" w:sz="4" w:space="0" w:color="auto"/>
              <w:right w:val="single" w:sz="4" w:space="0" w:color="auto"/>
            </w:tcBorders>
            <w:vAlign w:val="center"/>
          </w:tcPr>
          <w:p w:rsidR="00651181" w:rsidRDefault="00651181">
            <w:pPr>
              <w:widowControl/>
              <w:jc w:val="left"/>
              <w:rPr>
                <w:rFonts w:ascii="Times New Roman" w:hAnsi="Times New Roman"/>
                <w:color w:val="000000"/>
                <w:szCs w:val="21"/>
              </w:rPr>
            </w:pPr>
          </w:p>
        </w:tc>
        <w:tc>
          <w:tcPr>
            <w:tcW w:w="568" w:type="dxa"/>
            <w:tcBorders>
              <w:top w:val="single" w:sz="4" w:space="0" w:color="auto"/>
              <w:left w:val="single" w:sz="4" w:space="0" w:color="auto"/>
              <w:bottom w:val="single" w:sz="4" w:space="0" w:color="auto"/>
              <w:right w:val="single" w:sz="4" w:space="0" w:color="auto"/>
            </w:tcBorders>
            <w:vAlign w:val="center"/>
          </w:tcPr>
          <w:p w:rsidR="00651181" w:rsidRDefault="00027E46">
            <w:pPr>
              <w:jc w:val="center"/>
              <w:rPr>
                <w:rFonts w:ascii="Times New Roman" w:hAnsi="Times New Roman"/>
                <w:color w:val="000000"/>
                <w:sz w:val="18"/>
                <w:szCs w:val="18"/>
              </w:rPr>
            </w:pPr>
            <w:r>
              <w:rPr>
                <w:rFonts w:ascii="Times New Roman" w:hAnsi="Times New Roman"/>
                <w:color w:val="000000"/>
                <w:sz w:val="18"/>
                <w:szCs w:val="18"/>
              </w:rPr>
              <w:t>26.5</w:t>
            </w:r>
          </w:p>
        </w:tc>
        <w:tc>
          <w:tcPr>
            <w:tcW w:w="852" w:type="dxa"/>
            <w:tcBorders>
              <w:top w:val="single" w:sz="4" w:space="0" w:color="auto"/>
              <w:left w:val="single" w:sz="4" w:space="0" w:color="auto"/>
              <w:bottom w:val="single" w:sz="4" w:space="0" w:color="auto"/>
              <w:right w:val="single" w:sz="4" w:space="0" w:color="auto"/>
            </w:tcBorders>
            <w:vAlign w:val="center"/>
          </w:tcPr>
          <w:p w:rsidR="00651181" w:rsidRDefault="00027E46">
            <w:pPr>
              <w:jc w:val="center"/>
              <w:rPr>
                <w:rFonts w:ascii="Times New Roman" w:hAnsi="Times New Roman"/>
                <w:color w:val="000000"/>
                <w:sz w:val="18"/>
                <w:szCs w:val="18"/>
              </w:rPr>
            </w:pPr>
            <w:r>
              <w:rPr>
                <w:rFonts w:ascii="Times New Roman" w:hAnsi="Times New Roman"/>
                <w:color w:val="000000"/>
                <w:sz w:val="18"/>
                <w:szCs w:val="18"/>
              </w:rPr>
              <w:t>19</w:t>
            </w:r>
          </w:p>
        </w:tc>
        <w:tc>
          <w:tcPr>
            <w:tcW w:w="851" w:type="dxa"/>
            <w:tcBorders>
              <w:top w:val="single" w:sz="4" w:space="0" w:color="auto"/>
              <w:left w:val="single" w:sz="4" w:space="0" w:color="auto"/>
              <w:bottom w:val="single" w:sz="4" w:space="0" w:color="auto"/>
              <w:right w:val="single" w:sz="4" w:space="0" w:color="auto"/>
            </w:tcBorders>
            <w:vAlign w:val="center"/>
          </w:tcPr>
          <w:p w:rsidR="00651181" w:rsidRDefault="00027E46">
            <w:pPr>
              <w:jc w:val="center"/>
              <w:rPr>
                <w:rFonts w:ascii="Times New Roman" w:hAnsi="Times New Roman"/>
                <w:color w:val="000000"/>
                <w:sz w:val="18"/>
                <w:szCs w:val="18"/>
              </w:rPr>
            </w:pPr>
            <w:r>
              <w:rPr>
                <w:rFonts w:ascii="Times New Roman" w:hAnsi="Times New Roman"/>
                <w:color w:val="000000"/>
                <w:sz w:val="18"/>
                <w:szCs w:val="18"/>
              </w:rPr>
              <w:t>16</w:t>
            </w:r>
          </w:p>
        </w:tc>
        <w:tc>
          <w:tcPr>
            <w:tcW w:w="851" w:type="dxa"/>
            <w:tcBorders>
              <w:top w:val="single" w:sz="4" w:space="0" w:color="auto"/>
              <w:left w:val="single" w:sz="4" w:space="0" w:color="auto"/>
              <w:bottom w:val="single" w:sz="4" w:space="0" w:color="auto"/>
              <w:right w:val="single" w:sz="4" w:space="0" w:color="auto"/>
            </w:tcBorders>
            <w:vAlign w:val="center"/>
          </w:tcPr>
          <w:p w:rsidR="00651181" w:rsidRDefault="00027E46">
            <w:pPr>
              <w:jc w:val="center"/>
              <w:rPr>
                <w:rFonts w:ascii="Times New Roman" w:hAnsi="Times New Roman"/>
                <w:color w:val="000000"/>
                <w:sz w:val="18"/>
                <w:szCs w:val="18"/>
              </w:rPr>
            </w:pPr>
            <w:r>
              <w:rPr>
                <w:rFonts w:ascii="Times New Roman" w:hAnsi="Times New Roman"/>
                <w:color w:val="000000"/>
                <w:sz w:val="18"/>
                <w:szCs w:val="18"/>
              </w:rPr>
              <w:t>13.2</w:t>
            </w:r>
          </w:p>
        </w:tc>
        <w:tc>
          <w:tcPr>
            <w:tcW w:w="781" w:type="dxa"/>
            <w:tcBorders>
              <w:top w:val="single" w:sz="4" w:space="0" w:color="auto"/>
              <w:left w:val="single" w:sz="4" w:space="0" w:color="auto"/>
              <w:bottom w:val="single" w:sz="4" w:space="0" w:color="auto"/>
              <w:right w:val="single" w:sz="4" w:space="0" w:color="auto"/>
            </w:tcBorders>
            <w:vAlign w:val="center"/>
          </w:tcPr>
          <w:p w:rsidR="00651181" w:rsidRDefault="00027E46">
            <w:pPr>
              <w:jc w:val="center"/>
              <w:rPr>
                <w:rFonts w:ascii="Times New Roman" w:hAnsi="Times New Roman"/>
                <w:color w:val="000000"/>
                <w:sz w:val="18"/>
                <w:szCs w:val="18"/>
              </w:rPr>
            </w:pPr>
            <w:r>
              <w:rPr>
                <w:rFonts w:ascii="Times New Roman" w:hAnsi="Times New Roman"/>
                <w:color w:val="000000"/>
                <w:sz w:val="18"/>
                <w:szCs w:val="18"/>
              </w:rPr>
              <w:t>9.5</w:t>
            </w:r>
          </w:p>
        </w:tc>
        <w:tc>
          <w:tcPr>
            <w:tcW w:w="851" w:type="dxa"/>
            <w:tcBorders>
              <w:top w:val="single" w:sz="4" w:space="0" w:color="auto"/>
              <w:left w:val="single" w:sz="4" w:space="0" w:color="auto"/>
              <w:bottom w:val="single" w:sz="4" w:space="0" w:color="auto"/>
              <w:right w:val="single" w:sz="4" w:space="0" w:color="auto"/>
            </w:tcBorders>
            <w:vAlign w:val="center"/>
          </w:tcPr>
          <w:p w:rsidR="00651181" w:rsidRDefault="00027E46">
            <w:pPr>
              <w:jc w:val="center"/>
              <w:rPr>
                <w:rFonts w:ascii="Times New Roman" w:hAnsi="Times New Roman"/>
                <w:color w:val="000000"/>
                <w:sz w:val="18"/>
                <w:szCs w:val="18"/>
              </w:rPr>
            </w:pPr>
            <w:r>
              <w:rPr>
                <w:rFonts w:ascii="Times New Roman" w:hAnsi="Times New Roman"/>
                <w:color w:val="000000"/>
                <w:sz w:val="18"/>
                <w:szCs w:val="18"/>
              </w:rPr>
              <w:t>4.75</w:t>
            </w:r>
          </w:p>
        </w:tc>
        <w:tc>
          <w:tcPr>
            <w:tcW w:w="850" w:type="dxa"/>
            <w:tcBorders>
              <w:top w:val="single" w:sz="4" w:space="0" w:color="auto"/>
              <w:left w:val="single" w:sz="4" w:space="0" w:color="auto"/>
              <w:bottom w:val="single" w:sz="4" w:space="0" w:color="auto"/>
              <w:right w:val="single" w:sz="4" w:space="0" w:color="auto"/>
            </w:tcBorders>
            <w:vAlign w:val="center"/>
          </w:tcPr>
          <w:p w:rsidR="00651181" w:rsidRDefault="00027E46">
            <w:pPr>
              <w:jc w:val="center"/>
              <w:rPr>
                <w:rFonts w:ascii="Times New Roman" w:hAnsi="Times New Roman"/>
                <w:color w:val="000000"/>
                <w:sz w:val="18"/>
                <w:szCs w:val="18"/>
              </w:rPr>
            </w:pPr>
            <w:r>
              <w:rPr>
                <w:rFonts w:ascii="Times New Roman" w:hAnsi="Times New Roman"/>
                <w:color w:val="000000"/>
                <w:sz w:val="18"/>
                <w:szCs w:val="18"/>
              </w:rPr>
              <w:t>2.36</w:t>
            </w:r>
          </w:p>
        </w:tc>
        <w:tc>
          <w:tcPr>
            <w:tcW w:w="709" w:type="dxa"/>
            <w:tcBorders>
              <w:top w:val="single" w:sz="4" w:space="0" w:color="auto"/>
              <w:left w:val="single" w:sz="4" w:space="0" w:color="auto"/>
              <w:bottom w:val="single" w:sz="4" w:space="0" w:color="auto"/>
              <w:right w:val="single" w:sz="4" w:space="0" w:color="auto"/>
            </w:tcBorders>
            <w:vAlign w:val="center"/>
          </w:tcPr>
          <w:p w:rsidR="00651181" w:rsidRDefault="00027E46">
            <w:pPr>
              <w:jc w:val="center"/>
              <w:rPr>
                <w:rFonts w:ascii="Times New Roman" w:hAnsi="Times New Roman"/>
                <w:color w:val="000000"/>
                <w:sz w:val="18"/>
                <w:szCs w:val="18"/>
              </w:rPr>
            </w:pPr>
            <w:r>
              <w:rPr>
                <w:rFonts w:ascii="Times New Roman" w:hAnsi="Times New Roman"/>
                <w:color w:val="000000"/>
                <w:sz w:val="18"/>
                <w:szCs w:val="18"/>
              </w:rPr>
              <w:t>1.18</w:t>
            </w:r>
          </w:p>
        </w:tc>
        <w:tc>
          <w:tcPr>
            <w:tcW w:w="709" w:type="dxa"/>
            <w:tcBorders>
              <w:top w:val="single" w:sz="4" w:space="0" w:color="auto"/>
              <w:left w:val="single" w:sz="4" w:space="0" w:color="auto"/>
              <w:bottom w:val="single" w:sz="4" w:space="0" w:color="auto"/>
              <w:right w:val="single" w:sz="4" w:space="0" w:color="auto"/>
            </w:tcBorders>
            <w:vAlign w:val="center"/>
          </w:tcPr>
          <w:p w:rsidR="00651181" w:rsidRDefault="00027E46">
            <w:pPr>
              <w:jc w:val="center"/>
              <w:rPr>
                <w:rFonts w:ascii="Times New Roman" w:hAnsi="Times New Roman"/>
                <w:color w:val="000000"/>
                <w:sz w:val="18"/>
                <w:szCs w:val="18"/>
              </w:rPr>
            </w:pPr>
            <w:r>
              <w:rPr>
                <w:rFonts w:ascii="Times New Roman" w:hAnsi="Times New Roman"/>
                <w:color w:val="000000"/>
                <w:sz w:val="18"/>
                <w:szCs w:val="18"/>
              </w:rPr>
              <w:t>0.6</w:t>
            </w:r>
          </w:p>
        </w:tc>
        <w:tc>
          <w:tcPr>
            <w:tcW w:w="663" w:type="dxa"/>
            <w:tcBorders>
              <w:top w:val="single" w:sz="4" w:space="0" w:color="auto"/>
              <w:left w:val="single" w:sz="4" w:space="0" w:color="auto"/>
              <w:bottom w:val="single" w:sz="4" w:space="0" w:color="auto"/>
              <w:right w:val="single" w:sz="4" w:space="0" w:color="auto"/>
            </w:tcBorders>
            <w:vAlign w:val="center"/>
          </w:tcPr>
          <w:p w:rsidR="00651181" w:rsidRDefault="00027E46">
            <w:pPr>
              <w:jc w:val="center"/>
              <w:rPr>
                <w:rFonts w:ascii="Times New Roman" w:hAnsi="Times New Roman"/>
                <w:color w:val="000000"/>
                <w:sz w:val="18"/>
                <w:szCs w:val="18"/>
              </w:rPr>
            </w:pPr>
            <w:r>
              <w:rPr>
                <w:rFonts w:ascii="Times New Roman" w:hAnsi="Times New Roman"/>
                <w:color w:val="000000"/>
                <w:sz w:val="18"/>
                <w:szCs w:val="18"/>
              </w:rPr>
              <w:t>0.3</w:t>
            </w:r>
          </w:p>
        </w:tc>
        <w:tc>
          <w:tcPr>
            <w:tcW w:w="657" w:type="dxa"/>
            <w:tcBorders>
              <w:top w:val="single" w:sz="4" w:space="0" w:color="auto"/>
              <w:left w:val="single" w:sz="4" w:space="0" w:color="auto"/>
              <w:bottom w:val="single" w:sz="4" w:space="0" w:color="auto"/>
              <w:right w:val="single" w:sz="4" w:space="0" w:color="auto"/>
            </w:tcBorders>
            <w:vAlign w:val="center"/>
          </w:tcPr>
          <w:p w:rsidR="00651181" w:rsidRDefault="00027E46">
            <w:pPr>
              <w:jc w:val="center"/>
              <w:rPr>
                <w:rFonts w:ascii="Times New Roman" w:hAnsi="Times New Roman"/>
                <w:color w:val="000000"/>
                <w:sz w:val="18"/>
                <w:szCs w:val="18"/>
              </w:rPr>
            </w:pPr>
            <w:r>
              <w:rPr>
                <w:rFonts w:ascii="Times New Roman" w:hAnsi="Times New Roman"/>
                <w:color w:val="000000"/>
                <w:sz w:val="18"/>
                <w:szCs w:val="18"/>
              </w:rPr>
              <w:t>0.15</w:t>
            </w:r>
          </w:p>
        </w:tc>
        <w:tc>
          <w:tcPr>
            <w:tcW w:w="750" w:type="dxa"/>
            <w:tcBorders>
              <w:top w:val="single" w:sz="4" w:space="0" w:color="auto"/>
              <w:left w:val="single" w:sz="4" w:space="0" w:color="auto"/>
              <w:bottom w:val="single" w:sz="4" w:space="0" w:color="auto"/>
              <w:right w:val="single" w:sz="4" w:space="0" w:color="auto"/>
            </w:tcBorders>
            <w:vAlign w:val="center"/>
          </w:tcPr>
          <w:p w:rsidR="00651181" w:rsidRDefault="00027E46">
            <w:pPr>
              <w:jc w:val="center"/>
              <w:rPr>
                <w:rFonts w:ascii="Times New Roman" w:hAnsi="Times New Roman"/>
                <w:color w:val="000000"/>
                <w:sz w:val="18"/>
                <w:szCs w:val="18"/>
              </w:rPr>
            </w:pPr>
            <w:r>
              <w:rPr>
                <w:rFonts w:ascii="Times New Roman" w:hAnsi="Times New Roman"/>
                <w:color w:val="000000"/>
                <w:sz w:val="18"/>
                <w:szCs w:val="18"/>
              </w:rPr>
              <w:t>0.075</w:t>
            </w:r>
          </w:p>
        </w:tc>
      </w:tr>
      <w:tr w:rsidR="00651181">
        <w:trPr>
          <w:trHeight w:val="356"/>
          <w:jc w:val="center"/>
        </w:trPr>
        <w:tc>
          <w:tcPr>
            <w:tcW w:w="1063" w:type="dxa"/>
            <w:tcBorders>
              <w:top w:val="single" w:sz="4" w:space="0" w:color="auto"/>
              <w:left w:val="single" w:sz="4" w:space="0" w:color="auto"/>
              <w:bottom w:val="single" w:sz="4" w:space="0" w:color="auto"/>
              <w:right w:val="single" w:sz="4" w:space="0" w:color="auto"/>
            </w:tcBorders>
            <w:vAlign w:val="center"/>
          </w:tcPr>
          <w:p w:rsidR="00651181" w:rsidRDefault="00027E46">
            <w:pPr>
              <w:spacing w:line="400" w:lineRule="exact"/>
              <w:jc w:val="center"/>
              <w:rPr>
                <w:rFonts w:ascii="Times New Roman" w:hAnsi="Times New Roman"/>
                <w:color w:val="000000"/>
                <w:szCs w:val="21"/>
              </w:rPr>
            </w:pPr>
            <w:r>
              <w:rPr>
                <w:rFonts w:ascii="Times New Roman" w:hAnsi="Times New Roman"/>
                <w:color w:val="000000"/>
                <w:szCs w:val="21"/>
              </w:rPr>
              <w:t>SPAC-13</w:t>
            </w:r>
          </w:p>
        </w:tc>
        <w:tc>
          <w:tcPr>
            <w:tcW w:w="568" w:type="dxa"/>
            <w:tcBorders>
              <w:top w:val="single" w:sz="4" w:space="0" w:color="auto"/>
              <w:left w:val="single" w:sz="4" w:space="0" w:color="auto"/>
              <w:bottom w:val="single" w:sz="4" w:space="0" w:color="auto"/>
              <w:right w:val="single" w:sz="4" w:space="0" w:color="auto"/>
            </w:tcBorders>
            <w:vAlign w:val="center"/>
          </w:tcPr>
          <w:p w:rsidR="00651181" w:rsidRDefault="00027E46">
            <w:pPr>
              <w:jc w:val="center"/>
              <w:rPr>
                <w:rFonts w:ascii="Times New Roman" w:hAnsi="Times New Roman"/>
                <w:color w:val="000000"/>
                <w:sz w:val="18"/>
                <w:szCs w:val="18"/>
              </w:rPr>
            </w:pPr>
            <w:r>
              <w:rPr>
                <w:rFonts w:ascii="Times New Roman" w:hAnsi="Times New Roman"/>
                <w:color w:val="000000"/>
                <w:sz w:val="18"/>
                <w:szCs w:val="18"/>
              </w:rPr>
              <w:t>-</w:t>
            </w:r>
          </w:p>
        </w:tc>
        <w:tc>
          <w:tcPr>
            <w:tcW w:w="852" w:type="dxa"/>
            <w:tcBorders>
              <w:top w:val="single" w:sz="4" w:space="0" w:color="auto"/>
              <w:left w:val="single" w:sz="4" w:space="0" w:color="auto"/>
              <w:bottom w:val="single" w:sz="4" w:space="0" w:color="auto"/>
              <w:right w:val="single" w:sz="4" w:space="0" w:color="auto"/>
            </w:tcBorders>
            <w:vAlign w:val="center"/>
          </w:tcPr>
          <w:p w:rsidR="00651181" w:rsidRDefault="00027E46">
            <w:pPr>
              <w:jc w:val="center"/>
              <w:rPr>
                <w:rFonts w:ascii="Times New Roman" w:hAnsi="Times New Roman"/>
                <w:color w:val="000000"/>
                <w:sz w:val="18"/>
                <w:szCs w:val="18"/>
              </w:rPr>
            </w:pPr>
            <w:r>
              <w:rPr>
                <w:rFonts w:ascii="Times New Roman" w:hAnsi="Times New Roman"/>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651181" w:rsidRDefault="00027E46">
            <w:pPr>
              <w:jc w:val="center"/>
              <w:rPr>
                <w:rFonts w:ascii="Times New Roman" w:hAnsi="Times New Roman"/>
                <w:color w:val="000000"/>
                <w:sz w:val="18"/>
                <w:szCs w:val="18"/>
              </w:rPr>
            </w:pPr>
            <w:r>
              <w:rPr>
                <w:rFonts w:ascii="Times New Roman" w:hAnsi="Times New Roman"/>
                <w:color w:val="000000"/>
                <w:sz w:val="18"/>
                <w:szCs w:val="18"/>
              </w:rPr>
              <w:t>100</w:t>
            </w:r>
          </w:p>
        </w:tc>
        <w:tc>
          <w:tcPr>
            <w:tcW w:w="851" w:type="dxa"/>
            <w:tcBorders>
              <w:top w:val="single" w:sz="4" w:space="0" w:color="auto"/>
              <w:left w:val="single" w:sz="4" w:space="0" w:color="auto"/>
              <w:bottom w:val="single" w:sz="4" w:space="0" w:color="auto"/>
              <w:right w:val="single" w:sz="4" w:space="0" w:color="auto"/>
            </w:tcBorders>
            <w:vAlign w:val="center"/>
          </w:tcPr>
          <w:p w:rsidR="00651181" w:rsidRDefault="00027E46">
            <w:pPr>
              <w:jc w:val="center"/>
              <w:rPr>
                <w:rFonts w:ascii="Times New Roman" w:hAnsi="Times New Roman"/>
                <w:color w:val="000000"/>
                <w:sz w:val="18"/>
                <w:szCs w:val="18"/>
              </w:rPr>
            </w:pPr>
            <w:r>
              <w:rPr>
                <w:rFonts w:ascii="Times New Roman" w:hAnsi="Times New Roman"/>
                <w:color w:val="000000"/>
                <w:sz w:val="18"/>
                <w:szCs w:val="18"/>
              </w:rPr>
              <w:t>70~100</w:t>
            </w:r>
          </w:p>
        </w:tc>
        <w:tc>
          <w:tcPr>
            <w:tcW w:w="781" w:type="dxa"/>
            <w:tcBorders>
              <w:top w:val="single" w:sz="4" w:space="0" w:color="auto"/>
              <w:left w:val="single" w:sz="4" w:space="0" w:color="auto"/>
              <w:bottom w:val="single" w:sz="4" w:space="0" w:color="auto"/>
              <w:right w:val="single" w:sz="4" w:space="0" w:color="auto"/>
            </w:tcBorders>
            <w:vAlign w:val="center"/>
          </w:tcPr>
          <w:p w:rsidR="00651181" w:rsidRDefault="00027E46">
            <w:pPr>
              <w:jc w:val="center"/>
              <w:rPr>
                <w:rFonts w:ascii="Times New Roman" w:hAnsi="Times New Roman"/>
                <w:color w:val="000000"/>
                <w:sz w:val="18"/>
                <w:szCs w:val="18"/>
              </w:rPr>
            </w:pPr>
            <w:r>
              <w:rPr>
                <w:rFonts w:ascii="Times New Roman" w:hAnsi="Times New Roman"/>
                <w:color w:val="000000"/>
                <w:sz w:val="18"/>
                <w:szCs w:val="18"/>
              </w:rPr>
              <w:t>10~50</w:t>
            </w:r>
          </w:p>
        </w:tc>
        <w:tc>
          <w:tcPr>
            <w:tcW w:w="851" w:type="dxa"/>
            <w:tcBorders>
              <w:top w:val="single" w:sz="4" w:space="0" w:color="auto"/>
              <w:left w:val="single" w:sz="4" w:space="0" w:color="auto"/>
              <w:bottom w:val="single" w:sz="4" w:space="0" w:color="auto"/>
              <w:right w:val="single" w:sz="4" w:space="0" w:color="auto"/>
            </w:tcBorders>
            <w:vAlign w:val="center"/>
          </w:tcPr>
          <w:p w:rsidR="00651181" w:rsidRDefault="00027E46">
            <w:pPr>
              <w:jc w:val="center"/>
              <w:rPr>
                <w:rFonts w:ascii="Times New Roman" w:hAnsi="Times New Roman"/>
                <w:color w:val="000000"/>
                <w:sz w:val="18"/>
                <w:szCs w:val="18"/>
              </w:rPr>
            </w:pPr>
            <w:r>
              <w:rPr>
                <w:rFonts w:ascii="Times New Roman" w:hAnsi="Times New Roman"/>
                <w:color w:val="000000"/>
                <w:sz w:val="18"/>
                <w:szCs w:val="18"/>
              </w:rPr>
              <w:t>5~25</w:t>
            </w:r>
          </w:p>
        </w:tc>
        <w:tc>
          <w:tcPr>
            <w:tcW w:w="850" w:type="dxa"/>
            <w:tcBorders>
              <w:top w:val="single" w:sz="4" w:space="0" w:color="auto"/>
              <w:left w:val="single" w:sz="4" w:space="0" w:color="auto"/>
              <w:bottom w:val="single" w:sz="4" w:space="0" w:color="auto"/>
              <w:right w:val="single" w:sz="4" w:space="0" w:color="auto"/>
            </w:tcBorders>
            <w:vAlign w:val="center"/>
          </w:tcPr>
          <w:p w:rsidR="00651181" w:rsidRDefault="00027E46">
            <w:pPr>
              <w:jc w:val="center"/>
              <w:rPr>
                <w:rFonts w:ascii="Times New Roman" w:hAnsi="Times New Roman"/>
                <w:color w:val="000000"/>
                <w:sz w:val="18"/>
                <w:szCs w:val="18"/>
              </w:rPr>
            </w:pPr>
            <w:r>
              <w:rPr>
                <w:rFonts w:ascii="Times New Roman" w:hAnsi="Times New Roman"/>
                <w:color w:val="000000"/>
                <w:sz w:val="18"/>
                <w:szCs w:val="18"/>
              </w:rPr>
              <w:t>4~20</w:t>
            </w:r>
          </w:p>
        </w:tc>
        <w:tc>
          <w:tcPr>
            <w:tcW w:w="709" w:type="dxa"/>
            <w:tcBorders>
              <w:top w:val="single" w:sz="4" w:space="0" w:color="auto"/>
              <w:left w:val="single" w:sz="4" w:space="0" w:color="auto"/>
              <w:bottom w:val="single" w:sz="4" w:space="0" w:color="auto"/>
              <w:right w:val="single" w:sz="4" w:space="0" w:color="auto"/>
            </w:tcBorders>
            <w:vAlign w:val="center"/>
          </w:tcPr>
          <w:p w:rsidR="00651181" w:rsidRDefault="00027E46">
            <w:pPr>
              <w:jc w:val="center"/>
              <w:rPr>
                <w:rFonts w:ascii="Times New Roman" w:hAnsi="Times New Roman"/>
                <w:color w:val="000000"/>
                <w:sz w:val="18"/>
                <w:szCs w:val="18"/>
              </w:rPr>
            </w:pPr>
            <w:r>
              <w:rPr>
                <w:rFonts w:ascii="Times New Roman" w:hAnsi="Times New Roman"/>
                <w:color w:val="000000"/>
                <w:sz w:val="18"/>
                <w:szCs w:val="18"/>
              </w:rPr>
              <w:t>3~18</w:t>
            </w:r>
          </w:p>
        </w:tc>
        <w:tc>
          <w:tcPr>
            <w:tcW w:w="709" w:type="dxa"/>
            <w:tcBorders>
              <w:top w:val="single" w:sz="4" w:space="0" w:color="auto"/>
              <w:left w:val="single" w:sz="4" w:space="0" w:color="auto"/>
              <w:bottom w:val="single" w:sz="4" w:space="0" w:color="auto"/>
              <w:right w:val="single" w:sz="4" w:space="0" w:color="auto"/>
            </w:tcBorders>
            <w:vAlign w:val="center"/>
          </w:tcPr>
          <w:p w:rsidR="00651181" w:rsidRDefault="00027E46">
            <w:pPr>
              <w:jc w:val="center"/>
              <w:rPr>
                <w:rFonts w:ascii="Times New Roman" w:hAnsi="Times New Roman"/>
                <w:color w:val="000000"/>
                <w:sz w:val="18"/>
                <w:szCs w:val="18"/>
              </w:rPr>
            </w:pPr>
            <w:r>
              <w:rPr>
                <w:rFonts w:ascii="Times New Roman" w:hAnsi="Times New Roman"/>
                <w:color w:val="000000"/>
                <w:sz w:val="18"/>
                <w:szCs w:val="18"/>
              </w:rPr>
              <w:t>3~16</w:t>
            </w:r>
          </w:p>
        </w:tc>
        <w:tc>
          <w:tcPr>
            <w:tcW w:w="663" w:type="dxa"/>
            <w:tcBorders>
              <w:top w:val="single" w:sz="4" w:space="0" w:color="auto"/>
              <w:left w:val="single" w:sz="4" w:space="0" w:color="auto"/>
              <w:bottom w:val="single" w:sz="4" w:space="0" w:color="auto"/>
              <w:right w:val="single" w:sz="4" w:space="0" w:color="auto"/>
            </w:tcBorders>
            <w:vAlign w:val="center"/>
          </w:tcPr>
          <w:p w:rsidR="00651181" w:rsidRDefault="00027E46">
            <w:pPr>
              <w:jc w:val="center"/>
              <w:rPr>
                <w:rFonts w:ascii="Times New Roman" w:hAnsi="Times New Roman"/>
                <w:color w:val="000000"/>
                <w:sz w:val="18"/>
                <w:szCs w:val="18"/>
              </w:rPr>
            </w:pPr>
            <w:r>
              <w:rPr>
                <w:rFonts w:ascii="Times New Roman" w:hAnsi="Times New Roman"/>
                <w:color w:val="000000"/>
                <w:sz w:val="18"/>
                <w:szCs w:val="18"/>
              </w:rPr>
              <w:t>3~14</w:t>
            </w:r>
          </w:p>
        </w:tc>
        <w:tc>
          <w:tcPr>
            <w:tcW w:w="657" w:type="dxa"/>
            <w:tcBorders>
              <w:top w:val="single" w:sz="4" w:space="0" w:color="auto"/>
              <w:left w:val="single" w:sz="4" w:space="0" w:color="auto"/>
              <w:bottom w:val="single" w:sz="4" w:space="0" w:color="auto"/>
              <w:right w:val="single" w:sz="4" w:space="0" w:color="auto"/>
            </w:tcBorders>
            <w:vAlign w:val="center"/>
          </w:tcPr>
          <w:p w:rsidR="00651181" w:rsidRDefault="00027E46">
            <w:pPr>
              <w:jc w:val="center"/>
              <w:rPr>
                <w:rFonts w:ascii="Times New Roman" w:hAnsi="Times New Roman"/>
                <w:color w:val="000000"/>
                <w:sz w:val="18"/>
                <w:szCs w:val="18"/>
              </w:rPr>
            </w:pPr>
            <w:r>
              <w:rPr>
                <w:rFonts w:ascii="Times New Roman" w:hAnsi="Times New Roman"/>
                <w:color w:val="000000"/>
                <w:sz w:val="18"/>
                <w:szCs w:val="18"/>
              </w:rPr>
              <w:t>2~12</w:t>
            </w:r>
          </w:p>
        </w:tc>
        <w:tc>
          <w:tcPr>
            <w:tcW w:w="750" w:type="dxa"/>
            <w:tcBorders>
              <w:top w:val="single" w:sz="4" w:space="0" w:color="auto"/>
              <w:left w:val="single" w:sz="4" w:space="0" w:color="auto"/>
              <w:bottom w:val="single" w:sz="4" w:space="0" w:color="auto"/>
              <w:right w:val="single" w:sz="4" w:space="0" w:color="auto"/>
            </w:tcBorders>
            <w:vAlign w:val="center"/>
          </w:tcPr>
          <w:p w:rsidR="00651181" w:rsidRDefault="00027E46">
            <w:pPr>
              <w:jc w:val="center"/>
              <w:rPr>
                <w:rFonts w:ascii="Times New Roman" w:hAnsi="Times New Roman"/>
                <w:color w:val="000000"/>
                <w:sz w:val="18"/>
                <w:szCs w:val="18"/>
              </w:rPr>
            </w:pPr>
            <w:r>
              <w:rPr>
                <w:rFonts w:ascii="Times New Roman" w:hAnsi="Times New Roman"/>
                <w:color w:val="000000"/>
                <w:sz w:val="18"/>
                <w:szCs w:val="18"/>
              </w:rPr>
              <w:t>1~10</w:t>
            </w:r>
          </w:p>
        </w:tc>
      </w:tr>
      <w:tr w:rsidR="00651181">
        <w:trPr>
          <w:trHeight w:val="356"/>
          <w:jc w:val="center"/>
        </w:trPr>
        <w:tc>
          <w:tcPr>
            <w:tcW w:w="1063" w:type="dxa"/>
            <w:tcBorders>
              <w:top w:val="single" w:sz="4" w:space="0" w:color="auto"/>
              <w:left w:val="single" w:sz="4" w:space="0" w:color="auto"/>
              <w:bottom w:val="single" w:sz="4" w:space="0" w:color="auto"/>
              <w:right w:val="single" w:sz="4" w:space="0" w:color="auto"/>
            </w:tcBorders>
            <w:vAlign w:val="center"/>
          </w:tcPr>
          <w:p w:rsidR="00651181" w:rsidRDefault="00027E46">
            <w:pPr>
              <w:spacing w:line="400" w:lineRule="exact"/>
              <w:jc w:val="center"/>
              <w:rPr>
                <w:rFonts w:ascii="Times New Roman" w:hAnsi="Times New Roman"/>
                <w:color w:val="000000"/>
                <w:szCs w:val="21"/>
              </w:rPr>
            </w:pPr>
            <w:r>
              <w:rPr>
                <w:rFonts w:ascii="Times New Roman" w:hAnsi="Times New Roman"/>
                <w:color w:val="000000"/>
                <w:szCs w:val="21"/>
              </w:rPr>
              <w:t>SPAC-16</w:t>
            </w:r>
          </w:p>
        </w:tc>
        <w:tc>
          <w:tcPr>
            <w:tcW w:w="568" w:type="dxa"/>
            <w:tcBorders>
              <w:top w:val="single" w:sz="4" w:space="0" w:color="auto"/>
              <w:left w:val="single" w:sz="4" w:space="0" w:color="auto"/>
              <w:bottom w:val="single" w:sz="4" w:space="0" w:color="auto"/>
              <w:right w:val="single" w:sz="4" w:space="0" w:color="auto"/>
            </w:tcBorders>
            <w:vAlign w:val="center"/>
          </w:tcPr>
          <w:p w:rsidR="00651181" w:rsidRDefault="00027E46">
            <w:pPr>
              <w:jc w:val="center"/>
              <w:rPr>
                <w:rFonts w:ascii="Times New Roman" w:hAnsi="Times New Roman"/>
                <w:color w:val="000000"/>
                <w:sz w:val="18"/>
                <w:szCs w:val="18"/>
              </w:rPr>
            </w:pPr>
            <w:r>
              <w:rPr>
                <w:rFonts w:ascii="Times New Roman" w:hAnsi="Times New Roman"/>
                <w:color w:val="000000"/>
                <w:sz w:val="18"/>
                <w:szCs w:val="18"/>
              </w:rPr>
              <w:t>-</w:t>
            </w:r>
          </w:p>
        </w:tc>
        <w:tc>
          <w:tcPr>
            <w:tcW w:w="852" w:type="dxa"/>
            <w:tcBorders>
              <w:top w:val="single" w:sz="4" w:space="0" w:color="auto"/>
              <w:left w:val="single" w:sz="4" w:space="0" w:color="auto"/>
              <w:bottom w:val="single" w:sz="4" w:space="0" w:color="auto"/>
              <w:right w:val="single" w:sz="4" w:space="0" w:color="auto"/>
            </w:tcBorders>
            <w:vAlign w:val="center"/>
          </w:tcPr>
          <w:p w:rsidR="00651181" w:rsidRDefault="00027E46">
            <w:pPr>
              <w:jc w:val="center"/>
              <w:rPr>
                <w:rFonts w:ascii="Times New Roman" w:hAnsi="Times New Roman"/>
                <w:color w:val="000000"/>
                <w:sz w:val="18"/>
                <w:szCs w:val="18"/>
              </w:rPr>
            </w:pPr>
            <w:r>
              <w:rPr>
                <w:rFonts w:ascii="Times New Roman" w:hAnsi="Times New Roman"/>
                <w:color w:val="000000"/>
                <w:sz w:val="18"/>
                <w:szCs w:val="18"/>
              </w:rPr>
              <w:t>100</w:t>
            </w:r>
          </w:p>
        </w:tc>
        <w:tc>
          <w:tcPr>
            <w:tcW w:w="851" w:type="dxa"/>
            <w:tcBorders>
              <w:top w:val="single" w:sz="4" w:space="0" w:color="auto"/>
              <w:left w:val="single" w:sz="4" w:space="0" w:color="auto"/>
              <w:bottom w:val="single" w:sz="4" w:space="0" w:color="auto"/>
              <w:right w:val="single" w:sz="4" w:space="0" w:color="auto"/>
            </w:tcBorders>
            <w:vAlign w:val="center"/>
          </w:tcPr>
          <w:p w:rsidR="00651181" w:rsidRDefault="00027E46">
            <w:pPr>
              <w:jc w:val="center"/>
              <w:rPr>
                <w:rFonts w:ascii="Times New Roman" w:hAnsi="Times New Roman"/>
                <w:color w:val="000000"/>
                <w:sz w:val="18"/>
                <w:szCs w:val="18"/>
              </w:rPr>
            </w:pPr>
            <w:r>
              <w:rPr>
                <w:rFonts w:ascii="Times New Roman" w:hAnsi="Times New Roman"/>
                <w:color w:val="000000"/>
                <w:sz w:val="18"/>
                <w:szCs w:val="18"/>
              </w:rPr>
              <w:t>70~100</w:t>
            </w:r>
          </w:p>
        </w:tc>
        <w:tc>
          <w:tcPr>
            <w:tcW w:w="851" w:type="dxa"/>
            <w:tcBorders>
              <w:top w:val="single" w:sz="4" w:space="0" w:color="auto"/>
              <w:left w:val="single" w:sz="4" w:space="0" w:color="auto"/>
              <w:bottom w:val="single" w:sz="4" w:space="0" w:color="auto"/>
              <w:right w:val="single" w:sz="4" w:space="0" w:color="auto"/>
            </w:tcBorders>
            <w:vAlign w:val="center"/>
          </w:tcPr>
          <w:p w:rsidR="00651181" w:rsidRDefault="00027E46">
            <w:pPr>
              <w:jc w:val="center"/>
              <w:rPr>
                <w:rFonts w:ascii="Times New Roman" w:hAnsi="Times New Roman"/>
                <w:color w:val="000000"/>
                <w:sz w:val="18"/>
                <w:szCs w:val="18"/>
              </w:rPr>
            </w:pPr>
            <w:r>
              <w:rPr>
                <w:rFonts w:ascii="Times New Roman" w:hAnsi="Times New Roman"/>
                <w:color w:val="000000"/>
                <w:sz w:val="18"/>
                <w:szCs w:val="18"/>
              </w:rPr>
              <w:t>50~90</w:t>
            </w:r>
          </w:p>
        </w:tc>
        <w:tc>
          <w:tcPr>
            <w:tcW w:w="781" w:type="dxa"/>
            <w:tcBorders>
              <w:top w:val="single" w:sz="4" w:space="0" w:color="auto"/>
              <w:left w:val="single" w:sz="4" w:space="0" w:color="auto"/>
              <w:bottom w:val="single" w:sz="4" w:space="0" w:color="auto"/>
              <w:right w:val="single" w:sz="4" w:space="0" w:color="auto"/>
            </w:tcBorders>
            <w:vAlign w:val="center"/>
          </w:tcPr>
          <w:p w:rsidR="00651181" w:rsidRDefault="00027E46">
            <w:pPr>
              <w:jc w:val="center"/>
              <w:rPr>
                <w:rFonts w:ascii="Times New Roman" w:hAnsi="Times New Roman"/>
                <w:color w:val="000000"/>
                <w:sz w:val="18"/>
                <w:szCs w:val="18"/>
              </w:rPr>
            </w:pPr>
            <w:r>
              <w:rPr>
                <w:rFonts w:ascii="Times New Roman" w:hAnsi="Times New Roman"/>
                <w:color w:val="000000"/>
                <w:sz w:val="18"/>
                <w:szCs w:val="18"/>
              </w:rPr>
              <w:t>5~50</w:t>
            </w:r>
          </w:p>
        </w:tc>
        <w:tc>
          <w:tcPr>
            <w:tcW w:w="851" w:type="dxa"/>
            <w:tcBorders>
              <w:top w:val="single" w:sz="4" w:space="0" w:color="auto"/>
              <w:left w:val="single" w:sz="4" w:space="0" w:color="auto"/>
              <w:bottom w:val="single" w:sz="4" w:space="0" w:color="auto"/>
              <w:right w:val="single" w:sz="4" w:space="0" w:color="auto"/>
            </w:tcBorders>
            <w:vAlign w:val="center"/>
          </w:tcPr>
          <w:p w:rsidR="00651181" w:rsidRDefault="00027E46">
            <w:pPr>
              <w:jc w:val="center"/>
              <w:rPr>
                <w:rFonts w:ascii="Times New Roman" w:hAnsi="Times New Roman"/>
                <w:color w:val="000000"/>
                <w:sz w:val="18"/>
                <w:szCs w:val="18"/>
              </w:rPr>
            </w:pPr>
            <w:r>
              <w:rPr>
                <w:rFonts w:ascii="Times New Roman" w:hAnsi="Times New Roman"/>
                <w:color w:val="000000"/>
                <w:sz w:val="18"/>
                <w:szCs w:val="18"/>
              </w:rPr>
              <w:t>4~25</w:t>
            </w:r>
          </w:p>
        </w:tc>
        <w:tc>
          <w:tcPr>
            <w:tcW w:w="850" w:type="dxa"/>
            <w:tcBorders>
              <w:top w:val="single" w:sz="4" w:space="0" w:color="auto"/>
              <w:left w:val="single" w:sz="4" w:space="0" w:color="auto"/>
              <w:bottom w:val="single" w:sz="4" w:space="0" w:color="auto"/>
              <w:right w:val="single" w:sz="4" w:space="0" w:color="auto"/>
            </w:tcBorders>
            <w:vAlign w:val="center"/>
          </w:tcPr>
          <w:p w:rsidR="00651181" w:rsidRDefault="00027E46">
            <w:pPr>
              <w:jc w:val="center"/>
              <w:rPr>
                <w:rFonts w:ascii="Times New Roman" w:hAnsi="Times New Roman"/>
                <w:color w:val="000000"/>
                <w:sz w:val="18"/>
                <w:szCs w:val="18"/>
              </w:rPr>
            </w:pPr>
            <w:r>
              <w:rPr>
                <w:rFonts w:ascii="Times New Roman" w:hAnsi="Times New Roman"/>
                <w:color w:val="000000"/>
                <w:sz w:val="18"/>
                <w:szCs w:val="18"/>
              </w:rPr>
              <w:t>4~20</w:t>
            </w:r>
          </w:p>
        </w:tc>
        <w:tc>
          <w:tcPr>
            <w:tcW w:w="709" w:type="dxa"/>
            <w:tcBorders>
              <w:top w:val="single" w:sz="4" w:space="0" w:color="auto"/>
              <w:left w:val="single" w:sz="4" w:space="0" w:color="auto"/>
              <w:bottom w:val="single" w:sz="4" w:space="0" w:color="auto"/>
              <w:right w:val="single" w:sz="4" w:space="0" w:color="auto"/>
            </w:tcBorders>
            <w:vAlign w:val="center"/>
          </w:tcPr>
          <w:p w:rsidR="00651181" w:rsidRDefault="00027E46">
            <w:pPr>
              <w:jc w:val="center"/>
              <w:rPr>
                <w:rFonts w:ascii="Times New Roman" w:hAnsi="Times New Roman"/>
                <w:color w:val="000000"/>
                <w:sz w:val="18"/>
                <w:szCs w:val="18"/>
              </w:rPr>
            </w:pPr>
            <w:r>
              <w:rPr>
                <w:rFonts w:ascii="Times New Roman" w:hAnsi="Times New Roman"/>
                <w:color w:val="000000"/>
                <w:sz w:val="18"/>
                <w:szCs w:val="18"/>
              </w:rPr>
              <w:t>3~18</w:t>
            </w:r>
          </w:p>
        </w:tc>
        <w:tc>
          <w:tcPr>
            <w:tcW w:w="709" w:type="dxa"/>
            <w:tcBorders>
              <w:top w:val="single" w:sz="4" w:space="0" w:color="auto"/>
              <w:left w:val="single" w:sz="4" w:space="0" w:color="auto"/>
              <w:bottom w:val="single" w:sz="4" w:space="0" w:color="auto"/>
              <w:right w:val="single" w:sz="4" w:space="0" w:color="auto"/>
            </w:tcBorders>
            <w:vAlign w:val="center"/>
          </w:tcPr>
          <w:p w:rsidR="00651181" w:rsidRDefault="00027E46">
            <w:pPr>
              <w:jc w:val="center"/>
              <w:rPr>
                <w:rFonts w:ascii="Times New Roman" w:hAnsi="Times New Roman"/>
                <w:color w:val="000000"/>
                <w:sz w:val="18"/>
                <w:szCs w:val="18"/>
              </w:rPr>
            </w:pPr>
            <w:r>
              <w:rPr>
                <w:rFonts w:ascii="Times New Roman" w:hAnsi="Times New Roman"/>
                <w:color w:val="000000"/>
                <w:sz w:val="18"/>
                <w:szCs w:val="18"/>
              </w:rPr>
              <w:t>3~16</w:t>
            </w:r>
          </w:p>
        </w:tc>
        <w:tc>
          <w:tcPr>
            <w:tcW w:w="663" w:type="dxa"/>
            <w:tcBorders>
              <w:top w:val="single" w:sz="4" w:space="0" w:color="auto"/>
              <w:left w:val="single" w:sz="4" w:space="0" w:color="auto"/>
              <w:bottom w:val="single" w:sz="4" w:space="0" w:color="auto"/>
              <w:right w:val="single" w:sz="4" w:space="0" w:color="auto"/>
            </w:tcBorders>
            <w:vAlign w:val="center"/>
          </w:tcPr>
          <w:p w:rsidR="00651181" w:rsidRDefault="00027E46">
            <w:pPr>
              <w:jc w:val="center"/>
              <w:rPr>
                <w:rFonts w:ascii="Times New Roman" w:hAnsi="Times New Roman"/>
                <w:color w:val="000000"/>
                <w:sz w:val="18"/>
                <w:szCs w:val="18"/>
              </w:rPr>
            </w:pPr>
            <w:r>
              <w:rPr>
                <w:rFonts w:ascii="Times New Roman" w:hAnsi="Times New Roman"/>
                <w:color w:val="000000"/>
                <w:sz w:val="18"/>
                <w:szCs w:val="18"/>
              </w:rPr>
              <w:t>3~14</w:t>
            </w:r>
          </w:p>
        </w:tc>
        <w:tc>
          <w:tcPr>
            <w:tcW w:w="657" w:type="dxa"/>
            <w:tcBorders>
              <w:top w:val="single" w:sz="4" w:space="0" w:color="auto"/>
              <w:left w:val="single" w:sz="4" w:space="0" w:color="auto"/>
              <w:bottom w:val="single" w:sz="4" w:space="0" w:color="auto"/>
              <w:right w:val="single" w:sz="4" w:space="0" w:color="auto"/>
            </w:tcBorders>
            <w:vAlign w:val="center"/>
          </w:tcPr>
          <w:p w:rsidR="00651181" w:rsidRDefault="00027E46">
            <w:pPr>
              <w:jc w:val="center"/>
              <w:rPr>
                <w:rFonts w:ascii="Times New Roman" w:hAnsi="Times New Roman"/>
                <w:color w:val="000000"/>
                <w:sz w:val="18"/>
                <w:szCs w:val="18"/>
              </w:rPr>
            </w:pPr>
            <w:r>
              <w:rPr>
                <w:rFonts w:ascii="Times New Roman" w:hAnsi="Times New Roman"/>
                <w:color w:val="000000"/>
                <w:sz w:val="18"/>
                <w:szCs w:val="18"/>
              </w:rPr>
              <w:t>2~12</w:t>
            </w:r>
          </w:p>
        </w:tc>
        <w:tc>
          <w:tcPr>
            <w:tcW w:w="750" w:type="dxa"/>
            <w:tcBorders>
              <w:top w:val="single" w:sz="4" w:space="0" w:color="auto"/>
              <w:left w:val="single" w:sz="4" w:space="0" w:color="auto"/>
              <w:bottom w:val="single" w:sz="4" w:space="0" w:color="auto"/>
              <w:right w:val="single" w:sz="4" w:space="0" w:color="auto"/>
            </w:tcBorders>
            <w:vAlign w:val="center"/>
          </w:tcPr>
          <w:p w:rsidR="00651181" w:rsidRDefault="00027E46">
            <w:pPr>
              <w:jc w:val="center"/>
              <w:rPr>
                <w:rFonts w:ascii="Times New Roman" w:hAnsi="Times New Roman"/>
                <w:color w:val="000000"/>
                <w:sz w:val="18"/>
                <w:szCs w:val="18"/>
              </w:rPr>
            </w:pPr>
            <w:r>
              <w:rPr>
                <w:rFonts w:ascii="Times New Roman" w:hAnsi="Times New Roman"/>
                <w:color w:val="000000"/>
                <w:sz w:val="18"/>
                <w:szCs w:val="18"/>
              </w:rPr>
              <w:t>1~10</w:t>
            </w:r>
          </w:p>
        </w:tc>
      </w:tr>
      <w:tr w:rsidR="00651181">
        <w:trPr>
          <w:trHeight w:val="356"/>
          <w:jc w:val="center"/>
        </w:trPr>
        <w:tc>
          <w:tcPr>
            <w:tcW w:w="1063" w:type="dxa"/>
            <w:tcBorders>
              <w:top w:val="single" w:sz="4" w:space="0" w:color="auto"/>
              <w:left w:val="single" w:sz="4" w:space="0" w:color="auto"/>
              <w:bottom w:val="single" w:sz="4" w:space="0" w:color="auto"/>
              <w:right w:val="single" w:sz="4" w:space="0" w:color="auto"/>
            </w:tcBorders>
            <w:vAlign w:val="center"/>
          </w:tcPr>
          <w:p w:rsidR="00651181" w:rsidRDefault="00027E46">
            <w:pPr>
              <w:spacing w:line="400" w:lineRule="exact"/>
              <w:jc w:val="center"/>
              <w:rPr>
                <w:rFonts w:ascii="Times New Roman" w:hAnsi="Times New Roman"/>
                <w:color w:val="000000"/>
                <w:szCs w:val="21"/>
              </w:rPr>
            </w:pPr>
            <w:r>
              <w:rPr>
                <w:rFonts w:ascii="Times New Roman" w:hAnsi="Times New Roman"/>
                <w:color w:val="000000"/>
                <w:szCs w:val="21"/>
              </w:rPr>
              <w:t>SPAC-20</w:t>
            </w:r>
          </w:p>
        </w:tc>
        <w:tc>
          <w:tcPr>
            <w:tcW w:w="568" w:type="dxa"/>
            <w:tcBorders>
              <w:top w:val="single" w:sz="4" w:space="0" w:color="auto"/>
              <w:left w:val="single" w:sz="4" w:space="0" w:color="auto"/>
              <w:bottom w:val="single" w:sz="4" w:space="0" w:color="auto"/>
              <w:right w:val="single" w:sz="4" w:space="0" w:color="auto"/>
            </w:tcBorders>
            <w:vAlign w:val="center"/>
          </w:tcPr>
          <w:p w:rsidR="00651181" w:rsidRDefault="00027E46">
            <w:pPr>
              <w:jc w:val="center"/>
              <w:rPr>
                <w:rFonts w:ascii="Times New Roman" w:hAnsi="Times New Roman"/>
                <w:color w:val="000000"/>
                <w:sz w:val="18"/>
                <w:szCs w:val="18"/>
              </w:rPr>
            </w:pPr>
            <w:r>
              <w:rPr>
                <w:rFonts w:ascii="Times New Roman" w:hAnsi="Times New Roman"/>
                <w:color w:val="000000"/>
                <w:sz w:val="18"/>
                <w:szCs w:val="18"/>
              </w:rPr>
              <w:t>100</w:t>
            </w:r>
          </w:p>
        </w:tc>
        <w:tc>
          <w:tcPr>
            <w:tcW w:w="852" w:type="dxa"/>
            <w:tcBorders>
              <w:top w:val="single" w:sz="4" w:space="0" w:color="auto"/>
              <w:left w:val="single" w:sz="4" w:space="0" w:color="auto"/>
              <w:bottom w:val="single" w:sz="4" w:space="0" w:color="auto"/>
              <w:right w:val="single" w:sz="4" w:space="0" w:color="auto"/>
            </w:tcBorders>
            <w:vAlign w:val="center"/>
          </w:tcPr>
          <w:p w:rsidR="00651181" w:rsidRDefault="00027E46">
            <w:pPr>
              <w:jc w:val="center"/>
              <w:rPr>
                <w:rFonts w:ascii="Times New Roman" w:hAnsi="Times New Roman"/>
                <w:color w:val="000000"/>
                <w:sz w:val="18"/>
                <w:szCs w:val="18"/>
              </w:rPr>
            </w:pPr>
            <w:r>
              <w:rPr>
                <w:rFonts w:ascii="Times New Roman" w:hAnsi="Times New Roman"/>
                <w:color w:val="000000"/>
                <w:sz w:val="18"/>
                <w:szCs w:val="18"/>
              </w:rPr>
              <w:t>70~100</w:t>
            </w:r>
          </w:p>
        </w:tc>
        <w:tc>
          <w:tcPr>
            <w:tcW w:w="851" w:type="dxa"/>
            <w:tcBorders>
              <w:top w:val="single" w:sz="4" w:space="0" w:color="auto"/>
              <w:left w:val="single" w:sz="4" w:space="0" w:color="auto"/>
              <w:bottom w:val="single" w:sz="4" w:space="0" w:color="auto"/>
              <w:right w:val="single" w:sz="4" w:space="0" w:color="auto"/>
            </w:tcBorders>
            <w:vAlign w:val="center"/>
          </w:tcPr>
          <w:p w:rsidR="00651181" w:rsidRDefault="00027E46">
            <w:pPr>
              <w:jc w:val="center"/>
              <w:rPr>
                <w:rFonts w:ascii="Times New Roman" w:hAnsi="Times New Roman"/>
                <w:color w:val="000000"/>
                <w:sz w:val="18"/>
                <w:szCs w:val="18"/>
              </w:rPr>
            </w:pPr>
            <w:r>
              <w:rPr>
                <w:rFonts w:ascii="Times New Roman" w:hAnsi="Times New Roman"/>
                <w:color w:val="000000"/>
                <w:sz w:val="18"/>
                <w:szCs w:val="18"/>
              </w:rPr>
              <w:t>40~80</w:t>
            </w:r>
          </w:p>
        </w:tc>
        <w:tc>
          <w:tcPr>
            <w:tcW w:w="851" w:type="dxa"/>
            <w:tcBorders>
              <w:top w:val="single" w:sz="4" w:space="0" w:color="auto"/>
              <w:left w:val="single" w:sz="4" w:space="0" w:color="auto"/>
              <w:bottom w:val="single" w:sz="4" w:space="0" w:color="auto"/>
              <w:right w:val="single" w:sz="4" w:space="0" w:color="auto"/>
            </w:tcBorders>
            <w:vAlign w:val="center"/>
          </w:tcPr>
          <w:p w:rsidR="00651181" w:rsidRDefault="00027E46">
            <w:pPr>
              <w:jc w:val="center"/>
              <w:rPr>
                <w:rFonts w:ascii="Times New Roman" w:hAnsi="Times New Roman"/>
                <w:color w:val="000000"/>
                <w:sz w:val="18"/>
                <w:szCs w:val="18"/>
              </w:rPr>
            </w:pPr>
            <w:r>
              <w:rPr>
                <w:rFonts w:ascii="Times New Roman" w:hAnsi="Times New Roman"/>
                <w:color w:val="000000"/>
                <w:sz w:val="18"/>
                <w:szCs w:val="18"/>
              </w:rPr>
              <w:t>15~60</w:t>
            </w:r>
          </w:p>
        </w:tc>
        <w:tc>
          <w:tcPr>
            <w:tcW w:w="781" w:type="dxa"/>
            <w:tcBorders>
              <w:top w:val="single" w:sz="4" w:space="0" w:color="auto"/>
              <w:left w:val="single" w:sz="4" w:space="0" w:color="auto"/>
              <w:bottom w:val="single" w:sz="4" w:space="0" w:color="auto"/>
              <w:right w:val="single" w:sz="4" w:space="0" w:color="auto"/>
            </w:tcBorders>
            <w:vAlign w:val="center"/>
          </w:tcPr>
          <w:p w:rsidR="00651181" w:rsidRDefault="00027E46">
            <w:pPr>
              <w:jc w:val="center"/>
              <w:rPr>
                <w:rFonts w:ascii="Times New Roman" w:hAnsi="Times New Roman"/>
                <w:color w:val="000000"/>
                <w:sz w:val="18"/>
                <w:szCs w:val="18"/>
              </w:rPr>
            </w:pPr>
            <w:r>
              <w:rPr>
                <w:rFonts w:ascii="Times New Roman" w:hAnsi="Times New Roman"/>
                <w:color w:val="000000"/>
                <w:sz w:val="18"/>
                <w:szCs w:val="18"/>
              </w:rPr>
              <w:t>5~40</w:t>
            </w:r>
          </w:p>
        </w:tc>
        <w:tc>
          <w:tcPr>
            <w:tcW w:w="851" w:type="dxa"/>
            <w:tcBorders>
              <w:top w:val="single" w:sz="4" w:space="0" w:color="auto"/>
              <w:left w:val="single" w:sz="4" w:space="0" w:color="auto"/>
              <w:bottom w:val="single" w:sz="4" w:space="0" w:color="auto"/>
              <w:right w:val="single" w:sz="4" w:space="0" w:color="auto"/>
            </w:tcBorders>
            <w:vAlign w:val="center"/>
          </w:tcPr>
          <w:p w:rsidR="00651181" w:rsidRDefault="00027E46">
            <w:pPr>
              <w:jc w:val="center"/>
              <w:rPr>
                <w:rFonts w:ascii="Times New Roman" w:hAnsi="Times New Roman"/>
                <w:color w:val="000000"/>
                <w:sz w:val="18"/>
                <w:szCs w:val="18"/>
              </w:rPr>
            </w:pPr>
            <w:r>
              <w:rPr>
                <w:rFonts w:ascii="Times New Roman" w:hAnsi="Times New Roman"/>
                <w:color w:val="000000"/>
                <w:sz w:val="18"/>
                <w:szCs w:val="18"/>
              </w:rPr>
              <w:t>4~25</w:t>
            </w:r>
          </w:p>
        </w:tc>
        <w:tc>
          <w:tcPr>
            <w:tcW w:w="850" w:type="dxa"/>
            <w:tcBorders>
              <w:top w:val="single" w:sz="4" w:space="0" w:color="auto"/>
              <w:left w:val="single" w:sz="4" w:space="0" w:color="auto"/>
              <w:bottom w:val="single" w:sz="4" w:space="0" w:color="auto"/>
              <w:right w:val="single" w:sz="4" w:space="0" w:color="auto"/>
            </w:tcBorders>
            <w:vAlign w:val="center"/>
          </w:tcPr>
          <w:p w:rsidR="00651181" w:rsidRDefault="00027E46">
            <w:pPr>
              <w:jc w:val="center"/>
              <w:rPr>
                <w:rFonts w:ascii="Times New Roman" w:hAnsi="Times New Roman"/>
                <w:color w:val="000000"/>
                <w:sz w:val="18"/>
                <w:szCs w:val="18"/>
              </w:rPr>
            </w:pPr>
            <w:r>
              <w:rPr>
                <w:rFonts w:ascii="Times New Roman" w:hAnsi="Times New Roman"/>
                <w:color w:val="000000"/>
                <w:sz w:val="18"/>
                <w:szCs w:val="18"/>
              </w:rPr>
              <w:t>4~20</w:t>
            </w:r>
          </w:p>
        </w:tc>
        <w:tc>
          <w:tcPr>
            <w:tcW w:w="709" w:type="dxa"/>
            <w:tcBorders>
              <w:top w:val="single" w:sz="4" w:space="0" w:color="auto"/>
              <w:left w:val="single" w:sz="4" w:space="0" w:color="auto"/>
              <w:bottom w:val="single" w:sz="4" w:space="0" w:color="auto"/>
              <w:right w:val="single" w:sz="4" w:space="0" w:color="auto"/>
            </w:tcBorders>
            <w:vAlign w:val="center"/>
          </w:tcPr>
          <w:p w:rsidR="00651181" w:rsidRDefault="00027E46">
            <w:pPr>
              <w:jc w:val="center"/>
              <w:rPr>
                <w:rFonts w:ascii="Times New Roman" w:hAnsi="Times New Roman"/>
                <w:color w:val="000000"/>
                <w:sz w:val="18"/>
                <w:szCs w:val="18"/>
              </w:rPr>
            </w:pPr>
            <w:r>
              <w:rPr>
                <w:rFonts w:ascii="Times New Roman" w:hAnsi="Times New Roman"/>
                <w:color w:val="000000"/>
                <w:sz w:val="18"/>
                <w:szCs w:val="18"/>
              </w:rPr>
              <w:t>3~18</w:t>
            </w:r>
          </w:p>
        </w:tc>
        <w:tc>
          <w:tcPr>
            <w:tcW w:w="709" w:type="dxa"/>
            <w:tcBorders>
              <w:top w:val="single" w:sz="4" w:space="0" w:color="auto"/>
              <w:left w:val="single" w:sz="4" w:space="0" w:color="auto"/>
              <w:bottom w:val="single" w:sz="4" w:space="0" w:color="auto"/>
              <w:right w:val="single" w:sz="4" w:space="0" w:color="auto"/>
            </w:tcBorders>
            <w:vAlign w:val="center"/>
          </w:tcPr>
          <w:p w:rsidR="00651181" w:rsidRDefault="00027E46">
            <w:pPr>
              <w:jc w:val="center"/>
              <w:rPr>
                <w:rFonts w:ascii="Times New Roman" w:hAnsi="Times New Roman"/>
                <w:color w:val="000000"/>
                <w:sz w:val="18"/>
                <w:szCs w:val="18"/>
              </w:rPr>
            </w:pPr>
            <w:r>
              <w:rPr>
                <w:rFonts w:ascii="Times New Roman" w:hAnsi="Times New Roman"/>
                <w:color w:val="000000"/>
                <w:sz w:val="18"/>
                <w:szCs w:val="18"/>
              </w:rPr>
              <w:t>3~16</w:t>
            </w:r>
          </w:p>
        </w:tc>
        <w:tc>
          <w:tcPr>
            <w:tcW w:w="663" w:type="dxa"/>
            <w:tcBorders>
              <w:top w:val="single" w:sz="4" w:space="0" w:color="auto"/>
              <w:left w:val="single" w:sz="4" w:space="0" w:color="auto"/>
              <w:bottom w:val="single" w:sz="4" w:space="0" w:color="auto"/>
              <w:right w:val="single" w:sz="4" w:space="0" w:color="auto"/>
            </w:tcBorders>
            <w:vAlign w:val="center"/>
          </w:tcPr>
          <w:p w:rsidR="00651181" w:rsidRDefault="00027E46">
            <w:pPr>
              <w:jc w:val="center"/>
              <w:rPr>
                <w:rFonts w:ascii="Times New Roman" w:hAnsi="Times New Roman"/>
                <w:color w:val="000000"/>
                <w:sz w:val="18"/>
                <w:szCs w:val="18"/>
              </w:rPr>
            </w:pPr>
            <w:r>
              <w:rPr>
                <w:rFonts w:ascii="Times New Roman" w:hAnsi="Times New Roman"/>
                <w:color w:val="000000"/>
                <w:sz w:val="18"/>
                <w:szCs w:val="18"/>
              </w:rPr>
              <w:t>3~14</w:t>
            </w:r>
          </w:p>
        </w:tc>
        <w:tc>
          <w:tcPr>
            <w:tcW w:w="657" w:type="dxa"/>
            <w:tcBorders>
              <w:top w:val="single" w:sz="4" w:space="0" w:color="auto"/>
              <w:left w:val="single" w:sz="4" w:space="0" w:color="auto"/>
              <w:bottom w:val="single" w:sz="4" w:space="0" w:color="auto"/>
              <w:right w:val="single" w:sz="4" w:space="0" w:color="auto"/>
            </w:tcBorders>
            <w:vAlign w:val="center"/>
          </w:tcPr>
          <w:p w:rsidR="00651181" w:rsidRDefault="00027E46">
            <w:pPr>
              <w:jc w:val="center"/>
              <w:rPr>
                <w:rFonts w:ascii="Times New Roman" w:hAnsi="Times New Roman"/>
                <w:color w:val="000000"/>
                <w:sz w:val="18"/>
                <w:szCs w:val="18"/>
              </w:rPr>
            </w:pPr>
            <w:r>
              <w:rPr>
                <w:rFonts w:ascii="Times New Roman" w:hAnsi="Times New Roman"/>
                <w:color w:val="000000"/>
                <w:sz w:val="18"/>
                <w:szCs w:val="18"/>
              </w:rPr>
              <w:t>2~12</w:t>
            </w:r>
          </w:p>
        </w:tc>
        <w:tc>
          <w:tcPr>
            <w:tcW w:w="750" w:type="dxa"/>
            <w:tcBorders>
              <w:top w:val="single" w:sz="4" w:space="0" w:color="auto"/>
              <w:left w:val="single" w:sz="4" w:space="0" w:color="auto"/>
              <w:bottom w:val="single" w:sz="4" w:space="0" w:color="auto"/>
              <w:right w:val="single" w:sz="4" w:space="0" w:color="auto"/>
            </w:tcBorders>
            <w:vAlign w:val="center"/>
          </w:tcPr>
          <w:p w:rsidR="00651181" w:rsidRDefault="00027E46">
            <w:pPr>
              <w:jc w:val="center"/>
              <w:rPr>
                <w:rFonts w:ascii="Times New Roman" w:hAnsi="Times New Roman"/>
                <w:color w:val="000000"/>
                <w:sz w:val="18"/>
                <w:szCs w:val="18"/>
              </w:rPr>
            </w:pPr>
            <w:r>
              <w:rPr>
                <w:rFonts w:ascii="Times New Roman" w:hAnsi="Times New Roman"/>
                <w:color w:val="000000"/>
                <w:sz w:val="18"/>
                <w:szCs w:val="18"/>
              </w:rPr>
              <w:t>1~10</w:t>
            </w:r>
          </w:p>
        </w:tc>
      </w:tr>
    </w:tbl>
    <w:p w:rsidR="00651181" w:rsidRDefault="00651181">
      <w:pPr>
        <w:tabs>
          <w:tab w:val="left" w:pos="720"/>
        </w:tabs>
        <w:ind w:firstLine="480"/>
        <w:rPr>
          <w:rFonts w:ascii="Times New Roman" w:eastAsia="仿宋" w:hAnsi="Times New Roman"/>
          <w:bCs/>
        </w:rPr>
      </w:pPr>
    </w:p>
    <w:p w:rsidR="00651181" w:rsidRDefault="00027E46">
      <w:pPr>
        <w:numPr>
          <w:ilvl w:val="0"/>
          <w:numId w:val="4"/>
        </w:numPr>
        <w:tabs>
          <w:tab w:val="left" w:pos="720"/>
        </w:tabs>
        <w:spacing w:line="360" w:lineRule="auto"/>
        <w:ind w:firstLineChars="200" w:firstLine="482"/>
        <w:rPr>
          <w:rFonts w:ascii="Times New Roman" w:eastAsia="仿宋" w:hAnsi="Times New Roman"/>
          <w:b/>
          <w:sz w:val="24"/>
        </w:rPr>
      </w:pPr>
      <w:r>
        <w:rPr>
          <w:rFonts w:ascii="Times New Roman" w:eastAsia="仿宋" w:hAnsi="Times New Roman"/>
          <w:b/>
          <w:sz w:val="24"/>
        </w:rPr>
        <w:t>半柔性路面组合结构设计的合理性试验验证</w:t>
      </w:r>
    </w:p>
    <w:p w:rsidR="00651181" w:rsidRDefault="00027E46">
      <w:pPr>
        <w:tabs>
          <w:tab w:val="left" w:pos="720"/>
        </w:tabs>
        <w:spacing w:line="360" w:lineRule="auto"/>
        <w:ind w:firstLineChars="200" w:firstLine="480"/>
        <w:rPr>
          <w:rFonts w:ascii="Times New Roman" w:eastAsia="仿宋" w:hAnsi="Times New Roman"/>
          <w:bCs/>
          <w:sz w:val="24"/>
        </w:rPr>
      </w:pPr>
      <w:r>
        <w:rPr>
          <w:rFonts w:ascii="Times New Roman" w:eastAsia="仿宋" w:hAnsi="Times New Roman"/>
          <w:bCs/>
          <w:sz w:val="24"/>
        </w:rPr>
        <w:t>在半柔性路面组合结构设计的合理性试验验证过程中，除了进行了结构模拟研究，还制备不同路面组合结构的全厚式车辙试件，比较了不同路面结构的抗车辙性能，试验结果表明，将半柔性路面材料用作上面层，所得到的抗车辙能力最强，并且将高模量</w:t>
      </w:r>
      <w:r>
        <w:rPr>
          <w:rFonts w:ascii="Times New Roman" w:eastAsia="仿宋" w:hAnsi="Times New Roman"/>
          <w:bCs/>
          <w:sz w:val="24"/>
        </w:rPr>
        <w:t>AC</w:t>
      </w:r>
      <w:r>
        <w:rPr>
          <w:rFonts w:ascii="Times New Roman" w:eastAsia="仿宋" w:hAnsi="Times New Roman"/>
          <w:bCs/>
          <w:sz w:val="24"/>
        </w:rPr>
        <w:t>沥青混合料用作其下面层，所得结构最优。</w:t>
      </w:r>
    </w:p>
    <w:p w:rsidR="00651181" w:rsidRDefault="00651181">
      <w:pPr>
        <w:ind w:firstLineChars="200" w:firstLine="420"/>
        <w:rPr>
          <w:rFonts w:ascii="Times New Roman" w:hAnsi="Times New Roman"/>
        </w:rPr>
      </w:pPr>
    </w:p>
    <w:p w:rsidR="00651181" w:rsidRDefault="00027E46">
      <w:pPr>
        <w:ind w:firstLineChars="200" w:firstLine="420"/>
        <w:jc w:val="center"/>
        <w:rPr>
          <w:rFonts w:ascii="Times New Roman" w:hAnsi="Times New Roman"/>
        </w:rPr>
      </w:pPr>
      <w:r>
        <w:rPr>
          <w:rFonts w:ascii="Times New Roman" w:hAnsi="Times New Roman"/>
          <w:noProof/>
        </w:rPr>
        <w:drawing>
          <wp:inline distT="0" distB="0" distL="0" distR="0">
            <wp:extent cx="3865245" cy="2187575"/>
            <wp:effectExtent l="0" t="0" r="825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865245" cy="2187575"/>
                    </a:xfrm>
                    <a:prstGeom prst="rect">
                      <a:avLst/>
                    </a:prstGeom>
                    <a:noFill/>
                    <a:ln>
                      <a:noFill/>
                    </a:ln>
                  </pic:spPr>
                </pic:pic>
              </a:graphicData>
            </a:graphic>
          </wp:inline>
        </w:drawing>
      </w:r>
    </w:p>
    <w:p w:rsidR="00651181" w:rsidRDefault="00027E46">
      <w:pPr>
        <w:ind w:firstLineChars="200" w:firstLine="420"/>
        <w:jc w:val="center"/>
        <w:rPr>
          <w:rFonts w:ascii="Times New Roman" w:hAnsi="Times New Roman"/>
        </w:rPr>
      </w:pPr>
      <w:r>
        <w:rPr>
          <w:rFonts w:ascii="Times New Roman" w:hAnsi="Times New Roman"/>
        </w:rPr>
        <w:t>图</w:t>
      </w:r>
      <w:r>
        <w:rPr>
          <w:rFonts w:ascii="Times New Roman" w:hAnsi="Times New Roman"/>
        </w:rPr>
        <w:t>1</w:t>
      </w:r>
      <w:r>
        <w:rPr>
          <w:rFonts w:ascii="Times New Roman" w:hAnsi="Times New Roman"/>
        </w:rPr>
        <w:t>不同路面组合结构的抗车辙性能对比</w:t>
      </w:r>
    </w:p>
    <w:p w:rsidR="00651181" w:rsidRDefault="00027E46">
      <w:pPr>
        <w:numPr>
          <w:ilvl w:val="0"/>
          <w:numId w:val="4"/>
        </w:numPr>
        <w:tabs>
          <w:tab w:val="left" w:pos="720"/>
        </w:tabs>
        <w:spacing w:line="360" w:lineRule="auto"/>
        <w:ind w:firstLineChars="200" w:firstLine="482"/>
        <w:rPr>
          <w:rFonts w:ascii="Times New Roman" w:eastAsia="仿宋" w:hAnsi="Times New Roman"/>
          <w:b/>
          <w:sz w:val="24"/>
        </w:rPr>
      </w:pPr>
      <w:r>
        <w:rPr>
          <w:rFonts w:ascii="Times New Roman" w:eastAsia="仿宋" w:hAnsi="Times New Roman"/>
          <w:b/>
          <w:sz w:val="24"/>
        </w:rPr>
        <w:t>灌浆料强度对半柔性路面性能影响试验验证</w:t>
      </w:r>
    </w:p>
    <w:p w:rsidR="00651181" w:rsidRDefault="00027E46">
      <w:pPr>
        <w:tabs>
          <w:tab w:val="left" w:pos="720"/>
        </w:tabs>
        <w:spacing w:line="360" w:lineRule="auto"/>
        <w:ind w:firstLineChars="200" w:firstLine="480"/>
        <w:rPr>
          <w:rFonts w:ascii="Times New Roman" w:eastAsia="仿宋" w:hAnsi="Times New Roman"/>
          <w:bCs/>
          <w:sz w:val="24"/>
        </w:rPr>
      </w:pPr>
      <w:r>
        <w:rPr>
          <w:rFonts w:ascii="Times New Roman" w:eastAsia="仿宋" w:hAnsi="Times New Roman"/>
          <w:bCs/>
          <w:sz w:val="24"/>
        </w:rPr>
        <w:t>在实验室通过车辙试验模拟了开放交通对半柔性路面性能的影响，试验表明当灌浆料抗压强度达到</w:t>
      </w:r>
      <w:r>
        <w:rPr>
          <w:rFonts w:ascii="Times New Roman" w:eastAsia="仿宋" w:hAnsi="Times New Roman"/>
          <w:bCs/>
          <w:sz w:val="24"/>
        </w:rPr>
        <w:t>10MPa</w:t>
      </w:r>
      <w:r>
        <w:rPr>
          <w:rFonts w:ascii="Times New Roman" w:eastAsia="仿宋" w:hAnsi="Times New Roman"/>
          <w:bCs/>
          <w:sz w:val="24"/>
        </w:rPr>
        <w:t>左右以后，车辙变形量才能基本保持恒定，且开放交通对强度没有不利影响。因此认为当灌浆料抗压强度大于</w:t>
      </w:r>
      <w:r>
        <w:rPr>
          <w:rFonts w:ascii="Times New Roman" w:eastAsia="仿宋" w:hAnsi="Times New Roman"/>
          <w:bCs/>
          <w:sz w:val="24"/>
        </w:rPr>
        <w:t>10MPa</w:t>
      </w:r>
      <w:r>
        <w:rPr>
          <w:rFonts w:ascii="Times New Roman" w:eastAsia="仿宋" w:hAnsi="Times New Roman"/>
          <w:bCs/>
          <w:sz w:val="24"/>
        </w:rPr>
        <w:t>以后，可以开放交通。</w:t>
      </w:r>
    </w:p>
    <w:p w:rsidR="00651181" w:rsidRDefault="00027E46">
      <w:pPr>
        <w:jc w:val="center"/>
        <w:rPr>
          <w:rFonts w:ascii="Times New Roman" w:hAnsi="Times New Roman"/>
          <w:sz w:val="24"/>
        </w:rPr>
      </w:pPr>
      <w:r>
        <w:rPr>
          <w:rFonts w:ascii="Times New Roman" w:hAnsi="Times New Roman"/>
          <w:noProof/>
        </w:rPr>
        <w:lastRenderedPageBreak/>
        <w:drawing>
          <wp:inline distT="0" distB="0" distL="0" distR="0">
            <wp:extent cx="3340100" cy="1922145"/>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cstate="print"/>
                    <a:stretch>
                      <a:fillRect/>
                    </a:stretch>
                  </pic:blipFill>
                  <pic:spPr>
                    <a:xfrm>
                      <a:off x="0" y="0"/>
                      <a:ext cx="3340100" cy="1922145"/>
                    </a:xfrm>
                    <a:prstGeom prst="rect">
                      <a:avLst/>
                    </a:prstGeom>
                  </pic:spPr>
                </pic:pic>
              </a:graphicData>
            </a:graphic>
          </wp:inline>
        </w:drawing>
      </w:r>
    </w:p>
    <w:p w:rsidR="00651181" w:rsidRDefault="00027E46">
      <w:pPr>
        <w:jc w:val="center"/>
        <w:rPr>
          <w:rFonts w:ascii="Times New Roman" w:hAnsi="Times New Roman"/>
          <w:sz w:val="24"/>
        </w:rPr>
      </w:pPr>
      <w:r>
        <w:rPr>
          <w:rFonts w:ascii="Times New Roman" w:hAnsi="Times New Roman"/>
          <w:sz w:val="24"/>
        </w:rPr>
        <w:t>图</w:t>
      </w:r>
      <w:r>
        <w:rPr>
          <w:rFonts w:ascii="Times New Roman" w:hAnsi="Times New Roman"/>
          <w:sz w:val="24"/>
        </w:rPr>
        <w:t xml:space="preserve">2 </w:t>
      </w:r>
      <w:r>
        <w:rPr>
          <w:rFonts w:ascii="Times New Roman" w:hAnsi="Times New Roman"/>
          <w:sz w:val="24"/>
        </w:rPr>
        <w:t>灌浆料抗压强度对车辙变形量的影响</w:t>
      </w:r>
    </w:p>
    <w:p w:rsidR="00651181" w:rsidRDefault="00651181">
      <w:pPr>
        <w:jc w:val="center"/>
        <w:rPr>
          <w:rFonts w:ascii="Times New Roman" w:hAnsi="Times New Roman"/>
          <w:sz w:val="24"/>
        </w:rPr>
      </w:pPr>
    </w:p>
    <w:p w:rsidR="00651181" w:rsidRDefault="00027E46">
      <w:pPr>
        <w:numPr>
          <w:ilvl w:val="0"/>
          <w:numId w:val="3"/>
        </w:numPr>
        <w:spacing w:line="360" w:lineRule="auto"/>
        <w:outlineLvl w:val="0"/>
        <w:rPr>
          <w:rFonts w:ascii="Times New Roman" w:eastAsia="黑体" w:hAnsi="Times New Roman"/>
          <w:color w:val="000000"/>
          <w:spacing w:val="8"/>
          <w:sz w:val="28"/>
          <w:szCs w:val="28"/>
        </w:rPr>
      </w:pPr>
      <w:bookmarkStart w:id="22" w:name="_Toc28371"/>
      <w:r>
        <w:rPr>
          <w:rFonts w:ascii="Times New Roman" w:eastAsia="黑体" w:hAnsi="Times New Roman"/>
          <w:color w:val="000000"/>
          <w:spacing w:val="8"/>
          <w:sz w:val="28"/>
          <w:szCs w:val="28"/>
        </w:rPr>
        <w:t>国内外现行相关法律、法规和标准情况</w:t>
      </w:r>
      <w:bookmarkEnd w:id="22"/>
    </w:p>
    <w:p w:rsidR="00651181" w:rsidRDefault="00027E46">
      <w:pPr>
        <w:tabs>
          <w:tab w:val="left" w:pos="720"/>
        </w:tabs>
        <w:spacing w:line="360" w:lineRule="auto"/>
        <w:ind w:firstLineChars="200" w:firstLine="480"/>
        <w:rPr>
          <w:rFonts w:ascii="Times New Roman" w:eastAsia="仿宋" w:hAnsi="Times New Roman"/>
          <w:bCs/>
          <w:sz w:val="24"/>
        </w:rPr>
      </w:pPr>
      <w:r>
        <w:rPr>
          <w:rFonts w:ascii="Times New Roman" w:eastAsia="仿宋" w:hAnsi="Times New Roman"/>
          <w:bCs/>
          <w:sz w:val="24"/>
        </w:rPr>
        <w:t>随着近些年国内道路科技工作者的努力，半柔性路面相关的规范标准也在逐渐形成。目前已有涉及半柔性抗车辙路面的相关技术指南、标准规范如下：《半柔性路面应用技术指南》（人民交通出版社</w:t>
      </w:r>
      <w:r>
        <w:rPr>
          <w:rFonts w:ascii="Times New Roman" w:eastAsia="仿宋" w:hAnsi="Times New Roman"/>
          <w:bCs/>
          <w:sz w:val="24"/>
        </w:rPr>
        <w:t>2009</w:t>
      </w:r>
      <w:r>
        <w:rPr>
          <w:rFonts w:ascii="Times New Roman" w:eastAsia="仿宋" w:hAnsi="Times New Roman"/>
          <w:bCs/>
          <w:sz w:val="24"/>
        </w:rPr>
        <w:t>年出版）、广东省地方标准</w:t>
      </w:r>
      <w:r>
        <w:rPr>
          <w:rFonts w:ascii="Times New Roman" w:eastAsia="仿宋" w:hAnsi="Times New Roman"/>
          <w:bCs/>
          <w:sz w:val="24"/>
        </w:rPr>
        <w:t>DB44/T 1296-2014</w:t>
      </w:r>
      <w:r>
        <w:rPr>
          <w:rFonts w:ascii="Times New Roman" w:eastAsia="仿宋" w:hAnsi="Times New Roman"/>
          <w:bCs/>
          <w:sz w:val="24"/>
        </w:rPr>
        <w:t>《专用砂浆半柔性路面应用技术规范》、标准</w:t>
      </w:r>
      <w:r>
        <w:rPr>
          <w:rFonts w:ascii="Times New Roman" w:eastAsia="仿宋" w:hAnsi="Times New Roman"/>
          <w:bCs/>
          <w:sz w:val="24"/>
        </w:rPr>
        <w:t>T/CECS G:D51-01-2019</w:t>
      </w:r>
      <w:r>
        <w:rPr>
          <w:rFonts w:ascii="Times New Roman" w:eastAsia="仿宋" w:hAnsi="Times New Roman"/>
          <w:bCs/>
          <w:sz w:val="24"/>
        </w:rPr>
        <w:t>《道路灌注式半柔性路面技术规程》、江苏省</w:t>
      </w:r>
      <w:r>
        <w:rPr>
          <w:rFonts w:ascii="Times New Roman" w:eastAsia="仿宋" w:hAnsi="Times New Roman"/>
          <w:bCs/>
          <w:sz w:val="24"/>
        </w:rPr>
        <w:t>DB32/T 3494-2019</w:t>
      </w:r>
      <w:r>
        <w:rPr>
          <w:rFonts w:ascii="Times New Roman" w:eastAsia="仿宋" w:hAnsi="Times New Roman"/>
          <w:bCs/>
          <w:sz w:val="24"/>
        </w:rPr>
        <w:t>《灌浆复合沥青路面施工技术规范》、</w:t>
      </w:r>
      <w:r>
        <w:rPr>
          <w:rFonts w:ascii="Times New Roman" w:eastAsia="仿宋" w:hAnsi="Times New Roman"/>
          <w:bCs/>
          <w:sz w:val="24"/>
        </w:rPr>
        <w:t>T/CECS 1016-2022</w:t>
      </w:r>
      <w:r>
        <w:rPr>
          <w:rFonts w:ascii="Times New Roman" w:eastAsia="仿宋" w:hAnsi="Times New Roman"/>
          <w:bCs/>
          <w:sz w:val="24"/>
        </w:rPr>
        <w:t>《城市道路灌浆式半柔性路面技术规程》、</w:t>
      </w:r>
      <w:r>
        <w:rPr>
          <w:rFonts w:ascii="Times New Roman" w:eastAsia="仿宋" w:hAnsi="Times New Roman"/>
          <w:bCs/>
          <w:sz w:val="24"/>
          <w:lang w:val="zh-CN"/>
        </w:rPr>
        <w:t>DB11/T 18</w:t>
      </w:r>
      <w:r>
        <w:rPr>
          <w:rFonts w:ascii="Times New Roman" w:eastAsia="仿宋" w:hAnsi="Times New Roman"/>
          <w:bCs/>
          <w:sz w:val="24"/>
          <w:lang w:val="zh-CN"/>
        </w:rPr>
        <w:t>17-2021</w:t>
      </w:r>
      <w:r>
        <w:rPr>
          <w:rFonts w:ascii="Times New Roman" w:eastAsia="仿宋" w:hAnsi="Times New Roman"/>
          <w:bCs/>
          <w:sz w:val="24"/>
          <w:lang w:val="zh-CN"/>
        </w:rPr>
        <w:t>《灌注式灌入式半柔性复合沥青路面铺装层设计与施工技术规范》</w:t>
      </w:r>
      <w:r>
        <w:rPr>
          <w:rFonts w:ascii="Times New Roman" w:eastAsia="仿宋" w:hAnsi="Times New Roman"/>
          <w:bCs/>
          <w:sz w:val="24"/>
        </w:rPr>
        <w:t>。经认真比较分析，认为上述指南、标准存在如下不足：</w:t>
      </w:r>
    </w:p>
    <w:p w:rsidR="00651181" w:rsidRDefault="00027E46">
      <w:pPr>
        <w:tabs>
          <w:tab w:val="left" w:pos="720"/>
        </w:tabs>
        <w:spacing w:line="360" w:lineRule="auto"/>
        <w:ind w:firstLineChars="200" w:firstLine="480"/>
        <w:rPr>
          <w:rFonts w:ascii="Times New Roman" w:eastAsia="仿宋" w:hAnsi="Times New Roman"/>
          <w:bCs/>
          <w:sz w:val="24"/>
        </w:rPr>
      </w:pPr>
      <w:r>
        <w:rPr>
          <w:rFonts w:ascii="Times New Roman" w:eastAsia="仿宋" w:hAnsi="Times New Roman"/>
          <w:bCs/>
          <w:sz w:val="24"/>
        </w:rPr>
        <w:t>已有指南、标准提出的某些路面材料性能指标不合理，存在争议。比如灌注率（灌注饱满度）、低温弯曲破坏应变在已有半柔性路面相关指南及标准里差异大，有的指标明显不合理，不利于指导和控制工程质量。</w:t>
      </w:r>
    </w:p>
    <w:p w:rsidR="00651181" w:rsidRDefault="00027E46">
      <w:pPr>
        <w:tabs>
          <w:tab w:val="left" w:pos="720"/>
        </w:tabs>
        <w:spacing w:line="360" w:lineRule="auto"/>
        <w:ind w:firstLineChars="200" w:firstLine="480"/>
        <w:rPr>
          <w:rFonts w:ascii="Times New Roman" w:eastAsia="仿宋" w:hAnsi="Times New Roman"/>
          <w:bCs/>
          <w:sz w:val="24"/>
        </w:rPr>
      </w:pPr>
      <w:r>
        <w:rPr>
          <w:rFonts w:ascii="Times New Roman" w:eastAsia="仿宋" w:hAnsi="Times New Roman"/>
          <w:bCs/>
          <w:sz w:val="24"/>
        </w:rPr>
        <w:t>为解决高性能灌入式半柔性复合沥青路面在设计、施工、质量控制等方面的问题，编制灌入式半柔性复合沥青路面湖南省地方标准，规范其设计、施工、质量控制，对于高性能灌入式半柔性复合沥青路面的应用推广有重要意义，</w:t>
      </w:r>
      <w:r>
        <w:rPr>
          <w:rFonts w:ascii="Times New Roman" w:eastAsia="仿宋" w:hAnsi="Times New Roman"/>
          <w:bCs/>
          <w:sz w:val="24"/>
        </w:rPr>
        <w:t>对解决我省道路建设中特殊路段出现的疑难杂症有重要意义。</w:t>
      </w:r>
    </w:p>
    <w:p w:rsidR="00651181" w:rsidRDefault="00027E46">
      <w:pPr>
        <w:spacing w:line="360" w:lineRule="auto"/>
        <w:outlineLvl w:val="0"/>
        <w:rPr>
          <w:rFonts w:ascii="Times New Roman" w:eastAsia="黑体" w:hAnsi="Times New Roman"/>
          <w:color w:val="000000"/>
          <w:spacing w:val="8"/>
          <w:sz w:val="28"/>
          <w:szCs w:val="28"/>
        </w:rPr>
      </w:pPr>
      <w:bookmarkStart w:id="23" w:name="_Toc25760"/>
      <w:r>
        <w:rPr>
          <w:rFonts w:ascii="Times New Roman" w:eastAsia="黑体" w:hAnsi="Times New Roman"/>
          <w:color w:val="000000"/>
          <w:spacing w:val="8"/>
          <w:sz w:val="28"/>
          <w:szCs w:val="28"/>
        </w:rPr>
        <w:t>六、重大意见分歧的处理依据和结果（如有）</w:t>
      </w:r>
      <w:bookmarkEnd w:id="23"/>
    </w:p>
    <w:p w:rsidR="00651181" w:rsidRDefault="00027E46">
      <w:pPr>
        <w:tabs>
          <w:tab w:val="left" w:pos="720"/>
        </w:tabs>
        <w:spacing w:line="360" w:lineRule="auto"/>
        <w:ind w:firstLineChars="200" w:firstLine="480"/>
        <w:rPr>
          <w:rFonts w:ascii="Times New Roman" w:eastAsia="仿宋" w:hAnsi="Times New Roman"/>
          <w:bCs/>
          <w:sz w:val="24"/>
          <w:szCs w:val="24"/>
        </w:rPr>
      </w:pPr>
      <w:bookmarkStart w:id="24" w:name="_Hlk47447338"/>
      <w:r>
        <w:rPr>
          <w:rFonts w:ascii="Times New Roman" w:eastAsia="仿宋" w:hAnsi="Times New Roman"/>
          <w:bCs/>
          <w:sz w:val="24"/>
          <w:szCs w:val="24"/>
        </w:rPr>
        <w:t>无。</w:t>
      </w:r>
    </w:p>
    <w:p w:rsidR="00651181" w:rsidRDefault="00027E46">
      <w:pPr>
        <w:spacing w:line="360" w:lineRule="auto"/>
        <w:outlineLvl w:val="0"/>
        <w:rPr>
          <w:rFonts w:ascii="Times New Roman" w:eastAsia="黑体" w:hAnsi="Times New Roman"/>
          <w:color w:val="000000"/>
          <w:spacing w:val="8"/>
          <w:sz w:val="28"/>
          <w:szCs w:val="28"/>
        </w:rPr>
      </w:pPr>
      <w:bookmarkStart w:id="25" w:name="_Toc9083"/>
      <w:bookmarkEnd w:id="24"/>
      <w:r>
        <w:rPr>
          <w:rFonts w:ascii="Times New Roman" w:eastAsia="黑体" w:hAnsi="Times New Roman"/>
          <w:color w:val="000000"/>
          <w:spacing w:val="8"/>
          <w:sz w:val="28"/>
          <w:szCs w:val="28"/>
        </w:rPr>
        <w:t>七、实施地方标准要求和措施建议</w:t>
      </w:r>
      <w:bookmarkEnd w:id="25"/>
    </w:p>
    <w:p w:rsidR="00651181" w:rsidRDefault="00027E46">
      <w:pPr>
        <w:tabs>
          <w:tab w:val="left" w:pos="720"/>
        </w:tabs>
        <w:spacing w:line="360" w:lineRule="auto"/>
        <w:ind w:firstLineChars="200" w:firstLine="480"/>
        <w:rPr>
          <w:rFonts w:ascii="Times New Roman" w:eastAsia="仿宋" w:hAnsi="Times New Roman"/>
          <w:bCs/>
          <w:sz w:val="24"/>
          <w:szCs w:val="24"/>
        </w:rPr>
      </w:pPr>
      <w:r>
        <w:rPr>
          <w:rFonts w:ascii="Times New Roman" w:eastAsia="仿宋" w:hAnsi="Times New Roman"/>
          <w:bCs/>
          <w:sz w:val="24"/>
          <w:szCs w:val="24"/>
        </w:rPr>
        <w:t>（</w:t>
      </w:r>
      <w:r>
        <w:rPr>
          <w:rFonts w:ascii="Times New Roman" w:eastAsia="仿宋" w:hAnsi="Times New Roman"/>
          <w:bCs/>
          <w:sz w:val="24"/>
          <w:szCs w:val="24"/>
        </w:rPr>
        <w:t>1</w:t>
      </w:r>
      <w:r>
        <w:rPr>
          <w:rFonts w:ascii="Times New Roman" w:eastAsia="仿宋" w:hAnsi="Times New Roman"/>
          <w:bCs/>
          <w:sz w:val="24"/>
          <w:szCs w:val="24"/>
        </w:rPr>
        <w:t>）组织措施：</w:t>
      </w:r>
    </w:p>
    <w:p w:rsidR="00651181" w:rsidRDefault="00027E46">
      <w:pPr>
        <w:tabs>
          <w:tab w:val="left" w:pos="720"/>
        </w:tabs>
        <w:spacing w:line="360" w:lineRule="auto"/>
        <w:ind w:firstLineChars="200" w:firstLine="480"/>
        <w:rPr>
          <w:rFonts w:ascii="Times New Roman" w:eastAsia="仿宋" w:hAnsi="Times New Roman"/>
          <w:bCs/>
          <w:sz w:val="24"/>
          <w:szCs w:val="24"/>
        </w:rPr>
      </w:pPr>
      <w:r>
        <w:rPr>
          <w:rFonts w:ascii="Times New Roman" w:eastAsia="仿宋" w:hAnsi="Times New Roman"/>
          <w:bCs/>
          <w:sz w:val="24"/>
          <w:szCs w:val="24"/>
        </w:rPr>
        <w:lastRenderedPageBreak/>
        <w:t>在湖南省交通运输厅领导下，由</w:t>
      </w:r>
      <w:r>
        <w:rPr>
          <w:rFonts w:ascii="Times New Roman" w:eastAsia="仿宋" w:hAnsi="Times New Roman"/>
          <w:bCs/>
          <w:sz w:val="24"/>
          <w:szCs w:val="24"/>
          <w:lang w:val="zh-CN"/>
        </w:rPr>
        <w:t>湖南省湘筑工程有限公司、北京城建设计发展集团股份有限公司、湖南省交通科学研究院有限公司、湖南省路桥集团有限公司、湖南省交通职业技术学院、江苏苏博特新材料股份有限公司、湖南省白新高速公路建设开发有限公司</w:t>
      </w:r>
      <w:r>
        <w:rPr>
          <w:rFonts w:ascii="Times New Roman" w:eastAsia="仿宋" w:hAnsi="Times New Roman"/>
          <w:bCs/>
          <w:sz w:val="24"/>
          <w:szCs w:val="24"/>
        </w:rPr>
        <w:t>等标准编制单位组成标准后期宣贯、实施的主要承担单位，标准编制单位包含施工单位、设计单位、咨询单位、科研院所、技术服务单位、材料供应</w:t>
      </w:r>
      <w:r>
        <w:rPr>
          <w:rFonts w:ascii="Times New Roman" w:eastAsia="仿宋" w:hAnsi="Times New Roman"/>
          <w:bCs/>
          <w:sz w:val="24"/>
          <w:szCs w:val="24"/>
        </w:rPr>
        <w:t>单位等，具备推广本地方标准的技术和经济能力。</w:t>
      </w:r>
    </w:p>
    <w:p w:rsidR="00651181" w:rsidRDefault="00027E46">
      <w:pPr>
        <w:tabs>
          <w:tab w:val="left" w:pos="720"/>
        </w:tabs>
        <w:spacing w:line="360" w:lineRule="auto"/>
        <w:ind w:firstLineChars="200" w:firstLine="480"/>
        <w:rPr>
          <w:rFonts w:ascii="Times New Roman" w:eastAsia="仿宋" w:hAnsi="Times New Roman"/>
          <w:bCs/>
          <w:sz w:val="24"/>
          <w:szCs w:val="24"/>
        </w:rPr>
      </w:pPr>
      <w:r>
        <w:rPr>
          <w:rFonts w:ascii="Times New Roman" w:eastAsia="仿宋" w:hAnsi="Times New Roman"/>
          <w:bCs/>
          <w:sz w:val="24"/>
          <w:szCs w:val="24"/>
        </w:rPr>
        <w:t>（</w:t>
      </w:r>
      <w:r>
        <w:rPr>
          <w:rFonts w:ascii="Times New Roman" w:eastAsia="仿宋" w:hAnsi="Times New Roman"/>
          <w:bCs/>
          <w:sz w:val="24"/>
          <w:szCs w:val="24"/>
        </w:rPr>
        <w:t>2</w:t>
      </w:r>
      <w:r>
        <w:rPr>
          <w:rFonts w:ascii="Times New Roman" w:eastAsia="仿宋" w:hAnsi="Times New Roman"/>
          <w:bCs/>
          <w:sz w:val="24"/>
          <w:szCs w:val="24"/>
        </w:rPr>
        <w:t>）技术措施：标准发布后，计划在全省交通公路管理系统、市政道路管养系统开展</w:t>
      </w:r>
      <w:r>
        <w:rPr>
          <w:rFonts w:ascii="Times New Roman" w:eastAsia="仿宋" w:hAnsi="Times New Roman"/>
          <w:bCs/>
          <w:sz w:val="24"/>
          <w:szCs w:val="24"/>
        </w:rPr>
        <w:t>2~3</w:t>
      </w:r>
      <w:r>
        <w:rPr>
          <w:rFonts w:ascii="Times New Roman" w:eastAsia="仿宋" w:hAnsi="Times New Roman"/>
          <w:bCs/>
          <w:sz w:val="24"/>
          <w:szCs w:val="24"/>
        </w:rPr>
        <w:t>次标准宣贯活动。</w:t>
      </w:r>
    </w:p>
    <w:p w:rsidR="00651181" w:rsidRDefault="00027E46">
      <w:pPr>
        <w:tabs>
          <w:tab w:val="left" w:pos="720"/>
        </w:tabs>
        <w:spacing w:line="360" w:lineRule="auto"/>
        <w:ind w:firstLineChars="200" w:firstLine="480"/>
        <w:rPr>
          <w:rFonts w:ascii="Times New Roman" w:eastAsia="仿宋" w:hAnsi="Times New Roman"/>
          <w:bCs/>
          <w:sz w:val="24"/>
          <w:szCs w:val="24"/>
        </w:rPr>
      </w:pPr>
      <w:r>
        <w:rPr>
          <w:rFonts w:ascii="Times New Roman" w:eastAsia="仿宋" w:hAnsi="Times New Roman"/>
          <w:bCs/>
          <w:sz w:val="24"/>
          <w:szCs w:val="24"/>
        </w:rPr>
        <w:t>（</w:t>
      </w:r>
      <w:r>
        <w:rPr>
          <w:rFonts w:ascii="Times New Roman" w:eastAsia="仿宋" w:hAnsi="Times New Roman"/>
          <w:bCs/>
          <w:sz w:val="24"/>
          <w:szCs w:val="24"/>
        </w:rPr>
        <w:t>3</w:t>
      </w:r>
      <w:r>
        <w:rPr>
          <w:rFonts w:ascii="Times New Roman" w:eastAsia="仿宋" w:hAnsi="Times New Roman"/>
          <w:bCs/>
          <w:sz w:val="24"/>
          <w:szCs w:val="24"/>
        </w:rPr>
        <w:t>）实施时间：</w:t>
      </w:r>
      <w:r>
        <w:rPr>
          <w:rFonts w:ascii="Times New Roman" w:eastAsia="仿宋" w:hAnsi="Times New Roman"/>
          <w:bCs/>
          <w:sz w:val="24"/>
          <w:szCs w:val="24"/>
        </w:rPr>
        <w:t>2023</w:t>
      </w:r>
      <w:r>
        <w:rPr>
          <w:rFonts w:ascii="Times New Roman" w:eastAsia="仿宋" w:hAnsi="Times New Roman"/>
          <w:bCs/>
          <w:sz w:val="24"/>
          <w:szCs w:val="24"/>
        </w:rPr>
        <w:t>年</w:t>
      </w:r>
      <w:r>
        <w:rPr>
          <w:rFonts w:ascii="Times New Roman" w:eastAsia="仿宋" w:hAnsi="Times New Roman"/>
          <w:bCs/>
          <w:sz w:val="24"/>
          <w:szCs w:val="24"/>
        </w:rPr>
        <w:t>8</w:t>
      </w:r>
      <w:r>
        <w:rPr>
          <w:rFonts w:ascii="Times New Roman" w:eastAsia="仿宋" w:hAnsi="Times New Roman"/>
          <w:bCs/>
          <w:sz w:val="24"/>
          <w:szCs w:val="24"/>
        </w:rPr>
        <w:t>月</w:t>
      </w:r>
      <w:r>
        <w:rPr>
          <w:rFonts w:ascii="Times New Roman" w:eastAsia="仿宋" w:hAnsi="Times New Roman"/>
          <w:bCs/>
          <w:sz w:val="24"/>
          <w:szCs w:val="24"/>
        </w:rPr>
        <w:t>~12</w:t>
      </w:r>
      <w:r>
        <w:rPr>
          <w:rFonts w:ascii="Times New Roman" w:eastAsia="仿宋" w:hAnsi="Times New Roman"/>
          <w:bCs/>
          <w:sz w:val="24"/>
          <w:szCs w:val="24"/>
        </w:rPr>
        <w:t>月</w:t>
      </w:r>
    </w:p>
    <w:bookmarkEnd w:id="3"/>
    <w:p w:rsidR="00651181" w:rsidRDefault="00651181">
      <w:pPr>
        <w:tabs>
          <w:tab w:val="left" w:pos="720"/>
        </w:tabs>
        <w:spacing w:line="360" w:lineRule="auto"/>
        <w:ind w:firstLineChars="200" w:firstLine="480"/>
        <w:rPr>
          <w:rFonts w:ascii="Times New Roman" w:eastAsia="仿宋" w:hAnsi="Times New Roman"/>
          <w:bCs/>
          <w:sz w:val="24"/>
          <w:szCs w:val="24"/>
        </w:rPr>
      </w:pPr>
    </w:p>
    <w:sectPr w:rsidR="00651181">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7E46" w:rsidRDefault="00027E46">
      <w:r>
        <w:separator/>
      </w:r>
    </w:p>
  </w:endnote>
  <w:endnote w:type="continuationSeparator" w:id="0">
    <w:p w:rsidR="00027E46" w:rsidRDefault="00027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181" w:rsidRDefault="00651181">
    <w:pPr>
      <w:pStyle w:val="a8"/>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181" w:rsidRDefault="00027E46">
    <w:pPr>
      <w:pStyle w:val="a8"/>
      <w:jc w:val="center"/>
    </w:pPr>
    <w:r>
      <w:fldChar w:fldCharType="begin"/>
    </w:r>
    <w:r>
      <w:instrText xml:space="preserve"> PAGE   \* MERGEFORMAT </w:instrText>
    </w:r>
    <w:r>
      <w:fldChar w:fldCharType="separate"/>
    </w:r>
    <w:r w:rsidR="00B84F0B" w:rsidRPr="00B84F0B">
      <w:rPr>
        <w:noProof/>
        <w:lang w:val="zh-CN"/>
      </w:rPr>
      <w:t>7</w:t>
    </w:r>
    <w:r>
      <w:rPr>
        <w:lang w:val="zh-CN"/>
      </w:rPr>
      <w:fldChar w:fldCharType="end"/>
    </w:r>
  </w:p>
  <w:p w:rsidR="00651181" w:rsidRDefault="00651181">
    <w:pPr>
      <w:pStyle w:val="a8"/>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181" w:rsidRDefault="00651181">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7E46" w:rsidRDefault="00027E46">
      <w:r>
        <w:separator/>
      </w:r>
    </w:p>
  </w:footnote>
  <w:footnote w:type="continuationSeparator" w:id="0">
    <w:p w:rsidR="00027E46" w:rsidRDefault="00027E4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181" w:rsidRDefault="00651181">
    <w:pPr>
      <w:pStyle w:val="a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181" w:rsidRDefault="00651181">
    <w:pPr>
      <w:pStyle w:val="aa"/>
      <w:pBdr>
        <w:bottom w:val="none" w:sz="0" w:space="0" w:color="auto"/>
      </w:pBd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181" w:rsidRDefault="00651181">
    <w:pPr>
      <w:pStyle w:val="aa"/>
      <w:pBdr>
        <w:bottom w:val="none" w:sz="0" w:space="0" w:color="auto"/>
      </w:pBd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ADF2A50"/>
    <w:multiLevelType w:val="singleLevel"/>
    <w:tmpl w:val="DADF2A50"/>
    <w:lvl w:ilvl="0">
      <w:start w:val="3"/>
      <w:numFmt w:val="chineseCounting"/>
      <w:suff w:val="nothing"/>
      <w:lvlText w:val="%1、"/>
      <w:lvlJc w:val="left"/>
      <w:rPr>
        <w:rFonts w:hint="eastAsia"/>
      </w:rPr>
    </w:lvl>
  </w:abstractNum>
  <w:abstractNum w:abstractNumId="1" w15:restartNumberingAfterBreak="0">
    <w:nsid w:val="07FA55B6"/>
    <w:multiLevelType w:val="singleLevel"/>
    <w:tmpl w:val="07FA55B6"/>
    <w:lvl w:ilvl="0">
      <w:start w:val="2"/>
      <w:numFmt w:val="chineseCounting"/>
      <w:suff w:val="nothing"/>
      <w:lvlText w:val="%1、"/>
      <w:lvlJc w:val="left"/>
      <w:rPr>
        <w:rFonts w:hint="eastAsia"/>
      </w:rPr>
    </w:lvl>
  </w:abstractNum>
  <w:abstractNum w:abstractNumId="2" w15:restartNumberingAfterBreak="0">
    <w:nsid w:val="09EABE3B"/>
    <w:multiLevelType w:val="singleLevel"/>
    <w:tmpl w:val="09EABE3B"/>
    <w:lvl w:ilvl="0">
      <w:start w:val="2"/>
      <w:numFmt w:val="decimal"/>
      <w:suff w:val="nothing"/>
      <w:lvlText w:val="（%1）"/>
      <w:lvlJc w:val="left"/>
    </w:lvl>
  </w:abstractNum>
  <w:abstractNum w:abstractNumId="3"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
      <w:suff w:val="nothing"/>
      <w:lvlText w:val="%1%2　"/>
      <w:lvlJc w:val="left"/>
      <w:pPr>
        <w:ind w:left="0" w:firstLine="0"/>
      </w:pPr>
      <w:rPr>
        <w:rFonts w:ascii="黑体" w:eastAsia="黑体" w:hint="eastAsia"/>
        <w:b w:val="0"/>
        <w:i w:val="0"/>
        <w:sz w:val="21"/>
      </w:rPr>
    </w:lvl>
    <w:lvl w:ilvl="2">
      <w:start w:val="1"/>
      <w:numFmt w:val="decimal"/>
      <w:pStyle w:val="a0"/>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zVjYzQ2MmI3YWUxN2QzY2IzYThiYmRkNmMxNGE3ZTcifQ=="/>
  </w:docVars>
  <w:rsids>
    <w:rsidRoot w:val="00D32BE3"/>
    <w:rsid w:val="0000090B"/>
    <w:rsid w:val="00027E46"/>
    <w:rsid w:val="00033D44"/>
    <w:rsid w:val="000474C5"/>
    <w:rsid w:val="0007255D"/>
    <w:rsid w:val="000B2587"/>
    <w:rsid w:val="000B74CB"/>
    <w:rsid w:val="000C4C1C"/>
    <w:rsid w:val="000D66B2"/>
    <w:rsid w:val="001953A5"/>
    <w:rsid w:val="001A62D8"/>
    <w:rsid w:val="001F03AA"/>
    <w:rsid w:val="00200A46"/>
    <w:rsid w:val="00214152"/>
    <w:rsid w:val="00260017"/>
    <w:rsid w:val="002C5681"/>
    <w:rsid w:val="003141B4"/>
    <w:rsid w:val="003E45CF"/>
    <w:rsid w:val="0040375D"/>
    <w:rsid w:val="004E496B"/>
    <w:rsid w:val="00531545"/>
    <w:rsid w:val="00566C2F"/>
    <w:rsid w:val="0059602F"/>
    <w:rsid w:val="005E5C93"/>
    <w:rsid w:val="00606F82"/>
    <w:rsid w:val="00651181"/>
    <w:rsid w:val="006B26B4"/>
    <w:rsid w:val="006F2E33"/>
    <w:rsid w:val="00712B27"/>
    <w:rsid w:val="00761F8E"/>
    <w:rsid w:val="0082062C"/>
    <w:rsid w:val="00824594"/>
    <w:rsid w:val="008312C9"/>
    <w:rsid w:val="0084248E"/>
    <w:rsid w:val="00867740"/>
    <w:rsid w:val="00867F40"/>
    <w:rsid w:val="008B63B5"/>
    <w:rsid w:val="0093750B"/>
    <w:rsid w:val="00960FD5"/>
    <w:rsid w:val="009731F8"/>
    <w:rsid w:val="00994CAB"/>
    <w:rsid w:val="009C12BE"/>
    <w:rsid w:val="009C54A7"/>
    <w:rsid w:val="009D6706"/>
    <w:rsid w:val="009E5E20"/>
    <w:rsid w:val="009F035C"/>
    <w:rsid w:val="009F1D74"/>
    <w:rsid w:val="009F2BA1"/>
    <w:rsid w:val="00A01909"/>
    <w:rsid w:val="00A30C03"/>
    <w:rsid w:val="00AD7D35"/>
    <w:rsid w:val="00B11890"/>
    <w:rsid w:val="00B217CD"/>
    <w:rsid w:val="00B413BF"/>
    <w:rsid w:val="00B47F13"/>
    <w:rsid w:val="00B84F0B"/>
    <w:rsid w:val="00BB58A5"/>
    <w:rsid w:val="00BC5EB6"/>
    <w:rsid w:val="00C42F40"/>
    <w:rsid w:val="00C96FB9"/>
    <w:rsid w:val="00CA5E99"/>
    <w:rsid w:val="00CB57B2"/>
    <w:rsid w:val="00CC5378"/>
    <w:rsid w:val="00CC6F4A"/>
    <w:rsid w:val="00D32BE3"/>
    <w:rsid w:val="00D3570D"/>
    <w:rsid w:val="00DE1162"/>
    <w:rsid w:val="00DE1F0C"/>
    <w:rsid w:val="00DF3FA6"/>
    <w:rsid w:val="00E816AC"/>
    <w:rsid w:val="00EB00A5"/>
    <w:rsid w:val="00EC38FC"/>
    <w:rsid w:val="00EE11C2"/>
    <w:rsid w:val="00F86F15"/>
    <w:rsid w:val="00FB3FD1"/>
    <w:rsid w:val="00FF69D4"/>
    <w:rsid w:val="01CB5CDE"/>
    <w:rsid w:val="0CAF720A"/>
    <w:rsid w:val="0E56208F"/>
    <w:rsid w:val="1E0A7CF1"/>
    <w:rsid w:val="29487D1E"/>
    <w:rsid w:val="29AD7AE2"/>
    <w:rsid w:val="312A2BB7"/>
    <w:rsid w:val="35375ADD"/>
    <w:rsid w:val="4B21606D"/>
    <w:rsid w:val="53105131"/>
    <w:rsid w:val="6B4E48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AEA58"/>
  <w15:docId w15:val="{85619848-CE80-4E85-83D3-AB08E8F1B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widowControl w:val="0"/>
      <w:jc w:val="both"/>
    </w:pPr>
    <w:rPr>
      <w:rFonts w:ascii="Calibri" w:hAnsi="Calibri"/>
      <w:kern w:val="2"/>
      <w:sz w:val="21"/>
      <w:szCs w:val="22"/>
    </w:rPr>
  </w:style>
  <w:style w:type="paragraph" w:styleId="1">
    <w:name w:val="heading 1"/>
    <w:basedOn w:val="a1"/>
    <w:next w:val="a1"/>
    <w:uiPriority w:val="9"/>
    <w:qFormat/>
    <w:pPr>
      <w:spacing w:beforeAutospacing="1" w:afterAutospacing="1"/>
      <w:jc w:val="left"/>
      <w:outlineLvl w:val="0"/>
    </w:pPr>
    <w:rPr>
      <w:rFonts w:ascii="宋体" w:hAnsi="宋体" w:hint="eastAsia"/>
      <w:b/>
      <w:bCs/>
      <w:kern w:val="44"/>
      <w:sz w:val="48"/>
      <w:szCs w:val="48"/>
    </w:rPr>
  </w:style>
  <w:style w:type="paragraph" w:styleId="2">
    <w:name w:val="heading 2"/>
    <w:basedOn w:val="a1"/>
    <w:next w:val="a1"/>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annotation text"/>
    <w:basedOn w:val="a1"/>
    <w:uiPriority w:val="99"/>
    <w:semiHidden/>
    <w:unhideWhenUsed/>
    <w:qFormat/>
    <w:pPr>
      <w:jc w:val="left"/>
    </w:pPr>
  </w:style>
  <w:style w:type="paragraph" w:styleId="a6">
    <w:name w:val="Balloon Text"/>
    <w:basedOn w:val="a1"/>
    <w:link w:val="a7"/>
    <w:uiPriority w:val="99"/>
    <w:semiHidden/>
    <w:unhideWhenUsed/>
    <w:qFormat/>
    <w:rPr>
      <w:sz w:val="18"/>
      <w:szCs w:val="18"/>
    </w:rPr>
  </w:style>
  <w:style w:type="paragraph" w:styleId="a8">
    <w:name w:val="footer"/>
    <w:basedOn w:val="a1"/>
    <w:link w:val="a9"/>
    <w:unhideWhenUsed/>
    <w:qFormat/>
    <w:pPr>
      <w:tabs>
        <w:tab w:val="center" w:pos="4153"/>
        <w:tab w:val="right" w:pos="8306"/>
      </w:tabs>
      <w:snapToGrid w:val="0"/>
      <w:jc w:val="left"/>
    </w:pPr>
    <w:rPr>
      <w:sz w:val="18"/>
      <w:szCs w:val="18"/>
    </w:rPr>
  </w:style>
  <w:style w:type="paragraph" w:styleId="aa">
    <w:name w:val="header"/>
    <w:basedOn w:val="a1"/>
    <w:link w:val="ab"/>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1"/>
    <w:next w:val="a1"/>
    <w:uiPriority w:val="39"/>
    <w:unhideWhenUsed/>
    <w:qFormat/>
  </w:style>
  <w:style w:type="paragraph" w:styleId="21">
    <w:name w:val="toc 2"/>
    <w:basedOn w:val="a1"/>
    <w:next w:val="a1"/>
    <w:uiPriority w:val="39"/>
    <w:semiHidden/>
    <w:unhideWhenUsed/>
    <w:pPr>
      <w:ind w:leftChars="200" w:left="420"/>
    </w:pPr>
  </w:style>
  <w:style w:type="paragraph" w:styleId="ac">
    <w:name w:val="Normal (Web)"/>
    <w:basedOn w:val="a1"/>
    <w:uiPriority w:val="99"/>
    <w:qFormat/>
    <w:pPr>
      <w:widowControl/>
      <w:spacing w:before="100" w:beforeAutospacing="1" w:after="100" w:afterAutospacing="1"/>
      <w:jc w:val="left"/>
    </w:pPr>
    <w:rPr>
      <w:rFonts w:ascii="宋体" w:hAnsi="宋体"/>
      <w:kern w:val="0"/>
      <w:sz w:val="24"/>
    </w:rPr>
  </w:style>
  <w:style w:type="table" w:styleId="ad">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2"/>
    <w:uiPriority w:val="99"/>
    <w:unhideWhenUsed/>
    <w:qFormat/>
    <w:rPr>
      <w:color w:val="0563C1" w:themeColor="hyperlink"/>
      <w:u w:val="single"/>
    </w:rPr>
  </w:style>
  <w:style w:type="character" w:styleId="af">
    <w:name w:val="annotation reference"/>
    <w:basedOn w:val="a2"/>
    <w:uiPriority w:val="99"/>
    <w:semiHidden/>
    <w:unhideWhenUsed/>
    <w:qFormat/>
    <w:rPr>
      <w:sz w:val="21"/>
      <w:szCs w:val="21"/>
    </w:rPr>
  </w:style>
  <w:style w:type="character" w:customStyle="1" w:styleId="Char">
    <w:name w:val="段 Char"/>
    <w:link w:val="af0"/>
    <w:qFormat/>
    <w:rPr>
      <w:rFonts w:ascii="宋体"/>
    </w:rPr>
  </w:style>
  <w:style w:type="paragraph" w:customStyle="1" w:styleId="af0">
    <w:name w:val="段"/>
    <w:link w:val="Char"/>
    <w:qFormat/>
    <w:pPr>
      <w:tabs>
        <w:tab w:val="center" w:pos="4201"/>
        <w:tab w:val="right" w:leader="dot" w:pos="9298"/>
      </w:tabs>
      <w:autoSpaceDE w:val="0"/>
      <w:autoSpaceDN w:val="0"/>
      <w:ind w:firstLineChars="200" w:firstLine="420"/>
      <w:jc w:val="both"/>
    </w:pPr>
    <w:rPr>
      <w:rFonts w:ascii="宋体" w:eastAsiaTheme="minorEastAsia" w:hAnsiTheme="minorHAnsi" w:cstheme="minorBidi"/>
      <w:kern w:val="2"/>
      <w:sz w:val="21"/>
      <w:szCs w:val="22"/>
    </w:rPr>
  </w:style>
  <w:style w:type="character" w:customStyle="1" w:styleId="a7">
    <w:name w:val="批注框文本 字符"/>
    <w:basedOn w:val="a2"/>
    <w:link w:val="a6"/>
    <w:uiPriority w:val="99"/>
    <w:semiHidden/>
    <w:qFormat/>
    <w:rPr>
      <w:rFonts w:ascii="Times New Roman" w:eastAsia="宋体" w:hAnsi="Times New Roman" w:cs="Times New Roman"/>
      <w:sz w:val="18"/>
      <w:szCs w:val="18"/>
    </w:rPr>
  </w:style>
  <w:style w:type="character" w:customStyle="1" w:styleId="ab">
    <w:name w:val="页眉 字符"/>
    <w:basedOn w:val="a2"/>
    <w:link w:val="aa"/>
    <w:qFormat/>
    <w:rPr>
      <w:rFonts w:ascii="Calibri" w:eastAsia="宋体" w:hAnsi="Calibri" w:cs="Times New Roman"/>
      <w:sz w:val="18"/>
      <w:szCs w:val="18"/>
    </w:rPr>
  </w:style>
  <w:style w:type="character" w:customStyle="1" w:styleId="a9">
    <w:name w:val="页脚 字符"/>
    <w:basedOn w:val="a2"/>
    <w:link w:val="a8"/>
    <w:qFormat/>
    <w:rPr>
      <w:rFonts w:ascii="Calibri" w:eastAsia="宋体" w:hAnsi="Calibri" w:cs="Times New Roman"/>
      <w:sz w:val="18"/>
      <w:szCs w:val="18"/>
    </w:rPr>
  </w:style>
  <w:style w:type="paragraph" w:styleId="af1">
    <w:name w:val="List Paragraph"/>
    <w:basedOn w:val="a1"/>
    <w:uiPriority w:val="34"/>
    <w:qFormat/>
    <w:pPr>
      <w:ind w:firstLineChars="200" w:firstLine="420"/>
    </w:pPr>
  </w:style>
  <w:style w:type="character" w:customStyle="1" w:styleId="20">
    <w:name w:val="标题 2 字符"/>
    <w:basedOn w:val="a2"/>
    <w:link w:val="2"/>
    <w:uiPriority w:val="9"/>
    <w:qFormat/>
    <w:rPr>
      <w:rFonts w:asciiTheme="majorHAnsi" w:eastAsiaTheme="majorEastAsia" w:hAnsiTheme="majorHAnsi" w:cstheme="majorBidi"/>
      <w:b/>
      <w:bCs/>
      <w:sz w:val="32"/>
      <w:szCs w:val="32"/>
    </w:rPr>
  </w:style>
  <w:style w:type="character" w:customStyle="1" w:styleId="Char0">
    <w:name w:val="图表头 Char"/>
    <w:link w:val="af2"/>
    <w:qFormat/>
    <w:locked/>
    <w:rPr>
      <w:b/>
      <w:sz w:val="18"/>
      <w:szCs w:val="24"/>
      <w:lang w:val="zh-CN" w:eastAsia="zh-CN"/>
    </w:rPr>
  </w:style>
  <w:style w:type="paragraph" w:customStyle="1" w:styleId="af2">
    <w:name w:val="图表头"/>
    <w:basedOn w:val="a1"/>
    <w:link w:val="Char0"/>
    <w:qFormat/>
    <w:pPr>
      <w:spacing w:beforeLines="50"/>
      <w:jc w:val="center"/>
    </w:pPr>
    <w:rPr>
      <w:rFonts w:asciiTheme="minorHAnsi" w:eastAsiaTheme="minorEastAsia" w:hAnsiTheme="minorHAnsi" w:cstheme="minorBidi"/>
      <w:b/>
      <w:sz w:val="18"/>
      <w:lang w:val="zh-CN"/>
    </w:rPr>
  </w:style>
  <w:style w:type="paragraph" w:customStyle="1" w:styleId="af3">
    <w:name w:val="标准文件_段"/>
    <w:qFormat/>
    <w:pPr>
      <w:autoSpaceDE w:val="0"/>
      <w:autoSpaceDN w:val="0"/>
      <w:ind w:firstLineChars="200" w:firstLine="200"/>
      <w:jc w:val="both"/>
    </w:pPr>
    <w:rPr>
      <w:rFonts w:ascii="宋体"/>
      <w:sz w:val="21"/>
    </w:rPr>
  </w:style>
  <w:style w:type="paragraph" w:customStyle="1" w:styleId="a">
    <w:name w:val="标准文件_章标题"/>
    <w:next w:val="af3"/>
    <w:qFormat/>
    <w:pPr>
      <w:numPr>
        <w:ilvl w:val="1"/>
        <w:numId w:val="1"/>
      </w:numPr>
      <w:spacing w:beforeLines="100" w:afterLines="100"/>
      <w:jc w:val="both"/>
      <w:outlineLvl w:val="0"/>
    </w:pPr>
    <w:rPr>
      <w:rFonts w:ascii="黑体" w:eastAsia="黑体"/>
      <w:sz w:val="21"/>
    </w:rPr>
  </w:style>
  <w:style w:type="paragraph" w:customStyle="1" w:styleId="22">
    <w:name w:val="##2"/>
    <w:basedOn w:val="a0"/>
    <w:qFormat/>
    <w:pPr>
      <w:spacing w:before="156" w:after="156"/>
    </w:pPr>
  </w:style>
  <w:style w:type="paragraph" w:customStyle="1" w:styleId="a0">
    <w:name w:val="标准文件_一级条标题"/>
    <w:basedOn w:val="a"/>
    <w:next w:val="af3"/>
    <w:qFormat/>
    <w:pPr>
      <w:numPr>
        <w:ilvl w:val="2"/>
      </w:numPr>
      <w:spacing w:beforeLines="50" w:afterLines="50"/>
      <w:outlineLvl w:val="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1102</Words>
  <Characters>6284</Characters>
  <Application>Microsoft Office Word</Application>
  <DocSecurity>0</DocSecurity>
  <Lines>52</Lines>
  <Paragraphs>14</Paragraphs>
  <ScaleCrop>false</ScaleCrop>
  <Company>微软中国</Company>
  <LinksUpToDate>false</LinksUpToDate>
  <CharactersWithSpaces>7372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褚波</dc:creator>
  <cp:lastModifiedBy>微软用户</cp:lastModifiedBy>
  <cp:revision>57</cp:revision>
  <cp:lastPrinted>2023-07-20T08:44:00Z</cp:lastPrinted>
  <dcterms:created xsi:type="dcterms:W3CDTF">2020-06-15T06:19:00Z</dcterms:created>
  <dcterms:modified xsi:type="dcterms:W3CDTF">2023-07-20T09:10:00Z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A383B466FDAC46F99C395FBAE5CCEE5C</vt:lpwstr>
  </property>
</Properties>
</file>