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45" w:name="_GoBack"/>
            <w:bookmarkEnd w:id="45"/>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灌</w:t>
      </w:r>
      <w:r>
        <w:rPr>
          <w:rFonts w:hint="eastAsia"/>
        </w:rPr>
        <w:t>注</w:t>
      </w:r>
      <w:r>
        <w:t>式半柔性复合沥青路面应用技术规范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specifications for application of</w:t>
      </w: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pouring semi-flexible composite asphalt pavement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pPr>
        <w:pStyle w:val="56"/>
        <w:ind w:firstLine="420"/>
        <w:rPr>
          <w:rFonts w:hint="default" w:ascii="Times New Roman" w:hAnsi="Times New Roman" w:cs="Times New Roman"/>
        </w:rPr>
      </w:pPr>
      <w:r>
        <w:rPr>
          <w:rFonts w:hint="default" w:ascii="Times New Roman" w:hAnsi="Times New Roman" w:cs="Times New Roman"/>
        </w:rPr>
        <w:t>本文件的某些内容可能涉及专利，本文件的发布机构不承担识别专利的责任。</w:t>
      </w:r>
    </w:p>
    <w:p>
      <w:pPr>
        <w:pStyle w:val="56"/>
        <w:ind w:firstLine="420"/>
        <w:rPr>
          <w:rFonts w:hint="default" w:ascii="Times New Roman" w:hAnsi="Times New Roman" w:cs="Times New Roman"/>
        </w:rPr>
      </w:pPr>
      <w:r>
        <w:rPr>
          <w:rFonts w:hint="default" w:ascii="Times New Roman" w:hAnsi="Times New Roman" w:cs="Times New Roman"/>
        </w:rPr>
        <w:t>本文件由湖南省交通运输厅提出。</w:t>
      </w:r>
    </w:p>
    <w:p>
      <w:pPr>
        <w:pStyle w:val="56"/>
        <w:ind w:firstLine="420"/>
        <w:rPr>
          <w:rFonts w:hint="default" w:ascii="Times New Roman" w:hAnsi="Times New Roman" w:cs="Times New Roman"/>
        </w:rPr>
      </w:pPr>
      <w:r>
        <w:rPr>
          <w:rFonts w:hint="default" w:ascii="Times New Roman" w:hAnsi="Times New Roman" w:cs="Times New Roman"/>
        </w:rPr>
        <w:t>本文件由湖南省交通运输厅归口。</w:t>
      </w:r>
    </w:p>
    <w:p>
      <w:pPr>
        <w:pStyle w:val="56"/>
        <w:ind w:firstLine="420"/>
        <w:rPr>
          <w:rFonts w:hint="default" w:ascii="Times New Roman" w:hAnsi="Times New Roman" w:cs="Times New Roman"/>
        </w:rPr>
      </w:pPr>
      <w:r>
        <w:rPr>
          <w:rFonts w:hint="default" w:ascii="Times New Roman" w:hAnsi="Times New Roman" w:cs="Times New Roman"/>
        </w:rPr>
        <w:t>本文件起草单位：湖南省湘筑工程有限公司、北京城建设计发展集团股份有限公司、湖南省交通科学研究院有限公司、湖南省路桥集团有限公司、湖南华城检测技术有限公司、湖南省公路设计有限公司、湖南省交通职业技术学院、湖南新湘路交通科技有限公司、江苏苏博特新材料股份有限公司、湖南省白新高速公路建设开发有限公司。</w:t>
      </w:r>
    </w:p>
    <w:p>
      <w:pPr>
        <w:pStyle w:val="56"/>
        <w:ind w:firstLine="420"/>
      </w:pPr>
      <w:r>
        <w:rPr>
          <w:rFonts w:hint="default" w:ascii="Times New Roman" w:hAnsi="Times New Roman" w:cs="Times New Roman"/>
        </w:rPr>
        <w:t>本文件主要起草人：</w:t>
      </w:r>
      <w:r>
        <w:rPr>
          <w:rFonts w:hint="default" w:ascii="Times New Roman" w:hAnsi="Times New Roman" w:cs="Times New Roman"/>
          <w:highlight w:val="none"/>
        </w:rPr>
        <w:t>刘奇、张学欣、黄开宇、洪锦祥、蒋定、燕平、李翱、张洪剑、潘彪、黄允宝、宋小金、夏吉龙、陆勇、龚明辉、邓</w:t>
      </w:r>
      <w:r>
        <w:rPr>
          <w:rFonts w:hint="eastAsia"/>
          <w:highlight w:val="none"/>
        </w:rPr>
        <w:t>成、杨梦、熊子佳、江磊、范海军、王亚平、唐宇、刘军、肖文明、赖雄、刘至飞、李海红、李晓虎。</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11F2671783954DAFB2609A98915CEE12"/>
        </w:placeholder>
      </w:sdtPr>
      <w:sdtContent>
        <w:p>
          <w:pPr>
            <w:pStyle w:val="177"/>
            <w:spacing w:before="3" w:beforeLines="1" w:after="686" w:afterLines="220"/>
          </w:pPr>
          <w:bookmarkStart w:id="23" w:name="NEW_STAND_NAME"/>
          <w:r>
            <w:rPr>
              <w:rFonts w:hint="eastAsia"/>
            </w:rPr>
            <w:t>灌注式半柔性复合沥青路面应用技术规范</w:t>
          </w:r>
        </w:p>
      </w:sdtContent>
    </w:sdt>
    <w:bookmarkEnd w:id="23"/>
    <w:p>
      <w:pPr>
        <w:pStyle w:val="104"/>
        <w:spacing w:before="312" w:after="312"/>
      </w:pPr>
      <w:bookmarkStart w:id="24" w:name="_Toc26986771"/>
      <w:bookmarkStart w:id="25" w:name="_Toc97191423"/>
      <w:bookmarkStart w:id="26" w:name="_Toc24884211"/>
      <w:bookmarkStart w:id="27" w:name="_Toc26648465"/>
      <w:bookmarkStart w:id="28" w:name="_Toc26986530"/>
      <w:bookmarkStart w:id="29" w:name="_Toc17233325"/>
      <w:bookmarkStart w:id="30" w:name="_Toc24884218"/>
      <w:bookmarkStart w:id="31" w:name="_Toc26718930"/>
      <w:bookmarkStart w:id="32" w:name="_Toc17233333"/>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34"/>
      <w:bookmarkStart w:id="34" w:name="_Toc17233326"/>
      <w:bookmarkStart w:id="35" w:name="_Toc26648466"/>
      <w:bookmarkStart w:id="36" w:name="_Toc24884219"/>
      <w:bookmarkStart w:id="37" w:name="_Toc24884212"/>
      <w:r>
        <w:rPr>
          <w:rFonts w:hint="eastAsia"/>
        </w:rPr>
        <w:t>本文件规定了灌注式半柔性复合沥青路面的结构设计、材料、施工工艺、施工质量管理与检查验收等。</w:t>
      </w:r>
    </w:p>
    <w:p>
      <w:pPr>
        <w:pStyle w:val="56"/>
        <w:ind w:firstLine="420"/>
        <w:rPr>
          <w:rFonts w:hint="eastAsia"/>
        </w:rPr>
      </w:pPr>
      <w:r>
        <w:rPr>
          <w:rFonts w:hint="eastAsia"/>
        </w:rPr>
        <w:t>本文件适用于公路和城镇道路的平交口、公交专用车道、公交站、匝道、收费站广场、服务区、长大纵坡路段及电子导向胶轮交通系统廊道等抗车辙性能要求高的路面，机场跑道、港口与厂矿道路等可参照使用。</w:t>
      </w:r>
    </w:p>
    <w:p>
      <w:pPr>
        <w:pStyle w:val="104"/>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default" w:ascii="Times New Roman" w:hAnsi="Times New Roman" w:cs="Times New Roman"/>
        </w:rPr>
        <w:id w:val="715848253"/>
        <w:placeholder>
          <w:docPart w:val="7EB28783FEBF4B3AB4CB5D0B1BED6C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pPr>
            <w:pStyle w:val="56"/>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default" w:ascii="Times New Roman" w:hAnsi="Times New Roman" w:cs="Times New Roman"/>
        </w:rPr>
      </w:pPr>
      <w:r>
        <w:rPr>
          <w:rFonts w:hint="default" w:ascii="Times New Roman" w:hAnsi="Times New Roman" w:cs="Times New Roman"/>
        </w:rPr>
        <w:t>GB/T 50107 混凝土强度检验评定标准</w:t>
      </w:r>
    </w:p>
    <w:p>
      <w:pPr>
        <w:pStyle w:val="56"/>
        <w:ind w:firstLine="420"/>
        <w:rPr>
          <w:rFonts w:hint="default" w:ascii="Times New Roman" w:hAnsi="Times New Roman" w:cs="Times New Roman"/>
        </w:rPr>
      </w:pPr>
      <w:r>
        <w:rPr>
          <w:rFonts w:hint="default" w:ascii="Times New Roman" w:hAnsi="Times New Roman" w:cs="Times New Roman"/>
        </w:rPr>
        <w:t>CJJ 1 城镇道路工程施工与质量验收规范</w:t>
      </w:r>
    </w:p>
    <w:p>
      <w:pPr>
        <w:pStyle w:val="56"/>
        <w:ind w:firstLine="420"/>
        <w:rPr>
          <w:rFonts w:hint="default" w:ascii="Times New Roman" w:hAnsi="Times New Roman" w:cs="Times New Roman"/>
        </w:rPr>
      </w:pPr>
      <w:r>
        <w:rPr>
          <w:rFonts w:hint="default" w:ascii="Times New Roman" w:hAnsi="Times New Roman" w:cs="Times New Roman"/>
        </w:rPr>
        <w:t>CJJ 169 城镇道路路面设计规范</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3450 公路路基路面现场测试规程</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 xml:space="preserve">JTG 5220  公路养护工程质量检验评定标准 </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D50 公路沥青路面设计规范</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E20 公路工程沥青及沥青混合料试验规程</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E30 公路工程水泥及水泥混凝土试验规程</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F40 公路沥青路面施工技术规范</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F80/1 公路工程质量检验评定标准 第一册 土建工程</w:t>
      </w:r>
    </w:p>
    <w:p>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JTG/T F20 公路路面基层施工技术细则</w:t>
      </w:r>
    </w:p>
    <w:p>
      <w:pPr>
        <w:pStyle w:val="56"/>
        <w:ind w:firstLine="420"/>
        <w:rPr>
          <w:rFonts w:hint="default" w:ascii="Times New Roman" w:hAnsi="Times New Roman" w:cs="Times New Roman"/>
        </w:rPr>
      </w:pPr>
      <w:r>
        <w:rPr>
          <w:rFonts w:hint="default" w:ascii="Times New Roman" w:hAnsi="Times New Roman" w:cs="Times New Roman"/>
        </w:rPr>
        <w:t>JT/T 533 沥青路面用纤维</w:t>
      </w:r>
    </w:p>
    <w:p>
      <w:pPr>
        <w:pStyle w:val="56"/>
        <w:ind w:firstLine="420"/>
        <w:rPr>
          <w:rFonts w:hint="default" w:ascii="Times New Roman" w:hAnsi="Times New Roman" w:cs="Times New Roman"/>
        </w:rPr>
      </w:pPr>
      <w:r>
        <w:rPr>
          <w:rFonts w:hint="default" w:ascii="Times New Roman" w:hAnsi="Times New Roman" w:cs="Times New Roman"/>
        </w:rPr>
        <w:t>JT/T 798 路用废胎胶粉橡胶沥青</w:t>
      </w:r>
    </w:p>
    <w:p>
      <w:pPr>
        <w:pStyle w:val="56"/>
        <w:ind w:firstLine="420"/>
        <w:rPr>
          <w:rFonts w:hint="default" w:ascii="Times New Roman" w:hAnsi="Times New Roman" w:cs="Times New Roman"/>
        </w:rPr>
      </w:pPr>
      <w:r>
        <w:rPr>
          <w:rFonts w:hint="default" w:ascii="Times New Roman" w:hAnsi="Times New Roman" w:cs="Times New Roman"/>
        </w:rPr>
        <w:t>JTG/T 3350-03 排水沥青路面设计与施工技术规范</w:t>
      </w:r>
    </w:p>
    <w:p>
      <w:pPr>
        <w:pStyle w:val="104"/>
        <w:spacing w:before="312" w:after="312"/>
        <w:rPr>
          <w:rFonts w:hint="default" w:ascii="Times New Roman" w:hAnsi="Times New Roman" w:cs="Times New Roman"/>
        </w:rPr>
      </w:pPr>
      <w:bookmarkStart w:id="42" w:name="_Toc97191425"/>
      <w:r>
        <w:rPr>
          <w:rFonts w:hint="default" w:ascii="Times New Roman" w:hAnsi="Times New Roman" w:cs="Times New Roman"/>
          <w:szCs w:val="21"/>
        </w:rPr>
        <w:t>术语和定义</w:t>
      </w:r>
      <w:bookmarkEnd w:id="42"/>
    </w:p>
    <w:p>
      <w:pPr>
        <w:pStyle w:val="56"/>
        <w:ind w:firstLine="420"/>
        <w:rPr>
          <w:rFonts w:hint="default" w:ascii="Times New Roman" w:hAnsi="Times New Roman" w:cs="Times New Roman"/>
        </w:rPr>
      </w:pPr>
      <w:bookmarkStart w:id="43" w:name="_Toc26986532"/>
      <w:bookmarkEnd w:id="43"/>
      <w:sdt>
        <w:sdtPr>
          <w:rPr>
            <w:rFonts w:hint="default" w:ascii="Times New Roman" w:hAnsi="Times New Roman" w:cs="Times New Roman"/>
            <w:highlight w:val="none"/>
          </w:rPr>
          <w:id w:val="-1909835108"/>
          <w:placeholder>
            <w:docPart w:val="94A2C3E62D9C4241B76E073088604C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highlight w:val="yellow"/>
          </w:rPr>
        </w:sdtEndPr>
        <w:sdtContent>
          <w:r>
            <w:rPr>
              <w:rFonts w:hint="default" w:ascii="Times New Roman" w:hAnsi="Times New Roman" w:cs="Times New Roman"/>
              <w:highlight w:val="none"/>
            </w:rPr>
            <w:t>上述引用文件界定的以及下列术语和缩略语适用于本文件。</w:t>
          </w:r>
        </w:sdtContent>
      </w:sdt>
    </w:p>
    <w:p>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灌注式半柔性复合</w:t>
      </w:r>
      <w:r>
        <w:rPr>
          <w:rFonts w:hint="default" w:ascii="Times New Roman" w:hAnsi="Times New Roman" w:eastAsia="黑体" w:cs="Times New Roman"/>
          <w:lang w:val="en-US" w:eastAsia="zh-CN"/>
        </w:rPr>
        <w:t>沥青路面</w:t>
      </w:r>
      <w:r>
        <w:rPr>
          <w:rFonts w:hint="default" w:ascii="Times New Roman" w:hAnsi="Times New Roman" w:eastAsia="黑体" w:cs="Times New Roman"/>
        </w:rPr>
        <w:t xml:space="preserve"> </w:t>
      </w:r>
      <w:r>
        <w:rPr>
          <w:rFonts w:hint="default" w:ascii="Times New Roman" w:hAnsi="Times New Roman" w:cs="Times New Roman"/>
          <w:lang w:val="en-US" w:eastAsia="zh-CN"/>
        </w:rPr>
        <w:t>p</w:t>
      </w:r>
      <w:r>
        <w:rPr>
          <w:rFonts w:hint="default" w:ascii="Times New Roman" w:hAnsi="Times New Roman" w:eastAsia="黑体" w:cs="Times New Roman"/>
        </w:rPr>
        <w:t xml:space="preserve">ouring semi flexible composite asphalt pavement </w:t>
      </w:r>
    </w:p>
    <w:p>
      <w:pPr>
        <w:pStyle w:val="56"/>
        <w:ind w:firstLine="420"/>
        <w:rPr>
          <w:rFonts w:hint="default" w:ascii="Times New Roman" w:hAnsi="Times New Roman" w:cs="Times New Roman"/>
        </w:rPr>
      </w:pPr>
      <w:r>
        <w:rPr>
          <w:rFonts w:hint="default" w:ascii="Times New Roman" w:hAnsi="Times New Roman" w:cs="Times New Roman"/>
        </w:rPr>
        <w:t>在基体大空隙沥青混合料中灌注灌浆料浆体而形成的一种复合面层。</w:t>
      </w:r>
    </w:p>
    <w:p>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灌浆料 grouting material</w:t>
      </w:r>
    </w:p>
    <w:p>
      <w:pPr>
        <w:pStyle w:val="56"/>
        <w:ind w:firstLine="420"/>
        <w:rPr>
          <w:rFonts w:hint="default" w:ascii="Times New Roman" w:hAnsi="Times New Roman" w:cs="Times New Roman"/>
        </w:rPr>
      </w:pPr>
      <w:r>
        <w:rPr>
          <w:rFonts w:hint="default" w:ascii="Times New Roman" w:hAnsi="Times New Roman" w:cs="Times New Roman"/>
        </w:rPr>
        <w:t>由水泥、矿物掺合料、砂和外加剂按比例混合制成的干混料。</w:t>
      </w:r>
    </w:p>
    <w:p>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基体大空隙沥青混合料 base</w:t>
      </w:r>
      <w:r>
        <w:rPr>
          <w:rFonts w:hint="default" w:ascii="Times New Roman" w:hAnsi="Times New Roman" w:eastAsia="黑体" w:cs="Times New Roman"/>
          <w:lang w:val="en-US" w:eastAsia="zh-CN"/>
        </w:rPr>
        <w:t xml:space="preserve"> </w:t>
      </w:r>
      <w:r>
        <w:rPr>
          <w:rFonts w:hint="default" w:ascii="Times New Roman" w:hAnsi="Times New Roman" w:eastAsia="黑体" w:cs="Times New Roman"/>
        </w:rPr>
        <w:t xml:space="preserve">porous asphalt mixture </w:t>
      </w:r>
    </w:p>
    <w:p>
      <w:pPr>
        <w:pStyle w:val="56"/>
        <w:ind w:firstLine="420"/>
        <w:rPr>
          <w:rFonts w:hint="default" w:ascii="Times New Roman" w:hAnsi="Times New Roman" w:cs="Times New Roman"/>
        </w:rPr>
      </w:pPr>
      <w:r>
        <w:rPr>
          <w:rFonts w:hint="default" w:ascii="Times New Roman" w:hAnsi="Times New Roman" w:cs="Times New Roman"/>
        </w:rPr>
        <w:t>可用于灌注灌浆料浆体的连通空隙率为15%~25%的基体沥青混合料。</w:t>
      </w:r>
    </w:p>
    <w:p>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 xml:space="preserve">灌浆饱满度grouting plumpness voids filled with grouting </w:t>
      </w:r>
    </w:p>
    <w:p>
      <w:pPr>
        <w:pStyle w:val="56"/>
        <w:ind w:firstLine="420"/>
        <w:rPr>
          <w:rFonts w:hint="default" w:ascii="Times New Roman" w:hAnsi="Times New Roman" w:cs="Times New Roman"/>
        </w:rPr>
      </w:pPr>
      <w:r>
        <w:rPr>
          <w:rFonts w:hint="default" w:ascii="Times New Roman" w:hAnsi="Times New Roman" w:cs="Times New Roman"/>
        </w:rPr>
        <w:t>灌注式半柔性复合面层材料中浆体体积占大空隙沥青混凝土连通空隙体积的百分比。</w:t>
      </w:r>
    </w:p>
    <w:p>
      <w:pPr>
        <w:pStyle w:val="104"/>
        <w:spacing w:before="312" w:after="312"/>
        <w:rPr>
          <w:rFonts w:hint="default" w:ascii="Times New Roman" w:hAnsi="Times New Roman" w:cs="Times New Roman"/>
          <w:szCs w:val="21"/>
        </w:rPr>
      </w:pPr>
      <w:r>
        <w:rPr>
          <w:rFonts w:hint="default" w:ascii="Times New Roman" w:hAnsi="Times New Roman" w:cs="Times New Roman"/>
        </w:rPr>
        <w:t>缩略语</w:t>
      </w:r>
    </w:p>
    <w:p>
      <w:pPr>
        <w:pStyle w:val="56"/>
        <w:ind w:firstLine="420"/>
        <w:rPr>
          <w:rFonts w:hint="default" w:ascii="Times New Roman" w:hAnsi="Times New Roman" w:cs="Times New Roman"/>
        </w:rPr>
      </w:pPr>
      <w:r>
        <w:rPr>
          <w:rFonts w:hint="default" w:ascii="Times New Roman" w:hAnsi="Times New Roman" w:cs="Times New Roman"/>
        </w:rPr>
        <w:t>下列缩略语适用于本文件。</w:t>
      </w:r>
    </w:p>
    <w:p>
      <w:pPr>
        <w:pStyle w:val="56"/>
        <w:ind w:firstLine="420"/>
        <w:rPr>
          <w:rFonts w:hint="default" w:ascii="Times New Roman" w:hAnsi="Times New Roman" w:cs="Times New Roman"/>
        </w:rPr>
      </w:pPr>
      <w:r>
        <w:rPr>
          <w:rFonts w:hint="default" w:ascii="Times New Roman" w:hAnsi="Times New Roman" w:cs="Times New Roman"/>
        </w:rPr>
        <w:t>SPAC：基体大空隙沥青混凝土</w:t>
      </w:r>
    </w:p>
    <w:p>
      <w:pPr>
        <w:pStyle w:val="56"/>
        <w:ind w:firstLine="420"/>
        <w:rPr>
          <w:rFonts w:hint="default" w:ascii="Times New Roman" w:hAnsi="Times New Roman" w:cs="Times New Roman"/>
        </w:rPr>
      </w:pPr>
      <w:r>
        <w:rPr>
          <w:rFonts w:hint="default" w:ascii="Times New Roman" w:hAnsi="Times New Roman" w:cs="Times New Roman"/>
        </w:rPr>
        <w:t>SFP：灌注式半柔性复合</w:t>
      </w:r>
      <w:r>
        <w:rPr>
          <w:rFonts w:hint="default" w:ascii="Times New Roman" w:hAnsi="Times New Roman" w:cs="Times New Roman"/>
          <w:lang w:val="en-US" w:eastAsia="zh-CN"/>
        </w:rPr>
        <w:t>沥青路面</w:t>
      </w:r>
    </w:p>
    <w:p>
      <w:pPr>
        <w:pStyle w:val="56"/>
        <w:ind w:firstLine="420"/>
        <w:rPr>
          <w:rFonts w:hint="default" w:ascii="Times New Roman" w:hAnsi="Times New Roman" w:cs="Times New Roman"/>
        </w:rPr>
      </w:pPr>
      <w:r>
        <w:rPr>
          <w:rFonts w:hint="default" w:ascii="Times New Roman" w:hAnsi="Times New Roman" w:cs="Times New Roman"/>
        </w:rPr>
        <w:t>Pc：连通空隙率</w:t>
      </w:r>
    </w:p>
    <w:p>
      <w:pPr>
        <w:pStyle w:val="56"/>
        <w:ind w:firstLine="420"/>
        <w:rPr>
          <w:rFonts w:hint="default" w:ascii="Times New Roman" w:hAnsi="Times New Roman" w:cs="Times New Roman"/>
        </w:rPr>
      </w:pPr>
      <w:r>
        <w:rPr>
          <w:rFonts w:hint="default" w:ascii="Times New Roman" w:hAnsi="Times New Roman" w:cs="Times New Roman"/>
          <w:highlight w:val="none"/>
        </w:rPr>
        <w:t>VFG</w:t>
      </w:r>
      <w:r>
        <w:rPr>
          <w:rFonts w:hint="default" w:ascii="Times New Roman" w:hAnsi="Times New Roman" w:cs="Times New Roman"/>
        </w:rPr>
        <w:t>：灌浆饱满度</w:t>
      </w:r>
    </w:p>
    <w:p>
      <w:pPr>
        <w:pStyle w:val="104"/>
        <w:spacing w:before="312" w:after="312"/>
        <w:rPr>
          <w:rFonts w:hint="default" w:ascii="Times New Roman" w:hAnsi="Times New Roman" w:cs="Times New Roman"/>
          <w:highlight w:val="none"/>
        </w:rPr>
      </w:pPr>
      <w:r>
        <w:rPr>
          <w:rFonts w:hint="default" w:ascii="Times New Roman" w:hAnsi="Times New Roman" w:cs="Times New Roman"/>
          <w:highlight w:val="none"/>
        </w:rPr>
        <w:t>结构设计</w:t>
      </w:r>
    </w:p>
    <w:p>
      <w:pPr>
        <w:pStyle w:val="105"/>
        <w:spacing w:before="156" w:after="156"/>
        <w:rPr>
          <w:rFonts w:hint="default" w:ascii="Times New Roman" w:hAnsi="Times New Roman" w:cs="Times New Roman"/>
        </w:rPr>
      </w:pPr>
      <w:r>
        <w:rPr>
          <w:rFonts w:hint="default" w:ascii="Times New Roman" w:hAnsi="Times New Roman" w:cs="Times New Roman"/>
        </w:rPr>
        <w:t>一般规定</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灌注式半柔性复合沥青路面中应含有一层或多层灌注式半柔性复合面层；基层应采用无机结合料稳定类基层或沥青稳定类基层。</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灌注式半柔性复合路面可用于道路路面的上面层、中面层或下面层。对于车辆启停频繁、交通渠化、重载等易产生车辙的路面，复合面层宜用于上面层。</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灌注式半柔性复合沥青路面的设计应符合JTG D50、CJJ 169的有关规定。</w:t>
      </w:r>
    </w:p>
    <w:p>
      <w:pPr>
        <w:pStyle w:val="105"/>
        <w:spacing w:before="156" w:after="156"/>
        <w:rPr>
          <w:rFonts w:hint="default" w:ascii="Times New Roman" w:hAnsi="Times New Roman" w:cs="Times New Roman"/>
        </w:rPr>
      </w:pPr>
      <w:r>
        <w:rPr>
          <w:rFonts w:hint="default" w:ascii="Times New Roman" w:hAnsi="Times New Roman" w:cs="Times New Roman"/>
        </w:rPr>
        <w:t>灌注式半柔性复合路面结构组合</w:t>
      </w:r>
    </w:p>
    <w:p>
      <w:pPr>
        <w:pStyle w:val="65"/>
        <w:spacing w:before="156" w:after="156"/>
        <w:rPr>
          <w:rFonts w:hint="eastAsia" w:ascii="宋体" w:hAnsi="宋体" w:eastAsia="宋体" w:cs="宋体"/>
        </w:rPr>
      </w:pPr>
      <w:r>
        <w:rPr>
          <w:rFonts w:hint="default" w:ascii="Times New Roman" w:hAnsi="Times New Roman" w:eastAsia="宋体" w:cs="Times New Roman"/>
        </w:rPr>
        <w:t>灌注式半柔性复合</w:t>
      </w:r>
      <w:r>
        <w:rPr>
          <w:rFonts w:hint="default" w:ascii="Times New Roman" w:hAnsi="Times New Roman" w:eastAsia="宋体" w:cs="Times New Roman"/>
          <w:lang w:val="en-US" w:eastAsia="zh-CN"/>
        </w:rPr>
        <w:t>沥青</w:t>
      </w:r>
      <w:r>
        <w:rPr>
          <w:rFonts w:hint="default" w:ascii="Times New Roman" w:hAnsi="Times New Roman" w:eastAsia="宋体" w:cs="Times New Roman"/>
        </w:rPr>
        <w:t>面层</w:t>
      </w:r>
      <w:r>
        <w:rPr>
          <w:rFonts w:hint="default" w:ascii="Times New Roman" w:hAnsi="Times New Roman" w:eastAsia="宋体" w:cs="Times New Roman"/>
          <w:lang w:val="en-US" w:eastAsia="zh-CN"/>
        </w:rPr>
        <w:t>应</w:t>
      </w:r>
      <w:r>
        <w:rPr>
          <w:rFonts w:hint="default" w:ascii="Times New Roman" w:hAnsi="Times New Roman" w:eastAsia="宋体" w:cs="Times New Roman"/>
        </w:rPr>
        <w:t>采用SFP-13、SFP-16、SFP-20三类材料，复合面层材料的适宜厚度宜符合表1的规定。当与表1规定的适用层位和厚度范围不一致时，应进</w:t>
      </w:r>
      <w:r>
        <w:rPr>
          <w:rFonts w:hint="eastAsia" w:ascii="宋体" w:hAnsi="宋体" w:eastAsia="宋体" w:cs="宋体"/>
        </w:rPr>
        <w:t>行试验段验证。</w:t>
      </w:r>
    </w:p>
    <w:p>
      <w:pPr>
        <w:pStyle w:val="112"/>
        <w:spacing w:before="156" w:after="156"/>
        <w:rPr>
          <w:rFonts w:hint="eastAsia"/>
        </w:rPr>
      </w:pPr>
      <w:r>
        <w:rPr>
          <w:rFonts w:hint="eastAsia"/>
        </w:rPr>
        <w:t>灌注式半柔性复合面层</w:t>
      </w:r>
      <w:r>
        <w:rPr>
          <w:rFonts w:hint="eastAsia"/>
          <w:lang w:val="en-US" w:eastAsia="zh-CN"/>
        </w:rPr>
        <w:t>材料</w:t>
      </w:r>
      <w:r>
        <w:rPr>
          <w:rFonts w:hint="eastAsia"/>
        </w:rPr>
        <w:t>适宜厚度</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材料类型</w:t>
            </w:r>
          </w:p>
        </w:tc>
        <w:tc>
          <w:tcPr>
            <w:tcW w:w="3112" w:type="dxa"/>
            <w:tcBorders>
              <w:top w:val="single" w:color="auto" w:sz="8" w:space="0"/>
              <w:bottom w:val="single" w:color="auto" w:sz="8" w:space="0"/>
            </w:tcBorders>
          </w:tcPr>
          <w:p>
            <w:pPr>
              <w:jc w:val="center"/>
              <w:rPr>
                <w:rFonts w:hint="default" w:ascii="Times New Roman" w:hAnsi="Times New Roman" w:cs="Times New Roman"/>
              </w:rPr>
            </w:pPr>
            <w:r>
              <w:rPr>
                <w:rFonts w:hint="default" w:ascii="Times New Roman" w:hAnsi="Times New Roman" w:cs="Times New Roman"/>
              </w:rPr>
              <w:t>适宜厚度（mm）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3110"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SFP-13</w:t>
            </w:r>
          </w:p>
        </w:tc>
        <w:tc>
          <w:tcPr>
            <w:tcW w:w="3112" w:type="dxa"/>
            <w:tcBorders>
              <w:top w:val="single" w:color="auto" w:sz="8" w:space="0"/>
            </w:tcBorders>
          </w:tcPr>
          <w:p>
            <w:pPr>
              <w:jc w:val="center"/>
              <w:rPr>
                <w:rFonts w:hint="default" w:ascii="Times New Roman" w:hAnsi="Times New Roman" w:cs="Times New Roman"/>
              </w:rPr>
            </w:pPr>
            <w:r>
              <w:rPr>
                <w:rFonts w:hint="default" w:ascii="Times New Roman" w:hAnsi="Times New Roman" w:cs="Times New Roman"/>
              </w:rPr>
              <w:t>50～</w:t>
            </w:r>
            <w:r>
              <w:rPr>
                <w:rFonts w:hint="default" w:ascii="Times New Roman" w:hAnsi="Times New Roman" w:cs="Times New Roman"/>
                <w:lang w:val="en-US" w:eastAsia="zh-CN"/>
              </w:rPr>
              <w:t>10</w:t>
            </w:r>
            <w:r>
              <w:rPr>
                <w:rFonts w:hint="default" w:ascii="Times New Roman" w:hAnsi="Times New Roman" w:cs="Times New Roma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jc w:val="center"/>
              <w:rPr>
                <w:rFonts w:hint="default" w:ascii="Times New Roman" w:hAnsi="Times New Roman" w:cs="Times New Roman"/>
              </w:rPr>
            </w:pPr>
            <w:r>
              <w:rPr>
                <w:rFonts w:hint="default" w:ascii="Times New Roman" w:hAnsi="Times New Roman" w:cs="Times New Roman"/>
              </w:rPr>
              <w:t>SFP-16</w:t>
            </w:r>
          </w:p>
        </w:tc>
        <w:tc>
          <w:tcPr>
            <w:tcW w:w="3112" w:type="dxa"/>
          </w:tcPr>
          <w:p>
            <w:pPr>
              <w:jc w:val="center"/>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0～</w:t>
            </w:r>
            <w:r>
              <w:rPr>
                <w:rFonts w:hint="default" w:ascii="Times New Roman" w:hAnsi="Times New Roman" w:cs="Times New Roman"/>
                <w:lang w:val="en-US" w:eastAsia="zh-CN"/>
              </w:rPr>
              <w:t>12</w:t>
            </w:r>
            <w:r>
              <w:rPr>
                <w:rFonts w:hint="default" w:ascii="Times New Roman" w:hAnsi="Times New Roman" w:cs="Times New Roma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jc w:val="center"/>
              <w:rPr>
                <w:rFonts w:hint="default" w:ascii="Times New Roman" w:hAnsi="Times New Roman" w:cs="Times New Roman"/>
              </w:rPr>
            </w:pPr>
            <w:r>
              <w:rPr>
                <w:rFonts w:hint="default" w:ascii="Times New Roman" w:hAnsi="Times New Roman" w:cs="Times New Roman"/>
              </w:rPr>
              <w:t>SFP-20</w:t>
            </w:r>
          </w:p>
        </w:tc>
        <w:tc>
          <w:tcPr>
            <w:tcW w:w="3112" w:type="dxa"/>
          </w:tcPr>
          <w:p>
            <w:pPr>
              <w:jc w:val="center"/>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0～</w:t>
            </w:r>
            <w:r>
              <w:rPr>
                <w:rFonts w:hint="default" w:ascii="Times New Roman" w:hAnsi="Times New Roman" w:cs="Times New Roman"/>
                <w:lang w:val="en-US" w:eastAsia="zh-CN"/>
              </w:rPr>
              <w:t>12</w:t>
            </w:r>
            <w:r>
              <w:rPr>
                <w:rFonts w:hint="default" w:ascii="Times New Roman" w:hAnsi="Times New Roman" w:cs="Times New Roman"/>
              </w:rPr>
              <w:t>0</w:t>
            </w:r>
          </w:p>
        </w:tc>
      </w:tr>
    </w:tbl>
    <w:p>
      <w:pPr>
        <w:pStyle w:val="56"/>
        <w:ind w:firstLine="420"/>
      </w:pPr>
    </w:p>
    <w:p>
      <w:pPr>
        <w:pStyle w:val="65"/>
        <w:spacing w:before="156" w:after="156"/>
        <w:rPr>
          <w:rFonts w:hint="eastAsia" w:ascii="宋体" w:hAnsi="宋体" w:eastAsia="宋体" w:cs="宋体"/>
        </w:rPr>
      </w:pPr>
      <w:r>
        <w:rPr>
          <w:rFonts w:hint="eastAsia" w:ascii="宋体" w:hAnsi="宋体" w:eastAsia="宋体" w:cs="宋体"/>
        </w:rPr>
        <w:t>灌注式半柔性复合面层的厚度及铺装材料类型宜按表2的规定选用。</w:t>
      </w:r>
    </w:p>
    <w:p>
      <w:pPr>
        <w:pStyle w:val="112"/>
        <w:spacing w:before="156" w:after="156"/>
      </w:pPr>
      <w:r>
        <w:rPr>
          <w:rFonts w:hint="eastAsia"/>
        </w:rPr>
        <w:t>灌注式半柔性复合面层推荐厚度与类型</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层位</w:t>
            </w:r>
          </w:p>
        </w:tc>
        <w:tc>
          <w:tcPr>
            <w:tcW w:w="2333" w:type="dxa"/>
            <w:tcBorders>
              <w:top w:val="single" w:color="auto" w:sz="8" w:space="0"/>
              <w:bottom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交通荷载等级</w:t>
            </w:r>
          </w:p>
        </w:tc>
        <w:tc>
          <w:tcPr>
            <w:tcW w:w="2333" w:type="dxa"/>
            <w:tcBorders>
              <w:top w:val="single" w:color="auto" w:sz="8" w:space="0"/>
              <w:bottom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铺装材料类型</w:t>
            </w:r>
          </w:p>
        </w:tc>
        <w:tc>
          <w:tcPr>
            <w:tcW w:w="2334" w:type="dxa"/>
            <w:tcBorders>
              <w:top w:val="single" w:color="auto" w:sz="8" w:space="0"/>
              <w:bottom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厚度（mm）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tcBorders>
              <w:top w:val="single" w:color="auto" w:sz="8" w:space="0"/>
            </w:tcBorders>
            <w:shd w:val="clear" w:color="auto" w:fill="auto"/>
            <w:vAlign w:val="center"/>
          </w:tcPr>
          <w:p>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上面层</w:t>
            </w:r>
          </w:p>
        </w:tc>
        <w:tc>
          <w:tcPr>
            <w:tcW w:w="2333" w:type="dxa"/>
            <w:tcBorders>
              <w:top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轻、中等</w:t>
            </w:r>
          </w:p>
        </w:tc>
        <w:tc>
          <w:tcPr>
            <w:tcW w:w="2333" w:type="dxa"/>
            <w:tcBorders>
              <w:top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SFP-13</w:t>
            </w:r>
          </w:p>
        </w:tc>
        <w:tc>
          <w:tcPr>
            <w:tcW w:w="2334" w:type="dxa"/>
            <w:tcBorders>
              <w:top w:val="single" w:color="auto" w:sz="8" w:space="0"/>
            </w:tcBorders>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50～80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rFonts w:hint="default" w:ascii="Times New Roman" w:hAnsi="Times New Roman" w:cs="Times New Roman"/>
                <w:color w:val="auto"/>
                <w:highlight w:val="none"/>
              </w:rPr>
            </w:pP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重</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SFP-13或SFP-16</w:t>
            </w:r>
          </w:p>
        </w:tc>
        <w:tc>
          <w:tcPr>
            <w:tcW w:w="2334"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80～100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rFonts w:hint="default" w:ascii="Times New Roman" w:hAnsi="Times New Roman" w:cs="Times New Roman"/>
                <w:color w:val="auto"/>
                <w:highlight w:val="none"/>
              </w:rPr>
            </w:pP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特重</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SFP-16</w:t>
            </w:r>
          </w:p>
        </w:tc>
        <w:tc>
          <w:tcPr>
            <w:tcW w:w="2334"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100～120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中面层、</w:t>
            </w:r>
          </w:p>
          <w:p>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下面层</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轻、中等</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SFP-16或SFP-20</w:t>
            </w:r>
          </w:p>
        </w:tc>
        <w:tc>
          <w:tcPr>
            <w:tcW w:w="2334"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60～80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rFonts w:hint="default" w:ascii="Times New Roman" w:hAnsi="Times New Roman" w:cs="Times New Roman"/>
                <w:color w:val="auto"/>
                <w:highlight w:val="none"/>
              </w:rPr>
            </w:pP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重</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SFP-20</w:t>
            </w:r>
          </w:p>
        </w:tc>
        <w:tc>
          <w:tcPr>
            <w:tcW w:w="2334"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80～100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rFonts w:hint="default" w:ascii="Times New Roman" w:hAnsi="Times New Roman" w:cs="Times New Roman"/>
                <w:color w:val="auto"/>
                <w:highlight w:val="none"/>
              </w:rPr>
            </w:pP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特重</w:t>
            </w:r>
          </w:p>
        </w:tc>
        <w:tc>
          <w:tcPr>
            <w:tcW w:w="2333"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SFP-20</w:t>
            </w:r>
          </w:p>
        </w:tc>
        <w:tc>
          <w:tcPr>
            <w:tcW w:w="2334" w:type="dxa"/>
            <w:shd w:val="clear" w:color="auto" w:fill="auto"/>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100～120</w:t>
            </w:r>
          </w:p>
        </w:tc>
      </w:tr>
    </w:tbl>
    <w:p>
      <w:pPr>
        <w:pStyle w:val="56"/>
        <w:ind w:firstLine="420"/>
      </w:pPr>
    </w:p>
    <w:p>
      <w:pPr>
        <w:pStyle w:val="65"/>
        <w:spacing w:before="156" w:after="156"/>
        <w:ind w:left="0"/>
        <w:rPr>
          <w:rFonts w:hint="default" w:ascii="Times New Roman" w:hAnsi="Times New Roman" w:eastAsia="宋体" w:cs="Times New Roman"/>
          <w:highlight w:val="none"/>
        </w:rPr>
      </w:pPr>
      <w:r>
        <w:rPr>
          <w:rFonts w:hint="default" w:ascii="Times New Roman" w:hAnsi="Times New Roman" w:eastAsia="宋体" w:cs="Times New Roman"/>
          <w:highlight w:val="none"/>
        </w:rPr>
        <w:t>灌注式半柔性复合面层沥青路面的层间黏结应符合下列规定：</w:t>
      </w:r>
    </w:p>
    <w:p>
      <w:pPr>
        <w:pStyle w:val="109"/>
        <w:rPr>
          <w:rFonts w:hint="default" w:ascii="Times New Roman" w:hAnsi="Times New Roman" w:cs="Times New Roman"/>
        </w:rPr>
      </w:pPr>
      <w:r>
        <w:rPr>
          <w:rFonts w:hint="default" w:ascii="Times New Roman" w:hAnsi="Times New Roman" w:cs="Times New Roman"/>
          <w:highlight w:val="none"/>
        </w:rPr>
        <w:t>灌注式半柔性复合面层的下承层为沥青混凝土时，层间黏结宜采用改性乳化沥青，洒布量宜为0.4kg/m</w:t>
      </w:r>
      <w:r>
        <w:rPr>
          <w:rFonts w:hint="default" w:ascii="Times New Roman" w:hAnsi="Times New Roman" w:cs="Times New Roman"/>
          <w:highlight w:val="none"/>
          <w:vertAlign w:val="superscript"/>
        </w:rPr>
        <w:t>2</w:t>
      </w:r>
      <w:r>
        <w:rPr>
          <w:rFonts w:hint="default" w:ascii="Times New Roman" w:hAnsi="Times New Roman" w:cs="Times New Roman"/>
          <w:highlight w:val="none"/>
        </w:rPr>
        <w:t>～0.7kg/m</w:t>
      </w:r>
      <w:r>
        <w:rPr>
          <w:rFonts w:hint="default" w:ascii="Times New Roman" w:hAnsi="Times New Roman" w:cs="Times New Roman"/>
          <w:highlight w:val="none"/>
          <w:vertAlign w:val="superscript"/>
        </w:rPr>
        <w:t>2</w:t>
      </w:r>
      <w:r>
        <w:rPr>
          <w:rFonts w:hint="default" w:ascii="Times New Roman" w:hAnsi="Times New Roman" w:cs="Times New Roman"/>
          <w:highlight w:val="none"/>
        </w:rPr>
        <w:t>。改性乳化沥青的质量应符合</w:t>
      </w:r>
      <w:r>
        <w:rPr>
          <w:rFonts w:hint="default" w:ascii="Times New Roman" w:hAnsi="Times New Roman" w:cs="Times New Roman"/>
        </w:rPr>
        <w:t>JTG F40的有关规定。</w:t>
      </w:r>
    </w:p>
    <w:p>
      <w:pPr>
        <w:pStyle w:val="109"/>
        <w:rPr>
          <w:rFonts w:hint="default" w:ascii="Times New Roman" w:hAnsi="Times New Roman" w:cs="Times New Roman"/>
        </w:rPr>
      </w:pPr>
      <w:r>
        <w:rPr>
          <w:rFonts w:hint="default" w:ascii="Times New Roman" w:hAnsi="Times New Roman" w:cs="Times New Roman"/>
        </w:rPr>
        <w:t>灌注式半柔性复合面层的下承层为水泥稳定级配碎石时，层间黏结宜采用改性沥青同步碎石封层，其沥青用量</w:t>
      </w:r>
      <w:r>
        <w:rPr>
          <w:rFonts w:hint="default" w:ascii="Times New Roman" w:hAnsi="Times New Roman" w:cs="Times New Roman"/>
          <w:lang w:val="en-US" w:eastAsia="zh-CN"/>
        </w:rPr>
        <w:t>应</w:t>
      </w:r>
      <w:r>
        <w:rPr>
          <w:rFonts w:hint="default" w:ascii="Times New Roman" w:hAnsi="Times New Roman" w:cs="Times New Roman"/>
        </w:rPr>
        <w:t>为1.6 kg/m</w:t>
      </w:r>
      <w:r>
        <w:rPr>
          <w:rFonts w:hint="default" w:ascii="Times New Roman" w:hAnsi="Times New Roman" w:cs="Times New Roman"/>
          <w:vertAlign w:val="superscript"/>
        </w:rPr>
        <w:t>2</w:t>
      </w:r>
      <w:r>
        <w:rPr>
          <w:rFonts w:hint="default" w:ascii="Times New Roman" w:hAnsi="Times New Roman" w:cs="Times New Roman"/>
        </w:rPr>
        <w:t>～2.3kg/m</w:t>
      </w:r>
      <w:r>
        <w:rPr>
          <w:rFonts w:hint="default" w:ascii="Times New Roman" w:hAnsi="Times New Roman" w:cs="Times New Roman"/>
          <w:vertAlign w:val="superscript"/>
        </w:rPr>
        <w:t>2</w:t>
      </w:r>
      <w:r>
        <w:rPr>
          <w:rFonts w:hint="default" w:ascii="Times New Roman" w:hAnsi="Times New Roman" w:cs="Times New Roman"/>
        </w:rPr>
        <w:t>。</w:t>
      </w:r>
    </w:p>
    <w:p>
      <w:pPr>
        <w:pStyle w:val="109"/>
        <w:numPr>
          <w:ilvl w:val="0"/>
          <w:numId w:val="0"/>
        </w:numPr>
        <w:ind w:left="1276"/>
      </w:pPr>
    </w:p>
    <w:p>
      <w:pPr>
        <w:pStyle w:val="104"/>
        <w:spacing w:before="312" w:after="312"/>
      </w:pPr>
      <w:r>
        <w:rPr>
          <w:rFonts w:hint="eastAsia"/>
        </w:rPr>
        <w:t>材料</w:t>
      </w:r>
    </w:p>
    <w:p>
      <w:pPr>
        <w:pStyle w:val="105"/>
        <w:spacing w:before="156" w:after="156"/>
      </w:pPr>
      <w:r>
        <w:rPr>
          <w:rFonts w:hint="eastAsia"/>
        </w:rPr>
        <w:t>一般规定</w:t>
      </w:r>
    </w:p>
    <w:p>
      <w:pPr>
        <w:pStyle w:val="65"/>
        <w:spacing w:before="156" w:after="156"/>
        <w:rPr>
          <w:rFonts w:hint="eastAsia" w:ascii="宋体" w:hAnsi="宋体" w:eastAsia="宋体" w:cs="宋体"/>
        </w:rPr>
      </w:pPr>
      <w:r>
        <w:rPr>
          <w:rFonts w:hint="eastAsia" w:ascii="宋体" w:hAnsi="宋体" w:eastAsia="宋体" w:cs="宋体"/>
        </w:rPr>
        <w:t>灌注式半柔性复合沥青面层所用材料应综合考虑交通等级、气候条件、功能要求以及当地材料特点等因素。</w:t>
      </w:r>
    </w:p>
    <w:p>
      <w:pPr>
        <w:pStyle w:val="65"/>
        <w:spacing w:before="156" w:after="156"/>
        <w:rPr>
          <w:rFonts w:hint="eastAsia" w:ascii="宋体" w:hAnsi="宋体" w:eastAsia="宋体" w:cs="宋体"/>
        </w:rPr>
      </w:pPr>
      <w:r>
        <w:rPr>
          <w:rFonts w:hint="eastAsia" w:ascii="宋体" w:hAnsi="宋体" w:eastAsia="宋体" w:cs="宋体"/>
        </w:rPr>
        <w:t>各种材料运至拌和场后应进行质量检验，经评定合格后方可使用。</w:t>
      </w:r>
    </w:p>
    <w:p>
      <w:pPr>
        <w:pStyle w:val="105"/>
        <w:spacing w:before="156" w:after="156"/>
      </w:pPr>
      <w:r>
        <w:rPr>
          <w:rFonts w:hint="eastAsia"/>
        </w:rPr>
        <w:t>原材料技术要求</w:t>
      </w:r>
    </w:p>
    <w:p>
      <w:pPr>
        <w:pStyle w:val="65"/>
        <w:spacing w:before="156" w:after="156"/>
        <w:rPr>
          <w:rFonts w:hint="eastAsia" w:ascii="宋体" w:hAnsi="宋体" w:eastAsia="宋体" w:cs="宋体"/>
        </w:rPr>
      </w:pPr>
      <w:r>
        <w:rPr>
          <w:rFonts w:hint="eastAsia" w:ascii="宋体" w:hAnsi="宋体" w:eastAsia="宋体" w:cs="宋体"/>
        </w:rPr>
        <w:t>灌注式半柔性复合面层的基体大空隙沥青混凝土是由沥青结合料、粗集料、细集料、填料、纤维等材料按一定比例混合配制而成。</w:t>
      </w:r>
    </w:p>
    <w:p>
      <w:pPr>
        <w:pStyle w:val="65"/>
        <w:spacing w:before="156" w:after="156"/>
        <w:rPr>
          <w:rFonts w:hint="eastAsia" w:ascii="宋体" w:hAnsi="宋体" w:eastAsia="宋体" w:cs="宋体"/>
        </w:rPr>
      </w:pPr>
      <w:r>
        <w:rPr>
          <w:rFonts w:hint="eastAsia" w:ascii="宋体" w:hAnsi="宋体" w:eastAsia="宋体" w:cs="宋体"/>
        </w:rPr>
        <w:t>基体大空隙沥青混凝土中的沥青结合料用于上面层时宜采用SBS改性沥青、橡胶沥青、高黏度改性沥青。SBS改性沥青的技术指标应符合JTG F40的有关规定。橡胶沥青的技术指标应符合JT/T 798的有关规定。高黏度改性沥青的技术指标应符合JTG/T 3350-03的有关规定。</w:t>
      </w:r>
    </w:p>
    <w:p>
      <w:pPr>
        <w:pStyle w:val="65"/>
        <w:spacing w:before="156" w:after="156"/>
        <w:rPr>
          <w:rFonts w:hint="eastAsia" w:ascii="宋体" w:hAnsi="宋体" w:eastAsia="宋体" w:cs="宋体"/>
        </w:rPr>
      </w:pPr>
      <w:r>
        <w:rPr>
          <w:rFonts w:hint="eastAsia" w:ascii="宋体" w:hAnsi="宋体" w:eastAsia="宋体" w:cs="宋体"/>
        </w:rPr>
        <w:t>基体大空隙沥青混凝土中的沥青结合料用于</w:t>
      </w:r>
      <w:r>
        <w:rPr>
          <w:rFonts w:hint="eastAsia" w:ascii="宋体" w:hAnsi="宋体" w:eastAsia="宋体" w:cs="宋体"/>
          <w:lang w:val="en-US" w:eastAsia="zh-CN"/>
        </w:rPr>
        <w:t>中下</w:t>
      </w:r>
      <w:r>
        <w:rPr>
          <w:rFonts w:hint="eastAsia" w:ascii="宋体" w:hAnsi="宋体" w:eastAsia="宋体" w:cs="宋体"/>
        </w:rPr>
        <w:t>面层时</w:t>
      </w:r>
      <w:r>
        <w:rPr>
          <w:rFonts w:hint="eastAsia" w:ascii="宋体" w:hAnsi="宋体" w:eastAsia="宋体" w:cs="宋体"/>
          <w:lang w:val="en-US" w:eastAsia="zh-CN"/>
        </w:rPr>
        <w:t>可</w:t>
      </w:r>
      <w:r>
        <w:rPr>
          <w:rFonts w:hint="eastAsia" w:ascii="宋体" w:hAnsi="宋体" w:eastAsia="宋体" w:cs="宋体"/>
        </w:rPr>
        <w:t>采用普通道路石油沥青</w:t>
      </w:r>
      <w:r>
        <w:rPr>
          <w:rFonts w:hint="eastAsia" w:ascii="宋体" w:hAnsi="宋体" w:eastAsia="宋体" w:cs="宋体"/>
          <w:lang w:eastAsia="zh-CN"/>
        </w:rPr>
        <w:t>、</w:t>
      </w:r>
      <w:r>
        <w:rPr>
          <w:rFonts w:hint="eastAsia" w:ascii="宋体" w:hAnsi="宋体" w:eastAsia="宋体" w:cs="宋体"/>
        </w:rPr>
        <w:t>SBS改性沥青。</w:t>
      </w:r>
    </w:p>
    <w:p>
      <w:pPr>
        <w:pStyle w:val="65"/>
        <w:spacing w:before="156" w:after="156"/>
        <w:rPr>
          <w:rFonts w:ascii="宋体" w:hAnsi="宋体" w:eastAsia="宋体"/>
          <w:highlight w:val="none"/>
        </w:rPr>
      </w:pPr>
      <w:r>
        <w:rPr>
          <w:rFonts w:hint="eastAsia" w:ascii="宋体" w:hAnsi="宋体" w:eastAsia="宋体"/>
          <w:highlight w:val="none"/>
        </w:rPr>
        <w:t>基体大空隙沥青混凝土中的原材料应符合下列规定：</w:t>
      </w:r>
    </w:p>
    <w:p>
      <w:pPr>
        <w:pStyle w:val="109"/>
        <w:numPr>
          <w:ilvl w:val="0"/>
          <w:numId w:val="32"/>
        </w:numPr>
        <w:tabs>
          <w:tab w:val="clear" w:pos="840"/>
        </w:tabs>
        <w:ind w:left="1265" w:leftChars="0" w:hanging="425" w:firstLineChars="0"/>
      </w:pPr>
      <w:r>
        <w:rPr>
          <w:rFonts w:hint="eastAsia"/>
        </w:rPr>
        <w:t>粗集料宜采用轧制碎石，应洁净、干燥、表面粗糙。灌注式半柔性复合面层材料用于上面层时，粗集料宜选用玄武岩或辉绿岩等硬质岩石轧制的碎石。粗集料技术指标应符合JTG F40的有关规定。用于中下面层时，粗集料宜采用石灰岩碎石。粗集料的技术要求应符合JTG F40的有关规定。</w:t>
      </w:r>
    </w:p>
    <w:p>
      <w:pPr>
        <w:pStyle w:val="109"/>
        <w:numPr>
          <w:ilvl w:val="0"/>
          <w:numId w:val="32"/>
        </w:numPr>
        <w:tabs>
          <w:tab w:val="clear" w:pos="840"/>
        </w:tabs>
        <w:ind w:left="1265" w:leftChars="0" w:hanging="425" w:firstLineChars="0"/>
      </w:pPr>
      <w:r>
        <w:rPr>
          <w:rFonts w:hint="eastAsia"/>
        </w:rPr>
        <w:t>基体大空隙沥青混凝土中的细集料宜采用石灰岩机制砂，填料宜采用石灰岩或岩浆岩中的强基性岩石等憎水性石料经磨细得到的矿粉，技术指标应符合JTG F40的有关规定。</w:t>
      </w:r>
    </w:p>
    <w:p>
      <w:pPr>
        <w:pStyle w:val="109"/>
        <w:numPr>
          <w:ilvl w:val="0"/>
          <w:numId w:val="32"/>
        </w:numPr>
        <w:tabs>
          <w:tab w:val="clear" w:pos="840"/>
        </w:tabs>
        <w:ind w:left="1265" w:leftChars="0" w:hanging="425" w:firstLineChars="0"/>
      </w:pPr>
      <w:r>
        <w:rPr>
          <w:rFonts w:hint="eastAsia"/>
        </w:rPr>
        <w:t>基体大空隙沥青混凝土中的纤维可选用木质纤维、矿物纤维或聚合物纤维等，技术指标应符合JT/T 533的有关规定。</w:t>
      </w:r>
    </w:p>
    <w:p>
      <w:pPr>
        <w:pStyle w:val="65"/>
        <w:spacing w:before="156" w:after="156"/>
        <w:rPr>
          <w:rFonts w:hint="eastAsia" w:ascii="宋体" w:hAnsi="宋体" w:eastAsia="宋体" w:cs="宋体"/>
        </w:rPr>
      </w:pPr>
      <w:r>
        <w:rPr>
          <w:rFonts w:hint="eastAsia" w:ascii="宋体" w:hAnsi="宋体" w:eastAsia="宋体" w:cs="宋体"/>
        </w:rPr>
        <w:t>灌浆料的的颗粒细度应符合表</w:t>
      </w:r>
      <w:r>
        <w:rPr>
          <w:rFonts w:hint="eastAsia" w:ascii="宋体" w:hAnsi="宋体" w:eastAsia="宋体" w:cs="宋体"/>
          <w:lang w:val="en-US" w:eastAsia="zh-CN"/>
        </w:rPr>
        <w:t>3</w:t>
      </w:r>
      <w:r>
        <w:rPr>
          <w:rFonts w:hint="eastAsia" w:ascii="宋体" w:hAnsi="宋体" w:eastAsia="宋体" w:cs="宋体"/>
        </w:rPr>
        <w:t>要求。</w:t>
      </w:r>
    </w:p>
    <w:p>
      <w:pPr>
        <w:pStyle w:val="232"/>
        <w:jc w:val="center"/>
        <w:rPr>
          <w:rFonts w:ascii="Times New Roman" w:eastAsia="黑体"/>
          <w:szCs w:val="21"/>
        </w:rPr>
      </w:pPr>
      <w:r>
        <w:rPr>
          <w:rFonts w:ascii="Times New Roman" w:eastAsia="黑体"/>
          <w:szCs w:val="21"/>
        </w:rPr>
        <w:t>表</w:t>
      </w:r>
      <w:r>
        <w:rPr>
          <w:rFonts w:hint="eastAsia" w:ascii="Times New Roman" w:eastAsia="黑体"/>
          <w:szCs w:val="21"/>
          <w:lang w:val="en-US" w:eastAsia="zh-CN"/>
        </w:rPr>
        <w:t>3</w:t>
      </w:r>
      <w:r>
        <w:rPr>
          <w:rFonts w:ascii="Times New Roman" w:eastAsia="黑体"/>
          <w:szCs w:val="21"/>
        </w:rPr>
        <w:t xml:space="preserve">  灌浆料颗粒细度要求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644"/>
        <w:gridCol w:w="1134"/>
        <w:gridCol w:w="1211"/>
        <w:gridCol w:w="20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644" w:type="dxa"/>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技术指标</w:t>
            </w:r>
          </w:p>
        </w:tc>
        <w:tc>
          <w:tcPr>
            <w:tcW w:w="1134" w:type="dxa"/>
            <w:tcMar>
              <w:top w:w="12" w:type="dxa"/>
              <w:left w:w="108" w:type="dxa"/>
              <w:bottom w:w="0" w:type="dxa"/>
              <w:right w:w="108" w:type="dxa"/>
            </w:tcMar>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单位</w:t>
            </w:r>
          </w:p>
        </w:tc>
        <w:tc>
          <w:tcPr>
            <w:tcW w:w="1211" w:type="dxa"/>
            <w:tcMar>
              <w:top w:w="12" w:type="dxa"/>
              <w:left w:w="108" w:type="dxa"/>
              <w:bottom w:w="0" w:type="dxa"/>
              <w:right w:w="108" w:type="dxa"/>
            </w:tcMar>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技术要求</w:t>
            </w:r>
          </w:p>
        </w:tc>
        <w:tc>
          <w:tcPr>
            <w:tcW w:w="2048" w:type="dxa"/>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644" w:type="dxa"/>
            <w:tcBorders>
              <w:top w:val="single" w:color="auto" w:sz="8" w:space="0"/>
            </w:tcBorders>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1.18mm方孔筛筛余质量百分率</w:t>
            </w:r>
          </w:p>
        </w:tc>
        <w:tc>
          <w:tcPr>
            <w:tcW w:w="1134" w:type="dxa"/>
            <w:tcBorders>
              <w:top w:val="single" w:color="auto" w:sz="8" w:space="0"/>
            </w:tcBorders>
            <w:tcMar>
              <w:top w:w="12" w:type="dxa"/>
              <w:left w:w="108" w:type="dxa"/>
              <w:bottom w:w="0" w:type="dxa"/>
              <w:right w:w="108" w:type="dxa"/>
            </w:tcMar>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p>
        </w:tc>
        <w:tc>
          <w:tcPr>
            <w:tcW w:w="1211" w:type="dxa"/>
            <w:tcBorders>
              <w:top w:val="single" w:color="auto" w:sz="8" w:space="0"/>
            </w:tcBorders>
            <w:tcMar>
              <w:top w:w="12" w:type="dxa"/>
              <w:left w:w="108" w:type="dxa"/>
              <w:bottom w:w="0" w:type="dxa"/>
              <w:right w:w="108" w:type="dxa"/>
            </w:tcMar>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0</w:t>
            </w:r>
          </w:p>
        </w:tc>
        <w:tc>
          <w:tcPr>
            <w:tcW w:w="2048" w:type="dxa"/>
            <w:tcBorders>
              <w:top w:val="single" w:color="auto" w:sz="8" w:space="0"/>
            </w:tcBorders>
            <w:vAlign w:val="center"/>
          </w:tcPr>
          <w:p>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E42: T0327</w:t>
            </w:r>
          </w:p>
        </w:tc>
      </w:tr>
    </w:tbl>
    <w:p>
      <w:pPr>
        <w:pStyle w:val="56"/>
      </w:pPr>
    </w:p>
    <w:p>
      <w:pPr>
        <w:pStyle w:val="65"/>
        <w:spacing w:before="156" w:after="156"/>
        <w:rPr>
          <w:rFonts w:hint="eastAsia" w:ascii="宋体" w:hAnsi="宋体" w:eastAsia="宋体" w:cs="宋体"/>
        </w:rPr>
      </w:pPr>
      <w:r>
        <w:rPr>
          <w:rFonts w:hint="eastAsia" w:ascii="宋体" w:hAnsi="宋体" w:eastAsia="宋体" w:cs="宋体"/>
        </w:rPr>
        <w:t>灌浆料根据早期强度不同分为普通型灌浆料和早强型灌浆料两类，灌浆料浆体技术性能应符合表</w:t>
      </w:r>
      <w:r>
        <w:rPr>
          <w:rFonts w:hint="eastAsia" w:ascii="宋体" w:hAnsi="宋体" w:eastAsia="宋体" w:cs="宋体"/>
          <w:lang w:val="en-US" w:eastAsia="zh-CN"/>
        </w:rPr>
        <w:t>4</w:t>
      </w:r>
      <w:r>
        <w:rPr>
          <w:rFonts w:hint="eastAsia" w:ascii="宋体" w:hAnsi="宋体" w:eastAsia="宋体" w:cs="宋体"/>
        </w:rPr>
        <w:t>的规定，灌浆料浆体制备方法按附录B执行。</w:t>
      </w:r>
    </w:p>
    <w:p>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4</w:t>
      </w:r>
      <w:r>
        <w:rPr>
          <w:rFonts w:ascii="Times New Roman" w:eastAsia="黑体"/>
          <w:szCs w:val="21"/>
        </w:rPr>
        <w:t xml:space="preserve"> </w:t>
      </w:r>
      <w:r>
        <w:rPr>
          <w:rFonts w:hint="eastAsia"/>
        </w:rPr>
        <w:t>灌浆料浆体技术性能.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0"/>
        <w:gridCol w:w="1556"/>
        <w:gridCol w:w="1555"/>
        <w:gridCol w:w="1555"/>
        <w:gridCol w:w="1556"/>
        <w:gridCol w:w="1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46" w:type="dxa"/>
            <w:gridSpan w:val="2"/>
            <w:vMerge w:val="restart"/>
            <w:tcBorders>
              <w:top w:val="single" w:color="auto" w:sz="8" w:space="0"/>
            </w:tcBorders>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项目</w:t>
            </w:r>
          </w:p>
        </w:tc>
        <w:tc>
          <w:tcPr>
            <w:tcW w:w="1555" w:type="dxa"/>
            <w:vMerge w:val="restart"/>
            <w:tcBorders>
              <w:top w:val="single" w:color="auto" w:sz="8" w:space="0"/>
            </w:tcBorders>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单位</w:t>
            </w:r>
          </w:p>
        </w:tc>
        <w:tc>
          <w:tcPr>
            <w:tcW w:w="3111" w:type="dxa"/>
            <w:gridSpan w:val="2"/>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技术指标</w:t>
            </w:r>
          </w:p>
        </w:tc>
        <w:tc>
          <w:tcPr>
            <w:tcW w:w="1556" w:type="dxa"/>
            <w:vMerge w:val="restart"/>
            <w:tcBorders>
              <w:top w:val="single" w:color="auto" w:sz="8" w:space="0"/>
            </w:tcBorders>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vMerge w:val="continue"/>
            <w:shd w:val="clear" w:color="auto" w:fill="auto"/>
            <w:vAlign w:val="center"/>
          </w:tcPr>
          <w:p>
            <w:pPr>
              <w:pStyle w:val="178"/>
              <w:rPr>
                <w:rFonts w:hint="default" w:ascii="Times New Roman" w:hAnsi="Times New Roman" w:cs="Times New Roman"/>
              </w:rPr>
            </w:pPr>
          </w:p>
        </w:tc>
        <w:tc>
          <w:tcPr>
            <w:tcW w:w="1555" w:type="dxa"/>
            <w:vMerge w:val="continue"/>
            <w:shd w:val="clear" w:color="auto" w:fill="auto"/>
          </w:tcPr>
          <w:p>
            <w:pPr>
              <w:jc w:val="center"/>
              <w:rPr>
                <w:rFonts w:hint="default" w:ascii="Times New Roman" w:hAnsi="Times New Roman" w:cs="Times New Roman"/>
              </w:rPr>
            </w:pPr>
          </w:p>
        </w:tc>
        <w:tc>
          <w:tcPr>
            <w:tcW w:w="1555"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普通型</w:t>
            </w:r>
          </w:p>
        </w:tc>
        <w:tc>
          <w:tcPr>
            <w:tcW w:w="1556"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早强型</w:t>
            </w:r>
          </w:p>
        </w:tc>
        <w:tc>
          <w:tcPr>
            <w:tcW w:w="1556" w:type="dxa"/>
            <w:vMerge w:val="continue"/>
            <w:shd w:val="clear" w:color="auto" w:fill="auto"/>
          </w:tcPr>
          <w:p>
            <w:pPr>
              <w:jc w:val="cente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初始流动度</w:t>
            </w: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s</w:t>
            </w:r>
          </w:p>
        </w:tc>
        <w:tc>
          <w:tcPr>
            <w:tcW w:w="3111"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10～14</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JTG E30: T0508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30min流动度</w:t>
            </w: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s</w:t>
            </w:r>
          </w:p>
        </w:tc>
        <w:tc>
          <w:tcPr>
            <w:tcW w:w="3111"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10～18</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JTG E30: T0508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自由泌水率</w:t>
            </w: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3111"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≤1</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JTG E30: T0528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干缩率</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28d</w:t>
            </w:r>
          </w:p>
        </w:tc>
        <w:tc>
          <w:tcPr>
            <w:tcW w:w="1555"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w:t>
            </w:r>
          </w:p>
        </w:tc>
        <w:tc>
          <w:tcPr>
            <w:tcW w:w="3111" w:type="dxa"/>
            <w:gridSpan w:val="2"/>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≤0.3</w:t>
            </w:r>
          </w:p>
        </w:tc>
        <w:tc>
          <w:tcPr>
            <w:tcW w:w="1556"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JTG E30: T0511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restart"/>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抗压强度</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3h</w:t>
            </w:r>
          </w:p>
        </w:tc>
        <w:tc>
          <w:tcPr>
            <w:tcW w:w="1555" w:type="dxa"/>
            <w:vMerge w:val="restart"/>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MPa</w:t>
            </w: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≥10</w:t>
            </w:r>
          </w:p>
        </w:tc>
        <w:tc>
          <w:tcPr>
            <w:tcW w:w="1556" w:type="dxa"/>
            <w:vMerge w:val="restart"/>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JTG E30: T0506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continue"/>
            <w:shd w:val="clear" w:color="auto" w:fill="auto"/>
            <w:vAlign w:val="center"/>
          </w:tcPr>
          <w:p>
            <w:pPr>
              <w:pStyle w:val="178"/>
              <w:rPr>
                <w:rFonts w:hint="default" w:ascii="Times New Roman" w:hAnsi="Times New Roman" w:cs="Times New Roman"/>
              </w:rPr>
            </w:pP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1d</w:t>
            </w:r>
          </w:p>
        </w:tc>
        <w:tc>
          <w:tcPr>
            <w:tcW w:w="1555" w:type="dxa"/>
            <w:vMerge w:val="continue"/>
            <w:shd w:val="clear" w:color="auto" w:fill="auto"/>
            <w:vAlign w:val="center"/>
          </w:tcPr>
          <w:p>
            <w:pPr>
              <w:pStyle w:val="178"/>
              <w:rPr>
                <w:rFonts w:hint="default" w:ascii="Times New Roman" w:hAnsi="Times New Roman" w:cs="Times New Roman"/>
              </w:rPr>
            </w:pP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≥10</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≥15</w:t>
            </w:r>
          </w:p>
        </w:tc>
        <w:tc>
          <w:tcPr>
            <w:tcW w:w="1556" w:type="dxa"/>
            <w:vMerge w:val="continue"/>
            <w:shd w:val="clear" w:color="auto" w:fill="auto"/>
            <w:vAlign w:val="center"/>
          </w:tcPr>
          <w:p>
            <w:pPr>
              <w:pStyle w:val="178"/>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continue"/>
            <w:shd w:val="clear" w:color="auto" w:fill="auto"/>
            <w:vAlign w:val="center"/>
          </w:tcPr>
          <w:p>
            <w:pPr>
              <w:pStyle w:val="178"/>
              <w:rPr>
                <w:rFonts w:hint="default" w:ascii="Times New Roman" w:hAnsi="Times New Roman" w:cs="Times New Roman"/>
              </w:rPr>
            </w:pP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28d</w:t>
            </w:r>
          </w:p>
        </w:tc>
        <w:tc>
          <w:tcPr>
            <w:tcW w:w="1555" w:type="dxa"/>
            <w:vMerge w:val="continue"/>
            <w:shd w:val="clear" w:color="auto" w:fill="auto"/>
            <w:vAlign w:val="center"/>
          </w:tcPr>
          <w:p>
            <w:pPr>
              <w:pStyle w:val="178"/>
              <w:rPr>
                <w:rFonts w:hint="default" w:ascii="Times New Roman" w:hAnsi="Times New Roman" w:cs="Times New Roman"/>
              </w:rPr>
            </w:pP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≥25</w:t>
            </w:r>
          </w:p>
        </w:tc>
        <w:tc>
          <w:tcPr>
            <w:tcW w:w="1556" w:type="dxa"/>
            <w:vMerge w:val="continue"/>
            <w:shd w:val="clear" w:color="auto" w:fill="auto"/>
            <w:vAlign w:val="center"/>
          </w:tcPr>
          <w:p>
            <w:pPr>
              <w:pStyle w:val="178"/>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抗折强度</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28d</w:t>
            </w:r>
          </w:p>
        </w:tc>
        <w:tc>
          <w:tcPr>
            <w:tcW w:w="1555"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MPa</w:t>
            </w:r>
          </w:p>
        </w:tc>
        <w:tc>
          <w:tcPr>
            <w:tcW w:w="1555" w:type="dxa"/>
            <w:shd w:val="clear" w:color="auto" w:fill="auto"/>
          </w:tcPr>
          <w:p>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tcPr>
          <w:p>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JTG E30: T0506</w:t>
            </w:r>
          </w:p>
        </w:tc>
      </w:tr>
    </w:tbl>
    <w:p>
      <w:pPr>
        <w:pStyle w:val="105"/>
        <w:numPr>
          <w:ilvl w:val="0"/>
          <w:numId w:val="0"/>
        </w:numPr>
        <w:spacing w:before="156" w:after="156"/>
        <w:rPr>
          <w:rFonts w:hint="eastAsia"/>
        </w:rPr>
      </w:pPr>
    </w:p>
    <w:p>
      <w:pPr>
        <w:pStyle w:val="105"/>
        <w:spacing w:before="156" w:after="156"/>
      </w:pPr>
      <w:r>
        <w:rPr>
          <w:rFonts w:hint="eastAsia"/>
        </w:rPr>
        <w:t>基体大空隙沥青混合料配合比设计</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基体沥青混合料的类型应包括SPAC-13、SPAC-16和SPAC-20，基体沥青混合料的矿料级配范围应符合表5的规定。</w:t>
      </w:r>
    </w:p>
    <w:p>
      <w:pPr>
        <w:pStyle w:val="65"/>
        <w:numPr>
          <w:ilvl w:val="3"/>
          <w:numId w:val="0"/>
        </w:numPr>
        <w:spacing w:before="156" w:after="156"/>
        <w:ind w:left="284" w:leftChars="0"/>
        <w:jc w:val="center"/>
      </w:pPr>
      <w:r>
        <w:rPr>
          <w:rFonts w:ascii="Times New Roman" w:eastAsia="黑体"/>
          <w:szCs w:val="21"/>
        </w:rPr>
        <w:t>表</w:t>
      </w:r>
      <w:r>
        <w:rPr>
          <w:rFonts w:hint="eastAsia" w:ascii="Times New Roman"/>
          <w:szCs w:val="21"/>
          <w:lang w:val="en-US" w:eastAsia="zh-CN"/>
        </w:rPr>
        <w:t xml:space="preserve">5 </w:t>
      </w:r>
      <w:r>
        <w:rPr>
          <w:rFonts w:hint="eastAsia"/>
        </w:rPr>
        <w:t>基体沥青混合料矿料级配范围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vMerge w:val="restart"/>
            <w:tcBorders>
              <w:top w:val="single" w:color="auto" w:sz="8" w:space="0"/>
            </w:tcBorders>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筛孔尺寸/mm</w:t>
            </w:r>
          </w:p>
        </w:tc>
        <w:tc>
          <w:tcPr>
            <w:tcW w:w="7000" w:type="dxa"/>
            <w:gridSpan w:val="3"/>
            <w:tcBorders>
              <w:top w:val="single" w:color="auto" w:sz="8" w:space="0"/>
              <w:bottom w:val="single" w:color="auto" w:sz="8" w:space="0"/>
            </w:tcBorders>
            <w:shd w:val="clear" w:color="auto" w:fill="auto"/>
            <w:vAlign w:val="center"/>
          </w:tcPr>
          <w:p>
            <w:pPr>
              <w:pStyle w:val="178"/>
              <w:rPr>
                <w:rFonts w:hint="default" w:ascii="Times New Roman" w:hAnsi="Times New Roman" w:cs="Times New Roman"/>
              </w:rPr>
            </w:pPr>
            <w:r>
              <w:rPr>
                <w:rFonts w:hint="default" w:ascii="Times New Roman" w:hAnsi="Times New Roman" w:cs="Times New Roman"/>
              </w:rPr>
              <w:t>通过质量百分率/%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rFonts w:hint="default" w:ascii="Times New Roman" w:hAnsi="Times New Roman" w:cs="Times New Roman"/>
              </w:rPr>
            </w:pPr>
          </w:p>
        </w:tc>
        <w:tc>
          <w:tcPr>
            <w:tcW w:w="2333"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SPAC-13</w:t>
            </w:r>
          </w:p>
        </w:tc>
        <w:tc>
          <w:tcPr>
            <w:tcW w:w="2333"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SPAC-16</w:t>
            </w:r>
          </w:p>
        </w:tc>
        <w:tc>
          <w:tcPr>
            <w:tcW w:w="2334"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SPAC-20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26.5</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19</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100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70～100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16</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100</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70～100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40～80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13.2</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70～100</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50～90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15～60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9.5</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10～50</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5～50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5～40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4.75</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5～25</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4～25</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4～25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2.36</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4～20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1.18</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3～18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0.6</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3～16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0.3</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3～14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0.15</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0.075</w:t>
            </w:r>
          </w:p>
        </w:tc>
        <w:tc>
          <w:tcPr>
            <w:tcW w:w="7000" w:type="dxa"/>
            <w:gridSpan w:val="3"/>
            <w:shd w:val="clear" w:color="auto" w:fill="auto"/>
          </w:tcPr>
          <w:p>
            <w:pPr>
              <w:jc w:val="center"/>
              <w:rPr>
                <w:rFonts w:hint="default" w:ascii="Times New Roman" w:hAnsi="Times New Roman" w:cs="Times New Roman"/>
              </w:rPr>
            </w:pPr>
            <w:r>
              <w:rPr>
                <w:rFonts w:hint="default" w:ascii="Times New Roman" w:hAnsi="Times New Roman" w:cs="Times New Roman"/>
              </w:rPr>
              <w:t>1～8</w:t>
            </w:r>
          </w:p>
        </w:tc>
      </w:tr>
    </w:tbl>
    <w:p>
      <w:pPr>
        <w:pStyle w:val="65"/>
        <w:spacing w:before="156" w:after="156"/>
        <w:rPr>
          <w:rFonts w:hint="eastAsia" w:ascii="宋体" w:hAnsi="宋体" w:eastAsia="宋体" w:cs="宋体"/>
        </w:rPr>
      </w:pPr>
      <w:r>
        <w:rPr>
          <w:rFonts w:hint="eastAsia" w:ascii="宋体" w:hAnsi="宋体" w:eastAsia="宋体" w:cs="宋体"/>
        </w:rPr>
        <w:t>基体</w:t>
      </w:r>
      <w:r>
        <w:rPr>
          <w:rFonts w:hint="eastAsia" w:ascii="宋体" w:hAnsi="宋体" w:eastAsia="宋体" w:cs="宋体"/>
          <w:lang w:eastAsia="zh-CN"/>
        </w:rPr>
        <w:t>大空隙</w:t>
      </w:r>
      <w:r>
        <w:rPr>
          <w:rFonts w:hint="eastAsia" w:ascii="宋体" w:hAnsi="宋体" w:eastAsia="宋体" w:cs="宋体"/>
        </w:rPr>
        <w:t>沥青混合料的配合比设计可采用马歇尔设计方法，基体</w:t>
      </w:r>
      <w:r>
        <w:rPr>
          <w:rFonts w:hint="eastAsia" w:ascii="宋体" w:hAnsi="宋体" w:eastAsia="宋体" w:cs="宋体"/>
          <w:lang w:eastAsia="zh-CN"/>
        </w:rPr>
        <w:t>大空隙</w:t>
      </w:r>
      <w:r>
        <w:rPr>
          <w:rFonts w:hint="eastAsia" w:ascii="宋体" w:hAnsi="宋体" w:eastAsia="宋体" w:cs="宋体"/>
        </w:rPr>
        <w:t>沥青混合料的技术指标应符合表6的规定。</w:t>
      </w:r>
    </w:p>
    <w:p>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6</w:t>
      </w:r>
      <w:r>
        <w:rPr>
          <w:rFonts w:ascii="Times New Roman" w:eastAsia="黑体"/>
          <w:szCs w:val="21"/>
        </w:rPr>
        <w:t xml:space="preserve"> </w:t>
      </w:r>
      <w:r>
        <w:rPr>
          <w:rFonts w:hint="eastAsia"/>
        </w:rPr>
        <w:t>基体</w:t>
      </w:r>
      <w:r>
        <w:rPr>
          <w:rFonts w:hint="eastAsia"/>
          <w:lang w:eastAsia="zh-CN"/>
        </w:rPr>
        <w:t>大空隙</w:t>
      </w:r>
      <w:r>
        <w:rPr>
          <w:rFonts w:hint="eastAsia"/>
        </w:rPr>
        <w:t>沥青混合料技术指标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1166"/>
        <w:gridCol w:w="1167"/>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项目</w:t>
            </w:r>
          </w:p>
        </w:tc>
        <w:tc>
          <w:tcPr>
            <w:tcW w:w="2333"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单位</w:t>
            </w:r>
          </w:p>
        </w:tc>
        <w:tc>
          <w:tcPr>
            <w:tcW w:w="2333" w:type="dxa"/>
            <w:gridSpan w:val="2"/>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技术指标</w:t>
            </w:r>
          </w:p>
        </w:tc>
        <w:tc>
          <w:tcPr>
            <w:tcW w:w="2334"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击实次数</w:t>
            </w:r>
          </w:p>
        </w:tc>
        <w:tc>
          <w:tcPr>
            <w:tcW w:w="2333"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次</w:t>
            </w:r>
          </w:p>
        </w:tc>
        <w:tc>
          <w:tcPr>
            <w:tcW w:w="2333" w:type="dxa"/>
            <w:gridSpan w:val="2"/>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双面各50</w:t>
            </w:r>
          </w:p>
        </w:tc>
        <w:tc>
          <w:tcPr>
            <w:tcW w:w="2334"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JTG E20: T0702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马歇尔试件尺寸</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mm</w:t>
            </w:r>
          </w:p>
        </w:tc>
        <w:tc>
          <w:tcPr>
            <w:tcW w:w="2333"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Φ101.6×(63.5±1.3)</w:t>
            </w:r>
          </w:p>
        </w:tc>
        <w:tc>
          <w:tcPr>
            <w:tcW w:w="2334" w:type="dxa"/>
            <w:shd w:val="clear" w:color="auto" w:fill="auto"/>
          </w:tcPr>
          <w:p>
            <w:pPr>
              <w:jc w:val="cente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空隙率</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16～28</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连通空隙率</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15～25</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本规范附录A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马歇尔稳定度</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kN</w:t>
            </w:r>
          </w:p>
        </w:tc>
        <w:tc>
          <w:tcPr>
            <w:tcW w:w="2333"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≥3</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析漏损失</w:t>
            </w:r>
          </w:p>
        </w:tc>
        <w:tc>
          <w:tcPr>
            <w:tcW w:w="2333" w:type="dxa"/>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pPr>
              <w:jc w:val="center"/>
              <w:rPr>
                <w:rFonts w:hint="default" w:ascii="Times New Roman" w:hAnsi="Times New Roman" w:cs="Times New Roman"/>
              </w:rPr>
            </w:pPr>
            <w:r>
              <w:rPr>
                <w:rFonts w:hint="default" w:ascii="Times New Roman" w:hAnsi="Times New Roman" w:cs="Times New Roman"/>
              </w:rPr>
              <w:t>≤0.5</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飞散损失</w:t>
            </w:r>
          </w:p>
        </w:tc>
        <w:tc>
          <w:tcPr>
            <w:tcW w:w="2333" w:type="dxa"/>
            <w:vMerge w:val="restart"/>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w:t>
            </w:r>
          </w:p>
        </w:tc>
        <w:tc>
          <w:tcPr>
            <w:tcW w:w="1166" w:type="dxa"/>
            <w:shd w:val="clear" w:color="auto" w:fill="auto"/>
          </w:tcPr>
          <w:p>
            <w:pPr>
              <w:jc w:val="center"/>
              <w:rPr>
                <w:rFonts w:hint="default" w:ascii="Times New Roman" w:hAnsi="Times New Roman" w:cs="Times New Roman"/>
              </w:rPr>
            </w:pPr>
            <w:r>
              <w:rPr>
                <w:rFonts w:hint="default" w:ascii="Times New Roman" w:hAnsi="Times New Roman" w:cs="Times New Roman"/>
              </w:rPr>
              <w:t>上面层</w:t>
            </w:r>
          </w:p>
        </w:tc>
        <w:tc>
          <w:tcPr>
            <w:tcW w:w="1167" w:type="dxa"/>
            <w:shd w:val="clear" w:color="auto" w:fill="auto"/>
          </w:tcPr>
          <w:p>
            <w:pPr>
              <w:jc w:val="center"/>
              <w:rPr>
                <w:rFonts w:hint="default" w:ascii="Times New Roman" w:hAnsi="Times New Roman" w:cs="Times New Roman"/>
              </w:rPr>
            </w:pPr>
            <w:r>
              <w:rPr>
                <w:rFonts w:hint="default" w:ascii="Times New Roman" w:hAnsi="Times New Roman" w:cs="Times New Roman"/>
              </w:rPr>
              <w:t>≤30</w:t>
            </w:r>
          </w:p>
        </w:tc>
        <w:tc>
          <w:tcPr>
            <w:tcW w:w="2334" w:type="dxa"/>
            <w:vMerge w:val="restart"/>
            <w:shd w:val="clear" w:color="auto" w:fill="auto"/>
            <w:vAlign w:val="center"/>
          </w:tcPr>
          <w:p>
            <w:pPr>
              <w:jc w:val="center"/>
              <w:rPr>
                <w:rFonts w:hint="default" w:ascii="Times New Roman" w:hAnsi="Times New Roman" w:cs="Times New Roman"/>
              </w:rPr>
            </w:pPr>
            <w:r>
              <w:rPr>
                <w:rFonts w:hint="default" w:ascii="Times New Roman" w:hAnsi="Times New Roman" w:cs="Times New Roman"/>
              </w:rPr>
              <w:t>JTG E20: T0733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pPr>
          </w:p>
        </w:tc>
        <w:tc>
          <w:tcPr>
            <w:tcW w:w="2333" w:type="dxa"/>
            <w:vMerge w:val="continue"/>
            <w:shd w:val="clear" w:color="auto" w:fill="auto"/>
            <w:vAlign w:val="center"/>
          </w:tcPr>
          <w:p>
            <w:pPr>
              <w:pStyle w:val="178"/>
            </w:pPr>
          </w:p>
        </w:tc>
        <w:tc>
          <w:tcPr>
            <w:tcW w:w="1166" w:type="dxa"/>
            <w:shd w:val="clear" w:color="auto" w:fill="auto"/>
          </w:tcPr>
          <w:p>
            <w:pPr>
              <w:jc w:val="center"/>
            </w:pPr>
            <w:r>
              <w:rPr>
                <w:rFonts w:hint="eastAsia"/>
              </w:rPr>
              <w:t>中、下面层</w:t>
            </w:r>
          </w:p>
        </w:tc>
        <w:tc>
          <w:tcPr>
            <w:tcW w:w="1167" w:type="dxa"/>
            <w:shd w:val="clear" w:color="auto" w:fill="auto"/>
          </w:tcPr>
          <w:p>
            <w:pPr>
              <w:jc w:val="center"/>
            </w:pPr>
            <w:r>
              <w:rPr>
                <w:rFonts w:hint="eastAsia"/>
              </w:rPr>
              <w:t>≤45</w:t>
            </w:r>
          </w:p>
        </w:tc>
        <w:tc>
          <w:tcPr>
            <w:tcW w:w="2334" w:type="dxa"/>
            <w:vMerge w:val="continue"/>
            <w:shd w:val="clear" w:color="auto" w:fill="auto"/>
            <w:vAlign w:val="center"/>
          </w:tcPr>
          <w:p>
            <w:pPr>
              <w:pStyle w:val="178"/>
            </w:pPr>
          </w:p>
        </w:tc>
      </w:tr>
    </w:tbl>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沥青混合料连通空隙率设计宜符合下列规定</w:t>
      </w:r>
    </w:p>
    <w:p>
      <w:pPr>
        <w:pStyle w:val="109"/>
        <w:numPr>
          <w:ilvl w:val="1"/>
          <w:numId w:val="33"/>
        </w:numPr>
        <w:rPr>
          <w:rFonts w:hint="default" w:ascii="Times New Roman" w:hAnsi="Times New Roman" w:cs="Times New Roman"/>
          <w:highlight w:val="none"/>
        </w:rPr>
      </w:pPr>
      <w:r>
        <w:rPr>
          <w:rFonts w:hint="default" w:ascii="Times New Roman" w:hAnsi="Times New Roman" w:cs="Times New Roman"/>
        </w:rPr>
        <w:t>当用于上</w:t>
      </w:r>
      <w:r>
        <w:rPr>
          <w:rFonts w:hint="default" w:ascii="Times New Roman" w:hAnsi="Times New Roman" w:cs="Times New Roman"/>
          <w:highlight w:val="none"/>
        </w:rPr>
        <w:t>面层或厚度不超过8cm时，基体</w:t>
      </w:r>
      <w:r>
        <w:rPr>
          <w:rFonts w:hint="default" w:ascii="Times New Roman" w:hAnsi="Times New Roman" w:cs="Times New Roman"/>
          <w:highlight w:val="none"/>
          <w:lang w:eastAsia="zh-CN"/>
        </w:rPr>
        <w:t>大空隙</w:t>
      </w:r>
      <w:r>
        <w:rPr>
          <w:rFonts w:hint="default" w:ascii="Times New Roman" w:hAnsi="Times New Roman" w:cs="Times New Roman"/>
          <w:highlight w:val="none"/>
        </w:rPr>
        <w:t>沥青混合料空隙率应控制在16%～25%，连通空隙率应控制在15%～23%；</w:t>
      </w:r>
    </w:p>
    <w:p>
      <w:pPr>
        <w:pStyle w:val="109"/>
        <w:numPr>
          <w:ilvl w:val="1"/>
          <w:numId w:val="33"/>
        </w:numPr>
        <w:rPr>
          <w:rFonts w:hint="default" w:ascii="Times New Roman" w:hAnsi="Times New Roman" w:cs="Times New Roman"/>
          <w:highlight w:val="none"/>
        </w:rPr>
      </w:pPr>
      <w:r>
        <w:rPr>
          <w:rFonts w:hint="default" w:ascii="Times New Roman" w:hAnsi="Times New Roman" w:cs="Times New Roman"/>
          <w:highlight w:val="none"/>
        </w:rPr>
        <w:t>当厚度超过8cm时，基体</w:t>
      </w:r>
      <w:r>
        <w:rPr>
          <w:rFonts w:hint="default" w:ascii="Times New Roman" w:hAnsi="Times New Roman" w:cs="Times New Roman"/>
          <w:highlight w:val="none"/>
          <w:lang w:eastAsia="zh-CN"/>
        </w:rPr>
        <w:t>大空隙</w:t>
      </w:r>
      <w:r>
        <w:rPr>
          <w:rFonts w:hint="default" w:ascii="Times New Roman" w:hAnsi="Times New Roman" w:cs="Times New Roman"/>
          <w:highlight w:val="none"/>
        </w:rPr>
        <w:t>沥青混合料空隙率应控制在20%～28%，连通空隙率应控制在18%～25%。</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沥青混合料配合比设计应包括目标配合比设计、生产配合比设计以及生产配合比验证三个阶段。</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沥青混合料的目标配合比设计应按图1及下列步骤进行，且应符合JTG F40中对热拌沥青混合料配合比设计的有关规定。</w:t>
      </w:r>
    </w:p>
    <w:p>
      <w:pPr>
        <w:pStyle w:val="56"/>
        <w:ind w:firstLine="420"/>
        <w:jc w:val="center"/>
      </w:pPr>
      <w:r>
        <w:drawing>
          <wp:inline distT="0" distB="0" distL="114300" distR="114300">
            <wp:extent cx="4705350" cy="4483100"/>
            <wp:effectExtent l="0" t="0" r="635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6"/>
                    <a:stretch>
                      <a:fillRect/>
                    </a:stretch>
                  </pic:blipFill>
                  <pic:spPr>
                    <a:xfrm>
                      <a:off x="0" y="0"/>
                      <a:ext cx="4705350" cy="4483100"/>
                    </a:xfrm>
                    <a:prstGeom prst="rect">
                      <a:avLst/>
                    </a:prstGeom>
                    <a:noFill/>
                    <a:ln>
                      <a:noFill/>
                    </a:ln>
                  </pic:spPr>
                </pic:pic>
              </a:graphicData>
            </a:graphic>
          </wp:inline>
        </w:drawing>
      </w:r>
    </w:p>
    <w:p>
      <w:pPr>
        <w:pStyle w:val="114"/>
        <w:spacing w:before="156" w:after="156"/>
      </w:pPr>
      <w:r>
        <w:rPr>
          <w:rFonts w:hint="eastAsia"/>
        </w:rPr>
        <w:t>基体大空隙沥青混合料目标配合比设计方法</w:t>
      </w:r>
    </w:p>
    <w:p>
      <w:pPr>
        <w:pStyle w:val="109"/>
        <w:numPr>
          <w:ilvl w:val="1"/>
          <w:numId w:val="34"/>
        </w:numPr>
      </w:pPr>
      <w:r>
        <w:rPr>
          <w:rFonts w:hint="eastAsia"/>
        </w:rPr>
        <w:t>选择符合设计要求的沥青结合料与集料等原材料；</w:t>
      </w:r>
    </w:p>
    <w:p>
      <w:pPr>
        <w:pStyle w:val="109"/>
        <w:numPr>
          <w:ilvl w:val="1"/>
          <w:numId w:val="34"/>
        </w:numPr>
      </w:pPr>
      <w:r>
        <w:rPr>
          <w:rFonts w:hint="eastAsia"/>
        </w:rPr>
        <w:t>按本文件表5确定粗集料的掺配比例，测定粗集料捣实状态下的骨架间隙率（VCA</w:t>
      </w:r>
      <w:r>
        <w:rPr>
          <w:rFonts w:hint="eastAsia"/>
          <w:vertAlign w:val="subscript"/>
        </w:rPr>
        <w:t>DRC</w:t>
      </w:r>
      <w:r>
        <w:rPr>
          <w:rFonts w:hint="eastAsia"/>
        </w:rPr>
        <w:t>）；</w:t>
      </w:r>
    </w:p>
    <w:p>
      <w:pPr>
        <w:pStyle w:val="109"/>
        <w:numPr>
          <w:ilvl w:val="1"/>
          <w:numId w:val="34"/>
        </w:numPr>
      </w:pPr>
      <w:r>
        <w:rPr>
          <w:rFonts w:hint="eastAsia"/>
        </w:rPr>
        <w:t>根据配合比设计经验确定基体</w:t>
      </w:r>
      <w:r>
        <w:rPr>
          <w:rFonts w:hint="eastAsia"/>
          <w:lang w:eastAsia="zh-CN"/>
        </w:rPr>
        <w:t>大空隙</w:t>
      </w:r>
      <w:r>
        <w:rPr>
          <w:rFonts w:hint="eastAsia"/>
        </w:rPr>
        <w:t>沥青混合料的沥青用量、矿粉用量，根据项目特点及使用层位的功能要求确定目标空隙率；</w:t>
      </w:r>
    </w:p>
    <w:p>
      <w:pPr>
        <w:pStyle w:val="109"/>
        <w:numPr>
          <w:ilvl w:val="1"/>
          <w:numId w:val="34"/>
        </w:numPr>
      </w:pPr>
      <w:r>
        <w:rPr>
          <w:rFonts w:hint="eastAsia"/>
        </w:rPr>
        <w:t>计算合成矿料的级配，结合本文件表5中基体</w:t>
      </w:r>
      <w:r>
        <w:rPr>
          <w:rFonts w:hint="eastAsia"/>
          <w:lang w:eastAsia="zh-CN"/>
        </w:rPr>
        <w:t>大空隙</w:t>
      </w:r>
      <w:r>
        <w:rPr>
          <w:rFonts w:hint="eastAsia"/>
        </w:rPr>
        <w:t>沥青混合料的级配范围与各档集料的级配组成，合成矿料级配。其中，基体</w:t>
      </w:r>
      <w:r>
        <w:rPr>
          <w:rFonts w:hint="eastAsia"/>
          <w:lang w:eastAsia="zh-CN"/>
        </w:rPr>
        <w:t>大空隙</w:t>
      </w:r>
      <w:r>
        <w:rPr>
          <w:rFonts w:hint="eastAsia"/>
        </w:rPr>
        <w:t>沥青混合料的粗集料用量与细集料用量应按下列公式计算：</w:t>
      </w:r>
    </w:p>
    <w:p>
      <w:pPr>
        <w:pStyle w:val="113"/>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=100</m:t>
        </m:r>
      </m:oMath>
      <w:r>
        <w:rPr>
          <w:rFonts w:ascii="微软雅黑" w:eastAsia="微软雅黑"/>
        </w:rPr>
        <w:tab/>
      </w:r>
      <w:r>
        <w:t>(</w:t>
      </w:r>
      <w:r>
        <w:fldChar w:fldCharType="begin"/>
      </w:r>
      <w:r>
        <w:instrText xml:space="preserve"> AUTONUM </w:instrText>
      </w:r>
      <w:r>
        <w:fldChar w:fldCharType="end"/>
      </w:r>
      <w:r>
        <w:t>)</w:t>
      </w:r>
    </w:p>
    <w:p>
      <w:pPr>
        <w:pStyle w:val="113"/>
      </w:pPr>
      <w:r>
        <w:tab/>
      </w:r>
      <m:oMath>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num>
          <m:den>
            <m:r>
              <m:rPr/>
              <w:rPr>
                <w:rFonts w:ascii="Cambria Math" w:hAnsi="Cambria Math"/>
              </w:rPr>
              <m:t>100</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SC</m:t>
                </m:r>
                <m:ctrlPr>
                  <w:rPr>
                    <w:rFonts w:ascii="Cambria Math" w:hAnsi="Cambria Math"/>
                    <w:i/>
                  </w:rPr>
                </m:ctrlP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m:rPr/>
                  <w:rPr>
                    <w:rFonts w:ascii="Cambria Math" w:hAnsi="Cambria Math"/>
                  </w:rPr>
                  <m:t>VCA</m:t>
                </m:r>
                <m:ctrlPr>
                  <w:rPr>
                    <w:rFonts w:ascii="Cambria Math" w:hAnsi="Cambria Math"/>
                    <w:i/>
                  </w:rPr>
                </m:ctrlPr>
              </m:e>
              <m:sub>
                <m:r>
                  <m:rPr/>
                  <w:rPr>
                    <w:rFonts w:ascii="Cambria Math" w:hAnsi="Cambria Math"/>
                  </w:rPr>
                  <m:t>DRC</m:t>
                </m:r>
                <m:ctrlPr>
                  <w:rPr>
                    <w:rFonts w:ascii="Cambria Math" w:hAnsi="Cambria Math"/>
                    <w:i/>
                  </w:rPr>
                </m:ctrlPr>
              </m:sub>
            </m:sSub>
            <m:r>
              <m:rPr/>
              <w:rPr>
                <w:rFonts w:ascii="Cambria Math" w:hAnsi="Cambria Math"/>
              </w:rPr>
              <m:t>−VV</m:t>
            </m:r>
            <m:ctrlPr>
              <w:rPr>
                <w:rFonts w:ascii="Cambria Math" w:hAnsi="Cambria Math"/>
                <w:i/>
              </w:rPr>
            </m:ctrlPr>
          </m:e>
        </m:d>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c</w:t>
      </w:r>
      <w:r>
        <w:rPr>
          <w:rFonts w:hint="default" w:ascii="Times New Roman" w:hAnsi="Times New Roman" w:cs="Times New Roman"/>
        </w:rPr>
        <w:t>——4.75mm及以上粗集料质量百分数(%)；</w:t>
      </w:r>
    </w:p>
    <w:p>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f</w:t>
      </w:r>
      <w:r>
        <w:rPr>
          <w:rFonts w:hint="default" w:ascii="Times New Roman" w:hAnsi="Times New Roman" w:cs="Times New Roman"/>
        </w:rPr>
        <w:t>——4.75mm以下细集料质量百分数(%)；</w:t>
      </w:r>
    </w:p>
    <w:p>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p</w:t>
      </w:r>
      <w:r>
        <w:rPr>
          <w:rFonts w:hint="default" w:ascii="Times New Roman" w:hAnsi="Times New Roman" w:cs="Times New Roman"/>
        </w:rPr>
        <w:t>——矿粉质量百分数(%)；</w:t>
      </w:r>
    </w:p>
    <w:p>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a</w:t>
      </w:r>
      <w:r>
        <w:rPr>
          <w:rFonts w:hint="default" w:ascii="Times New Roman" w:hAnsi="Times New Roman" w:cs="Times New Roman"/>
        </w:rPr>
        <w:t>——沥青用量质量百分数(%)；</w:t>
      </w:r>
    </w:p>
    <w:p>
      <w:pPr>
        <w:pStyle w:val="56"/>
        <w:ind w:leftChars="300" w:firstLine="420"/>
        <w:rPr>
          <w:rFonts w:hint="default" w:ascii="Times New Roman" w:hAnsi="Times New Roman" w:cs="Times New Roman"/>
        </w:rPr>
      </w:pPr>
      <w:r>
        <w:rPr>
          <w:rFonts w:hint="default" w:ascii="Times New Roman" w:hAnsi="Times New Roman" w:cs="Times New Roman"/>
        </w:rPr>
        <w:t>VCA</w:t>
      </w:r>
      <w:r>
        <w:rPr>
          <w:rFonts w:hint="default" w:ascii="Times New Roman" w:hAnsi="Times New Roman" w:cs="Times New Roman"/>
          <w:vertAlign w:val="subscript"/>
        </w:rPr>
        <w:t>DRC</w:t>
      </w:r>
      <w:r>
        <w:rPr>
          <w:rFonts w:hint="default" w:ascii="Times New Roman" w:hAnsi="Times New Roman" w:cs="Times New Roman"/>
        </w:rPr>
        <w:t>——4.75mm及以上粗集料在捣实状态下的骨架间隙率(%)；</w:t>
      </w:r>
    </w:p>
    <w:p>
      <w:pPr>
        <w:pStyle w:val="56"/>
        <w:ind w:leftChars="300" w:firstLine="420"/>
        <w:rPr>
          <w:rFonts w:hint="default" w:ascii="Times New Roman" w:hAnsi="Times New Roman" w:cs="Times New Roman"/>
        </w:rPr>
      </w:pPr>
      <w:r>
        <w:rPr>
          <w:rFonts w:hint="default" w:ascii="Times New Roman" w:hAnsi="Times New Roman" w:cs="Times New Roman"/>
        </w:rPr>
        <w:t>VV——沥青混合料的设计目标空隙率(%)；</w:t>
      </w:r>
    </w:p>
    <w:p>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SC</w:t>
      </w:r>
      <w:r>
        <w:rPr>
          <w:rFonts w:hint="default" w:ascii="Times New Roman" w:hAnsi="Times New Roman" w:cs="Times New Roman"/>
        </w:rPr>
        <w:t>——4.75mm及以上粗集料在捣实状态下的紧装相对密度；</w:t>
      </w:r>
    </w:p>
    <w:p>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f</w:t>
      </w:r>
      <w:r>
        <w:rPr>
          <w:rFonts w:hint="default" w:ascii="Times New Roman" w:hAnsi="Times New Roman" w:cs="Times New Roman"/>
        </w:rPr>
        <w:t>——4.75mm以下细集料的表观相对密度；</w:t>
      </w:r>
    </w:p>
    <w:p>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p</w:t>
      </w:r>
      <w:r>
        <w:rPr>
          <w:rFonts w:hint="default" w:ascii="Times New Roman" w:hAnsi="Times New Roman" w:cs="Times New Roman"/>
        </w:rPr>
        <w:t>——矿粉的表观相对密度；</w:t>
      </w:r>
    </w:p>
    <w:p>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a</w:t>
      </w:r>
      <w:r>
        <w:rPr>
          <w:rFonts w:hint="default" w:ascii="Times New Roman" w:hAnsi="Times New Roman" w:cs="Times New Roman"/>
        </w:rPr>
        <w:t>——沥青的相对密度。</w:t>
      </w:r>
    </w:p>
    <w:p>
      <w:pPr>
        <w:pStyle w:val="109"/>
        <w:rPr>
          <w:rFonts w:hint="default" w:ascii="Times New Roman" w:hAnsi="Times New Roman" w:cs="Times New Roman"/>
        </w:rPr>
      </w:pPr>
      <w:r>
        <w:rPr>
          <w:rFonts w:hint="default" w:ascii="Times New Roman" w:hAnsi="Times New Roman" w:eastAsia="宋体" w:cs="Times New Roman"/>
          <w:sz w:val="21"/>
          <w:lang w:val="en-US" w:eastAsia="zh-CN" w:bidi="ar-SA"/>
        </w:rPr>
        <w:t>优选矿料级配：初选3个合成矿料级配分别成型马歇尔试件，检验空隙率、连通空隙率</w:t>
      </w:r>
      <w:r>
        <w:rPr>
          <w:rFonts w:hint="default" w:ascii="Times New Roman" w:hAnsi="Times New Roman" w:cs="Times New Roman"/>
        </w:rPr>
        <w:t>和马歇尔稳定度，在各项指标满足设计要求的情况下，根据试验结果确定最佳合成矿料配合比；</w:t>
      </w:r>
    </w:p>
    <w:p>
      <w:pPr>
        <w:pStyle w:val="109"/>
        <w:rPr>
          <w:rFonts w:hint="default" w:ascii="Times New Roman" w:hAnsi="Times New Roman" w:cs="Times New Roman"/>
        </w:rPr>
      </w:pPr>
      <w:r>
        <w:rPr>
          <w:rFonts w:hint="default" w:ascii="Times New Roman" w:hAnsi="Times New Roman" w:cs="Times New Roman"/>
        </w:rPr>
        <w:t>确定最佳沥青用量：采用最佳合成矿料配合比，按初拟沥青用量、初拟沥青用量±0.3%共3个沥青用量，成型三组马歇尔试件，分别进行析漏试验和飞散试验，将试验结果绘制成图，以飞散试验结果拐点为最小沥青用量（OAC1），以析漏试验拐点为最大沥青用量（OAC2），在OAC1～OAC2范围内，对比马歇尔试验的结果，宜选择最高的沥青用量作为最佳沥青用量；</w:t>
      </w:r>
    </w:p>
    <w:p>
      <w:pPr>
        <w:pStyle w:val="109"/>
        <w:rPr>
          <w:rFonts w:hint="default" w:ascii="Times New Roman" w:hAnsi="Times New Roman" w:cs="Times New Roman"/>
        </w:rPr>
      </w:pPr>
      <w:r>
        <w:rPr>
          <w:rFonts w:hint="default" w:ascii="Times New Roman" w:hAnsi="Times New Roman" w:cs="Times New Roman"/>
        </w:rPr>
        <w:t>验证混合料性能：以确定的矿料级配和最佳沥青用量拌制基体</w:t>
      </w:r>
      <w:r>
        <w:rPr>
          <w:rFonts w:hint="default" w:ascii="Times New Roman" w:hAnsi="Times New Roman" w:cs="Times New Roman"/>
          <w:lang w:eastAsia="zh-CN"/>
        </w:rPr>
        <w:t>大空隙</w:t>
      </w:r>
      <w:r>
        <w:rPr>
          <w:rFonts w:hint="default" w:ascii="Times New Roman" w:hAnsi="Times New Roman" w:cs="Times New Roman"/>
        </w:rPr>
        <w:t>沥青混合料，分别对本文件表6中各技术指标进行试验验证，各项指标应符合本文件表6的规定。不符合时，应调整沥青用量或级配，重新拌和进行试验，直至符合要求为止。</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沥青混合料的生产配合比设计及验证应符合JTG F40中对热拌沥青混合料配合比设计的有关规定。</w:t>
      </w:r>
    </w:p>
    <w:p>
      <w:pPr>
        <w:pStyle w:val="105"/>
        <w:spacing w:before="156" w:after="156"/>
        <w:rPr>
          <w:rFonts w:hint="default" w:ascii="Times New Roman" w:hAnsi="Times New Roman" w:cs="Times New Roman"/>
        </w:rPr>
      </w:pPr>
      <w:r>
        <w:rPr>
          <w:rFonts w:hint="default" w:ascii="Times New Roman" w:hAnsi="Times New Roman" w:cs="Times New Roman"/>
        </w:rPr>
        <w:t>复合面层混合料的技术要求</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灌注式半柔性复合面层材料的技术指标应符合表</w:t>
      </w:r>
      <w:r>
        <w:rPr>
          <w:rFonts w:hint="default" w:ascii="Times New Roman" w:hAnsi="Times New Roman" w:eastAsia="宋体" w:cs="Times New Roman"/>
          <w:lang w:val="en-US" w:eastAsia="zh-CN"/>
        </w:rPr>
        <w:t>7</w:t>
      </w:r>
      <w:r>
        <w:rPr>
          <w:rFonts w:hint="default" w:ascii="Times New Roman" w:hAnsi="Times New Roman" w:eastAsia="宋体" w:cs="Times New Roman"/>
        </w:rPr>
        <w:t>的要求，灌注式半柔性复合面层材料成型方法按附录C执行。</w:t>
      </w:r>
    </w:p>
    <w:p>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 xml:space="preserve">7 </w:t>
      </w:r>
      <w:r>
        <w:rPr>
          <w:rFonts w:hint="eastAsia"/>
        </w:rPr>
        <w:t>灌注式半柔性复合沥青路面材料技术要求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076"/>
        <w:gridCol w:w="1220"/>
        <w:gridCol w:w="1704"/>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076"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项目</w:t>
            </w:r>
          </w:p>
        </w:tc>
        <w:tc>
          <w:tcPr>
            <w:tcW w:w="1220"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单位</w:t>
            </w:r>
          </w:p>
        </w:tc>
        <w:tc>
          <w:tcPr>
            <w:tcW w:w="1704"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技术指标</w:t>
            </w:r>
          </w:p>
        </w:tc>
        <w:tc>
          <w:tcPr>
            <w:tcW w:w="2334"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灌浆饱满度（3d）</w:t>
            </w:r>
          </w:p>
        </w:tc>
        <w:tc>
          <w:tcPr>
            <w:tcW w:w="1220"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w:t>
            </w:r>
          </w:p>
        </w:tc>
        <w:tc>
          <w:tcPr>
            <w:tcW w:w="1704"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≥85</w:t>
            </w:r>
          </w:p>
        </w:tc>
        <w:tc>
          <w:tcPr>
            <w:tcW w:w="2334"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本文件附录D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rPr>
            </w:pPr>
            <w:r>
              <w:rPr>
                <w:rFonts w:hint="default" w:ascii="Times New Roman" w:hAnsi="Times New Roman" w:cs="Times New Roman"/>
              </w:rPr>
              <w:t>动稳定度（70℃）（7d）</w:t>
            </w:r>
          </w:p>
        </w:tc>
        <w:tc>
          <w:tcPr>
            <w:tcW w:w="1220" w:type="dxa"/>
            <w:shd w:val="clear" w:color="auto" w:fill="auto"/>
          </w:tcPr>
          <w:p>
            <w:pPr>
              <w:jc w:val="center"/>
              <w:rPr>
                <w:rFonts w:hint="default" w:ascii="Times New Roman" w:hAnsi="Times New Roman" w:cs="Times New Roman"/>
              </w:rPr>
            </w:pPr>
            <w:r>
              <w:rPr>
                <w:rFonts w:hint="default" w:ascii="Times New Roman" w:hAnsi="Times New Roman" w:cs="Times New Roman"/>
              </w:rPr>
              <w:t>次/mm</w:t>
            </w:r>
          </w:p>
        </w:tc>
        <w:tc>
          <w:tcPr>
            <w:tcW w:w="1704" w:type="dxa"/>
            <w:shd w:val="clear" w:color="auto" w:fill="auto"/>
          </w:tcPr>
          <w:p>
            <w:pPr>
              <w:jc w:val="center"/>
              <w:rPr>
                <w:rFonts w:hint="default" w:ascii="Times New Roman" w:hAnsi="Times New Roman" w:cs="Times New Roman"/>
              </w:rPr>
            </w:pPr>
            <w:r>
              <w:rPr>
                <w:rFonts w:hint="default" w:ascii="Times New Roman" w:hAnsi="Times New Roman" w:cs="Times New Roman"/>
              </w:rPr>
              <w:t>≥10000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rPr>
            </w:pPr>
            <w:r>
              <w:rPr>
                <w:rFonts w:hint="default" w:ascii="Times New Roman" w:hAnsi="Times New Roman" w:cs="Times New Roman"/>
              </w:rPr>
              <w:t>动态压缩模量（20℃，10Hz）（7d）</w:t>
            </w:r>
          </w:p>
        </w:tc>
        <w:tc>
          <w:tcPr>
            <w:tcW w:w="1220" w:type="dxa"/>
            <w:shd w:val="clear" w:color="auto" w:fill="auto"/>
          </w:tcPr>
          <w:p>
            <w:pPr>
              <w:jc w:val="center"/>
              <w:rPr>
                <w:rFonts w:hint="default" w:ascii="Times New Roman" w:hAnsi="Times New Roman" w:cs="Times New Roman"/>
              </w:rPr>
            </w:pPr>
            <w:r>
              <w:rPr>
                <w:rFonts w:hint="default" w:ascii="Times New Roman" w:hAnsi="Times New Roman" w:cs="Times New Roman"/>
              </w:rPr>
              <w:t>MPa</w:t>
            </w:r>
          </w:p>
        </w:tc>
        <w:tc>
          <w:tcPr>
            <w:tcW w:w="1704" w:type="dxa"/>
            <w:shd w:val="clear" w:color="auto" w:fill="auto"/>
          </w:tcPr>
          <w:p>
            <w:pPr>
              <w:jc w:val="center"/>
              <w:rPr>
                <w:rFonts w:hint="default" w:ascii="Times New Roman" w:hAnsi="Times New Roman" w:cs="Times New Roman"/>
              </w:rPr>
            </w:pPr>
            <w:r>
              <w:rPr>
                <w:rFonts w:hint="default" w:ascii="Times New Roman" w:hAnsi="Times New Roman" w:cs="Times New Roman"/>
              </w:rPr>
              <w:t>9000~14000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rPr>
            </w:pPr>
            <w:r>
              <w:rPr>
                <w:rFonts w:hint="default" w:ascii="Times New Roman" w:hAnsi="Times New Roman" w:cs="Times New Roman"/>
              </w:rPr>
              <w:t>马歇尔稳定度（7d）</w:t>
            </w:r>
          </w:p>
        </w:tc>
        <w:tc>
          <w:tcPr>
            <w:tcW w:w="1220" w:type="dxa"/>
            <w:shd w:val="clear" w:color="auto" w:fill="auto"/>
          </w:tcPr>
          <w:p>
            <w:pPr>
              <w:jc w:val="center"/>
              <w:rPr>
                <w:rFonts w:hint="default" w:ascii="Times New Roman" w:hAnsi="Times New Roman" w:cs="Times New Roman"/>
              </w:rPr>
            </w:pPr>
            <w:r>
              <w:rPr>
                <w:rFonts w:hint="default" w:ascii="Times New Roman" w:hAnsi="Times New Roman" w:cs="Times New Roman"/>
              </w:rPr>
              <w:t>kN</w:t>
            </w:r>
          </w:p>
        </w:tc>
        <w:tc>
          <w:tcPr>
            <w:tcW w:w="1704" w:type="dxa"/>
            <w:shd w:val="clear" w:color="auto" w:fill="auto"/>
          </w:tcPr>
          <w:p>
            <w:pPr>
              <w:jc w:val="center"/>
              <w:rPr>
                <w:rFonts w:hint="default" w:ascii="Times New Roman" w:hAnsi="Times New Roman" w:cs="Times New Roman"/>
              </w:rPr>
            </w:pPr>
            <w:r>
              <w:rPr>
                <w:rFonts w:hint="default" w:ascii="Times New Roman" w:hAnsi="Times New Roman" w:cs="Times New Roman"/>
              </w:rPr>
              <w:t>≥10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rPr>
            </w:pPr>
            <w:r>
              <w:rPr>
                <w:rFonts w:hint="default" w:ascii="Times New Roman" w:hAnsi="Times New Roman" w:cs="Times New Roman"/>
              </w:rPr>
              <w:t>抗压强度（7d）</w:t>
            </w:r>
          </w:p>
        </w:tc>
        <w:tc>
          <w:tcPr>
            <w:tcW w:w="1220" w:type="dxa"/>
            <w:shd w:val="clear" w:color="auto" w:fill="auto"/>
          </w:tcPr>
          <w:p>
            <w:pPr>
              <w:jc w:val="center"/>
              <w:rPr>
                <w:rFonts w:hint="default" w:ascii="Times New Roman" w:hAnsi="Times New Roman" w:cs="Times New Roman"/>
              </w:rPr>
            </w:pPr>
            <w:r>
              <w:rPr>
                <w:rFonts w:hint="default" w:ascii="Times New Roman" w:hAnsi="Times New Roman" w:cs="Times New Roman"/>
              </w:rPr>
              <w:t>MPa</w:t>
            </w:r>
          </w:p>
        </w:tc>
        <w:tc>
          <w:tcPr>
            <w:tcW w:w="1704" w:type="dxa"/>
            <w:shd w:val="clear" w:color="auto" w:fill="auto"/>
          </w:tcPr>
          <w:p>
            <w:pPr>
              <w:jc w:val="center"/>
              <w:rPr>
                <w:rFonts w:hint="default" w:ascii="Times New Roman" w:hAnsi="Times New Roman" w:cs="Times New Roman"/>
              </w:rPr>
            </w:pPr>
            <w:r>
              <w:rPr>
                <w:rFonts w:hint="default" w:ascii="Times New Roman" w:hAnsi="Times New Roman" w:cs="Times New Roman"/>
              </w:rPr>
              <w:t>≥5</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GB/T 50107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浸水马歇尔试验残留稳定度（7d）</w:t>
            </w:r>
          </w:p>
        </w:tc>
        <w:tc>
          <w:tcPr>
            <w:tcW w:w="1220"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w:t>
            </w:r>
          </w:p>
        </w:tc>
        <w:tc>
          <w:tcPr>
            <w:tcW w:w="1704"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≥85</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冻融劈裂试验残留强度比（7d）</w:t>
            </w:r>
          </w:p>
        </w:tc>
        <w:tc>
          <w:tcPr>
            <w:tcW w:w="1220"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w:t>
            </w:r>
          </w:p>
        </w:tc>
        <w:tc>
          <w:tcPr>
            <w:tcW w:w="1704" w:type="dxa"/>
            <w:shd w:val="clear" w:color="auto" w:fill="auto"/>
          </w:tcPr>
          <w:p>
            <w:pPr>
              <w:jc w:val="center"/>
              <w:rPr>
                <w:rFonts w:hint="default" w:ascii="Times New Roman" w:hAnsi="Times New Roman" w:cs="Times New Roman"/>
                <w:highlight w:val="none"/>
              </w:rPr>
            </w:pPr>
            <w:r>
              <w:rPr>
                <w:rFonts w:hint="default" w:ascii="Times New Roman" w:hAnsi="Times New Roman" w:cs="Times New Roman"/>
                <w:highlight w:val="none"/>
              </w:rPr>
              <w:t>≥80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pPr>
              <w:jc w:val="center"/>
              <w:rPr>
                <w:rFonts w:hint="default" w:ascii="Times New Roman" w:hAnsi="Times New Roman" w:cs="Times New Roman"/>
              </w:rPr>
            </w:pPr>
            <w:r>
              <w:rPr>
                <w:rFonts w:hint="default" w:ascii="Times New Roman" w:hAnsi="Times New Roman" w:cs="Times New Roman"/>
              </w:rPr>
              <w:t>低温弯曲试验最大弯拉应变(-10℃) （7d）</w:t>
            </w:r>
          </w:p>
        </w:tc>
        <w:tc>
          <w:tcPr>
            <w:tcW w:w="1220" w:type="dxa"/>
            <w:shd w:val="clear" w:color="auto" w:fill="auto"/>
          </w:tcPr>
          <w:p>
            <w:pPr>
              <w:jc w:val="center"/>
              <w:rPr>
                <w:rFonts w:hint="default" w:ascii="Times New Roman" w:hAnsi="Times New Roman" w:cs="Times New Roman"/>
              </w:rPr>
            </w:pPr>
            <w:r>
              <w:rPr>
                <w:rFonts w:hint="default" w:ascii="Times New Roman" w:hAnsi="Times New Roman" w:cs="Times New Roman"/>
              </w:rPr>
              <w:t>με</w:t>
            </w:r>
          </w:p>
        </w:tc>
        <w:tc>
          <w:tcPr>
            <w:tcW w:w="1704" w:type="dxa"/>
            <w:shd w:val="clear" w:color="auto" w:fill="auto"/>
          </w:tcPr>
          <w:p>
            <w:pPr>
              <w:jc w:val="center"/>
              <w:rPr>
                <w:rFonts w:hint="default" w:ascii="Times New Roman" w:hAnsi="Times New Roman" w:cs="Times New Roman"/>
              </w:rPr>
            </w:pPr>
            <w:r>
              <w:rPr>
                <w:rFonts w:hint="default" w:ascii="Times New Roman" w:hAnsi="Times New Roman" w:cs="Times New Roman"/>
              </w:rPr>
              <w:t>≥2000</w:t>
            </w:r>
          </w:p>
        </w:tc>
        <w:tc>
          <w:tcPr>
            <w:tcW w:w="2334" w:type="dxa"/>
            <w:shd w:val="clear" w:color="auto" w:fill="auto"/>
          </w:tcPr>
          <w:p>
            <w:pPr>
              <w:jc w:val="center"/>
              <w:rPr>
                <w:rFonts w:hint="default" w:ascii="Times New Roman" w:hAnsi="Times New Roman" w:cs="Times New Roman"/>
              </w:rPr>
            </w:pPr>
            <w:r>
              <w:rPr>
                <w:rFonts w:hint="default" w:ascii="Times New Roman" w:hAnsi="Times New Roman" w:cs="Times New Roman"/>
              </w:rPr>
              <w:t>JTG E20: T0715</w:t>
            </w:r>
          </w:p>
        </w:tc>
      </w:tr>
    </w:tbl>
    <w:p>
      <w:pPr>
        <w:pStyle w:val="56"/>
      </w:pPr>
    </w:p>
    <w:p>
      <w:pPr>
        <w:pStyle w:val="104"/>
        <w:spacing w:before="312" w:after="312"/>
      </w:pPr>
      <w:r>
        <w:rPr>
          <w:rFonts w:hint="eastAsia"/>
        </w:rPr>
        <w:t>施工工艺</w:t>
      </w:r>
    </w:p>
    <w:p>
      <w:pPr>
        <w:pStyle w:val="105"/>
        <w:spacing w:before="156" w:after="156"/>
      </w:pPr>
      <w:r>
        <w:rPr>
          <w:rFonts w:hint="eastAsia"/>
        </w:rPr>
        <w:t>一般规定</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灌注式半柔性复合面层不得在雨天、降雪的情况下施工，施工气温不宜低于5℃。</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灌注式半柔性复合面层的沥青路面其他面层的施工应符合JTG F40的要求，基层及底基层施工应符合JTG/T F20的要求。</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面层各层间撒布改性乳化沥青黏层油时，洒布量宜为0.4kg/m</w:t>
      </w:r>
      <w:r>
        <w:rPr>
          <w:rFonts w:hint="default" w:ascii="Times New Roman" w:hAnsi="Times New Roman" w:eastAsia="宋体" w:cs="Times New Roman"/>
          <w:vertAlign w:val="superscript"/>
        </w:rPr>
        <w:t>2</w:t>
      </w:r>
      <w:r>
        <w:rPr>
          <w:rFonts w:hint="default" w:ascii="Times New Roman" w:hAnsi="Times New Roman" w:eastAsia="宋体" w:cs="Times New Roman"/>
        </w:rPr>
        <w:t>~0.7kg/m</w:t>
      </w:r>
      <w:r>
        <w:rPr>
          <w:rFonts w:hint="default" w:ascii="Times New Roman" w:hAnsi="Times New Roman" w:eastAsia="宋体" w:cs="Times New Roman"/>
          <w:vertAlign w:val="superscript"/>
        </w:rPr>
        <w:t>2</w:t>
      </w:r>
      <w:r>
        <w:rPr>
          <w:rFonts w:hint="default" w:ascii="Times New Roman" w:hAnsi="Times New Roman" w:eastAsia="宋体" w:cs="Times New Roman"/>
        </w:rPr>
        <w:t>，在与路缘石、其他路面的界面处，宜为0.7 kg/m</w:t>
      </w:r>
      <w:r>
        <w:rPr>
          <w:rFonts w:hint="default" w:ascii="Times New Roman" w:hAnsi="Times New Roman" w:eastAsia="宋体" w:cs="Times New Roman"/>
          <w:vertAlign w:val="superscript"/>
        </w:rPr>
        <w:t>2</w:t>
      </w:r>
      <w:r>
        <w:rPr>
          <w:rFonts w:hint="default" w:ascii="Times New Roman" w:hAnsi="Times New Roman" w:eastAsia="宋体" w:cs="Times New Roman"/>
        </w:rPr>
        <w:t>~1.0kg/m</w:t>
      </w:r>
      <w:r>
        <w:rPr>
          <w:rFonts w:hint="default" w:ascii="Times New Roman" w:hAnsi="Times New Roman" w:eastAsia="宋体" w:cs="Times New Roman"/>
          <w:vertAlign w:val="superscript"/>
        </w:rPr>
        <w:t>2</w:t>
      </w:r>
      <w:r>
        <w:rPr>
          <w:rFonts w:hint="default" w:ascii="Times New Roman" w:hAnsi="Times New Roman" w:eastAsia="宋体" w:cs="Times New Roman"/>
        </w:rPr>
        <w:t>。</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当复合面层与水泥稳定碎石基层层间黏结采用沥青同步碎石封层时，结合料宜采用SBS改性沥青、橡胶沥青或高黏度改性沥青，碎石宜采用9.5mm~13.2mm单一粒径碎石，沥青洒布量宜控制在1.6kg/m</w:t>
      </w:r>
      <w:r>
        <w:rPr>
          <w:rFonts w:hint="default" w:ascii="Times New Roman" w:hAnsi="Times New Roman" w:eastAsia="宋体" w:cs="Times New Roman"/>
          <w:vertAlign w:val="superscript"/>
        </w:rPr>
        <w:t>2</w:t>
      </w:r>
      <w:r>
        <w:rPr>
          <w:rFonts w:hint="default" w:ascii="Times New Roman" w:hAnsi="Times New Roman" w:eastAsia="宋体" w:cs="Times New Roman"/>
        </w:rPr>
        <w:t>~2.3kg/m</w:t>
      </w:r>
      <w:r>
        <w:rPr>
          <w:rFonts w:hint="default" w:ascii="Times New Roman" w:hAnsi="Times New Roman" w:eastAsia="宋体" w:cs="Times New Roman"/>
          <w:vertAlign w:val="superscript"/>
        </w:rPr>
        <w:t>2</w:t>
      </w:r>
      <w:r>
        <w:rPr>
          <w:rFonts w:hint="default" w:ascii="Times New Roman" w:hAnsi="Times New Roman" w:eastAsia="宋体" w:cs="Times New Roman"/>
        </w:rPr>
        <w:t>，碎石撒铺量宜为单层满铺的60%~80%，不重叠不漏洒。</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灌注式半柔性复合沥青路面的施工应按图2所示流程进行。</w:t>
      </w:r>
    </w:p>
    <w:p>
      <w:pPr>
        <w:tabs>
          <w:tab w:val="left" w:pos="345"/>
        </w:tabs>
        <w:spacing w:line="240" w:lineRule="auto"/>
        <w:jc w:val="center"/>
        <w:rPr>
          <w:rFonts w:ascii="Times New Roman" w:hAnsi="Times New Roman"/>
          <w:color w:val="auto"/>
          <w:sz w:val="32"/>
          <w:szCs w:val="32"/>
          <w:highlight w:val="none"/>
        </w:rPr>
      </w:pPr>
      <w:r>
        <mc:AlternateContent>
          <mc:Choice Requires="wps">
            <w:drawing>
              <wp:anchor distT="0" distB="0" distL="114300" distR="114300" simplePos="0" relativeHeight="251662336" behindDoc="0" locked="0" layoutInCell="1" allowOverlap="1">
                <wp:simplePos x="0" y="0"/>
                <wp:positionH relativeFrom="column">
                  <wp:posOffset>5074285</wp:posOffset>
                </wp:positionH>
                <wp:positionV relativeFrom="paragraph">
                  <wp:posOffset>146050</wp:posOffset>
                </wp:positionV>
                <wp:extent cx="750570" cy="485775"/>
                <wp:effectExtent l="4445" t="4445" r="6985" b="5080"/>
                <wp:wrapNone/>
                <wp:docPr id="6" name="文本框 9"/>
                <wp:cNvGraphicFramePr/>
                <a:graphic xmlns:a="http://schemas.openxmlformats.org/drawingml/2006/main">
                  <a:graphicData uri="http://schemas.microsoft.com/office/word/2010/wordprocessingShape">
                    <wps:wsp>
                      <wps:cNvSpPr txBox="1"/>
                      <wps:spPr>
                        <a:xfrm>
                          <a:off x="0" y="0"/>
                          <a:ext cx="750570" cy="4857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color w:val="000000"/>
                                <w:sz w:val="18"/>
                                <w:szCs w:val="18"/>
                                <w:lang w:val="en-US" w:eastAsia="zh-CN"/>
                              </w:rPr>
                            </w:pPr>
                            <w:r>
                              <w:rPr>
                                <w:rFonts w:hint="eastAsia"/>
                                <w:color w:val="000000"/>
                                <w:sz w:val="18"/>
                                <w:szCs w:val="18"/>
                                <w:lang w:val="en-US" w:eastAsia="zh-CN"/>
                              </w:rPr>
                              <w:t>上覆层</w:t>
                            </w:r>
                          </w:p>
                          <w:p>
                            <w:pPr>
                              <w:spacing w:line="240" w:lineRule="auto"/>
                              <w:jc w:val="center"/>
                              <w:rPr>
                                <w:rFonts w:hint="default" w:eastAsia="宋体"/>
                                <w:sz w:val="18"/>
                                <w:szCs w:val="18"/>
                                <w:lang w:val="en-US" w:eastAsia="zh-CN"/>
                              </w:rPr>
                            </w:pPr>
                            <w:r>
                              <w:rPr>
                                <w:rFonts w:hint="eastAsia"/>
                                <w:color w:val="000000"/>
                                <w:sz w:val="18"/>
                                <w:szCs w:val="18"/>
                                <w:lang w:val="en-US" w:eastAsia="zh-CN"/>
                              </w:rPr>
                              <w:t>（若有）</w:t>
                            </w:r>
                          </w:p>
                        </w:txbxContent>
                      </wps:txbx>
                      <wps:bodyPr upright="1"/>
                    </wps:wsp>
                  </a:graphicData>
                </a:graphic>
              </wp:anchor>
            </w:drawing>
          </mc:Choice>
          <mc:Fallback>
            <w:pict>
              <v:shape id="文本框 9" o:spid="_x0000_s1026" o:spt="202" type="#_x0000_t202" style="position:absolute;left:0pt;margin-left:399.55pt;margin-top:11.5pt;height:38.25pt;width:59.1pt;z-index:251662336;mso-width-relative:page;mso-height-relative:page;" fillcolor="#FFFFFF" filled="t" stroked="t" coordsize="21600,21600" o:gfxdata="UEsDBAoAAAAAAIdO4kAAAAAAAAAAAAAAAAAEAAAAZHJzL1BLAwQUAAAACACHTuJAKBSZe9kAAAAJ&#10;AQAADwAAAGRycy9kb3ducmV2LnhtbE2Py07DMBBF90j8gzVIbBB10kBThzhdIIFgV0pVtm48TSL8&#10;CLablr9nWMFuRnN059x6dbaGTRji4J2EfJYBQ9d6PbhOwvb96XYJLCbltDLeoYRvjLBqLi9qVWl/&#10;cm84bVLHKMTFSknoUxorzmPbo1Vx5kd0dDv4YFWiNXRcB3WicGv4PMsW3KrB0YdejfjYY/u5OVoJ&#10;y7uX6SO+FutduzgYkW7K6fkrSHl9lWcPwBKe0x8Mv/qkDg057f3R6ciMhFKInFAJ84I6ESDysgC2&#10;p0HcA29q/r9B8wNQSwMEFAAAAAgAh07iQPIkhKsKAgAANQQAAA4AAABkcnMvZTJvRG9jLnhtbK1T&#10;zY7TMBC+I/EOlu802Ypsd6OmK0EpFwRICw/g2k5iyX/yuE36AvAGnLhw57n2ORg73e4PHHogB2fs&#10;+fzNzDfj5c1oNNnLAMrZhl7MSkqk5U4o2zX065fNqytKIDIrmHZWNvQggd6sXr5YDr6Wc9c7LWQg&#10;SGKhHnxD+xh9XRTAe2kYzJyXFp2tC4ZF3IauEIENyG50MS/Ly2JwQfjguATA0/XkpEfGcA6ha1vF&#10;5drxnZE2TqxBahaxJOiVB7rK2bat5PFT24KMRDcUK415xSBob9NarJas7gLzveLHFNg5KTyryTBl&#10;MeiJas0iI7ug/qIyigcHro0z7kwxFZIVwSouymfa3PbMy1wLSg3+JDr8P1r+cf85ECUaekmJZQYb&#10;fvfj+93P33e/vpHrJM/goUbUrUdcHN+4EYfm/hzwMFU9tsGkP9ZD0I/iHk7iyjESjoeLqqwW6OHo&#10;en1VLRZVYikeLvsA8b10hiSjoQF7lyVl+w8QJ+g9JMUCp5XYKK3zJnTbtzqQPcM+b/J3ZH8C05YM&#10;Db2u5hXmwXB4WxwaNI1HAcB2Od6TG/CYuMzfv4hTYmsG/ZRAZkgwVhsVZchWL5l4ZwWJB48iW3xb&#10;NCVjpKBES3yKycrIyJQ+B4naaYsSpg5NnUhWHLcj0iRz68QBu7bzQXU9Spr7luE4TVn74+SncX28&#10;z6QPr33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gUmXvZAAAACQEAAA8AAAAAAAAAAQAgAAAA&#10;IgAAAGRycy9kb3ducmV2LnhtbFBLAQIUABQAAAAIAIdO4kDyJISrCgIAADUEAAAOAAAAAAAAAAEA&#10;IAAAACgBAABkcnMvZTJvRG9jLnhtbFBLBQYAAAAABgAGAFkBAACkBQAAAAA=&#10;">
                <v:fill on="t" focussize="0,0"/>
                <v:stroke color="#000000" joinstyle="miter"/>
                <v:imagedata o:title=""/>
                <o:lock v:ext="edit" aspectratio="f"/>
                <v:textbox>
                  <w:txbxContent>
                    <w:p>
                      <w:pPr>
                        <w:spacing w:line="240" w:lineRule="auto"/>
                        <w:jc w:val="center"/>
                        <w:rPr>
                          <w:rFonts w:hint="eastAsia"/>
                          <w:color w:val="000000"/>
                          <w:sz w:val="18"/>
                          <w:szCs w:val="18"/>
                          <w:lang w:val="en-US" w:eastAsia="zh-CN"/>
                        </w:rPr>
                      </w:pPr>
                      <w:r>
                        <w:rPr>
                          <w:rFonts w:hint="eastAsia"/>
                          <w:color w:val="000000"/>
                          <w:sz w:val="18"/>
                          <w:szCs w:val="18"/>
                          <w:lang w:val="en-US" w:eastAsia="zh-CN"/>
                        </w:rPr>
                        <w:t>上覆层</w:t>
                      </w:r>
                    </w:p>
                    <w:p>
                      <w:pPr>
                        <w:spacing w:line="240" w:lineRule="auto"/>
                        <w:jc w:val="center"/>
                        <w:rPr>
                          <w:rFonts w:hint="default" w:eastAsia="宋体"/>
                          <w:sz w:val="18"/>
                          <w:szCs w:val="18"/>
                          <w:lang w:val="en-US" w:eastAsia="zh-CN"/>
                        </w:rPr>
                      </w:pPr>
                      <w:r>
                        <w:rPr>
                          <w:rFonts w:hint="eastAsia"/>
                          <w:color w:val="000000"/>
                          <w:sz w:val="18"/>
                          <w:szCs w:val="18"/>
                          <w:lang w:val="en-US" w:eastAsia="zh-CN"/>
                        </w:rPr>
                        <w:t>（若有）</w:t>
                      </w:r>
                    </w:p>
                  </w:txbxContent>
                </v:textbox>
              </v:shape>
            </w:pict>
          </mc:Fallback>
        </mc:AlternateContent>
      </w:r>
      <w:r>
        <w:rPr>
          <w:rFonts w:ascii="Times New Roman" w:hAnsi="Times New Roman"/>
          <w:color w:val="auto"/>
          <w:sz w:val="32"/>
          <w:szCs w:val="32"/>
          <w:highlight w:val="none"/>
        </w:rPr>
        <mc:AlternateContent>
          <mc:Choice Requires="wpg">
            <w:drawing>
              <wp:anchor distT="0" distB="0" distL="114300" distR="114300" simplePos="0" relativeHeight="251661312" behindDoc="0" locked="0" layoutInCell="1" allowOverlap="1">
                <wp:simplePos x="0" y="0"/>
                <wp:positionH relativeFrom="column">
                  <wp:posOffset>370205</wp:posOffset>
                </wp:positionH>
                <wp:positionV relativeFrom="paragraph">
                  <wp:posOffset>147320</wp:posOffset>
                </wp:positionV>
                <wp:extent cx="4469765" cy="502285"/>
                <wp:effectExtent l="4445" t="4445" r="8890" b="13970"/>
                <wp:wrapNone/>
                <wp:docPr id="2" name="组合 2"/>
                <wp:cNvGraphicFramePr/>
                <a:graphic xmlns:a="http://schemas.openxmlformats.org/drawingml/2006/main">
                  <a:graphicData uri="http://schemas.microsoft.com/office/word/2010/wordprocessingGroup">
                    <wpg:wgp>
                      <wpg:cNvGrpSpPr/>
                      <wpg:grpSpPr>
                        <a:xfrm>
                          <a:off x="0" y="0"/>
                          <a:ext cx="4469765" cy="502285"/>
                          <a:chOff x="2380" y="3856"/>
                          <a:chExt cx="7039" cy="791"/>
                        </a:xfrm>
                      </wpg:grpSpPr>
                      <wps:wsp>
                        <wps:cNvPr id="4" name="文本框 1"/>
                        <wps:cNvSpPr txBox="1"/>
                        <wps:spPr>
                          <a:xfrm>
                            <a:off x="2380" y="3869"/>
                            <a:ext cx="1936" cy="7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18"/>
                                  <w:szCs w:val="18"/>
                                </w:rPr>
                              </w:pPr>
                              <w:r>
                                <w:rPr>
                                  <w:rFonts w:hint="eastAsia"/>
                                  <w:sz w:val="18"/>
                                  <w:szCs w:val="18"/>
                                </w:rPr>
                                <w:t>下承层检查、</w:t>
                              </w:r>
                            </w:p>
                            <w:p>
                              <w:pPr>
                                <w:spacing w:line="240" w:lineRule="auto"/>
                                <w:rPr>
                                  <w:sz w:val="18"/>
                                  <w:szCs w:val="18"/>
                                </w:rPr>
                              </w:pPr>
                              <w:r>
                                <w:rPr>
                                  <w:rFonts w:hint="eastAsia"/>
                                  <w:sz w:val="18"/>
                                  <w:szCs w:val="18"/>
                                  <w:lang w:val="en-US" w:eastAsia="zh-CN"/>
                                </w:rPr>
                                <w:t>缺陷</w:t>
                              </w:r>
                              <w:r>
                                <w:rPr>
                                  <w:rFonts w:hint="eastAsia"/>
                                  <w:sz w:val="18"/>
                                  <w:szCs w:val="18"/>
                                </w:rPr>
                                <w:t>处理、黏层施工</w:t>
                              </w:r>
                            </w:p>
                          </w:txbxContent>
                        </wps:txbx>
                        <wps:bodyPr upright="1"/>
                      </wps:wsp>
                      <wps:wsp>
                        <wps:cNvPr id="7" name="文本框 3"/>
                        <wps:cNvSpPr txBox="1"/>
                        <wps:spPr>
                          <a:xfrm>
                            <a:off x="4630" y="3882"/>
                            <a:ext cx="1585"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18"/>
                                  <w:szCs w:val="18"/>
                                </w:rPr>
                              </w:pPr>
                              <w:r>
                                <w:rPr>
                                  <w:rFonts w:hint="eastAsia"/>
                                  <w:sz w:val="18"/>
                                  <w:szCs w:val="18"/>
                                </w:rPr>
                                <w:t>大空隙沥青</w:t>
                              </w:r>
                            </w:p>
                            <w:p>
                              <w:pPr>
                                <w:spacing w:line="240" w:lineRule="auto"/>
                                <w:jc w:val="center"/>
                                <w:rPr>
                                  <w:sz w:val="18"/>
                                  <w:szCs w:val="18"/>
                                </w:rPr>
                              </w:pPr>
                              <w:r>
                                <w:rPr>
                                  <w:rFonts w:hint="eastAsia"/>
                                  <w:sz w:val="18"/>
                                  <w:szCs w:val="18"/>
                                </w:rPr>
                                <w:t>混凝土路面铺筑</w:t>
                              </w:r>
                            </w:p>
                          </w:txbxContent>
                        </wps:txbx>
                        <wps:bodyPr upright="1"/>
                      </wps:wsp>
                      <wps:wsp>
                        <wps:cNvPr id="8" name="文本框 4"/>
                        <wps:cNvSpPr txBox="1"/>
                        <wps:spPr>
                          <a:xfrm>
                            <a:off x="6512" y="3856"/>
                            <a:ext cx="1447"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color w:val="000000"/>
                                  <w:sz w:val="18"/>
                                  <w:szCs w:val="18"/>
                                </w:rPr>
                              </w:pPr>
                              <w:r>
                                <w:rPr>
                                  <w:rFonts w:hint="eastAsia"/>
                                  <w:color w:val="000000"/>
                                  <w:sz w:val="18"/>
                                  <w:szCs w:val="18"/>
                                </w:rPr>
                                <w:t>灌浆料</w:t>
                              </w:r>
                            </w:p>
                            <w:p>
                              <w:pPr>
                                <w:spacing w:line="240" w:lineRule="auto"/>
                                <w:jc w:val="center"/>
                                <w:rPr>
                                  <w:sz w:val="18"/>
                                  <w:szCs w:val="18"/>
                                </w:rPr>
                              </w:pPr>
                              <w:r>
                                <w:rPr>
                                  <w:color w:val="000000"/>
                                  <w:sz w:val="18"/>
                                  <w:szCs w:val="18"/>
                                </w:rPr>
                                <w:t>灌注</w:t>
                              </w:r>
                              <w:r>
                                <w:rPr>
                                  <w:rFonts w:hint="eastAsia"/>
                                  <w:color w:val="000000"/>
                                  <w:sz w:val="18"/>
                                  <w:szCs w:val="18"/>
                                </w:rPr>
                                <w:t>施工</w:t>
                              </w:r>
                            </w:p>
                          </w:txbxContent>
                        </wps:txbx>
                        <wps:bodyPr upright="1"/>
                      </wps:wsp>
                      <wps:wsp>
                        <wps:cNvPr id="9" name="直接连接符 6"/>
                        <wps:cNvCnPr/>
                        <wps:spPr>
                          <a:xfrm>
                            <a:off x="8023" y="4277"/>
                            <a:ext cx="170" cy="1"/>
                          </a:xfrm>
                          <a:prstGeom prst="line">
                            <a:avLst/>
                          </a:prstGeom>
                          <a:ln w="9525" cap="flat" cmpd="sng">
                            <a:solidFill>
                              <a:srgbClr val="000000"/>
                            </a:solidFill>
                            <a:prstDash val="solid"/>
                            <a:headEnd type="none" w="med" len="med"/>
                            <a:tailEnd type="triangle" w="med" len="med"/>
                          </a:ln>
                        </wps:spPr>
                        <wps:bodyPr/>
                      </wps:wsp>
                      <wps:wsp>
                        <wps:cNvPr id="10" name="直接连接符 7"/>
                        <wps:cNvCnPr/>
                        <wps:spPr>
                          <a:xfrm>
                            <a:off x="6274" y="4274"/>
                            <a:ext cx="170" cy="1"/>
                          </a:xfrm>
                          <a:prstGeom prst="line">
                            <a:avLst/>
                          </a:prstGeom>
                          <a:ln w="9525" cap="flat" cmpd="sng">
                            <a:solidFill>
                              <a:srgbClr val="000000"/>
                            </a:solidFill>
                            <a:prstDash val="solid"/>
                            <a:headEnd type="none" w="med" len="med"/>
                            <a:tailEnd type="triangle" w="med" len="med"/>
                          </a:ln>
                        </wps:spPr>
                        <wps:bodyPr/>
                      </wps:wsp>
                      <wps:wsp>
                        <wps:cNvPr id="11" name="直接连接符 8"/>
                        <wps:cNvCnPr/>
                        <wps:spPr>
                          <a:xfrm>
                            <a:off x="4392" y="4275"/>
                            <a:ext cx="170" cy="1"/>
                          </a:xfrm>
                          <a:prstGeom prst="line">
                            <a:avLst/>
                          </a:prstGeom>
                          <a:ln w="9525" cap="flat" cmpd="sng">
                            <a:solidFill>
                              <a:srgbClr val="000000"/>
                            </a:solidFill>
                            <a:prstDash val="solid"/>
                            <a:headEnd type="none" w="med" len="med"/>
                            <a:tailEnd type="triangle" w="med" len="med"/>
                          </a:ln>
                        </wps:spPr>
                        <wps:bodyPr/>
                      </wps:wsp>
                      <wps:wsp>
                        <wps:cNvPr id="12" name="文本框 9"/>
                        <wps:cNvSpPr txBox="1"/>
                        <wps:spPr>
                          <a:xfrm>
                            <a:off x="8249" y="3856"/>
                            <a:ext cx="1170"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color w:val="000000"/>
                                  <w:sz w:val="18"/>
                                  <w:szCs w:val="18"/>
                                </w:rPr>
                              </w:pPr>
                              <w:r>
                                <w:rPr>
                                  <w:rFonts w:hint="eastAsia"/>
                                  <w:color w:val="000000"/>
                                  <w:sz w:val="18"/>
                                  <w:szCs w:val="18"/>
                                </w:rPr>
                                <w:t>养生、</w:t>
                              </w:r>
                            </w:p>
                            <w:p>
                              <w:pPr>
                                <w:spacing w:line="240" w:lineRule="auto"/>
                                <w:jc w:val="center"/>
                                <w:rPr>
                                  <w:sz w:val="18"/>
                                  <w:szCs w:val="18"/>
                                </w:rPr>
                              </w:pPr>
                              <w:r>
                                <w:rPr>
                                  <w:color w:val="000000"/>
                                  <w:sz w:val="18"/>
                                  <w:szCs w:val="18"/>
                                </w:rPr>
                                <w:t>开放交通</w:t>
                              </w:r>
                            </w:p>
                          </w:txbxContent>
                        </wps:txbx>
                        <wps:bodyPr upright="1"/>
                      </wps:wsp>
                    </wpg:wgp>
                  </a:graphicData>
                </a:graphic>
              </wp:anchor>
            </w:drawing>
          </mc:Choice>
          <mc:Fallback>
            <w:pict>
              <v:group id="_x0000_s1026" o:spid="_x0000_s1026" o:spt="203" style="position:absolute;left:0pt;margin-left:29.15pt;margin-top:11.6pt;height:39.55pt;width:351.95pt;z-index:251661312;mso-width-relative:page;mso-height-relative:page;" coordorigin="2380,3856" coordsize="7039,791" o:gfxdata="UEsDBAoAAAAAAIdO4kAAAAAAAAAAAAAAAAAEAAAAZHJzL1BLAwQUAAAACACHTuJAgA4/gtkAAAAJ&#10;AQAADwAAAGRycy9kb3ducmV2LnhtbE2PwWrDMAyG74O9g9Fgt9VOQruSximjbDuVwdrB6M2N1SQ0&#10;lkPsJu3bTzttN4n/49enYn11nRhxCK0nDclMgUCqvG2p1vC1f3taggjRkDWdJ9RwwwDr8v6uMLn1&#10;E33iuIu14BIKudHQxNjnUoaqQWfCzPdInJ384EzkdailHczE5a6TqVIL6UxLfKExPW4arM67i9Pw&#10;PpnpJUtex+35tLkd9vOP722CWj8+JGoFIuI1/sHwq8/qULLT0V/IBtFpmC8zJjWkWQqC8+dFysOR&#10;QZVmIMtC/v+g/AFQSwMEFAAAAAgAh07iQMG3VJWXAwAAcBIAAA4AAABkcnMvZTJvRG9jLnhtbO1Y&#10;y27UMBTdI/EPlvc0M5lMJhN1Wom+NggqFT7AkzgPKbEt253HHgErxIoNCIkFrLpkx4KvoeUzuHYe&#10;nWmnohRR8ZhZZJzYub733ON77Gxuz8oCTahUOWcj3N3oYERZxOOcpSP85PH+vQAjpQmLScEZHeE5&#10;VXh76+6dzakIqcszXsRUIjDCVDgVI5xpLULHUVFGS6I2uKAMOhMuS6LhVqZOLMkUrJeF43Y6vjPl&#10;MhaSR1QpeLpbdeLaoryOQZ4keUR3eXRcUqYrq5IWRENIKsuFwlvW2yShkX6UJIpqVIwwRKrtFSaB&#10;9thcna1NEqaSiCyPahfIdVy4EFNJcgaTtqZ2iSboWOaXTJV5JLniid6IeOlUgVhEIIpu5wI2B5If&#10;CxtLGk5T0YIOibqA+o3NRg8nhxLl8Qi7GDFSQsLPPj/9+uoFcg02U5GGMORAiiNxKOsHaXVnwp0l&#10;sjT/EAiaWVTnLap0plEEDz3PHw78PkYR9PU7rhv0K9ijDHJjXnN7AeQDentB32/69urXB53esHp3&#10;MOyaTqeZ1jHetc5MBfBRnYOkfg2ko4wIarFXBoEaJK8B6fT189O3J6fvnyHrk5kcRhmQkJ7d5xBU&#10;+1zBwxVYLQTtD6ugG8S6w55fh+wPlkImoZBKH1BeItMYYQkMt8QjkwdKV+g0Q8ykihd5vJ8Xhb2R&#10;6XinkGhCYDXs219tfWlYwdB0hId91+SMwBJPYGlBsxRAE8VSO9/SG2rRcMf+Vhk2ju0SlVUOWAtV&#10;4GWuqQTnSZhREu+xGOm5ACoyqEDYOFPSGKOCQsEyLTtSk7y4zkigS8GANSZFVSpMS8/GMzBjmmMe&#10;zyFtx0LmaQaQViQzPUCnashv59XgMq96JkzjxU/yyvN7zWIK7BomYcurPiw9uwzNegTz7VJa8+rf&#10;5BVoeVXUz+uVd0Ne+f0uSMRSkW555XlAYFPe17z6P+oVKHK9WXjz6fTlh29f3sH17OQjsvJdV60d&#10;Vm8ZmsLbCHe7Xwg6bs9yynMHVugWatUAqpih1LLmXypURQ4SYZTjCgG8fTG7qYRpmROWFlcQaLWM&#10;VdplKvnt6lUXkrOaADaN1yaA7w5gSwVZBgLYwrQmwF9CgO5VBAgW9OXHFcDrDStVAQLUx4JWVdYV&#10;YGnL+4dVgPa8eL61sMeYG2xZA9cDQVm9teg2LFhvLa5QBhLe1lHIHrjhQ4Q9ONQfTcyXjsV7K0Xn&#10;H4q2v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JBgAAW0NvbnRlbnRfVHlwZXNdLnhtbFBLAQIUAAoAAAAAAIdO4kAAAAAAAAAAAAAAAAAGAAAA&#10;AAAAAAAAEAAAAOsEAABfcmVscy9QSwECFAAUAAAACACHTuJAihRmPNEAAACUAQAACwAAAAAAAAAB&#10;ACAAAAAPBQAAX3JlbHMvLnJlbHNQSwECFAAKAAAAAACHTuJAAAAAAAAAAAAAAAAABAAAAAAAAAAA&#10;ABAAAAAAAAAAZHJzL1BLAQIUABQAAAAIAIdO4kCADj+C2QAAAAkBAAAPAAAAAAAAAAEAIAAAACIA&#10;AABkcnMvZG93bnJldi54bWxQSwECFAAUAAAACACHTuJAwbdUlZcDAABwEgAADgAAAAAAAAABACAA&#10;AAAoAQAAZHJzL2Uyb0RvYy54bWxQSwUGAAAAAAYABgBZAQAAMQcAAAAA&#10;">
                <o:lock v:ext="edit" aspectratio="f"/>
                <v:shape id="文本框 1" o:spid="_x0000_s1026" o:spt="202" type="#_x0000_t202" style="position:absolute;left:2380;top:3869;height:767;width:1936;" fillcolor="#FFFFFF" filled="t" stroked="t" coordsize="21600,21600" o:gfxdata="UEsDBAoAAAAAAIdO4kAAAAAAAAAAAAAAAAAEAAAAZHJzL1BLAwQUAAAACACHTuJAr6DRorwAAADa&#10;AAAADwAAAGRycy9kb3ducmV2LnhtbEWPT4vCMBTE74LfITzBi6yprrhajR4EF735Z1mvj+bZFpuX&#10;msTqfvuNIHgcZuY3zHz5MJVoyPnSsoJBPwFBnFldcq7g57j+mIDwAVljZZkU/JGH5aLdmmOq7Z33&#10;1BxCLiKEfYoKihDqVEqfFWTQ921NHL2zdQZDlC6X2uE9wk0lh0kylgZLjgsF1rQqKLscbkbBZLRp&#10;Tn77ufvNxudqGnpfzffVKdXtDJIZiECP8A6/2hutYATPK/EG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0a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auto"/>
                          <w:jc w:val="center"/>
                          <w:rPr>
                            <w:sz w:val="18"/>
                            <w:szCs w:val="18"/>
                          </w:rPr>
                        </w:pPr>
                        <w:r>
                          <w:rPr>
                            <w:rFonts w:hint="eastAsia"/>
                            <w:sz w:val="18"/>
                            <w:szCs w:val="18"/>
                          </w:rPr>
                          <w:t>下承层检查、</w:t>
                        </w:r>
                      </w:p>
                      <w:p>
                        <w:pPr>
                          <w:spacing w:line="240" w:lineRule="auto"/>
                          <w:rPr>
                            <w:sz w:val="18"/>
                            <w:szCs w:val="18"/>
                          </w:rPr>
                        </w:pPr>
                        <w:r>
                          <w:rPr>
                            <w:rFonts w:hint="eastAsia"/>
                            <w:sz w:val="18"/>
                            <w:szCs w:val="18"/>
                            <w:lang w:val="en-US" w:eastAsia="zh-CN"/>
                          </w:rPr>
                          <w:t>缺陷</w:t>
                        </w:r>
                        <w:r>
                          <w:rPr>
                            <w:rFonts w:hint="eastAsia"/>
                            <w:sz w:val="18"/>
                            <w:szCs w:val="18"/>
                          </w:rPr>
                          <w:t>处理、黏层施工</w:t>
                        </w:r>
                      </w:p>
                    </w:txbxContent>
                  </v:textbox>
                </v:shape>
                <v:shape id="文本框 3" o:spid="_x0000_s1026" o:spt="202" type="#_x0000_t202" style="position:absolute;left:4630;top:3882;height:765;width:1585;"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auto"/>
                          <w:jc w:val="center"/>
                          <w:rPr>
                            <w:sz w:val="18"/>
                            <w:szCs w:val="18"/>
                          </w:rPr>
                        </w:pPr>
                        <w:r>
                          <w:rPr>
                            <w:rFonts w:hint="eastAsia"/>
                            <w:sz w:val="18"/>
                            <w:szCs w:val="18"/>
                          </w:rPr>
                          <w:t>大空隙沥青</w:t>
                        </w:r>
                      </w:p>
                      <w:p>
                        <w:pPr>
                          <w:spacing w:line="240" w:lineRule="auto"/>
                          <w:jc w:val="center"/>
                          <w:rPr>
                            <w:sz w:val="18"/>
                            <w:szCs w:val="18"/>
                          </w:rPr>
                        </w:pPr>
                        <w:r>
                          <w:rPr>
                            <w:rFonts w:hint="eastAsia"/>
                            <w:sz w:val="18"/>
                            <w:szCs w:val="18"/>
                          </w:rPr>
                          <w:t>混凝土路面铺筑</w:t>
                        </w:r>
                      </w:p>
                    </w:txbxContent>
                  </v:textbox>
                </v:shape>
                <v:shape id="文本框 4" o:spid="_x0000_s1026" o:spt="202" type="#_x0000_t202" style="position:absolute;left:6512;top:3856;height:765;width:1447;"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auto"/>
                          <w:jc w:val="center"/>
                          <w:rPr>
                            <w:color w:val="000000"/>
                            <w:sz w:val="18"/>
                            <w:szCs w:val="18"/>
                          </w:rPr>
                        </w:pPr>
                        <w:r>
                          <w:rPr>
                            <w:rFonts w:hint="eastAsia"/>
                            <w:color w:val="000000"/>
                            <w:sz w:val="18"/>
                            <w:szCs w:val="18"/>
                          </w:rPr>
                          <w:t>灌浆料</w:t>
                        </w:r>
                      </w:p>
                      <w:p>
                        <w:pPr>
                          <w:spacing w:line="240" w:lineRule="auto"/>
                          <w:jc w:val="center"/>
                          <w:rPr>
                            <w:sz w:val="18"/>
                            <w:szCs w:val="18"/>
                          </w:rPr>
                        </w:pPr>
                        <w:r>
                          <w:rPr>
                            <w:color w:val="000000"/>
                            <w:sz w:val="18"/>
                            <w:szCs w:val="18"/>
                          </w:rPr>
                          <w:t>灌注</w:t>
                        </w:r>
                        <w:r>
                          <w:rPr>
                            <w:rFonts w:hint="eastAsia"/>
                            <w:color w:val="000000"/>
                            <w:sz w:val="18"/>
                            <w:szCs w:val="18"/>
                          </w:rPr>
                          <w:t>施工</w:t>
                        </w:r>
                      </w:p>
                    </w:txbxContent>
                  </v:textbox>
                </v:shape>
                <v:line id="直接连接符 6" o:spid="_x0000_s1026" o:spt="20" style="position:absolute;left:8023;top:4277;height:1;width:170;"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7" o:spid="_x0000_s1026" o:spt="20" style="position:absolute;left:6274;top:4274;height:1;width:170;" filled="f" stroked="t" coordsize="21600,21600" o:gfxdata="UEsDBAoAAAAAAIdO4kAAAAAAAAAAAAAAAAAEAAAAZHJzL1BLAwQUAAAACACHTuJAaan8q78AAADb&#10;AAAADwAAAGRycy9kb3ducmV2LnhtbEWPQWvCQBCF74X+h2UKvdVNPJQQXT0ULAW1opFSb0N2TEKz&#10;s2F31fTfO4dCbzO8N+99M1+OrldXCrHzbCCfZKCIa287bgwcq9VLASomZIu9ZzLwSxGWi8eHOZbW&#10;33hP10NqlIRwLNFAm9JQah3rlhzGiR+IRTv74DDJGhptA94k3PV6mmWv2mHH0tDiQG8t1T+HizOw&#10;36zWxdf6Mtbh9J5/VrvN9jsWxjw/5dkMVKIx/Zv/rj+s4Au9/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p/K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8" o:spid="_x0000_s1026" o:spt="20" style="position:absolute;left:4392;top:4275;height:1;width:170;"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9" o:spid="_x0000_s1026" o:spt="202" type="#_x0000_t202" style="position:absolute;left:8249;top:3856;height:765;width:1170;"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240" w:lineRule="auto"/>
                          <w:jc w:val="center"/>
                          <w:rPr>
                            <w:color w:val="000000"/>
                            <w:sz w:val="18"/>
                            <w:szCs w:val="18"/>
                          </w:rPr>
                        </w:pPr>
                        <w:r>
                          <w:rPr>
                            <w:rFonts w:hint="eastAsia"/>
                            <w:color w:val="000000"/>
                            <w:sz w:val="18"/>
                            <w:szCs w:val="18"/>
                          </w:rPr>
                          <w:t>养生、</w:t>
                        </w:r>
                      </w:p>
                      <w:p>
                        <w:pPr>
                          <w:spacing w:line="240" w:lineRule="auto"/>
                          <w:jc w:val="center"/>
                          <w:rPr>
                            <w:sz w:val="18"/>
                            <w:szCs w:val="18"/>
                          </w:rPr>
                        </w:pPr>
                        <w:r>
                          <w:rPr>
                            <w:color w:val="000000"/>
                            <w:sz w:val="18"/>
                            <w:szCs w:val="18"/>
                          </w:rPr>
                          <w:t>开放交通</w:t>
                        </w:r>
                      </w:p>
                    </w:txbxContent>
                  </v:textbox>
                </v:shape>
              </v:group>
            </w:pict>
          </mc:Fallback>
        </mc:AlternateContent>
      </w:r>
    </w:p>
    <w:p>
      <w:pPr>
        <w:tabs>
          <w:tab w:val="left" w:pos="345"/>
        </w:tabs>
        <w:spacing w:line="240" w:lineRule="auto"/>
        <w:jc w:val="center"/>
        <w:rPr>
          <w:rFonts w:ascii="Times New Roman" w:hAnsi="Times New Roman"/>
          <w:color w:val="auto"/>
          <w:sz w:val="32"/>
          <w:szCs w:val="32"/>
          <w:highlight w:val="none"/>
        </w:rPr>
      </w:pPr>
      <w:r>
        <mc:AlternateContent>
          <mc:Choice Requires="wps">
            <w:drawing>
              <wp:anchor distT="0" distB="0" distL="114300" distR="114300" simplePos="0" relativeHeight="251662336" behindDoc="0" locked="0" layoutInCell="1" allowOverlap="1">
                <wp:simplePos x="0" y="0"/>
                <wp:positionH relativeFrom="column">
                  <wp:posOffset>4881245</wp:posOffset>
                </wp:positionH>
                <wp:positionV relativeFrom="paragraph">
                  <wp:posOffset>17145</wp:posOffset>
                </wp:positionV>
                <wp:extent cx="107950" cy="635"/>
                <wp:effectExtent l="0" t="38100" r="6350" b="37465"/>
                <wp:wrapNone/>
                <wp:docPr id="13" name="直接连接符 6"/>
                <wp:cNvGraphicFramePr/>
                <a:graphic xmlns:a="http://schemas.openxmlformats.org/drawingml/2006/main">
                  <a:graphicData uri="http://schemas.microsoft.com/office/word/2010/wordprocessingShape">
                    <wps:wsp>
                      <wps:cNvCnPr/>
                      <wps:spPr>
                        <a:xfrm>
                          <a:off x="0" y="0"/>
                          <a:ext cx="107950" cy="63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6" o:spid="_x0000_s1026" o:spt="20" style="position:absolute;left:0pt;margin-left:384.35pt;margin-top:1.35pt;height:0.05pt;width:8.5pt;z-index:251662336;mso-width-relative:page;mso-height-relative:page;" filled="f" stroked="t" coordsize="21600,21600" o:gfxdata="UEsDBAoAAAAAAIdO4kAAAAAAAAAAAAAAAAAEAAAAZHJzL1BLAwQUAAAACACHTuJAE414ENcAAAAH&#10;AQAADwAAAGRycy9kb3ducmV2LnhtbE2OwU7DMBBE70j8g7VI3KiTSjRWGqcHpHJpAbVFiN7ceEki&#10;4nUUO234e5ZTOe2MZjT7itXkOnHGIbSeNKSzBARS5W1LtYb3w/pBgQjRkDWdJ9TwgwFW5e1NYXLr&#10;L7TD8z7Wgkco5EZDE2OfSxmqBp0JM98jcfblB2ci26GWdjAXHnednCfJQjrTEn9oTI9PDVbf+9Fp&#10;2G3XG/WxGadqOD6nr4e37ctnUFrf36XJEkTEKV7L8IfP6FAy08mPZIPoNGQLlXFVw5wP55l6ZHFi&#10;r0CWhfzPX/4CUEsDBBQAAAAIAIdO4kAATbpx9AEAAN4DAAAOAAAAZHJzL2Uyb0RvYy54bWytU82O&#10;0zAQviPxDpbvNG1XLWzUdA9blguCSsADTB0nseQ/ebxN+xK8ABI3OHHkztuwPAZjJ7SwCGkP5OCM&#10;7W8+z/d5vLo6GM32MqBytuKzyZQzaYWrlW0r/u7tzZNnnGEEW4N2Vlb8KJFfrR8/WvW+lHPXOV3L&#10;wIjEYtn7incx+rIoUHTSAE6cl5Y2GxcMRJqGtqgD9MRudDGfTpdF70LtgxMSkVY3wyYfGcNDCF3T&#10;KCE3TtwaaePAGqSGSJKwUx75OlfbNFLE102DMjJdcVIa80iHULxLY7FeQdkG8J0SYwnwkBLuaTKg&#10;LB16otpABHYb1F9URong0DVxIpwpBiHZEVIxm97z5k0HXmYtZDX6k+n4/2jFq/02MFVTJ1xwZsHQ&#10;jd99+Pr9/acf3z7SePflM1sml3qPJYGv7TaMM/TbkCQfmmDSn8SwQ3b2eHJWHiITtDibPr1ckOeC&#10;tpYXi0RYnDN9wPhCOsNSUHGtbFINJexfYhygvyBpWVvWV/xyMV8QIVALNnT1FBpPMtC2ORedVvWN&#10;0jplYGh31zqwPaQ2yN9Ywh+wdMgGsBtweSvBoOwk1M9tzeLRkz+W3gVPJRhZc6YlPaMUZWQEpc/I&#10;GBTYVv8DTQ5oS0YkawczU7Rz9TF7nNfp2rNVY4umvvp9nrPPz3L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ONeBDXAAAABwEAAA8AAAAAAAAAAQAgAAAAIgAAAGRycy9kb3ducmV2LnhtbFBLAQIU&#10;ABQAAAAIAIdO4kAATbpx9AEAAN4DAAAOAAAAAAAAAAEAIAAAACYBAABkcnMvZTJvRG9jLnhtbFBL&#10;BQYAAAAABgAGAFkBAACMBQAAAAA=&#10;">
                <v:fill on="f" focussize="0,0"/>
                <v:stroke color="#000000" joinstyle="round" endarrow="block"/>
                <v:imagedata o:title=""/>
                <o:lock v:ext="edit" aspectratio="f"/>
              </v:line>
            </w:pict>
          </mc:Fallback>
        </mc:AlternateContent>
      </w:r>
    </w:p>
    <w:p>
      <w:pPr>
        <w:pStyle w:val="232"/>
        <w:ind w:firstLine="0" w:firstLineChars="0"/>
        <w:jc w:val="center"/>
        <w:rPr>
          <w:rFonts w:ascii="Times New Roman" w:hAnsi="Times New Roman" w:eastAsia="黑体"/>
          <w:color w:val="auto"/>
          <w:szCs w:val="21"/>
          <w:highlight w:val="none"/>
        </w:rPr>
      </w:pPr>
      <w:r>
        <w:rPr>
          <w:rFonts w:ascii="Times New Roman" w:hAnsi="Times New Roman" w:eastAsia="黑体"/>
          <w:color w:val="auto"/>
          <w:szCs w:val="21"/>
          <w:highlight w:val="none"/>
        </w:rPr>
        <w:t>图</w:t>
      </w: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 xml:space="preserve">  </w:t>
      </w:r>
      <w:r>
        <w:rPr>
          <w:rFonts w:hint="eastAsia" w:ascii="Times New Roman" w:hAnsi="Times New Roman" w:eastAsia="黑体"/>
          <w:color w:val="auto"/>
          <w:szCs w:val="21"/>
          <w:highlight w:val="none"/>
        </w:rPr>
        <w:t>灌注式</w:t>
      </w:r>
      <w:r>
        <w:rPr>
          <w:rFonts w:ascii="Times New Roman" w:hAnsi="Times New Roman" w:eastAsia="黑体"/>
          <w:color w:val="auto"/>
          <w:szCs w:val="21"/>
          <w:highlight w:val="none"/>
        </w:rPr>
        <w:t>半柔性复合沥青路面施工流程</w:t>
      </w:r>
    </w:p>
    <w:p>
      <w:pPr>
        <w:pStyle w:val="56"/>
        <w:rPr>
          <w:rFonts w:hint="eastAsia"/>
        </w:rPr>
      </w:pPr>
    </w:p>
    <w:p>
      <w:pPr>
        <w:pStyle w:val="105"/>
        <w:spacing w:before="156" w:after="156"/>
      </w:pPr>
      <w:r>
        <w:rPr>
          <w:rFonts w:hint="eastAsia"/>
        </w:rPr>
        <w:t>施工准备</w:t>
      </w:r>
    </w:p>
    <w:p>
      <w:pPr>
        <w:pStyle w:val="65"/>
        <w:spacing w:before="156" w:after="156"/>
        <w:rPr>
          <w:rFonts w:hint="eastAsia" w:ascii="宋体" w:hAnsi="宋体" w:eastAsia="宋体" w:cs="宋体"/>
        </w:rPr>
      </w:pPr>
      <w:r>
        <w:rPr>
          <w:rFonts w:hint="eastAsia" w:ascii="宋体" w:hAnsi="宋体" w:eastAsia="宋体" w:cs="宋体"/>
        </w:rPr>
        <w:t>施工前应对下承层的质量进行全面检测，若有缺陷应进行处理。对下承层的质量要求应符合JTG F40、JTG/T F20、JTG F80/1、JTG 5220或CJJ 169等相关规定。</w:t>
      </w:r>
    </w:p>
    <w:p>
      <w:pPr>
        <w:pStyle w:val="65"/>
        <w:spacing w:before="156" w:after="156"/>
        <w:rPr>
          <w:rFonts w:hint="eastAsia" w:ascii="宋体" w:hAnsi="宋体" w:eastAsia="宋体" w:cs="宋体"/>
        </w:rPr>
      </w:pPr>
      <w:r>
        <w:rPr>
          <w:rFonts w:hint="eastAsia" w:ascii="宋体" w:hAnsi="宋体" w:eastAsia="宋体" w:cs="宋体"/>
        </w:rPr>
        <w:t>灌注式半柔性复合面层沥青路面与相邻其他路面之间接缝处应采用垂直的接缝。</w:t>
      </w:r>
    </w:p>
    <w:p>
      <w:pPr>
        <w:pStyle w:val="65"/>
        <w:spacing w:before="156" w:after="156"/>
        <w:rPr>
          <w:rFonts w:hint="eastAsia" w:ascii="宋体" w:hAnsi="宋体" w:eastAsia="宋体" w:cs="宋体"/>
        </w:rPr>
      </w:pPr>
      <w:r>
        <w:rPr>
          <w:rFonts w:hint="eastAsia" w:ascii="宋体" w:hAnsi="宋体" w:eastAsia="宋体" w:cs="宋体"/>
        </w:rPr>
        <w:t>灌注式半柔性复合面层沥青路面用于旧沥青路面改扩建时，旧路铣刨时应控制好铣刨深度，并对铣刨后的下承层进行彻底清扫，应保证铣刨面洁净、无松散剥落粉粒料；与相邻旧路面的界面处应清理干净，并在铣刨立面喷涂黏层油。</w:t>
      </w:r>
    </w:p>
    <w:p>
      <w:pPr>
        <w:pStyle w:val="105"/>
        <w:spacing w:before="156" w:after="156"/>
      </w:pPr>
      <w:r>
        <w:rPr>
          <w:rFonts w:hint="eastAsia"/>
        </w:rPr>
        <w:t>基体大空隙沥青混合料的生产及运输</w:t>
      </w:r>
    </w:p>
    <w:p>
      <w:pPr>
        <w:pStyle w:val="65"/>
        <w:spacing w:before="156" w:after="156"/>
        <w:rPr>
          <w:rFonts w:hint="eastAsia" w:ascii="宋体" w:hAnsi="宋体" w:eastAsia="宋体" w:cs="宋体"/>
        </w:rPr>
      </w:pPr>
      <w:r>
        <w:rPr>
          <w:rFonts w:hint="eastAsia" w:ascii="宋体" w:hAnsi="宋体" w:eastAsia="宋体" w:cs="宋体"/>
        </w:rPr>
        <w:t>基体大空隙沥青</w:t>
      </w:r>
      <w:r>
        <w:rPr>
          <w:rFonts w:hint="eastAsia" w:ascii="宋体" w:hAnsi="宋体" w:eastAsia="宋体" w:cs="宋体"/>
          <w:lang w:val="en-US" w:eastAsia="zh-CN"/>
        </w:rPr>
        <w:t>混合料</w:t>
      </w:r>
      <w:r>
        <w:rPr>
          <w:rFonts w:hint="eastAsia" w:ascii="宋体" w:hAnsi="宋体" w:eastAsia="宋体" w:cs="宋体"/>
        </w:rPr>
        <w:t>施工包括混合料的生产、运输、摊铺和碾压，施工温度控制范围应符合表</w:t>
      </w:r>
      <w:r>
        <w:rPr>
          <w:rFonts w:hint="eastAsia" w:ascii="宋体" w:hAnsi="宋体" w:eastAsia="宋体" w:cs="宋体"/>
          <w:lang w:val="en-US" w:eastAsia="zh-CN"/>
        </w:rPr>
        <w:t>8</w:t>
      </w:r>
      <w:r>
        <w:rPr>
          <w:rFonts w:hint="eastAsia" w:ascii="宋体" w:hAnsi="宋体" w:eastAsia="宋体" w:cs="宋体"/>
        </w:rPr>
        <w:t>的规定。</w:t>
      </w:r>
    </w:p>
    <w:p>
      <w:pPr>
        <w:pStyle w:val="112"/>
        <w:numPr>
          <w:ilvl w:val="0"/>
          <w:numId w:val="0"/>
        </w:numPr>
        <w:spacing w:before="156" w:after="156"/>
        <w:ind w:leftChars="0"/>
        <w:jc w:val="center"/>
      </w:pPr>
      <w:r>
        <w:rPr>
          <w:rFonts w:hint="eastAsia"/>
          <w:lang w:val="en-US" w:eastAsia="zh-CN"/>
        </w:rPr>
        <w:t xml:space="preserve">表8 </w:t>
      </w:r>
      <w:r>
        <w:rPr>
          <w:rFonts w:hint="eastAsia"/>
        </w:rPr>
        <w:t>施工温度控制（</w:t>
      </w:r>
      <w:r>
        <w:rPr>
          <w:rFonts w:hint="default" w:ascii="Times New Roman" w:hAnsi="Times New Roman" w:cs="Times New Roman"/>
        </w:rPr>
        <w:t>℃</w:t>
      </w:r>
      <w:r>
        <w:rPr>
          <w:rFonts w:hint="eastAsia"/>
        </w:rPr>
        <w:t>）</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2"/>
        <w:gridCol w:w="1782"/>
        <w:gridCol w:w="1906"/>
        <w:gridCol w:w="1906"/>
        <w:gridCol w:w="19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2" w:type="dxa"/>
            <w:tcBorders>
              <w:top w:val="single" w:color="auto" w:sz="8" w:space="0"/>
              <w:bottom w:val="single" w:color="auto" w:sz="8" w:space="0"/>
            </w:tcBorders>
            <w:shd w:val="clear" w:color="auto" w:fill="auto"/>
          </w:tcPr>
          <w:p>
            <w:pPr>
              <w:jc w:val="center"/>
              <w:rPr>
                <w:highlight w:val="none"/>
              </w:rPr>
            </w:pPr>
            <w:r>
              <w:rPr>
                <w:rFonts w:hint="eastAsia"/>
                <w:highlight w:val="none"/>
              </w:rPr>
              <w:t>项目</w:t>
            </w:r>
          </w:p>
        </w:tc>
        <w:tc>
          <w:tcPr>
            <w:tcW w:w="1782" w:type="dxa"/>
            <w:tcBorders>
              <w:top w:val="single" w:color="auto" w:sz="8" w:space="0"/>
              <w:bottom w:val="single" w:color="auto" w:sz="8" w:space="0"/>
            </w:tcBorders>
          </w:tcPr>
          <w:p>
            <w:pPr>
              <w:jc w:val="center"/>
              <w:rPr>
                <w:rFonts w:hint="default" w:ascii="Times New Roman" w:hAnsi="Times New Roman" w:cs="Times New Roman"/>
                <w:highlight w:val="none"/>
              </w:rPr>
            </w:pPr>
            <w:r>
              <w:rPr>
                <w:rFonts w:hint="default" w:ascii="Times New Roman" w:hAnsi="Times New Roman" w:cs="Times New Roman"/>
                <w:highlight w:val="none"/>
                <w:lang w:val="en-US" w:eastAsia="zh-CN"/>
              </w:rPr>
              <w:t>70号</w:t>
            </w:r>
            <w:r>
              <w:rPr>
                <w:rFonts w:hint="default" w:ascii="Times New Roman" w:hAnsi="Times New Roman" w:cs="Times New Roman"/>
                <w:color w:val="000000"/>
                <w:sz w:val="21"/>
                <w:szCs w:val="21"/>
                <w:lang w:val="en-US" w:eastAsia="zh-CN"/>
              </w:rPr>
              <w:t>道路</w:t>
            </w:r>
            <w:r>
              <w:rPr>
                <w:rFonts w:hint="default" w:ascii="Times New Roman" w:hAnsi="Times New Roman" w:cs="Times New Roman"/>
                <w:highlight w:val="none"/>
              </w:rPr>
              <w:t>石油沥青</w:t>
            </w:r>
          </w:p>
        </w:tc>
        <w:tc>
          <w:tcPr>
            <w:tcW w:w="1906"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SBS改性沥青</w:t>
            </w:r>
          </w:p>
        </w:tc>
        <w:tc>
          <w:tcPr>
            <w:tcW w:w="1906"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橡胶沥青</w:t>
            </w:r>
          </w:p>
        </w:tc>
        <w:tc>
          <w:tcPr>
            <w:tcW w:w="1908"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高黏度改性沥青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tcBorders>
              <w:top w:val="single" w:color="auto" w:sz="8" w:space="0"/>
            </w:tcBorders>
            <w:shd w:val="clear" w:color="auto" w:fill="auto"/>
          </w:tcPr>
          <w:p>
            <w:pPr>
              <w:jc w:val="center"/>
            </w:pPr>
            <w:r>
              <w:rPr>
                <w:rFonts w:hint="eastAsia"/>
              </w:rPr>
              <w:t>沥青加热温度</w:t>
            </w:r>
          </w:p>
        </w:tc>
        <w:tc>
          <w:tcPr>
            <w:tcW w:w="1782" w:type="dxa"/>
            <w:tcBorders>
              <w:top w:val="single" w:color="auto" w:sz="8" w:space="0"/>
            </w:tcBorders>
          </w:tcPr>
          <w:p>
            <w:pPr>
              <w:jc w:val="center"/>
              <w:rPr>
                <w:rFonts w:hint="default" w:ascii="Times New Roman" w:hAnsi="Times New Roman" w:eastAsia="宋体" w:cs="Times New Roman"/>
                <w:highlight w:val="yellow"/>
                <w:lang w:val="en-US" w:eastAsia="zh-CN"/>
              </w:rPr>
            </w:pPr>
            <w:r>
              <w:rPr>
                <w:rFonts w:hint="default" w:ascii="Times New Roman" w:hAnsi="Times New Roman" w:cs="Times New Roman"/>
              </w:rPr>
              <w:t>1</w:t>
            </w:r>
            <w:r>
              <w:rPr>
                <w:rFonts w:hint="default" w:ascii="Times New Roman" w:hAnsi="Times New Roman" w:cs="Times New Roman"/>
                <w:lang w:val="en-US" w:eastAsia="zh-CN"/>
              </w:rPr>
              <w:t>55</w:t>
            </w:r>
            <w:r>
              <w:rPr>
                <w:rFonts w:hint="default" w:ascii="Times New Roman" w:hAnsi="Times New Roman" w:cs="Times New Roman"/>
              </w:rPr>
              <w:t>～1</w:t>
            </w:r>
            <w:r>
              <w:rPr>
                <w:rFonts w:hint="default" w:ascii="Times New Roman" w:hAnsi="Times New Roman" w:cs="Times New Roman"/>
                <w:lang w:val="en-US" w:eastAsia="zh-CN"/>
              </w:rPr>
              <w:t>65</w:t>
            </w:r>
          </w:p>
        </w:tc>
        <w:tc>
          <w:tcPr>
            <w:tcW w:w="1906"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160～170</w:t>
            </w:r>
          </w:p>
        </w:tc>
        <w:tc>
          <w:tcPr>
            <w:tcW w:w="1906"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170～180</w:t>
            </w:r>
          </w:p>
        </w:tc>
        <w:tc>
          <w:tcPr>
            <w:tcW w:w="1908" w:type="dxa"/>
            <w:tcBorders>
              <w:top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170～180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矿料温度</w:t>
            </w:r>
          </w:p>
        </w:tc>
        <w:tc>
          <w:tcPr>
            <w:tcW w:w="1782" w:type="dxa"/>
          </w:tcPr>
          <w:p>
            <w:pPr>
              <w:jc w:val="cente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75</w:t>
            </w:r>
            <w:r>
              <w:rPr>
                <w:rFonts w:hint="default" w:ascii="Times New Roman" w:hAnsi="Times New Roman" w:cs="Times New Roman"/>
              </w:rPr>
              <w:t>～1</w:t>
            </w:r>
            <w:r>
              <w:rPr>
                <w:rFonts w:hint="default" w:ascii="Times New Roman" w:hAnsi="Times New Roman" w:cs="Times New Roman"/>
                <w:lang w:val="en-US" w:eastAsia="zh-CN"/>
              </w:rPr>
              <w:t>85</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180～195</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180～200</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185～210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混合料出厂温度</w:t>
            </w:r>
          </w:p>
        </w:tc>
        <w:tc>
          <w:tcPr>
            <w:tcW w:w="1782" w:type="dxa"/>
          </w:tcPr>
          <w:p>
            <w:pPr>
              <w:jc w:val="cente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45</w:t>
            </w:r>
            <w:r>
              <w:rPr>
                <w:rFonts w:hint="default" w:ascii="Times New Roman" w:hAnsi="Times New Roman" w:cs="Times New Roman"/>
              </w:rPr>
              <w:t>～1</w:t>
            </w:r>
            <w:r>
              <w:rPr>
                <w:rFonts w:hint="default" w:ascii="Times New Roman" w:hAnsi="Times New Roman" w:cs="Times New Roman"/>
                <w:lang w:val="en-US" w:eastAsia="zh-CN"/>
              </w:rPr>
              <w:t>65</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170～185</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175～185</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175～185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混合料废弃温度</w:t>
            </w:r>
          </w:p>
        </w:tc>
        <w:tc>
          <w:tcPr>
            <w:tcW w:w="1782" w:type="dxa"/>
          </w:tcPr>
          <w:p>
            <w:pPr>
              <w:jc w:val="center"/>
              <w:rPr>
                <w:rFonts w:hint="default" w:ascii="Times New Roman" w:hAnsi="Times New Roman" w:cs="Times New Roman"/>
              </w:rPr>
            </w:pPr>
            <w:r>
              <w:rPr>
                <w:rFonts w:hint="default" w:ascii="Times New Roman" w:hAnsi="Times New Roman" w:cs="Times New Roman"/>
              </w:rPr>
              <w:t>≥190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≥190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≥190</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≥190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摊铺温度</w:t>
            </w:r>
          </w:p>
        </w:tc>
        <w:tc>
          <w:tcPr>
            <w:tcW w:w="1782" w:type="dxa"/>
          </w:tcPr>
          <w:p>
            <w:pPr>
              <w:jc w:val="cente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35</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≥160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≥165</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≥160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初压开始温度</w:t>
            </w:r>
          </w:p>
        </w:tc>
        <w:tc>
          <w:tcPr>
            <w:tcW w:w="1782" w:type="dxa"/>
          </w:tcPr>
          <w:p>
            <w:pPr>
              <w:jc w:val="center"/>
              <w:rPr>
                <w:rFonts w:hint="default" w:ascii="Times New Roman" w:hAnsi="Times New Roman" w:cs="Times New Roman"/>
                <w:lang w:val="en-US"/>
              </w:rPr>
            </w:pPr>
            <w:r>
              <w:rPr>
                <w:rFonts w:hint="default" w:ascii="Times New Roman" w:hAnsi="Times New Roman" w:cs="Times New Roman"/>
              </w:rPr>
              <w:t>≥1</w:t>
            </w:r>
            <w:r>
              <w:rPr>
                <w:rFonts w:hint="default" w:ascii="Times New Roman" w:hAnsi="Times New Roman" w:cs="Times New Roman"/>
                <w:lang w:val="en-US" w:eastAsia="zh-CN"/>
              </w:rPr>
              <w:t>30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≥150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≥155</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pPr>
              <w:jc w:val="center"/>
            </w:pPr>
            <w:r>
              <w:rPr>
                <w:rFonts w:hint="eastAsia"/>
              </w:rPr>
              <w:t>碾压结束路表温度</w:t>
            </w:r>
          </w:p>
        </w:tc>
        <w:tc>
          <w:tcPr>
            <w:tcW w:w="1782" w:type="dxa"/>
          </w:tcPr>
          <w:p>
            <w:pPr>
              <w:jc w:val="center"/>
              <w:rPr>
                <w:rFonts w:hint="default" w:ascii="Times New Roman" w:hAnsi="Times New Roman" w:cs="Times New Roman"/>
              </w:rPr>
            </w:pPr>
            <w:r>
              <w:rPr>
                <w:rFonts w:hint="default" w:ascii="Times New Roman" w:hAnsi="Times New Roman" w:cs="Times New Roman"/>
              </w:rPr>
              <w:t>≥60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≥60</w:t>
            </w:r>
          </w:p>
        </w:tc>
        <w:tc>
          <w:tcPr>
            <w:tcW w:w="1906" w:type="dxa"/>
            <w:shd w:val="clear" w:color="auto" w:fill="auto"/>
          </w:tcPr>
          <w:p>
            <w:pPr>
              <w:jc w:val="center"/>
              <w:rPr>
                <w:rFonts w:hint="default" w:ascii="Times New Roman" w:hAnsi="Times New Roman" w:cs="Times New Roman"/>
              </w:rPr>
            </w:pPr>
            <w:r>
              <w:rPr>
                <w:rFonts w:hint="default" w:ascii="Times New Roman" w:hAnsi="Times New Roman" w:cs="Times New Roman"/>
              </w:rPr>
              <w:t>≥60</w:t>
            </w:r>
          </w:p>
        </w:tc>
        <w:tc>
          <w:tcPr>
            <w:tcW w:w="1908" w:type="dxa"/>
            <w:shd w:val="clear" w:color="auto" w:fill="auto"/>
          </w:tcPr>
          <w:p>
            <w:pPr>
              <w:jc w:val="center"/>
              <w:rPr>
                <w:rFonts w:hint="default" w:ascii="Times New Roman" w:hAnsi="Times New Roman" w:cs="Times New Roman"/>
              </w:rPr>
            </w:pPr>
            <w:r>
              <w:rPr>
                <w:rFonts w:hint="default" w:ascii="Times New Roman" w:hAnsi="Times New Roman" w:cs="Times New Roman"/>
              </w:rPr>
              <w:t>≥60</w:t>
            </w:r>
          </w:p>
        </w:tc>
      </w:tr>
    </w:tbl>
    <w:p>
      <w:pPr>
        <w:pStyle w:val="56"/>
        <w:ind w:firstLine="420"/>
      </w:pP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拌制时，混合料应拌和均匀，所有矿料颗粒应全部裹覆沥青结合料，不应出现花白料、结团成块或严重的粗、细集料分离现象。每盘干拌时间宜为10s~15s，加沥青湿拌时间宜为30s~40s。当混合料添加有纤维或改性剂等材料时，湿拌时间宜调整为40s~50s。</w:t>
      </w:r>
    </w:p>
    <w:p>
      <w:pPr>
        <w:pStyle w:val="65"/>
        <w:spacing w:before="156" w:after="156"/>
        <w:rPr>
          <w:rFonts w:hint="eastAsia" w:ascii="宋体" w:hAnsi="宋体" w:eastAsia="宋体" w:cs="宋体"/>
        </w:rPr>
      </w:pPr>
      <w:r>
        <w:rPr>
          <w:rFonts w:hint="eastAsia" w:ascii="宋体" w:hAnsi="宋体" w:eastAsia="宋体" w:cs="宋体"/>
        </w:rPr>
        <w:t>运输时，应采取保温措施，每车到现场均应测量混合料温度。当混合料温度低于本文件表7规定的摊铺温度时，混合料不得使用。</w:t>
      </w:r>
    </w:p>
    <w:p>
      <w:pPr>
        <w:pStyle w:val="105"/>
        <w:spacing w:before="156" w:after="156"/>
      </w:pPr>
      <w:r>
        <w:rPr>
          <w:rFonts w:hint="eastAsia"/>
        </w:rPr>
        <w:t>基体大空隙沥青混合料的摊铺碾压</w:t>
      </w:r>
    </w:p>
    <w:p>
      <w:pPr>
        <w:pStyle w:val="65"/>
        <w:spacing w:before="156" w:after="156"/>
        <w:rPr>
          <w:rFonts w:hint="eastAsia" w:ascii="宋体" w:hAnsi="宋体" w:eastAsia="宋体" w:cs="宋体"/>
        </w:rPr>
      </w:pPr>
      <w:r>
        <w:rPr>
          <w:rFonts w:hint="eastAsia" w:ascii="宋体" w:hAnsi="宋体" w:eastAsia="宋体" w:cs="宋体"/>
        </w:rPr>
        <w:t>摊铺机必须缓慢、均匀、连续不间断地摊铺。摊铺时大空隙沥青混凝土松铺系数宜控制在1.1~1.25，摊铺速度宜控制在2m/min~4m/min，弯道等特殊路段降低至1m/min~2m/min。</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碾压作业时，应首先使用11t～13t的双钢轮压路机对路缘石交界处或新旧路面搭接处振动碾压3遍左右，然后对除搭接处外的新摊铺路面进行碾压，压实遍数及要求如下：使用11t~13t双钢轮压路机第1遍静压（1.5 km/h ~2.5km/h），第2~4遍振动碾压（先按1.5 km/h ~2.5km/h行进，后2.5 km/h ~3.5km/h），第5~6遍静压（3.5 km/h ~6km/h）；当混合料温度降低至80℃左右时进行整平碾压（3.5 km/h ~6km/h）以消除轮迹。压路机不得在未碾压成型的混合料和刚碾压成型的大空隙沥青混凝土路面上转向、调头、加水或停留。</w:t>
      </w:r>
    </w:p>
    <w:p>
      <w:pPr>
        <w:pStyle w:val="105"/>
        <w:spacing w:before="156" w:after="156"/>
      </w:pPr>
      <w:r>
        <w:rPr>
          <w:rFonts w:hint="eastAsia"/>
        </w:rPr>
        <w:t>灌浆施工</w:t>
      </w:r>
    </w:p>
    <w:p>
      <w:pPr>
        <w:pStyle w:val="65"/>
        <w:spacing w:before="156" w:after="156"/>
      </w:pPr>
      <w:r>
        <w:rPr>
          <w:rFonts w:hint="eastAsia"/>
        </w:rPr>
        <w:t>准备</w:t>
      </w:r>
    </w:p>
    <w:p>
      <w:pPr>
        <w:pStyle w:val="65"/>
        <w:numPr>
          <w:ilvl w:val="0"/>
          <w:numId w:val="0"/>
        </w:numPr>
        <w:spacing w:before="156" w:after="156"/>
        <w:ind w:left="284"/>
        <w:rPr>
          <w:rFonts w:hint="eastAsia" w:ascii="宋体" w:hAnsi="宋体" w:eastAsia="宋体" w:cs="宋体"/>
        </w:rPr>
      </w:pPr>
      <w:r>
        <w:rPr>
          <w:rFonts w:hint="eastAsia" w:ascii="宋体" w:hAnsi="宋体" w:eastAsia="宋体" w:cs="宋体"/>
        </w:rPr>
        <w:t>1）当大空隙沥青</w:t>
      </w:r>
      <w:r>
        <w:rPr>
          <w:rFonts w:hint="eastAsia" w:ascii="宋体" w:hAnsi="宋体" w:eastAsia="宋体" w:cs="宋体"/>
          <w:lang w:val="en-US" w:eastAsia="zh-CN"/>
        </w:rPr>
        <w:t>混合料</w:t>
      </w:r>
      <w:r>
        <w:rPr>
          <w:rFonts w:hint="eastAsia" w:ascii="宋体" w:hAnsi="宋体" w:eastAsia="宋体" w:cs="宋体"/>
        </w:rPr>
        <w:t>路面铺筑结束后，灌浆前应严禁行人和车辆通行；路面温度应降低到50℃以下，方可进行灌浆施工。</w:t>
      </w:r>
    </w:p>
    <w:p>
      <w:pPr>
        <w:pStyle w:val="65"/>
        <w:numPr>
          <w:ilvl w:val="0"/>
          <w:numId w:val="0"/>
        </w:numPr>
        <w:spacing w:before="156" w:after="156"/>
        <w:ind w:left="284"/>
        <w:rPr>
          <w:rFonts w:hint="eastAsia" w:ascii="宋体" w:hAnsi="宋体" w:eastAsia="宋体" w:cs="宋体"/>
        </w:rPr>
      </w:pPr>
      <w:r>
        <w:rPr>
          <w:rFonts w:hint="eastAsia" w:ascii="宋体" w:hAnsi="宋体" w:eastAsia="宋体" w:cs="宋体"/>
        </w:rPr>
        <w:t>2）灌浆料灌注施工应包含漏浆部位的提前封堵处理、灌浆料浆体的制备和灌注、路面表面浮浆处理等工序。在大空隙沥青混凝土路面铺筑之前，应对路缘石缝隙、窨井盖四周边部等容易漏浆位置进行提前封堵处理。</w:t>
      </w:r>
    </w:p>
    <w:p>
      <w:pPr>
        <w:pStyle w:val="65"/>
        <w:spacing w:before="156" w:after="156"/>
      </w:pPr>
      <w:r>
        <w:rPr>
          <w:rFonts w:hint="eastAsia"/>
          <w:lang w:val="en-US" w:eastAsia="zh-CN"/>
        </w:rPr>
        <w:t>浆体</w:t>
      </w:r>
      <w:r>
        <w:rPr>
          <w:rFonts w:hint="eastAsia"/>
        </w:rPr>
        <w:t>制备</w:t>
      </w:r>
    </w:p>
    <w:p>
      <w:pPr>
        <w:pStyle w:val="65"/>
        <w:numPr>
          <w:ilvl w:val="0"/>
          <w:numId w:val="0"/>
        </w:numPr>
        <w:spacing w:before="156" w:after="156"/>
        <w:ind w:left="284"/>
        <w:rPr>
          <w:rFonts w:hint="default" w:ascii="Times New Roman" w:hAnsi="Times New Roman" w:eastAsia="宋体" w:cs="Times New Roman"/>
        </w:rPr>
      </w:pPr>
      <w:r>
        <w:rPr>
          <w:rFonts w:hint="eastAsia" w:ascii="宋体" w:hAnsi="宋体" w:eastAsia="宋体" w:cs="宋体"/>
        </w:rPr>
        <w:t>1</w:t>
      </w:r>
      <w:r>
        <w:rPr>
          <w:rFonts w:hint="default" w:ascii="Times New Roman" w:hAnsi="Times New Roman" w:eastAsia="宋体" w:cs="Times New Roman"/>
        </w:rPr>
        <w:t>）灌浆施工时，可采用现场制浆或预拌制浆，通过管道泵送至工作面进行灌注。现场制浆时，宜采用砂浆搅拌机或高速制浆设备。制浆设备搅拌转速不宜低于200r/min。现场制浆时，应先加水至拌锅内，然后设备边搅拌边逐渐加入灌浆料，全部加完材料后搅拌不少于90s。</w:t>
      </w:r>
    </w:p>
    <w:p>
      <w:pPr>
        <w:pStyle w:val="65"/>
        <w:numPr>
          <w:ilvl w:val="3"/>
          <w:numId w:val="0"/>
        </w:numPr>
        <w:spacing w:before="156" w:after="156"/>
        <w:ind w:left="284" w:leftChars="0"/>
        <w:rPr>
          <w:rFonts w:hint="default" w:ascii="Times New Roman" w:hAnsi="Times New Roman" w:eastAsia="宋体" w:cs="Times New Roman"/>
        </w:rPr>
      </w:pPr>
      <w:r>
        <w:rPr>
          <w:rFonts w:hint="default" w:ascii="Times New Roman" w:hAnsi="Times New Roman" w:eastAsia="宋体" w:cs="Times New Roman"/>
        </w:rPr>
        <w:t>2）灌注前应对灌浆料浆体进行流动度检测，符合本文件表</w:t>
      </w:r>
      <w:r>
        <w:rPr>
          <w:rFonts w:hint="default" w:ascii="Times New Roman" w:hAnsi="Times New Roman" w:eastAsia="宋体" w:cs="Times New Roman"/>
          <w:lang w:val="en-US" w:eastAsia="zh-CN"/>
        </w:rPr>
        <w:t>4</w:t>
      </w:r>
      <w:r>
        <w:rPr>
          <w:rFonts w:hint="default" w:ascii="Times New Roman" w:hAnsi="Times New Roman" w:eastAsia="宋体" w:cs="Times New Roman"/>
        </w:rPr>
        <w:t>要求方可进行灌注施工，不符合要求时，应予调整。施工时将制备好的灌浆料浆体泵送至大空隙沥青混凝土路面，经重力作用浆体可自流平渗透，直至浆体不再下渗为止。搅拌完毕后的灌浆料浆体宜在20min内完成灌浆施工。当路面有纵坡时，应从低处向高处进行灌浆施工。</w:t>
      </w:r>
      <w:r>
        <w:rPr>
          <w:rFonts w:hint="default" w:ascii="Times New Roman" w:hAnsi="Times New Roman" w:eastAsia="宋体" w:cs="Times New Roman"/>
          <w:lang w:val="en-US" w:eastAsia="zh-CN"/>
        </w:rPr>
        <w:t>在</w:t>
      </w:r>
      <w:r>
        <w:rPr>
          <w:rFonts w:hint="default" w:ascii="Times New Roman" w:hAnsi="Times New Roman" w:eastAsia="宋体" w:cs="Times New Roman"/>
        </w:rPr>
        <w:t>大空隙沥青混凝土路面</w:t>
      </w:r>
      <w:r>
        <w:rPr>
          <w:rFonts w:hint="default" w:ascii="Times New Roman" w:hAnsi="Times New Roman" w:eastAsia="宋体" w:cs="Times New Roman"/>
          <w:lang w:val="en-US" w:eastAsia="zh-CN"/>
        </w:rPr>
        <w:t>进行灌浆时，可采用</w:t>
      </w:r>
      <w:r>
        <w:rPr>
          <w:rFonts w:hint="default" w:ascii="Times New Roman" w:hAnsi="Times New Roman" w:eastAsia="宋体" w:cs="Times New Roman"/>
        </w:rPr>
        <w:t>平板振动器</w:t>
      </w:r>
      <w:r>
        <w:rPr>
          <w:rFonts w:hint="default" w:ascii="Times New Roman" w:hAnsi="Times New Roman" w:eastAsia="宋体" w:cs="Times New Roman"/>
          <w:lang w:val="en-US" w:eastAsia="zh-CN"/>
        </w:rPr>
        <w:t>辅助浆体下渗。</w:t>
      </w:r>
    </w:p>
    <w:p>
      <w:pPr>
        <w:pStyle w:val="65"/>
        <w:numPr>
          <w:ilvl w:val="3"/>
          <w:numId w:val="0"/>
        </w:numPr>
        <w:spacing w:before="156" w:after="156"/>
        <w:ind w:left="284" w:leftChars="0"/>
        <w:rPr>
          <w:rFonts w:hint="default" w:ascii="Times New Roman" w:hAnsi="Times New Roman" w:cs="Times New Roman"/>
        </w:rPr>
      </w:pPr>
      <w:r>
        <w:rPr>
          <w:rFonts w:hint="default" w:ascii="Times New Roman" w:hAnsi="Times New Roman" w:eastAsia="宋体" w:cs="Times New Roman"/>
          <w:lang w:val="en-US" w:eastAsia="zh-CN"/>
        </w:rPr>
        <w:t>3</w:t>
      </w:r>
      <w:r>
        <w:rPr>
          <w:rFonts w:hint="default" w:ascii="Times New Roman" w:hAnsi="Times New Roman" w:eastAsia="宋体" w:cs="Times New Roman"/>
        </w:rPr>
        <w:t>）灌浆施工过程中如遇降雨，应采取防雨措施覆盖路面。大空隙沥青混凝土路面如有积水，应排干后再施工。灌注完毕后，应采用刮浆设备或人工毛刷进行刮浆，并应将表面残余灌浆料浆体清除干净。路面表面刮浆处理后，用于表面层的灌注式半柔性复合面层应具有一定的构造深度，以路表沥青混凝土粗骨料高出胶浆面3mm~5mm为宜。</w:t>
      </w:r>
    </w:p>
    <w:p>
      <w:pPr>
        <w:pStyle w:val="105"/>
        <w:spacing w:before="156" w:after="156"/>
      </w:pPr>
      <w:r>
        <w:rPr>
          <w:rFonts w:hint="eastAsia"/>
        </w:rPr>
        <w:t>养生及开放交通</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浆体终凝后应进行洒水养生。养生时间应视施工环境温度及灌浆料性质而定。若使用早强型灌浆料，开放交通前的路面洒水养护不宜少于2次；若使用普通型灌浆料，开放交通前的路面洒水养护不宜少于4次。单次洒水量不宜低于0.8kg/m</w:t>
      </w:r>
      <w:r>
        <w:rPr>
          <w:rFonts w:hint="default" w:ascii="Times New Roman" w:hAnsi="Times New Roman" w:eastAsia="宋体" w:cs="Times New Roman"/>
          <w:vertAlign w:val="superscript"/>
        </w:rPr>
        <w:t>2</w:t>
      </w:r>
      <w:r>
        <w:rPr>
          <w:rFonts w:hint="default" w:ascii="Times New Roman" w:hAnsi="Times New Roman" w:eastAsia="宋体" w:cs="Times New Roman"/>
        </w:rPr>
        <w:t>。</w:t>
      </w:r>
    </w:p>
    <w:p>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养生期间应封闭交通。当同等条件下养生的灌浆料试块抗压强度达到10MPa及以上时，方可结束养生、开放交通</w:t>
      </w:r>
      <w:r>
        <w:rPr>
          <w:rFonts w:hint="default" w:ascii="Times New Roman" w:hAnsi="Times New Roman" w:eastAsia="宋体" w:cs="Times New Roman"/>
          <w:lang w:val="en-US" w:eastAsia="zh-CN"/>
        </w:rPr>
        <w:t>或者摊铺上覆层沥青路面。</w:t>
      </w:r>
    </w:p>
    <w:p>
      <w:pPr>
        <w:pStyle w:val="104"/>
        <w:spacing w:before="312" w:after="312"/>
      </w:pPr>
      <w:r>
        <w:rPr>
          <w:rFonts w:hint="eastAsia"/>
        </w:rPr>
        <w:t>施工质量管理与检查验收</w:t>
      </w:r>
    </w:p>
    <w:p>
      <w:pPr>
        <w:pStyle w:val="105"/>
        <w:spacing w:before="156" w:after="156"/>
      </w:pPr>
      <w:r>
        <w:rPr>
          <w:rFonts w:hint="eastAsia"/>
        </w:rPr>
        <w:t>一般规定</w:t>
      </w:r>
    </w:p>
    <w:p>
      <w:pPr>
        <w:pStyle w:val="65"/>
        <w:spacing w:before="156" w:after="156"/>
        <w:rPr>
          <w:rFonts w:hint="eastAsia" w:ascii="宋体" w:hAnsi="宋体" w:eastAsia="宋体" w:cs="宋体"/>
        </w:rPr>
      </w:pPr>
      <w:r>
        <w:rPr>
          <w:rFonts w:hint="eastAsia" w:ascii="宋体" w:hAnsi="宋体" w:eastAsia="宋体" w:cs="宋体"/>
        </w:rPr>
        <w:t>灌注式半柔性复合面层沥青路面施工应根据全面质量管理的要求，建立健全有效的质量保证体系，对施工各工序的质量进行检查评定，加强施工过程的质量控制，实行动态质量管理，确保施工质量。</w:t>
      </w:r>
    </w:p>
    <w:p>
      <w:pPr>
        <w:pStyle w:val="65"/>
        <w:spacing w:before="156" w:after="156"/>
        <w:rPr>
          <w:rFonts w:hint="eastAsia" w:ascii="宋体" w:hAnsi="宋体" w:eastAsia="宋体" w:cs="宋体"/>
        </w:rPr>
      </w:pPr>
      <w:r>
        <w:rPr>
          <w:rFonts w:hint="eastAsia" w:ascii="宋体" w:hAnsi="宋体" w:eastAsia="宋体" w:cs="宋体"/>
        </w:rPr>
        <w:t>灌注式半柔性复合面层沥青路面除复合面层以外的其他结构层施工质量管理与检查验收应符合JTG F80/1、JTG 5220、JTG F20、JTG F40等规范及设计文件的要求。</w:t>
      </w:r>
    </w:p>
    <w:p>
      <w:pPr>
        <w:pStyle w:val="65"/>
        <w:spacing w:before="156" w:after="156"/>
        <w:rPr>
          <w:rFonts w:hint="eastAsia" w:ascii="宋体" w:hAnsi="宋体" w:eastAsia="宋体" w:cs="宋体"/>
        </w:rPr>
      </w:pPr>
      <w:r>
        <w:rPr>
          <w:rFonts w:hint="eastAsia" w:ascii="宋体" w:hAnsi="宋体" w:eastAsia="宋体" w:cs="宋体"/>
        </w:rPr>
        <w:t>透层、封层、黏层应符合JTG F40及设计文件的要求。</w:t>
      </w:r>
    </w:p>
    <w:p>
      <w:pPr>
        <w:pStyle w:val="65"/>
        <w:spacing w:before="156" w:after="156"/>
        <w:rPr>
          <w:rFonts w:hint="eastAsia" w:ascii="宋体" w:hAnsi="宋体" w:eastAsia="宋体" w:cs="宋体"/>
        </w:rPr>
      </w:pPr>
      <w:r>
        <w:rPr>
          <w:rFonts w:hint="eastAsia" w:ascii="宋体" w:hAnsi="宋体" w:eastAsia="宋体" w:cs="宋体"/>
        </w:rPr>
        <w:t>灌注式半柔性复合面层施工的原始记录和数据应如实记录和保存。对已采取措施进行返工补救的项目，应在原始记录和数据上注明。</w:t>
      </w:r>
    </w:p>
    <w:p>
      <w:pPr>
        <w:pStyle w:val="105"/>
        <w:spacing w:before="156" w:after="156"/>
      </w:pPr>
      <w:r>
        <w:rPr>
          <w:rFonts w:hint="eastAsia"/>
        </w:rPr>
        <w:t>施工前的材料与设备检查</w:t>
      </w:r>
    </w:p>
    <w:p>
      <w:pPr>
        <w:pStyle w:val="65"/>
        <w:spacing w:before="156" w:after="156"/>
        <w:rPr>
          <w:rFonts w:hint="eastAsia" w:ascii="宋体" w:hAnsi="宋体" w:eastAsia="宋体" w:cs="宋体"/>
        </w:rPr>
      </w:pPr>
      <w:r>
        <w:rPr>
          <w:rFonts w:hint="eastAsia" w:ascii="宋体" w:hAnsi="宋体" w:eastAsia="宋体" w:cs="宋体"/>
        </w:rPr>
        <w:t>材料进场时，应检查各种材料的出厂合格证、检验报告并进场复验，按表</w:t>
      </w:r>
      <w:r>
        <w:rPr>
          <w:rFonts w:hint="eastAsia" w:ascii="宋体" w:hAnsi="宋体" w:eastAsia="宋体" w:cs="宋体"/>
          <w:lang w:val="en-US" w:eastAsia="zh-CN"/>
        </w:rPr>
        <w:t>9</w:t>
      </w:r>
      <w:r>
        <w:rPr>
          <w:rFonts w:hint="eastAsia" w:ascii="宋体" w:hAnsi="宋体" w:eastAsia="宋体" w:cs="宋体"/>
        </w:rPr>
        <w:t>规定的检查项目和频度对各种材料进行抽样试验，其技术要求应符合本文件的规定。</w:t>
      </w:r>
    </w:p>
    <w:p>
      <w:pPr>
        <w:pStyle w:val="112"/>
        <w:numPr>
          <w:ilvl w:val="0"/>
          <w:numId w:val="0"/>
        </w:numPr>
        <w:spacing w:before="156" w:after="156"/>
        <w:jc w:val="both"/>
      </w:pPr>
    </w:p>
    <w:p>
      <w:pPr>
        <w:pStyle w:val="112"/>
        <w:numPr>
          <w:ilvl w:val="0"/>
          <w:numId w:val="0"/>
        </w:numPr>
        <w:spacing w:before="156" w:after="156"/>
        <w:ind w:leftChars="0"/>
        <w:jc w:val="center"/>
      </w:pPr>
      <w:r>
        <w:rPr>
          <w:rFonts w:hint="eastAsia"/>
          <w:lang w:val="en-US" w:eastAsia="zh-CN"/>
        </w:rPr>
        <w:t xml:space="preserve">表9 </w:t>
      </w:r>
      <w:r>
        <w:rPr>
          <w:rFonts w:hint="eastAsia"/>
        </w:rPr>
        <w:t>原材料进场抽样检查项目和频度</w:t>
      </w:r>
    </w:p>
    <w:tbl>
      <w:tblPr>
        <w:tblStyle w:val="27"/>
        <w:tblW w:w="93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99"/>
        <w:gridCol w:w="3593"/>
        <w:gridCol w:w="1695"/>
        <w:gridCol w:w="2025"/>
        <w:gridCol w:w="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99"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材料类型</w:t>
            </w:r>
          </w:p>
        </w:tc>
        <w:tc>
          <w:tcPr>
            <w:tcW w:w="3593"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检查项目</w:t>
            </w:r>
          </w:p>
        </w:tc>
        <w:tc>
          <w:tcPr>
            <w:tcW w:w="1695" w:type="dxa"/>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质量要求</w:t>
            </w:r>
          </w:p>
        </w:tc>
        <w:tc>
          <w:tcPr>
            <w:tcW w:w="2865" w:type="dxa"/>
            <w:gridSpan w:val="2"/>
            <w:tcBorders>
              <w:top w:val="single" w:color="auto" w:sz="8" w:space="0"/>
              <w:bottom w:val="single" w:color="auto" w:sz="8" w:space="0"/>
            </w:tcBorders>
            <w:shd w:val="clear" w:color="auto" w:fill="auto"/>
          </w:tcPr>
          <w:p>
            <w:pPr>
              <w:jc w:val="center"/>
              <w:rPr>
                <w:rFonts w:hint="default" w:ascii="Times New Roman" w:hAnsi="Times New Roman" w:cs="Times New Roman"/>
              </w:rPr>
            </w:pPr>
            <w:r>
              <w:rPr>
                <w:rFonts w:hint="default" w:ascii="Times New Roman" w:hAnsi="Times New Roman" w:cs="Times New Roman"/>
              </w:rPr>
              <w:t>检查频度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tcBorders>
              <w:top w:val="single" w:color="auto" w:sz="8" w:space="0"/>
            </w:tcBorders>
            <w:shd w:val="clear" w:color="auto" w:fill="auto"/>
            <w:vAlign w:val="center"/>
          </w:tcPr>
          <w:p>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SBS改性</w:t>
            </w:r>
          </w:p>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沥青</w:t>
            </w:r>
          </w:p>
        </w:tc>
        <w:tc>
          <w:tcPr>
            <w:tcW w:w="3593" w:type="dxa"/>
            <w:tcBorders>
              <w:top w:val="single" w:color="auto" w:sz="8" w:space="0"/>
            </w:tcBorders>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针入度（25℃）、软化点、延度（5℃）、贮存稳定性、135℃运动黏度</w:t>
            </w:r>
          </w:p>
        </w:tc>
        <w:tc>
          <w:tcPr>
            <w:tcW w:w="1695" w:type="dxa"/>
            <w:vMerge w:val="restart"/>
            <w:tcBorders>
              <w:top w:val="single" w:color="auto" w:sz="8" w:space="0"/>
            </w:tcBorders>
            <w:shd w:val="clear" w:color="auto" w:fill="auto"/>
            <w:vAlign w:val="center"/>
          </w:tcPr>
          <w:p>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F40</w:t>
            </w:r>
          </w:p>
        </w:tc>
        <w:tc>
          <w:tcPr>
            <w:tcW w:w="2865" w:type="dxa"/>
            <w:gridSpan w:val="2"/>
            <w:vMerge w:val="restart"/>
            <w:tcBorders>
              <w:top w:val="single" w:color="auto" w:sz="8" w:space="0"/>
            </w:tcBorders>
            <w:shd w:val="clear" w:color="auto" w:fill="auto"/>
            <w:vAlign w:val="center"/>
          </w:tcPr>
          <w:p>
            <w:pPr>
              <w:pStyle w:val="178"/>
              <w:rPr>
                <w:rFonts w:hint="default" w:ascii="Times New Roman" w:hAnsi="Times New Roman" w:cs="Times New Roman"/>
                <w:sz w:val="21"/>
                <w:szCs w:val="21"/>
              </w:rPr>
            </w:pPr>
            <w:r>
              <w:rPr>
                <w:rFonts w:hint="default" w:ascii="Times New Roman" w:hAnsi="Times New Roman" w:cs="Times New Roman"/>
                <w:sz w:val="21"/>
                <w:szCs w:val="21"/>
              </w:rPr>
              <w:t>同一厂家同一批号每50吨</w:t>
            </w:r>
          </w:p>
          <w:p>
            <w:pPr>
              <w:pStyle w:val="178"/>
              <w:rPr>
                <w:rFonts w:hint="default" w:ascii="Times New Roman" w:hAnsi="Times New Roman" w:cs="Times New Roman"/>
                <w:sz w:val="21"/>
                <w:szCs w:val="21"/>
              </w:rPr>
            </w:pPr>
            <w:r>
              <w:rPr>
                <w:rFonts w:hint="default" w:ascii="Times New Roman" w:hAnsi="Times New Roman" w:cs="Times New Roman"/>
                <w:sz w:val="21"/>
                <w:szCs w:val="21"/>
              </w:rPr>
              <w:t>检测1次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70号道路</w:t>
            </w:r>
          </w:p>
          <w:p>
            <w:pPr>
              <w:spacing w:line="240" w:lineRule="auto"/>
              <w:ind w:firstLine="0" w:firstLineChars="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lang w:val="en-US" w:eastAsia="zh-CN"/>
              </w:rPr>
              <w:t>石油沥青</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针入度（25℃）、软化点、延度（</w:t>
            </w: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5℃）、</w:t>
            </w:r>
          </w:p>
        </w:tc>
        <w:tc>
          <w:tcPr>
            <w:tcW w:w="1695" w:type="dxa"/>
            <w:vMerge w:val="continue"/>
            <w:shd w:val="clear" w:color="auto" w:fill="auto"/>
            <w:vAlign w:val="center"/>
          </w:tcPr>
          <w:p>
            <w:pPr>
              <w:pStyle w:val="178"/>
              <w:jc w:val="center"/>
              <w:rPr>
                <w:rFonts w:hint="default" w:ascii="Times New Roman" w:hAnsi="Times New Roman" w:cs="Times New Roman"/>
                <w:color w:val="000000"/>
                <w:sz w:val="21"/>
                <w:szCs w:val="21"/>
              </w:rPr>
            </w:pPr>
          </w:p>
        </w:tc>
        <w:tc>
          <w:tcPr>
            <w:tcW w:w="2865" w:type="dxa"/>
            <w:gridSpan w:val="2"/>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橡胶沥青</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针入度（25℃）、软化点、延度（5℃）、弹性恢复、180℃旋转黏度</w:t>
            </w:r>
          </w:p>
        </w:tc>
        <w:tc>
          <w:tcPr>
            <w:tcW w:w="1695" w:type="dxa"/>
            <w:shd w:val="clear" w:color="auto" w:fill="auto"/>
            <w:vAlign w:val="center"/>
          </w:tcPr>
          <w:p>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JT/T 798</w:t>
            </w:r>
          </w:p>
        </w:tc>
        <w:tc>
          <w:tcPr>
            <w:tcW w:w="2865" w:type="dxa"/>
            <w:gridSpan w:val="2"/>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高黏度改性沥青</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针入度（25℃）、软化点、</w:t>
            </w:r>
          </w:p>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延度（5℃）、60℃动力黏度</w:t>
            </w:r>
          </w:p>
        </w:tc>
        <w:tc>
          <w:tcPr>
            <w:tcW w:w="1695" w:type="dxa"/>
            <w:shd w:val="clear" w:color="auto" w:fill="auto"/>
            <w:vAlign w:val="center"/>
          </w:tcPr>
          <w:p>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/T 3350-03</w:t>
            </w:r>
          </w:p>
        </w:tc>
        <w:tc>
          <w:tcPr>
            <w:tcW w:w="2865" w:type="dxa"/>
            <w:gridSpan w:val="2"/>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粗集料</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针片状颗粒含量、筛分、表观相对密度、压碎值（必要时）、磨光值（必要时）、洛杉矶磨耗值（必要时）</w:t>
            </w:r>
          </w:p>
        </w:tc>
        <w:tc>
          <w:tcPr>
            <w:tcW w:w="1695" w:type="dxa"/>
            <w:vMerge w:val="restart"/>
            <w:shd w:val="clear" w:color="auto" w:fill="auto"/>
            <w:vAlign w:val="center"/>
          </w:tcPr>
          <w:p>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F40</w:t>
            </w:r>
          </w:p>
        </w:tc>
        <w:tc>
          <w:tcPr>
            <w:tcW w:w="2025" w:type="dxa"/>
            <w:shd w:val="clear" w:color="auto" w:fill="auto"/>
          </w:tcPr>
          <w:p>
            <w:pPr>
              <w:jc w:val="center"/>
              <w:rPr>
                <w:rFonts w:hint="default" w:ascii="Times New Roman" w:hAnsi="Times New Roman" w:cs="Times New Roman"/>
                <w:sz w:val="21"/>
                <w:szCs w:val="21"/>
              </w:rPr>
            </w:pPr>
            <w:r>
              <w:rPr>
                <w:rFonts w:hint="default" w:ascii="Times New Roman" w:hAnsi="Times New Roman" w:cs="Times New Roman"/>
                <w:sz w:val="21"/>
                <w:szCs w:val="21"/>
              </w:rPr>
              <w:t>同料源、同规格碎石不超过2000t为一批</w:t>
            </w:r>
          </w:p>
        </w:tc>
        <w:tc>
          <w:tcPr>
            <w:tcW w:w="840" w:type="dxa"/>
            <w:vMerge w:val="restart"/>
            <w:shd w:val="clear" w:color="auto" w:fill="auto"/>
            <w:vAlign w:val="center"/>
          </w:tcPr>
          <w:p>
            <w:pPr>
              <w:pStyle w:val="178"/>
              <w:rPr>
                <w:rFonts w:hint="default" w:ascii="Times New Roman" w:hAnsi="Times New Roman" w:cs="Times New Roman"/>
                <w:sz w:val="21"/>
                <w:szCs w:val="21"/>
              </w:rPr>
            </w:pPr>
            <w:r>
              <w:rPr>
                <w:rFonts w:hint="default" w:ascii="Times New Roman" w:hAnsi="Times New Roman" w:cs="Times New Roman"/>
                <w:sz w:val="21"/>
                <w:szCs w:val="21"/>
              </w:rPr>
              <w:t>每批检测1次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细集料</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级配、砂当量、含泥量</w:t>
            </w:r>
          </w:p>
        </w:tc>
        <w:tc>
          <w:tcPr>
            <w:tcW w:w="1695" w:type="dxa"/>
            <w:vMerge w:val="continue"/>
            <w:shd w:val="clear" w:color="auto" w:fill="auto"/>
            <w:vAlign w:val="center"/>
          </w:tcPr>
          <w:p>
            <w:pPr>
              <w:jc w:val="center"/>
              <w:rPr>
                <w:rFonts w:hint="default" w:ascii="Times New Roman" w:hAnsi="Times New Roman" w:cs="Times New Roman"/>
                <w:sz w:val="21"/>
                <w:szCs w:val="21"/>
              </w:rPr>
            </w:pPr>
          </w:p>
        </w:tc>
        <w:tc>
          <w:tcPr>
            <w:tcW w:w="2025" w:type="dxa"/>
            <w:shd w:val="clear" w:color="auto" w:fill="auto"/>
          </w:tcPr>
          <w:p>
            <w:pPr>
              <w:jc w:val="center"/>
              <w:rPr>
                <w:rFonts w:hint="default" w:ascii="Times New Roman" w:hAnsi="Times New Roman" w:cs="Times New Roman"/>
                <w:sz w:val="21"/>
                <w:szCs w:val="21"/>
              </w:rPr>
            </w:pPr>
            <w:r>
              <w:rPr>
                <w:rFonts w:hint="default" w:ascii="Times New Roman" w:hAnsi="Times New Roman" w:cs="Times New Roman"/>
                <w:sz w:val="21"/>
                <w:szCs w:val="21"/>
              </w:rPr>
              <w:t>同料源每600t～1200t为一批</w:t>
            </w:r>
          </w:p>
        </w:tc>
        <w:tc>
          <w:tcPr>
            <w:tcW w:w="840" w:type="dxa"/>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矿粉</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外观、含水量、筛分、亲水系数</w:t>
            </w:r>
          </w:p>
        </w:tc>
        <w:tc>
          <w:tcPr>
            <w:tcW w:w="1695" w:type="dxa"/>
            <w:vMerge w:val="continue"/>
            <w:shd w:val="clear" w:color="auto" w:fill="auto"/>
            <w:vAlign w:val="center"/>
          </w:tcPr>
          <w:p>
            <w:pPr>
              <w:jc w:val="center"/>
              <w:rPr>
                <w:rFonts w:hint="default" w:ascii="Times New Roman" w:hAnsi="Times New Roman" w:cs="Times New Roman"/>
                <w:sz w:val="21"/>
                <w:szCs w:val="21"/>
              </w:rPr>
            </w:pPr>
          </w:p>
        </w:tc>
        <w:tc>
          <w:tcPr>
            <w:tcW w:w="2025" w:type="dxa"/>
            <w:shd w:val="clear" w:color="auto" w:fill="auto"/>
          </w:tcPr>
          <w:p>
            <w:pPr>
              <w:jc w:val="center"/>
              <w:rPr>
                <w:rFonts w:hint="default" w:ascii="Times New Roman" w:hAnsi="Times New Roman" w:cs="Times New Roman"/>
                <w:sz w:val="21"/>
                <w:szCs w:val="21"/>
              </w:rPr>
            </w:pPr>
            <w:r>
              <w:rPr>
                <w:rFonts w:hint="default" w:ascii="Times New Roman" w:hAnsi="Times New Roman" w:cs="Times New Roman"/>
                <w:sz w:val="21"/>
                <w:szCs w:val="21"/>
              </w:rPr>
              <w:t>每35t为一批</w:t>
            </w:r>
          </w:p>
        </w:tc>
        <w:tc>
          <w:tcPr>
            <w:tcW w:w="840" w:type="dxa"/>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纤维</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吸油率</w:t>
            </w:r>
          </w:p>
        </w:tc>
        <w:tc>
          <w:tcPr>
            <w:tcW w:w="1695" w:type="dxa"/>
            <w:shd w:val="clear" w:color="auto" w:fill="auto"/>
            <w:vAlign w:val="center"/>
          </w:tcPr>
          <w:p>
            <w:pPr>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JT/T 533</w:t>
            </w:r>
          </w:p>
        </w:tc>
        <w:tc>
          <w:tcPr>
            <w:tcW w:w="2025" w:type="dxa"/>
            <w:shd w:val="clear" w:color="auto" w:fill="auto"/>
          </w:tcPr>
          <w:p>
            <w:pPr>
              <w:jc w:val="center"/>
              <w:rPr>
                <w:rFonts w:hint="default" w:ascii="Times New Roman" w:hAnsi="Times New Roman" w:cs="Times New Roman"/>
                <w:sz w:val="21"/>
                <w:szCs w:val="21"/>
              </w:rPr>
            </w:pPr>
            <w:r>
              <w:rPr>
                <w:rFonts w:hint="default" w:ascii="Times New Roman" w:hAnsi="Times New Roman" w:cs="Times New Roman"/>
                <w:sz w:val="21"/>
                <w:szCs w:val="21"/>
              </w:rPr>
              <w:t>每10t为一批</w:t>
            </w:r>
          </w:p>
        </w:tc>
        <w:tc>
          <w:tcPr>
            <w:tcW w:w="840" w:type="dxa"/>
            <w:vMerge w:val="continue"/>
            <w:shd w:val="clear" w:color="auto" w:fill="auto"/>
            <w:vAlign w:val="center"/>
          </w:tcPr>
          <w:p>
            <w:pPr>
              <w:pStyle w:val="178"/>
              <w:rPr>
                <w:rFonts w:hint="default" w:ascii="Times New Roman" w:hAnsi="Times New Roman"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灌浆料</w:t>
            </w:r>
          </w:p>
        </w:tc>
        <w:tc>
          <w:tcPr>
            <w:tcW w:w="3593" w:type="dxa"/>
            <w:shd w:val="clear" w:color="auto" w:fill="auto"/>
            <w:vAlign w:val="center"/>
          </w:tcPr>
          <w:p>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颗粒细度、流动度、自由泌水率、</w:t>
            </w:r>
          </w:p>
          <w:p>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干缩率、抗压强度、抗折强度</w:t>
            </w:r>
          </w:p>
        </w:tc>
        <w:tc>
          <w:tcPr>
            <w:tcW w:w="1695" w:type="dxa"/>
            <w:shd w:val="clear" w:color="auto" w:fill="auto"/>
            <w:vAlign w:val="center"/>
          </w:tcPr>
          <w:p>
            <w:pPr>
              <w:pStyle w:val="178"/>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本标准表3、</w:t>
            </w:r>
            <w:r>
              <w:rPr>
                <w:rFonts w:hint="default" w:ascii="Times New Roman" w:hAnsi="Times New Roman" w:cs="Times New Roman"/>
                <w:color w:val="000000"/>
                <w:sz w:val="21"/>
                <w:szCs w:val="21"/>
              </w:rPr>
              <w:t>表</w:t>
            </w:r>
            <w:r>
              <w:rPr>
                <w:rFonts w:hint="default" w:ascii="Times New Roman" w:hAnsi="Times New Roman" w:cs="Times New Roman"/>
                <w:color w:val="000000"/>
                <w:sz w:val="21"/>
                <w:szCs w:val="21"/>
                <w:lang w:val="en-US" w:eastAsia="zh-CN"/>
              </w:rPr>
              <w:t>4</w:t>
            </w:r>
          </w:p>
        </w:tc>
        <w:tc>
          <w:tcPr>
            <w:tcW w:w="2865" w:type="dxa"/>
            <w:gridSpan w:val="2"/>
            <w:shd w:val="clear" w:color="auto" w:fill="auto"/>
            <w:vAlign w:val="center"/>
          </w:tcPr>
          <w:p>
            <w:pPr>
              <w:pStyle w:val="178"/>
              <w:rPr>
                <w:rFonts w:hint="default" w:ascii="Times New Roman" w:hAnsi="Times New Roman" w:cs="Times New Roman"/>
                <w:sz w:val="21"/>
                <w:szCs w:val="21"/>
              </w:rPr>
            </w:pPr>
            <w:r>
              <w:rPr>
                <w:rFonts w:hint="default" w:ascii="Times New Roman" w:hAnsi="Times New Roman" w:cs="Times New Roman"/>
                <w:sz w:val="21"/>
                <w:szCs w:val="21"/>
              </w:rPr>
              <w:t>同一厂家、同一批号每100t</w:t>
            </w:r>
          </w:p>
          <w:p>
            <w:pPr>
              <w:pStyle w:val="178"/>
              <w:rPr>
                <w:rFonts w:hint="default" w:ascii="Times New Roman" w:hAnsi="Times New Roman" w:cs="Times New Roman"/>
                <w:sz w:val="21"/>
                <w:szCs w:val="21"/>
              </w:rPr>
            </w:pPr>
            <w:r>
              <w:rPr>
                <w:rFonts w:hint="default" w:ascii="Times New Roman" w:hAnsi="Times New Roman" w:cs="Times New Roman"/>
                <w:sz w:val="21"/>
                <w:szCs w:val="21"/>
              </w:rPr>
              <w:t>检测1次</w:t>
            </w:r>
          </w:p>
        </w:tc>
      </w:tr>
    </w:tbl>
    <w:p>
      <w:pPr>
        <w:pStyle w:val="56"/>
        <w:ind w:firstLine="420"/>
      </w:pPr>
    </w:p>
    <w:p>
      <w:pPr>
        <w:pStyle w:val="56"/>
        <w:ind w:firstLine="420"/>
        <w:rPr>
          <w:rFonts w:hint="eastAsia" w:ascii="宋体" w:hAnsi="宋体" w:eastAsia="宋体" w:cs="宋体"/>
        </w:rPr>
      </w:pPr>
    </w:p>
    <w:p>
      <w:pPr>
        <w:pStyle w:val="65"/>
        <w:spacing w:before="156" w:after="156"/>
        <w:rPr>
          <w:rFonts w:hint="eastAsia" w:ascii="宋体" w:hAnsi="宋体" w:eastAsia="宋体" w:cs="宋体"/>
        </w:rPr>
      </w:pPr>
      <w:r>
        <w:rPr>
          <w:rFonts w:hint="eastAsia" w:ascii="宋体" w:hAnsi="宋体" w:eastAsia="宋体" w:cs="宋体"/>
        </w:rPr>
        <w:t>施工前应对沥青混凝土拌和楼、摊铺机、压路机、制浆灌浆设备、刮浆设备等各种机械设备进行调试、检查。</w:t>
      </w:r>
    </w:p>
    <w:p>
      <w:pPr>
        <w:pStyle w:val="105"/>
        <w:spacing w:before="156" w:after="156"/>
      </w:pPr>
      <w:r>
        <w:rPr>
          <w:rFonts w:hint="eastAsia"/>
        </w:rPr>
        <w:t>施工过程中的质量管理与检查</w:t>
      </w:r>
    </w:p>
    <w:p>
      <w:pPr>
        <w:pStyle w:val="65"/>
        <w:spacing w:before="156" w:after="156"/>
        <w:rPr>
          <w:rFonts w:hint="eastAsia" w:ascii="宋体" w:hAnsi="宋体" w:eastAsia="宋体" w:cs="宋体"/>
        </w:rPr>
      </w:pPr>
      <w:r>
        <w:rPr>
          <w:rFonts w:hint="eastAsia" w:ascii="宋体" w:hAnsi="宋体" w:eastAsia="宋体" w:cs="宋体"/>
        </w:rPr>
        <w:t>灌注式半柔性复合面层施工过程应对大空隙沥青混合料、灌浆料浆体进行抽样检测。施工过程中针对大空隙沥青混凝土路面的检查项目、检查频率、质量要求和试验方法应符合表</w:t>
      </w:r>
      <w:r>
        <w:rPr>
          <w:rFonts w:hint="eastAsia" w:ascii="宋体" w:hAnsi="宋体" w:eastAsia="宋体" w:cs="宋体"/>
          <w:lang w:val="en-US" w:eastAsia="zh-CN"/>
        </w:rPr>
        <w:t>10</w:t>
      </w:r>
      <w:r>
        <w:rPr>
          <w:rFonts w:hint="eastAsia" w:ascii="宋体" w:hAnsi="宋体" w:eastAsia="宋体" w:cs="宋体"/>
        </w:rPr>
        <w:t>规定。</w:t>
      </w:r>
    </w:p>
    <w:p>
      <w:pPr>
        <w:pStyle w:val="112"/>
        <w:numPr>
          <w:ilvl w:val="0"/>
          <w:numId w:val="0"/>
        </w:numPr>
        <w:spacing w:before="156" w:after="156"/>
        <w:ind w:leftChars="0"/>
        <w:jc w:val="center"/>
      </w:pPr>
      <w:r>
        <w:rPr>
          <w:rFonts w:hint="eastAsia"/>
          <w:lang w:val="en-US" w:eastAsia="zh-CN"/>
        </w:rPr>
        <w:t xml:space="preserve">表10 </w:t>
      </w:r>
      <w:r>
        <w:rPr>
          <w:rFonts w:hint="eastAsia"/>
        </w:rPr>
        <w:t>大空隙沥青混凝土路面施工过程质量检查要求</w:t>
      </w:r>
    </w:p>
    <w:tbl>
      <w:tblPr>
        <w:tblStyle w:val="26"/>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
        <w:gridCol w:w="1991"/>
        <w:gridCol w:w="1932"/>
        <w:gridCol w:w="1597"/>
        <w:gridCol w:w="1166"/>
        <w:gridCol w:w="18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8" w:space="0"/>
              <w:left w:val="single" w:color="auto" w:sz="8" w:space="0"/>
              <w:bottom w:val="single" w:color="auto" w:sz="8"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检查项目</w:t>
            </w:r>
          </w:p>
        </w:tc>
        <w:tc>
          <w:tcPr>
            <w:tcW w:w="1933" w:type="dxa"/>
            <w:tcBorders>
              <w:top w:val="single" w:color="auto" w:sz="8" w:space="0"/>
              <w:left w:val="single" w:color="auto" w:sz="4" w:space="0"/>
              <w:bottom w:val="single" w:color="auto" w:sz="8"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检查频度</w:t>
            </w:r>
          </w:p>
        </w:tc>
        <w:tc>
          <w:tcPr>
            <w:tcW w:w="2761" w:type="dxa"/>
            <w:gridSpan w:val="2"/>
            <w:tcBorders>
              <w:top w:val="single" w:color="auto" w:sz="8" w:space="0"/>
              <w:left w:val="single" w:color="auto" w:sz="4" w:space="0"/>
              <w:bottom w:val="single" w:color="auto" w:sz="8"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质量要求或允许偏差</w:t>
            </w:r>
          </w:p>
        </w:tc>
        <w:tc>
          <w:tcPr>
            <w:tcW w:w="1873" w:type="dxa"/>
            <w:tcBorders>
              <w:top w:val="single" w:color="auto" w:sz="8" w:space="0"/>
              <w:left w:val="single" w:color="auto" w:sz="4" w:space="0"/>
              <w:bottom w:val="single" w:color="auto" w:sz="8"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8"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混合料外观</w:t>
            </w:r>
          </w:p>
        </w:tc>
        <w:tc>
          <w:tcPr>
            <w:tcW w:w="1933" w:type="dxa"/>
            <w:tcBorders>
              <w:top w:val="single" w:color="auto" w:sz="8"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随时</w:t>
            </w:r>
          </w:p>
        </w:tc>
        <w:tc>
          <w:tcPr>
            <w:tcW w:w="2761" w:type="dxa"/>
            <w:gridSpan w:val="2"/>
            <w:tcBorders>
              <w:top w:val="single" w:color="auto" w:sz="8" w:space="0"/>
              <w:left w:val="single" w:color="auto" w:sz="4" w:space="0"/>
              <w:bottom w:val="single" w:color="auto" w:sz="4" w:space="0"/>
              <w:right w:val="single" w:color="auto" w:sz="4" w:space="0"/>
            </w:tcBorders>
            <w:vAlign w:val="center"/>
          </w:tcPr>
          <w:p>
            <w:pPr>
              <w:jc w:val="left"/>
              <w:rPr>
                <w:rFonts w:ascii="Times New Roman" w:hAnsi="Times New Roman"/>
                <w:color w:val="000000"/>
                <w:sz w:val="18"/>
                <w:szCs w:val="18"/>
              </w:rPr>
            </w:pPr>
            <w:r>
              <w:rPr>
                <w:rFonts w:ascii="宋体" w:hAnsi="宋体"/>
                <w:color w:val="000000"/>
                <w:sz w:val="18"/>
                <w:szCs w:val="18"/>
              </w:rPr>
              <w:t>观察集料粗细、均匀性、色泽、冒烟、有无花白料、油团等各种现象</w:t>
            </w:r>
          </w:p>
        </w:tc>
        <w:tc>
          <w:tcPr>
            <w:tcW w:w="1873" w:type="dxa"/>
            <w:tcBorders>
              <w:top w:val="single" w:color="auto" w:sz="8"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目测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碾压后路面外观</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随时</w:t>
            </w: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olor w:val="000000"/>
                <w:sz w:val="18"/>
                <w:szCs w:val="18"/>
              </w:rPr>
            </w:pPr>
            <w:r>
              <w:rPr>
                <w:rFonts w:ascii="宋体" w:hAnsi="宋体"/>
                <w:color w:val="000000"/>
                <w:sz w:val="18"/>
                <w:szCs w:val="18"/>
              </w:rPr>
              <w:t>表面平整，不得有明显轮迹、推挤、油汀、油包等缺陷</w:t>
            </w: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目测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生产</w:t>
            </w:r>
          </w:p>
          <w:p>
            <w:pPr>
              <w:jc w:val="center"/>
              <w:rPr>
                <w:rFonts w:ascii="Times New Roman" w:hAnsi="Times New Roman"/>
                <w:color w:val="000000"/>
                <w:sz w:val="18"/>
                <w:szCs w:val="18"/>
              </w:rPr>
            </w:pPr>
            <w:r>
              <w:rPr>
                <w:rFonts w:ascii="宋体" w:hAnsi="宋体"/>
                <w:color w:val="000000"/>
                <w:sz w:val="18"/>
                <w:szCs w:val="18"/>
              </w:rPr>
              <w:t>拌和</w:t>
            </w:r>
          </w:p>
          <w:p>
            <w:pPr>
              <w:jc w:val="center"/>
              <w:rPr>
                <w:rFonts w:ascii="Times New Roman" w:hAnsi="Times New Roman"/>
                <w:color w:val="000000"/>
                <w:sz w:val="18"/>
                <w:szCs w:val="18"/>
              </w:rPr>
            </w:pPr>
            <w:r>
              <w:rPr>
                <w:rFonts w:ascii="宋体" w:hAnsi="宋体"/>
                <w:color w:val="000000"/>
                <w:sz w:val="18"/>
                <w:szCs w:val="18"/>
              </w:rPr>
              <w:t>温度</w:t>
            </w: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沥青、集料</w:t>
            </w:r>
          </w:p>
          <w:p>
            <w:pPr>
              <w:jc w:val="center"/>
              <w:rPr>
                <w:rFonts w:ascii="Times New Roman" w:hAnsi="Times New Roman"/>
                <w:color w:val="000000"/>
                <w:sz w:val="18"/>
                <w:szCs w:val="18"/>
              </w:rPr>
            </w:pPr>
            <w:r>
              <w:rPr>
                <w:rFonts w:ascii="宋体" w:hAnsi="宋体"/>
                <w:color w:val="000000"/>
                <w:sz w:val="18"/>
                <w:szCs w:val="18"/>
              </w:rPr>
              <w:t>加热温度</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逐盘检测评定</w:t>
            </w:r>
          </w:p>
        </w:tc>
        <w:tc>
          <w:tcPr>
            <w:tcW w:w="2761"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本文件</w:t>
            </w:r>
            <w:r>
              <w:rPr>
                <w:rFonts w:ascii="宋体" w:hAnsi="宋体"/>
                <w:sz w:val="18"/>
                <w:szCs w:val="18"/>
              </w:rPr>
              <w:t>表</w:t>
            </w:r>
            <w:r>
              <w:rPr>
                <w:rFonts w:hint="eastAsia" w:ascii="Times New Roman" w:hAnsi="Times New Roman"/>
                <w:sz w:val="18"/>
                <w:szCs w:val="18"/>
              </w:rPr>
              <w:t>8</w:t>
            </w:r>
            <w:r>
              <w:rPr>
                <w:rFonts w:ascii="宋体" w:hAnsi="宋体"/>
                <w:sz w:val="18"/>
                <w:szCs w:val="18"/>
              </w:rPr>
              <w:t>规定</w:t>
            </w:r>
          </w:p>
        </w:tc>
        <w:tc>
          <w:tcPr>
            <w:tcW w:w="1873" w:type="dxa"/>
            <w:tcBorders>
              <w:top w:val="single" w:color="auto" w:sz="4" w:space="0"/>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宋体" w:hAnsi="宋体"/>
                <w:color w:val="000000"/>
                <w:sz w:val="18"/>
                <w:szCs w:val="18"/>
              </w:rPr>
              <w:t>传感器自动检测、显示并打印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混合料出厂温度</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逐车检测评定</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T0981</w:t>
            </w:r>
            <w:r>
              <w:rPr>
                <w:rFonts w:ascii="宋体" w:hAnsi="宋体"/>
                <w:color w:val="000000"/>
                <w:sz w:val="18"/>
                <w:szCs w:val="18"/>
              </w:rPr>
              <w:t>温度计实测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施工</w:t>
            </w:r>
          </w:p>
          <w:p>
            <w:pPr>
              <w:jc w:val="center"/>
              <w:rPr>
                <w:rFonts w:ascii="Times New Roman" w:hAnsi="Times New Roman"/>
                <w:color w:val="000000"/>
                <w:sz w:val="18"/>
                <w:szCs w:val="18"/>
              </w:rPr>
            </w:pPr>
            <w:r>
              <w:rPr>
                <w:rFonts w:ascii="宋体" w:hAnsi="宋体"/>
                <w:color w:val="000000"/>
                <w:sz w:val="18"/>
                <w:szCs w:val="18"/>
              </w:rPr>
              <w:t>温度</w:t>
            </w:r>
          </w:p>
        </w:tc>
        <w:tc>
          <w:tcPr>
            <w:tcW w:w="1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摊铺温度</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hint="eastAsia"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873" w:type="dxa"/>
            <w:vMerge w:val="restart"/>
            <w:tcBorders>
              <w:top w:val="single" w:color="auto" w:sz="4" w:space="0"/>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T0981</w:t>
            </w:r>
            <w:r>
              <w:rPr>
                <w:rFonts w:ascii="宋体" w:hAnsi="宋体"/>
                <w:color w:val="000000"/>
                <w:sz w:val="18"/>
                <w:szCs w:val="18"/>
              </w:rPr>
              <w:t>温度计实测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初压开始温度</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873" w:type="dxa"/>
            <w:vMerge w:val="continue"/>
            <w:tcBorders>
              <w:top w:val="single" w:color="auto" w:sz="4" w:space="0"/>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碾压终了路表温度</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宋体" w:hAnsi="宋体"/>
                <w:color w:val="000000"/>
                <w:sz w:val="18"/>
                <w:szCs w:val="18"/>
              </w:rPr>
              <w:t>红外线测温仪实测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06" w:type="dxa"/>
            <w:gridSpan w:val="2"/>
            <w:vMerge w:val="restart"/>
            <w:tcBorders>
              <w:top w:val="nil"/>
              <w:left w:val="single" w:color="auto" w:sz="8" w:space="0"/>
              <w:bottom w:val="single" w:color="auto" w:sz="4" w:space="0"/>
              <w:right w:val="single" w:color="auto" w:sz="4" w:space="0"/>
            </w:tcBorders>
            <w:vAlign w:val="center"/>
          </w:tcPr>
          <w:p>
            <w:pPr>
              <w:rPr>
                <w:rFonts w:ascii="Times New Roman" w:hAnsi="Times New Roman"/>
                <w:color w:val="000000"/>
                <w:sz w:val="18"/>
                <w:szCs w:val="18"/>
              </w:rPr>
            </w:pPr>
            <w:r>
              <w:rPr>
                <w:rFonts w:ascii="宋体" w:hAnsi="宋体"/>
                <w:color w:val="000000"/>
                <w:sz w:val="18"/>
                <w:szCs w:val="18"/>
              </w:rPr>
              <w:t>矿料级配</w:t>
            </w:r>
            <w:r>
              <w:rPr>
                <w:rFonts w:hint="eastAsia" w:ascii="宋体" w:hAnsi="宋体"/>
                <w:color w:val="000000"/>
                <w:sz w:val="18"/>
                <w:szCs w:val="18"/>
              </w:rPr>
              <w:t>，</w:t>
            </w:r>
            <w:r>
              <w:rPr>
                <w:rFonts w:ascii="宋体" w:hAnsi="宋体"/>
                <w:color w:val="000000"/>
                <w:sz w:val="18"/>
                <w:szCs w:val="18"/>
              </w:rPr>
              <w:t>与标准级配的差</w:t>
            </w:r>
          </w:p>
        </w:tc>
        <w:tc>
          <w:tcPr>
            <w:tcW w:w="1993" w:type="dxa"/>
            <w:tcBorders>
              <w:top w:val="single" w:color="auto" w:sz="8"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0.075mm</w:t>
            </w:r>
          </w:p>
        </w:tc>
        <w:tc>
          <w:tcPr>
            <w:tcW w:w="1933" w:type="dxa"/>
            <w:vMerge w:val="restart"/>
            <w:tcBorders>
              <w:top w:val="nil"/>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逐盘在线检查</w:t>
            </w:r>
          </w:p>
        </w:tc>
        <w:tc>
          <w:tcPr>
            <w:tcW w:w="2761"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1873" w:type="dxa"/>
            <w:vMerge w:val="restart"/>
            <w:tcBorders>
              <w:top w:val="nil"/>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宋体" w:hAnsi="宋体"/>
                <w:color w:val="000000"/>
                <w:sz w:val="18"/>
                <w:szCs w:val="18"/>
              </w:rPr>
              <w:t>计算机采集数据计算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≤2.36mm</w:t>
            </w:r>
          </w:p>
        </w:tc>
        <w:tc>
          <w:tcPr>
            <w:tcW w:w="193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1873" w:type="dxa"/>
            <w:vMerge w:val="continue"/>
            <w:tcBorders>
              <w:top w:val="nil"/>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≥4.75mm</w:t>
            </w:r>
          </w:p>
        </w:tc>
        <w:tc>
          <w:tcPr>
            <w:tcW w:w="193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1873" w:type="dxa"/>
            <w:vMerge w:val="continue"/>
            <w:tcBorders>
              <w:top w:val="nil"/>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0.075mm</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每台拌和机每天</w:t>
            </w:r>
            <w:r>
              <w:rPr>
                <w:rFonts w:ascii="Times New Roman" w:hAnsi="Times New Roman"/>
                <w:color w:val="000000"/>
                <w:sz w:val="18"/>
                <w:szCs w:val="18"/>
              </w:rPr>
              <w:t>1~2</w:t>
            </w:r>
            <w:r>
              <w:rPr>
                <w:rFonts w:ascii="宋体" w:hAnsi="宋体"/>
                <w:color w:val="000000"/>
                <w:sz w:val="18"/>
                <w:szCs w:val="18"/>
              </w:rPr>
              <w:t>次，以</w:t>
            </w:r>
            <w:r>
              <w:rPr>
                <w:rFonts w:ascii="Times New Roman" w:hAnsi="Times New Roman"/>
                <w:color w:val="000000"/>
                <w:sz w:val="18"/>
                <w:szCs w:val="18"/>
              </w:rPr>
              <w:t>2</w:t>
            </w:r>
            <w:r>
              <w:rPr>
                <w:rFonts w:ascii="宋体" w:hAnsi="宋体"/>
                <w:color w:val="000000"/>
                <w:sz w:val="18"/>
                <w:szCs w:val="18"/>
              </w:rPr>
              <w:t>个试样的平均值评定</w:t>
            </w: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1873" w:type="dxa"/>
            <w:vMerge w:val="restart"/>
            <w:tcBorders>
              <w:top w:val="single" w:color="auto" w:sz="4" w:space="0"/>
              <w:left w:val="single" w:color="auto" w:sz="4" w:space="0"/>
              <w:bottom w:val="single" w:color="auto" w:sz="4" w:space="0"/>
              <w:right w:val="single" w:color="auto" w:sz="8" w:space="0"/>
            </w:tcBorders>
            <w:vAlign w:val="center"/>
          </w:tcPr>
          <w:p>
            <w:pPr>
              <w:jc w:val="left"/>
              <w:rPr>
                <w:rFonts w:ascii="Times New Roman" w:hAnsi="Times New Roman"/>
                <w:color w:val="000000"/>
                <w:sz w:val="18"/>
                <w:szCs w:val="18"/>
              </w:rPr>
            </w:pPr>
            <w:r>
              <w:rPr>
                <w:rFonts w:ascii="Times New Roman" w:hAnsi="Times New Roman"/>
                <w:sz w:val="18"/>
                <w:szCs w:val="18"/>
              </w:rPr>
              <w:t xml:space="preserve">JTG E20: </w:t>
            </w:r>
            <w:r>
              <w:rPr>
                <w:rFonts w:ascii="Times New Roman" w:hAnsi="Times New Roman"/>
                <w:color w:val="000000"/>
                <w:sz w:val="18"/>
                <w:szCs w:val="18"/>
              </w:rPr>
              <w:t>T0725</w:t>
            </w:r>
          </w:p>
          <w:p>
            <w:pPr>
              <w:jc w:val="left"/>
              <w:rPr>
                <w:rFonts w:ascii="Times New Roman" w:hAnsi="Times New Roman"/>
                <w:color w:val="000000"/>
                <w:sz w:val="18"/>
                <w:szCs w:val="18"/>
              </w:rPr>
            </w:pPr>
            <w:r>
              <w:rPr>
                <w:rFonts w:ascii="宋体" w:hAnsi="宋体"/>
                <w:color w:val="000000"/>
                <w:sz w:val="18"/>
                <w:szCs w:val="18"/>
              </w:rPr>
              <w:t>抽提后矿料筛分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≤2.36mm</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≥4.75mm</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99" w:type="dxa"/>
            <w:gridSpan w:val="3"/>
            <w:vMerge w:val="restart"/>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油石比，</w:t>
            </w:r>
          </w:p>
          <w:p>
            <w:pPr>
              <w:jc w:val="center"/>
              <w:rPr>
                <w:rFonts w:ascii="Times New Roman" w:hAnsi="Times New Roman"/>
                <w:color w:val="000000"/>
                <w:sz w:val="18"/>
                <w:szCs w:val="18"/>
              </w:rPr>
            </w:pPr>
            <w:r>
              <w:rPr>
                <w:rFonts w:ascii="宋体" w:hAnsi="宋体"/>
                <w:color w:val="000000"/>
                <w:sz w:val="18"/>
                <w:szCs w:val="18"/>
              </w:rPr>
              <w:t>与</w:t>
            </w:r>
            <w:r>
              <w:rPr>
                <w:rFonts w:hint="eastAsia" w:ascii="宋体" w:hAnsi="宋体"/>
                <w:color w:val="000000"/>
                <w:sz w:val="18"/>
                <w:szCs w:val="18"/>
              </w:rPr>
              <w:t>标准</w:t>
            </w:r>
            <w:r>
              <w:rPr>
                <w:rFonts w:ascii="宋体" w:hAnsi="宋体"/>
                <w:color w:val="000000"/>
                <w:sz w:val="18"/>
                <w:szCs w:val="18"/>
              </w:rPr>
              <w:t>配合比的差</w:t>
            </w: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逐盘在线检查</w:t>
            </w: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±0.2%</w:t>
            </w: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计算机采集数据计算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13"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3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每台拌和机每天</w:t>
            </w:r>
            <w:r>
              <w:rPr>
                <w:rFonts w:ascii="Times New Roman" w:hAnsi="Times New Roman"/>
                <w:color w:val="000000"/>
                <w:sz w:val="18"/>
                <w:szCs w:val="18"/>
              </w:rPr>
              <w:t>1~2</w:t>
            </w:r>
            <w:r>
              <w:rPr>
                <w:rFonts w:ascii="宋体" w:hAnsi="宋体"/>
                <w:color w:val="000000"/>
                <w:sz w:val="18"/>
                <w:szCs w:val="18"/>
              </w:rPr>
              <w:t>次，以</w:t>
            </w:r>
            <w:r>
              <w:rPr>
                <w:rFonts w:ascii="Times New Roman" w:hAnsi="Times New Roman"/>
                <w:color w:val="000000"/>
                <w:sz w:val="18"/>
                <w:szCs w:val="18"/>
              </w:rPr>
              <w:t>2</w:t>
            </w:r>
            <w:r>
              <w:rPr>
                <w:rFonts w:ascii="宋体" w:hAnsi="宋体"/>
                <w:color w:val="000000"/>
                <w:sz w:val="18"/>
                <w:szCs w:val="18"/>
              </w:rPr>
              <w:t>个试样的平均值评定</w:t>
            </w: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±0.2%</w:t>
            </w: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Times New Roman" w:hAnsi="Times New Roman"/>
                <w:sz w:val="18"/>
                <w:szCs w:val="18"/>
              </w:rPr>
              <w:t xml:space="preserve">JTG E20: </w:t>
            </w:r>
            <w:r>
              <w:rPr>
                <w:rFonts w:ascii="Times New Roman" w:hAnsi="Times New Roman"/>
                <w:color w:val="000000"/>
                <w:sz w:val="18"/>
                <w:szCs w:val="18"/>
              </w:rPr>
              <w:t>T0722</w:t>
            </w:r>
            <w:r>
              <w:rPr>
                <w:rFonts w:ascii="宋体" w:hAnsi="宋体"/>
                <w:color w:val="000000"/>
                <w:sz w:val="18"/>
                <w:szCs w:val="18"/>
              </w:rPr>
              <w:t>抽提法，或</w:t>
            </w:r>
            <w:r>
              <w:rPr>
                <w:rFonts w:ascii="Times New Roman" w:hAnsi="Times New Roman"/>
                <w:color w:val="000000"/>
                <w:sz w:val="18"/>
                <w:szCs w:val="18"/>
              </w:rPr>
              <w:t>T0735</w:t>
            </w:r>
            <w:r>
              <w:rPr>
                <w:rFonts w:ascii="宋体" w:hAnsi="宋体"/>
                <w:color w:val="000000"/>
                <w:sz w:val="18"/>
                <w:szCs w:val="18"/>
              </w:rPr>
              <w:t>燃烧法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 w:val="18"/>
                <w:szCs w:val="18"/>
              </w:rPr>
            </w:pPr>
            <w:r>
              <w:rPr>
                <w:rFonts w:ascii="宋体" w:hAnsi="宋体"/>
                <w:color w:val="000000"/>
                <w:sz w:val="18"/>
                <w:szCs w:val="18"/>
              </w:rPr>
              <w:t>马歇尔</w:t>
            </w:r>
          </w:p>
          <w:p>
            <w:pPr>
              <w:jc w:val="center"/>
              <w:rPr>
                <w:rFonts w:ascii="Times New Roman" w:hAnsi="Times New Roman"/>
                <w:color w:val="000000"/>
                <w:sz w:val="18"/>
                <w:szCs w:val="18"/>
              </w:rPr>
            </w:pPr>
            <w:r>
              <w:rPr>
                <w:rFonts w:ascii="宋体" w:hAnsi="宋体"/>
                <w:color w:val="000000"/>
                <w:sz w:val="18"/>
                <w:szCs w:val="18"/>
              </w:rPr>
              <w:t>试验</w:t>
            </w: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连通空隙率</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每天一次</w:t>
            </w:r>
          </w:p>
        </w:tc>
        <w:tc>
          <w:tcPr>
            <w:tcW w:w="2761"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w:t>
            </w:r>
            <w:r>
              <w:rPr>
                <w:rFonts w:hint="eastAsia" w:ascii="宋体" w:hAnsi="宋体"/>
                <w:color w:val="auto"/>
                <w:sz w:val="18"/>
                <w:szCs w:val="18"/>
              </w:rPr>
              <w:t>件</w:t>
            </w:r>
            <w:r>
              <w:rPr>
                <w:rFonts w:ascii="宋体" w:hAnsi="宋体"/>
                <w:color w:val="auto"/>
                <w:sz w:val="18"/>
                <w:szCs w:val="18"/>
              </w:rPr>
              <w:t>表</w:t>
            </w:r>
            <w:r>
              <w:rPr>
                <w:rFonts w:ascii="Times New Roman" w:hAnsi="Times New Roman"/>
                <w:color w:val="auto"/>
                <w:sz w:val="18"/>
                <w:szCs w:val="18"/>
              </w:rPr>
              <w:t>6</w:t>
            </w:r>
            <w:r>
              <w:rPr>
                <w:rFonts w:ascii="宋体" w:hAnsi="宋体"/>
                <w:color w:val="auto"/>
                <w:sz w:val="18"/>
                <w:szCs w:val="18"/>
              </w:rPr>
              <w:t>规</w:t>
            </w:r>
            <w:r>
              <w:rPr>
                <w:rFonts w:ascii="宋体" w:hAnsi="宋体"/>
                <w:sz w:val="18"/>
                <w:szCs w:val="18"/>
              </w:rPr>
              <w:t>定</w:t>
            </w: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hint="eastAsia" w:ascii="宋体" w:hAnsi="宋体"/>
                <w:sz w:val="18"/>
                <w:szCs w:val="18"/>
              </w:rPr>
              <w:t>本文件</w:t>
            </w:r>
            <w:r>
              <w:rPr>
                <w:rFonts w:ascii="宋体" w:hAnsi="宋体"/>
                <w:sz w:val="18"/>
                <w:szCs w:val="18"/>
              </w:rPr>
              <w:t>附录</w:t>
            </w:r>
            <w:r>
              <w:rPr>
                <w:rFonts w:ascii="Times New Roman" w:hAnsi="Times New Roman"/>
                <w:sz w:val="18"/>
                <w:szCs w:val="18"/>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马歇尔稳定度</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JTG E20</w:t>
            </w:r>
            <w:r>
              <w:rPr>
                <w:rFonts w:ascii="Times New Roman" w:hAnsi="Times New Roman"/>
                <w:sz w:val="18"/>
                <w:szCs w:val="18"/>
              </w:rPr>
              <w:t xml:space="preserve">: </w:t>
            </w:r>
            <w:r>
              <w:rPr>
                <w:rFonts w:ascii="Times New Roman" w:hAnsi="Times New Roman"/>
                <w:color w:val="000000"/>
                <w:sz w:val="18"/>
                <w:szCs w:val="18"/>
              </w:rPr>
              <w:t>T0709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99" w:type="dxa"/>
            <w:gridSpan w:val="3"/>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pacing w:val="-20"/>
                <w:sz w:val="18"/>
                <w:szCs w:val="18"/>
              </w:rPr>
              <w:t>平整度（</w:t>
            </w:r>
            <w:r>
              <w:rPr>
                <w:rFonts w:ascii="宋体" w:hAnsi="宋体"/>
                <w:color w:val="000000"/>
                <w:kern w:val="0"/>
                <w:sz w:val="18"/>
                <w:szCs w:val="18"/>
              </w:rPr>
              <w:t>最大间隙</w:t>
            </w:r>
            <w:r>
              <w:rPr>
                <w:rFonts w:ascii="宋体" w:hAnsi="宋体"/>
                <w:color w:val="000000"/>
                <w:spacing w:val="-20"/>
                <w:sz w:val="18"/>
                <w:szCs w:val="18"/>
              </w:rPr>
              <w:t>）</w:t>
            </w:r>
          </w:p>
        </w:tc>
        <w:tc>
          <w:tcPr>
            <w:tcW w:w="1933"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olor w:val="000000"/>
                <w:sz w:val="18"/>
                <w:szCs w:val="18"/>
              </w:rPr>
            </w:pPr>
            <w:r>
              <w:rPr>
                <w:rFonts w:ascii="宋体" w:hAnsi="宋体"/>
                <w:color w:val="000000"/>
                <w:kern w:val="0"/>
                <w:sz w:val="18"/>
                <w:szCs w:val="18"/>
              </w:rPr>
              <w:t>每</w:t>
            </w:r>
            <w:r>
              <w:rPr>
                <w:rFonts w:ascii="Times New Roman" w:hAnsi="Times New Roman"/>
                <w:color w:val="000000"/>
                <w:kern w:val="0"/>
                <w:sz w:val="18"/>
                <w:szCs w:val="18"/>
              </w:rPr>
              <w:t>200m</w:t>
            </w:r>
            <w:r>
              <w:rPr>
                <w:rFonts w:ascii="宋体" w:hAnsi="宋体"/>
                <w:color w:val="000000"/>
                <w:sz w:val="18"/>
                <w:szCs w:val="18"/>
              </w:rPr>
              <w:t>测</w:t>
            </w:r>
            <w:r>
              <w:rPr>
                <w:rFonts w:ascii="Times New Roman" w:hAnsi="Times New Roman"/>
                <w:color w:val="000000"/>
                <w:kern w:val="0"/>
                <w:sz w:val="18"/>
                <w:szCs w:val="18"/>
              </w:rPr>
              <w:t>2</w:t>
            </w:r>
            <w:r>
              <w:rPr>
                <w:rFonts w:ascii="宋体" w:hAnsi="宋体"/>
                <w:color w:val="000000"/>
                <w:kern w:val="0"/>
                <w:sz w:val="18"/>
                <w:szCs w:val="18"/>
              </w:rPr>
              <w:t>处，每处连续测量</w:t>
            </w:r>
            <w:r>
              <w:rPr>
                <w:rFonts w:ascii="Times New Roman" w:hAnsi="Times New Roman"/>
                <w:color w:val="000000"/>
                <w:kern w:val="0"/>
                <w:sz w:val="18"/>
                <w:szCs w:val="18"/>
              </w:rPr>
              <w:t>10</w:t>
            </w:r>
            <w:r>
              <w:rPr>
                <w:rFonts w:ascii="宋体" w:hAnsi="宋体"/>
                <w:color w:val="000000"/>
                <w:kern w:val="0"/>
                <w:sz w:val="18"/>
                <w:szCs w:val="18"/>
              </w:rPr>
              <w:t>尺</w:t>
            </w:r>
          </w:p>
        </w:tc>
        <w:tc>
          <w:tcPr>
            <w:tcW w:w="27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kern w:val="0"/>
                <w:sz w:val="18"/>
                <w:szCs w:val="18"/>
              </w:rPr>
              <w:t>≤5mm</w:t>
            </w:r>
          </w:p>
        </w:tc>
        <w:tc>
          <w:tcPr>
            <w:tcW w:w="1873"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78" w:type="dxa"/>
            <w:vMerge w:val="restart"/>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厚度</w:t>
            </w:r>
          </w:p>
        </w:tc>
        <w:tc>
          <w:tcPr>
            <w:tcW w:w="2121"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均值</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kern w:val="0"/>
                <w:sz w:val="18"/>
                <w:szCs w:val="18"/>
              </w:rPr>
            </w:pPr>
            <w:r>
              <w:rPr>
                <w:rFonts w:ascii="宋体" w:hAnsi="宋体"/>
                <w:color w:val="000000"/>
                <w:sz w:val="18"/>
                <w:szCs w:val="18"/>
              </w:rPr>
              <w:t>每</w:t>
            </w:r>
            <w:r>
              <w:rPr>
                <w:rFonts w:ascii="Times New Roman" w:hAnsi="Times New Roman"/>
                <w:color w:val="000000"/>
                <w:kern w:val="0"/>
                <w:sz w:val="18"/>
                <w:szCs w:val="18"/>
              </w:rPr>
              <w:t>5000m</w:t>
            </w:r>
            <w:r>
              <w:rPr>
                <w:rFonts w:ascii="Times New Roman" w:hAnsi="Times New Roman"/>
                <w:color w:val="000000"/>
                <w:kern w:val="0"/>
                <w:sz w:val="18"/>
                <w:szCs w:val="18"/>
                <w:vertAlign w:val="superscript"/>
              </w:rPr>
              <w:t>2</w:t>
            </w:r>
            <w:r>
              <w:rPr>
                <w:rFonts w:ascii="宋体" w:hAnsi="宋体"/>
                <w:color w:val="000000"/>
                <w:sz w:val="18"/>
                <w:szCs w:val="18"/>
              </w:rPr>
              <w:t>测</w:t>
            </w:r>
            <w:r>
              <w:rPr>
                <w:rFonts w:ascii="Times New Roman" w:hAnsi="Times New Roman"/>
                <w:color w:val="000000"/>
                <w:kern w:val="0"/>
                <w:sz w:val="18"/>
                <w:szCs w:val="18"/>
              </w:rPr>
              <w:t>3</w:t>
            </w:r>
            <w:r>
              <w:rPr>
                <w:rFonts w:ascii="宋体" w:hAnsi="宋体"/>
                <w:color w:val="000000"/>
                <w:sz w:val="18"/>
                <w:szCs w:val="18"/>
              </w:rPr>
              <w:t>点</w:t>
            </w:r>
            <w:r>
              <w:rPr>
                <w:rFonts w:ascii="宋体" w:hAnsi="宋体"/>
                <w:color w:val="000000"/>
                <w:kern w:val="0"/>
                <w:sz w:val="18"/>
                <w:szCs w:val="18"/>
              </w:rPr>
              <w:t>，</w:t>
            </w:r>
          </w:p>
          <w:p>
            <w:pPr>
              <w:jc w:val="left"/>
              <w:rPr>
                <w:rFonts w:ascii="Times New Roman" w:hAnsi="Times New Roman"/>
                <w:color w:val="000000"/>
                <w:sz w:val="18"/>
                <w:szCs w:val="18"/>
              </w:rPr>
            </w:pPr>
            <w:r>
              <w:rPr>
                <w:rFonts w:ascii="宋体" w:hAnsi="宋体"/>
                <w:color w:val="000000"/>
                <w:sz w:val="18"/>
                <w:szCs w:val="18"/>
              </w:rPr>
              <w:t>不足</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时测</w:t>
            </w:r>
            <w:r>
              <w:rPr>
                <w:rFonts w:ascii="Times New Roman" w:hAnsi="Times New Roman"/>
                <w:color w:val="000000"/>
                <w:sz w:val="18"/>
                <w:szCs w:val="18"/>
              </w:rPr>
              <w:t>2</w:t>
            </w:r>
            <w:r>
              <w:rPr>
                <w:rFonts w:ascii="宋体" w:hAnsi="宋体"/>
                <w:color w:val="000000"/>
                <w:sz w:val="18"/>
                <w:szCs w:val="18"/>
              </w:rPr>
              <w:t>点</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设计厚度</w:t>
            </w:r>
            <w:r>
              <w:rPr>
                <w:rFonts w:ascii="Times New Roman" w:hAnsi="Times New Roman"/>
                <w:sz w:val="18"/>
                <w:szCs w:val="18"/>
              </w:rPr>
              <w:t>60mm</w:t>
            </w:r>
            <w:r>
              <w:rPr>
                <w:rFonts w:ascii="宋体" w:hAnsi="宋体"/>
                <w:sz w:val="18"/>
                <w:szCs w:val="18"/>
              </w:rPr>
              <w:t>及以下</w:t>
            </w:r>
          </w:p>
        </w:tc>
        <w:tc>
          <w:tcPr>
            <w:tcW w:w="116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+10~-3mm</w:t>
            </w:r>
          </w:p>
        </w:tc>
        <w:tc>
          <w:tcPr>
            <w:tcW w:w="1873" w:type="dxa"/>
            <w:vMerge w:val="restart"/>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99" w:type="dxa"/>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4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93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设计厚度</w:t>
            </w:r>
            <w:r>
              <w:rPr>
                <w:rFonts w:ascii="Times New Roman" w:hAnsi="Times New Roman"/>
                <w:sz w:val="18"/>
                <w:szCs w:val="18"/>
              </w:rPr>
              <w:t>60mm</w:t>
            </w:r>
            <w:r>
              <w:rPr>
                <w:rFonts w:ascii="宋体" w:hAnsi="宋体"/>
                <w:sz w:val="18"/>
                <w:szCs w:val="18"/>
              </w:rPr>
              <w:t>以上（不含</w:t>
            </w:r>
            <w:r>
              <w:rPr>
                <w:rFonts w:ascii="Times New Roman" w:hAnsi="Times New Roman"/>
                <w:sz w:val="18"/>
                <w:szCs w:val="18"/>
              </w:rPr>
              <w:t>60mm</w:t>
            </w:r>
            <w:r>
              <w:rPr>
                <w:rFonts w:ascii="宋体" w:hAnsi="宋体"/>
                <w:sz w:val="18"/>
                <w:szCs w:val="18"/>
              </w:rPr>
              <w:t>）</w:t>
            </w:r>
          </w:p>
        </w:tc>
        <w:tc>
          <w:tcPr>
            <w:tcW w:w="116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+10~-5mm</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pPr>
              <w:widowControl/>
              <w:adjustRightInd/>
              <w:spacing w:line="240" w:lineRule="auto"/>
              <w:jc w:val="left"/>
              <w:rPr>
                <w:rFonts w:ascii="Times New Roman" w:hAnsi="Times New Roman"/>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99" w:type="dxa"/>
            <w:gridSpan w:val="3"/>
            <w:tcBorders>
              <w:top w:val="single" w:color="auto" w:sz="4" w:space="0"/>
              <w:left w:val="single" w:color="auto" w:sz="8" w:space="0"/>
              <w:bottom w:val="single" w:color="auto" w:sz="8" w:space="0"/>
              <w:right w:val="single" w:color="auto" w:sz="4" w:space="0"/>
            </w:tcBorders>
            <w:vAlign w:val="center"/>
          </w:tcPr>
          <w:p>
            <w:pPr>
              <w:jc w:val="center"/>
              <w:rPr>
                <w:rFonts w:ascii="Times New Roman" w:hAnsi="Times New Roman"/>
                <w:color w:val="000000"/>
                <w:sz w:val="18"/>
                <w:szCs w:val="18"/>
                <w:highlight w:val="yellow"/>
              </w:rPr>
            </w:pPr>
            <w:r>
              <w:rPr>
                <w:rFonts w:ascii="宋体" w:hAnsi="宋体"/>
                <w:color w:val="000000"/>
                <w:sz w:val="18"/>
                <w:szCs w:val="18"/>
              </w:rPr>
              <w:t>路面芯样连通空隙率</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8" w:space="0"/>
              <w:right w:val="single" w:color="auto" w:sz="4" w:space="0"/>
            </w:tcBorders>
            <w:vAlign w:val="center"/>
          </w:tcPr>
          <w:p>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本文件</w:t>
            </w:r>
            <w:r>
              <w:rPr>
                <w:rFonts w:ascii="宋体" w:hAnsi="宋体"/>
                <w:sz w:val="18"/>
                <w:szCs w:val="18"/>
              </w:rPr>
              <w:t>表</w:t>
            </w:r>
            <w:r>
              <w:rPr>
                <w:rFonts w:hint="eastAsia" w:ascii="Times New Roman" w:hAnsi="Times New Roman"/>
                <w:sz w:val="18"/>
                <w:szCs w:val="18"/>
              </w:rPr>
              <w:t>7</w:t>
            </w:r>
            <w:r>
              <w:rPr>
                <w:rFonts w:ascii="宋体" w:hAnsi="宋体"/>
                <w:sz w:val="18"/>
                <w:szCs w:val="18"/>
              </w:rPr>
              <w:t>规定</w:t>
            </w:r>
          </w:p>
        </w:tc>
        <w:tc>
          <w:tcPr>
            <w:tcW w:w="1873" w:type="dxa"/>
            <w:tcBorders>
              <w:top w:val="single" w:color="auto" w:sz="4" w:space="0"/>
              <w:left w:val="single" w:color="auto" w:sz="4" w:space="0"/>
              <w:bottom w:val="single" w:color="auto" w:sz="8"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取芯后按附录</w:t>
            </w:r>
            <w:r>
              <w:rPr>
                <w:rFonts w:ascii="Times New Roman" w:hAnsi="Times New Roman"/>
                <w:color w:val="000000"/>
                <w:sz w:val="18"/>
                <w:szCs w:val="18"/>
              </w:rPr>
              <w:t>A</w:t>
            </w:r>
          </w:p>
        </w:tc>
      </w:tr>
    </w:tbl>
    <w:p>
      <w:pPr>
        <w:pStyle w:val="56"/>
        <w:ind w:firstLine="420"/>
      </w:pPr>
    </w:p>
    <w:p>
      <w:pPr>
        <w:pStyle w:val="65"/>
        <w:spacing w:before="156" w:after="156"/>
        <w:rPr>
          <w:rFonts w:ascii="宋体" w:hAnsi="宋体" w:eastAsia="宋体"/>
        </w:rPr>
      </w:pPr>
      <w:r>
        <w:rPr>
          <w:rFonts w:hint="eastAsia" w:ascii="宋体" w:hAnsi="宋体" w:eastAsia="宋体"/>
        </w:rPr>
        <w:t>施工过程中针对拌制好的灌浆料浆体的检查项目、检查频率、质量要求和试验方法应符合表1</w:t>
      </w:r>
      <w:r>
        <w:rPr>
          <w:rFonts w:hint="eastAsia" w:ascii="宋体" w:hAnsi="宋体" w:eastAsia="宋体"/>
          <w:lang w:val="en-US" w:eastAsia="zh-CN"/>
        </w:rPr>
        <w:t>1</w:t>
      </w:r>
      <w:r>
        <w:rPr>
          <w:rFonts w:hint="eastAsia" w:ascii="宋体" w:hAnsi="宋体" w:eastAsia="宋体"/>
        </w:rPr>
        <w:t>的规定。</w:t>
      </w:r>
    </w:p>
    <w:p>
      <w:pPr>
        <w:pStyle w:val="112"/>
        <w:numPr>
          <w:ilvl w:val="0"/>
          <w:numId w:val="0"/>
        </w:numPr>
        <w:spacing w:before="156" w:after="156"/>
        <w:ind w:leftChars="0"/>
        <w:jc w:val="center"/>
      </w:pPr>
      <w:r>
        <w:rPr>
          <w:rFonts w:hint="eastAsia"/>
          <w:lang w:val="en-US" w:eastAsia="zh-CN"/>
        </w:rPr>
        <w:t xml:space="preserve">表11 </w:t>
      </w:r>
      <w:r>
        <w:rPr>
          <w:rFonts w:hint="eastAsia"/>
        </w:rPr>
        <w:t>灌浆施工过程中对灌浆料浆体质量检查要求</w:t>
      </w:r>
    </w:p>
    <w:tbl>
      <w:tblPr>
        <w:tblStyle w:val="26"/>
        <w:tblW w:w="81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888"/>
        <w:gridCol w:w="1514"/>
        <w:gridCol w:w="29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798" w:type="dxa"/>
            <w:tcBorders>
              <w:top w:val="single" w:color="auto" w:sz="8" w:space="0"/>
              <w:left w:val="single" w:color="auto" w:sz="8" w:space="0"/>
              <w:bottom w:val="single" w:color="auto" w:sz="8" w:space="0"/>
              <w:right w:val="single" w:color="auto" w:sz="4" w:space="0"/>
            </w:tcBorders>
            <w:vAlign w:val="center"/>
          </w:tcPr>
          <w:p>
            <w:pPr>
              <w:pStyle w:val="231"/>
              <w:spacing w:before="156" w:after="156"/>
              <w:rPr>
                <w:color w:val="000000"/>
                <w:sz w:val="18"/>
                <w:szCs w:val="18"/>
              </w:rPr>
            </w:pPr>
            <w:r>
              <w:rPr>
                <w:rFonts w:ascii="宋体" w:hAnsi="宋体"/>
                <w:color w:val="000000"/>
                <w:sz w:val="18"/>
                <w:szCs w:val="18"/>
              </w:rPr>
              <w:t>检查项目</w:t>
            </w:r>
          </w:p>
        </w:tc>
        <w:tc>
          <w:tcPr>
            <w:tcW w:w="1888" w:type="dxa"/>
            <w:tcBorders>
              <w:top w:val="single" w:color="auto" w:sz="8" w:space="0"/>
              <w:left w:val="single" w:color="auto" w:sz="4" w:space="0"/>
              <w:bottom w:val="single" w:color="auto" w:sz="8" w:space="0"/>
              <w:right w:val="single" w:color="auto" w:sz="4" w:space="0"/>
            </w:tcBorders>
            <w:vAlign w:val="center"/>
          </w:tcPr>
          <w:p>
            <w:pPr>
              <w:pStyle w:val="231"/>
              <w:spacing w:before="120" w:after="120"/>
              <w:rPr>
                <w:color w:val="000000"/>
                <w:sz w:val="18"/>
                <w:szCs w:val="18"/>
              </w:rPr>
            </w:pPr>
            <w:r>
              <w:rPr>
                <w:rFonts w:ascii="宋体" w:hAnsi="宋体"/>
                <w:color w:val="000000"/>
                <w:sz w:val="18"/>
                <w:szCs w:val="18"/>
              </w:rPr>
              <w:t>检查频度</w:t>
            </w:r>
          </w:p>
        </w:tc>
        <w:tc>
          <w:tcPr>
            <w:tcW w:w="1514" w:type="dxa"/>
            <w:tcBorders>
              <w:top w:val="single" w:color="auto" w:sz="8" w:space="0"/>
              <w:left w:val="single" w:color="auto" w:sz="4" w:space="0"/>
              <w:bottom w:val="single" w:color="auto" w:sz="8" w:space="0"/>
              <w:right w:val="single" w:color="auto" w:sz="4" w:space="0"/>
            </w:tcBorders>
            <w:vAlign w:val="center"/>
          </w:tcPr>
          <w:p>
            <w:pPr>
              <w:pStyle w:val="231"/>
              <w:spacing w:before="120" w:after="120"/>
              <w:rPr>
                <w:color w:val="000000"/>
                <w:sz w:val="18"/>
                <w:szCs w:val="18"/>
              </w:rPr>
            </w:pPr>
            <w:r>
              <w:rPr>
                <w:rFonts w:ascii="宋体" w:hAnsi="宋体"/>
                <w:color w:val="000000"/>
                <w:sz w:val="18"/>
                <w:szCs w:val="18"/>
              </w:rPr>
              <w:t>质量要求</w:t>
            </w:r>
          </w:p>
        </w:tc>
        <w:tc>
          <w:tcPr>
            <w:tcW w:w="2977" w:type="dxa"/>
            <w:tcBorders>
              <w:top w:val="single" w:color="auto" w:sz="8" w:space="0"/>
              <w:left w:val="single" w:color="auto" w:sz="4" w:space="0"/>
              <w:bottom w:val="single" w:color="auto" w:sz="8" w:space="0"/>
              <w:right w:val="single" w:color="auto" w:sz="8" w:space="0"/>
            </w:tcBorders>
            <w:vAlign w:val="center"/>
          </w:tcPr>
          <w:p>
            <w:pPr>
              <w:pStyle w:val="231"/>
              <w:spacing w:before="120" w:after="120"/>
              <w:rPr>
                <w:color w:val="000000"/>
                <w:sz w:val="18"/>
                <w:szCs w:val="18"/>
              </w:rPr>
            </w:pPr>
            <w:r>
              <w:rPr>
                <w:rFonts w:ascii="宋体" w:hAnsi="宋体"/>
                <w:color w:val="000000"/>
                <w:sz w:val="18"/>
                <w:szCs w:val="18"/>
              </w:rP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8" w:type="dxa"/>
            <w:tcBorders>
              <w:top w:val="single" w:color="auto" w:sz="8" w:space="0"/>
              <w:left w:val="single" w:color="auto" w:sz="8" w:space="0"/>
              <w:bottom w:val="single" w:color="auto" w:sz="4" w:space="0"/>
              <w:right w:val="single" w:color="auto" w:sz="4" w:space="0"/>
            </w:tcBorders>
            <w:vAlign w:val="center"/>
          </w:tcPr>
          <w:p>
            <w:pPr>
              <w:pStyle w:val="231"/>
              <w:spacing w:before="120" w:after="120"/>
              <w:rPr>
                <w:color w:val="000000"/>
                <w:sz w:val="18"/>
                <w:szCs w:val="18"/>
              </w:rPr>
            </w:pPr>
            <w:r>
              <w:rPr>
                <w:rFonts w:ascii="宋体" w:hAnsi="宋体"/>
                <w:color w:val="000000"/>
                <w:sz w:val="18"/>
                <w:szCs w:val="18"/>
              </w:rPr>
              <w:t>浆体初始流动度</w:t>
            </w:r>
          </w:p>
        </w:tc>
        <w:tc>
          <w:tcPr>
            <w:tcW w:w="1888" w:type="dxa"/>
            <w:tcBorders>
              <w:top w:val="single" w:color="auto" w:sz="8" w:space="0"/>
              <w:left w:val="single" w:color="auto" w:sz="4" w:space="0"/>
              <w:bottom w:val="single" w:color="auto" w:sz="4" w:space="0"/>
              <w:right w:val="single" w:color="auto" w:sz="4" w:space="0"/>
            </w:tcBorders>
            <w:vAlign w:val="center"/>
          </w:tcPr>
          <w:p>
            <w:pPr>
              <w:pStyle w:val="231"/>
              <w:spacing w:before="120" w:after="120"/>
              <w:rPr>
                <w:color w:val="000000"/>
                <w:sz w:val="18"/>
                <w:szCs w:val="18"/>
              </w:rPr>
            </w:pPr>
            <w:r>
              <w:rPr>
                <w:rFonts w:ascii="宋体" w:hAnsi="宋体"/>
                <w:color w:val="000000"/>
                <w:sz w:val="18"/>
                <w:szCs w:val="18"/>
              </w:rPr>
              <w:t>每个路段</w:t>
            </w:r>
            <w:r>
              <w:rPr>
                <w:color w:val="000000"/>
                <w:sz w:val="18"/>
                <w:szCs w:val="18"/>
              </w:rPr>
              <w:t>2</w:t>
            </w:r>
            <w:r>
              <w:rPr>
                <w:rFonts w:ascii="宋体" w:hAnsi="宋体"/>
                <w:color w:val="000000"/>
                <w:sz w:val="18"/>
                <w:szCs w:val="18"/>
              </w:rPr>
              <w:t>次</w:t>
            </w:r>
          </w:p>
        </w:tc>
        <w:tc>
          <w:tcPr>
            <w:tcW w:w="1514" w:type="dxa"/>
            <w:tcBorders>
              <w:top w:val="single" w:color="auto" w:sz="8" w:space="0"/>
              <w:left w:val="single" w:color="auto" w:sz="4" w:space="0"/>
              <w:bottom w:val="single" w:color="auto" w:sz="4" w:space="0"/>
              <w:right w:val="single" w:color="auto" w:sz="4" w:space="0"/>
            </w:tcBorders>
            <w:vAlign w:val="center"/>
          </w:tcPr>
          <w:p>
            <w:pPr>
              <w:pStyle w:val="231"/>
              <w:spacing w:before="120" w:after="120"/>
              <w:rPr>
                <w:color w:val="000000"/>
                <w:sz w:val="18"/>
                <w:szCs w:val="18"/>
              </w:rPr>
            </w:pPr>
            <w:r>
              <w:rPr>
                <w:color w:val="000000"/>
                <w:sz w:val="18"/>
                <w:szCs w:val="18"/>
              </w:rPr>
              <w:t>10</w:t>
            </w:r>
            <w:r>
              <w:rPr>
                <w:rFonts w:ascii="宋体" w:hAnsi="宋体"/>
                <w:color w:val="000000"/>
                <w:sz w:val="18"/>
                <w:szCs w:val="18"/>
              </w:rPr>
              <w:t>～</w:t>
            </w:r>
            <w:r>
              <w:rPr>
                <w:color w:val="000000"/>
                <w:sz w:val="18"/>
                <w:szCs w:val="18"/>
              </w:rPr>
              <w:t>14 s</w:t>
            </w:r>
          </w:p>
        </w:tc>
        <w:tc>
          <w:tcPr>
            <w:tcW w:w="2977" w:type="dxa"/>
            <w:tcBorders>
              <w:top w:val="single" w:color="auto" w:sz="8" w:space="0"/>
              <w:left w:val="single" w:color="auto" w:sz="4" w:space="0"/>
              <w:bottom w:val="single" w:color="auto" w:sz="4" w:space="0"/>
              <w:right w:val="single" w:color="auto" w:sz="8" w:space="0"/>
            </w:tcBorders>
            <w:vAlign w:val="center"/>
          </w:tcPr>
          <w:p>
            <w:pPr>
              <w:pStyle w:val="231"/>
              <w:spacing w:before="120" w:after="120"/>
              <w:rPr>
                <w:color w:val="000000"/>
                <w:sz w:val="18"/>
                <w:szCs w:val="18"/>
              </w:rPr>
            </w:pPr>
            <w:r>
              <w:rPr>
                <w:color w:val="000000"/>
                <w:sz w:val="18"/>
                <w:szCs w:val="18"/>
              </w:rPr>
              <w:t>JTG E30</w:t>
            </w:r>
            <w:r>
              <w:rPr>
                <w:sz w:val="18"/>
                <w:szCs w:val="18"/>
              </w:rPr>
              <w:t xml:space="preserve">: </w:t>
            </w:r>
            <w:r>
              <w:rPr>
                <w:color w:val="000000"/>
                <w:sz w:val="18"/>
                <w:szCs w:val="18"/>
              </w:rPr>
              <w:t>T0508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8" w:type="dxa"/>
            <w:tcBorders>
              <w:top w:val="single" w:color="auto" w:sz="4" w:space="0"/>
              <w:left w:val="single" w:color="auto" w:sz="8" w:space="0"/>
              <w:bottom w:val="single" w:color="auto" w:sz="8" w:space="0"/>
              <w:right w:val="single" w:color="auto" w:sz="4" w:space="0"/>
            </w:tcBorders>
            <w:vAlign w:val="center"/>
          </w:tcPr>
          <w:p>
            <w:pPr>
              <w:pStyle w:val="231"/>
              <w:rPr>
                <w:color w:val="000000"/>
                <w:sz w:val="18"/>
                <w:szCs w:val="18"/>
              </w:rPr>
            </w:pPr>
            <w:r>
              <w:rPr>
                <w:rFonts w:ascii="宋体" w:hAnsi="宋体"/>
                <w:color w:val="000000"/>
                <w:sz w:val="18"/>
                <w:szCs w:val="18"/>
              </w:rPr>
              <w:t>开放交通时</w:t>
            </w:r>
          </w:p>
          <w:p>
            <w:pPr>
              <w:pStyle w:val="231"/>
              <w:rPr>
                <w:color w:val="000000"/>
                <w:sz w:val="18"/>
                <w:szCs w:val="18"/>
              </w:rPr>
            </w:pPr>
            <w:r>
              <w:rPr>
                <w:rFonts w:ascii="宋体" w:hAnsi="宋体"/>
                <w:color w:val="000000"/>
                <w:sz w:val="18"/>
                <w:szCs w:val="18"/>
              </w:rPr>
              <w:t>浆体抗压强度</w:t>
            </w:r>
          </w:p>
        </w:tc>
        <w:tc>
          <w:tcPr>
            <w:tcW w:w="1888" w:type="dxa"/>
            <w:tcBorders>
              <w:top w:val="single" w:color="auto" w:sz="4" w:space="0"/>
              <w:left w:val="single" w:color="auto" w:sz="4" w:space="0"/>
              <w:bottom w:val="single" w:color="auto" w:sz="8" w:space="0"/>
              <w:right w:val="single" w:color="auto" w:sz="4" w:space="0"/>
            </w:tcBorders>
            <w:vAlign w:val="center"/>
          </w:tcPr>
          <w:p>
            <w:pPr>
              <w:pStyle w:val="231"/>
              <w:rPr>
                <w:color w:val="000000"/>
                <w:sz w:val="18"/>
                <w:szCs w:val="18"/>
              </w:rPr>
            </w:pPr>
            <w:r>
              <w:rPr>
                <w:rFonts w:ascii="宋体" w:hAnsi="宋体"/>
                <w:color w:val="000000"/>
                <w:sz w:val="18"/>
                <w:szCs w:val="18"/>
              </w:rPr>
              <w:t>每个路段</w:t>
            </w:r>
            <w:r>
              <w:rPr>
                <w:color w:val="000000"/>
                <w:sz w:val="18"/>
                <w:szCs w:val="18"/>
              </w:rPr>
              <w:t>1</w:t>
            </w:r>
            <w:r>
              <w:rPr>
                <w:rFonts w:ascii="宋体" w:hAnsi="宋体"/>
                <w:color w:val="000000"/>
                <w:sz w:val="18"/>
                <w:szCs w:val="18"/>
              </w:rPr>
              <w:t>次</w:t>
            </w:r>
          </w:p>
        </w:tc>
        <w:tc>
          <w:tcPr>
            <w:tcW w:w="1514" w:type="dxa"/>
            <w:tcBorders>
              <w:top w:val="single" w:color="auto" w:sz="4" w:space="0"/>
              <w:left w:val="single" w:color="auto" w:sz="4" w:space="0"/>
              <w:bottom w:val="single" w:color="auto" w:sz="8" w:space="0"/>
              <w:right w:val="single" w:color="auto" w:sz="4" w:space="0"/>
            </w:tcBorders>
            <w:vAlign w:val="center"/>
          </w:tcPr>
          <w:p>
            <w:pPr>
              <w:pStyle w:val="231"/>
              <w:rPr>
                <w:color w:val="000000"/>
                <w:sz w:val="18"/>
                <w:szCs w:val="18"/>
              </w:rPr>
            </w:pPr>
            <w:r>
              <w:rPr>
                <w:color w:val="000000"/>
                <w:sz w:val="18"/>
                <w:szCs w:val="18"/>
              </w:rPr>
              <w:t>≥10 MPa</w:t>
            </w:r>
          </w:p>
        </w:tc>
        <w:tc>
          <w:tcPr>
            <w:tcW w:w="2977" w:type="dxa"/>
            <w:tcBorders>
              <w:top w:val="single" w:color="auto" w:sz="4" w:space="0"/>
              <w:left w:val="single" w:color="auto" w:sz="4" w:space="0"/>
              <w:bottom w:val="single" w:color="auto" w:sz="8" w:space="0"/>
              <w:right w:val="single" w:color="auto" w:sz="8" w:space="0"/>
            </w:tcBorders>
            <w:vAlign w:val="center"/>
          </w:tcPr>
          <w:p>
            <w:pPr>
              <w:pStyle w:val="231"/>
              <w:rPr>
                <w:color w:val="000000"/>
                <w:sz w:val="18"/>
                <w:szCs w:val="18"/>
              </w:rPr>
            </w:pPr>
            <w:r>
              <w:rPr>
                <w:color w:val="000000"/>
                <w:sz w:val="18"/>
                <w:szCs w:val="18"/>
              </w:rPr>
              <w:t>JTG E30</w:t>
            </w:r>
            <w:r>
              <w:rPr>
                <w:sz w:val="18"/>
                <w:szCs w:val="18"/>
              </w:rPr>
              <w:t xml:space="preserve">: </w:t>
            </w:r>
            <w:r>
              <w:rPr>
                <w:color w:val="000000"/>
                <w:sz w:val="18"/>
                <w:szCs w:val="18"/>
              </w:rPr>
              <w:t>T0506</w:t>
            </w:r>
          </w:p>
          <w:p>
            <w:pPr>
              <w:pStyle w:val="231"/>
              <w:rPr>
                <w:color w:val="000000"/>
                <w:sz w:val="18"/>
                <w:szCs w:val="18"/>
              </w:rPr>
            </w:pPr>
            <w:r>
              <w:rPr>
                <w:rFonts w:ascii="宋体" w:hAnsi="宋体"/>
                <w:color w:val="000000"/>
                <w:sz w:val="18"/>
                <w:szCs w:val="18"/>
              </w:rPr>
              <w:t>（同条件养护成型砂浆试件）</w:t>
            </w:r>
          </w:p>
        </w:tc>
      </w:tr>
    </w:tbl>
    <w:p>
      <w:pPr>
        <w:pStyle w:val="105"/>
        <w:spacing w:before="156" w:after="156"/>
      </w:pPr>
      <w:r>
        <w:rPr>
          <w:rFonts w:hint="eastAsia"/>
        </w:rPr>
        <w:t>交工验收阶段的工程质量检查与验收</w:t>
      </w:r>
    </w:p>
    <w:p>
      <w:pPr>
        <w:pStyle w:val="65"/>
        <w:spacing w:before="156" w:after="156"/>
        <w:rPr>
          <w:rFonts w:ascii="宋体" w:hAnsi="宋体" w:eastAsia="宋体"/>
        </w:rPr>
      </w:pPr>
      <w:r>
        <w:rPr>
          <w:rFonts w:hint="eastAsia" w:ascii="宋体" w:hAnsi="宋体" w:eastAsia="宋体"/>
        </w:rPr>
        <w:t>外观检查</w:t>
      </w:r>
    </w:p>
    <w:p>
      <w:pPr>
        <w:pStyle w:val="109"/>
        <w:numPr>
          <w:ilvl w:val="1"/>
          <w:numId w:val="35"/>
        </w:numPr>
      </w:pPr>
      <w:r>
        <w:rPr>
          <w:rFonts w:hint="eastAsia"/>
        </w:rPr>
        <w:t>表面应平整、坚实，灌浆饱满，路表露石纹理清晰，无浮浆。</w:t>
      </w:r>
    </w:p>
    <w:p>
      <w:pPr>
        <w:pStyle w:val="109"/>
        <w:numPr>
          <w:ilvl w:val="1"/>
          <w:numId w:val="35"/>
        </w:numPr>
      </w:pPr>
      <w:r>
        <w:rPr>
          <w:rFonts w:hint="eastAsia"/>
        </w:rPr>
        <w:t>无明显轮迹、裂缝、推移、坑槽等缺陷。</w:t>
      </w:r>
    </w:p>
    <w:p>
      <w:pPr>
        <w:pStyle w:val="65"/>
        <w:spacing w:before="156" w:after="156"/>
        <w:rPr>
          <w:rFonts w:ascii="宋体" w:hAnsi="宋体" w:eastAsia="宋体"/>
        </w:rPr>
      </w:pPr>
      <w:r>
        <w:rPr>
          <w:rFonts w:hint="eastAsia" w:ascii="宋体" w:hAnsi="宋体" w:eastAsia="宋体"/>
        </w:rPr>
        <w:t>灌注式半柔性复合面层质量检验</w:t>
      </w:r>
    </w:p>
    <w:p>
      <w:pPr>
        <w:pStyle w:val="109"/>
      </w:pPr>
      <w:r>
        <w:rPr>
          <w:rFonts w:hint="eastAsia"/>
        </w:rPr>
        <w:t>灌注式半柔性复合面层质量检验的主控项目应符合表1</w:t>
      </w:r>
      <w:r>
        <w:rPr>
          <w:rFonts w:hint="eastAsia"/>
          <w:lang w:val="en-US" w:eastAsia="zh-CN"/>
        </w:rPr>
        <w:t>2</w:t>
      </w:r>
      <w:r>
        <w:rPr>
          <w:rFonts w:hint="eastAsia"/>
        </w:rPr>
        <w:t>规定。</w:t>
      </w:r>
    </w:p>
    <w:p>
      <w:pPr>
        <w:pStyle w:val="112"/>
        <w:numPr>
          <w:ilvl w:val="0"/>
          <w:numId w:val="0"/>
        </w:numPr>
        <w:spacing w:before="156" w:after="156"/>
        <w:ind w:leftChars="0"/>
        <w:jc w:val="center"/>
      </w:pPr>
      <w:r>
        <w:rPr>
          <w:rFonts w:hint="eastAsia"/>
          <w:lang w:val="en-US" w:eastAsia="zh-CN"/>
        </w:rPr>
        <w:t xml:space="preserve">表12 </w:t>
      </w:r>
      <w:r>
        <w:rPr>
          <w:rFonts w:hint="eastAsia"/>
        </w:rPr>
        <w:t>灌注式半柔性复合沥青路面主控项目质量检查与验收要求</w:t>
      </w:r>
    </w:p>
    <w:tbl>
      <w:tblPr>
        <w:tblStyle w:val="26"/>
        <w:tblW w:w="9186" w:type="dxa"/>
        <w:tblInd w:w="-17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843"/>
        <w:gridCol w:w="3402"/>
        <w:gridCol w:w="18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tcBorders>
              <w:top w:val="single" w:color="auto" w:sz="8" w:space="0"/>
              <w:left w:val="single" w:color="auto" w:sz="8" w:space="0"/>
              <w:bottom w:val="single" w:color="auto" w:sz="4"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检查项目</w:t>
            </w:r>
          </w:p>
        </w:tc>
        <w:tc>
          <w:tcPr>
            <w:tcW w:w="1843" w:type="dxa"/>
            <w:tcBorders>
              <w:top w:val="single" w:color="auto" w:sz="8" w:space="0"/>
              <w:left w:val="single" w:color="auto" w:sz="4" w:space="0"/>
              <w:bottom w:val="single" w:color="auto" w:sz="4"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检查频度</w:t>
            </w:r>
          </w:p>
        </w:tc>
        <w:tc>
          <w:tcPr>
            <w:tcW w:w="3402" w:type="dxa"/>
            <w:tcBorders>
              <w:top w:val="single" w:color="auto" w:sz="8" w:space="0"/>
              <w:left w:val="single" w:color="auto" w:sz="4" w:space="0"/>
              <w:bottom w:val="single" w:color="auto" w:sz="8" w:space="0"/>
              <w:right w:val="single" w:color="auto" w:sz="4" w:space="0"/>
            </w:tcBorders>
            <w:vAlign w:val="center"/>
          </w:tcPr>
          <w:p>
            <w:pPr>
              <w:jc w:val="center"/>
              <w:rPr>
                <w:rFonts w:ascii="Times New Roman" w:hAnsi="Times New Roman"/>
                <w:color w:val="000000"/>
                <w:sz w:val="18"/>
                <w:szCs w:val="18"/>
              </w:rPr>
            </w:pPr>
            <w:r>
              <w:rPr>
                <w:rFonts w:hint="eastAsia" w:ascii="宋体" w:hAnsi="宋体"/>
                <w:color w:val="000000"/>
                <w:sz w:val="18"/>
                <w:szCs w:val="18"/>
              </w:rPr>
              <w:t>技术要求</w:t>
            </w:r>
          </w:p>
        </w:tc>
        <w:tc>
          <w:tcPr>
            <w:tcW w:w="1814" w:type="dxa"/>
            <w:tcBorders>
              <w:top w:val="single" w:color="auto" w:sz="8" w:space="0"/>
              <w:left w:val="single" w:color="auto" w:sz="4" w:space="0"/>
              <w:bottom w:val="single" w:color="auto" w:sz="4" w:space="0"/>
              <w:right w:val="single" w:color="auto" w:sz="8" w:space="0"/>
            </w:tcBorders>
            <w:vAlign w:val="center"/>
          </w:tcPr>
          <w:p>
            <w:pPr>
              <w:ind w:firstLine="480"/>
              <w:rPr>
                <w:rFonts w:ascii="Times New Roman" w:hAnsi="Times New Roman"/>
                <w:color w:val="000000"/>
                <w:sz w:val="18"/>
                <w:szCs w:val="18"/>
              </w:rPr>
            </w:pPr>
            <w:r>
              <w:rPr>
                <w:rFonts w:ascii="宋体" w:hAnsi="宋体"/>
                <w:color w:val="00000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tcBorders>
              <w:top w:val="single" w:color="auto" w:sz="8" w:space="0"/>
              <w:left w:val="single" w:color="auto" w:sz="8" w:space="0"/>
              <w:bottom w:val="single" w:color="auto" w:sz="4"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面层厚度</w:t>
            </w:r>
          </w:p>
        </w:tc>
        <w:tc>
          <w:tcPr>
            <w:tcW w:w="1843"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w:t>
            </w:r>
          </w:p>
        </w:tc>
        <w:tc>
          <w:tcPr>
            <w:tcW w:w="3402" w:type="dxa"/>
            <w:tcBorders>
              <w:top w:val="single" w:color="auto" w:sz="8" w:space="0"/>
              <w:left w:val="single" w:color="auto" w:sz="4" w:space="0"/>
              <w:bottom w:val="single" w:color="auto" w:sz="4"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当设计厚度为</w:t>
            </w:r>
            <w:r>
              <w:rPr>
                <w:rFonts w:ascii="Times New Roman" w:hAnsi="Times New Roman"/>
                <w:color w:val="000000"/>
                <w:sz w:val="18"/>
                <w:szCs w:val="18"/>
              </w:rPr>
              <w:t>60mm</w:t>
            </w:r>
            <w:r>
              <w:rPr>
                <w:rFonts w:ascii="宋体" w:hAnsi="宋体"/>
                <w:color w:val="000000"/>
                <w:sz w:val="18"/>
                <w:szCs w:val="18"/>
              </w:rPr>
              <w:t>及以下时，允许偏差为</w:t>
            </w:r>
            <w:r>
              <w:rPr>
                <w:rFonts w:ascii="Times New Roman" w:hAnsi="Times New Roman"/>
                <w:color w:val="000000"/>
                <w:sz w:val="18"/>
                <w:szCs w:val="18"/>
              </w:rPr>
              <w:t>+10~-3mm</w:t>
            </w:r>
            <w:r>
              <w:rPr>
                <w:rFonts w:ascii="宋体" w:hAnsi="宋体"/>
                <w:color w:val="000000"/>
                <w:sz w:val="18"/>
                <w:szCs w:val="18"/>
              </w:rPr>
              <w:t>；当设计厚度大于</w:t>
            </w:r>
            <w:r>
              <w:rPr>
                <w:rFonts w:ascii="Times New Roman" w:hAnsi="Times New Roman"/>
                <w:color w:val="000000"/>
                <w:sz w:val="18"/>
                <w:szCs w:val="18"/>
              </w:rPr>
              <w:t>60mm</w:t>
            </w:r>
            <w:r>
              <w:rPr>
                <w:rFonts w:ascii="宋体" w:hAnsi="宋体"/>
                <w:color w:val="000000"/>
                <w:sz w:val="18"/>
                <w:szCs w:val="18"/>
              </w:rPr>
              <w:t>时，允许偏差为</w:t>
            </w:r>
            <w:r>
              <w:rPr>
                <w:rFonts w:ascii="Times New Roman" w:hAnsi="Times New Roman"/>
                <w:color w:val="000000"/>
                <w:sz w:val="18"/>
                <w:szCs w:val="18"/>
              </w:rPr>
              <w:t>+10~-5mm</w:t>
            </w:r>
          </w:p>
        </w:tc>
        <w:tc>
          <w:tcPr>
            <w:tcW w:w="1814" w:type="dxa"/>
            <w:tcBorders>
              <w:top w:val="single" w:color="auto" w:sz="8" w:space="0"/>
              <w:left w:val="single" w:color="auto" w:sz="4" w:space="0"/>
              <w:bottom w:val="single" w:color="auto" w:sz="4" w:space="0"/>
              <w:right w:val="single" w:color="auto" w:sz="8"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JTG 3450:T0912</w:t>
            </w:r>
          </w:p>
          <w:p>
            <w:pPr>
              <w:jc w:val="center"/>
              <w:rPr>
                <w:rFonts w:ascii="Times New Roman" w:hAnsi="Times New Roman"/>
                <w:color w:val="000000"/>
                <w:sz w:val="18"/>
                <w:szCs w:val="18"/>
              </w:rPr>
            </w:pPr>
            <w:r>
              <w:rPr>
                <w:rFonts w:ascii="宋体" w:hAnsi="宋体"/>
                <w:color w:val="000000"/>
                <w:sz w:val="18"/>
                <w:szCs w:val="18"/>
              </w:rPr>
              <w:t>钻芯法，用钢尺量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tcBorders>
              <w:top w:val="single" w:color="auto" w:sz="4" w:space="0"/>
              <w:left w:val="single" w:color="auto" w:sz="8" w:space="0"/>
              <w:bottom w:val="single" w:color="auto" w:sz="8"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灌浆饱满度</w:t>
            </w:r>
          </w:p>
        </w:tc>
        <w:tc>
          <w:tcPr>
            <w:tcW w:w="1843" w:type="dxa"/>
            <w:tcBorders>
              <w:top w:val="single" w:color="auto" w:sz="4" w:space="0"/>
              <w:left w:val="single" w:color="auto" w:sz="4" w:space="0"/>
              <w:bottom w:val="single" w:color="auto" w:sz="8" w:space="0"/>
              <w:right w:val="single" w:color="auto" w:sz="4" w:space="0"/>
            </w:tcBorders>
            <w:vAlign w:val="center"/>
          </w:tcPr>
          <w:p>
            <w:pP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处，不足</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时测</w:t>
            </w:r>
            <w:r>
              <w:rPr>
                <w:rFonts w:ascii="Times New Roman" w:hAnsi="Times New Roman"/>
                <w:color w:val="000000"/>
                <w:sz w:val="18"/>
                <w:szCs w:val="18"/>
              </w:rPr>
              <w:t>2</w:t>
            </w:r>
            <w:r>
              <w:rPr>
                <w:rFonts w:ascii="宋体" w:hAnsi="宋体"/>
                <w:color w:val="000000"/>
                <w:sz w:val="18"/>
                <w:szCs w:val="18"/>
              </w:rPr>
              <w:t>点，必要时可根据需要增加检验点</w:t>
            </w:r>
          </w:p>
        </w:tc>
        <w:tc>
          <w:tcPr>
            <w:tcW w:w="3402" w:type="dxa"/>
            <w:tcBorders>
              <w:top w:val="single" w:color="auto" w:sz="4" w:space="0"/>
              <w:left w:val="single" w:color="auto" w:sz="4" w:space="0"/>
              <w:bottom w:val="single" w:color="auto" w:sz="8" w:space="0"/>
              <w:right w:val="single" w:color="auto" w:sz="4" w:space="0"/>
            </w:tcBorders>
            <w:vAlign w:val="center"/>
          </w:tcPr>
          <w:p>
            <w:pPr>
              <w:ind w:firstLine="480"/>
              <w:jc w:val="center"/>
              <w:rPr>
                <w:rFonts w:ascii="Times New Roman" w:hAnsi="Times New Roman"/>
                <w:color w:val="000000"/>
                <w:sz w:val="18"/>
                <w:szCs w:val="18"/>
              </w:rPr>
            </w:pPr>
            <w:r>
              <w:rPr>
                <w:rFonts w:ascii="Times New Roman" w:hAnsi="Times New Roman"/>
                <w:color w:val="000000"/>
                <w:sz w:val="18"/>
                <w:szCs w:val="18"/>
              </w:rPr>
              <w:t>≥85%</w:t>
            </w:r>
          </w:p>
        </w:tc>
        <w:tc>
          <w:tcPr>
            <w:tcW w:w="1814" w:type="dxa"/>
            <w:tcBorders>
              <w:top w:val="single" w:color="auto" w:sz="4" w:space="0"/>
              <w:left w:val="single" w:color="auto" w:sz="4" w:space="0"/>
              <w:bottom w:val="single" w:color="auto" w:sz="8" w:space="0"/>
              <w:right w:val="single" w:color="auto" w:sz="8" w:space="0"/>
            </w:tcBorders>
            <w:vAlign w:val="center"/>
          </w:tcPr>
          <w:p>
            <w:pPr>
              <w:jc w:val="center"/>
              <w:rPr>
                <w:rFonts w:ascii="Times New Roman" w:hAnsi="Times New Roman"/>
                <w:color w:val="000000"/>
                <w:sz w:val="18"/>
                <w:szCs w:val="18"/>
              </w:rPr>
            </w:pPr>
            <w:r>
              <w:rPr>
                <w:rFonts w:hint="eastAsia" w:ascii="宋体" w:hAnsi="宋体"/>
                <w:color w:val="000000"/>
                <w:sz w:val="18"/>
                <w:szCs w:val="18"/>
              </w:rPr>
              <w:t>本文件</w:t>
            </w:r>
            <w:r>
              <w:rPr>
                <w:rFonts w:ascii="宋体" w:hAnsi="宋体"/>
                <w:color w:val="000000"/>
                <w:sz w:val="18"/>
                <w:szCs w:val="18"/>
              </w:rPr>
              <w:t>附录</w:t>
            </w:r>
            <w:r>
              <w:rPr>
                <w:rFonts w:ascii="Times New Roman" w:hAnsi="Times New Roman"/>
                <w:color w:val="000000"/>
                <w:sz w:val="18"/>
                <w:szCs w:val="18"/>
              </w:rPr>
              <w:t>D</w:t>
            </w:r>
          </w:p>
        </w:tc>
      </w:tr>
    </w:tbl>
    <w:p>
      <w:pPr>
        <w:pStyle w:val="109"/>
      </w:pPr>
      <w:r>
        <w:rPr>
          <w:rFonts w:hint="eastAsia"/>
        </w:rPr>
        <w:t>灌注式半柔性复合面层质量检验的一般项目应表1</w:t>
      </w:r>
      <w:r>
        <w:rPr>
          <w:rFonts w:hint="eastAsia"/>
          <w:lang w:val="en-US" w:eastAsia="zh-CN"/>
        </w:rPr>
        <w:t>3</w:t>
      </w:r>
      <w:r>
        <w:rPr>
          <w:rFonts w:hint="eastAsia"/>
        </w:rPr>
        <w:t>的规定。</w:t>
      </w:r>
    </w:p>
    <w:p>
      <w:pPr>
        <w:pStyle w:val="112"/>
        <w:numPr>
          <w:ilvl w:val="0"/>
          <w:numId w:val="0"/>
        </w:numPr>
        <w:spacing w:before="156" w:after="156"/>
        <w:ind w:leftChars="0"/>
        <w:jc w:val="center"/>
      </w:pPr>
      <w:r>
        <w:rPr>
          <w:rFonts w:hint="eastAsia"/>
          <w:lang w:val="en-US" w:eastAsia="zh-CN"/>
        </w:rPr>
        <w:t xml:space="preserve">表13 </w:t>
      </w:r>
      <w:r>
        <w:rPr>
          <w:rFonts w:hint="eastAsia"/>
        </w:rPr>
        <w:t>灌注式半柔性复合面层一般项目质量检查与验收要求</w:t>
      </w:r>
    </w:p>
    <w:tbl>
      <w:tblPr>
        <w:tblStyle w:val="26"/>
        <w:tblW w:w="9186" w:type="dxa"/>
        <w:tblInd w:w="-17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843"/>
        <w:gridCol w:w="1893"/>
        <w:gridCol w:w="1509"/>
        <w:gridCol w:w="18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gridSpan w:val="2"/>
            <w:vMerge w:val="restart"/>
            <w:tcBorders>
              <w:top w:val="single" w:color="auto" w:sz="8" w:space="0"/>
              <w:left w:val="single" w:color="auto" w:sz="8" w:space="0"/>
              <w:right w:val="single" w:color="auto" w:sz="4" w:space="0"/>
            </w:tcBorders>
            <w:vAlign w:val="center"/>
          </w:tcPr>
          <w:p>
            <w:pPr>
              <w:ind w:firstLine="480"/>
              <w:rPr>
                <w:rFonts w:ascii="Times New Roman" w:hAnsi="Times New Roman"/>
                <w:color w:val="000000"/>
                <w:sz w:val="18"/>
                <w:szCs w:val="18"/>
              </w:rPr>
            </w:pPr>
            <w:r>
              <w:rPr>
                <w:rFonts w:ascii="宋体" w:hAnsi="宋体"/>
                <w:color w:val="000000"/>
                <w:sz w:val="18"/>
                <w:szCs w:val="18"/>
              </w:rPr>
              <w:t>检查项目</w:t>
            </w:r>
          </w:p>
        </w:tc>
        <w:tc>
          <w:tcPr>
            <w:tcW w:w="1843" w:type="dxa"/>
            <w:vMerge w:val="restart"/>
            <w:tcBorders>
              <w:top w:val="single" w:color="auto" w:sz="8" w:space="0"/>
              <w:left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检查频度</w:t>
            </w:r>
          </w:p>
        </w:tc>
        <w:tc>
          <w:tcPr>
            <w:tcW w:w="3402" w:type="dxa"/>
            <w:gridSpan w:val="2"/>
            <w:tcBorders>
              <w:top w:val="single" w:color="auto" w:sz="8" w:space="0"/>
              <w:left w:val="single" w:color="auto" w:sz="4" w:space="0"/>
              <w:bottom w:val="single" w:color="auto" w:sz="8"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允许偏差</w:t>
            </w:r>
          </w:p>
        </w:tc>
        <w:tc>
          <w:tcPr>
            <w:tcW w:w="1814" w:type="dxa"/>
            <w:vMerge w:val="restart"/>
            <w:tcBorders>
              <w:top w:val="single" w:color="auto" w:sz="8" w:space="0"/>
              <w:left w:val="single" w:color="auto" w:sz="4" w:space="0"/>
              <w:right w:val="single" w:color="auto" w:sz="8" w:space="0"/>
            </w:tcBorders>
            <w:vAlign w:val="center"/>
          </w:tcPr>
          <w:p>
            <w:pPr>
              <w:jc w:val="center"/>
              <w:rPr>
                <w:rFonts w:ascii="Times New Roman" w:hAnsi="Times New Roman"/>
                <w:color w:val="000000"/>
                <w:sz w:val="18"/>
                <w:szCs w:val="18"/>
              </w:rPr>
            </w:pPr>
            <w:r>
              <w:rPr>
                <w:rFonts w:ascii="宋体" w:hAnsi="宋体"/>
                <w:color w:val="00000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gridSpan w:val="2"/>
            <w:vMerge w:val="continue"/>
            <w:tcBorders>
              <w:left w:val="single" w:color="auto" w:sz="8" w:space="0"/>
              <w:bottom w:val="single" w:color="auto" w:sz="4" w:space="0"/>
              <w:right w:val="single" w:color="auto" w:sz="4" w:space="0"/>
            </w:tcBorders>
            <w:vAlign w:val="center"/>
          </w:tcPr>
          <w:p>
            <w:pPr>
              <w:ind w:firstLine="480"/>
              <w:rPr>
                <w:rFonts w:ascii="宋体" w:hAnsi="宋体"/>
                <w:color w:val="000000"/>
                <w:sz w:val="18"/>
                <w:szCs w:val="18"/>
              </w:rPr>
            </w:pPr>
          </w:p>
        </w:tc>
        <w:tc>
          <w:tcPr>
            <w:tcW w:w="1843" w:type="dxa"/>
            <w:vMerge w:val="continue"/>
            <w:tcBorders>
              <w:left w:val="single" w:color="auto" w:sz="4" w:space="0"/>
              <w:bottom w:val="single" w:color="auto" w:sz="4" w:space="0"/>
              <w:right w:val="single" w:color="auto" w:sz="4" w:space="0"/>
            </w:tcBorders>
            <w:vAlign w:val="center"/>
          </w:tcPr>
          <w:p>
            <w:pPr>
              <w:jc w:val="center"/>
              <w:rPr>
                <w:rFonts w:ascii="宋体" w:hAnsi="宋体"/>
                <w:color w:val="000000"/>
                <w:sz w:val="18"/>
                <w:szCs w:val="18"/>
              </w:rPr>
            </w:pPr>
          </w:p>
        </w:tc>
        <w:tc>
          <w:tcPr>
            <w:tcW w:w="1893" w:type="dxa"/>
            <w:tcBorders>
              <w:top w:val="single" w:color="auto" w:sz="8" w:space="0"/>
              <w:left w:val="single" w:color="auto" w:sz="4" w:space="0"/>
              <w:bottom w:val="single" w:color="auto" w:sz="8" w:space="0"/>
              <w:right w:val="single" w:color="auto"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高速公路、一级公路、城市主干道</w:t>
            </w:r>
          </w:p>
        </w:tc>
        <w:tc>
          <w:tcPr>
            <w:tcW w:w="1509" w:type="dxa"/>
            <w:tcBorders>
              <w:top w:val="single" w:color="auto" w:sz="8" w:space="0"/>
              <w:left w:val="single" w:color="auto" w:sz="4" w:space="0"/>
              <w:bottom w:val="single" w:color="auto" w:sz="8" w:space="0"/>
              <w:right w:val="single" w:color="auto"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其他等级道路</w:t>
            </w:r>
          </w:p>
        </w:tc>
        <w:tc>
          <w:tcPr>
            <w:tcW w:w="1814" w:type="dxa"/>
            <w:vMerge w:val="continue"/>
            <w:tcBorders>
              <w:left w:val="single" w:color="auto" w:sz="4" w:space="0"/>
              <w:bottom w:val="single" w:color="auto" w:sz="4" w:space="0"/>
              <w:right w:val="single" w:color="auto" w:sz="8" w:space="0"/>
            </w:tcBorders>
            <w:vAlign w:val="center"/>
          </w:tcPr>
          <w:p>
            <w:pPr>
              <w:jc w:val="center"/>
              <w:rPr>
                <w:rFonts w:ascii="宋体" w:hAnsi="宋体"/>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8"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马歇尔稳定度</w:t>
            </w:r>
          </w:p>
        </w:tc>
        <w:tc>
          <w:tcPr>
            <w:tcW w:w="1843" w:type="dxa"/>
            <w:tcBorders>
              <w:top w:val="single" w:color="auto" w:sz="8"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highlight w:val="yellow"/>
              </w:rPr>
            </w:pPr>
            <w:r>
              <w:rPr>
                <w:rFonts w:ascii="宋体" w:hAnsi="宋体"/>
                <w:color w:val="000000"/>
                <w:sz w:val="18"/>
                <w:szCs w:val="18"/>
              </w:rPr>
              <w:t>每</w:t>
            </w:r>
            <w:r>
              <w:rPr>
                <w:rFonts w:ascii="Times New Roman" w:hAnsi="Times New Roman"/>
                <w:color w:val="000000"/>
                <w:kern w:val="0"/>
                <w:sz w:val="18"/>
                <w:szCs w:val="18"/>
              </w:rPr>
              <w:t>5000m</w:t>
            </w:r>
            <w:r>
              <w:rPr>
                <w:rFonts w:ascii="Times New Roman" w:hAnsi="Times New Roman"/>
                <w:color w:val="000000"/>
                <w:kern w:val="0"/>
                <w:sz w:val="18"/>
                <w:szCs w:val="18"/>
                <w:vertAlign w:val="superscript"/>
              </w:rPr>
              <w:t>2</w:t>
            </w:r>
            <w:r>
              <w:rPr>
                <w:rFonts w:ascii="宋体" w:hAnsi="宋体"/>
                <w:color w:val="000000"/>
                <w:sz w:val="18"/>
                <w:szCs w:val="18"/>
              </w:rPr>
              <w:t>测</w:t>
            </w:r>
            <w:r>
              <w:rPr>
                <w:rFonts w:ascii="Times New Roman" w:hAnsi="Times New Roman"/>
                <w:color w:val="000000"/>
                <w:kern w:val="0"/>
                <w:sz w:val="18"/>
                <w:szCs w:val="18"/>
              </w:rPr>
              <w:t>3</w:t>
            </w:r>
            <w:r>
              <w:rPr>
                <w:rFonts w:ascii="宋体" w:hAnsi="宋体"/>
                <w:color w:val="000000"/>
                <w:kern w:val="0"/>
                <w:sz w:val="18"/>
                <w:szCs w:val="18"/>
              </w:rPr>
              <w:t>处</w:t>
            </w:r>
          </w:p>
        </w:tc>
        <w:tc>
          <w:tcPr>
            <w:tcW w:w="3402"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≥10 kN</w:t>
            </w:r>
          </w:p>
        </w:tc>
        <w:tc>
          <w:tcPr>
            <w:tcW w:w="1814"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color w:val="000000"/>
                <w:sz w:val="18"/>
                <w:szCs w:val="18"/>
              </w:rPr>
            </w:pPr>
            <w:r>
              <w:rPr>
                <w:rFonts w:ascii="Times New Roman" w:hAnsi="Times New Roman"/>
                <w:color w:val="000000"/>
                <w:sz w:val="18"/>
                <w:szCs w:val="18"/>
              </w:rPr>
              <w:t>JTG E20:T0709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路面构造深度</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200m</w:t>
            </w:r>
            <w:r>
              <w:rPr>
                <w:rFonts w:ascii="宋体" w:hAnsi="宋体"/>
                <w:color w:val="000000"/>
                <w:sz w:val="18"/>
                <w:szCs w:val="18"/>
              </w:rPr>
              <w:t>测</w:t>
            </w:r>
            <w:r>
              <w:rPr>
                <w:rFonts w:ascii="Times New Roman" w:hAnsi="Times New Roman"/>
                <w:color w:val="000000"/>
                <w:sz w:val="18"/>
                <w:szCs w:val="18"/>
              </w:rPr>
              <w:t>2</w:t>
            </w:r>
            <w:r>
              <w:rPr>
                <w:rFonts w:ascii="宋体" w:hAnsi="宋体"/>
                <w:color w:val="000000"/>
                <w:sz w:val="18"/>
                <w:szCs w:val="18"/>
              </w:rPr>
              <w:t>处，每处测</w:t>
            </w:r>
            <w:r>
              <w:rPr>
                <w:rFonts w:ascii="Times New Roman" w:hAnsi="Times New Roman"/>
                <w:color w:val="000000"/>
                <w:sz w:val="18"/>
                <w:szCs w:val="18"/>
              </w:rPr>
              <w:t>3</w:t>
            </w:r>
            <w:r>
              <w:rPr>
                <w:rFonts w:ascii="宋体" w:hAnsi="宋体"/>
                <w:color w:val="000000"/>
                <w:sz w:val="18"/>
                <w:szCs w:val="18"/>
              </w:rPr>
              <w:t>次</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≥0.55 mm</w:t>
            </w:r>
          </w:p>
        </w:tc>
        <w:tc>
          <w:tcPr>
            <w:tcW w:w="1814"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color w:val="000000"/>
                <w:sz w:val="18"/>
                <w:szCs w:val="18"/>
              </w:rPr>
            </w:pPr>
            <w:r>
              <w:rPr>
                <w:rFonts w:ascii="Times New Roman" w:hAnsi="Times New Roman"/>
                <w:color w:val="000000"/>
                <w:sz w:val="18"/>
                <w:szCs w:val="18"/>
              </w:rPr>
              <w:t>JTG 3450: T0961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渗水系数</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r>
              <w:rPr>
                <w:rFonts w:ascii="Times New Roman" w:hAnsi="Times New Roman"/>
                <w:color w:val="000000"/>
                <w:sz w:val="18"/>
                <w:szCs w:val="18"/>
              </w:rPr>
              <w:t>≤30 mL/min</w:t>
            </w:r>
          </w:p>
        </w:tc>
        <w:tc>
          <w:tcPr>
            <w:tcW w:w="1814"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color w:val="000000"/>
                <w:sz w:val="18"/>
                <w:szCs w:val="18"/>
              </w:rPr>
            </w:pPr>
            <w:r>
              <w:rPr>
                <w:rFonts w:ascii="Times New Roman" w:hAnsi="Times New Roman"/>
                <w:color w:val="000000"/>
                <w:sz w:val="18"/>
                <w:szCs w:val="18"/>
              </w:rPr>
              <w:t>JTG 3450: T0971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纵断面高程</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1</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±15mm</w:t>
            </w:r>
          </w:p>
        </w:tc>
        <w:tc>
          <w:tcPr>
            <w:tcW w:w="15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±20mm</w:t>
            </w:r>
          </w:p>
        </w:tc>
        <w:tc>
          <w:tcPr>
            <w:tcW w:w="1814"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中线偏位</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1</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±20mm</w:t>
            </w:r>
          </w:p>
        </w:tc>
        <w:tc>
          <w:tcPr>
            <w:tcW w:w="15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±30mm</w:t>
            </w:r>
          </w:p>
        </w:tc>
        <w:tc>
          <w:tcPr>
            <w:tcW w:w="1814"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横坡度</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2</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±0.3%</w:t>
            </w:r>
          </w:p>
        </w:tc>
        <w:tc>
          <w:tcPr>
            <w:tcW w:w="15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c>
          <w:tcPr>
            <w:tcW w:w="1814"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51" w:type="dxa"/>
            <w:vMerge w:val="restart"/>
            <w:tcBorders>
              <w:top w:val="nil"/>
              <w:left w:val="single" w:color="auto" w:sz="8"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平整度（仅上面层）</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国际平整度指数</w:t>
            </w:r>
            <w:r>
              <w:rPr>
                <w:rFonts w:ascii="Times New Roman" w:hAnsi="Times New Roman"/>
                <w:sz w:val="18"/>
                <w:szCs w:val="18"/>
              </w:rPr>
              <w:t xml:space="preserve"> IRI</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全线连续</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 m/km</w:t>
            </w:r>
          </w:p>
        </w:tc>
        <w:tc>
          <w:tcPr>
            <w:tcW w:w="15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≤4.2 m/km</w:t>
            </w:r>
          </w:p>
        </w:tc>
        <w:tc>
          <w:tcPr>
            <w:tcW w:w="1814"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1" w:type="dxa"/>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标准差</w:t>
            </w:r>
            <w:r>
              <w:rPr>
                <w:rFonts w:ascii="Times New Roman" w:hAnsi="Times New Roman"/>
                <w:sz w:val="18"/>
                <w:szCs w:val="18"/>
              </w:rPr>
              <w:t>σ</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宋体" w:hAnsi="宋体"/>
                <w:sz w:val="18"/>
                <w:szCs w:val="18"/>
              </w:rPr>
              <w:t>全线连续</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≤1.5 mm</w:t>
            </w:r>
          </w:p>
        </w:tc>
        <w:tc>
          <w:tcPr>
            <w:tcW w:w="15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≤2.4 mm</w:t>
            </w:r>
          </w:p>
        </w:tc>
        <w:tc>
          <w:tcPr>
            <w:tcW w:w="1814" w:type="dxa"/>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851" w:type="dxa"/>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276" w:type="dxa"/>
            <w:tcBorders>
              <w:top w:val="single" w:color="auto" w:sz="4" w:space="0"/>
              <w:left w:val="single" w:color="auto" w:sz="4" w:space="0"/>
              <w:bottom w:val="single" w:color="auto" w:sz="8" w:space="0"/>
              <w:right w:val="single" w:color="auto" w:sz="4" w:space="0"/>
            </w:tcBorders>
            <w:vAlign w:val="center"/>
          </w:tcPr>
          <w:p>
            <w:pPr>
              <w:jc w:val="center"/>
              <w:rPr>
                <w:rFonts w:ascii="Times New Roman" w:hAnsi="Times New Roman"/>
                <w:sz w:val="18"/>
                <w:szCs w:val="18"/>
              </w:rPr>
            </w:pPr>
            <w:r>
              <w:rPr>
                <w:rFonts w:ascii="宋体" w:hAnsi="宋体"/>
                <w:sz w:val="18"/>
                <w:szCs w:val="18"/>
              </w:rPr>
              <w:t>最大间隙</w:t>
            </w:r>
          </w:p>
        </w:tc>
        <w:tc>
          <w:tcPr>
            <w:tcW w:w="1843" w:type="dxa"/>
            <w:tcBorders>
              <w:top w:val="single" w:color="auto" w:sz="4" w:space="0"/>
              <w:left w:val="single" w:color="auto" w:sz="4" w:space="0"/>
              <w:bottom w:val="single" w:color="auto" w:sz="8" w:space="0"/>
              <w:right w:val="single" w:color="auto" w:sz="4" w:space="0"/>
            </w:tcBorders>
            <w:vAlign w:val="center"/>
          </w:tcPr>
          <w:p>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200m</w:t>
            </w:r>
            <w:r>
              <w:rPr>
                <w:rFonts w:ascii="宋体" w:hAnsi="宋体"/>
                <w:sz w:val="18"/>
                <w:szCs w:val="18"/>
              </w:rPr>
              <w:t>测</w:t>
            </w:r>
            <w:r>
              <w:rPr>
                <w:rFonts w:ascii="Times New Roman" w:hAnsi="Times New Roman"/>
                <w:sz w:val="18"/>
                <w:szCs w:val="18"/>
              </w:rPr>
              <w:t>2</w:t>
            </w:r>
            <w:r>
              <w:rPr>
                <w:rFonts w:ascii="宋体" w:hAnsi="宋体"/>
                <w:sz w:val="18"/>
                <w:szCs w:val="18"/>
              </w:rPr>
              <w:t>处，每处连续测量</w:t>
            </w:r>
            <w:r>
              <w:rPr>
                <w:rFonts w:ascii="Times New Roman" w:hAnsi="Times New Roman"/>
                <w:sz w:val="18"/>
                <w:szCs w:val="18"/>
              </w:rPr>
              <w:t>10</w:t>
            </w:r>
            <w:r>
              <w:rPr>
                <w:rFonts w:ascii="宋体" w:hAnsi="宋体"/>
                <w:sz w:val="18"/>
                <w:szCs w:val="18"/>
              </w:rPr>
              <w:t>尺</w:t>
            </w:r>
          </w:p>
        </w:tc>
        <w:tc>
          <w:tcPr>
            <w:tcW w:w="1893" w:type="dxa"/>
            <w:tcBorders>
              <w:top w:val="single" w:color="auto" w:sz="4" w:space="0"/>
              <w:left w:val="single" w:color="auto" w:sz="4" w:space="0"/>
              <w:bottom w:val="single" w:color="auto" w:sz="8"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w:t>
            </w:r>
          </w:p>
        </w:tc>
        <w:tc>
          <w:tcPr>
            <w:tcW w:w="1509" w:type="dxa"/>
            <w:tcBorders>
              <w:top w:val="single" w:color="auto" w:sz="4" w:space="0"/>
              <w:left w:val="single" w:color="auto" w:sz="4" w:space="0"/>
              <w:bottom w:val="single" w:color="auto" w:sz="8"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 mm</w:t>
            </w:r>
          </w:p>
        </w:tc>
        <w:tc>
          <w:tcPr>
            <w:tcW w:w="1814" w:type="dxa"/>
            <w:tcBorders>
              <w:top w:val="single" w:color="auto" w:sz="4" w:space="0"/>
              <w:left w:val="single" w:color="auto" w:sz="4" w:space="0"/>
              <w:bottom w:val="single" w:color="auto" w:sz="8" w:space="0"/>
              <w:right w:val="single" w:color="auto" w:sz="8" w:space="0"/>
            </w:tcBorders>
            <w:vAlign w:val="center"/>
          </w:tcPr>
          <w:p>
            <w:pPr>
              <w:jc w:val="center"/>
              <w:rPr>
                <w:rFonts w:ascii="Times New Roman" w:hAnsi="Times New Roman"/>
                <w:sz w:val="18"/>
                <w:szCs w:val="18"/>
              </w:rPr>
            </w:pPr>
            <w:r>
              <w:rPr>
                <w:rFonts w:ascii="Times New Roman" w:hAnsi="Times New Roman"/>
                <w:sz w:val="18"/>
                <w:szCs w:val="18"/>
              </w:rPr>
              <w:t>JTG 3450: T0931</w:t>
            </w:r>
          </w:p>
        </w:tc>
      </w:tr>
    </w:tbl>
    <w:p>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pPr>
    </w:p>
    <w:bookmarkEnd w:id="22"/>
    <w:p>
      <w:pPr>
        <w:pStyle w:val="198"/>
      </w:pPr>
      <w:bookmarkStart w:id="44" w:name="BookMark5"/>
    </w:p>
    <w:p>
      <w:pPr>
        <w:pStyle w:val="199"/>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pPr>
        <w:pStyle w:val="198"/>
      </w:pPr>
    </w:p>
    <w:p>
      <w:pPr>
        <w:pStyle w:val="199"/>
      </w:pPr>
    </w:p>
    <w:p>
      <w:pPr>
        <w:pStyle w:val="76"/>
        <w:spacing w:after="156"/>
      </w:pPr>
      <w:r>
        <w:br w:type="textWrapping"/>
      </w:r>
      <w:r>
        <w:rPr>
          <w:rFonts w:hint="eastAsia"/>
          <w:highlight w:val="none"/>
        </w:rPr>
        <w:t>（规范性）</w:t>
      </w:r>
      <w:r>
        <w:rPr>
          <w:highlight w:val="none"/>
        </w:rPr>
        <w:br w:type="textWrapping"/>
      </w:r>
      <w:r>
        <w:rPr>
          <w:rFonts w:hint="eastAsia"/>
          <w:highlight w:val="none"/>
        </w:rPr>
        <w:t>连通空隙率测试方法</w:t>
      </w:r>
    </w:p>
    <w:p>
      <w:pPr>
        <w:pStyle w:val="78"/>
        <w:spacing w:before="156" w:after="156"/>
        <w:rPr>
          <w:rFonts w:hint="default" w:ascii="Times New Roman" w:hAnsi="Times New Roman" w:cs="Times New Roman"/>
        </w:rPr>
      </w:pPr>
      <w:r>
        <w:rPr>
          <w:rFonts w:hint="default" w:ascii="Times New Roman" w:hAnsi="Times New Roman" w:cs="Times New Roman"/>
        </w:rPr>
        <w:t>适用范围</w:t>
      </w:r>
    </w:p>
    <w:p>
      <w:pPr>
        <w:pStyle w:val="56"/>
        <w:ind w:firstLine="420"/>
        <w:rPr>
          <w:rFonts w:hint="default" w:ascii="Times New Roman" w:hAnsi="Times New Roman" w:cs="Times New Roman"/>
        </w:rPr>
      </w:pPr>
      <w:r>
        <w:rPr>
          <w:rFonts w:hint="default" w:ascii="Times New Roman" w:hAnsi="Times New Roman" w:cs="Times New Roman"/>
        </w:rPr>
        <w:t>本方法适用于测定大空隙沥青混凝土的连通空隙率。</w:t>
      </w:r>
    </w:p>
    <w:p>
      <w:pPr>
        <w:pStyle w:val="78"/>
        <w:spacing w:before="156" w:after="156"/>
        <w:rPr>
          <w:rFonts w:hint="default" w:ascii="Times New Roman" w:hAnsi="Times New Roman" w:cs="Times New Roman"/>
        </w:rPr>
      </w:pPr>
      <w:r>
        <w:rPr>
          <w:rFonts w:hint="default" w:ascii="Times New Roman" w:hAnsi="Times New Roman" w:cs="Times New Roman"/>
        </w:rPr>
        <w:t>试验仪器</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浸水天平：量程5kg以上，精度小于0.5g；</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金属网篮：网孔5mm，直径与高度均为20cm；</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溢流水箱：使用洁净水，有水位溢流装置，保持试件和网篮浸入水中后水箱内水位恒定；</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试件悬吊装置：天平下方悬吊网篮及试件的装置；</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游标卡尺。</w:t>
      </w:r>
    </w:p>
    <w:p>
      <w:pPr>
        <w:pStyle w:val="78"/>
        <w:spacing w:before="156" w:after="156"/>
        <w:rPr>
          <w:rFonts w:hint="default" w:ascii="Times New Roman" w:hAnsi="Times New Roman" w:cs="Times New Roman"/>
        </w:rPr>
      </w:pPr>
      <w:r>
        <w:rPr>
          <w:rFonts w:hint="default" w:ascii="Times New Roman" w:hAnsi="Times New Roman" w:cs="Times New Roman"/>
        </w:rPr>
        <w:t>方法与步骤</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按照行业标准《公路工程沥青及沥青混合料试验标准》JTG E20的有关规定进行现场钻芯、切割获得试件或室内成型试件。试验前试件宜在阴凉处保存且环境温度不宜高于35℃，且放置在水平的平面上，注意不要使试件产生变形。一组试验为4~6个试件。</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除去试件表面的浮粒，将试件在室温下静置至少1h后，测定常温、干燥状态下的试件质量</w:t>
      </w:r>
      <w:r>
        <w:rPr>
          <w:rFonts w:hint="eastAsia"/>
          <w:highlight w:val="none"/>
        </w:rPr>
        <w:t>m</w:t>
      </w:r>
      <w:r>
        <w:rPr>
          <w:rFonts w:ascii="Cambria Math" w:hAnsi="Cambria Math" w:cs="Cambria Math"/>
          <w:highlight w:val="none"/>
          <w:vertAlign w:val="subscript"/>
        </w:rPr>
        <w:t>𝑎</w:t>
      </w:r>
      <w:r>
        <w:rPr>
          <w:rFonts w:hint="default" w:ascii="Times New Roman" w:hAnsi="Times New Roman" w:eastAsia="宋体" w:cs="Times New Roman"/>
        </w:rPr>
        <w:t>。用卡尺测取试件的直径与高度（精确至0.1mm），测直径时选取2个位置，测高度时取4个（交互90°），用各自的平均值计算试件的体积V。</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当试件在制作或切取时与水接触，则应在通风良好的场所使之干燥至质量不再发生变化，再称取空中质量。</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将试件置于25℃±0.5℃水中3min~5min后，测定其水中质量</w:t>
      </w:r>
      <w:r>
        <w:rPr>
          <w:rFonts w:hint="eastAsia"/>
          <w:highlight w:val="none"/>
        </w:rPr>
        <w:t>m</w:t>
      </w:r>
      <w:r>
        <w:rPr>
          <w:rFonts w:ascii="Cambria Math" w:hAnsi="Cambria Math" w:cs="Cambria Math"/>
          <w:highlight w:val="none"/>
          <w:vertAlign w:val="subscript"/>
        </w:rPr>
        <w:t>𝑤</w:t>
      </w:r>
      <w:r>
        <w:rPr>
          <w:rFonts w:hint="default" w:ascii="Times New Roman" w:hAnsi="Times New Roman" w:eastAsia="宋体" w:cs="Times New Roman"/>
        </w:rPr>
        <w:t>。测定时，用木槌轻轻敲击试件，将空隙中残存的空气排出。</w:t>
      </w:r>
    </w:p>
    <w:p>
      <w:pPr>
        <w:pStyle w:val="79"/>
        <w:spacing w:before="156" w:after="156"/>
      </w:pPr>
      <w:r>
        <w:rPr>
          <w:rFonts w:hint="eastAsia"/>
        </w:rPr>
        <w:t>连通空隙率应按下列公式进行计算：</w:t>
      </w:r>
    </w:p>
    <w:p>
      <w:pPr>
        <w:pStyle w:val="113"/>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c</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r>
                  <m:rPr/>
                  <w:rPr>
                    <w:rFonts w:ascii="Cambria Math" w:hAnsi="Cambria Math"/>
                  </w:rPr>
                  <m:t>V−</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e>
            </m:d>
            <m:ctrlPr>
              <w:rPr>
                <w:rFonts w:ascii="Cambria Math" w:hAnsi="Cambria Math"/>
                <w:i/>
              </w:rPr>
            </m:ctrlPr>
          </m:num>
          <m:den>
            <m:r>
              <m:rPr/>
              <w:rPr>
                <w:rFonts w:ascii="Cambria Math" w:hAnsi="Cambria Math"/>
              </w:rPr>
              <m:t>V</m:t>
            </m:r>
            <m:ctrlPr>
              <w:rPr>
                <w:rFonts w:ascii="Cambria Math" w:hAnsi="Cambria Math"/>
                <w:i/>
              </w:rPr>
            </m:ctrlPr>
          </m:den>
        </m:f>
        <m:r>
          <m:rPr/>
          <w:rPr>
            <w:rFonts w:ascii="Cambria Math" w:hAnsi="Cambria Math"/>
          </w:rPr>
          <m:t>×100%</m:t>
        </m:r>
      </m:oMath>
      <w:r>
        <w:rPr>
          <w:rFonts w:ascii="微软雅黑" w:hAnsi="微软雅黑" w:eastAsia="微软雅黑"/>
        </w:rPr>
        <w:tab/>
      </w:r>
      <w:r>
        <w:t>(B.</w:t>
      </w:r>
      <w:r>
        <w:fldChar w:fldCharType="begin"/>
      </w:r>
      <w:r>
        <w:instrText xml:space="preserve"> seq fulu_equation_133265401595842195 </w:instrText>
      </w:r>
      <w:r>
        <w:fldChar w:fldCharType="separate"/>
      </w:r>
      <w:r>
        <w:t>1</w:t>
      </w:r>
      <w:r>
        <w:fldChar w:fldCharType="end"/>
      </w:r>
      <w:r>
        <w:t>)</w:t>
      </w:r>
    </w:p>
    <w:p>
      <w:pPr>
        <w:pStyle w:val="113"/>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d>
          <m:dPr>
            <m:ctrlPr>
              <w:rPr>
                <w:rFonts w:ascii="Cambria Math" w:hAnsi="Cambria Math"/>
                <w:i/>
              </w:rPr>
            </m:ctrlPr>
          </m:dPr>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w</m:t>
            </m:r>
            <m:ctrlPr>
              <w:rPr>
                <w:rFonts w:ascii="Cambria Math" w:hAnsi="Cambria Math"/>
                <w:i/>
              </w:rPr>
            </m:ctrlPr>
          </m:sub>
        </m:sSub>
      </m:oMath>
      <w:r>
        <w:rPr>
          <w:rFonts w:ascii="微软雅黑" w:hAnsi="微软雅黑" w:eastAsia="微软雅黑"/>
        </w:rPr>
        <w:tab/>
      </w:r>
      <w:r>
        <w:t>(B.</w:t>
      </w:r>
      <w:r>
        <w:fldChar w:fldCharType="begin"/>
      </w:r>
      <w:r>
        <w:instrText xml:space="preserve">  seq fulu_equation_133265401595842195  </w:instrText>
      </w:r>
      <w:r>
        <w:fldChar w:fldCharType="separate"/>
      </w:r>
      <w:r>
        <w:t>2</w:t>
      </w:r>
      <w:r>
        <w:fldChar w:fldCharType="end"/>
      </w:r>
      <w:r>
        <w:t>)</w:t>
      </w:r>
    </w:p>
    <w:p>
      <w:pPr>
        <w:pStyle w:val="55"/>
        <w:ind w:firstLine="420"/>
      </w:pPr>
      <w:r>
        <w:rPr>
          <w:rFonts w:hint="eastAsia"/>
        </w:rPr>
        <w:t>式中：</w:t>
      </w:r>
    </w:p>
    <w:p>
      <w:pPr>
        <w:pStyle w:val="55"/>
        <w:ind w:firstLine="420"/>
      </w:pPr>
      <w:r>
        <w:rPr>
          <w:rFonts w:hint="eastAsia"/>
        </w:rPr>
        <w:t>P</w:t>
      </w:r>
      <w:r>
        <w:rPr>
          <w:rFonts w:hint="eastAsia"/>
          <w:vertAlign w:val="subscript"/>
        </w:rPr>
        <w:t>c</w:t>
      </w:r>
      <w:r>
        <w:rPr>
          <w:rFonts w:hint="eastAsia"/>
        </w:rPr>
        <w:t>——连通空隙率（%）；</w:t>
      </w:r>
    </w:p>
    <w:p>
      <w:pPr>
        <w:pStyle w:val="55"/>
        <w:ind w:firstLine="420"/>
        <w:rPr>
          <w:highlight w:val="none"/>
        </w:rPr>
      </w:pPr>
      <w:r>
        <w:rPr>
          <w:rFonts w:ascii="Cambria Math" w:hAnsi="Cambria Math" w:cs="Cambria Math"/>
          <w:highlight w:val="none"/>
        </w:rPr>
        <w:t>𝑉</w:t>
      </w:r>
      <w:r>
        <w:rPr>
          <w:rFonts w:ascii="Cambria Math" w:hAnsi="Cambria Math" w:cs="Cambria Math"/>
          <w:highlight w:val="none"/>
          <w:vertAlign w:val="subscript"/>
        </w:rPr>
        <w:t>𝑚</w:t>
      </w:r>
      <w:r>
        <w:rPr>
          <w:rFonts w:hint="eastAsia"/>
          <w:highlight w:val="none"/>
        </w:rPr>
        <w:t>——矿料和封闭空隙的体积（cm</w:t>
      </w:r>
      <w:r>
        <w:rPr>
          <w:rFonts w:hint="eastAsia"/>
          <w:highlight w:val="none"/>
          <w:vertAlign w:val="superscript"/>
        </w:rPr>
        <w:t>3</w:t>
      </w:r>
      <w:r>
        <w:rPr>
          <w:rFonts w:hint="eastAsia"/>
          <w:highlight w:val="none"/>
        </w:rPr>
        <w:t>）；</w:t>
      </w:r>
    </w:p>
    <w:p>
      <w:pPr>
        <w:pStyle w:val="55"/>
        <w:ind w:firstLine="420"/>
        <w:rPr>
          <w:highlight w:val="none"/>
        </w:rPr>
      </w:pPr>
      <w:r>
        <w:rPr>
          <w:rFonts w:hint="eastAsia"/>
          <w:highlight w:val="none"/>
        </w:rPr>
        <w:t>m</w:t>
      </w:r>
      <w:r>
        <w:rPr>
          <w:rFonts w:ascii="Cambria Math" w:hAnsi="Cambria Math" w:cs="Cambria Math"/>
          <w:highlight w:val="none"/>
          <w:vertAlign w:val="subscript"/>
        </w:rPr>
        <w:t>𝑎</w:t>
      </w:r>
      <w:r>
        <w:rPr>
          <w:rFonts w:hint="eastAsia"/>
          <w:highlight w:val="none"/>
        </w:rPr>
        <w:t>——干燥试件的空中质量（g）；</w:t>
      </w:r>
    </w:p>
    <w:p>
      <w:pPr>
        <w:pStyle w:val="55"/>
        <w:ind w:firstLine="420"/>
        <w:rPr>
          <w:highlight w:val="none"/>
        </w:rPr>
      </w:pPr>
      <w:r>
        <w:rPr>
          <w:rFonts w:hint="eastAsia"/>
          <w:highlight w:val="none"/>
        </w:rPr>
        <w:t>m</w:t>
      </w:r>
      <w:r>
        <w:rPr>
          <w:rFonts w:ascii="Cambria Math" w:hAnsi="Cambria Math" w:cs="Cambria Math"/>
          <w:highlight w:val="none"/>
          <w:vertAlign w:val="subscript"/>
        </w:rPr>
        <w:t>𝑤</w:t>
      </w:r>
      <w:r>
        <w:rPr>
          <w:rFonts w:hint="eastAsia"/>
          <w:highlight w:val="none"/>
        </w:rPr>
        <w:t>——试件的水中质量（g）；</w:t>
      </w:r>
    </w:p>
    <w:p>
      <w:pPr>
        <w:pStyle w:val="55"/>
        <w:ind w:firstLine="420"/>
      </w:pPr>
      <w:r>
        <w:rPr>
          <w:rFonts w:ascii="Cambria Math" w:hAnsi="Cambria Math" w:cs="Cambria Math"/>
        </w:rPr>
        <w:t>𝜌</w:t>
      </w:r>
      <w:r>
        <w:rPr>
          <w:rFonts w:ascii="Cambria Math" w:hAnsi="Cambria Math" w:cs="Cambria Math"/>
          <w:vertAlign w:val="subscript"/>
        </w:rPr>
        <w:t>𝑤</w:t>
      </w:r>
      <w:r>
        <w:rPr>
          <w:rFonts w:hint="eastAsia"/>
        </w:rPr>
        <w:t>——25℃水的密度（g/cm</w:t>
      </w:r>
      <w:r>
        <w:rPr>
          <w:rFonts w:hint="eastAsia"/>
          <w:vertAlign w:val="superscript"/>
        </w:rPr>
        <w:t>3</w:t>
      </w:r>
      <w:r>
        <w:rPr>
          <w:rFonts w:hint="eastAsia"/>
        </w:rPr>
        <w:t>），取0.9971g/cm</w:t>
      </w:r>
      <w:r>
        <w:rPr>
          <w:rFonts w:hint="eastAsia"/>
          <w:vertAlign w:val="superscript"/>
        </w:rPr>
        <w:t>3</w:t>
      </w:r>
      <w:r>
        <w:rPr>
          <w:rFonts w:hint="eastAsia"/>
        </w:rPr>
        <w:t>；</w:t>
      </w:r>
    </w:p>
    <w:p>
      <w:pPr>
        <w:pStyle w:val="55"/>
        <w:ind w:firstLine="420"/>
      </w:pPr>
      <w:r>
        <w:rPr>
          <w:rFonts w:ascii="Cambria Math" w:hAnsi="Cambria Math" w:cs="Cambria Math"/>
        </w:rPr>
        <w:t>𝑉</w:t>
      </w:r>
      <w:r>
        <w:rPr>
          <w:rFonts w:hint="eastAsia"/>
        </w:rPr>
        <w:t>——试件的体积（cm</w:t>
      </w:r>
      <w:r>
        <w:rPr>
          <w:rFonts w:hint="eastAsia"/>
          <w:vertAlign w:val="superscript"/>
        </w:rPr>
        <w:t>3</w:t>
      </w:r>
      <w:r>
        <w:rPr>
          <w:rFonts w:hint="eastAsia"/>
        </w:rPr>
        <w:t>）</w:t>
      </w:r>
    </w:p>
    <w:p>
      <w:pPr>
        <w:pStyle w:val="78"/>
        <w:spacing w:before="156" w:after="156"/>
      </w:pPr>
      <w:r>
        <w:rPr>
          <w:rFonts w:hint="eastAsia"/>
        </w:rPr>
        <w:t>报告</w:t>
      </w:r>
    </w:p>
    <w:p>
      <w:pPr>
        <w:pStyle w:val="56"/>
        <w:ind w:firstLine="420"/>
      </w:pPr>
      <w:r>
        <w:rPr>
          <w:rFonts w:hint="eastAsia"/>
        </w:rPr>
        <w:t>当一组测定值中某个测定值与平均值之差大于标准差的k倍时，则应予舍弃，并以其余测定值的平均值作为试验结果，精确至0.1%。当试件数目n为3、4、5、6个时，k值分别为1.15、1.46、1.67、1.82。</w:t>
      </w: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pPr>
        <w:pStyle w:val="198"/>
      </w:pPr>
    </w:p>
    <w:p>
      <w:pPr>
        <w:pStyle w:val="199"/>
      </w:pPr>
    </w:p>
    <w:p>
      <w:pPr>
        <w:pStyle w:val="198"/>
      </w:pPr>
    </w:p>
    <w:p>
      <w:pPr>
        <w:pStyle w:val="199"/>
      </w:pPr>
    </w:p>
    <w:p>
      <w:pPr>
        <w:pStyle w:val="199"/>
        <w:numPr>
          <w:ilvl w:val="0"/>
          <w:numId w:val="0"/>
        </w:numPr>
        <w:spacing w:after="120"/>
        <w:jc w:val="both"/>
        <w:rPr>
          <w:rFonts w:hint="eastAsia"/>
        </w:rPr>
      </w:pPr>
    </w:p>
    <w:p>
      <w:pPr>
        <w:pStyle w:val="198"/>
      </w:pPr>
    </w:p>
    <w:p>
      <w:pPr>
        <w:pStyle w:val="199"/>
      </w:pPr>
    </w:p>
    <w:p>
      <w:pPr>
        <w:pStyle w:val="76"/>
        <w:spacing w:after="156"/>
      </w:pPr>
      <w:r>
        <w:br w:type="textWrapping"/>
      </w:r>
      <w:r>
        <w:rPr>
          <w:rFonts w:hint="eastAsia"/>
        </w:rPr>
        <w:t>（规范性）</w:t>
      </w:r>
      <w:r>
        <w:br w:type="textWrapping"/>
      </w:r>
      <w:r>
        <w:rPr>
          <w:rFonts w:hint="eastAsia"/>
        </w:rPr>
        <w:t>灌浆料浆体制备方法</w:t>
      </w:r>
    </w:p>
    <w:p>
      <w:pPr>
        <w:pStyle w:val="78"/>
        <w:spacing w:before="156" w:after="156"/>
      </w:pPr>
      <w:r>
        <w:rPr>
          <w:rFonts w:hint="eastAsia"/>
        </w:rPr>
        <w:t>适用范围</w:t>
      </w:r>
    </w:p>
    <w:p>
      <w:pPr>
        <w:pStyle w:val="56"/>
        <w:ind w:firstLine="420"/>
      </w:pPr>
      <w:r>
        <w:rPr>
          <w:rFonts w:hint="eastAsia"/>
        </w:rPr>
        <w:t>本方法适用于室内试验时灌浆料浆体的制备。</w:t>
      </w:r>
    </w:p>
    <w:p>
      <w:pPr>
        <w:pStyle w:val="78"/>
        <w:spacing w:before="156" w:after="156"/>
      </w:pPr>
      <w:r>
        <w:rPr>
          <w:rFonts w:hint="eastAsia"/>
        </w:rPr>
        <w:t>试验仪器</w:t>
      </w:r>
    </w:p>
    <w:p>
      <w:pPr>
        <w:pStyle w:val="79"/>
        <w:spacing w:before="156" w:after="156"/>
        <w:rPr>
          <w:rFonts w:hint="default" w:ascii="Times New Roman" w:hAnsi="Times New Roman" w:eastAsia="宋体" w:cs="Times New Roman"/>
        </w:rPr>
      </w:pPr>
      <w:r>
        <w:rPr>
          <w:rFonts w:hint="eastAsia" w:ascii="宋体" w:hAnsi="宋体" w:eastAsia="宋体" w:cs="宋体"/>
        </w:rPr>
        <w:t>高速制浆</w:t>
      </w:r>
      <w:r>
        <w:rPr>
          <w:rFonts w:hint="default" w:ascii="Times New Roman" w:hAnsi="Times New Roman" w:eastAsia="宋体" w:cs="Times New Roman"/>
        </w:rPr>
        <w:t>机，转速0r/min~3000r/min可调，搅拌分散叶轮直径60mm，且应满足良好搅拌分散效果，桨叶的最大线速度不宜小于15m/s。</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台秤，量程10kg以上，精度小于1g。</w:t>
      </w:r>
    </w:p>
    <w:p>
      <w:pPr>
        <w:pStyle w:val="78"/>
        <w:spacing w:before="156" w:after="156"/>
      </w:pPr>
      <w:r>
        <w:rPr>
          <w:rFonts w:hint="eastAsia"/>
        </w:rPr>
        <w:t>方法与步骤</w:t>
      </w:r>
    </w:p>
    <w:p>
      <w:pPr>
        <w:pStyle w:val="79"/>
        <w:spacing w:before="156" w:after="156"/>
        <w:rPr>
          <w:rFonts w:hint="eastAsia" w:ascii="宋体" w:hAnsi="宋体" w:eastAsia="宋体" w:cs="宋体"/>
        </w:rPr>
      </w:pPr>
      <w:r>
        <w:rPr>
          <w:rFonts w:hint="eastAsia" w:ascii="宋体" w:hAnsi="宋体" w:eastAsia="宋体" w:cs="宋体"/>
        </w:rPr>
        <w:t>称取5kg灌浆料，按产品说明书称取相应的用水量；</w:t>
      </w:r>
    </w:p>
    <w:p>
      <w:pPr>
        <w:pStyle w:val="79"/>
        <w:spacing w:before="156" w:after="156"/>
        <w:rPr>
          <w:rFonts w:hint="eastAsia" w:ascii="宋体" w:hAnsi="宋体" w:eastAsia="宋体" w:cs="宋体"/>
        </w:rPr>
      </w:pPr>
      <w:r>
        <w:rPr>
          <w:rFonts w:hint="eastAsia" w:ascii="宋体" w:hAnsi="宋体" w:eastAsia="宋体" w:cs="宋体"/>
        </w:rPr>
        <w:t>润湿高速制浆机搅拌叶片和搅拌桶；</w:t>
      </w:r>
    </w:p>
    <w:p>
      <w:pPr>
        <w:pStyle w:val="79"/>
        <w:spacing w:before="156" w:after="156"/>
      </w:pPr>
      <w:r>
        <w:rPr>
          <w:rFonts w:hint="eastAsia" w:ascii="宋体" w:hAnsi="宋体" w:eastAsia="宋体" w:cs="宋体"/>
        </w:rPr>
        <w:t>加入全部用水，然后以500r/min搅拌状态下逐渐加入灌浆料，要求15s内加完，然后将高速制浆机转速设为2000r/min，继续搅拌2min得到灌浆料浆体，可进行相关性能测试或灌浆试验</w:t>
      </w:r>
      <w:r>
        <w:rPr>
          <w:rFonts w:hint="eastAsia"/>
        </w:rPr>
        <w:t>。</w:t>
      </w:r>
    </w:p>
    <w:p>
      <w:pPr>
        <w:pStyle w:val="56"/>
        <w:ind w:firstLine="420"/>
      </w:pPr>
    </w:p>
    <w:p>
      <w:pPr>
        <w:pStyle w:val="56"/>
        <w:ind w:firstLine="420"/>
      </w:pPr>
    </w:p>
    <w:p>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pPr>
        <w:pStyle w:val="198"/>
      </w:pPr>
    </w:p>
    <w:p>
      <w:pPr>
        <w:pStyle w:val="199"/>
      </w:pPr>
    </w:p>
    <w:p>
      <w:pPr>
        <w:pStyle w:val="198"/>
      </w:pPr>
    </w:p>
    <w:p>
      <w:pPr>
        <w:pStyle w:val="199"/>
      </w:pPr>
    </w:p>
    <w:p>
      <w:pPr>
        <w:pStyle w:val="198"/>
      </w:pPr>
    </w:p>
    <w:p>
      <w:pPr>
        <w:pStyle w:val="199"/>
      </w:pPr>
    </w:p>
    <w:p>
      <w:pPr>
        <w:pStyle w:val="76"/>
        <w:spacing w:after="156"/>
      </w:pPr>
      <w:r>
        <w:br w:type="textWrapping"/>
      </w:r>
      <w:r>
        <w:rPr>
          <w:rFonts w:hint="eastAsia"/>
        </w:rPr>
        <w:t>（规范性）</w:t>
      </w:r>
      <w:r>
        <w:br w:type="textWrapping"/>
      </w:r>
      <w:r>
        <w:rPr>
          <w:rFonts w:hint="eastAsia"/>
        </w:rPr>
        <w:t>灌注式半柔性复合沥青路面材料成型方法</w:t>
      </w:r>
    </w:p>
    <w:p>
      <w:pPr>
        <w:pStyle w:val="78"/>
        <w:spacing w:before="156" w:after="156"/>
      </w:pPr>
      <w:r>
        <w:rPr>
          <w:rFonts w:hint="eastAsia"/>
        </w:rPr>
        <w:t>适用范围</w:t>
      </w:r>
    </w:p>
    <w:p>
      <w:pPr>
        <w:pStyle w:val="56"/>
        <w:ind w:firstLine="420"/>
      </w:pPr>
      <w:r>
        <w:rPr>
          <w:rFonts w:hint="eastAsia"/>
        </w:rPr>
        <w:t>本方法适用于室内灌注式半柔性复合沥青路面材料的马歇尔试件及车辙试件的制备。</w:t>
      </w:r>
    </w:p>
    <w:p>
      <w:pPr>
        <w:pStyle w:val="78"/>
        <w:spacing w:before="156" w:after="156"/>
      </w:pPr>
      <w:r>
        <w:rPr>
          <w:rFonts w:hint="eastAsia"/>
        </w:rPr>
        <w:t>试验仪器</w:t>
      </w:r>
    </w:p>
    <w:p>
      <w:pPr>
        <w:pStyle w:val="79"/>
        <w:spacing w:before="156" w:after="156"/>
        <w:rPr>
          <w:rFonts w:hint="eastAsia" w:ascii="宋体" w:hAnsi="宋体" w:eastAsia="宋体" w:cs="宋体"/>
        </w:rPr>
      </w:pPr>
      <w:r>
        <w:rPr>
          <w:rFonts w:hint="eastAsia" w:ascii="宋体" w:hAnsi="宋体" w:eastAsia="宋体" w:cs="宋体"/>
        </w:rPr>
        <w:t>游标卡尺；</w:t>
      </w:r>
    </w:p>
    <w:p>
      <w:pPr>
        <w:pStyle w:val="79"/>
        <w:spacing w:before="156" w:after="156"/>
        <w:rPr>
          <w:rFonts w:hint="eastAsia" w:ascii="宋体" w:hAnsi="宋体" w:eastAsia="宋体" w:cs="宋体"/>
        </w:rPr>
      </w:pPr>
      <w:r>
        <w:rPr>
          <w:rFonts w:hint="eastAsia" w:ascii="宋体" w:hAnsi="宋体" w:eastAsia="宋体" w:cs="宋体"/>
        </w:rPr>
        <w:t>塑料胶带、橡皮泥；</w:t>
      </w:r>
    </w:p>
    <w:p>
      <w:pPr>
        <w:pStyle w:val="79"/>
        <w:spacing w:before="156" w:after="156"/>
        <w:rPr>
          <w:rFonts w:hint="eastAsia" w:ascii="宋体" w:hAnsi="宋体" w:eastAsia="宋体" w:cs="宋体"/>
        </w:rPr>
      </w:pPr>
      <w:r>
        <w:rPr>
          <w:rFonts w:hint="eastAsia" w:ascii="宋体" w:hAnsi="宋体" w:eastAsia="宋体" w:cs="宋体"/>
        </w:rPr>
        <w:t>标准养护箱，温度控制在20℃±2℃，相对湿度＞95%；</w:t>
      </w:r>
    </w:p>
    <w:p>
      <w:pPr>
        <w:pStyle w:val="79"/>
        <w:spacing w:before="156" w:after="156"/>
        <w:rPr>
          <w:rFonts w:hint="eastAsia" w:ascii="宋体" w:hAnsi="宋体" w:eastAsia="宋体" w:cs="宋体"/>
        </w:rPr>
      </w:pPr>
      <w:r>
        <w:rPr>
          <w:rFonts w:hint="eastAsia" w:ascii="宋体" w:hAnsi="宋体" w:eastAsia="宋体" w:cs="宋体"/>
        </w:rPr>
        <w:t>刮刀、毛刷等。</w:t>
      </w:r>
    </w:p>
    <w:p>
      <w:pPr>
        <w:pStyle w:val="78"/>
        <w:spacing w:before="156" w:after="156"/>
      </w:pPr>
      <w:r>
        <w:rPr>
          <w:rFonts w:hint="eastAsia"/>
        </w:rPr>
        <w:t>方法与步骤</w:t>
      </w:r>
    </w:p>
    <w:p>
      <w:pPr>
        <w:pStyle w:val="79"/>
        <w:spacing w:before="156" w:after="156"/>
        <w:rPr>
          <w:rFonts w:hint="eastAsia" w:ascii="宋体" w:hAnsi="宋体" w:eastAsia="宋体" w:cs="宋体"/>
        </w:rPr>
      </w:pPr>
      <w:r>
        <w:rPr>
          <w:rFonts w:hint="eastAsia" w:ascii="宋体" w:hAnsi="宋体" w:eastAsia="宋体" w:cs="宋体"/>
        </w:rPr>
        <w:t>按照《公路工程沥青及沥青混合料试验标准》JTG E20的方法成型大空隙混合料马歇尔试件</w:t>
      </w:r>
      <w:r>
        <w:rPr>
          <w:rFonts w:hint="eastAsia" w:ascii="宋体" w:hAnsi="宋体" w:eastAsia="宋体" w:cs="宋体"/>
          <w:lang w:eastAsia="zh-CN"/>
        </w:rPr>
        <w:t>、</w:t>
      </w:r>
      <w:r>
        <w:rPr>
          <w:rFonts w:hint="eastAsia" w:ascii="宋体" w:hAnsi="宋体" w:eastAsia="宋体" w:cs="宋体"/>
          <w:lang w:val="en-US" w:eastAsia="zh-CN"/>
        </w:rPr>
        <w:t>旋转压实试件</w:t>
      </w:r>
      <w:r>
        <w:rPr>
          <w:rFonts w:hint="eastAsia" w:ascii="宋体" w:hAnsi="宋体" w:eastAsia="宋体" w:cs="宋体"/>
        </w:rPr>
        <w:t>和车辙试件，其中马歇尔试件成型次数为双面各50次。大空隙沥青混凝土试件成型后，静置至试件完全冷却，当大空隙沥青混凝土试件满足相关性能要求后，方可进行后续灌浆试验。</w:t>
      </w:r>
    </w:p>
    <w:p>
      <w:pPr>
        <w:pStyle w:val="79"/>
        <w:spacing w:before="156" w:after="156"/>
        <w:rPr>
          <w:rFonts w:hint="eastAsia" w:ascii="宋体" w:hAnsi="宋体" w:eastAsia="宋体" w:cs="宋体"/>
        </w:rPr>
      </w:pPr>
      <w:r>
        <w:rPr>
          <w:rFonts w:hint="eastAsia" w:ascii="宋体" w:hAnsi="宋体" w:eastAsia="宋体" w:cs="宋体"/>
        </w:rPr>
        <w:t>马歇尔试件需要脱模后用胶带将圆柱体试件底部和侧面密封，顶面留作灌浆料浆体灌注；车辙试件不脱模，需要用橡皮泥或塑料胶带将试模缝隙处密封，防止灌浆料浆体溢流。</w:t>
      </w:r>
    </w:p>
    <w:p>
      <w:pPr>
        <w:pStyle w:val="79"/>
        <w:spacing w:before="156" w:after="156"/>
        <w:rPr>
          <w:rFonts w:hint="eastAsia" w:ascii="宋体" w:hAnsi="宋体" w:eastAsia="宋体" w:cs="宋体"/>
        </w:rPr>
      </w:pPr>
      <w:r>
        <w:rPr>
          <w:rFonts w:hint="eastAsia" w:ascii="宋体" w:hAnsi="宋体" w:eastAsia="宋体" w:cs="宋体"/>
        </w:rPr>
        <w:t>按附录B制备的符合表5要求的灌浆料浆体倒入马歇尔试件表面，依靠灌浆料浆体的自重作用流入大空隙沥青混凝土的骨架空隙中，直至完全无法渗透为止。</w:t>
      </w:r>
    </w:p>
    <w:p>
      <w:pPr>
        <w:pStyle w:val="79"/>
        <w:spacing w:before="156" w:after="156"/>
        <w:rPr>
          <w:rFonts w:hint="eastAsia" w:ascii="宋体" w:hAnsi="宋体" w:eastAsia="宋体" w:cs="宋体"/>
        </w:rPr>
      </w:pPr>
      <w:r>
        <w:rPr>
          <w:rFonts w:hint="eastAsia" w:ascii="宋体" w:hAnsi="宋体" w:eastAsia="宋体" w:cs="宋体"/>
        </w:rPr>
        <w:t>用刮刀或毛刷刮除试件顶面多余的灌浆料浆体，直至表面露出粗骨料为止。</w:t>
      </w:r>
    </w:p>
    <w:p>
      <w:pPr>
        <w:pStyle w:val="79"/>
        <w:spacing w:before="156" w:after="156"/>
        <w:rPr>
          <w:rFonts w:hint="eastAsia" w:ascii="宋体" w:hAnsi="宋体" w:eastAsia="宋体" w:cs="宋体"/>
        </w:rPr>
      </w:pPr>
      <w:r>
        <w:rPr>
          <w:rFonts w:hint="eastAsia" w:ascii="宋体" w:hAnsi="宋体" w:eastAsia="宋体" w:cs="宋体"/>
        </w:rPr>
        <w:t>将灌浆完毕的试件放置在标准条件（温度20℃±2℃，相对湿度＞95%）下养护，养护3d可进行灌浆饱满度的测试，养护7d可进行其他性能的试验。</w:t>
      </w:r>
    </w:p>
    <w:p>
      <w:pPr>
        <w:pStyle w:val="56"/>
        <w:ind w:firstLine="420"/>
      </w:pPr>
    </w:p>
    <w:p>
      <w:pPr>
        <w:pStyle w:val="56"/>
        <w:ind w:firstLine="420"/>
      </w:pPr>
    </w:p>
    <w:p>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pPr>
        <w:pStyle w:val="198"/>
      </w:pPr>
    </w:p>
    <w:p>
      <w:pPr>
        <w:pStyle w:val="199"/>
      </w:pPr>
    </w:p>
    <w:p>
      <w:pPr>
        <w:pStyle w:val="76"/>
        <w:spacing w:after="156"/>
      </w:pPr>
      <w:r>
        <w:br w:type="textWrapping"/>
      </w:r>
      <w:r>
        <w:rPr>
          <w:rFonts w:hint="eastAsia"/>
        </w:rPr>
        <w:t>（规范性）</w:t>
      </w:r>
      <w:r>
        <w:br w:type="textWrapping"/>
      </w:r>
      <w:r>
        <w:rPr>
          <w:rFonts w:hint="eastAsia"/>
        </w:rPr>
        <w:t>灌浆饱满度测试方法</w:t>
      </w:r>
    </w:p>
    <w:p>
      <w:pPr>
        <w:pStyle w:val="78"/>
        <w:spacing w:before="156" w:after="156"/>
      </w:pPr>
      <w:r>
        <w:rPr>
          <w:rFonts w:hint="eastAsia"/>
        </w:rPr>
        <w:t>适用范围</w:t>
      </w:r>
    </w:p>
    <w:p>
      <w:pPr>
        <w:pStyle w:val="56"/>
        <w:ind w:firstLine="420"/>
      </w:pPr>
      <w:r>
        <w:rPr>
          <w:rFonts w:hint="eastAsia"/>
        </w:rPr>
        <w:t>本方法适用于室内及现场灌注式半柔性复合沥青路面材料灌浆饱满度的测定。</w:t>
      </w:r>
    </w:p>
    <w:p>
      <w:pPr>
        <w:pStyle w:val="78"/>
        <w:spacing w:before="156" w:after="156"/>
      </w:pPr>
      <w:r>
        <w:rPr>
          <w:rFonts w:hint="eastAsia"/>
        </w:rPr>
        <w:t>室内试件灌浆饱满度试验方法</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按附录C试验方法成型1组4~6个大空隙沥青混凝土马歇尔试件，静置至试件完全冷却，按附录A试验方法测试灌浆前的连通空隙率Pc，待试件晾干至恒重后，按附录C进行灌浆试验，将灌浆完毕的试件在标准条件（温度20℃±2℃，相对湿度＞95%）下养护3d后取出测试。</w:t>
      </w:r>
    </w:p>
    <w:p>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灌浆后的灌注式半柔性复合沥青路面圆柱体试件，应切割掉上部表面露石部分，使得试件表面平整。将试件晾干至恒重后，按附录A试验方法测试其连通空隙率Pc＇，通过式（D.1）计算出试件灌浆饱满度。</w:t>
      </w:r>
    </w:p>
    <w:p>
      <w:pPr>
        <w:pStyle w:val="113"/>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up>
                <m:r>
                  <m:rPr/>
                  <w:rPr>
                    <w:rFonts w:ascii="Cambria Math" w:hAnsi="Cambria Math"/>
                  </w:rPr>
                  <m:t>`</m:t>
                </m:r>
                <m:ctrlPr>
                  <w:rPr>
                    <w:rFonts w:ascii="Cambria Math" w:hAnsi="Cambria Math"/>
                    <w:i/>
                  </w:rPr>
                </m:ctrlPr>
              </m:sup>
            </m:sSubSup>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b/>
      </w:r>
      <w:r>
        <w:t>(I.</w:t>
      </w:r>
      <w:r>
        <w:fldChar w:fldCharType="begin"/>
      </w:r>
      <w:r>
        <w:instrText xml:space="preserve"> seq fulu_equation_133265432182454779 </w:instrText>
      </w:r>
      <w:r>
        <w:fldChar w:fldCharType="separate"/>
      </w:r>
      <w:r>
        <w:t>1</w:t>
      </w:r>
      <w:r>
        <w:fldChar w:fldCharType="end"/>
      </w:r>
      <w:r>
        <w:t>)</w:t>
      </w:r>
    </w:p>
    <w:p>
      <w:pPr>
        <w:pStyle w:val="55"/>
        <w:ind w:firstLine="420"/>
      </w:pPr>
      <w:r>
        <w:rPr>
          <w:rFonts w:hint="eastAsia"/>
        </w:rPr>
        <w:t>式中：</w:t>
      </w:r>
    </w:p>
    <w:p>
      <w:pPr>
        <w:pStyle w:val="55"/>
        <w:ind w:firstLine="199" w:firstLineChars="95"/>
      </w:pPr>
      <w:r>
        <w:rPr>
          <w:rFonts w:hint="eastAsia"/>
        </w:rPr>
        <w:t xml:space="preserve">Pg——灌浆饱满度(%)； </w:t>
      </w:r>
    </w:p>
    <w:p>
      <w:pPr>
        <w:pStyle w:val="55"/>
        <w:ind w:firstLine="199" w:firstLineChars="95"/>
      </w:pPr>
      <w:r>
        <w:rPr>
          <w:rFonts w:hint="eastAsia"/>
        </w:rPr>
        <w:t>Pc——大空隙沥青混凝土试件灌浆前连通空隙率(%);</w:t>
      </w:r>
    </w:p>
    <w:p>
      <w:pPr>
        <w:pStyle w:val="55"/>
        <w:ind w:firstLine="199" w:firstLineChars="95"/>
      </w:pPr>
      <w:r>
        <w:rPr>
          <w:rFonts w:hint="eastAsia"/>
        </w:rPr>
        <w:t>Pc＇——大空隙沥青混凝土灌浆后试件连通空隙率(%)。</w:t>
      </w:r>
    </w:p>
    <w:p>
      <w:pPr>
        <w:pStyle w:val="78"/>
        <w:spacing w:before="156" w:after="156"/>
      </w:pPr>
      <w:r>
        <w:rPr>
          <w:rFonts w:hint="eastAsia"/>
        </w:rPr>
        <w:t>路面芯样试件灌浆饱满度试验方法</w:t>
      </w:r>
    </w:p>
    <w:p>
      <w:pPr>
        <w:pStyle w:val="79"/>
        <w:spacing w:before="156" w:after="156"/>
        <w:rPr>
          <w:rFonts w:hint="eastAsia" w:ascii="宋体" w:hAnsi="宋体" w:eastAsia="宋体" w:cs="宋体"/>
        </w:rPr>
      </w:pPr>
      <w:r>
        <w:rPr>
          <w:rFonts w:hint="eastAsia" w:ascii="宋体" w:hAnsi="宋体" w:eastAsia="宋体" w:cs="宋体"/>
        </w:rPr>
        <w:t>对铺筑好的大空隙沥青混凝土路面按表11检查频度要求进行取芯，按附录A试验方法测试其连通空隙率Pc。</w:t>
      </w:r>
    </w:p>
    <w:p>
      <w:pPr>
        <w:pStyle w:val="79"/>
        <w:spacing w:before="156" w:after="156"/>
        <w:rPr>
          <w:rFonts w:hint="eastAsia" w:ascii="宋体" w:hAnsi="宋体" w:eastAsia="宋体" w:cs="宋体"/>
        </w:rPr>
      </w:pPr>
      <w:r>
        <w:rPr>
          <w:rFonts w:hint="eastAsia" w:ascii="宋体" w:hAnsi="宋体" w:eastAsia="宋体" w:cs="宋体"/>
        </w:rPr>
        <w:t>灌浆施工结束以后，待浆体凝结硬化后进行取芯。在实验室采用切割机切除表面露石部分和不规则部分，使得试件表面平整。将试件晾干至恒重后，按附录A试验方法测试其连通空隙率Pc＇，通过式（D.1）计算出试件灌浆饱满度。</w:t>
      </w:r>
    </w:p>
    <w:p>
      <w:pPr>
        <w:pStyle w:val="78"/>
        <w:spacing w:before="156" w:after="156"/>
      </w:pPr>
      <w:r>
        <w:rPr>
          <w:rFonts w:hint="eastAsia"/>
          <w:lang w:val="en-US" w:eastAsia="zh-CN"/>
        </w:rPr>
        <w:t>报告</w:t>
      </w:r>
    </w:p>
    <w:p>
      <w:pPr>
        <w:pStyle w:val="56"/>
        <w:ind w:firstLine="420"/>
      </w:pPr>
      <w:r>
        <w:rPr>
          <w:rFonts w:hint="eastAsia"/>
        </w:rPr>
        <w:t>当一组测定值中某个测定值与平均值之差大于标准差的k倍时，该测定值应予舍弃，并以其余测定值的平均值作为试验结果，精确至0.1%。当试件数目n为3、4、5、6个时，k值分别为1.15、1.46、1.67、1.82。</w:t>
      </w:r>
    </w:p>
    <w:p>
      <w:pPr>
        <w:pStyle w:val="56"/>
        <w:ind w:firstLine="420"/>
      </w:pPr>
    </w:p>
    <w:p>
      <w:pPr>
        <w:pStyle w:val="56"/>
        <w:ind w:firstLine="420"/>
      </w:pPr>
    </w:p>
    <w:bookmarkEnd w:id="44"/>
    <w:p>
      <w:pPr>
        <w:pStyle w:val="56"/>
        <w:ind w:firstLine="420"/>
      </w:pPr>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F62AE"/>
    <w:multiLevelType w:val="singleLevel"/>
    <w:tmpl w:val="865F62AE"/>
    <w:lvl w:ilvl="0" w:tentative="0">
      <w:start w:val="1"/>
      <w:numFmt w:val="decimal"/>
      <w:lvlText w:val="%1)"/>
      <w:lvlJc w:val="left"/>
      <w:pPr>
        <w:tabs>
          <w:tab w:val="left" w:pos="840"/>
        </w:tabs>
        <w:ind w:left="1265" w:hanging="425"/>
      </w:pPr>
      <w:rPr>
        <w:rFonts w:hint="default"/>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l+qd4oCULuJHt52j2aV4vJCWqMerkIVm7ltPy54hIWp8zFIt6He8pPs5WIrM1fuZ9WXpkR0VKIzqIfRvoJnRKw==" w:salt="sagz8gICqFR+aqjMw8gwQ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VjYzQ2MmI3YWUxN2QzY2IzYThiYmRkNmMxNGE3ZTcifQ=="/>
  </w:docVars>
  <w:rsids>
    <w:rsidRoot w:val="004D14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E1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45C"/>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5F1"/>
    <w:rsid w:val="001C680C"/>
    <w:rsid w:val="001C7FEA"/>
    <w:rsid w:val="001D0499"/>
    <w:rsid w:val="001D0BBE"/>
    <w:rsid w:val="001D0ED4"/>
    <w:rsid w:val="001D212F"/>
    <w:rsid w:val="001D29D7"/>
    <w:rsid w:val="001D2DE7"/>
    <w:rsid w:val="001D411C"/>
    <w:rsid w:val="001D5027"/>
    <w:rsid w:val="001E1B6A"/>
    <w:rsid w:val="001E2484"/>
    <w:rsid w:val="001E3780"/>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ED8"/>
    <w:rsid w:val="00202AA4"/>
    <w:rsid w:val="00202F9C"/>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40F"/>
    <w:rsid w:val="002D4F1A"/>
    <w:rsid w:val="002D6EC6"/>
    <w:rsid w:val="002D79AC"/>
    <w:rsid w:val="002E023B"/>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45A"/>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510"/>
    <w:rsid w:val="003A6B44"/>
    <w:rsid w:val="003B09AD"/>
    <w:rsid w:val="003B1F18"/>
    <w:rsid w:val="003B5BF0"/>
    <w:rsid w:val="003B60BF"/>
    <w:rsid w:val="003B6BE3"/>
    <w:rsid w:val="003C010C"/>
    <w:rsid w:val="003C0A6C"/>
    <w:rsid w:val="003C14F8"/>
    <w:rsid w:val="003C5A43"/>
    <w:rsid w:val="003D0519"/>
    <w:rsid w:val="003D0FF6"/>
    <w:rsid w:val="003D262C"/>
    <w:rsid w:val="003D298C"/>
    <w:rsid w:val="003D6D61"/>
    <w:rsid w:val="003D79C6"/>
    <w:rsid w:val="003E091D"/>
    <w:rsid w:val="003E1C53"/>
    <w:rsid w:val="003E2A69"/>
    <w:rsid w:val="003E2D49"/>
    <w:rsid w:val="003E2FD4"/>
    <w:rsid w:val="003E49F6"/>
    <w:rsid w:val="003E660F"/>
    <w:rsid w:val="003F0841"/>
    <w:rsid w:val="003F23D3"/>
    <w:rsid w:val="003F3F08"/>
    <w:rsid w:val="003F49F1"/>
    <w:rsid w:val="003F5EC8"/>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438"/>
    <w:rsid w:val="004D076D"/>
    <w:rsid w:val="004D0EF1"/>
    <w:rsid w:val="004D14E9"/>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2F"/>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74"/>
    <w:rsid w:val="005479DA"/>
    <w:rsid w:val="00547BCC"/>
    <w:rsid w:val="0055013B"/>
    <w:rsid w:val="00551F6F"/>
    <w:rsid w:val="00555044"/>
    <w:rsid w:val="00561475"/>
    <w:rsid w:val="0056487B"/>
    <w:rsid w:val="00564FB9"/>
    <w:rsid w:val="00573D9E"/>
    <w:rsid w:val="005775F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C6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7D9"/>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1D9"/>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85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FA1"/>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212"/>
    <w:rsid w:val="00843C13"/>
    <w:rsid w:val="008454F8"/>
    <w:rsid w:val="0085173A"/>
    <w:rsid w:val="008531F9"/>
    <w:rsid w:val="00854AB7"/>
    <w:rsid w:val="00856316"/>
    <w:rsid w:val="008603CE"/>
    <w:rsid w:val="008620FC"/>
    <w:rsid w:val="008627A5"/>
    <w:rsid w:val="00863E05"/>
    <w:rsid w:val="00865ACA"/>
    <w:rsid w:val="00865D28"/>
    <w:rsid w:val="00865F85"/>
    <w:rsid w:val="00867C10"/>
    <w:rsid w:val="00870439"/>
    <w:rsid w:val="00870DA1"/>
    <w:rsid w:val="00883F93"/>
    <w:rsid w:val="00884DB3"/>
    <w:rsid w:val="00885455"/>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D61"/>
    <w:rsid w:val="008B3615"/>
    <w:rsid w:val="008B3B07"/>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D6"/>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401"/>
    <w:rsid w:val="009245F5"/>
    <w:rsid w:val="009249EC"/>
    <w:rsid w:val="009273B3"/>
    <w:rsid w:val="009305B5"/>
    <w:rsid w:val="00940905"/>
    <w:rsid w:val="009429D5"/>
    <w:rsid w:val="00942BF1"/>
    <w:rsid w:val="00945180"/>
    <w:rsid w:val="00945428"/>
    <w:rsid w:val="0094607B"/>
    <w:rsid w:val="00953604"/>
    <w:rsid w:val="0095496B"/>
    <w:rsid w:val="009610DC"/>
    <w:rsid w:val="00961490"/>
    <w:rsid w:val="009614DD"/>
    <w:rsid w:val="00962D3E"/>
    <w:rsid w:val="0096381A"/>
    <w:rsid w:val="00965E04"/>
    <w:rsid w:val="009674AD"/>
    <w:rsid w:val="00970CDC"/>
    <w:rsid w:val="00977010"/>
    <w:rsid w:val="00977D02"/>
    <w:rsid w:val="009809BB"/>
    <w:rsid w:val="0098364B"/>
    <w:rsid w:val="0098599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648"/>
    <w:rsid w:val="009B09E0"/>
    <w:rsid w:val="009B0BC5"/>
    <w:rsid w:val="009B1247"/>
    <w:rsid w:val="009B46F9"/>
    <w:rsid w:val="009B6029"/>
    <w:rsid w:val="009B6971"/>
    <w:rsid w:val="009C27F1"/>
    <w:rsid w:val="009C3152"/>
    <w:rsid w:val="009C324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0B8"/>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541"/>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4AA"/>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1B6"/>
    <w:rsid w:val="00BA42B2"/>
    <w:rsid w:val="00BA58D4"/>
    <w:rsid w:val="00BA5B9E"/>
    <w:rsid w:val="00BA7C9A"/>
    <w:rsid w:val="00BB203B"/>
    <w:rsid w:val="00BB5F8F"/>
    <w:rsid w:val="00BB657A"/>
    <w:rsid w:val="00BB7D8C"/>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0C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44D"/>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2A2"/>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3E5"/>
    <w:rsid w:val="00D66846"/>
    <w:rsid w:val="00D675FB"/>
    <w:rsid w:val="00D71F25"/>
    <w:rsid w:val="00D72A9C"/>
    <w:rsid w:val="00D759ED"/>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85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95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37"/>
    <w:rsid w:val="00EA681A"/>
    <w:rsid w:val="00EA735B"/>
    <w:rsid w:val="00EB17DE"/>
    <w:rsid w:val="00EB1E69"/>
    <w:rsid w:val="00EB2086"/>
    <w:rsid w:val="00EB5EDF"/>
    <w:rsid w:val="00EB60FE"/>
    <w:rsid w:val="00EB74DB"/>
    <w:rsid w:val="00EC5359"/>
    <w:rsid w:val="00EC562A"/>
    <w:rsid w:val="00ED067A"/>
    <w:rsid w:val="00ED2B50"/>
    <w:rsid w:val="00ED578A"/>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AF3"/>
    <w:rsid w:val="00F833BA"/>
    <w:rsid w:val="00F84FD0"/>
    <w:rsid w:val="00F859A8"/>
    <w:rsid w:val="00F86D87"/>
    <w:rsid w:val="00F9108B"/>
    <w:rsid w:val="00F91349"/>
    <w:rsid w:val="00F9207D"/>
    <w:rsid w:val="00F93A8A"/>
    <w:rsid w:val="00F95248"/>
    <w:rsid w:val="00F956A9"/>
    <w:rsid w:val="00F963ED"/>
    <w:rsid w:val="00F966CF"/>
    <w:rsid w:val="00F96CAE"/>
    <w:rsid w:val="00F97C99"/>
    <w:rsid w:val="00FA0552"/>
    <w:rsid w:val="00FA4DAC"/>
    <w:rsid w:val="00FA662D"/>
    <w:rsid w:val="00FA73B1"/>
    <w:rsid w:val="00FB0CB9"/>
    <w:rsid w:val="00FB231D"/>
    <w:rsid w:val="00FB45F1"/>
    <w:rsid w:val="00FB4A72"/>
    <w:rsid w:val="00FB52C6"/>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3B5855"/>
    <w:rsid w:val="104416C8"/>
    <w:rsid w:val="169824C9"/>
    <w:rsid w:val="2178669F"/>
    <w:rsid w:val="37E97C43"/>
    <w:rsid w:val="40B46568"/>
    <w:rsid w:val="40CD30EF"/>
    <w:rsid w:val="42871E5C"/>
    <w:rsid w:val="42B44ED0"/>
    <w:rsid w:val="43326B69"/>
    <w:rsid w:val="4A2A0947"/>
    <w:rsid w:val="52FA33FC"/>
    <w:rsid w:val="55CA0D09"/>
    <w:rsid w:val="69283934"/>
    <w:rsid w:val="71541B6D"/>
    <w:rsid w:val="749B0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2"/>
    <w:basedOn w:val="1"/>
    <w:qFormat/>
    <w:uiPriority w:val="0"/>
    <w:pPr>
      <w:widowControl/>
      <w:adjustRightInd/>
      <w:spacing w:beforeLines="50" w:afterLines="50" w:line="240" w:lineRule="auto"/>
      <w:outlineLvl w:val="1"/>
    </w:pPr>
    <w:rPr>
      <w:rFonts w:ascii="黑体" w:hAnsi="Times New Roman" w:eastAsia="黑体"/>
      <w:kern w:val="0"/>
    </w:rPr>
  </w:style>
  <w:style w:type="paragraph" w:customStyle="1" w:styleId="231">
    <w:name w:val="表格内文字"/>
    <w:basedOn w:val="1"/>
    <w:qFormat/>
    <w:uiPriority w:val="0"/>
    <w:pPr>
      <w:adjustRightInd/>
      <w:spacing w:line="240" w:lineRule="auto"/>
      <w:jc w:val="center"/>
    </w:pPr>
    <w:rPr>
      <w:rFonts w:ascii="Times New Roman" w:hAnsi="Times New Roman"/>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图表头"/>
    <w:basedOn w:val="1"/>
    <w:qFormat/>
    <w:uiPriority w:val="0"/>
    <w:pPr>
      <w:spacing w:beforeLines="50"/>
      <w:ind w:firstLine="0" w:firstLineChars="0"/>
      <w:jc w:val="center"/>
    </w:pPr>
    <w:rPr>
      <w:b/>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F2671783954DAFB2609A98915CEE12"/>
        <w:style w:val=""/>
        <w:category>
          <w:name w:val="常规"/>
          <w:gallery w:val="placeholder"/>
        </w:category>
        <w:types>
          <w:type w:val="bbPlcHdr"/>
        </w:types>
        <w:behaviors>
          <w:behavior w:val="content"/>
        </w:behaviors>
        <w:description w:val=""/>
        <w:guid w:val="{D4EF8E0B-C808-4C34-8A98-FABDBD5709EB}"/>
      </w:docPartPr>
      <w:docPartBody>
        <w:p>
          <w:pPr>
            <w:pStyle w:val="5"/>
          </w:pPr>
          <w:r>
            <w:rPr>
              <w:rStyle w:val="4"/>
              <w:rFonts w:hint="eastAsia"/>
            </w:rPr>
            <w:t>单击或点击此处输入文字。</w:t>
          </w:r>
        </w:p>
      </w:docPartBody>
    </w:docPart>
    <w:docPart>
      <w:docPartPr>
        <w:name w:val="7EB28783FEBF4B3AB4CB5D0B1BED6C1B"/>
        <w:style w:val=""/>
        <w:category>
          <w:name w:val="常规"/>
          <w:gallery w:val="placeholder"/>
        </w:category>
        <w:types>
          <w:type w:val="bbPlcHdr"/>
        </w:types>
        <w:behaviors>
          <w:behavior w:val="content"/>
        </w:behaviors>
        <w:description w:val=""/>
        <w:guid w:val="{AE3C040D-4291-4C8C-947F-FF99ABFA631E}"/>
      </w:docPartPr>
      <w:docPartBody>
        <w:p>
          <w:pPr>
            <w:pStyle w:val="6"/>
          </w:pPr>
          <w:r>
            <w:rPr>
              <w:rStyle w:val="4"/>
              <w:rFonts w:hint="eastAsia"/>
            </w:rPr>
            <w:t>选择一项。</w:t>
          </w:r>
        </w:p>
      </w:docPartBody>
    </w:docPart>
    <w:docPart>
      <w:docPartPr>
        <w:name w:val="94A2C3E62D9C4241B76E073088604C92"/>
        <w:style w:val=""/>
        <w:category>
          <w:name w:val="常规"/>
          <w:gallery w:val="placeholder"/>
        </w:category>
        <w:types>
          <w:type w:val="bbPlcHdr"/>
        </w:types>
        <w:behaviors>
          <w:behavior w:val="content"/>
        </w:behaviors>
        <w:description w:val=""/>
        <w:guid w:val="{76F49688-6985-41B3-95D5-5B65628CA99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0A2"/>
    <w:rsid w:val="00051922"/>
    <w:rsid w:val="001330A2"/>
    <w:rsid w:val="002E7424"/>
    <w:rsid w:val="003F2B28"/>
    <w:rsid w:val="005E4560"/>
    <w:rsid w:val="00C650F7"/>
    <w:rsid w:val="00E3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F2671783954DAFB2609A98915CEE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EB28783FEBF4B3AB4CB5D0B1BED6C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4A2C3E62D9C4241B76E073088604C9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20</Pages>
  <Words>9986</Words>
  <Characters>12028</Characters>
  <Lines>96</Lines>
  <Paragraphs>27</Paragraphs>
  <TotalTime>21</TotalTime>
  <ScaleCrop>false</ScaleCrop>
  <LinksUpToDate>false</LinksUpToDate>
  <CharactersWithSpaces>12259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2023-04-21T06:27:00Z</dcterms:created>
  <dc:creator>杨梦</dc:creator>
  <dc:description>&lt;config cover="true" show_menu="true" version="1.0.0" doctype="SDKXY"&gt;_x000d_
&lt;/config&gt;</dc:description>
  <cp:lastModifiedBy>Administrator</cp:lastModifiedBy>
  <cp:lastPrinted>2023-08-30T00:57:45Z</cp:lastPrinted>
  <dcterms:modified xsi:type="dcterms:W3CDTF">2023-08-30T00:58:04Z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D1210679DE0C4F15932060D0008151BA_13</vt:lpwstr>
  </property>
</Properties>
</file>