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beforeLines="0" w:after="0" w:afterLines="0" w:line="360" w:lineRule="auto"/>
        <w:jc w:val="center"/>
        <w:rPr>
          <w:rFonts w:hint="eastAsia" w:asciiTheme="minorHAnsi" w:hAnsiTheme="minorHAnsi" w:eastAsiaTheme="minorEastAsia"/>
          <w:color w:val="auto"/>
          <w:kern w:val="2"/>
          <w:sz w:val="84"/>
          <w:szCs w:val="84"/>
          <w:highlight w:val="none"/>
        </w:rPr>
      </w:pPr>
    </w:p>
    <w:p>
      <w:pPr>
        <w:widowControl/>
        <w:adjustRightInd/>
        <w:snapToGrid/>
        <w:spacing w:beforeLines="0" w:after="0" w:afterLines="0" w:line="360" w:lineRule="auto"/>
        <w:ind w:firstLine="720" w:firstLineChars="200"/>
        <w:jc w:val="center"/>
        <w:rPr>
          <w:rFonts w:hint="eastAsia" w:asciiTheme="minorHAnsi" w:hAnsiTheme="minorHAnsi" w:eastAsiaTheme="minorEastAsia"/>
          <w:color w:val="auto"/>
          <w:kern w:val="2"/>
          <w:sz w:val="84"/>
          <w:szCs w:val="84"/>
          <w:highlight w:val="none"/>
        </w:rPr>
      </w:pPr>
      <w:r>
        <w:rPr>
          <w:rFonts w:ascii="Times New Roman" w:hAnsi="Times New Roman" w:eastAsia="黑体" w:cs="Times New Roman"/>
          <w:kern w:val="0"/>
          <w:sz w:val="36"/>
          <w:szCs w:val="36"/>
        </w:rPr>
        <w:t>湖南省地方标准</w:t>
      </w:r>
    </w:p>
    <w:p>
      <w:pPr>
        <w:widowControl w:val="0"/>
        <w:adjustRightInd/>
        <w:snapToGrid/>
        <w:spacing w:beforeLines="0" w:after="0" w:afterLines="0" w:line="360" w:lineRule="auto"/>
        <w:ind w:firstLine="720" w:firstLineChars="200"/>
        <w:jc w:val="center"/>
        <w:rPr>
          <w:rFonts w:ascii="Times New Roman" w:hAnsi="Times New Roman" w:eastAsia="黑体" w:cs="Times New Roman"/>
          <w:sz w:val="36"/>
          <w:szCs w:val="36"/>
        </w:rPr>
      </w:pPr>
      <w:r>
        <w:rPr>
          <w:rFonts w:ascii="Times New Roman" w:hAnsi="Times New Roman" w:eastAsia="黑体" w:cs="Times New Roman"/>
          <w:kern w:val="0"/>
          <w:sz w:val="36"/>
          <w:szCs w:val="36"/>
        </w:rPr>
        <w:t>《</w:t>
      </w:r>
      <w:r>
        <w:rPr>
          <w:rFonts w:hint="default" w:ascii="Times New Roman" w:hAnsi="Times New Roman" w:eastAsia="黑体" w:cs="Times New Roman"/>
          <w:kern w:val="0"/>
          <w:sz w:val="36"/>
          <w:szCs w:val="36"/>
          <w:lang w:val="en-US" w:eastAsia="zh-CN"/>
        </w:rPr>
        <w:t>医院卓越服务</w:t>
      </w:r>
      <w:r>
        <w:rPr>
          <w:rFonts w:hint="default" w:ascii="Times New Roman" w:hAnsi="Times New Roman" w:eastAsia="黑体" w:cs="Times New Roman"/>
          <w:kern w:val="0"/>
          <w:sz w:val="36"/>
          <w:szCs w:val="36"/>
        </w:rPr>
        <w:t>规范</w:t>
      </w:r>
      <w:r>
        <w:rPr>
          <w:rFonts w:ascii="Times New Roman" w:hAnsi="Times New Roman" w:eastAsia="黑体" w:cs="Times New Roman"/>
          <w:kern w:val="0"/>
          <w:sz w:val="36"/>
          <w:szCs w:val="36"/>
        </w:rPr>
        <w:t>》</w:t>
      </w:r>
    </w:p>
    <w:p>
      <w:pPr>
        <w:spacing w:beforeLines="0" w:after="0" w:afterLines="0" w:line="360" w:lineRule="auto"/>
        <w:ind w:firstLine="720" w:firstLineChars="200"/>
        <w:jc w:val="center"/>
        <w:rPr>
          <w:rFonts w:ascii="Times New Roman" w:hAnsi="Times New Roman" w:eastAsia="黑体" w:cs="Times New Roman"/>
          <w:color w:val="FF0000"/>
          <w:kern w:val="0"/>
          <w:sz w:val="36"/>
          <w:szCs w:val="36"/>
        </w:rPr>
      </w:pPr>
      <w:r>
        <w:rPr>
          <w:rFonts w:ascii="Times New Roman" w:hAnsi="Times New Roman" w:eastAsia="黑体" w:cs="Times New Roman"/>
          <w:kern w:val="0"/>
          <w:sz w:val="36"/>
          <w:szCs w:val="36"/>
        </w:rPr>
        <w:t>（征求意见稿）</w:t>
      </w:r>
    </w:p>
    <w:p>
      <w:pPr>
        <w:widowControl w:val="0"/>
        <w:adjustRightInd/>
        <w:snapToGrid/>
        <w:spacing w:beforeLines="0" w:after="0" w:afterLines="0" w:line="360" w:lineRule="auto"/>
        <w:ind w:firstLine="720" w:firstLineChars="200"/>
        <w:jc w:val="center"/>
        <w:rPr>
          <w:rFonts w:hint="default" w:ascii="Times New Roman" w:hAnsi="Times New Roman" w:eastAsia="黑体" w:cs="Times New Roman"/>
          <w:kern w:val="0"/>
          <w:sz w:val="36"/>
          <w:szCs w:val="36"/>
        </w:rPr>
      </w:pPr>
      <w:r>
        <w:rPr>
          <w:rFonts w:hint="default" w:ascii="Times New Roman" w:hAnsi="Times New Roman" w:eastAsia="黑体" w:cs="Times New Roman"/>
          <w:kern w:val="0"/>
          <w:sz w:val="36"/>
          <w:szCs w:val="36"/>
        </w:rPr>
        <w:t>编制说明</w:t>
      </w:r>
    </w:p>
    <w:p>
      <w:pPr>
        <w:spacing w:beforeLines="0" w:after="0" w:afterLines="0" w:line="360" w:lineRule="auto"/>
        <w:jc w:val="center"/>
        <w:rPr>
          <w:color w:val="auto"/>
          <w:sz w:val="84"/>
          <w:szCs w:val="84"/>
          <w:highlight w:val="none"/>
        </w:rPr>
      </w:pPr>
    </w:p>
    <w:p>
      <w:pPr>
        <w:spacing w:beforeLines="0" w:after="0" w:afterLines="0" w:line="360" w:lineRule="auto"/>
        <w:jc w:val="both"/>
        <w:rPr>
          <w:color w:val="auto"/>
          <w:sz w:val="84"/>
          <w:szCs w:val="84"/>
          <w:highlight w:val="none"/>
        </w:rPr>
      </w:pPr>
    </w:p>
    <w:p>
      <w:pPr>
        <w:widowControl w:val="0"/>
        <w:adjustRightInd/>
        <w:snapToGrid/>
        <w:spacing w:beforeLines="0" w:after="0" w:afterLines="0" w:line="360" w:lineRule="auto"/>
        <w:jc w:val="center"/>
        <w:rPr>
          <w:rFonts w:hint="eastAsia" w:asciiTheme="minorHAnsi" w:hAnsiTheme="minorHAnsi" w:eastAsiaTheme="minorEastAsia"/>
          <w:color w:val="auto"/>
          <w:kern w:val="2"/>
          <w:sz w:val="28"/>
          <w:szCs w:val="28"/>
          <w:highlight w:val="none"/>
        </w:rPr>
      </w:pPr>
    </w:p>
    <w:p>
      <w:pPr>
        <w:widowControl w:val="0"/>
        <w:adjustRightInd/>
        <w:snapToGrid/>
        <w:spacing w:beforeLines="0" w:after="0" w:afterLines="0"/>
        <w:ind w:firstLine="560" w:firstLineChars="200"/>
        <w:jc w:val="center"/>
        <w:rPr>
          <w:rFonts w:hint="default" w:ascii="Times New Roman" w:hAnsi="Times New Roman" w:eastAsia="黑体" w:cs="Times New Roman"/>
          <w:sz w:val="28"/>
          <w:szCs w:val="36"/>
          <w:lang w:val="en-US" w:eastAsia="zh-CN"/>
        </w:rPr>
      </w:pPr>
      <w:r>
        <w:rPr>
          <w:rFonts w:ascii="Times New Roman" w:hAnsi="Times New Roman" w:eastAsia="黑体" w:cs="Times New Roman"/>
          <w:kern w:val="0"/>
          <w:sz w:val="28"/>
          <w:szCs w:val="36"/>
        </w:rPr>
        <w:t>《</w:t>
      </w:r>
      <w:r>
        <w:rPr>
          <w:rFonts w:hint="default" w:ascii="Times New Roman" w:hAnsi="Times New Roman" w:eastAsia="黑体" w:cs="Times New Roman"/>
          <w:kern w:val="0"/>
          <w:sz w:val="28"/>
          <w:szCs w:val="36"/>
          <w:lang w:val="en-US" w:eastAsia="zh-CN"/>
        </w:rPr>
        <w:t>医院卓越服务</w:t>
      </w:r>
      <w:r>
        <w:rPr>
          <w:rFonts w:hint="default" w:ascii="Times New Roman" w:hAnsi="Times New Roman" w:eastAsia="黑体" w:cs="Times New Roman"/>
          <w:kern w:val="0"/>
          <w:sz w:val="28"/>
          <w:szCs w:val="36"/>
        </w:rPr>
        <w:t>规范</w:t>
      </w:r>
      <w:r>
        <w:rPr>
          <w:rFonts w:ascii="Times New Roman" w:hAnsi="Times New Roman" w:eastAsia="黑体" w:cs="Times New Roman"/>
          <w:kern w:val="0"/>
          <w:sz w:val="28"/>
          <w:szCs w:val="36"/>
        </w:rPr>
        <w:t>》</w:t>
      </w:r>
      <w:r>
        <w:rPr>
          <w:rFonts w:hint="default" w:ascii="Times New Roman" w:hAnsi="Times New Roman" w:eastAsia="黑体" w:cs="Times New Roman"/>
          <w:kern w:val="0"/>
          <w:sz w:val="28"/>
          <w:szCs w:val="36"/>
          <w:lang w:val="en-US" w:eastAsia="zh-CN"/>
        </w:rPr>
        <w:t>编制组</w:t>
      </w:r>
    </w:p>
    <w:p>
      <w:pPr>
        <w:widowControl w:val="0"/>
        <w:adjustRightInd/>
        <w:snapToGrid/>
        <w:spacing w:beforeLines="0" w:after="0" w:afterLines="0" w:line="360" w:lineRule="auto"/>
        <w:jc w:val="center"/>
        <w:rPr>
          <w:rFonts w:hint="eastAsia" w:asciiTheme="minorHAnsi" w:hAnsiTheme="minorHAnsi" w:eastAsiaTheme="minorEastAsia"/>
          <w:color w:val="auto"/>
          <w:kern w:val="2"/>
          <w:sz w:val="28"/>
          <w:szCs w:val="28"/>
          <w:highlight w:val="none"/>
        </w:rPr>
      </w:pPr>
      <w:r>
        <w:rPr>
          <w:rFonts w:hint="eastAsia" w:asciiTheme="minorHAnsi" w:hAnsiTheme="minorHAnsi" w:eastAsiaTheme="minorEastAsia"/>
          <w:color w:val="auto"/>
          <w:kern w:val="2"/>
          <w:sz w:val="28"/>
          <w:szCs w:val="28"/>
          <w:highlight w:val="none"/>
        </w:rPr>
        <w:t>202</w:t>
      </w:r>
      <w:r>
        <w:rPr>
          <w:rFonts w:hint="eastAsia" w:asciiTheme="minorHAnsi" w:hAnsiTheme="minorHAnsi" w:eastAsiaTheme="minorEastAsia"/>
          <w:color w:val="auto"/>
          <w:kern w:val="2"/>
          <w:sz w:val="28"/>
          <w:szCs w:val="28"/>
          <w:highlight w:val="none"/>
          <w:lang w:val="en-US" w:eastAsia="zh-CN"/>
        </w:rPr>
        <w:t>3</w:t>
      </w:r>
      <w:r>
        <w:rPr>
          <w:rFonts w:hint="eastAsia" w:asciiTheme="minorHAnsi" w:hAnsiTheme="minorHAnsi" w:eastAsiaTheme="minorEastAsia"/>
          <w:color w:val="auto"/>
          <w:kern w:val="2"/>
          <w:sz w:val="28"/>
          <w:szCs w:val="28"/>
          <w:highlight w:val="none"/>
        </w:rPr>
        <w:t>年</w:t>
      </w:r>
      <w:r>
        <w:rPr>
          <w:rFonts w:hint="eastAsia" w:asciiTheme="minorHAnsi" w:hAnsiTheme="minorHAnsi" w:eastAsiaTheme="minorEastAsia"/>
          <w:color w:val="auto"/>
          <w:kern w:val="2"/>
          <w:sz w:val="28"/>
          <w:szCs w:val="28"/>
          <w:highlight w:val="none"/>
          <w:lang w:val="en-US" w:eastAsia="zh-CN"/>
        </w:rPr>
        <w:t>7</w:t>
      </w:r>
      <w:r>
        <w:rPr>
          <w:rFonts w:hint="eastAsia" w:asciiTheme="minorHAnsi" w:hAnsiTheme="minorHAnsi" w:eastAsiaTheme="minorEastAsia"/>
          <w:color w:val="auto"/>
          <w:kern w:val="2"/>
          <w:sz w:val="28"/>
          <w:szCs w:val="28"/>
          <w:highlight w:val="none"/>
        </w:rPr>
        <w:t>月</w:t>
      </w:r>
    </w:p>
    <w:p>
      <w:pPr>
        <w:widowControl w:val="0"/>
        <w:adjustRightInd/>
        <w:snapToGrid/>
        <w:spacing w:before="0" w:beforeLines="0" w:after="0" w:afterLines="0" w:line="360" w:lineRule="auto"/>
        <w:ind w:right="1214"/>
        <w:jc w:val="center"/>
        <w:rPr>
          <w:rFonts w:hint="eastAsia" w:ascii="黑体" w:eastAsia="黑体" w:hAnsiTheme="minorHAnsi"/>
          <w:color w:val="auto"/>
          <w:kern w:val="2"/>
          <w:sz w:val="32"/>
          <w:szCs w:val="24"/>
          <w:highlight w:val="none"/>
        </w:rPr>
      </w:pPr>
    </w:p>
    <w:p>
      <w:pPr>
        <w:widowControl w:val="0"/>
        <w:adjustRightInd/>
        <w:snapToGrid/>
        <w:spacing w:before="0" w:beforeLines="0" w:after="0" w:afterLines="0" w:line="360" w:lineRule="auto"/>
        <w:ind w:right="1214"/>
        <w:jc w:val="center"/>
        <w:rPr>
          <w:rFonts w:hint="eastAsia" w:ascii="黑体" w:eastAsia="黑体" w:hAnsiTheme="minorHAnsi"/>
          <w:color w:val="auto"/>
          <w:kern w:val="2"/>
          <w:sz w:val="32"/>
          <w:szCs w:val="24"/>
          <w:highlight w:val="none"/>
        </w:rPr>
      </w:pPr>
    </w:p>
    <w:p>
      <w:pPr>
        <w:widowControl w:val="0"/>
        <w:adjustRightInd/>
        <w:snapToGrid/>
        <w:spacing w:before="0" w:beforeLines="0" w:after="0" w:afterLines="0" w:line="360" w:lineRule="auto"/>
        <w:ind w:right="1214"/>
        <w:jc w:val="center"/>
        <w:rPr>
          <w:rFonts w:hint="eastAsia" w:ascii="黑体" w:eastAsia="黑体" w:hAnsiTheme="minorHAnsi"/>
          <w:color w:val="auto"/>
          <w:kern w:val="2"/>
          <w:sz w:val="32"/>
          <w:szCs w:val="24"/>
          <w:highlight w:val="none"/>
        </w:rPr>
        <w:sectPr>
          <w:footerReference r:id="rId5" w:type="default"/>
          <w:pgSz w:w="11910" w:h="16840"/>
          <w:pgMar w:top="1400" w:right="1360" w:bottom="1380" w:left="1380" w:header="0" w:footer="1182" w:gutter="0"/>
          <w:pgNumType w:fmt="upperRoman"/>
          <w:cols w:space="720" w:num="1"/>
        </w:sectPr>
      </w:pPr>
    </w:p>
    <w:p>
      <w:pPr>
        <w:widowControl w:val="0"/>
        <w:adjustRightInd/>
        <w:snapToGrid/>
        <w:spacing w:before="0" w:beforeLines="0" w:after="0" w:afterLines="0" w:line="360" w:lineRule="auto"/>
        <w:ind w:right="1214"/>
        <w:jc w:val="center"/>
        <w:rPr>
          <w:rFonts w:hint="eastAsia" w:ascii="黑体" w:eastAsia="黑体" w:hAnsiTheme="minorHAnsi"/>
          <w:color w:val="auto"/>
          <w:kern w:val="2"/>
          <w:sz w:val="32"/>
          <w:szCs w:val="24"/>
          <w:highlight w:val="none"/>
        </w:rPr>
      </w:pPr>
      <w:r>
        <w:rPr>
          <w:rFonts w:hint="eastAsia" w:ascii="黑体" w:eastAsia="黑体" w:hAnsiTheme="minorHAnsi"/>
          <w:color w:val="auto"/>
          <w:kern w:val="2"/>
          <w:sz w:val="32"/>
          <w:szCs w:val="24"/>
          <w:highlight w:val="none"/>
        </w:rPr>
        <w:t>目   录</w:t>
      </w:r>
    </w:p>
    <w:p>
      <w:pPr>
        <w:pStyle w:val="11"/>
        <w:spacing w:beforeLines="0" w:after="0" w:afterLines="0" w:line="360" w:lineRule="auto"/>
        <w:rPr>
          <w:rStyle w:val="27"/>
          <w:rFonts w:hint="eastAsia"/>
          <w:color w:val="auto"/>
          <w:highlight w:val="none"/>
        </w:rPr>
      </w:pPr>
      <w:r>
        <w:rPr>
          <w:rStyle w:val="27"/>
          <w:rFonts w:hint="eastAsia"/>
          <w:color w:val="auto"/>
          <w:highlight w:val="none"/>
          <w:u w:val="none"/>
        </w:rPr>
        <w:t>一、</w:t>
      </w:r>
      <w:r>
        <w:rPr>
          <w:color w:val="auto"/>
          <w:highlight w:val="none"/>
        </w:rPr>
        <w:fldChar w:fldCharType="begin"/>
      </w:r>
      <w:r>
        <w:rPr>
          <w:color w:val="auto"/>
          <w:highlight w:val="none"/>
        </w:rPr>
        <w:instrText xml:space="preserve"> HYPERLINK \l "_Toc72612589" </w:instrText>
      </w:r>
      <w:r>
        <w:rPr>
          <w:color w:val="auto"/>
          <w:highlight w:val="none"/>
        </w:rPr>
        <w:fldChar w:fldCharType="separate"/>
      </w:r>
      <w:r>
        <w:rPr>
          <w:rStyle w:val="27"/>
          <w:rFonts w:hint="eastAsia"/>
          <w:color w:val="auto"/>
          <w:highlight w:val="none"/>
          <w:u w:val="none"/>
        </w:rPr>
        <w:t>标准起草的基本情况</w:t>
      </w:r>
      <w:r>
        <w:rPr>
          <w:color w:val="auto"/>
          <w:highlight w:val="none"/>
        </w:rPr>
        <w:tab/>
      </w:r>
      <w:r>
        <w:rPr>
          <w:rFonts w:hint="eastAsia"/>
          <w:color w:val="auto"/>
          <w:highlight w:val="none"/>
        </w:rPr>
        <w:t>1</w:t>
      </w:r>
      <w:r>
        <w:rPr>
          <w:rFonts w:hint="eastAsia"/>
          <w:color w:val="auto"/>
          <w:highlight w:val="none"/>
        </w:rPr>
        <w:fldChar w:fldCharType="end"/>
      </w:r>
    </w:p>
    <w:p>
      <w:pPr>
        <w:pStyle w:val="11"/>
        <w:spacing w:beforeLines="0" w:after="0" w:afterLines="0" w:line="360" w:lineRule="auto"/>
        <w:rPr>
          <w:color w:val="auto"/>
          <w:kern w:val="2"/>
          <w:sz w:val="21"/>
          <w:highlight w:val="none"/>
        </w:rPr>
      </w:pPr>
      <w:r>
        <w:rPr>
          <w:rStyle w:val="27"/>
          <w:rFonts w:hint="eastAsia"/>
          <w:color w:val="auto"/>
          <w:highlight w:val="none"/>
          <w:u w:val="none"/>
        </w:rPr>
        <w:t>（一）</w:t>
      </w:r>
      <w:r>
        <w:rPr>
          <w:rStyle w:val="27"/>
          <w:rFonts w:hint="eastAsia"/>
          <w:color w:val="auto"/>
          <w:highlight w:val="none"/>
          <w:u w:val="none"/>
          <w:lang w:val="en-US" w:eastAsia="zh-CN"/>
        </w:rPr>
        <w:t>任务</w:t>
      </w:r>
      <w:r>
        <w:rPr>
          <w:rStyle w:val="27"/>
          <w:rFonts w:hint="eastAsia"/>
          <w:color w:val="auto"/>
          <w:highlight w:val="none"/>
          <w:u w:val="none"/>
        </w:rPr>
        <w:t>来源、起草单位</w:t>
      </w:r>
      <w:r>
        <w:rPr>
          <w:color w:val="auto"/>
          <w:highlight w:val="none"/>
        </w:rPr>
        <w:fldChar w:fldCharType="begin"/>
      </w:r>
      <w:r>
        <w:rPr>
          <w:color w:val="auto"/>
          <w:highlight w:val="none"/>
        </w:rPr>
        <w:instrText xml:space="preserve"> HYPERLINK \l "_Toc72612593" </w:instrText>
      </w:r>
      <w:r>
        <w:rPr>
          <w:color w:val="auto"/>
          <w:highlight w:val="none"/>
        </w:rPr>
        <w:fldChar w:fldCharType="separate"/>
      </w:r>
      <w:r>
        <w:rPr>
          <w:color w:val="auto"/>
          <w:highlight w:val="none"/>
        </w:rPr>
        <w:tab/>
      </w:r>
      <w:r>
        <w:rPr>
          <w:rFonts w:hint="eastAsia"/>
          <w:color w:val="auto"/>
          <w:highlight w:val="none"/>
        </w:rPr>
        <w:t>1</w:t>
      </w:r>
      <w:r>
        <w:rPr>
          <w:rFonts w:hint="eastAsia"/>
          <w:color w:val="auto"/>
          <w:highlight w:val="none"/>
        </w:rPr>
        <w:fldChar w:fldCharType="end"/>
      </w:r>
      <w:r>
        <w:rPr>
          <w:rStyle w:val="27"/>
          <w:rFonts w:hint="eastAsia"/>
          <w:color w:val="auto"/>
          <w:highlight w:val="none"/>
        </w:rPr>
        <w:t xml:space="preserve"> </w:t>
      </w:r>
    </w:p>
    <w:p>
      <w:pPr>
        <w:pStyle w:val="11"/>
        <w:spacing w:beforeLines="0" w:after="0" w:afterLines="0" w:line="360" w:lineRule="auto"/>
        <w:rPr>
          <w:color w:val="auto"/>
          <w:kern w:val="2"/>
          <w:sz w:val="21"/>
          <w:highlight w:val="none"/>
        </w:rPr>
      </w:pPr>
      <w:r>
        <w:rPr>
          <w:rStyle w:val="27"/>
          <w:rFonts w:hint="eastAsia"/>
          <w:color w:val="auto"/>
          <w:highlight w:val="none"/>
          <w:u w:val="none"/>
        </w:rPr>
        <w:t>（二）</w:t>
      </w:r>
      <w:r>
        <w:rPr>
          <w:color w:val="auto"/>
          <w:highlight w:val="none"/>
        </w:rPr>
        <w:fldChar w:fldCharType="begin"/>
      </w:r>
      <w:r>
        <w:rPr>
          <w:color w:val="auto"/>
          <w:highlight w:val="none"/>
        </w:rPr>
        <w:instrText xml:space="preserve"> HYPERLINK \l "_Toc72612593" </w:instrText>
      </w:r>
      <w:r>
        <w:rPr>
          <w:color w:val="auto"/>
          <w:highlight w:val="none"/>
        </w:rPr>
        <w:fldChar w:fldCharType="separate"/>
      </w:r>
      <w:r>
        <w:rPr>
          <w:rStyle w:val="27"/>
          <w:rFonts w:hint="eastAsia"/>
          <w:color w:val="auto"/>
          <w:highlight w:val="none"/>
          <w:u w:val="none"/>
        </w:rPr>
        <w:t>标准</w:t>
      </w:r>
      <w:r>
        <w:rPr>
          <w:rStyle w:val="27"/>
          <w:rFonts w:hint="eastAsia"/>
          <w:color w:val="auto"/>
          <w:highlight w:val="none"/>
          <w:u w:val="none"/>
          <w:lang w:val="en-US" w:eastAsia="zh-CN"/>
        </w:rPr>
        <w:t>制定</w:t>
      </w:r>
      <w:r>
        <w:rPr>
          <w:rStyle w:val="27"/>
          <w:rFonts w:hint="eastAsia"/>
          <w:color w:val="auto"/>
          <w:highlight w:val="none"/>
          <w:u w:val="none"/>
        </w:rPr>
        <w:t>目的和意义</w:t>
      </w:r>
      <w:r>
        <w:rPr>
          <w:color w:val="auto"/>
          <w:highlight w:val="none"/>
        </w:rPr>
        <w:tab/>
      </w:r>
      <w:r>
        <w:rPr>
          <w:rFonts w:hint="eastAsia"/>
          <w:color w:val="auto"/>
          <w:highlight w:val="none"/>
          <w:lang w:val="en-US" w:eastAsia="zh-CN"/>
        </w:rPr>
        <w:t>2</w:t>
      </w:r>
      <w:r>
        <w:rPr>
          <w:color w:val="auto"/>
          <w:highlight w:val="none"/>
        </w:rPr>
        <w:fldChar w:fldCharType="end"/>
      </w:r>
    </w:p>
    <w:p>
      <w:pPr>
        <w:pStyle w:val="11"/>
        <w:spacing w:beforeLines="0" w:after="0" w:afterLines="0" w:line="360" w:lineRule="auto"/>
        <w:rPr>
          <w:color w:val="auto"/>
          <w:kern w:val="2"/>
          <w:sz w:val="21"/>
          <w:highlight w:val="none"/>
        </w:rPr>
      </w:pPr>
      <w:r>
        <w:rPr>
          <w:rStyle w:val="27"/>
          <w:rFonts w:hint="eastAsia"/>
          <w:color w:val="auto"/>
          <w:highlight w:val="none"/>
          <w:u w:val="none"/>
          <w:lang w:val="en-US" w:eastAsia="zh-CN"/>
        </w:rPr>
        <w:t>二、</w:t>
      </w:r>
      <w:r>
        <w:rPr>
          <w:color w:val="auto"/>
          <w:highlight w:val="none"/>
        </w:rPr>
        <w:fldChar w:fldCharType="begin"/>
      </w:r>
      <w:r>
        <w:rPr>
          <w:color w:val="auto"/>
          <w:highlight w:val="none"/>
        </w:rPr>
        <w:instrText xml:space="preserve"> HYPERLINK \l "_Toc72612594" </w:instrText>
      </w:r>
      <w:r>
        <w:rPr>
          <w:color w:val="auto"/>
          <w:highlight w:val="none"/>
        </w:rPr>
        <w:fldChar w:fldCharType="separate"/>
      </w:r>
      <w:r>
        <w:rPr>
          <w:rStyle w:val="27"/>
          <w:rFonts w:hint="eastAsia"/>
          <w:color w:val="auto"/>
          <w:highlight w:val="none"/>
          <w:u w:val="none"/>
        </w:rPr>
        <w:t>标准</w:t>
      </w:r>
      <w:r>
        <w:rPr>
          <w:rStyle w:val="27"/>
          <w:rFonts w:hint="eastAsia"/>
          <w:color w:val="auto"/>
          <w:highlight w:val="none"/>
          <w:u w:val="none"/>
          <w:lang w:val="en-US" w:eastAsia="zh-CN"/>
        </w:rPr>
        <w:t>编制</w:t>
      </w:r>
      <w:r>
        <w:rPr>
          <w:rStyle w:val="27"/>
          <w:rFonts w:hint="eastAsia"/>
          <w:color w:val="auto"/>
          <w:highlight w:val="none"/>
          <w:u w:val="none"/>
        </w:rPr>
        <w:t>过程</w:t>
      </w:r>
      <w:r>
        <w:rPr>
          <w:color w:val="auto"/>
          <w:highlight w:val="none"/>
        </w:rPr>
        <w:tab/>
      </w:r>
      <w:r>
        <w:rPr>
          <w:rFonts w:hint="eastAsia"/>
          <w:color w:val="auto"/>
          <w:highlight w:val="none"/>
          <w:lang w:val="en-US" w:eastAsia="zh-CN"/>
        </w:rPr>
        <w:t>3</w:t>
      </w:r>
      <w:r>
        <w:rPr>
          <w:color w:val="auto"/>
          <w:highlight w:val="none"/>
        </w:rPr>
        <w:fldChar w:fldCharType="end"/>
      </w:r>
    </w:p>
    <w:p>
      <w:pPr>
        <w:pStyle w:val="13"/>
        <w:spacing w:beforeLines="0" w:after="0" w:afterLines="0" w:line="360" w:lineRule="auto"/>
        <w:rPr>
          <w:rFonts w:hint="eastAsia" w:eastAsia="宋体"/>
          <w:color w:val="auto"/>
          <w:highlight w:val="none"/>
          <w:lang w:val="en-US" w:eastAsia="zh-CN"/>
        </w:rPr>
      </w:pPr>
      <w:r>
        <w:rPr>
          <w:rFonts w:hint="eastAsia"/>
          <w:color w:val="auto"/>
          <w:highlight w:val="none"/>
          <w:lang w:eastAsia="zh-CN"/>
        </w:rPr>
        <w:t>（</w:t>
      </w:r>
      <w:r>
        <w:rPr>
          <w:rFonts w:hint="eastAsia"/>
          <w:color w:val="auto"/>
          <w:highlight w:val="none"/>
          <w:lang w:val="en-US" w:eastAsia="zh-CN"/>
        </w:rPr>
        <w:t>一）准备阶段</w:t>
      </w:r>
      <w:r>
        <w:rPr>
          <w:color w:val="auto"/>
          <w:highlight w:val="none"/>
        </w:rPr>
        <w:tab/>
      </w:r>
      <w:r>
        <w:rPr>
          <w:rFonts w:hint="eastAsia"/>
          <w:color w:val="auto"/>
          <w:highlight w:val="none"/>
          <w:lang w:val="en-US" w:eastAsia="zh-CN"/>
        </w:rPr>
        <w:t>3</w:t>
      </w:r>
    </w:p>
    <w:p>
      <w:pPr>
        <w:pStyle w:val="13"/>
        <w:spacing w:beforeLines="0" w:after="0" w:afterLines="0" w:line="360" w:lineRule="auto"/>
        <w:rPr>
          <w:rFonts w:hint="eastAsia" w:eastAsia="宋体"/>
          <w:color w:val="auto"/>
          <w:kern w:val="2"/>
          <w:sz w:val="21"/>
          <w:highlight w:val="none"/>
          <w:lang w:val="en-US" w:eastAsia="zh-CN"/>
        </w:rPr>
      </w:pPr>
      <w:r>
        <w:rPr>
          <w:color w:val="auto"/>
          <w:highlight w:val="none"/>
        </w:rPr>
        <w:fldChar w:fldCharType="begin"/>
      </w:r>
      <w:r>
        <w:rPr>
          <w:color w:val="auto"/>
          <w:highlight w:val="none"/>
        </w:rPr>
        <w:instrText xml:space="preserve"> HYPERLINK \l "_Toc72612595" </w:instrText>
      </w:r>
      <w:r>
        <w:rPr>
          <w:color w:val="auto"/>
          <w:highlight w:val="none"/>
        </w:rPr>
        <w:fldChar w:fldCharType="separate"/>
      </w:r>
      <w:r>
        <w:rPr>
          <w:rStyle w:val="27"/>
          <w:color w:val="auto"/>
          <w:highlight w:val="none"/>
          <w:u w:val="none"/>
        </w:rPr>
        <w:t>1</w:t>
      </w:r>
      <w:r>
        <w:rPr>
          <w:rStyle w:val="27"/>
          <w:rFonts w:hint="eastAsia"/>
          <w:color w:val="auto"/>
          <w:highlight w:val="none"/>
          <w:u w:val="none"/>
          <w:lang w:val="en-US" w:eastAsia="zh-CN"/>
        </w:rPr>
        <w:t>.组建团队</w:t>
      </w:r>
      <w:r>
        <w:rPr>
          <w:color w:val="auto"/>
          <w:highlight w:val="none"/>
        </w:rPr>
        <w:tab/>
      </w:r>
      <w:r>
        <w:rPr>
          <w:color w:val="auto"/>
          <w:highlight w:val="none"/>
        </w:rPr>
        <w:fldChar w:fldCharType="end"/>
      </w:r>
      <w:r>
        <w:rPr>
          <w:rFonts w:hint="eastAsia"/>
          <w:color w:val="auto"/>
          <w:highlight w:val="none"/>
          <w:lang w:val="en-US" w:eastAsia="zh-CN"/>
        </w:rPr>
        <w:t>3</w:t>
      </w:r>
    </w:p>
    <w:p>
      <w:pPr>
        <w:pStyle w:val="13"/>
        <w:spacing w:beforeLines="0" w:after="0" w:afterLines="0" w:line="360" w:lineRule="auto"/>
        <w:rPr>
          <w:color w:val="auto"/>
          <w:kern w:val="2"/>
          <w:sz w:val="21"/>
          <w:highlight w:val="none"/>
        </w:rPr>
      </w:pPr>
      <w:r>
        <w:rPr>
          <w:color w:val="auto"/>
          <w:highlight w:val="none"/>
        </w:rPr>
        <w:fldChar w:fldCharType="begin"/>
      </w:r>
      <w:r>
        <w:rPr>
          <w:color w:val="auto"/>
          <w:highlight w:val="none"/>
        </w:rPr>
        <w:instrText xml:space="preserve"> HYPERLINK \l "_Toc72612595" </w:instrText>
      </w:r>
      <w:r>
        <w:rPr>
          <w:color w:val="auto"/>
          <w:highlight w:val="none"/>
        </w:rPr>
        <w:fldChar w:fldCharType="separate"/>
      </w:r>
      <w:r>
        <w:rPr>
          <w:rStyle w:val="27"/>
          <w:rFonts w:hint="eastAsia"/>
          <w:color w:val="auto"/>
          <w:highlight w:val="none"/>
          <w:u w:val="none"/>
          <w:lang w:val="en-US" w:eastAsia="zh-CN"/>
        </w:rPr>
        <w:t>2</w:t>
      </w:r>
      <w:r>
        <w:rPr>
          <w:rStyle w:val="27"/>
          <w:rFonts w:hint="eastAsia"/>
          <w:color w:val="auto"/>
          <w:highlight w:val="none"/>
          <w:u w:val="none"/>
        </w:rPr>
        <w:t>.收集、查阅、整理相关资料</w:t>
      </w:r>
      <w:r>
        <w:rPr>
          <w:color w:val="auto"/>
          <w:highlight w:val="none"/>
        </w:rPr>
        <w:tab/>
      </w:r>
      <w:r>
        <w:rPr>
          <w:rFonts w:hint="eastAsia"/>
          <w:color w:val="auto"/>
          <w:highlight w:val="none"/>
          <w:lang w:val="en-US" w:eastAsia="zh-CN"/>
        </w:rPr>
        <w:t>3</w:t>
      </w:r>
      <w:r>
        <w:rPr>
          <w:color w:val="auto"/>
          <w:highlight w:val="none"/>
        </w:rPr>
        <w:fldChar w:fldCharType="end"/>
      </w:r>
    </w:p>
    <w:p>
      <w:pPr>
        <w:pStyle w:val="13"/>
        <w:spacing w:beforeLines="0" w:after="0" w:afterLines="0" w:line="360" w:lineRule="auto"/>
        <w:rPr>
          <w:color w:val="auto"/>
          <w:highlight w:val="none"/>
        </w:rPr>
      </w:pPr>
      <w:r>
        <w:rPr>
          <w:color w:val="auto"/>
          <w:highlight w:val="none"/>
        </w:rPr>
        <w:fldChar w:fldCharType="begin"/>
      </w:r>
      <w:r>
        <w:rPr>
          <w:color w:val="auto"/>
          <w:highlight w:val="none"/>
        </w:rPr>
        <w:instrText xml:space="preserve"> HYPERLINK \l "_Toc72612595" </w:instrText>
      </w:r>
      <w:r>
        <w:rPr>
          <w:color w:val="auto"/>
          <w:highlight w:val="none"/>
        </w:rPr>
        <w:fldChar w:fldCharType="separate"/>
      </w:r>
      <w:r>
        <w:rPr>
          <w:rStyle w:val="27"/>
          <w:rFonts w:hint="eastAsia"/>
          <w:color w:val="auto"/>
          <w:highlight w:val="none"/>
          <w:u w:val="none"/>
          <w:lang w:val="en-US" w:eastAsia="zh-CN"/>
        </w:rPr>
        <w:t>3</w:t>
      </w:r>
      <w:r>
        <w:rPr>
          <w:rStyle w:val="27"/>
          <w:rFonts w:hint="eastAsia"/>
          <w:color w:val="auto"/>
          <w:highlight w:val="none"/>
          <w:u w:val="none"/>
        </w:rPr>
        <w:t>.</w:t>
      </w:r>
      <w:r>
        <w:rPr>
          <w:rStyle w:val="27"/>
          <w:rFonts w:hint="eastAsia"/>
          <w:color w:val="auto"/>
          <w:highlight w:val="none"/>
          <w:u w:val="none"/>
          <w:lang w:val="en-US" w:eastAsia="zh-CN"/>
        </w:rPr>
        <w:t>背景</w:t>
      </w:r>
      <w:r>
        <w:rPr>
          <w:rStyle w:val="27"/>
          <w:rFonts w:hint="eastAsia"/>
          <w:color w:val="auto"/>
          <w:highlight w:val="none"/>
          <w:u w:val="none"/>
        </w:rPr>
        <w:t>分析</w:t>
      </w:r>
      <w:r>
        <w:rPr>
          <w:color w:val="auto"/>
          <w:highlight w:val="none"/>
        </w:rPr>
        <w:tab/>
      </w:r>
      <w:r>
        <w:rPr>
          <w:rFonts w:hint="eastAsia"/>
          <w:color w:val="auto"/>
          <w:highlight w:val="none"/>
          <w:lang w:val="en-US" w:eastAsia="zh-CN"/>
        </w:rPr>
        <w:t>3</w:t>
      </w:r>
      <w:r>
        <w:rPr>
          <w:color w:val="auto"/>
          <w:highlight w:val="none"/>
        </w:rPr>
        <w:fldChar w:fldCharType="end"/>
      </w:r>
    </w:p>
    <w:p>
      <w:pPr>
        <w:pStyle w:val="13"/>
        <w:spacing w:beforeLines="0" w:after="0" w:afterLines="0" w:line="360" w:lineRule="auto"/>
        <w:rPr>
          <w:color w:val="auto"/>
          <w:highlight w:val="none"/>
        </w:rPr>
      </w:pPr>
      <w:r>
        <w:rPr>
          <w:rFonts w:hint="eastAsia" w:ascii="Calibri" w:hAnsi="Calibri" w:eastAsia="宋体" w:cs="Times New Roman"/>
          <w:color w:val="auto"/>
          <w:highlight w:val="none"/>
        </w:rPr>
        <w:t>（二）起草工作阶段</w:t>
      </w:r>
      <w:r>
        <w:rPr>
          <w:color w:val="auto"/>
          <w:highlight w:val="none"/>
        </w:rPr>
        <w:fldChar w:fldCharType="begin"/>
      </w:r>
      <w:r>
        <w:rPr>
          <w:color w:val="auto"/>
          <w:highlight w:val="none"/>
        </w:rPr>
        <w:instrText xml:space="preserve"> HYPERLINK \l "_Toc72612595" </w:instrText>
      </w:r>
      <w:r>
        <w:rPr>
          <w:color w:val="auto"/>
          <w:highlight w:val="none"/>
        </w:rPr>
        <w:fldChar w:fldCharType="separate"/>
      </w:r>
      <w:r>
        <w:rPr>
          <w:color w:val="auto"/>
          <w:highlight w:val="none"/>
        </w:rPr>
        <w:tab/>
      </w:r>
      <w:r>
        <w:rPr>
          <w:rFonts w:hint="eastAsia"/>
          <w:color w:val="auto"/>
          <w:highlight w:val="none"/>
          <w:lang w:val="en-US" w:eastAsia="zh-CN"/>
        </w:rPr>
        <w:t>3</w:t>
      </w:r>
      <w:r>
        <w:rPr>
          <w:color w:val="auto"/>
          <w:highlight w:val="none"/>
        </w:rPr>
        <w:fldChar w:fldCharType="end"/>
      </w:r>
      <w:r>
        <w:rPr>
          <w:color w:val="auto"/>
          <w:highlight w:val="none"/>
        </w:rPr>
        <w:tab/>
      </w:r>
    </w:p>
    <w:p>
      <w:pPr>
        <w:pStyle w:val="13"/>
        <w:spacing w:beforeLines="0" w:after="0" w:afterLines="0" w:line="360" w:lineRule="auto"/>
        <w:rPr>
          <w:rFonts w:hint="default" w:eastAsia="微软雅黑"/>
          <w:lang w:val="en-US" w:eastAsia="zh-CN"/>
        </w:rPr>
      </w:pPr>
      <w:r>
        <w:rPr>
          <w:color w:val="auto"/>
          <w:highlight w:val="none"/>
        </w:rPr>
        <w:fldChar w:fldCharType="begin"/>
      </w:r>
      <w:r>
        <w:rPr>
          <w:color w:val="auto"/>
          <w:highlight w:val="none"/>
        </w:rPr>
        <w:instrText xml:space="preserve"> HYPERLINK \l "_Toc72612595" </w:instrText>
      </w:r>
      <w:r>
        <w:rPr>
          <w:color w:val="auto"/>
          <w:highlight w:val="none"/>
        </w:rPr>
        <w:fldChar w:fldCharType="separate"/>
      </w:r>
      <w:r>
        <w:rPr>
          <w:rStyle w:val="27"/>
          <w:rFonts w:hint="eastAsia"/>
          <w:color w:val="auto"/>
          <w:highlight w:val="none"/>
          <w:u w:val="none"/>
          <w:lang w:val="en-US" w:eastAsia="zh-CN"/>
        </w:rPr>
        <w:t>1</w:t>
      </w:r>
      <w:r>
        <w:rPr>
          <w:rStyle w:val="27"/>
          <w:rFonts w:hint="eastAsia"/>
          <w:color w:val="auto"/>
          <w:highlight w:val="none"/>
          <w:u w:val="none"/>
        </w:rPr>
        <w:t>.</w:t>
      </w:r>
      <w:r>
        <w:rPr>
          <w:rStyle w:val="27"/>
          <w:rFonts w:hint="eastAsia"/>
          <w:color w:val="auto"/>
          <w:highlight w:val="none"/>
          <w:u w:val="none"/>
          <w:lang w:val="en-US" w:eastAsia="zh-CN"/>
        </w:rPr>
        <w:t>起草标准框架</w:t>
      </w:r>
      <w:r>
        <w:rPr>
          <w:color w:val="auto"/>
          <w:highlight w:val="none"/>
        </w:rPr>
        <w:tab/>
      </w:r>
      <w:r>
        <w:rPr>
          <w:rFonts w:hint="eastAsia"/>
          <w:color w:val="auto"/>
          <w:highlight w:val="none"/>
          <w:lang w:val="en-US" w:eastAsia="zh-CN"/>
        </w:rPr>
        <w:t>5</w:t>
      </w:r>
      <w:r>
        <w:rPr>
          <w:color w:val="auto"/>
          <w:highlight w:val="none"/>
        </w:rPr>
        <w:fldChar w:fldCharType="end"/>
      </w:r>
    </w:p>
    <w:p>
      <w:pPr>
        <w:pStyle w:val="13"/>
        <w:spacing w:beforeLines="0" w:after="0" w:afterLines="0" w:line="360" w:lineRule="auto"/>
        <w:rPr>
          <w:color w:val="auto"/>
          <w:highlight w:val="none"/>
        </w:rPr>
      </w:pPr>
      <w:r>
        <w:rPr>
          <w:color w:val="auto"/>
          <w:highlight w:val="none"/>
        </w:rPr>
        <w:fldChar w:fldCharType="begin"/>
      </w:r>
      <w:r>
        <w:rPr>
          <w:color w:val="auto"/>
          <w:highlight w:val="none"/>
        </w:rPr>
        <w:instrText xml:space="preserve"> HYPERLINK \l "_Toc72612595" </w:instrText>
      </w:r>
      <w:r>
        <w:rPr>
          <w:color w:val="auto"/>
          <w:highlight w:val="none"/>
        </w:rPr>
        <w:fldChar w:fldCharType="separate"/>
      </w:r>
      <w:r>
        <w:rPr>
          <w:rStyle w:val="27"/>
          <w:rFonts w:hint="eastAsia"/>
          <w:color w:val="auto"/>
          <w:highlight w:val="none"/>
          <w:u w:val="none"/>
          <w:lang w:val="en-US" w:eastAsia="zh-CN"/>
        </w:rPr>
        <w:t>2制定标准初稿</w:t>
      </w:r>
      <w:r>
        <w:rPr>
          <w:color w:val="auto"/>
          <w:highlight w:val="none"/>
        </w:rPr>
        <w:tab/>
      </w:r>
      <w:r>
        <w:rPr>
          <w:rFonts w:hint="eastAsia"/>
          <w:color w:val="auto"/>
          <w:highlight w:val="none"/>
          <w:lang w:val="en-US" w:eastAsia="zh-CN"/>
        </w:rPr>
        <w:t>7</w:t>
      </w:r>
      <w:r>
        <w:rPr>
          <w:color w:val="auto"/>
          <w:highlight w:val="none"/>
        </w:rPr>
        <w:fldChar w:fldCharType="end"/>
      </w:r>
    </w:p>
    <w:p>
      <w:pPr>
        <w:pStyle w:val="13"/>
        <w:spacing w:beforeLines="0" w:after="0" w:afterLines="0" w:line="360" w:lineRule="auto"/>
        <w:rPr>
          <w:rFonts w:hint="eastAsia"/>
          <w:lang w:val="en-US" w:eastAsia="zh-CN"/>
        </w:rPr>
      </w:pPr>
      <w:r>
        <w:rPr>
          <w:color w:val="auto"/>
          <w:highlight w:val="none"/>
        </w:rPr>
        <w:fldChar w:fldCharType="begin"/>
      </w:r>
      <w:r>
        <w:rPr>
          <w:color w:val="auto"/>
          <w:highlight w:val="none"/>
        </w:rPr>
        <w:instrText xml:space="preserve"> HYPERLINK \l "_Toc72612595" </w:instrText>
      </w:r>
      <w:r>
        <w:rPr>
          <w:color w:val="auto"/>
          <w:highlight w:val="none"/>
        </w:rPr>
        <w:fldChar w:fldCharType="separate"/>
      </w:r>
      <w:r>
        <w:rPr>
          <w:rStyle w:val="27"/>
          <w:rFonts w:hint="eastAsia"/>
          <w:color w:val="auto"/>
          <w:highlight w:val="none"/>
          <w:u w:val="none"/>
          <w:lang w:val="en-US" w:eastAsia="zh-CN"/>
        </w:rPr>
        <w:t>3.标准完善过程</w:t>
      </w:r>
      <w:r>
        <w:rPr>
          <w:color w:val="auto"/>
          <w:highlight w:val="none"/>
        </w:rPr>
        <w:tab/>
      </w:r>
      <w:r>
        <w:rPr>
          <w:rFonts w:hint="eastAsia"/>
          <w:color w:val="auto"/>
          <w:highlight w:val="none"/>
          <w:lang w:val="en-US" w:eastAsia="zh-CN"/>
        </w:rPr>
        <w:t>7</w:t>
      </w:r>
      <w:r>
        <w:rPr>
          <w:color w:val="auto"/>
          <w:highlight w:val="none"/>
        </w:rPr>
        <w:fldChar w:fldCharType="end"/>
      </w:r>
    </w:p>
    <w:p>
      <w:pPr>
        <w:pStyle w:val="13"/>
        <w:spacing w:beforeLines="0" w:after="0" w:afterLines="0" w:line="360" w:lineRule="auto"/>
        <w:rPr>
          <w:color w:val="auto"/>
          <w:highlight w:val="none"/>
        </w:rPr>
      </w:pPr>
      <w:r>
        <w:rPr>
          <w:color w:val="auto"/>
          <w:highlight w:val="none"/>
        </w:rPr>
        <w:fldChar w:fldCharType="begin"/>
      </w:r>
      <w:r>
        <w:rPr>
          <w:color w:val="auto"/>
          <w:highlight w:val="none"/>
        </w:rPr>
        <w:instrText xml:space="preserve"> HYPERLINK \l "_Toc72612595" </w:instrText>
      </w:r>
      <w:r>
        <w:rPr>
          <w:color w:val="auto"/>
          <w:highlight w:val="none"/>
        </w:rPr>
        <w:fldChar w:fldCharType="separate"/>
      </w:r>
      <w:r>
        <w:rPr>
          <w:rStyle w:val="27"/>
          <w:rFonts w:hint="eastAsia"/>
          <w:color w:val="auto"/>
          <w:highlight w:val="none"/>
          <w:u w:val="none"/>
          <w:lang w:val="en-US" w:eastAsia="zh-CN"/>
        </w:rPr>
        <w:t>4</w:t>
      </w:r>
      <w:r>
        <w:rPr>
          <w:rStyle w:val="27"/>
          <w:rFonts w:hint="eastAsia"/>
          <w:color w:val="auto"/>
          <w:highlight w:val="none"/>
          <w:u w:val="none"/>
        </w:rPr>
        <w:t>.标准</w:t>
      </w:r>
      <w:r>
        <w:rPr>
          <w:rStyle w:val="27"/>
          <w:rFonts w:hint="eastAsia"/>
          <w:color w:val="auto"/>
          <w:highlight w:val="none"/>
          <w:u w:val="none"/>
          <w:lang w:val="en-US" w:eastAsia="zh-CN"/>
        </w:rPr>
        <w:t>研讨</w:t>
      </w:r>
      <w:r>
        <w:rPr>
          <w:color w:val="auto"/>
          <w:highlight w:val="none"/>
        </w:rPr>
        <w:tab/>
      </w:r>
      <w:r>
        <w:rPr>
          <w:rFonts w:hint="eastAsia"/>
          <w:color w:val="auto"/>
          <w:highlight w:val="none"/>
          <w:lang w:val="en-US" w:eastAsia="zh-CN"/>
        </w:rPr>
        <w:t>7</w:t>
      </w:r>
      <w:r>
        <w:rPr>
          <w:color w:val="auto"/>
          <w:highlight w:val="none"/>
        </w:rPr>
        <w:fldChar w:fldCharType="end"/>
      </w:r>
    </w:p>
    <w:p>
      <w:pPr>
        <w:pStyle w:val="11"/>
        <w:spacing w:beforeLines="0" w:after="0" w:afterLines="0" w:line="360" w:lineRule="auto"/>
        <w:rPr>
          <w:color w:val="auto"/>
          <w:kern w:val="2"/>
          <w:sz w:val="21"/>
          <w:highlight w:val="none"/>
        </w:rPr>
      </w:pPr>
      <w:r>
        <w:rPr>
          <w:color w:val="auto"/>
          <w:highlight w:val="none"/>
        </w:rPr>
        <w:fldChar w:fldCharType="begin"/>
      </w:r>
      <w:r>
        <w:rPr>
          <w:color w:val="auto"/>
          <w:highlight w:val="none"/>
        </w:rPr>
        <w:instrText xml:space="preserve"> HYPERLINK \l "_Toc72612597" </w:instrText>
      </w:r>
      <w:r>
        <w:rPr>
          <w:color w:val="auto"/>
          <w:highlight w:val="none"/>
        </w:rPr>
        <w:fldChar w:fldCharType="separate"/>
      </w:r>
      <w:r>
        <w:rPr>
          <w:rStyle w:val="27"/>
          <w:rFonts w:hint="eastAsia"/>
          <w:color w:val="auto"/>
          <w:highlight w:val="none"/>
          <w:u w:val="none"/>
          <w:lang w:val="en-US" w:eastAsia="zh-CN"/>
        </w:rPr>
        <w:t>三</w:t>
      </w:r>
      <w:r>
        <w:rPr>
          <w:rStyle w:val="27"/>
          <w:rFonts w:hint="eastAsia"/>
          <w:color w:val="auto"/>
          <w:highlight w:val="none"/>
          <w:u w:val="none"/>
        </w:rPr>
        <w:t>、标准格式编制依据</w:t>
      </w:r>
      <w:r>
        <w:rPr>
          <w:color w:val="auto"/>
          <w:highlight w:val="none"/>
        </w:rPr>
        <w:tab/>
      </w:r>
      <w:r>
        <w:rPr>
          <w:rFonts w:hint="eastAsia"/>
          <w:color w:val="auto"/>
          <w:highlight w:val="none"/>
          <w:lang w:val="en-US" w:eastAsia="zh-CN"/>
        </w:rPr>
        <w:t>8</w:t>
      </w:r>
      <w:r>
        <w:rPr>
          <w:color w:val="auto"/>
          <w:highlight w:val="none"/>
        </w:rPr>
        <w:fldChar w:fldCharType="end"/>
      </w:r>
    </w:p>
    <w:p>
      <w:pPr>
        <w:pStyle w:val="13"/>
        <w:spacing w:beforeLines="0" w:after="0" w:afterLines="0" w:line="360" w:lineRule="auto"/>
        <w:rPr>
          <w:color w:val="auto"/>
          <w:kern w:val="2"/>
          <w:sz w:val="21"/>
          <w:highlight w:val="none"/>
        </w:rPr>
      </w:pPr>
      <w:r>
        <w:rPr>
          <w:color w:val="auto"/>
          <w:highlight w:val="none"/>
        </w:rPr>
        <w:fldChar w:fldCharType="begin"/>
      </w:r>
      <w:r>
        <w:rPr>
          <w:color w:val="auto"/>
          <w:highlight w:val="none"/>
        </w:rPr>
        <w:instrText xml:space="preserve"> HYPERLINK \l "_Toc72612598" </w:instrText>
      </w:r>
      <w:r>
        <w:rPr>
          <w:color w:val="auto"/>
          <w:highlight w:val="none"/>
        </w:rPr>
        <w:fldChar w:fldCharType="separate"/>
      </w:r>
      <w:r>
        <w:rPr>
          <w:rStyle w:val="27"/>
          <w:rFonts w:hint="eastAsia"/>
          <w:color w:val="auto"/>
          <w:highlight w:val="none"/>
          <w:u w:val="none"/>
        </w:rPr>
        <w:t>1.编制原则</w:t>
      </w:r>
      <w:r>
        <w:rPr>
          <w:color w:val="auto"/>
          <w:highlight w:val="none"/>
        </w:rPr>
        <w:tab/>
      </w:r>
      <w:r>
        <w:rPr>
          <w:rFonts w:hint="eastAsia"/>
          <w:color w:val="auto"/>
          <w:highlight w:val="none"/>
          <w:lang w:val="en-US" w:eastAsia="zh-CN"/>
        </w:rPr>
        <w:t>8</w:t>
      </w:r>
      <w:r>
        <w:rPr>
          <w:color w:val="auto"/>
          <w:highlight w:val="none"/>
        </w:rPr>
        <w:fldChar w:fldCharType="end"/>
      </w:r>
    </w:p>
    <w:p>
      <w:pPr>
        <w:pStyle w:val="13"/>
        <w:spacing w:beforeLines="0" w:after="0" w:afterLines="0" w:line="360" w:lineRule="auto"/>
        <w:rPr>
          <w:rFonts w:hint="eastAsia" w:eastAsia="宋体"/>
          <w:color w:val="auto"/>
          <w:kern w:val="2"/>
          <w:sz w:val="21"/>
          <w:highlight w:val="none"/>
          <w:lang w:val="en-US" w:eastAsia="zh-CN"/>
        </w:rPr>
      </w:pPr>
      <w:r>
        <w:rPr>
          <w:color w:val="auto"/>
          <w:highlight w:val="none"/>
        </w:rPr>
        <w:fldChar w:fldCharType="begin"/>
      </w:r>
      <w:r>
        <w:rPr>
          <w:color w:val="auto"/>
          <w:highlight w:val="none"/>
        </w:rPr>
        <w:instrText xml:space="preserve"> HYPERLINK \l "_Toc72612599" </w:instrText>
      </w:r>
      <w:r>
        <w:rPr>
          <w:color w:val="auto"/>
          <w:highlight w:val="none"/>
        </w:rPr>
        <w:fldChar w:fldCharType="separate"/>
      </w:r>
      <w:r>
        <w:rPr>
          <w:rStyle w:val="27"/>
          <w:rFonts w:hint="eastAsia"/>
          <w:color w:val="auto"/>
          <w:highlight w:val="none"/>
          <w:u w:val="none"/>
        </w:rPr>
        <w:t>2.</w:t>
      </w:r>
      <w:r>
        <w:rPr>
          <w:rStyle w:val="27"/>
          <w:rFonts w:hint="eastAsia"/>
          <w:color w:val="auto"/>
          <w:highlight w:val="none"/>
          <w:u w:val="none"/>
          <w:lang w:val="en-US" w:eastAsia="zh-CN"/>
        </w:rPr>
        <w:t>与现行法律、法规、标准的关系</w:t>
      </w:r>
      <w:r>
        <w:rPr>
          <w:color w:val="auto"/>
          <w:highlight w:val="none"/>
        </w:rPr>
        <w:tab/>
      </w:r>
      <w:r>
        <w:rPr>
          <w:rFonts w:hint="eastAsia"/>
          <w:color w:val="auto"/>
          <w:highlight w:val="none"/>
          <w:lang w:val="en-US" w:eastAsia="zh-CN"/>
        </w:rPr>
        <w:t>8</w:t>
      </w:r>
      <w:r>
        <w:rPr>
          <w:color w:val="auto"/>
          <w:highlight w:val="none"/>
        </w:rPr>
        <w:fldChar w:fldCharType="end"/>
      </w:r>
    </w:p>
    <w:p>
      <w:pPr>
        <w:pStyle w:val="13"/>
        <w:spacing w:beforeLines="0" w:after="0" w:afterLines="0" w:line="360" w:lineRule="auto"/>
        <w:rPr>
          <w:rFonts w:hint="eastAsia" w:eastAsia="宋体"/>
          <w:color w:val="auto"/>
          <w:kern w:val="2"/>
          <w:sz w:val="21"/>
          <w:highlight w:val="none"/>
          <w:lang w:val="en-US" w:eastAsia="zh-CN"/>
        </w:rPr>
      </w:pPr>
      <w:r>
        <w:rPr>
          <w:color w:val="auto"/>
          <w:highlight w:val="none"/>
        </w:rPr>
        <w:fldChar w:fldCharType="begin"/>
      </w:r>
      <w:r>
        <w:rPr>
          <w:color w:val="auto"/>
          <w:highlight w:val="none"/>
        </w:rPr>
        <w:instrText xml:space="preserve"> HYPERLINK \l "_Toc72612600" </w:instrText>
      </w:r>
      <w:r>
        <w:rPr>
          <w:color w:val="auto"/>
          <w:highlight w:val="none"/>
        </w:rPr>
        <w:fldChar w:fldCharType="separate"/>
      </w:r>
      <w:r>
        <w:rPr>
          <w:rStyle w:val="27"/>
          <w:rFonts w:hint="eastAsia"/>
          <w:color w:val="auto"/>
          <w:highlight w:val="none"/>
          <w:u w:val="none"/>
        </w:rPr>
        <w:t>3.标准定义及适用范围</w:t>
      </w:r>
      <w:r>
        <w:rPr>
          <w:color w:val="auto"/>
          <w:highlight w:val="none"/>
        </w:rPr>
        <w:tab/>
      </w:r>
      <w:r>
        <w:rPr>
          <w:rFonts w:hint="eastAsia"/>
          <w:color w:val="auto"/>
          <w:highlight w:val="none"/>
          <w:lang w:val="en-US" w:eastAsia="zh-CN"/>
        </w:rPr>
        <w:t>8</w:t>
      </w:r>
      <w:r>
        <w:rPr>
          <w:color w:val="auto"/>
          <w:highlight w:val="none"/>
        </w:rPr>
        <w:fldChar w:fldCharType="end"/>
      </w:r>
    </w:p>
    <w:p>
      <w:pPr>
        <w:pStyle w:val="13"/>
        <w:spacing w:beforeLines="0" w:after="0" w:afterLines="0" w:line="360" w:lineRule="auto"/>
        <w:rPr>
          <w:rFonts w:hint="eastAsia" w:eastAsia="宋体"/>
          <w:color w:val="auto"/>
          <w:kern w:val="2"/>
          <w:sz w:val="21"/>
          <w:highlight w:val="none"/>
          <w:lang w:val="en-US" w:eastAsia="zh-CN"/>
        </w:rPr>
      </w:pPr>
      <w:r>
        <w:rPr>
          <w:color w:val="auto"/>
          <w:highlight w:val="none"/>
        </w:rPr>
        <w:fldChar w:fldCharType="begin"/>
      </w:r>
      <w:r>
        <w:rPr>
          <w:color w:val="auto"/>
          <w:highlight w:val="none"/>
        </w:rPr>
        <w:instrText xml:space="preserve"> HYPERLINK \l "_Toc72612601" </w:instrText>
      </w:r>
      <w:r>
        <w:rPr>
          <w:color w:val="auto"/>
          <w:highlight w:val="none"/>
        </w:rPr>
        <w:fldChar w:fldCharType="separate"/>
      </w:r>
      <w:r>
        <w:rPr>
          <w:rStyle w:val="27"/>
          <w:rFonts w:hint="eastAsia"/>
          <w:color w:val="auto"/>
          <w:highlight w:val="none"/>
          <w:u w:val="none"/>
        </w:rPr>
        <w:t>4.标准技术要求</w:t>
      </w:r>
      <w:r>
        <w:rPr>
          <w:color w:val="auto"/>
          <w:highlight w:val="none"/>
        </w:rPr>
        <w:tab/>
      </w:r>
      <w:r>
        <w:rPr>
          <w:rFonts w:hint="eastAsia"/>
          <w:color w:val="auto"/>
          <w:highlight w:val="none"/>
          <w:lang w:val="en-US" w:eastAsia="zh-CN"/>
        </w:rPr>
        <w:t>8</w:t>
      </w:r>
      <w:r>
        <w:rPr>
          <w:color w:val="auto"/>
          <w:highlight w:val="none"/>
        </w:rPr>
        <w:fldChar w:fldCharType="end"/>
      </w:r>
    </w:p>
    <w:p>
      <w:pPr>
        <w:pStyle w:val="11"/>
        <w:spacing w:beforeLines="0" w:after="0" w:afterLines="0" w:line="360" w:lineRule="auto"/>
        <w:rPr>
          <w:rStyle w:val="27"/>
          <w:rFonts w:hint="eastAsia" w:eastAsia="宋体"/>
          <w:color w:val="auto"/>
          <w:highlight w:val="none"/>
          <w:lang w:val="en-US" w:eastAsia="zh-CN"/>
        </w:rPr>
      </w:pPr>
      <w:r>
        <w:rPr>
          <w:color w:val="auto"/>
          <w:highlight w:val="none"/>
        </w:rPr>
        <w:fldChar w:fldCharType="begin"/>
      </w:r>
      <w:r>
        <w:rPr>
          <w:color w:val="auto"/>
          <w:highlight w:val="none"/>
        </w:rPr>
        <w:instrText xml:space="preserve"> HYPERLINK \l "_Toc72612603" </w:instrText>
      </w:r>
      <w:r>
        <w:rPr>
          <w:color w:val="auto"/>
          <w:highlight w:val="none"/>
        </w:rPr>
        <w:fldChar w:fldCharType="separate"/>
      </w:r>
      <w:r>
        <w:rPr>
          <w:rStyle w:val="27"/>
          <w:rFonts w:hint="eastAsia"/>
          <w:color w:val="auto"/>
          <w:highlight w:val="none"/>
          <w:u w:val="none"/>
          <w:lang w:val="en-US" w:eastAsia="zh-CN"/>
        </w:rPr>
        <w:t>四</w:t>
      </w:r>
      <w:r>
        <w:rPr>
          <w:rStyle w:val="27"/>
          <w:rFonts w:hint="eastAsia"/>
          <w:color w:val="auto"/>
          <w:highlight w:val="none"/>
          <w:u w:val="none"/>
        </w:rPr>
        <w:t>、主要实验的分析、论证、效果</w:t>
      </w:r>
      <w:r>
        <w:rPr>
          <w:color w:val="auto"/>
          <w:highlight w:val="none"/>
        </w:rPr>
        <w:tab/>
      </w:r>
      <w:r>
        <w:rPr>
          <w:rFonts w:hint="eastAsia"/>
          <w:color w:val="auto"/>
          <w:highlight w:val="none"/>
          <w:lang w:val="en-US" w:eastAsia="zh-CN"/>
        </w:rPr>
        <w:t>9</w:t>
      </w:r>
      <w:r>
        <w:rPr>
          <w:color w:val="auto"/>
          <w:highlight w:val="none"/>
        </w:rPr>
        <w:fldChar w:fldCharType="end"/>
      </w:r>
    </w:p>
    <w:p>
      <w:pPr>
        <w:pStyle w:val="11"/>
        <w:spacing w:beforeLines="0" w:after="0" w:afterLines="0" w:line="360" w:lineRule="auto"/>
        <w:rPr>
          <w:rStyle w:val="27"/>
          <w:rFonts w:hint="eastAsia" w:eastAsia="宋体"/>
          <w:color w:val="auto"/>
          <w:highlight w:val="none"/>
          <w:lang w:val="en-US" w:eastAsia="zh-CN"/>
        </w:rPr>
      </w:pPr>
      <w:r>
        <w:rPr>
          <w:color w:val="auto"/>
          <w:highlight w:val="none"/>
        </w:rPr>
        <w:fldChar w:fldCharType="begin"/>
      </w:r>
      <w:r>
        <w:rPr>
          <w:color w:val="auto"/>
          <w:highlight w:val="none"/>
        </w:rPr>
        <w:instrText xml:space="preserve"> HYPERLINK \l "_Toc72612603" </w:instrText>
      </w:r>
      <w:r>
        <w:rPr>
          <w:color w:val="auto"/>
          <w:highlight w:val="none"/>
        </w:rPr>
        <w:fldChar w:fldCharType="separate"/>
      </w:r>
      <w:r>
        <w:rPr>
          <w:rStyle w:val="27"/>
          <w:rFonts w:hint="eastAsia"/>
          <w:color w:val="auto"/>
          <w:highlight w:val="none"/>
          <w:u w:val="none"/>
          <w:lang w:val="en-US" w:eastAsia="zh-CN"/>
        </w:rPr>
        <w:t>五</w:t>
      </w:r>
      <w:r>
        <w:rPr>
          <w:rStyle w:val="27"/>
          <w:rFonts w:hint="eastAsia"/>
          <w:color w:val="auto"/>
          <w:highlight w:val="none"/>
          <w:u w:val="none"/>
        </w:rPr>
        <w:t>、</w:t>
      </w:r>
      <w:r>
        <w:rPr>
          <w:color w:val="auto"/>
          <w:highlight w:val="none"/>
        </w:rPr>
        <w:t>标准涉及的相关知识产权情况</w:t>
      </w:r>
      <w:r>
        <w:rPr>
          <w:color w:val="auto"/>
          <w:highlight w:val="none"/>
        </w:rPr>
        <w:tab/>
      </w:r>
      <w:r>
        <w:rPr>
          <w:rFonts w:hint="eastAsia"/>
          <w:color w:val="auto"/>
          <w:highlight w:val="none"/>
          <w:lang w:val="en-US" w:eastAsia="zh-CN"/>
        </w:rPr>
        <w:t>9</w:t>
      </w:r>
      <w:r>
        <w:rPr>
          <w:color w:val="auto"/>
          <w:highlight w:val="none"/>
        </w:rPr>
        <w:fldChar w:fldCharType="end"/>
      </w:r>
    </w:p>
    <w:p>
      <w:pPr>
        <w:pStyle w:val="11"/>
        <w:spacing w:beforeLines="0" w:after="0" w:afterLines="0" w:line="360" w:lineRule="auto"/>
        <w:rPr>
          <w:color w:val="auto"/>
          <w:highlight w:val="none"/>
        </w:rPr>
      </w:pPr>
      <w:r>
        <w:rPr>
          <w:color w:val="auto"/>
          <w:highlight w:val="none"/>
        </w:rPr>
        <w:fldChar w:fldCharType="begin"/>
      </w:r>
      <w:r>
        <w:rPr>
          <w:color w:val="auto"/>
          <w:highlight w:val="none"/>
        </w:rPr>
        <w:instrText xml:space="preserve"> HYPERLINK \l "_Toc72612603" </w:instrText>
      </w:r>
      <w:r>
        <w:rPr>
          <w:color w:val="auto"/>
          <w:highlight w:val="none"/>
        </w:rPr>
        <w:fldChar w:fldCharType="separate"/>
      </w:r>
      <w:r>
        <w:rPr>
          <w:rStyle w:val="27"/>
          <w:rFonts w:hint="eastAsia"/>
          <w:color w:val="auto"/>
          <w:highlight w:val="none"/>
          <w:u w:val="none"/>
          <w:lang w:val="en-US" w:eastAsia="zh-CN"/>
        </w:rPr>
        <w:t>六</w:t>
      </w:r>
      <w:r>
        <w:rPr>
          <w:rStyle w:val="27"/>
          <w:rFonts w:hint="eastAsia"/>
          <w:color w:val="auto"/>
          <w:highlight w:val="none"/>
          <w:u w:val="none"/>
        </w:rPr>
        <w:t>、</w:t>
      </w:r>
      <w:r>
        <w:rPr>
          <w:color w:val="auto"/>
          <w:highlight w:val="none"/>
        </w:rPr>
        <w:t>重大分歧意见的处理经过和依据</w:t>
      </w:r>
      <w:r>
        <w:rPr>
          <w:color w:val="auto"/>
          <w:highlight w:val="none"/>
        </w:rPr>
        <w:tab/>
      </w:r>
      <w:r>
        <w:rPr>
          <w:rFonts w:hint="eastAsia"/>
          <w:color w:val="auto"/>
          <w:highlight w:val="none"/>
          <w:lang w:val="en-US" w:eastAsia="zh-CN"/>
        </w:rPr>
        <w:t>9</w:t>
      </w:r>
      <w:r>
        <w:rPr>
          <w:color w:val="auto"/>
          <w:highlight w:val="none"/>
        </w:rPr>
        <w:fldChar w:fldCharType="end"/>
      </w:r>
    </w:p>
    <w:p>
      <w:pPr>
        <w:rPr>
          <w:rStyle w:val="27"/>
          <w:rFonts w:hint="eastAsia" w:ascii="Times New Roman" w:hAnsi="Times New Roman" w:eastAsia="宋体" w:cs="Times New Roman"/>
          <w:color w:val="auto"/>
          <w:sz w:val="22"/>
          <w:szCs w:val="22"/>
          <w:highlight w:val="none"/>
          <w:lang w:val="en-US" w:eastAsia="zh-CN" w:bidi="ar-SA"/>
        </w:rPr>
      </w:pPr>
      <w:r>
        <w:rPr>
          <w:rStyle w:val="27"/>
          <w:rFonts w:hint="eastAsia" w:ascii="Times New Roman" w:hAnsi="Times New Roman" w:eastAsia="宋体" w:cs="Times New Roman"/>
          <w:color w:val="auto"/>
          <w:sz w:val="22"/>
          <w:szCs w:val="22"/>
          <w:highlight w:val="none"/>
          <w:lang w:val="en-US" w:eastAsia="zh-CN" w:bidi="ar-SA"/>
        </w:rPr>
        <w:t>七、废止现行有关标准的建议......................................................................................................9</w:t>
      </w:r>
    </w:p>
    <w:p>
      <w:pPr>
        <w:rPr>
          <w:color w:val="auto"/>
          <w:highlight w:val="none"/>
        </w:rPr>
      </w:pPr>
      <w:r>
        <w:rPr>
          <w:rStyle w:val="27"/>
          <w:rFonts w:hint="eastAsia" w:ascii="Times New Roman" w:hAnsi="Times New Roman" w:eastAsia="宋体" w:cs="Times New Roman"/>
          <w:color w:val="auto"/>
          <w:sz w:val="22"/>
          <w:szCs w:val="22"/>
          <w:highlight w:val="none"/>
          <w:lang w:val="en-US" w:eastAsia="zh-CN" w:bidi="ar-SA"/>
        </w:rPr>
        <w:fldChar w:fldCharType="begin"/>
      </w:r>
      <w:r>
        <w:rPr>
          <w:rStyle w:val="27"/>
          <w:rFonts w:hint="eastAsia" w:ascii="Times New Roman" w:hAnsi="Times New Roman" w:eastAsia="宋体" w:cs="Times New Roman"/>
          <w:color w:val="auto"/>
          <w:sz w:val="22"/>
          <w:szCs w:val="22"/>
          <w:highlight w:val="none"/>
          <w:lang w:val="en-US" w:eastAsia="zh-CN" w:bidi="ar-SA"/>
        </w:rPr>
        <w:instrText xml:space="preserve"> HYPERLINK \l "_Toc72612603" </w:instrText>
      </w:r>
      <w:r>
        <w:rPr>
          <w:rStyle w:val="27"/>
          <w:rFonts w:hint="eastAsia" w:ascii="Times New Roman" w:hAnsi="Times New Roman" w:eastAsia="宋体" w:cs="Times New Roman"/>
          <w:color w:val="auto"/>
          <w:sz w:val="22"/>
          <w:szCs w:val="22"/>
          <w:highlight w:val="none"/>
          <w:lang w:val="en-US" w:eastAsia="zh-CN" w:bidi="ar-SA"/>
        </w:rPr>
        <w:fldChar w:fldCharType="separate"/>
      </w:r>
      <w:r>
        <w:rPr>
          <w:rStyle w:val="27"/>
          <w:rFonts w:hint="eastAsia" w:ascii="Times New Roman" w:hAnsi="Times New Roman" w:eastAsia="宋体" w:cs="Times New Roman"/>
          <w:color w:val="auto"/>
          <w:sz w:val="22"/>
          <w:szCs w:val="22"/>
          <w:highlight w:val="none"/>
          <w:lang w:val="en-US" w:eastAsia="zh-CN" w:bidi="ar-SA"/>
        </w:rPr>
        <w:t>八、其它应予说明的事项..............................................................................................................9</w:t>
      </w:r>
      <w:r>
        <w:rPr>
          <w:rStyle w:val="27"/>
          <w:rFonts w:hint="eastAsia" w:ascii="Times New Roman" w:hAnsi="Times New Roman" w:eastAsia="宋体" w:cs="Times New Roman"/>
          <w:color w:val="auto"/>
          <w:sz w:val="22"/>
          <w:szCs w:val="22"/>
          <w:highlight w:val="none"/>
          <w:lang w:val="en-US" w:eastAsia="zh-CN" w:bidi="ar-SA"/>
        </w:rPr>
        <w:fldChar w:fldCharType="end"/>
      </w:r>
    </w:p>
    <w:p>
      <w:pPr>
        <w:rPr>
          <w:rFonts w:hint="eastAsia"/>
          <w:lang w:val="en-US" w:eastAsia="zh-CN"/>
        </w:rPr>
        <w:sectPr>
          <w:footerReference r:id="rId6" w:type="default"/>
          <w:pgSz w:w="11910" w:h="16840"/>
          <w:pgMar w:top="1400" w:right="1360" w:bottom="1380" w:left="1380" w:header="0" w:footer="1182" w:gutter="0"/>
          <w:pgNumType w:fmt="upperRoman" w:start="1"/>
          <w:cols w:space="720" w:num="1"/>
        </w:sectPr>
      </w:pPr>
    </w:p>
    <w:p>
      <w:pPr>
        <w:widowControl w:val="0"/>
        <w:adjustRightInd/>
        <w:snapToGrid/>
        <w:spacing w:before="0" w:beforeLines="0" w:after="0" w:afterLines="0" w:line="360" w:lineRule="auto"/>
        <w:ind w:right="1214"/>
        <w:jc w:val="center"/>
        <w:rPr>
          <w:rFonts w:hint="eastAsia" w:ascii="黑体" w:eastAsia="黑体" w:hAnsiTheme="minorHAnsi"/>
          <w:color w:val="auto"/>
          <w:kern w:val="2"/>
          <w:sz w:val="32"/>
          <w:szCs w:val="24"/>
          <w:highlight w:val="none"/>
        </w:rPr>
      </w:pPr>
      <w:r>
        <w:rPr>
          <w:rFonts w:hint="eastAsia" w:ascii="黑体" w:eastAsia="黑体" w:hAnsiTheme="minorHAnsi"/>
          <w:color w:val="auto"/>
          <w:kern w:val="2"/>
          <w:sz w:val="32"/>
          <w:szCs w:val="24"/>
          <w:highlight w:val="none"/>
          <w:lang w:val="en-US" w:eastAsia="zh-CN"/>
        </w:rPr>
        <w:t xml:space="preserve">  医院卓越服务</w:t>
      </w:r>
      <w:r>
        <w:rPr>
          <w:rFonts w:hint="eastAsia" w:ascii="黑体" w:eastAsia="黑体" w:hAnsiTheme="minorHAnsi"/>
          <w:color w:val="auto"/>
          <w:kern w:val="2"/>
          <w:sz w:val="32"/>
          <w:szCs w:val="24"/>
          <w:highlight w:val="none"/>
        </w:rPr>
        <w:t>规范</w:t>
      </w:r>
    </w:p>
    <w:p>
      <w:pPr>
        <w:widowControl w:val="0"/>
        <w:adjustRightInd/>
        <w:snapToGrid/>
        <w:spacing w:before="0" w:beforeLines="0" w:after="0" w:afterLines="0" w:line="360" w:lineRule="auto"/>
        <w:ind w:right="1214"/>
        <w:jc w:val="center"/>
        <w:rPr>
          <w:rFonts w:hint="eastAsia" w:ascii="黑体" w:eastAsia="黑体" w:hAnsiTheme="minorHAnsi"/>
          <w:color w:val="auto"/>
          <w:kern w:val="2"/>
          <w:sz w:val="32"/>
          <w:szCs w:val="24"/>
          <w:highlight w:val="none"/>
        </w:rPr>
      </w:pPr>
      <w:r>
        <w:rPr>
          <w:rFonts w:hint="eastAsia" w:ascii="黑体" w:eastAsia="黑体" w:hAnsiTheme="minorHAnsi"/>
          <w:color w:val="auto"/>
          <w:kern w:val="2"/>
          <w:sz w:val="32"/>
          <w:szCs w:val="24"/>
          <w:highlight w:val="none"/>
        </w:rPr>
        <w:t>编制说明</w:t>
      </w:r>
    </w:p>
    <w:p>
      <w:pPr>
        <w:pStyle w:val="2"/>
        <w:spacing w:before="0" w:beforeLines="0" w:afterLines="0" w:line="360" w:lineRule="auto"/>
        <w:ind w:left="0" w:firstLine="562" w:firstLineChars="200"/>
        <w:rPr>
          <w:rFonts w:hint="eastAsia" w:eastAsiaTheme="minorEastAsia"/>
          <w:color w:val="auto"/>
          <w:highlight w:val="none"/>
          <w:lang w:eastAsia="zh-CN"/>
        </w:rPr>
      </w:pPr>
      <w:r>
        <w:rPr>
          <w:color w:val="auto"/>
          <w:highlight w:val="none"/>
        </w:rPr>
        <w:t>一、</w:t>
      </w:r>
      <w:r>
        <w:rPr>
          <w:rFonts w:hint="eastAsia"/>
          <w:color w:val="auto"/>
          <w:highlight w:val="none"/>
          <w:lang w:val="en-US" w:eastAsia="zh-CN"/>
        </w:rPr>
        <w:t>工作简介</w:t>
      </w:r>
    </w:p>
    <w:p>
      <w:pPr>
        <w:widowControl w:val="0"/>
        <w:adjustRightInd/>
        <w:snapToGrid/>
        <w:spacing w:before="0" w:beforeLines="0" w:after="0" w:afterLines="0" w:line="360" w:lineRule="auto"/>
        <w:ind w:firstLine="422" w:firstLineChars="150"/>
        <w:jc w:val="both"/>
        <w:rPr>
          <w:rFonts w:hint="eastAsia" w:asciiTheme="minorHAnsi" w:hAnsiTheme="minorHAnsi" w:eastAsiaTheme="minorEastAsia"/>
          <w:b/>
          <w:color w:val="auto"/>
          <w:kern w:val="2"/>
          <w:sz w:val="28"/>
          <w:szCs w:val="24"/>
          <w:highlight w:val="none"/>
        </w:rPr>
      </w:pPr>
      <w:r>
        <w:rPr>
          <w:rFonts w:asciiTheme="minorHAnsi" w:hAnsiTheme="minorHAnsi" w:eastAsiaTheme="minorEastAsia"/>
          <w:b/>
          <w:color w:val="auto"/>
          <w:kern w:val="2"/>
          <w:sz w:val="28"/>
          <w:szCs w:val="24"/>
          <w:highlight w:val="none"/>
        </w:rPr>
        <w:t>（一）任务来源</w:t>
      </w:r>
    </w:p>
    <w:p>
      <w:pPr>
        <w:pStyle w:val="6"/>
        <w:spacing w:before="0" w:beforeLines="0" w:afterLines="0" w:line="360" w:lineRule="auto"/>
        <w:ind w:left="0" w:right="438" w:firstLine="516" w:firstLineChars="200"/>
        <w:rPr>
          <w:rFonts w:hint="eastAsia" w:eastAsiaTheme="minorEastAsia"/>
          <w:color w:val="auto"/>
          <w:highlight w:val="none"/>
          <w:lang w:eastAsia="zh-CN"/>
        </w:rPr>
      </w:pPr>
      <w:r>
        <w:rPr>
          <w:rFonts w:hint="default" w:ascii="Times New Roman" w:hAnsi="Times New Roman" w:cs="Times New Roman"/>
          <w:color w:val="auto"/>
          <w:spacing w:val="-11"/>
          <w:highlight w:val="none"/>
          <w:lang w:val="en-US" w:eastAsia="zh-CN"/>
        </w:rPr>
        <w:t>为进一步贯彻落实《标准化法</w:t>
      </w:r>
      <w:r>
        <w:rPr>
          <w:rFonts w:hint="eastAsia" w:ascii="Times New Roman" w:hAnsi="Times New Roman" w:cs="Times New Roman"/>
          <w:color w:val="auto"/>
          <w:spacing w:val="-11"/>
          <w:highlight w:val="none"/>
          <w:lang w:val="en-US" w:eastAsia="zh-CN"/>
        </w:rPr>
        <w:t>》《湖南省医院卓越服务评价指标（试行）》</w:t>
      </w:r>
      <w:r>
        <w:rPr>
          <w:rFonts w:hint="default" w:ascii="Times New Roman" w:hAnsi="Times New Roman" w:cs="Times New Roman"/>
          <w:color w:val="auto"/>
          <w:spacing w:val="-11"/>
          <w:highlight w:val="none"/>
          <w:lang w:val="en-US" w:eastAsia="zh-CN"/>
        </w:rPr>
        <w:t>等文件要求</w:t>
      </w:r>
      <w:r>
        <w:rPr>
          <w:rFonts w:hint="default" w:ascii="Times New Roman" w:hAnsi="Times New Roman" w:cs="Times New Roman"/>
          <w:color w:val="auto"/>
          <w:spacing w:val="-11"/>
          <w:highlight w:val="none"/>
        </w:rPr>
        <w:t>，</w:t>
      </w:r>
      <w:r>
        <w:rPr>
          <w:rFonts w:hint="default" w:ascii="Times New Roman" w:hAnsi="Times New Roman" w:cs="Times New Roman"/>
          <w:color w:val="auto"/>
          <w:spacing w:val="-11"/>
          <w:highlight w:val="none"/>
          <w:lang w:val="en-US" w:eastAsia="zh-CN"/>
        </w:rPr>
        <w:t>贯彻省委、省政府重要决策部署，</w:t>
      </w:r>
      <w:r>
        <w:rPr>
          <w:rFonts w:hint="default" w:ascii="Times New Roman" w:hAnsi="Times New Roman" w:cs="Times New Roman"/>
          <w:color w:val="auto"/>
          <w:spacing w:val="-11"/>
          <w:highlight w:val="none"/>
        </w:rPr>
        <w:t>推动我省</w:t>
      </w:r>
      <w:r>
        <w:rPr>
          <w:rFonts w:hint="eastAsia" w:ascii="Times New Roman" w:hAnsi="Times New Roman" w:cs="Times New Roman"/>
          <w:color w:val="auto"/>
          <w:spacing w:val="-11"/>
          <w:highlight w:val="none"/>
          <w:lang w:val="en-US" w:eastAsia="zh-CN"/>
        </w:rPr>
        <w:t>医院卓越服务</w:t>
      </w:r>
      <w:r>
        <w:rPr>
          <w:rFonts w:hint="default" w:ascii="Times New Roman" w:hAnsi="Times New Roman" w:cs="Times New Roman"/>
          <w:color w:val="auto"/>
          <w:spacing w:val="-11"/>
          <w:highlight w:val="none"/>
          <w:lang w:val="en-US" w:eastAsia="zh-CN"/>
        </w:rPr>
        <w:t>事业</w:t>
      </w:r>
      <w:r>
        <w:rPr>
          <w:rFonts w:hint="default" w:ascii="Times New Roman" w:hAnsi="Times New Roman" w:cs="Times New Roman"/>
          <w:color w:val="auto"/>
          <w:spacing w:val="-11"/>
          <w:highlight w:val="none"/>
        </w:rPr>
        <w:t>标准化建设，由湖南省</w:t>
      </w:r>
      <w:r>
        <w:rPr>
          <w:rFonts w:hint="default" w:ascii="Times New Roman" w:hAnsi="Times New Roman" w:cs="Times New Roman"/>
          <w:color w:val="auto"/>
          <w:spacing w:val="-11"/>
          <w:highlight w:val="none"/>
          <w:lang w:val="en-US" w:eastAsia="zh-CN"/>
        </w:rPr>
        <w:t>肿瘤医院</w:t>
      </w:r>
      <w:r>
        <w:rPr>
          <w:rFonts w:hint="default" w:ascii="Times New Roman" w:hAnsi="Times New Roman" w:cs="Times New Roman"/>
          <w:color w:val="auto"/>
          <w:spacing w:val="-11"/>
          <w:highlight w:val="none"/>
        </w:rPr>
        <w:t>牵头向湖南省市场监督管理局申报制订《</w:t>
      </w:r>
      <w:r>
        <w:rPr>
          <w:rFonts w:hint="eastAsia" w:ascii="Times New Roman" w:hAnsi="Times New Roman" w:cs="Times New Roman"/>
          <w:color w:val="auto"/>
          <w:spacing w:val="-11"/>
          <w:highlight w:val="none"/>
          <w:lang w:val="en-US" w:eastAsia="zh-CN"/>
        </w:rPr>
        <w:t>医院卓越服务规范</w:t>
      </w:r>
      <w:r>
        <w:rPr>
          <w:rFonts w:hint="default" w:ascii="Times New Roman" w:hAnsi="Times New Roman" w:cs="Times New Roman"/>
          <w:color w:val="auto"/>
          <w:spacing w:val="-11"/>
          <w:highlight w:val="none"/>
        </w:rPr>
        <w:t>》地方标准，经湖南省市场监督管理局评审同意立项。根据湖南省市场监督管理局 （湘市监标函﹝202</w:t>
      </w:r>
      <w:r>
        <w:rPr>
          <w:rFonts w:hint="eastAsia" w:ascii="Times New Roman" w:hAnsi="Times New Roman" w:cs="Times New Roman"/>
          <w:color w:val="auto"/>
          <w:spacing w:val="-11"/>
          <w:highlight w:val="none"/>
          <w:lang w:val="en-US" w:eastAsia="zh-CN"/>
        </w:rPr>
        <w:t>3</w:t>
      </w:r>
      <w:r>
        <w:rPr>
          <w:rFonts w:hint="default" w:ascii="Times New Roman" w:hAnsi="Times New Roman" w:cs="Times New Roman"/>
          <w:color w:val="auto"/>
          <w:spacing w:val="-11"/>
          <w:highlight w:val="none"/>
        </w:rPr>
        <w:t>﹞2</w:t>
      </w:r>
      <w:r>
        <w:rPr>
          <w:rFonts w:hint="eastAsia" w:ascii="Times New Roman" w:hAnsi="Times New Roman" w:cs="Times New Roman"/>
          <w:color w:val="auto"/>
          <w:spacing w:val="-11"/>
          <w:highlight w:val="none"/>
          <w:lang w:val="en-US" w:eastAsia="zh-CN"/>
        </w:rPr>
        <w:t>5</w:t>
      </w:r>
      <w:r>
        <w:rPr>
          <w:rFonts w:hint="default" w:ascii="Times New Roman" w:hAnsi="Times New Roman" w:cs="Times New Roman"/>
          <w:color w:val="auto"/>
          <w:spacing w:val="-11"/>
          <w:highlight w:val="none"/>
        </w:rPr>
        <w:t xml:space="preserve"> 号）《关于下达202</w:t>
      </w:r>
      <w:r>
        <w:rPr>
          <w:rFonts w:hint="eastAsia" w:ascii="Times New Roman" w:hAnsi="Times New Roman" w:cs="Times New Roman"/>
          <w:color w:val="auto"/>
          <w:spacing w:val="-11"/>
          <w:highlight w:val="none"/>
          <w:lang w:val="en-US" w:eastAsia="zh-CN"/>
        </w:rPr>
        <w:t>3年度第1批</w:t>
      </w:r>
      <w:r>
        <w:rPr>
          <w:rFonts w:hint="default" w:ascii="Times New Roman" w:hAnsi="Times New Roman" w:cs="Times New Roman"/>
          <w:color w:val="auto"/>
          <w:spacing w:val="-11"/>
          <w:highlight w:val="none"/>
        </w:rPr>
        <w:t>地方标准</w:t>
      </w:r>
      <w:r>
        <w:rPr>
          <w:rFonts w:hint="eastAsia" w:ascii="Times New Roman" w:hAnsi="Times New Roman" w:cs="Times New Roman"/>
          <w:color w:val="auto"/>
          <w:spacing w:val="-11"/>
          <w:highlight w:val="none"/>
          <w:lang w:val="en-US" w:eastAsia="zh-CN"/>
        </w:rPr>
        <w:t>制</w:t>
      </w:r>
      <w:r>
        <w:rPr>
          <w:rFonts w:hint="default" w:ascii="Times New Roman" w:hAnsi="Times New Roman" w:cs="Times New Roman"/>
          <w:color w:val="auto"/>
          <w:spacing w:val="-11"/>
          <w:highlight w:val="none"/>
        </w:rPr>
        <w:t>修订项目计划的通知》要求，由</w:t>
      </w:r>
      <w:r>
        <w:rPr>
          <w:rFonts w:hint="eastAsia"/>
          <w:color w:val="auto"/>
          <w:spacing w:val="-11"/>
          <w:highlight w:val="none"/>
        </w:rPr>
        <w:t>湖南省肿瘤医院</w:t>
      </w:r>
      <w:r>
        <w:rPr>
          <w:rFonts w:hint="eastAsia" w:ascii="Times New Roman" w:hAnsi="Times New Roman" w:cs="Times New Roman"/>
          <w:color w:val="auto"/>
          <w:spacing w:val="-11"/>
          <w:highlight w:val="none"/>
          <w:lang w:eastAsia="zh-CN"/>
        </w:rPr>
        <w:t>、</w:t>
      </w:r>
      <w:r>
        <w:rPr>
          <w:rFonts w:hint="eastAsia" w:ascii="Times New Roman" w:hAnsi="Times New Roman" w:cs="Times New Roman"/>
          <w:color w:val="auto"/>
          <w:spacing w:val="-11"/>
          <w:highlight w:val="none"/>
          <w:lang w:val="en-US" w:eastAsia="zh-CN"/>
        </w:rPr>
        <w:t>中南大学湘雅医院、中南大学湘雅三医院、湖南省人民医院、湖南省儿童医院、湖南省妇幼保健院、湖南省结核病防治所、湖南省职业病防治院</w:t>
      </w:r>
      <w:r>
        <w:rPr>
          <w:rFonts w:ascii="Times New Roman" w:hAnsi="Times New Roman" w:cs="Times New Roman"/>
          <w:sz w:val="28"/>
          <w:szCs w:val="28"/>
        </w:rPr>
        <w:t>等单位参与编制工作</w:t>
      </w:r>
      <w:r>
        <w:rPr>
          <w:rFonts w:hint="eastAsia"/>
          <w:color w:val="auto"/>
          <w:spacing w:val="-11"/>
          <w:highlight w:val="none"/>
          <w:lang w:eastAsia="zh-CN"/>
        </w:rPr>
        <w:t>。</w:t>
      </w:r>
    </w:p>
    <w:p>
      <w:pPr>
        <w:pStyle w:val="2"/>
        <w:spacing w:before="0" w:beforeLines="0" w:afterLines="0" w:line="360" w:lineRule="auto"/>
        <w:ind w:left="0" w:leftChars="0" w:firstLine="0" w:firstLineChars="0"/>
        <w:jc w:val="left"/>
        <w:rPr>
          <w:rFonts w:hint="eastAsia"/>
          <w:color w:val="auto"/>
          <w:sz w:val="13"/>
          <w:szCs w:val="13"/>
          <w:highlight w:val="none"/>
        </w:rPr>
      </w:pPr>
      <w:r>
        <w:rPr>
          <w:color w:val="auto"/>
          <w:highlight w:val="none"/>
        </w:rPr>
        <w:t>（二）标准</w:t>
      </w:r>
      <w:r>
        <w:rPr>
          <w:rFonts w:hint="eastAsia"/>
          <w:color w:val="auto"/>
          <w:highlight w:val="none"/>
          <w:lang w:val="en-US" w:eastAsia="zh-CN"/>
        </w:rPr>
        <w:t>制定</w:t>
      </w:r>
      <w:r>
        <w:rPr>
          <w:color w:val="auto"/>
          <w:highlight w:val="none"/>
        </w:rPr>
        <w:t>目的和意义</w:t>
      </w:r>
    </w:p>
    <w:p>
      <w:pPr>
        <w:spacing w:before="0" w:beforeLines="0" w:after="0" w:afterLines="0" w:line="360" w:lineRule="auto"/>
        <w:ind w:firstLine="560" w:firstLineChars="200"/>
        <w:jc w:val="left"/>
        <w:rPr>
          <w:rFonts w:ascii="宋体" w:hAnsi="宋体" w:eastAsia="宋体"/>
          <w:color w:val="auto"/>
          <w:sz w:val="28"/>
          <w:szCs w:val="28"/>
          <w:highlight w:val="none"/>
        </w:rPr>
      </w:pPr>
      <w:r>
        <w:rPr>
          <w:rFonts w:hint="eastAsia" w:ascii="宋体" w:hAnsi="宋体" w:eastAsia="宋体"/>
          <w:color w:val="auto"/>
          <w:sz w:val="28"/>
          <w:szCs w:val="28"/>
          <w:highlight w:val="none"/>
        </w:rPr>
        <w:t>随着</w:t>
      </w:r>
      <w:r>
        <w:rPr>
          <w:rFonts w:hint="eastAsia" w:ascii="宋体" w:hAnsi="宋体" w:eastAsia="宋体"/>
          <w:color w:val="auto"/>
          <w:sz w:val="28"/>
          <w:szCs w:val="28"/>
          <w:highlight w:val="none"/>
          <w:lang w:val="en-US" w:eastAsia="zh-CN"/>
        </w:rPr>
        <w:t>人民生活水平的不断提高、</w:t>
      </w:r>
      <w:r>
        <w:rPr>
          <w:rFonts w:hint="eastAsia" w:ascii="宋体" w:hAnsi="宋体" w:eastAsia="宋体"/>
          <w:color w:val="auto"/>
          <w:sz w:val="28"/>
          <w:szCs w:val="28"/>
          <w:highlight w:val="none"/>
        </w:rPr>
        <w:t>医药卫生体制改革的</w:t>
      </w:r>
      <w:r>
        <w:rPr>
          <w:rFonts w:hint="eastAsia" w:ascii="宋体" w:hAnsi="宋体" w:eastAsia="宋体"/>
          <w:color w:val="auto"/>
          <w:sz w:val="28"/>
          <w:szCs w:val="28"/>
          <w:highlight w:val="none"/>
          <w:lang w:val="en-US" w:eastAsia="zh-CN"/>
        </w:rPr>
        <w:t>持续</w:t>
      </w:r>
      <w:r>
        <w:rPr>
          <w:rFonts w:hint="eastAsia" w:ascii="宋体" w:hAnsi="宋体" w:eastAsia="宋体"/>
          <w:color w:val="auto"/>
          <w:sz w:val="28"/>
          <w:szCs w:val="28"/>
          <w:highlight w:val="none"/>
        </w:rPr>
        <w:t>深化和人民群众健康需求的日益增长，对我国医疗服务质量</w:t>
      </w:r>
      <w:r>
        <w:rPr>
          <w:rFonts w:hint="eastAsia" w:ascii="宋体" w:hAnsi="宋体" w:eastAsia="宋体"/>
          <w:color w:val="auto"/>
          <w:sz w:val="28"/>
          <w:szCs w:val="28"/>
          <w:highlight w:val="none"/>
          <w:lang w:val="en-US" w:eastAsia="zh-CN"/>
        </w:rPr>
        <w:t>也</w:t>
      </w:r>
      <w:r>
        <w:rPr>
          <w:rFonts w:hint="eastAsia" w:ascii="宋体" w:hAnsi="宋体" w:eastAsia="宋体"/>
          <w:color w:val="auto"/>
          <w:sz w:val="28"/>
          <w:szCs w:val="28"/>
          <w:highlight w:val="none"/>
        </w:rPr>
        <w:t>提出了更高</w:t>
      </w:r>
      <w:r>
        <w:rPr>
          <w:rFonts w:hint="eastAsia" w:ascii="宋体" w:hAnsi="宋体" w:eastAsia="宋体"/>
          <w:color w:val="auto"/>
          <w:sz w:val="28"/>
          <w:szCs w:val="28"/>
          <w:highlight w:val="none"/>
          <w:lang w:val="en-US" w:eastAsia="zh-CN"/>
        </w:rPr>
        <w:t>的期望和</w:t>
      </w:r>
      <w:r>
        <w:rPr>
          <w:rFonts w:hint="eastAsia" w:ascii="宋体" w:hAnsi="宋体" w:eastAsia="宋体"/>
          <w:color w:val="auto"/>
          <w:sz w:val="28"/>
          <w:szCs w:val="28"/>
          <w:highlight w:val="none"/>
        </w:rPr>
        <w:t>要求。2021年，国务院办公厅在《关于推动公立医院高质量发展的意见》中指出要把推动公立医院高质量发展作为重点任务，《湖南省推动公立医院高质量发展实施方案》强调要率先形成符合我省实际的公立医院高质量发展的经验和模式。2022年，湖南省卫生健康委员会印发《湖南省医院卓越服务评价指标（试行）》通知，明确了卓越服务是改善病人就医体验的基础工程，更是医院高质量发展的前提。</w:t>
      </w:r>
    </w:p>
    <w:p>
      <w:pPr>
        <w:spacing w:before="0" w:beforeLines="0" w:after="0" w:afterLines="0" w:line="360" w:lineRule="auto"/>
        <w:ind w:firstLine="560" w:firstLineChars="200"/>
        <w:jc w:val="left"/>
        <w:rPr>
          <w:rFonts w:ascii="宋体" w:hAnsi="宋体" w:eastAsia="宋体"/>
          <w:color w:val="auto"/>
          <w:sz w:val="28"/>
          <w:szCs w:val="28"/>
          <w:highlight w:val="none"/>
        </w:rPr>
      </w:pPr>
      <w:r>
        <w:rPr>
          <w:rFonts w:hint="eastAsia" w:ascii="宋体" w:hAnsi="宋体" w:eastAsia="宋体"/>
          <w:color w:val="auto"/>
          <w:sz w:val="28"/>
          <w:szCs w:val="28"/>
          <w:highlight w:val="none"/>
          <w:lang w:val="en-US" w:eastAsia="zh-CN"/>
        </w:rPr>
        <w:t>卓越服务是一种理念、文化，通过</w:t>
      </w:r>
      <w:r>
        <w:rPr>
          <w:rFonts w:hint="eastAsia" w:ascii="宋体" w:hAnsi="宋体" w:eastAsia="宋体"/>
          <w:color w:val="auto"/>
          <w:sz w:val="28"/>
          <w:szCs w:val="28"/>
          <w:highlight w:val="none"/>
        </w:rPr>
        <w:t>卓越管理、卓越医疗、卓越护理和卓越人文四</w:t>
      </w:r>
      <w:r>
        <w:rPr>
          <w:rFonts w:hint="eastAsia" w:ascii="宋体" w:hAnsi="宋体" w:eastAsia="宋体"/>
          <w:color w:val="auto"/>
          <w:sz w:val="28"/>
          <w:szCs w:val="28"/>
          <w:highlight w:val="none"/>
          <w:lang w:val="en-US" w:eastAsia="zh-CN"/>
        </w:rPr>
        <w:t>大品牌建设，推动医疗服务高质量发展</w:t>
      </w:r>
      <w:r>
        <w:rPr>
          <w:rFonts w:hint="eastAsia" w:ascii="宋体" w:hAnsi="宋体" w:eastAsia="宋体"/>
          <w:color w:val="auto"/>
          <w:sz w:val="28"/>
          <w:szCs w:val="28"/>
          <w:highlight w:val="none"/>
        </w:rPr>
        <w:t>。卓越管理是基础和关键，目标在于提高医院的整体运营效率和管理水平</w:t>
      </w:r>
      <w:r>
        <w:rPr>
          <w:rFonts w:hint="eastAsia" w:ascii="宋体" w:hAnsi="宋体" w:eastAsia="宋体"/>
          <w:color w:val="auto"/>
          <w:sz w:val="28"/>
          <w:szCs w:val="28"/>
          <w:highlight w:val="none"/>
          <w:lang w:eastAsia="zh-CN"/>
        </w:rPr>
        <w:t>。</w:t>
      </w:r>
      <w:r>
        <w:rPr>
          <w:rFonts w:hint="eastAsia" w:ascii="宋体" w:hAnsi="宋体" w:eastAsia="宋体"/>
          <w:color w:val="auto"/>
          <w:sz w:val="28"/>
          <w:szCs w:val="28"/>
          <w:highlight w:val="none"/>
        </w:rPr>
        <w:t>卓越医疗是核心内容，</w:t>
      </w:r>
      <w:r>
        <w:rPr>
          <w:rFonts w:hint="eastAsia" w:ascii="宋体" w:hAnsi="宋体" w:eastAsia="宋体"/>
          <w:color w:val="auto"/>
          <w:sz w:val="28"/>
          <w:szCs w:val="28"/>
          <w:highlight w:val="none"/>
          <w:lang w:val="en-US" w:eastAsia="zh-CN"/>
        </w:rPr>
        <w:t>通过</w:t>
      </w:r>
      <w:r>
        <w:rPr>
          <w:rFonts w:hint="eastAsia" w:ascii="宋体" w:hAnsi="宋体" w:eastAsia="宋体"/>
          <w:color w:val="auto"/>
          <w:sz w:val="28"/>
          <w:szCs w:val="28"/>
          <w:highlight w:val="none"/>
        </w:rPr>
        <w:t>高质量的医疗技术和临床治疗</w:t>
      </w:r>
      <w:r>
        <w:rPr>
          <w:rFonts w:hint="eastAsia" w:ascii="宋体" w:hAnsi="宋体" w:eastAsia="宋体"/>
          <w:color w:val="auto"/>
          <w:sz w:val="28"/>
          <w:szCs w:val="28"/>
          <w:highlight w:val="none"/>
          <w:lang w:val="en-US" w:eastAsia="zh-CN"/>
        </w:rPr>
        <w:t>以</w:t>
      </w:r>
      <w:r>
        <w:rPr>
          <w:rFonts w:hint="eastAsia" w:ascii="宋体" w:hAnsi="宋体" w:eastAsia="宋体"/>
          <w:color w:val="auto"/>
          <w:sz w:val="28"/>
          <w:szCs w:val="28"/>
          <w:highlight w:val="none"/>
        </w:rPr>
        <w:t>提供更准确、安全、高效的诊疗服务。卓越护理是重要组成部分，注重为患者提供全方位、个性化的护理服务，提高患者的舒适度和满意度。卓越人文是人性化体现，</w:t>
      </w:r>
      <w:r>
        <w:rPr>
          <w:rFonts w:hint="eastAsia" w:ascii="宋体" w:hAnsi="宋体" w:eastAsia="宋体"/>
          <w:color w:val="auto"/>
          <w:sz w:val="28"/>
          <w:szCs w:val="28"/>
          <w:highlight w:val="none"/>
          <w:lang w:val="en-US" w:eastAsia="zh-CN"/>
        </w:rPr>
        <w:t>通过</w:t>
      </w:r>
      <w:r>
        <w:rPr>
          <w:rFonts w:hint="eastAsia" w:ascii="宋体" w:hAnsi="宋体" w:eastAsia="宋体"/>
          <w:color w:val="auto"/>
          <w:sz w:val="28"/>
          <w:szCs w:val="28"/>
          <w:highlight w:val="none"/>
        </w:rPr>
        <w:t>关注患者的情感需求和心理支持</w:t>
      </w:r>
      <w:r>
        <w:rPr>
          <w:rFonts w:hint="eastAsia" w:ascii="宋体" w:hAnsi="宋体" w:eastAsia="宋体"/>
          <w:color w:val="auto"/>
          <w:sz w:val="28"/>
          <w:szCs w:val="28"/>
          <w:highlight w:val="none"/>
          <w:lang w:eastAsia="zh-CN"/>
        </w:rPr>
        <w:t>、</w:t>
      </w:r>
      <w:r>
        <w:rPr>
          <w:rFonts w:hint="eastAsia" w:ascii="宋体" w:hAnsi="宋体" w:eastAsia="宋体"/>
          <w:color w:val="auto"/>
          <w:sz w:val="28"/>
          <w:szCs w:val="28"/>
          <w:highlight w:val="none"/>
        </w:rPr>
        <w:t>提供人性化的服务，</w:t>
      </w:r>
      <w:r>
        <w:rPr>
          <w:rFonts w:hint="eastAsia" w:ascii="宋体" w:hAnsi="宋体" w:eastAsia="宋体"/>
          <w:color w:val="auto"/>
          <w:sz w:val="28"/>
          <w:szCs w:val="28"/>
          <w:highlight w:val="none"/>
          <w:lang w:val="en-US" w:eastAsia="zh-CN"/>
        </w:rPr>
        <w:t>从而</w:t>
      </w:r>
      <w:r>
        <w:rPr>
          <w:rFonts w:hint="eastAsia" w:ascii="宋体" w:hAnsi="宋体" w:eastAsia="宋体"/>
          <w:color w:val="auto"/>
          <w:sz w:val="28"/>
          <w:szCs w:val="28"/>
          <w:highlight w:val="none"/>
        </w:rPr>
        <w:t>实现卓越服务。</w:t>
      </w:r>
      <w:r>
        <w:rPr>
          <w:rFonts w:hint="eastAsia" w:ascii="宋体" w:hAnsi="宋体" w:eastAsia="宋体"/>
          <w:color w:val="auto"/>
          <w:sz w:val="28"/>
          <w:szCs w:val="28"/>
          <w:highlight w:val="none"/>
          <w:lang w:val="en-US" w:eastAsia="zh-CN"/>
        </w:rPr>
        <w:t>自2022年8月起，我省多地医疗机构相继开展卓越服务工作，以10S精益管理、三甲复审等具体实践工作为契机，不断探索卓越服务模式与机制，在提升医疗质量、改善患者体验、增强服务意识等方面取得一定成效，</w:t>
      </w:r>
      <w:r>
        <w:rPr>
          <w:rFonts w:hint="eastAsia" w:ascii="宋体" w:hAnsi="宋体" w:eastAsia="宋体"/>
          <w:color w:val="auto"/>
          <w:sz w:val="28"/>
          <w:szCs w:val="28"/>
          <w:highlight w:val="none"/>
        </w:rPr>
        <w:t>但各级医院在实践</w:t>
      </w:r>
      <w:r>
        <w:rPr>
          <w:rFonts w:hint="eastAsia" w:ascii="宋体" w:hAnsi="宋体" w:eastAsia="宋体"/>
          <w:color w:val="auto"/>
          <w:sz w:val="28"/>
          <w:szCs w:val="28"/>
          <w:highlight w:val="none"/>
          <w:lang w:eastAsia="zh-CN"/>
        </w:rPr>
        <w:t>、</w:t>
      </w:r>
      <w:r>
        <w:rPr>
          <w:rFonts w:hint="eastAsia" w:ascii="宋体" w:hAnsi="宋体" w:eastAsia="宋体"/>
          <w:color w:val="auto"/>
          <w:sz w:val="28"/>
          <w:szCs w:val="28"/>
          <w:highlight w:val="none"/>
          <w:lang w:val="en-US" w:eastAsia="zh-CN"/>
        </w:rPr>
        <w:t>评价</w:t>
      </w:r>
      <w:r>
        <w:rPr>
          <w:rFonts w:hint="eastAsia" w:ascii="宋体" w:hAnsi="宋体" w:eastAsia="宋体"/>
          <w:color w:val="auto"/>
          <w:sz w:val="28"/>
          <w:szCs w:val="28"/>
          <w:highlight w:val="none"/>
        </w:rPr>
        <w:t>卓越服务中仍存在一定差异与疑问，</w:t>
      </w:r>
      <w:r>
        <w:rPr>
          <w:rFonts w:hint="eastAsia" w:ascii="宋体" w:hAnsi="宋体" w:eastAsia="宋体"/>
          <w:color w:val="auto"/>
          <w:sz w:val="28"/>
          <w:szCs w:val="28"/>
          <w:highlight w:val="none"/>
          <w:lang w:val="en-US" w:eastAsia="zh-CN"/>
        </w:rPr>
        <w:t>卓越服务尚未全面同质化、标准化，</w:t>
      </w:r>
      <w:r>
        <w:rPr>
          <w:rFonts w:hint="eastAsia" w:ascii="宋体" w:hAnsi="宋体" w:eastAsia="宋体"/>
          <w:color w:val="auto"/>
          <w:sz w:val="28"/>
          <w:szCs w:val="28"/>
          <w:highlight w:val="none"/>
        </w:rPr>
        <w:t>阻碍着我省医院卓越服务工作的全面推进。</w:t>
      </w:r>
    </w:p>
    <w:p>
      <w:pPr>
        <w:spacing w:before="0" w:beforeLines="0" w:after="0" w:afterLines="0" w:line="360" w:lineRule="auto"/>
        <w:ind w:firstLine="560" w:firstLineChars="200"/>
        <w:jc w:val="left"/>
        <w:rPr>
          <w:rFonts w:ascii="宋体" w:hAnsi="宋体" w:eastAsia="宋体"/>
          <w:color w:val="auto"/>
          <w:sz w:val="28"/>
          <w:szCs w:val="28"/>
          <w:highlight w:val="none"/>
        </w:rPr>
      </w:pPr>
      <w:r>
        <w:rPr>
          <w:rFonts w:hint="eastAsia" w:ascii="宋体" w:hAnsi="宋体" w:eastAsia="宋体"/>
          <w:color w:val="auto"/>
          <w:sz w:val="28"/>
          <w:szCs w:val="28"/>
          <w:highlight w:val="none"/>
        </w:rPr>
        <w:t>基于此，起草小组基于与医院卓越服务相关的法律法规、指南、专家共识、证据总结及系统评价等高质量证据，开展了本标准的编写工作，拟编制一个医院通用实用的、科学系统的卓越服务规范，用以规范医院卓越服务的实施内容与流程，以期为我省、我国医院卓越服务事业建设与发展等方面提供参考。</w:t>
      </w:r>
    </w:p>
    <w:p>
      <w:pPr>
        <w:pStyle w:val="2"/>
        <w:spacing w:beforeLines="0" w:afterLines="0" w:line="360" w:lineRule="auto"/>
        <w:ind w:left="0" w:leftChars="0" w:firstLine="0" w:firstLineChars="0"/>
        <w:rPr>
          <w:rFonts w:hint="default" w:eastAsiaTheme="minorEastAsia"/>
          <w:color w:val="auto"/>
          <w:highlight w:val="none"/>
          <w:lang w:val="en-US" w:eastAsia="zh-CN"/>
        </w:rPr>
      </w:pPr>
      <w:r>
        <w:rPr>
          <w:rFonts w:hint="eastAsia"/>
          <w:color w:val="auto"/>
          <w:highlight w:val="none"/>
          <w:lang w:val="en-US" w:eastAsia="zh-CN"/>
        </w:rPr>
        <w:t>二、</w:t>
      </w:r>
      <w:r>
        <w:rPr>
          <w:color w:val="auto"/>
          <w:highlight w:val="none"/>
        </w:rPr>
        <w:t>标准</w:t>
      </w:r>
      <w:r>
        <w:rPr>
          <w:rFonts w:hint="eastAsia"/>
          <w:color w:val="auto"/>
          <w:highlight w:val="none"/>
          <w:lang w:val="en-US" w:eastAsia="zh-CN"/>
        </w:rPr>
        <w:t>编制过程</w:t>
      </w:r>
    </w:p>
    <w:p>
      <w:pPr>
        <w:spacing w:beforeLines="0" w:after="0" w:afterLines="0" w:line="360" w:lineRule="auto"/>
        <w:ind w:firstLine="281" w:firstLineChars="100"/>
        <w:rPr>
          <w:rFonts w:hint="default" w:ascii="宋体" w:hAnsi="宋体" w:eastAsia="宋体"/>
          <w:b/>
          <w:bCs/>
          <w:color w:val="auto"/>
          <w:sz w:val="28"/>
          <w:szCs w:val="28"/>
          <w:highlight w:val="none"/>
          <w:lang w:val="en-US" w:eastAsia="zh-CN"/>
        </w:rPr>
      </w:pPr>
      <w:r>
        <w:rPr>
          <w:rFonts w:hint="eastAsia" w:ascii="宋体" w:hAnsi="宋体" w:eastAsia="宋体"/>
          <w:b/>
          <w:bCs/>
          <w:color w:val="auto"/>
          <w:sz w:val="28"/>
          <w:szCs w:val="28"/>
          <w:highlight w:val="none"/>
          <w:lang w:eastAsia="zh-CN"/>
        </w:rPr>
        <w:t>（</w:t>
      </w:r>
      <w:r>
        <w:rPr>
          <w:rFonts w:hint="eastAsia" w:ascii="宋体" w:hAnsi="宋体" w:eastAsia="宋体"/>
          <w:b/>
          <w:bCs/>
          <w:color w:val="auto"/>
          <w:sz w:val="28"/>
          <w:szCs w:val="28"/>
          <w:highlight w:val="none"/>
          <w:lang w:val="en-US" w:eastAsia="zh-CN"/>
        </w:rPr>
        <w:t>一</w:t>
      </w:r>
      <w:r>
        <w:rPr>
          <w:rFonts w:hint="eastAsia" w:ascii="宋体" w:hAnsi="宋体" w:eastAsia="宋体"/>
          <w:b/>
          <w:bCs/>
          <w:color w:val="auto"/>
          <w:sz w:val="28"/>
          <w:szCs w:val="28"/>
          <w:highlight w:val="none"/>
          <w:lang w:eastAsia="zh-CN"/>
        </w:rPr>
        <w:t>）</w:t>
      </w:r>
      <w:r>
        <w:rPr>
          <w:rFonts w:hint="eastAsia" w:ascii="宋体" w:hAnsi="宋体" w:eastAsia="宋体"/>
          <w:b/>
          <w:bCs/>
          <w:color w:val="auto"/>
          <w:sz w:val="28"/>
          <w:szCs w:val="28"/>
          <w:highlight w:val="none"/>
          <w:lang w:val="en-US" w:eastAsia="zh-CN"/>
        </w:rPr>
        <w:t>准备阶段</w:t>
      </w:r>
    </w:p>
    <w:p>
      <w:pPr>
        <w:spacing w:beforeLines="0" w:after="0" w:afterLines="0" w:line="360" w:lineRule="auto"/>
        <w:ind w:firstLine="281" w:firstLineChars="100"/>
        <w:rPr>
          <w:rFonts w:ascii="宋体" w:hAnsi="宋体" w:eastAsia="宋体"/>
          <w:b/>
          <w:bCs/>
          <w:color w:val="auto"/>
          <w:sz w:val="28"/>
          <w:szCs w:val="28"/>
          <w:highlight w:val="none"/>
        </w:rPr>
      </w:pPr>
      <w:r>
        <w:rPr>
          <w:rFonts w:hint="eastAsia" w:ascii="宋体" w:hAnsi="宋体" w:eastAsia="宋体"/>
          <w:b/>
          <w:bCs/>
          <w:color w:val="auto"/>
          <w:sz w:val="28"/>
          <w:szCs w:val="28"/>
          <w:highlight w:val="none"/>
          <w:lang w:val="en-US" w:eastAsia="zh-CN"/>
        </w:rPr>
        <w:t>1.</w:t>
      </w:r>
      <w:r>
        <w:rPr>
          <w:rFonts w:ascii="宋体" w:hAnsi="宋体" w:eastAsia="宋体"/>
          <w:b/>
          <w:bCs/>
          <w:color w:val="auto"/>
          <w:sz w:val="28"/>
          <w:szCs w:val="28"/>
          <w:highlight w:val="none"/>
        </w:rPr>
        <w:t>组建团队</w:t>
      </w:r>
    </w:p>
    <w:p>
      <w:pPr>
        <w:spacing w:beforeLines="0" w:after="0" w:afterLines="0" w:line="360" w:lineRule="auto"/>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lang w:val="en-US" w:eastAsia="zh-CN"/>
        </w:rPr>
        <w:t>标准起草工作小组于2022年4月成立。</w:t>
      </w:r>
      <w:r>
        <w:rPr>
          <w:rFonts w:hint="eastAsia" w:ascii="宋体" w:hAnsi="宋体" w:eastAsia="宋体"/>
          <w:color w:val="auto"/>
          <w:sz w:val="28"/>
          <w:szCs w:val="28"/>
          <w:highlight w:val="none"/>
        </w:rPr>
        <w:t>牵头单位湖南省肿瘤医院对标准制定进行总体规划，确定人员分工，制定标准撰写计划。前期工作包括：现况调查，项目查新，需求调查，确定证据评价工具等。</w:t>
      </w:r>
    </w:p>
    <w:p>
      <w:pPr>
        <w:spacing w:beforeLines="0" w:after="0" w:afterLines="0" w:line="360" w:lineRule="auto"/>
        <w:ind w:firstLine="281" w:firstLineChars="100"/>
        <w:rPr>
          <w:rFonts w:ascii="宋体" w:hAnsi="宋体" w:eastAsia="宋体"/>
          <w:b/>
          <w:bCs/>
          <w:color w:val="auto"/>
          <w:sz w:val="28"/>
          <w:szCs w:val="28"/>
          <w:highlight w:val="none"/>
        </w:rPr>
      </w:pPr>
      <w:r>
        <w:rPr>
          <w:rFonts w:ascii="宋体" w:hAnsi="宋体" w:eastAsia="宋体"/>
          <w:b/>
          <w:bCs/>
          <w:color w:val="auto"/>
          <w:sz w:val="28"/>
          <w:szCs w:val="28"/>
          <w:highlight w:val="none"/>
        </w:rPr>
        <w:t>2.收集、查阅、整理相关资料</w:t>
      </w:r>
    </w:p>
    <w:p>
      <w:pPr>
        <w:spacing w:beforeLines="0" w:after="0" w:afterLines="0" w:line="360" w:lineRule="auto"/>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根据项目内容确定具体的调研方案和计划后，标准小组按照项目任务要求，迅速开展工作。首先查阅数据库中国知网、维普数据库、万方数据库、中国生物医学文献数据库以及澳大利亚乔安娜布里格斯研究所（</w:t>
      </w:r>
      <w:r>
        <w:rPr>
          <w:rFonts w:ascii="Times New Roman" w:hAnsi="Times New Roman" w:eastAsia="宋体" w:cs="Times New Roman"/>
          <w:color w:val="auto"/>
          <w:sz w:val="28"/>
          <w:szCs w:val="28"/>
          <w:highlight w:val="none"/>
        </w:rPr>
        <w:t>Joanna Briggs Institute,JBI</w:t>
      </w:r>
      <w:r>
        <w:rPr>
          <w:rFonts w:ascii="宋体" w:hAnsi="宋体" w:eastAsia="宋体"/>
          <w:color w:val="auto"/>
          <w:sz w:val="28"/>
          <w:szCs w:val="28"/>
          <w:highlight w:val="none"/>
        </w:rPr>
        <w:t>）、循证卫生保健中心数据库、</w:t>
      </w:r>
      <w:r>
        <w:rPr>
          <w:rFonts w:ascii="Times New Roman" w:hAnsi="Times New Roman" w:eastAsia="宋体" w:cs="Times New Roman"/>
          <w:color w:val="auto"/>
          <w:sz w:val="28"/>
          <w:szCs w:val="28"/>
          <w:highlight w:val="none"/>
        </w:rPr>
        <w:t>The Cochrane Library、PubMed、Embase、CINAHL、</w:t>
      </w:r>
      <w:r>
        <w:rPr>
          <w:rFonts w:ascii="宋体" w:hAnsi="宋体" w:eastAsia="宋体"/>
          <w:color w:val="auto"/>
          <w:sz w:val="28"/>
          <w:szCs w:val="28"/>
          <w:highlight w:val="none"/>
        </w:rPr>
        <w:t>对</w:t>
      </w:r>
      <w:r>
        <w:rPr>
          <w:rFonts w:hint="eastAsia" w:ascii="宋体" w:hAnsi="宋体" w:eastAsia="宋体"/>
          <w:color w:val="auto"/>
          <w:sz w:val="28"/>
          <w:szCs w:val="28"/>
          <w:highlight w:val="none"/>
        </w:rPr>
        <w:t>医院卓越服务</w:t>
      </w:r>
      <w:r>
        <w:rPr>
          <w:rFonts w:ascii="宋体" w:hAnsi="宋体" w:eastAsia="宋体"/>
          <w:color w:val="auto"/>
          <w:sz w:val="28"/>
          <w:szCs w:val="28"/>
          <w:highlight w:val="none"/>
        </w:rPr>
        <w:t>的关键词进行文献检索。</w:t>
      </w:r>
      <w:r>
        <w:rPr>
          <w:rFonts w:hint="eastAsia" w:ascii="宋体" w:hAnsi="宋体" w:eastAsia="宋体"/>
          <w:color w:val="auto"/>
          <w:sz w:val="28"/>
          <w:szCs w:val="28"/>
          <w:highlight w:val="none"/>
        </w:rPr>
        <w:t>首先</w:t>
      </w:r>
      <w:r>
        <w:rPr>
          <w:rFonts w:ascii="宋体" w:hAnsi="宋体" w:eastAsia="宋体"/>
          <w:color w:val="auto"/>
          <w:sz w:val="28"/>
          <w:szCs w:val="28"/>
          <w:highlight w:val="none"/>
        </w:rPr>
        <w:t>对文献进行归纳、总结，其次查阅</w:t>
      </w:r>
      <w:r>
        <w:rPr>
          <w:rFonts w:hint="eastAsia" w:ascii="宋体" w:hAnsi="宋体" w:eastAsia="宋体"/>
          <w:color w:val="auto"/>
          <w:sz w:val="28"/>
          <w:szCs w:val="28"/>
          <w:highlight w:val="none"/>
        </w:rPr>
        <w:t>及</w:t>
      </w:r>
      <w:r>
        <w:rPr>
          <w:rFonts w:ascii="宋体" w:hAnsi="宋体" w:eastAsia="宋体"/>
          <w:color w:val="auto"/>
          <w:sz w:val="28"/>
          <w:szCs w:val="28"/>
          <w:highlight w:val="none"/>
        </w:rPr>
        <w:t>整理与</w:t>
      </w:r>
      <w:r>
        <w:rPr>
          <w:rFonts w:hint="eastAsia" w:ascii="宋体" w:hAnsi="宋体" w:eastAsia="宋体"/>
          <w:color w:val="auto"/>
          <w:sz w:val="28"/>
          <w:szCs w:val="28"/>
          <w:highlight w:val="none"/>
        </w:rPr>
        <w:t>医院卓越服务</w:t>
      </w:r>
      <w:r>
        <w:rPr>
          <w:rFonts w:ascii="宋体" w:hAnsi="宋体" w:eastAsia="宋体"/>
          <w:color w:val="auto"/>
          <w:sz w:val="28"/>
          <w:szCs w:val="28"/>
          <w:highlight w:val="none"/>
        </w:rPr>
        <w:t>相</w:t>
      </w:r>
      <w:r>
        <w:rPr>
          <w:rFonts w:hint="eastAsia" w:ascii="宋体" w:hAnsi="宋体" w:eastAsia="宋体"/>
          <w:color w:val="auto"/>
          <w:sz w:val="28"/>
          <w:szCs w:val="28"/>
          <w:highlight w:val="none"/>
        </w:rPr>
        <w:t>关的国内外法规、标准、规范和办法，以熟悉医院卓越服务模式</w:t>
      </w:r>
      <w:r>
        <w:rPr>
          <w:rFonts w:ascii="宋体" w:hAnsi="宋体" w:eastAsia="宋体"/>
          <w:color w:val="auto"/>
          <w:sz w:val="28"/>
          <w:szCs w:val="28"/>
          <w:highlight w:val="none"/>
        </w:rPr>
        <w:t>在国内外的</w:t>
      </w:r>
      <w:r>
        <w:rPr>
          <w:rFonts w:hint="eastAsia" w:ascii="宋体" w:hAnsi="宋体" w:eastAsia="宋体"/>
          <w:color w:val="auto"/>
          <w:sz w:val="28"/>
          <w:szCs w:val="28"/>
          <w:highlight w:val="none"/>
        </w:rPr>
        <w:t>应用</w:t>
      </w:r>
      <w:r>
        <w:rPr>
          <w:rFonts w:ascii="宋体" w:hAnsi="宋体" w:eastAsia="宋体"/>
          <w:color w:val="auto"/>
          <w:sz w:val="28"/>
          <w:szCs w:val="28"/>
          <w:highlight w:val="none"/>
        </w:rPr>
        <w:t>现状。</w:t>
      </w:r>
    </w:p>
    <w:p>
      <w:pPr>
        <w:spacing w:beforeLines="0" w:after="0" w:afterLines="0" w:line="360" w:lineRule="auto"/>
        <w:ind w:firstLine="281" w:firstLineChars="100"/>
        <w:rPr>
          <w:rFonts w:ascii="宋体" w:hAnsi="宋体" w:eastAsia="宋体"/>
          <w:b/>
          <w:bCs/>
          <w:color w:val="auto"/>
          <w:sz w:val="28"/>
          <w:szCs w:val="28"/>
          <w:highlight w:val="none"/>
        </w:rPr>
      </w:pPr>
      <w:r>
        <w:rPr>
          <w:rFonts w:ascii="宋体" w:hAnsi="宋体" w:eastAsia="宋体"/>
          <w:b/>
          <w:bCs/>
          <w:color w:val="auto"/>
          <w:sz w:val="28"/>
          <w:szCs w:val="28"/>
          <w:highlight w:val="none"/>
        </w:rPr>
        <w:t>3.</w:t>
      </w:r>
      <w:r>
        <w:rPr>
          <w:rFonts w:hint="eastAsia" w:ascii="宋体" w:hAnsi="宋体" w:eastAsia="宋体"/>
          <w:b/>
          <w:bCs/>
          <w:color w:val="auto"/>
          <w:sz w:val="28"/>
          <w:szCs w:val="28"/>
          <w:highlight w:val="none"/>
          <w:lang w:val="en-US" w:eastAsia="zh-CN"/>
        </w:rPr>
        <w:t>背景</w:t>
      </w:r>
      <w:r>
        <w:rPr>
          <w:rFonts w:ascii="宋体" w:hAnsi="宋体" w:eastAsia="宋体"/>
          <w:b/>
          <w:bCs/>
          <w:color w:val="auto"/>
          <w:sz w:val="28"/>
          <w:szCs w:val="28"/>
          <w:highlight w:val="none"/>
        </w:rPr>
        <w:t>分析</w:t>
      </w:r>
    </w:p>
    <w:p>
      <w:pPr>
        <w:spacing w:beforeLines="0" w:after="0" w:afterLines="0" w:line="360" w:lineRule="auto"/>
        <w:ind w:firstLine="280" w:firstLineChars="100"/>
        <w:rPr>
          <w:rFonts w:ascii="宋体" w:hAnsi="宋体" w:eastAsia="宋体"/>
          <w:color w:val="auto"/>
          <w:sz w:val="28"/>
          <w:szCs w:val="28"/>
          <w:highlight w:val="none"/>
        </w:rPr>
      </w:pPr>
      <w:r>
        <w:rPr>
          <w:rFonts w:hint="eastAsia" w:ascii="宋体" w:hAnsi="宋体" w:eastAsia="宋体"/>
          <w:color w:val="auto"/>
          <w:sz w:val="28"/>
          <w:szCs w:val="28"/>
          <w:highlight w:val="none"/>
          <w:lang w:val="en-US" w:eastAsia="zh-CN"/>
        </w:rPr>
        <w:t>3.1</w:t>
      </w:r>
      <w:r>
        <w:rPr>
          <w:rFonts w:hint="eastAsia" w:ascii="宋体" w:hAnsi="宋体" w:eastAsia="宋体"/>
          <w:color w:val="auto"/>
          <w:sz w:val="28"/>
          <w:szCs w:val="28"/>
          <w:highlight w:val="none"/>
        </w:rPr>
        <w:t>国外医院服务模式现状</w:t>
      </w:r>
    </w:p>
    <w:p>
      <w:pPr>
        <w:spacing w:beforeLines="0" w:after="0" w:afterLines="0" w:line="360" w:lineRule="auto"/>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国外医院服务的开展情况因地区不同而有所不同。美国的梅奥医学中心（</w:t>
      </w:r>
      <w:r>
        <w:rPr>
          <w:rFonts w:ascii="宋体" w:hAnsi="宋体" w:eastAsia="宋体"/>
          <w:color w:val="auto"/>
          <w:sz w:val="28"/>
          <w:szCs w:val="28"/>
          <w:highlight w:val="none"/>
        </w:rPr>
        <w:t>Mayo Clinic）的服务理念是“患者第一”，这是</w:t>
      </w:r>
      <w:r>
        <w:rPr>
          <w:rFonts w:hint="eastAsia" w:ascii="宋体" w:hAnsi="宋体" w:eastAsia="宋体"/>
          <w:color w:val="auto"/>
          <w:sz w:val="28"/>
          <w:szCs w:val="28"/>
          <w:highlight w:val="none"/>
        </w:rPr>
        <w:t>该中心</w:t>
      </w:r>
      <w:r>
        <w:rPr>
          <w:rFonts w:ascii="宋体" w:hAnsi="宋体" w:eastAsia="宋体"/>
          <w:color w:val="auto"/>
          <w:sz w:val="28"/>
          <w:szCs w:val="28"/>
          <w:highlight w:val="none"/>
        </w:rPr>
        <w:t>长期以来贯彻的价值观</w:t>
      </w:r>
      <w:r>
        <w:rPr>
          <w:rFonts w:hint="eastAsia" w:ascii="宋体" w:hAnsi="宋体" w:eastAsia="宋体"/>
          <w:color w:val="auto"/>
          <w:sz w:val="28"/>
          <w:szCs w:val="28"/>
          <w:highlight w:val="none"/>
          <w:lang w:eastAsia="zh-CN"/>
        </w:rPr>
        <w:t>，</w:t>
      </w:r>
      <w:r>
        <w:rPr>
          <w:rFonts w:hint="eastAsia" w:ascii="宋体" w:hAnsi="宋体" w:eastAsia="宋体"/>
          <w:color w:val="auto"/>
          <w:sz w:val="28"/>
          <w:szCs w:val="28"/>
          <w:highlight w:val="none"/>
        </w:rPr>
        <w:t>其</w:t>
      </w:r>
      <w:r>
        <w:rPr>
          <w:rFonts w:ascii="宋体" w:hAnsi="宋体" w:eastAsia="宋体"/>
          <w:color w:val="auto"/>
          <w:sz w:val="28"/>
          <w:szCs w:val="28"/>
          <w:highlight w:val="none"/>
        </w:rPr>
        <w:t>使命是为患者提供卓越的医疗服务，以及为医学研究和教育做出杰出的贡献。</w:t>
      </w:r>
      <w:r>
        <w:rPr>
          <w:rFonts w:hint="eastAsia" w:ascii="宋体" w:hAnsi="宋体" w:eastAsia="宋体"/>
          <w:color w:val="auto"/>
          <w:sz w:val="28"/>
          <w:szCs w:val="28"/>
          <w:highlight w:val="none"/>
        </w:rPr>
        <w:t>欧洲国家的医疗服务比较发达，政府为公民提供免费或低价的医疗保险，医疗资源配置较均衡。许多国家拥有先进的医疗设备和技术，提供高质量的医疗服务，如英国的医院服务主要由国民医疗服务体系（</w:t>
      </w:r>
      <w:r>
        <w:rPr>
          <w:rFonts w:ascii="宋体" w:hAnsi="宋体" w:eastAsia="宋体"/>
          <w:color w:val="auto"/>
          <w:sz w:val="28"/>
          <w:szCs w:val="28"/>
          <w:highlight w:val="none"/>
        </w:rPr>
        <w:t>National Health Service</w:t>
      </w:r>
      <w:r>
        <w:rPr>
          <w:rFonts w:hint="eastAsia" w:ascii="宋体" w:hAnsi="宋体" w:eastAsia="宋体"/>
          <w:color w:val="auto"/>
          <w:sz w:val="28"/>
          <w:szCs w:val="28"/>
          <w:highlight w:val="none"/>
        </w:rPr>
        <w:t>，</w:t>
      </w:r>
      <w:r>
        <w:rPr>
          <w:rFonts w:ascii="宋体" w:hAnsi="宋体" w:eastAsia="宋体"/>
          <w:color w:val="auto"/>
          <w:sz w:val="28"/>
          <w:szCs w:val="28"/>
          <w:highlight w:val="none"/>
        </w:rPr>
        <w:t>NHS）提供，</w:t>
      </w:r>
      <w:r>
        <w:rPr>
          <w:rFonts w:hint="eastAsia" w:ascii="宋体" w:hAnsi="宋体" w:eastAsia="宋体"/>
          <w:color w:val="auto"/>
          <w:sz w:val="28"/>
          <w:szCs w:val="28"/>
          <w:highlight w:val="none"/>
        </w:rPr>
        <w:t>由政府资助和管理，提供免费的医疗保健服务，包括急诊、门诊、住院等。此外，</w:t>
      </w:r>
      <w:r>
        <w:rPr>
          <w:rFonts w:ascii="宋体" w:hAnsi="宋体" w:eastAsia="宋体"/>
          <w:color w:val="auto"/>
          <w:sz w:val="28"/>
          <w:szCs w:val="28"/>
          <w:highlight w:val="none"/>
        </w:rPr>
        <w:t>NHS还</w:t>
      </w:r>
      <w:r>
        <w:rPr>
          <w:rFonts w:hint="eastAsia" w:ascii="宋体" w:hAnsi="宋体" w:eastAsia="宋体"/>
          <w:color w:val="auto"/>
          <w:sz w:val="28"/>
          <w:szCs w:val="28"/>
          <w:highlight w:val="none"/>
        </w:rPr>
        <w:t>可</w:t>
      </w:r>
      <w:r>
        <w:rPr>
          <w:rFonts w:ascii="宋体" w:hAnsi="宋体" w:eastAsia="宋体"/>
          <w:color w:val="auto"/>
          <w:sz w:val="28"/>
          <w:szCs w:val="28"/>
          <w:highlight w:val="none"/>
        </w:rPr>
        <w:t>为英国居民提供免费的牙齿和眼科治疗。</w:t>
      </w:r>
      <w:r>
        <w:rPr>
          <w:rFonts w:hint="eastAsia" w:ascii="宋体" w:hAnsi="宋体" w:eastAsia="宋体"/>
          <w:color w:val="auto"/>
          <w:sz w:val="28"/>
          <w:szCs w:val="28"/>
          <w:highlight w:val="none"/>
        </w:rPr>
        <w:t>德国医疗的人文服务在全球医疗领域中享有较高的声誉，其服务质量和人文关怀水平受到高度赞扬。德国的医疗人文服务强调以患者为中心，注重与患者建立良好的关系，提供高质量、全面的医疗服务，同时也注重医疗技术和设备的更新和长期护理服务的提供；瑞典的医疗保险体系较为完善，覆盖范围广泛，包括药品和诊断检查等。日本实行全民医疗保险制度，将所有居民纳入医疗保险范围，保障了公平和普及性。医疗保险制度由政府和雇主共同出资，覆盖范围广泛，包括各类医疗保健服务和药品等。此外，日本政府还推行健康促进政策，鼓励人们积极参加健康检查和锻炼身体，提高居民的健康水平。澳大利亚的医疗服务理念也强调以患者为中心，将患者的需求和利益放在首位，提供人性化、全面的医疗保健服务，并注重预防和健康促进，通过宣传健康知识、提供健康服务等方式，鼓励人们积极参与到健康生活中，减少疾病的发生和发展。综上所述，国外的医疗服务发展相对较好，医疗服务质量较高。但未来，医疗服务市场还将面临许多挑战，如人口老龄化、医疗资源分配不均等，需要各国政府和社会共同努力，推动医疗服务市场的健康发展。</w:t>
      </w:r>
    </w:p>
    <w:p>
      <w:pPr>
        <w:spacing w:beforeLines="0" w:after="0" w:afterLines="0" w:line="360" w:lineRule="auto"/>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lang w:val="en-US" w:eastAsia="zh-CN"/>
        </w:rPr>
        <w:t>3.2</w:t>
      </w:r>
      <w:r>
        <w:rPr>
          <w:rFonts w:hint="eastAsia" w:ascii="宋体" w:hAnsi="宋体" w:eastAsia="宋体"/>
          <w:color w:val="auto"/>
          <w:sz w:val="28"/>
          <w:szCs w:val="28"/>
          <w:highlight w:val="none"/>
        </w:rPr>
        <w:t>国内医院服务模式现状</w:t>
      </w:r>
    </w:p>
    <w:p>
      <w:pPr>
        <w:spacing w:beforeLines="0" w:after="0" w:afterLines="0" w:line="360" w:lineRule="auto"/>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lang w:val="en-US" w:eastAsia="zh-CN"/>
        </w:rPr>
        <w:t>我国实施</w:t>
      </w:r>
      <w:r>
        <w:rPr>
          <w:rFonts w:hint="eastAsia" w:ascii="宋体" w:hAnsi="宋体" w:eastAsia="宋体"/>
          <w:color w:val="auto"/>
          <w:sz w:val="28"/>
          <w:szCs w:val="28"/>
          <w:highlight w:val="none"/>
        </w:rPr>
        <w:t>改革开放政策后</w:t>
      </w:r>
      <w:r>
        <w:rPr>
          <w:rFonts w:hint="eastAsia" w:ascii="宋体" w:hAnsi="宋体" w:eastAsia="宋体"/>
          <w:color w:val="auto"/>
          <w:sz w:val="28"/>
          <w:szCs w:val="28"/>
          <w:highlight w:val="none"/>
          <w:lang w:eastAsia="zh-CN"/>
        </w:rPr>
        <w:t>，</w:t>
      </w:r>
      <w:r>
        <w:rPr>
          <w:rFonts w:hint="eastAsia" w:ascii="宋体" w:hAnsi="宋体" w:eastAsia="宋体"/>
          <w:color w:val="auto"/>
          <w:sz w:val="28"/>
          <w:szCs w:val="28"/>
          <w:highlight w:val="none"/>
          <w:lang w:val="en-US" w:eastAsia="zh-CN"/>
        </w:rPr>
        <w:t>于</w:t>
      </w:r>
      <w:r>
        <w:rPr>
          <w:rFonts w:ascii="宋体" w:hAnsi="宋体" w:eastAsia="宋体"/>
          <w:color w:val="auto"/>
          <w:sz w:val="28"/>
          <w:szCs w:val="28"/>
          <w:highlight w:val="none"/>
        </w:rPr>
        <w:t>1990年初逐步开展</w:t>
      </w:r>
      <w:r>
        <w:rPr>
          <w:rFonts w:hint="eastAsia" w:ascii="宋体" w:hAnsi="宋体" w:eastAsia="宋体"/>
          <w:color w:val="auto"/>
          <w:sz w:val="28"/>
          <w:szCs w:val="28"/>
          <w:highlight w:val="none"/>
        </w:rPr>
        <w:t>优质医疗服务</w:t>
      </w:r>
      <w:r>
        <w:rPr>
          <w:rFonts w:hint="eastAsia" w:ascii="宋体" w:hAnsi="宋体" w:eastAsia="宋体"/>
          <w:color w:val="auto"/>
          <w:sz w:val="28"/>
          <w:szCs w:val="28"/>
          <w:highlight w:val="none"/>
          <w:lang w:eastAsia="zh-CN"/>
        </w:rPr>
        <w:t>。</w:t>
      </w:r>
      <w:r>
        <w:rPr>
          <w:rFonts w:ascii="宋体" w:hAnsi="宋体" w:eastAsia="宋体"/>
          <w:color w:val="auto"/>
          <w:sz w:val="28"/>
          <w:szCs w:val="28"/>
          <w:highlight w:val="none"/>
        </w:rPr>
        <w:t>21世纪初，中国政府加大对医疗保健领域的投入，推进医疗体制改革，实施一系列措施，包括加强医疗设施建设、提高医疗服务水平、加强医疗人才培养等，促进了</w:t>
      </w:r>
      <w:r>
        <w:rPr>
          <w:rFonts w:hint="eastAsia" w:ascii="宋体" w:hAnsi="宋体" w:eastAsia="宋体"/>
          <w:color w:val="auto"/>
          <w:sz w:val="28"/>
          <w:szCs w:val="28"/>
          <w:highlight w:val="none"/>
          <w:lang w:val="en-US" w:eastAsia="zh-CN"/>
        </w:rPr>
        <w:t>我国</w:t>
      </w:r>
      <w:r>
        <w:rPr>
          <w:rFonts w:ascii="宋体" w:hAnsi="宋体" w:eastAsia="宋体"/>
          <w:color w:val="auto"/>
          <w:sz w:val="28"/>
          <w:szCs w:val="28"/>
          <w:highlight w:val="none"/>
        </w:rPr>
        <w:t>医疗服务的进一步发展。</w:t>
      </w:r>
      <w:r>
        <w:rPr>
          <w:rFonts w:hint="eastAsia" w:ascii="宋体" w:hAnsi="宋体" w:eastAsia="宋体"/>
          <w:color w:val="auto"/>
          <w:sz w:val="28"/>
          <w:szCs w:val="28"/>
          <w:highlight w:val="none"/>
        </w:rPr>
        <w:t>随着时间的推移，</w:t>
      </w:r>
      <w:r>
        <w:rPr>
          <w:rFonts w:hint="eastAsia" w:ascii="宋体" w:hAnsi="宋体" w:eastAsia="宋体"/>
          <w:color w:val="auto"/>
          <w:sz w:val="28"/>
          <w:szCs w:val="28"/>
          <w:highlight w:val="none"/>
          <w:lang w:val="en-US" w:eastAsia="zh-CN"/>
        </w:rPr>
        <w:t>我国</w:t>
      </w:r>
      <w:r>
        <w:rPr>
          <w:rFonts w:hint="eastAsia" w:ascii="宋体" w:hAnsi="宋体" w:eastAsia="宋体"/>
          <w:color w:val="auto"/>
          <w:sz w:val="28"/>
          <w:szCs w:val="28"/>
          <w:highlight w:val="none"/>
        </w:rPr>
        <w:t>优质医疗服务不断提高，现代化的医疗设施和技术开始广泛应用，医疗服务质量和效率得到显著提高</w:t>
      </w:r>
      <w:r>
        <w:rPr>
          <w:rFonts w:hint="eastAsia" w:ascii="宋体" w:hAnsi="宋体" w:eastAsia="宋体"/>
          <w:color w:val="auto"/>
          <w:sz w:val="28"/>
          <w:szCs w:val="28"/>
          <w:highlight w:val="none"/>
          <w:lang w:val="en-US" w:eastAsia="zh-CN"/>
        </w:rPr>
        <w:t>的同时，</w:t>
      </w:r>
      <w:r>
        <w:rPr>
          <w:rFonts w:hint="eastAsia" w:ascii="宋体" w:hAnsi="宋体" w:eastAsia="宋体"/>
          <w:color w:val="auto"/>
          <w:sz w:val="28"/>
          <w:szCs w:val="28"/>
          <w:highlight w:val="none"/>
        </w:rPr>
        <w:t>积极推进医疗服务的普及，加强基层医疗保健服务，提高偏远地区和弱势群体的医疗保健水平，改善医疗资源分布不均的问题。目前，中国的医院服务市场仍在经历着快速发展和变革。政府正在加强医疗服务市场的监管和管理，推动公立医院改革和私立医院发展，同时大力发展互联网医疗服务，提高医疗服务的效率和质量，满足人民日益增长的医疗需求。国内为进一步提高医疗服务质量，创新管理和服务模式，推动医疗机构高质量发展，更好地为人民群众提供高效医疗卫生服务，近两年开始逐渐开展医院卓越服务，湖南省卫健委颁布《湖南省卫生健康委关于开展医院卓越服务有关意见的通知》（湘卫医发〔</w:t>
      </w:r>
      <w:r>
        <w:rPr>
          <w:rFonts w:ascii="宋体" w:hAnsi="宋体" w:eastAsia="宋体"/>
          <w:color w:val="auto"/>
          <w:sz w:val="28"/>
          <w:szCs w:val="28"/>
          <w:highlight w:val="none"/>
        </w:rPr>
        <w:t>2022〕22号）</w:t>
      </w:r>
      <w:r>
        <w:rPr>
          <w:rFonts w:hint="eastAsia" w:ascii="宋体" w:hAnsi="宋体" w:eastAsia="宋体"/>
          <w:color w:val="auto"/>
          <w:sz w:val="28"/>
          <w:szCs w:val="28"/>
          <w:highlight w:val="none"/>
        </w:rPr>
        <w:t>，并初步拟定《湖南省医院卓越服务评价标准》，供全省各级卫生健康行政部门和医疗卫生机构开展医院卓越服务评价。此外，积极提高公众对医院卓越服务的认识，积极营造推进医院卓越服务的良好氛围。</w:t>
      </w:r>
    </w:p>
    <w:p>
      <w:pPr>
        <w:spacing w:after="0" w:line="360" w:lineRule="auto"/>
        <w:ind w:firstLine="0" w:firstLineChars="0"/>
        <w:rPr>
          <w:rFonts w:ascii="宋体" w:hAnsi="宋体" w:eastAsia="宋体"/>
          <w:b/>
          <w:bCs/>
          <w:color w:val="auto"/>
          <w:sz w:val="28"/>
          <w:szCs w:val="28"/>
          <w:highlight w:val="none"/>
        </w:rPr>
      </w:pPr>
      <w:r>
        <w:rPr>
          <w:rFonts w:ascii="Times New Roman" w:hAnsi="Times New Roman" w:eastAsia="黑体" w:cs="Times New Roman"/>
          <w:sz w:val="32"/>
        </w:rPr>
        <w:t>（二）起草工作阶段</w:t>
      </w:r>
    </w:p>
    <w:p>
      <w:pPr>
        <w:spacing w:beforeLines="0" w:after="0" w:afterLines="0" w:line="360" w:lineRule="auto"/>
        <w:ind w:firstLine="560" w:firstLineChars="200"/>
        <w:rPr>
          <w:rFonts w:hint="eastAsia" w:ascii="宋体" w:hAnsi="宋体" w:eastAsia="宋体"/>
          <w:color w:val="auto"/>
          <w:sz w:val="28"/>
          <w:szCs w:val="28"/>
          <w:highlight w:val="none"/>
          <w:lang w:val="en-US" w:eastAsia="zh-CN"/>
        </w:rPr>
      </w:pPr>
      <w:r>
        <w:rPr>
          <w:rFonts w:hint="eastAsia" w:ascii="宋体" w:hAnsi="宋体" w:eastAsia="宋体"/>
          <w:color w:val="auto"/>
          <w:sz w:val="28"/>
          <w:szCs w:val="28"/>
          <w:highlight w:val="none"/>
          <w:lang w:val="en-US" w:eastAsia="zh-CN"/>
        </w:rPr>
        <w:t>1.起草标准框架</w:t>
      </w:r>
    </w:p>
    <w:p>
      <w:pPr>
        <w:spacing w:beforeLines="0" w:after="0" w:afterLines="0" w:line="360" w:lineRule="auto"/>
        <w:ind w:firstLine="560" w:firstLineChars="200"/>
        <w:rPr>
          <w:rFonts w:hint="eastAsia" w:ascii="宋体" w:hAnsi="宋体" w:eastAsia="宋体"/>
          <w:color w:val="auto"/>
          <w:sz w:val="28"/>
          <w:szCs w:val="28"/>
          <w:highlight w:val="none"/>
          <w:lang w:eastAsia="zh-CN"/>
        </w:rPr>
      </w:pPr>
      <w:r>
        <w:rPr>
          <w:rFonts w:hint="eastAsia" w:ascii="宋体" w:hAnsi="宋体" w:eastAsia="宋体"/>
          <w:color w:val="auto"/>
          <w:sz w:val="28"/>
          <w:szCs w:val="28"/>
          <w:highlight w:val="none"/>
        </w:rPr>
        <w:t>2023年</w:t>
      </w:r>
      <w:r>
        <w:rPr>
          <w:rFonts w:ascii="宋体" w:hAnsi="宋体" w:eastAsia="宋体"/>
          <w:color w:val="auto"/>
          <w:sz w:val="28"/>
          <w:szCs w:val="28"/>
          <w:highlight w:val="none"/>
        </w:rPr>
        <w:t>4月28日，组织召</w:t>
      </w:r>
      <w:r>
        <w:rPr>
          <w:rFonts w:hint="eastAsia" w:ascii="宋体" w:hAnsi="宋体" w:eastAsia="宋体"/>
          <w:color w:val="auto"/>
          <w:sz w:val="28"/>
          <w:szCs w:val="28"/>
          <w:highlight w:val="none"/>
        </w:rPr>
        <w:t>开</w:t>
      </w:r>
      <w:r>
        <w:rPr>
          <w:rFonts w:ascii="宋体" w:hAnsi="宋体" w:eastAsia="宋体"/>
          <w:color w:val="auto"/>
          <w:sz w:val="28"/>
          <w:szCs w:val="28"/>
          <w:highlight w:val="none"/>
        </w:rPr>
        <w:t>第一次</w:t>
      </w:r>
      <w:r>
        <w:rPr>
          <w:rFonts w:hint="eastAsia" w:ascii="宋体" w:hAnsi="宋体" w:eastAsia="宋体"/>
          <w:color w:val="auto"/>
          <w:sz w:val="28"/>
          <w:szCs w:val="28"/>
          <w:highlight w:val="none"/>
        </w:rPr>
        <w:t>《医院卓越服务规范》标准的讨论会</w:t>
      </w:r>
      <w:r>
        <w:rPr>
          <w:rFonts w:hint="eastAsia" w:ascii="宋体" w:hAnsi="宋体" w:eastAsia="宋体"/>
          <w:color w:val="auto"/>
          <w:sz w:val="28"/>
          <w:szCs w:val="28"/>
          <w:highlight w:val="none"/>
          <w:lang w:eastAsia="zh-CN"/>
        </w:rPr>
        <w:t>，</w:t>
      </w:r>
      <w:r>
        <w:rPr>
          <w:rFonts w:hint="eastAsia" w:ascii="宋体" w:hAnsi="宋体" w:eastAsia="宋体"/>
          <w:color w:val="auto"/>
          <w:sz w:val="28"/>
          <w:szCs w:val="28"/>
          <w:highlight w:val="none"/>
        </w:rPr>
        <w:t>初步确定了《医院卓越服务规范》标准的基本内容和框架，即：卓越管理、卓越医疗、卓越护理、卓越人文及质量评价与改进</w:t>
      </w:r>
      <w:r>
        <w:rPr>
          <w:rFonts w:hint="eastAsia" w:ascii="宋体" w:hAnsi="宋体" w:eastAsia="宋体"/>
          <w:color w:val="auto"/>
          <w:sz w:val="28"/>
          <w:szCs w:val="28"/>
          <w:highlight w:val="none"/>
          <w:lang w:eastAsia="zh-CN"/>
        </w:rPr>
        <w:t>及</w:t>
      </w:r>
      <w:r>
        <w:rPr>
          <w:rFonts w:hint="eastAsia" w:ascii="宋体" w:hAnsi="宋体" w:eastAsia="宋体"/>
          <w:color w:val="auto"/>
          <w:sz w:val="28"/>
          <w:szCs w:val="28"/>
          <w:highlight w:val="none"/>
        </w:rPr>
        <w:t>下一步任务分工和时间进度安排</w:t>
      </w:r>
      <w:r>
        <w:rPr>
          <w:rFonts w:hint="eastAsia" w:ascii="宋体" w:hAnsi="宋体" w:eastAsia="宋体"/>
          <w:color w:val="auto"/>
          <w:sz w:val="28"/>
          <w:szCs w:val="28"/>
          <w:highlight w:val="none"/>
          <w:lang w:eastAsia="zh-CN"/>
        </w:rPr>
        <w:t>。</w:t>
      </w:r>
    </w:p>
    <w:p>
      <w:pPr>
        <w:numPr>
          <w:numId w:val="0"/>
        </w:numPr>
        <w:spacing w:beforeLines="0" w:after="0" w:afterLines="0" w:line="360" w:lineRule="auto"/>
        <w:ind w:firstLine="560" w:firstLineChars="200"/>
        <w:rPr>
          <w:rFonts w:hint="eastAsia" w:ascii="宋体" w:hAnsi="宋体" w:eastAsia="宋体"/>
          <w:color w:val="auto"/>
          <w:sz w:val="28"/>
          <w:szCs w:val="28"/>
          <w:highlight w:val="none"/>
          <w:lang w:val="en-US" w:eastAsia="zh-CN"/>
        </w:rPr>
      </w:pPr>
      <w:bookmarkStart w:id="0" w:name="_GoBack"/>
      <w:bookmarkEnd w:id="0"/>
      <w:r>
        <w:rPr>
          <w:rFonts w:hint="eastAsia" w:ascii="宋体" w:hAnsi="宋体" w:eastAsia="宋体"/>
          <w:color w:val="auto"/>
          <w:sz w:val="28"/>
          <w:szCs w:val="28"/>
          <w:highlight w:val="none"/>
          <w:lang w:val="en-US" w:eastAsia="zh-CN"/>
        </w:rPr>
        <w:t>2.制定标准初稿</w:t>
      </w:r>
    </w:p>
    <w:p>
      <w:pPr>
        <w:numPr>
          <w:numId w:val="0"/>
        </w:numPr>
        <w:spacing w:beforeLines="0" w:after="0" w:afterLines="0" w:line="360" w:lineRule="auto"/>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2023年5月，</w:t>
      </w:r>
      <w:r>
        <w:rPr>
          <w:rFonts w:hint="eastAsia" w:ascii="宋体" w:hAnsi="宋体" w:eastAsia="宋体"/>
          <w:color w:val="auto"/>
          <w:sz w:val="28"/>
          <w:szCs w:val="28"/>
          <w:highlight w:val="none"/>
          <w:lang w:val="en-US" w:eastAsia="zh-CN"/>
        </w:rPr>
        <w:t>起草小组对</w:t>
      </w:r>
      <w:r>
        <w:rPr>
          <w:rFonts w:hint="eastAsia" w:ascii="宋体" w:hAnsi="宋体" w:eastAsia="宋体"/>
          <w:color w:val="auto"/>
          <w:sz w:val="28"/>
          <w:szCs w:val="28"/>
          <w:highlight w:val="none"/>
        </w:rPr>
        <w:t>文献预检索，</w:t>
      </w:r>
      <w:r>
        <w:rPr>
          <w:rFonts w:hint="eastAsia" w:ascii="宋体" w:hAnsi="宋体" w:eastAsia="宋体"/>
          <w:color w:val="auto"/>
          <w:sz w:val="28"/>
          <w:szCs w:val="28"/>
          <w:highlight w:val="none"/>
        </w:rPr>
        <w:t>进行评价证据，开展了广泛的预研工作，并编写形成了</w:t>
      </w:r>
      <w:r>
        <w:rPr>
          <w:rFonts w:hint="eastAsia" w:ascii="宋体" w:hAnsi="宋体" w:eastAsia="宋体"/>
          <w:color w:val="auto"/>
          <w:sz w:val="28"/>
          <w:szCs w:val="28"/>
          <w:highlight w:val="none"/>
          <w:lang w:val="en-US" w:eastAsia="zh-CN"/>
        </w:rPr>
        <w:t>地方</w:t>
      </w:r>
      <w:r>
        <w:rPr>
          <w:rFonts w:hint="eastAsia" w:ascii="宋体" w:hAnsi="宋体" w:eastAsia="宋体"/>
          <w:color w:val="auto"/>
          <w:sz w:val="28"/>
          <w:szCs w:val="28"/>
          <w:highlight w:val="none"/>
        </w:rPr>
        <w:t>标准</w:t>
      </w:r>
      <w:r>
        <w:rPr>
          <w:rFonts w:hint="eastAsia" w:ascii="宋体" w:hAnsi="宋体" w:eastAsia="宋体"/>
          <w:color w:val="auto"/>
          <w:sz w:val="28"/>
          <w:szCs w:val="28"/>
          <w:highlight w:val="none"/>
          <w:lang w:val="en-US" w:eastAsia="zh-CN"/>
        </w:rPr>
        <w:t>讨论</w:t>
      </w:r>
      <w:r>
        <w:rPr>
          <w:rFonts w:hint="eastAsia" w:ascii="宋体" w:hAnsi="宋体" w:eastAsia="宋体"/>
          <w:color w:val="auto"/>
          <w:sz w:val="28"/>
          <w:szCs w:val="28"/>
          <w:highlight w:val="none"/>
        </w:rPr>
        <w:t>稿</w:t>
      </w:r>
      <w:r>
        <w:rPr>
          <w:rFonts w:hint="eastAsia" w:ascii="宋体" w:hAnsi="宋体" w:eastAsia="宋体"/>
          <w:color w:val="auto"/>
          <w:sz w:val="28"/>
          <w:szCs w:val="28"/>
          <w:highlight w:val="none"/>
          <w:lang w:eastAsia="zh-CN"/>
        </w:rPr>
        <w:t>（</w:t>
      </w:r>
      <w:r>
        <w:rPr>
          <w:rFonts w:hint="eastAsia" w:ascii="宋体" w:hAnsi="宋体" w:eastAsia="宋体"/>
          <w:color w:val="auto"/>
          <w:sz w:val="28"/>
          <w:szCs w:val="28"/>
          <w:highlight w:val="none"/>
          <w:lang w:val="en-US" w:eastAsia="zh-CN"/>
        </w:rPr>
        <w:t>第一稿</w:t>
      </w:r>
      <w:r>
        <w:rPr>
          <w:rFonts w:hint="eastAsia" w:ascii="宋体" w:hAnsi="宋体" w:eastAsia="宋体"/>
          <w:color w:val="auto"/>
          <w:sz w:val="28"/>
          <w:szCs w:val="28"/>
          <w:highlight w:val="none"/>
          <w:lang w:eastAsia="zh-CN"/>
        </w:rPr>
        <w:t>）</w:t>
      </w:r>
      <w:r>
        <w:rPr>
          <w:rFonts w:hint="eastAsia" w:ascii="宋体" w:hAnsi="宋体" w:eastAsia="宋体"/>
          <w:color w:val="auto"/>
          <w:sz w:val="28"/>
          <w:szCs w:val="28"/>
          <w:highlight w:val="none"/>
        </w:rPr>
        <w:t>。</w:t>
      </w:r>
    </w:p>
    <w:p>
      <w:pPr>
        <w:numPr>
          <w:numId w:val="0"/>
        </w:numPr>
        <w:spacing w:beforeLines="0" w:after="0" w:afterLines="0" w:line="360" w:lineRule="auto"/>
        <w:ind w:firstLine="560" w:firstLineChars="200"/>
        <w:rPr>
          <w:rFonts w:hint="eastAsia" w:ascii="宋体" w:hAnsi="宋体" w:eastAsia="宋体"/>
          <w:color w:val="auto"/>
          <w:sz w:val="28"/>
          <w:szCs w:val="28"/>
          <w:highlight w:val="none"/>
          <w:lang w:val="en-US" w:eastAsia="zh-CN"/>
        </w:rPr>
      </w:pPr>
      <w:r>
        <w:rPr>
          <w:rFonts w:hint="eastAsia" w:ascii="宋体" w:hAnsi="宋体" w:eastAsia="宋体"/>
          <w:color w:val="auto"/>
          <w:sz w:val="28"/>
          <w:szCs w:val="28"/>
          <w:highlight w:val="none"/>
          <w:lang w:val="en-US" w:eastAsia="zh-CN"/>
        </w:rPr>
        <w:t>3.标准完善过程</w:t>
      </w:r>
    </w:p>
    <w:p>
      <w:pPr>
        <w:numPr>
          <w:numId w:val="0"/>
        </w:numPr>
        <w:spacing w:beforeLines="0" w:after="0" w:afterLines="0" w:line="360" w:lineRule="auto"/>
        <w:ind w:firstLine="560" w:firstLineChars="200"/>
        <w:rPr>
          <w:rFonts w:ascii="宋体" w:hAnsi="宋体" w:eastAsia="宋体"/>
          <w:color w:val="auto"/>
          <w:sz w:val="28"/>
          <w:szCs w:val="28"/>
          <w:highlight w:val="none"/>
        </w:rPr>
      </w:pPr>
      <w:r>
        <w:rPr>
          <w:rFonts w:ascii="宋体" w:hAnsi="宋体" w:eastAsia="宋体"/>
          <w:color w:val="auto"/>
          <w:sz w:val="28"/>
          <w:szCs w:val="28"/>
          <w:highlight w:val="none"/>
        </w:rPr>
        <w:t>2023年5月</w:t>
      </w:r>
      <w:r>
        <w:rPr>
          <w:rFonts w:hint="eastAsia" w:ascii="宋体" w:hAnsi="宋体" w:eastAsia="宋体"/>
          <w:color w:val="auto"/>
          <w:sz w:val="28"/>
          <w:szCs w:val="28"/>
          <w:highlight w:val="none"/>
          <w:lang w:val="en-US" w:eastAsia="zh-CN"/>
        </w:rPr>
        <w:t>底</w:t>
      </w:r>
      <w:r>
        <w:rPr>
          <w:rFonts w:ascii="宋体" w:hAnsi="宋体" w:eastAsia="宋体"/>
          <w:color w:val="auto"/>
          <w:sz w:val="28"/>
          <w:szCs w:val="28"/>
          <w:highlight w:val="none"/>
        </w:rPr>
        <w:t>，组织标准</w:t>
      </w:r>
      <w:r>
        <w:rPr>
          <w:rFonts w:hint="eastAsia" w:ascii="宋体" w:hAnsi="宋体" w:eastAsia="宋体"/>
          <w:color w:val="auto"/>
          <w:sz w:val="28"/>
          <w:szCs w:val="28"/>
          <w:highlight w:val="none"/>
          <w:lang w:val="en-US" w:eastAsia="zh-CN"/>
        </w:rPr>
        <w:t>起草成员</w:t>
      </w:r>
      <w:r>
        <w:rPr>
          <w:rFonts w:ascii="宋体" w:hAnsi="宋体" w:eastAsia="宋体"/>
          <w:color w:val="auto"/>
          <w:sz w:val="28"/>
          <w:szCs w:val="28"/>
          <w:highlight w:val="none"/>
        </w:rPr>
        <w:t>，对标准进行逐条研讨论证。通过国内外相关标准数据，结合我省</w:t>
      </w:r>
      <w:r>
        <w:rPr>
          <w:rFonts w:hint="eastAsia" w:ascii="宋体" w:hAnsi="宋体" w:eastAsia="宋体"/>
          <w:color w:val="auto"/>
          <w:sz w:val="28"/>
          <w:szCs w:val="28"/>
          <w:highlight w:val="none"/>
        </w:rPr>
        <w:t>医院服务</w:t>
      </w:r>
      <w:r>
        <w:rPr>
          <w:rFonts w:ascii="宋体" w:hAnsi="宋体" w:eastAsia="宋体"/>
          <w:color w:val="auto"/>
          <w:sz w:val="28"/>
          <w:szCs w:val="28"/>
          <w:highlight w:val="none"/>
        </w:rPr>
        <w:t>实际情况，形成标准</w:t>
      </w:r>
      <w:r>
        <w:rPr>
          <w:rFonts w:hint="eastAsia" w:ascii="宋体" w:hAnsi="宋体" w:eastAsia="宋体"/>
          <w:color w:val="auto"/>
          <w:sz w:val="28"/>
          <w:szCs w:val="28"/>
          <w:highlight w:val="none"/>
          <w:lang w:val="en-US" w:eastAsia="zh-CN"/>
        </w:rPr>
        <w:t>讨论稿</w:t>
      </w:r>
      <w:r>
        <w:rPr>
          <w:rFonts w:hint="eastAsia" w:ascii="宋体" w:hAnsi="宋体" w:eastAsia="宋体"/>
          <w:color w:val="auto"/>
          <w:sz w:val="28"/>
          <w:szCs w:val="28"/>
          <w:highlight w:val="none"/>
          <w:lang w:eastAsia="zh-CN"/>
        </w:rPr>
        <w:t>（</w:t>
      </w:r>
      <w:r>
        <w:rPr>
          <w:rFonts w:hint="eastAsia" w:ascii="宋体" w:hAnsi="宋体" w:eastAsia="宋体"/>
          <w:color w:val="auto"/>
          <w:sz w:val="28"/>
          <w:szCs w:val="28"/>
          <w:highlight w:val="none"/>
          <w:lang w:val="en-US" w:eastAsia="zh-CN"/>
        </w:rPr>
        <w:t>第二稿</w:t>
      </w:r>
      <w:r>
        <w:rPr>
          <w:rFonts w:hint="eastAsia" w:ascii="宋体" w:hAnsi="宋体" w:eastAsia="宋体"/>
          <w:color w:val="auto"/>
          <w:sz w:val="28"/>
          <w:szCs w:val="28"/>
          <w:highlight w:val="none"/>
          <w:lang w:eastAsia="zh-CN"/>
        </w:rPr>
        <w:t>）</w:t>
      </w:r>
      <w:r>
        <w:rPr>
          <w:rFonts w:ascii="宋体" w:hAnsi="宋体" w:eastAsia="宋体"/>
          <w:color w:val="auto"/>
          <w:sz w:val="28"/>
          <w:szCs w:val="28"/>
          <w:highlight w:val="none"/>
        </w:rPr>
        <w:t>。</w:t>
      </w:r>
      <w:r>
        <w:rPr>
          <w:rFonts w:hint="eastAsia" w:ascii="宋体" w:hAnsi="宋体" w:eastAsia="宋体"/>
          <w:color w:val="auto"/>
          <w:sz w:val="28"/>
          <w:szCs w:val="28"/>
          <w:highlight w:val="none"/>
          <w:lang w:val="en-US" w:eastAsia="zh-CN"/>
        </w:rPr>
        <w:t>2023年6月初，8家起草</w:t>
      </w:r>
      <w:r>
        <w:rPr>
          <w:rFonts w:hint="default" w:ascii="宋体" w:hAnsi="宋体" w:eastAsia="宋体"/>
          <w:color w:val="auto"/>
          <w:sz w:val="28"/>
          <w:szCs w:val="28"/>
          <w:highlight w:val="none"/>
          <w:lang w:val="en-US" w:eastAsia="zh-CN"/>
        </w:rPr>
        <w:t>单位</w:t>
      </w:r>
      <w:r>
        <w:rPr>
          <w:rFonts w:ascii="宋体" w:hAnsi="宋体" w:eastAsia="宋体" w:cstheme="minorBidi"/>
          <w:color w:val="auto"/>
          <w:sz w:val="28"/>
          <w:szCs w:val="28"/>
          <w:highlight w:val="none"/>
        </w:rPr>
        <w:t>开展内部研讨，进一步修改形成标准讨论稿</w:t>
      </w:r>
      <w:r>
        <w:rPr>
          <w:rFonts w:hint="eastAsia" w:ascii="宋体" w:hAnsi="宋体" w:eastAsia="宋体" w:cstheme="minorBidi"/>
          <w:color w:val="auto"/>
          <w:sz w:val="28"/>
          <w:szCs w:val="28"/>
          <w:highlight w:val="none"/>
          <w:lang w:eastAsia="zh-CN"/>
        </w:rPr>
        <w:t>（</w:t>
      </w:r>
      <w:r>
        <w:rPr>
          <w:rFonts w:hint="eastAsia" w:ascii="宋体" w:hAnsi="宋体" w:eastAsia="宋体" w:cstheme="minorBidi"/>
          <w:color w:val="auto"/>
          <w:sz w:val="28"/>
          <w:szCs w:val="28"/>
          <w:highlight w:val="none"/>
          <w:lang w:val="en-US" w:eastAsia="zh-CN"/>
        </w:rPr>
        <w:t>第三稿</w:t>
      </w:r>
      <w:r>
        <w:rPr>
          <w:rFonts w:hint="eastAsia" w:ascii="宋体" w:hAnsi="宋体" w:eastAsia="宋体" w:cstheme="minorBidi"/>
          <w:color w:val="auto"/>
          <w:sz w:val="28"/>
          <w:szCs w:val="28"/>
          <w:highlight w:val="none"/>
          <w:lang w:eastAsia="zh-CN"/>
        </w:rPr>
        <w:t>）。</w:t>
      </w:r>
    </w:p>
    <w:p>
      <w:pPr>
        <w:spacing w:beforeLines="0" w:after="0" w:afterLines="0" w:line="360" w:lineRule="auto"/>
        <w:ind w:firstLine="560" w:firstLineChars="200"/>
        <w:rPr>
          <w:rFonts w:hint="eastAsia" w:ascii="宋体" w:hAnsi="宋体" w:eastAsia="宋体"/>
          <w:b w:val="0"/>
          <w:bCs w:val="0"/>
          <w:color w:val="auto"/>
          <w:sz w:val="28"/>
          <w:szCs w:val="28"/>
          <w:highlight w:val="none"/>
          <w:lang w:eastAsia="zh-CN"/>
        </w:rPr>
      </w:pPr>
      <w:r>
        <w:rPr>
          <w:rFonts w:hint="eastAsia" w:ascii="宋体" w:hAnsi="宋体" w:eastAsia="宋体"/>
          <w:b w:val="0"/>
          <w:bCs w:val="0"/>
          <w:color w:val="auto"/>
          <w:sz w:val="28"/>
          <w:szCs w:val="28"/>
          <w:highlight w:val="none"/>
          <w:lang w:val="en-US" w:eastAsia="zh-CN"/>
        </w:rPr>
        <w:t>4</w:t>
      </w:r>
      <w:r>
        <w:rPr>
          <w:rFonts w:hint="eastAsia" w:ascii="宋体" w:hAnsi="宋体" w:eastAsia="宋体"/>
          <w:b w:val="0"/>
          <w:bCs w:val="0"/>
          <w:color w:val="auto"/>
          <w:sz w:val="28"/>
          <w:szCs w:val="28"/>
          <w:highlight w:val="none"/>
        </w:rPr>
        <w:t>.</w:t>
      </w:r>
      <w:r>
        <w:rPr>
          <w:rFonts w:hint="eastAsia" w:ascii="宋体" w:hAnsi="宋体" w:eastAsia="宋体"/>
          <w:b w:val="0"/>
          <w:bCs w:val="0"/>
          <w:color w:val="auto"/>
          <w:sz w:val="28"/>
          <w:szCs w:val="28"/>
          <w:highlight w:val="none"/>
          <w:lang w:val="en-US" w:eastAsia="zh-CN"/>
        </w:rPr>
        <w:t>调查研讨</w:t>
      </w:r>
    </w:p>
    <w:p>
      <w:pPr>
        <w:spacing w:beforeLines="0" w:after="0" w:afterLines="0" w:line="360" w:lineRule="auto"/>
        <w:ind w:firstLine="560" w:firstLineChars="200"/>
        <w:rPr>
          <w:rFonts w:ascii="Times New Roman" w:eastAsia="Times New Roman"/>
          <w:color w:val="auto"/>
          <w:highlight w:val="none"/>
        </w:rPr>
      </w:pPr>
      <w:r>
        <w:rPr>
          <w:rFonts w:ascii="宋体" w:hAnsi="宋体" w:eastAsia="宋体"/>
          <w:color w:val="auto"/>
          <w:sz w:val="28"/>
          <w:szCs w:val="28"/>
          <w:highlight w:val="none"/>
        </w:rPr>
        <w:t>2023年</w:t>
      </w:r>
      <w:r>
        <w:rPr>
          <w:rFonts w:hint="eastAsia" w:ascii="宋体" w:hAnsi="宋体" w:eastAsia="宋体"/>
          <w:color w:val="auto"/>
          <w:sz w:val="28"/>
          <w:szCs w:val="28"/>
          <w:highlight w:val="none"/>
          <w:lang w:val="en-US" w:eastAsia="zh-CN"/>
        </w:rPr>
        <w:t>6</w:t>
      </w:r>
      <w:r>
        <w:rPr>
          <w:rFonts w:ascii="宋体" w:hAnsi="宋体" w:eastAsia="宋体"/>
          <w:color w:val="auto"/>
          <w:sz w:val="28"/>
          <w:szCs w:val="28"/>
          <w:highlight w:val="none"/>
        </w:rPr>
        <w:t>月</w:t>
      </w:r>
      <w:r>
        <w:rPr>
          <w:rFonts w:hint="eastAsia" w:ascii="宋体" w:hAnsi="宋体" w:eastAsia="宋体"/>
          <w:color w:val="auto"/>
          <w:sz w:val="28"/>
          <w:szCs w:val="28"/>
          <w:highlight w:val="none"/>
          <w:lang w:val="en-US" w:eastAsia="zh-CN"/>
        </w:rPr>
        <w:t>21日-7月10日</w:t>
      </w:r>
      <w:r>
        <w:rPr>
          <w:rFonts w:ascii="宋体" w:hAnsi="宋体" w:eastAsia="宋体"/>
          <w:color w:val="auto"/>
          <w:sz w:val="28"/>
          <w:szCs w:val="28"/>
          <w:highlight w:val="none"/>
        </w:rPr>
        <w:t>，将</w:t>
      </w:r>
      <w:r>
        <w:rPr>
          <w:rFonts w:ascii="宋体" w:hAnsi="宋体" w:eastAsia="宋体" w:cstheme="minorBidi"/>
          <w:color w:val="auto"/>
          <w:sz w:val="28"/>
          <w:szCs w:val="28"/>
          <w:highlight w:val="none"/>
        </w:rPr>
        <w:t>标准讨论稿</w:t>
      </w:r>
      <w:r>
        <w:rPr>
          <w:rFonts w:hint="eastAsia" w:ascii="宋体" w:hAnsi="宋体" w:eastAsia="宋体" w:cstheme="minorBidi"/>
          <w:color w:val="auto"/>
          <w:sz w:val="28"/>
          <w:szCs w:val="28"/>
          <w:highlight w:val="none"/>
          <w:lang w:eastAsia="zh-CN"/>
        </w:rPr>
        <w:t>（</w:t>
      </w:r>
      <w:r>
        <w:rPr>
          <w:rFonts w:hint="eastAsia" w:ascii="宋体" w:hAnsi="宋体" w:eastAsia="宋体" w:cstheme="minorBidi"/>
          <w:color w:val="auto"/>
          <w:sz w:val="28"/>
          <w:szCs w:val="28"/>
          <w:highlight w:val="none"/>
          <w:lang w:val="en-US" w:eastAsia="zh-CN"/>
        </w:rPr>
        <w:t>第三稿</w:t>
      </w:r>
      <w:r>
        <w:rPr>
          <w:rFonts w:hint="eastAsia" w:ascii="宋体" w:hAnsi="宋体" w:eastAsia="宋体" w:cstheme="minorBidi"/>
          <w:color w:val="auto"/>
          <w:sz w:val="28"/>
          <w:szCs w:val="28"/>
          <w:highlight w:val="none"/>
          <w:lang w:eastAsia="zh-CN"/>
        </w:rPr>
        <w:t>）</w:t>
      </w:r>
      <w:r>
        <w:rPr>
          <w:rFonts w:ascii="宋体" w:hAnsi="宋体" w:eastAsia="宋体"/>
          <w:color w:val="auto"/>
          <w:sz w:val="28"/>
          <w:szCs w:val="28"/>
          <w:highlight w:val="none"/>
        </w:rPr>
        <w:t>和编制说明发送给</w:t>
      </w:r>
      <w:r>
        <w:rPr>
          <w:rFonts w:hint="eastAsia" w:ascii="宋体" w:hAnsi="宋体" w:eastAsia="宋体"/>
          <w:color w:val="auto"/>
          <w:sz w:val="28"/>
          <w:szCs w:val="28"/>
          <w:highlight w:val="none"/>
          <w:lang w:val="en-US" w:eastAsia="zh-CN"/>
        </w:rPr>
        <w:t>工作</w:t>
      </w:r>
      <w:r>
        <w:rPr>
          <w:rFonts w:ascii="宋体" w:hAnsi="宋体" w:eastAsia="宋体"/>
          <w:color w:val="auto"/>
          <w:sz w:val="28"/>
          <w:szCs w:val="28"/>
          <w:highlight w:val="none"/>
        </w:rPr>
        <w:t>组之外的专家和使用人群进行外审，共收到相关建议和意见</w:t>
      </w:r>
      <w:r>
        <w:rPr>
          <w:rFonts w:hint="eastAsia" w:ascii="宋体" w:hAnsi="宋体" w:eastAsia="宋体"/>
          <w:color w:val="auto"/>
          <w:sz w:val="28"/>
          <w:szCs w:val="28"/>
          <w:highlight w:val="none"/>
          <w:lang w:val="en-US" w:eastAsia="zh-CN"/>
        </w:rPr>
        <w:t>51</w:t>
      </w:r>
      <w:r>
        <w:rPr>
          <w:rFonts w:ascii="宋体" w:hAnsi="宋体" w:eastAsia="宋体"/>
          <w:color w:val="auto"/>
          <w:sz w:val="28"/>
          <w:szCs w:val="28"/>
          <w:highlight w:val="none"/>
        </w:rPr>
        <w:t>条。起草工作组对收集到的意见进行了认真分析和处理，采纳</w:t>
      </w:r>
      <w:r>
        <w:rPr>
          <w:rFonts w:hint="eastAsia" w:ascii="宋体" w:hAnsi="宋体" w:eastAsia="宋体"/>
          <w:color w:val="auto"/>
          <w:sz w:val="28"/>
          <w:szCs w:val="28"/>
          <w:highlight w:val="none"/>
          <w:lang w:val="en-US" w:eastAsia="zh-CN"/>
        </w:rPr>
        <w:t>48</w:t>
      </w:r>
      <w:r>
        <w:rPr>
          <w:rFonts w:ascii="宋体" w:hAnsi="宋体" w:eastAsia="宋体"/>
          <w:color w:val="auto"/>
          <w:sz w:val="28"/>
          <w:szCs w:val="28"/>
          <w:highlight w:val="none"/>
        </w:rPr>
        <w:t>条，不采纳</w:t>
      </w:r>
      <w:r>
        <w:rPr>
          <w:rFonts w:hint="eastAsia" w:ascii="宋体" w:hAnsi="宋体" w:eastAsia="宋体"/>
          <w:color w:val="auto"/>
          <w:sz w:val="28"/>
          <w:szCs w:val="28"/>
          <w:highlight w:val="none"/>
          <w:lang w:val="en-US" w:eastAsia="zh-CN"/>
        </w:rPr>
        <w:t>3</w:t>
      </w:r>
      <w:r>
        <w:rPr>
          <w:rFonts w:ascii="宋体" w:hAnsi="宋体" w:eastAsia="宋体"/>
          <w:color w:val="auto"/>
          <w:sz w:val="28"/>
          <w:szCs w:val="28"/>
          <w:highlight w:val="none"/>
        </w:rPr>
        <w:t>条，标准起草小组对《</w:t>
      </w:r>
      <w:r>
        <w:rPr>
          <w:rFonts w:hint="eastAsia" w:ascii="宋体" w:hAnsi="宋体" w:eastAsia="宋体"/>
          <w:color w:val="auto"/>
          <w:sz w:val="28"/>
          <w:szCs w:val="28"/>
          <w:highlight w:val="none"/>
        </w:rPr>
        <w:t>医院卓越服务规范</w:t>
      </w:r>
      <w:r>
        <w:rPr>
          <w:rFonts w:ascii="宋体" w:hAnsi="宋体" w:eastAsia="宋体"/>
          <w:color w:val="auto"/>
          <w:sz w:val="28"/>
          <w:szCs w:val="28"/>
          <w:highlight w:val="none"/>
        </w:rPr>
        <w:t>》</w:t>
      </w:r>
      <w:r>
        <w:rPr>
          <w:rFonts w:ascii="宋体" w:hAnsi="宋体" w:eastAsia="宋体" w:cstheme="minorBidi"/>
          <w:color w:val="auto"/>
          <w:sz w:val="28"/>
          <w:szCs w:val="28"/>
          <w:highlight w:val="none"/>
        </w:rPr>
        <w:t>标准讨论稿</w:t>
      </w:r>
      <w:r>
        <w:rPr>
          <w:rFonts w:hint="eastAsia" w:ascii="宋体" w:hAnsi="宋体" w:eastAsia="宋体" w:cstheme="minorBidi"/>
          <w:color w:val="auto"/>
          <w:sz w:val="28"/>
          <w:szCs w:val="28"/>
          <w:highlight w:val="none"/>
          <w:lang w:eastAsia="zh-CN"/>
        </w:rPr>
        <w:t>（</w:t>
      </w:r>
      <w:r>
        <w:rPr>
          <w:rFonts w:hint="eastAsia" w:ascii="宋体" w:hAnsi="宋体" w:eastAsia="宋体" w:cstheme="minorBidi"/>
          <w:color w:val="auto"/>
          <w:sz w:val="28"/>
          <w:szCs w:val="28"/>
          <w:highlight w:val="none"/>
          <w:lang w:val="en-US" w:eastAsia="zh-CN"/>
        </w:rPr>
        <w:t>第三稿</w:t>
      </w:r>
      <w:r>
        <w:rPr>
          <w:rFonts w:hint="eastAsia" w:ascii="宋体" w:hAnsi="宋体" w:eastAsia="宋体" w:cstheme="minorBidi"/>
          <w:color w:val="auto"/>
          <w:sz w:val="28"/>
          <w:szCs w:val="28"/>
          <w:highlight w:val="none"/>
          <w:lang w:eastAsia="zh-CN"/>
        </w:rPr>
        <w:t>）</w:t>
      </w:r>
      <w:r>
        <w:rPr>
          <w:rFonts w:ascii="宋体" w:hAnsi="宋体" w:eastAsia="宋体"/>
          <w:color w:val="auto"/>
          <w:sz w:val="28"/>
          <w:szCs w:val="28"/>
          <w:highlight w:val="none"/>
        </w:rPr>
        <w:t>进行了修订和完善</w:t>
      </w:r>
      <w:r>
        <w:rPr>
          <w:rFonts w:hint="eastAsia" w:ascii="宋体" w:hAnsi="宋体" w:eastAsia="宋体"/>
          <w:color w:val="auto"/>
          <w:sz w:val="28"/>
          <w:szCs w:val="28"/>
          <w:highlight w:val="none"/>
          <w:lang w:eastAsia="zh-CN"/>
        </w:rPr>
        <w:t>，</w:t>
      </w:r>
      <w:r>
        <w:rPr>
          <w:rFonts w:hint="eastAsia" w:ascii="宋体" w:hAnsi="宋体" w:eastAsia="宋体"/>
          <w:color w:val="auto"/>
          <w:sz w:val="28"/>
          <w:szCs w:val="28"/>
          <w:highlight w:val="none"/>
          <w:lang w:val="en-US" w:eastAsia="zh-CN"/>
        </w:rPr>
        <w:t>形成《医院卓越服务规范》征求意见稿</w:t>
      </w:r>
      <w:r>
        <w:rPr>
          <w:rFonts w:ascii="宋体" w:hAnsi="宋体" w:eastAsia="宋体"/>
          <w:color w:val="auto"/>
          <w:sz w:val="28"/>
          <w:szCs w:val="28"/>
          <w:highlight w:val="none"/>
        </w:rPr>
        <w:t>。</w:t>
      </w:r>
      <w:r>
        <w:rPr>
          <w:rFonts w:hint="eastAsia" w:ascii="Times New Roman" w:hAnsi="Times New Roman" w:cs="Times New Roman"/>
          <w:color w:val="auto"/>
          <w:highlight w:val="none"/>
          <w:lang w:val="en-US" w:eastAsia="zh-CN"/>
        </w:rPr>
        <w:t xml:space="preserve">                 </w:t>
      </w:r>
    </w:p>
    <w:p>
      <w:pPr>
        <w:pStyle w:val="2"/>
        <w:spacing w:beforeLines="0" w:afterLines="0" w:line="360" w:lineRule="auto"/>
        <w:ind w:left="0" w:leftChars="0" w:firstLine="0" w:firstLineChars="0"/>
        <w:rPr>
          <w:rFonts w:hint="eastAsia"/>
          <w:color w:val="auto"/>
          <w:highlight w:val="none"/>
        </w:rPr>
      </w:pPr>
      <w:r>
        <w:rPr>
          <w:rFonts w:hint="eastAsia"/>
          <w:color w:val="auto"/>
          <w:highlight w:val="none"/>
          <w:lang w:val="en-US" w:eastAsia="zh-CN"/>
        </w:rPr>
        <w:t>三</w:t>
      </w:r>
      <w:r>
        <w:rPr>
          <w:color w:val="auto"/>
          <w:highlight w:val="none"/>
        </w:rPr>
        <w:t>、标准格式编制依据</w:t>
      </w:r>
    </w:p>
    <w:p>
      <w:pPr>
        <w:pStyle w:val="6"/>
        <w:spacing w:before="0" w:beforeLines="0" w:afterLines="0" w:line="360" w:lineRule="auto"/>
        <w:ind w:left="0" w:right="376" w:firstLine="560" w:firstLineChars="200"/>
        <w:rPr>
          <w:rFonts w:hint="eastAsia"/>
          <w:color w:val="auto"/>
          <w:highlight w:val="none"/>
        </w:rPr>
      </w:pPr>
      <w:r>
        <w:rPr>
          <w:color w:val="auto"/>
          <w:highlight w:val="none"/>
        </w:rPr>
        <w:t>本标准遵循</w:t>
      </w:r>
      <w:r>
        <w:rPr>
          <w:rFonts w:ascii="Times New Roman" w:eastAsia="Times New Roman"/>
          <w:color w:val="auto"/>
          <w:highlight w:val="none"/>
        </w:rPr>
        <w:t>GB/T 1.1</w:t>
      </w:r>
      <w:r>
        <w:rPr>
          <w:color w:val="auto"/>
          <w:highlight w:val="none"/>
        </w:rPr>
        <w:t>－</w:t>
      </w:r>
      <w:r>
        <w:rPr>
          <w:rFonts w:hint="eastAsia" w:ascii="Times New Roman"/>
          <w:color w:val="auto"/>
          <w:highlight w:val="none"/>
        </w:rPr>
        <w:t>2020</w:t>
      </w:r>
      <w:r>
        <w:rPr>
          <w:color w:val="auto"/>
          <w:highlight w:val="none"/>
        </w:rPr>
        <w:t xml:space="preserve">《标准化工作导则第 </w:t>
      </w:r>
      <w:r>
        <w:rPr>
          <w:rFonts w:ascii="Times New Roman" w:eastAsia="Times New Roman"/>
          <w:color w:val="auto"/>
          <w:highlight w:val="none"/>
        </w:rPr>
        <w:t xml:space="preserve">1 </w:t>
      </w:r>
      <w:r>
        <w:rPr>
          <w:color w:val="auto"/>
          <w:highlight w:val="none"/>
        </w:rPr>
        <w:t>部分：标准</w:t>
      </w:r>
      <w:r>
        <w:rPr>
          <w:rFonts w:hint="eastAsia"/>
          <w:color w:val="auto"/>
          <w:highlight w:val="none"/>
        </w:rPr>
        <w:t>化文件</w:t>
      </w:r>
      <w:r>
        <w:rPr>
          <w:color w:val="auto"/>
          <w:highlight w:val="none"/>
        </w:rPr>
        <w:t>的结构和</w:t>
      </w:r>
      <w:r>
        <w:rPr>
          <w:rFonts w:hint="eastAsia"/>
          <w:color w:val="auto"/>
          <w:highlight w:val="none"/>
        </w:rPr>
        <w:t>起草规则</w:t>
      </w:r>
      <w:r>
        <w:rPr>
          <w:color w:val="auto"/>
          <w:highlight w:val="none"/>
        </w:rPr>
        <w:t>》给出的规则起草。</w:t>
      </w:r>
    </w:p>
    <w:p>
      <w:pPr>
        <w:pStyle w:val="2"/>
        <w:spacing w:beforeLines="0" w:afterLines="0" w:line="360" w:lineRule="auto"/>
        <w:ind w:left="0" w:leftChars="0" w:firstLine="0" w:firstLineChars="0"/>
        <w:rPr>
          <w:rFonts w:hint="eastAsia"/>
          <w:color w:val="auto"/>
          <w:highlight w:val="none"/>
        </w:rPr>
      </w:pPr>
      <w:r>
        <w:rPr>
          <w:color w:val="auto"/>
          <w:highlight w:val="none"/>
        </w:rPr>
        <w:t>（一）标准编制原则标准的编制过程中，严格按照以下原则：</w:t>
      </w:r>
    </w:p>
    <w:p>
      <w:pPr>
        <w:pStyle w:val="6"/>
        <w:spacing w:beforeLines="0" w:afterLines="0" w:line="360" w:lineRule="auto"/>
        <w:ind w:left="0" w:right="435" w:firstLine="420" w:firstLineChars="150"/>
        <w:rPr>
          <w:rFonts w:hint="eastAsia" w:cstheme="minorBidi"/>
          <w:b w:val="0"/>
          <w:bCs w:val="0"/>
          <w:color w:val="auto"/>
          <w:kern w:val="2"/>
          <w:sz w:val="28"/>
          <w:szCs w:val="28"/>
          <w:highlight w:val="none"/>
          <w:lang w:val="en-US" w:eastAsia="zh-CN" w:bidi="ar-SA"/>
        </w:rPr>
      </w:pPr>
      <w:r>
        <w:rPr>
          <w:rFonts w:hint="eastAsia" w:asciiTheme="minorHAnsi" w:hAnsiTheme="minorHAnsi" w:eastAsiaTheme="minorEastAsia" w:cstheme="minorBidi"/>
          <w:b w:val="0"/>
          <w:bCs w:val="0"/>
          <w:color w:val="auto"/>
          <w:kern w:val="2"/>
          <w:sz w:val="28"/>
          <w:szCs w:val="28"/>
          <w:highlight w:val="none"/>
          <w:lang w:val="en-US" w:eastAsia="zh-CN" w:bidi="ar-SA"/>
        </w:rPr>
        <w:t>本标准的制定工作遵循“统一性、协调性、适用性、一致性、规范性”的原则，本着先进性、科学性、合理性和可操作性的原则</w:t>
      </w:r>
      <w:r>
        <w:rPr>
          <w:rFonts w:hint="eastAsia" w:cstheme="minorBidi"/>
          <w:b w:val="0"/>
          <w:bCs w:val="0"/>
          <w:color w:val="auto"/>
          <w:kern w:val="2"/>
          <w:sz w:val="28"/>
          <w:szCs w:val="28"/>
          <w:highlight w:val="none"/>
          <w:lang w:val="en-US" w:eastAsia="zh-CN" w:bidi="ar-SA"/>
        </w:rPr>
        <w:t xml:space="preserve">。                 </w:t>
      </w:r>
    </w:p>
    <w:p>
      <w:pPr>
        <w:pStyle w:val="6"/>
        <w:spacing w:beforeLines="0" w:afterLines="0" w:line="360" w:lineRule="auto"/>
        <w:ind w:left="0" w:leftChars="0" w:right="435" w:firstLine="0" w:firstLineChars="0"/>
        <w:rPr>
          <w:rFonts w:hint="eastAsia"/>
          <w:b/>
          <w:color w:val="auto"/>
          <w:highlight w:val="none"/>
        </w:rPr>
      </w:pPr>
      <w:r>
        <w:rPr>
          <w:b/>
          <w:color w:val="auto"/>
          <w:highlight w:val="none"/>
        </w:rPr>
        <w:t>（</w:t>
      </w:r>
      <w:r>
        <w:rPr>
          <w:rFonts w:hint="eastAsia"/>
          <w:b/>
          <w:color w:val="auto"/>
          <w:highlight w:val="none"/>
          <w:lang w:val="en-US" w:eastAsia="zh-CN"/>
        </w:rPr>
        <w:t>二</w:t>
      </w:r>
      <w:r>
        <w:rPr>
          <w:b/>
          <w:color w:val="auto"/>
          <w:highlight w:val="none"/>
        </w:rPr>
        <w:t>）</w:t>
      </w:r>
      <w:r>
        <w:rPr>
          <w:rFonts w:asciiTheme="minorHAnsi" w:hAnsiTheme="minorHAnsi" w:eastAsiaTheme="minorEastAsia" w:cstheme="minorBidi"/>
          <w:b/>
          <w:bCs/>
          <w:color w:val="auto"/>
          <w:kern w:val="2"/>
          <w:sz w:val="28"/>
          <w:szCs w:val="28"/>
          <w:highlight w:val="none"/>
          <w:lang w:val="en-US" w:eastAsia="zh-CN" w:bidi="ar-SA"/>
        </w:rPr>
        <w:t>与现行法律、法规、标准的关系</w:t>
      </w:r>
    </w:p>
    <w:p>
      <w:pPr>
        <w:spacing w:beforeLines="0" w:after="0" w:afterLines="0" w:line="360" w:lineRule="auto"/>
        <w:ind w:firstLine="560" w:firstLineChars="200"/>
        <w:rPr>
          <w:rFonts w:hint="eastAsia" w:asciiTheme="minorHAnsi" w:hAnsiTheme="minorHAnsi" w:eastAsiaTheme="minorEastAsia" w:cstheme="minorBidi"/>
          <w:b w:val="0"/>
          <w:bCs w:val="0"/>
          <w:color w:val="auto"/>
          <w:kern w:val="2"/>
          <w:sz w:val="28"/>
          <w:szCs w:val="28"/>
          <w:highlight w:val="none"/>
          <w:lang w:val="en-US" w:eastAsia="zh-CN" w:bidi="ar-SA"/>
        </w:rPr>
      </w:pPr>
      <w:r>
        <w:rPr>
          <w:rFonts w:hint="eastAsia" w:asciiTheme="minorHAnsi" w:hAnsiTheme="minorHAnsi" w:eastAsiaTheme="minorEastAsia" w:cstheme="minorBidi"/>
          <w:b w:val="0"/>
          <w:bCs w:val="0"/>
          <w:color w:val="auto"/>
          <w:kern w:val="2"/>
          <w:sz w:val="28"/>
          <w:szCs w:val="28"/>
          <w:highlight w:val="none"/>
          <w:lang w:val="en-US" w:eastAsia="zh-CN" w:bidi="ar-SA"/>
        </w:rPr>
        <w:t>本标准与相关法律、法规、规章及相关标准协调一致，没有冲突。</w:t>
      </w:r>
    </w:p>
    <w:p>
      <w:pPr>
        <w:pStyle w:val="6"/>
        <w:spacing w:beforeLines="0" w:afterLines="0" w:line="360" w:lineRule="auto"/>
        <w:ind w:left="0" w:leftChars="0" w:right="435" w:firstLine="0" w:firstLineChars="0"/>
        <w:rPr>
          <w:rFonts w:hint="eastAsia"/>
          <w:b/>
          <w:color w:val="auto"/>
          <w:highlight w:val="none"/>
        </w:rPr>
      </w:pPr>
      <w:r>
        <w:rPr>
          <w:b/>
          <w:color w:val="auto"/>
          <w:highlight w:val="none"/>
        </w:rPr>
        <w:t>（三）标准定义及适用范围</w:t>
      </w:r>
    </w:p>
    <w:p>
      <w:pPr>
        <w:pStyle w:val="6"/>
        <w:spacing w:beforeLines="0" w:afterLines="0" w:line="360" w:lineRule="auto"/>
        <w:ind w:left="0" w:right="435" w:firstLine="420" w:firstLineChars="150"/>
        <w:rPr>
          <w:rFonts w:hint="default" w:asciiTheme="minorHAnsi" w:hAnsiTheme="minorHAnsi" w:eastAsiaTheme="minorEastAsia" w:cstheme="minorBidi"/>
          <w:b w:val="0"/>
          <w:bCs w:val="0"/>
          <w:color w:val="auto"/>
          <w:kern w:val="2"/>
          <w:sz w:val="28"/>
          <w:szCs w:val="28"/>
          <w:highlight w:val="none"/>
          <w:lang w:val="en-US" w:eastAsia="zh-CN" w:bidi="ar-SA"/>
        </w:rPr>
      </w:pPr>
      <w:r>
        <w:rPr>
          <w:rFonts w:hint="eastAsia" w:asciiTheme="minorHAnsi" w:hAnsiTheme="minorHAnsi" w:eastAsiaTheme="minorEastAsia" w:cstheme="minorBidi"/>
          <w:b w:val="0"/>
          <w:bCs w:val="0"/>
          <w:color w:val="auto"/>
          <w:kern w:val="2"/>
          <w:sz w:val="28"/>
          <w:szCs w:val="28"/>
          <w:highlight w:val="none"/>
          <w:lang w:val="en-US" w:eastAsia="zh-CN" w:bidi="ar-SA"/>
        </w:rPr>
        <w:t>本文件规定了</w:t>
      </w:r>
      <w:r>
        <w:rPr>
          <w:rFonts w:hint="eastAsia" w:cstheme="minorBidi"/>
          <w:b w:val="0"/>
          <w:bCs w:val="0"/>
          <w:color w:val="auto"/>
          <w:kern w:val="2"/>
          <w:sz w:val="28"/>
          <w:szCs w:val="28"/>
          <w:highlight w:val="none"/>
          <w:lang w:val="en-US" w:eastAsia="zh-CN" w:bidi="ar-SA"/>
        </w:rPr>
        <w:t>医院卓越服务</w:t>
      </w:r>
      <w:r>
        <w:rPr>
          <w:rFonts w:hint="eastAsia" w:asciiTheme="minorHAnsi" w:hAnsiTheme="minorHAnsi" w:eastAsiaTheme="minorEastAsia" w:cstheme="minorBidi"/>
          <w:b w:val="0"/>
          <w:bCs w:val="0"/>
          <w:color w:val="auto"/>
          <w:kern w:val="2"/>
          <w:sz w:val="28"/>
          <w:szCs w:val="28"/>
          <w:highlight w:val="none"/>
          <w:lang w:val="en-US" w:eastAsia="zh-CN" w:bidi="ar-SA"/>
        </w:rPr>
        <w:t>的术语和定义、</w:t>
      </w:r>
      <w:r>
        <w:rPr>
          <w:rFonts w:hint="eastAsia" w:cstheme="minorBidi"/>
          <w:b w:val="0"/>
          <w:bCs w:val="0"/>
          <w:color w:val="auto"/>
          <w:kern w:val="2"/>
          <w:sz w:val="28"/>
          <w:szCs w:val="28"/>
          <w:highlight w:val="none"/>
          <w:lang w:val="en-US" w:eastAsia="zh-CN" w:bidi="ar-SA"/>
        </w:rPr>
        <w:t>卓越管理、卓越医疗、卓越护理、卓越人文及质量评价与改进。</w:t>
      </w:r>
    </w:p>
    <w:p>
      <w:pPr>
        <w:pStyle w:val="6"/>
        <w:spacing w:beforeLines="0" w:afterLines="0" w:line="360" w:lineRule="auto"/>
        <w:ind w:right="435"/>
        <w:rPr>
          <w:rFonts w:hint="eastAsia" w:asciiTheme="minorHAnsi" w:hAnsiTheme="minorHAnsi" w:eastAsiaTheme="minorEastAsia" w:cstheme="minorBidi"/>
          <w:b w:val="0"/>
          <w:bCs w:val="0"/>
          <w:color w:val="auto"/>
          <w:kern w:val="2"/>
          <w:sz w:val="28"/>
          <w:szCs w:val="28"/>
          <w:highlight w:val="none"/>
          <w:lang w:val="en-US" w:eastAsia="zh-CN" w:bidi="ar-SA"/>
        </w:rPr>
      </w:pPr>
      <w:r>
        <w:rPr>
          <w:rFonts w:hint="eastAsia" w:asciiTheme="minorHAnsi" w:hAnsiTheme="minorHAnsi" w:eastAsiaTheme="minorEastAsia" w:cstheme="minorBidi"/>
          <w:b w:val="0"/>
          <w:bCs w:val="0"/>
          <w:color w:val="auto"/>
          <w:kern w:val="2"/>
          <w:sz w:val="28"/>
          <w:szCs w:val="28"/>
          <w:highlight w:val="none"/>
          <w:lang w:val="en-US" w:eastAsia="zh-CN" w:bidi="ar-SA"/>
        </w:rPr>
        <w:t>本文件适用于</w:t>
      </w:r>
      <w:r>
        <w:rPr>
          <w:rFonts w:hint="eastAsia" w:cstheme="minorBidi"/>
          <w:b w:val="0"/>
          <w:bCs w:val="0"/>
          <w:color w:val="auto"/>
          <w:kern w:val="2"/>
          <w:sz w:val="28"/>
          <w:szCs w:val="28"/>
          <w:highlight w:val="none"/>
          <w:lang w:val="en-US" w:eastAsia="zh-CN" w:bidi="ar-SA"/>
        </w:rPr>
        <w:t>二级及以上</w:t>
      </w:r>
      <w:r>
        <w:rPr>
          <w:rFonts w:hint="eastAsia" w:asciiTheme="minorHAnsi" w:hAnsiTheme="minorHAnsi" w:eastAsiaTheme="minorEastAsia" w:cstheme="minorBidi"/>
          <w:b w:val="0"/>
          <w:bCs w:val="0"/>
          <w:color w:val="auto"/>
          <w:kern w:val="2"/>
          <w:sz w:val="28"/>
          <w:szCs w:val="28"/>
          <w:highlight w:val="none"/>
          <w:lang w:val="en-US" w:eastAsia="zh-CN" w:bidi="ar-SA"/>
        </w:rPr>
        <w:t>开展</w:t>
      </w:r>
      <w:r>
        <w:rPr>
          <w:rFonts w:hint="eastAsia" w:cstheme="minorBidi"/>
          <w:b w:val="0"/>
          <w:bCs w:val="0"/>
          <w:color w:val="auto"/>
          <w:kern w:val="2"/>
          <w:sz w:val="28"/>
          <w:szCs w:val="28"/>
          <w:highlight w:val="none"/>
          <w:lang w:val="en-US" w:eastAsia="zh-CN" w:bidi="ar-SA"/>
        </w:rPr>
        <w:t>卓越服务</w:t>
      </w:r>
      <w:r>
        <w:rPr>
          <w:rFonts w:hint="eastAsia" w:asciiTheme="minorHAnsi" w:hAnsiTheme="minorHAnsi" w:eastAsiaTheme="minorEastAsia" w:cstheme="minorBidi"/>
          <w:b w:val="0"/>
          <w:bCs w:val="0"/>
          <w:color w:val="auto"/>
          <w:kern w:val="2"/>
          <w:sz w:val="28"/>
          <w:szCs w:val="28"/>
          <w:highlight w:val="none"/>
          <w:lang w:val="en-US" w:eastAsia="zh-CN" w:bidi="ar-SA"/>
        </w:rPr>
        <w:t>的医疗机构。</w:t>
      </w:r>
    </w:p>
    <w:p>
      <w:pPr>
        <w:pStyle w:val="6"/>
        <w:spacing w:beforeLines="0" w:afterLines="0" w:line="360" w:lineRule="auto"/>
        <w:ind w:left="0" w:leftChars="0" w:right="435" w:firstLine="0" w:firstLineChars="0"/>
        <w:rPr>
          <w:rFonts w:hint="eastAsia"/>
          <w:b/>
          <w:color w:val="auto"/>
          <w:highlight w:val="none"/>
        </w:rPr>
      </w:pPr>
      <w:r>
        <w:rPr>
          <w:b/>
          <w:color w:val="auto"/>
          <w:highlight w:val="none"/>
        </w:rPr>
        <w:t>（四）标准技术要求</w:t>
      </w:r>
    </w:p>
    <w:p>
      <w:pPr>
        <w:spacing w:beforeLines="0" w:after="0" w:afterLines="0" w:line="360" w:lineRule="auto"/>
        <w:ind w:firstLine="508" w:firstLineChars="200"/>
        <w:rPr>
          <w:rFonts w:hint="eastAsia" w:asciiTheme="minorHAnsi" w:hAnsiTheme="minorHAnsi" w:eastAsiaTheme="minorEastAsia" w:cstheme="minorBidi"/>
          <w:color w:val="auto"/>
          <w:spacing w:val="-13"/>
          <w:kern w:val="2"/>
          <w:sz w:val="28"/>
          <w:szCs w:val="28"/>
          <w:highlight w:val="none"/>
          <w:lang w:val="en-US" w:eastAsia="zh-CN" w:bidi="ar-SA"/>
        </w:rPr>
      </w:pPr>
      <w:r>
        <w:rPr>
          <w:rFonts w:hint="eastAsia" w:asciiTheme="minorHAnsi" w:hAnsiTheme="minorHAnsi" w:eastAsiaTheme="minorEastAsia" w:cstheme="minorBidi"/>
          <w:color w:val="auto"/>
          <w:spacing w:val="-13"/>
          <w:kern w:val="2"/>
          <w:sz w:val="28"/>
          <w:szCs w:val="28"/>
          <w:highlight w:val="none"/>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p>
      <w:pPr>
        <w:spacing w:beforeLines="0" w:after="0" w:afterLines="0" w:line="360" w:lineRule="auto"/>
        <w:ind w:firstLine="508" w:firstLineChars="200"/>
        <w:rPr>
          <w:rFonts w:hint="eastAsia" w:asciiTheme="minorEastAsia" w:hAnsiTheme="minorEastAsia" w:eastAsiaTheme="minorEastAsia" w:cstheme="minorEastAsia"/>
          <w:color w:val="auto"/>
          <w:spacing w:val="-13"/>
          <w:kern w:val="2"/>
          <w:sz w:val="28"/>
          <w:szCs w:val="28"/>
          <w:highlight w:val="none"/>
          <w:lang w:val="en-US" w:eastAsia="zh-CN" w:bidi="ar-SA"/>
        </w:rPr>
      </w:pPr>
      <w:r>
        <w:rPr>
          <w:rFonts w:hint="eastAsia" w:asciiTheme="minorEastAsia" w:hAnsiTheme="minorEastAsia" w:eastAsiaTheme="minorEastAsia" w:cstheme="minorEastAsia"/>
          <w:color w:val="auto"/>
          <w:spacing w:val="-13"/>
          <w:kern w:val="2"/>
          <w:sz w:val="28"/>
          <w:szCs w:val="28"/>
          <w:highlight w:val="none"/>
          <w:lang w:val="en-US" w:eastAsia="zh-CN" w:bidi="ar-SA"/>
        </w:rPr>
        <w:t>WS/T 390-2012  医院急诊科规范化流程</w:t>
      </w:r>
    </w:p>
    <w:p>
      <w:pPr>
        <w:spacing w:beforeLines="0" w:after="0" w:afterLines="0" w:line="360" w:lineRule="auto"/>
        <w:ind w:firstLine="508" w:firstLineChars="200"/>
        <w:rPr>
          <w:rFonts w:hint="eastAsia" w:asciiTheme="minorEastAsia" w:hAnsiTheme="minorEastAsia" w:eastAsiaTheme="minorEastAsia" w:cstheme="minorEastAsia"/>
          <w:color w:val="auto"/>
          <w:spacing w:val="-13"/>
          <w:kern w:val="2"/>
          <w:sz w:val="28"/>
          <w:szCs w:val="28"/>
          <w:highlight w:val="none"/>
          <w:lang w:val="en-US" w:eastAsia="zh-CN" w:bidi="ar-SA"/>
        </w:rPr>
      </w:pPr>
      <w:r>
        <w:rPr>
          <w:rFonts w:hint="eastAsia" w:asciiTheme="minorEastAsia" w:hAnsiTheme="minorEastAsia" w:eastAsiaTheme="minorEastAsia" w:cstheme="minorEastAsia"/>
          <w:color w:val="auto"/>
          <w:spacing w:val="-13"/>
          <w:kern w:val="2"/>
          <w:sz w:val="28"/>
          <w:szCs w:val="28"/>
          <w:highlight w:val="none"/>
          <w:lang w:val="en-US" w:eastAsia="zh-CN" w:bidi="ar-SA"/>
        </w:rPr>
        <w:t>WS/T 431-2013  护理分级</w:t>
      </w:r>
    </w:p>
    <w:p>
      <w:pPr>
        <w:spacing w:beforeLines="0" w:after="0" w:afterLines="0" w:line="360" w:lineRule="auto"/>
        <w:ind w:firstLine="508" w:firstLineChars="200"/>
        <w:rPr>
          <w:rFonts w:hint="eastAsia" w:asciiTheme="minorEastAsia" w:hAnsiTheme="minorEastAsia" w:eastAsiaTheme="minorEastAsia" w:cstheme="minorEastAsia"/>
          <w:color w:val="auto"/>
          <w:spacing w:val="-13"/>
          <w:kern w:val="2"/>
          <w:sz w:val="28"/>
          <w:szCs w:val="28"/>
          <w:highlight w:val="none"/>
          <w:lang w:val="en-US" w:eastAsia="zh-CN" w:bidi="ar-SA"/>
        </w:rPr>
      </w:pPr>
      <w:r>
        <w:rPr>
          <w:rFonts w:hint="eastAsia" w:asciiTheme="minorEastAsia" w:hAnsiTheme="minorEastAsia" w:eastAsiaTheme="minorEastAsia" w:cstheme="minorEastAsia"/>
          <w:color w:val="auto"/>
          <w:spacing w:val="-13"/>
          <w:kern w:val="2"/>
          <w:sz w:val="28"/>
          <w:szCs w:val="28"/>
          <w:highlight w:val="none"/>
          <w:lang w:val="en-US" w:eastAsia="zh-CN" w:bidi="ar-SA"/>
        </w:rPr>
        <w:t>WS/T 313-2019  医务人员手卫生规范</w:t>
      </w:r>
    </w:p>
    <w:p>
      <w:pPr>
        <w:pStyle w:val="2"/>
        <w:spacing w:before="0" w:beforeLines="0" w:afterLines="0" w:line="360" w:lineRule="auto"/>
        <w:ind w:left="0" w:leftChars="0" w:right="436" w:firstLine="0" w:firstLineChars="0"/>
        <w:rPr>
          <w:rFonts w:hint="eastAsia"/>
          <w:color w:val="auto"/>
          <w:highlight w:val="none"/>
        </w:rPr>
      </w:pPr>
      <w:r>
        <w:rPr>
          <w:rFonts w:hint="eastAsia"/>
          <w:color w:val="auto"/>
          <w:spacing w:val="-7"/>
          <w:highlight w:val="none"/>
          <w:lang w:val="en-US" w:eastAsia="zh-CN"/>
        </w:rPr>
        <w:t>四</w:t>
      </w:r>
      <w:r>
        <w:rPr>
          <w:color w:val="auto"/>
          <w:spacing w:val="-7"/>
          <w:highlight w:val="none"/>
        </w:rPr>
        <w:t>、主要试验</w:t>
      </w:r>
      <w:r>
        <w:rPr>
          <w:color w:val="auto"/>
          <w:spacing w:val="-3"/>
          <w:highlight w:val="none"/>
        </w:rPr>
        <w:t>（</w:t>
      </w:r>
      <w:r>
        <w:rPr>
          <w:color w:val="auto"/>
          <w:spacing w:val="-2"/>
          <w:highlight w:val="none"/>
        </w:rPr>
        <w:t>验证</w:t>
      </w:r>
      <w:r>
        <w:rPr>
          <w:color w:val="auto"/>
          <w:spacing w:val="-17"/>
          <w:highlight w:val="none"/>
        </w:rPr>
        <w:t>）</w:t>
      </w:r>
      <w:r>
        <w:rPr>
          <w:color w:val="auto"/>
          <w:spacing w:val="-9"/>
          <w:highlight w:val="none"/>
        </w:rPr>
        <w:t>的分析、综述报告，技术经济论证，预期</w:t>
      </w:r>
      <w:r>
        <w:rPr>
          <w:color w:val="auto"/>
          <w:spacing w:val="-1"/>
          <w:highlight w:val="none"/>
        </w:rPr>
        <w:t>的经济效果</w:t>
      </w:r>
    </w:p>
    <w:p>
      <w:pPr>
        <w:pStyle w:val="6"/>
        <w:spacing w:beforeLines="0" w:afterLines="0" w:line="360" w:lineRule="auto"/>
        <w:ind w:left="0" w:right="345" w:firstLine="508" w:firstLineChars="200"/>
        <w:rPr>
          <w:rFonts w:hint="eastAsia"/>
          <w:color w:val="auto"/>
          <w:spacing w:val="-13"/>
          <w:highlight w:val="none"/>
          <w:lang w:val="en-US" w:eastAsia="zh-CN"/>
        </w:rPr>
      </w:pPr>
      <w:r>
        <w:rPr>
          <w:rFonts w:hint="eastAsia"/>
          <w:color w:val="auto"/>
          <w:spacing w:val="-13"/>
          <w:highlight w:val="none"/>
        </w:rPr>
        <w:t>在现场调查中我们将</w:t>
      </w:r>
      <w:r>
        <w:rPr>
          <w:rFonts w:hint="eastAsia"/>
          <w:color w:val="auto"/>
          <w:spacing w:val="-13"/>
          <w:highlight w:val="none"/>
          <w:lang w:val="en-US" w:eastAsia="zh-CN"/>
        </w:rPr>
        <w:t>以湖南省肿瘤医院</w:t>
      </w:r>
      <w:r>
        <w:rPr>
          <w:rFonts w:hint="eastAsia"/>
          <w:color w:val="auto"/>
          <w:spacing w:val="-13"/>
          <w:highlight w:val="none"/>
        </w:rPr>
        <w:t>作为标准制定的实验地进行综合分析论证。</w:t>
      </w:r>
      <w:r>
        <w:rPr>
          <w:rFonts w:hint="eastAsia"/>
          <w:color w:val="auto"/>
          <w:spacing w:val="-13"/>
          <w:highlight w:val="none"/>
          <w:lang w:val="en-US" w:eastAsia="zh-CN"/>
        </w:rPr>
        <w:t>制定的</w:t>
      </w:r>
      <w:r>
        <w:rPr>
          <w:rFonts w:hint="eastAsia"/>
          <w:color w:val="auto"/>
          <w:spacing w:val="-13"/>
          <w:highlight w:val="none"/>
          <w:lang w:eastAsia="zh-CN"/>
        </w:rPr>
        <w:t>《</w:t>
      </w:r>
      <w:r>
        <w:rPr>
          <w:rFonts w:hint="eastAsia"/>
          <w:color w:val="auto"/>
          <w:spacing w:val="-13"/>
          <w:highlight w:val="none"/>
          <w:lang w:val="en-US" w:eastAsia="zh-CN"/>
        </w:rPr>
        <w:t>医院卓越服务规范</w:t>
      </w:r>
      <w:r>
        <w:rPr>
          <w:rFonts w:hint="eastAsia"/>
          <w:color w:val="auto"/>
          <w:spacing w:val="-13"/>
          <w:highlight w:val="none"/>
          <w:lang w:eastAsia="zh-CN"/>
        </w:rPr>
        <w:t>》</w:t>
      </w:r>
      <w:r>
        <w:rPr>
          <w:rFonts w:hint="eastAsia"/>
          <w:color w:val="auto"/>
          <w:spacing w:val="-13"/>
          <w:highlight w:val="none"/>
          <w:lang w:val="en-US" w:eastAsia="zh-CN"/>
        </w:rPr>
        <w:t>是一个全面的、科学的、系统的并适用于医院的标准，用以规范医院卓越服务实施内容和流程，整合医院实践及学科资源，为</w:t>
      </w:r>
      <w:r>
        <w:rPr>
          <w:rFonts w:hint="default"/>
          <w:color w:val="auto"/>
          <w:spacing w:val="-13"/>
          <w:highlight w:val="none"/>
          <w:lang w:val="en-US" w:eastAsia="zh-CN"/>
        </w:rPr>
        <w:t>建立</w:t>
      </w:r>
      <w:r>
        <w:rPr>
          <w:rFonts w:hint="eastAsia"/>
          <w:color w:val="auto"/>
          <w:spacing w:val="-13"/>
          <w:highlight w:val="none"/>
          <w:lang w:val="en-US" w:eastAsia="zh-CN"/>
        </w:rPr>
        <w:t>我省医院卓越服务模式，创建医院卓越服务体系，规范医院卓越服务建设，打造患者满意、职工幸福、社会赞誉的高质量医院做出努力。</w:t>
      </w:r>
    </w:p>
    <w:p>
      <w:pPr>
        <w:pStyle w:val="2"/>
        <w:numPr>
          <w:ilvl w:val="0"/>
          <w:numId w:val="1"/>
        </w:numPr>
        <w:spacing w:beforeLines="0" w:afterLines="0" w:line="360" w:lineRule="auto"/>
        <w:ind w:left="0" w:leftChars="0" w:firstLine="562" w:firstLineChars="200"/>
        <w:rPr>
          <w:color w:val="auto"/>
          <w:highlight w:val="none"/>
        </w:rPr>
      </w:pPr>
      <w:r>
        <w:rPr>
          <w:color w:val="auto"/>
          <w:highlight w:val="none"/>
        </w:rPr>
        <w:t>标准涉及的相关知识产权情况</w:t>
      </w:r>
    </w:p>
    <w:p>
      <w:pPr>
        <w:numPr>
          <w:numId w:val="0"/>
        </w:numPr>
        <w:rPr>
          <w:rFonts w:hint="default" w:eastAsia="微软雅黑"/>
          <w:lang w:val="en-US" w:eastAsia="zh-CN"/>
        </w:rPr>
      </w:pPr>
      <w:r>
        <w:rPr>
          <w:rFonts w:hint="eastAsia"/>
          <w:lang w:val="en-US" w:eastAsia="zh-CN"/>
        </w:rPr>
        <w:t xml:space="preserve">           无。</w:t>
      </w:r>
    </w:p>
    <w:p>
      <w:pPr>
        <w:pStyle w:val="2"/>
        <w:spacing w:beforeLines="0" w:afterLines="0" w:line="360" w:lineRule="auto"/>
        <w:ind w:left="0" w:leftChars="0" w:firstLine="562" w:firstLineChars="200"/>
        <w:rPr>
          <w:rFonts w:hint="eastAsia"/>
          <w:color w:val="auto"/>
          <w:highlight w:val="none"/>
        </w:rPr>
      </w:pPr>
      <w:r>
        <w:rPr>
          <w:rFonts w:hint="eastAsia"/>
          <w:color w:val="auto"/>
          <w:highlight w:val="none"/>
          <w:lang w:val="en-US" w:eastAsia="zh-CN"/>
        </w:rPr>
        <w:t>六</w:t>
      </w:r>
      <w:r>
        <w:rPr>
          <w:color w:val="auto"/>
          <w:highlight w:val="none"/>
        </w:rPr>
        <w:t>、重大分歧意见的处理经过和依据</w:t>
      </w:r>
    </w:p>
    <w:p>
      <w:pPr>
        <w:pStyle w:val="6"/>
        <w:spacing w:before="0" w:beforeLines="0" w:afterLines="0" w:line="360" w:lineRule="auto"/>
        <w:ind w:left="979"/>
        <w:rPr>
          <w:color w:val="auto"/>
          <w:highlight w:val="none"/>
        </w:rPr>
      </w:pPr>
      <w:r>
        <w:rPr>
          <w:color w:val="auto"/>
          <w:highlight w:val="none"/>
        </w:rPr>
        <w:t>无。</w:t>
      </w:r>
    </w:p>
    <w:p>
      <w:pPr>
        <w:ind w:firstLine="562" w:firstLineChars="200"/>
        <w:rPr>
          <w:rFonts w:ascii="Times New Roman" w:hAnsi="Times New Roman" w:eastAsia="黑体" w:cs="Times New Roman"/>
          <w:sz w:val="32"/>
        </w:rPr>
      </w:pPr>
      <w:r>
        <w:rPr>
          <w:rFonts w:hint="eastAsia" w:asciiTheme="minorHAnsi" w:hAnsiTheme="minorHAnsi" w:eastAsiaTheme="minorEastAsia" w:cstheme="minorBidi"/>
          <w:b/>
          <w:bCs/>
          <w:color w:val="auto"/>
          <w:kern w:val="2"/>
          <w:sz w:val="28"/>
          <w:szCs w:val="28"/>
          <w:highlight w:val="none"/>
          <w:lang w:val="en-US" w:eastAsia="zh-CN" w:bidi="ar-SA"/>
        </w:rPr>
        <w:t>七</w:t>
      </w:r>
      <w:r>
        <w:rPr>
          <w:rFonts w:hint="eastAsia" w:ascii="宋体" w:hAnsi="宋体" w:eastAsia="宋体"/>
          <w:color w:val="auto"/>
          <w:sz w:val="28"/>
          <w:szCs w:val="28"/>
          <w:highlight w:val="none"/>
          <w:lang w:val="en-US" w:eastAsia="zh-CN"/>
        </w:rPr>
        <w:t>、</w:t>
      </w:r>
      <w:r>
        <w:rPr>
          <w:rFonts w:ascii="Times New Roman" w:hAnsi="Times New Roman" w:eastAsia="黑体" w:cs="Times New Roman"/>
          <w:sz w:val="32"/>
        </w:rPr>
        <w:t>废止现行有关标准的建议</w:t>
      </w:r>
    </w:p>
    <w:p>
      <w:pPr>
        <w:pStyle w:val="6"/>
        <w:spacing w:before="0" w:beforeLines="0" w:afterLines="0" w:line="360" w:lineRule="auto"/>
        <w:ind w:left="0" w:leftChars="0" w:firstLine="840" w:firstLineChars="300"/>
        <w:rPr>
          <w:rFonts w:hint="eastAsia"/>
          <w:color w:val="auto"/>
          <w:highlight w:val="none"/>
        </w:rPr>
      </w:pPr>
      <w:r>
        <w:rPr>
          <w:color w:val="auto"/>
          <w:highlight w:val="none"/>
        </w:rPr>
        <w:t>无。</w:t>
      </w:r>
    </w:p>
    <w:p>
      <w:pPr>
        <w:pStyle w:val="2"/>
        <w:spacing w:before="0" w:beforeLines="0" w:afterLines="0" w:line="360" w:lineRule="auto"/>
        <w:ind w:left="0" w:leftChars="0" w:firstLine="562" w:firstLineChars="200"/>
        <w:rPr>
          <w:rFonts w:hint="eastAsia"/>
          <w:color w:val="auto"/>
          <w:highlight w:val="none"/>
        </w:rPr>
      </w:pPr>
      <w:r>
        <w:rPr>
          <w:rFonts w:hint="eastAsia"/>
          <w:color w:val="auto"/>
          <w:highlight w:val="none"/>
          <w:lang w:val="en-US" w:eastAsia="zh-CN"/>
        </w:rPr>
        <w:t>八</w:t>
      </w:r>
      <w:r>
        <w:rPr>
          <w:color w:val="auto"/>
          <w:highlight w:val="none"/>
        </w:rPr>
        <w:t>、其它应予说明的事项</w:t>
      </w:r>
    </w:p>
    <w:p>
      <w:pPr>
        <w:pStyle w:val="6"/>
        <w:spacing w:before="0" w:beforeLines="0" w:afterLines="0" w:line="360" w:lineRule="auto"/>
        <w:ind w:left="979"/>
        <w:rPr>
          <w:rFonts w:hint="eastAsia"/>
          <w:color w:val="auto"/>
          <w:highlight w:val="none"/>
        </w:rPr>
      </w:pPr>
      <w:r>
        <w:rPr>
          <w:color w:val="auto"/>
          <w:highlight w:val="none"/>
        </w:rPr>
        <w:t>无。</w:t>
      </w:r>
    </w:p>
    <w:p>
      <w:pPr>
        <w:spacing w:beforeLines="0" w:after="0" w:afterLines="0" w:line="360" w:lineRule="auto"/>
        <w:rPr>
          <w:color w:val="auto"/>
          <w:highlight w:val="none"/>
        </w:rPr>
      </w:pPr>
    </w:p>
    <w:p>
      <w:pPr>
        <w:pStyle w:val="6"/>
        <w:spacing w:before="0" w:beforeLines="0" w:afterLines="0" w:line="360" w:lineRule="auto"/>
        <w:ind w:left="0" w:right="436"/>
        <w:rPr>
          <w:rFonts w:hint="eastAsia"/>
          <w:color w:val="auto"/>
          <w:highlight w:val="none"/>
        </w:rPr>
      </w:pPr>
    </w:p>
    <w:p>
      <w:pPr>
        <w:spacing w:beforeLines="0" w:after="0" w:afterLines="0" w:line="360" w:lineRule="auto"/>
        <w:jc w:val="both"/>
        <w:rPr>
          <w:color w:val="auto"/>
          <w:highlight w:val="none"/>
        </w:rPr>
      </w:pPr>
    </w:p>
    <w:sectPr>
      <w:footerReference r:id="rId7" w:type="default"/>
      <w:pgSz w:w="11906" w:h="16838"/>
      <w:pgMar w:top="1440" w:right="1800" w:bottom="1440" w:left="1800" w:header="708" w:footer="708" w:gutter="0"/>
      <w:pgNumType w:fmt="decimal"/>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ingLiU">
    <w:altName w:val="PMingLiU-ExtB"/>
    <w:panose1 w:val="02020309000000000000"/>
    <w:charset w:val="88"/>
    <w:family w:val="moder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0000010" w:usb3="00000000" w:csb0="0002009F"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ind w:left="0"/>
      <w:rPr>
        <w:rFonts w:hint="eastAsia"/>
        <w:sz w:val="17"/>
      </w:rPr>
    </w:pPr>
    <w:r>
      <w:rPr>
        <w:rFonts w:hint="default" w:ascii="Times New Roman" w:hAnsi="Times New Roman" w:cs="Times New Roman"/>
        <w:sz w:val="17"/>
      </w:rPr>
      <w:t>ⅠІ</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ind w:left="0"/>
      <w:rPr>
        <w:rFonts w:hint="eastAsia"/>
        <w:sz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r>
      <w:rPr>
        <w:rFonts w:hint="default" w:ascii="Times New Roman" w:hAnsi="Times New Roman" w:cs="Times New Roman"/>
        <w:sz w:val="17"/>
      </w:rPr>
      <w:t>ⅠІ</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ind w:left="0"/>
      <w:rPr>
        <w:rFonts w:hint="eastAsia"/>
        <w:sz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FB6643"/>
    <w:multiLevelType w:val="singleLevel"/>
    <w:tmpl w:val="F4FB6643"/>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1MGMwZDJlN2ZkNWI1NTEwOTRlZTY3ZmQ0ZTFjMDkifQ=="/>
    <w:docVar w:name="KY_MEDREF_DOCUID" w:val="{A1B68343-DD78-4BDA-B5F1-ED99CFE70808}"/>
    <w:docVar w:name="KY_MEDREF_VERSION" w:val="3"/>
  </w:docVars>
  <w:rsids>
    <w:rsidRoot w:val="00172A27"/>
    <w:rsid w:val="00006417"/>
    <w:rsid w:val="00014294"/>
    <w:rsid w:val="00065954"/>
    <w:rsid w:val="00083B0B"/>
    <w:rsid w:val="00097915"/>
    <w:rsid w:val="000B73A4"/>
    <w:rsid w:val="000C46DF"/>
    <w:rsid w:val="000F714E"/>
    <w:rsid w:val="00112FDE"/>
    <w:rsid w:val="00133620"/>
    <w:rsid w:val="00135491"/>
    <w:rsid w:val="00142FEF"/>
    <w:rsid w:val="00181C67"/>
    <w:rsid w:val="001A6293"/>
    <w:rsid w:val="001E2972"/>
    <w:rsid w:val="00203548"/>
    <w:rsid w:val="0020451E"/>
    <w:rsid w:val="00206ABF"/>
    <w:rsid w:val="00212799"/>
    <w:rsid w:val="00234138"/>
    <w:rsid w:val="00242D28"/>
    <w:rsid w:val="00247CC3"/>
    <w:rsid w:val="0025358A"/>
    <w:rsid w:val="002564F8"/>
    <w:rsid w:val="002622F9"/>
    <w:rsid w:val="002673CD"/>
    <w:rsid w:val="00283796"/>
    <w:rsid w:val="002C036F"/>
    <w:rsid w:val="002C1AFF"/>
    <w:rsid w:val="002C53AF"/>
    <w:rsid w:val="002C5AC6"/>
    <w:rsid w:val="002C641E"/>
    <w:rsid w:val="002E2635"/>
    <w:rsid w:val="002E7330"/>
    <w:rsid w:val="002E7A4D"/>
    <w:rsid w:val="00323B43"/>
    <w:rsid w:val="00346189"/>
    <w:rsid w:val="00353E41"/>
    <w:rsid w:val="003567B2"/>
    <w:rsid w:val="00364198"/>
    <w:rsid w:val="0036612D"/>
    <w:rsid w:val="00381E48"/>
    <w:rsid w:val="003A0703"/>
    <w:rsid w:val="003C613C"/>
    <w:rsid w:val="003D37D8"/>
    <w:rsid w:val="003E4D68"/>
    <w:rsid w:val="003E7ADD"/>
    <w:rsid w:val="00400575"/>
    <w:rsid w:val="0040118D"/>
    <w:rsid w:val="00426133"/>
    <w:rsid w:val="004347CE"/>
    <w:rsid w:val="004358AB"/>
    <w:rsid w:val="004376BD"/>
    <w:rsid w:val="004405D7"/>
    <w:rsid w:val="00447C41"/>
    <w:rsid w:val="00471BDE"/>
    <w:rsid w:val="00471FBA"/>
    <w:rsid w:val="00490EE8"/>
    <w:rsid w:val="004A33D3"/>
    <w:rsid w:val="004A3CDE"/>
    <w:rsid w:val="004A3EB2"/>
    <w:rsid w:val="004B552E"/>
    <w:rsid w:val="004D61B8"/>
    <w:rsid w:val="004E5441"/>
    <w:rsid w:val="00501C4C"/>
    <w:rsid w:val="005374B9"/>
    <w:rsid w:val="00545374"/>
    <w:rsid w:val="00546194"/>
    <w:rsid w:val="00566E9E"/>
    <w:rsid w:val="005711EE"/>
    <w:rsid w:val="005C2843"/>
    <w:rsid w:val="005D3635"/>
    <w:rsid w:val="00603489"/>
    <w:rsid w:val="00633D89"/>
    <w:rsid w:val="00641A03"/>
    <w:rsid w:val="00642F93"/>
    <w:rsid w:val="0065042A"/>
    <w:rsid w:val="00691E35"/>
    <w:rsid w:val="006A12E0"/>
    <w:rsid w:val="006B4775"/>
    <w:rsid w:val="006E2E3E"/>
    <w:rsid w:val="006E43DC"/>
    <w:rsid w:val="006E5EDD"/>
    <w:rsid w:val="00701243"/>
    <w:rsid w:val="00705D75"/>
    <w:rsid w:val="007545AE"/>
    <w:rsid w:val="00765220"/>
    <w:rsid w:val="0076647B"/>
    <w:rsid w:val="00766C8C"/>
    <w:rsid w:val="0078764C"/>
    <w:rsid w:val="007B2E0F"/>
    <w:rsid w:val="007E1C0E"/>
    <w:rsid w:val="007E3993"/>
    <w:rsid w:val="007E40F0"/>
    <w:rsid w:val="00803ED5"/>
    <w:rsid w:val="00825721"/>
    <w:rsid w:val="0083377E"/>
    <w:rsid w:val="00845E31"/>
    <w:rsid w:val="00864721"/>
    <w:rsid w:val="00895789"/>
    <w:rsid w:val="00896ADC"/>
    <w:rsid w:val="008B25EF"/>
    <w:rsid w:val="008B7726"/>
    <w:rsid w:val="008D27AF"/>
    <w:rsid w:val="008E066A"/>
    <w:rsid w:val="008F09EA"/>
    <w:rsid w:val="00910655"/>
    <w:rsid w:val="009350C3"/>
    <w:rsid w:val="00937158"/>
    <w:rsid w:val="0095676D"/>
    <w:rsid w:val="00976194"/>
    <w:rsid w:val="00992786"/>
    <w:rsid w:val="009A3A80"/>
    <w:rsid w:val="009D1603"/>
    <w:rsid w:val="00A16800"/>
    <w:rsid w:val="00A26C32"/>
    <w:rsid w:val="00A46809"/>
    <w:rsid w:val="00A55C16"/>
    <w:rsid w:val="00A868DC"/>
    <w:rsid w:val="00A964DA"/>
    <w:rsid w:val="00AC4A4D"/>
    <w:rsid w:val="00AD3A87"/>
    <w:rsid w:val="00AE0A52"/>
    <w:rsid w:val="00AF469C"/>
    <w:rsid w:val="00B40D9B"/>
    <w:rsid w:val="00B42565"/>
    <w:rsid w:val="00B63E0C"/>
    <w:rsid w:val="00B76FD2"/>
    <w:rsid w:val="00B86C52"/>
    <w:rsid w:val="00BC2411"/>
    <w:rsid w:val="00BC7D9D"/>
    <w:rsid w:val="00BD74B3"/>
    <w:rsid w:val="00BF7BF6"/>
    <w:rsid w:val="00C02D41"/>
    <w:rsid w:val="00C050B0"/>
    <w:rsid w:val="00C06A01"/>
    <w:rsid w:val="00C267C5"/>
    <w:rsid w:val="00C32372"/>
    <w:rsid w:val="00C73C41"/>
    <w:rsid w:val="00CC782A"/>
    <w:rsid w:val="00CE4AC4"/>
    <w:rsid w:val="00D31D50"/>
    <w:rsid w:val="00D50D49"/>
    <w:rsid w:val="00D56BD3"/>
    <w:rsid w:val="00D57C06"/>
    <w:rsid w:val="00D67536"/>
    <w:rsid w:val="00D74F39"/>
    <w:rsid w:val="00D81023"/>
    <w:rsid w:val="00D9511F"/>
    <w:rsid w:val="00DD3F3A"/>
    <w:rsid w:val="00DD7687"/>
    <w:rsid w:val="00E22A21"/>
    <w:rsid w:val="00E25523"/>
    <w:rsid w:val="00E57BF4"/>
    <w:rsid w:val="00E66898"/>
    <w:rsid w:val="00E94C07"/>
    <w:rsid w:val="00EA47F9"/>
    <w:rsid w:val="00EE1AEC"/>
    <w:rsid w:val="00EF1142"/>
    <w:rsid w:val="00F3328A"/>
    <w:rsid w:val="00F50D93"/>
    <w:rsid w:val="00F74794"/>
    <w:rsid w:val="00F77BD5"/>
    <w:rsid w:val="00F85192"/>
    <w:rsid w:val="00F95063"/>
    <w:rsid w:val="00FA7763"/>
    <w:rsid w:val="00FF0AE9"/>
    <w:rsid w:val="00FF6FCC"/>
    <w:rsid w:val="01170C55"/>
    <w:rsid w:val="05A827C4"/>
    <w:rsid w:val="06DA2BBE"/>
    <w:rsid w:val="08337BDB"/>
    <w:rsid w:val="09AB2883"/>
    <w:rsid w:val="09DB3279"/>
    <w:rsid w:val="0B4A2AED"/>
    <w:rsid w:val="0E965538"/>
    <w:rsid w:val="0EAD38CF"/>
    <w:rsid w:val="112E1DCF"/>
    <w:rsid w:val="11801850"/>
    <w:rsid w:val="119B31DD"/>
    <w:rsid w:val="11FD01D6"/>
    <w:rsid w:val="14816AB1"/>
    <w:rsid w:val="150317C5"/>
    <w:rsid w:val="154F67B8"/>
    <w:rsid w:val="15CE592F"/>
    <w:rsid w:val="16445414"/>
    <w:rsid w:val="17795F6E"/>
    <w:rsid w:val="189646BC"/>
    <w:rsid w:val="19082FA7"/>
    <w:rsid w:val="1BC04AF4"/>
    <w:rsid w:val="1C163B8C"/>
    <w:rsid w:val="211D59BC"/>
    <w:rsid w:val="228F5C5E"/>
    <w:rsid w:val="22AA5BC6"/>
    <w:rsid w:val="2318468D"/>
    <w:rsid w:val="24EF7670"/>
    <w:rsid w:val="26EC030B"/>
    <w:rsid w:val="270D65CD"/>
    <w:rsid w:val="29B10902"/>
    <w:rsid w:val="2B8E3618"/>
    <w:rsid w:val="2F594063"/>
    <w:rsid w:val="30227DB3"/>
    <w:rsid w:val="330C6D88"/>
    <w:rsid w:val="338418CB"/>
    <w:rsid w:val="33C87A09"/>
    <w:rsid w:val="34D04DC8"/>
    <w:rsid w:val="399860D0"/>
    <w:rsid w:val="39AB4C98"/>
    <w:rsid w:val="3A015A23"/>
    <w:rsid w:val="3A8756F5"/>
    <w:rsid w:val="402C30CE"/>
    <w:rsid w:val="41742F7F"/>
    <w:rsid w:val="417D6E08"/>
    <w:rsid w:val="4195043A"/>
    <w:rsid w:val="439F1AFA"/>
    <w:rsid w:val="45272D71"/>
    <w:rsid w:val="45C2075D"/>
    <w:rsid w:val="45E954A8"/>
    <w:rsid w:val="49B84D77"/>
    <w:rsid w:val="49E21E58"/>
    <w:rsid w:val="49EB1D5B"/>
    <w:rsid w:val="4AC24D5B"/>
    <w:rsid w:val="4D3F6B37"/>
    <w:rsid w:val="4F5148FF"/>
    <w:rsid w:val="51B00003"/>
    <w:rsid w:val="51D11D27"/>
    <w:rsid w:val="52103838"/>
    <w:rsid w:val="52F3162A"/>
    <w:rsid w:val="533D7674"/>
    <w:rsid w:val="547F5A6B"/>
    <w:rsid w:val="56E343A1"/>
    <w:rsid w:val="57C9597B"/>
    <w:rsid w:val="58655EF2"/>
    <w:rsid w:val="592C0D0D"/>
    <w:rsid w:val="5AB02E22"/>
    <w:rsid w:val="5C593045"/>
    <w:rsid w:val="5E8948DF"/>
    <w:rsid w:val="5FB54A36"/>
    <w:rsid w:val="603B43A7"/>
    <w:rsid w:val="624F1172"/>
    <w:rsid w:val="63B90284"/>
    <w:rsid w:val="68071BA7"/>
    <w:rsid w:val="6E8A48AD"/>
    <w:rsid w:val="725C32F5"/>
    <w:rsid w:val="72CB03A1"/>
    <w:rsid w:val="7434641A"/>
    <w:rsid w:val="74F0406A"/>
    <w:rsid w:val="75E17EDC"/>
    <w:rsid w:val="7893397A"/>
    <w:rsid w:val="7A3A66B3"/>
    <w:rsid w:val="7A610EEE"/>
    <w:rsid w:val="7BD22AA9"/>
    <w:rsid w:val="7CB7426D"/>
    <w:rsid w:val="7DA00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1"/>
    <w:basedOn w:val="1"/>
    <w:next w:val="1"/>
    <w:link w:val="34"/>
    <w:qFormat/>
    <w:uiPriority w:val="9"/>
    <w:pPr>
      <w:widowControl w:val="0"/>
      <w:adjustRightInd/>
      <w:snapToGrid/>
      <w:spacing w:after="0"/>
      <w:ind w:left="979"/>
      <w:jc w:val="both"/>
      <w:outlineLvl w:val="0"/>
    </w:pPr>
    <w:rPr>
      <w:rFonts w:asciiTheme="minorHAnsi" w:hAnsiTheme="minorHAnsi" w:eastAsiaTheme="minorEastAsia"/>
      <w:b/>
      <w:bCs/>
      <w:kern w:val="2"/>
      <w:sz w:val="28"/>
      <w:szCs w:val="28"/>
    </w:rPr>
  </w:style>
  <w:style w:type="paragraph" w:styleId="3">
    <w:name w:val="heading 2"/>
    <w:basedOn w:val="1"/>
    <w:next w:val="1"/>
    <w:link w:val="40"/>
    <w:unhideWhenUsed/>
    <w:qFormat/>
    <w:uiPriority w:val="99"/>
    <w:pPr>
      <w:keepNext/>
      <w:keepLines/>
      <w:widowControl w:val="0"/>
      <w:adjustRightInd/>
      <w:snapToGrid/>
      <w:spacing w:before="260" w:after="260" w:line="416" w:lineRule="auto"/>
      <w:jc w:val="both"/>
      <w:outlineLvl w:val="1"/>
    </w:pPr>
    <w:rPr>
      <w:rFonts w:ascii="Cambria" w:hAnsi="Cambria" w:eastAsia="宋体" w:cs="Times New Roman"/>
      <w:b/>
      <w:bCs/>
      <w:kern w:val="2"/>
      <w:sz w:val="32"/>
      <w:szCs w:val="32"/>
    </w:rPr>
  </w:style>
  <w:style w:type="paragraph" w:styleId="4">
    <w:name w:val="heading 3"/>
    <w:basedOn w:val="1"/>
    <w:next w:val="1"/>
    <w:link w:val="41"/>
    <w:qFormat/>
    <w:uiPriority w:val="99"/>
    <w:pPr>
      <w:widowControl w:val="0"/>
      <w:autoSpaceDE w:val="0"/>
      <w:autoSpaceDN w:val="0"/>
      <w:snapToGrid/>
      <w:spacing w:after="0"/>
      <w:outlineLvl w:val="2"/>
    </w:pPr>
    <w:rPr>
      <w:rFonts w:ascii="MingLiU" w:hAnsi="Times New Roman" w:eastAsia="MingLiU" w:cs="Times New Roman"/>
      <w:b/>
      <w:color w:val="000000"/>
      <w:sz w:val="26"/>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9"/>
    <w:unhideWhenUsed/>
    <w:qFormat/>
    <w:uiPriority w:val="99"/>
    <w:pPr>
      <w:widowControl w:val="0"/>
      <w:adjustRightInd/>
      <w:snapToGrid/>
      <w:spacing w:after="0"/>
      <w:jc w:val="both"/>
    </w:pPr>
    <w:rPr>
      <w:rFonts w:ascii="Calibri" w:hAnsi="Calibri" w:eastAsia="宋体" w:cs="Times New Roman"/>
      <w:kern w:val="2"/>
      <w:sz w:val="21"/>
      <w:szCs w:val="24"/>
    </w:rPr>
  </w:style>
  <w:style w:type="paragraph" w:styleId="6">
    <w:name w:val="Body Text"/>
    <w:basedOn w:val="1"/>
    <w:link w:val="35"/>
    <w:qFormat/>
    <w:uiPriority w:val="1"/>
    <w:pPr>
      <w:widowControl w:val="0"/>
      <w:adjustRightInd/>
      <w:snapToGrid/>
      <w:spacing w:after="0"/>
      <w:ind w:left="420"/>
      <w:jc w:val="both"/>
    </w:pPr>
    <w:rPr>
      <w:rFonts w:asciiTheme="minorHAnsi" w:hAnsiTheme="minorHAnsi" w:eastAsiaTheme="minorEastAsia"/>
      <w:kern w:val="2"/>
      <w:sz w:val="28"/>
      <w:szCs w:val="28"/>
    </w:rPr>
  </w:style>
  <w:style w:type="paragraph" w:styleId="7">
    <w:name w:val="toc 3"/>
    <w:basedOn w:val="1"/>
    <w:next w:val="1"/>
    <w:unhideWhenUsed/>
    <w:qFormat/>
    <w:uiPriority w:val="39"/>
    <w:pPr>
      <w:adjustRightInd/>
      <w:snapToGrid/>
      <w:spacing w:after="100" w:line="276" w:lineRule="auto"/>
      <w:ind w:left="440"/>
    </w:pPr>
    <w:rPr>
      <w:rFonts w:ascii="Calibri" w:hAnsi="Calibri" w:eastAsia="宋体" w:cs="Times New Roman"/>
    </w:rPr>
  </w:style>
  <w:style w:type="paragraph" w:styleId="8">
    <w:name w:val="Balloon Text"/>
    <w:basedOn w:val="1"/>
    <w:link w:val="38"/>
    <w:semiHidden/>
    <w:unhideWhenUsed/>
    <w:qFormat/>
    <w:uiPriority w:val="0"/>
    <w:pPr>
      <w:spacing w:after="0"/>
    </w:pPr>
    <w:rPr>
      <w:sz w:val="18"/>
      <w:szCs w:val="18"/>
    </w:rPr>
  </w:style>
  <w:style w:type="paragraph" w:styleId="9">
    <w:name w:val="footer"/>
    <w:basedOn w:val="1"/>
    <w:link w:val="33"/>
    <w:unhideWhenUsed/>
    <w:qFormat/>
    <w:uiPriority w:val="99"/>
    <w:pPr>
      <w:tabs>
        <w:tab w:val="center" w:pos="4153"/>
        <w:tab w:val="right" w:pos="8306"/>
      </w:tabs>
    </w:pPr>
    <w:rPr>
      <w:sz w:val="18"/>
      <w:szCs w:val="18"/>
    </w:rPr>
  </w:style>
  <w:style w:type="paragraph" w:styleId="10">
    <w:name w:val="header"/>
    <w:basedOn w:val="1"/>
    <w:link w:val="32"/>
    <w:unhideWhenUsed/>
    <w:qFormat/>
    <w:uiPriority w:val="99"/>
    <w:pPr>
      <w:pBdr>
        <w:bottom w:val="single" w:color="auto" w:sz="6" w:space="1"/>
      </w:pBdr>
      <w:tabs>
        <w:tab w:val="center" w:pos="4153"/>
        <w:tab w:val="right" w:pos="8306"/>
      </w:tabs>
      <w:jc w:val="center"/>
    </w:pPr>
    <w:rPr>
      <w:sz w:val="18"/>
      <w:szCs w:val="18"/>
    </w:rPr>
  </w:style>
  <w:style w:type="paragraph" w:styleId="11">
    <w:name w:val="toc 1"/>
    <w:basedOn w:val="1"/>
    <w:next w:val="1"/>
    <w:unhideWhenUsed/>
    <w:qFormat/>
    <w:uiPriority w:val="39"/>
    <w:pPr>
      <w:tabs>
        <w:tab w:val="right" w:leader="dot" w:pos="8607"/>
      </w:tabs>
      <w:adjustRightInd/>
      <w:snapToGrid/>
      <w:spacing w:after="100" w:line="276" w:lineRule="auto"/>
    </w:pPr>
    <w:rPr>
      <w:rFonts w:ascii="Calibri" w:hAnsi="Calibri" w:eastAsia="宋体" w:cs="Times New Roman"/>
      <w:color w:val="000000" w:themeColor="text1"/>
      <w14:textFill>
        <w14:solidFill>
          <w14:schemeClr w14:val="tx1"/>
        </w14:solidFill>
      </w14:textFill>
    </w:rPr>
  </w:style>
  <w:style w:type="paragraph" w:styleId="12">
    <w:name w:val="Subtitle"/>
    <w:basedOn w:val="1"/>
    <w:next w:val="1"/>
    <w:link w:val="59"/>
    <w:qFormat/>
    <w:uiPriority w:val="0"/>
    <w:pPr>
      <w:widowControl w:val="0"/>
      <w:adjustRightInd/>
      <w:snapToGrid/>
      <w:spacing w:before="240" w:after="60" w:line="312" w:lineRule="auto"/>
      <w:jc w:val="center"/>
      <w:outlineLvl w:val="1"/>
    </w:pPr>
    <w:rPr>
      <w:rFonts w:ascii="Cambria" w:hAnsi="Cambria" w:eastAsia="宋体" w:cs="Times New Roman"/>
      <w:b/>
      <w:bCs/>
      <w:kern w:val="28"/>
      <w:sz w:val="32"/>
      <w:szCs w:val="32"/>
    </w:rPr>
  </w:style>
  <w:style w:type="paragraph" w:styleId="13">
    <w:name w:val="toc 2"/>
    <w:basedOn w:val="1"/>
    <w:next w:val="1"/>
    <w:unhideWhenUsed/>
    <w:qFormat/>
    <w:uiPriority w:val="39"/>
    <w:pPr>
      <w:tabs>
        <w:tab w:val="right" w:leader="dot" w:pos="8607"/>
      </w:tabs>
      <w:adjustRightInd/>
      <w:snapToGrid/>
      <w:spacing w:after="100" w:line="276" w:lineRule="auto"/>
      <w:ind w:left="220"/>
    </w:pPr>
    <w:rPr>
      <w:rFonts w:ascii="Calibri" w:hAnsi="Calibri" w:eastAsia="宋体" w:cs="Times New Roman"/>
      <w:color w:val="000000" w:themeColor="text1"/>
      <w14:textFill>
        <w14:solidFill>
          <w14:schemeClr w14:val="tx1"/>
        </w14:solidFill>
      </w14:textFill>
    </w:rPr>
  </w:style>
  <w:style w:type="paragraph" w:styleId="14">
    <w:name w:val="HTML Preformatted"/>
    <w:basedOn w:val="1"/>
    <w:link w:val="55"/>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Arial" w:hAnsi="Arial" w:eastAsia="宋体" w:cs="Times New Roman"/>
      <w:sz w:val="24"/>
      <w:szCs w:val="24"/>
    </w:rPr>
  </w:style>
  <w:style w:type="paragraph" w:styleId="15">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 w:type="paragraph" w:styleId="16">
    <w:name w:val="Title"/>
    <w:basedOn w:val="1"/>
    <w:next w:val="1"/>
    <w:link w:val="58"/>
    <w:qFormat/>
    <w:uiPriority w:val="0"/>
    <w:pPr>
      <w:widowControl w:val="0"/>
      <w:adjustRightInd/>
      <w:snapToGrid/>
      <w:spacing w:before="240" w:after="60"/>
      <w:jc w:val="center"/>
      <w:outlineLvl w:val="0"/>
    </w:pPr>
    <w:rPr>
      <w:rFonts w:ascii="Cambria" w:hAnsi="Cambria" w:eastAsia="宋体" w:cs="Times New Roman"/>
      <w:b/>
      <w:bCs/>
      <w:kern w:val="2"/>
      <w:sz w:val="32"/>
      <w:szCs w:val="32"/>
    </w:rPr>
  </w:style>
  <w:style w:type="table" w:styleId="18">
    <w:name w:val="Table Grid"/>
    <w:basedOn w:val="17"/>
    <w:qFormat/>
    <w:uiPriority w:val="0"/>
    <w:pPr>
      <w:widowControl w:val="0"/>
      <w:spacing w:after="0" w:line="240" w:lineRule="auto"/>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0"/>
    <w:rPr>
      <w:b/>
    </w:rPr>
  </w:style>
  <w:style w:type="character" w:styleId="21">
    <w:name w:val="page number"/>
    <w:qFormat/>
    <w:uiPriority w:val="0"/>
    <w:rPr>
      <w:rFonts w:cs="Times New Roman"/>
    </w:rPr>
  </w:style>
  <w:style w:type="character" w:styleId="22">
    <w:name w:val="FollowedHyperlink"/>
    <w:basedOn w:val="19"/>
    <w:semiHidden/>
    <w:unhideWhenUsed/>
    <w:qFormat/>
    <w:uiPriority w:val="99"/>
    <w:rPr>
      <w:color w:val="800080" w:themeColor="followedHyperlink"/>
      <w:u w:val="single"/>
      <w14:textFill>
        <w14:solidFill>
          <w14:schemeClr w14:val="folHlink"/>
        </w14:solidFill>
      </w14:textFill>
    </w:rPr>
  </w:style>
  <w:style w:type="character" w:styleId="23">
    <w:name w:val="Emphasis"/>
    <w:qFormat/>
    <w:uiPriority w:val="0"/>
  </w:style>
  <w:style w:type="character" w:styleId="24">
    <w:name w:val="HTML Definition"/>
    <w:qFormat/>
    <w:uiPriority w:val="0"/>
  </w:style>
  <w:style w:type="character" w:styleId="25">
    <w:name w:val="HTML Acronym"/>
    <w:basedOn w:val="19"/>
    <w:qFormat/>
    <w:uiPriority w:val="0"/>
  </w:style>
  <w:style w:type="character" w:styleId="26">
    <w:name w:val="HTML Variable"/>
    <w:qFormat/>
    <w:uiPriority w:val="0"/>
  </w:style>
  <w:style w:type="character" w:styleId="27">
    <w:name w:val="Hyperlink"/>
    <w:basedOn w:val="19"/>
    <w:qFormat/>
    <w:uiPriority w:val="99"/>
    <w:rPr>
      <w:color w:val="0000FF" w:themeColor="hyperlink"/>
      <w:u w:val="single"/>
      <w14:textFill>
        <w14:solidFill>
          <w14:schemeClr w14:val="hlink"/>
        </w14:solidFill>
      </w14:textFill>
    </w:rPr>
  </w:style>
  <w:style w:type="character" w:styleId="28">
    <w:name w:val="HTML Code"/>
    <w:qFormat/>
    <w:uiPriority w:val="0"/>
    <w:rPr>
      <w:rFonts w:hint="default" w:ascii="Arial" w:hAnsi="Arial" w:cs="Arial"/>
      <w:color w:val="333333"/>
      <w:sz w:val="18"/>
      <w:szCs w:val="18"/>
    </w:rPr>
  </w:style>
  <w:style w:type="character" w:styleId="29">
    <w:name w:val="HTML Cite"/>
    <w:qFormat/>
    <w:uiPriority w:val="0"/>
  </w:style>
  <w:style w:type="character" w:styleId="30">
    <w:name w:val="HTML Keyboard"/>
    <w:qFormat/>
    <w:uiPriority w:val="0"/>
    <w:rPr>
      <w:rFonts w:hint="eastAsia" w:ascii="Arial" w:hAnsi="Arial" w:cs="Arial"/>
      <w:sz w:val="20"/>
    </w:rPr>
  </w:style>
  <w:style w:type="character" w:styleId="31">
    <w:name w:val="HTML Sample"/>
    <w:qFormat/>
    <w:uiPriority w:val="0"/>
    <w:rPr>
      <w:rFonts w:hint="default" w:ascii="Arial" w:hAnsi="Arial" w:cs="Arial"/>
    </w:rPr>
  </w:style>
  <w:style w:type="character" w:customStyle="1" w:styleId="32">
    <w:name w:val="页眉 Char"/>
    <w:basedOn w:val="19"/>
    <w:link w:val="10"/>
    <w:qFormat/>
    <w:uiPriority w:val="99"/>
    <w:rPr>
      <w:rFonts w:ascii="Tahoma" w:hAnsi="Tahoma"/>
      <w:sz w:val="18"/>
      <w:szCs w:val="18"/>
    </w:rPr>
  </w:style>
  <w:style w:type="character" w:customStyle="1" w:styleId="33">
    <w:name w:val="页脚 Char"/>
    <w:basedOn w:val="19"/>
    <w:link w:val="9"/>
    <w:qFormat/>
    <w:uiPriority w:val="99"/>
    <w:rPr>
      <w:rFonts w:ascii="Tahoma" w:hAnsi="Tahoma"/>
      <w:sz w:val="18"/>
      <w:szCs w:val="18"/>
    </w:rPr>
  </w:style>
  <w:style w:type="character" w:customStyle="1" w:styleId="34">
    <w:name w:val="标题 1 Char"/>
    <w:basedOn w:val="19"/>
    <w:link w:val="2"/>
    <w:qFormat/>
    <w:uiPriority w:val="9"/>
    <w:rPr>
      <w:rFonts w:eastAsiaTheme="minorEastAsia"/>
      <w:b/>
      <w:bCs/>
      <w:kern w:val="2"/>
      <w:sz w:val="28"/>
      <w:szCs w:val="28"/>
    </w:rPr>
  </w:style>
  <w:style w:type="character" w:customStyle="1" w:styleId="35">
    <w:name w:val="正文文本 Char"/>
    <w:basedOn w:val="19"/>
    <w:link w:val="6"/>
    <w:qFormat/>
    <w:uiPriority w:val="1"/>
    <w:rPr>
      <w:rFonts w:eastAsiaTheme="minorEastAsia"/>
      <w:kern w:val="2"/>
      <w:sz w:val="28"/>
      <w:szCs w:val="28"/>
    </w:rPr>
  </w:style>
  <w:style w:type="paragraph" w:styleId="36">
    <w:name w:val="List Paragraph"/>
    <w:basedOn w:val="1"/>
    <w:qFormat/>
    <w:uiPriority w:val="34"/>
    <w:pPr>
      <w:widowControl w:val="0"/>
      <w:adjustRightInd/>
      <w:snapToGrid/>
      <w:spacing w:before="5" w:after="0"/>
      <w:ind w:left="1228" w:hanging="250"/>
      <w:jc w:val="both"/>
    </w:pPr>
    <w:rPr>
      <w:rFonts w:asciiTheme="minorHAnsi" w:hAnsiTheme="minorHAnsi" w:eastAsiaTheme="minorEastAsia"/>
      <w:kern w:val="2"/>
      <w:sz w:val="21"/>
      <w:szCs w:val="24"/>
    </w:rPr>
  </w:style>
  <w:style w:type="paragraph" w:customStyle="1" w:styleId="37">
    <w:name w:val="Table Paragraph"/>
    <w:basedOn w:val="1"/>
    <w:qFormat/>
    <w:uiPriority w:val="1"/>
    <w:pPr>
      <w:widowControl w:val="0"/>
      <w:adjustRightInd/>
      <w:snapToGrid/>
      <w:spacing w:after="0"/>
      <w:jc w:val="center"/>
    </w:pPr>
    <w:rPr>
      <w:rFonts w:ascii="Times New Roman" w:hAnsi="Times New Roman" w:eastAsia="Times New Roman" w:cs="Times New Roman"/>
      <w:kern w:val="2"/>
      <w:sz w:val="21"/>
      <w:szCs w:val="24"/>
    </w:rPr>
  </w:style>
  <w:style w:type="character" w:customStyle="1" w:styleId="38">
    <w:name w:val="批注框文本 Char"/>
    <w:basedOn w:val="19"/>
    <w:link w:val="8"/>
    <w:semiHidden/>
    <w:qFormat/>
    <w:uiPriority w:val="99"/>
    <w:rPr>
      <w:rFonts w:ascii="Tahoma" w:hAnsi="Tahoma"/>
      <w:sz w:val="18"/>
      <w:szCs w:val="18"/>
    </w:rPr>
  </w:style>
  <w:style w:type="character" w:customStyle="1" w:styleId="39">
    <w:name w:val="批注文字 Char"/>
    <w:basedOn w:val="19"/>
    <w:link w:val="5"/>
    <w:qFormat/>
    <w:uiPriority w:val="99"/>
    <w:rPr>
      <w:rFonts w:ascii="Calibri" w:hAnsi="Calibri" w:eastAsia="宋体" w:cs="Times New Roman"/>
      <w:kern w:val="2"/>
      <w:sz w:val="21"/>
      <w:szCs w:val="24"/>
    </w:rPr>
  </w:style>
  <w:style w:type="character" w:customStyle="1" w:styleId="40">
    <w:name w:val="标题 2 Char"/>
    <w:basedOn w:val="19"/>
    <w:link w:val="3"/>
    <w:qFormat/>
    <w:uiPriority w:val="99"/>
    <w:rPr>
      <w:rFonts w:ascii="Cambria" w:hAnsi="Cambria" w:eastAsia="宋体" w:cs="Times New Roman"/>
      <w:b/>
      <w:bCs/>
      <w:kern w:val="2"/>
      <w:sz w:val="32"/>
      <w:szCs w:val="32"/>
    </w:rPr>
  </w:style>
  <w:style w:type="character" w:customStyle="1" w:styleId="41">
    <w:name w:val="标题 3 Char"/>
    <w:basedOn w:val="19"/>
    <w:link w:val="4"/>
    <w:qFormat/>
    <w:uiPriority w:val="99"/>
    <w:rPr>
      <w:rFonts w:ascii="MingLiU" w:hAnsi="Times New Roman" w:eastAsia="MingLiU" w:cs="Times New Roman"/>
      <w:b/>
      <w:color w:val="000000"/>
      <w:sz w:val="26"/>
      <w:szCs w:val="24"/>
    </w:rPr>
  </w:style>
  <w:style w:type="character" w:customStyle="1" w:styleId="42">
    <w:name w:val="正文文本 (2)_"/>
    <w:link w:val="43"/>
    <w:qFormat/>
    <w:locked/>
    <w:uiPriority w:val="0"/>
    <w:rPr>
      <w:rFonts w:ascii="黑体" w:eastAsia="黑体" w:cs="黑体"/>
      <w:shd w:val="clear" w:color="auto" w:fill="FFFFFF"/>
    </w:rPr>
  </w:style>
  <w:style w:type="paragraph" w:customStyle="1" w:styleId="43">
    <w:name w:val="正文文本 (2)"/>
    <w:basedOn w:val="1"/>
    <w:link w:val="42"/>
    <w:qFormat/>
    <w:uiPriority w:val="0"/>
    <w:pPr>
      <w:widowControl w:val="0"/>
      <w:shd w:val="clear" w:color="auto" w:fill="FFFFFF"/>
      <w:adjustRightInd/>
      <w:snapToGrid/>
      <w:spacing w:before="600" w:after="0" w:line="460" w:lineRule="exact"/>
      <w:jc w:val="distribute"/>
    </w:pPr>
    <w:rPr>
      <w:rFonts w:ascii="黑体" w:eastAsia="黑体" w:cs="黑体" w:hAnsiTheme="minorHAnsi"/>
    </w:rPr>
  </w:style>
  <w:style w:type="character" w:customStyle="1" w:styleId="44">
    <w:name w:val="num"/>
    <w:qFormat/>
    <w:uiPriority w:val="0"/>
    <w:rPr>
      <w:b/>
      <w:color w:val="FF7800"/>
    </w:rPr>
  </w:style>
  <w:style w:type="character" w:customStyle="1" w:styleId="45">
    <w:name w:val="正文文本 (2) + 间距 2 pt"/>
    <w:qFormat/>
    <w:uiPriority w:val="0"/>
    <w:rPr>
      <w:rFonts w:ascii="黑体" w:eastAsia="黑体" w:cs="黑体"/>
      <w:color w:val="auto"/>
      <w:spacing w:val="40"/>
      <w:lang w:val="en-US"/>
    </w:rPr>
  </w:style>
  <w:style w:type="character" w:customStyle="1" w:styleId="46">
    <w:name w:val="span-bg"/>
    <w:basedOn w:val="19"/>
    <w:qFormat/>
    <w:uiPriority w:val="0"/>
  </w:style>
  <w:style w:type="character" w:customStyle="1" w:styleId="47">
    <w:name w:val="正文文本 (2) + MS Mincho"/>
    <w:qFormat/>
    <w:uiPriority w:val="0"/>
    <w:rPr>
      <w:rFonts w:ascii="MS Mincho" w:eastAsia="MS Mincho" w:cs="MS Mincho"/>
      <w:color w:val="auto"/>
      <w:sz w:val="22"/>
      <w:szCs w:val="22"/>
      <w:lang w:val="en-US" w:eastAsia="en-US"/>
    </w:rPr>
  </w:style>
  <w:style w:type="paragraph" w:customStyle="1" w:styleId="48">
    <w:name w:val="_Style 38"/>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customStyle="1" w:styleId="49">
    <w:name w:val="span-hover"/>
    <w:basedOn w:val="19"/>
    <w:qFormat/>
    <w:uiPriority w:val="0"/>
  </w:style>
  <w:style w:type="character" w:customStyle="1" w:styleId="50">
    <w:name w:val="release-day"/>
    <w:qFormat/>
    <w:uiPriority w:val="0"/>
    <w:rPr>
      <w:bdr w:val="single" w:color="BDEBB0" w:sz="6" w:space="0"/>
      <w:shd w:val="clear" w:color="auto" w:fill="F5FFF1"/>
    </w:rPr>
  </w:style>
  <w:style w:type="character" w:customStyle="1" w:styleId="51">
    <w:name w:val="legend"/>
    <w:qFormat/>
    <w:uiPriority w:val="0"/>
    <w:rPr>
      <w:rFonts w:hint="default" w:ascii="Arial" w:hAnsi="Arial" w:cs="Arial"/>
      <w:b/>
      <w:color w:val="73B304"/>
      <w:sz w:val="21"/>
      <w:szCs w:val="21"/>
      <w:shd w:val="clear" w:color="auto" w:fill="FFFFFF"/>
    </w:rPr>
  </w:style>
  <w:style w:type="character" w:customStyle="1" w:styleId="52">
    <w:name w:val="span-bg12"/>
    <w:basedOn w:val="19"/>
    <w:qFormat/>
    <w:uiPriority w:val="0"/>
  </w:style>
  <w:style w:type="paragraph" w:customStyle="1" w:styleId="53">
    <w:name w:val="正文文本 (2)1"/>
    <w:basedOn w:val="1"/>
    <w:qFormat/>
    <w:uiPriority w:val="0"/>
    <w:pPr>
      <w:widowControl w:val="0"/>
      <w:shd w:val="clear" w:color="auto" w:fill="FFFFFF"/>
      <w:adjustRightInd/>
      <w:snapToGrid/>
      <w:spacing w:after="0" w:line="435" w:lineRule="exact"/>
      <w:ind w:hanging="420"/>
      <w:jc w:val="distribute"/>
    </w:pPr>
    <w:rPr>
      <w:rFonts w:ascii="MingLiU" w:hAnsi="Times New Roman" w:eastAsia="MingLiU" w:cs="MingLiU"/>
      <w:kern w:val="2"/>
    </w:rPr>
  </w:style>
  <w:style w:type="paragraph" w:customStyle="1" w:styleId="54">
    <w:name w:val="Char Char Char Char Char Char Char Char Char Char"/>
    <w:basedOn w:val="1"/>
    <w:qFormat/>
    <w:uiPriority w:val="0"/>
    <w:pPr>
      <w:adjustRightInd/>
      <w:snapToGrid/>
      <w:spacing w:after="160" w:line="240" w:lineRule="exact"/>
    </w:pPr>
    <w:rPr>
      <w:rFonts w:ascii="Times New Roman" w:hAnsi="Times New Roman" w:eastAsia="宋体" w:cs="Times New Roman"/>
      <w:kern w:val="2"/>
      <w:sz w:val="21"/>
      <w:szCs w:val="24"/>
    </w:rPr>
  </w:style>
  <w:style w:type="character" w:customStyle="1" w:styleId="55">
    <w:name w:val="HTML 预设格式 Char"/>
    <w:basedOn w:val="19"/>
    <w:link w:val="14"/>
    <w:qFormat/>
    <w:uiPriority w:val="0"/>
    <w:rPr>
      <w:rFonts w:ascii="Arial" w:hAnsi="Arial" w:eastAsia="宋体" w:cs="Times New Roman"/>
      <w:sz w:val="24"/>
      <w:szCs w:val="24"/>
    </w:rPr>
  </w:style>
  <w:style w:type="paragraph" w:customStyle="1" w:styleId="56">
    <w:name w:val="Char"/>
    <w:basedOn w:val="1"/>
    <w:qFormat/>
    <w:uiPriority w:val="0"/>
    <w:pPr>
      <w:widowControl w:val="0"/>
      <w:adjustRightInd/>
      <w:snapToGrid/>
      <w:spacing w:after="0"/>
      <w:jc w:val="both"/>
    </w:pPr>
    <w:rPr>
      <w:rFonts w:eastAsia="宋体" w:cs="Times New Roman"/>
      <w:kern w:val="2"/>
      <w:sz w:val="24"/>
      <w:szCs w:val="20"/>
    </w:rPr>
  </w:style>
  <w:style w:type="paragraph" w:customStyle="1" w:styleId="57">
    <w:name w:val="TOC Heading"/>
    <w:basedOn w:val="2"/>
    <w:next w:val="1"/>
    <w:semiHidden/>
    <w:unhideWhenUsed/>
    <w:qFormat/>
    <w:uiPriority w:val="39"/>
    <w:pPr>
      <w:keepNext/>
      <w:keepLines/>
      <w:widowControl/>
      <w:spacing w:before="480" w:line="276" w:lineRule="auto"/>
      <w:ind w:left="0"/>
      <w:jc w:val="left"/>
      <w:outlineLvl w:val="9"/>
    </w:pPr>
    <w:rPr>
      <w:rFonts w:ascii="Cambria" w:hAnsi="Cambria" w:eastAsia="宋体" w:cs="Times New Roman"/>
      <w:color w:val="365F91"/>
      <w:kern w:val="0"/>
    </w:rPr>
  </w:style>
  <w:style w:type="character" w:customStyle="1" w:styleId="58">
    <w:name w:val="标题 Char"/>
    <w:basedOn w:val="19"/>
    <w:link w:val="16"/>
    <w:qFormat/>
    <w:uiPriority w:val="0"/>
    <w:rPr>
      <w:rFonts w:ascii="Cambria" w:hAnsi="Cambria" w:eastAsia="宋体" w:cs="Times New Roman"/>
      <w:b/>
      <w:bCs/>
      <w:kern w:val="2"/>
      <w:sz w:val="32"/>
      <w:szCs w:val="32"/>
    </w:rPr>
  </w:style>
  <w:style w:type="character" w:customStyle="1" w:styleId="59">
    <w:name w:val="副标题 Char"/>
    <w:basedOn w:val="19"/>
    <w:link w:val="12"/>
    <w:qFormat/>
    <w:uiPriority w:val="0"/>
    <w:rPr>
      <w:rFonts w:ascii="Cambria" w:hAnsi="Cambria" w:eastAsia="宋体" w:cs="Times New Roman"/>
      <w:b/>
      <w:bCs/>
      <w:kern w:val="28"/>
      <w:sz w:val="32"/>
      <w:szCs w:val="32"/>
    </w:rPr>
  </w:style>
  <w:style w:type="paragraph" w:customStyle="1" w:styleId="60">
    <w:name w:val="图标"/>
    <w:basedOn w:val="1"/>
    <w:qFormat/>
    <w:uiPriority w:val="0"/>
    <w:pPr>
      <w:spacing w:after="0"/>
      <w:jc w:val="center"/>
    </w:pPr>
    <w:rPr>
      <w:rFonts w:ascii="Times New Roman" w:hAnsi="Times New Roman" w:eastAsia="宋体" w:cs="Times New Roman"/>
      <w:b/>
      <w:sz w:val="21"/>
      <w:szCs w:val="32"/>
    </w:rPr>
  </w:style>
  <w:style w:type="character" w:customStyle="1" w:styleId="61">
    <w:name w:val="页眉 字符1"/>
    <w:semiHidden/>
    <w:qFormat/>
    <w:uiPriority w:val="99"/>
    <w:rPr>
      <w:sz w:val="18"/>
      <w:szCs w:val="18"/>
    </w:rPr>
  </w:style>
  <w:style w:type="character" w:customStyle="1" w:styleId="62">
    <w:name w:val="页脚 字符1"/>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4048</Words>
  <Characters>4246</Characters>
  <Lines>1</Lines>
  <Paragraphs>1</Paragraphs>
  <TotalTime>3</TotalTime>
  <ScaleCrop>false</ScaleCrop>
  <LinksUpToDate>false</LinksUpToDate>
  <CharactersWithSpaces>4421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黄聪</dc:creator>
  <cp:lastModifiedBy>李金花</cp:lastModifiedBy>
  <dcterms:modified xsi:type="dcterms:W3CDTF">2023-07-14T04:18:49Z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168F61D9693E43F9A07CB77D24151F58</vt:lpwstr>
  </property>
</Properties>
</file>