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left="2891" w:hanging="2891" w:hangingChars="800"/>
        <w:jc w:val="center"/>
        <w:rPr>
          <w:rFonts w:hint="eastAsia" w:ascii="宋体" w:hAnsi="宋体"/>
          <w:b/>
          <w:bCs/>
          <w:sz w:val="36"/>
          <w:szCs w:val="36"/>
        </w:rPr>
      </w:pPr>
      <w:r>
        <w:rPr>
          <w:rFonts w:hint="eastAsia" w:ascii="宋体" w:hAnsi="宋体"/>
          <w:b/>
          <w:bCs/>
          <w:sz w:val="36"/>
          <w:szCs w:val="36"/>
        </w:rPr>
        <w:t>湖南省地方标准</w:t>
      </w:r>
    </w:p>
    <w:p>
      <w:pPr>
        <w:spacing w:line="640" w:lineRule="exact"/>
        <w:ind w:left="2891" w:hanging="2891" w:hangingChars="800"/>
        <w:jc w:val="center"/>
        <w:rPr>
          <w:rFonts w:hint="eastAsia" w:ascii="宋体" w:hAnsi="宋体"/>
          <w:b/>
          <w:bCs/>
          <w:sz w:val="36"/>
          <w:szCs w:val="36"/>
        </w:rPr>
      </w:pPr>
      <w:r>
        <w:rPr>
          <w:rFonts w:hint="eastAsia" w:ascii="宋体" w:hAnsi="宋体"/>
          <w:b/>
          <w:bCs/>
          <w:sz w:val="36"/>
          <w:szCs w:val="36"/>
        </w:rPr>
        <w:t>《</w:t>
      </w:r>
      <w:r>
        <w:rPr>
          <w:rFonts w:hint="eastAsia" w:ascii="宋体" w:hAnsi="宋体"/>
          <w:b/>
          <w:bCs/>
          <w:sz w:val="36"/>
          <w:szCs w:val="36"/>
          <w:lang w:val="en-US" w:eastAsia="zh-CN"/>
        </w:rPr>
        <w:t>小龙虾及制品冷链物流储运销管理规范</w:t>
      </w:r>
      <w:r>
        <w:rPr>
          <w:rFonts w:hint="eastAsia" w:ascii="宋体" w:hAnsi="宋体"/>
          <w:b/>
          <w:bCs/>
          <w:sz w:val="36"/>
          <w:szCs w:val="36"/>
        </w:rPr>
        <w:t>》</w:t>
      </w:r>
    </w:p>
    <w:p>
      <w:pPr>
        <w:spacing w:line="600" w:lineRule="exact"/>
        <w:jc w:val="center"/>
        <w:rPr>
          <w:rFonts w:hint="eastAsia" w:ascii="方正小标宋简体" w:hAnsi="仿宋" w:eastAsia="方正小标宋简体"/>
          <w:b/>
          <w:color w:val="000000" w:themeColor="text1"/>
          <w:sz w:val="44"/>
          <w:szCs w:val="44"/>
          <w:lang w:val="en-US" w:eastAsia="zh-CN"/>
          <w14:textFill>
            <w14:solidFill>
              <w14:schemeClr w14:val="tx1"/>
            </w14:solidFill>
          </w14:textFill>
        </w:rPr>
      </w:pPr>
      <w:r>
        <w:rPr>
          <w:rFonts w:hint="eastAsia" w:ascii="宋体" w:hAnsi="宋体"/>
          <w:b/>
          <w:bCs/>
          <w:sz w:val="36"/>
          <w:szCs w:val="36"/>
        </w:rPr>
        <w:t>（征求意见稿）编制说明</w:t>
      </w:r>
    </w:p>
    <w:p>
      <w:pPr>
        <w:spacing w:line="600" w:lineRule="exact"/>
        <w:jc w:val="center"/>
        <w:rPr>
          <w:rFonts w:hint="eastAsia" w:ascii="方正小标宋简体" w:hAnsi="仿宋" w:eastAsia="方正小标宋简体"/>
          <w:b/>
          <w:color w:val="000000" w:themeColor="text1"/>
          <w:sz w:val="44"/>
          <w:szCs w:val="44"/>
          <w:lang w:val="en-US" w:eastAsia="zh-CN"/>
          <w14:textFill>
            <w14:solidFill>
              <w14:schemeClr w14:val="tx1"/>
            </w14:solidFill>
          </w14:textFill>
        </w:rPr>
      </w:pPr>
    </w:p>
    <w:p>
      <w:pPr>
        <w:spacing w:line="640" w:lineRule="exact"/>
        <w:ind w:firstLine="787" w:firstLineChars="246"/>
        <w:rPr>
          <w:rFonts w:ascii="黑体" w:hAnsi="黑体" w:eastAsia="黑体"/>
          <w:bCs/>
          <w:sz w:val="32"/>
          <w:szCs w:val="32"/>
        </w:rPr>
      </w:pPr>
      <w:r>
        <w:rPr>
          <w:rFonts w:hint="eastAsia" w:ascii="黑体" w:hAnsi="黑体" w:eastAsia="黑体"/>
          <w:bCs/>
          <w:sz w:val="32"/>
          <w:szCs w:val="32"/>
        </w:rPr>
        <w:t>一、任务来源</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湖南省市场监督管理局于2022年1月27日下达《关于2022年第一批地方标准制修订项目计划的通知》，确定《小龙虾及制品冷链物流储运销管理规范》等436个项目列入2022年度第一批地方标准制修订项目立项计划，并要求各单位按照《地方标准管理办法》的要求做好标准的组织起草、征求意见和技术审查工作。</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根据《关于下达2022年第一批地方标准制修订项目计划的通知》开展各项工作。承担单位为岳阳职业技术学院，技术归口单位为湖南省物流标准化技术委员会，行业主管部门为湖南省发展和改革委员会，项目名称《</w:t>
      </w:r>
      <w:bookmarkStart w:id="4" w:name="_GoBack"/>
      <w:bookmarkEnd w:id="4"/>
      <w:r>
        <w:rPr>
          <w:rFonts w:hint="eastAsia" w:ascii="仿宋_GB2312" w:hAnsi="仿宋_GB2312" w:eastAsia="仿宋_GB2312" w:cs="仿宋_GB2312"/>
          <w:sz w:val="32"/>
          <w:szCs w:val="32"/>
          <w:lang w:val="en-US" w:eastAsia="zh-CN"/>
        </w:rPr>
        <w:t>小龙虾及制品冷链物流储运销管理规范》。</w:t>
      </w:r>
    </w:p>
    <w:p>
      <w:pPr>
        <w:widowControl/>
        <w:spacing w:line="640" w:lineRule="exact"/>
        <w:ind w:firstLine="627" w:firstLineChars="196"/>
        <w:rPr>
          <w:rFonts w:hint="eastAsia" w:ascii="黑体" w:hAnsi="黑体" w:eastAsia="黑体"/>
          <w:bCs/>
          <w:sz w:val="32"/>
          <w:szCs w:val="32"/>
        </w:rPr>
      </w:pPr>
      <w:r>
        <w:rPr>
          <w:rFonts w:hint="eastAsia" w:ascii="黑体" w:hAnsi="黑体" w:eastAsia="黑体"/>
          <w:bCs/>
          <w:sz w:val="32"/>
          <w:szCs w:val="32"/>
        </w:rPr>
        <w:t>二、目的和意义</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龙虾是湖南省重要的养殖产业之一，随着小龙虾在全国范围内的持续火爆，线下货运、客运物流等传统销售流通模式已不能满足市场需求。为此，加快小龙虾冷链物流基础设施建设、完善冷链物流储存与运输环节，优化小龙虾冷链物流销售模式更显得迫在眉睫。本项目在分析湖南省小龙虾冷链物流发展现状基础上，制定小龙虾及制品冷链物流储运销管理规范，旨在提升湖南省小龙虾储运销整体质量，促进小龙虾品牌建设，标准落地实施后，将进一步降低安全生产风险、助推产品质量的提高，提升消费安全，为社会产生良好的社会效益和经济效益。是推进湖南省农业经济高质量发展的重大课题。</w:t>
      </w:r>
    </w:p>
    <w:p>
      <w:pPr>
        <w:spacing w:line="640" w:lineRule="exact"/>
        <w:ind w:firstLine="627" w:firstLineChars="196"/>
        <w:rPr>
          <w:rFonts w:ascii="黑体" w:hAnsi="黑体" w:eastAsia="黑体"/>
          <w:bCs/>
          <w:sz w:val="32"/>
          <w:szCs w:val="32"/>
        </w:rPr>
      </w:pPr>
      <w:r>
        <w:rPr>
          <w:rFonts w:hint="eastAsia" w:ascii="黑体" w:hAnsi="黑体" w:eastAsia="黑体"/>
          <w:bCs/>
          <w:sz w:val="32"/>
          <w:szCs w:val="32"/>
        </w:rPr>
        <w:t>三、标准起草工作情况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2022年湖南省地方标准标准制修订计划，按照《地方标准管理办法》的要求，做好标准的组织起草、征求意见和技术审查工作，结合我国标准的体系、编写要求和有关规定等，于2022年年底形成标准的工作组讨论稿，其具体工作过程：</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2022年2月—2022年4月，准备阶段，收集整理相关资料、信息和数据，开展内部讨论会，制定标准工作技术路线。</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5月上旬，标准工作小组前往华容县市场监督管理局、湖南华誉食品加工有限公司、华容县天星洲龙虾养殖专业合作社等省级重点企业开展实地调研，获取现行参数，收集整理国内外参考标准和法律依据，形成标准草案大纲。</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6月至8月，制标小组专门制定工作方案，成立试验小组，前往益阳南县、常德市、湖北监利等小龙虾重要产区，遴选代表性小龙虾养殖及物流服务企业，对小龙虾储运销各环节操作规程、适宜温度、最大承受量等指标进行了大量的检测，为标准的修订提供了各种数据。</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2022年9月，标准工作小组前往岳阳市物流发展服务中心开展管理部门专题座谈会，广泛征求意见，提出项目需求。</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2022年10月上旬，标准工作小组召开全体成员会议，邀请省内专家学者到场指导，确立标准编制主要内容，并开展标准的工作组讨论稿起草工作，完成标准的工作组讨论稿编制。</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11月开始，制标小组向大型小龙虾养殖加工企业、政府管理部门、行业协会等各相关部门广泛征求意见，走访了岳阳市、益阳市、长沙市、常德市等地的小龙虾产业相关企业、协会、科研院所等，征求了对本标准的意见和建议，标准起草组根据意见和建议进行整理。2022年11月25日，标准工作小组在项目承担单位召开小龙虾生产加工企业、物流服务企业专题座谈会，广泛征求意见，提出修改建议，形成标准征求意见稿。</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2月，制标小组参加由中国物流学会、中国物流与采购联合会主办的2022年（第二十届）中国物流学术年会跨年会暨2023年（第十五届）物流领域产学研结合工作会。来自全国29个省区市物流领域政产学研各界领导、专家、学者、企业家、院校、研究机构代表近千人参加了会议。制标小组向到会冷链物流、供应链管理专家深度征求意见，形成修改建议备忘录。</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2023年3月，制标小组邀请岳阳市市场管理监督局、物流发展服务中心等重点行业管理部门，开展专项意见征求，并形成标准征求意见稿（第二稿）。</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4月，积极开展研讨和调研工作。制标组为了严密慎重起见，分别在岳阳、长沙召开了研讨会，专家们对《小龙虾及制品冷链物流储运销管理规范》（征求意见修改稿）进行了专业论证，并形成标准征求意见稿（第三稿）。</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5月26日在岳阳市召开了修订《小龙虾及制品冷链物流储运销管理规范》（征求意见稿）征求意见会议，政府管理部门、行业协会、科研院所、龙头企业代表参与了本次会议，征求了各职能部门和企业代表的意见，进一步完善标准技术指标，增强了标准的科学性和适用性，形成标准的征求意见稿（第四稿），并上报相关部门。</w:t>
      </w:r>
    </w:p>
    <w:p>
      <w:pPr>
        <w:widowControl/>
        <w:spacing w:line="640" w:lineRule="exact"/>
        <w:ind w:firstLine="627" w:firstLineChars="196"/>
        <w:rPr>
          <w:rFonts w:ascii="黑体" w:hAnsi="黑体" w:eastAsia="黑体"/>
          <w:bCs/>
          <w:sz w:val="32"/>
          <w:szCs w:val="32"/>
        </w:rPr>
      </w:pPr>
      <w:r>
        <w:rPr>
          <w:rFonts w:hint="eastAsia" w:ascii="黑体" w:hAnsi="黑体" w:eastAsia="黑体"/>
          <w:bCs/>
          <w:sz w:val="32"/>
          <w:szCs w:val="32"/>
        </w:rPr>
        <w:t>四、编制原则、依据</w:t>
      </w:r>
    </w:p>
    <w:p>
      <w:pPr>
        <w:widowControl/>
        <w:spacing w:line="640" w:lineRule="exact"/>
        <w:ind w:firstLine="630" w:firstLineChars="196"/>
        <w:rPr>
          <w:rFonts w:hint="eastAsia" w:ascii="仿宋" w:hAnsi="仿宋" w:eastAsia="仿宋"/>
          <w:b/>
          <w:bCs/>
          <w:sz w:val="32"/>
          <w:szCs w:val="32"/>
        </w:rPr>
      </w:pPr>
      <w:bookmarkStart w:id="0" w:name="_Hlk80179259"/>
      <w:r>
        <w:rPr>
          <w:rFonts w:hint="eastAsia" w:ascii="仿宋" w:hAnsi="仿宋" w:eastAsia="仿宋"/>
          <w:b/>
          <w:bCs/>
          <w:sz w:val="32"/>
          <w:szCs w:val="32"/>
        </w:rPr>
        <w:t>（一）编制原则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1．合法合规的原则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内容符合《中华人民共和国标准化法》、《中华人民共和国食品安全法》、《湖南省地方标准管理办法》等法律法规，符合《中华人民共和国食品安全法》（主席令第21号）、《企业落实食品安全主体责任监督管理规定》（国家市场监督管理总局令第60号）、《食品生产经营监督检查管理办法》（国家市场监督管理总局令第49号）、《食品相关产品质量安全监督管理暂行办法》（市场监管总局第62号令）等文件的相关要求。</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2．规范适用的原则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编写格式依据GB/T 1.1《标准化工作导则  第1部分：标准化文件的结构和起草规则》的要求，标准的内容符合我省食品相关产品获证生产企业例行检查工作实际，具有良好的适用性。</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3．可操作的原则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本标准提出的食品相关产品获证企业例行监督检查的工作要求，明确了基本原则、检查内容、检查程序、结果判定、结果处理和时限要求，制定了食品相关产品生产许可证获证企业例行检查表，可操作性较强。</w:t>
      </w:r>
    </w:p>
    <w:p>
      <w:pPr>
        <w:widowControl/>
        <w:spacing w:line="640" w:lineRule="exact"/>
        <w:ind w:firstLine="630" w:firstLineChars="196"/>
        <w:rPr>
          <w:rFonts w:ascii="仿宋" w:hAnsi="仿宋" w:eastAsia="仿宋"/>
          <w:b/>
          <w:bCs/>
          <w:sz w:val="32"/>
          <w:szCs w:val="32"/>
        </w:rPr>
      </w:pPr>
      <w:r>
        <w:rPr>
          <w:rFonts w:hint="eastAsia" w:ascii="仿宋" w:hAnsi="仿宋" w:eastAsia="仿宋"/>
          <w:b/>
          <w:bCs/>
          <w:sz w:val="32"/>
          <w:szCs w:val="32"/>
        </w:rPr>
        <w:t>（二）编制依据</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本标准主要依据和参考了以下文件：</w:t>
      </w:r>
      <w:bookmarkEnd w:id="0"/>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本标准修订参考了GB/T 18354-2021、GB/T  24616-2019、GB/T  30134-2013、GB/T 24861-2010、GB/T 1589-2016、GB/T 29753-2013、DB43/T 2148-2021、GB/T 4456-2008等一系列国家标准、专项监督抽查的检测数据、专题试验论证。</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本标准第一部分为小龙虾冷藏及冷冻制品储存要求，包括小龙虾入库、在库、出库环节具体要求，重点参考了GB/T  24616-2019、GB/T  30134-2013、GB/T  24616-2019等标准。</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本标准第二部分为鲜活成虾储存要求，包括暂养池储存、周转筐储存的具体要求，重点参考了GB/T 24861-2010等标准。</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本标准第三部分为运输要求，包括小龙虾及其制品运输温度要求、</w:t>
      </w:r>
      <w:bookmarkStart w:id="1" w:name="_Toc122100255"/>
      <w:r>
        <w:rPr>
          <w:rFonts w:hint="eastAsia" w:ascii="仿宋_GB2312" w:hAnsi="仿宋_GB2312" w:eastAsia="仿宋_GB2312" w:cs="仿宋_GB2312"/>
          <w:sz w:val="32"/>
          <w:szCs w:val="32"/>
          <w:lang w:val="en-US" w:eastAsia="zh-CN"/>
        </w:rPr>
        <w:t>作业要求</w:t>
      </w:r>
      <w:bookmarkEnd w:id="1"/>
      <w:r>
        <w:rPr>
          <w:rFonts w:hint="eastAsia" w:ascii="仿宋_GB2312" w:hAnsi="仿宋_GB2312" w:eastAsia="仿宋_GB2312" w:cs="仿宋_GB2312"/>
          <w:sz w:val="32"/>
          <w:szCs w:val="32"/>
          <w:lang w:val="en-US" w:eastAsia="zh-CN"/>
        </w:rPr>
        <w:t>、</w:t>
      </w:r>
      <w:bookmarkStart w:id="2" w:name="_Toc122100256"/>
      <w:r>
        <w:rPr>
          <w:rFonts w:hint="eastAsia" w:ascii="仿宋_GB2312" w:hAnsi="仿宋_GB2312" w:eastAsia="仿宋_GB2312" w:cs="仿宋_GB2312"/>
          <w:sz w:val="32"/>
          <w:szCs w:val="32"/>
          <w:lang w:val="en-US" w:eastAsia="zh-CN"/>
        </w:rPr>
        <w:t>在途运输要求</w:t>
      </w:r>
      <w:bookmarkEnd w:id="2"/>
      <w:r>
        <w:rPr>
          <w:rFonts w:hint="eastAsia" w:ascii="仿宋_GB2312" w:hAnsi="仿宋_GB2312" w:eastAsia="仿宋_GB2312" w:cs="仿宋_GB2312"/>
          <w:sz w:val="32"/>
          <w:szCs w:val="32"/>
          <w:lang w:val="en-US" w:eastAsia="zh-CN"/>
        </w:rPr>
        <w:t>、</w:t>
      </w:r>
      <w:bookmarkStart w:id="3" w:name="_Toc122100257"/>
      <w:r>
        <w:rPr>
          <w:rFonts w:hint="eastAsia" w:ascii="仿宋_GB2312" w:hAnsi="仿宋_GB2312" w:eastAsia="仿宋_GB2312" w:cs="仿宋_GB2312"/>
          <w:sz w:val="32"/>
          <w:szCs w:val="32"/>
          <w:lang w:val="en-US" w:eastAsia="zh-CN"/>
        </w:rPr>
        <w:t>货物验收</w:t>
      </w:r>
      <w:bookmarkEnd w:id="3"/>
      <w:r>
        <w:rPr>
          <w:rFonts w:hint="eastAsia" w:ascii="仿宋_GB2312" w:hAnsi="仿宋_GB2312" w:eastAsia="仿宋_GB2312" w:cs="仿宋_GB2312"/>
          <w:sz w:val="32"/>
          <w:szCs w:val="32"/>
          <w:lang w:val="en-US" w:eastAsia="zh-CN"/>
        </w:rPr>
        <w:t>等环节的具体要求，重点参考了GB 1589-2016、GB 29753-2013、DB43/T 2148—2021等标准。</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本标准第四部分为销售要求，包括了展售容器及展售过程要求，重点参考了GB/T 4456-2008等标准。</w:t>
      </w:r>
    </w:p>
    <w:p>
      <w:pPr>
        <w:widowControl/>
        <w:spacing w:line="640" w:lineRule="exact"/>
        <w:ind w:firstLine="630" w:firstLineChars="196"/>
        <w:rPr>
          <w:rFonts w:ascii="黑体" w:hAnsi="黑体" w:eastAsia="黑体"/>
          <w:b/>
          <w:bCs/>
          <w:sz w:val="32"/>
          <w:szCs w:val="32"/>
        </w:rPr>
      </w:pPr>
      <w:r>
        <w:rPr>
          <w:rFonts w:hint="eastAsia" w:ascii="黑体" w:hAnsi="黑体" w:eastAsia="黑体"/>
          <w:b/>
          <w:bCs/>
          <w:sz w:val="32"/>
          <w:szCs w:val="32"/>
        </w:rPr>
        <w:t>五、主要内容</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本标准共七个部分，前三个部分对本标准范围、规范性引用文件、术语和定义作出规范。第四部分为小龙虾冷藏及冷冻制品储存要求、第五部分为鲜活成虾储存要求、第六部分为运输要求、第七部分为销售要求。</w:t>
      </w:r>
    </w:p>
    <w:p>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1、范围：描述了本标准的主要内容和适用的单位。</w:t>
      </w:r>
    </w:p>
    <w:p>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2、规范性引用文件：描述了本标准中引用的国家法律法规、行业标准。</w:t>
      </w:r>
    </w:p>
    <w:p>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3、术语和定义：界定的以及下列术语和定义适用于本文件。</w:t>
      </w:r>
    </w:p>
    <w:p>
      <w:pPr>
        <w:spacing w:line="560" w:lineRule="exact"/>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小龙虾冷藏及冷冻制品储存要求</w:t>
      </w:r>
      <w:r>
        <w:rPr>
          <w:rFonts w:hint="eastAsia" w:ascii="仿宋_GB2312" w:hAnsi="仿宋_GB2312" w:eastAsia="仿宋_GB2312" w:cs="仿宋_GB2312"/>
          <w:sz w:val="32"/>
          <w:szCs w:val="32"/>
          <w:lang w:val="en-US" w:eastAsia="zh-CN"/>
        </w:rPr>
        <w:t>：共十四项款，规定了小龙虾冷藏及冷冻制品在储存环节入库、在库、出库的基本要求。</w:t>
      </w:r>
    </w:p>
    <w:p>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鲜活成虾储存要求</w:t>
      </w:r>
      <w:r>
        <w:rPr>
          <w:rFonts w:hint="eastAsia" w:ascii="仿宋_GB2312" w:hAnsi="仿宋_GB2312" w:eastAsia="仿宋_GB2312" w:cs="仿宋_GB2312"/>
          <w:sz w:val="32"/>
          <w:szCs w:val="32"/>
          <w:lang w:val="en-US" w:eastAsia="zh-CN"/>
        </w:rPr>
        <w:t>：共六项款，规定了鲜活成虾</w:t>
      </w:r>
      <w:r>
        <w:rPr>
          <w:rFonts w:hint="default" w:ascii="仿宋_GB2312" w:hAnsi="仿宋_GB2312" w:eastAsia="仿宋_GB2312" w:cs="仿宋_GB2312"/>
          <w:sz w:val="32"/>
          <w:szCs w:val="32"/>
          <w:lang w:val="en-US" w:eastAsia="zh-CN"/>
        </w:rPr>
        <w:t>暂养过程需要求</w:t>
      </w:r>
      <w:r>
        <w:rPr>
          <w:rFonts w:hint="eastAsia" w:ascii="仿宋_GB2312" w:hAnsi="仿宋_GB2312" w:eastAsia="仿宋_GB2312" w:cs="仿宋_GB2312"/>
          <w:sz w:val="32"/>
          <w:szCs w:val="32"/>
          <w:lang w:val="en-US" w:eastAsia="zh-CN"/>
        </w:rPr>
        <w:t>，包括</w:t>
      </w:r>
      <w:r>
        <w:rPr>
          <w:rFonts w:hint="default" w:ascii="仿宋_GB2312" w:hAnsi="仿宋_GB2312" w:eastAsia="仿宋_GB2312" w:cs="仿宋_GB2312"/>
          <w:sz w:val="32"/>
          <w:szCs w:val="32"/>
          <w:lang w:val="en-US" w:eastAsia="zh-CN"/>
        </w:rPr>
        <w:t>暂养池需具备给排水、水处理系统、控温系统及增氧系统的记录与自动报警装置</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周转筐储存</w:t>
      </w:r>
      <w:r>
        <w:rPr>
          <w:rFonts w:hint="eastAsia" w:ascii="仿宋_GB2312" w:hAnsi="仿宋_GB2312" w:eastAsia="仿宋_GB2312" w:cs="仿宋_GB2312"/>
          <w:sz w:val="32"/>
          <w:szCs w:val="32"/>
          <w:lang w:val="en-US" w:eastAsia="zh-CN"/>
        </w:rPr>
        <w:t>要求，包括</w:t>
      </w:r>
      <w:r>
        <w:rPr>
          <w:rFonts w:hint="default" w:ascii="仿宋_GB2312" w:hAnsi="仿宋_GB2312" w:eastAsia="仿宋_GB2312" w:cs="仿宋_GB2312"/>
          <w:sz w:val="32"/>
          <w:szCs w:val="32"/>
          <w:lang w:val="en-US" w:eastAsia="zh-CN"/>
        </w:rPr>
        <w:t>牢固度可靠的带孔塑料筐储藏鲜活成虾，储存环境应具备恒定制冷装置，储存温度。</w:t>
      </w:r>
    </w:p>
    <w:p>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运输要求</w:t>
      </w:r>
      <w:r>
        <w:rPr>
          <w:rFonts w:hint="eastAsia" w:ascii="仿宋_GB2312" w:hAnsi="仿宋_GB2312" w:eastAsia="仿宋_GB2312" w:cs="仿宋_GB2312"/>
          <w:sz w:val="32"/>
          <w:szCs w:val="32"/>
          <w:lang w:val="en-US" w:eastAsia="zh-CN"/>
        </w:rPr>
        <w:t>：共十项款，包括</w:t>
      </w:r>
      <w:r>
        <w:rPr>
          <w:rFonts w:hint="default" w:ascii="仿宋_GB2312" w:hAnsi="仿宋_GB2312" w:eastAsia="仿宋_GB2312" w:cs="仿宋_GB2312"/>
          <w:sz w:val="32"/>
          <w:szCs w:val="32"/>
          <w:lang w:val="en-US" w:eastAsia="zh-CN"/>
        </w:rPr>
        <w:t>小龙虾及其制品运输温度要求</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作业要求</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运输车辆规定</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在途运输要求</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货物验收</w:t>
      </w:r>
      <w:r>
        <w:rPr>
          <w:rFonts w:hint="eastAsia" w:ascii="仿宋_GB2312" w:hAnsi="仿宋_GB2312" w:eastAsia="仿宋_GB2312" w:cs="仿宋_GB2312"/>
          <w:sz w:val="32"/>
          <w:szCs w:val="32"/>
          <w:lang w:val="en-US" w:eastAsia="zh-CN"/>
        </w:rPr>
        <w:t>等环节具体要求。</w:t>
      </w:r>
    </w:p>
    <w:p>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销售</w:t>
      </w:r>
      <w:r>
        <w:rPr>
          <w:rFonts w:hint="eastAsia" w:ascii="仿宋_GB2312" w:hAnsi="仿宋_GB2312" w:eastAsia="仿宋_GB2312" w:cs="仿宋_GB2312"/>
          <w:sz w:val="32"/>
          <w:szCs w:val="32"/>
          <w:lang w:val="en-US" w:eastAsia="zh-CN"/>
        </w:rPr>
        <w:t>要求：共九款项，包括小龙虾</w:t>
      </w:r>
      <w:r>
        <w:rPr>
          <w:rFonts w:hint="default" w:ascii="仿宋_GB2312" w:hAnsi="仿宋_GB2312" w:eastAsia="仿宋_GB2312" w:cs="仿宋_GB2312"/>
          <w:sz w:val="32"/>
          <w:szCs w:val="32"/>
          <w:lang w:val="en-US" w:eastAsia="zh-CN"/>
        </w:rPr>
        <w:t>展售容器</w:t>
      </w:r>
      <w:r>
        <w:rPr>
          <w:rFonts w:hint="eastAsia" w:ascii="仿宋_GB2312" w:hAnsi="仿宋_GB2312" w:eastAsia="仿宋_GB2312" w:cs="仿宋_GB2312"/>
          <w:sz w:val="32"/>
          <w:szCs w:val="32"/>
          <w:lang w:val="en-US" w:eastAsia="zh-CN"/>
        </w:rPr>
        <w:t>要求和</w:t>
      </w:r>
      <w:r>
        <w:rPr>
          <w:rFonts w:hint="default" w:ascii="仿宋_GB2312" w:hAnsi="仿宋_GB2312" w:eastAsia="仿宋_GB2312" w:cs="仿宋_GB2312"/>
          <w:sz w:val="32"/>
          <w:szCs w:val="32"/>
          <w:lang w:val="en-US" w:eastAsia="zh-CN"/>
        </w:rPr>
        <w:t>展售过程要求。</w:t>
      </w:r>
    </w:p>
    <w:p>
      <w:pPr>
        <w:widowControl/>
        <w:spacing w:line="640" w:lineRule="exact"/>
        <w:ind w:firstLine="627" w:firstLineChars="196"/>
        <w:rPr>
          <w:rFonts w:ascii="黑体" w:hAnsi="黑体" w:eastAsia="黑体"/>
          <w:sz w:val="32"/>
          <w:szCs w:val="32"/>
        </w:rPr>
      </w:pPr>
      <w:r>
        <w:rPr>
          <w:rFonts w:hint="eastAsia" w:ascii="黑体" w:hAnsi="黑体" w:eastAsia="黑体"/>
          <w:sz w:val="32"/>
          <w:szCs w:val="32"/>
        </w:rPr>
        <w:t>六、与有关的现行法律、法规和强制性标准的关系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小龙虾及制品冷链物流储运销管理规范</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湖南省小龙虾行业的</w:t>
      </w:r>
      <w:r>
        <w:rPr>
          <w:rFonts w:hint="eastAsia" w:ascii="仿宋_GB2312" w:hAnsi="仿宋_GB2312" w:eastAsia="仿宋_GB2312" w:cs="仿宋_GB2312"/>
          <w:sz w:val="32"/>
          <w:szCs w:val="32"/>
        </w:rPr>
        <w:t>基础标准，是</w:t>
      </w:r>
      <w:r>
        <w:rPr>
          <w:rFonts w:hint="eastAsia" w:ascii="仿宋_GB2312" w:hAnsi="仿宋_GB2312" w:eastAsia="仿宋_GB2312" w:cs="仿宋_GB2312"/>
          <w:sz w:val="32"/>
          <w:szCs w:val="32"/>
          <w:lang w:val="en-US" w:eastAsia="zh-CN"/>
        </w:rPr>
        <w:t>小龙虾物流服务</w:t>
      </w:r>
      <w:r>
        <w:rPr>
          <w:rFonts w:hint="eastAsia" w:ascii="仿宋_GB2312" w:hAnsi="仿宋_GB2312" w:eastAsia="仿宋_GB2312" w:cs="仿宋_GB2312"/>
          <w:sz w:val="32"/>
          <w:szCs w:val="32"/>
        </w:rPr>
        <w:t>企业生产、经营、许可等环节</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重要的依据，本标准与现行的法律法规的协调性上无不匹配情况。</w:t>
      </w:r>
    </w:p>
    <w:p>
      <w:pPr>
        <w:pStyle w:val="18"/>
        <w:spacing w:line="640" w:lineRule="exact"/>
        <w:ind w:firstLine="640"/>
        <w:rPr>
          <w:rFonts w:ascii="黑体" w:hAnsi="黑体" w:eastAsia="黑体"/>
          <w:sz w:val="32"/>
          <w:szCs w:val="32"/>
        </w:rPr>
      </w:pPr>
      <w:r>
        <w:rPr>
          <w:rFonts w:hint="eastAsia" w:ascii="黑体" w:hAnsi="黑体" w:eastAsia="黑体"/>
          <w:sz w:val="32"/>
          <w:szCs w:val="32"/>
        </w:rPr>
        <w:t>七、重大分歧意见的处理经过和依据</w:t>
      </w:r>
    </w:p>
    <w:p>
      <w:pPr>
        <w:widowControl/>
        <w:spacing w:line="640" w:lineRule="exact"/>
        <w:ind w:firstLine="627" w:firstLineChars="196"/>
        <w:rPr>
          <w:rFonts w:hint="eastAsia" w:ascii="仿宋" w:hAnsi="仿宋" w:eastAsia="仿宋"/>
          <w:sz w:val="32"/>
          <w:szCs w:val="32"/>
        </w:rPr>
      </w:pPr>
      <w:r>
        <w:rPr>
          <w:rFonts w:hint="eastAsia" w:ascii="仿宋" w:hAnsi="仿宋" w:eastAsia="仿宋"/>
          <w:sz w:val="32"/>
          <w:szCs w:val="32"/>
        </w:rPr>
        <w:t>本标准征求意见稿的编写过程暂无重大分歧意见。</w:t>
      </w:r>
    </w:p>
    <w:p>
      <w:pPr>
        <w:spacing w:line="56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lang w:val="en-US" w:eastAsia="zh-CN"/>
        </w:rPr>
        <w:t>八</w:t>
      </w:r>
      <w:r>
        <w:rPr>
          <w:rFonts w:ascii="Times New Roman" w:hAnsi="Times New Roman" w:eastAsia="黑体"/>
          <w:bCs/>
          <w:sz w:val="32"/>
          <w:szCs w:val="32"/>
        </w:rPr>
        <w:t>、标准作为强制性标准或推荐性标准的建议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本标准为首次制定，建议作为推荐性标准。</w:t>
      </w:r>
    </w:p>
    <w:p>
      <w:pPr>
        <w:spacing w:line="56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lang w:val="en-US" w:eastAsia="zh-CN"/>
        </w:rPr>
        <w:t>九</w:t>
      </w:r>
      <w:r>
        <w:rPr>
          <w:rFonts w:ascii="Times New Roman" w:hAnsi="Times New Roman" w:eastAsia="黑体"/>
          <w:bCs/>
          <w:sz w:val="32"/>
          <w:szCs w:val="32"/>
        </w:rPr>
        <w:t>、贯彻标准的要求和措施建议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首先应在标准实施前保证文本的充足供应，使每家生产企业、经营企业、检验机构等都能够及时获得本标准文本，这是保证新标准贯彻实施的基础。本次修订的《</w:t>
      </w:r>
      <w:r>
        <w:rPr>
          <w:rFonts w:hint="eastAsia" w:ascii="仿宋_GB2312" w:hAnsi="仿宋_GB2312" w:eastAsia="仿宋_GB2312" w:cs="仿宋_GB2312"/>
          <w:sz w:val="32"/>
          <w:szCs w:val="32"/>
          <w:lang w:eastAsia="zh-CN"/>
        </w:rPr>
        <w:t>小龙虾及制品冷链物流储运销管理规范</w:t>
      </w:r>
      <w:r>
        <w:rPr>
          <w:rFonts w:hint="eastAsia" w:ascii="仿宋_GB2312" w:hAnsi="仿宋_GB2312" w:eastAsia="仿宋_GB2312" w:cs="仿宋_GB2312"/>
          <w:sz w:val="32"/>
          <w:szCs w:val="32"/>
        </w:rPr>
        <w:t>》不仅仅</w:t>
      </w:r>
      <w:r>
        <w:rPr>
          <w:rFonts w:hint="eastAsia" w:ascii="仿宋_GB2312" w:hAnsi="仿宋_GB2312" w:eastAsia="仿宋_GB2312" w:cs="仿宋_GB2312"/>
          <w:sz w:val="32"/>
          <w:szCs w:val="32"/>
          <w:lang w:val="en-US" w:eastAsia="zh-CN"/>
        </w:rPr>
        <w:t>与物流</w:t>
      </w:r>
      <w:r>
        <w:rPr>
          <w:rFonts w:hint="eastAsia" w:ascii="仿宋_GB2312" w:hAnsi="仿宋_GB2312" w:eastAsia="仿宋_GB2312" w:cs="仿宋_GB2312"/>
          <w:sz w:val="32"/>
          <w:szCs w:val="32"/>
        </w:rPr>
        <w:t>企业有关，还与</w:t>
      </w:r>
      <w:r>
        <w:rPr>
          <w:rFonts w:hint="eastAsia" w:ascii="仿宋_GB2312" w:hAnsi="仿宋_GB2312" w:eastAsia="仿宋_GB2312" w:cs="仿宋_GB2312"/>
          <w:sz w:val="32"/>
          <w:szCs w:val="32"/>
          <w:lang w:val="en-US" w:eastAsia="zh-CN"/>
        </w:rPr>
        <w:t>生产加工</w:t>
      </w:r>
      <w:r>
        <w:rPr>
          <w:rFonts w:hint="eastAsia" w:ascii="仿宋_GB2312" w:hAnsi="仿宋_GB2312" w:eastAsia="仿宋_GB2312" w:cs="仿宋_GB2312"/>
          <w:sz w:val="32"/>
          <w:szCs w:val="32"/>
        </w:rPr>
        <w:t>企业、</w:t>
      </w:r>
      <w:r>
        <w:rPr>
          <w:rFonts w:hint="eastAsia" w:ascii="仿宋_GB2312" w:hAnsi="仿宋_GB2312" w:eastAsia="仿宋_GB2312" w:cs="仿宋_GB2312"/>
          <w:sz w:val="32"/>
          <w:szCs w:val="32"/>
          <w:lang w:val="en-US" w:eastAsia="zh-CN"/>
        </w:rPr>
        <w:t>经营</w:t>
      </w:r>
      <w:r>
        <w:rPr>
          <w:rFonts w:hint="eastAsia" w:ascii="仿宋_GB2312" w:hAnsi="仿宋_GB2312" w:eastAsia="仿宋_GB2312" w:cs="仿宋_GB2312"/>
          <w:sz w:val="32"/>
          <w:szCs w:val="32"/>
        </w:rPr>
        <w:t>企业、行政许可职能部门、</w:t>
      </w:r>
      <w:r>
        <w:rPr>
          <w:rFonts w:hint="eastAsia" w:ascii="仿宋_GB2312" w:hAnsi="仿宋_GB2312" w:eastAsia="仿宋_GB2312" w:cs="仿宋_GB2312"/>
          <w:sz w:val="32"/>
          <w:szCs w:val="32"/>
          <w:lang w:val="en-US" w:eastAsia="zh-CN"/>
        </w:rPr>
        <w:t>食品</w:t>
      </w:r>
      <w:r>
        <w:rPr>
          <w:rFonts w:hint="eastAsia" w:ascii="仿宋_GB2312" w:hAnsi="仿宋_GB2312" w:eastAsia="仿宋_GB2312" w:cs="仿宋_GB2312"/>
          <w:sz w:val="32"/>
          <w:szCs w:val="32"/>
        </w:rPr>
        <w:t>监管部门等有关，对于标准使用过程中容易出现的疑问，起草单位有义务进行必要的解释。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针对标准使用对象的不同，在</w:t>
      </w:r>
      <w:r>
        <w:rPr>
          <w:rFonts w:hint="eastAsia" w:ascii="仿宋_GB2312" w:hAnsi="仿宋_GB2312" w:eastAsia="仿宋_GB2312" w:cs="仿宋_GB2312"/>
          <w:sz w:val="32"/>
          <w:szCs w:val="32"/>
          <w:lang w:val="en-US" w:eastAsia="zh-CN"/>
        </w:rPr>
        <w:t>全省</w:t>
      </w:r>
      <w:r>
        <w:rPr>
          <w:rFonts w:hint="eastAsia" w:ascii="仿宋_GB2312" w:hAnsi="仿宋_GB2312" w:eastAsia="仿宋_GB2312" w:cs="仿宋_GB2312"/>
          <w:sz w:val="32"/>
          <w:szCs w:val="32"/>
        </w:rPr>
        <w:t>范围内有重点地进行标准培训和宣贯，以保证标准贯彻实施。</w:t>
      </w:r>
    </w:p>
    <w:p>
      <w:pPr>
        <w:spacing w:line="480" w:lineRule="exact"/>
        <w:ind w:firstLine="560" w:firstLineChars="200"/>
        <w:rPr>
          <w:rFonts w:ascii="仿宋" w:hAnsi="仿宋" w:eastAsia="仿宋"/>
          <w:color w:val="000000" w:themeColor="text1"/>
          <w:sz w:val="28"/>
          <w:szCs w:val="28"/>
          <w14:textFill>
            <w14:solidFill>
              <w14:schemeClr w14:val="tx1"/>
            </w14:solidFill>
          </w14:textFill>
        </w:rPr>
      </w:pPr>
    </w:p>
    <w:p>
      <w:pPr>
        <w:spacing w:line="480" w:lineRule="exact"/>
        <w:ind w:firstLine="560" w:firstLineChars="200"/>
        <w:rPr>
          <w:rFonts w:ascii="仿宋" w:hAnsi="仿宋" w:eastAsia="仿宋"/>
          <w:color w:val="000000" w:themeColor="text1"/>
          <w:sz w:val="28"/>
          <w:szCs w:val="28"/>
          <w14:textFill>
            <w14:solidFill>
              <w14:schemeClr w14:val="tx1"/>
            </w14:solidFill>
          </w14:textFill>
        </w:rPr>
      </w:pPr>
    </w:p>
    <w:p>
      <w:pPr>
        <w:spacing w:line="560" w:lineRule="exact"/>
        <w:ind w:firstLine="6080" w:firstLineChars="1900"/>
        <w:rPr>
          <w:rFonts w:ascii="Times New Roman" w:hAnsi="Times New Roman" w:eastAsia="仿宋"/>
          <w:sz w:val="32"/>
          <w:szCs w:val="32"/>
        </w:rPr>
      </w:pPr>
      <w:r>
        <w:rPr>
          <w:rFonts w:ascii="Times New Roman" w:hAnsi="Times New Roman" w:eastAsia="仿宋"/>
          <w:sz w:val="32"/>
          <w:szCs w:val="32"/>
        </w:rPr>
        <w:t>标准起草小组</w:t>
      </w:r>
    </w:p>
    <w:p>
      <w:pPr>
        <w:spacing w:line="560" w:lineRule="exact"/>
        <w:ind w:firstLine="5760" w:firstLineChars="1800"/>
        <w:rPr>
          <w:rFonts w:ascii="仿宋" w:hAnsi="仿宋" w:eastAsia="仿宋"/>
          <w:color w:val="000000" w:themeColor="text1"/>
          <w:sz w:val="28"/>
          <w:szCs w:val="28"/>
          <w14:textFill>
            <w14:solidFill>
              <w14:schemeClr w14:val="tx1"/>
            </w14:solidFill>
          </w14:textFill>
        </w:rPr>
      </w:pPr>
      <w:r>
        <w:rPr>
          <w:rFonts w:hint="eastAsia" w:ascii="Times New Roman" w:hAnsi="Times New Roman" w:eastAsia="仿宋"/>
          <w:sz w:val="32"/>
          <w:szCs w:val="32"/>
        </w:rPr>
        <w:t>202</w:t>
      </w:r>
      <w:r>
        <w:rPr>
          <w:rFonts w:hint="eastAsia" w:ascii="Times New Roman" w:hAnsi="Times New Roman" w:eastAsia="仿宋"/>
          <w:sz w:val="32"/>
          <w:szCs w:val="32"/>
          <w:lang w:val="en-US" w:eastAsia="zh-CN"/>
        </w:rPr>
        <w:t>3</w:t>
      </w:r>
      <w:r>
        <w:rPr>
          <w:rFonts w:hint="eastAsia" w:ascii="Times New Roman" w:hAnsi="Times New Roman" w:eastAsia="仿宋"/>
          <w:sz w:val="32"/>
          <w:szCs w:val="32"/>
        </w:rPr>
        <w:t>年</w:t>
      </w:r>
      <w:r>
        <w:rPr>
          <w:rFonts w:hint="eastAsia" w:ascii="Times New Roman" w:hAnsi="Times New Roman" w:eastAsia="仿宋"/>
          <w:sz w:val="32"/>
          <w:szCs w:val="32"/>
          <w:lang w:val="en-US" w:eastAsia="zh-CN"/>
        </w:rPr>
        <w:t>6</w:t>
      </w:r>
      <w:r>
        <w:rPr>
          <w:rFonts w:hint="eastAsia" w:ascii="Times New Roman" w:hAnsi="Times New Roman" w:eastAsia="仿宋"/>
          <w:sz w:val="32"/>
          <w:szCs w:val="32"/>
        </w:rPr>
        <w:t>月</w:t>
      </w:r>
      <w:r>
        <w:rPr>
          <w:rFonts w:hint="eastAsia" w:ascii="Times New Roman" w:hAnsi="Times New Roman" w:eastAsia="仿宋"/>
          <w:sz w:val="32"/>
          <w:szCs w:val="32"/>
          <w:lang w:val="en-US" w:eastAsia="zh-CN"/>
        </w:rPr>
        <w:t>28</w:t>
      </w:r>
      <w:r>
        <w:rPr>
          <w:rFonts w:hint="eastAsia" w:ascii="Times New Roman" w:hAnsi="Times New Roman" w:eastAsia="仿宋"/>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790971-256A-4DAF-8456-466144146C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D08712B-AB32-460B-8C27-F1380B3B8126}"/>
  </w:font>
  <w:font w:name="方正小标宋简体">
    <w:panose1 w:val="02000000000000000000"/>
    <w:charset w:val="86"/>
    <w:family w:val="script"/>
    <w:pitch w:val="default"/>
    <w:sig w:usb0="00000001" w:usb1="08000000" w:usb2="00000000" w:usb3="00000000" w:csb0="00040000" w:csb1="00000000"/>
    <w:embedRegular r:id="rId3" w:fontKey="{4ABFEFF3-EFFC-441A-9F5D-CBBB185CBA9F}"/>
  </w:font>
  <w:font w:name="仿宋">
    <w:panose1 w:val="02010609060101010101"/>
    <w:charset w:val="86"/>
    <w:family w:val="modern"/>
    <w:pitch w:val="default"/>
    <w:sig w:usb0="800002BF" w:usb1="38CF7CFA" w:usb2="00000016" w:usb3="00000000" w:csb0="00040001" w:csb1="00000000"/>
    <w:embedRegular r:id="rId4" w:fontKey="{6DC9BB13-A55D-4014-8EBD-28F9A3415542}"/>
  </w:font>
  <w:font w:name="仿宋_GB2312">
    <w:panose1 w:val="02010609030101010101"/>
    <w:charset w:val="86"/>
    <w:family w:val="auto"/>
    <w:pitch w:val="default"/>
    <w:sig w:usb0="00000001" w:usb1="080E0000" w:usb2="00000000" w:usb3="00000000" w:csb0="00040000" w:csb1="00000000"/>
    <w:embedRegular r:id="rId5" w:fontKey="{48E586A9-2B1A-4B91-8024-3F613A68970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3"/>
      <w:suff w:val="nothing"/>
      <w:lvlText w:val="%1.%2　"/>
      <w:lvlJc w:val="left"/>
      <w:pPr>
        <w:ind w:left="94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2"/>
      <w:suff w:val="nothing"/>
      <w:lvlText w:val="%1.%2.%3　"/>
      <w:lvlJc w:val="left"/>
      <w:pPr>
        <w:ind w:left="360" w:firstLine="0"/>
      </w:pPr>
      <w:rPr>
        <w:rFonts w:hint="eastAsia" w:ascii="黑体" w:hAnsi="Times New Roman" w:eastAsia="黑体"/>
        <w:b w:val="0"/>
        <w:i w:val="0"/>
        <w:sz w:val="21"/>
      </w:rPr>
    </w:lvl>
    <w:lvl w:ilvl="3" w:tentative="0">
      <w:start w:val="1"/>
      <w:numFmt w:val="decimal"/>
      <w:pStyle w:val="15"/>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7"/>
      <w:suff w:val="nothing"/>
      <w:lvlText w:val="%1%2　"/>
      <w:lvlJc w:val="left"/>
      <w:pPr>
        <w:ind w:left="0" w:firstLine="0"/>
      </w:pPr>
      <w:rPr>
        <w:rFonts w:hint="eastAsia" w:ascii="黑体" w:eastAsia="黑体"/>
        <w:b w:val="0"/>
        <w:i w:val="0"/>
        <w:sz w:val="21"/>
      </w:rPr>
    </w:lvl>
    <w:lvl w:ilvl="2" w:tentative="0">
      <w:start w:val="1"/>
      <w:numFmt w:val="decimal"/>
      <w:pStyle w:val="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3402"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color w:val="auto"/>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C1202C0"/>
    <w:multiLevelType w:val="multilevel"/>
    <w:tmpl w:val="7C1202C0"/>
    <w:lvl w:ilvl="0" w:tentative="0">
      <w:start w:val="1"/>
      <w:numFmt w:val="lowerLetter"/>
      <w:pStyle w:val="9"/>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iZTFjZDM2YTdmM2M3MmJkNGNjYWE1YzYzZTcxMzIifQ=="/>
  </w:docVars>
  <w:rsids>
    <w:rsidRoot w:val="7AFF11A8"/>
    <w:rsid w:val="000071A2"/>
    <w:rsid w:val="021F6BC6"/>
    <w:rsid w:val="04A04F3F"/>
    <w:rsid w:val="08ED56AB"/>
    <w:rsid w:val="0B315989"/>
    <w:rsid w:val="1FC401E5"/>
    <w:rsid w:val="248561EF"/>
    <w:rsid w:val="26170039"/>
    <w:rsid w:val="29405652"/>
    <w:rsid w:val="2A166DE4"/>
    <w:rsid w:val="2C907F0F"/>
    <w:rsid w:val="30A34687"/>
    <w:rsid w:val="36201465"/>
    <w:rsid w:val="38B228C0"/>
    <w:rsid w:val="3B7917D4"/>
    <w:rsid w:val="3E0D3597"/>
    <w:rsid w:val="3F801A9B"/>
    <w:rsid w:val="41B25855"/>
    <w:rsid w:val="4DDC15F8"/>
    <w:rsid w:val="4F046FDB"/>
    <w:rsid w:val="5415387A"/>
    <w:rsid w:val="5D064F7B"/>
    <w:rsid w:val="60AF7D3E"/>
    <w:rsid w:val="6587477F"/>
    <w:rsid w:val="661C65EB"/>
    <w:rsid w:val="6C5A4040"/>
    <w:rsid w:val="6DE26765"/>
    <w:rsid w:val="6ED63157"/>
    <w:rsid w:val="708806BC"/>
    <w:rsid w:val="7AFF11A8"/>
    <w:rsid w:val="7D835B73"/>
    <w:rsid w:val="7FA62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50" w:beforeLines="50" w:after="50" w:afterLines="50" w:line="360" w:lineRule="auto"/>
      <w:ind w:firstLine="0" w:firstLineChars="0"/>
      <w:outlineLvl w:val="0"/>
    </w:pPr>
    <w:rPr>
      <w:rFonts w:ascii="Calibri" w:hAnsi="Calibri" w:eastAsia="黑体" w:cs="Times New Roman"/>
      <w:bCs/>
      <w:kern w:val="44"/>
      <w:sz w:val="32"/>
      <w:szCs w:val="44"/>
    </w:rPr>
  </w:style>
  <w:style w:type="paragraph" w:styleId="3">
    <w:name w:val="heading 2"/>
    <w:basedOn w:val="1"/>
    <w:next w:val="1"/>
    <w:semiHidden/>
    <w:unhideWhenUsed/>
    <w:qFormat/>
    <w:uiPriority w:val="0"/>
    <w:pPr>
      <w:keepNext/>
      <w:keepLines/>
      <w:spacing w:line="480" w:lineRule="auto"/>
      <w:ind w:firstLine="0" w:firstLineChars="0"/>
      <w:outlineLvl w:val="1"/>
    </w:pPr>
    <w:rPr>
      <w:rFonts w:ascii="Times New Roman" w:hAnsi="Times New Roman" w:eastAsia="宋体" w:cs="Times New Roman"/>
      <w:sz w:val="28"/>
      <w:szCs w:val="22"/>
    </w:rPr>
  </w:style>
  <w:style w:type="paragraph" w:styleId="4">
    <w:name w:val="heading 3"/>
    <w:basedOn w:val="1"/>
    <w:next w:val="1"/>
    <w:semiHidden/>
    <w:unhideWhenUsed/>
    <w:qFormat/>
    <w:uiPriority w:val="0"/>
    <w:pPr>
      <w:keepNext/>
      <w:keepLines/>
      <w:spacing w:beforeLines="0" w:beforeAutospacing="0" w:afterLines="0" w:afterAutospacing="0" w:line="560" w:lineRule="exact"/>
      <w:ind w:firstLine="1044" w:firstLineChars="200"/>
      <w:outlineLvl w:val="2"/>
    </w:pPr>
    <w:rPr>
      <w:rFonts w:ascii="宋体" w:hAnsi="宋体" w:eastAsia="宋体" w:cs="Times New Roman"/>
      <w:b/>
      <w:sz w:val="28"/>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1 Char"/>
    <w:link w:val="2"/>
    <w:qFormat/>
    <w:uiPriority w:val="0"/>
    <w:rPr>
      <w:rFonts w:ascii="Calibri" w:hAnsi="Calibri" w:eastAsia="黑体" w:cs="Times New Roman"/>
      <w:bCs/>
      <w:kern w:val="44"/>
      <w:sz w:val="32"/>
      <w:szCs w:val="44"/>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9">
    <w:name w:val="字母编号列项（一级）"/>
    <w:qFormat/>
    <w:uiPriority w:val="0"/>
    <w:pPr>
      <w:numPr>
        <w:ilvl w:val="0"/>
        <w:numId w:val="1"/>
      </w:numPr>
      <w:jc w:val="both"/>
    </w:pPr>
    <w:rPr>
      <w:rFonts w:ascii="宋体" w:hAnsi="Times New Roman" w:eastAsia="宋体" w:cs="Times New Roman"/>
      <w:kern w:val="0"/>
      <w:sz w:val="21"/>
      <w:szCs w:val="20"/>
      <w:lang w:val="en-US" w:eastAsia="zh-CN" w:bidi="ar-SA"/>
    </w:rPr>
  </w:style>
  <w:style w:type="paragraph" w:customStyle="1" w:styleId="10">
    <w:name w:val="标准文件_注："/>
    <w:next w:val="1"/>
    <w:qFormat/>
    <w:uiPriority w:val="0"/>
    <w:pPr>
      <w:widowControl w:val="0"/>
      <w:autoSpaceDE w:val="0"/>
      <w:autoSpaceDN w:val="0"/>
      <w:ind w:left="737" w:hanging="374"/>
      <w:jc w:val="both"/>
    </w:pPr>
    <w:rPr>
      <w:rFonts w:ascii="宋体" w:hAnsi="Times New Roman" w:eastAsia="宋体" w:cs="Times New Roman"/>
      <w:kern w:val="0"/>
      <w:sz w:val="18"/>
      <w:szCs w:val="18"/>
      <w:lang w:val="en-US" w:eastAsia="zh-CN" w:bidi="ar-SA"/>
    </w:rPr>
  </w:style>
  <w:style w:type="paragraph" w:customStyle="1" w:styleId="11">
    <w:name w:val="正文表标题"/>
    <w:next w:val="8"/>
    <w:qFormat/>
    <w:uiPriority w:val="0"/>
    <w:p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2">
    <w:name w:val="二级条标题"/>
    <w:basedOn w:val="13"/>
    <w:next w:val="8"/>
    <w:qFormat/>
    <w:uiPriority w:val="0"/>
    <w:pPr>
      <w:numPr>
        <w:ilvl w:val="2"/>
      </w:numPr>
      <w:spacing w:before="50" w:after="50"/>
      <w:outlineLvl w:val="3"/>
    </w:pPr>
  </w:style>
  <w:style w:type="paragraph" w:customStyle="1" w:styleId="13">
    <w:name w:val="一级条标题"/>
    <w:next w:val="8"/>
    <w:qFormat/>
    <w:uiPriority w:val="0"/>
    <w:pPr>
      <w:numPr>
        <w:ilvl w:val="1"/>
        <w:numId w:val="2"/>
      </w:numPr>
      <w:spacing w:beforeLines="50" w:afterLines="50"/>
      <w:outlineLvl w:val="2"/>
    </w:pPr>
    <w:rPr>
      <w:rFonts w:ascii="黑体" w:hAnsi="Times New Roman" w:eastAsia="黑体" w:cs="Times New Roman"/>
      <w:kern w:val="0"/>
      <w:sz w:val="21"/>
      <w:szCs w:val="21"/>
      <w:lang w:val="en-US" w:eastAsia="zh-CN" w:bidi="ar-SA"/>
    </w:rPr>
  </w:style>
  <w:style w:type="paragraph" w:customStyle="1" w:styleId="14">
    <w:name w:val="二级无"/>
    <w:basedOn w:val="12"/>
    <w:qFormat/>
    <w:uiPriority w:val="0"/>
    <w:pPr>
      <w:numPr>
        <w:ilvl w:val="0"/>
        <w:numId w:val="0"/>
      </w:numPr>
      <w:tabs>
        <w:tab w:val="left" w:pos="1260"/>
      </w:tabs>
      <w:spacing w:beforeLines="0" w:afterLines="0"/>
      <w:ind w:left="1260" w:hanging="420"/>
    </w:pPr>
    <w:rPr>
      <w:rFonts w:ascii="宋体" w:eastAsia="宋体"/>
    </w:rPr>
  </w:style>
  <w:style w:type="paragraph" w:customStyle="1" w:styleId="15">
    <w:name w:val="三级无"/>
    <w:basedOn w:val="1"/>
    <w:qFormat/>
    <w:uiPriority w:val="0"/>
    <w:pPr>
      <w:widowControl/>
      <w:numPr>
        <w:ilvl w:val="3"/>
        <w:numId w:val="2"/>
      </w:numPr>
      <w:jc w:val="left"/>
      <w:outlineLvl w:val="4"/>
    </w:pPr>
    <w:rPr>
      <w:rFonts w:ascii="宋体"/>
      <w:kern w:val="0"/>
      <w:szCs w:val="21"/>
    </w:rPr>
  </w:style>
  <w:style w:type="paragraph" w:customStyle="1" w:styleId="16">
    <w:name w:val="标准文件_一级条标题"/>
    <w:basedOn w:val="17"/>
    <w:next w:val="18"/>
    <w:qFormat/>
    <w:uiPriority w:val="0"/>
    <w:pPr>
      <w:numPr>
        <w:ilvl w:val="2"/>
      </w:numPr>
      <w:spacing w:before="50" w:beforeLines="50" w:after="50" w:afterLines="50"/>
      <w:outlineLvl w:val="1"/>
    </w:pPr>
  </w:style>
  <w:style w:type="paragraph" w:customStyle="1" w:styleId="17">
    <w:name w:val="标准文件_章标题"/>
    <w:next w:val="18"/>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3277</Words>
  <Characters>3543</Characters>
  <Lines>0</Lines>
  <Paragraphs>0</Paragraphs>
  <TotalTime>5</TotalTime>
  <ScaleCrop>false</ScaleCrop>
  <LinksUpToDate>false</LinksUpToDate>
  <CharactersWithSpaces>3567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2023-05-15T08:53:00Z</dcterms:created>
  <dc:creator>龙晨</dc:creator>
  <cp:lastModifiedBy>龙晨</cp:lastModifiedBy>
  <dcterms:modified xsi:type="dcterms:W3CDTF">2023-08-07T03:07:26Z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F0738C3E0649447E969E662FA0EC430E_13</vt:lpwstr>
  </property>
</Properties>
</file>