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360" w:lineRule="auto"/>
        <w:jc w:val="center"/>
        <w:rPr>
          <w:rFonts w:asciiTheme="minorHAnsi" w:hAnsiTheme="minorHAnsi" w:eastAsiaTheme="minorEastAsia"/>
          <w:kern w:val="2"/>
          <w:sz w:val="84"/>
          <w:szCs w:val="84"/>
        </w:rPr>
      </w:pPr>
    </w:p>
    <w:p>
      <w:pPr>
        <w:widowControl w:val="0"/>
        <w:adjustRightInd/>
        <w:snapToGrid/>
        <w:spacing w:after="0" w:line="360" w:lineRule="auto"/>
        <w:jc w:val="center"/>
        <w:rPr>
          <w:rFonts w:asciiTheme="minorHAnsi" w:hAnsiTheme="minorHAnsi" w:eastAsiaTheme="minorEastAsia"/>
          <w:kern w:val="2"/>
          <w:sz w:val="72"/>
          <w:szCs w:val="72"/>
        </w:rPr>
      </w:pPr>
      <w:r>
        <w:rPr>
          <w:rFonts w:hint="eastAsia" w:asciiTheme="minorHAnsi" w:hAnsiTheme="minorHAnsi" w:eastAsiaTheme="minorEastAsia"/>
          <w:kern w:val="2"/>
          <w:sz w:val="72"/>
          <w:szCs w:val="72"/>
        </w:rPr>
        <w:t>安宁疗护舒适照护基本规范</w:t>
      </w:r>
    </w:p>
    <w:p>
      <w:pPr>
        <w:spacing w:line="360" w:lineRule="auto"/>
        <w:jc w:val="both"/>
        <w:rPr>
          <w:sz w:val="84"/>
          <w:szCs w:val="84"/>
        </w:rPr>
      </w:pPr>
    </w:p>
    <w:p>
      <w:pPr>
        <w:widowControl w:val="0"/>
        <w:adjustRightInd/>
        <w:snapToGrid/>
        <w:spacing w:after="0" w:line="360" w:lineRule="auto"/>
        <w:jc w:val="center"/>
        <w:rPr>
          <w:rFonts w:asciiTheme="minorHAnsi" w:hAnsiTheme="minorHAnsi" w:eastAsiaTheme="minorEastAsia"/>
          <w:kern w:val="2"/>
          <w:sz w:val="84"/>
          <w:szCs w:val="84"/>
        </w:rPr>
      </w:pPr>
      <w:r>
        <w:rPr>
          <w:rFonts w:hint="eastAsia" w:asciiTheme="minorHAnsi" w:hAnsiTheme="minorHAnsi" w:eastAsiaTheme="minorEastAsia"/>
          <w:kern w:val="2"/>
          <w:sz w:val="84"/>
          <w:szCs w:val="84"/>
        </w:rPr>
        <w:t>编制说明</w:t>
      </w:r>
    </w:p>
    <w:p>
      <w:pPr>
        <w:spacing w:line="360" w:lineRule="auto"/>
        <w:jc w:val="center"/>
        <w:rPr>
          <w:sz w:val="84"/>
          <w:szCs w:val="84"/>
        </w:rPr>
      </w:pPr>
    </w:p>
    <w:p>
      <w:pPr>
        <w:spacing w:line="360" w:lineRule="auto"/>
        <w:jc w:val="both"/>
        <w:rPr>
          <w:sz w:val="84"/>
          <w:szCs w:val="84"/>
        </w:rPr>
      </w:pPr>
    </w:p>
    <w:p>
      <w:pPr>
        <w:widowControl w:val="0"/>
        <w:adjustRightInd/>
        <w:snapToGrid/>
        <w:spacing w:after="0" w:line="360" w:lineRule="auto"/>
        <w:jc w:val="center"/>
        <w:rPr>
          <w:rFonts w:asciiTheme="minorHAnsi" w:hAnsiTheme="minorHAnsi" w:eastAsiaTheme="minorEastAsia"/>
          <w:kern w:val="2"/>
          <w:sz w:val="28"/>
          <w:szCs w:val="28"/>
        </w:rPr>
      </w:pPr>
    </w:p>
    <w:p>
      <w:pPr>
        <w:widowControl w:val="0"/>
        <w:adjustRightInd/>
        <w:snapToGrid/>
        <w:spacing w:after="0" w:line="360" w:lineRule="auto"/>
        <w:jc w:val="center"/>
        <w:rPr>
          <w:rFonts w:asciiTheme="minorHAnsi" w:hAnsiTheme="minorHAnsi" w:eastAsiaTheme="minorEastAsia"/>
          <w:kern w:val="2"/>
          <w:sz w:val="28"/>
          <w:szCs w:val="28"/>
        </w:rPr>
      </w:pPr>
      <w:r>
        <w:rPr>
          <w:rFonts w:hint="eastAsia" w:asciiTheme="minorHAnsi" w:hAnsiTheme="minorHAnsi" w:eastAsiaTheme="minorEastAsia"/>
          <w:kern w:val="2"/>
          <w:sz w:val="28"/>
          <w:szCs w:val="28"/>
        </w:rPr>
        <w:t>湖南省肿瘤医院</w:t>
      </w:r>
    </w:p>
    <w:p>
      <w:pPr>
        <w:widowControl w:val="0"/>
        <w:adjustRightInd/>
        <w:snapToGrid/>
        <w:spacing w:after="0" w:line="360" w:lineRule="auto"/>
        <w:jc w:val="center"/>
        <w:rPr>
          <w:rFonts w:asciiTheme="minorHAnsi" w:hAnsiTheme="minorHAnsi" w:eastAsiaTheme="minorEastAsia"/>
          <w:kern w:val="2"/>
          <w:sz w:val="28"/>
          <w:szCs w:val="28"/>
        </w:rPr>
      </w:pPr>
      <w:r>
        <w:rPr>
          <w:rFonts w:hint="eastAsia" w:asciiTheme="minorHAnsi" w:hAnsiTheme="minorHAnsi" w:eastAsiaTheme="minorEastAsia"/>
          <w:kern w:val="2"/>
          <w:sz w:val="28"/>
          <w:szCs w:val="28"/>
        </w:rPr>
        <w:t>202</w:t>
      </w:r>
      <w:r>
        <w:rPr>
          <w:rFonts w:asciiTheme="minorHAnsi" w:hAnsiTheme="minorHAnsi" w:eastAsiaTheme="minorEastAsia"/>
          <w:kern w:val="2"/>
          <w:sz w:val="28"/>
          <w:szCs w:val="28"/>
        </w:rPr>
        <w:t>3</w:t>
      </w:r>
      <w:r>
        <w:rPr>
          <w:rFonts w:hint="eastAsia" w:asciiTheme="minorHAnsi" w:hAnsiTheme="minorHAnsi" w:eastAsiaTheme="minorEastAsia"/>
          <w:kern w:val="2"/>
          <w:sz w:val="28"/>
          <w:szCs w:val="28"/>
        </w:rPr>
        <w:t>年</w:t>
      </w:r>
      <w:r>
        <w:rPr>
          <w:rFonts w:asciiTheme="minorHAnsi" w:hAnsiTheme="minorHAnsi" w:eastAsiaTheme="minorEastAsia"/>
          <w:kern w:val="2"/>
          <w:sz w:val="28"/>
          <w:szCs w:val="28"/>
        </w:rPr>
        <w:t>7</w:t>
      </w:r>
      <w:r>
        <w:rPr>
          <w:rFonts w:hint="eastAsia" w:asciiTheme="minorHAnsi" w:hAnsiTheme="minorHAnsi" w:eastAsiaTheme="minorEastAsia"/>
          <w:kern w:val="2"/>
          <w:sz w:val="28"/>
          <w:szCs w:val="28"/>
        </w:rPr>
        <w:t>月</w:t>
      </w:r>
    </w:p>
    <w:p>
      <w:pPr>
        <w:widowControl w:val="0"/>
        <w:adjustRightInd/>
        <w:snapToGrid/>
        <w:spacing w:before="43" w:after="0" w:line="360" w:lineRule="auto"/>
        <w:ind w:right="1214"/>
        <w:jc w:val="center"/>
        <w:rPr>
          <w:rFonts w:ascii="黑体" w:eastAsia="黑体" w:hAnsiTheme="minorHAnsi"/>
          <w:kern w:val="2"/>
          <w:sz w:val="32"/>
          <w:szCs w:val="24"/>
        </w:rPr>
      </w:pPr>
    </w:p>
    <w:p>
      <w:pPr>
        <w:widowControl w:val="0"/>
        <w:adjustRightInd/>
        <w:snapToGrid/>
        <w:spacing w:before="43" w:after="0" w:line="360" w:lineRule="auto"/>
        <w:ind w:right="1214"/>
        <w:jc w:val="center"/>
        <w:rPr>
          <w:rFonts w:ascii="黑体" w:eastAsia="黑体" w:hAnsiTheme="minorHAnsi"/>
          <w:kern w:val="2"/>
          <w:sz w:val="32"/>
          <w:szCs w:val="24"/>
        </w:rPr>
      </w:pPr>
    </w:p>
    <w:p>
      <w:pPr>
        <w:rPr>
          <w:rFonts w:ascii="黑体" w:eastAsia="黑体" w:hAnsiTheme="minorHAnsi"/>
          <w:kern w:val="2"/>
          <w:sz w:val="32"/>
          <w:szCs w:val="24"/>
        </w:rPr>
      </w:pPr>
      <w:r>
        <w:rPr>
          <w:rFonts w:hint="eastAsia" w:ascii="黑体" w:eastAsia="黑体" w:hAnsiTheme="minorHAnsi"/>
          <w:kern w:val="2"/>
          <w:sz w:val="32"/>
          <w:szCs w:val="24"/>
        </w:rPr>
        <w:br w:type="page"/>
      </w:r>
    </w:p>
    <w:p>
      <w:pPr>
        <w:widowControl w:val="0"/>
        <w:adjustRightInd/>
        <w:snapToGrid/>
        <w:spacing w:before="43" w:after="0" w:line="360" w:lineRule="auto"/>
        <w:ind w:right="1214"/>
        <w:jc w:val="center"/>
        <w:rPr>
          <w:rFonts w:ascii="黑体" w:eastAsia="黑体" w:hAnsiTheme="minorHAnsi"/>
          <w:kern w:val="2"/>
          <w:sz w:val="32"/>
          <w:szCs w:val="24"/>
        </w:rPr>
      </w:pPr>
      <w:r>
        <w:rPr>
          <w:rFonts w:hint="eastAsia" w:ascii="黑体" w:eastAsia="黑体" w:hAnsiTheme="minorHAnsi"/>
          <w:kern w:val="2"/>
          <w:sz w:val="32"/>
          <w:szCs w:val="24"/>
        </w:rPr>
        <w:t>目   录</w:t>
      </w:r>
    </w:p>
    <w:p>
      <w:pPr>
        <w:pStyle w:val="11"/>
        <w:spacing w:line="360" w:lineRule="auto"/>
        <w:rPr>
          <w:rStyle w:val="27"/>
        </w:rPr>
      </w:pPr>
      <w:r>
        <w:rPr>
          <w:rStyle w:val="27"/>
          <w:rFonts w:hint="eastAsia"/>
          <w:color w:val="000000" w:themeColor="text1"/>
          <w:u w:val="none"/>
          <w14:textFill>
            <w14:solidFill>
              <w14:schemeClr w14:val="tx1"/>
            </w14:solidFill>
          </w14:textFill>
        </w:rPr>
        <w:t>一、</w:t>
      </w:r>
      <w:r>
        <w:fldChar w:fldCharType="begin"/>
      </w:r>
      <w:r>
        <w:instrText xml:space="preserve"> HYPERLINK \l "_Toc72612589" </w:instrText>
      </w:r>
      <w:r>
        <w:fldChar w:fldCharType="separate"/>
      </w:r>
      <w:r>
        <w:rPr>
          <w:rStyle w:val="27"/>
          <w:rFonts w:hint="eastAsia"/>
          <w:color w:val="auto"/>
          <w:u w:val="none"/>
        </w:rPr>
        <w:t>标准起草的基本情况</w:t>
      </w:r>
      <w:r>
        <w:tab/>
      </w:r>
      <w:r>
        <w:rPr>
          <w:rFonts w:hint="eastAsia"/>
        </w:rPr>
        <w:t>1</w:t>
      </w:r>
      <w:r>
        <w:rPr>
          <w:rFonts w:hint="eastAsia"/>
        </w:rPr>
        <w:fldChar w:fldCharType="end"/>
      </w:r>
    </w:p>
    <w:p>
      <w:pPr>
        <w:pStyle w:val="11"/>
        <w:spacing w:line="360" w:lineRule="auto"/>
        <w:rPr>
          <w:kern w:val="2"/>
          <w:sz w:val="21"/>
        </w:rPr>
      </w:pPr>
      <w:r>
        <w:rPr>
          <w:rStyle w:val="27"/>
          <w:rFonts w:hint="eastAsia"/>
          <w:color w:val="000000" w:themeColor="text1"/>
          <w:u w:val="none"/>
          <w14:textFill>
            <w14:solidFill>
              <w14:schemeClr w14:val="tx1"/>
            </w14:solidFill>
          </w14:textFill>
        </w:rPr>
        <w:t>（一）人员来源、起草单位、起草人</w:t>
      </w:r>
      <w:r>
        <w:fldChar w:fldCharType="begin"/>
      </w:r>
      <w:r>
        <w:instrText xml:space="preserve"> HYPERLINK \l "_Toc72612593" </w:instrText>
      </w:r>
      <w:r>
        <w:fldChar w:fldCharType="separate"/>
      </w:r>
      <w:r>
        <w:tab/>
      </w:r>
      <w:r>
        <w:rPr>
          <w:rFonts w:hint="eastAsia"/>
        </w:rPr>
        <w:t>1</w:t>
      </w:r>
      <w:r>
        <w:rPr>
          <w:rFonts w:hint="eastAsia"/>
        </w:rPr>
        <w:fldChar w:fldCharType="end"/>
      </w:r>
      <w:r>
        <w:rPr>
          <w:rStyle w:val="27"/>
          <w:rFonts w:hint="eastAsia"/>
        </w:rPr>
        <w:t xml:space="preserve"> </w:t>
      </w:r>
    </w:p>
    <w:p>
      <w:pPr>
        <w:pStyle w:val="13"/>
        <w:spacing w:line="360" w:lineRule="auto"/>
        <w:rPr>
          <w:rStyle w:val="27"/>
        </w:rPr>
      </w:pPr>
      <w:r>
        <w:fldChar w:fldCharType="begin"/>
      </w:r>
      <w:r>
        <w:instrText xml:space="preserve"> HYPERLINK \l "_Toc72612590" </w:instrText>
      </w:r>
      <w:r>
        <w:fldChar w:fldCharType="separate"/>
      </w:r>
      <w:r>
        <w:rPr>
          <w:rStyle w:val="27"/>
          <w:rFonts w:hint="eastAsia"/>
          <w:color w:val="000000" w:themeColor="text1"/>
          <w:sz w:val="28"/>
          <w:szCs w:val="28"/>
          <w:u w:val="none"/>
          <w14:textFill>
            <w14:solidFill>
              <w14:schemeClr w14:val="tx1"/>
            </w14:solidFill>
          </w14:textFill>
        </w:rPr>
        <w:t>1</w:t>
      </w:r>
      <w:r>
        <w:rPr>
          <w:rStyle w:val="27"/>
          <w:rFonts w:hint="eastAsia"/>
          <w:color w:val="000000" w:themeColor="text1"/>
          <w:u w:val="none"/>
          <w14:textFill>
            <w14:solidFill>
              <w14:schemeClr w14:val="tx1"/>
            </w14:solidFill>
          </w14:textFill>
        </w:rPr>
        <w:t>.任务来源</w:t>
      </w:r>
      <w:r>
        <w:tab/>
      </w:r>
      <w:r>
        <w:rPr>
          <w:rFonts w:hint="eastAsia"/>
        </w:rPr>
        <w:t>3</w:t>
      </w:r>
      <w:r>
        <w:rPr>
          <w:rFonts w:hint="eastAsia"/>
        </w:rPr>
        <w:fldChar w:fldCharType="end"/>
      </w:r>
      <w:r>
        <w:rPr>
          <w:rStyle w:val="27"/>
          <w:rFonts w:hint="eastAsia"/>
        </w:rPr>
        <w:t xml:space="preserve"> </w:t>
      </w:r>
    </w:p>
    <w:p>
      <w:pPr>
        <w:pStyle w:val="13"/>
        <w:spacing w:line="360" w:lineRule="auto"/>
        <w:rPr>
          <w:color w:val="0000FF" w:themeColor="hyperlink"/>
          <w:u w:val="single"/>
          <w14:textFill>
            <w14:solidFill>
              <w14:schemeClr w14:val="hlink"/>
            </w14:solidFill>
          </w14:textFill>
        </w:rPr>
      </w:pPr>
      <w:r>
        <w:fldChar w:fldCharType="begin"/>
      </w:r>
      <w:r>
        <w:instrText xml:space="preserve"> HYPERLINK \l "_Toc72612590" </w:instrText>
      </w:r>
      <w:r>
        <w:fldChar w:fldCharType="separate"/>
      </w:r>
      <w:r>
        <w:rPr>
          <w:rStyle w:val="27"/>
          <w:rFonts w:hint="eastAsia"/>
          <w:color w:val="000000" w:themeColor="text1"/>
          <w:u w:val="none"/>
          <w14:textFill>
            <w14:solidFill>
              <w14:schemeClr w14:val="tx1"/>
            </w14:solidFill>
          </w14:textFill>
        </w:rPr>
        <w:t>2.起草单位</w:t>
      </w:r>
      <w:r>
        <w:tab/>
      </w:r>
      <w:r>
        <w:rPr>
          <w:rFonts w:hint="eastAsia"/>
        </w:rPr>
        <w:t>3</w:t>
      </w:r>
      <w:r>
        <w:rPr>
          <w:rFonts w:hint="eastAsia"/>
        </w:rPr>
        <w:fldChar w:fldCharType="end"/>
      </w:r>
    </w:p>
    <w:p>
      <w:pPr>
        <w:pStyle w:val="13"/>
        <w:spacing w:line="360" w:lineRule="auto"/>
        <w:rPr>
          <w:kern w:val="2"/>
          <w:sz w:val="21"/>
        </w:rPr>
      </w:pPr>
      <w:r>
        <w:fldChar w:fldCharType="begin"/>
      </w:r>
      <w:r>
        <w:instrText xml:space="preserve"> HYPERLINK \l "_Toc72612591" </w:instrText>
      </w:r>
      <w:r>
        <w:fldChar w:fldCharType="separate"/>
      </w:r>
      <w:r>
        <w:rPr>
          <w:rStyle w:val="27"/>
          <w:rFonts w:hint="eastAsia"/>
          <w:color w:val="000000" w:themeColor="text1"/>
          <w:u w:val="none"/>
          <w14:textFill>
            <w14:solidFill>
              <w14:schemeClr w14:val="tx1"/>
            </w14:solidFill>
          </w14:textFill>
        </w:rPr>
        <w:t>3.起草人员名单</w:t>
      </w:r>
      <w:r>
        <w:tab/>
      </w:r>
      <w:r>
        <w:rPr>
          <w:rFonts w:hint="eastAsia"/>
        </w:rPr>
        <w:t>3</w:t>
      </w:r>
      <w:r>
        <w:rPr>
          <w:rFonts w:hint="eastAsia"/>
        </w:rPr>
        <w:fldChar w:fldCharType="end"/>
      </w:r>
    </w:p>
    <w:p>
      <w:pPr>
        <w:pStyle w:val="11"/>
        <w:spacing w:line="360" w:lineRule="auto"/>
        <w:rPr>
          <w:kern w:val="2"/>
          <w:sz w:val="21"/>
        </w:rPr>
      </w:pPr>
      <w:r>
        <w:rPr>
          <w:rStyle w:val="27"/>
          <w:rFonts w:hint="eastAsia"/>
          <w:color w:val="000000" w:themeColor="text1"/>
          <w:u w:val="none"/>
          <w14:textFill>
            <w14:solidFill>
              <w14:schemeClr w14:val="tx1"/>
            </w14:solidFill>
          </w14:textFill>
        </w:rPr>
        <w:t>（二）</w:t>
      </w:r>
      <w:r>
        <w:fldChar w:fldCharType="begin"/>
      </w:r>
      <w:r>
        <w:instrText xml:space="preserve"> HYPERLINK \l "_Toc72612593" </w:instrText>
      </w:r>
      <w:r>
        <w:fldChar w:fldCharType="separate"/>
      </w:r>
      <w:r>
        <w:rPr>
          <w:rStyle w:val="27"/>
          <w:rFonts w:hint="eastAsia"/>
          <w:color w:val="000000" w:themeColor="text1"/>
          <w:u w:val="none"/>
          <w14:textFill>
            <w14:solidFill>
              <w14:schemeClr w14:val="tx1"/>
            </w14:solidFill>
          </w14:textFill>
        </w:rPr>
        <w:t>制定标准的目的和意义</w:t>
      </w:r>
      <w:r>
        <w:tab/>
      </w:r>
      <w:r>
        <w:rPr>
          <w:rFonts w:hint="eastAsia"/>
        </w:rPr>
        <w:t>4</w:t>
      </w:r>
      <w:r>
        <w:rPr>
          <w:rFonts w:hint="eastAsia"/>
        </w:rPr>
        <w:fldChar w:fldCharType="end"/>
      </w:r>
    </w:p>
    <w:p>
      <w:pPr>
        <w:pStyle w:val="11"/>
        <w:spacing w:line="360" w:lineRule="auto"/>
        <w:rPr>
          <w:kern w:val="2"/>
          <w:sz w:val="21"/>
        </w:rPr>
      </w:pPr>
      <w:r>
        <w:rPr>
          <w:rStyle w:val="27"/>
          <w:rFonts w:hint="eastAsia"/>
          <w:color w:val="000000" w:themeColor="text1"/>
          <w:u w:val="none"/>
          <w14:textFill>
            <w14:solidFill>
              <w14:schemeClr w14:val="tx1"/>
            </w14:solidFill>
          </w14:textFill>
        </w:rPr>
        <w:t>（三）</w:t>
      </w:r>
      <w:r>
        <w:fldChar w:fldCharType="begin"/>
      </w:r>
      <w:r>
        <w:instrText xml:space="preserve"> HYPERLINK \l "_Toc72612594" </w:instrText>
      </w:r>
      <w:r>
        <w:fldChar w:fldCharType="separate"/>
      </w:r>
      <w:r>
        <w:rPr>
          <w:rStyle w:val="27"/>
          <w:rFonts w:hint="eastAsia"/>
          <w:color w:val="000000" w:themeColor="text1"/>
          <w:u w:val="none"/>
          <w14:textFill>
            <w14:solidFill>
              <w14:schemeClr w14:val="tx1"/>
            </w14:solidFill>
          </w14:textFill>
        </w:rPr>
        <w:t>标准的主要工作过程</w:t>
      </w:r>
      <w:r>
        <w:tab/>
      </w:r>
      <w:r>
        <w:rPr>
          <w:rFonts w:hint="eastAsia"/>
        </w:rPr>
        <w:t>5</w:t>
      </w:r>
      <w:r>
        <w:rPr>
          <w:rFonts w:hint="eastAsia"/>
        </w:rPr>
        <w:fldChar w:fldCharType="end"/>
      </w:r>
    </w:p>
    <w:p>
      <w:pPr>
        <w:pStyle w:val="13"/>
        <w:spacing w:line="360" w:lineRule="auto"/>
        <w:rPr>
          <w:kern w:val="2"/>
          <w:sz w:val="21"/>
        </w:rPr>
      </w:pPr>
      <w:r>
        <w:fldChar w:fldCharType="begin"/>
      </w:r>
      <w:r>
        <w:instrText xml:space="preserve"> HYPERLINK \l "_Toc72612595" </w:instrText>
      </w:r>
      <w:r>
        <w:fldChar w:fldCharType="separate"/>
      </w:r>
      <w:r>
        <w:rPr>
          <w:rStyle w:val="27"/>
          <w:color w:val="000000" w:themeColor="text1"/>
          <w:u w:val="none"/>
          <w14:textFill>
            <w14:solidFill>
              <w14:schemeClr w14:val="tx1"/>
            </w14:solidFill>
          </w14:textFill>
        </w:rPr>
        <w:t>1</w:t>
      </w:r>
      <w:r>
        <w:rPr>
          <w:rStyle w:val="27"/>
          <w:rFonts w:hint="eastAsia"/>
          <w:color w:val="000000" w:themeColor="text1"/>
          <w:u w:val="none"/>
          <w14:textFill>
            <w14:solidFill>
              <w14:schemeClr w14:val="tx1"/>
            </w14:solidFill>
          </w14:textFill>
        </w:rPr>
        <w:t>.组建团队</w:t>
      </w:r>
      <w:r>
        <w:tab/>
      </w:r>
      <w:r>
        <w:fldChar w:fldCharType="end"/>
      </w:r>
      <w:r>
        <w:rPr>
          <w:rFonts w:hint="eastAsia"/>
        </w:rPr>
        <w:t>5</w:t>
      </w:r>
    </w:p>
    <w:p>
      <w:pPr>
        <w:pStyle w:val="13"/>
        <w:spacing w:line="360" w:lineRule="auto"/>
        <w:rPr>
          <w:kern w:val="2"/>
          <w:sz w:val="21"/>
        </w:rPr>
      </w:pPr>
      <w:r>
        <w:fldChar w:fldCharType="begin"/>
      </w:r>
      <w:r>
        <w:instrText xml:space="preserve"> HYPERLINK \l "_Toc72612595" </w:instrText>
      </w:r>
      <w:r>
        <w:fldChar w:fldCharType="separate"/>
      </w:r>
      <w:r>
        <w:rPr>
          <w:rStyle w:val="27"/>
          <w:rFonts w:hint="eastAsia"/>
          <w:color w:val="000000" w:themeColor="text1"/>
          <w:u w:val="none"/>
          <w14:textFill>
            <w14:solidFill>
              <w14:schemeClr w14:val="tx1"/>
            </w14:solidFill>
          </w14:textFill>
        </w:rPr>
        <w:t>2.收集、查阅、整理相关资料</w:t>
      </w:r>
      <w:r>
        <w:tab/>
      </w:r>
      <w:r>
        <w:rPr>
          <w:rFonts w:hint="eastAsia"/>
        </w:rPr>
        <w:t>5</w:t>
      </w:r>
      <w:r>
        <w:rPr>
          <w:rFonts w:hint="eastAsia"/>
        </w:rPr>
        <w:fldChar w:fldCharType="end"/>
      </w:r>
    </w:p>
    <w:p>
      <w:pPr>
        <w:pStyle w:val="13"/>
        <w:spacing w:line="360" w:lineRule="auto"/>
      </w:pPr>
      <w:r>
        <w:fldChar w:fldCharType="begin"/>
      </w:r>
      <w:r>
        <w:instrText xml:space="preserve"> HYPERLINK \l "_Toc72612595" </w:instrText>
      </w:r>
      <w:r>
        <w:fldChar w:fldCharType="separate"/>
      </w:r>
      <w:r>
        <w:rPr>
          <w:rStyle w:val="27"/>
          <w:rFonts w:hint="eastAsia"/>
          <w:color w:val="000000" w:themeColor="text1"/>
          <w:u w:val="none"/>
          <w14:textFill>
            <w14:solidFill>
              <w14:schemeClr w14:val="tx1"/>
            </w14:solidFill>
          </w14:textFill>
        </w:rPr>
        <w:t>3.调查数据统计分析</w:t>
      </w:r>
      <w:r>
        <w:tab/>
      </w:r>
      <w:r>
        <w:rPr>
          <w:rFonts w:hint="eastAsia"/>
        </w:rPr>
        <w:t>6</w:t>
      </w:r>
      <w:r>
        <w:rPr>
          <w:rFonts w:hint="eastAsia"/>
        </w:rPr>
        <w:fldChar w:fldCharType="end"/>
      </w:r>
    </w:p>
    <w:p>
      <w:pPr>
        <w:pStyle w:val="13"/>
        <w:spacing w:line="360" w:lineRule="auto"/>
        <w:rPr>
          <w:kern w:val="2"/>
          <w:sz w:val="21"/>
        </w:rPr>
      </w:pPr>
      <w:r>
        <w:fldChar w:fldCharType="begin"/>
      </w:r>
      <w:r>
        <w:instrText xml:space="preserve"> HYPERLINK \l "_Toc72612595" </w:instrText>
      </w:r>
      <w:r>
        <w:fldChar w:fldCharType="separate"/>
      </w:r>
      <w:r>
        <w:rPr>
          <w:rStyle w:val="27"/>
          <w:rFonts w:hint="eastAsia"/>
          <w:color w:val="000000" w:themeColor="text1"/>
          <w:u w:val="none"/>
          <w14:textFill>
            <w14:solidFill>
              <w14:schemeClr w14:val="tx1"/>
            </w14:solidFill>
          </w14:textFill>
        </w:rPr>
        <w:t>4.标准初稿形成</w:t>
      </w:r>
      <w:r>
        <w:tab/>
      </w:r>
      <w:r>
        <w:rPr>
          <w:rFonts w:hint="eastAsia"/>
        </w:rPr>
        <w:t>7</w:t>
      </w:r>
      <w:r>
        <w:rPr>
          <w:rFonts w:hint="eastAsia"/>
        </w:rPr>
        <w:fldChar w:fldCharType="end"/>
      </w:r>
    </w:p>
    <w:p>
      <w:pPr>
        <w:pStyle w:val="13"/>
        <w:spacing w:line="360" w:lineRule="auto"/>
      </w:pPr>
      <w:r>
        <w:fldChar w:fldCharType="begin"/>
      </w:r>
      <w:r>
        <w:instrText xml:space="preserve"> HYPERLINK \l "_Toc72612595" </w:instrText>
      </w:r>
      <w:r>
        <w:fldChar w:fldCharType="separate"/>
      </w:r>
      <w:r>
        <w:rPr>
          <w:rStyle w:val="27"/>
          <w:rFonts w:hint="eastAsia"/>
          <w:color w:val="000000" w:themeColor="text1"/>
          <w:u w:val="none"/>
          <w14:textFill>
            <w14:solidFill>
              <w14:schemeClr w14:val="tx1"/>
            </w14:solidFill>
          </w14:textFill>
        </w:rPr>
        <w:t>5.形成征求意见稿</w:t>
      </w:r>
      <w:r>
        <w:tab/>
      </w:r>
      <w:r>
        <w:rPr>
          <w:rFonts w:hint="eastAsia"/>
        </w:rPr>
        <w:t>1</w:t>
      </w:r>
      <w:r>
        <w:rPr>
          <w:rFonts w:hint="eastAsia"/>
        </w:rPr>
        <w:fldChar w:fldCharType="end"/>
      </w:r>
      <w:r>
        <w:rPr>
          <w:rFonts w:hint="eastAsia"/>
        </w:rPr>
        <w:t>0</w:t>
      </w:r>
    </w:p>
    <w:p>
      <w:pPr>
        <w:pStyle w:val="13"/>
        <w:spacing w:line="360" w:lineRule="auto"/>
        <w:rPr>
          <w:rStyle w:val="27"/>
        </w:rPr>
      </w:pPr>
      <w:r>
        <w:fldChar w:fldCharType="begin"/>
      </w:r>
      <w:r>
        <w:instrText xml:space="preserve"> HYPERLINK \l "_Toc72612595" </w:instrText>
      </w:r>
      <w:r>
        <w:fldChar w:fldCharType="separate"/>
      </w:r>
      <w:r>
        <w:rPr>
          <w:rStyle w:val="27"/>
          <w:color w:val="000000" w:themeColor="text1"/>
          <w:u w:val="none"/>
          <w14:textFill>
            <w14:solidFill>
              <w14:schemeClr w14:val="tx1"/>
            </w14:solidFill>
          </w14:textFill>
        </w:rPr>
        <w:t>6</w:t>
      </w:r>
      <w:r>
        <w:rPr>
          <w:rStyle w:val="27"/>
          <w:rFonts w:hint="eastAsia"/>
          <w:color w:val="000000" w:themeColor="text1"/>
          <w:u w:val="none"/>
          <w14:textFill>
            <w14:solidFill>
              <w14:schemeClr w14:val="tx1"/>
            </w14:solidFill>
          </w14:textFill>
        </w:rPr>
        <w:t>.撰写编制说明书</w:t>
      </w:r>
      <w:r>
        <w:tab/>
      </w:r>
      <w:r>
        <w:rPr>
          <w:rFonts w:hint="eastAsia"/>
        </w:rPr>
        <w:t>1</w:t>
      </w:r>
      <w:r>
        <w:rPr>
          <w:rFonts w:hint="eastAsia"/>
        </w:rPr>
        <w:fldChar w:fldCharType="end"/>
      </w:r>
      <w:r>
        <w:rPr>
          <w:rFonts w:hint="eastAsia"/>
        </w:rPr>
        <w:t>1</w:t>
      </w:r>
    </w:p>
    <w:p>
      <w:pPr>
        <w:pStyle w:val="11"/>
        <w:spacing w:line="360" w:lineRule="auto"/>
        <w:rPr>
          <w:kern w:val="2"/>
          <w:sz w:val="21"/>
        </w:rPr>
      </w:pPr>
      <w:r>
        <w:fldChar w:fldCharType="begin"/>
      </w:r>
      <w:r>
        <w:instrText xml:space="preserve"> HYPERLINK \l "_Toc72612597" </w:instrText>
      </w:r>
      <w:r>
        <w:fldChar w:fldCharType="separate"/>
      </w:r>
      <w:r>
        <w:rPr>
          <w:rStyle w:val="27"/>
          <w:rFonts w:hint="eastAsia"/>
          <w:color w:val="000000" w:themeColor="text1"/>
          <w:u w:val="none"/>
          <w14:textFill>
            <w14:solidFill>
              <w14:schemeClr w14:val="tx1"/>
            </w14:solidFill>
          </w14:textFill>
        </w:rPr>
        <w:t>二、标准格式编制依据</w:t>
      </w:r>
      <w:r>
        <w:tab/>
      </w:r>
      <w:r>
        <w:fldChar w:fldCharType="begin"/>
      </w:r>
      <w:r>
        <w:instrText xml:space="preserve"> PAGEREF _Toc72612597 \h </w:instrText>
      </w:r>
      <w:r>
        <w:fldChar w:fldCharType="separate"/>
      </w:r>
      <w:r>
        <w:t>11</w:t>
      </w:r>
      <w:r>
        <w:fldChar w:fldCharType="end"/>
      </w:r>
      <w:r>
        <w:fldChar w:fldCharType="end"/>
      </w:r>
    </w:p>
    <w:p>
      <w:pPr>
        <w:pStyle w:val="13"/>
        <w:spacing w:line="360" w:lineRule="auto"/>
        <w:rPr>
          <w:kern w:val="2"/>
          <w:sz w:val="21"/>
        </w:rPr>
      </w:pPr>
      <w:r>
        <w:fldChar w:fldCharType="begin"/>
      </w:r>
      <w:r>
        <w:instrText xml:space="preserve"> HYPERLINK \l "_Toc72612598" </w:instrText>
      </w:r>
      <w:r>
        <w:fldChar w:fldCharType="separate"/>
      </w:r>
      <w:r>
        <w:rPr>
          <w:rStyle w:val="27"/>
          <w:rFonts w:hint="eastAsia"/>
          <w:color w:val="000000" w:themeColor="text1"/>
          <w:u w:val="none"/>
          <w14:textFill>
            <w14:solidFill>
              <w14:schemeClr w14:val="tx1"/>
            </w14:solidFill>
          </w14:textFill>
        </w:rPr>
        <w:t>1.编制原则</w:t>
      </w:r>
      <w:r>
        <w:tab/>
      </w:r>
      <w:r>
        <w:fldChar w:fldCharType="begin"/>
      </w:r>
      <w:r>
        <w:instrText xml:space="preserve"> PAGEREF _Toc72612598 \h </w:instrText>
      </w:r>
      <w:r>
        <w:fldChar w:fldCharType="separate"/>
      </w:r>
      <w:r>
        <w:t>11</w:t>
      </w:r>
      <w:r>
        <w:fldChar w:fldCharType="end"/>
      </w:r>
      <w:r>
        <w:fldChar w:fldCharType="end"/>
      </w:r>
    </w:p>
    <w:p>
      <w:pPr>
        <w:pStyle w:val="13"/>
        <w:spacing w:line="360" w:lineRule="auto"/>
        <w:rPr>
          <w:kern w:val="2"/>
          <w:sz w:val="21"/>
        </w:rPr>
      </w:pPr>
      <w:r>
        <w:fldChar w:fldCharType="begin"/>
      </w:r>
      <w:r>
        <w:instrText xml:space="preserve"> HYPERLINK \l "_Toc72612599" </w:instrText>
      </w:r>
      <w:r>
        <w:fldChar w:fldCharType="separate"/>
      </w:r>
      <w:r>
        <w:rPr>
          <w:rStyle w:val="27"/>
          <w:rFonts w:hint="eastAsia"/>
          <w:color w:val="000000" w:themeColor="text1"/>
          <w:u w:val="none"/>
          <w14:textFill>
            <w14:solidFill>
              <w14:schemeClr w14:val="tx1"/>
            </w14:solidFill>
          </w14:textFill>
        </w:rPr>
        <w:t>2.与现行法律、法规、标准的关系</w:t>
      </w:r>
      <w:r>
        <w:tab/>
      </w:r>
      <w:r>
        <w:rPr>
          <w:rFonts w:hint="eastAsia"/>
        </w:rPr>
        <w:t>1</w:t>
      </w:r>
      <w:r>
        <w:rPr>
          <w:rFonts w:hint="eastAsia"/>
        </w:rPr>
        <w:fldChar w:fldCharType="end"/>
      </w:r>
      <w:r>
        <w:rPr>
          <w:rFonts w:hint="eastAsia"/>
        </w:rPr>
        <w:t>1</w:t>
      </w:r>
    </w:p>
    <w:p>
      <w:pPr>
        <w:pStyle w:val="13"/>
        <w:spacing w:line="360" w:lineRule="auto"/>
        <w:rPr>
          <w:kern w:val="2"/>
          <w:sz w:val="21"/>
        </w:rPr>
      </w:pPr>
      <w:r>
        <w:fldChar w:fldCharType="begin"/>
      </w:r>
      <w:r>
        <w:instrText xml:space="preserve"> HYPERLINK \l "_Toc72612600" </w:instrText>
      </w:r>
      <w:r>
        <w:fldChar w:fldCharType="separate"/>
      </w:r>
      <w:r>
        <w:rPr>
          <w:rStyle w:val="27"/>
          <w:rFonts w:hint="eastAsia"/>
          <w:color w:val="000000" w:themeColor="text1"/>
          <w:u w:val="none"/>
          <w14:textFill>
            <w14:solidFill>
              <w14:schemeClr w14:val="tx1"/>
            </w14:solidFill>
          </w14:textFill>
        </w:rPr>
        <w:t>3.标准定义及适用范围</w:t>
      </w:r>
      <w:r>
        <w:tab/>
      </w:r>
      <w:r>
        <w:rPr>
          <w:rFonts w:hint="eastAsia"/>
        </w:rPr>
        <w:t>1</w:t>
      </w:r>
      <w:r>
        <w:rPr>
          <w:rFonts w:hint="eastAsia"/>
        </w:rPr>
        <w:fldChar w:fldCharType="end"/>
      </w:r>
      <w:r>
        <w:rPr>
          <w:rFonts w:hint="eastAsia"/>
        </w:rPr>
        <w:t>1</w:t>
      </w:r>
    </w:p>
    <w:p>
      <w:pPr>
        <w:pStyle w:val="13"/>
        <w:spacing w:line="360" w:lineRule="auto"/>
        <w:rPr>
          <w:kern w:val="2"/>
          <w:sz w:val="21"/>
        </w:rPr>
      </w:pPr>
      <w:r>
        <w:fldChar w:fldCharType="begin"/>
      </w:r>
      <w:r>
        <w:instrText xml:space="preserve"> HYPERLINK \l "_Toc72612601" </w:instrText>
      </w:r>
      <w:r>
        <w:fldChar w:fldCharType="separate"/>
      </w:r>
      <w:r>
        <w:rPr>
          <w:rStyle w:val="27"/>
          <w:rFonts w:hint="eastAsia"/>
          <w:color w:val="000000" w:themeColor="text1"/>
          <w:u w:val="none"/>
          <w14:textFill>
            <w14:solidFill>
              <w14:schemeClr w14:val="tx1"/>
            </w14:solidFill>
          </w14:textFill>
        </w:rPr>
        <w:t>4.标准技术要求</w:t>
      </w:r>
      <w:r>
        <w:tab/>
      </w:r>
      <w:r>
        <w:rPr>
          <w:rFonts w:hint="eastAsia"/>
        </w:rPr>
        <w:t>1</w:t>
      </w:r>
      <w:r>
        <w:rPr>
          <w:rFonts w:hint="eastAsia"/>
        </w:rPr>
        <w:fldChar w:fldCharType="end"/>
      </w:r>
      <w:r>
        <w:rPr>
          <w:rFonts w:hint="eastAsia"/>
        </w:rPr>
        <w:t>1</w:t>
      </w:r>
    </w:p>
    <w:p>
      <w:pPr>
        <w:pStyle w:val="11"/>
        <w:spacing w:line="360" w:lineRule="auto"/>
        <w:rPr>
          <w:rStyle w:val="27"/>
        </w:rPr>
      </w:pPr>
      <w:r>
        <w:fldChar w:fldCharType="begin"/>
      </w:r>
      <w:r>
        <w:instrText xml:space="preserve"> HYPERLINK \l "_Toc72612603" </w:instrText>
      </w:r>
      <w:r>
        <w:fldChar w:fldCharType="separate"/>
      </w:r>
      <w:r>
        <w:rPr>
          <w:rStyle w:val="27"/>
          <w:rFonts w:hint="eastAsia"/>
          <w:color w:val="000000" w:themeColor="text1"/>
          <w:u w:val="none"/>
          <w14:textFill>
            <w14:solidFill>
              <w14:schemeClr w14:val="tx1"/>
            </w14:solidFill>
          </w14:textFill>
        </w:rPr>
        <w:t>三、主要实验的分析、论证、效果</w:t>
      </w:r>
      <w:r>
        <w:tab/>
      </w:r>
      <w:r>
        <w:rPr>
          <w:rFonts w:hint="eastAsia"/>
        </w:rPr>
        <w:t>1</w:t>
      </w:r>
      <w:r>
        <w:rPr>
          <w:rFonts w:hint="eastAsia"/>
        </w:rPr>
        <w:fldChar w:fldCharType="end"/>
      </w:r>
      <w:r>
        <w:rPr>
          <w:rFonts w:hint="eastAsia"/>
        </w:rPr>
        <w:t>2</w:t>
      </w:r>
    </w:p>
    <w:p>
      <w:pPr>
        <w:pStyle w:val="11"/>
        <w:spacing w:line="360" w:lineRule="auto"/>
        <w:rPr>
          <w:rStyle w:val="27"/>
        </w:rPr>
      </w:pPr>
      <w:r>
        <w:fldChar w:fldCharType="begin"/>
      </w:r>
      <w:r>
        <w:instrText xml:space="preserve"> HYPERLINK \l "_Toc72612603" </w:instrText>
      </w:r>
      <w:r>
        <w:fldChar w:fldCharType="separate"/>
      </w:r>
      <w:r>
        <w:rPr>
          <w:rStyle w:val="27"/>
          <w:rFonts w:hint="eastAsia"/>
          <w:color w:val="000000" w:themeColor="text1"/>
          <w:u w:val="none"/>
          <w14:textFill>
            <w14:solidFill>
              <w14:schemeClr w14:val="tx1"/>
            </w14:solidFill>
          </w14:textFill>
        </w:rPr>
        <w:t>四、</w:t>
      </w:r>
      <w:r>
        <w:t>标准涉及的相关知识产权情况</w:t>
      </w:r>
      <w:r>
        <w:tab/>
      </w:r>
      <w:r>
        <w:rPr>
          <w:rFonts w:hint="eastAsia"/>
        </w:rPr>
        <w:t>1</w:t>
      </w:r>
      <w:r>
        <w:rPr>
          <w:rFonts w:hint="eastAsia"/>
        </w:rPr>
        <w:fldChar w:fldCharType="end"/>
      </w:r>
      <w:r>
        <w:rPr>
          <w:rFonts w:hint="eastAsia"/>
        </w:rPr>
        <w:t>2</w:t>
      </w:r>
    </w:p>
    <w:p>
      <w:pPr>
        <w:pStyle w:val="11"/>
        <w:spacing w:line="360" w:lineRule="auto"/>
        <w:rPr>
          <w:rStyle w:val="27"/>
        </w:rPr>
      </w:pPr>
      <w:r>
        <w:fldChar w:fldCharType="begin"/>
      </w:r>
      <w:r>
        <w:instrText xml:space="preserve"> HYPERLINK \l "_Toc72612603" </w:instrText>
      </w:r>
      <w:r>
        <w:fldChar w:fldCharType="separate"/>
      </w:r>
      <w:r>
        <w:rPr>
          <w:rStyle w:val="27"/>
          <w:rFonts w:hint="eastAsia"/>
          <w:color w:val="000000" w:themeColor="text1"/>
          <w:u w:val="none"/>
          <w14:textFill>
            <w14:solidFill>
              <w14:schemeClr w14:val="tx1"/>
            </w14:solidFill>
          </w14:textFill>
        </w:rPr>
        <w:t>五、</w:t>
      </w:r>
      <w:r>
        <w:t>重大分歧意见的处理经过和依据</w:t>
      </w:r>
      <w:r>
        <w:tab/>
      </w:r>
      <w:r>
        <w:rPr>
          <w:rFonts w:hint="eastAsia"/>
        </w:rPr>
        <w:t>1</w:t>
      </w:r>
      <w:r>
        <w:rPr>
          <w:rFonts w:hint="eastAsia"/>
        </w:rPr>
        <w:fldChar w:fldCharType="end"/>
      </w:r>
      <w:r>
        <w:rPr>
          <w:rFonts w:hint="eastAsia"/>
        </w:rPr>
        <w:t>2</w:t>
      </w:r>
    </w:p>
    <w:p>
      <w:pPr>
        <w:pStyle w:val="11"/>
        <w:spacing w:line="360" w:lineRule="auto"/>
      </w:pPr>
      <w:r>
        <w:fldChar w:fldCharType="begin"/>
      </w:r>
      <w:r>
        <w:instrText xml:space="preserve"> HYPERLINK \l "_Toc72612603" </w:instrText>
      </w:r>
      <w:r>
        <w:fldChar w:fldCharType="separate"/>
      </w:r>
      <w:r>
        <w:rPr>
          <w:rStyle w:val="27"/>
          <w:rFonts w:hint="eastAsia"/>
          <w:color w:val="000000" w:themeColor="text1"/>
          <w:u w:val="none"/>
          <w14:textFill>
            <w14:solidFill>
              <w14:schemeClr w14:val="tx1"/>
            </w14:solidFill>
          </w14:textFill>
        </w:rPr>
        <w:t>六、</w:t>
      </w:r>
      <w:r>
        <w:t>其它应予说明的事项</w:t>
      </w:r>
      <w:r>
        <w:tab/>
      </w:r>
      <w:r>
        <w:rPr>
          <w:rFonts w:hint="eastAsia"/>
        </w:rPr>
        <w:t>1</w:t>
      </w:r>
      <w:r>
        <w:rPr>
          <w:rFonts w:hint="eastAsia"/>
        </w:rPr>
        <w:fldChar w:fldCharType="end"/>
      </w:r>
      <w:r>
        <w:rPr>
          <w:rFonts w:hint="eastAsia"/>
        </w:rPr>
        <w:t>2</w:t>
      </w:r>
    </w:p>
    <w:p>
      <w:pPr>
        <w:widowControl w:val="0"/>
        <w:adjustRightInd/>
        <w:snapToGrid/>
        <w:spacing w:before="43" w:after="0" w:line="360" w:lineRule="auto"/>
        <w:ind w:right="1214"/>
        <w:rPr>
          <w:rFonts w:ascii="黑体" w:eastAsia="黑体" w:hAnsiTheme="minorHAnsi"/>
          <w:kern w:val="2"/>
          <w:sz w:val="32"/>
          <w:szCs w:val="24"/>
        </w:rPr>
      </w:pPr>
    </w:p>
    <w:p>
      <w:pPr>
        <w:spacing w:line="360" w:lineRule="auto"/>
        <w:rPr>
          <w:rFonts w:ascii="黑体" w:eastAsia="黑体" w:hAnsiTheme="minorHAnsi"/>
          <w:kern w:val="2"/>
          <w:sz w:val="32"/>
          <w:szCs w:val="24"/>
        </w:rPr>
      </w:pPr>
      <w:r>
        <w:rPr>
          <w:rFonts w:hint="eastAsia" w:ascii="黑体" w:eastAsia="黑体" w:hAnsiTheme="minorHAnsi"/>
          <w:kern w:val="2"/>
          <w:sz w:val="32"/>
          <w:szCs w:val="24"/>
        </w:rPr>
        <w:br w:type="page"/>
      </w:r>
    </w:p>
    <w:p>
      <w:pPr>
        <w:widowControl w:val="0"/>
        <w:adjustRightInd/>
        <w:snapToGrid/>
        <w:spacing w:before="43" w:after="0" w:line="360" w:lineRule="auto"/>
        <w:ind w:right="1214"/>
        <w:jc w:val="both"/>
        <w:rPr>
          <w:rFonts w:ascii="黑体" w:eastAsia="黑体" w:hAnsiTheme="minorHAnsi"/>
          <w:kern w:val="2"/>
          <w:sz w:val="32"/>
          <w:szCs w:val="24"/>
        </w:rPr>
      </w:pPr>
    </w:p>
    <w:p>
      <w:pPr>
        <w:widowControl w:val="0"/>
        <w:adjustRightInd/>
        <w:snapToGrid/>
        <w:spacing w:before="43" w:after="0" w:line="360" w:lineRule="auto"/>
        <w:ind w:left="1196" w:right="1214"/>
        <w:jc w:val="center"/>
        <w:rPr>
          <w:rFonts w:ascii="黑体" w:eastAsia="黑体" w:hAnsiTheme="minorHAnsi"/>
          <w:kern w:val="2"/>
          <w:sz w:val="32"/>
          <w:szCs w:val="24"/>
        </w:rPr>
      </w:pPr>
      <w:r>
        <w:rPr>
          <w:rFonts w:hint="eastAsia" w:ascii="黑体" w:eastAsia="黑体" w:hAnsiTheme="minorHAnsi"/>
          <w:kern w:val="2"/>
          <w:sz w:val="32"/>
          <w:szCs w:val="24"/>
        </w:rPr>
        <w:t>安宁疗护舒适照护基本规范</w:t>
      </w:r>
    </w:p>
    <w:p>
      <w:pPr>
        <w:widowControl w:val="0"/>
        <w:adjustRightInd/>
        <w:snapToGrid/>
        <w:spacing w:before="43" w:after="0" w:line="360" w:lineRule="auto"/>
        <w:ind w:left="1196" w:right="1214"/>
        <w:jc w:val="center"/>
        <w:rPr>
          <w:rFonts w:ascii="黑体" w:eastAsia="黑体" w:hAnsiTheme="minorHAnsi"/>
          <w:kern w:val="2"/>
          <w:sz w:val="32"/>
          <w:szCs w:val="24"/>
        </w:rPr>
      </w:pPr>
      <w:r>
        <w:rPr>
          <w:rFonts w:hint="eastAsia" w:ascii="黑体" w:eastAsia="黑体" w:hAnsiTheme="minorHAnsi"/>
          <w:kern w:val="2"/>
          <w:sz w:val="32"/>
          <w:szCs w:val="24"/>
        </w:rPr>
        <w:t>编制说明</w:t>
      </w:r>
    </w:p>
    <w:p>
      <w:pPr>
        <w:pStyle w:val="2"/>
        <w:spacing w:before="194" w:line="360" w:lineRule="auto"/>
        <w:ind w:left="0" w:firstLine="562" w:firstLineChars="200"/>
      </w:pPr>
      <w:r>
        <w:t>一、标准起草的基本情况</w:t>
      </w:r>
    </w:p>
    <w:p>
      <w:pPr>
        <w:widowControl w:val="0"/>
        <w:adjustRightInd/>
        <w:snapToGrid/>
        <w:spacing w:before="206" w:after="0" w:line="360" w:lineRule="auto"/>
        <w:ind w:firstLine="422" w:firstLineChars="150"/>
        <w:jc w:val="both"/>
        <w:rPr>
          <w:rFonts w:asciiTheme="minorHAnsi" w:hAnsiTheme="minorHAnsi" w:eastAsiaTheme="minorEastAsia"/>
          <w:b/>
          <w:kern w:val="2"/>
          <w:sz w:val="28"/>
          <w:szCs w:val="24"/>
        </w:rPr>
      </w:pPr>
      <w:r>
        <w:rPr>
          <w:rFonts w:asciiTheme="minorHAnsi" w:hAnsiTheme="minorHAnsi" w:eastAsiaTheme="minorEastAsia"/>
          <w:b/>
          <w:kern w:val="2"/>
          <w:sz w:val="28"/>
          <w:szCs w:val="24"/>
        </w:rPr>
        <w:t>（一）任务来源、起草单位、起草人</w:t>
      </w:r>
    </w:p>
    <w:p>
      <w:pPr>
        <w:pStyle w:val="6"/>
        <w:spacing w:before="204" w:line="360" w:lineRule="auto"/>
        <w:ind w:left="0" w:right="438" w:firstLine="562" w:firstLineChars="200"/>
        <w:jc w:val="left"/>
        <w:rPr>
          <w:rFonts w:ascii="Times New Roman" w:hAnsi="Times New Roman" w:cs="Times New Roman"/>
          <w:spacing w:val="-11"/>
        </w:rPr>
      </w:pPr>
      <w:r>
        <w:rPr>
          <w:rFonts w:ascii="Times New Roman" w:hAnsi="Times New Roman" w:cs="Times New Roman"/>
          <w:b/>
        </w:rPr>
        <w:t>1.任务来源：</w:t>
      </w:r>
      <w:r>
        <w:rPr>
          <w:rFonts w:ascii="Times New Roman" w:hAnsi="Times New Roman" w:cs="Times New Roman"/>
          <w:spacing w:val="-11"/>
        </w:rPr>
        <w:t>为进一步贯彻落实《标准化法》、《贯彻实施〈深化标准化工作改革方案〉重点任务分工（2019-2020 年）》等文件要求，贯彻省委、省政府重要决策部署，推动我省安宁疗护事业标准化建设，由湖南省肿瘤医院牵头向湖南省市场监督管理局申报制订《安宁疗护</w:t>
      </w:r>
      <w:r>
        <w:rPr>
          <w:rFonts w:hint="eastAsia" w:ascii="Times New Roman" w:hAnsi="Times New Roman" w:cs="Times New Roman"/>
          <w:spacing w:val="-11"/>
        </w:rPr>
        <w:t>舒适照护基本</w:t>
      </w:r>
      <w:r>
        <w:rPr>
          <w:rFonts w:ascii="Times New Roman" w:hAnsi="Times New Roman" w:cs="Times New Roman"/>
          <w:spacing w:val="-11"/>
        </w:rPr>
        <w:t>规范》地方标准，经湖南省市场监督管理局评审同意立项。根据湖南省市场监督管理局 （湘市监标函﹝202</w:t>
      </w:r>
      <w:r>
        <w:rPr>
          <w:rFonts w:hint="eastAsia" w:ascii="Times New Roman" w:hAnsi="Times New Roman" w:cs="Times New Roman"/>
          <w:spacing w:val="-11"/>
          <w:lang w:val="en-US" w:eastAsia="zh-CN"/>
        </w:rPr>
        <w:t>2</w:t>
      </w:r>
      <w:r>
        <w:rPr>
          <w:rFonts w:ascii="Times New Roman" w:hAnsi="Times New Roman" w:cs="Times New Roman"/>
          <w:spacing w:val="-11"/>
        </w:rPr>
        <w:t>﹞</w:t>
      </w:r>
      <w:r>
        <w:rPr>
          <w:rFonts w:hint="eastAsia" w:ascii="Times New Roman" w:hAnsi="Times New Roman" w:cs="Times New Roman"/>
          <w:spacing w:val="-11"/>
          <w:lang w:val="en-US" w:eastAsia="zh-CN"/>
        </w:rPr>
        <w:t>4</w:t>
      </w:r>
      <w:r>
        <w:rPr>
          <w:rFonts w:ascii="Times New Roman" w:hAnsi="Times New Roman" w:cs="Times New Roman"/>
          <w:spacing w:val="-11"/>
        </w:rPr>
        <w:t xml:space="preserve"> 号）《关于下达202</w:t>
      </w:r>
      <w:r>
        <w:rPr>
          <w:rFonts w:hint="eastAsia" w:ascii="Times New Roman" w:hAnsi="Times New Roman" w:cs="Times New Roman"/>
          <w:spacing w:val="-11"/>
          <w:lang w:val="en-US" w:eastAsia="zh-CN"/>
        </w:rPr>
        <w:t>2</w:t>
      </w:r>
      <w:r>
        <w:rPr>
          <w:rFonts w:ascii="Times New Roman" w:hAnsi="Times New Roman" w:cs="Times New Roman"/>
          <w:spacing w:val="-11"/>
        </w:rPr>
        <w:t>年</w:t>
      </w:r>
      <w:r>
        <w:rPr>
          <w:rFonts w:hint="eastAsia" w:ascii="Times New Roman" w:hAnsi="Times New Roman" w:cs="Times New Roman"/>
          <w:spacing w:val="-11"/>
          <w:lang w:eastAsia="zh-CN"/>
        </w:rPr>
        <w:t>第一批</w:t>
      </w:r>
      <w:r>
        <w:rPr>
          <w:rFonts w:ascii="Times New Roman" w:hAnsi="Times New Roman" w:cs="Times New Roman"/>
          <w:spacing w:val="-11"/>
        </w:rPr>
        <w:t>地方标准</w:t>
      </w:r>
      <w:r>
        <w:rPr>
          <w:rFonts w:hint="eastAsia" w:ascii="Times New Roman" w:hAnsi="Times New Roman" w:cs="Times New Roman"/>
          <w:spacing w:val="-11"/>
          <w:lang w:eastAsia="zh-CN"/>
        </w:rPr>
        <w:t>制</w:t>
      </w:r>
      <w:r>
        <w:rPr>
          <w:rFonts w:ascii="Times New Roman" w:hAnsi="Times New Roman" w:cs="Times New Roman"/>
          <w:spacing w:val="-11"/>
        </w:rPr>
        <w:t>修订项目计划的通知》</w:t>
      </w:r>
      <w:r>
        <w:rPr>
          <w:rFonts w:hint="eastAsia" w:ascii="Times New Roman" w:hAnsi="Times New Roman" w:cs="Times New Roman"/>
          <w:spacing w:val="-11"/>
          <w:lang w:val="en-US" w:eastAsia="zh-CN"/>
        </w:rPr>
        <w:t xml:space="preserve"> </w:t>
      </w:r>
      <w:r>
        <w:rPr>
          <w:rFonts w:ascii="Times New Roman" w:hAnsi="Times New Roman" w:cs="Times New Roman"/>
          <w:spacing w:val="-11"/>
        </w:rPr>
        <w:t>的要求，编制本标准</w:t>
      </w:r>
      <w:r>
        <w:rPr>
          <w:rFonts w:hint="eastAsia" w:ascii="Times New Roman" w:hAnsi="Times New Roman" w:cs="Times New Roman"/>
          <w:spacing w:val="-11"/>
          <w:lang w:eastAsia="zh-CN"/>
        </w:rPr>
        <w:t>。</w:t>
      </w:r>
    </w:p>
    <w:p>
      <w:pPr>
        <w:pStyle w:val="6"/>
        <w:spacing w:before="204" w:line="360" w:lineRule="auto"/>
        <w:ind w:left="0" w:right="438" w:firstLine="518" w:firstLineChars="200"/>
        <w:jc w:val="left"/>
        <w:rPr>
          <w:rFonts w:ascii="Times New Roman" w:hAnsi="Times New Roman" w:cs="Times New Roman"/>
          <w:spacing w:val="-11"/>
        </w:rPr>
      </w:pPr>
      <w:r>
        <w:rPr>
          <w:rFonts w:ascii="Times New Roman" w:hAnsi="Times New Roman" w:cs="Times New Roman"/>
          <w:b/>
          <w:bCs/>
          <w:spacing w:val="-11"/>
        </w:rPr>
        <w:t>2</w:t>
      </w:r>
      <w:r>
        <w:rPr>
          <w:rFonts w:hint="eastAsia" w:ascii="Times New Roman" w:hAnsi="Times New Roman" w:cs="Times New Roman"/>
          <w:b/>
          <w:bCs/>
          <w:spacing w:val="-11"/>
        </w:rPr>
        <w:t>.</w:t>
      </w:r>
      <w:r>
        <w:rPr>
          <w:rFonts w:ascii="Times New Roman" w:hAnsi="Times New Roman" w:cs="Times New Roman"/>
          <w:b/>
          <w:bCs/>
          <w:spacing w:val="-11"/>
        </w:rPr>
        <w:t>起草单位：</w:t>
      </w:r>
      <w:r>
        <w:rPr>
          <w:rFonts w:ascii="Times New Roman" w:hAnsi="Times New Roman" w:cs="Times New Roman"/>
          <w:spacing w:val="-11"/>
        </w:rPr>
        <w:t>本</w:t>
      </w:r>
      <w:r>
        <w:rPr>
          <w:rFonts w:hint="eastAsia" w:ascii="Times New Roman" w:hAnsi="Times New Roman" w:cs="Times New Roman"/>
          <w:spacing w:val="-11"/>
        </w:rPr>
        <w:t>文件</w:t>
      </w:r>
      <w:r>
        <w:rPr>
          <w:rFonts w:ascii="Times New Roman" w:hAnsi="Times New Roman" w:cs="Times New Roman"/>
          <w:spacing w:val="-11"/>
        </w:rPr>
        <w:t>起草单位：</w:t>
      </w:r>
      <w:r>
        <w:rPr>
          <w:rFonts w:hint="eastAsia" w:ascii="Times New Roman" w:hAnsi="Times New Roman" w:cs="Times New Roman"/>
          <w:spacing w:val="-11"/>
        </w:rPr>
        <w:t>湖南省肿瘤医院、湖南省儿童医院、中南大学湘雅医院、中南大学湘雅二医院、湖南省脑科医院、湖南省康复医院、长沙市三医院、常德市第二人民医院、郴州市第一人民医院。</w:t>
      </w:r>
    </w:p>
    <w:p>
      <w:pPr>
        <w:pStyle w:val="6"/>
        <w:spacing w:before="204" w:line="360" w:lineRule="auto"/>
        <w:ind w:left="0" w:right="438" w:firstLine="516" w:firstLineChars="200"/>
        <w:rPr>
          <w:b/>
        </w:rPr>
      </w:pPr>
      <w:r>
        <w:rPr>
          <w:rFonts w:hint="eastAsia" w:ascii="Times New Roman" w:hAnsi="Times New Roman" w:cs="Times New Roman"/>
          <w:spacing w:val="-11"/>
        </w:rPr>
        <w:t xml:space="preserve"> </w:t>
      </w:r>
      <w:r>
        <w:rPr>
          <w:rFonts w:hint="eastAsia"/>
          <w:spacing w:val="-11"/>
        </w:rPr>
        <w:t xml:space="preserve"> </w:t>
      </w:r>
      <w:r>
        <w:rPr>
          <w:rFonts w:hint="eastAsia"/>
          <w:b/>
        </w:rPr>
        <w:t>3.起草人：</w:t>
      </w:r>
    </w:p>
    <w:p>
      <w:pPr>
        <w:pStyle w:val="6"/>
        <w:spacing w:before="204" w:line="360" w:lineRule="auto"/>
        <w:ind w:left="0" w:right="438" w:firstLine="516" w:firstLineChars="200"/>
        <w:jc w:val="left"/>
        <w:sectPr>
          <w:headerReference r:id="rId4" w:type="default"/>
          <w:footerReference r:id="rId5" w:type="default"/>
          <w:pgSz w:w="11910" w:h="16840"/>
          <w:pgMar w:top="1400" w:right="1360" w:bottom="1380" w:left="1380" w:header="0" w:footer="1182" w:gutter="0"/>
          <w:cols w:space="720" w:num="1"/>
        </w:sectPr>
      </w:pPr>
      <w:r>
        <w:rPr>
          <w:spacing w:val="-11"/>
        </w:rPr>
        <w:t>起草人员名单：</w:t>
      </w:r>
      <w:r>
        <w:rPr>
          <w:rFonts w:hint="eastAsia" w:ascii="Times New Roman" w:hAnsi="Times New Roman" w:cs="Times New Roman"/>
          <w:spacing w:val="-11"/>
        </w:rPr>
        <w:t>谌永毅、朱丽辉、李旭英、沈波涌、谢鑑辉、龙艳芳、杨群、吴星辉、李凤辉、喻建芳、谢梅芳、任群峰、颜逸霞、李星凤、张诚诚、郭俊晨、赵海伦、吴东、许亚文。</w:t>
      </w:r>
    </w:p>
    <w:p>
      <w:pPr>
        <w:pStyle w:val="2"/>
        <w:spacing w:before="28" w:line="360" w:lineRule="auto"/>
        <w:ind w:left="0"/>
        <w:rPr>
          <w:sz w:val="13"/>
          <w:szCs w:val="13"/>
        </w:rPr>
      </w:pPr>
      <w:r>
        <w:t>（二）制定标准的目的和意义</w:t>
      </w:r>
    </w:p>
    <w:p>
      <w:pPr>
        <w:pStyle w:val="36"/>
        <w:tabs>
          <w:tab w:val="left" w:pos="1687"/>
        </w:tabs>
        <w:spacing w:line="360" w:lineRule="auto"/>
        <w:ind w:left="0" w:right="431" w:firstLine="300" w:firstLineChars="200"/>
        <w:rPr>
          <w:sz w:val="15"/>
          <w:szCs w:val="15"/>
        </w:rPr>
      </w:pP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随着我国人口老龄化程度持续加重，慢性疾病（包括恶性肿瘤）患病率日益增加，从现实层面对安宁疗护提出了巨大的需求。2017年原国家卫生计生委颁发了安宁疗护的三个指南文件，规范了安宁疗护准入、管理及实践标准，从政策层面大力推动安宁疗护的发展。2019年，中共中央、国务院在《国务院关于实施健康中国行动的意见（国发[2019]13号）》中指出，要加强安宁疗护医疗机构建设，实现全人群、全生命周期的慢性病健康管理。2019年7月，健康中国行动推进委员会发布的《健康中国行动（2019-2030年）》中指出，要加强安宁疗护等接续性医疗机构建设，要加强安宁疗护等接续性医疗机构建设，重视对癌症晚期患者的管理，推进安宁疗护试点工作。</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临终患者处于生命末期，往往具有临疼痛、失眠、咳嗽、呼吸困难等三种以上的终末期症状。研究发现，生命末期癌症患者80%有十分严重的疼痛，65%十分严重的呼吸困难，70%不同程度谵妄，严重影响患者与家属生活质量。在安宁疗护过程中，满足病人的舒适需求作为安宁疗护的核心内容，是指帮助病人处于一种平静、安宁的精神状态，是一种不适缓解或超脱不适的状态，是一种自我满足的感觉，是身心健康、没有疼痛、没有焦虑的轻松自在的感觉。安宁疗护舒适照护减轻病人的身体症状，提高病人的舒适水平对于提高病人的生活质量具有非常重要的意义。在护理过程中，舒适护理技术贯穿于护理工作的始终，渗透于每个细节，并且应将护理服务的效果及病人舒适度作为评价标准。2017年，国家卫计委发布的《安宁疗护实践指南》提出，舒适照护内容包括：病室环境管理、床单位管理、口腔护理、肠内营养的护理、肠外营养的护理、静脉导管的护理、留置导尿管的护理、会阴护理、协助沐浴和床上擦浴、床上洗头、协助进食及饮水、排尿异常的护理、卧位护理、体位转换、轮椅与平车的使用，旨在为安宁疗护病人提供完善的舒适照护服务。安宁疗护病人的舒适管理应从系统评估服务对象的舒适需求着手，通过制定并实施有针对性的干预方案，提高服务对象的舒适水平。护士作为安宁疗护多学科协作团队重要成员，为病人提供个性化的舒适照护是主要任务。</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鉴于此，舒适照护是安宁疗护核心组成部分，是安宁疗护服务的内涵之一。本标准拟编制一个临床实用的规范的、科学的、系统的安宁疗护舒适照护规范，为建立安宁疗护服务模式，助力安宁疗护体系建设，致力提高生命终末期患者的生命质量，推进“健康中国”战略贡献力量。</w:t>
      </w:r>
    </w:p>
    <w:p>
      <w:pPr>
        <w:pStyle w:val="2"/>
        <w:spacing w:line="360" w:lineRule="auto"/>
        <w:ind w:left="0" w:firstLine="422" w:firstLineChars="150"/>
      </w:pPr>
      <w:r>
        <w:t>（三）标准的主要工作过程</w:t>
      </w:r>
    </w:p>
    <w:p>
      <w:pPr>
        <w:widowControl w:val="0"/>
        <w:adjustRightInd/>
        <w:snapToGrid/>
        <w:spacing w:before="196" w:after="0" w:line="360" w:lineRule="auto"/>
        <w:ind w:firstLine="703" w:firstLineChars="250"/>
        <w:jc w:val="both"/>
        <w:rPr>
          <w:rFonts w:asciiTheme="minorHAnsi" w:hAnsiTheme="minorHAnsi" w:eastAsiaTheme="minorEastAsia"/>
          <w:b/>
          <w:kern w:val="2"/>
          <w:sz w:val="28"/>
          <w:szCs w:val="24"/>
        </w:rPr>
      </w:pPr>
      <w:r>
        <w:rPr>
          <w:rFonts w:asciiTheme="minorHAnsi" w:hAnsiTheme="minorHAnsi" w:eastAsiaTheme="minorEastAsia"/>
          <w:b/>
          <w:kern w:val="2"/>
          <w:sz w:val="28"/>
          <w:szCs w:val="24"/>
        </w:rPr>
        <w:t>1</w:t>
      </w:r>
      <w:r>
        <w:rPr>
          <w:rFonts w:hint="eastAsia" w:asciiTheme="minorHAnsi" w:hAnsiTheme="minorHAnsi" w:eastAsiaTheme="minorEastAsia"/>
          <w:b/>
          <w:kern w:val="2"/>
          <w:sz w:val="28"/>
          <w:szCs w:val="24"/>
        </w:rPr>
        <w:t>.组建团队</w:t>
      </w:r>
    </w:p>
    <w:p>
      <w:pPr>
        <w:pStyle w:val="6"/>
        <w:spacing w:before="205" w:line="360" w:lineRule="auto"/>
        <w:ind w:left="0" w:right="433" w:firstLine="685" w:firstLineChars="250"/>
      </w:pPr>
      <w:r>
        <w:rPr>
          <w:rFonts w:hint="eastAsia"/>
          <w:spacing w:val="-3"/>
        </w:rPr>
        <w:t>收到</w:t>
      </w:r>
      <w:r>
        <w:rPr>
          <w:rFonts w:hint="eastAsia"/>
          <w:spacing w:val="-11"/>
        </w:rPr>
        <w:t>地方标准修订项目计划</w:t>
      </w:r>
      <w:r>
        <w:rPr>
          <w:spacing w:val="-11"/>
        </w:rPr>
        <w:t>的通知</w:t>
      </w:r>
      <w:r>
        <w:rPr>
          <w:rFonts w:hint="eastAsia"/>
          <w:spacing w:val="-11"/>
        </w:rPr>
        <w:t>后，申请成功后，</w:t>
      </w:r>
      <w:r>
        <w:rPr>
          <w:spacing w:val="-3"/>
        </w:rPr>
        <w:t>牵头单位</w:t>
      </w:r>
      <w:r>
        <w:rPr>
          <w:rFonts w:hint="eastAsia" w:ascii="Times New Roman" w:eastAsia="宋体"/>
        </w:rPr>
        <w:t>湖南省肿瘤医院立即成立标准制定工作组，对</w:t>
      </w:r>
      <w:r>
        <w:rPr>
          <w:rFonts w:hint="eastAsia"/>
          <w:spacing w:val="-3"/>
        </w:rPr>
        <w:t>标准制定进行总体规划，确定人员分工，制定标准撰写计划。前期工作包括：现况调查，项目查新，需求调查，确定证据评价工具等。</w:t>
      </w:r>
      <w:r>
        <w:rPr>
          <w:rFonts w:ascii="Times New Roman"/>
          <w:spacing w:val="-6"/>
        </w:rPr>
        <w:t>4</w:t>
      </w:r>
      <w:r>
        <w:rPr>
          <w:rFonts w:hint="eastAsia"/>
          <w:spacing w:val="-3"/>
        </w:rPr>
        <w:t>月</w:t>
      </w:r>
      <w:r>
        <w:rPr>
          <w:rFonts w:hint="eastAsia" w:ascii="Times New Roman"/>
          <w:spacing w:val="-6"/>
        </w:rPr>
        <w:t>2</w:t>
      </w:r>
      <w:r>
        <w:rPr>
          <w:rFonts w:ascii="Times New Roman"/>
          <w:spacing w:val="-6"/>
        </w:rPr>
        <w:t>8</w:t>
      </w:r>
      <w:r>
        <w:rPr>
          <w:spacing w:val="-3"/>
        </w:rPr>
        <w:t>日，</w:t>
      </w:r>
      <w:r>
        <w:rPr>
          <w:rFonts w:hint="eastAsia"/>
          <w:spacing w:val="-3"/>
        </w:rPr>
        <w:t>第一次组织召开《标准》的讨论会</w:t>
      </w:r>
      <w:r>
        <w:rPr>
          <w:rFonts w:hint="eastAsia"/>
          <w:spacing w:val="-10"/>
        </w:rPr>
        <w:t>。</w:t>
      </w:r>
    </w:p>
    <w:p>
      <w:pPr>
        <w:pStyle w:val="2"/>
        <w:spacing w:before="204" w:line="360" w:lineRule="auto"/>
        <w:ind w:left="0"/>
      </w:pPr>
      <w:r>
        <w:rPr>
          <w:rFonts w:hint="eastAsia" w:ascii="Times New Roman" w:eastAsia="宋体"/>
        </w:rPr>
        <w:t xml:space="preserve">         </w:t>
      </w:r>
      <w:r>
        <w:rPr>
          <w:rFonts w:hint="eastAsia" w:eastAsia="宋体"/>
        </w:rPr>
        <w:t>2</w:t>
      </w:r>
      <w:r>
        <w:rPr>
          <w:rFonts w:hint="eastAsia"/>
        </w:rPr>
        <w:t>.</w:t>
      </w:r>
      <w:r>
        <w:t>收集、查阅、整理相关资料</w:t>
      </w:r>
    </w:p>
    <w:p>
      <w:pPr>
        <w:pStyle w:val="6"/>
        <w:spacing w:before="204" w:line="360" w:lineRule="auto"/>
        <w:ind w:left="0" w:right="342" w:firstLine="528" w:firstLineChars="200"/>
      </w:pPr>
      <w:r>
        <w:rPr>
          <w:spacing w:val="-8"/>
        </w:rPr>
        <w:t>根据项目内容确定具体的调研方案和计划后，标准小组按照项目</w:t>
      </w:r>
      <w:r>
        <w:rPr>
          <w:spacing w:val="-13"/>
        </w:rPr>
        <w:t>任务要求，迅速开展工作。首先查阅</w:t>
      </w:r>
      <w:r>
        <w:rPr>
          <w:rFonts w:hint="eastAsia"/>
          <w:spacing w:val="-13"/>
        </w:rPr>
        <w:t>数据库中国知网、维普全文数据库、万方全文数据库、中国生物医学文献数据库以及澳大利亚乔安娜布里格斯研究所</w:t>
      </w:r>
      <w:r>
        <w:rPr>
          <w:rFonts w:ascii="Times New Roman" w:hAnsi="Times New Roman" w:eastAsia="楷体" w:cs="Times New Roman"/>
          <w:spacing w:val="-13"/>
        </w:rPr>
        <w:t>（Joanna Briggs Institute,JBI）、</w:t>
      </w:r>
      <w:r>
        <w:rPr>
          <w:spacing w:val="-13"/>
        </w:rPr>
        <w:t>循证卫生保健中心数据库、</w:t>
      </w:r>
      <w:r>
        <w:rPr>
          <w:rFonts w:ascii="Times New Roman" w:hAnsi="Times New Roman" w:eastAsia="楷体" w:cs="Times New Roman"/>
          <w:spacing w:val="-13"/>
        </w:rPr>
        <w:t>The Cochrane Library、Pub Med、Embase、CINAHL、</w:t>
      </w:r>
      <w:r>
        <w:rPr>
          <w:rFonts w:hint="eastAsia"/>
          <w:spacing w:val="-13"/>
        </w:rPr>
        <w:t>对安宁疗护舒适照护相关的关键词进行文献检索。</w:t>
      </w:r>
      <w:r>
        <w:rPr>
          <w:spacing w:val="-13"/>
        </w:rPr>
        <w:t>对文献进行</w:t>
      </w:r>
      <w:r>
        <w:rPr>
          <w:spacing w:val="-9"/>
        </w:rPr>
        <w:t>了归纳、总结，了解</w:t>
      </w:r>
      <w:r>
        <w:rPr>
          <w:rFonts w:hint="eastAsia"/>
          <w:spacing w:val="-9"/>
        </w:rPr>
        <w:t>安宁疗护舒适方面在</w:t>
      </w:r>
      <w:r>
        <w:rPr>
          <w:spacing w:val="-9"/>
        </w:rPr>
        <w:t xml:space="preserve">国内外的现状。其次， </w:t>
      </w:r>
      <w:r>
        <w:rPr>
          <w:spacing w:val="-10"/>
        </w:rPr>
        <w:t>收集、整理，查</w:t>
      </w:r>
      <w:r>
        <w:rPr>
          <w:spacing w:val="-12"/>
        </w:rPr>
        <w:t>阅与</w:t>
      </w:r>
      <w:r>
        <w:rPr>
          <w:rFonts w:hint="eastAsia"/>
          <w:spacing w:val="-12"/>
        </w:rPr>
        <w:t>安宁疗护舒适照护</w:t>
      </w:r>
      <w:r>
        <w:rPr>
          <w:spacing w:val="-12"/>
        </w:rPr>
        <w:t>相关的国内外法规、标准、规范和办法</w:t>
      </w:r>
      <w:r>
        <w:rPr>
          <w:spacing w:val="-7"/>
        </w:rPr>
        <w:t>。</w:t>
      </w:r>
    </w:p>
    <w:p>
      <w:pPr>
        <w:pStyle w:val="6"/>
        <w:spacing w:before="204" w:line="360" w:lineRule="auto"/>
        <w:ind w:left="0" w:right="342" w:firstLine="562" w:firstLineChars="200"/>
        <w:rPr>
          <w:rFonts w:ascii="Times New Roman" w:hAnsi="Times New Roman" w:cs="Times New Roman"/>
          <w:b/>
          <w:bCs/>
        </w:rPr>
      </w:pPr>
      <w:bookmarkStart w:id="0" w:name="_Toc72612610"/>
      <w:r>
        <w:rPr>
          <w:rFonts w:hint="eastAsia" w:ascii="Times New Roman" w:hAnsi="Times New Roman" w:cs="Times New Roman"/>
          <w:b/>
          <w:bCs/>
        </w:rPr>
        <w:t>3.调查数据统计与分析</w:t>
      </w:r>
    </w:p>
    <w:p>
      <w:pPr>
        <w:pStyle w:val="6"/>
        <w:spacing w:before="204" w:line="360" w:lineRule="auto"/>
        <w:ind w:left="0" w:right="342" w:firstLine="560" w:firstLineChars="200"/>
        <w:rPr>
          <w:rFonts w:hint="eastAsia" w:ascii="Times New Roman" w:hAnsi="Times New Roman" w:cs="Times New Roman"/>
        </w:rPr>
      </w:pPr>
      <w:r>
        <w:rPr>
          <w:rFonts w:hint="eastAsia" w:ascii="Times New Roman" w:hAnsi="Times New Roman" w:cs="Times New Roman"/>
        </w:rPr>
        <w:t>本服务规范旨在检索和借鉴最新的安宁疗护舒适照护相关循证证据。采用“6S”证据模型检索国际指南协作（Guidelines International Network,GIN)、英国国家卫生与临床优化研究所（NICE）网站、美国国立指南网（NGC)、加拿大安大略注册护土协会(RNAO)网站、苏格兰学院指南网(SIGN)、JBI循证卫生保健中心数据库、医脉通、BMJ Best Practice、 UpToDate、BMJ Clinical Evidence、Cochrane Library、PubMed、EMbase、ProQuest、中国如网、万方数据等网站或数据库。同时，人工追溯相关纳入文献的参考文献。</w:t>
      </w:r>
    </w:p>
    <w:p>
      <w:pPr>
        <w:pStyle w:val="6"/>
        <w:spacing w:before="204" w:line="360" w:lineRule="auto"/>
        <w:ind w:left="0" w:right="342" w:firstLine="560" w:firstLineChars="200"/>
        <w:rPr>
          <w:rFonts w:ascii="Times New Roman" w:hAnsi="Times New Roman" w:cs="Times New Roman"/>
        </w:rPr>
      </w:pPr>
      <w:r>
        <w:rPr>
          <w:rFonts w:hint="eastAsia" w:ascii="Times New Roman" w:hAnsi="Times New Roman" w:cs="Times New Roman"/>
        </w:rPr>
        <w:t xml:space="preserve">采用主题词和自由词结合的方式，中文检索词:①终末期 OR 死亡OR生命末期OR临终OR安宁疗护OR 姑息治疗OR 缓和医疗OR 临终关怀OR舒缓治疗 </w:t>
      </w:r>
      <w:r>
        <w:rPr>
          <w:rFonts w:ascii="Times New Roman" w:hAnsi="Times New Roman" w:cs="Times New Roman"/>
        </w:rPr>
        <w:t xml:space="preserve">AND </w:t>
      </w:r>
      <w:r>
        <w:rPr>
          <w:rFonts w:hint="eastAsia" w:ascii="Times New Roman" w:hAnsi="Times New Roman" w:cs="Times New Roman"/>
        </w:rPr>
        <w:t xml:space="preserve">②舒适 </w:t>
      </w:r>
      <w:r>
        <w:rPr>
          <w:rFonts w:ascii="Times New Roman" w:hAnsi="Times New Roman" w:cs="Times New Roman"/>
        </w:rPr>
        <w:t xml:space="preserve">OR </w:t>
      </w:r>
      <w:r>
        <w:rPr>
          <w:rFonts w:hint="eastAsia" w:ascii="Times New Roman" w:hAnsi="Times New Roman" w:cs="Times New Roman"/>
        </w:rPr>
        <w:t xml:space="preserve">舒适照护 </w:t>
      </w:r>
      <w:r>
        <w:rPr>
          <w:rFonts w:ascii="Times New Roman" w:hAnsi="Times New Roman" w:cs="Times New Roman"/>
        </w:rPr>
        <w:t xml:space="preserve">OR </w:t>
      </w:r>
      <w:r>
        <w:rPr>
          <w:rFonts w:hint="eastAsia" w:ascii="Times New Roman" w:hAnsi="Times New Roman" w:cs="Times New Roman"/>
        </w:rPr>
        <w:t>舒适护理。英文检素词:① “Palliative Care” [Mesh] OR “Hospice and Palliative Care Nursing” [Mesh] OR “Palliative Medicine” [Mesh] OR “Hospice Care” [Mesh] OR “Terminal Care” [Mesh] OR “Palliative Nursing” OR “Palliative Care Nursing” OR “H</w:t>
      </w:r>
      <w:r>
        <w:rPr>
          <w:rFonts w:ascii="Times New Roman" w:hAnsi="Times New Roman" w:cs="Times New Roman"/>
        </w:rPr>
        <w:t>ospice Nursing” OR “Hospice Nursings” OR “Palliative Care Medicine” OR “Hospice Program” OR “Hospice Programs” OR “End of Life Care” OR ” End-of-Life Care” OR “deathbed care” OR “Palliative” OR “Hospice” OR “Terminal” OR “End of Life” OR “late stage” OR “f</w:t>
      </w:r>
      <w:r>
        <w:rPr>
          <w:rFonts w:hint="eastAsia" w:ascii="Times New Roman" w:hAnsi="Times New Roman" w:cs="Times New Roman"/>
        </w:rPr>
        <w:t xml:space="preserve">inal days” OR “end-stage。” </w:t>
      </w:r>
      <w:r>
        <w:rPr>
          <w:rFonts w:ascii="Times New Roman" w:hAnsi="Times New Roman" w:cs="Times New Roman"/>
        </w:rPr>
        <w:t xml:space="preserve">AND </w:t>
      </w:r>
      <w:r>
        <w:rPr>
          <w:rFonts w:hint="eastAsia" w:ascii="Times New Roman" w:hAnsi="Times New Roman" w:cs="Times New Roman"/>
        </w:rPr>
        <w:t>②</w:t>
      </w:r>
      <w:r>
        <w:rPr>
          <w:rFonts w:ascii="Times New Roman" w:hAnsi="Times New Roman" w:cs="Times New Roman"/>
        </w:rPr>
        <w:t>”</w:t>
      </w:r>
      <w:r>
        <w:rPr>
          <w:rFonts w:hint="eastAsia" w:ascii="Times New Roman" w:hAnsi="Times New Roman" w:cs="Times New Roman"/>
        </w:rPr>
        <w:t>comfort</w:t>
      </w:r>
      <w:r>
        <w:rPr>
          <w:rFonts w:ascii="Times New Roman" w:hAnsi="Times New Roman" w:cs="Times New Roman"/>
        </w:rPr>
        <w:t>” OR “</w:t>
      </w:r>
      <w:r>
        <w:rPr>
          <w:rFonts w:hint="eastAsia" w:ascii="Times New Roman" w:hAnsi="Times New Roman" w:cs="Times New Roman"/>
        </w:rPr>
        <w:t>comfort</w:t>
      </w:r>
      <w:r>
        <w:rPr>
          <w:rFonts w:ascii="Times New Roman" w:hAnsi="Times New Roman" w:cs="Times New Roman"/>
        </w:rPr>
        <w:t xml:space="preserve"> </w:t>
      </w:r>
      <w:r>
        <w:rPr>
          <w:rFonts w:hint="eastAsia" w:ascii="Times New Roman" w:hAnsi="Times New Roman" w:cs="Times New Roman"/>
        </w:rPr>
        <w:t>care</w:t>
      </w:r>
      <w:r>
        <w:rPr>
          <w:rFonts w:ascii="Times New Roman" w:hAnsi="Times New Roman" w:cs="Times New Roman"/>
        </w:rPr>
        <w:t>” OR “comfort service”</w:t>
      </w:r>
      <w:r>
        <w:rPr>
          <w:rFonts w:hint="eastAsia" w:ascii="Times New Roman" w:hAnsi="Times New Roman" w:cs="Times New Roman"/>
        </w:rPr>
        <w:t>，检索时限为建库至2023年5月10日，共检索到</w:t>
      </w:r>
      <w:r>
        <w:rPr>
          <w:rFonts w:ascii="Times New Roman" w:hAnsi="Times New Roman" w:cs="Times New Roman"/>
        </w:rPr>
        <w:t>52</w:t>
      </w:r>
      <w:r>
        <w:rPr>
          <w:rFonts w:hint="eastAsia" w:ascii="Times New Roman" w:hAnsi="Times New Roman" w:cs="Times New Roman"/>
        </w:rPr>
        <w:t>13篇文献，根据文献的纳入排除标准，通过去重、阅读全文等筛选流程后，最终纳入</w:t>
      </w:r>
      <w:r>
        <w:rPr>
          <w:rFonts w:ascii="Times New Roman" w:hAnsi="Times New Roman" w:cs="Times New Roman"/>
        </w:rPr>
        <w:t>21</w:t>
      </w:r>
      <w:r>
        <w:rPr>
          <w:rFonts w:hint="eastAsia" w:ascii="Times New Roman" w:hAnsi="Times New Roman" w:cs="Times New Roman"/>
        </w:rPr>
        <w:t>篇证据文献，其中指南</w:t>
      </w:r>
      <w:r>
        <w:rPr>
          <w:rFonts w:ascii="Times New Roman" w:hAnsi="Times New Roman" w:cs="Times New Roman"/>
        </w:rPr>
        <w:t>4</w:t>
      </w:r>
      <w:r>
        <w:rPr>
          <w:rFonts w:hint="eastAsia" w:ascii="Times New Roman" w:hAnsi="Times New Roman" w:cs="Times New Roman"/>
        </w:rPr>
        <w:t>篇、系统评价</w:t>
      </w:r>
      <w:r>
        <w:rPr>
          <w:rFonts w:ascii="Times New Roman" w:hAnsi="Times New Roman" w:cs="Times New Roman"/>
        </w:rPr>
        <w:t>11</w:t>
      </w:r>
      <w:r>
        <w:rPr>
          <w:rFonts w:hint="eastAsia" w:ascii="Times New Roman" w:hAnsi="Times New Roman" w:cs="Times New Roman"/>
        </w:rPr>
        <w:t>篇、原始研究</w:t>
      </w:r>
      <w:r>
        <w:rPr>
          <w:rFonts w:ascii="Times New Roman" w:hAnsi="Times New Roman" w:cs="Times New Roman"/>
        </w:rPr>
        <w:t>6</w:t>
      </w:r>
      <w:r>
        <w:rPr>
          <w:rFonts w:hint="eastAsia" w:ascii="Times New Roman" w:hAnsi="Times New Roman" w:cs="Times New Roman"/>
        </w:rPr>
        <w:t>篇。</w:t>
      </w:r>
    </w:p>
    <w:p>
      <w:pPr>
        <w:pStyle w:val="6"/>
        <w:spacing w:before="204" w:line="360" w:lineRule="auto"/>
        <w:ind w:left="0" w:right="342" w:firstLine="560" w:firstLineChars="200"/>
        <w:rPr>
          <w:rFonts w:ascii="Times New Roman" w:hAnsi="Times New Roman" w:cs="Times New Roman"/>
        </w:rPr>
      </w:pPr>
      <w:r>
        <w:rPr>
          <w:rFonts w:hint="eastAsia" w:ascii="Times New Roman" w:hAnsi="Times New Roman" w:cs="Times New Roman"/>
        </w:rPr>
        <w:t>追溯证据的原始文献，根据文献类型选择相应的评价标准进行质量评价。2名受过循证护理系统培训的研究生对纳入研究进行独立质量评价；如评价意见有冲突时，与循证小组其他成员一起讨论，讨论后对该文献做出纳入或排除的决定。当不同来源的证据结论冲突时，遵循循证证据优先，高质量证据优先，最新发表权威文献优先的原则，最终</w:t>
      </w:r>
      <w:r>
        <w:rPr>
          <w:rFonts w:ascii="Times New Roman" w:hAnsi="Times New Roman" w:cs="Times New Roman"/>
        </w:rPr>
        <w:t>21</w:t>
      </w:r>
      <w:r>
        <w:rPr>
          <w:rFonts w:hint="eastAsia" w:ascii="Times New Roman" w:hAnsi="Times New Roman" w:cs="Times New Roman"/>
        </w:rPr>
        <w:t>篇文献整体质量较高，均予以纳入。经过严格的文献筛查、质量评价、证据提取和分级，总结了安宁疗护舒适照护基本服务内容的证据。</w:t>
      </w:r>
    </w:p>
    <w:p>
      <w:pPr>
        <w:pStyle w:val="6"/>
        <w:spacing w:before="204" w:line="360" w:lineRule="auto"/>
        <w:ind w:left="0" w:right="342" w:firstLine="562" w:firstLineChars="200"/>
        <w:rPr>
          <w:rFonts w:ascii="Times New Roman" w:hAnsi="Times New Roman" w:cs="Times New Roman"/>
          <w:b/>
          <w:bCs/>
        </w:rPr>
      </w:pPr>
      <w:r>
        <w:rPr>
          <w:rFonts w:ascii="Times New Roman" w:hAnsi="Times New Roman" w:cs="Times New Roman"/>
          <w:b/>
          <w:bCs/>
        </w:rPr>
        <w:t>4.标准初稿完成</w:t>
      </w:r>
      <w:bookmarkEnd w:id="0"/>
      <w:r>
        <w:rPr>
          <w:rFonts w:ascii="Times New Roman" w:hAnsi="Times New Roman" w:cs="Times New Roman"/>
          <w:b/>
          <w:bCs/>
        </w:rPr>
        <w:t xml:space="preserve"> </w:t>
      </w:r>
    </w:p>
    <w:p>
      <w:pPr>
        <w:pStyle w:val="6"/>
        <w:spacing w:before="204" w:line="360" w:lineRule="auto"/>
        <w:ind w:left="0" w:right="342" w:firstLine="560" w:firstLineChars="200"/>
        <w:rPr>
          <w:rFonts w:ascii="Times New Roman" w:hAnsi="Times New Roman" w:cs="Times New Roman"/>
          <w:b/>
          <w:bCs/>
        </w:rPr>
      </w:pPr>
      <w:r>
        <w:rPr>
          <w:rFonts w:ascii="Times New Roman" w:hAnsi="Times New Roman" w:cs="Times New Roman"/>
        </w:rPr>
        <w:drawing>
          <wp:anchor distT="0" distB="0" distL="114300" distR="114300" simplePos="0" relativeHeight="251660288" behindDoc="0" locked="0" layoutInCell="1" allowOverlap="1">
            <wp:simplePos x="0" y="0"/>
            <wp:positionH relativeFrom="column">
              <wp:posOffset>2590165</wp:posOffset>
            </wp:positionH>
            <wp:positionV relativeFrom="paragraph">
              <wp:posOffset>1994535</wp:posOffset>
            </wp:positionV>
            <wp:extent cx="2557780" cy="3411855"/>
            <wp:effectExtent l="0" t="0" r="0" b="0"/>
            <wp:wrapTopAndBottom/>
            <wp:docPr id="13669099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909969"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557780" cy="3411855"/>
                    </a:xfrm>
                    <a:prstGeom prst="rect">
                      <a:avLst/>
                    </a:prstGeom>
                    <a:noFill/>
                    <a:ln>
                      <a:noFill/>
                    </a:ln>
                  </pic:spPr>
                </pic:pic>
              </a:graphicData>
            </a:graphic>
          </wp:anchor>
        </w:drawing>
      </w:r>
      <w:r>
        <w:rPr>
          <w:rFonts w:ascii="Times New Roman" w:hAnsi="Times New Roman" w:cs="Times New Roman"/>
        </w:rPr>
        <w:drawing>
          <wp:anchor distT="0" distB="0" distL="114300" distR="114300" simplePos="0" relativeHeight="251659264" behindDoc="0" locked="0" layoutInCell="1" allowOverlap="1">
            <wp:simplePos x="0" y="0"/>
            <wp:positionH relativeFrom="column">
              <wp:posOffset>-635</wp:posOffset>
            </wp:positionH>
            <wp:positionV relativeFrom="paragraph">
              <wp:posOffset>1994535</wp:posOffset>
            </wp:positionV>
            <wp:extent cx="2557145" cy="3411855"/>
            <wp:effectExtent l="0" t="0" r="0" b="0"/>
            <wp:wrapTopAndBottom/>
            <wp:docPr id="10418495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849537"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57145" cy="3411855"/>
                    </a:xfrm>
                    <a:prstGeom prst="rect">
                      <a:avLst/>
                    </a:prstGeom>
                    <a:noFill/>
                    <a:ln>
                      <a:noFill/>
                    </a:ln>
                  </pic:spPr>
                </pic:pic>
              </a:graphicData>
            </a:graphic>
          </wp:anchor>
        </w:drawing>
      </w:r>
      <w:r>
        <w:rPr>
          <w:rFonts w:ascii="Times New Roman" w:hAnsi="Times New Roman" w:cs="Times New Roman"/>
          <w:spacing w:val="-12"/>
        </w:rPr>
        <w:t>2023年4月-2023年5月，经过文献预检索，初步确定了《安宁疗护</w:t>
      </w:r>
      <w:r>
        <w:rPr>
          <w:rFonts w:hint="eastAsia" w:ascii="Times New Roman" w:hAnsi="Times New Roman" w:cs="Times New Roman"/>
          <w:spacing w:val="-12"/>
        </w:rPr>
        <w:t>舒适照护基本</w:t>
      </w:r>
      <w:r>
        <w:rPr>
          <w:rFonts w:ascii="Times New Roman" w:hAnsi="Times New Roman" w:cs="Times New Roman"/>
          <w:spacing w:val="-12"/>
        </w:rPr>
        <w:t>规范》标准的基本内容和框架，即：安</w:t>
      </w:r>
      <w:r>
        <w:rPr>
          <w:rFonts w:hint="eastAsia" w:ascii="Times New Roman" w:hAnsi="Times New Roman" w:cs="Times New Roman"/>
          <w:spacing w:val="-12"/>
        </w:rPr>
        <w:t>安宁疗护舒适照护的服务原则、对象、内容（环境舒适、生理舒适、心理舒适、社会舒适）、评价与改进</w:t>
      </w:r>
      <w:r>
        <w:rPr>
          <w:rFonts w:ascii="Times New Roman" w:hAnsi="Times New Roman" w:cs="Times New Roman"/>
          <w:spacing w:val="-12"/>
        </w:rPr>
        <w:t>。</w:t>
      </w:r>
      <w:r>
        <w:rPr>
          <w:rFonts w:ascii="Times New Roman" w:hAnsi="Times New Roman" w:cs="Times New Roman"/>
        </w:rPr>
        <w:t>2023年5月-2023年6月，进行评价证据，开展了广泛的预研工作，并编写形成了团体标准初稿。</w:t>
      </w:r>
    </w:p>
    <w:p>
      <w:pPr>
        <w:pStyle w:val="2"/>
        <w:spacing w:before="5" w:line="360" w:lineRule="auto"/>
        <w:ind w:left="0"/>
        <w:rPr>
          <w:rFonts w:hint="eastAsia" w:ascii="Times New Roman" w:hAnsi="Times New Roman" w:cs="Times New Roman"/>
        </w:rPr>
      </w:pPr>
    </w:p>
    <w:p>
      <w:pPr>
        <w:pStyle w:val="2"/>
        <w:spacing w:before="5" w:line="360" w:lineRule="auto"/>
        <w:ind w:left="0" w:firstLine="420" w:firstLineChars="200"/>
        <w:jc w:val="center"/>
        <w:rPr>
          <w:rFonts w:ascii="Times New Roman" w:hAnsi="Times New Roman" w:cs="Times New Roman"/>
        </w:rPr>
      </w:pPr>
      <w:r>
        <w:rPr>
          <w:rFonts w:hint="eastAsia" w:ascii="Times New Roman" w:hAnsi="Times New Roman" w:cs="Times New Roman"/>
          <w:b w:val="0"/>
          <w:bCs w:val="0"/>
          <w:sz w:val="21"/>
          <w:szCs w:val="21"/>
        </w:rPr>
        <w:t>图1</w:t>
      </w:r>
      <w:r>
        <w:rPr>
          <w:rFonts w:ascii="Times New Roman" w:hAnsi="Times New Roman" w:cs="Times New Roman"/>
          <w:b w:val="0"/>
          <w:bCs w:val="0"/>
          <w:sz w:val="21"/>
          <w:szCs w:val="21"/>
        </w:rPr>
        <w:t>-2</w:t>
      </w:r>
      <w:r>
        <w:rPr>
          <w:rFonts w:hint="eastAsia" w:ascii="Times New Roman" w:hAnsi="Times New Roman" w:cs="Times New Roman"/>
          <w:b w:val="0"/>
          <w:bCs w:val="0"/>
          <w:sz w:val="21"/>
          <w:szCs w:val="21"/>
        </w:rPr>
        <w:t>初稿讨论会</w:t>
      </w:r>
    </w:p>
    <w:p>
      <w:pPr>
        <w:pStyle w:val="2"/>
        <w:spacing w:before="5" w:line="360" w:lineRule="auto"/>
        <w:ind w:left="0" w:firstLine="562" w:firstLineChars="200"/>
        <w:rPr>
          <w:rFonts w:ascii="Times New Roman" w:hAnsi="Times New Roman" w:cs="Times New Roman"/>
        </w:rPr>
      </w:pPr>
    </w:p>
    <w:p>
      <w:pPr>
        <w:spacing w:line="360" w:lineRule="auto"/>
        <w:rPr>
          <w:rFonts w:ascii="Times New Roman" w:hAnsi="Times New Roman" w:cs="Times New Roman"/>
        </w:rPr>
      </w:pPr>
    </w:p>
    <w:p>
      <w:pPr>
        <w:spacing w:line="360" w:lineRule="auto"/>
        <w:rPr>
          <w:rFonts w:hint="eastAsia" w:ascii="Times New Roman" w:hAnsi="Times New Roman" w:cs="Times New Roman"/>
        </w:rPr>
      </w:pPr>
      <w:r>
        <w:rPr>
          <w:rFonts w:ascii="Times New Roman" w:hAnsi="Times New Roman" w:cs="Times New Roman"/>
        </w:rPr>
        <w:drawing>
          <wp:anchor distT="0" distB="0" distL="114300" distR="114300" simplePos="0" relativeHeight="251663360" behindDoc="0" locked="0" layoutInCell="1" allowOverlap="1">
            <wp:simplePos x="0" y="0"/>
            <wp:positionH relativeFrom="column">
              <wp:posOffset>2641600</wp:posOffset>
            </wp:positionH>
            <wp:positionV relativeFrom="paragraph">
              <wp:posOffset>363855</wp:posOffset>
            </wp:positionV>
            <wp:extent cx="2573655" cy="3433445"/>
            <wp:effectExtent l="0" t="0" r="0" b="0"/>
            <wp:wrapTopAndBottom/>
            <wp:docPr id="13872314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231417"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73655" cy="3433445"/>
                    </a:xfrm>
                    <a:prstGeom prst="rect">
                      <a:avLst/>
                    </a:prstGeom>
                    <a:noFill/>
                    <a:ln>
                      <a:noFill/>
                    </a:ln>
                  </pic:spPr>
                </pic:pic>
              </a:graphicData>
            </a:graphic>
          </wp:anchor>
        </w:drawing>
      </w:r>
      <w:r>
        <w:rPr>
          <w:rFonts w:ascii="Times New Roman" w:hAnsi="Times New Roman" w:cs="Times New Roman"/>
        </w:rPr>
        <w:drawing>
          <wp:anchor distT="0" distB="0" distL="114300" distR="114300" simplePos="0" relativeHeight="251662336" behindDoc="0" locked="0" layoutInCell="1" allowOverlap="1">
            <wp:simplePos x="0" y="0"/>
            <wp:positionH relativeFrom="column">
              <wp:posOffset>-635</wp:posOffset>
            </wp:positionH>
            <wp:positionV relativeFrom="paragraph">
              <wp:posOffset>363855</wp:posOffset>
            </wp:positionV>
            <wp:extent cx="2581910" cy="3443605"/>
            <wp:effectExtent l="0" t="0" r="8890" b="4445"/>
            <wp:wrapTopAndBottom/>
            <wp:docPr id="114425318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253185"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81910" cy="3443605"/>
                    </a:xfrm>
                    <a:prstGeom prst="rect">
                      <a:avLst/>
                    </a:prstGeom>
                    <a:noFill/>
                    <a:ln>
                      <a:noFill/>
                    </a:ln>
                  </pic:spPr>
                </pic:pic>
              </a:graphicData>
            </a:graphic>
          </wp:anchor>
        </w:drawing>
      </w:r>
    </w:p>
    <w:p>
      <w:pPr>
        <w:spacing w:line="360" w:lineRule="auto"/>
        <w:jc w:val="center"/>
        <w:rPr>
          <w:rFonts w:ascii="Times New Roman" w:hAnsi="Times New Roman" w:cs="Times New Roman"/>
        </w:rPr>
      </w:pPr>
      <w:r>
        <w:rPr>
          <w:rFonts w:hint="eastAsia" w:ascii="宋体" w:hAnsi="宋体" w:eastAsia="宋体" w:cs="宋体"/>
          <w:sz w:val="21"/>
          <w:szCs w:val="21"/>
        </w:rPr>
        <w:t>图</w:t>
      </w:r>
      <w:r>
        <w:rPr>
          <w:rFonts w:ascii="宋体" w:hAnsi="宋体" w:eastAsia="宋体" w:cs="宋体"/>
          <w:sz w:val="21"/>
          <w:szCs w:val="21"/>
        </w:rPr>
        <w:t>3-4</w:t>
      </w:r>
      <w:r>
        <w:rPr>
          <w:rFonts w:hint="eastAsia" w:ascii="宋体" w:hAnsi="宋体" w:eastAsia="宋体" w:cs="宋体"/>
          <w:sz w:val="21"/>
          <w:szCs w:val="21"/>
        </w:rPr>
        <w:t xml:space="preserve"> 标准修稿讨论会</w:t>
      </w:r>
    </w:p>
    <w:p>
      <w:pPr>
        <w:spacing w:line="360" w:lineRule="auto"/>
        <w:rPr>
          <w:rFonts w:hint="eastAsia" w:ascii="Times New Roman" w:hAnsi="Times New Roman" w:cs="Times New Roman"/>
        </w:rPr>
      </w:pPr>
      <w:r>
        <w:rPr>
          <w:rFonts w:ascii="Times New Roman" w:hAnsi="Times New Roman" w:cs="Times New Roman"/>
        </w:rPr>
        <w:drawing>
          <wp:anchor distT="0" distB="0" distL="114300" distR="114300" simplePos="0" relativeHeight="251664384" behindDoc="0" locked="0" layoutInCell="1" allowOverlap="1">
            <wp:simplePos x="0" y="0"/>
            <wp:positionH relativeFrom="column">
              <wp:posOffset>-22860</wp:posOffset>
            </wp:positionH>
            <wp:positionV relativeFrom="paragraph">
              <wp:posOffset>490855</wp:posOffset>
            </wp:positionV>
            <wp:extent cx="2564130" cy="3420110"/>
            <wp:effectExtent l="0" t="0" r="7620" b="8890"/>
            <wp:wrapTopAndBottom/>
            <wp:docPr id="13708409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840939"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64130" cy="3420110"/>
                    </a:xfrm>
                    <a:prstGeom prst="rect">
                      <a:avLst/>
                    </a:prstGeom>
                    <a:noFill/>
                    <a:ln>
                      <a:noFill/>
                    </a:ln>
                  </pic:spPr>
                </pic:pic>
              </a:graphicData>
            </a:graphic>
          </wp:anchor>
        </w:drawing>
      </w:r>
      <w:r>
        <w:rPr>
          <w:rFonts w:ascii="宋体" w:hAnsi="宋体" w:eastAsia="宋体" w:cs="宋体"/>
          <w:sz w:val="21"/>
          <w:szCs w:val="21"/>
        </w:rPr>
        <w:drawing>
          <wp:anchor distT="0" distB="0" distL="114300" distR="114300" simplePos="0" relativeHeight="251665408" behindDoc="0" locked="0" layoutInCell="1" allowOverlap="1">
            <wp:simplePos x="0" y="0"/>
            <wp:positionH relativeFrom="column">
              <wp:posOffset>2581910</wp:posOffset>
            </wp:positionH>
            <wp:positionV relativeFrom="paragraph">
              <wp:posOffset>491490</wp:posOffset>
            </wp:positionV>
            <wp:extent cx="2552065" cy="3404870"/>
            <wp:effectExtent l="0" t="0" r="635" b="5080"/>
            <wp:wrapTopAndBottom/>
            <wp:docPr id="2341622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162210"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52065" cy="3404870"/>
                    </a:xfrm>
                    <a:prstGeom prst="rect">
                      <a:avLst/>
                    </a:prstGeom>
                    <a:noFill/>
                    <a:ln>
                      <a:noFill/>
                    </a:ln>
                  </pic:spPr>
                </pic:pic>
              </a:graphicData>
            </a:graphic>
          </wp:anchor>
        </w:drawing>
      </w:r>
    </w:p>
    <w:p>
      <w:pPr>
        <w:spacing w:line="360" w:lineRule="auto"/>
        <w:jc w:val="center"/>
        <w:rPr>
          <w:rFonts w:hint="eastAsia" w:ascii="宋体" w:hAnsi="宋体" w:eastAsia="宋体" w:cs="宋体"/>
          <w:sz w:val="20"/>
          <w:szCs w:val="20"/>
        </w:rPr>
      </w:pPr>
      <w:r>
        <w:rPr>
          <w:rFonts w:hint="eastAsia" w:ascii="宋体" w:hAnsi="宋体" w:eastAsia="宋体" w:cs="宋体"/>
          <w:sz w:val="21"/>
          <w:szCs w:val="21"/>
        </w:rPr>
        <w:t>图</w:t>
      </w:r>
      <w:r>
        <w:rPr>
          <w:rFonts w:ascii="宋体" w:hAnsi="宋体" w:eastAsia="宋体" w:cs="宋体"/>
          <w:sz w:val="21"/>
          <w:szCs w:val="21"/>
        </w:rPr>
        <w:t>5-6</w:t>
      </w:r>
      <w:r>
        <w:rPr>
          <w:rFonts w:hint="eastAsia" w:ascii="宋体" w:hAnsi="宋体" w:eastAsia="宋体" w:cs="宋体"/>
          <w:sz w:val="21"/>
          <w:szCs w:val="21"/>
        </w:rPr>
        <w:t xml:space="preserve"> 标准修稿讨论会</w:t>
      </w:r>
    </w:p>
    <w:p>
      <w:pPr>
        <w:pStyle w:val="2"/>
        <w:spacing w:before="5" w:line="360" w:lineRule="auto"/>
        <w:ind w:left="0" w:firstLine="562" w:firstLineChars="200"/>
        <w:rPr>
          <w:rFonts w:ascii="Times New Roman" w:hAnsi="Times New Roman" w:cs="Times New Roman"/>
        </w:rPr>
      </w:pPr>
    </w:p>
    <w:p>
      <w:pPr>
        <w:pStyle w:val="2"/>
        <w:spacing w:before="5" w:line="360" w:lineRule="auto"/>
        <w:ind w:left="0" w:firstLine="562" w:firstLineChars="200"/>
        <w:rPr>
          <w:rFonts w:ascii="Times New Roman" w:hAnsi="Times New Roman" w:cs="Times New Roman"/>
        </w:rPr>
      </w:pPr>
      <w:r>
        <w:rPr>
          <w:rFonts w:ascii="Times New Roman" w:hAnsi="Times New Roman" w:cs="Times New Roman"/>
        </w:rPr>
        <w:t>5</w:t>
      </w:r>
      <w:r>
        <w:rPr>
          <w:rFonts w:hint="eastAsia" w:ascii="Times New Roman" w:hAnsi="Times New Roman" w:cs="Times New Roman"/>
        </w:rPr>
        <w:t>.形成征求意见稿</w:t>
      </w:r>
    </w:p>
    <w:p>
      <w:pPr>
        <w:pStyle w:val="2"/>
        <w:spacing w:line="360" w:lineRule="auto"/>
        <w:ind w:left="0" w:firstLine="512" w:firstLineChars="200"/>
        <w:rPr>
          <w:rFonts w:ascii="Times New Roman" w:hAnsi="Times New Roman" w:cs="Times New Roman"/>
          <w:b w:val="0"/>
          <w:bCs w:val="0"/>
          <w:spacing w:val="-12"/>
        </w:rPr>
      </w:pPr>
      <w:r>
        <w:rPr>
          <w:rFonts w:hint="eastAsia" w:ascii="Times New Roman" w:hAnsi="Times New Roman" w:cs="Times New Roman"/>
          <w:b w:val="0"/>
          <w:bCs w:val="0"/>
          <w:spacing w:val="-12"/>
        </w:rPr>
        <w:t>2023年6月，经过两轮专家组内讨论，形成《安宁疗护舒适照护基本规范（征集意见稿）》。7月1日将《安宁疗护舒适照护基本规范（征集意见稿）》发送给编写组之外的专家和使用人群进行外审并征求意见。</w:t>
      </w:r>
    </w:p>
    <w:p>
      <w:pPr>
        <w:pStyle w:val="2"/>
        <w:spacing w:line="360" w:lineRule="auto"/>
        <w:ind w:left="0" w:firstLine="562" w:firstLineChars="200"/>
        <w:rPr>
          <w:rFonts w:ascii="Times New Roman" w:hAnsi="Times New Roman" w:cs="Times New Roman"/>
        </w:rPr>
      </w:pPr>
      <w:r>
        <w:rPr>
          <w:rFonts w:ascii="Times New Roman" w:hAnsi="Times New Roman" w:cs="Times New Roman"/>
        </w:rPr>
        <w:t>6.撰写编制说明书</w:t>
      </w:r>
    </w:p>
    <w:p>
      <w:pPr>
        <w:pStyle w:val="6"/>
        <w:tabs>
          <w:tab w:val="left" w:pos="567"/>
        </w:tabs>
        <w:spacing w:before="204" w:line="360" w:lineRule="auto"/>
        <w:ind w:left="0" w:right="436" w:firstLine="560" w:firstLineChars="200"/>
        <w:rPr>
          <w:rFonts w:ascii="Times New Roman" w:eastAsia="Times New Roman"/>
        </w:rPr>
      </w:pPr>
      <w:r>
        <w:rPr>
          <w:rFonts w:ascii="Times New Roman" w:eastAsia="Times New Roman"/>
        </w:rPr>
        <w:t xml:space="preserve"> 经过多次讨论、研究，对标准草案进行多次反复修改于 20</w:t>
      </w:r>
      <w:r>
        <w:rPr>
          <w:rFonts w:hint="eastAsia" w:ascii="Times New Roman" w:eastAsia="Times New Roman"/>
        </w:rPr>
        <w:t>2</w:t>
      </w:r>
      <w:r>
        <w:rPr>
          <w:rFonts w:ascii="Times New Roman" w:eastAsia="宋体"/>
        </w:rPr>
        <w:t>3</w:t>
      </w:r>
      <w:r>
        <w:rPr>
          <w:rFonts w:ascii="Times New Roman" w:eastAsia="Times New Roman"/>
        </w:rPr>
        <w:t>年 7月 形成《</w:t>
      </w:r>
      <w:r>
        <w:rPr>
          <w:rFonts w:hint="eastAsia" w:ascii="Times New Roman" w:eastAsia="宋体"/>
        </w:rPr>
        <w:t>安宁疗护舒适照护基本规范</w:t>
      </w:r>
      <w:r>
        <w:rPr>
          <w:rFonts w:ascii="Times New Roman" w:eastAsia="Times New Roman"/>
        </w:rPr>
        <w:t>》标准</w:t>
      </w:r>
      <w:r>
        <w:rPr>
          <w:rFonts w:hint="eastAsia" w:ascii="宋体" w:hAnsi="宋体" w:eastAsia="宋体" w:cs="宋体"/>
        </w:rPr>
        <w:t>征求意见</w:t>
      </w:r>
      <w:r>
        <w:rPr>
          <w:rFonts w:ascii="Times New Roman" w:eastAsia="Times New Roman"/>
        </w:rPr>
        <w:t>稿、编制说明及其附件。</w:t>
      </w:r>
    </w:p>
    <w:p>
      <w:pPr>
        <w:pStyle w:val="2"/>
        <w:spacing w:line="360" w:lineRule="auto"/>
        <w:ind w:left="0" w:firstLine="562" w:firstLineChars="200"/>
      </w:pPr>
      <w:r>
        <w:t>二、标准格式编制依据</w:t>
      </w:r>
    </w:p>
    <w:p>
      <w:pPr>
        <w:pStyle w:val="6"/>
        <w:spacing w:before="204" w:line="360" w:lineRule="auto"/>
        <w:ind w:left="0" w:right="376" w:firstLine="560" w:firstLineChars="200"/>
      </w:pPr>
      <w:r>
        <w:t>本标准遵循</w:t>
      </w:r>
      <w:r>
        <w:rPr>
          <w:rFonts w:ascii="Times New Roman" w:eastAsia="Times New Roman"/>
        </w:rPr>
        <w:t>GB/T 1.1</w:t>
      </w:r>
      <w:r>
        <w:t>－</w:t>
      </w:r>
      <w:r>
        <w:rPr>
          <w:rFonts w:hint="eastAsia" w:ascii="Times New Roman"/>
        </w:rPr>
        <w:t>2020</w:t>
      </w:r>
      <w:r>
        <w:t xml:space="preserve">《标准化工作导则第 </w:t>
      </w:r>
      <w:r>
        <w:rPr>
          <w:rFonts w:ascii="Times New Roman" w:eastAsia="Times New Roman"/>
        </w:rPr>
        <w:t xml:space="preserve">1 </w:t>
      </w:r>
      <w:r>
        <w:t>部分：标准</w:t>
      </w:r>
      <w:r>
        <w:rPr>
          <w:rFonts w:hint="eastAsia"/>
        </w:rPr>
        <w:t>化文件</w:t>
      </w:r>
      <w:r>
        <w:t>的结构和</w:t>
      </w:r>
      <w:r>
        <w:rPr>
          <w:rFonts w:hint="eastAsia"/>
        </w:rPr>
        <w:t>起草规则</w:t>
      </w:r>
      <w:r>
        <w:t>》给出的规则起草。</w:t>
      </w:r>
    </w:p>
    <w:p>
      <w:pPr>
        <w:pStyle w:val="2"/>
        <w:spacing w:line="360" w:lineRule="auto"/>
        <w:ind w:left="0" w:firstLine="422" w:firstLineChars="150"/>
      </w:pPr>
      <w:r>
        <w:t>（一）标准编制原则标准的编制过程中，严格按照以下原则：</w:t>
      </w:r>
    </w:p>
    <w:p>
      <w:pPr>
        <w:pStyle w:val="6"/>
        <w:spacing w:line="360" w:lineRule="auto"/>
        <w:ind w:left="0" w:right="435" w:firstLine="420" w:firstLineChars="150"/>
      </w:pPr>
      <w:r>
        <w:rPr>
          <w:rFonts w:hint="eastAsia"/>
        </w:rPr>
        <w:t xml:space="preserve">本标准的制定工作遵循“统一性、协调性、适用性、一致性、规范性”的原则，本着先进性、科学性、合理性和可操作性的原则。                 </w:t>
      </w:r>
    </w:p>
    <w:p>
      <w:pPr>
        <w:pStyle w:val="6"/>
        <w:spacing w:line="360" w:lineRule="auto"/>
        <w:ind w:left="0" w:right="435" w:firstLine="422" w:firstLineChars="150"/>
        <w:rPr>
          <w:b/>
        </w:rPr>
      </w:pPr>
      <w:r>
        <w:rPr>
          <w:b/>
        </w:rPr>
        <w:t>（</w:t>
      </w:r>
      <w:r>
        <w:rPr>
          <w:rFonts w:hint="eastAsia"/>
          <w:b/>
        </w:rPr>
        <w:t>二</w:t>
      </w:r>
      <w:r>
        <w:rPr>
          <w:b/>
        </w:rPr>
        <w:t>）</w:t>
      </w:r>
      <w:r>
        <w:rPr>
          <w:b/>
          <w:bCs/>
        </w:rPr>
        <w:t>与现行法律、法规、标准的关系</w:t>
      </w:r>
    </w:p>
    <w:p>
      <w:pPr>
        <w:spacing w:line="360" w:lineRule="auto"/>
        <w:ind w:firstLine="560" w:firstLineChars="200"/>
        <w:rPr>
          <w:rFonts w:asciiTheme="minorHAnsi" w:hAnsiTheme="minorHAnsi" w:eastAsiaTheme="minorEastAsia"/>
          <w:kern w:val="2"/>
          <w:sz w:val="28"/>
          <w:szCs w:val="28"/>
        </w:rPr>
      </w:pPr>
      <w:r>
        <w:rPr>
          <w:rFonts w:hint="eastAsia" w:asciiTheme="minorHAnsi" w:hAnsiTheme="minorHAnsi" w:eastAsiaTheme="minorEastAsia"/>
          <w:kern w:val="2"/>
          <w:sz w:val="28"/>
          <w:szCs w:val="28"/>
        </w:rPr>
        <w:t>本标准与相关法律、法规、规章及相关标准协调一致，没有冲突。</w:t>
      </w:r>
    </w:p>
    <w:p>
      <w:pPr>
        <w:pStyle w:val="6"/>
        <w:spacing w:line="360" w:lineRule="auto"/>
        <w:ind w:left="0" w:right="435" w:firstLine="422" w:firstLineChars="150"/>
        <w:rPr>
          <w:b/>
        </w:rPr>
      </w:pPr>
      <w:r>
        <w:rPr>
          <w:b/>
        </w:rPr>
        <w:t>（三）标准定义及适用范围</w:t>
      </w:r>
    </w:p>
    <w:p>
      <w:pPr>
        <w:pStyle w:val="6"/>
        <w:spacing w:line="360" w:lineRule="auto"/>
        <w:ind w:right="435" w:firstLine="420" w:firstLineChars="150"/>
        <w:rPr>
          <w:rFonts w:hint="eastAsia"/>
        </w:rPr>
      </w:pPr>
      <w:r>
        <w:rPr>
          <w:rFonts w:hint="eastAsia"/>
        </w:rPr>
        <w:t>标准规定了安宁疗护舒适照护的服务原则、对象、内容（环境舒适、生理舒适、心理舒适、社会舒适）、评价与改进。</w:t>
      </w:r>
    </w:p>
    <w:p>
      <w:pPr>
        <w:pStyle w:val="6"/>
        <w:spacing w:line="360" w:lineRule="auto"/>
        <w:ind w:left="0" w:right="435" w:firstLine="420" w:firstLineChars="150"/>
      </w:pPr>
      <w:r>
        <w:rPr>
          <w:rFonts w:hint="eastAsia"/>
        </w:rPr>
        <w:t>本标准适用于开展安宁疗护的医疗机构或医养结合机构。</w:t>
      </w:r>
    </w:p>
    <w:p>
      <w:pPr>
        <w:pStyle w:val="6"/>
        <w:spacing w:line="360" w:lineRule="auto"/>
        <w:ind w:left="0" w:right="435" w:firstLine="422" w:firstLineChars="150"/>
        <w:rPr>
          <w:b/>
        </w:rPr>
      </w:pPr>
      <w:r>
        <w:rPr>
          <w:b/>
        </w:rPr>
        <w:t>（四）标准技术要求</w:t>
      </w:r>
    </w:p>
    <w:p>
      <w:pPr>
        <w:pStyle w:val="2"/>
        <w:spacing w:before="204" w:line="360" w:lineRule="auto"/>
        <w:ind w:left="0" w:right="436" w:firstLine="508" w:firstLineChars="200"/>
        <w:rPr>
          <w:rFonts w:hint="eastAsia"/>
          <w:b w:val="0"/>
          <w:bCs w:val="0"/>
          <w:spacing w:val="-13"/>
        </w:rPr>
      </w:pPr>
      <w:r>
        <w:rPr>
          <w:rFonts w:hint="eastAsia"/>
          <w:b w:val="0"/>
          <w:bCs w:val="0"/>
          <w:spacing w:val="-13"/>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
        <w:spacing w:before="204" w:line="360" w:lineRule="auto"/>
        <w:ind w:left="0" w:right="436" w:firstLine="508" w:firstLineChars="200"/>
        <w:rPr>
          <w:rFonts w:hint="eastAsia"/>
          <w:b w:val="0"/>
          <w:bCs w:val="0"/>
          <w:spacing w:val="-13"/>
        </w:rPr>
      </w:pPr>
      <w:r>
        <w:rPr>
          <w:rFonts w:hint="eastAsia"/>
          <w:b w:val="0"/>
          <w:bCs w:val="0"/>
          <w:spacing w:val="-13"/>
        </w:rPr>
        <w:t>GB 50763-2012  无障碍设计规范</w:t>
      </w:r>
    </w:p>
    <w:p>
      <w:pPr>
        <w:pStyle w:val="2"/>
        <w:spacing w:before="204" w:line="360" w:lineRule="auto"/>
        <w:ind w:left="0" w:right="436" w:firstLine="508" w:firstLineChars="200"/>
        <w:rPr>
          <w:rFonts w:hint="eastAsia"/>
          <w:b w:val="0"/>
          <w:bCs w:val="0"/>
          <w:spacing w:val="-13"/>
        </w:rPr>
      </w:pPr>
      <w:r>
        <w:rPr>
          <w:rFonts w:hint="eastAsia"/>
          <w:b w:val="0"/>
          <w:bCs w:val="0"/>
          <w:spacing w:val="-13"/>
        </w:rPr>
        <w:t>WS 308—2019  医疗机构消防安全管理</w:t>
      </w:r>
    </w:p>
    <w:p>
      <w:pPr>
        <w:pStyle w:val="2"/>
        <w:spacing w:before="204" w:line="360" w:lineRule="auto"/>
        <w:ind w:left="0" w:right="436" w:firstLine="508" w:firstLineChars="200"/>
        <w:rPr>
          <w:rFonts w:hint="eastAsia"/>
          <w:b w:val="0"/>
          <w:bCs w:val="0"/>
          <w:spacing w:val="-13"/>
        </w:rPr>
      </w:pPr>
      <w:r>
        <w:rPr>
          <w:rFonts w:hint="eastAsia"/>
          <w:b w:val="0"/>
          <w:bCs w:val="0"/>
          <w:spacing w:val="-13"/>
        </w:rPr>
        <w:t xml:space="preserve">WS/T 653—2019  医院病房床单元设施 </w:t>
      </w:r>
    </w:p>
    <w:p>
      <w:pPr>
        <w:pStyle w:val="2"/>
        <w:spacing w:before="204" w:line="360" w:lineRule="auto"/>
        <w:ind w:left="0" w:right="436" w:firstLine="508" w:firstLineChars="200"/>
        <w:rPr>
          <w:b w:val="0"/>
          <w:bCs w:val="0"/>
          <w:spacing w:val="-13"/>
        </w:rPr>
      </w:pPr>
      <w:r>
        <w:rPr>
          <w:rFonts w:hint="eastAsia"/>
          <w:b w:val="0"/>
          <w:bCs w:val="0"/>
          <w:spacing w:val="-13"/>
        </w:rPr>
        <w:t>DB43/T 2432-2022  湖南省安宁疗护病房管理规范</w:t>
      </w:r>
    </w:p>
    <w:p>
      <w:pPr>
        <w:pStyle w:val="2"/>
        <w:spacing w:before="204" w:line="360" w:lineRule="auto"/>
        <w:ind w:left="0" w:right="436" w:firstLine="534" w:firstLineChars="200"/>
      </w:pPr>
      <w:r>
        <w:rPr>
          <w:spacing w:val="-7"/>
        </w:rPr>
        <w:t>三、主要试验</w:t>
      </w:r>
      <w:r>
        <w:rPr>
          <w:spacing w:val="-3"/>
        </w:rPr>
        <w:t>（</w:t>
      </w:r>
      <w:r>
        <w:rPr>
          <w:spacing w:val="-2"/>
        </w:rPr>
        <w:t>验证</w:t>
      </w:r>
      <w:r>
        <w:rPr>
          <w:spacing w:val="-17"/>
        </w:rPr>
        <w:t>）</w:t>
      </w:r>
      <w:r>
        <w:rPr>
          <w:spacing w:val="-9"/>
        </w:rPr>
        <w:t>的分析、综述报告，技术经济论证，预期</w:t>
      </w:r>
      <w:r>
        <w:rPr>
          <w:spacing w:val="-1"/>
        </w:rPr>
        <w:t>的经济效果</w:t>
      </w:r>
    </w:p>
    <w:p>
      <w:pPr>
        <w:pStyle w:val="6"/>
        <w:spacing w:line="360" w:lineRule="auto"/>
        <w:ind w:left="0" w:right="345" w:firstLine="508" w:firstLineChars="200"/>
        <w:rPr>
          <w:spacing w:val="-13"/>
        </w:rPr>
      </w:pPr>
      <w:r>
        <w:rPr>
          <w:rFonts w:hint="eastAsia"/>
          <w:spacing w:val="-13"/>
        </w:rPr>
        <w:t>在现场调查中我们将以湖南省长沙市作为标准制定的实验地进行综合分析论证。《安宁疗护</w:t>
      </w:r>
      <w:r>
        <w:rPr>
          <w:rFonts w:hint="eastAsia"/>
          <w:spacing w:val="-13"/>
          <w:lang w:eastAsia="zh-CN"/>
        </w:rPr>
        <w:t>舒适</w:t>
      </w:r>
      <w:bookmarkStart w:id="1" w:name="_GoBack"/>
      <w:bookmarkEnd w:id="1"/>
      <w:r>
        <w:rPr>
          <w:rFonts w:hint="eastAsia"/>
          <w:spacing w:val="-13"/>
        </w:rPr>
        <w:t>照护基本规范》标准的制定，本标准是一个临床实用的规范的、科学的、系统的安宁疗护基本规范，用以规范安宁疗护病房的实施内容、实施流程。整合临床实践及学科资源，为</w:t>
      </w:r>
      <w:r>
        <w:rPr>
          <w:spacing w:val="-13"/>
        </w:rPr>
        <w:t>建立</w:t>
      </w:r>
      <w:r>
        <w:rPr>
          <w:rFonts w:hint="eastAsia"/>
          <w:spacing w:val="-13"/>
        </w:rPr>
        <w:t>我省</w:t>
      </w:r>
      <w:r>
        <w:rPr>
          <w:spacing w:val="-13"/>
        </w:rPr>
        <w:t>安宁疗护服务模式，助力安宁疗护体系</w:t>
      </w:r>
      <w:r>
        <w:rPr>
          <w:rFonts w:hint="eastAsia"/>
          <w:spacing w:val="-13"/>
        </w:rPr>
        <w:t>搭建</w:t>
      </w:r>
      <w:r>
        <w:rPr>
          <w:spacing w:val="-13"/>
        </w:rPr>
        <w:t>，</w:t>
      </w:r>
      <w:r>
        <w:rPr>
          <w:rFonts w:hint="eastAsia"/>
          <w:spacing w:val="-13"/>
        </w:rPr>
        <w:t>规范病房服务，</w:t>
      </w:r>
      <w:r>
        <w:rPr>
          <w:spacing w:val="-13"/>
        </w:rPr>
        <w:t>致力提高生命终末期患者的生命质量，推进</w:t>
      </w:r>
      <w:r>
        <w:rPr>
          <w:rFonts w:hint="eastAsia"/>
          <w:spacing w:val="-13"/>
        </w:rPr>
        <w:t>“</w:t>
      </w:r>
      <w:r>
        <w:rPr>
          <w:spacing w:val="-13"/>
        </w:rPr>
        <w:t>健康中国</w:t>
      </w:r>
      <w:r>
        <w:rPr>
          <w:rFonts w:hint="eastAsia"/>
          <w:spacing w:val="-13"/>
        </w:rPr>
        <w:t>”</w:t>
      </w:r>
      <w:r>
        <w:rPr>
          <w:spacing w:val="-13"/>
        </w:rPr>
        <w:t>战略贡献力量。</w:t>
      </w:r>
    </w:p>
    <w:p>
      <w:pPr>
        <w:pStyle w:val="2"/>
        <w:spacing w:line="360" w:lineRule="auto"/>
      </w:pPr>
      <w:r>
        <w:t>四、标准涉及的相关知识产权情况</w:t>
      </w:r>
    </w:p>
    <w:p>
      <w:pPr>
        <w:pStyle w:val="6"/>
        <w:spacing w:before="201" w:line="360" w:lineRule="auto"/>
        <w:ind w:left="979"/>
      </w:pPr>
      <w:r>
        <w:t>无</w:t>
      </w:r>
    </w:p>
    <w:p>
      <w:pPr>
        <w:pStyle w:val="2"/>
        <w:spacing w:line="360" w:lineRule="auto"/>
      </w:pPr>
      <w:r>
        <w:rPr>
          <w:rFonts w:hint="eastAsia"/>
        </w:rPr>
        <w:t>五</w:t>
      </w:r>
      <w:r>
        <w:t>、重大分歧意见的处理经过和依据</w:t>
      </w:r>
    </w:p>
    <w:p>
      <w:pPr>
        <w:pStyle w:val="6"/>
        <w:spacing w:before="196" w:line="360" w:lineRule="auto"/>
        <w:ind w:left="979"/>
      </w:pPr>
      <w:r>
        <w:t>无。</w:t>
      </w:r>
    </w:p>
    <w:p>
      <w:pPr>
        <w:pStyle w:val="2"/>
        <w:spacing w:before="206" w:line="360" w:lineRule="auto"/>
      </w:pPr>
      <w:r>
        <w:rPr>
          <w:rFonts w:hint="eastAsia"/>
        </w:rPr>
        <w:t>六</w:t>
      </w:r>
      <w:r>
        <w:t>、其它应予说明的事项</w:t>
      </w:r>
    </w:p>
    <w:p>
      <w:pPr>
        <w:pStyle w:val="6"/>
        <w:spacing w:before="205" w:line="360" w:lineRule="auto"/>
        <w:ind w:left="979"/>
      </w:pPr>
      <w:r>
        <w:t>无。</w:t>
      </w:r>
    </w:p>
    <w:p>
      <w:pPr>
        <w:spacing w:line="360" w:lineRule="auto"/>
      </w:pPr>
    </w:p>
    <w:p>
      <w:pPr>
        <w:pStyle w:val="6"/>
        <w:spacing w:before="204" w:line="360" w:lineRule="auto"/>
        <w:ind w:left="0" w:right="436"/>
      </w:pPr>
    </w:p>
    <w:p>
      <w:pPr>
        <w:spacing w:line="360" w:lineRule="auto"/>
        <w:jc w:val="both"/>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ingLiU">
    <w:panose1 w:val="02020509000000000000"/>
    <w:charset w:val="88"/>
    <w:family w:val="modern"/>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ind w:left="0"/>
      <w:rPr>
        <w:sz w:val="17"/>
      </w:rPr>
    </w:pPr>
    <w:r>
      <w:rPr>
        <w:rFonts w:hint="eastAsia"/>
      </w:rPr>
      <mc:AlternateContent>
        <mc:Choice Requires="wps">
          <w:drawing>
            <wp:anchor distT="0" distB="0" distL="114300" distR="114300" simplePos="0" relativeHeight="251661312" behindDoc="1" locked="0" layoutInCell="1" allowOverlap="1">
              <wp:simplePos x="0" y="0"/>
              <wp:positionH relativeFrom="page">
                <wp:posOffset>3685540</wp:posOffset>
              </wp:positionH>
              <wp:positionV relativeFrom="page">
                <wp:posOffset>9785350</wp:posOffset>
              </wp:positionV>
              <wp:extent cx="192405" cy="152400"/>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192405" cy="152400"/>
                      </a:xfrm>
                      <a:prstGeom prst="rect">
                        <a:avLst/>
                      </a:prstGeom>
                      <a:noFill/>
                      <a:ln>
                        <a:noFill/>
                      </a:ln>
                      <a:effectLst/>
                    </wps:spPr>
                    <wps:txbx>
                      <w:txbxContent>
                        <w:p>
                          <w:pPr>
                            <w:spacing w:before="12"/>
                            <w:ind w:left="6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w:t>
                          </w:r>
                          <w: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90.2pt;margin-top:770.5pt;height:12pt;width:15.15pt;mso-position-horizontal-relative:page;mso-position-vertical-relative:page;z-index:-251655168;mso-width-relative:page;mso-height-relative:page;" filled="f" stroked="f" coordsize="21600,21600" o:gfxdata="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5efoBNoAAAANAQAADwAAAAAAAAABACAAAAAiAAAAZHJzL2Rv&#10;d25yZXYueG1sUEsBAhQAFAAAAAgAh07iQEfyAsT/AQAAEQQAAA4AAAAAAAAAAQAgAAAAKQEAAGRy&#10;cy9lMm9Eb2MueG1sUEsFBgAAAAAGAAYAWQEAAJoFAAAAAA==&#10;">
              <v:fill on="f" focussize="0,0"/>
              <v:stroke on="f"/>
              <v:imagedata o:title=""/>
              <o:lock v:ext="edit" aspectratio="f"/>
              <v:textbox inset="0mm,0mm,0mm,0mm">
                <w:txbxContent>
                  <w:p>
                    <w:pPr>
                      <w:spacing w:before="12"/>
                      <w:ind w:left="6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rPr>
        <w:rFonts w:hint="eastAsia" w:eastAsia="黑体"/>
        <w:lang w:val="en-US" w:eastAsia="zh-CN"/>
      </w:rPr>
    </w:pPr>
    <w:r>
      <w:rPr>
        <w:rFonts w:hint="eastAsia"/>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kNWM5NjM0ZTZjNDAwNWUzNWFiYzA1NTY4MDA5ODgifQ=="/>
  </w:docVars>
  <w:rsids>
    <w:rsidRoot w:val="00D31D50"/>
    <w:rsid w:val="00006417"/>
    <w:rsid w:val="00014294"/>
    <w:rsid w:val="0001531E"/>
    <w:rsid w:val="00065954"/>
    <w:rsid w:val="00083B0B"/>
    <w:rsid w:val="00097915"/>
    <w:rsid w:val="000A3D4B"/>
    <w:rsid w:val="000B73A4"/>
    <w:rsid w:val="000C46DF"/>
    <w:rsid w:val="000F714E"/>
    <w:rsid w:val="00112FDE"/>
    <w:rsid w:val="00124C81"/>
    <w:rsid w:val="00133620"/>
    <w:rsid w:val="00135491"/>
    <w:rsid w:val="00142FEF"/>
    <w:rsid w:val="00160629"/>
    <w:rsid w:val="00181C67"/>
    <w:rsid w:val="001A6293"/>
    <w:rsid w:val="001C5DEA"/>
    <w:rsid w:val="001E2972"/>
    <w:rsid w:val="001E4671"/>
    <w:rsid w:val="00203548"/>
    <w:rsid w:val="0020451E"/>
    <w:rsid w:val="00206ABF"/>
    <w:rsid w:val="00212799"/>
    <w:rsid w:val="0021388E"/>
    <w:rsid w:val="00234138"/>
    <w:rsid w:val="00242D28"/>
    <w:rsid w:val="00247CC3"/>
    <w:rsid w:val="0025358A"/>
    <w:rsid w:val="002564F8"/>
    <w:rsid w:val="002622F9"/>
    <w:rsid w:val="002673CD"/>
    <w:rsid w:val="0027789F"/>
    <w:rsid w:val="00283796"/>
    <w:rsid w:val="002C036F"/>
    <w:rsid w:val="002C1AFF"/>
    <w:rsid w:val="002C53AF"/>
    <w:rsid w:val="002C5AC6"/>
    <w:rsid w:val="002C641E"/>
    <w:rsid w:val="002D51DB"/>
    <w:rsid w:val="002E2635"/>
    <w:rsid w:val="002E7330"/>
    <w:rsid w:val="002E7A4D"/>
    <w:rsid w:val="00323B43"/>
    <w:rsid w:val="00346189"/>
    <w:rsid w:val="00353E41"/>
    <w:rsid w:val="003567B2"/>
    <w:rsid w:val="00364198"/>
    <w:rsid w:val="0036612D"/>
    <w:rsid w:val="00381E48"/>
    <w:rsid w:val="003A0703"/>
    <w:rsid w:val="003C613C"/>
    <w:rsid w:val="003D37D8"/>
    <w:rsid w:val="003E4D68"/>
    <w:rsid w:val="003E7ADD"/>
    <w:rsid w:val="00400575"/>
    <w:rsid w:val="0040118D"/>
    <w:rsid w:val="00426133"/>
    <w:rsid w:val="004347CE"/>
    <w:rsid w:val="004358AB"/>
    <w:rsid w:val="004376BD"/>
    <w:rsid w:val="004405D7"/>
    <w:rsid w:val="00447C41"/>
    <w:rsid w:val="00471BDE"/>
    <w:rsid w:val="00471FBA"/>
    <w:rsid w:val="00490EE8"/>
    <w:rsid w:val="004A33D3"/>
    <w:rsid w:val="004A3CDE"/>
    <w:rsid w:val="004A3EB2"/>
    <w:rsid w:val="004B552E"/>
    <w:rsid w:val="004D61B8"/>
    <w:rsid w:val="004E5441"/>
    <w:rsid w:val="00501C4C"/>
    <w:rsid w:val="005374B9"/>
    <w:rsid w:val="00545374"/>
    <w:rsid w:val="00546194"/>
    <w:rsid w:val="00566E9E"/>
    <w:rsid w:val="005711EE"/>
    <w:rsid w:val="0059382A"/>
    <w:rsid w:val="005C2843"/>
    <w:rsid w:val="005D3635"/>
    <w:rsid w:val="00603489"/>
    <w:rsid w:val="00633D89"/>
    <w:rsid w:val="006364F9"/>
    <w:rsid w:val="00641A03"/>
    <w:rsid w:val="00642F93"/>
    <w:rsid w:val="0065042A"/>
    <w:rsid w:val="00691E35"/>
    <w:rsid w:val="006A12E0"/>
    <w:rsid w:val="006B4775"/>
    <w:rsid w:val="006C3A06"/>
    <w:rsid w:val="006E2E3E"/>
    <w:rsid w:val="006E43DC"/>
    <w:rsid w:val="006E5EDD"/>
    <w:rsid w:val="00701243"/>
    <w:rsid w:val="00705D75"/>
    <w:rsid w:val="00751EF5"/>
    <w:rsid w:val="007545AE"/>
    <w:rsid w:val="00765220"/>
    <w:rsid w:val="0076647B"/>
    <w:rsid w:val="00766C8C"/>
    <w:rsid w:val="0078764C"/>
    <w:rsid w:val="007B2E0F"/>
    <w:rsid w:val="007E1C0E"/>
    <w:rsid w:val="007E3993"/>
    <w:rsid w:val="007E40F0"/>
    <w:rsid w:val="00803ED5"/>
    <w:rsid w:val="00825721"/>
    <w:rsid w:val="0083377E"/>
    <w:rsid w:val="00845E31"/>
    <w:rsid w:val="00864721"/>
    <w:rsid w:val="00895789"/>
    <w:rsid w:val="00896ADC"/>
    <w:rsid w:val="008B25EF"/>
    <w:rsid w:val="008B7726"/>
    <w:rsid w:val="008D27AF"/>
    <w:rsid w:val="008D642D"/>
    <w:rsid w:val="008E066A"/>
    <w:rsid w:val="008E17CA"/>
    <w:rsid w:val="008F09EA"/>
    <w:rsid w:val="00906A9E"/>
    <w:rsid w:val="00910655"/>
    <w:rsid w:val="009350C3"/>
    <w:rsid w:val="00937158"/>
    <w:rsid w:val="0095676D"/>
    <w:rsid w:val="00976194"/>
    <w:rsid w:val="00992786"/>
    <w:rsid w:val="009A3A80"/>
    <w:rsid w:val="009B65EC"/>
    <w:rsid w:val="009D1603"/>
    <w:rsid w:val="00A012B9"/>
    <w:rsid w:val="00A16800"/>
    <w:rsid w:val="00A26C32"/>
    <w:rsid w:val="00A46809"/>
    <w:rsid w:val="00A55C16"/>
    <w:rsid w:val="00A66DCF"/>
    <w:rsid w:val="00A868DC"/>
    <w:rsid w:val="00A964DA"/>
    <w:rsid w:val="00AA74EC"/>
    <w:rsid w:val="00AC4A4D"/>
    <w:rsid w:val="00AD3A87"/>
    <w:rsid w:val="00AE0A52"/>
    <w:rsid w:val="00AE79D6"/>
    <w:rsid w:val="00AF469C"/>
    <w:rsid w:val="00B06D34"/>
    <w:rsid w:val="00B27500"/>
    <w:rsid w:val="00B303E8"/>
    <w:rsid w:val="00B40D9B"/>
    <w:rsid w:val="00B42565"/>
    <w:rsid w:val="00B63E0C"/>
    <w:rsid w:val="00B648F3"/>
    <w:rsid w:val="00B76FD2"/>
    <w:rsid w:val="00B86C52"/>
    <w:rsid w:val="00BC2411"/>
    <w:rsid w:val="00BC7D9D"/>
    <w:rsid w:val="00BD74B3"/>
    <w:rsid w:val="00BF7BF6"/>
    <w:rsid w:val="00C02D41"/>
    <w:rsid w:val="00C050B0"/>
    <w:rsid w:val="00C06A01"/>
    <w:rsid w:val="00C267C5"/>
    <w:rsid w:val="00C32372"/>
    <w:rsid w:val="00C60BAF"/>
    <w:rsid w:val="00C73C41"/>
    <w:rsid w:val="00CC782A"/>
    <w:rsid w:val="00CE4AC4"/>
    <w:rsid w:val="00CF3151"/>
    <w:rsid w:val="00D31D50"/>
    <w:rsid w:val="00D50D49"/>
    <w:rsid w:val="00D56BD3"/>
    <w:rsid w:val="00D57C06"/>
    <w:rsid w:val="00D670CA"/>
    <w:rsid w:val="00D67536"/>
    <w:rsid w:val="00D74F39"/>
    <w:rsid w:val="00D77C40"/>
    <w:rsid w:val="00D81023"/>
    <w:rsid w:val="00D9511F"/>
    <w:rsid w:val="00DD3F3A"/>
    <w:rsid w:val="00DD7687"/>
    <w:rsid w:val="00E22A21"/>
    <w:rsid w:val="00E25523"/>
    <w:rsid w:val="00E57BF4"/>
    <w:rsid w:val="00E66898"/>
    <w:rsid w:val="00E94C07"/>
    <w:rsid w:val="00EA47F9"/>
    <w:rsid w:val="00EB5AF2"/>
    <w:rsid w:val="00EC312E"/>
    <w:rsid w:val="00EE1AEC"/>
    <w:rsid w:val="00EF1142"/>
    <w:rsid w:val="00F22160"/>
    <w:rsid w:val="00F3328A"/>
    <w:rsid w:val="00F50D93"/>
    <w:rsid w:val="00F648BB"/>
    <w:rsid w:val="00F74794"/>
    <w:rsid w:val="00F77BD5"/>
    <w:rsid w:val="00F85192"/>
    <w:rsid w:val="00F95063"/>
    <w:rsid w:val="00FA7763"/>
    <w:rsid w:val="00FF0AE9"/>
    <w:rsid w:val="00FF6C3B"/>
    <w:rsid w:val="00FF6FCC"/>
    <w:rsid w:val="0EAD38CF"/>
    <w:rsid w:val="112E1DCF"/>
    <w:rsid w:val="119B31DD"/>
    <w:rsid w:val="14816AB1"/>
    <w:rsid w:val="211D59BC"/>
    <w:rsid w:val="32D90109"/>
    <w:rsid w:val="34D04DC8"/>
    <w:rsid w:val="3A015A23"/>
    <w:rsid w:val="45E954A8"/>
    <w:rsid w:val="49055CFD"/>
    <w:rsid w:val="4F5148FF"/>
    <w:rsid w:val="52103838"/>
    <w:rsid w:val="547F5A6B"/>
    <w:rsid w:val="5C593045"/>
    <w:rsid w:val="72CB03A1"/>
    <w:rsid w:val="74F04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0"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iPriority="99" w:name="HTML Typewriter"/>
    <w:lsdException w:qFormat="1" w:unhideWhenUsed="0" w:uiPriority="0" w:semiHidden="0"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34"/>
    <w:qFormat/>
    <w:uiPriority w:val="9"/>
    <w:pPr>
      <w:widowControl w:val="0"/>
      <w:adjustRightInd/>
      <w:snapToGrid/>
      <w:spacing w:after="0"/>
      <w:ind w:left="979"/>
      <w:jc w:val="both"/>
      <w:outlineLvl w:val="0"/>
    </w:pPr>
    <w:rPr>
      <w:rFonts w:asciiTheme="minorHAnsi" w:hAnsiTheme="minorHAnsi" w:eastAsiaTheme="minorEastAsia"/>
      <w:b/>
      <w:bCs/>
      <w:kern w:val="2"/>
      <w:sz w:val="28"/>
      <w:szCs w:val="28"/>
    </w:rPr>
  </w:style>
  <w:style w:type="paragraph" w:styleId="3">
    <w:name w:val="heading 2"/>
    <w:basedOn w:val="1"/>
    <w:next w:val="1"/>
    <w:link w:val="40"/>
    <w:unhideWhenUsed/>
    <w:qFormat/>
    <w:uiPriority w:val="99"/>
    <w:pPr>
      <w:keepNext/>
      <w:keepLines/>
      <w:widowControl w:val="0"/>
      <w:adjustRightInd/>
      <w:snapToGrid/>
      <w:spacing w:before="260" w:after="260" w:line="416" w:lineRule="auto"/>
      <w:jc w:val="both"/>
      <w:outlineLvl w:val="1"/>
    </w:pPr>
    <w:rPr>
      <w:rFonts w:ascii="Cambria" w:hAnsi="Cambria" w:eastAsia="宋体" w:cs="Times New Roman"/>
      <w:b/>
      <w:bCs/>
      <w:kern w:val="2"/>
      <w:sz w:val="32"/>
      <w:szCs w:val="32"/>
    </w:rPr>
  </w:style>
  <w:style w:type="paragraph" w:styleId="4">
    <w:name w:val="heading 3"/>
    <w:basedOn w:val="1"/>
    <w:next w:val="1"/>
    <w:link w:val="41"/>
    <w:qFormat/>
    <w:uiPriority w:val="99"/>
    <w:pPr>
      <w:widowControl w:val="0"/>
      <w:autoSpaceDE w:val="0"/>
      <w:autoSpaceDN w:val="0"/>
      <w:snapToGrid/>
      <w:spacing w:after="0"/>
      <w:outlineLvl w:val="2"/>
    </w:pPr>
    <w:rPr>
      <w:rFonts w:ascii="MingLiU" w:hAnsi="Times New Roman" w:eastAsia="MingLiU" w:cs="Times New Roman"/>
      <w:b/>
      <w:color w:val="000000"/>
      <w:sz w:val="26"/>
      <w:szCs w:val="24"/>
    </w:rPr>
  </w:style>
  <w:style w:type="character" w:default="1" w:styleId="19">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39"/>
    <w:unhideWhenUsed/>
    <w:qFormat/>
    <w:uiPriority w:val="99"/>
    <w:pPr>
      <w:widowControl w:val="0"/>
      <w:adjustRightInd/>
      <w:snapToGrid/>
      <w:spacing w:after="0"/>
      <w:jc w:val="both"/>
    </w:pPr>
    <w:rPr>
      <w:rFonts w:ascii="Calibri" w:hAnsi="Calibri" w:eastAsia="宋体" w:cs="Times New Roman"/>
      <w:kern w:val="2"/>
      <w:sz w:val="21"/>
      <w:szCs w:val="24"/>
    </w:rPr>
  </w:style>
  <w:style w:type="paragraph" w:styleId="6">
    <w:name w:val="Body Text"/>
    <w:basedOn w:val="1"/>
    <w:link w:val="35"/>
    <w:qFormat/>
    <w:uiPriority w:val="1"/>
    <w:pPr>
      <w:widowControl w:val="0"/>
      <w:adjustRightInd/>
      <w:snapToGrid/>
      <w:spacing w:after="0"/>
      <w:ind w:left="420"/>
      <w:jc w:val="both"/>
    </w:pPr>
    <w:rPr>
      <w:rFonts w:asciiTheme="minorHAnsi" w:hAnsiTheme="minorHAnsi" w:eastAsiaTheme="minorEastAsia"/>
      <w:kern w:val="2"/>
      <w:sz w:val="28"/>
      <w:szCs w:val="28"/>
    </w:rPr>
  </w:style>
  <w:style w:type="paragraph" w:styleId="7">
    <w:name w:val="toc 3"/>
    <w:basedOn w:val="1"/>
    <w:next w:val="1"/>
    <w:unhideWhenUsed/>
    <w:qFormat/>
    <w:uiPriority w:val="39"/>
    <w:pPr>
      <w:adjustRightInd/>
      <w:snapToGrid/>
      <w:spacing w:after="100" w:line="276" w:lineRule="auto"/>
      <w:ind w:left="440"/>
    </w:pPr>
    <w:rPr>
      <w:rFonts w:ascii="Calibri" w:hAnsi="Calibri" w:eastAsia="宋体" w:cs="Times New Roman"/>
    </w:rPr>
  </w:style>
  <w:style w:type="paragraph" w:styleId="8">
    <w:name w:val="Balloon Text"/>
    <w:basedOn w:val="1"/>
    <w:link w:val="38"/>
    <w:semiHidden/>
    <w:unhideWhenUsed/>
    <w:qFormat/>
    <w:uiPriority w:val="0"/>
    <w:pPr>
      <w:spacing w:after="0"/>
    </w:pPr>
    <w:rPr>
      <w:sz w:val="18"/>
      <w:szCs w:val="18"/>
    </w:rPr>
  </w:style>
  <w:style w:type="paragraph" w:styleId="9">
    <w:name w:val="footer"/>
    <w:basedOn w:val="1"/>
    <w:link w:val="33"/>
    <w:unhideWhenUsed/>
    <w:qFormat/>
    <w:uiPriority w:val="99"/>
    <w:pPr>
      <w:tabs>
        <w:tab w:val="center" w:pos="4153"/>
        <w:tab w:val="right" w:pos="8306"/>
      </w:tabs>
    </w:pPr>
    <w:rPr>
      <w:sz w:val="18"/>
      <w:szCs w:val="18"/>
    </w:rPr>
  </w:style>
  <w:style w:type="paragraph" w:styleId="10">
    <w:name w:val="header"/>
    <w:basedOn w:val="1"/>
    <w:link w:val="32"/>
    <w:unhideWhenUsed/>
    <w:qFormat/>
    <w:uiPriority w:val="99"/>
    <w:pPr>
      <w:pBdr>
        <w:bottom w:val="single" w:color="auto" w:sz="6" w:space="1"/>
      </w:pBdr>
      <w:tabs>
        <w:tab w:val="center" w:pos="4153"/>
        <w:tab w:val="right" w:pos="8306"/>
      </w:tabs>
      <w:jc w:val="center"/>
    </w:pPr>
    <w:rPr>
      <w:sz w:val="18"/>
      <w:szCs w:val="18"/>
    </w:rPr>
  </w:style>
  <w:style w:type="paragraph" w:styleId="11">
    <w:name w:val="toc 1"/>
    <w:basedOn w:val="1"/>
    <w:next w:val="1"/>
    <w:unhideWhenUsed/>
    <w:qFormat/>
    <w:uiPriority w:val="39"/>
    <w:pPr>
      <w:tabs>
        <w:tab w:val="right" w:leader="dot" w:pos="8607"/>
      </w:tabs>
      <w:adjustRightInd/>
      <w:snapToGrid/>
      <w:spacing w:after="100" w:line="276" w:lineRule="auto"/>
    </w:pPr>
    <w:rPr>
      <w:rFonts w:ascii="Calibri" w:hAnsi="Calibri" w:eastAsia="宋体" w:cs="Times New Roman"/>
      <w:color w:val="000000" w:themeColor="text1"/>
      <w14:textFill>
        <w14:solidFill>
          <w14:schemeClr w14:val="tx1"/>
        </w14:solidFill>
      </w14:textFill>
    </w:rPr>
  </w:style>
  <w:style w:type="paragraph" w:styleId="12">
    <w:name w:val="Subtitle"/>
    <w:basedOn w:val="1"/>
    <w:next w:val="1"/>
    <w:link w:val="59"/>
    <w:qFormat/>
    <w:uiPriority w:val="0"/>
    <w:pPr>
      <w:widowControl w:val="0"/>
      <w:adjustRightInd/>
      <w:snapToGrid/>
      <w:spacing w:before="240" w:after="60" w:line="312" w:lineRule="auto"/>
      <w:jc w:val="center"/>
      <w:outlineLvl w:val="1"/>
    </w:pPr>
    <w:rPr>
      <w:rFonts w:ascii="Cambria" w:hAnsi="Cambria" w:eastAsia="宋体" w:cs="Times New Roman"/>
      <w:b/>
      <w:bCs/>
      <w:kern w:val="28"/>
      <w:sz w:val="32"/>
      <w:szCs w:val="32"/>
    </w:rPr>
  </w:style>
  <w:style w:type="paragraph" w:styleId="13">
    <w:name w:val="toc 2"/>
    <w:basedOn w:val="1"/>
    <w:next w:val="1"/>
    <w:unhideWhenUsed/>
    <w:qFormat/>
    <w:uiPriority w:val="39"/>
    <w:pPr>
      <w:tabs>
        <w:tab w:val="right" w:leader="dot" w:pos="8607"/>
      </w:tabs>
      <w:adjustRightInd/>
      <w:snapToGrid/>
      <w:spacing w:after="100" w:line="276" w:lineRule="auto"/>
      <w:ind w:left="220"/>
    </w:pPr>
    <w:rPr>
      <w:rFonts w:ascii="Calibri" w:hAnsi="Calibri" w:eastAsia="宋体" w:cs="Times New Roman"/>
      <w:color w:val="000000" w:themeColor="text1"/>
      <w14:textFill>
        <w14:solidFill>
          <w14:schemeClr w14:val="tx1"/>
        </w14:solidFill>
      </w14:textFill>
    </w:rPr>
  </w:style>
  <w:style w:type="paragraph" w:styleId="14">
    <w:name w:val="HTML Preformatted"/>
    <w:basedOn w:val="1"/>
    <w:link w:val="55"/>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Arial" w:hAnsi="Arial" w:eastAsia="宋体" w:cs="Times New Roman"/>
      <w:sz w:val="24"/>
      <w:szCs w:val="24"/>
    </w:rPr>
  </w:style>
  <w:style w:type="paragraph" w:styleId="15">
    <w:name w:val="Normal (Web)"/>
    <w:basedOn w:val="1"/>
    <w:unhideWhenUsed/>
    <w:qFormat/>
    <w:uiPriority w:val="0"/>
    <w:pPr>
      <w:adjustRightInd/>
      <w:snapToGrid/>
      <w:spacing w:before="100" w:beforeAutospacing="1" w:after="100" w:afterAutospacing="1"/>
    </w:pPr>
    <w:rPr>
      <w:rFonts w:ascii="宋体" w:hAnsi="宋体" w:eastAsia="宋体" w:cs="宋体"/>
      <w:sz w:val="24"/>
      <w:szCs w:val="24"/>
    </w:rPr>
  </w:style>
  <w:style w:type="paragraph" w:styleId="16">
    <w:name w:val="Title"/>
    <w:basedOn w:val="1"/>
    <w:next w:val="1"/>
    <w:link w:val="58"/>
    <w:qFormat/>
    <w:uiPriority w:val="0"/>
    <w:pPr>
      <w:widowControl w:val="0"/>
      <w:adjustRightInd/>
      <w:snapToGrid/>
      <w:spacing w:before="240" w:after="60"/>
      <w:jc w:val="center"/>
      <w:outlineLvl w:val="0"/>
    </w:pPr>
    <w:rPr>
      <w:rFonts w:ascii="Cambria" w:hAnsi="Cambria" w:eastAsia="宋体" w:cs="Times New Roman"/>
      <w:b/>
      <w:bCs/>
      <w:kern w:val="2"/>
      <w:sz w:val="32"/>
      <w:szCs w:val="32"/>
    </w:rPr>
  </w:style>
  <w:style w:type="table" w:styleId="18">
    <w:name w:val="Table Grid"/>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0"/>
    <w:rPr>
      <w:b/>
    </w:rPr>
  </w:style>
  <w:style w:type="character" w:styleId="21">
    <w:name w:val="page number"/>
    <w:qFormat/>
    <w:uiPriority w:val="0"/>
    <w:rPr>
      <w:rFonts w:cs="Times New Roman"/>
    </w:rPr>
  </w:style>
  <w:style w:type="character" w:styleId="22">
    <w:name w:val="FollowedHyperlink"/>
    <w:basedOn w:val="19"/>
    <w:semiHidden/>
    <w:unhideWhenUsed/>
    <w:qFormat/>
    <w:uiPriority w:val="99"/>
    <w:rPr>
      <w:color w:val="800080" w:themeColor="followedHyperlink"/>
      <w:u w:val="single"/>
      <w14:textFill>
        <w14:solidFill>
          <w14:schemeClr w14:val="folHlink"/>
        </w14:solidFill>
      </w14:textFill>
    </w:rPr>
  </w:style>
  <w:style w:type="character" w:styleId="23">
    <w:name w:val="Emphasis"/>
    <w:qFormat/>
    <w:uiPriority w:val="0"/>
  </w:style>
  <w:style w:type="character" w:styleId="24">
    <w:name w:val="HTML Definition"/>
    <w:qFormat/>
    <w:uiPriority w:val="0"/>
  </w:style>
  <w:style w:type="character" w:styleId="25">
    <w:name w:val="HTML Acronym"/>
    <w:basedOn w:val="19"/>
    <w:qFormat/>
    <w:uiPriority w:val="0"/>
  </w:style>
  <w:style w:type="character" w:styleId="26">
    <w:name w:val="HTML Variable"/>
    <w:qFormat/>
    <w:uiPriority w:val="0"/>
  </w:style>
  <w:style w:type="character" w:styleId="27">
    <w:name w:val="Hyperlink"/>
    <w:basedOn w:val="19"/>
    <w:qFormat/>
    <w:uiPriority w:val="99"/>
    <w:rPr>
      <w:color w:val="0000FF" w:themeColor="hyperlink"/>
      <w:u w:val="single"/>
      <w14:textFill>
        <w14:solidFill>
          <w14:schemeClr w14:val="hlink"/>
        </w14:solidFill>
      </w14:textFill>
    </w:rPr>
  </w:style>
  <w:style w:type="character" w:styleId="28">
    <w:name w:val="HTML Code"/>
    <w:qFormat/>
    <w:uiPriority w:val="0"/>
    <w:rPr>
      <w:rFonts w:hint="default" w:ascii="Arial" w:hAnsi="Arial" w:cs="Arial"/>
      <w:color w:val="333333"/>
      <w:sz w:val="18"/>
      <w:szCs w:val="18"/>
    </w:rPr>
  </w:style>
  <w:style w:type="character" w:styleId="29">
    <w:name w:val="HTML Cite"/>
    <w:qFormat/>
    <w:uiPriority w:val="0"/>
  </w:style>
  <w:style w:type="character" w:styleId="30">
    <w:name w:val="HTML Keyboard"/>
    <w:qFormat/>
    <w:uiPriority w:val="0"/>
    <w:rPr>
      <w:rFonts w:hint="eastAsia" w:ascii="Arial" w:hAnsi="Arial" w:cs="Arial"/>
      <w:sz w:val="20"/>
    </w:rPr>
  </w:style>
  <w:style w:type="character" w:styleId="31">
    <w:name w:val="HTML Sample"/>
    <w:qFormat/>
    <w:uiPriority w:val="0"/>
    <w:rPr>
      <w:rFonts w:hint="default" w:ascii="Arial" w:hAnsi="Arial" w:cs="Arial"/>
    </w:rPr>
  </w:style>
  <w:style w:type="character" w:customStyle="1" w:styleId="32">
    <w:name w:val="页眉 字符"/>
    <w:basedOn w:val="19"/>
    <w:link w:val="10"/>
    <w:qFormat/>
    <w:uiPriority w:val="99"/>
    <w:rPr>
      <w:rFonts w:ascii="Tahoma" w:hAnsi="Tahoma"/>
      <w:sz w:val="18"/>
      <w:szCs w:val="18"/>
    </w:rPr>
  </w:style>
  <w:style w:type="character" w:customStyle="1" w:styleId="33">
    <w:name w:val="页脚 字符"/>
    <w:basedOn w:val="19"/>
    <w:link w:val="9"/>
    <w:qFormat/>
    <w:uiPriority w:val="99"/>
    <w:rPr>
      <w:rFonts w:ascii="Tahoma" w:hAnsi="Tahoma"/>
      <w:sz w:val="18"/>
      <w:szCs w:val="18"/>
    </w:rPr>
  </w:style>
  <w:style w:type="character" w:customStyle="1" w:styleId="34">
    <w:name w:val="标题 1 字符"/>
    <w:basedOn w:val="19"/>
    <w:link w:val="2"/>
    <w:qFormat/>
    <w:uiPriority w:val="9"/>
    <w:rPr>
      <w:rFonts w:eastAsiaTheme="minorEastAsia"/>
      <w:b/>
      <w:bCs/>
      <w:kern w:val="2"/>
      <w:sz w:val="28"/>
      <w:szCs w:val="28"/>
    </w:rPr>
  </w:style>
  <w:style w:type="character" w:customStyle="1" w:styleId="35">
    <w:name w:val="正文文本 字符"/>
    <w:basedOn w:val="19"/>
    <w:link w:val="6"/>
    <w:qFormat/>
    <w:uiPriority w:val="1"/>
    <w:rPr>
      <w:rFonts w:eastAsiaTheme="minorEastAsia"/>
      <w:kern w:val="2"/>
      <w:sz w:val="28"/>
      <w:szCs w:val="28"/>
    </w:rPr>
  </w:style>
  <w:style w:type="paragraph" w:styleId="36">
    <w:name w:val="List Paragraph"/>
    <w:basedOn w:val="1"/>
    <w:qFormat/>
    <w:uiPriority w:val="34"/>
    <w:pPr>
      <w:widowControl w:val="0"/>
      <w:adjustRightInd/>
      <w:snapToGrid/>
      <w:spacing w:before="5" w:after="0"/>
      <w:ind w:left="1228" w:hanging="250"/>
      <w:jc w:val="both"/>
    </w:pPr>
    <w:rPr>
      <w:rFonts w:asciiTheme="minorHAnsi" w:hAnsiTheme="minorHAnsi" w:eastAsiaTheme="minorEastAsia"/>
      <w:kern w:val="2"/>
      <w:sz w:val="21"/>
      <w:szCs w:val="24"/>
    </w:rPr>
  </w:style>
  <w:style w:type="paragraph" w:customStyle="1" w:styleId="37">
    <w:name w:val="Table Paragraph"/>
    <w:basedOn w:val="1"/>
    <w:qFormat/>
    <w:uiPriority w:val="1"/>
    <w:pPr>
      <w:widowControl w:val="0"/>
      <w:adjustRightInd/>
      <w:snapToGrid/>
      <w:spacing w:after="0"/>
      <w:jc w:val="center"/>
    </w:pPr>
    <w:rPr>
      <w:rFonts w:ascii="Times New Roman" w:hAnsi="Times New Roman" w:eastAsia="Times New Roman" w:cs="Times New Roman"/>
      <w:kern w:val="2"/>
      <w:sz w:val="21"/>
      <w:szCs w:val="24"/>
    </w:rPr>
  </w:style>
  <w:style w:type="character" w:customStyle="1" w:styleId="38">
    <w:name w:val="批注框文本 字符"/>
    <w:basedOn w:val="19"/>
    <w:link w:val="8"/>
    <w:semiHidden/>
    <w:qFormat/>
    <w:uiPriority w:val="99"/>
    <w:rPr>
      <w:rFonts w:ascii="Tahoma" w:hAnsi="Tahoma"/>
      <w:sz w:val="18"/>
      <w:szCs w:val="18"/>
    </w:rPr>
  </w:style>
  <w:style w:type="character" w:customStyle="1" w:styleId="39">
    <w:name w:val="批注文字 字符"/>
    <w:basedOn w:val="19"/>
    <w:link w:val="5"/>
    <w:qFormat/>
    <w:uiPriority w:val="99"/>
    <w:rPr>
      <w:rFonts w:ascii="Calibri" w:hAnsi="Calibri" w:eastAsia="宋体" w:cs="Times New Roman"/>
      <w:kern w:val="2"/>
      <w:sz w:val="21"/>
      <w:szCs w:val="24"/>
    </w:rPr>
  </w:style>
  <w:style w:type="character" w:customStyle="1" w:styleId="40">
    <w:name w:val="标题 2 字符"/>
    <w:basedOn w:val="19"/>
    <w:link w:val="3"/>
    <w:uiPriority w:val="99"/>
    <w:rPr>
      <w:rFonts w:ascii="Cambria" w:hAnsi="Cambria" w:eastAsia="宋体" w:cs="Times New Roman"/>
      <w:b/>
      <w:bCs/>
      <w:kern w:val="2"/>
      <w:sz w:val="32"/>
      <w:szCs w:val="32"/>
    </w:rPr>
  </w:style>
  <w:style w:type="character" w:customStyle="1" w:styleId="41">
    <w:name w:val="标题 3 字符"/>
    <w:basedOn w:val="19"/>
    <w:link w:val="4"/>
    <w:qFormat/>
    <w:uiPriority w:val="99"/>
    <w:rPr>
      <w:rFonts w:ascii="MingLiU" w:hAnsi="Times New Roman" w:eastAsia="MingLiU" w:cs="Times New Roman"/>
      <w:b/>
      <w:color w:val="000000"/>
      <w:sz w:val="26"/>
      <w:szCs w:val="24"/>
    </w:rPr>
  </w:style>
  <w:style w:type="character" w:customStyle="1" w:styleId="42">
    <w:name w:val="正文文本 (2)_"/>
    <w:link w:val="43"/>
    <w:qFormat/>
    <w:locked/>
    <w:uiPriority w:val="0"/>
    <w:rPr>
      <w:rFonts w:ascii="黑体" w:eastAsia="黑体" w:cs="黑体"/>
      <w:shd w:val="clear" w:color="auto" w:fill="FFFFFF"/>
    </w:rPr>
  </w:style>
  <w:style w:type="paragraph" w:customStyle="1" w:styleId="43">
    <w:name w:val="正文文本 (2)"/>
    <w:basedOn w:val="1"/>
    <w:link w:val="42"/>
    <w:qFormat/>
    <w:uiPriority w:val="0"/>
    <w:pPr>
      <w:widowControl w:val="0"/>
      <w:shd w:val="clear" w:color="auto" w:fill="FFFFFF"/>
      <w:adjustRightInd/>
      <w:snapToGrid/>
      <w:spacing w:before="600" w:after="0" w:line="460" w:lineRule="exact"/>
      <w:jc w:val="distribute"/>
    </w:pPr>
    <w:rPr>
      <w:rFonts w:ascii="黑体" w:eastAsia="黑体" w:cs="黑体" w:hAnsiTheme="minorHAnsi"/>
    </w:rPr>
  </w:style>
  <w:style w:type="character" w:customStyle="1" w:styleId="44">
    <w:name w:val="num"/>
    <w:uiPriority w:val="0"/>
    <w:rPr>
      <w:b/>
      <w:color w:val="FF7800"/>
    </w:rPr>
  </w:style>
  <w:style w:type="character" w:customStyle="1" w:styleId="45">
    <w:name w:val="正文文本 (2) + 间距 2 pt"/>
    <w:qFormat/>
    <w:uiPriority w:val="0"/>
    <w:rPr>
      <w:rFonts w:ascii="黑体" w:eastAsia="黑体" w:cs="黑体"/>
      <w:color w:val="auto"/>
      <w:spacing w:val="40"/>
      <w:lang w:val="en-US"/>
    </w:rPr>
  </w:style>
  <w:style w:type="character" w:customStyle="1" w:styleId="46">
    <w:name w:val="span-bg"/>
    <w:basedOn w:val="19"/>
    <w:qFormat/>
    <w:uiPriority w:val="0"/>
  </w:style>
  <w:style w:type="character" w:customStyle="1" w:styleId="47">
    <w:name w:val="正文文本 (2) + MS Mincho"/>
    <w:qFormat/>
    <w:uiPriority w:val="0"/>
    <w:rPr>
      <w:rFonts w:ascii="MS Mincho" w:eastAsia="MS Mincho" w:cs="MS Mincho"/>
      <w:color w:val="auto"/>
      <w:sz w:val="22"/>
      <w:szCs w:val="22"/>
      <w:lang w:val="en-US" w:eastAsia="en-US"/>
    </w:rPr>
  </w:style>
  <w:style w:type="paragraph" w:customStyle="1" w:styleId="48">
    <w:name w:val="_Style 38"/>
    <w:qFormat/>
    <w:uiPriority w:val="0"/>
    <w:pPr>
      <w:adjustRightInd w:val="0"/>
      <w:snapToGrid w:val="0"/>
      <w:spacing w:after="200"/>
    </w:pPr>
    <w:rPr>
      <w:rFonts w:ascii="Tahoma" w:hAnsi="Tahoma" w:eastAsia="微软雅黑" w:cstheme="minorBidi"/>
      <w:sz w:val="22"/>
      <w:szCs w:val="22"/>
      <w:lang w:val="en-US" w:eastAsia="zh-CN" w:bidi="ar-SA"/>
    </w:rPr>
  </w:style>
  <w:style w:type="character" w:customStyle="1" w:styleId="49">
    <w:name w:val="span-hover"/>
    <w:basedOn w:val="19"/>
    <w:qFormat/>
    <w:uiPriority w:val="0"/>
  </w:style>
  <w:style w:type="character" w:customStyle="1" w:styleId="50">
    <w:name w:val="release-day"/>
    <w:qFormat/>
    <w:uiPriority w:val="0"/>
    <w:rPr>
      <w:bdr w:val="single" w:color="BDEBB0" w:sz="6" w:space="0"/>
      <w:shd w:val="clear" w:color="auto" w:fill="F5FFF1"/>
    </w:rPr>
  </w:style>
  <w:style w:type="character" w:customStyle="1" w:styleId="51">
    <w:name w:val="legend"/>
    <w:qFormat/>
    <w:uiPriority w:val="0"/>
    <w:rPr>
      <w:rFonts w:hint="default" w:ascii="Arial" w:hAnsi="Arial" w:cs="Arial"/>
      <w:b/>
      <w:color w:val="73B304"/>
      <w:sz w:val="21"/>
      <w:szCs w:val="21"/>
      <w:shd w:val="clear" w:color="auto" w:fill="FFFFFF"/>
    </w:rPr>
  </w:style>
  <w:style w:type="character" w:customStyle="1" w:styleId="52">
    <w:name w:val="span-bg12"/>
    <w:basedOn w:val="19"/>
    <w:qFormat/>
    <w:uiPriority w:val="0"/>
  </w:style>
  <w:style w:type="paragraph" w:customStyle="1" w:styleId="53">
    <w:name w:val="正文文本 (2)1"/>
    <w:basedOn w:val="1"/>
    <w:qFormat/>
    <w:uiPriority w:val="0"/>
    <w:pPr>
      <w:widowControl w:val="0"/>
      <w:shd w:val="clear" w:color="auto" w:fill="FFFFFF"/>
      <w:adjustRightInd/>
      <w:snapToGrid/>
      <w:spacing w:after="0" w:line="435" w:lineRule="exact"/>
      <w:ind w:hanging="420"/>
      <w:jc w:val="distribute"/>
    </w:pPr>
    <w:rPr>
      <w:rFonts w:ascii="MingLiU" w:hAnsi="Times New Roman" w:eastAsia="MingLiU" w:cs="MingLiU"/>
      <w:kern w:val="2"/>
    </w:rPr>
  </w:style>
  <w:style w:type="paragraph" w:customStyle="1" w:styleId="54">
    <w:name w:val="Char Char Char Char Char Char Char Char Char Char"/>
    <w:basedOn w:val="1"/>
    <w:qFormat/>
    <w:uiPriority w:val="0"/>
    <w:pPr>
      <w:adjustRightInd/>
      <w:snapToGrid/>
      <w:spacing w:after="160" w:line="240" w:lineRule="exact"/>
    </w:pPr>
    <w:rPr>
      <w:rFonts w:ascii="Times New Roman" w:hAnsi="Times New Roman" w:eastAsia="宋体" w:cs="Times New Roman"/>
      <w:kern w:val="2"/>
      <w:sz w:val="21"/>
      <w:szCs w:val="24"/>
    </w:rPr>
  </w:style>
  <w:style w:type="character" w:customStyle="1" w:styleId="55">
    <w:name w:val="HTML 预设格式 字符"/>
    <w:basedOn w:val="19"/>
    <w:link w:val="14"/>
    <w:qFormat/>
    <w:uiPriority w:val="0"/>
    <w:rPr>
      <w:rFonts w:ascii="Arial" w:hAnsi="Arial" w:eastAsia="宋体" w:cs="Times New Roman"/>
      <w:sz w:val="24"/>
      <w:szCs w:val="24"/>
    </w:rPr>
  </w:style>
  <w:style w:type="paragraph" w:customStyle="1" w:styleId="56">
    <w:name w:val="Char"/>
    <w:basedOn w:val="1"/>
    <w:uiPriority w:val="0"/>
    <w:pPr>
      <w:widowControl w:val="0"/>
      <w:adjustRightInd/>
      <w:snapToGrid/>
      <w:spacing w:after="0"/>
      <w:jc w:val="both"/>
    </w:pPr>
    <w:rPr>
      <w:rFonts w:eastAsia="宋体" w:cs="Times New Roman"/>
      <w:kern w:val="2"/>
      <w:sz w:val="24"/>
      <w:szCs w:val="20"/>
    </w:rPr>
  </w:style>
  <w:style w:type="paragraph" w:customStyle="1" w:styleId="57">
    <w:name w:val="TOC 标题1"/>
    <w:basedOn w:val="2"/>
    <w:next w:val="1"/>
    <w:semiHidden/>
    <w:unhideWhenUsed/>
    <w:qFormat/>
    <w:uiPriority w:val="39"/>
    <w:pPr>
      <w:keepNext/>
      <w:keepLines/>
      <w:widowControl/>
      <w:spacing w:before="480" w:line="276" w:lineRule="auto"/>
      <w:ind w:left="0"/>
      <w:jc w:val="left"/>
      <w:outlineLvl w:val="9"/>
    </w:pPr>
    <w:rPr>
      <w:rFonts w:ascii="Cambria" w:hAnsi="Cambria" w:eastAsia="宋体" w:cs="Times New Roman"/>
      <w:color w:val="365F91"/>
      <w:kern w:val="0"/>
    </w:rPr>
  </w:style>
  <w:style w:type="character" w:customStyle="1" w:styleId="58">
    <w:name w:val="标题 字符"/>
    <w:basedOn w:val="19"/>
    <w:link w:val="16"/>
    <w:uiPriority w:val="0"/>
    <w:rPr>
      <w:rFonts w:ascii="Cambria" w:hAnsi="Cambria" w:eastAsia="宋体" w:cs="Times New Roman"/>
      <w:b/>
      <w:bCs/>
      <w:kern w:val="2"/>
      <w:sz w:val="32"/>
      <w:szCs w:val="32"/>
    </w:rPr>
  </w:style>
  <w:style w:type="character" w:customStyle="1" w:styleId="59">
    <w:name w:val="副标题 字符"/>
    <w:basedOn w:val="19"/>
    <w:link w:val="12"/>
    <w:uiPriority w:val="0"/>
    <w:rPr>
      <w:rFonts w:ascii="Cambria" w:hAnsi="Cambria" w:eastAsia="宋体" w:cs="Times New Roman"/>
      <w:b/>
      <w:bCs/>
      <w:kern w:val="28"/>
      <w:sz w:val="32"/>
      <w:szCs w:val="32"/>
    </w:rPr>
  </w:style>
  <w:style w:type="paragraph" w:customStyle="1" w:styleId="60">
    <w:name w:val="图标"/>
    <w:basedOn w:val="1"/>
    <w:qFormat/>
    <w:uiPriority w:val="0"/>
    <w:pPr>
      <w:spacing w:after="0"/>
      <w:jc w:val="center"/>
    </w:pPr>
    <w:rPr>
      <w:rFonts w:ascii="Times New Roman" w:hAnsi="Times New Roman" w:eastAsia="宋体" w:cs="Times New Roman"/>
      <w:b/>
      <w:sz w:val="21"/>
      <w:szCs w:val="32"/>
    </w:rPr>
  </w:style>
  <w:style w:type="character" w:customStyle="1" w:styleId="61">
    <w:name w:val="页眉 字符1"/>
    <w:semiHidden/>
    <w:qFormat/>
    <w:uiPriority w:val="99"/>
    <w:rPr>
      <w:sz w:val="18"/>
      <w:szCs w:val="18"/>
    </w:rPr>
  </w:style>
  <w:style w:type="character" w:customStyle="1" w:styleId="62">
    <w:name w:val="页脚 字符1"/>
    <w:semiHidden/>
    <w:qFormat/>
    <w:uiPriority w:val="99"/>
    <w:rPr>
      <w:sz w:val="18"/>
      <w:szCs w:val="18"/>
    </w:rPr>
  </w:style>
  <w:style w:type="paragraph" w:customStyle="1" w:styleId="6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4">
    <w:name w:val="标准书脚_偶数页"/>
    <w:qFormat/>
    <w:uiPriority w:val="0"/>
    <w:pPr>
      <w:spacing w:before="120"/>
      <w:ind w:left="221"/>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3851</Words>
  <Characters>4568</Characters>
  <Lines>40</Lines>
  <Paragraphs>11</Paragraphs>
  <TotalTime>5</TotalTime>
  <ScaleCrop>false</ScaleCrop>
  <LinksUpToDate>false</LinksUpToDate>
  <CharactersWithSpaces>4759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2023-07-04T04:34:00Z</dcterms:created>
  <dc:creator>黄聪</dc:creator>
  <cp:lastModifiedBy>Administrator</cp:lastModifiedBy>
  <dcterms:modified xsi:type="dcterms:W3CDTF">2023-07-05T02:09:42Z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168F61D9693E43F9A07CB77D24151F58</vt:lpwstr>
  </property>
</Properties>
</file>