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pPr>
        <w:pStyle w:val="52"/>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7"/>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2023</w:t>
      </w:r>
      <w:r>
        <w:fldChar w:fldCharType="end"/>
      </w:r>
      <w:bookmarkEnd w:id="7"/>
    </w:p>
    <w:p>
      <w:pPr>
        <w:pStyle w:val="198"/>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农贸市场食品经营管理规范</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Management specification for food business of farmproduce market</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（本草案完成时间：2023.06.14）</w:t>
      </w:r>
      <w:r>
        <w:rPr>
          <w:sz w:val="21"/>
          <w:szCs w:val="28"/>
        </w:rPr>
        <w:fldChar w:fldCharType="end"/>
      </w:r>
      <w:bookmarkEnd w:id="12"/>
    </w:p>
    <w:p>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spacing w:line="360" w:lineRule="exact"/>
        <w:jc w:val="center"/>
        <w:rPr>
          <w:rFonts w:ascii="方正黑体简体" w:eastAsia="方正黑体简体"/>
          <w:b/>
          <w:bCs/>
          <w:color w:val="000000"/>
        </w:rPr>
      </w:pPr>
      <w:bookmarkStart w:id="21" w:name="BookMark1"/>
      <w:bookmarkStart w:id="22" w:name="_Toc90654805"/>
      <w:bookmarkStart w:id="23" w:name="_Toc84666552"/>
      <w:bookmarkStart w:id="24" w:name="_Toc91081578"/>
      <w:bookmarkStart w:id="25" w:name="_Toc90653908"/>
      <w:bookmarkStart w:id="26" w:name="_Toc84606023"/>
      <w:r>
        <w:rPr>
          <w:rFonts w:hint="eastAsia" w:ascii="方正黑体简体" w:hAnsi="宋体" w:eastAsia="方正黑体简体"/>
          <w:sz w:val="32"/>
          <w:szCs w:val="32"/>
        </w:rPr>
        <w:t>目　　次</w:t>
      </w:r>
    </w:p>
    <w:p>
      <w:pPr>
        <w:spacing w:line="280" w:lineRule="exact"/>
        <w:rPr>
          <w:rFonts w:ascii="方正黑体简体" w:eastAsia="方正黑体简体"/>
          <w:color w:val="000000"/>
        </w:rPr>
      </w:pPr>
    </w:p>
    <w:p>
      <w:pPr>
        <w:spacing w:line="280" w:lineRule="exact"/>
        <w:rPr>
          <w:rFonts w:ascii="方正黑体简体" w:eastAsia="方正黑体简体"/>
          <w:color w:val="000000"/>
        </w:rPr>
      </w:pPr>
    </w:p>
    <w:p>
      <w:pPr>
        <w:tabs>
          <w:tab w:val="right" w:leader="middleDot" w:pos="9450"/>
        </w:tabs>
        <w:spacing w:line="360" w:lineRule="exact"/>
        <w:ind w:firstLine="315" w:firstLineChars="150"/>
        <w:rPr>
          <w:rFonts w:ascii="宋体" w:hAnsi="宋体"/>
        </w:rPr>
      </w:pPr>
      <w:r>
        <w:rPr>
          <w:rFonts w:hint="eastAsia" w:ascii="宋体" w:hAnsi="宋体"/>
        </w:rPr>
        <w:t>前言</w:t>
      </w:r>
      <w:r>
        <w:rPr>
          <w:rFonts w:eastAsia="方正书宋简体"/>
        </w:rPr>
        <w:tab/>
      </w:r>
      <w:r>
        <w:rPr>
          <w:rFonts w:hint="eastAsia" w:eastAsia="方正书宋简体"/>
        </w:rPr>
        <w:t xml:space="preserve"> </w:t>
      </w:r>
      <w:r>
        <w:rPr>
          <w:rFonts w:ascii="Times New Roman" w:hAnsi="Times New Roman"/>
        </w:rPr>
        <w:t>Ⅱ</w:t>
      </w:r>
    </w:p>
    <w:p>
      <w:pPr>
        <w:tabs>
          <w:tab w:val="right" w:leader="middleDot" w:pos="9450"/>
        </w:tabs>
        <w:spacing w:line="360" w:lineRule="exact"/>
        <w:ind w:firstLine="315" w:firstLineChars="150"/>
        <w:rPr>
          <w:rFonts w:ascii="宋体" w:hAnsi="宋体"/>
          <w:color w:val="auto"/>
        </w:rPr>
      </w:pPr>
      <w:r>
        <w:rPr>
          <w:rFonts w:hint="eastAsia" w:ascii="宋体" w:hAnsi="宋体"/>
        </w:rPr>
        <w:t>1　范</w:t>
      </w:r>
      <w:r>
        <w:rPr>
          <w:rFonts w:hint="eastAsia" w:ascii="宋体" w:hAnsi="宋体"/>
          <w:color w:val="auto"/>
        </w:rPr>
        <w:t>围</w:t>
      </w:r>
      <w:r>
        <w:rPr>
          <w:rFonts w:eastAsia="方正书宋简体"/>
          <w:color w:val="auto"/>
        </w:rPr>
        <w:tab/>
      </w:r>
      <w:r>
        <w:rPr>
          <w:rFonts w:hint="eastAsia" w:eastAsia="方正书宋简体"/>
          <w:color w:val="auto"/>
        </w:rPr>
        <w:t xml:space="preserve"> </w:t>
      </w:r>
      <w:r>
        <w:rPr>
          <w:rFonts w:hint="eastAsia" w:ascii="宋体" w:hAnsi="宋体"/>
          <w:color w:val="auto"/>
        </w:rPr>
        <w:t>1</w:t>
      </w:r>
    </w:p>
    <w:p>
      <w:pPr>
        <w:tabs>
          <w:tab w:val="right" w:leader="middleDot" w:pos="9450"/>
        </w:tabs>
        <w:spacing w:line="360" w:lineRule="exact"/>
        <w:ind w:firstLine="315" w:firstLineChars="150"/>
        <w:rPr>
          <w:rFonts w:ascii="宋体" w:hAnsi="宋体"/>
          <w:color w:val="auto"/>
        </w:rPr>
      </w:pPr>
      <w:r>
        <w:rPr>
          <w:rFonts w:hint="eastAsia" w:ascii="宋体" w:hAnsi="宋体"/>
          <w:color w:val="auto"/>
        </w:rPr>
        <w:t>2　规范性引用文件</w:t>
      </w:r>
      <w:r>
        <w:rPr>
          <w:rFonts w:eastAsia="方正书宋简体"/>
          <w:color w:val="auto"/>
        </w:rPr>
        <w:tab/>
      </w:r>
      <w:r>
        <w:rPr>
          <w:rFonts w:hint="eastAsia" w:eastAsia="方正书宋简体"/>
          <w:color w:val="auto"/>
        </w:rPr>
        <w:t xml:space="preserve"> </w:t>
      </w:r>
      <w:r>
        <w:rPr>
          <w:rFonts w:hint="eastAsia" w:ascii="宋体" w:hAnsi="宋体"/>
          <w:color w:val="auto"/>
        </w:rPr>
        <w:t>1</w:t>
      </w:r>
    </w:p>
    <w:p>
      <w:pPr>
        <w:tabs>
          <w:tab w:val="right" w:leader="middleDot" w:pos="9450"/>
        </w:tabs>
        <w:spacing w:line="360" w:lineRule="exact"/>
        <w:ind w:firstLine="315" w:firstLineChars="150"/>
        <w:rPr>
          <w:rFonts w:ascii="宋体" w:hAnsi="宋体"/>
          <w:color w:val="auto"/>
        </w:rPr>
      </w:pPr>
      <w:r>
        <w:rPr>
          <w:rFonts w:hint="eastAsia" w:ascii="宋体" w:hAnsi="宋体"/>
          <w:color w:val="auto"/>
        </w:rPr>
        <w:t>3　术语和定义</w:t>
      </w:r>
      <w:r>
        <w:rPr>
          <w:rFonts w:eastAsia="方正书宋简体"/>
          <w:color w:val="auto"/>
        </w:rPr>
        <w:tab/>
      </w:r>
      <w:r>
        <w:rPr>
          <w:rFonts w:hint="eastAsia" w:eastAsia="方正书宋简体"/>
          <w:color w:val="auto"/>
        </w:rPr>
        <w:t xml:space="preserve"> </w:t>
      </w:r>
      <w:r>
        <w:rPr>
          <w:rFonts w:hint="eastAsia" w:ascii="宋体" w:hAnsi="宋体"/>
          <w:color w:val="auto"/>
        </w:rPr>
        <w:t>1</w:t>
      </w:r>
    </w:p>
    <w:p>
      <w:pPr>
        <w:tabs>
          <w:tab w:val="right" w:leader="middleDot" w:pos="9450"/>
        </w:tabs>
        <w:spacing w:line="360" w:lineRule="exact"/>
        <w:ind w:firstLine="315" w:firstLineChars="150"/>
        <w:rPr>
          <w:rFonts w:ascii="宋体" w:hAnsi="宋体"/>
          <w:color w:val="auto"/>
        </w:rPr>
      </w:pPr>
      <w:r>
        <w:rPr>
          <w:rFonts w:hint="eastAsia" w:ascii="宋体" w:hAnsi="宋体"/>
          <w:color w:val="auto"/>
        </w:rPr>
        <w:t>4  场所要求</w:t>
      </w:r>
      <w:r>
        <w:rPr>
          <w:rFonts w:eastAsia="方正书宋简体"/>
          <w:color w:val="auto"/>
        </w:rPr>
        <w:tab/>
      </w:r>
      <w:r>
        <w:rPr>
          <w:rFonts w:hint="eastAsia" w:eastAsia="方正书宋简体"/>
          <w:color w:val="auto"/>
        </w:rPr>
        <w:t xml:space="preserve"> </w:t>
      </w:r>
      <w:r>
        <w:rPr>
          <w:rFonts w:hint="eastAsia" w:ascii="宋体" w:hAnsi="宋体"/>
          <w:color w:val="auto"/>
        </w:rPr>
        <w:t>1</w:t>
      </w:r>
    </w:p>
    <w:p>
      <w:pPr>
        <w:tabs>
          <w:tab w:val="right" w:leader="middleDot" w:pos="9450"/>
        </w:tabs>
        <w:spacing w:line="360" w:lineRule="exact"/>
        <w:ind w:firstLine="315" w:firstLineChars="150"/>
        <w:rPr>
          <w:rFonts w:ascii="宋体" w:hAnsi="宋体"/>
          <w:color w:val="auto"/>
        </w:rPr>
      </w:pPr>
      <w:r>
        <w:rPr>
          <w:rFonts w:hint="eastAsia" w:ascii="宋体" w:hAnsi="宋体"/>
          <w:color w:val="auto"/>
        </w:rPr>
        <w:t>5  经营设施设备要求</w:t>
      </w:r>
      <w:r>
        <w:rPr>
          <w:rFonts w:eastAsia="方正书宋简体"/>
          <w:color w:val="auto"/>
        </w:rPr>
        <w:tab/>
      </w:r>
      <w:r>
        <w:rPr>
          <w:rFonts w:hint="eastAsia" w:eastAsia="方正书宋简体"/>
          <w:color w:val="auto"/>
        </w:rPr>
        <w:t xml:space="preserve"> </w:t>
      </w:r>
      <w:r>
        <w:rPr>
          <w:rFonts w:hint="eastAsia" w:ascii="宋体" w:hAnsi="宋体"/>
          <w:color w:val="auto"/>
        </w:rPr>
        <w:t>2</w:t>
      </w:r>
    </w:p>
    <w:p>
      <w:pPr>
        <w:tabs>
          <w:tab w:val="right" w:leader="middleDot" w:pos="9450"/>
        </w:tabs>
        <w:spacing w:line="360" w:lineRule="exact"/>
        <w:ind w:firstLine="315" w:firstLineChars="150"/>
        <w:rPr>
          <w:rFonts w:hint="eastAsia" w:ascii="宋体" w:hAnsi="宋体" w:eastAsia="方正书宋简体"/>
          <w:color w:val="auto"/>
          <w:lang w:eastAsia="zh-CN"/>
        </w:rPr>
      </w:pPr>
      <w:r>
        <w:rPr>
          <w:rFonts w:hint="eastAsia" w:ascii="宋体" w:hAnsi="宋体"/>
          <w:color w:val="auto"/>
        </w:rPr>
        <w:t>6  经营管理要求</w:t>
      </w:r>
      <w:r>
        <w:rPr>
          <w:rFonts w:eastAsia="方正书宋简体"/>
          <w:color w:val="auto"/>
        </w:rPr>
        <w:tab/>
      </w:r>
      <w:r>
        <w:rPr>
          <w:rFonts w:hint="eastAsia" w:eastAsia="方正书宋简体"/>
          <w:color w:val="auto"/>
        </w:rPr>
        <w:t xml:space="preserve"> </w:t>
      </w:r>
      <w:r>
        <w:rPr>
          <w:rFonts w:hint="eastAsia" w:ascii="宋体" w:hAnsi="宋体" w:eastAsia="方正书宋简体"/>
          <w:color w:val="auto"/>
          <w:lang w:val="en-US" w:eastAsia="zh-CN"/>
        </w:rPr>
        <w:t>3</w:t>
      </w:r>
    </w:p>
    <w:p>
      <w:pPr>
        <w:tabs>
          <w:tab w:val="right" w:leader="middleDot" w:pos="9450"/>
        </w:tabs>
        <w:spacing w:line="360" w:lineRule="exact"/>
        <w:ind w:firstLine="315" w:firstLineChars="150"/>
        <w:rPr>
          <w:rFonts w:hint="eastAsia" w:ascii="宋体" w:hAnsi="宋体" w:eastAsia="方正书宋简体"/>
          <w:color w:val="auto"/>
          <w:lang w:val="en-US" w:eastAsia="zh-CN"/>
        </w:rPr>
      </w:pPr>
      <w:r>
        <w:rPr>
          <w:rFonts w:hint="eastAsia" w:ascii="宋体" w:hAnsi="宋体"/>
          <w:color w:val="auto"/>
        </w:rPr>
        <w:t>参考文献</w:t>
      </w:r>
      <w:r>
        <w:rPr>
          <w:rFonts w:eastAsia="方正书宋简体"/>
          <w:color w:val="auto"/>
        </w:rPr>
        <w:tab/>
      </w:r>
      <w:r>
        <w:rPr>
          <w:rFonts w:hint="eastAsia" w:eastAsia="方正书宋简体"/>
          <w:color w:val="auto"/>
        </w:rPr>
        <w:t xml:space="preserve"> </w:t>
      </w:r>
      <w:r>
        <w:rPr>
          <w:rFonts w:hint="eastAsia" w:eastAsia="方正书宋简体"/>
          <w:color w:val="auto"/>
          <w:lang w:val="en-US" w:eastAsia="zh-CN"/>
        </w:rPr>
        <w:t>7</w:t>
      </w:r>
    </w:p>
    <w:p>
      <w:pPr>
        <w:pStyle w:val="93"/>
        <w:spacing w:after="468"/>
        <w:rPr>
          <w:color w:val="auto"/>
        </w:rPr>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type="lines" w:linePitch="312" w:charSpace="0"/>
        </w:sectPr>
      </w:pPr>
    </w:p>
    <w:bookmarkEnd w:id="21"/>
    <w:p>
      <w:pPr>
        <w:pStyle w:val="91"/>
        <w:spacing w:after="468"/>
      </w:pPr>
      <w:bookmarkStart w:id="27" w:name="_Toc1687"/>
      <w:bookmarkStart w:id="28" w:name="BookMark2"/>
      <w:r>
        <w:rPr>
          <w:spacing w:val="320"/>
        </w:rPr>
        <w:t>前</w:t>
      </w:r>
      <w:r>
        <w:t>言</w:t>
      </w:r>
      <w:bookmarkEnd w:id="22"/>
      <w:bookmarkEnd w:id="23"/>
      <w:bookmarkEnd w:id="24"/>
      <w:bookmarkEnd w:id="25"/>
      <w:bookmarkEnd w:id="26"/>
      <w:bookmarkEnd w:id="27"/>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请注意本文件的某些内容可能涉及专利，本部分的发布机构不承担识别这些专利的责任。</w:t>
      </w:r>
    </w:p>
    <w:p>
      <w:pPr>
        <w:pStyle w:val="58"/>
        <w:ind w:firstLine="420"/>
      </w:pPr>
      <w:r>
        <w:rPr>
          <w:rFonts w:hint="eastAsia"/>
        </w:rPr>
        <w:t>本文件由湖南省市场监督管理局提出。</w:t>
      </w:r>
    </w:p>
    <w:p>
      <w:pPr>
        <w:pStyle w:val="58"/>
        <w:ind w:firstLine="420"/>
      </w:pPr>
      <w:r>
        <w:rPr>
          <w:rFonts w:hint="eastAsia" w:hAnsi="宋体"/>
        </w:rPr>
        <w:t>本</w:t>
      </w:r>
      <w:r>
        <w:rPr>
          <w:rFonts w:hint="eastAsia"/>
        </w:rPr>
        <w:t>文件</w:t>
      </w:r>
      <w:r>
        <w:rPr>
          <w:rFonts w:hint="eastAsia" w:hAnsi="宋体"/>
        </w:rPr>
        <w:t>由</w:t>
      </w:r>
      <w:r>
        <w:rPr>
          <w:rFonts w:hint="eastAsia"/>
        </w:rPr>
        <w:t>湖南省食品安全标准化技术委员会</w:t>
      </w:r>
      <w:r>
        <w:rPr>
          <w:rFonts w:hint="eastAsia" w:hAnsi="宋体"/>
        </w:rPr>
        <w:t>归口。</w:t>
      </w:r>
    </w:p>
    <w:p>
      <w:pPr>
        <w:pStyle w:val="58"/>
        <w:ind w:firstLine="420"/>
      </w:pPr>
      <w:r>
        <w:rPr>
          <w:rFonts w:hint="eastAsia"/>
        </w:rPr>
        <w:t>本文件主要起草单位：湖南省产商品评审中心。</w:t>
      </w:r>
    </w:p>
    <w:p>
      <w:pPr>
        <w:pStyle w:val="58"/>
        <w:ind w:firstLine="420"/>
      </w:pPr>
      <w:r>
        <w:rPr>
          <w:rFonts w:hint="eastAsia"/>
        </w:rPr>
        <w:t>本文件主要起草人：</w:t>
      </w:r>
    </w:p>
    <w:p>
      <w:pPr>
        <w:pStyle w:val="58"/>
        <w:ind w:firstLine="420"/>
      </w:pPr>
    </w:p>
    <w:p>
      <w:pPr>
        <w:pStyle w:val="58"/>
        <w:ind w:firstLine="420"/>
      </w:pPr>
    </w:p>
    <w:bookmarkEnd w:id="28"/>
    <w:p>
      <w:pPr>
        <w:pStyle w:val="58"/>
        <w:ind w:firstLine="420"/>
        <w:sectPr>
          <w:pgSz w:w="11906" w:h="16838"/>
          <w:pgMar w:top="2410" w:right="1134" w:bottom="1134" w:left="1134" w:header="1418" w:footer="1134" w:gutter="284"/>
          <w:pgNumType w:fmt="upperRoman"/>
          <w:cols w:space="425" w:num="1"/>
          <w:formProt w:val="0"/>
          <w:docGrid w:type="lines" w:linePitch="312" w:charSpace="0"/>
        </w:sectPr>
      </w:pPr>
    </w:p>
    <w:p>
      <w:pPr>
        <w:spacing w:line="20" w:lineRule="exact"/>
        <w:jc w:val="center"/>
        <w:rPr>
          <w:rFonts w:ascii="黑体" w:hAnsi="黑体" w:eastAsia="黑体"/>
          <w:sz w:val="32"/>
          <w:szCs w:val="32"/>
        </w:rPr>
      </w:pPr>
      <w:bookmarkStart w:id="29" w:name="BookMark4"/>
    </w:p>
    <w:p>
      <w:pPr>
        <w:spacing w:line="20" w:lineRule="exact"/>
        <w:jc w:val="center"/>
        <w:rPr>
          <w:rFonts w:ascii="黑体" w:hAnsi="黑体" w:eastAsia="黑体"/>
          <w:sz w:val="32"/>
          <w:szCs w:val="32"/>
        </w:rPr>
      </w:pPr>
    </w:p>
    <w:sdt>
      <w:sdtPr>
        <w:tag w:val="NEW_STAND_NAME"/>
        <w:id w:val="595910757"/>
        <w:lock w:val="sdtLocked"/>
        <w:placeholder>
          <w:docPart w:val="CAAE122DC8A54E0689C11851D9894DD1"/>
        </w:placeholder>
      </w:sdtPr>
      <w:sdtContent>
        <w:p>
          <w:pPr>
            <w:pStyle w:val="179"/>
            <w:spacing w:before="3" w:beforeLines="1" w:after="686" w:afterLines="220"/>
          </w:pPr>
          <w:bookmarkStart w:id="30" w:name="NEW_STAND_NAME"/>
          <w:r>
            <w:rPr>
              <w:rFonts w:hint="eastAsia"/>
            </w:rPr>
            <w:t>农贸市场食品经营管理规范</w:t>
          </w:r>
        </w:p>
      </w:sdtContent>
    </w:sdt>
    <w:bookmarkEnd w:id="30"/>
    <w:p>
      <w:pPr>
        <w:pStyle w:val="106"/>
        <w:spacing w:before="312" w:after="312"/>
      </w:pPr>
      <w:bookmarkStart w:id="31" w:name="_Toc84666553"/>
      <w:bookmarkStart w:id="32" w:name="_Toc17233333"/>
      <w:bookmarkStart w:id="33" w:name="_Toc5038"/>
      <w:bookmarkStart w:id="34" w:name="_Toc24884218"/>
      <w:bookmarkStart w:id="35" w:name="_Toc17233325"/>
      <w:bookmarkStart w:id="36" w:name="_Toc84606024"/>
      <w:bookmarkStart w:id="37" w:name="_Toc26986771"/>
      <w:bookmarkStart w:id="38" w:name="_Toc90654806"/>
      <w:bookmarkStart w:id="39" w:name="_Toc24884211"/>
      <w:bookmarkStart w:id="40" w:name="_Toc83889506"/>
      <w:bookmarkStart w:id="41" w:name="_Toc26986530"/>
      <w:bookmarkStart w:id="42" w:name="_Toc91081580"/>
      <w:bookmarkStart w:id="43" w:name="_Toc26648465"/>
      <w:bookmarkStart w:id="44" w:name="_Toc26718930"/>
      <w:bookmarkStart w:id="45" w:name="_Toc90653909"/>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pStyle w:val="35"/>
      </w:pPr>
      <w:bookmarkStart w:id="46" w:name="_Toc24884219"/>
      <w:bookmarkStart w:id="47" w:name="_Toc17233326"/>
      <w:bookmarkStart w:id="48" w:name="_Toc24884212"/>
      <w:bookmarkStart w:id="49" w:name="_Toc17233334"/>
      <w:bookmarkStart w:id="50" w:name="_Toc26648466"/>
      <w:r>
        <w:rPr>
          <w:rFonts w:hint="eastAsia"/>
        </w:rPr>
        <w:t>本文件规定了农贸市场食品和食用农产品经营环境要求、经营设施设备要求和经营管理要求。</w:t>
      </w:r>
    </w:p>
    <w:p>
      <w:pPr>
        <w:pStyle w:val="35"/>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本文件适用于农贸市场的食品经营管理。</w:t>
      </w:r>
    </w:p>
    <w:p>
      <w:pPr>
        <w:pStyle w:val="35"/>
        <w:rPr>
          <w:rFonts w:hint="default" w:eastAsia="宋体"/>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本文件适用于农贸市场的食用农产品</w:t>
      </w:r>
      <w:r>
        <w:rPr>
          <w:rFonts w:hint="eastAsia"/>
          <w:color w:val="000000" w:themeColor="text1"/>
          <w:lang w:val="en-US" w:eastAsia="zh-CN"/>
          <w14:textFill>
            <w14:solidFill>
              <w14:schemeClr w14:val="tx1"/>
            </w14:solidFill>
          </w14:textFill>
        </w:rPr>
        <w:t>市场销售管理，不适用于活禽交易。</w:t>
      </w:r>
    </w:p>
    <w:p>
      <w:pPr>
        <w:pStyle w:val="35"/>
        <w:rPr>
          <w:color w:val="000000" w:themeColor="text1"/>
          <w14:textFill>
            <w14:solidFill>
              <w14:schemeClr w14:val="tx1"/>
            </w14:solidFill>
          </w14:textFill>
        </w:rPr>
      </w:pPr>
    </w:p>
    <w:p>
      <w:pPr>
        <w:pStyle w:val="106"/>
        <w:spacing w:before="312" w:after="312"/>
      </w:pPr>
      <w:bookmarkStart w:id="51" w:name="_Toc26986772"/>
      <w:bookmarkStart w:id="52" w:name="_Toc26986531"/>
      <w:bookmarkStart w:id="53" w:name="_Toc262"/>
      <w:bookmarkStart w:id="54" w:name="_Toc83889507"/>
      <w:bookmarkStart w:id="55" w:name="_Toc90653910"/>
      <w:bookmarkStart w:id="56" w:name="_Toc91081581"/>
      <w:bookmarkStart w:id="57" w:name="_Toc90654807"/>
      <w:bookmarkStart w:id="58" w:name="_Toc84666554"/>
      <w:bookmarkStart w:id="59" w:name="_Toc84606025"/>
      <w:bookmarkStart w:id="60" w:name="_Toc26718931"/>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sdt>
      <w:sdtPr>
        <w:rPr>
          <w:rFonts w:hint="eastAsia"/>
        </w:rPr>
        <w:id w:val="715848253"/>
        <w:placeholder>
          <w:docPart w:val="075D139548A94026BE4C88D47E2CAB9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pPr>
      <w:r>
        <w:rPr>
          <w:rFonts w:hint="eastAsia"/>
        </w:rPr>
        <w:t>GB/T 191          包装储运图示标志</w:t>
      </w:r>
    </w:p>
    <w:p>
      <w:pPr>
        <w:pStyle w:val="35"/>
      </w:pPr>
      <w:r>
        <w:rPr>
          <w:rFonts w:hint="eastAsia"/>
        </w:rPr>
        <w:t>GB 2760           食品安全国家标准 食品添加剂使用标准</w:t>
      </w:r>
    </w:p>
    <w:p>
      <w:pPr>
        <w:pStyle w:val="35"/>
      </w:pPr>
      <w:r>
        <w:rPr>
          <w:rFonts w:hint="eastAsia"/>
        </w:rPr>
        <w:t>GB 5749           食品安全国家标准 生活饮用水卫生标准</w:t>
      </w:r>
    </w:p>
    <w:p>
      <w:pPr>
        <w:pStyle w:val="35"/>
      </w:pPr>
      <w:r>
        <w:rPr>
          <w:rFonts w:hint="eastAsia"/>
        </w:rPr>
        <w:t>GB 14930.1        食品安全国家标准 洗涤剂</w:t>
      </w:r>
    </w:p>
    <w:p>
      <w:pPr>
        <w:pStyle w:val="35"/>
      </w:pPr>
      <w:r>
        <w:t>GB 14930.</w:t>
      </w:r>
      <w:r>
        <w:rPr>
          <w:rFonts w:hint="eastAsia"/>
        </w:rPr>
        <w:t>2        食品安全国家标准 消毒剂</w:t>
      </w:r>
    </w:p>
    <w:p>
      <w:pPr>
        <w:pStyle w:val="35"/>
      </w:pPr>
      <w:r>
        <w:rPr>
          <w:rFonts w:hint="eastAsia"/>
        </w:rPr>
        <w:t>GB 20799          食品安全国家标准 肉和肉制品经营卫生规范</w:t>
      </w:r>
    </w:p>
    <w:p>
      <w:pPr>
        <w:pStyle w:val="35"/>
      </w:pPr>
      <w:r>
        <w:rPr>
          <w:rFonts w:hint="eastAsia"/>
        </w:rPr>
        <w:t>GB/T 21720-2022   农贸市场管理技术规范</w:t>
      </w:r>
    </w:p>
    <w:p>
      <w:pPr>
        <w:pStyle w:val="35"/>
      </w:pPr>
      <w:r>
        <w:rPr>
          <w:rFonts w:hint="eastAsia"/>
        </w:rPr>
        <w:t>GB 29924          食品安全国家标准 食品添加剂标识通则</w:t>
      </w:r>
    </w:p>
    <w:p>
      <w:pPr>
        <w:pStyle w:val="35"/>
      </w:pPr>
      <w:r>
        <w:rPr>
          <w:rFonts w:hint="eastAsia"/>
        </w:rPr>
        <w:t>GB 31621          食品安全国家标准 食品经营过程卫生规范</w:t>
      </w:r>
    </w:p>
    <w:p>
      <w:pPr>
        <w:pStyle w:val="35"/>
      </w:pPr>
      <w:r>
        <w:rPr>
          <w:rFonts w:hint="eastAsia"/>
        </w:rPr>
        <w:t>GB 31654          食品安全国家标准 餐饮服务通用卫生规范</w:t>
      </w:r>
    </w:p>
    <w:p>
      <w:pPr>
        <w:pStyle w:val="35"/>
        <w:rPr>
          <w:rFonts w:hAnsi="宋体" w:cs="宋体"/>
        </w:rPr>
      </w:pPr>
      <w:r>
        <w:rPr>
          <w:rFonts w:hint="eastAsia" w:hAnsi="宋体" w:cs="宋体"/>
        </w:rPr>
        <w:t>GB 50736          民用建筑供暖通风与空气调节设计规范</w:t>
      </w:r>
    </w:p>
    <w:p>
      <w:pPr>
        <w:pStyle w:val="106"/>
        <w:spacing w:before="312" w:after="312"/>
      </w:pPr>
      <w:bookmarkStart w:id="61" w:name="_Toc83889508"/>
      <w:bookmarkStart w:id="62" w:name="_Toc90653911"/>
      <w:bookmarkStart w:id="63" w:name="_Toc84606026"/>
      <w:bookmarkStart w:id="64" w:name="_Toc91081582"/>
      <w:bookmarkStart w:id="65" w:name="_Toc6097"/>
      <w:bookmarkStart w:id="66" w:name="_Toc90654808"/>
      <w:bookmarkStart w:id="67" w:name="_Toc84666555"/>
      <w:r>
        <w:rPr>
          <w:rFonts w:hint="eastAsia"/>
          <w:szCs w:val="21"/>
        </w:rPr>
        <w:t>术语和定义</w:t>
      </w:r>
      <w:bookmarkEnd w:id="61"/>
      <w:bookmarkEnd w:id="62"/>
      <w:bookmarkEnd w:id="63"/>
      <w:bookmarkEnd w:id="64"/>
      <w:bookmarkEnd w:id="65"/>
      <w:bookmarkEnd w:id="66"/>
      <w:bookmarkEnd w:id="67"/>
    </w:p>
    <w:p>
      <w:pPr>
        <w:pStyle w:val="58"/>
        <w:ind w:firstLine="420"/>
      </w:pPr>
      <w:r>
        <w:t>下列术语和定义适用于本文件。</w:t>
      </w:r>
    </w:p>
    <w:p>
      <w:pPr>
        <w:pStyle w:val="238"/>
        <w:widowControl w:val="0"/>
        <w:spacing w:before="156" w:beforeLines="50" w:after="156" w:afterLines="50" w:line="324" w:lineRule="exact"/>
        <w:jc w:val="both"/>
        <w:rPr>
          <w:rFonts w:ascii="黑体" w:hAnsi="黑体" w:eastAsia="黑体"/>
          <w:kern w:val="2"/>
          <w:sz w:val="21"/>
          <w:szCs w:val="24"/>
        </w:rPr>
      </w:pPr>
      <w:r>
        <w:rPr>
          <w:rFonts w:hint="eastAsia" w:ascii="黑体" w:hAnsi="黑体" w:eastAsia="黑体"/>
          <w:kern w:val="2"/>
          <w:sz w:val="21"/>
          <w:szCs w:val="24"/>
        </w:rPr>
        <w:t>3.1　经营点位</w:t>
      </w:r>
    </w:p>
    <w:p>
      <w:pPr>
        <w:pStyle w:val="58"/>
        <w:ind w:firstLine="420"/>
      </w:pPr>
      <w:r>
        <w:rPr>
          <w:rFonts w:hint="eastAsia"/>
        </w:rPr>
        <w:t>农贸市场内商品经营者从事</w:t>
      </w:r>
      <w:r>
        <w:rPr>
          <w:rFonts w:hint="eastAsia"/>
          <w:lang w:val="en-US" w:eastAsia="zh-CN"/>
        </w:rPr>
        <w:t>食品和食用农产品</w:t>
      </w:r>
      <w:r>
        <w:rPr>
          <w:rFonts w:hint="eastAsia"/>
        </w:rPr>
        <w:t>经营活动的特定区域。</w:t>
      </w:r>
    </w:p>
    <w:p>
      <w:pPr>
        <w:pStyle w:val="238"/>
        <w:widowControl w:val="0"/>
        <w:spacing w:before="156" w:beforeLines="50" w:after="156" w:afterLines="50" w:line="324" w:lineRule="exact"/>
        <w:jc w:val="both"/>
        <w:rPr>
          <w:rFonts w:ascii="黑体" w:hAnsi="黑体" w:eastAsia="黑体"/>
          <w:kern w:val="2"/>
          <w:sz w:val="21"/>
          <w:szCs w:val="24"/>
        </w:rPr>
      </w:pPr>
      <w:r>
        <w:rPr>
          <w:rFonts w:hint="eastAsia" w:ascii="黑体" w:hAnsi="黑体" w:eastAsia="黑体"/>
          <w:kern w:val="2"/>
          <w:sz w:val="21"/>
          <w:szCs w:val="24"/>
        </w:rPr>
        <w:t>3.2　其他术语和定义</w:t>
      </w:r>
    </w:p>
    <w:sdt>
      <w:sdtPr>
        <w:id w:val="-1909835108"/>
        <w:placeholder>
          <w:docPart w:val="{aac50114-f676-4918-86d1-48f7fd5c51b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238"/>
            <w:widowControl w:val="0"/>
            <w:overflowPunct w:val="0"/>
            <w:spacing w:line="324" w:lineRule="exact"/>
            <w:ind w:firstLine="400" w:firstLineChars="200"/>
            <w:jc w:val="both"/>
          </w:pPr>
          <w:bookmarkStart w:id="68" w:name="_Toc26986532"/>
          <w:bookmarkEnd w:id="68"/>
          <w:r>
            <w:rPr>
              <w:rFonts w:hint="eastAsia"/>
            </w:rPr>
            <w:t>GB/T 21720</w:t>
          </w:r>
          <w:r>
            <w:rPr>
              <w:rFonts w:ascii="宋体" w:hAnsi="Times New Roman" w:eastAsia="宋体"/>
              <w:sz w:val="21"/>
            </w:rPr>
            <w:t>界定的术语和定义适用于本文件。</w:t>
          </w:r>
        </w:p>
      </w:sdtContent>
    </w:sdt>
    <w:p>
      <w:pPr>
        <w:pStyle w:val="106"/>
        <w:spacing w:before="312" w:after="312"/>
      </w:pPr>
      <w:bookmarkStart w:id="69" w:name="_Toc90653912"/>
      <w:bookmarkStart w:id="70" w:name="_Toc77668368"/>
      <w:bookmarkStart w:id="71" w:name="_Toc91081583"/>
      <w:bookmarkStart w:id="72" w:name="_Toc84606027"/>
      <w:bookmarkStart w:id="73" w:name="_Toc77608069"/>
      <w:bookmarkStart w:id="74" w:name="_Toc84666556"/>
      <w:bookmarkStart w:id="75" w:name="_Toc90654809"/>
      <w:r>
        <w:rPr>
          <w:rFonts w:hint="eastAsia"/>
        </w:rPr>
        <w:t>经营环境要求</w:t>
      </w:r>
    </w:p>
    <w:p>
      <w:pPr>
        <w:pStyle w:val="67"/>
        <w:numPr>
          <w:ilvl w:val="3"/>
          <w:numId w:val="0"/>
        </w:numPr>
        <w:spacing w:before="0" w:beforeLines="0" w:after="0" w:afterLines="0"/>
        <w:ind w:leftChars="0"/>
        <w:rPr>
          <w:rFonts w:ascii="宋体" w:hAnsi="宋体" w:eastAsia="宋体" w:cs="宋体"/>
        </w:rPr>
      </w:pPr>
      <w:r>
        <w:rPr>
          <w:rFonts w:hint="eastAsia" w:hAnsi="黑体"/>
          <w:kern w:val="2"/>
          <w:sz w:val="21"/>
          <w:szCs w:val="24"/>
          <w:lang w:val="en-US" w:eastAsia="zh-CN"/>
        </w:rPr>
        <w:t>4</w:t>
      </w:r>
      <w:r>
        <w:rPr>
          <w:rFonts w:hint="eastAsia" w:ascii="黑体" w:hAnsi="黑体" w:eastAsia="黑体"/>
          <w:kern w:val="2"/>
          <w:sz w:val="21"/>
          <w:szCs w:val="24"/>
        </w:rPr>
        <w:t>.1　</w:t>
      </w:r>
      <w:r>
        <w:rPr>
          <w:rFonts w:hint="eastAsia" w:ascii="宋体" w:hAnsi="宋体" w:eastAsia="宋体" w:cs="宋体"/>
        </w:rPr>
        <w:t>农贸市场经营环境应符合GB/T</w:t>
      </w:r>
      <w:r>
        <w:rPr>
          <w:rFonts w:hint="eastAsia" w:ascii="宋体" w:hAnsi="宋体" w:eastAsia="宋体" w:cs="宋体"/>
          <w:lang w:val="en-US" w:eastAsia="zh-CN"/>
        </w:rPr>
        <w:t xml:space="preserve"> </w:t>
      </w:r>
      <w:r>
        <w:rPr>
          <w:rFonts w:hint="eastAsia" w:ascii="宋体" w:hAnsi="宋体" w:eastAsia="宋体" w:cs="宋体"/>
        </w:rPr>
        <w:t>21720-2022中4的规定。</w:t>
      </w:r>
    </w:p>
    <w:p>
      <w:pPr>
        <w:pStyle w:val="67"/>
        <w:numPr>
          <w:ilvl w:val="3"/>
          <w:numId w:val="0"/>
        </w:numPr>
        <w:spacing w:before="0" w:beforeLines="0" w:after="0" w:afterLines="0"/>
        <w:ind w:leftChars="0"/>
        <w:rPr>
          <w:rFonts w:hint="eastAsia" w:ascii="宋体" w:hAnsi="宋体" w:eastAsia="宋体" w:cs="宋体"/>
        </w:rPr>
      </w:pPr>
      <w:r>
        <w:rPr>
          <w:rFonts w:hint="eastAsia" w:hAnsi="黑体"/>
          <w:kern w:val="2"/>
          <w:sz w:val="21"/>
          <w:szCs w:val="24"/>
          <w:lang w:val="en-US" w:eastAsia="zh-CN"/>
        </w:rPr>
        <w:t>4</w:t>
      </w:r>
      <w:r>
        <w:rPr>
          <w:rFonts w:hint="eastAsia" w:ascii="黑体" w:hAnsi="黑体" w:eastAsia="黑体"/>
          <w:kern w:val="2"/>
          <w:sz w:val="21"/>
          <w:szCs w:val="24"/>
        </w:rPr>
        <w:t>.</w:t>
      </w:r>
      <w:r>
        <w:rPr>
          <w:rFonts w:hint="eastAsia" w:hAnsi="黑体"/>
          <w:kern w:val="2"/>
          <w:sz w:val="21"/>
          <w:szCs w:val="24"/>
          <w:lang w:val="en-US" w:eastAsia="zh-CN"/>
        </w:rPr>
        <w:t>2</w:t>
      </w:r>
      <w:r>
        <w:rPr>
          <w:rFonts w:hint="eastAsia" w:ascii="黑体" w:hAnsi="黑体" w:eastAsia="黑体"/>
          <w:kern w:val="2"/>
          <w:sz w:val="21"/>
          <w:szCs w:val="24"/>
        </w:rPr>
        <w:t>　</w:t>
      </w:r>
      <w:r>
        <w:rPr>
          <w:rFonts w:hint="eastAsia" w:ascii="宋体" w:hAnsi="宋体" w:eastAsia="宋体" w:cs="宋体"/>
        </w:rPr>
        <w:t>应与有毒、有害场所以及其他污染源保持适当的距离。</w:t>
      </w:r>
    </w:p>
    <w:p>
      <w:pPr>
        <w:pStyle w:val="67"/>
        <w:numPr>
          <w:ilvl w:val="3"/>
          <w:numId w:val="0"/>
        </w:numPr>
        <w:spacing w:before="0" w:beforeLines="0" w:after="0" w:afterLines="0"/>
        <w:ind w:leftChars="0"/>
        <w:rPr>
          <w:rFonts w:ascii="宋体" w:hAnsi="宋体" w:eastAsia="宋体" w:cs="宋体"/>
        </w:rPr>
      </w:pPr>
      <w:r>
        <w:rPr>
          <w:rFonts w:hint="eastAsia" w:hAnsi="黑体"/>
          <w:kern w:val="2"/>
          <w:sz w:val="21"/>
          <w:szCs w:val="24"/>
          <w:lang w:val="en-US" w:eastAsia="zh-CN"/>
        </w:rPr>
        <w:t>4</w:t>
      </w:r>
      <w:r>
        <w:rPr>
          <w:rFonts w:hint="eastAsia" w:ascii="黑体" w:hAnsi="黑体" w:eastAsia="黑体"/>
          <w:kern w:val="2"/>
          <w:sz w:val="21"/>
          <w:szCs w:val="24"/>
        </w:rPr>
        <w:t>.</w:t>
      </w:r>
      <w:r>
        <w:rPr>
          <w:rFonts w:hint="eastAsia" w:hAnsi="黑体"/>
          <w:kern w:val="2"/>
          <w:sz w:val="21"/>
          <w:szCs w:val="24"/>
          <w:lang w:val="en-US" w:eastAsia="zh-CN"/>
        </w:rPr>
        <w:t>3</w:t>
      </w:r>
      <w:r>
        <w:rPr>
          <w:rFonts w:hint="eastAsia" w:ascii="黑体" w:hAnsi="黑体" w:eastAsia="黑体"/>
          <w:kern w:val="2"/>
          <w:sz w:val="21"/>
          <w:szCs w:val="24"/>
        </w:rPr>
        <w:t>　</w:t>
      </w:r>
      <w:r>
        <w:rPr>
          <w:rFonts w:hint="eastAsia" w:ascii="宋体" w:hAnsi="宋体" w:eastAsia="宋体" w:cs="宋体"/>
        </w:rPr>
        <w:t>农贸市场内餐饮服务场所的经营环境应符合GB 31654的规定。</w:t>
      </w:r>
    </w:p>
    <w:p>
      <w:pPr>
        <w:pStyle w:val="67"/>
        <w:numPr>
          <w:ilvl w:val="3"/>
          <w:numId w:val="0"/>
        </w:numPr>
        <w:spacing w:before="0" w:beforeLines="0" w:after="0" w:afterLines="0"/>
        <w:ind w:leftChars="0"/>
        <w:rPr>
          <w:rFonts w:ascii="宋体" w:hAnsi="宋体" w:eastAsia="宋体" w:cs="宋体"/>
        </w:rPr>
      </w:pPr>
      <w:r>
        <w:rPr>
          <w:rFonts w:hint="eastAsia" w:hAnsi="黑体"/>
          <w:kern w:val="2"/>
          <w:sz w:val="21"/>
          <w:szCs w:val="24"/>
          <w:lang w:val="en-US" w:eastAsia="zh-CN"/>
        </w:rPr>
        <w:t>4</w:t>
      </w:r>
      <w:r>
        <w:rPr>
          <w:rFonts w:hint="eastAsia" w:ascii="黑体" w:hAnsi="黑体" w:eastAsia="黑体"/>
          <w:kern w:val="2"/>
          <w:sz w:val="21"/>
          <w:szCs w:val="24"/>
        </w:rPr>
        <w:t>.</w:t>
      </w:r>
      <w:r>
        <w:rPr>
          <w:rFonts w:hint="eastAsia" w:hAnsi="黑体"/>
          <w:kern w:val="2"/>
          <w:sz w:val="21"/>
          <w:szCs w:val="24"/>
          <w:lang w:val="en-US" w:eastAsia="zh-CN"/>
        </w:rPr>
        <w:t>4</w:t>
      </w:r>
      <w:r>
        <w:rPr>
          <w:rFonts w:hint="eastAsia" w:ascii="黑体" w:hAnsi="黑体" w:eastAsia="黑体"/>
          <w:kern w:val="2"/>
          <w:sz w:val="21"/>
          <w:szCs w:val="24"/>
        </w:rPr>
        <w:t>　</w:t>
      </w:r>
      <w:r>
        <w:rPr>
          <w:rFonts w:hint="eastAsia" w:ascii="宋体" w:hAnsi="宋体" w:eastAsia="宋体" w:cs="宋体"/>
        </w:rPr>
        <w:t>农贸市场内食品经营</w:t>
      </w:r>
      <w:r>
        <w:rPr>
          <w:rFonts w:hint="eastAsia" w:ascii="宋体" w:hAnsi="宋体" w:eastAsia="宋体" w:cs="宋体"/>
          <w:lang w:val="en-US" w:eastAsia="zh-CN"/>
        </w:rPr>
        <w:t>环境</w:t>
      </w:r>
      <w:r>
        <w:rPr>
          <w:rFonts w:hint="eastAsia" w:ascii="宋体" w:hAnsi="宋体" w:eastAsia="宋体" w:cs="宋体"/>
        </w:rPr>
        <w:t>应符合GB 31621的规定。</w:t>
      </w:r>
    </w:p>
    <w:p>
      <w:pPr>
        <w:pStyle w:val="67"/>
        <w:numPr>
          <w:ilvl w:val="3"/>
          <w:numId w:val="0"/>
        </w:numPr>
        <w:spacing w:before="0" w:beforeLines="0" w:after="0" w:afterLines="0"/>
        <w:ind w:leftChars="0"/>
        <w:rPr>
          <w:rFonts w:hint="eastAsia" w:ascii="宋体" w:hAnsi="宋体" w:eastAsia="宋体" w:cs="宋体"/>
          <w:lang w:val="en-US" w:eastAsia="zh-CN"/>
        </w:rPr>
      </w:pPr>
      <w:r>
        <w:rPr>
          <w:rFonts w:hint="eastAsia" w:hAnsi="黑体"/>
          <w:kern w:val="2"/>
          <w:sz w:val="21"/>
          <w:szCs w:val="24"/>
          <w:lang w:val="en-US" w:eastAsia="zh-CN"/>
        </w:rPr>
        <w:t>4</w:t>
      </w:r>
      <w:r>
        <w:rPr>
          <w:rFonts w:hint="eastAsia" w:ascii="黑体" w:hAnsi="黑体" w:eastAsia="黑体"/>
          <w:kern w:val="2"/>
          <w:sz w:val="21"/>
          <w:szCs w:val="24"/>
        </w:rPr>
        <w:t>.</w:t>
      </w:r>
      <w:r>
        <w:rPr>
          <w:rFonts w:hint="eastAsia" w:hAnsi="黑体"/>
          <w:kern w:val="2"/>
          <w:sz w:val="21"/>
          <w:szCs w:val="24"/>
          <w:lang w:val="en-US" w:eastAsia="zh-CN"/>
        </w:rPr>
        <w:t>5</w:t>
      </w:r>
      <w:r>
        <w:rPr>
          <w:rFonts w:hint="eastAsia" w:ascii="黑体" w:hAnsi="黑体" w:eastAsia="黑体"/>
          <w:kern w:val="2"/>
          <w:sz w:val="21"/>
          <w:szCs w:val="24"/>
        </w:rPr>
        <w:t>　</w:t>
      </w:r>
      <w:r>
        <w:rPr>
          <w:rFonts w:hint="eastAsia" w:ascii="宋体" w:hAnsi="宋体" w:eastAsia="宋体" w:cs="宋体"/>
          <w:lang w:val="en-US" w:eastAsia="zh-CN"/>
        </w:rPr>
        <w:t>应按照商品种类划行归市设置交易区。同类商品区域要相对集中;分区应标志清晰。</w:t>
      </w:r>
    </w:p>
    <w:p>
      <w:pPr>
        <w:pStyle w:val="67"/>
        <w:numPr>
          <w:ilvl w:val="3"/>
          <w:numId w:val="0"/>
        </w:numPr>
        <w:spacing w:before="0" w:beforeLines="0" w:after="0" w:afterLines="0"/>
        <w:ind w:leftChars="0"/>
        <w:rPr>
          <w:rFonts w:ascii="宋体" w:hAnsi="宋体" w:eastAsia="宋体" w:cs="宋体"/>
        </w:rPr>
      </w:pPr>
      <w:r>
        <w:rPr>
          <w:rFonts w:hint="eastAsia" w:hAnsi="黑体"/>
          <w:kern w:val="2"/>
          <w:sz w:val="21"/>
          <w:szCs w:val="24"/>
          <w:lang w:val="en-US" w:eastAsia="zh-CN"/>
        </w:rPr>
        <w:t>4</w:t>
      </w:r>
      <w:r>
        <w:rPr>
          <w:rFonts w:hint="eastAsia" w:ascii="黑体" w:hAnsi="黑体" w:eastAsia="黑体"/>
          <w:kern w:val="2"/>
          <w:sz w:val="21"/>
          <w:szCs w:val="24"/>
        </w:rPr>
        <w:t>.</w:t>
      </w:r>
      <w:r>
        <w:rPr>
          <w:rFonts w:hint="eastAsia" w:hAnsi="黑体"/>
          <w:kern w:val="2"/>
          <w:sz w:val="21"/>
          <w:szCs w:val="24"/>
          <w:lang w:val="en-US" w:eastAsia="zh-CN"/>
        </w:rPr>
        <w:t>6</w:t>
      </w:r>
      <w:r>
        <w:rPr>
          <w:rFonts w:hint="eastAsia" w:ascii="黑体" w:hAnsi="黑体" w:eastAsia="黑体"/>
          <w:kern w:val="2"/>
          <w:sz w:val="21"/>
          <w:szCs w:val="24"/>
        </w:rPr>
        <w:t>　</w:t>
      </w:r>
      <w:r>
        <w:rPr>
          <w:rFonts w:hint="eastAsia" w:ascii="宋体" w:hAnsi="宋体" w:eastAsia="宋体" w:cs="宋体"/>
          <w:lang w:val="en-US" w:eastAsia="zh-CN"/>
        </w:rPr>
        <w:t>活禽经营区应相对独立,与其他经营区隔开,相隔间距不得小于5米;经营早点区或快餐配套服务应相对集中设置在专门区域,,周围不得有污水或其他污染源,20米范围内不得经营、贮运鲜活家禽;熟食卤品、豆制品、酱菜等直接入口食品的柜台距离活禽专柜、厕所、垃圾房的间隔应大于20米</w:t>
      </w:r>
      <w:r>
        <w:rPr>
          <w:rFonts w:hint="eastAsia" w:ascii="宋体" w:hAnsi="宋体" w:eastAsia="宋体" w:cs="宋体"/>
        </w:rPr>
        <w:t>。</w:t>
      </w:r>
    </w:p>
    <w:p>
      <w:pPr>
        <w:pStyle w:val="67"/>
        <w:numPr>
          <w:ilvl w:val="3"/>
          <w:numId w:val="0"/>
        </w:numPr>
        <w:spacing w:before="0" w:beforeLines="0" w:after="0" w:afterLines="0"/>
        <w:ind w:leftChars="0"/>
        <w:rPr>
          <w:rFonts w:ascii="宋体" w:hAnsi="宋体" w:eastAsia="宋体" w:cs="宋体"/>
        </w:rPr>
      </w:pPr>
      <w:r>
        <w:rPr>
          <w:rFonts w:hint="eastAsia" w:hAnsi="黑体"/>
          <w:kern w:val="2"/>
          <w:sz w:val="21"/>
          <w:szCs w:val="24"/>
          <w:lang w:val="en-US" w:eastAsia="zh-CN"/>
        </w:rPr>
        <w:t>4</w:t>
      </w:r>
      <w:r>
        <w:rPr>
          <w:rFonts w:hint="eastAsia" w:ascii="黑体" w:hAnsi="黑体" w:eastAsia="黑体"/>
          <w:kern w:val="2"/>
          <w:sz w:val="21"/>
          <w:szCs w:val="24"/>
        </w:rPr>
        <w:t>.</w:t>
      </w:r>
      <w:r>
        <w:rPr>
          <w:rFonts w:hint="eastAsia" w:hAnsi="黑体"/>
          <w:kern w:val="2"/>
          <w:sz w:val="21"/>
          <w:szCs w:val="24"/>
          <w:lang w:val="en-US" w:eastAsia="zh-CN"/>
        </w:rPr>
        <w:t>7</w:t>
      </w:r>
      <w:r>
        <w:rPr>
          <w:rFonts w:hint="eastAsia" w:ascii="黑体" w:hAnsi="黑体" w:eastAsia="黑体"/>
          <w:kern w:val="2"/>
          <w:sz w:val="21"/>
          <w:szCs w:val="24"/>
        </w:rPr>
        <w:t>　</w:t>
      </w:r>
      <w:r>
        <w:rPr>
          <w:rFonts w:hint="eastAsia" w:ascii="宋体" w:hAnsi="宋体" w:eastAsia="宋体" w:cs="宋体"/>
        </w:rPr>
        <w:t>宜设置独立的净菜处理室，配备给排水</w:t>
      </w:r>
      <w:r>
        <w:rPr>
          <w:rFonts w:hint="eastAsia" w:ascii="宋体" w:hAnsi="宋体" w:eastAsia="宋体" w:cs="宋体"/>
          <w:lang w:val="en-US" w:eastAsia="zh-CN"/>
        </w:rPr>
        <w:t>设施</w:t>
      </w:r>
      <w:r>
        <w:rPr>
          <w:rFonts w:hint="eastAsia" w:ascii="宋体" w:hAnsi="宋体" w:eastAsia="宋体" w:cs="宋体"/>
        </w:rPr>
        <w:t>、清洗水池、操作台及垃圾收集等设施。在蔬菜上市前进行无泥沙、无腐叶、无根须、无过量水分等处理。</w:t>
      </w:r>
    </w:p>
    <w:p>
      <w:pPr>
        <w:pStyle w:val="106"/>
        <w:spacing w:before="312" w:after="312"/>
        <w:rPr>
          <w:rFonts w:hAnsi="黑体" w:cs="黑体"/>
        </w:rPr>
      </w:pPr>
      <w:bookmarkStart w:id="76" w:name="_Toc49460290"/>
      <w:bookmarkStart w:id="77" w:name="_Toc49815231"/>
      <w:bookmarkStart w:id="78" w:name="_Toc49203542"/>
      <w:bookmarkStart w:id="79" w:name="_Toc8027"/>
      <w:r>
        <w:rPr>
          <w:rFonts w:hint="eastAsia" w:hAnsi="黑体" w:cs="黑体"/>
        </w:rPr>
        <w:t>经营设施</w:t>
      </w:r>
      <w:bookmarkEnd w:id="76"/>
      <w:bookmarkEnd w:id="77"/>
      <w:bookmarkEnd w:id="78"/>
      <w:r>
        <w:rPr>
          <w:rFonts w:hint="eastAsia" w:hAnsi="黑体" w:cs="黑体"/>
        </w:rPr>
        <w:t>设备要求</w:t>
      </w:r>
      <w:bookmarkEnd w:id="79"/>
    </w:p>
    <w:p>
      <w:pPr>
        <w:pStyle w:val="107"/>
        <w:spacing w:before="156" w:after="156"/>
        <w:rPr>
          <w:rFonts w:ascii="宋体" w:hAnsi="宋体" w:eastAsia="宋体"/>
        </w:rPr>
      </w:pPr>
      <w:r>
        <w:rPr>
          <w:rFonts w:hint="eastAsia" w:ascii="宋体" w:hAnsi="宋体" w:eastAsia="宋体" w:cs="宋体"/>
          <w:lang w:val="en-US" w:eastAsia="zh-CN"/>
        </w:rPr>
        <w:t>经营设施设备</w:t>
      </w:r>
      <w:r>
        <w:rPr>
          <w:rFonts w:hint="eastAsia" w:ascii="宋体" w:hAnsi="宋体" w:eastAsia="宋体" w:cs="宋体"/>
        </w:rPr>
        <w:t>应符合GB/T 21720-2022中5的规定。</w:t>
      </w:r>
    </w:p>
    <w:p>
      <w:pPr>
        <w:pStyle w:val="107"/>
        <w:spacing w:before="156" w:after="156"/>
        <w:rPr>
          <w:rFonts w:hAnsi="黑体" w:cs="黑体"/>
        </w:rPr>
      </w:pPr>
      <w:r>
        <w:rPr>
          <w:rFonts w:hint="eastAsia" w:hAnsi="黑体" w:cs="黑体"/>
        </w:rPr>
        <w:t>信息化要求</w:t>
      </w:r>
    </w:p>
    <w:p>
      <w:pPr>
        <w:pStyle w:val="67"/>
        <w:spacing w:before="0" w:beforeLines="0" w:after="0" w:afterLines="0"/>
        <w:rPr>
          <w:rFonts w:ascii="宋体" w:hAnsi="宋体" w:eastAsia="宋体" w:cs="宋体"/>
        </w:rPr>
      </w:pPr>
      <w:r>
        <w:rPr>
          <w:rFonts w:hint="eastAsia" w:ascii="宋体" w:hAnsi="宋体" w:eastAsia="宋体" w:cs="宋体"/>
        </w:rPr>
        <w:t>应符合GB/T 21720-2022中5.7的规定。</w:t>
      </w:r>
    </w:p>
    <w:p>
      <w:pPr>
        <w:pStyle w:val="67"/>
        <w:spacing w:before="0" w:beforeLines="0" w:after="0" w:afterLines="0"/>
        <w:rPr>
          <w:rFonts w:ascii="宋体" w:hAnsi="宋体" w:eastAsia="宋体" w:cs="宋体"/>
        </w:rPr>
      </w:pPr>
      <w:r>
        <w:rPr>
          <w:rFonts w:hint="eastAsia" w:ascii="宋体" w:hAnsi="宋体" w:eastAsia="宋体" w:cs="宋体"/>
        </w:rPr>
        <w:t>鼓励市场开办者采用现代化和信息化手段建设本市场主要</w:t>
      </w:r>
      <w:r>
        <w:rPr>
          <w:rFonts w:hint="eastAsia" w:ascii="宋体" w:hAnsi="宋体" w:eastAsia="宋体" w:cs="宋体"/>
          <w:strike/>
        </w:rPr>
        <w:t>商品</w:t>
      </w:r>
      <w:r>
        <w:rPr>
          <w:rFonts w:hint="eastAsia" w:ascii="宋体" w:hAnsi="宋体" w:eastAsia="宋体" w:cs="宋体"/>
        </w:rPr>
        <w:t>食品和食用农产品的可追溯系统，提高食品及食用农产品市场销售质量安全保障水平。</w:t>
      </w:r>
      <w:bookmarkStart w:id="80" w:name="_Toc49203541"/>
    </w:p>
    <w:bookmarkEnd w:id="80"/>
    <w:p>
      <w:pPr>
        <w:pStyle w:val="107"/>
        <w:spacing w:before="156" w:after="156"/>
        <w:rPr>
          <w:rFonts w:hAnsi="黑体" w:cs="黑体"/>
        </w:rPr>
      </w:pPr>
      <w:r>
        <w:rPr>
          <w:rFonts w:hint="eastAsia" w:hAnsi="黑体" w:cs="黑体"/>
        </w:rPr>
        <w:t>供水设施要求</w:t>
      </w:r>
    </w:p>
    <w:p>
      <w:pPr>
        <w:pStyle w:val="67"/>
        <w:spacing w:before="0" w:beforeLines="0" w:after="0" w:afterLines="0"/>
        <w:rPr>
          <w:rFonts w:ascii="宋体" w:hAnsi="宋体" w:eastAsia="宋体" w:cs="宋体"/>
        </w:rPr>
      </w:pPr>
      <w:r>
        <w:rPr>
          <w:rFonts w:hint="eastAsia" w:ascii="宋体" w:hAnsi="宋体" w:eastAsia="宋体" w:cs="宋体"/>
        </w:rPr>
        <w:t>应配备合理的供水系统，食品和食用农产品的清洗和加工用水应符合GB 5749的规定。</w:t>
      </w:r>
    </w:p>
    <w:p>
      <w:pPr>
        <w:pStyle w:val="67"/>
        <w:spacing w:before="0" w:beforeLines="0" w:after="0" w:afterLines="0"/>
        <w:rPr>
          <w:rFonts w:ascii="宋体" w:hAnsi="宋体" w:eastAsia="宋体" w:cs="宋体"/>
        </w:rPr>
      </w:pPr>
      <w:r>
        <w:rPr>
          <w:rFonts w:hint="eastAsia" w:ascii="宋体" w:hAnsi="宋体" w:eastAsia="宋体" w:cs="宋体"/>
        </w:rPr>
        <w:t>应按各行业交易区的用水需求设置供水设备。水产区供水到商位,肉类区供水到经营区,熟食经营区供水到专间。市场内</w:t>
      </w:r>
      <w:r>
        <w:rPr>
          <w:rFonts w:hint="eastAsia" w:ascii="宋体" w:hAnsi="宋体" w:eastAsia="宋体" w:cs="宋体"/>
          <w:lang w:val="en-US" w:eastAsia="zh-CN"/>
        </w:rPr>
        <w:t>宜</w:t>
      </w:r>
      <w:r>
        <w:rPr>
          <w:rFonts w:hint="eastAsia" w:ascii="宋体" w:hAnsi="宋体" w:eastAsia="宋体" w:cs="宋体"/>
        </w:rPr>
        <w:t>设置供水点供消费者使用。</w:t>
      </w:r>
    </w:p>
    <w:p>
      <w:pPr>
        <w:pStyle w:val="67"/>
        <w:spacing w:before="0" w:beforeLines="0" w:after="0" w:afterLines="0"/>
        <w:rPr>
          <w:rFonts w:ascii="宋体" w:hAnsi="宋体" w:eastAsia="宋体" w:cs="宋体"/>
        </w:rPr>
      </w:pPr>
      <w:r>
        <w:rPr>
          <w:rFonts w:hint="eastAsia" w:ascii="宋体" w:hAnsi="宋体" w:eastAsia="宋体" w:cs="宋体"/>
        </w:rPr>
        <w:t>应配置高压水冲洗装置，便于冲洗地面、墙体和设备设施。对于地面、密闭垃圾间、家禽类经营区的宰杀间、</w:t>
      </w:r>
      <w:r>
        <w:rPr>
          <w:rFonts w:hint="eastAsia" w:ascii="宋体" w:hAnsi="宋体" w:eastAsia="宋体" w:cs="宋体"/>
          <w:lang w:val="en-US" w:eastAsia="zh-CN"/>
        </w:rPr>
        <w:t>销售</w:t>
      </w:r>
      <w:r>
        <w:rPr>
          <w:rFonts w:hint="eastAsia" w:ascii="宋体" w:hAnsi="宋体" w:eastAsia="宋体" w:cs="宋体"/>
        </w:rPr>
        <w:t>间、禽笼室的冲洗给水等，给水管均应设防逆流设施。</w:t>
      </w:r>
    </w:p>
    <w:p>
      <w:pPr>
        <w:pStyle w:val="107"/>
        <w:spacing w:before="156" w:after="156"/>
      </w:pPr>
      <w:r>
        <w:rPr>
          <w:rFonts w:hint="eastAsia" w:hAnsi="黑体" w:cs="黑体"/>
        </w:rPr>
        <w:t>排水设施要求</w:t>
      </w:r>
      <w:r>
        <w:rPr>
          <w:rFonts w:hint="eastAsia"/>
        </w:rPr>
        <w:t xml:space="preserve"> </w:t>
      </w:r>
    </w:p>
    <w:p>
      <w:pPr>
        <w:pStyle w:val="67"/>
        <w:spacing w:before="0" w:beforeLines="0" w:after="0" w:afterLines="0"/>
        <w:rPr>
          <w:rFonts w:ascii="宋体" w:hAnsi="宋体" w:eastAsia="宋体" w:cs="宋体"/>
        </w:rPr>
      </w:pPr>
      <w:r>
        <w:rPr>
          <w:rFonts w:hint="eastAsia" w:ascii="宋体" w:hAnsi="宋体" w:eastAsia="宋体" w:cs="宋体"/>
        </w:rPr>
        <w:t>场内排水应由清洁要求高的区域流向清洁要求低的区域。</w:t>
      </w:r>
    </w:p>
    <w:p>
      <w:pPr>
        <w:pStyle w:val="67"/>
        <w:spacing w:before="0" w:beforeLines="0" w:after="0" w:afterLines="0"/>
        <w:rPr>
          <w:rFonts w:ascii="宋体" w:hAnsi="宋体" w:eastAsia="宋体" w:cs="宋体"/>
        </w:rPr>
      </w:pPr>
      <w:r>
        <w:rPr>
          <w:rFonts w:hint="eastAsia" w:ascii="宋体" w:hAnsi="宋体" w:eastAsia="宋体" w:cs="宋体"/>
        </w:rPr>
        <w:t xml:space="preserve">场内排水通道应设置合理坡度，确保畅通，外露部分设格栅盖板，出口处设防鼠隔离网。 </w:t>
      </w:r>
    </w:p>
    <w:p>
      <w:pPr>
        <w:pStyle w:val="67"/>
        <w:spacing w:before="0" w:beforeLines="0" w:after="0" w:afterLines="0"/>
        <w:rPr>
          <w:rFonts w:ascii="宋体" w:hAnsi="宋体" w:eastAsia="宋体" w:cs="宋体"/>
        </w:rPr>
      </w:pPr>
      <w:r>
        <w:rPr>
          <w:rFonts w:hint="eastAsia" w:ascii="宋体" w:hAnsi="宋体" w:eastAsia="宋体" w:cs="宋体"/>
        </w:rPr>
        <w:t xml:space="preserve">排水通道应设置若干窨井，尽可能位于不同方向的交汇处，便于维修和清污，窨井间距根据实际情况确定。 </w:t>
      </w:r>
    </w:p>
    <w:p>
      <w:pPr>
        <w:pStyle w:val="67"/>
        <w:spacing w:before="0" w:beforeLines="0" w:after="0" w:afterLines="0"/>
        <w:rPr>
          <w:rFonts w:ascii="宋体" w:hAnsi="宋体" w:eastAsia="宋体" w:cs="宋体"/>
        </w:rPr>
      </w:pPr>
      <w:r>
        <w:rPr>
          <w:rFonts w:hint="eastAsia" w:ascii="宋体" w:hAnsi="宋体" w:eastAsia="宋体" w:cs="宋体"/>
        </w:rPr>
        <w:t xml:space="preserve">购物通道的地面设置排水通道的，应位于购物通道的两侧或单侧，保持道路平整、安全。 </w:t>
      </w:r>
    </w:p>
    <w:p>
      <w:pPr>
        <w:pStyle w:val="67"/>
        <w:spacing w:before="0" w:beforeLines="0" w:after="0" w:afterLines="0"/>
        <w:rPr>
          <w:rFonts w:hint="eastAsia" w:ascii="宋体" w:hAnsi="宋体" w:eastAsia="宋体" w:cs="宋体"/>
        </w:rPr>
      </w:pPr>
      <w:r>
        <w:rPr>
          <w:rFonts w:hint="eastAsia" w:ascii="宋体" w:hAnsi="宋体" w:eastAsia="宋体" w:cs="宋体"/>
        </w:rPr>
        <w:t xml:space="preserve">经营点位地面应设置地漏或排水槽，经营点位外侧根据需要可沿外墙设置排水槽，保持排水畅通，便于清洁维护，不积垃圾和污水。 </w:t>
      </w:r>
    </w:p>
    <w:p>
      <w:pPr>
        <w:pStyle w:val="67"/>
        <w:spacing w:before="0" w:beforeLines="0" w:after="0" w:afterLines="0"/>
        <w:rPr>
          <w:rFonts w:ascii="宋体" w:hAnsi="宋体" w:eastAsia="宋体" w:cs="宋体"/>
        </w:rPr>
      </w:pPr>
      <w:r>
        <w:rPr>
          <w:rFonts w:hint="eastAsia" w:ascii="宋体" w:hAnsi="宋体" w:eastAsia="宋体" w:cs="宋体"/>
          <w:lang w:val="en-US" w:eastAsia="zh-CN"/>
        </w:rPr>
        <w:t>污水排放系统应当按环保要求设置过滤处理设施。市场污水隔渣过滤处理后接入城市污水管网。水产、禽类经营区的污水排放应增设初级隔渣过滤设施。</w:t>
      </w:r>
    </w:p>
    <w:p>
      <w:pPr>
        <w:pStyle w:val="107"/>
        <w:spacing w:before="156" w:after="156"/>
        <w:rPr>
          <w:rFonts w:hAnsi="黑体" w:cs="黑体"/>
        </w:rPr>
      </w:pPr>
      <w:r>
        <w:rPr>
          <w:rFonts w:hint="eastAsia" w:hAnsi="黑体" w:cs="黑体"/>
        </w:rPr>
        <w:t xml:space="preserve">通风设施要求 </w:t>
      </w:r>
    </w:p>
    <w:p>
      <w:pPr>
        <w:pStyle w:val="67"/>
        <w:spacing w:before="0" w:beforeLines="0" w:after="0" w:afterLines="0"/>
        <w:rPr>
          <w:rFonts w:ascii="宋体" w:hAnsi="宋体" w:eastAsia="宋体" w:cs="宋体"/>
        </w:rPr>
      </w:pPr>
      <w:r>
        <w:rPr>
          <w:rFonts w:hint="eastAsia" w:ascii="宋体" w:hAnsi="宋体" w:eastAsia="宋体" w:cs="宋体"/>
          <w:lang w:val="en-US" w:eastAsia="zh-CN"/>
        </w:rPr>
        <w:t>通风设施</w:t>
      </w:r>
      <w:r>
        <w:rPr>
          <w:rFonts w:hint="eastAsia" w:ascii="宋体" w:hAnsi="宋体" w:eastAsia="宋体" w:cs="宋体"/>
        </w:rPr>
        <w:t xml:space="preserve">应符合GB 50736的规定。 </w:t>
      </w:r>
    </w:p>
    <w:p>
      <w:pPr>
        <w:pStyle w:val="67"/>
        <w:spacing w:before="0" w:beforeLines="0" w:after="0" w:afterLines="0"/>
        <w:rPr>
          <w:rFonts w:ascii="宋体" w:hAnsi="宋体" w:eastAsia="宋体" w:cs="宋体"/>
        </w:rPr>
      </w:pPr>
      <w:r>
        <w:rPr>
          <w:rFonts w:hint="eastAsia" w:ascii="宋体" w:hAnsi="宋体" w:eastAsia="宋体" w:cs="宋体"/>
        </w:rPr>
        <w:t>市场内活禽宰杀区域应设置机械排风设施。需要实施温控的食品专间应配置相应的通风及温控设施。</w:t>
      </w:r>
    </w:p>
    <w:p>
      <w:pPr>
        <w:pStyle w:val="107"/>
        <w:spacing w:before="156" w:after="156"/>
        <w:rPr>
          <w:rFonts w:hAnsi="黑体" w:cs="黑体"/>
        </w:rPr>
      </w:pPr>
      <w:r>
        <w:rPr>
          <w:rFonts w:hint="eastAsia" w:hAnsi="黑体" w:cs="黑体"/>
        </w:rPr>
        <w:t xml:space="preserve">垃圾收集设施要求 </w:t>
      </w:r>
    </w:p>
    <w:p>
      <w:pPr>
        <w:pStyle w:val="67"/>
        <w:spacing w:before="0" w:beforeLines="0" w:after="0" w:afterLines="0"/>
        <w:rPr>
          <w:rFonts w:ascii="宋体" w:hAnsi="宋体" w:eastAsia="宋体" w:cs="宋体"/>
        </w:rPr>
      </w:pPr>
      <w:r>
        <w:rPr>
          <w:rFonts w:hint="eastAsia" w:ascii="宋体" w:hAnsi="宋体" w:eastAsia="宋体" w:cs="宋体"/>
        </w:rPr>
        <w:t xml:space="preserve">应按废弃物产生量统一配置垃圾收集容器，容器应有翻盖等密闭装置，防止垃圾暴露。 每个摊位应设置垃圾桶，分类收集经营产生的垃圾；加工间和经营专间应配置非手动式开启废弃物存放专用密封容器。 </w:t>
      </w:r>
    </w:p>
    <w:p>
      <w:pPr>
        <w:pStyle w:val="67"/>
        <w:spacing w:before="0" w:beforeLines="0" w:after="0" w:afterLines="0"/>
        <w:rPr>
          <w:rFonts w:ascii="宋体" w:hAnsi="宋体" w:eastAsia="宋体" w:cs="宋体"/>
        </w:rPr>
      </w:pPr>
      <w:r>
        <w:rPr>
          <w:rFonts w:hint="eastAsia" w:ascii="宋体" w:hAnsi="宋体" w:eastAsia="宋体" w:cs="宋体"/>
        </w:rPr>
        <w:t xml:space="preserve">在合适位置设置垃圾收集房，容量充足，密闭管理，及时消杀，并配备冲洗设施，不污染周边环境。 </w:t>
      </w:r>
    </w:p>
    <w:p>
      <w:pPr>
        <w:pStyle w:val="67"/>
        <w:spacing w:before="0" w:beforeLines="0" w:after="0" w:afterLines="0"/>
        <w:rPr>
          <w:rFonts w:ascii="宋体" w:hAnsi="宋体" w:eastAsia="宋体" w:cs="宋体"/>
        </w:rPr>
      </w:pPr>
      <w:r>
        <w:rPr>
          <w:rFonts w:hint="eastAsia" w:ascii="宋体" w:hAnsi="宋体" w:eastAsia="宋体" w:cs="宋体"/>
        </w:rPr>
        <w:t>垃圾车转运应做到清洁、密闭。</w:t>
      </w:r>
    </w:p>
    <w:p>
      <w:pPr>
        <w:pStyle w:val="106"/>
        <w:spacing w:before="312" w:after="312"/>
        <w:rPr>
          <w:rFonts w:hAnsi="黑体" w:cs="黑体"/>
        </w:rPr>
      </w:pPr>
      <w:bookmarkStart w:id="81" w:name="_Toc4159"/>
      <w:r>
        <w:rPr>
          <w:rFonts w:hint="eastAsia" w:hAnsi="黑体" w:cs="黑体"/>
        </w:rPr>
        <w:t>经营管理要求</w:t>
      </w:r>
      <w:bookmarkEnd w:id="81"/>
    </w:p>
    <w:p>
      <w:pPr>
        <w:pStyle w:val="107"/>
        <w:spacing w:before="156" w:after="156"/>
        <w:rPr>
          <w:rFonts w:hAnsi="黑体" w:cs="黑体"/>
        </w:rPr>
      </w:pPr>
      <w:r>
        <w:rPr>
          <w:rFonts w:hint="eastAsia" w:hAnsi="黑体" w:cs="黑体"/>
        </w:rPr>
        <w:t>主体资质</w:t>
      </w:r>
    </w:p>
    <w:p>
      <w:pPr>
        <w:pStyle w:val="35"/>
      </w:pPr>
      <w:r>
        <w:rPr>
          <w:rFonts w:hint="eastAsia"/>
        </w:rPr>
        <w:t>应符合GB/T 21720-2022中6.1的规定。</w:t>
      </w:r>
    </w:p>
    <w:p>
      <w:pPr>
        <w:pStyle w:val="107"/>
        <w:spacing w:before="156" w:after="156"/>
        <w:rPr>
          <w:rFonts w:hAnsi="黑体" w:cs="黑体"/>
        </w:rPr>
      </w:pPr>
      <w:r>
        <w:rPr>
          <w:rFonts w:hint="eastAsia" w:hAnsi="黑体" w:cs="黑体"/>
        </w:rPr>
        <w:t>经营行为</w:t>
      </w:r>
    </w:p>
    <w:p>
      <w:pPr>
        <w:pStyle w:val="35"/>
      </w:pPr>
      <w:r>
        <w:rPr>
          <w:rFonts w:hint="eastAsia"/>
        </w:rPr>
        <w:t>应符合GB/T 21720-2022中6.2的规定。</w:t>
      </w:r>
    </w:p>
    <w:p>
      <w:pPr>
        <w:pStyle w:val="107"/>
        <w:spacing w:before="156" w:after="156"/>
        <w:rPr>
          <w:rFonts w:hAnsi="黑体" w:cs="黑体"/>
        </w:rPr>
      </w:pPr>
      <w:r>
        <w:rPr>
          <w:rFonts w:hint="eastAsia" w:hAnsi="黑体" w:cs="黑体"/>
        </w:rPr>
        <w:t>人员管理</w:t>
      </w:r>
    </w:p>
    <w:p>
      <w:pPr>
        <w:pStyle w:val="67"/>
        <w:spacing w:before="156" w:after="156"/>
      </w:pPr>
      <w:r>
        <w:rPr>
          <w:rFonts w:hint="eastAsia"/>
        </w:rPr>
        <w:t>市场开办者</w:t>
      </w:r>
    </w:p>
    <w:p>
      <w:pPr>
        <w:pStyle w:val="166"/>
      </w:pPr>
      <w:r>
        <w:rPr>
          <w:rFonts w:hint="eastAsia"/>
        </w:rPr>
        <w:t>应符合GB/T 21720-2022中6.3.1的规定。</w:t>
      </w:r>
    </w:p>
    <w:p>
      <w:pPr>
        <w:pStyle w:val="166"/>
      </w:pPr>
      <w:bookmarkStart w:id="82" w:name="_Toc49815229"/>
      <w:r>
        <w:rPr>
          <w:rFonts w:hint="eastAsia"/>
        </w:rPr>
        <w:t>市场开办者是本市场食品安全管理的第一责任人，应当依法对入场经营者履行管理义务，保障市场规范运行。</w:t>
      </w:r>
      <w:bookmarkEnd w:id="82"/>
    </w:p>
    <w:p>
      <w:pPr>
        <w:pStyle w:val="67"/>
        <w:spacing w:before="156" w:after="156"/>
      </w:pPr>
      <w:r>
        <w:rPr>
          <w:rFonts w:hint="eastAsia"/>
        </w:rPr>
        <w:t>市场管理者</w:t>
      </w:r>
    </w:p>
    <w:p>
      <w:pPr>
        <w:pStyle w:val="35"/>
      </w:pPr>
      <w:r>
        <w:rPr>
          <w:rFonts w:hint="eastAsia"/>
        </w:rPr>
        <w:t>应符合GB/T 21720-2022中6.3.2的规定。</w:t>
      </w:r>
    </w:p>
    <w:p>
      <w:pPr>
        <w:pStyle w:val="67"/>
        <w:spacing w:before="156" w:after="156"/>
      </w:pPr>
      <w:r>
        <w:rPr>
          <w:rFonts w:hint="eastAsia"/>
        </w:rPr>
        <w:t>食品</w:t>
      </w:r>
      <w:r>
        <w:rPr>
          <w:rFonts w:hint="eastAsia"/>
          <w:lang w:val="en-US" w:eastAsia="zh-CN"/>
        </w:rPr>
        <w:t>和</w:t>
      </w:r>
      <w:r>
        <w:rPr>
          <w:rFonts w:hint="eastAsia"/>
        </w:rPr>
        <w:t>食用农产品经营者</w:t>
      </w:r>
    </w:p>
    <w:p>
      <w:pPr>
        <w:pStyle w:val="166"/>
      </w:pPr>
      <w:r>
        <w:rPr>
          <w:rFonts w:hint="eastAsia"/>
        </w:rPr>
        <w:t>应符合GB/T 21720-2022中6.3.3的规定。</w:t>
      </w:r>
    </w:p>
    <w:p>
      <w:pPr>
        <w:pStyle w:val="166"/>
      </w:pPr>
      <w:r>
        <w:rPr>
          <w:rFonts w:hint="eastAsia"/>
        </w:rPr>
        <w:t>应当依照法律法规和食品安全标准从事销售活动，确保所售</w:t>
      </w:r>
      <w:r>
        <w:rPr>
          <w:rFonts w:hint="eastAsia"/>
          <w:lang w:val="en-US" w:eastAsia="zh-CN"/>
        </w:rPr>
        <w:t>食</w:t>
      </w:r>
      <w:r>
        <w:rPr>
          <w:rFonts w:hint="eastAsia"/>
        </w:rPr>
        <w:t>品符合食品安全要求。</w:t>
      </w:r>
    </w:p>
    <w:p>
      <w:pPr>
        <w:pStyle w:val="166"/>
      </w:pPr>
      <w:r>
        <w:rPr>
          <w:rFonts w:hint="eastAsia"/>
          <w:lang w:val="en-US" w:eastAsia="zh-CN"/>
        </w:rPr>
        <w:t>从事</w:t>
      </w:r>
      <w:r>
        <w:rPr>
          <w:rFonts w:hint="eastAsia"/>
        </w:rPr>
        <w:t>接触直接入口食品的经营者应持有效健康证上岗，</w:t>
      </w:r>
      <w:r>
        <w:rPr>
          <w:rFonts w:hint="eastAsia" w:hAnsi="宋体" w:cs="宋体"/>
        </w:rPr>
        <w:t>患有国务院卫生行政部门规定的有碍与食品安全疾病的人员</w:t>
      </w:r>
      <w:r>
        <w:rPr>
          <w:rFonts w:hint="eastAsia"/>
        </w:rPr>
        <w:t>，应暂停从事接触直接入口食品的工作。</w:t>
      </w:r>
    </w:p>
    <w:p>
      <w:pPr>
        <w:pStyle w:val="107"/>
        <w:spacing w:before="156" w:after="156"/>
        <w:rPr>
          <w:rFonts w:hAnsi="黑体" w:cs="黑体"/>
        </w:rPr>
      </w:pPr>
      <w:r>
        <w:rPr>
          <w:rFonts w:hint="eastAsia" w:hAnsi="黑体" w:cs="黑体"/>
        </w:rPr>
        <w:t>进货管理</w:t>
      </w:r>
    </w:p>
    <w:p>
      <w:pPr>
        <w:pStyle w:val="67"/>
        <w:spacing w:before="0" w:beforeLines="0" w:after="0" w:afterLines="0"/>
        <w:rPr>
          <w:rFonts w:ascii="宋体" w:hAnsi="宋体" w:eastAsia="宋体" w:cs="宋体"/>
        </w:rPr>
      </w:pPr>
      <w:r>
        <w:rPr>
          <w:rFonts w:hint="eastAsia" w:ascii="宋体" w:hAnsi="宋体" w:eastAsia="宋体" w:cs="宋体"/>
        </w:rPr>
        <w:t>应符合GB/T 21720-2022中6.4的相关规定。</w:t>
      </w:r>
    </w:p>
    <w:p>
      <w:pPr>
        <w:pStyle w:val="67"/>
        <w:spacing w:before="0" w:beforeLines="0" w:after="0" w:afterLines="0"/>
        <w:rPr>
          <w:rFonts w:ascii="宋体" w:hAnsi="宋体" w:eastAsia="宋体" w:cs="宋体"/>
        </w:rPr>
      </w:pPr>
      <w:r>
        <w:rPr>
          <w:rFonts w:hint="eastAsia" w:ascii="宋体" w:hAnsi="宋体" w:eastAsia="宋体" w:cs="宋体"/>
        </w:rPr>
        <w:t>畜禽及肉品经营者应从具备获批屠宰资质的定点屠宰场购进肉类及其制品，</w:t>
      </w:r>
      <w:r>
        <w:rPr>
          <w:rFonts w:hint="eastAsia" w:ascii="宋体" w:hAnsi="宋体" w:eastAsia="宋体" w:cs="宋体"/>
          <w:lang w:val="en-US" w:eastAsia="zh-CN"/>
        </w:rPr>
        <w:t>并索要检疫合格证明；</w:t>
      </w:r>
      <w:r>
        <w:rPr>
          <w:rFonts w:hint="eastAsia" w:ascii="宋体" w:hAnsi="宋体" w:eastAsia="宋体" w:cs="宋体"/>
        </w:rPr>
        <w:t>采购猪肉的，还应查验肉品品质检验合格证明。</w:t>
      </w:r>
    </w:p>
    <w:p>
      <w:pPr>
        <w:pStyle w:val="67"/>
        <w:spacing w:before="0" w:beforeLines="0" w:after="0" w:afterLines="0"/>
        <w:rPr>
          <w:rFonts w:ascii="宋体" w:hAnsi="宋体" w:eastAsia="宋体" w:cs="宋体"/>
        </w:rPr>
      </w:pPr>
      <w:r>
        <w:rPr>
          <w:rFonts w:hint="eastAsia" w:ascii="宋体" w:hAnsi="宋体" w:eastAsia="宋体" w:cs="宋体"/>
        </w:rPr>
        <w:t xml:space="preserve">经营者与初次交易的供货人交易预包装食品和散装食品前，应当索取、查验其相应的营业执照、食品经营、生产许可证明文件，并保存复印件，有信息变更时应及时更新。  </w:t>
      </w:r>
    </w:p>
    <w:p>
      <w:pPr>
        <w:pStyle w:val="67"/>
        <w:spacing w:before="0" w:beforeLines="0" w:after="0" w:afterLines="0"/>
        <w:rPr>
          <w:rFonts w:ascii="宋体" w:hAnsi="宋体" w:eastAsia="宋体" w:cs="宋体"/>
        </w:rPr>
      </w:pPr>
      <w:r>
        <w:rPr>
          <w:rFonts w:hint="eastAsia" w:ascii="宋体" w:hAnsi="宋体" w:eastAsia="宋体" w:cs="宋体"/>
        </w:rPr>
        <w:t>经营者应对购进的产品按批次向供货人索取合格证明文件、购销凭证等资料并保存复印件；对无票、无证、手续不全或无法证实是合法来源的食品或食用农产品予以退回，不予进货。</w:t>
      </w:r>
    </w:p>
    <w:p>
      <w:pPr>
        <w:pStyle w:val="67"/>
        <w:spacing w:before="0" w:beforeLines="0" w:after="0" w:afterLines="0"/>
        <w:rPr>
          <w:rFonts w:ascii="宋体" w:hAnsi="宋体" w:eastAsia="宋体" w:cs="宋体"/>
        </w:rPr>
      </w:pPr>
      <w:r>
        <w:rPr>
          <w:rFonts w:hint="eastAsia" w:ascii="宋体" w:hAnsi="宋体" w:eastAsia="宋体" w:cs="宋体"/>
        </w:rPr>
        <w:t>食品经营者应落实索证索票制度，</w:t>
      </w:r>
      <w:r>
        <w:rPr>
          <w:rFonts w:hint="eastAsia" w:ascii="宋体" w:hAnsi="宋体" w:eastAsia="宋体" w:cs="宋体"/>
          <w:lang w:val="en-US" w:eastAsia="zh-CN"/>
        </w:rPr>
        <w:t>留存</w:t>
      </w:r>
      <w:r>
        <w:rPr>
          <w:rFonts w:hint="eastAsia" w:ascii="宋体" w:hAnsi="宋体" w:eastAsia="宋体" w:cs="宋体"/>
        </w:rPr>
        <w:t xml:space="preserve">进货票据等溯源凭证。 </w:t>
      </w:r>
    </w:p>
    <w:p>
      <w:pPr>
        <w:pStyle w:val="67"/>
        <w:spacing w:before="0" w:beforeLines="0" w:after="0" w:afterLines="0"/>
        <w:rPr>
          <w:rFonts w:ascii="宋体" w:hAnsi="宋体" w:eastAsia="宋体" w:cs="宋体"/>
        </w:rPr>
      </w:pPr>
      <w:r>
        <w:rPr>
          <w:rFonts w:hint="eastAsia" w:ascii="宋体" w:hAnsi="宋体" w:eastAsia="宋体" w:cs="宋体"/>
        </w:rPr>
        <w:t>食品经营者应建立进货台账，认真记录进货品种、进货日期、进货数量、供应商名称、地址及联系方式等信息。</w:t>
      </w:r>
    </w:p>
    <w:p>
      <w:pPr>
        <w:pStyle w:val="107"/>
        <w:spacing w:before="156" w:after="156"/>
        <w:rPr>
          <w:rFonts w:hAnsi="黑体" w:cs="黑体"/>
        </w:rPr>
      </w:pPr>
      <w:r>
        <w:rPr>
          <w:rFonts w:hint="eastAsia" w:hAnsi="黑体" w:cs="黑体"/>
        </w:rPr>
        <w:t>过程控制</w:t>
      </w:r>
    </w:p>
    <w:p>
      <w:pPr>
        <w:pStyle w:val="67"/>
        <w:spacing w:before="156" w:after="156"/>
        <w:rPr>
          <w:rFonts w:hAnsi="黑体" w:cs="黑体"/>
        </w:rPr>
      </w:pPr>
      <w:r>
        <w:rPr>
          <w:rFonts w:hint="eastAsia" w:hAnsi="黑体" w:cs="黑体"/>
        </w:rPr>
        <w:t>商品展陈</w:t>
      </w:r>
    </w:p>
    <w:p>
      <w:pPr>
        <w:pStyle w:val="35"/>
      </w:pPr>
      <w:r>
        <w:rPr>
          <w:rFonts w:hint="eastAsia"/>
        </w:rPr>
        <w:t>应符合GB/T 21720</w:t>
      </w:r>
      <w:r>
        <w:rPr>
          <w:rFonts w:hint="eastAsia"/>
          <w:lang w:val="en-US" w:eastAsia="zh-CN"/>
        </w:rPr>
        <w:t>-2022</w:t>
      </w:r>
      <w:r>
        <w:rPr>
          <w:rFonts w:hint="eastAsia"/>
        </w:rPr>
        <w:t>中6.5的规定。</w:t>
      </w:r>
    </w:p>
    <w:p>
      <w:pPr>
        <w:pStyle w:val="67"/>
        <w:spacing w:before="156" w:after="156"/>
        <w:rPr>
          <w:rFonts w:hAnsi="黑体" w:cs="黑体"/>
        </w:rPr>
      </w:pPr>
      <w:r>
        <w:rPr>
          <w:rFonts w:hint="eastAsia" w:hAnsi="黑体" w:cs="黑体"/>
        </w:rPr>
        <w:t>设施使用管理</w:t>
      </w:r>
    </w:p>
    <w:p>
      <w:pPr>
        <w:pStyle w:val="35"/>
      </w:pPr>
      <w:r>
        <w:rPr>
          <w:rFonts w:hint="eastAsia"/>
        </w:rPr>
        <w:t>应符合GB/T 21720</w:t>
      </w:r>
      <w:r>
        <w:rPr>
          <w:rFonts w:hint="eastAsia"/>
          <w:lang w:val="en-US" w:eastAsia="zh-CN"/>
        </w:rPr>
        <w:t>-2022</w:t>
      </w:r>
      <w:r>
        <w:rPr>
          <w:rFonts w:hint="eastAsia"/>
        </w:rPr>
        <w:t>中6.7的规定。</w:t>
      </w:r>
    </w:p>
    <w:p>
      <w:pPr>
        <w:pStyle w:val="67"/>
        <w:spacing w:before="156" w:after="156"/>
        <w:rPr>
          <w:rFonts w:hAnsi="黑体" w:cs="黑体"/>
        </w:rPr>
      </w:pPr>
      <w:r>
        <w:rPr>
          <w:rFonts w:hint="eastAsia" w:hAnsi="黑体" w:cs="黑体"/>
        </w:rPr>
        <w:t>制售管理</w:t>
      </w:r>
    </w:p>
    <w:p>
      <w:pPr>
        <w:pStyle w:val="166"/>
      </w:pPr>
      <w:r>
        <w:rPr>
          <w:rFonts w:hint="eastAsia"/>
        </w:rPr>
        <w:t>农贸市场的食品经营过程卫生应符合 GB 31621 的要求，销售人员不得用手触摸</w:t>
      </w:r>
      <w:r>
        <w:rPr>
          <w:rFonts w:hint="eastAsia"/>
          <w:lang w:val="en-US" w:eastAsia="zh-CN"/>
        </w:rPr>
        <w:t>直接入口</w:t>
      </w:r>
      <w:r>
        <w:rPr>
          <w:rFonts w:hint="eastAsia"/>
        </w:rPr>
        <w:t>食品。</w:t>
      </w:r>
    </w:p>
    <w:p>
      <w:pPr>
        <w:pStyle w:val="166"/>
      </w:pPr>
      <w:r>
        <w:rPr>
          <w:rFonts w:hint="eastAsia"/>
        </w:rPr>
        <w:t>现场制作与加工食品中使用的食品添加剂应符合 GB 2760 的要求，所使用的食品添加剂符合相应的食品安全国家标准，食品添加剂标识应符合</w:t>
      </w:r>
      <w:r>
        <w:rPr>
          <w:rFonts w:hint="eastAsia"/>
          <w:lang w:val="en-US" w:eastAsia="zh-CN"/>
        </w:rPr>
        <w:t>GB 29924</w:t>
      </w:r>
      <w:r>
        <w:rPr>
          <w:rFonts w:hint="eastAsia"/>
        </w:rPr>
        <w:t>的规定。不得添加食品添加剂以外的化学物质和其他可能危害人体健康的物质。</w:t>
      </w:r>
    </w:p>
    <w:p>
      <w:pPr>
        <w:pStyle w:val="166"/>
      </w:pPr>
      <w:r>
        <w:rPr>
          <w:rFonts w:hint="eastAsia"/>
        </w:rPr>
        <w:t>制售及配送的熟食安全管理应符合GB 31654的要求。</w:t>
      </w:r>
    </w:p>
    <w:p>
      <w:pPr>
        <w:pStyle w:val="166"/>
      </w:pPr>
      <w:r>
        <w:rPr>
          <w:rFonts w:hint="eastAsia"/>
        </w:rPr>
        <w:t>经营者应根据经营的冷鲜肉、冷鲜禽、冰鲜水产品、冷冻冷藏食品、豆制品、半制成品等产品贮存要求，配备相应的冷冻冷藏设施，并进行分区管理，有消毒要求的应按规定进行消毒；肉和肉制品经营应符合 GB 20799 的要求。</w:t>
      </w:r>
    </w:p>
    <w:p>
      <w:pPr>
        <w:pStyle w:val="166"/>
      </w:pPr>
      <w:r>
        <w:rPr>
          <w:rFonts w:hint="eastAsia"/>
        </w:rPr>
        <w:t>贮存</w:t>
      </w:r>
      <w:r>
        <w:rPr>
          <w:rFonts w:hint="eastAsia" w:hAnsi="宋体" w:cs="宋体"/>
        </w:rPr>
        <w:t>食品和食用农产品</w:t>
      </w:r>
      <w:r>
        <w:rPr>
          <w:rFonts w:hint="eastAsia"/>
        </w:rPr>
        <w:t>应远离污染源，与墙壁、地面保持适当距离，分类存放。</w:t>
      </w:r>
    </w:p>
    <w:p>
      <w:pPr>
        <w:pStyle w:val="166"/>
      </w:pPr>
      <w:r>
        <w:rPr>
          <w:rFonts w:hint="eastAsia"/>
        </w:rPr>
        <w:t>经营者应及时检查库存和陈列展售的</w:t>
      </w:r>
      <w:r>
        <w:rPr>
          <w:rFonts w:hint="eastAsia" w:hAnsi="宋体" w:cs="宋体"/>
        </w:rPr>
        <w:t>食品和食用农产品</w:t>
      </w:r>
      <w:r>
        <w:rPr>
          <w:rFonts w:hint="eastAsia"/>
        </w:rPr>
        <w:t>，并按要求及时处理不合格品。</w:t>
      </w:r>
    </w:p>
    <w:p>
      <w:pPr>
        <w:pStyle w:val="67"/>
        <w:spacing w:before="156" w:after="156"/>
        <w:rPr>
          <w:rFonts w:hAnsi="黑体" w:cs="黑体"/>
        </w:rPr>
      </w:pPr>
      <w:r>
        <w:rPr>
          <w:rFonts w:hint="eastAsia" w:hAnsi="黑体" w:cs="黑体"/>
        </w:rPr>
        <w:t>卫生管理</w:t>
      </w:r>
    </w:p>
    <w:p>
      <w:pPr>
        <w:pStyle w:val="166"/>
      </w:pPr>
      <w:r>
        <w:rPr>
          <w:rFonts w:hint="eastAsia"/>
        </w:rPr>
        <w:t xml:space="preserve">食品加工器具、餐饮具、蔬菜和水果等使用的洗涤剂、消毒剂应分别符合GB 14930.1、GB 14930.2等食品安全国家标准和有关规定。消毒宜安排专人负责，操作时应符合《消毒技术规范》、《消毒剂使用指南》等相关要求。 </w:t>
      </w:r>
    </w:p>
    <w:p>
      <w:pPr>
        <w:pStyle w:val="166"/>
      </w:pPr>
      <w:r>
        <w:rPr>
          <w:rFonts w:hint="eastAsia"/>
        </w:rPr>
        <w:t>公共场所、下水道垃圾桶(箱)、垃圾投放点、垃圾集置点、鱼池(箱)、运输工具等，应每周至少进行一次彻底大扫除，并使用消毒液喷酒消毒。</w:t>
      </w:r>
    </w:p>
    <w:p>
      <w:pPr>
        <w:pStyle w:val="166"/>
      </w:pPr>
      <w:r>
        <w:rPr>
          <w:rFonts w:hint="eastAsia"/>
        </w:rPr>
        <w:t>经营点位垃圾应做到随脏随扫，日产日清，地面、墙面、墙根干净，无垃圾堆存，无积水，无异味；应每日对农贸市场排水沟（明沟）进行清理，保证污水排放畅通</w:t>
      </w:r>
      <w:r>
        <w:rPr>
          <w:rFonts w:hint="eastAsia"/>
          <w:lang w:eastAsia="zh-CN"/>
        </w:rPr>
        <w:t>；</w:t>
      </w:r>
      <w:r>
        <w:rPr>
          <w:rFonts w:hint="eastAsia"/>
        </w:rPr>
        <w:t>每月宜疏通冲洗2次下水道（暗沟）(夏季3天一次)；收市后应用高压水彻底冲洗、清扫，保持农贸市场整洁明亮。</w:t>
      </w:r>
    </w:p>
    <w:p>
      <w:pPr>
        <w:pStyle w:val="166"/>
      </w:pPr>
      <w:r>
        <w:rPr>
          <w:rFonts w:hint="eastAsia"/>
        </w:rPr>
        <w:t>应保持环境整洁，不得存放有毒有害物质及其他可能造成污染的物质。正式营业前，经营者应自行将清理的各类垃圾，待保洁人员统一收集、清运；营业期间，经营者应自行清理，不得占道经营，做到商位内外无垃圾暴露，无杂物堆放。垃圾桶(箱)与食品制作容器、设施等应有明显的区分标识；垃圾桶(箱)能加盖密封，桶(箱)内壁光滑，易于清洁。</w:t>
      </w:r>
    </w:p>
    <w:p>
      <w:pPr>
        <w:pStyle w:val="107"/>
        <w:spacing w:before="156" w:after="156"/>
        <w:rPr>
          <w:rFonts w:hAnsi="黑体" w:cs="黑体"/>
        </w:rPr>
      </w:pPr>
      <w:r>
        <w:rPr>
          <w:rFonts w:hint="eastAsia" w:hAnsi="黑体" w:cs="黑体"/>
        </w:rPr>
        <w:t>包装与标识</w:t>
      </w:r>
    </w:p>
    <w:p>
      <w:pPr>
        <w:pStyle w:val="67"/>
        <w:spacing w:before="0" w:beforeLines="0" w:after="0" w:afterLines="0"/>
        <w:rPr>
          <w:rFonts w:ascii="宋体" w:hAnsi="宋体" w:eastAsia="宋体" w:cs="宋体"/>
        </w:rPr>
      </w:pPr>
      <w:r>
        <w:rPr>
          <w:rFonts w:hint="eastAsia" w:ascii="宋体" w:hAnsi="宋体" w:eastAsia="宋体" w:cs="宋体"/>
        </w:rPr>
        <w:t>应符合GB/T</w:t>
      </w:r>
      <w:r>
        <w:rPr>
          <w:rFonts w:hint="eastAsia" w:ascii="宋体" w:hAnsi="宋体" w:eastAsia="宋体" w:cs="宋体"/>
          <w:lang w:val="en-US" w:eastAsia="zh-CN"/>
        </w:rPr>
        <w:t xml:space="preserve"> </w:t>
      </w:r>
      <w:r>
        <w:rPr>
          <w:rFonts w:hint="eastAsia" w:ascii="宋体" w:hAnsi="宋体" w:eastAsia="宋体" w:cs="宋体"/>
        </w:rPr>
        <w:t>21720中6.6的相关规定。</w:t>
      </w:r>
    </w:p>
    <w:p>
      <w:pPr>
        <w:pStyle w:val="67"/>
        <w:spacing w:before="0" w:beforeLines="0" w:after="0" w:afterLines="0"/>
        <w:rPr>
          <w:rFonts w:ascii="宋体" w:hAnsi="宋体" w:eastAsia="宋体" w:cs="宋体"/>
        </w:rPr>
      </w:pPr>
      <w:r>
        <w:rPr>
          <w:rFonts w:hint="eastAsia" w:ascii="宋体" w:hAnsi="宋体" w:eastAsia="宋体" w:cs="宋体"/>
        </w:rPr>
        <w:t>熟食等直接入口食品、散装食品应使用清洁的食品级容器存放，并有清洁外罩或覆盖物，不得使用曾盛装化学品或其他有毒有害物质的容器。直接接触食品的工具、容器和包装材料等应具有符合食品安全国家标准的产品合格证明。</w:t>
      </w:r>
    </w:p>
    <w:p>
      <w:pPr>
        <w:pStyle w:val="67"/>
        <w:spacing w:before="0" w:beforeLines="0" w:after="0" w:afterLines="0"/>
        <w:rPr>
          <w:rFonts w:ascii="宋体" w:hAnsi="宋体" w:eastAsia="宋体" w:cs="宋体"/>
        </w:rPr>
      </w:pPr>
      <w:r>
        <w:rPr>
          <w:rFonts w:hint="eastAsia" w:ascii="宋体" w:hAnsi="宋体" w:eastAsia="宋体" w:cs="宋体"/>
        </w:rPr>
        <w:t>经营者销售应当包装或者附加标签的食品及食用农产品时，应包装或者附加标签后方可销售。包装或者标签上应当按照规定标注食品及食用农产品名称、产地、生产者、生产日期等内容；对保质期有要求的，应当标注保质期；对贮藏条件有要求的，应当予以标明；有分级标准或者使用食品添加剂的，应当标明产品质量等级或者食品添加剂名称。</w:t>
      </w:r>
    </w:p>
    <w:p>
      <w:pPr>
        <w:pStyle w:val="107"/>
        <w:spacing w:before="156" w:after="156"/>
        <w:rPr>
          <w:rFonts w:hAnsi="黑体" w:cs="黑体"/>
        </w:rPr>
      </w:pPr>
      <w:r>
        <w:rPr>
          <w:rFonts w:hint="eastAsia" w:hAnsi="黑体" w:cs="黑体"/>
        </w:rPr>
        <w:t>检验检测</w:t>
      </w:r>
    </w:p>
    <w:p>
      <w:pPr>
        <w:pStyle w:val="67"/>
        <w:spacing w:before="156" w:after="156"/>
      </w:pPr>
      <w:r>
        <w:t>检验</w:t>
      </w:r>
      <w:r>
        <w:rPr>
          <w:rFonts w:hint="eastAsia" w:hAnsi="黑体" w:cs="黑体"/>
        </w:rPr>
        <w:t>要求</w:t>
      </w:r>
    </w:p>
    <w:p>
      <w:pPr>
        <w:pStyle w:val="166"/>
      </w:pPr>
      <w:r>
        <w:rPr>
          <w:rFonts w:hint="eastAsia"/>
        </w:rPr>
        <w:t>综合性农产品批发市场、城区农贸市场和100 个摊位或 30 个经营者以上的城乡农贸市场应设置独立固定的快速检测室，或者委托具有资质的食品检验机构，开展食品检测工作。</w:t>
      </w:r>
    </w:p>
    <w:p>
      <w:pPr>
        <w:pStyle w:val="166"/>
      </w:pPr>
      <w:r>
        <w:rPr>
          <w:rFonts w:hint="eastAsia"/>
        </w:rPr>
        <w:t>市场开办者应配置与其规模相适应的快速检测设备和专职检验人员，检测设备和辅助设备应按要求保管、定期维护并及时更新，检测试剂应按储存条件储存，且在保质期内。</w:t>
      </w:r>
    </w:p>
    <w:p>
      <w:pPr>
        <w:pStyle w:val="166"/>
      </w:pPr>
      <w:r>
        <w:rPr>
          <w:rFonts w:hint="eastAsia"/>
        </w:rPr>
        <w:t>检测方法应满足现行的食品安全</w:t>
      </w:r>
      <w:r>
        <w:rPr>
          <w:rFonts w:hint="eastAsia"/>
          <w:lang w:val="en-US" w:eastAsia="zh-CN"/>
        </w:rPr>
        <w:t>相关</w:t>
      </w:r>
      <w:r>
        <w:rPr>
          <w:rFonts w:hint="eastAsia"/>
        </w:rPr>
        <w:t>标准</w:t>
      </w:r>
      <w:r>
        <w:rPr>
          <w:rFonts w:hint="eastAsia"/>
          <w:lang w:val="en-US" w:eastAsia="zh-CN"/>
        </w:rPr>
        <w:t>的要求</w:t>
      </w:r>
      <w:r>
        <w:rPr>
          <w:rFonts w:hint="eastAsia"/>
        </w:rPr>
        <w:t>。</w:t>
      </w:r>
    </w:p>
    <w:p>
      <w:pPr>
        <w:pStyle w:val="166"/>
      </w:pPr>
      <w:r>
        <w:rPr>
          <w:rFonts w:hint="eastAsia"/>
        </w:rPr>
        <w:t>抽样应按照规定的程序和方法执行。抽样方案应科学，确保抽样工作的公正性和样品的代表性、真实性。抽样人员应接受过专门的培训。</w:t>
      </w:r>
    </w:p>
    <w:p>
      <w:pPr>
        <w:pStyle w:val="67"/>
        <w:spacing w:before="156" w:after="156"/>
      </w:pPr>
      <w:r>
        <w:t>日常检测及处置</w:t>
      </w:r>
    </w:p>
    <w:p>
      <w:pPr>
        <w:pStyle w:val="166"/>
      </w:pPr>
      <w:r>
        <w:rPr>
          <w:rFonts w:hint="eastAsia"/>
        </w:rPr>
        <w:t>快速检测室应具备农药残留、兽药残留等项目快速检测能力，其他不具备条件的检测项目可委托具有资质的第三方开展检测。</w:t>
      </w:r>
    </w:p>
    <w:p>
      <w:pPr>
        <w:pStyle w:val="166"/>
      </w:pPr>
      <w:r>
        <w:rPr>
          <w:rFonts w:hint="eastAsia"/>
        </w:rPr>
        <w:t>检验人员应经培训合格后方能上岗。新开展的检测项目，检验人员应培训</w:t>
      </w:r>
      <w:r>
        <w:rPr>
          <w:rFonts w:hint="eastAsia" w:hAnsi="宋体" w:cs="宋体"/>
        </w:rPr>
        <w:t>合格</w:t>
      </w:r>
      <w:r>
        <w:rPr>
          <w:rFonts w:hint="eastAsia"/>
        </w:rPr>
        <w:t xml:space="preserve">后才能开展该项目检验。检验人员应定期参加检测技能培训并形成培训记录，每年不少于一次。 </w:t>
      </w:r>
    </w:p>
    <w:p>
      <w:pPr>
        <w:pStyle w:val="166"/>
      </w:pPr>
      <w:r>
        <w:rPr>
          <w:rFonts w:hint="eastAsia"/>
        </w:rPr>
        <w:t>快速检测室应建立检测台账，记录每日检测情况。</w:t>
      </w:r>
    </w:p>
    <w:p>
      <w:pPr>
        <w:pStyle w:val="166"/>
      </w:pPr>
      <w:r>
        <w:rPr>
          <w:rFonts w:hint="eastAsia"/>
        </w:rPr>
        <w:t>快速检测室负责每日清晨食品(食用农产品)的入市抽样、检测、公示、录入和后处理工作。市场开办者应根据市场交易量设定检测计划，交易量较大的农贸市场应根据实际情况增加检测批次，应根据不同季节有针对性的开展检测。检测</w:t>
      </w:r>
      <w:r>
        <w:rPr>
          <w:rFonts w:hint="eastAsia" w:hAnsi="宋体" w:cs="宋体"/>
        </w:rPr>
        <w:t>宜</w:t>
      </w:r>
      <w:r>
        <w:rPr>
          <w:rFonts w:hint="eastAsia"/>
        </w:rPr>
        <w:t xml:space="preserve">在上市时间1小时内完成，在显著位置公示当日检测结果。 </w:t>
      </w:r>
    </w:p>
    <w:p>
      <w:pPr>
        <w:pStyle w:val="166"/>
      </w:pPr>
      <w:r>
        <w:rPr>
          <w:rFonts w:hint="eastAsia"/>
        </w:rPr>
        <w:t xml:space="preserve">检测结果应登记归档，记录信息应包括：产品品种、名称、数量、检测项目检测方法、检测人员姓名、检测结果、检测设备产品型号等信息。 </w:t>
      </w:r>
    </w:p>
    <w:p>
      <w:pPr>
        <w:pStyle w:val="166"/>
      </w:pPr>
      <w:r>
        <w:rPr>
          <w:rFonts w:hint="eastAsia"/>
        </w:rPr>
        <w:t>快速检测结果表明不符合食品安全标准的，应要求经营者暂停销售，对确</w:t>
      </w:r>
      <w:r>
        <w:rPr>
          <w:rFonts w:hint="eastAsia" w:hAnsi="宋体" w:cs="宋体"/>
        </w:rPr>
        <w:t>认</w:t>
      </w:r>
      <w:r>
        <w:rPr>
          <w:rFonts w:hint="eastAsia"/>
        </w:rPr>
        <w:t xml:space="preserve">不合格的食品、食用农产品，应在经营者确认无异议后，对同批次该类所有产品进行下架销毁，处理过程、结果应记录和公示，并报告相关部门。 </w:t>
      </w:r>
    </w:p>
    <w:p>
      <w:pPr>
        <w:pStyle w:val="107"/>
        <w:spacing w:before="156" w:after="156"/>
        <w:rPr>
          <w:rFonts w:hAnsi="黑体" w:cs="黑体"/>
        </w:rPr>
      </w:pPr>
      <w:r>
        <w:rPr>
          <w:rFonts w:hint="eastAsia" w:hAnsi="黑体" w:cs="黑体"/>
        </w:rPr>
        <w:t>管理制度</w:t>
      </w:r>
    </w:p>
    <w:p>
      <w:pPr>
        <w:pStyle w:val="67"/>
        <w:spacing w:before="0" w:beforeLines="0" w:after="0" w:afterLines="0"/>
        <w:rPr>
          <w:rFonts w:ascii="宋体" w:hAnsi="宋体" w:eastAsia="宋体" w:cs="宋体"/>
        </w:rPr>
      </w:pPr>
      <w:r>
        <w:rPr>
          <w:rFonts w:hint="eastAsia" w:ascii="宋体" w:hAnsi="宋体" w:eastAsia="宋体" w:cs="宋体"/>
        </w:rPr>
        <w:t>应符合GB/T 21720</w:t>
      </w:r>
      <w:r>
        <w:rPr>
          <w:rFonts w:hint="eastAsia" w:ascii="宋体" w:hAnsi="宋体" w:eastAsia="宋体" w:cs="宋体"/>
          <w:lang w:val="en-US" w:eastAsia="zh-CN"/>
        </w:rPr>
        <w:t>-2022</w:t>
      </w:r>
      <w:r>
        <w:rPr>
          <w:rFonts w:hint="eastAsia" w:ascii="宋体" w:hAnsi="宋体" w:eastAsia="宋体" w:cs="宋体"/>
        </w:rPr>
        <w:t>中6.8的相关规定。</w:t>
      </w:r>
    </w:p>
    <w:p>
      <w:pPr>
        <w:pStyle w:val="67"/>
        <w:spacing w:before="0" w:beforeLines="0" w:after="0" w:afterLines="0"/>
        <w:rPr>
          <w:rFonts w:ascii="宋体" w:hAnsi="宋体" w:eastAsia="宋体" w:cs="宋体"/>
        </w:rPr>
      </w:pPr>
      <w:r>
        <w:rPr>
          <w:rFonts w:hint="eastAsia" w:ascii="宋体" w:hAnsi="宋体" w:eastAsia="宋体" w:cs="宋体"/>
        </w:rPr>
        <w:t>市场开办者</w:t>
      </w:r>
      <w:r>
        <w:rPr>
          <w:rFonts w:hint="eastAsia" w:ascii="宋体" w:hAnsi="宋体" w:eastAsia="宋体" w:cs="宋体"/>
          <w:lang w:val="en-US" w:eastAsia="zh-CN"/>
        </w:rPr>
        <w:t>应</w:t>
      </w:r>
      <w:r>
        <w:rPr>
          <w:rFonts w:hint="eastAsia" w:ascii="宋体" w:hAnsi="宋体" w:eastAsia="宋体" w:cs="宋体"/>
        </w:rPr>
        <w:t>建立健全食品及食用农产品质量安全管理体系，推进产地准出与市场准入衔接，规范日常监督管理，保证市场销售的产品安全、可追溯。</w:t>
      </w:r>
    </w:p>
    <w:p>
      <w:pPr>
        <w:pStyle w:val="107"/>
        <w:spacing w:before="156" w:after="156"/>
        <w:rPr>
          <w:rFonts w:hAnsi="黑体" w:cs="黑体"/>
        </w:rPr>
      </w:pPr>
      <w:r>
        <w:rPr>
          <w:rFonts w:hint="eastAsia" w:hAnsi="黑体" w:cs="黑体"/>
        </w:rPr>
        <w:t>教育培训、考核</w:t>
      </w:r>
    </w:p>
    <w:p>
      <w:pPr>
        <w:pStyle w:val="67"/>
        <w:spacing w:before="0" w:beforeLines="0" w:after="0" w:afterLines="0"/>
        <w:rPr>
          <w:rFonts w:ascii="宋体" w:hAnsi="宋体" w:eastAsia="宋体" w:cs="宋体"/>
        </w:rPr>
      </w:pPr>
      <w:r>
        <w:rPr>
          <w:rFonts w:hint="eastAsia" w:ascii="宋体" w:hAnsi="宋体" w:eastAsia="宋体" w:cs="宋体"/>
        </w:rPr>
        <w:t>应符合GB/T 21720</w:t>
      </w:r>
      <w:r>
        <w:rPr>
          <w:rFonts w:hint="eastAsia" w:ascii="宋体" w:hAnsi="宋体" w:eastAsia="宋体" w:cs="宋体"/>
          <w:lang w:val="en-US" w:eastAsia="zh-CN"/>
        </w:rPr>
        <w:t>-2022</w:t>
      </w:r>
      <w:r>
        <w:rPr>
          <w:rFonts w:hint="eastAsia" w:ascii="宋体" w:hAnsi="宋体" w:eastAsia="宋体" w:cs="宋体"/>
        </w:rPr>
        <w:t>中6.9的相关规定。</w:t>
      </w:r>
    </w:p>
    <w:p>
      <w:pPr>
        <w:pStyle w:val="67"/>
        <w:spacing w:before="0" w:beforeLines="0" w:after="0" w:afterLines="0"/>
        <w:rPr>
          <w:rFonts w:ascii="宋体" w:hAnsi="宋体" w:eastAsia="宋体" w:cs="宋体"/>
        </w:rPr>
      </w:pPr>
      <w:r>
        <w:rPr>
          <w:rFonts w:hint="eastAsia" w:ascii="宋体" w:hAnsi="宋体" w:eastAsia="宋体" w:cs="宋体"/>
        </w:rPr>
        <w:t>市场开办者应通过视频广播或张贴宣传材料等方式，有针对性的开展食品安全知识宣传</w:t>
      </w:r>
      <w:r>
        <w:rPr>
          <w:rFonts w:hint="eastAsia" w:ascii="宋体" w:hAnsi="宋体" w:eastAsia="宋体" w:cs="宋体"/>
          <w:lang w:eastAsia="zh-CN"/>
        </w:rPr>
        <w:t>、</w:t>
      </w:r>
      <w:r>
        <w:rPr>
          <w:rFonts w:hint="eastAsia" w:ascii="宋体" w:hAnsi="宋体" w:eastAsia="宋体" w:cs="宋体"/>
        </w:rPr>
        <w:t>培训和考核，并保留相关记录。</w:t>
      </w:r>
    </w:p>
    <w:p>
      <w:pPr>
        <w:pStyle w:val="107"/>
        <w:spacing w:before="156" w:after="156"/>
        <w:rPr>
          <w:rFonts w:hAnsi="黑体" w:cs="黑体"/>
        </w:rPr>
      </w:pPr>
      <w:r>
        <w:rPr>
          <w:rFonts w:hint="eastAsia" w:hAnsi="黑体" w:cs="黑体"/>
        </w:rPr>
        <w:t>消费者权益保护</w:t>
      </w:r>
    </w:p>
    <w:p>
      <w:pPr>
        <w:pStyle w:val="35"/>
      </w:pPr>
      <w:r>
        <w:rPr>
          <w:rFonts w:hint="eastAsia"/>
        </w:rPr>
        <w:t>应符合GB/T 21720</w:t>
      </w:r>
      <w:r>
        <w:rPr>
          <w:rFonts w:hint="eastAsia"/>
          <w:lang w:val="en-US" w:eastAsia="zh-CN"/>
        </w:rPr>
        <w:t>-2022</w:t>
      </w:r>
      <w:r>
        <w:rPr>
          <w:rFonts w:hint="eastAsia"/>
        </w:rPr>
        <w:t>中6.10的相关规定。</w:t>
      </w:r>
    </w:p>
    <w:p>
      <w:pPr>
        <w:pStyle w:val="107"/>
        <w:spacing w:before="156" w:after="156"/>
        <w:rPr>
          <w:rFonts w:hAnsi="黑体" w:cs="黑体"/>
        </w:rPr>
      </w:pPr>
      <w:r>
        <w:rPr>
          <w:rFonts w:hint="eastAsia" w:hAnsi="黑体" w:cs="黑体"/>
        </w:rPr>
        <w:t>档案管理</w:t>
      </w:r>
    </w:p>
    <w:p>
      <w:pPr>
        <w:pStyle w:val="35"/>
      </w:pPr>
      <w:r>
        <w:rPr>
          <w:rFonts w:hint="eastAsia"/>
        </w:rPr>
        <w:t>应符合GB/T 21720</w:t>
      </w:r>
      <w:r>
        <w:rPr>
          <w:rFonts w:hint="eastAsia"/>
          <w:lang w:val="en-US" w:eastAsia="zh-CN"/>
        </w:rPr>
        <w:t>-2022</w:t>
      </w:r>
      <w:bookmarkStart w:id="84" w:name="_GoBack"/>
      <w:bookmarkEnd w:id="84"/>
      <w:r>
        <w:rPr>
          <w:rFonts w:hint="eastAsia"/>
        </w:rPr>
        <w:t>中6.12的相关规定。</w:t>
      </w:r>
    </w:p>
    <w:p>
      <w:pPr>
        <w:pStyle w:val="107"/>
        <w:spacing w:before="156" w:after="156"/>
        <w:rPr>
          <w:rFonts w:hAnsi="黑体" w:cs="黑体"/>
        </w:rPr>
      </w:pPr>
      <w:r>
        <w:rPr>
          <w:rFonts w:hint="eastAsia" w:hAnsi="黑体" w:cs="黑体"/>
        </w:rPr>
        <w:t xml:space="preserve">应急处置  </w:t>
      </w:r>
    </w:p>
    <w:p>
      <w:pPr>
        <w:pStyle w:val="67"/>
        <w:spacing w:before="0" w:beforeLines="0" w:after="0" w:afterLines="0"/>
        <w:rPr>
          <w:rFonts w:ascii="宋体" w:hAnsi="宋体" w:eastAsia="宋体" w:cs="宋体"/>
        </w:rPr>
      </w:pPr>
      <w:r>
        <w:rPr>
          <w:rFonts w:hint="eastAsia" w:ascii="宋体" w:hAnsi="宋体" w:eastAsia="宋体" w:cs="宋体"/>
        </w:rPr>
        <w:t>市场开办者应根据实际情况制定食品安全事故应急预案，并定期开展应急演练，定期检查各项食品安全事故防范措施的落实情况，及时消除食品及食用农产品质量安全隐患。</w:t>
      </w:r>
    </w:p>
    <w:p>
      <w:pPr>
        <w:pStyle w:val="67"/>
        <w:spacing w:before="0" w:beforeLines="0" w:after="0" w:afterLines="0"/>
        <w:rPr>
          <w:rFonts w:ascii="宋体" w:hAnsi="宋体" w:eastAsia="宋体" w:cs="宋体"/>
        </w:rPr>
      </w:pPr>
      <w:r>
        <w:rPr>
          <w:rFonts w:hint="eastAsia" w:ascii="宋体" w:hAnsi="宋体" w:eastAsia="宋体" w:cs="宋体"/>
        </w:rPr>
        <w:t>发现食品安全事故风险时，第一时间向相关部门报告，启动应急预案，配合相关部门做好应急响应和防控工作。</w:t>
      </w:r>
    </w:p>
    <w:p>
      <w:pPr>
        <w:pStyle w:val="67"/>
        <w:spacing w:before="0" w:beforeLines="0" w:after="0" w:afterLines="0"/>
        <w:rPr>
          <w:rFonts w:ascii="宋体" w:hAnsi="宋体" w:eastAsia="宋体" w:cs="宋体"/>
        </w:rPr>
      </w:pPr>
      <w:r>
        <w:rPr>
          <w:rFonts w:hint="eastAsia" w:ascii="宋体" w:hAnsi="宋体" w:eastAsia="宋体" w:cs="宋体"/>
        </w:rPr>
        <w:t xml:space="preserve">发生食品安全事故时，应立即停止交易活动，将召回和处理情况向相关部门报告，并记录相关情况。 </w:t>
      </w:r>
    </w:p>
    <w:p>
      <w:pPr>
        <w:pStyle w:val="67"/>
        <w:spacing w:before="0" w:beforeLines="0" w:after="0" w:afterLines="0"/>
        <w:rPr>
          <w:rFonts w:ascii="宋体" w:hAnsi="宋体" w:eastAsia="宋体" w:cs="宋体"/>
        </w:rPr>
      </w:pPr>
      <w:r>
        <w:rPr>
          <w:rFonts w:hint="eastAsia" w:ascii="宋体" w:hAnsi="宋体" w:eastAsia="宋体" w:cs="宋体"/>
        </w:rPr>
        <w:t xml:space="preserve">市场开办者、经营者应共同建立不合格产品退市机制，经营产品出现有毒，有害、过期、变质等食品安全问题时，应及时下架封存，并及时报相关部门处理。 </w:t>
      </w:r>
    </w:p>
    <w:p>
      <w:pPr>
        <w:pStyle w:val="107"/>
        <w:spacing w:before="156" w:after="156"/>
        <w:rPr>
          <w:rFonts w:hAnsi="宋体"/>
        </w:rPr>
      </w:pPr>
      <w:r>
        <w:rPr>
          <w:rFonts w:hint="eastAsia" w:hAnsi="黑体" w:cs="黑体"/>
        </w:rPr>
        <w:t>信息公示</w:t>
      </w:r>
    </w:p>
    <w:p>
      <w:pPr>
        <w:pStyle w:val="67"/>
        <w:spacing w:before="0" w:beforeLines="0" w:after="0" w:afterLines="0"/>
        <w:rPr>
          <w:rFonts w:ascii="宋体" w:hAnsi="宋体" w:eastAsia="宋体" w:cs="宋体"/>
        </w:rPr>
      </w:pPr>
      <w:r>
        <w:rPr>
          <w:rFonts w:hint="eastAsia" w:ascii="宋体" w:hAnsi="宋体" w:eastAsia="宋体" w:cs="宋体"/>
        </w:rPr>
        <w:t>食用农产品集中交易市场开办者应当在醒目位置及时公布本市场食品安全管理制度、食品安全管理人员、投诉举报电话、市场自查结果、市场监管部门送达以及市场自行组织的食用农产品抽样检验结果，不合格食用农产品处理结果等信息。市场开办者和经营者应当按照市场监督管理部门的要求提供并公开产品质量安全数据信息。</w:t>
      </w:r>
    </w:p>
    <w:p>
      <w:pPr>
        <w:pStyle w:val="67"/>
        <w:spacing w:before="0" w:beforeLines="0" w:after="0" w:afterLines="0"/>
        <w:rPr>
          <w:rFonts w:ascii="宋体" w:hAnsi="宋体" w:eastAsia="宋体" w:cs="宋体"/>
        </w:rPr>
      </w:pPr>
      <w:r>
        <w:rPr>
          <w:rFonts w:hint="eastAsia" w:ascii="宋体" w:hAnsi="宋体" w:eastAsia="宋体" w:cs="宋体"/>
        </w:rPr>
        <w:t>公布食用农产品抽样检验结果应当同时明确有关检验项目和检验结果。</w:t>
      </w:r>
    </w:p>
    <w:p>
      <w:pPr>
        <w:pStyle w:val="67"/>
        <w:spacing w:before="0" w:beforeLines="0" w:after="0" w:afterLines="0"/>
        <w:rPr>
          <w:rFonts w:ascii="宋体" w:hAnsi="宋体" w:eastAsia="宋体" w:cs="宋体"/>
        </w:rPr>
        <w:sectPr>
          <w:pgSz w:w="11906" w:h="16838"/>
          <w:pgMar w:top="2410" w:right="1134" w:bottom="1134" w:left="1134" w:header="1418" w:footer="1134" w:gutter="284"/>
          <w:cols w:space="425" w:num="1"/>
          <w:formProt w:val="0"/>
          <w:docGrid w:type="lines" w:linePitch="312" w:charSpace="0"/>
        </w:sectPr>
      </w:pPr>
    </w:p>
    <w:p>
      <w:pPr>
        <w:pStyle w:val="35"/>
        <w:spacing w:after="283"/>
        <w:ind w:firstLine="0" w:firstLineChars="0"/>
        <w:jc w:val="center"/>
        <w:rPr>
          <w:rFonts w:ascii="黑体" w:hAnsi="黑体" w:eastAsia="黑体" w:cs="黑体"/>
        </w:rPr>
      </w:pPr>
      <w:r>
        <w:rPr>
          <w:rFonts w:hint="eastAsia" w:ascii="黑体" w:hAnsi="黑体" w:eastAsia="黑体" w:cs="黑体"/>
        </w:rPr>
        <w:t>参考文献</w:t>
      </w:r>
    </w:p>
    <w:p>
      <w:pPr>
        <w:pStyle w:val="35"/>
        <w:numPr>
          <w:ilvl w:val="0"/>
          <w:numId w:val="32"/>
        </w:numPr>
      </w:pPr>
      <w:r>
        <w:rPr>
          <w:rFonts w:hint="eastAsia"/>
        </w:rPr>
        <w:t>定量包装商品计量监督管理办法(国家质量监督检验检疫总局令第75号)</w:t>
      </w:r>
    </w:p>
    <w:p>
      <w:pPr>
        <w:pStyle w:val="35"/>
      </w:pPr>
      <w:r>
        <w:t xml:space="preserve">[2] </w:t>
      </w:r>
      <w:r>
        <w:rPr>
          <w:rFonts w:hint="eastAsia"/>
        </w:rPr>
        <w:t>农业农村部办公厅关于印发《农业生产“三品一标”提升行动实施方案》的通知(农办规(2021)</w:t>
      </w:r>
    </w:p>
    <w:p>
      <w:pPr>
        <w:pStyle w:val="35"/>
        <w:ind w:firstLine="0" w:firstLineChars="0"/>
      </w:pPr>
      <w:r>
        <w:rPr>
          <w:rFonts w:hint="eastAsia"/>
        </w:rPr>
        <w:t>1号)</w:t>
      </w:r>
    </w:p>
    <w:p>
      <w:pPr>
        <w:pStyle w:val="35"/>
      </w:pPr>
      <w:r>
        <w:t>[</w:t>
      </w:r>
      <w:r>
        <w:rPr>
          <w:rFonts w:hint="eastAsia"/>
        </w:rPr>
        <w:t>3</w:t>
      </w:r>
      <w:r>
        <w:t>]</w:t>
      </w:r>
      <w:r>
        <w:rPr>
          <w:rFonts w:hint="eastAsia"/>
        </w:rPr>
        <w:t xml:space="preserve">食用农产品市场销售质量安全监督管理办法（国家食品药品监督管理总局令第20号）               </w:t>
      </w:r>
    </w:p>
    <w:p>
      <w:pPr>
        <w:pStyle w:val="58"/>
        <w:ind w:firstLine="420"/>
      </w:pPr>
      <w:r>
        <w:t>[</w:t>
      </w:r>
      <w:r>
        <w:rPr>
          <w:rFonts w:hint="eastAsia"/>
        </w:rPr>
        <w:t>4</w:t>
      </w:r>
      <w:r>
        <w:t>]</w:t>
      </w:r>
      <w:r>
        <w:rPr>
          <w:rFonts w:hint="eastAsia"/>
        </w:rPr>
        <w:t>《消毒技术规范》 （2002年版）</w:t>
      </w:r>
    </w:p>
    <w:p>
      <w:pPr>
        <w:pStyle w:val="58"/>
        <w:ind w:firstLine="420"/>
      </w:pPr>
      <w:r>
        <w:t>[</w:t>
      </w:r>
      <w:r>
        <w:rPr>
          <w:rFonts w:hint="eastAsia"/>
        </w:rPr>
        <w:t>5</w:t>
      </w:r>
      <w:r>
        <w:t>]</w:t>
      </w:r>
      <w:r>
        <w:rPr>
          <w:rFonts w:hint="eastAsia"/>
        </w:rPr>
        <w:t>《消毒剂使用指南》（国卫办监督函〔2020〕147号）</w:t>
      </w:r>
    </w:p>
    <w:p>
      <w:pPr>
        <w:pStyle w:val="58"/>
        <w:ind w:firstLine="420"/>
      </w:pPr>
      <w:r>
        <w:rPr>
          <w:rFonts w:hint="eastAsia"/>
        </w:rPr>
        <w:t>[6]《标准化菜市场设置与管理规范》（商办建函〔2011〕886号）</w:t>
      </w:r>
    </w:p>
    <w:p>
      <w:pPr>
        <w:pStyle w:val="58"/>
        <w:ind w:firstLine="420"/>
      </w:pPr>
    </w:p>
    <w:p>
      <w:pPr>
        <w:pStyle w:val="58"/>
        <w:ind w:firstLine="420"/>
      </w:pPr>
      <w:r>
        <w:rPr>
          <w:rFonts w:hint="eastAsia"/>
        </w:rPr>
        <w:t xml:space="preserve"> </w:t>
      </w:r>
    </w:p>
    <w:p>
      <w:pPr>
        <w:pStyle w:val="58"/>
        <w:ind w:firstLine="420"/>
      </w:pPr>
      <w:r>
        <w:rPr>
          <w:rFonts w:hint="eastAsia"/>
        </w:rPr>
        <w:t xml:space="preserve">        </w:t>
      </w:r>
    </w:p>
    <w:p>
      <w:pPr>
        <w:pStyle w:val="58"/>
        <w:ind w:firstLine="420"/>
        <w:jc w:val="center"/>
      </w:pPr>
      <w:bookmarkStart w:id="83"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4"/>
                    <a:stretch>
                      <a:fillRect/>
                    </a:stretch>
                  </pic:blipFill>
                  <pic:spPr>
                    <a:xfrm>
                      <a:off x="0" y="0"/>
                      <a:ext cx="1485900" cy="317500"/>
                    </a:xfrm>
                    <a:prstGeom prst="rect">
                      <a:avLst/>
                    </a:prstGeom>
                  </pic:spPr>
                </pic:pic>
              </a:graphicData>
            </a:graphic>
          </wp:inline>
        </w:drawing>
      </w:r>
      <w:bookmarkEnd w:id="83"/>
    </w:p>
    <w:bookmarkEnd w:id="29"/>
    <w:bookmarkEnd w:id="69"/>
    <w:bookmarkEnd w:id="70"/>
    <w:bookmarkEnd w:id="71"/>
    <w:bookmarkEnd w:id="72"/>
    <w:bookmarkEnd w:id="73"/>
    <w:bookmarkEnd w:id="74"/>
    <w:bookmarkEnd w:id="75"/>
    <w:p>
      <w:pPr>
        <w:pStyle w:val="58"/>
        <w:ind w:firstLine="420"/>
      </w:pPr>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 w:name="方正黑体简体">
    <w:altName w:val="微软雅黑"/>
    <w:panose1 w:val="00000000000000000000"/>
    <w:charset w:val="86"/>
    <w:family w:val="script"/>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43/T XXXX—2023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2411" w:firstLine="0"/>
      </w:pPr>
      <w:rPr>
        <w:rFonts w:hint="eastAsia" w:ascii="黑体" w:eastAsia="黑体"/>
        <w:b w:val="0"/>
        <w:i w:val="0"/>
        <w:sz w:val="21"/>
      </w:rPr>
    </w:lvl>
    <w:lvl w:ilvl="4" w:tentative="0">
      <w:start w:val="1"/>
      <w:numFmt w:val="decimal"/>
      <w:pStyle w:val="96"/>
      <w:suff w:val="nothing"/>
      <w:lvlText w:val="%1%2.%3.%4.%5　"/>
      <w:lvlJc w:val="left"/>
      <w:pPr>
        <w:ind w:left="567"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2A3ADC1"/>
    <w:multiLevelType w:val="singleLevel"/>
    <w:tmpl w:val="72A3ADC1"/>
    <w:lvl w:ilvl="0" w:tentative="0">
      <w:start w:val="1"/>
      <w:numFmt w:val="decimal"/>
      <w:suff w:val="space"/>
      <w:lvlText w:val="[%1]"/>
      <w:lvlJc w:val="left"/>
    </w:lvl>
  </w:abstractNum>
  <w:abstractNum w:abstractNumId="31">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attachedTemplate r:id="rId1"/>
  <w:documentProtection w:edit="forms" w:enforcement="1" w:cryptProviderType="rsaAES" w:cryptAlgorithmClass="hash" w:cryptAlgorithmType="typeAny" w:cryptAlgorithmSid="14" w:cryptSpinCount="100000" w:hash="ISFKSumCAfEcaVdSrIULYqGrv6zc3PU04CaTKNyoOHXDoBZeGoFfU+vXRm+HncgH7FkDuAgMHOwM8hXqlgbbXg==" w:salt="ghLl+YJ5GiJAzmU5JUKfFg=="/>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5MjNkZjdkMDA4NTU2MTYzYWEwYmIyYjFmZjY0M2YifQ=="/>
  </w:docVars>
  <w:rsids>
    <w:rsidRoot w:val="007009D5"/>
    <w:rsid w:val="0000040A"/>
    <w:rsid w:val="00000A94"/>
    <w:rsid w:val="00001972"/>
    <w:rsid w:val="00001D9A"/>
    <w:rsid w:val="0000269F"/>
    <w:rsid w:val="00007B3A"/>
    <w:rsid w:val="00010199"/>
    <w:rsid w:val="000107E0"/>
    <w:rsid w:val="00011FDE"/>
    <w:rsid w:val="00012FFD"/>
    <w:rsid w:val="00014162"/>
    <w:rsid w:val="00014340"/>
    <w:rsid w:val="0001560E"/>
    <w:rsid w:val="00016A9C"/>
    <w:rsid w:val="00022184"/>
    <w:rsid w:val="00022762"/>
    <w:rsid w:val="000238E0"/>
    <w:rsid w:val="000249DB"/>
    <w:rsid w:val="0002595E"/>
    <w:rsid w:val="00026A0F"/>
    <w:rsid w:val="0003039D"/>
    <w:rsid w:val="000303C3"/>
    <w:rsid w:val="000331D3"/>
    <w:rsid w:val="000346A5"/>
    <w:rsid w:val="000359C3"/>
    <w:rsid w:val="00035A7D"/>
    <w:rsid w:val="000365ED"/>
    <w:rsid w:val="000410DD"/>
    <w:rsid w:val="0004249A"/>
    <w:rsid w:val="00043282"/>
    <w:rsid w:val="000440D6"/>
    <w:rsid w:val="00044286"/>
    <w:rsid w:val="00047F28"/>
    <w:rsid w:val="000503AA"/>
    <w:rsid w:val="000506A1"/>
    <w:rsid w:val="00050EFC"/>
    <w:rsid w:val="000515DD"/>
    <w:rsid w:val="0005265A"/>
    <w:rsid w:val="000539DD"/>
    <w:rsid w:val="00053BD3"/>
    <w:rsid w:val="000556ED"/>
    <w:rsid w:val="00055FE2"/>
    <w:rsid w:val="0005616F"/>
    <w:rsid w:val="00060C2E"/>
    <w:rsid w:val="00061033"/>
    <w:rsid w:val="000619E9"/>
    <w:rsid w:val="000622D4"/>
    <w:rsid w:val="0006357D"/>
    <w:rsid w:val="00066C4A"/>
    <w:rsid w:val="00067F1E"/>
    <w:rsid w:val="00070B35"/>
    <w:rsid w:val="00071CC0"/>
    <w:rsid w:val="00073C8C"/>
    <w:rsid w:val="00075A27"/>
    <w:rsid w:val="00077B64"/>
    <w:rsid w:val="00080A1C"/>
    <w:rsid w:val="00082317"/>
    <w:rsid w:val="000825D9"/>
    <w:rsid w:val="00083D2C"/>
    <w:rsid w:val="00086AA1"/>
    <w:rsid w:val="00087A77"/>
    <w:rsid w:val="00090103"/>
    <w:rsid w:val="00090C6D"/>
    <w:rsid w:val="00090CA6"/>
    <w:rsid w:val="00092B8A"/>
    <w:rsid w:val="00092FB0"/>
    <w:rsid w:val="000934C5"/>
    <w:rsid w:val="00093D25"/>
    <w:rsid w:val="00093DAB"/>
    <w:rsid w:val="00094D73"/>
    <w:rsid w:val="00096D63"/>
    <w:rsid w:val="000A0B60"/>
    <w:rsid w:val="000A0E69"/>
    <w:rsid w:val="000A0EB8"/>
    <w:rsid w:val="000A134A"/>
    <w:rsid w:val="000A19FC"/>
    <w:rsid w:val="000A296B"/>
    <w:rsid w:val="000A7311"/>
    <w:rsid w:val="000A742E"/>
    <w:rsid w:val="000B060F"/>
    <w:rsid w:val="000B1592"/>
    <w:rsid w:val="000B1FF2"/>
    <w:rsid w:val="000B3CDA"/>
    <w:rsid w:val="000B5E17"/>
    <w:rsid w:val="000B6A0B"/>
    <w:rsid w:val="000B749F"/>
    <w:rsid w:val="000C0F6C"/>
    <w:rsid w:val="000C1032"/>
    <w:rsid w:val="000C11DB"/>
    <w:rsid w:val="000C1492"/>
    <w:rsid w:val="000C2FBD"/>
    <w:rsid w:val="000C4B41"/>
    <w:rsid w:val="000C57D6"/>
    <w:rsid w:val="000C6362"/>
    <w:rsid w:val="000C7666"/>
    <w:rsid w:val="000D0A9C"/>
    <w:rsid w:val="000D1795"/>
    <w:rsid w:val="000D329A"/>
    <w:rsid w:val="000D4B9C"/>
    <w:rsid w:val="000D4EB6"/>
    <w:rsid w:val="000D753B"/>
    <w:rsid w:val="000D7599"/>
    <w:rsid w:val="000E4C9E"/>
    <w:rsid w:val="000E6FD7"/>
    <w:rsid w:val="000F06E1"/>
    <w:rsid w:val="000F0E3C"/>
    <w:rsid w:val="000F19D5"/>
    <w:rsid w:val="000F1B98"/>
    <w:rsid w:val="000F4AEA"/>
    <w:rsid w:val="000F536E"/>
    <w:rsid w:val="000F633F"/>
    <w:rsid w:val="000F67E9"/>
    <w:rsid w:val="0010256D"/>
    <w:rsid w:val="00103C0A"/>
    <w:rsid w:val="00104926"/>
    <w:rsid w:val="0010782D"/>
    <w:rsid w:val="00113B1E"/>
    <w:rsid w:val="00115C18"/>
    <w:rsid w:val="0011711C"/>
    <w:rsid w:val="0012059C"/>
    <w:rsid w:val="00122532"/>
    <w:rsid w:val="00122CF5"/>
    <w:rsid w:val="00124004"/>
    <w:rsid w:val="00124E4F"/>
    <w:rsid w:val="001260B7"/>
    <w:rsid w:val="001265CB"/>
    <w:rsid w:val="001321C6"/>
    <w:rsid w:val="001325C4"/>
    <w:rsid w:val="00133010"/>
    <w:rsid w:val="00133893"/>
    <w:rsid w:val="001338EE"/>
    <w:rsid w:val="00133AAE"/>
    <w:rsid w:val="00135323"/>
    <w:rsid w:val="001356C4"/>
    <w:rsid w:val="00141114"/>
    <w:rsid w:val="00142969"/>
    <w:rsid w:val="00142DAF"/>
    <w:rsid w:val="001446C2"/>
    <w:rsid w:val="001457E7"/>
    <w:rsid w:val="00145D9D"/>
    <w:rsid w:val="00146388"/>
    <w:rsid w:val="001529E5"/>
    <w:rsid w:val="00153C7E"/>
    <w:rsid w:val="001541F0"/>
    <w:rsid w:val="00156B25"/>
    <w:rsid w:val="00156E1A"/>
    <w:rsid w:val="00157894"/>
    <w:rsid w:val="00157B55"/>
    <w:rsid w:val="001642FA"/>
    <w:rsid w:val="001649EB"/>
    <w:rsid w:val="00164BAF"/>
    <w:rsid w:val="00164FA8"/>
    <w:rsid w:val="00165065"/>
    <w:rsid w:val="00165434"/>
    <w:rsid w:val="0016580B"/>
    <w:rsid w:val="00165F49"/>
    <w:rsid w:val="00166ADC"/>
    <w:rsid w:val="00166B88"/>
    <w:rsid w:val="0016770A"/>
    <w:rsid w:val="00170804"/>
    <w:rsid w:val="001708E9"/>
    <w:rsid w:val="001714F8"/>
    <w:rsid w:val="0017340B"/>
    <w:rsid w:val="00173992"/>
    <w:rsid w:val="00173FB1"/>
    <w:rsid w:val="00175AB4"/>
    <w:rsid w:val="00176DFD"/>
    <w:rsid w:val="00181889"/>
    <w:rsid w:val="00182A46"/>
    <w:rsid w:val="00183635"/>
    <w:rsid w:val="001842DC"/>
    <w:rsid w:val="001852C9"/>
    <w:rsid w:val="00187578"/>
    <w:rsid w:val="00190087"/>
    <w:rsid w:val="00191132"/>
    <w:rsid w:val="001913C4"/>
    <w:rsid w:val="00192C60"/>
    <w:rsid w:val="0019348F"/>
    <w:rsid w:val="00193A07"/>
    <w:rsid w:val="00194C95"/>
    <w:rsid w:val="00195C34"/>
    <w:rsid w:val="00196DEC"/>
    <w:rsid w:val="00196EF5"/>
    <w:rsid w:val="001979C9"/>
    <w:rsid w:val="001A1A53"/>
    <w:rsid w:val="001A234A"/>
    <w:rsid w:val="001A2487"/>
    <w:rsid w:val="001A2C12"/>
    <w:rsid w:val="001A4CF3"/>
    <w:rsid w:val="001A7B10"/>
    <w:rsid w:val="001B06E8"/>
    <w:rsid w:val="001B1230"/>
    <w:rsid w:val="001B18F3"/>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526"/>
    <w:rsid w:val="001E1572"/>
    <w:rsid w:val="001E1B6A"/>
    <w:rsid w:val="001E2484"/>
    <w:rsid w:val="001E3CC4"/>
    <w:rsid w:val="001E4882"/>
    <w:rsid w:val="001E73AB"/>
    <w:rsid w:val="001F092D"/>
    <w:rsid w:val="001F143A"/>
    <w:rsid w:val="001F1605"/>
    <w:rsid w:val="001F2508"/>
    <w:rsid w:val="001F4816"/>
    <w:rsid w:val="001F4EE9"/>
    <w:rsid w:val="001F69B4"/>
    <w:rsid w:val="001F77C7"/>
    <w:rsid w:val="001F7CEC"/>
    <w:rsid w:val="00200183"/>
    <w:rsid w:val="00200333"/>
    <w:rsid w:val="0020107D"/>
    <w:rsid w:val="00202AA4"/>
    <w:rsid w:val="002031F7"/>
    <w:rsid w:val="002040E6"/>
    <w:rsid w:val="002042D5"/>
    <w:rsid w:val="0020527B"/>
    <w:rsid w:val="00205F2C"/>
    <w:rsid w:val="00210B15"/>
    <w:rsid w:val="002142EA"/>
    <w:rsid w:val="00214576"/>
    <w:rsid w:val="00215E3D"/>
    <w:rsid w:val="00216822"/>
    <w:rsid w:val="002204BB"/>
    <w:rsid w:val="00221B79"/>
    <w:rsid w:val="00221C6B"/>
    <w:rsid w:val="002253A1"/>
    <w:rsid w:val="00225CF8"/>
    <w:rsid w:val="0022794E"/>
    <w:rsid w:val="002332FF"/>
    <w:rsid w:val="00233911"/>
    <w:rsid w:val="00233D64"/>
    <w:rsid w:val="0023482A"/>
    <w:rsid w:val="00235885"/>
    <w:rsid w:val="002359CB"/>
    <w:rsid w:val="002402B5"/>
    <w:rsid w:val="0024150E"/>
    <w:rsid w:val="00243540"/>
    <w:rsid w:val="002438C9"/>
    <w:rsid w:val="0024497B"/>
    <w:rsid w:val="0024515B"/>
    <w:rsid w:val="00246021"/>
    <w:rsid w:val="0024666E"/>
    <w:rsid w:val="00247F52"/>
    <w:rsid w:val="00250560"/>
    <w:rsid w:val="00250B25"/>
    <w:rsid w:val="00250BBE"/>
    <w:rsid w:val="002515C2"/>
    <w:rsid w:val="0025194F"/>
    <w:rsid w:val="00252AE8"/>
    <w:rsid w:val="00255BF5"/>
    <w:rsid w:val="0026148A"/>
    <w:rsid w:val="00262696"/>
    <w:rsid w:val="00263D25"/>
    <w:rsid w:val="002643C3"/>
    <w:rsid w:val="00264A0C"/>
    <w:rsid w:val="00265A07"/>
    <w:rsid w:val="00266EEB"/>
    <w:rsid w:val="00267466"/>
    <w:rsid w:val="00267EF4"/>
    <w:rsid w:val="00270CB8"/>
    <w:rsid w:val="002716BF"/>
    <w:rsid w:val="00272B08"/>
    <w:rsid w:val="00272F84"/>
    <w:rsid w:val="00276E56"/>
    <w:rsid w:val="002778BC"/>
    <w:rsid w:val="00281BB8"/>
    <w:rsid w:val="00281E9E"/>
    <w:rsid w:val="00282405"/>
    <w:rsid w:val="00282E9A"/>
    <w:rsid w:val="00285170"/>
    <w:rsid w:val="00285361"/>
    <w:rsid w:val="00286405"/>
    <w:rsid w:val="0028699A"/>
    <w:rsid w:val="00286FEC"/>
    <w:rsid w:val="0029090B"/>
    <w:rsid w:val="00290E28"/>
    <w:rsid w:val="00292D60"/>
    <w:rsid w:val="00293B30"/>
    <w:rsid w:val="00294D34"/>
    <w:rsid w:val="00294D4C"/>
    <w:rsid w:val="00294E3B"/>
    <w:rsid w:val="00296193"/>
    <w:rsid w:val="00296C66"/>
    <w:rsid w:val="00296EBE"/>
    <w:rsid w:val="002974E3"/>
    <w:rsid w:val="002A084B"/>
    <w:rsid w:val="002A1260"/>
    <w:rsid w:val="002A1589"/>
    <w:rsid w:val="002A1608"/>
    <w:rsid w:val="002A1DD8"/>
    <w:rsid w:val="002A1E8E"/>
    <w:rsid w:val="002A25DC"/>
    <w:rsid w:val="002A3023"/>
    <w:rsid w:val="002A3AAB"/>
    <w:rsid w:val="002A4CEA"/>
    <w:rsid w:val="002A5977"/>
    <w:rsid w:val="002A5A13"/>
    <w:rsid w:val="002A6D77"/>
    <w:rsid w:val="002A757F"/>
    <w:rsid w:val="002A7F44"/>
    <w:rsid w:val="002B0C40"/>
    <w:rsid w:val="002B1966"/>
    <w:rsid w:val="002B23CD"/>
    <w:rsid w:val="002B4508"/>
    <w:rsid w:val="002B4ADA"/>
    <w:rsid w:val="002B5779"/>
    <w:rsid w:val="002B7332"/>
    <w:rsid w:val="002B7F51"/>
    <w:rsid w:val="002C09E7"/>
    <w:rsid w:val="002C11CC"/>
    <w:rsid w:val="002C1E06"/>
    <w:rsid w:val="002C1E1C"/>
    <w:rsid w:val="002C3F07"/>
    <w:rsid w:val="002C5278"/>
    <w:rsid w:val="002C56AA"/>
    <w:rsid w:val="002C5D81"/>
    <w:rsid w:val="002C7EBB"/>
    <w:rsid w:val="002D06C1"/>
    <w:rsid w:val="002D42B5"/>
    <w:rsid w:val="002D4C32"/>
    <w:rsid w:val="002D4F1A"/>
    <w:rsid w:val="002D6EC6"/>
    <w:rsid w:val="002D79AC"/>
    <w:rsid w:val="002E039D"/>
    <w:rsid w:val="002E4D5A"/>
    <w:rsid w:val="002E6326"/>
    <w:rsid w:val="002E777E"/>
    <w:rsid w:val="002F03E0"/>
    <w:rsid w:val="002F30E0"/>
    <w:rsid w:val="002F35E4"/>
    <w:rsid w:val="002F3730"/>
    <w:rsid w:val="002F38E1"/>
    <w:rsid w:val="002F7AF6"/>
    <w:rsid w:val="00300E63"/>
    <w:rsid w:val="00302F5F"/>
    <w:rsid w:val="0030441D"/>
    <w:rsid w:val="00306063"/>
    <w:rsid w:val="0030675F"/>
    <w:rsid w:val="00310513"/>
    <w:rsid w:val="00312B87"/>
    <w:rsid w:val="0031314A"/>
    <w:rsid w:val="00313B85"/>
    <w:rsid w:val="00317988"/>
    <w:rsid w:val="003221B4"/>
    <w:rsid w:val="0032258D"/>
    <w:rsid w:val="003227FB"/>
    <w:rsid w:val="00322E62"/>
    <w:rsid w:val="00324D13"/>
    <w:rsid w:val="00324D2A"/>
    <w:rsid w:val="00324EDD"/>
    <w:rsid w:val="003275DC"/>
    <w:rsid w:val="003331E4"/>
    <w:rsid w:val="00333F1E"/>
    <w:rsid w:val="003347CB"/>
    <w:rsid w:val="00336719"/>
    <w:rsid w:val="00336C64"/>
    <w:rsid w:val="00337162"/>
    <w:rsid w:val="0034194F"/>
    <w:rsid w:val="00344605"/>
    <w:rsid w:val="003449F0"/>
    <w:rsid w:val="003474AA"/>
    <w:rsid w:val="00350D1D"/>
    <w:rsid w:val="00352C83"/>
    <w:rsid w:val="00353731"/>
    <w:rsid w:val="003552F5"/>
    <w:rsid w:val="003609EB"/>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A0C"/>
    <w:rsid w:val="00382DE7"/>
    <w:rsid w:val="00384FFC"/>
    <w:rsid w:val="00386B55"/>
    <w:rsid w:val="003872FC"/>
    <w:rsid w:val="00387ADC"/>
    <w:rsid w:val="00390020"/>
    <w:rsid w:val="003903D6"/>
    <w:rsid w:val="00390EE6"/>
    <w:rsid w:val="0039118F"/>
    <w:rsid w:val="00392AD7"/>
    <w:rsid w:val="003938D9"/>
    <w:rsid w:val="00394376"/>
    <w:rsid w:val="003943FF"/>
    <w:rsid w:val="00395700"/>
    <w:rsid w:val="003969CD"/>
    <w:rsid w:val="00396FF9"/>
    <w:rsid w:val="003974EB"/>
    <w:rsid w:val="00397CC5"/>
    <w:rsid w:val="003A1582"/>
    <w:rsid w:val="003A1989"/>
    <w:rsid w:val="003A4077"/>
    <w:rsid w:val="003A4136"/>
    <w:rsid w:val="003B09AD"/>
    <w:rsid w:val="003B133F"/>
    <w:rsid w:val="003B1F18"/>
    <w:rsid w:val="003B37D4"/>
    <w:rsid w:val="003B5BF0"/>
    <w:rsid w:val="003B60BF"/>
    <w:rsid w:val="003B6BE3"/>
    <w:rsid w:val="003C010C"/>
    <w:rsid w:val="003C0A6C"/>
    <w:rsid w:val="003C14F8"/>
    <w:rsid w:val="003C4929"/>
    <w:rsid w:val="003C5A43"/>
    <w:rsid w:val="003C6C24"/>
    <w:rsid w:val="003D0519"/>
    <w:rsid w:val="003D0FF6"/>
    <w:rsid w:val="003D19D0"/>
    <w:rsid w:val="003D262C"/>
    <w:rsid w:val="003D6037"/>
    <w:rsid w:val="003D6D61"/>
    <w:rsid w:val="003D7214"/>
    <w:rsid w:val="003E0382"/>
    <w:rsid w:val="003E091D"/>
    <w:rsid w:val="003E1C53"/>
    <w:rsid w:val="003E2A69"/>
    <w:rsid w:val="003E2D49"/>
    <w:rsid w:val="003E2FD4"/>
    <w:rsid w:val="003E49F6"/>
    <w:rsid w:val="003E660F"/>
    <w:rsid w:val="003F07B4"/>
    <w:rsid w:val="003F0841"/>
    <w:rsid w:val="003F23D3"/>
    <w:rsid w:val="003F3F08"/>
    <w:rsid w:val="003F49F1"/>
    <w:rsid w:val="003F6272"/>
    <w:rsid w:val="00400E72"/>
    <w:rsid w:val="00401400"/>
    <w:rsid w:val="00401467"/>
    <w:rsid w:val="00404869"/>
    <w:rsid w:val="00404E4A"/>
    <w:rsid w:val="00405884"/>
    <w:rsid w:val="004061E7"/>
    <w:rsid w:val="00407D39"/>
    <w:rsid w:val="00411E95"/>
    <w:rsid w:val="0041477A"/>
    <w:rsid w:val="0041506A"/>
    <w:rsid w:val="00415A43"/>
    <w:rsid w:val="004167A3"/>
    <w:rsid w:val="00423E5C"/>
    <w:rsid w:val="004268EE"/>
    <w:rsid w:val="00432DAA"/>
    <w:rsid w:val="00433A26"/>
    <w:rsid w:val="00434305"/>
    <w:rsid w:val="00435DF7"/>
    <w:rsid w:val="0044083F"/>
    <w:rsid w:val="00441AE7"/>
    <w:rsid w:val="00445574"/>
    <w:rsid w:val="004467FB"/>
    <w:rsid w:val="00452D6B"/>
    <w:rsid w:val="00454484"/>
    <w:rsid w:val="0045517B"/>
    <w:rsid w:val="00455320"/>
    <w:rsid w:val="004614D7"/>
    <w:rsid w:val="00461BE4"/>
    <w:rsid w:val="00463B77"/>
    <w:rsid w:val="00463C7B"/>
    <w:rsid w:val="004644A6"/>
    <w:rsid w:val="00464721"/>
    <w:rsid w:val="004659BD"/>
    <w:rsid w:val="00470775"/>
    <w:rsid w:val="00471E46"/>
    <w:rsid w:val="004746B1"/>
    <w:rsid w:val="004755F4"/>
    <w:rsid w:val="004756BE"/>
    <w:rsid w:val="0047583F"/>
    <w:rsid w:val="00475DE8"/>
    <w:rsid w:val="00475F72"/>
    <w:rsid w:val="00481C44"/>
    <w:rsid w:val="004824F4"/>
    <w:rsid w:val="00484936"/>
    <w:rsid w:val="00485B7F"/>
    <w:rsid w:val="00485C89"/>
    <w:rsid w:val="00486BE3"/>
    <w:rsid w:val="004905E4"/>
    <w:rsid w:val="00490A89"/>
    <w:rsid w:val="00490AB4"/>
    <w:rsid w:val="00492F02"/>
    <w:rsid w:val="00493674"/>
    <w:rsid w:val="004939AE"/>
    <w:rsid w:val="00494CCD"/>
    <w:rsid w:val="004A12DF"/>
    <w:rsid w:val="004A17E6"/>
    <w:rsid w:val="004A1BA8"/>
    <w:rsid w:val="004A2423"/>
    <w:rsid w:val="004A4B57"/>
    <w:rsid w:val="004A63FA"/>
    <w:rsid w:val="004B0272"/>
    <w:rsid w:val="004B2701"/>
    <w:rsid w:val="004B2E1B"/>
    <w:rsid w:val="004B2E46"/>
    <w:rsid w:val="004B3AA8"/>
    <w:rsid w:val="004B3B05"/>
    <w:rsid w:val="004B3E93"/>
    <w:rsid w:val="004C1FBC"/>
    <w:rsid w:val="004C3F1D"/>
    <w:rsid w:val="004C458D"/>
    <w:rsid w:val="004C54C5"/>
    <w:rsid w:val="004C6681"/>
    <w:rsid w:val="004C7556"/>
    <w:rsid w:val="004C7E8B"/>
    <w:rsid w:val="004C7E9D"/>
    <w:rsid w:val="004C7F67"/>
    <w:rsid w:val="004D076D"/>
    <w:rsid w:val="004D0EF1"/>
    <w:rsid w:val="004D1507"/>
    <w:rsid w:val="004D2253"/>
    <w:rsid w:val="004D4406"/>
    <w:rsid w:val="004D6A69"/>
    <w:rsid w:val="004D7C42"/>
    <w:rsid w:val="004E0465"/>
    <w:rsid w:val="004E127B"/>
    <w:rsid w:val="004E1795"/>
    <w:rsid w:val="004E1C0A"/>
    <w:rsid w:val="004E2B06"/>
    <w:rsid w:val="004E30C5"/>
    <w:rsid w:val="004E4AA5"/>
    <w:rsid w:val="004E4AEE"/>
    <w:rsid w:val="004E59E3"/>
    <w:rsid w:val="004E67C0"/>
    <w:rsid w:val="004E7B0F"/>
    <w:rsid w:val="004F391A"/>
    <w:rsid w:val="004F3CFB"/>
    <w:rsid w:val="004F5210"/>
    <w:rsid w:val="004F6456"/>
    <w:rsid w:val="004F696E"/>
    <w:rsid w:val="004F6C71"/>
    <w:rsid w:val="00501139"/>
    <w:rsid w:val="0050363E"/>
    <w:rsid w:val="005039BC"/>
    <w:rsid w:val="005043BB"/>
    <w:rsid w:val="00504A3D"/>
    <w:rsid w:val="00505767"/>
    <w:rsid w:val="0050736B"/>
    <w:rsid w:val="005073F0"/>
    <w:rsid w:val="00507E43"/>
    <w:rsid w:val="00510A7B"/>
    <w:rsid w:val="00512F6E"/>
    <w:rsid w:val="00513038"/>
    <w:rsid w:val="00514174"/>
    <w:rsid w:val="00515826"/>
    <w:rsid w:val="00516088"/>
    <w:rsid w:val="00516B0B"/>
    <w:rsid w:val="0052126A"/>
    <w:rsid w:val="005220EC"/>
    <w:rsid w:val="00522343"/>
    <w:rsid w:val="00523F95"/>
    <w:rsid w:val="00524D65"/>
    <w:rsid w:val="00525B16"/>
    <w:rsid w:val="0052725C"/>
    <w:rsid w:val="00533D04"/>
    <w:rsid w:val="00534804"/>
    <w:rsid w:val="00534BDF"/>
    <w:rsid w:val="005354EA"/>
    <w:rsid w:val="0053585F"/>
    <w:rsid w:val="00535EC4"/>
    <w:rsid w:val="00535ED9"/>
    <w:rsid w:val="0053692B"/>
    <w:rsid w:val="0054126E"/>
    <w:rsid w:val="00541853"/>
    <w:rsid w:val="00543BDA"/>
    <w:rsid w:val="005441CC"/>
    <w:rsid w:val="005479DA"/>
    <w:rsid w:val="00547BCC"/>
    <w:rsid w:val="00550006"/>
    <w:rsid w:val="0055013B"/>
    <w:rsid w:val="00551C9C"/>
    <w:rsid w:val="00551F6F"/>
    <w:rsid w:val="00555044"/>
    <w:rsid w:val="00556BE0"/>
    <w:rsid w:val="00561475"/>
    <w:rsid w:val="005620AD"/>
    <w:rsid w:val="005635CE"/>
    <w:rsid w:val="0056487B"/>
    <w:rsid w:val="00564FB9"/>
    <w:rsid w:val="00573D9E"/>
    <w:rsid w:val="005775A0"/>
    <w:rsid w:val="005801E3"/>
    <w:rsid w:val="00581802"/>
    <w:rsid w:val="00582646"/>
    <w:rsid w:val="005836A8"/>
    <w:rsid w:val="00584099"/>
    <w:rsid w:val="0058409C"/>
    <w:rsid w:val="00584262"/>
    <w:rsid w:val="00586630"/>
    <w:rsid w:val="00587ADD"/>
    <w:rsid w:val="00591E27"/>
    <w:rsid w:val="00596160"/>
    <w:rsid w:val="005966E2"/>
    <w:rsid w:val="00597007"/>
    <w:rsid w:val="005A0966"/>
    <w:rsid w:val="005A11B7"/>
    <w:rsid w:val="005A260B"/>
    <w:rsid w:val="005A4A1B"/>
    <w:rsid w:val="005A4F24"/>
    <w:rsid w:val="005A7830"/>
    <w:rsid w:val="005A7FCE"/>
    <w:rsid w:val="005B0F3F"/>
    <w:rsid w:val="005B4903"/>
    <w:rsid w:val="005B51CE"/>
    <w:rsid w:val="005B5885"/>
    <w:rsid w:val="005B5CD7"/>
    <w:rsid w:val="005B6CF6"/>
    <w:rsid w:val="005B7422"/>
    <w:rsid w:val="005C14D3"/>
    <w:rsid w:val="005C29B8"/>
    <w:rsid w:val="005C2FA6"/>
    <w:rsid w:val="005C560C"/>
    <w:rsid w:val="005C5F21"/>
    <w:rsid w:val="005C7156"/>
    <w:rsid w:val="005D02F4"/>
    <w:rsid w:val="005D0C75"/>
    <w:rsid w:val="005D4171"/>
    <w:rsid w:val="005D6A95"/>
    <w:rsid w:val="005D6B2C"/>
    <w:rsid w:val="005D6D9C"/>
    <w:rsid w:val="005E2335"/>
    <w:rsid w:val="005E34CA"/>
    <w:rsid w:val="005E3C18"/>
    <w:rsid w:val="005E66ED"/>
    <w:rsid w:val="005E6812"/>
    <w:rsid w:val="005E7881"/>
    <w:rsid w:val="005E78E0"/>
    <w:rsid w:val="005F0D9C"/>
    <w:rsid w:val="005F284E"/>
    <w:rsid w:val="005F39D6"/>
    <w:rsid w:val="005F4712"/>
    <w:rsid w:val="005F7412"/>
    <w:rsid w:val="006015CE"/>
    <w:rsid w:val="00604784"/>
    <w:rsid w:val="00606419"/>
    <w:rsid w:val="00607D29"/>
    <w:rsid w:val="00610B24"/>
    <w:rsid w:val="00612952"/>
    <w:rsid w:val="00614CC1"/>
    <w:rsid w:val="00615A9D"/>
    <w:rsid w:val="00617387"/>
    <w:rsid w:val="00617F6E"/>
    <w:rsid w:val="006205D6"/>
    <w:rsid w:val="00622795"/>
    <w:rsid w:val="00622894"/>
    <w:rsid w:val="00624416"/>
    <w:rsid w:val="006252D8"/>
    <w:rsid w:val="006259BC"/>
    <w:rsid w:val="0062636B"/>
    <w:rsid w:val="00632182"/>
    <w:rsid w:val="00632AE0"/>
    <w:rsid w:val="00633B86"/>
    <w:rsid w:val="00633C17"/>
    <w:rsid w:val="006347AD"/>
    <w:rsid w:val="00634D9E"/>
    <w:rsid w:val="006365DE"/>
    <w:rsid w:val="00636E3E"/>
    <w:rsid w:val="006379F7"/>
    <w:rsid w:val="00637E4D"/>
    <w:rsid w:val="00640620"/>
    <w:rsid w:val="00640CEB"/>
    <w:rsid w:val="00641A1F"/>
    <w:rsid w:val="00641B73"/>
    <w:rsid w:val="00645904"/>
    <w:rsid w:val="00651ACB"/>
    <w:rsid w:val="00651C47"/>
    <w:rsid w:val="006528EF"/>
    <w:rsid w:val="00652AB2"/>
    <w:rsid w:val="00653FED"/>
    <w:rsid w:val="00654EC0"/>
    <w:rsid w:val="0065525B"/>
    <w:rsid w:val="00655D4F"/>
    <w:rsid w:val="00656D29"/>
    <w:rsid w:val="00656F8F"/>
    <w:rsid w:val="00660E57"/>
    <w:rsid w:val="006640E5"/>
    <w:rsid w:val="006646F1"/>
    <w:rsid w:val="00664929"/>
    <w:rsid w:val="00664F62"/>
    <w:rsid w:val="006655E1"/>
    <w:rsid w:val="00671526"/>
    <w:rsid w:val="00672060"/>
    <w:rsid w:val="00672BFD"/>
    <w:rsid w:val="006770F4"/>
    <w:rsid w:val="00677A84"/>
    <w:rsid w:val="0068026D"/>
    <w:rsid w:val="00680A27"/>
    <w:rsid w:val="006816A4"/>
    <w:rsid w:val="006819B8"/>
    <w:rsid w:val="006840A6"/>
    <w:rsid w:val="006848BD"/>
    <w:rsid w:val="006850CD"/>
    <w:rsid w:val="00685AAB"/>
    <w:rsid w:val="00686E43"/>
    <w:rsid w:val="00687DA2"/>
    <w:rsid w:val="006904C6"/>
    <w:rsid w:val="0069345E"/>
    <w:rsid w:val="00694C48"/>
    <w:rsid w:val="00695D22"/>
    <w:rsid w:val="00695F20"/>
    <w:rsid w:val="006A0712"/>
    <w:rsid w:val="006A07AA"/>
    <w:rsid w:val="006A25E5"/>
    <w:rsid w:val="006A2B46"/>
    <w:rsid w:val="006A336D"/>
    <w:rsid w:val="006A37B9"/>
    <w:rsid w:val="006A54B0"/>
    <w:rsid w:val="006A608E"/>
    <w:rsid w:val="006B0A35"/>
    <w:rsid w:val="006B2672"/>
    <w:rsid w:val="006B3691"/>
    <w:rsid w:val="006B4258"/>
    <w:rsid w:val="006B4846"/>
    <w:rsid w:val="006B54BF"/>
    <w:rsid w:val="006B5F44"/>
    <w:rsid w:val="006B5F90"/>
    <w:rsid w:val="006B62E4"/>
    <w:rsid w:val="006C1BBA"/>
    <w:rsid w:val="006C2079"/>
    <w:rsid w:val="006C5A62"/>
    <w:rsid w:val="006C5D68"/>
    <w:rsid w:val="006C60EB"/>
    <w:rsid w:val="006C6976"/>
    <w:rsid w:val="006C6DD0"/>
    <w:rsid w:val="006D04EA"/>
    <w:rsid w:val="006D16C4"/>
    <w:rsid w:val="006D3E96"/>
    <w:rsid w:val="006D4515"/>
    <w:rsid w:val="006D4BB1"/>
    <w:rsid w:val="006D6593"/>
    <w:rsid w:val="006E08F8"/>
    <w:rsid w:val="006E1F0D"/>
    <w:rsid w:val="006E23EA"/>
    <w:rsid w:val="006E6C77"/>
    <w:rsid w:val="006F0190"/>
    <w:rsid w:val="006F03A8"/>
    <w:rsid w:val="006F2ACA"/>
    <w:rsid w:val="006F2ADC"/>
    <w:rsid w:val="006F2BFE"/>
    <w:rsid w:val="006F31E9"/>
    <w:rsid w:val="006F50B6"/>
    <w:rsid w:val="006F5521"/>
    <w:rsid w:val="006F6284"/>
    <w:rsid w:val="006F7D82"/>
    <w:rsid w:val="007002C5"/>
    <w:rsid w:val="007009D5"/>
    <w:rsid w:val="007018A8"/>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68E"/>
    <w:rsid w:val="0073720F"/>
    <w:rsid w:val="00737796"/>
    <w:rsid w:val="007403DF"/>
    <w:rsid w:val="007406DB"/>
    <w:rsid w:val="0074165C"/>
    <w:rsid w:val="00742C35"/>
    <w:rsid w:val="007432CA"/>
    <w:rsid w:val="007439EB"/>
    <w:rsid w:val="00743CB4"/>
    <w:rsid w:val="00743F0A"/>
    <w:rsid w:val="007444E8"/>
    <w:rsid w:val="0074548E"/>
    <w:rsid w:val="00745773"/>
    <w:rsid w:val="00746800"/>
    <w:rsid w:val="00747831"/>
    <w:rsid w:val="007501A8"/>
    <w:rsid w:val="00750D61"/>
    <w:rsid w:val="00750EE1"/>
    <w:rsid w:val="00751C7C"/>
    <w:rsid w:val="00752B4D"/>
    <w:rsid w:val="00755402"/>
    <w:rsid w:val="00756B26"/>
    <w:rsid w:val="00756EDF"/>
    <w:rsid w:val="007600E3"/>
    <w:rsid w:val="00765C43"/>
    <w:rsid w:val="00765EFB"/>
    <w:rsid w:val="007671CA"/>
    <w:rsid w:val="00767C61"/>
    <w:rsid w:val="0077008A"/>
    <w:rsid w:val="007737ED"/>
    <w:rsid w:val="00773C1F"/>
    <w:rsid w:val="00774DA4"/>
    <w:rsid w:val="00775D54"/>
    <w:rsid w:val="00776599"/>
    <w:rsid w:val="00777D5A"/>
    <w:rsid w:val="0078114B"/>
    <w:rsid w:val="00781DD2"/>
    <w:rsid w:val="00782A62"/>
    <w:rsid w:val="00783ECF"/>
    <w:rsid w:val="0078413A"/>
    <w:rsid w:val="00785E35"/>
    <w:rsid w:val="00785ED1"/>
    <w:rsid w:val="007924BA"/>
    <w:rsid w:val="00792809"/>
    <w:rsid w:val="007959E8"/>
    <w:rsid w:val="00795E9C"/>
    <w:rsid w:val="007A0521"/>
    <w:rsid w:val="007A197F"/>
    <w:rsid w:val="007A2E12"/>
    <w:rsid w:val="007A3475"/>
    <w:rsid w:val="007A41C8"/>
    <w:rsid w:val="007A54CE"/>
    <w:rsid w:val="007A6FD9"/>
    <w:rsid w:val="007A7FFA"/>
    <w:rsid w:val="007B04EB"/>
    <w:rsid w:val="007B0C0E"/>
    <w:rsid w:val="007B0D4F"/>
    <w:rsid w:val="007B0D97"/>
    <w:rsid w:val="007B1870"/>
    <w:rsid w:val="007B5A3D"/>
    <w:rsid w:val="007B5B95"/>
    <w:rsid w:val="007B68EA"/>
    <w:rsid w:val="007B7453"/>
    <w:rsid w:val="007C065D"/>
    <w:rsid w:val="007C1E8B"/>
    <w:rsid w:val="007C2C69"/>
    <w:rsid w:val="007C2D89"/>
    <w:rsid w:val="007C4593"/>
    <w:rsid w:val="007C49DE"/>
    <w:rsid w:val="007C5309"/>
    <w:rsid w:val="007C6069"/>
    <w:rsid w:val="007D06C4"/>
    <w:rsid w:val="007D1352"/>
    <w:rsid w:val="007D2508"/>
    <w:rsid w:val="007D346A"/>
    <w:rsid w:val="007D5154"/>
    <w:rsid w:val="007D6518"/>
    <w:rsid w:val="007D76BD"/>
    <w:rsid w:val="007E047C"/>
    <w:rsid w:val="007E0AE8"/>
    <w:rsid w:val="007E0BF1"/>
    <w:rsid w:val="007E3798"/>
    <w:rsid w:val="007E5E9E"/>
    <w:rsid w:val="007E6C07"/>
    <w:rsid w:val="007E79E7"/>
    <w:rsid w:val="007E7B8F"/>
    <w:rsid w:val="007F0ED8"/>
    <w:rsid w:val="007F0F63"/>
    <w:rsid w:val="007F1BE8"/>
    <w:rsid w:val="007F75CE"/>
    <w:rsid w:val="008013A4"/>
    <w:rsid w:val="00801E61"/>
    <w:rsid w:val="008027CE"/>
    <w:rsid w:val="00802F42"/>
    <w:rsid w:val="00804383"/>
    <w:rsid w:val="00804BB7"/>
    <w:rsid w:val="00804D41"/>
    <w:rsid w:val="00806FB6"/>
    <w:rsid w:val="00810257"/>
    <w:rsid w:val="008104F5"/>
    <w:rsid w:val="00811072"/>
    <w:rsid w:val="00811369"/>
    <w:rsid w:val="00811690"/>
    <w:rsid w:val="008146A0"/>
    <w:rsid w:val="00815419"/>
    <w:rsid w:val="008163C8"/>
    <w:rsid w:val="008164A1"/>
    <w:rsid w:val="00817325"/>
    <w:rsid w:val="00817E16"/>
    <w:rsid w:val="008209E6"/>
    <w:rsid w:val="00823303"/>
    <w:rsid w:val="008233B2"/>
    <w:rsid w:val="00823A9F"/>
    <w:rsid w:val="00823C85"/>
    <w:rsid w:val="00825138"/>
    <w:rsid w:val="008265E9"/>
    <w:rsid w:val="008269DD"/>
    <w:rsid w:val="00830621"/>
    <w:rsid w:val="00831081"/>
    <w:rsid w:val="008331E1"/>
    <w:rsid w:val="008333B7"/>
    <w:rsid w:val="0083348C"/>
    <w:rsid w:val="008373D3"/>
    <w:rsid w:val="00837459"/>
    <w:rsid w:val="00840617"/>
    <w:rsid w:val="00840F84"/>
    <w:rsid w:val="00842A47"/>
    <w:rsid w:val="00843C13"/>
    <w:rsid w:val="008454F8"/>
    <w:rsid w:val="00847193"/>
    <w:rsid w:val="00851540"/>
    <w:rsid w:val="0085173A"/>
    <w:rsid w:val="00851C78"/>
    <w:rsid w:val="008536BE"/>
    <w:rsid w:val="00856316"/>
    <w:rsid w:val="008603CE"/>
    <w:rsid w:val="008620FC"/>
    <w:rsid w:val="008627A5"/>
    <w:rsid w:val="00863E05"/>
    <w:rsid w:val="00864641"/>
    <w:rsid w:val="00865ACA"/>
    <w:rsid w:val="00865D28"/>
    <w:rsid w:val="00865F85"/>
    <w:rsid w:val="00866D57"/>
    <w:rsid w:val="00867C10"/>
    <w:rsid w:val="00870439"/>
    <w:rsid w:val="00870DA1"/>
    <w:rsid w:val="00873612"/>
    <w:rsid w:val="00874D69"/>
    <w:rsid w:val="008818B5"/>
    <w:rsid w:val="00883F93"/>
    <w:rsid w:val="00884DB3"/>
    <w:rsid w:val="00885A9D"/>
    <w:rsid w:val="008864F6"/>
    <w:rsid w:val="0089049D"/>
    <w:rsid w:val="008928C9"/>
    <w:rsid w:val="008930CB"/>
    <w:rsid w:val="008938DC"/>
    <w:rsid w:val="008938FC"/>
    <w:rsid w:val="00893FD1"/>
    <w:rsid w:val="00894836"/>
    <w:rsid w:val="00895172"/>
    <w:rsid w:val="00895680"/>
    <w:rsid w:val="00896DFF"/>
    <w:rsid w:val="0089762C"/>
    <w:rsid w:val="008A05E0"/>
    <w:rsid w:val="008A1893"/>
    <w:rsid w:val="008A3215"/>
    <w:rsid w:val="008A57E6"/>
    <w:rsid w:val="008A6373"/>
    <w:rsid w:val="008A6F81"/>
    <w:rsid w:val="008A769A"/>
    <w:rsid w:val="008B0C9C"/>
    <w:rsid w:val="008B166D"/>
    <w:rsid w:val="008B17F4"/>
    <w:rsid w:val="008B3615"/>
    <w:rsid w:val="008B4AC4"/>
    <w:rsid w:val="008B50C8"/>
    <w:rsid w:val="008B5281"/>
    <w:rsid w:val="008B5B9B"/>
    <w:rsid w:val="008B5DF8"/>
    <w:rsid w:val="008B7E05"/>
    <w:rsid w:val="008C1797"/>
    <w:rsid w:val="008C219C"/>
    <w:rsid w:val="008C2EF5"/>
    <w:rsid w:val="008C475E"/>
    <w:rsid w:val="008C4D17"/>
    <w:rsid w:val="008C619A"/>
    <w:rsid w:val="008C78A9"/>
    <w:rsid w:val="008D0A6F"/>
    <w:rsid w:val="008D0CE8"/>
    <w:rsid w:val="008D19CF"/>
    <w:rsid w:val="008D2D1D"/>
    <w:rsid w:val="008D453D"/>
    <w:rsid w:val="008D53AD"/>
    <w:rsid w:val="008D562B"/>
    <w:rsid w:val="008D5733"/>
    <w:rsid w:val="008D622B"/>
    <w:rsid w:val="008D666C"/>
    <w:rsid w:val="008D714E"/>
    <w:rsid w:val="008D77D8"/>
    <w:rsid w:val="008D7B54"/>
    <w:rsid w:val="008E0C9D"/>
    <w:rsid w:val="008E1648"/>
    <w:rsid w:val="008E1B3E"/>
    <w:rsid w:val="008E2319"/>
    <w:rsid w:val="008E2909"/>
    <w:rsid w:val="008E4BB6"/>
    <w:rsid w:val="008E5518"/>
    <w:rsid w:val="008E6A84"/>
    <w:rsid w:val="008F0CDC"/>
    <w:rsid w:val="008F17A3"/>
    <w:rsid w:val="008F1ED3"/>
    <w:rsid w:val="008F23A5"/>
    <w:rsid w:val="008F2E42"/>
    <w:rsid w:val="008F4C29"/>
    <w:rsid w:val="008F6069"/>
    <w:rsid w:val="008F70BD"/>
    <w:rsid w:val="008F788F"/>
    <w:rsid w:val="008F7EA2"/>
    <w:rsid w:val="00902722"/>
    <w:rsid w:val="009027BC"/>
    <w:rsid w:val="009062E6"/>
    <w:rsid w:val="009066FC"/>
    <w:rsid w:val="00910959"/>
    <w:rsid w:val="00911BE5"/>
    <w:rsid w:val="00913CA9"/>
    <w:rsid w:val="009145AE"/>
    <w:rsid w:val="009146CE"/>
    <w:rsid w:val="00914CA7"/>
    <w:rsid w:val="00915C3E"/>
    <w:rsid w:val="009161A8"/>
    <w:rsid w:val="0091639C"/>
    <w:rsid w:val="009245F5"/>
    <w:rsid w:val="009249EC"/>
    <w:rsid w:val="00925408"/>
    <w:rsid w:val="009273B3"/>
    <w:rsid w:val="009305B5"/>
    <w:rsid w:val="00932657"/>
    <w:rsid w:val="009429D5"/>
    <w:rsid w:val="00942BF1"/>
    <w:rsid w:val="00943D76"/>
    <w:rsid w:val="00945180"/>
    <w:rsid w:val="00945428"/>
    <w:rsid w:val="0094607B"/>
    <w:rsid w:val="00953604"/>
    <w:rsid w:val="0095496B"/>
    <w:rsid w:val="009610DC"/>
    <w:rsid w:val="00961490"/>
    <w:rsid w:val="0096381A"/>
    <w:rsid w:val="00965E04"/>
    <w:rsid w:val="00967248"/>
    <w:rsid w:val="009674AD"/>
    <w:rsid w:val="00970CDC"/>
    <w:rsid w:val="00977010"/>
    <w:rsid w:val="00977D02"/>
    <w:rsid w:val="009805EE"/>
    <w:rsid w:val="009809BB"/>
    <w:rsid w:val="0098288B"/>
    <w:rsid w:val="00982AD7"/>
    <w:rsid w:val="0098364B"/>
    <w:rsid w:val="00984931"/>
    <w:rsid w:val="00985421"/>
    <w:rsid w:val="009911AF"/>
    <w:rsid w:val="0099184F"/>
    <w:rsid w:val="00991875"/>
    <w:rsid w:val="00991F92"/>
    <w:rsid w:val="00992985"/>
    <w:rsid w:val="00993889"/>
    <w:rsid w:val="0099551B"/>
    <w:rsid w:val="00997BF1"/>
    <w:rsid w:val="009A089C"/>
    <w:rsid w:val="009A118E"/>
    <w:rsid w:val="009A18CA"/>
    <w:rsid w:val="009A21CD"/>
    <w:rsid w:val="009A278C"/>
    <w:rsid w:val="009A2BC2"/>
    <w:rsid w:val="009A42C1"/>
    <w:rsid w:val="009A5429"/>
    <w:rsid w:val="009A72AD"/>
    <w:rsid w:val="009B09E0"/>
    <w:rsid w:val="009B0BC5"/>
    <w:rsid w:val="009B1247"/>
    <w:rsid w:val="009B6029"/>
    <w:rsid w:val="009B6971"/>
    <w:rsid w:val="009C057D"/>
    <w:rsid w:val="009C27F1"/>
    <w:rsid w:val="009C3152"/>
    <w:rsid w:val="009C4AFD"/>
    <w:rsid w:val="009C4CFA"/>
    <w:rsid w:val="009C5070"/>
    <w:rsid w:val="009C55C6"/>
    <w:rsid w:val="009C5FD1"/>
    <w:rsid w:val="009D112C"/>
    <w:rsid w:val="009D47FA"/>
    <w:rsid w:val="009D4C5B"/>
    <w:rsid w:val="009D50D2"/>
    <w:rsid w:val="009D51A8"/>
    <w:rsid w:val="009D6BCA"/>
    <w:rsid w:val="009E0F62"/>
    <w:rsid w:val="009E15E4"/>
    <w:rsid w:val="009E4A58"/>
    <w:rsid w:val="009E5521"/>
    <w:rsid w:val="009E5A2D"/>
    <w:rsid w:val="009E5A42"/>
    <w:rsid w:val="009E5AB2"/>
    <w:rsid w:val="009E6219"/>
    <w:rsid w:val="009F03B3"/>
    <w:rsid w:val="009F1996"/>
    <w:rsid w:val="009F41D4"/>
    <w:rsid w:val="009F4819"/>
    <w:rsid w:val="009F6CDF"/>
    <w:rsid w:val="00A0096C"/>
    <w:rsid w:val="00A0153D"/>
    <w:rsid w:val="00A01757"/>
    <w:rsid w:val="00A028C0"/>
    <w:rsid w:val="00A02BAE"/>
    <w:rsid w:val="00A05AF8"/>
    <w:rsid w:val="00A06A6B"/>
    <w:rsid w:val="00A07E47"/>
    <w:rsid w:val="00A129D0"/>
    <w:rsid w:val="00A12C33"/>
    <w:rsid w:val="00A138BA"/>
    <w:rsid w:val="00A13D23"/>
    <w:rsid w:val="00A14C8E"/>
    <w:rsid w:val="00A153D9"/>
    <w:rsid w:val="00A15F09"/>
    <w:rsid w:val="00A169B6"/>
    <w:rsid w:val="00A2271D"/>
    <w:rsid w:val="00A237D5"/>
    <w:rsid w:val="00A24234"/>
    <w:rsid w:val="00A30EFC"/>
    <w:rsid w:val="00A31984"/>
    <w:rsid w:val="00A329D6"/>
    <w:rsid w:val="00A32D73"/>
    <w:rsid w:val="00A3367B"/>
    <w:rsid w:val="00A3597D"/>
    <w:rsid w:val="00A36DD1"/>
    <w:rsid w:val="00A4006C"/>
    <w:rsid w:val="00A40091"/>
    <w:rsid w:val="00A4030F"/>
    <w:rsid w:val="00A41C79"/>
    <w:rsid w:val="00A41CB5"/>
    <w:rsid w:val="00A42CDF"/>
    <w:rsid w:val="00A43523"/>
    <w:rsid w:val="00A438C0"/>
    <w:rsid w:val="00A4452E"/>
    <w:rsid w:val="00A4472C"/>
    <w:rsid w:val="00A44E69"/>
    <w:rsid w:val="00A454AB"/>
    <w:rsid w:val="00A4661E"/>
    <w:rsid w:val="00A50ACB"/>
    <w:rsid w:val="00A51F3B"/>
    <w:rsid w:val="00A55BD6"/>
    <w:rsid w:val="00A55D50"/>
    <w:rsid w:val="00A57142"/>
    <w:rsid w:val="00A614C1"/>
    <w:rsid w:val="00A648CD"/>
    <w:rsid w:val="00A6537A"/>
    <w:rsid w:val="00A66CE7"/>
    <w:rsid w:val="00A67866"/>
    <w:rsid w:val="00A70B07"/>
    <w:rsid w:val="00A720F9"/>
    <w:rsid w:val="00A723F8"/>
    <w:rsid w:val="00A75AAB"/>
    <w:rsid w:val="00A77435"/>
    <w:rsid w:val="00A77CCB"/>
    <w:rsid w:val="00A83D8D"/>
    <w:rsid w:val="00A8446B"/>
    <w:rsid w:val="00A8473F"/>
    <w:rsid w:val="00A84C2B"/>
    <w:rsid w:val="00A862D6"/>
    <w:rsid w:val="00A8715E"/>
    <w:rsid w:val="00A90533"/>
    <w:rsid w:val="00A9295B"/>
    <w:rsid w:val="00A92E2C"/>
    <w:rsid w:val="00A93B09"/>
    <w:rsid w:val="00A94247"/>
    <w:rsid w:val="00A952D7"/>
    <w:rsid w:val="00A963F7"/>
    <w:rsid w:val="00A96AD8"/>
    <w:rsid w:val="00AA052C"/>
    <w:rsid w:val="00AA19AF"/>
    <w:rsid w:val="00AA1E45"/>
    <w:rsid w:val="00AA4286"/>
    <w:rsid w:val="00AA456B"/>
    <w:rsid w:val="00AA57F5"/>
    <w:rsid w:val="00AA672E"/>
    <w:rsid w:val="00AA6EC9"/>
    <w:rsid w:val="00AB0D82"/>
    <w:rsid w:val="00AB2E8F"/>
    <w:rsid w:val="00AB41D5"/>
    <w:rsid w:val="00AB5B89"/>
    <w:rsid w:val="00AB5F7A"/>
    <w:rsid w:val="00AB6309"/>
    <w:rsid w:val="00AB6C5F"/>
    <w:rsid w:val="00AB7129"/>
    <w:rsid w:val="00AC27A6"/>
    <w:rsid w:val="00AC30F7"/>
    <w:rsid w:val="00AC3A5A"/>
    <w:rsid w:val="00AC4CE6"/>
    <w:rsid w:val="00AC4D95"/>
    <w:rsid w:val="00AC5DF4"/>
    <w:rsid w:val="00AD0AEF"/>
    <w:rsid w:val="00AD11B7"/>
    <w:rsid w:val="00AD1A94"/>
    <w:rsid w:val="00AD1C05"/>
    <w:rsid w:val="00AD4126"/>
    <w:rsid w:val="00AD421C"/>
    <w:rsid w:val="00AD44FA"/>
    <w:rsid w:val="00AD5A8D"/>
    <w:rsid w:val="00AE01D3"/>
    <w:rsid w:val="00AE070A"/>
    <w:rsid w:val="00AE0D89"/>
    <w:rsid w:val="00AE101C"/>
    <w:rsid w:val="00AE37E5"/>
    <w:rsid w:val="00AE5EB4"/>
    <w:rsid w:val="00AE71A6"/>
    <w:rsid w:val="00AE7952"/>
    <w:rsid w:val="00AF0C18"/>
    <w:rsid w:val="00AF426A"/>
    <w:rsid w:val="00AF47C5"/>
    <w:rsid w:val="00AF5398"/>
    <w:rsid w:val="00B049AF"/>
    <w:rsid w:val="00B06D85"/>
    <w:rsid w:val="00B07242"/>
    <w:rsid w:val="00B10534"/>
    <w:rsid w:val="00B1063A"/>
    <w:rsid w:val="00B113DB"/>
    <w:rsid w:val="00B11D8A"/>
    <w:rsid w:val="00B12981"/>
    <w:rsid w:val="00B1446B"/>
    <w:rsid w:val="00B147DD"/>
    <w:rsid w:val="00B156FD"/>
    <w:rsid w:val="00B20CAA"/>
    <w:rsid w:val="00B21F61"/>
    <w:rsid w:val="00B22C34"/>
    <w:rsid w:val="00B261F1"/>
    <w:rsid w:val="00B265BC"/>
    <w:rsid w:val="00B30954"/>
    <w:rsid w:val="00B31FB1"/>
    <w:rsid w:val="00B33952"/>
    <w:rsid w:val="00B33C5E"/>
    <w:rsid w:val="00B342F4"/>
    <w:rsid w:val="00B34369"/>
    <w:rsid w:val="00B34DC2"/>
    <w:rsid w:val="00B378E5"/>
    <w:rsid w:val="00B40E7F"/>
    <w:rsid w:val="00B4346D"/>
    <w:rsid w:val="00B440F4"/>
    <w:rsid w:val="00B447A5"/>
    <w:rsid w:val="00B4654C"/>
    <w:rsid w:val="00B46756"/>
    <w:rsid w:val="00B47293"/>
    <w:rsid w:val="00B50E50"/>
    <w:rsid w:val="00B52120"/>
    <w:rsid w:val="00B54ABC"/>
    <w:rsid w:val="00B54DDE"/>
    <w:rsid w:val="00B56FBE"/>
    <w:rsid w:val="00B6044B"/>
    <w:rsid w:val="00B60A3E"/>
    <w:rsid w:val="00B60ACF"/>
    <w:rsid w:val="00B62B58"/>
    <w:rsid w:val="00B6339A"/>
    <w:rsid w:val="00B63E17"/>
    <w:rsid w:val="00B64BC8"/>
    <w:rsid w:val="00B65149"/>
    <w:rsid w:val="00B6517D"/>
    <w:rsid w:val="00B65719"/>
    <w:rsid w:val="00B66567"/>
    <w:rsid w:val="00B66F52"/>
    <w:rsid w:val="00B66FE5"/>
    <w:rsid w:val="00B672E7"/>
    <w:rsid w:val="00B67955"/>
    <w:rsid w:val="00B72880"/>
    <w:rsid w:val="00B758BF"/>
    <w:rsid w:val="00B77EC8"/>
    <w:rsid w:val="00B80D13"/>
    <w:rsid w:val="00B827A6"/>
    <w:rsid w:val="00B831CE"/>
    <w:rsid w:val="00B86677"/>
    <w:rsid w:val="00B87131"/>
    <w:rsid w:val="00B939B1"/>
    <w:rsid w:val="00B96D40"/>
    <w:rsid w:val="00B97386"/>
    <w:rsid w:val="00B9779F"/>
    <w:rsid w:val="00BA09E8"/>
    <w:rsid w:val="00BA102B"/>
    <w:rsid w:val="00BA263B"/>
    <w:rsid w:val="00BA42B2"/>
    <w:rsid w:val="00BA58D4"/>
    <w:rsid w:val="00BA5B9E"/>
    <w:rsid w:val="00BA6EF4"/>
    <w:rsid w:val="00BA7C9A"/>
    <w:rsid w:val="00BB05BD"/>
    <w:rsid w:val="00BB148F"/>
    <w:rsid w:val="00BB1634"/>
    <w:rsid w:val="00BB5F8F"/>
    <w:rsid w:val="00BB657A"/>
    <w:rsid w:val="00BB6C98"/>
    <w:rsid w:val="00BC1A4E"/>
    <w:rsid w:val="00BC1D9E"/>
    <w:rsid w:val="00BC36A6"/>
    <w:rsid w:val="00BC4ECE"/>
    <w:rsid w:val="00BC58D5"/>
    <w:rsid w:val="00BC5DC7"/>
    <w:rsid w:val="00BC6B8B"/>
    <w:rsid w:val="00BC6F12"/>
    <w:rsid w:val="00BC73D8"/>
    <w:rsid w:val="00BD0214"/>
    <w:rsid w:val="00BD52D7"/>
    <w:rsid w:val="00BD5AD2"/>
    <w:rsid w:val="00BE22F3"/>
    <w:rsid w:val="00BE5B52"/>
    <w:rsid w:val="00BE5CF2"/>
    <w:rsid w:val="00BE7B8D"/>
    <w:rsid w:val="00BF0993"/>
    <w:rsid w:val="00BF10A9"/>
    <w:rsid w:val="00BF1703"/>
    <w:rsid w:val="00BF231C"/>
    <w:rsid w:val="00BF2E96"/>
    <w:rsid w:val="00BF51E5"/>
    <w:rsid w:val="00BF74A6"/>
    <w:rsid w:val="00BF74A7"/>
    <w:rsid w:val="00BF79EE"/>
    <w:rsid w:val="00C00464"/>
    <w:rsid w:val="00C013AD"/>
    <w:rsid w:val="00C04904"/>
    <w:rsid w:val="00C056B3"/>
    <w:rsid w:val="00C0704B"/>
    <w:rsid w:val="00C10202"/>
    <w:rsid w:val="00C103E5"/>
    <w:rsid w:val="00C13319"/>
    <w:rsid w:val="00C1371D"/>
    <w:rsid w:val="00C13EE9"/>
    <w:rsid w:val="00C16C9C"/>
    <w:rsid w:val="00C21540"/>
    <w:rsid w:val="00C2160B"/>
    <w:rsid w:val="00C21906"/>
    <w:rsid w:val="00C21BFA"/>
    <w:rsid w:val="00C22148"/>
    <w:rsid w:val="00C24C8D"/>
    <w:rsid w:val="00C25FE2"/>
    <w:rsid w:val="00C26B53"/>
    <w:rsid w:val="00C279B2"/>
    <w:rsid w:val="00C30779"/>
    <w:rsid w:val="00C31BEA"/>
    <w:rsid w:val="00C33E50"/>
    <w:rsid w:val="00C34C20"/>
    <w:rsid w:val="00C35A3E"/>
    <w:rsid w:val="00C42130"/>
    <w:rsid w:val="00C423A4"/>
    <w:rsid w:val="00C42F40"/>
    <w:rsid w:val="00C44BF5"/>
    <w:rsid w:val="00C50C21"/>
    <w:rsid w:val="00C50DFB"/>
    <w:rsid w:val="00C50E58"/>
    <w:rsid w:val="00C521D6"/>
    <w:rsid w:val="00C54F2E"/>
    <w:rsid w:val="00C55232"/>
    <w:rsid w:val="00C553A4"/>
    <w:rsid w:val="00C55722"/>
    <w:rsid w:val="00C55A06"/>
    <w:rsid w:val="00C55D03"/>
    <w:rsid w:val="00C55F5B"/>
    <w:rsid w:val="00C601BC"/>
    <w:rsid w:val="00C6329F"/>
    <w:rsid w:val="00C63340"/>
    <w:rsid w:val="00C643F9"/>
    <w:rsid w:val="00C64E95"/>
    <w:rsid w:val="00C701F3"/>
    <w:rsid w:val="00C71372"/>
    <w:rsid w:val="00C72410"/>
    <w:rsid w:val="00C7287F"/>
    <w:rsid w:val="00C80CB8"/>
    <w:rsid w:val="00C819F8"/>
    <w:rsid w:val="00C8248C"/>
    <w:rsid w:val="00C83821"/>
    <w:rsid w:val="00C84E33"/>
    <w:rsid w:val="00C86D6F"/>
    <w:rsid w:val="00C87C84"/>
    <w:rsid w:val="00C9025E"/>
    <w:rsid w:val="00C905FC"/>
    <w:rsid w:val="00C910E6"/>
    <w:rsid w:val="00C92D03"/>
    <w:rsid w:val="00C9319C"/>
    <w:rsid w:val="00C93C0B"/>
    <w:rsid w:val="00C9435D"/>
    <w:rsid w:val="00C94DF2"/>
    <w:rsid w:val="00C96741"/>
    <w:rsid w:val="00CA2D1B"/>
    <w:rsid w:val="00CA375D"/>
    <w:rsid w:val="00CA64E0"/>
    <w:rsid w:val="00CA662A"/>
    <w:rsid w:val="00CA7AFD"/>
    <w:rsid w:val="00CA7C3C"/>
    <w:rsid w:val="00CB0189"/>
    <w:rsid w:val="00CB09E0"/>
    <w:rsid w:val="00CB0BA2"/>
    <w:rsid w:val="00CB1A42"/>
    <w:rsid w:val="00CB1B0C"/>
    <w:rsid w:val="00CB2C0B"/>
    <w:rsid w:val="00CB41CF"/>
    <w:rsid w:val="00CB49CC"/>
    <w:rsid w:val="00CB517D"/>
    <w:rsid w:val="00CC038D"/>
    <w:rsid w:val="00CC08DB"/>
    <w:rsid w:val="00CC1C7B"/>
    <w:rsid w:val="00CC39FF"/>
    <w:rsid w:val="00CC3C2F"/>
    <w:rsid w:val="00CC4AC8"/>
    <w:rsid w:val="00CC500B"/>
    <w:rsid w:val="00CC5233"/>
    <w:rsid w:val="00CC5DE6"/>
    <w:rsid w:val="00CC6E4E"/>
    <w:rsid w:val="00CC6FE8"/>
    <w:rsid w:val="00CC7171"/>
    <w:rsid w:val="00CC7202"/>
    <w:rsid w:val="00CD2808"/>
    <w:rsid w:val="00CD28BF"/>
    <w:rsid w:val="00CD2D5C"/>
    <w:rsid w:val="00CD4092"/>
    <w:rsid w:val="00CD4A20"/>
    <w:rsid w:val="00CD50A1"/>
    <w:rsid w:val="00CD519E"/>
    <w:rsid w:val="00CD51C8"/>
    <w:rsid w:val="00CE0C4F"/>
    <w:rsid w:val="00CE30EA"/>
    <w:rsid w:val="00CE7A79"/>
    <w:rsid w:val="00CF048A"/>
    <w:rsid w:val="00CF155A"/>
    <w:rsid w:val="00CF2947"/>
    <w:rsid w:val="00CF686F"/>
    <w:rsid w:val="00CF6E60"/>
    <w:rsid w:val="00CF7241"/>
    <w:rsid w:val="00CF7BCA"/>
    <w:rsid w:val="00CF7D59"/>
    <w:rsid w:val="00D008FD"/>
    <w:rsid w:val="00D01797"/>
    <w:rsid w:val="00D0321C"/>
    <w:rsid w:val="00D035EC"/>
    <w:rsid w:val="00D04939"/>
    <w:rsid w:val="00D06AB1"/>
    <w:rsid w:val="00D072ED"/>
    <w:rsid w:val="00D077BD"/>
    <w:rsid w:val="00D07A16"/>
    <w:rsid w:val="00D105CA"/>
    <w:rsid w:val="00D1067E"/>
    <w:rsid w:val="00D10E8A"/>
    <w:rsid w:val="00D10F50"/>
    <w:rsid w:val="00D11272"/>
    <w:rsid w:val="00D126F5"/>
    <w:rsid w:val="00D14662"/>
    <w:rsid w:val="00D1489E"/>
    <w:rsid w:val="00D15E03"/>
    <w:rsid w:val="00D16618"/>
    <w:rsid w:val="00D16705"/>
    <w:rsid w:val="00D20737"/>
    <w:rsid w:val="00D21BD3"/>
    <w:rsid w:val="00D21E81"/>
    <w:rsid w:val="00D223DE"/>
    <w:rsid w:val="00D25E37"/>
    <w:rsid w:val="00D2661A"/>
    <w:rsid w:val="00D27582"/>
    <w:rsid w:val="00D27EC4"/>
    <w:rsid w:val="00D32719"/>
    <w:rsid w:val="00D33333"/>
    <w:rsid w:val="00D33457"/>
    <w:rsid w:val="00D33B8E"/>
    <w:rsid w:val="00D352A2"/>
    <w:rsid w:val="00D37548"/>
    <w:rsid w:val="00D414A8"/>
    <w:rsid w:val="00D4162B"/>
    <w:rsid w:val="00D4514F"/>
    <w:rsid w:val="00D451E2"/>
    <w:rsid w:val="00D45E89"/>
    <w:rsid w:val="00D45E8D"/>
    <w:rsid w:val="00D45F5B"/>
    <w:rsid w:val="00D466AE"/>
    <w:rsid w:val="00D4734F"/>
    <w:rsid w:val="00D51BF3"/>
    <w:rsid w:val="00D51C94"/>
    <w:rsid w:val="00D57179"/>
    <w:rsid w:val="00D66846"/>
    <w:rsid w:val="00D675FB"/>
    <w:rsid w:val="00D71F25"/>
    <w:rsid w:val="00D7293A"/>
    <w:rsid w:val="00D72A9C"/>
    <w:rsid w:val="00D77031"/>
    <w:rsid w:val="00D833C7"/>
    <w:rsid w:val="00D84941"/>
    <w:rsid w:val="00D84FA1"/>
    <w:rsid w:val="00D851F0"/>
    <w:rsid w:val="00D86DB7"/>
    <w:rsid w:val="00D926D0"/>
    <w:rsid w:val="00D93030"/>
    <w:rsid w:val="00D950E1"/>
    <w:rsid w:val="00D952A6"/>
    <w:rsid w:val="00D95FE6"/>
    <w:rsid w:val="00D97F99"/>
    <w:rsid w:val="00DA1E08"/>
    <w:rsid w:val="00DA24F8"/>
    <w:rsid w:val="00DA28E8"/>
    <w:rsid w:val="00DA38D3"/>
    <w:rsid w:val="00DA3932"/>
    <w:rsid w:val="00DA3AFC"/>
    <w:rsid w:val="00DA3F36"/>
    <w:rsid w:val="00DA5B16"/>
    <w:rsid w:val="00DA64F8"/>
    <w:rsid w:val="00DA6C15"/>
    <w:rsid w:val="00DB0258"/>
    <w:rsid w:val="00DB10B3"/>
    <w:rsid w:val="00DB13EE"/>
    <w:rsid w:val="00DB2445"/>
    <w:rsid w:val="00DB38EE"/>
    <w:rsid w:val="00DB397C"/>
    <w:rsid w:val="00DB498B"/>
    <w:rsid w:val="00DB4996"/>
    <w:rsid w:val="00DB66CA"/>
    <w:rsid w:val="00DB6BCA"/>
    <w:rsid w:val="00DB73F7"/>
    <w:rsid w:val="00DC0321"/>
    <w:rsid w:val="00DC0849"/>
    <w:rsid w:val="00DC2277"/>
    <w:rsid w:val="00DC3067"/>
    <w:rsid w:val="00DC370B"/>
    <w:rsid w:val="00DC5B90"/>
    <w:rsid w:val="00DC6498"/>
    <w:rsid w:val="00DD00FF"/>
    <w:rsid w:val="00DD0619"/>
    <w:rsid w:val="00DD07FB"/>
    <w:rsid w:val="00DD25C6"/>
    <w:rsid w:val="00DD4FE5"/>
    <w:rsid w:val="00DD54B0"/>
    <w:rsid w:val="00DD57EE"/>
    <w:rsid w:val="00DD677B"/>
    <w:rsid w:val="00DD6BCC"/>
    <w:rsid w:val="00DE09BF"/>
    <w:rsid w:val="00DE0A4B"/>
    <w:rsid w:val="00DE0ACA"/>
    <w:rsid w:val="00DE122F"/>
    <w:rsid w:val="00DE20F0"/>
    <w:rsid w:val="00DE2410"/>
    <w:rsid w:val="00DE2939"/>
    <w:rsid w:val="00DE6DC0"/>
    <w:rsid w:val="00DE6E81"/>
    <w:rsid w:val="00DE703F"/>
    <w:rsid w:val="00DE7595"/>
    <w:rsid w:val="00DF1961"/>
    <w:rsid w:val="00DF1B69"/>
    <w:rsid w:val="00DF260C"/>
    <w:rsid w:val="00DF2F00"/>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4C14"/>
    <w:rsid w:val="00E2552F"/>
    <w:rsid w:val="00E3137A"/>
    <w:rsid w:val="00E32CCF"/>
    <w:rsid w:val="00E34A98"/>
    <w:rsid w:val="00E35D1E"/>
    <w:rsid w:val="00E364F9"/>
    <w:rsid w:val="00E365FA"/>
    <w:rsid w:val="00E36789"/>
    <w:rsid w:val="00E41BBF"/>
    <w:rsid w:val="00E44A83"/>
    <w:rsid w:val="00E502C1"/>
    <w:rsid w:val="00E502DD"/>
    <w:rsid w:val="00E50D3A"/>
    <w:rsid w:val="00E51387"/>
    <w:rsid w:val="00E51E68"/>
    <w:rsid w:val="00E52EFD"/>
    <w:rsid w:val="00E5408A"/>
    <w:rsid w:val="00E55E32"/>
    <w:rsid w:val="00E56800"/>
    <w:rsid w:val="00E60C63"/>
    <w:rsid w:val="00E62FF9"/>
    <w:rsid w:val="00E635D6"/>
    <w:rsid w:val="00E639BC"/>
    <w:rsid w:val="00E64AE4"/>
    <w:rsid w:val="00E653A7"/>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0B3F"/>
    <w:rsid w:val="00E9311F"/>
    <w:rsid w:val="00E934D1"/>
    <w:rsid w:val="00E94AF0"/>
    <w:rsid w:val="00E95D13"/>
    <w:rsid w:val="00E95DD3"/>
    <w:rsid w:val="00E969D5"/>
    <w:rsid w:val="00EA1472"/>
    <w:rsid w:val="00EA2427"/>
    <w:rsid w:val="00EA2CBC"/>
    <w:rsid w:val="00EA39DF"/>
    <w:rsid w:val="00EA3B29"/>
    <w:rsid w:val="00EA58D1"/>
    <w:rsid w:val="00EA61BC"/>
    <w:rsid w:val="00EA681A"/>
    <w:rsid w:val="00EA735B"/>
    <w:rsid w:val="00EB12B3"/>
    <w:rsid w:val="00EB17DE"/>
    <w:rsid w:val="00EB1E69"/>
    <w:rsid w:val="00EB2086"/>
    <w:rsid w:val="00EB5EDF"/>
    <w:rsid w:val="00EB60FE"/>
    <w:rsid w:val="00EB74DB"/>
    <w:rsid w:val="00EC5359"/>
    <w:rsid w:val="00EC562A"/>
    <w:rsid w:val="00EC663E"/>
    <w:rsid w:val="00ED067A"/>
    <w:rsid w:val="00ED2B50"/>
    <w:rsid w:val="00EE0350"/>
    <w:rsid w:val="00EE0719"/>
    <w:rsid w:val="00EE0E80"/>
    <w:rsid w:val="00EE4002"/>
    <w:rsid w:val="00EE54A6"/>
    <w:rsid w:val="00EE5EDB"/>
    <w:rsid w:val="00EE613F"/>
    <w:rsid w:val="00EE7120"/>
    <w:rsid w:val="00EE7295"/>
    <w:rsid w:val="00EE7869"/>
    <w:rsid w:val="00EF054A"/>
    <w:rsid w:val="00EF3235"/>
    <w:rsid w:val="00EF395F"/>
    <w:rsid w:val="00EF5481"/>
    <w:rsid w:val="00EF7E72"/>
    <w:rsid w:val="00F058E5"/>
    <w:rsid w:val="00F05A99"/>
    <w:rsid w:val="00F06BEA"/>
    <w:rsid w:val="00F06D37"/>
    <w:rsid w:val="00F07B9D"/>
    <w:rsid w:val="00F11586"/>
    <w:rsid w:val="00F1183B"/>
    <w:rsid w:val="00F11C9F"/>
    <w:rsid w:val="00F12188"/>
    <w:rsid w:val="00F12263"/>
    <w:rsid w:val="00F12CFB"/>
    <w:rsid w:val="00F12D15"/>
    <w:rsid w:val="00F1409D"/>
    <w:rsid w:val="00F14214"/>
    <w:rsid w:val="00F14E45"/>
    <w:rsid w:val="00F157A9"/>
    <w:rsid w:val="00F22C37"/>
    <w:rsid w:val="00F24468"/>
    <w:rsid w:val="00F25BB6"/>
    <w:rsid w:val="00F26B7E"/>
    <w:rsid w:val="00F277B1"/>
    <w:rsid w:val="00F27A3B"/>
    <w:rsid w:val="00F33817"/>
    <w:rsid w:val="00F33D40"/>
    <w:rsid w:val="00F36FFD"/>
    <w:rsid w:val="00F41E4F"/>
    <w:rsid w:val="00F420D5"/>
    <w:rsid w:val="00F4383A"/>
    <w:rsid w:val="00F451EA"/>
    <w:rsid w:val="00F45447"/>
    <w:rsid w:val="00F456C6"/>
    <w:rsid w:val="00F4577B"/>
    <w:rsid w:val="00F45A86"/>
    <w:rsid w:val="00F46496"/>
    <w:rsid w:val="00F474D0"/>
    <w:rsid w:val="00F50179"/>
    <w:rsid w:val="00F515EE"/>
    <w:rsid w:val="00F54217"/>
    <w:rsid w:val="00F5584C"/>
    <w:rsid w:val="00F56511"/>
    <w:rsid w:val="00F6194E"/>
    <w:rsid w:val="00F623AC"/>
    <w:rsid w:val="00F6412A"/>
    <w:rsid w:val="00F65241"/>
    <w:rsid w:val="00F65893"/>
    <w:rsid w:val="00F66A4A"/>
    <w:rsid w:val="00F676FB"/>
    <w:rsid w:val="00F67FDC"/>
    <w:rsid w:val="00F71E22"/>
    <w:rsid w:val="00F72142"/>
    <w:rsid w:val="00F72AE7"/>
    <w:rsid w:val="00F81141"/>
    <w:rsid w:val="00F824B9"/>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080"/>
    <w:rsid w:val="00FA662D"/>
    <w:rsid w:val="00FA73B1"/>
    <w:rsid w:val="00FB0CB9"/>
    <w:rsid w:val="00FB1348"/>
    <w:rsid w:val="00FB1D86"/>
    <w:rsid w:val="00FB231D"/>
    <w:rsid w:val="00FB45F1"/>
    <w:rsid w:val="00FB4A72"/>
    <w:rsid w:val="00FB54E8"/>
    <w:rsid w:val="00FB7054"/>
    <w:rsid w:val="00FC0D15"/>
    <w:rsid w:val="00FC17B7"/>
    <w:rsid w:val="00FC2CB7"/>
    <w:rsid w:val="00FC4090"/>
    <w:rsid w:val="00FC55B4"/>
    <w:rsid w:val="00FD00E6"/>
    <w:rsid w:val="00FD09A1"/>
    <w:rsid w:val="00FD2A7C"/>
    <w:rsid w:val="00FD59EB"/>
    <w:rsid w:val="00FD5FC3"/>
    <w:rsid w:val="00FD7299"/>
    <w:rsid w:val="00FE1FBE"/>
    <w:rsid w:val="00FE3901"/>
    <w:rsid w:val="00FE39D3"/>
    <w:rsid w:val="00FE4BCE"/>
    <w:rsid w:val="00FE54AE"/>
    <w:rsid w:val="00FE576A"/>
    <w:rsid w:val="00FE7E79"/>
    <w:rsid w:val="00FF3E7D"/>
    <w:rsid w:val="00FF4987"/>
    <w:rsid w:val="00FF5B99"/>
    <w:rsid w:val="00FF730C"/>
    <w:rsid w:val="00FF73F4"/>
    <w:rsid w:val="00FF76B5"/>
    <w:rsid w:val="00FF7CE4"/>
    <w:rsid w:val="00FF7E39"/>
    <w:rsid w:val="01013C3F"/>
    <w:rsid w:val="01E46594"/>
    <w:rsid w:val="024A0BB7"/>
    <w:rsid w:val="02753E85"/>
    <w:rsid w:val="02C458C8"/>
    <w:rsid w:val="02D81FD1"/>
    <w:rsid w:val="03D66BA6"/>
    <w:rsid w:val="0442722F"/>
    <w:rsid w:val="045521C0"/>
    <w:rsid w:val="062067FE"/>
    <w:rsid w:val="0623435E"/>
    <w:rsid w:val="0624009C"/>
    <w:rsid w:val="067803E8"/>
    <w:rsid w:val="06F90EAA"/>
    <w:rsid w:val="07610759"/>
    <w:rsid w:val="076B2BA2"/>
    <w:rsid w:val="078132CC"/>
    <w:rsid w:val="07F41CF0"/>
    <w:rsid w:val="085D4A47"/>
    <w:rsid w:val="08A02B8E"/>
    <w:rsid w:val="0A652A31"/>
    <w:rsid w:val="0B3472AA"/>
    <w:rsid w:val="0C767178"/>
    <w:rsid w:val="0D703BC7"/>
    <w:rsid w:val="0D71793F"/>
    <w:rsid w:val="0DE00CB6"/>
    <w:rsid w:val="0E9B1118"/>
    <w:rsid w:val="0EAA4EB7"/>
    <w:rsid w:val="0EF12AE6"/>
    <w:rsid w:val="0FBF4992"/>
    <w:rsid w:val="1107547A"/>
    <w:rsid w:val="11975F55"/>
    <w:rsid w:val="11E46CC1"/>
    <w:rsid w:val="12192A7F"/>
    <w:rsid w:val="12D22C2E"/>
    <w:rsid w:val="138228A6"/>
    <w:rsid w:val="13954387"/>
    <w:rsid w:val="141B1890"/>
    <w:rsid w:val="14771CDF"/>
    <w:rsid w:val="154E26B2"/>
    <w:rsid w:val="1599007E"/>
    <w:rsid w:val="15B63A3C"/>
    <w:rsid w:val="16EC3324"/>
    <w:rsid w:val="17710C68"/>
    <w:rsid w:val="1784481C"/>
    <w:rsid w:val="18E10676"/>
    <w:rsid w:val="1A45375D"/>
    <w:rsid w:val="1A9F1D21"/>
    <w:rsid w:val="1AFA03DD"/>
    <w:rsid w:val="1B724934"/>
    <w:rsid w:val="1C053422"/>
    <w:rsid w:val="1C1B3898"/>
    <w:rsid w:val="1C420E24"/>
    <w:rsid w:val="1C4A7CD9"/>
    <w:rsid w:val="1FA53BA4"/>
    <w:rsid w:val="1FCC617A"/>
    <w:rsid w:val="22207372"/>
    <w:rsid w:val="22943C5D"/>
    <w:rsid w:val="22A164D7"/>
    <w:rsid w:val="22B67E76"/>
    <w:rsid w:val="23A4389F"/>
    <w:rsid w:val="23CF3667"/>
    <w:rsid w:val="23DC5551"/>
    <w:rsid w:val="24157B58"/>
    <w:rsid w:val="244B732E"/>
    <w:rsid w:val="24F9780D"/>
    <w:rsid w:val="25DF5936"/>
    <w:rsid w:val="25E8185F"/>
    <w:rsid w:val="2610789E"/>
    <w:rsid w:val="27394565"/>
    <w:rsid w:val="278B7E3F"/>
    <w:rsid w:val="283D6944"/>
    <w:rsid w:val="28700AC7"/>
    <w:rsid w:val="287D0D43"/>
    <w:rsid w:val="28DC1925"/>
    <w:rsid w:val="2A151926"/>
    <w:rsid w:val="2A4F20B1"/>
    <w:rsid w:val="2A6E7289"/>
    <w:rsid w:val="2A8275BB"/>
    <w:rsid w:val="2AC33130"/>
    <w:rsid w:val="2BF37769"/>
    <w:rsid w:val="2D157E8F"/>
    <w:rsid w:val="2E383EF0"/>
    <w:rsid w:val="2F02029F"/>
    <w:rsid w:val="324F1404"/>
    <w:rsid w:val="32BA1751"/>
    <w:rsid w:val="32F81DE5"/>
    <w:rsid w:val="33233306"/>
    <w:rsid w:val="332532E0"/>
    <w:rsid w:val="33E4383E"/>
    <w:rsid w:val="33FF78B0"/>
    <w:rsid w:val="350653CD"/>
    <w:rsid w:val="3639699D"/>
    <w:rsid w:val="37125937"/>
    <w:rsid w:val="39FF7EFD"/>
    <w:rsid w:val="3A267238"/>
    <w:rsid w:val="3A9B5E78"/>
    <w:rsid w:val="3B247C1B"/>
    <w:rsid w:val="3B2A6F08"/>
    <w:rsid w:val="3BD322AF"/>
    <w:rsid w:val="3BE15B0C"/>
    <w:rsid w:val="3C3C7866"/>
    <w:rsid w:val="3C4B1DF2"/>
    <w:rsid w:val="3D07356E"/>
    <w:rsid w:val="3D7D47BC"/>
    <w:rsid w:val="3E322672"/>
    <w:rsid w:val="3EC314F9"/>
    <w:rsid w:val="3F3368B2"/>
    <w:rsid w:val="3FA06623"/>
    <w:rsid w:val="421952FE"/>
    <w:rsid w:val="424C5CAA"/>
    <w:rsid w:val="425D0E63"/>
    <w:rsid w:val="42614D21"/>
    <w:rsid w:val="431C6D74"/>
    <w:rsid w:val="44C91833"/>
    <w:rsid w:val="461E55A5"/>
    <w:rsid w:val="46411CDF"/>
    <w:rsid w:val="465A0CE9"/>
    <w:rsid w:val="46AF79F9"/>
    <w:rsid w:val="46F11FCC"/>
    <w:rsid w:val="471B28B4"/>
    <w:rsid w:val="47E2206A"/>
    <w:rsid w:val="48CC009A"/>
    <w:rsid w:val="49AF724A"/>
    <w:rsid w:val="4A7116A6"/>
    <w:rsid w:val="4A94219D"/>
    <w:rsid w:val="4B8D1D61"/>
    <w:rsid w:val="4BD44D46"/>
    <w:rsid w:val="4D1F0243"/>
    <w:rsid w:val="4DA07FEA"/>
    <w:rsid w:val="4DDC58B3"/>
    <w:rsid w:val="4E6C395B"/>
    <w:rsid w:val="4F5A7C58"/>
    <w:rsid w:val="4F701229"/>
    <w:rsid w:val="4FC016FC"/>
    <w:rsid w:val="4FC24084"/>
    <w:rsid w:val="51545631"/>
    <w:rsid w:val="51C21AE4"/>
    <w:rsid w:val="52903990"/>
    <w:rsid w:val="52AD57D3"/>
    <w:rsid w:val="53206AC2"/>
    <w:rsid w:val="53AC65A8"/>
    <w:rsid w:val="53EC4BF7"/>
    <w:rsid w:val="54B43966"/>
    <w:rsid w:val="54ED0C26"/>
    <w:rsid w:val="56133180"/>
    <w:rsid w:val="56873A27"/>
    <w:rsid w:val="56B934B6"/>
    <w:rsid w:val="56E45420"/>
    <w:rsid w:val="577D0B9E"/>
    <w:rsid w:val="577E202E"/>
    <w:rsid w:val="57917C49"/>
    <w:rsid w:val="58006107"/>
    <w:rsid w:val="59253085"/>
    <w:rsid w:val="5968741C"/>
    <w:rsid w:val="5975743C"/>
    <w:rsid w:val="5A4D17B1"/>
    <w:rsid w:val="5AB1643C"/>
    <w:rsid w:val="5AFC08CE"/>
    <w:rsid w:val="5B697EEF"/>
    <w:rsid w:val="5BA74225"/>
    <w:rsid w:val="5BDB4667"/>
    <w:rsid w:val="5BE7549F"/>
    <w:rsid w:val="5C3F445D"/>
    <w:rsid w:val="5CFF3BED"/>
    <w:rsid w:val="5D0D6309"/>
    <w:rsid w:val="5DB06C95"/>
    <w:rsid w:val="5EA20CD3"/>
    <w:rsid w:val="61687D67"/>
    <w:rsid w:val="618F680B"/>
    <w:rsid w:val="62172E25"/>
    <w:rsid w:val="624D4109"/>
    <w:rsid w:val="62EA0E9B"/>
    <w:rsid w:val="64A07A63"/>
    <w:rsid w:val="650C72E6"/>
    <w:rsid w:val="652F4D47"/>
    <w:rsid w:val="65FE301B"/>
    <w:rsid w:val="66841F53"/>
    <w:rsid w:val="66ED4AB6"/>
    <w:rsid w:val="66F45B3C"/>
    <w:rsid w:val="690F397F"/>
    <w:rsid w:val="69833154"/>
    <w:rsid w:val="699B6A4B"/>
    <w:rsid w:val="69EB57C5"/>
    <w:rsid w:val="6B4D2C64"/>
    <w:rsid w:val="6BEC5C84"/>
    <w:rsid w:val="6D81609C"/>
    <w:rsid w:val="6E276AFF"/>
    <w:rsid w:val="6F652137"/>
    <w:rsid w:val="6F851E2C"/>
    <w:rsid w:val="70F2429C"/>
    <w:rsid w:val="7243286C"/>
    <w:rsid w:val="72D548F7"/>
    <w:rsid w:val="72E04D55"/>
    <w:rsid w:val="734D44BC"/>
    <w:rsid w:val="73A725E9"/>
    <w:rsid w:val="73C92407"/>
    <w:rsid w:val="75244B75"/>
    <w:rsid w:val="764E245D"/>
    <w:rsid w:val="76F22A3C"/>
    <w:rsid w:val="77B92EBE"/>
    <w:rsid w:val="77C07548"/>
    <w:rsid w:val="77F2017E"/>
    <w:rsid w:val="77FD5AF4"/>
    <w:rsid w:val="784A620C"/>
    <w:rsid w:val="788435CF"/>
    <w:rsid w:val="78A53CFB"/>
    <w:rsid w:val="78CF04BF"/>
    <w:rsid w:val="790D288A"/>
    <w:rsid w:val="798D4602"/>
    <w:rsid w:val="7A7237F8"/>
    <w:rsid w:val="7B3804BA"/>
    <w:rsid w:val="7B6D1B0B"/>
    <w:rsid w:val="7C885DE0"/>
    <w:rsid w:val="7DC5559C"/>
    <w:rsid w:val="7FFB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7"/>
    <w:semiHidden/>
    <w:unhideWhenUsed/>
    <w:qFormat/>
    <w:uiPriority w:val="99"/>
    <w:rPr>
      <w:sz w:val="18"/>
      <w:szCs w:val="18"/>
    </w:rPr>
  </w:style>
  <w:style w:type="paragraph" w:styleId="17">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5"/>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50"/>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paragraph" w:customStyle="1" w:styleId="34">
    <w:name w:val="一级条标题"/>
    <w:next w:val="35"/>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35">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6">
    <w:name w:val="标题 1 字符"/>
    <w:link w:val="2"/>
    <w:qFormat/>
    <w:uiPriority w:val="0"/>
    <w:rPr>
      <w:rFonts w:ascii="Times New Roman" w:hAnsi="Times New Roman" w:eastAsia="宋体" w:cs="Times New Roman"/>
      <w:b/>
      <w:bCs/>
      <w:kern w:val="44"/>
      <w:sz w:val="44"/>
      <w:szCs w:val="44"/>
    </w:rPr>
  </w:style>
  <w:style w:type="character" w:customStyle="1" w:styleId="37">
    <w:name w:val="标题 2 字符"/>
    <w:link w:val="3"/>
    <w:qFormat/>
    <w:uiPriority w:val="0"/>
    <w:rPr>
      <w:rFonts w:ascii="Arial" w:hAnsi="Arial" w:eastAsia="黑体" w:cs="Times New Roman"/>
      <w:b/>
      <w:bCs/>
      <w:sz w:val="32"/>
      <w:szCs w:val="32"/>
    </w:rPr>
  </w:style>
  <w:style w:type="character" w:customStyle="1" w:styleId="38">
    <w:name w:val="标题 3 字符"/>
    <w:link w:val="4"/>
    <w:qFormat/>
    <w:uiPriority w:val="0"/>
    <w:rPr>
      <w:rFonts w:ascii="Times New Roman" w:hAnsi="Times New Roman" w:eastAsia="宋体" w:cs="Times New Roman"/>
      <w:b/>
      <w:bCs/>
      <w:sz w:val="32"/>
      <w:szCs w:val="32"/>
    </w:rPr>
  </w:style>
  <w:style w:type="character" w:customStyle="1" w:styleId="39">
    <w:name w:val="标题 4 字符"/>
    <w:link w:val="5"/>
    <w:qFormat/>
    <w:uiPriority w:val="0"/>
    <w:rPr>
      <w:rFonts w:ascii="Arial" w:hAnsi="Arial" w:eastAsia="黑体" w:cs="Times New Roman"/>
      <w:b/>
      <w:bCs/>
      <w:sz w:val="28"/>
      <w:szCs w:val="28"/>
    </w:rPr>
  </w:style>
  <w:style w:type="character" w:customStyle="1" w:styleId="40">
    <w:name w:val="标题 5 字符"/>
    <w:link w:val="6"/>
    <w:qFormat/>
    <w:uiPriority w:val="0"/>
    <w:rPr>
      <w:rFonts w:ascii="Times New Roman" w:hAnsi="Times New Roman" w:eastAsia="宋体" w:cs="Times New Roman"/>
      <w:b/>
      <w:bCs/>
      <w:sz w:val="28"/>
      <w:szCs w:val="28"/>
    </w:rPr>
  </w:style>
  <w:style w:type="character" w:customStyle="1" w:styleId="41">
    <w:name w:val="标题 6 字符"/>
    <w:link w:val="7"/>
    <w:qFormat/>
    <w:uiPriority w:val="0"/>
    <w:rPr>
      <w:rFonts w:ascii="Arial" w:hAnsi="Arial" w:eastAsia="黑体" w:cs="Times New Roman"/>
      <w:b/>
      <w:bCs/>
      <w:sz w:val="24"/>
      <w:szCs w:val="24"/>
    </w:rPr>
  </w:style>
  <w:style w:type="character" w:customStyle="1" w:styleId="42">
    <w:name w:val="标题 7 字符"/>
    <w:link w:val="8"/>
    <w:qFormat/>
    <w:uiPriority w:val="0"/>
    <w:rPr>
      <w:rFonts w:ascii="Times New Roman" w:hAnsi="Times New Roman" w:eastAsia="宋体" w:cs="Times New Roman"/>
      <w:b/>
      <w:bCs/>
      <w:sz w:val="24"/>
      <w:szCs w:val="24"/>
    </w:rPr>
  </w:style>
  <w:style w:type="character" w:customStyle="1" w:styleId="43">
    <w:name w:val="标题 8 字符"/>
    <w:link w:val="9"/>
    <w:qFormat/>
    <w:uiPriority w:val="0"/>
    <w:rPr>
      <w:rFonts w:ascii="Arial" w:hAnsi="Arial" w:eastAsia="黑体" w:cs="Times New Roman"/>
      <w:sz w:val="24"/>
      <w:szCs w:val="24"/>
    </w:rPr>
  </w:style>
  <w:style w:type="character" w:customStyle="1" w:styleId="44">
    <w:name w:val="标题 9 字符"/>
    <w:link w:val="10"/>
    <w:qFormat/>
    <w:uiPriority w:val="0"/>
    <w:rPr>
      <w:rFonts w:ascii="Arial" w:hAnsi="Arial" w:eastAsia="黑体" w:cs="Times New Roman"/>
      <w:szCs w:val="21"/>
    </w:rPr>
  </w:style>
  <w:style w:type="character" w:customStyle="1" w:styleId="45">
    <w:name w:val="页眉 字符"/>
    <w:link w:val="18"/>
    <w:qFormat/>
    <w:uiPriority w:val="99"/>
    <w:rPr>
      <w:rFonts w:ascii="Times New Roman" w:hAnsi="Times New Roman" w:eastAsia="宋体" w:cs="Times New Roman"/>
      <w:sz w:val="18"/>
      <w:szCs w:val="18"/>
    </w:rPr>
  </w:style>
  <w:style w:type="character" w:customStyle="1" w:styleId="46">
    <w:name w:val="页脚 字符"/>
    <w:link w:val="17"/>
    <w:qFormat/>
    <w:uiPriority w:val="99"/>
    <w:rPr>
      <w:rFonts w:ascii="宋体" w:hAnsi="Times New Roman" w:eastAsia="宋体" w:cs="Times New Roman"/>
      <w:sz w:val="18"/>
      <w:szCs w:val="18"/>
    </w:rPr>
  </w:style>
  <w:style w:type="character" w:customStyle="1" w:styleId="47">
    <w:name w:val="批注框文本 字符"/>
    <w:link w:val="16"/>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rPr>
  </w:style>
  <w:style w:type="character" w:customStyle="1" w:styleId="50">
    <w:name w:val="标题 字符"/>
    <w:link w:val="25"/>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3"/>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ind w:left="0"/>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1"/>
    <w:semiHidden/>
    <w:qFormat/>
    <w:uiPriority w:val="0"/>
    <w:rPr>
      <w:rFonts w:ascii="宋体" w:hAnsi="Times New Roman" w:eastAsia="宋体" w:cs="Times New Roman"/>
      <w:sz w:val="18"/>
      <w:szCs w:val="18"/>
    </w:rPr>
  </w:style>
  <w:style w:type="paragraph" w:customStyle="1" w:styleId="102">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8"/>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8"/>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8"/>
    <w:qFormat/>
    <w:uiPriority w:val="0"/>
    <w:rPr>
      <w:rFonts w:ascii="黑体" w:eastAsia="黑体"/>
      <w:spacing w:val="85"/>
      <w:w w:val="100"/>
      <w:position w:val="3"/>
      <w:sz w:val="28"/>
      <w:szCs w:val="28"/>
    </w:rPr>
  </w:style>
  <w:style w:type="character" w:customStyle="1" w:styleId="232">
    <w:name w:val="段 Char"/>
    <w:link w:val="35"/>
    <w:qFormat/>
    <w:uiPriority w:val="0"/>
    <w:rPr>
      <w:rFonts w:ascii="宋体" w:hAnsi="Times New Roman"/>
      <w:sz w:val="21"/>
    </w:rPr>
  </w:style>
  <w:style w:type="paragraph" w:customStyle="1" w:styleId="233">
    <w:name w:val="章标题"/>
    <w:next w:val="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4">
    <w:name w:val="二级条标题"/>
    <w:basedOn w:val="34"/>
    <w:next w:val="35"/>
    <w:qFormat/>
    <w:uiPriority w:val="0"/>
    <w:pPr>
      <w:spacing w:before="50" w:after="50"/>
      <w:outlineLvl w:val="3"/>
    </w:pPr>
  </w:style>
  <w:style w:type="paragraph" w:customStyle="1" w:styleId="235">
    <w:name w:val="附录二级条标题"/>
    <w:basedOn w:val="1"/>
    <w:next w:val="35"/>
    <w:qFormat/>
    <w:uiPriority w:val="0"/>
    <w:pPr>
      <w:widowControl/>
      <w:wordWrap w:val="0"/>
      <w:overflowPunct w:val="0"/>
      <w:autoSpaceDE w:val="0"/>
      <w:autoSpaceDN w:val="0"/>
      <w:adjustRightInd/>
      <w:spacing w:beforeLines="50" w:afterLines="50" w:line="240" w:lineRule="auto"/>
      <w:textAlignment w:val="baseline"/>
      <w:outlineLvl w:val="3"/>
    </w:pPr>
    <w:rPr>
      <w:rFonts w:ascii="黑体" w:hAnsi="Times New Roman" w:eastAsia="黑体"/>
      <w:kern w:val="21"/>
      <w:szCs w:val="20"/>
    </w:rPr>
  </w:style>
  <w:style w:type="paragraph" w:customStyle="1" w:styleId="236">
    <w:name w:val="附录章标题"/>
    <w:next w:val="35"/>
    <w:qFormat/>
    <w:uiPriority w:val="0"/>
    <w:p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37">
    <w:name w:val="附录一级条标题"/>
    <w:basedOn w:val="236"/>
    <w:next w:val="35"/>
    <w:qFormat/>
    <w:uiPriority w:val="0"/>
    <w:pPr>
      <w:autoSpaceDN w:val="0"/>
      <w:spacing w:beforeLines="50" w:afterLines="50"/>
      <w:outlineLvl w:val="2"/>
    </w:pPr>
  </w:style>
  <w:style w:type="paragraph" w:customStyle="1" w:styleId="238">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AAE122DC8A54E0689C11851D9894DD1"/>
        <w:style w:val=""/>
        <w:category>
          <w:name w:val="常规"/>
          <w:gallery w:val="placeholder"/>
        </w:category>
        <w:types>
          <w:type w:val="bbPlcHdr"/>
        </w:types>
        <w:behaviors>
          <w:behavior w:val="content"/>
        </w:behaviors>
        <w:description w:val=""/>
        <w:guid w:val="{80110A64-5A4A-4764-A90C-71CDDA9C123F}"/>
      </w:docPartPr>
      <w:docPartBody>
        <w:p>
          <w:pPr>
            <w:pStyle w:val="5"/>
          </w:pPr>
          <w:r>
            <w:rPr>
              <w:rStyle w:val="4"/>
              <w:rFonts w:hint="eastAsia"/>
            </w:rPr>
            <w:t>单击或点击此处输入文字。</w:t>
          </w:r>
        </w:p>
      </w:docPartBody>
    </w:docPart>
    <w:docPart>
      <w:docPartPr>
        <w:name w:val="075D139548A94026BE4C88D47E2CAB99"/>
        <w:style w:val=""/>
        <w:category>
          <w:name w:val="常规"/>
          <w:gallery w:val="placeholder"/>
        </w:category>
        <w:types>
          <w:type w:val="bbPlcHdr"/>
        </w:types>
        <w:behaviors>
          <w:behavior w:val="content"/>
        </w:behaviors>
        <w:description w:val=""/>
        <w:guid w:val="{3CDEC830-415F-4FF8-9C28-A5416CC57D86}"/>
      </w:docPartPr>
      <w:docPartBody>
        <w:p>
          <w:pPr>
            <w:pStyle w:val="6"/>
          </w:pPr>
          <w:r>
            <w:rPr>
              <w:rStyle w:val="4"/>
              <w:rFonts w:hint="eastAsia"/>
            </w:rPr>
            <w:t>选择一项。</w:t>
          </w:r>
        </w:p>
      </w:docPartBody>
    </w:docPart>
    <w:docPart>
      <w:docPartPr>
        <w:name w:val="{aac50114-f676-4918-86d1-48f7fd5c51bc}"/>
        <w:style w:val=""/>
        <w:category>
          <w:name w:val="常规"/>
          <w:gallery w:val="placeholder"/>
        </w:category>
        <w:types>
          <w:type w:val="bbPlcHdr"/>
        </w:types>
        <w:behaviors>
          <w:behavior w:val="content"/>
        </w:behaviors>
        <w:description w:val=""/>
        <w:guid w:val="{AAC50114-F676-4918-86D1-48F7FD5C51B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D2B"/>
    <w:rsid w:val="000D1ACC"/>
    <w:rsid w:val="000E3BC4"/>
    <w:rsid w:val="000F2D2B"/>
    <w:rsid w:val="0014018D"/>
    <w:rsid w:val="001624AA"/>
    <w:rsid w:val="001F14C7"/>
    <w:rsid w:val="00506A72"/>
    <w:rsid w:val="00653F01"/>
    <w:rsid w:val="00803031"/>
    <w:rsid w:val="00827DEC"/>
    <w:rsid w:val="008B6728"/>
    <w:rsid w:val="008D5677"/>
    <w:rsid w:val="008F48E6"/>
    <w:rsid w:val="00921281"/>
    <w:rsid w:val="00B5716B"/>
    <w:rsid w:val="00BF7D00"/>
    <w:rsid w:val="00CC11D9"/>
    <w:rsid w:val="00CD3161"/>
    <w:rsid w:val="00EB22FF"/>
    <w:rsid w:val="00EC2522"/>
    <w:rsid w:val="00EF781B"/>
    <w:rsid w:val="00F0093E"/>
    <w:rsid w:val="00F15F34"/>
    <w:rsid w:val="00F65E57"/>
    <w:rsid w:val="00FD5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AAE122DC8A54E0689C11851D9894D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75D139548A94026BE4C88D47E2CAB9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48E3D3EA8BB45CDA0EBA56EFECD636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62D4D6-36C0-445C-93F9-3D7C08866589}">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5240</Words>
  <Characters>5726</Characters>
  <Lines>46</Lines>
  <Paragraphs>13</Paragraphs>
  <TotalTime>2</TotalTime>
  <ScaleCrop>false</ScaleCrop>
  <LinksUpToDate>false</LinksUpToDate>
  <CharactersWithSpaces>6026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2021-12-17T09:03:00Z</dcterms:created>
  <dc:creator>艾娜</dc:creator>
  <dc:description>&lt;config cover="true" show_menu="true" version="1.0.0" doctype="SDKXY"&gt;_x000d_
&lt;/config&gt;</dc:description>
  <cp:lastModifiedBy>asus</cp:lastModifiedBy>
  <cp:lastPrinted>2021-10-09T07:45:00Z</cp:lastPrinted>
  <dcterms:modified xsi:type="dcterms:W3CDTF">2023-06-28T15:19:24Z</dcterms:modified>
  <dc:title>地方标准</dc:title>
  <cp:revision>455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2052-11.1.0.14036</vt:lpwstr>
  </property>
  <property fmtid="{D5CDD505-2E9C-101B-9397-08002B2CF9AE}" pid="15" name="ICV">
    <vt:lpwstr>03E6D3A45C3449B484252FFE61CBCCC6_13</vt:lpwstr>
  </property>
</Properties>
</file>