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val="0"/>
        <w:keepLines w:val="0"/>
        <w:pageBreakBefore w:val="0"/>
        <w:widowControl w:val="0"/>
        <w:kinsoku w:val="0"/>
        <w:wordWrap/>
        <w:overflowPunct w:val="0"/>
        <w:topLinePunct w:val="0"/>
        <w:autoSpaceDE w:val="0"/>
        <w:autoSpaceDN w:val="0"/>
        <w:bidi w:val="0"/>
        <w:adjustRightInd w:val="0"/>
        <w:snapToGrid/>
        <w:spacing w:before="0" w:after="313" w:afterLines="100" w:line="240" w:lineRule="auto"/>
        <w:ind w:left="0"/>
        <w:jc w:val="center"/>
        <w:textAlignment w:val="center"/>
        <w:rPr>
          <w:rFonts w:hint="eastAsia" w:ascii="黑体" w:eastAsia="黑体"/>
          <w:kern w:val="2"/>
          <w:sz w:val="32"/>
          <w:szCs w:val="32"/>
        </w:rPr>
      </w:pPr>
      <w:r>
        <w:rPr>
          <w:rFonts w:hint="eastAsia" w:ascii="黑体" w:eastAsia="黑体"/>
          <w:kern w:val="2"/>
          <w:sz w:val="32"/>
          <w:szCs w:val="32"/>
          <w:lang w:eastAsia="zh-CN"/>
        </w:rPr>
        <w:t>《</w:t>
      </w:r>
      <w:r>
        <w:rPr>
          <w:rFonts w:hint="eastAsia" w:ascii="黑体" w:eastAsia="黑体"/>
          <w:kern w:val="2"/>
          <w:sz w:val="32"/>
          <w:szCs w:val="32"/>
        </w:rPr>
        <w:t>湖南农贸市场食品经营管理规范</w:t>
      </w:r>
      <w:r>
        <w:rPr>
          <w:rFonts w:hint="eastAsia" w:ascii="黑体" w:eastAsia="黑体"/>
          <w:kern w:val="2"/>
          <w:sz w:val="32"/>
          <w:szCs w:val="32"/>
          <w:lang w:eastAsia="zh-CN"/>
        </w:rPr>
        <w:t>》</w:t>
      </w:r>
      <w:r>
        <w:rPr>
          <w:rFonts w:hint="eastAsia" w:ascii="黑体" w:eastAsia="黑体"/>
          <w:kern w:val="2"/>
          <w:sz w:val="32"/>
          <w:szCs w:val="32"/>
        </w:rPr>
        <w:t>编制说明</w:t>
      </w:r>
    </w:p>
    <w:p>
      <w:pPr>
        <w:pStyle w:val="62"/>
        <w:keepNext w:val="0"/>
        <w:keepLines w:val="0"/>
        <w:pageBreakBefore w:val="0"/>
        <w:widowControl/>
        <w:numPr>
          <w:ilvl w:val="0"/>
          <w:numId w:val="8"/>
        </w:numPr>
        <w:kinsoku/>
        <w:wordWrap/>
        <w:overflowPunct/>
        <w:topLinePunct w:val="0"/>
        <w:autoSpaceDE w:val="0"/>
        <w:autoSpaceDN w:val="0"/>
        <w:bidi w:val="0"/>
        <w:adjustRightInd/>
        <w:snapToGrid/>
        <w:spacing w:line="360" w:lineRule="auto"/>
        <w:ind w:left="0" w:leftChars="0" w:firstLine="420" w:firstLineChars="0"/>
        <w:textAlignment w:val="auto"/>
        <w:rPr>
          <w:rFonts w:hint="eastAsia" w:hAnsi="Times New Roman" w:cs="Times New Roman"/>
          <w:b/>
          <w:bCs/>
          <w:sz w:val="24"/>
          <w:szCs w:val="22"/>
          <w:lang w:val="en-US" w:eastAsia="zh-CN"/>
        </w:rPr>
      </w:pPr>
      <w:r>
        <w:rPr>
          <w:rFonts w:hint="eastAsia" w:cs="Times New Roman"/>
          <w:b/>
          <w:bCs/>
          <w:sz w:val="24"/>
          <w:szCs w:val="22"/>
          <w:lang w:val="en-US" w:eastAsia="zh-CN"/>
        </w:rPr>
        <w:t>制定的背景和必要性</w:t>
      </w:r>
    </w:p>
    <w:p>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宋体" w:hAnsi="Times New Roman" w:eastAsia="宋体" w:cs="Times New Roman"/>
          <w:kern w:val="0"/>
          <w:sz w:val="24"/>
          <w:szCs w:val="22"/>
          <w:lang w:val="en-US" w:eastAsia="zh-CN" w:bidi="ar"/>
        </w:rPr>
      </w:pPr>
      <w:r>
        <w:rPr>
          <w:rFonts w:hint="eastAsia" w:ascii="宋体" w:hAnsi="Times New Roman" w:eastAsia="宋体" w:cs="Times New Roman"/>
          <w:kern w:val="0"/>
          <w:sz w:val="24"/>
          <w:szCs w:val="22"/>
          <w:lang w:val="en-US" w:eastAsia="zh-CN" w:bidi="ar"/>
        </w:rPr>
        <w:t>随着经济社会发展，生鲜购销渠道主要有农贸市场、生鲜超市、线上电商等。有数据预测，到2025年我国菜市场规模将达到4万亿，其中农贸市场零售渠道超过50%，分析得出，一方面农贸市场提供的食材新鲜、品种多样、价格亲民，依旧是老百姓采购生鲜蔬果、肉禽蛋等食材的主要渠道，另一方面，相当一部分农贸市场处在城市成熟区域，公共设施配套健全，居民生活圈成型，故有其他渠道难以复制的优势。</w:t>
      </w:r>
    </w:p>
    <w:p>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宋体" w:hAnsi="Times New Roman" w:eastAsia="宋体" w:cs="Times New Roman"/>
          <w:kern w:val="0"/>
          <w:sz w:val="24"/>
          <w:szCs w:val="22"/>
          <w:lang w:val="en-US" w:eastAsia="zh-CN" w:bidi="ar"/>
        </w:rPr>
      </w:pPr>
      <w:r>
        <w:rPr>
          <w:rFonts w:hint="eastAsia" w:ascii="宋体" w:hAnsi="Times New Roman" w:eastAsia="宋体" w:cs="Times New Roman"/>
          <w:kern w:val="0"/>
          <w:sz w:val="24"/>
          <w:szCs w:val="22"/>
          <w:lang w:val="en-US" w:eastAsia="zh-CN" w:bidi="ar"/>
        </w:rPr>
        <w:t>近几年以来，按照食品安全示范城市创建及城市管理的有关要求，促进了农贸市场有序经营。但整体而言，农贸市场环境脏乱、信息化程度低、管理水平低、食品安全制度难落实等客观形势没有发生较大改变，部分老旧社区所在地的农贸市场运营时间长，卫生条件差，管理不规范，食品安全风险隐患较大。</w:t>
      </w:r>
    </w:p>
    <w:p>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宋体" w:cs="Times New Roman"/>
          <w:kern w:val="0"/>
          <w:sz w:val="24"/>
          <w:szCs w:val="22"/>
          <w:lang w:val="en-US" w:eastAsia="zh-CN" w:bidi="ar"/>
        </w:rPr>
      </w:pPr>
      <w:r>
        <w:rPr>
          <w:rFonts w:hint="eastAsia" w:ascii="宋体" w:hAnsi="Times New Roman" w:eastAsia="宋体" w:cs="Times New Roman"/>
          <w:kern w:val="0"/>
          <w:sz w:val="24"/>
          <w:szCs w:val="22"/>
          <w:lang w:val="en-US" w:eastAsia="zh-CN" w:bidi="ar"/>
        </w:rPr>
        <w:t>2008年5月4日，原国家质量监督检验检疫总局、国家标准化管理委员会联合发布了《农贸市场管理技术规范》（GB/T 21720-2008 ），规定了农贸市场的经营环境要求、经营设施设备要求和经营管理要求</w:t>
      </w:r>
      <w:r>
        <w:rPr>
          <w:rFonts w:hint="eastAsia" w:ascii="宋体" w:cs="Times New Roman"/>
          <w:kern w:val="0"/>
          <w:sz w:val="24"/>
          <w:szCs w:val="22"/>
          <w:lang w:val="en-US" w:eastAsia="zh-CN" w:bidi="ar"/>
        </w:rPr>
        <w:t>。</w:t>
      </w:r>
    </w:p>
    <w:p>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宋体" w:hAnsi="Times New Roman" w:eastAsia="宋体" w:cs="Times New Roman"/>
          <w:color w:val="000000" w:themeColor="text1"/>
          <w:kern w:val="0"/>
          <w:sz w:val="24"/>
          <w:szCs w:val="22"/>
          <w:lang w:val="en-US" w:eastAsia="zh-CN" w:bidi="ar"/>
          <w14:textFill>
            <w14:solidFill>
              <w14:schemeClr w14:val="tx1"/>
            </w14:solidFill>
          </w14:textFill>
        </w:rPr>
      </w:pPr>
      <w:r>
        <w:rPr>
          <w:rFonts w:hint="eastAsia" w:ascii="宋体" w:hAnsi="Times New Roman" w:eastAsia="宋体" w:cs="Times New Roman"/>
          <w:kern w:val="0"/>
          <w:sz w:val="24"/>
          <w:szCs w:val="22"/>
          <w:lang w:val="en-US" w:eastAsia="zh-CN" w:bidi="ar"/>
        </w:rPr>
        <w:t>为进一步贯彻落实“四个”最严指示精神，加强对农贸市场规范管理，对我省农贸市场食品安全管理、加工环境卫生管理、人员管理、开办单位食品安全主体责任等方面进行食品安全风险分析，为我省农贸市场建设、开办方食品安全主体责任落实、以及食品安全监管提供重要依据，</w:t>
      </w:r>
      <w:r>
        <w:rPr>
          <w:rFonts w:hint="eastAsia" w:ascii="宋体" w:hAnsi="Times New Roman" w:eastAsia="宋体" w:cs="Times New Roman"/>
          <w:color w:val="000000" w:themeColor="text1"/>
          <w:kern w:val="0"/>
          <w:sz w:val="24"/>
          <w:szCs w:val="22"/>
          <w:lang w:val="en-US" w:eastAsia="zh-CN" w:bidi="ar"/>
          <w14:textFill>
            <w14:solidFill>
              <w14:schemeClr w14:val="tx1"/>
            </w14:solidFill>
          </w14:textFill>
        </w:rPr>
        <w:t>制定《湖南农贸市场食品经营管理规范》。</w:t>
      </w:r>
    </w:p>
    <w:p>
      <w:pPr>
        <w:pStyle w:val="62"/>
        <w:keepNext w:val="0"/>
        <w:keepLines w:val="0"/>
        <w:pageBreakBefore w:val="0"/>
        <w:widowControl/>
        <w:numPr>
          <w:ilvl w:val="0"/>
          <w:numId w:val="8"/>
        </w:numPr>
        <w:kinsoku/>
        <w:wordWrap/>
        <w:overflowPunct/>
        <w:topLinePunct w:val="0"/>
        <w:autoSpaceDE w:val="0"/>
        <w:autoSpaceDN w:val="0"/>
        <w:bidi w:val="0"/>
        <w:adjustRightInd/>
        <w:snapToGrid/>
        <w:spacing w:line="360" w:lineRule="auto"/>
        <w:ind w:left="0" w:leftChars="0" w:firstLine="420" w:firstLineChars="0"/>
        <w:textAlignment w:val="auto"/>
        <w:rPr>
          <w:rFonts w:hint="eastAsia" w:hAnsi="Times New Roman" w:cs="Times New Roman"/>
          <w:b/>
          <w:bCs/>
          <w:sz w:val="24"/>
          <w:szCs w:val="22"/>
          <w:lang w:val="en-US" w:eastAsia="zh-CN"/>
        </w:rPr>
      </w:pPr>
      <w:r>
        <w:rPr>
          <w:rFonts w:hint="eastAsia" w:cs="Times New Roman"/>
          <w:b/>
          <w:bCs/>
          <w:sz w:val="24"/>
          <w:szCs w:val="22"/>
          <w:lang w:val="en-US" w:eastAsia="zh-CN"/>
        </w:rPr>
        <w:t>与我国有关法律法规和标准关系的情况说明</w:t>
      </w:r>
    </w:p>
    <w:p>
      <w:pPr>
        <w:keepNext w:val="0"/>
        <w:keepLines w:val="0"/>
        <w:pageBreakBefore w:val="0"/>
        <w:numPr>
          <w:ilvl w:val="0"/>
          <w:numId w:val="9"/>
        </w:numPr>
        <w:kinsoku/>
        <w:wordWrap/>
        <w:overflowPunct/>
        <w:topLinePunct w:val="0"/>
        <w:bidi w:val="0"/>
        <w:adjustRightInd/>
        <w:snapToGrid/>
        <w:spacing w:line="360" w:lineRule="auto"/>
        <w:ind w:left="0" w:leftChars="0" w:firstLine="420" w:firstLineChars="0"/>
        <w:textAlignment w:val="auto"/>
        <w:rPr>
          <w:rFonts w:hint="eastAsia"/>
          <w:sz w:val="24"/>
        </w:rPr>
      </w:pPr>
      <w:r>
        <w:rPr>
          <w:rFonts w:hint="eastAsia" w:ascii="宋体" w:hAnsi="Times New Roman" w:eastAsia="宋体" w:cs="Times New Roman"/>
          <w:kern w:val="0"/>
          <w:sz w:val="24"/>
          <w:szCs w:val="22"/>
          <w:lang w:val="en-US" w:eastAsia="zh-CN" w:bidi="ar"/>
        </w:rPr>
        <w:t>本标准的制定严格遵循《中华人民共和国标准化法》及实施条例、《中华人民共和国食品安全法》</w:t>
      </w:r>
      <w:r>
        <w:rPr>
          <w:rFonts w:hint="eastAsia" w:cs="Times New Roman"/>
          <w:kern w:val="0"/>
          <w:sz w:val="24"/>
          <w:szCs w:val="22"/>
          <w:lang w:val="en-US" w:eastAsia="zh-CN" w:bidi="ar"/>
        </w:rPr>
        <w:t>及实施条例、《地方标准管理办法》</w:t>
      </w:r>
      <w:r>
        <w:rPr>
          <w:rFonts w:hint="eastAsia"/>
          <w:sz w:val="24"/>
        </w:rPr>
        <w:t>等我国有关的法律法规、部门规章和文件的规定和要求。</w:t>
      </w:r>
      <w:r>
        <w:rPr>
          <w:rFonts w:hint="eastAsia"/>
          <w:sz w:val="24"/>
          <w:lang w:val="en-US" w:eastAsia="zh-CN"/>
        </w:rPr>
        <w:t>符合</w:t>
      </w:r>
      <w:r>
        <w:rPr>
          <w:rFonts w:hint="eastAsia" w:ascii="宋体" w:hAnsi="Times New Roman" w:eastAsia="宋体" w:cs="Times New Roman"/>
          <w:kern w:val="0"/>
          <w:sz w:val="24"/>
          <w:szCs w:val="22"/>
          <w:lang w:val="en-US" w:eastAsia="zh-CN" w:bidi="ar"/>
        </w:rPr>
        <w:t>《食品安全国家标准 食品经营过程卫生规范》（GB 31621-2014）、《食品安全国家标准 餐饮服务通用卫生规范》（GB 31654-2021）</w:t>
      </w:r>
      <w:r>
        <w:rPr>
          <w:rFonts w:hint="eastAsia"/>
          <w:sz w:val="24"/>
        </w:rPr>
        <w:t>等有关强制性标准要求。</w:t>
      </w:r>
    </w:p>
    <w:p>
      <w:pPr>
        <w:keepNext w:val="0"/>
        <w:keepLines w:val="0"/>
        <w:pageBreakBefore w:val="0"/>
        <w:numPr>
          <w:ilvl w:val="0"/>
          <w:numId w:val="9"/>
        </w:numPr>
        <w:kinsoku/>
        <w:wordWrap/>
        <w:overflowPunct/>
        <w:topLinePunct w:val="0"/>
        <w:bidi w:val="0"/>
        <w:adjustRightInd/>
        <w:snapToGrid/>
        <w:spacing w:line="360" w:lineRule="auto"/>
        <w:ind w:left="0" w:leftChars="0" w:firstLine="420" w:firstLineChars="0"/>
        <w:textAlignment w:val="auto"/>
        <w:rPr>
          <w:rFonts w:hint="eastAsia"/>
          <w:sz w:val="24"/>
        </w:rPr>
      </w:pPr>
      <w:r>
        <w:rPr>
          <w:rFonts w:hint="eastAsia"/>
          <w:sz w:val="24"/>
        </w:rPr>
        <w:t>本标准制订过程以</w:t>
      </w:r>
      <w:r>
        <w:rPr>
          <w:rFonts w:hint="eastAsia"/>
          <w:sz w:val="24"/>
          <w:lang w:val="en-US" w:eastAsia="zh-CN"/>
        </w:rPr>
        <w:t>《农贸市场管理技术规范》（GB/T 21720-2022）、《标准化菜市场设置与管理规范》（商办建函〔2011〕886号）、《农贸市场食品安全管理规范》（DB5115/T 45-2020 ）、《海南省农贸市场建设与管理规范》（DB46/T 80-2019）、《农贸市场食用农产品质量安全管理规范》（DB45/T 2472-2022）、《标准化菜市场设置与管理规范》（DB31/T 344-2020）为参考，确定了相应的技术要求。</w:t>
      </w:r>
    </w:p>
    <w:p>
      <w:pPr>
        <w:pStyle w:val="62"/>
        <w:keepNext w:val="0"/>
        <w:keepLines w:val="0"/>
        <w:pageBreakBefore w:val="0"/>
        <w:widowControl/>
        <w:numPr>
          <w:ilvl w:val="0"/>
          <w:numId w:val="8"/>
        </w:numPr>
        <w:kinsoku/>
        <w:wordWrap/>
        <w:overflowPunct/>
        <w:topLinePunct w:val="0"/>
        <w:autoSpaceDE w:val="0"/>
        <w:autoSpaceDN w:val="0"/>
        <w:bidi w:val="0"/>
        <w:adjustRightInd/>
        <w:snapToGrid/>
        <w:spacing w:line="360" w:lineRule="auto"/>
        <w:ind w:left="0" w:leftChars="0" w:firstLine="420" w:firstLineChars="0"/>
        <w:textAlignment w:val="auto"/>
        <w:rPr>
          <w:rFonts w:hint="eastAsia" w:hAnsi="Times New Roman" w:cs="Times New Roman"/>
          <w:b/>
          <w:bCs/>
          <w:sz w:val="24"/>
          <w:szCs w:val="22"/>
          <w:lang w:val="en-US" w:eastAsia="zh-CN"/>
        </w:rPr>
      </w:pPr>
      <w:r>
        <w:rPr>
          <w:rFonts w:hint="eastAsia" w:cs="Times New Roman"/>
          <w:b/>
          <w:bCs/>
          <w:sz w:val="24"/>
          <w:szCs w:val="22"/>
          <w:lang w:val="en-US" w:eastAsia="zh-CN"/>
        </w:rPr>
        <w:t>标准起草的基本情况</w:t>
      </w:r>
    </w:p>
    <w:p>
      <w:pPr>
        <w:pStyle w:val="62"/>
        <w:keepNext w:val="0"/>
        <w:keepLines w:val="0"/>
        <w:pageBreakBefore w:val="0"/>
        <w:widowControl/>
        <w:numPr>
          <w:ilvl w:val="0"/>
          <w:numId w:val="10"/>
        </w:numPr>
        <w:kinsoku/>
        <w:wordWrap/>
        <w:overflowPunct/>
        <w:topLinePunct w:val="0"/>
        <w:autoSpaceDE w:val="0"/>
        <w:autoSpaceDN w:val="0"/>
        <w:bidi w:val="0"/>
        <w:adjustRightInd/>
        <w:snapToGrid/>
        <w:spacing w:line="360" w:lineRule="auto"/>
        <w:ind w:left="0" w:leftChars="0" w:right="0" w:rightChars="0" w:firstLine="420" w:firstLineChars="0"/>
        <w:textAlignment w:val="auto"/>
        <w:rPr>
          <w:rFonts w:hint="eastAsia" w:hAnsi="Times New Roman" w:cs="Times New Roman"/>
          <w:b w:val="0"/>
          <w:bCs w:val="0"/>
          <w:sz w:val="24"/>
          <w:szCs w:val="22"/>
          <w:lang w:val="en-US" w:eastAsia="zh-CN"/>
        </w:rPr>
      </w:pPr>
      <w:r>
        <w:rPr>
          <w:rFonts w:hint="eastAsia" w:cs="Times New Roman"/>
          <w:b w:val="0"/>
          <w:bCs w:val="0"/>
          <w:sz w:val="24"/>
          <w:szCs w:val="22"/>
          <w:lang w:val="en-US" w:eastAsia="zh-CN"/>
        </w:rPr>
        <w:t>任务来源、起草单位和起草人</w:t>
      </w:r>
    </w:p>
    <w:p>
      <w:pPr>
        <w:pStyle w:val="62"/>
        <w:keepNext w:val="0"/>
        <w:keepLines w:val="0"/>
        <w:pageBreakBefore w:val="0"/>
        <w:widowControl/>
        <w:numPr>
          <w:ilvl w:val="0"/>
          <w:numId w:val="11"/>
        </w:numPr>
        <w:kinsoku/>
        <w:wordWrap/>
        <w:overflowPunct/>
        <w:topLinePunct w:val="0"/>
        <w:autoSpaceDE w:val="0"/>
        <w:autoSpaceDN w:val="0"/>
        <w:bidi w:val="0"/>
        <w:adjustRightInd/>
        <w:snapToGrid/>
        <w:spacing w:line="360" w:lineRule="auto"/>
        <w:ind w:left="0" w:leftChars="0" w:right="0" w:rightChars="0" w:firstLine="480" w:firstLineChars="200"/>
        <w:textAlignment w:val="auto"/>
        <w:rPr>
          <w:rFonts w:hint="eastAsia" w:hAnsi="Times New Roman" w:cs="Times New Roman"/>
          <w:b w:val="0"/>
          <w:bCs w:val="0"/>
          <w:sz w:val="24"/>
          <w:szCs w:val="22"/>
          <w:lang w:val="en-US" w:eastAsia="zh-CN"/>
        </w:rPr>
      </w:pPr>
      <w:r>
        <w:rPr>
          <w:rFonts w:hint="eastAsia" w:cs="Times New Roman"/>
          <w:b w:val="0"/>
          <w:bCs w:val="0"/>
          <w:sz w:val="24"/>
          <w:szCs w:val="22"/>
          <w:lang w:val="en-US" w:eastAsia="zh-CN"/>
        </w:rPr>
        <w:t>任务来源：</w:t>
      </w:r>
      <w:r>
        <w:rPr>
          <w:rFonts w:hint="eastAsia"/>
          <w:b w:val="0"/>
          <w:bCs w:val="0"/>
          <w:sz w:val="24"/>
        </w:rPr>
        <w:t>根据</w:t>
      </w:r>
      <w:r>
        <w:rPr>
          <w:rFonts w:hint="eastAsia"/>
          <w:b w:val="0"/>
          <w:bCs w:val="0"/>
          <w:sz w:val="24"/>
          <w:lang w:val="en-US" w:eastAsia="zh-CN"/>
        </w:rPr>
        <w:t>《湖南省市场监督管理局关于下达2023年度第1批地方标准制修订项目计划的通知》（2023年第1批地方标准制修订项目立项</w:t>
      </w:r>
      <w:r>
        <w:rPr>
          <w:rFonts w:hint="eastAsia"/>
          <w:b w:val="0"/>
          <w:bCs w:val="0"/>
          <w:sz w:val="24"/>
        </w:rPr>
        <w:t>计划表第</w:t>
      </w:r>
      <w:r>
        <w:rPr>
          <w:rFonts w:hint="eastAsia"/>
          <w:b w:val="0"/>
          <w:bCs w:val="0"/>
          <w:sz w:val="24"/>
          <w:lang w:val="en-US" w:eastAsia="zh-CN"/>
        </w:rPr>
        <w:t>247</w:t>
      </w:r>
      <w:r>
        <w:rPr>
          <w:rFonts w:hint="eastAsia"/>
          <w:b w:val="0"/>
          <w:bCs w:val="0"/>
          <w:sz w:val="24"/>
        </w:rPr>
        <w:t>项-</w:t>
      </w:r>
      <w:r>
        <w:rPr>
          <w:rFonts w:hint="eastAsia"/>
          <w:b w:val="0"/>
          <w:bCs w:val="0"/>
          <w:sz w:val="24"/>
          <w:lang w:val="en-US" w:eastAsia="zh-CN"/>
        </w:rPr>
        <w:t>农贸市场食品经营管理规范）</w:t>
      </w:r>
      <w:r>
        <w:rPr>
          <w:rFonts w:hint="eastAsia"/>
          <w:b w:val="0"/>
          <w:bCs w:val="0"/>
          <w:sz w:val="24"/>
        </w:rPr>
        <w:t>文件通知，《</w:t>
      </w:r>
      <w:r>
        <w:rPr>
          <w:rFonts w:hint="eastAsia"/>
          <w:b w:val="0"/>
          <w:bCs w:val="0"/>
          <w:sz w:val="24"/>
          <w:lang w:val="en-US" w:eastAsia="zh-CN"/>
        </w:rPr>
        <w:t>农贸市场食品经营管理规范</w:t>
      </w:r>
      <w:r>
        <w:rPr>
          <w:rFonts w:hint="eastAsia"/>
          <w:b w:val="0"/>
          <w:bCs w:val="0"/>
          <w:sz w:val="24"/>
        </w:rPr>
        <w:t>》标准正式立项。</w:t>
      </w:r>
    </w:p>
    <w:p>
      <w:pPr>
        <w:pStyle w:val="62"/>
        <w:keepNext w:val="0"/>
        <w:keepLines w:val="0"/>
        <w:pageBreakBefore w:val="0"/>
        <w:widowControl/>
        <w:numPr>
          <w:ilvl w:val="0"/>
          <w:numId w:val="11"/>
        </w:numPr>
        <w:kinsoku/>
        <w:wordWrap/>
        <w:overflowPunct/>
        <w:topLinePunct w:val="0"/>
        <w:autoSpaceDE w:val="0"/>
        <w:autoSpaceDN w:val="0"/>
        <w:bidi w:val="0"/>
        <w:adjustRightInd/>
        <w:snapToGrid/>
        <w:spacing w:line="360" w:lineRule="auto"/>
        <w:ind w:left="0" w:leftChars="0" w:right="0" w:rightChars="0" w:firstLine="480" w:firstLineChars="200"/>
        <w:textAlignment w:val="auto"/>
        <w:rPr>
          <w:rFonts w:hint="eastAsia" w:hAnsi="Times New Roman" w:cs="Times New Roman"/>
          <w:b w:val="0"/>
          <w:bCs w:val="0"/>
          <w:sz w:val="24"/>
          <w:szCs w:val="22"/>
          <w:lang w:val="en-US" w:eastAsia="zh-CN"/>
        </w:rPr>
      </w:pPr>
      <w:r>
        <w:rPr>
          <w:rFonts w:hint="eastAsia" w:cs="Times New Roman"/>
          <w:b w:val="0"/>
          <w:bCs w:val="0"/>
          <w:sz w:val="24"/>
          <w:szCs w:val="22"/>
          <w:lang w:val="en-US" w:eastAsia="zh-CN"/>
        </w:rPr>
        <w:t>起草单位：</w:t>
      </w:r>
      <w:r>
        <w:rPr>
          <w:rFonts w:hint="eastAsia"/>
          <w:b w:val="0"/>
          <w:bCs w:val="0"/>
          <w:sz w:val="24"/>
        </w:rPr>
        <w:t>本标准起草单位为</w:t>
      </w:r>
      <w:r>
        <w:rPr>
          <w:rFonts w:hint="eastAsia"/>
          <w:b w:val="0"/>
          <w:bCs w:val="0"/>
          <w:sz w:val="24"/>
          <w:lang w:val="en-US" w:eastAsia="zh-CN"/>
        </w:rPr>
        <w:t>湖南省产商品评审中心。</w:t>
      </w:r>
    </w:p>
    <w:p>
      <w:pPr>
        <w:pStyle w:val="62"/>
        <w:keepNext w:val="0"/>
        <w:keepLines w:val="0"/>
        <w:pageBreakBefore w:val="0"/>
        <w:widowControl/>
        <w:numPr>
          <w:ilvl w:val="0"/>
          <w:numId w:val="11"/>
        </w:numPr>
        <w:kinsoku/>
        <w:wordWrap/>
        <w:overflowPunct/>
        <w:topLinePunct w:val="0"/>
        <w:autoSpaceDE w:val="0"/>
        <w:autoSpaceDN w:val="0"/>
        <w:bidi w:val="0"/>
        <w:adjustRightInd/>
        <w:snapToGrid/>
        <w:spacing w:line="360" w:lineRule="auto"/>
        <w:ind w:left="0" w:leftChars="0" w:right="0" w:rightChars="0" w:firstLine="480" w:firstLineChars="200"/>
        <w:textAlignment w:val="auto"/>
        <w:rPr>
          <w:rFonts w:hint="eastAsia" w:hAnsi="Times New Roman" w:cs="Times New Roman"/>
          <w:b w:val="0"/>
          <w:bCs w:val="0"/>
          <w:sz w:val="24"/>
          <w:szCs w:val="22"/>
          <w:lang w:val="en-US" w:eastAsia="zh-CN"/>
        </w:rPr>
      </w:pPr>
      <w:r>
        <w:rPr>
          <w:rFonts w:hint="eastAsia" w:cs="Times New Roman"/>
          <w:b w:val="0"/>
          <w:bCs w:val="0"/>
          <w:sz w:val="24"/>
          <w:szCs w:val="22"/>
          <w:lang w:val="en-US" w:eastAsia="zh-CN"/>
        </w:rPr>
        <w:t>主要起草人</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7"/>
        <w:gridCol w:w="3770"/>
        <w:gridCol w:w="1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677" w:type="dxa"/>
          </w:tcPr>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right="0" w:rightChars="0"/>
              <w:jc w:val="center"/>
              <w:textAlignment w:val="auto"/>
              <w:rPr>
                <w:rFonts w:hint="default" w:hAnsi="Times New Roman" w:cs="Times New Roman"/>
                <w:b w:val="0"/>
                <w:bCs w:val="0"/>
                <w:sz w:val="22"/>
                <w:szCs w:val="21"/>
                <w:vertAlign w:val="baseline"/>
                <w:lang w:val="en-US" w:eastAsia="zh-CN"/>
              </w:rPr>
            </w:pPr>
            <w:r>
              <w:rPr>
                <w:rFonts w:hint="eastAsia" w:cs="Times New Roman"/>
                <w:b w:val="0"/>
                <w:bCs w:val="0"/>
                <w:sz w:val="22"/>
                <w:szCs w:val="21"/>
                <w:vertAlign w:val="baseline"/>
                <w:lang w:val="en-US" w:eastAsia="zh-CN"/>
              </w:rPr>
              <w:t>起草人名称</w:t>
            </w:r>
          </w:p>
        </w:tc>
        <w:tc>
          <w:tcPr>
            <w:tcW w:w="3770" w:type="dxa"/>
          </w:tcPr>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right="0" w:rightChars="0"/>
              <w:jc w:val="center"/>
              <w:textAlignment w:val="auto"/>
              <w:rPr>
                <w:rFonts w:hint="default" w:hAnsi="Times New Roman" w:cs="Times New Roman"/>
                <w:b w:val="0"/>
                <w:bCs w:val="0"/>
                <w:sz w:val="22"/>
                <w:szCs w:val="21"/>
                <w:vertAlign w:val="baseline"/>
                <w:lang w:val="en-US" w:eastAsia="zh-CN"/>
              </w:rPr>
            </w:pPr>
            <w:r>
              <w:rPr>
                <w:rFonts w:hint="eastAsia" w:cs="Times New Roman"/>
                <w:b w:val="0"/>
                <w:bCs w:val="0"/>
                <w:sz w:val="22"/>
                <w:szCs w:val="21"/>
                <w:vertAlign w:val="baseline"/>
                <w:lang w:val="en-US" w:eastAsia="zh-CN"/>
              </w:rPr>
              <w:t>单位</w:t>
            </w:r>
          </w:p>
        </w:tc>
        <w:tc>
          <w:tcPr>
            <w:tcW w:w="1345" w:type="dxa"/>
          </w:tcPr>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right="0" w:rightChars="0"/>
              <w:jc w:val="center"/>
              <w:textAlignment w:val="auto"/>
              <w:rPr>
                <w:rFonts w:hint="default" w:hAnsi="Times New Roman" w:cs="Times New Roman"/>
                <w:b w:val="0"/>
                <w:bCs w:val="0"/>
                <w:sz w:val="22"/>
                <w:szCs w:val="21"/>
                <w:vertAlign w:val="baseline"/>
                <w:lang w:val="en-US" w:eastAsia="zh-CN"/>
              </w:rPr>
            </w:pPr>
            <w:r>
              <w:rPr>
                <w:rFonts w:hint="eastAsia" w:cs="Times New Roman"/>
                <w:b w:val="0"/>
                <w:bCs w:val="0"/>
                <w:sz w:val="22"/>
                <w:szCs w:val="21"/>
                <w:vertAlign w:val="baseline"/>
                <w:lang w:val="en-US" w:eastAsia="zh-CN"/>
              </w:rPr>
              <w:t>职务/职称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677" w:type="dxa"/>
          </w:tcPr>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right="0" w:rightChars="0"/>
              <w:jc w:val="center"/>
              <w:textAlignment w:val="auto"/>
              <w:rPr>
                <w:rFonts w:hint="default" w:hAnsi="Times New Roman" w:cs="Times New Roman"/>
                <w:b w:val="0"/>
                <w:bCs w:val="0"/>
                <w:sz w:val="22"/>
                <w:szCs w:val="21"/>
                <w:vertAlign w:val="baseline"/>
                <w:lang w:val="en-US" w:eastAsia="zh-CN"/>
              </w:rPr>
            </w:pPr>
            <w:r>
              <w:rPr>
                <w:rFonts w:hint="eastAsia" w:cs="Times New Roman"/>
                <w:b w:val="0"/>
                <w:bCs w:val="0"/>
                <w:sz w:val="22"/>
                <w:szCs w:val="21"/>
                <w:vertAlign w:val="baseline"/>
                <w:lang w:val="en-US" w:eastAsia="zh-CN"/>
              </w:rPr>
              <w:t>周颂航</w:t>
            </w:r>
          </w:p>
        </w:tc>
        <w:tc>
          <w:tcPr>
            <w:tcW w:w="3770" w:type="dxa"/>
          </w:tcPr>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right="0" w:rightChars="0"/>
              <w:jc w:val="center"/>
              <w:textAlignment w:val="auto"/>
              <w:rPr>
                <w:rFonts w:hint="default" w:hAnsi="Times New Roman" w:cs="Times New Roman"/>
                <w:b w:val="0"/>
                <w:bCs w:val="0"/>
                <w:sz w:val="22"/>
                <w:szCs w:val="21"/>
                <w:vertAlign w:val="baseline"/>
                <w:lang w:val="en-US" w:eastAsia="zh-CN"/>
              </w:rPr>
            </w:pPr>
            <w:r>
              <w:rPr>
                <w:rFonts w:hint="eastAsia" w:cs="Times New Roman"/>
                <w:b w:val="0"/>
                <w:bCs w:val="0"/>
                <w:sz w:val="22"/>
                <w:szCs w:val="21"/>
                <w:vertAlign w:val="baseline"/>
                <w:lang w:val="en-US" w:eastAsia="zh-CN"/>
              </w:rPr>
              <w:t>湖南省产商品评审中心</w:t>
            </w:r>
          </w:p>
        </w:tc>
        <w:tc>
          <w:tcPr>
            <w:tcW w:w="1345" w:type="dxa"/>
          </w:tcPr>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right="0" w:rightChars="0"/>
              <w:jc w:val="center"/>
              <w:textAlignment w:val="auto"/>
              <w:rPr>
                <w:rFonts w:hint="default" w:hAnsi="Times New Roman" w:cs="Times New Roman"/>
                <w:b w:val="0"/>
                <w:bCs w:val="0"/>
                <w:sz w:val="22"/>
                <w:szCs w:val="21"/>
                <w:vertAlign w:val="baseline"/>
                <w:lang w:val="en-US" w:eastAsia="zh-CN"/>
              </w:rPr>
            </w:pPr>
            <w:r>
              <w:rPr>
                <w:rFonts w:hint="eastAsia" w:cs="Times New Roman"/>
                <w:b w:val="0"/>
                <w:bCs w:val="0"/>
                <w:sz w:val="22"/>
                <w:szCs w:val="21"/>
                <w:vertAlign w:val="baseline"/>
                <w:lang w:val="en-US" w:eastAsia="zh-CN"/>
              </w:rPr>
              <w:t>部长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677" w:type="dxa"/>
          </w:tcPr>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right="0" w:rightChars="0"/>
              <w:jc w:val="center"/>
              <w:textAlignment w:val="auto"/>
              <w:rPr>
                <w:rFonts w:hint="default" w:hAnsi="Times New Roman" w:cs="Times New Roman"/>
                <w:b w:val="0"/>
                <w:bCs w:val="0"/>
                <w:sz w:val="22"/>
                <w:szCs w:val="21"/>
                <w:vertAlign w:val="baseline"/>
                <w:lang w:val="en-US" w:eastAsia="zh-CN"/>
              </w:rPr>
            </w:pPr>
            <w:r>
              <w:rPr>
                <w:rFonts w:hint="eastAsia" w:cs="Times New Roman"/>
                <w:b w:val="0"/>
                <w:bCs w:val="0"/>
                <w:sz w:val="22"/>
                <w:szCs w:val="21"/>
                <w:vertAlign w:val="baseline"/>
                <w:lang w:val="en-US" w:eastAsia="zh-CN"/>
              </w:rPr>
              <w:t>吴社莲</w:t>
            </w:r>
          </w:p>
        </w:tc>
        <w:tc>
          <w:tcPr>
            <w:tcW w:w="3770" w:type="dxa"/>
          </w:tcPr>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right="0" w:rightChars="0"/>
              <w:jc w:val="center"/>
              <w:textAlignment w:val="auto"/>
              <w:rPr>
                <w:rFonts w:hint="eastAsia" w:hAnsi="Times New Roman" w:cs="Times New Roman"/>
                <w:b w:val="0"/>
                <w:bCs w:val="0"/>
                <w:sz w:val="22"/>
                <w:szCs w:val="21"/>
                <w:vertAlign w:val="baseline"/>
                <w:lang w:val="en-US" w:eastAsia="zh-CN"/>
              </w:rPr>
            </w:pPr>
            <w:r>
              <w:rPr>
                <w:rFonts w:hint="eastAsia" w:cs="Times New Roman"/>
                <w:b w:val="0"/>
                <w:bCs w:val="0"/>
                <w:sz w:val="22"/>
                <w:szCs w:val="21"/>
                <w:vertAlign w:val="baseline"/>
                <w:lang w:val="en-US" w:eastAsia="zh-CN"/>
              </w:rPr>
              <w:t>湖南省产商品评审中心</w:t>
            </w:r>
          </w:p>
        </w:tc>
        <w:tc>
          <w:tcPr>
            <w:tcW w:w="1345" w:type="dxa"/>
          </w:tcPr>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right="0" w:rightChars="0"/>
              <w:jc w:val="center"/>
              <w:textAlignment w:val="auto"/>
              <w:rPr>
                <w:rFonts w:hint="default" w:hAnsi="Times New Roman" w:cs="Times New Roman"/>
                <w:b w:val="0"/>
                <w:bCs w:val="0"/>
                <w:sz w:val="22"/>
                <w:szCs w:val="21"/>
                <w:vertAlign w:val="baseline"/>
                <w:lang w:val="en-US" w:eastAsia="zh-CN"/>
              </w:rPr>
            </w:pPr>
            <w:r>
              <w:rPr>
                <w:rFonts w:hint="eastAsia" w:cs="Times New Roman"/>
                <w:b w:val="0"/>
                <w:bCs w:val="0"/>
                <w:sz w:val="22"/>
                <w:szCs w:val="21"/>
                <w:vertAlign w:val="baseline"/>
                <w:lang w:val="en-US" w:eastAsia="zh-CN"/>
              </w:rPr>
              <w:t>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677" w:type="dxa"/>
          </w:tcPr>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right="0" w:rightChars="0"/>
              <w:jc w:val="center"/>
              <w:textAlignment w:val="auto"/>
              <w:rPr>
                <w:rFonts w:hint="default" w:hAnsi="Times New Roman" w:cs="Times New Roman"/>
                <w:b w:val="0"/>
                <w:bCs w:val="0"/>
                <w:sz w:val="22"/>
                <w:szCs w:val="21"/>
                <w:vertAlign w:val="baseline"/>
                <w:lang w:val="en-US" w:eastAsia="zh-CN"/>
              </w:rPr>
            </w:pPr>
            <w:r>
              <w:rPr>
                <w:rFonts w:hint="eastAsia" w:cs="Times New Roman"/>
                <w:b w:val="0"/>
                <w:bCs w:val="0"/>
                <w:sz w:val="22"/>
                <w:szCs w:val="21"/>
                <w:vertAlign w:val="baseline"/>
                <w:lang w:val="en-US" w:eastAsia="zh-CN"/>
              </w:rPr>
              <w:t>曾贤明</w:t>
            </w:r>
          </w:p>
        </w:tc>
        <w:tc>
          <w:tcPr>
            <w:tcW w:w="3770" w:type="dxa"/>
          </w:tcPr>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right="0" w:rightChars="0"/>
              <w:jc w:val="center"/>
              <w:textAlignment w:val="auto"/>
              <w:rPr>
                <w:rFonts w:hint="eastAsia" w:hAnsi="Times New Roman" w:cs="Times New Roman"/>
                <w:b w:val="0"/>
                <w:bCs w:val="0"/>
                <w:sz w:val="22"/>
                <w:szCs w:val="21"/>
                <w:vertAlign w:val="baseline"/>
                <w:lang w:val="en-US" w:eastAsia="zh-CN"/>
              </w:rPr>
            </w:pPr>
            <w:r>
              <w:rPr>
                <w:rFonts w:hint="eastAsia" w:cs="Times New Roman"/>
                <w:b w:val="0"/>
                <w:bCs w:val="0"/>
                <w:sz w:val="22"/>
                <w:szCs w:val="21"/>
                <w:vertAlign w:val="baseline"/>
                <w:lang w:val="en-US" w:eastAsia="zh-CN"/>
              </w:rPr>
              <w:t>湖南省产商品评审中心</w:t>
            </w:r>
          </w:p>
        </w:tc>
        <w:tc>
          <w:tcPr>
            <w:tcW w:w="1345" w:type="dxa"/>
          </w:tcPr>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right="0" w:rightChars="0"/>
              <w:jc w:val="center"/>
              <w:textAlignment w:val="auto"/>
              <w:rPr>
                <w:rFonts w:hint="default" w:hAnsi="Times New Roman" w:cs="Times New Roman"/>
                <w:b w:val="0"/>
                <w:bCs w:val="0"/>
                <w:sz w:val="22"/>
                <w:szCs w:val="21"/>
                <w:vertAlign w:val="baseline"/>
                <w:lang w:val="en-US" w:eastAsia="zh-CN"/>
              </w:rPr>
            </w:pPr>
            <w:r>
              <w:rPr>
                <w:rFonts w:hint="eastAsia" w:cs="Times New Roman"/>
                <w:b w:val="0"/>
                <w:bCs w:val="0"/>
                <w:sz w:val="22"/>
                <w:szCs w:val="21"/>
                <w:vertAlign w:val="baseline"/>
                <w:lang w:val="en-US" w:eastAsia="zh-CN"/>
              </w:rPr>
              <w:t>副主任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677" w:type="dxa"/>
          </w:tcPr>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right="0" w:rightChars="0"/>
              <w:jc w:val="center"/>
              <w:textAlignment w:val="auto"/>
              <w:rPr>
                <w:rFonts w:hint="default" w:hAnsi="Times New Roman" w:cs="Times New Roman"/>
                <w:b w:val="0"/>
                <w:bCs w:val="0"/>
                <w:sz w:val="22"/>
                <w:szCs w:val="21"/>
                <w:vertAlign w:val="baseline"/>
                <w:lang w:val="en-US" w:eastAsia="zh-CN"/>
              </w:rPr>
            </w:pPr>
            <w:r>
              <w:rPr>
                <w:rFonts w:hint="eastAsia" w:cs="Times New Roman"/>
                <w:b w:val="0"/>
                <w:bCs w:val="0"/>
                <w:sz w:val="22"/>
                <w:szCs w:val="21"/>
                <w:vertAlign w:val="baseline"/>
                <w:lang w:val="en-US" w:eastAsia="zh-CN"/>
              </w:rPr>
              <w:t>陈景军</w:t>
            </w:r>
          </w:p>
        </w:tc>
        <w:tc>
          <w:tcPr>
            <w:tcW w:w="3770" w:type="dxa"/>
          </w:tcPr>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right="0" w:rightChars="0"/>
              <w:jc w:val="center"/>
              <w:textAlignment w:val="auto"/>
              <w:rPr>
                <w:rFonts w:hint="eastAsia" w:hAnsi="Times New Roman" w:cs="Times New Roman"/>
                <w:b w:val="0"/>
                <w:bCs w:val="0"/>
                <w:sz w:val="22"/>
                <w:szCs w:val="21"/>
                <w:vertAlign w:val="baseline"/>
                <w:lang w:val="en-US" w:eastAsia="zh-CN"/>
              </w:rPr>
            </w:pPr>
            <w:r>
              <w:rPr>
                <w:rFonts w:hint="eastAsia" w:cs="Times New Roman"/>
                <w:b w:val="0"/>
                <w:bCs w:val="0"/>
                <w:sz w:val="22"/>
                <w:szCs w:val="21"/>
                <w:vertAlign w:val="baseline"/>
                <w:lang w:val="en-US" w:eastAsia="zh-CN"/>
              </w:rPr>
              <w:t>湖南省产商品评审中心</w:t>
            </w:r>
          </w:p>
        </w:tc>
        <w:tc>
          <w:tcPr>
            <w:tcW w:w="1345" w:type="dxa"/>
          </w:tcPr>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right="0" w:rightChars="0"/>
              <w:jc w:val="center"/>
              <w:textAlignment w:val="auto"/>
              <w:rPr>
                <w:rFonts w:hint="default" w:hAnsi="Times New Roman" w:cs="Times New Roman"/>
                <w:b w:val="0"/>
                <w:bCs w:val="0"/>
                <w:sz w:val="22"/>
                <w:szCs w:val="21"/>
                <w:vertAlign w:val="baseline"/>
                <w:lang w:val="en-US" w:eastAsia="zh-CN"/>
              </w:rPr>
            </w:pPr>
            <w:r>
              <w:rPr>
                <w:rFonts w:hint="eastAsia" w:cs="Times New Roman"/>
                <w:b w:val="0"/>
                <w:bCs w:val="0"/>
                <w:sz w:val="22"/>
                <w:szCs w:val="21"/>
                <w:vertAlign w:val="baseline"/>
                <w:lang w:val="en-US" w:eastAsia="zh-CN"/>
              </w:rPr>
              <w:t>副主任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677" w:type="dxa"/>
          </w:tcPr>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right="0" w:rightChars="0"/>
              <w:jc w:val="center"/>
              <w:textAlignment w:val="auto"/>
              <w:rPr>
                <w:rFonts w:hint="default" w:hAnsi="Times New Roman" w:cs="Times New Roman"/>
                <w:b w:val="0"/>
                <w:bCs w:val="0"/>
                <w:sz w:val="22"/>
                <w:szCs w:val="21"/>
                <w:vertAlign w:val="baseline"/>
                <w:lang w:val="en-US" w:eastAsia="zh-CN"/>
              </w:rPr>
            </w:pPr>
            <w:r>
              <w:rPr>
                <w:rFonts w:hint="eastAsia" w:cs="Times New Roman"/>
                <w:b w:val="0"/>
                <w:bCs w:val="0"/>
                <w:sz w:val="22"/>
                <w:szCs w:val="21"/>
                <w:vertAlign w:val="baseline"/>
                <w:lang w:val="en-US" w:eastAsia="zh-CN"/>
              </w:rPr>
              <w:t>黄静兵</w:t>
            </w:r>
          </w:p>
        </w:tc>
        <w:tc>
          <w:tcPr>
            <w:tcW w:w="3770" w:type="dxa"/>
          </w:tcPr>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right="0" w:rightChars="0"/>
              <w:jc w:val="center"/>
              <w:textAlignment w:val="auto"/>
              <w:rPr>
                <w:rFonts w:hint="eastAsia" w:hAnsi="Times New Roman" w:cs="Times New Roman"/>
                <w:b w:val="0"/>
                <w:bCs w:val="0"/>
                <w:sz w:val="22"/>
                <w:szCs w:val="21"/>
                <w:vertAlign w:val="baseline"/>
                <w:lang w:val="en-US" w:eastAsia="zh-CN"/>
              </w:rPr>
            </w:pPr>
            <w:r>
              <w:rPr>
                <w:rFonts w:hint="eastAsia" w:cs="Times New Roman"/>
                <w:b w:val="0"/>
                <w:bCs w:val="0"/>
                <w:sz w:val="22"/>
                <w:szCs w:val="21"/>
                <w:vertAlign w:val="baseline"/>
                <w:lang w:val="en-US" w:eastAsia="zh-CN"/>
              </w:rPr>
              <w:t>湖南省产商品评审中心</w:t>
            </w:r>
          </w:p>
        </w:tc>
        <w:tc>
          <w:tcPr>
            <w:tcW w:w="1345" w:type="dxa"/>
          </w:tcPr>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right="0" w:rightChars="0"/>
              <w:jc w:val="center"/>
              <w:textAlignment w:val="auto"/>
              <w:rPr>
                <w:rFonts w:hint="eastAsia" w:hAnsi="Times New Roman" w:cs="Times New Roman"/>
                <w:b w:val="0"/>
                <w:bCs w:val="0"/>
                <w:sz w:val="22"/>
                <w:szCs w:val="21"/>
                <w:vertAlign w:val="baseline"/>
                <w:lang w:val="en-US" w:eastAsia="zh-CN"/>
              </w:rPr>
            </w:pPr>
            <w:r>
              <w:rPr>
                <w:rFonts w:hint="eastAsia" w:cs="Times New Roman"/>
                <w:b w:val="0"/>
                <w:bCs w:val="0"/>
                <w:sz w:val="22"/>
                <w:szCs w:val="21"/>
                <w:vertAlign w:val="baseline"/>
                <w:lang w:val="en-US" w:eastAsia="zh-CN"/>
              </w:rPr>
              <w:t>部长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677" w:type="dxa"/>
          </w:tcPr>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right="0" w:rightChars="0"/>
              <w:jc w:val="center"/>
              <w:textAlignment w:val="auto"/>
              <w:rPr>
                <w:rFonts w:hint="default" w:hAnsi="Times New Roman" w:cs="Times New Roman"/>
                <w:b w:val="0"/>
                <w:bCs w:val="0"/>
                <w:sz w:val="22"/>
                <w:szCs w:val="21"/>
                <w:vertAlign w:val="baseline"/>
                <w:lang w:val="en-US" w:eastAsia="zh-CN"/>
              </w:rPr>
            </w:pPr>
            <w:r>
              <w:rPr>
                <w:rFonts w:hint="eastAsia" w:cs="Times New Roman"/>
                <w:b w:val="0"/>
                <w:bCs w:val="0"/>
                <w:sz w:val="22"/>
                <w:szCs w:val="21"/>
                <w:vertAlign w:val="baseline"/>
                <w:lang w:val="en-US" w:eastAsia="zh-CN"/>
              </w:rPr>
              <w:t>廖标</w:t>
            </w:r>
          </w:p>
        </w:tc>
        <w:tc>
          <w:tcPr>
            <w:tcW w:w="3770" w:type="dxa"/>
          </w:tcPr>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right="0" w:rightChars="0"/>
              <w:jc w:val="center"/>
              <w:textAlignment w:val="auto"/>
              <w:rPr>
                <w:rFonts w:hint="eastAsia" w:hAnsi="Times New Roman" w:cs="Times New Roman"/>
                <w:b w:val="0"/>
                <w:bCs w:val="0"/>
                <w:sz w:val="22"/>
                <w:szCs w:val="21"/>
                <w:vertAlign w:val="baseline"/>
                <w:lang w:val="en-US" w:eastAsia="zh-CN"/>
              </w:rPr>
            </w:pPr>
            <w:r>
              <w:rPr>
                <w:rFonts w:hint="eastAsia" w:cs="Times New Roman"/>
                <w:b w:val="0"/>
                <w:bCs w:val="0"/>
                <w:sz w:val="22"/>
                <w:szCs w:val="21"/>
                <w:vertAlign w:val="baseline"/>
                <w:lang w:val="en-US" w:eastAsia="zh-CN"/>
              </w:rPr>
              <w:t>湖南省产商品评审中心</w:t>
            </w:r>
          </w:p>
        </w:tc>
        <w:tc>
          <w:tcPr>
            <w:tcW w:w="1345" w:type="dxa"/>
          </w:tcPr>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right="0" w:rightChars="0"/>
              <w:jc w:val="center"/>
              <w:textAlignment w:val="auto"/>
              <w:rPr>
                <w:rFonts w:hint="eastAsia" w:hAnsi="Times New Roman" w:cs="Times New Roman"/>
                <w:b w:val="0"/>
                <w:bCs w:val="0"/>
                <w:sz w:val="22"/>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677" w:type="dxa"/>
          </w:tcPr>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right="0" w:rightChars="0"/>
              <w:jc w:val="center"/>
              <w:textAlignment w:val="auto"/>
              <w:rPr>
                <w:rFonts w:hint="default" w:cs="Times New Roman"/>
                <w:b w:val="0"/>
                <w:bCs w:val="0"/>
                <w:sz w:val="22"/>
                <w:szCs w:val="21"/>
                <w:vertAlign w:val="baseline"/>
                <w:lang w:val="en-US" w:eastAsia="zh-CN"/>
              </w:rPr>
            </w:pPr>
            <w:r>
              <w:rPr>
                <w:rFonts w:hint="eastAsia" w:cs="Times New Roman"/>
                <w:b w:val="0"/>
                <w:bCs w:val="0"/>
                <w:sz w:val="22"/>
                <w:szCs w:val="21"/>
                <w:vertAlign w:val="baseline"/>
                <w:lang w:val="en-US" w:eastAsia="zh-CN"/>
              </w:rPr>
              <w:t>李成立</w:t>
            </w:r>
          </w:p>
        </w:tc>
        <w:tc>
          <w:tcPr>
            <w:tcW w:w="3770" w:type="dxa"/>
          </w:tcPr>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right="0" w:rightChars="0"/>
              <w:jc w:val="center"/>
              <w:textAlignment w:val="auto"/>
              <w:rPr>
                <w:rFonts w:hint="eastAsia" w:cs="Times New Roman"/>
                <w:b w:val="0"/>
                <w:bCs w:val="0"/>
                <w:sz w:val="22"/>
                <w:szCs w:val="21"/>
                <w:vertAlign w:val="baseline"/>
                <w:lang w:val="en-US" w:eastAsia="zh-CN"/>
              </w:rPr>
            </w:pPr>
            <w:r>
              <w:rPr>
                <w:rFonts w:hint="eastAsia" w:cs="Times New Roman"/>
                <w:b w:val="0"/>
                <w:bCs w:val="0"/>
                <w:sz w:val="22"/>
                <w:szCs w:val="21"/>
                <w:vertAlign w:val="baseline"/>
                <w:lang w:val="en-US" w:eastAsia="zh-CN"/>
              </w:rPr>
              <w:t>湖南省产商品评审中心</w:t>
            </w:r>
          </w:p>
        </w:tc>
        <w:tc>
          <w:tcPr>
            <w:tcW w:w="1345" w:type="dxa"/>
          </w:tcPr>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right="0" w:rightChars="0"/>
              <w:jc w:val="center"/>
              <w:textAlignment w:val="auto"/>
              <w:rPr>
                <w:rFonts w:hint="default" w:hAnsi="Times New Roman" w:cs="Times New Roman"/>
                <w:b w:val="0"/>
                <w:bCs w:val="0"/>
                <w:sz w:val="22"/>
                <w:szCs w:val="21"/>
                <w:vertAlign w:val="baseline"/>
                <w:lang w:val="en-US" w:eastAsia="zh-CN"/>
              </w:rPr>
            </w:pPr>
            <w:r>
              <w:rPr>
                <w:rFonts w:hint="eastAsia" w:cs="Times New Roman"/>
                <w:b w:val="0"/>
                <w:bCs w:val="0"/>
                <w:sz w:val="22"/>
                <w:szCs w:val="21"/>
                <w:vertAlign w:val="baseline"/>
                <w:lang w:val="en-US" w:eastAsia="zh-CN"/>
              </w:rPr>
              <w:t>副部长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677" w:type="dxa"/>
          </w:tcPr>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right="0" w:rightChars="0"/>
              <w:jc w:val="center"/>
              <w:textAlignment w:val="auto"/>
              <w:rPr>
                <w:rFonts w:hint="default" w:cs="Times New Roman"/>
                <w:b w:val="0"/>
                <w:bCs w:val="0"/>
                <w:sz w:val="22"/>
                <w:szCs w:val="21"/>
                <w:vertAlign w:val="baseline"/>
                <w:lang w:val="en-US" w:eastAsia="zh-CN"/>
              </w:rPr>
            </w:pPr>
            <w:r>
              <w:rPr>
                <w:rFonts w:hint="eastAsia" w:cs="Times New Roman"/>
                <w:b w:val="0"/>
                <w:bCs w:val="0"/>
                <w:sz w:val="22"/>
                <w:szCs w:val="21"/>
                <w:vertAlign w:val="baseline"/>
                <w:lang w:val="en-US" w:eastAsia="zh-CN"/>
              </w:rPr>
              <w:t>曾宪峰</w:t>
            </w:r>
          </w:p>
        </w:tc>
        <w:tc>
          <w:tcPr>
            <w:tcW w:w="3770" w:type="dxa"/>
          </w:tcPr>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right="0" w:rightChars="0"/>
              <w:jc w:val="center"/>
              <w:textAlignment w:val="auto"/>
              <w:rPr>
                <w:rFonts w:hint="default" w:cs="Times New Roman"/>
                <w:b w:val="0"/>
                <w:bCs w:val="0"/>
                <w:sz w:val="22"/>
                <w:szCs w:val="21"/>
                <w:vertAlign w:val="baseline"/>
                <w:lang w:val="en-US" w:eastAsia="zh-CN"/>
              </w:rPr>
            </w:pPr>
            <w:r>
              <w:rPr>
                <w:rFonts w:hint="eastAsia" w:cs="Times New Roman"/>
                <w:b w:val="0"/>
                <w:bCs w:val="0"/>
                <w:sz w:val="22"/>
                <w:szCs w:val="21"/>
                <w:vertAlign w:val="baseline"/>
                <w:lang w:val="en-US" w:eastAsia="zh-CN"/>
              </w:rPr>
              <w:t>湖南志成食品技术服务有限公司</w:t>
            </w:r>
          </w:p>
        </w:tc>
        <w:tc>
          <w:tcPr>
            <w:tcW w:w="1345" w:type="dxa"/>
          </w:tcPr>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right="0" w:rightChars="0"/>
              <w:jc w:val="center"/>
              <w:textAlignment w:val="auto"/>
              <w:rPr>
                <w:rFonts w:hint="default" w:cs="Times New Roman"/>
                <w:b w:val="0"/>
                <w:bCs w:val="0"/>
                <w:sz w:val="22"/>
                <w:szCs w:val="21"/>
                <w:vertAlign w:val="baseline"/>
                <w:lang w:val="en-US" w:eastAsia="zh-CN"/>
              </w:rPr>
            </w:pPr>
            <w:r>
              <w:rPr>
                <w:rFonts w:hint="eastAsia" w:cs="Times New Roman"/>
                <w:b w:val="0"/>
                <w:bCs w:val="0"/>
                <w:sz w:val="22"/>
                <w:szCs w:val="21"/>
                <w:vertAlign w:val="baseline"/>
                <w:lang w:val="en-US" w:eastAsia="zh-CN"/>
              </w:rPr>
              <w:t>总经理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677" w:type="dxa"/>
          </w:tcPr>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right="0" w:rightChars="0"/>
              <w:jc w:val="center"/>
              <w:textAlignment w:val="auto"/>
              <w:rPr>
                <w:rFonts w:hint="default" w:cs="Times New Roman"/>
                <w:b w:val="0"/>
                <w:bCs w:val="0"/>
                <w:sz w:val="22"/>
                <w:szCs w:val="21"/>
                <w:vertAlign w:val="baseline"/>
                <w:lang w:val="en-US" w:eastAsia="zh-CN"/>
              </w:rPr>
            </w:pPr>
            <w:r>
              <w:rPr>
                <w:rFonts w:hint="eastAsia" w:cs="Times New Roman"/>
                <w:b w:val="0"/>
                <w:bCs w:val="0"/>
                <w:sz w:val="22"/>
                <w:szCs w:val="21"/>
                <w:vertAlign w:val="baseline"/>
                <w:lang w:val="en-US" w:eastAsia="zh-CN"/>
              </w:rPr>
              <w:t>黄欢</w:t>
            </w:r>
          </w:p>
        </w:tc>
        <w:tc>
          <w:tcPr>
            <w:tcW w:w="3770" w:type="dxa"/>
          </w:tcPr>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right="0" w:rightChars="0"/>
              <w:jc w:val="center"/>
              <w:textAlignment w:val="auto"/>
              <w:rPr>
                <w:rFonts w:hint="eastAsia" w:cs="Times New Roman"/>
                <w:b w:val="0"/>
                <w:bCs w:val="0"/>
                <w:sz w:val="22"/>
                <w:szCs w:val="21"/>
                <w:vertAlign w:val="baseline"/>
                <w:lang w:val="en-US" w:eastAsia="zh-CN"/>
              </w:rPr>
            </w:pPr>
            <w:r>
              <w:rPr>
                <w:rFonts w:hint="eastAsia" w:cs="Times New Roman"/>
                <w:b w:val="0"/>
                <w:bCs w:val="0"/>
                <w:sz w:val="22"/>
                <w:szCs w:val="21"/>
                <w:vertAlign w:val="baseline"/>
                <w:lang w:val="en-US" w:eastAsia="zh-CN"/>
              </w:rPr>
              <w:t>湖南志成食品技术服务有限公司</w:t>
            </w:r>
          </w:p>
        </w:tc>
        <w:tc>
          <w:tcPr>
            <w:tcW w:w="1345" w:type="dxa"/>
          </w:tcPr>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right="0" w:rightChars="0"/>
              <w:jc w:val="center"/>
              <w:textAlignment w:val="auto"/>
              <w:rPr>
                <w:rFonts w:hint="default" w:cs="Times New Roman"/>
                <w:b w:val="0"/>
                <w:bCs w:val="0"/>
                <w:sz w:val="22"/>
                <w:szCs w:val="21"/>
                <w:vertAlign w:val="baseline"/>
                <w:lang w:val="en-US" w:eastAsia="zh-CN"/>
              </w:rPr>
            </w:pPr>
            <w:r>
              <w:rPr>
                <w:rFonts w:hint="eastAsia" w:cs="Times New Roman"/>
                <w:b w:val="0"/>
                <w:bCs w:val="0"/>
                <w:sz w:val="22"/>
                <w:szCs w:val="21"/>
                <w:vertAlign w:val="baseline"/>
                <w:lang w:val="en-US" w:eastAsia="zh-CN"/>
              </w:rPr>
              <w:t>技术员</w:t>
            </w:r>
            <w:bookmarkStart w:id="1" w:name="_GoBack"/>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677" w:type="dxa"/>
          </w:tcPr>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right="0" w:rightChars="0"/>
              <w:jc w:val="center"/>
              <w:textAlignment w:val="auto"/>
              <w:rPr>
                <w:rFonts w:hint="default" w:cs="Times New Roman"/>
                <w:b w:val="0"/>
                <w:bCs w:val="0"/>
                <w:sz w:val="22"/>
                <w:szCs w:val="21"/>
                <w:vertAlign w:val="baseline"/>
                <w:lang w:val="en-US" w:eastAsia="zh-CN"/>
              </w:rPr>
            </w:pPr>
            <w:r>
              <w:rPr>
                <w:rFonts w:hint="eastAsia" w:cs="Times New Roman"/>
                <w:b w:val="0"/>
                <w:bCs w:val="0"/>
                <w:sz w:val="22"/>
                <w:szCs w:val="21"/>
                <w:vertAlign w:val="baseline"/>
                <w:lang w:val="en-US" w:eastAsia="zh-CN"/>
              </w:rPr>
              <w:t>管竹芳</w:t>
            </w:r>
          </w:p>
        </w:tc>
        <w:tc>
          <w:tcPr>
            <w:tcW w:w="3770" w:type="dxa"/>
          </w:tcPr>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right="0" w:rightChars="0"/>
              <w:jc w:val="center"/>
              <w:textAlignment w:val="auto"/>
              <w:rPr>
                <w:rFonts w:hint="default" w:cs="Times New Roman"/>
                <w:b w:val="0"/>
                <w:bCs w:val="0"/>
                <w:sz w:val="22"/>
                <w:szCs w:val="21"/>
                <w:vertAlign w:val="baseline"/>
                <w:lang w:val="en-US" w:eastAsia="zh-CN"/>
              </w:rPr>
            </w:pPr>
            <w:r>
              <w:rPr>
                <w:rFonts w:hint="eastAsia" w:cs="Times New Roman"/>
                <w:b w:val="0"/>
                <w:bCs w:val="0"/>
                <w:sz w:val="22"/>
                <w:szCs w:val="21"/>
                <w:vertAlign w:val="baseline"/>
                <w:lang w:val="en-US" w:eastAsia="zh-CN"/>
              </w:rPr>
              <w:t>湖南省市场监督管理局</w:t>
            </w:r>
          </w:p>
        </w:tc>
        <w:tc>
          <w:tcPr>
            <w:tcW w:w="1345" w:type="dxa"/>
          </w:tcPr>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right="0" w:rightChars="0"/>
              <w:jc w:val="center"/>
              <w:textAlignment w:val="auto"/>
              <w:rPr>
                <w:rFonts w:hint="default" w:cs="Times New Roman"/>
                <w:b w:val="0"/>
                <w:bCs w:val="0"/>
                <w:sz w:val="22"/>
                <w:szCs w:val="21"/>
                <w:vertAlign w:val="baseline"/>
                <w:lang w:val="en-US" w:eastAsia="zh-CN"/>
              </w:rPr>
            </w:pPr>
            <w:r>
              <w:rPr>
                <w:rFonts w:hint="eastAsia" w:cs="Times New Roman"/>
                <w:b w:val="0"/>
                <w:bCs w:val="0"/>
                <w:sz w:val="22"/>
                <w:szCs w:val="21"/>
                <w:vertAlign w:val="baseline"/>
                <w:lang w:val="en-US" w:eastAsia="zh-CN"/>
              </w:rPr>
              <w:t>主任科员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677" w:type="dxa"/>
          </w:tcPr>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right="0" w:rightChars="0"/>
              <w:jc w:val="center"/>
              <w:textAlignment w:val="auto"/>
              <w:rPr>
                <w:rFonts w:hint="default" w:cs="Times New Roman"/>
                <w:b w:val="0"/>
                <w:bCs w:val="0"/>
                <w:sz w:val="22"/>
                <w:szCs w:val="21"/>
                <w:vertAlign w:val="baseline"/>
                <w:lang w:val="en-US" w:eastAsia="zh-CN"/>
              </w:rPr>
            </w:pPr>
            <w:r>
              <w:rPr>
                <w:rFonts w:hint="eastAsia" w:cs="Times New Roman"/>
                <w:b w:val="0"/>
                <w:bCs w:val="0"/>
                <w:sz w:val="22"/>
                <w:szCs w:val="21"/>
                <w:vertAlign w:val="baseline"/>
                <w:lang w:val="en-US" w:eastAsia="zh-CN"/>
              </w:rPr>
              <w:t>李茂</w:t>
            </w:r>
          </w:p>
        </w:tc>
        <w:tc>
          <w:tcPr>
            <w:tcW w:w="3770" w:type="dxa"/>
          </w:tcPr>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right="0" w:rightChars="0"/>
              <w:jc w:val="center"/>
              <w:textAlignment w:val="auto"/>
              <w:rPr>
                <w:rFonts w:hint="eastAsia" w:cs="Times New Roman"/>
                <w:b w:val="0"/>
                <w:bCs w:val="0"/>
                <w:sz w:val="22"/>
                <w:szCs w:val="21"/>
                <w:vertAlign w:val="baseline"/>
                <w:lang w:val="en-US" w:eastAsia="zh-CN"/>
              </w:rPr>
            </w:pPr>
            <w:r>
              <w:rPr>
                <w:rFonts w:hint="eastAsia"/>
              </w:rPr>
              <w:t>长沙市食品药品信息与审评认证中心</w:t>
            </w:r>
          </w:p>
        </w:tc>
        <w:tc>
          <w:tcPr>
            <w:tcW w:w="1345" w:type="dxa"/>
          </w:tcPr>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right="0" w:rightChars="0"/>
              <w:jc w:val="center"/>
              <w:textAlignment w:val="auto"/>
              <w:rPr>
                <w:rFonts w:hint="default" w:cs="Times New Roman"/>
                <w:b w:val="0"/>
                <w:bCs w:val="0"/>
                <w:sz w:val="22"/>
                <w:szCs w:val="21"/>
                <w:vertAlign w:val="baseline"/>
                <w:lang w:val="en-US" w:eastAsia="zh-CN"/>
              </w:rPr>
            </w:pPr>
            <w:r>
              <w:rPr>
                <w:rFonts w:hint="eastAsia" w:cs="Times New Roman"/>
                <w:b w:val="0"/>
                <w:bCs w:val="0"/>
                <w:sz w:val="22"/>
                <w:szCs w:val="21"/>
                <w:vertAlign w:val="baseline"/>
                <w:lang w:val="en-US" w:eastAsia="zh-CN"/>
              </w:rPr>
              <w:t>主任</w:t>
            </w:r>
          </w:p>
        </w:tc>
      </w:tr>
    </w:tbl>
    <w:p>
      <w:pPr>
        <w:pStyle w:val="62"/>
        <w:keepNext w:val="0"/>
        <w:keepLines w:val="0"/>
        <w:pageBreakBefore w:val="0"/>
        <w:widowControl/>
        <w:numPr>
          <w:ilvl w:val="0"/>
          <w:numId w:val="10"/>
        </w:numPr>
        <w:kinsoku/>
        <w:wordWrap/>
        <w:overflowPunct/>
        <w:topLinePunct w:val="0"/>
        <w:autoSpaceDE w:val="0"/>
        <w:autoSpaceDN w:val="0"/>
        <w:bidi w:val="0"/>
        <w:adjustRightInd/>
        <w:snapToGrid/>
        <w:spacing w:line="360" w:lineRule="auto"/>
        <w:ind w:left="0" w:leftChars="0" w:right="0" w:rightChars="0" w:firstLine="420" w:firstLineChars="0"/>
        <w:textAlignment w:val="auto"/>
        <w:rPr>
          <w:rFonts w:hint="eastAsia" w:hAnsi="Times New Roman" w:cs="Times New Roman"/>
          <w:b w:val="0"/>
          <w:bCs w:val="0"/>
          <w:sz w:val="24"/>
          <w:szCs w:val="22"/>
          <w:lang w:val="en-US" w:eastAsia="zh-CN"/>
        </w:rPr>
      </w:pPr>
      <w:r>
        <w:rPr>
          <w:rFonts w:hint="eastAsia" w:cs="Times New Roman"/>
          <w:b w:val="0"/>
          <w:bCs w:val="0"/>
          <w:sz w:val="24"/>
          <w:szCs w:val="22"/>
          <w:lang w:val="en-US" w:eastAsia="zh-CN"/>
        </w:rPr>
        <w:t>简要起草过程</w:t>
      </w:r>
    </w:p>
    <w:p>
      <w:pPr>
        <w:keepNext w:val="0"/>
        <w:keepLines w:val="0"/>
        <w:pageBreakBefore w:val="0"/>
        <w:numPr>
          <w:ilvl w:val="0"/>
          <w:numId w:val="0"/>
        </w:numPr>
        <w:kinsoku/>
        <w:wordWrap/>
        <w:overflowPunct/>
        <w:topLinePunct w:val="0"/>
        <w:bidi w:val="0"/>
        <w:adjustRightInd/>
        <w:snapToGrid/>
        <w:spacing w:line="360" w:lineRule="auto"/>
        <w:ind w:firstLine="480" w:firstLineChars="200"/>
        <w:textAlignment w:val="auto"/>
        <w:rPr>
          <w:rFonts w:hint="eastAsia"/>
          <w:sz w:val="24"/>
        </w:rPr>
      </w:pPr>
      <w:r>
        <w:rPr>
          <w:rFonts w:hint="eastAsia"/>
          <w:sz w:val="24"/>
        </w:rPr>
        <w:t>标准立项文件下达后，标准起草组就</w:t>
      </w:r>
      <w:r>
        <w:rPr>
          <w:rFonts w:hint="eastAsia"/>
          <w:b w:val="0"/>
          <w:bCs w:val="0"/>
          <w:sz w:val="24"/>
        </w:rPr>
        <w:t>《</w:t>
      </w:r>
      <w:r>
        <w:rPr>
          <w:rFonts w:hint="eastAsia"/>
          <w:b w:val="0"/>
          <w:bCs w:val="0"/>
          <w:sz w:val="24"/>
          <w:lang w:val="en-US" w:eastAsia="zh-CN"/>
        </w:rPr>
        <w:t>农贸市场食品经营管理规范</w:t>
      </w:r>
      <w:r>
        <w:rPr>
          <w:rFonts w:hint="eastAsia"/>
          <w:b w:val="0"/>
          <w:bCs w:val="0"/>
          <w:sz w:val="24"/>
        </w:rPr>
        <w:t>》</w:t>
      </w:r>
      <w:r>
        <w:rPr>
          <w:rFonts w:hint="eastAsia"/>
          <w:sz w:val="24"/>
        </w:rPr>
        <w:t>的起草工作进行了认真研究，制定了总体工作方案，启动了标准的制定工作。</w:t>
      </w:r>
      <w:r>
        <w:rPr>
          <w:rFonts w:hint="eastAsia"/>
          <w:sz w:val="24"/>
          <w:lang w:val="en-US" w:eastAsia="zh-CN"/>
        </w:rPr>
        <w:t>起草组于2023年</w:t>
      </w:r>
      <w:r>
        <w:rPr>
          <w:rFonts w:hint="eastAsia"/>
          <w:color w:val="auto"/>
          <w:sz w:val="24"/>
          <w:lang w:val="en-US" w:eastAsia="zh-CN"/>
        </w:rPr>
        <w:t>6月2日至6月8日前往长沙、株洲和湘潭</w:t>
      </w:r>
      <w:r>
        <w:rPr>
          <w:rFonts w:hint="eastAsia"/>
          <w:sz w:val="24"/>
          <w:lang w:val="en-US" w:eastAsia="zh-CN"/>
        </w:rPr>
        <w:t>进行实地调研，在</w:t>
      </w:r>
      <w:r>
        <w:rPr>
          <w:rFonts w:hint="eastAsia"/>
          <w:sz w:val="24"/>
        </w:rPr>
        <w:t>搜集相关标准资料的基础上，确定了</w:t>
      </w:r>
      <w:r>
        <w:rPr>
          <w:rFonts w:hint="eastAsia"/>
          <w:sz w:val="24"/>
          <w:lang w:val="en-US" w:eastAsia="zh-CN"/>
        </w:rPr>
        <w:t>标准结构、场所要求、经营设施设备要求、经营管理要求</w:t>
      </w:r>
      <w:r>
        <w:rPr>
          <w:rFonts w:hint="eastAsia"/>
          <w:sz w:val="24"/>
        </w:rPr>
        <w:t>等</w:t>
      </w:r>
      <w:r>
        <w:rPr>
          <w:rFonts w:hint="eastAsia"/>
          <w:sz w:val="24"/>
          <w:lang w:val="en-US" w:eastAsia="zh-CN"/>
        </w:rPr>
        <w:t>要求</w:t>
      </w:r>
      <w:r>
        <w:rPr>
          <w:rFonts w:hint="eastAsia"/>
          <w:sz w:val="24"/>
        </w:rPr>
        <w:t>。起草组多次组织召开会议，与</w:t>
      </w:r>
      <w:r>
        <w:rPr>
          <w:rFonts w:hint="eastAsia" w:cs="Times New Roman"/>
          <w:sz w:val="24"/>
          <w:szCs w:val="22"/>
          <w:lang w:val="en-US" w:eastAsia="zh-CN"/>
        </w:rPr>
        <w:t>有关技术和标准化工作人员</w:t>
      </w:r>
      <w:r>
        <w:rPr>
          <w:rFonts w:hint="eastAsia"/>
          <w:sz w:val="24"/>
        </w:rPr>
        <w:t>进行了交流研究讨论标准起草工作事宜并对标准内容逐条进行了讨论，</w:t>
      </w:r>
      <w:r>
        <w:rPr>
          <w:rFonts w:hint="eastAsia" w:cs="Times New Roman"/>
          <w:sz w:val="24"/>
          <w:szCs w:val="22"/>
          <w:lang w:val="en-US" w:eastAsia="zh-CN"/>
        </w:rPr>
        <w:t>于2023年6月27日</w:t>
      </w:r>
      <w:r>
        <w:rPr>
          <w:rFonts w:hint="eastAsia"/>
          <w:sz w:val="24"/>
        </w:rPr>
        <w:t>形成了</w:t>
      </w:r>
      <w:bookmarkStart w:id="0" w:name="_Hlk31578310"/>
      <w:r>
        <w:rPr>
          <w:rFonts w:hint="eastAsia"/>
          <w:b w:val="0"/>
          <w:bCs w:val="0"/>
          <w:sz w:val="24"/>
        </w:rPr>
        <w:t>《</w:t>
      </w:r>
      <w:r>
        <w:rPr>
          <w:rFonts w:hint="eastAsia"/>
          <w:b w:val="0"/>
          <w:bCs w:val="0"/>
          <w:sz w:val="24"/>
          <w:lang w:val="en-US" w:eastAsia="zh-CN"/>
        </w:rPr>
        <w:t>农贸市场食品经营管理规范</w:t>
      </w:r>
      <w:r>
        <w:rPr>
          <w:rFonts w:hint="eastAsia"/>
          <w:b w:val="0"/>
          <w:bCs w:val="0"/>
          <w:sz w:val="24"/>
        </w:rPr>
        <w:t>》</w:t>
      </w:r>
      <w:r>
        <w:rPr>
          <w:rFonts w:hint="eastAsia"/>
          <w:sz w:val="24"/>
        </w:rPr>
        <w:t>（</w:t>
      </w:r>
      <w:r>
        <w:rPr>
          <w:rFonts w:hint="eastAsia"/>
          <w:sz w:val="24"/>
          <w:lang w:val="en-US" w:eastAsia="zh-CN"/>
        </w:rPr>
        <w:t>征求意见</w:t>
      </w:r>
      <w:r>
        <w:rPr>
          <w:rFonts w:hint="eastAsia"/>
          <w:sz w:val="24"/>
        </w:rPr>
        <w:t>稿）</w:t>
      </w:r>
      <w:bookmarkEnd w:id="0"/>
      <w:r>
        <w:rPr>
          <w:rFonts w:hint="eastAsia"/>
          <w:sz w:val="24"/>
        </w:rPr>
        <w:t>。</w:t>
      </w:r>
    </w:p>
    <w:p>
      <w:pPr>
        <w:pStyle w:val="62"/>
        <w:keepNext w:val="0"/>
        <w:keepLines w:val="0"/>
        <w:pageBreakBefore w:val="0"/>
        <w:widowControl/>
        <w:numPr>
          <w:ilvl w:val="0"/>
          <w:numId w:val="8"/>
        </w:numPr>
        <w:kinsoku/>
        <w:wordWrap/>
        <w:overflowPunct/>
        <w:topLinePunct w:val="0"/>
        <w:autoSpaceDE w:val="0"/>
        <w:autoSpaceDN w:val="0"/>
        <w:bidi w:val="0"/>
        <w:adjustRightInd/>
        <w:snapToGrid/>
        <w:spacing w:line="360" w:lineRule="auto"/>
        <w:ind w:left="0" w:leftChars="0" w:firstLine="420" w:firstLineChars="0"/>
        <w:textAlignment w:val="auto"/>
        <w:rPr>
          <w:rFonts w:hint="eastAsia" w:hAnsi="Times New Roman" w:cs="Times New Roman"/>
          <w:b/>
          <w:bCs/>
          <w:sz w:val="24"/>
          <w:szCs w:val="22"/>
          <w:lang w:val="en-US" w:eastAsia="zh-CN"/>
        </w:rPr>
      </w:pPr>
      <w:r>
        <w:rPr>
          <w:rFonts w:hint="eastAsia" w:cs="Times New Roman"/>
          <w:b/>
          <w:bCs/>
          <w:sz w:val="24"/>
          <w:szCs w:val="22"/>
          <w:lang w:val="en-US" w:eastAsia="zh-CN"/>
        </w:rPr>
        <w:t>标准的结构及主要制定情况</w:t>
      </w:r>
    </w:p>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left="0" w:leftChars="0" w:right="0" w:rightChars="0" w:firstLine="480" w:firstLineChars="200"/>
        <w:textAlignment w:val="auto"/>
        <w:rPr>
          <w:rFonts w:hint="eastAsia" w:cs="Times New Roman"/>
          <w:sz w:val="24"/>
          <w:szCs w:val="22"/>
          <w:lang w:val="en-US" w:eastAsia="zh-CN"/>
        </w:rPr>
      </w:pPr>
      <w:r>
        <w:rPr>
          <w:rFonts w:hint="eastAsia" w:cs="Times New Roman"/>
          <w:sz w:val="24"/>
          <w:szCs w:val="22"/>
          <w:lang w:val="en-US" w:eastAsia="zh-CN"/>
        </w:rPr>
        <w:t>本标准根据《标准化工作导则 第一部分：标准化文件的结构和起草规则》（GB/T 1.1-2020）提出。标准结构依据</w:t>
      </w:r>
      <w:r>
        <w:rPr>
          <w:rFonts w:hint="eastAsia"/>
          <w:sz w:val="24"/>
          <w:lang w:val="en-US" w:eastAsia="zh-CN"/>
        </w:rPr>
        <w:t>《农贸市场管理技术规范》（GB/T 21720-2022）</w:t>
      </w:r>
      <w:r>
        <w:rPr>
          <w:rFonts w:hint="eastAsia" w:cs="Times New Roman"/>
          <w:sz w:val="24"/>
          <w:szCs w:val="22"/>
          <w:lang w:val="en-US" w:eastAsia="zh-CN"/>
        </w:rPr>
        <w:t>分为范围、规范性引用文件、术语和定义、经营环境要求、经营设施设备要求、经营管理要求共6章，标准层次清晰、结构合理。</w:t>
      </w:r>
    </w:p>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left="0" w:leftChars="0" w:right="0" w:rightChars="0" w:firstLine="480" w:firstLineChars="200"/>
        <w:textAlignment w:val="auto"/>
        <w:rPr>
          <w:rFonts w:hint="default" w:cs="Times New Roman"/>
          <w:sz w:val="24"/>
          <w:szCs w:val="22"/>
          <w:lang w:val="en-US" w:eastAsia="zh-CN"/>
        </w:rPr>
      </w:pPr>
      <w:r>
        <w:rPr>
          <w:rFonts w:hint="eastAsia" w:cs="Times New Roman"/>
          <w:sz w:val="24"/>
          <w:szCs w:val="22"/>
          <w:lang w:val="en-US" w:eastAsia="zh-CN"/>
        </w:rPr>
        <w:t>各章节条款编制说明如下：</w:t>
      </w:r>
    </w:p>
    <w:p>
      <w:pPr>
        <w:pStyle w:val="62"/>
        <w:keepNext w:val="0"/>
        <w:keepLines w:val="0"/>
        <w:pageBreakBefore w:val="0"/>
        <w:widowControl/>
        <w:numPr>
          <w:ilvl w:val="0"/>
          <w:numId w:val="12"/>
        </w:numPr>
        <w:kinsoku/>
        <w:wordWrap/>
        <w:overflowPunct/>
        <w:topLinePunct w:val="0"/>
        <w:autoSpaceDE w:val="0"/>
        <w:autoSpaceDN w:val="0"/>
        <w:bidi w:val="0"/>
        <w:adjustRightInd/>
        <w:snapToGrid/>
        <w:spacing w:line="360" w:lineRule="auto"/>
        <w:ind w:left="0" w:leftChars="0" w:right="0" w:rightChars="0" w:firstLine="480" w:firstLineChars="200"/>
        <w:textAlignment w:val="auto"/>
        <w:rPr>
          <w:rFonts w:hint="eastAsia" w:cs="Times New Roman"/>
          <w:b w:val="0"/>
          <w:bCs w:val="0"/>
          <w:sz w:val="24"/>
          <w:szCs w:val="22"/>
          <w:lang w:val="en-US" w:eastAsia="zh-CN"/>
        </w:rPr>
      </w:pPr>
      <w:r>
        <w:rPr>
          <w:rFonts w:hint="eastAsia" w:cs="Times New Roman"/>
          <w:b w:val="0"/>
          <w:bCs w:val="0"/>
          <w:sz w:val="24"/>
          <w:szCs w:val="22"/>
          <w:lang w:val="en-US" w:eastAsia="zh-CN"/>
        </w:rPr>
        <w:t>范围</w:t>
      </w:r>
    </w:p>
    <w:p>
      <w:pPr>
        <w:pStyle w:val="12"/>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auto"/>
        <w:textAlignment w:val="auto"/>
        <w:rPr>
          <w:rFonts w:hint="eastAsia" w:cs="Times New Roman"/>
          <w:b w:val="0"/>
          <w:bCs w:val="0"/>
          <w:sz w:val="24"/>
          <w:szCs w:val="22"/>
          <w:lang w:val="en-US" w:eastAsia="zh-CN"/>
        </w:rPr>
      </w:pPr>
      <w:r>
        <w:rPr>
          <w:rFonts w:hint="eastAsia" w:cs="Times New Roman"/>
          <w:b w:val="0"/>
          <w:bCs w:val="0"/>
          <w:sz w:val="24"/>
          <w:szCs w:val="22"/>
          <w:lang w:val="en-US" w:eastAsia="zh-CN"/>
        </w:rPr>
        <w:t>本章明确了《农贸市场食品经营管理规范》标准内容与适用范围：本文件适用于农贸市场的食品与食用农产品的经营管理。不适用于活禽交易。</w:t>
      </w:r>
    </w:p>
    <w:p>
      <w:pPr>
        <w:pStyle w:val="62"/>
        <w:keepNext w:val="0"/>
        <w:keepLines w:val="0"/>
        <w:pageBreakBefore w:val="0"/>
        <w:widowControl/>
        <w:numPr>
          <w:ilvl w:val="0"/>
          <w:numId w:val="12"/>
        </w:numPr>
        <w:kinsoku/>
        <w:wordWrap/>
        <w:overflowPunct/>
        <w:topLinePunct w:val="0"/>
        <w:autoSpaceDE w:val="0"/>
        <w:autoSpaceDN w:val="0"/>
        <w:bidi w:val="0"/>
        <w:adjustRightInd/>
        <w:snapToGrid/>
        <w:spacing w:line="360" w:lineRule="auto"/>
        <w:ind w:left="0" w:leftChars="0" w:right="0" w:rightChars="0" w:firstLine="480" w:firstLineChars="200"/>
        <w:textAlignment w:val="auto"/>
        <w:rPr>
          <w:rFonts w:hint="eastAsia" w:cs="Times New Roman"/>
          <w:b w:val="0"/>
          <w:bCs w:val="0"/>
          <w:sz w:val="24"/>
          <w:szCs w:val="22"/>
          <w:lang w:val="en-US" w:eastAsia="zh-CN"/>
        </w:rPr>
      </w:pPr>
      <w:r>
        <w:rPr>
          <w:rFonts w:hint="eastAsia" w:cs="Times New Roman"/>
          <w:b w:val="0"/>
          <w:bCs w:val="0"/>
          <w:sz w:val="24"/>
          <w:szCs w:val="22"/>
          <w:lang w:val="en-US" w:eastAsia="zh-CN"/>
        </w:rPr>
        <w:t>规范性引用文件</w:t>
      </w:r>
    </w:p>
    <w:p>
      <w:pPr>
        <w:pStyle w:val="12"/>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auto"/>
        <w:textAlignment w:val="auto"/>
        <w:rPr>
          <w:rFonts w:hint="default" w:ascii="宋体" w:hAnsi="Times New Roman" w:eastAsia="宋体" w:cs="Times New Roman"/>
          <w:b w:val="0"/>
          <w:bCs w:val="0"/>
          <w:kern w:val="0"/>
          <w:sz w:val="24"/>
          <w:szCs w:val="22"/>
          <w:lang w:val="en-US" w:eastAsia="zh-CN" w:bidi="ar"/>
        </w:rPr>
      </w:pPr>
      <w:r>
        <w:rPr>
          <w:rFonts w:hint="eastAsia" w:ascii="宋体" w:hAnsi="Times New Roman" w:eastAsia="宋体" w:cs="Times New Roman"/>
          <w:b w:val="0"/>
          <w:bCs w:val="0"/>
          <w:kern w:val="0"/>
          <w:sz w:val="24"/>
          <w:szCs w:val="22"/>
          <w:lang w:val="en-US" w:eastAsia="zh-CN" w:bidi="ar"/>
        </w:rPr>
        <w:t>本标准引用了GB 2760 食品安全国家标准 食品添加剂使用标准、GB 5749 食品安全国家标准 生活饮用水卫生标准、GB 8978 污水综合排放标准、GB 14930.1 食品安全国家标准 洗涤剂、GB 14930.2 食品安全国家标准 消毒剂、GB/T 21720 农贸市场管理技术规范、GB 20799 食品安全国家标准 肉和肉制品经营卫生规范、GB 31621 食品安全国家标准 食品经营过程卫生规范、GB 31654 食品安全国家标准 餐饮服务通用卫生规范</w:t>
      </w:r>
      <w:r>
        <w:rPr>
          <w:rFonts w:hint="eastAsia" w:cs="Times New Roman"/>
          <w:b w:val="0"/>
          <w:bCs w:val="0"/>
          <w:kern w:val="0"/>
          <w:sz w:val="24"/>
          <w:szCs w:val="22"/>
          <w:lang w:val="en-US" w:eastAsia="zh-CN" w:bidi="ar"/>
        </w:rPr>
        <w:t>等</w:t>
      </w:r>
      <w:r>
        <w:rPr>
          <w:rFonts w:hint="eastAsia" w:ascii="宋体" w:hAnsi="Times New Roman" w:eastAsia="宋体" w:cs="Times New Roman"/>
          <w:b w:val="0"/>
          <w:bCs w:val="0"/>
          <w:kern w:val="0"/>
          <w:sz w:val="24"/>
          <w:szCs w:val="22"/>
          <w:lang w:val="en-US" w:eastAsia="zh-CN" w:bidi="ar"/>
        </w:rPr>
        <w:t>，共</w:t>
      </w:r>
      <w:r>
        <w:rPr>
          <w:rFonts w:hint="eastAsia" w:cs="Times New Roman"/>
          <w:b w:val="0"/>
          <w:bCs w:val="0"/>
          <w:kern w:val="0"/>
          <w:sz w:val="24"/>
          <w:szCs w:val="22"/>
          <w:lang w:val="en-US" w:eastAsia="zh-CN" w:bidi="ar"/>
        </w:rPr>
        <w:t>11</w:t>
      </w:r>
      <w:r>
        <w:rPr>
          <w:rFonts w:hint="eastAsia" w:ascii="宋体" w:hAnsi="Times New Roman" w:eastAsia="宋体" w:cs="Times New Roman"/>
          <w:b w:val="0"/>
          <w:bCs w:val="0"/>
          <w:kern w:val="0"/>
          <w:sz w:val="24"/>
          <w:szCs w:val="22"/>
          <w:lang w:val="en-US" w:eastAsia="zh-CN" w:bidi="ar"/>
        </w:rPr>
        <w:t>个标准。</w:t>
      </w:r>
    </w:p>
    <w:p>
      <w:pPr>
        <w:pStyle w:val="62"/>
        <w:keepNext w:val="0"/>
        <w:keepLines w:val="0"/>
        <w:pageBreakBefore w:val="0"/>
        <w:widowControl/>
        <w:numPr>
          <w:ilvl w:val="0"/>
          <w:numId w:val="12"/>
        </w:numPr>
        <w:kinsoku/>
        <w:wordWrap/>
        <w:overflowPunct/>
        <w:topLinePunct w:val="0"/>
        <w:autoSpaceDE w:val="0"/>
        <w:autoSpaceDN w:val="0"/>
        <w:bidi w:val="0"/>
        <w:adjustRightInd/>
        <w:snapToGrid/>
        <w:spacing w:line="360" w:lineRule="auto"/>
        <w:ind w:left="0" w:leftChars="0" w:right="0" w:rightChars="0" w:firstLine="480" w:firstLineChars="200"/>
        <w:textAlignment w:val="auto"/>
        <w:rPr>
          <w:rFonts w:hint="eastAsia" w:cs="Times New Roman"/>
          <w:b w:val="0"/>
          <w:bCs w:val="0"/>
          <w:sz w:val="24"/>
          <w:szCs w:val="22"/>
          <w:lang w:val="en-US" w:eastAsia="zh-CN"/>
        </w:rPr>
      </w:pPr>
      <w:r>
        <w:rPr>
          <w:rFonts w:hint="eastAsia" w:cs="Times New Roman"/>
          <w:b w:val="0"/>
          <w:bCs w:val="0"/>
          <w:sz w:val="24"/>
          <w:szCs w:val="22"/>
          <w:lang w:val="en-US" w:eastAsia="zh-CN"/>
        </w:rPr>
        <w:t>术语和定义</w:t>
      </w:r>
    </w:p>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leftChars="200" w:right="0" w:rightChars="0" w:firstLine="480" w:firstLineChars="200"/>
        <w:textAlignment w:val="auto"/>
        <w:rPr>
          <w:rFonts w:hint="default" w:cs="Times New Roman"/>
          <w:b w:val="0"/>
          <w:bCs w:val="0"/>
          <w:sz w:val="24"/>
          <w:szCs w:val="22"/>
          <w:lang w:val="en-US" w:eastAsia="zh-CN"/>
        </w:rPr>
      </w:pPr>
      <w:r>
        <w:rPr>
          <w:rFonts w:hint="eastAsia" w:cs="Times New Roman"/>
          <w:b w:val="0"/>
          <w:bCs w:val="0"/>
          <w:sz w:val="24"/>
          <w:szCs w:val="22"/>
          <w:lang w:val="en-US" w:eastAsia="zh-CN"/>
        </w:rPr>
        <w:t>本章规定，GB/T 21720界定的术语和定义适用于本文件。明确了农贸市场（市场）、市场开办者和食品及食用农产品经营者的概念和定义。</w:t>
      </w:r>
    </w:p>
    <w:p>
      <w:pPr>
        <w:pStyle w:val="62"/>
        <w:keepNext w:val="0"/>
        <w:keepLines w:val="0"/>
        <w:pageBreakBefore w:val="0"/>
        <w:widowControl/>
        <w:numPr>
          <w:ilvl w:val="0"/>
          <w:numId w:val="12"/>
        </w:numPr>
        <w:kinsoku/>
        <w:wordWrap/>
        <w:overflowPunct/>
        <w:topLinePunct w:val="0"/>
        <w:autoSpaceDE w:val="0"/>
        <w:autoSpaceDN w:val="0"/>
        <w:bidi w:val="0"/>
        <w:adjustRightInd/>
        <w:snapToGrid/>
        <w:spacing w:line="360" w:lineRule="auto"/>
        <w:ind w:left="0" w:leftChars="0" w:right="0" w:rightChars="0" w:firstLine="480" w:firstLineChars="200"/>
        <w:textAlignment w:val="auto"/>
        <w:rPr>
          <w:rFonts w:hint="eastAsia" w:cs="Times New Roman"/>
          <w:b w:val="0"/>
          <w:bCs w:val="0"/>
          <w:sz w:val="24"/>
          <w:szCs w:val="22"/>
          <w:lang w:val="en-US" w:eastAsia="zh-CN"/>
        </w:rPr>
      </w:pPr>
      <w:r>
        <w:rPr>
          <w:rFonts w:hint="eastAsia" w:cs="Times New Roman"/>
          <w:b w:val="0"/>
          <w:bCs w:val="0"/>
          <w:sz w:val="24"/>
          <w:szCs w:val="22"/>
          <w:lang w:val="en-US" w:eastAsia="zh-CN"/>
        </w:rPr>
        <w:t>经营环境要求</w:t>
      </w:r>
    </w:p>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leftChars="200" w:right="0" w:rightChars="0" w:firstLine="480" w:firstLineChars="200"/>
        <w:textAlignment w:val="auto"/>
        <w:rPr>
          <w:rFonts w:hint="eastAsia"/>
          <w:sz w:val="24"/>
          <w:lang w:val="en-US" w:eastAsia="zh-CN"/>
        </w:rPr>
      </w:pPr>
      <w:r>
        <w:rPr>
          <w:rFonts w:hint="eastAsia" w:cs="Times New Roman"/>
          <w:b w:val="0"/>
          <w:bCs w:val="0"/>
          <w:sz w:val="24"/>
          <w:szCs w:val="22"/>
          <w:lang w:val="en-US" w:eastAsia="zh-CN"/>
        </w:rPr>
        <w:t>经营环境要求参照</w:t>
      </w:r>
      <w:r>
        <w:rPr>
          <w:rFonts w:hint="eastAsia"/>
          <w:sz w:val="24"/>
          <w:lang w:val="en-US" w:eastAsia="zh-CN"/>
        </w:rPr>
        <w:t>《海南省农贸市场建设与管理规范》（DB46/T 80-2019）、《农贸市场管理技术规范》（GB/T 21720-2022）制定。</w:t>
      </w:r>
    </w:p>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leftChars="200" w:right="0" w:rightChars="0" w:firstLine="480" w:firstLineChars="200"/>
        <w:textAlignment w:val="auto"/>
        <w:rPr>
          <w:rFonts w:hint="default"/>
          <w:sz w:val="24"/>
          <w:lang w:val="en-US" w:eastAsia="zh-CN"/>
        </w:rPr>
      </w:pPr>
      <w:r>
        <w:rPr>
          <w:rFonts w:hint="eastAsia"/>
          <w:sz w:val="24"/>
          <w:lang w:val="en-US" w:eastAsia="zh-CN"/>
        </w:rPr>
        <w:t>为保证市场内食品安全，本章对农贸市场的位置、内部环境、内部布局作出了具体要求，位置应远离污染源，内部的墙壁、摊位等建筑材料都应易于清洁，场内布局参照食品生产，对经营熟食、畜禽肉、水产等区域作出合理布局。</w:t>
      </w:r>
    </w:p>
    <w:p>
      <w:pPr>
        <w:pStyle w:val="62"/>
        <w:keepNext w:val="0"/>
        <w:keepLines w:val="0"/>
        <w:pageBreakBefore w:val="0"/>
        <w:widowControl/>
        <w:numPr>
          <w:ilvl w:val="0"/>
          <w:numId w:val="12"/>
        </w:numPr>
        <w:kinsoku/>
        <w:wordWrap/>
        <w:overflowPunct/>
        <w:topLinePunct w:val="0"/>
        <w:autoSpaceDE w:val="0"/>
        <w:autoSpaceDN w:val="0"/>
        <w:bidi w:val="0"/>
        <w:adjustRightInd/>
        <w:snapToGrid/>
        <w:spacing w:line="360" w:lineRule="auto"/>
        <w:ind w:left="0" w:leftChars="0" w:right="0" w:rightChars="0" w:firstLine="480" w:firstLineChars="200"/>
        <w:textAlignment w:val="auto"/>
        <w:rPr>
          <w:rFonts w:hint="eastAsia" w:cs="Times New Roman"/>
          <w:b w:val="0"/>
          <w:bCs w:val="0"/>
          <w:sz w:val="24"/>
          <w:szCs w:val="22"/>
          <w:lang w:val="en-US" w:eastAsia="zh-CN"/>
        </w:rPr>
      </w:pPr>
      <w:r>
        <w:rPr>
          <w:rFonts w:hint="eastAsia" w:cs="Times New Roman"/>
          <w:b w:val="0"/>
          <w:bCs w:val="0"/>
          <w:sz w:val="24"/>
          <w:szCs w:val="22"/>
          <w:lang w:val="en-US" w:eastAsia="zh-CN"/>
        </w:rPr>
        <w:t>经营设施设备要求</w:t>
      </w:r>
    </w:p>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leftChars="200" w:right="0" w:rightChars="0" w:firstLine="480" w:firstLineChars="200"/>
        <w:textAlignment w:val="auto"/>
        <w:rPr>
          <w:rFonts w:hint="default" w:cs="Times New Roman"/>
          <w:b w:val="0"/>
          <w:bCs w:val="0"/>
          <w:sz w:val="24"/>
          <w:szCs w:val="22"/>
          <w:lang w:val="en-US" w:eastAsia="zh-CN"/>
        </w:rPr>
      </w:pPr>
      <w:r>
        <w:rPr>
          <w:rFonts w:hint="eastAsia" w:cs="Times New Roman"/>
          <w:b w:val="0"/>
          <w:bCs w:val="0"/>
          <w:sz w:val="24"/>
          <w:szCs w:val="22"/>
          <w:lang w:val="en-US" w:eastAsia="zh-CN"/>
        </w:rPr>
        <w:t>根据农贸市场内对各种设备设施的需求，以及为保证农贸市场内的食品安全经营，使得市场内的食品及食用农产品的来向去向明确，本章将经营设备设施的要求分为6部分：信息化、公共设施、供水设施、排水设施、通风设施、垃圾收集设施，并对各部分做出了详细的规定。</w:t>
      </w:r>
    </w:p>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leftChars="200" w:right="0" w:rightChars="0" w:firstLine="480" w:firstLineChars="200"/>
        <w:textAlignment w:val="auto"/>
        <w:rPr>
          <w:rFonts w:hint="default" w:cs="Times New Roman"/>
          <w:b w:val="0"/>
          <w:bCs w:val="0"/>
          <w:sz w:val="24"/>
          <w:szCs w:val="22"/>
          <w:lang w:val="en-US" w:eastAsia="zh-CN"/>
        </w:rPr>
      </w:pPr>
      <w:r>
        <w:rPr>
          <w:rFonts w:hint="eastAsia" w:cs="Times New Roman"/>
          <w:b w:val="0"/>
          <w:bCs w:val="0"/>
          <w:sz w:val="24"/>
          <w:szCs w:val="22"/>
          <w:lang w:val="en-US" w:eastAsia="zh-CN"/>
        </w:rPr>
        <w:t>信息化参照</w:t>
      </w:r>
      <w:r>
        <w:rPr>
          <w:rFonts w:hint="eastAsia"/>
          <w:sz w:val="24"/>
          <w:lang w:val="en-US" w:eastAsia="zh-CN"/>
        </w:rPr>
        <w:t>《农贸市场管理技术规范》（GB/T 21720-2022）制定，</w:t>
      </w:r>
      <w:r>
        <w:rPr>
          <w:rFonts w:hint="eastAsia" w:cs="Times New Roman"/>
          <w:b w:val="0"/>
          <w:bCs w:val="0"/>
          <w:sz w:val="24"/>
          <w:szCs w:val="22"/>
          <w:lang w:val="en-US" w:eastAsia="zh-CN"/>
        </w:rPr>
        <w:t>主要是为了使市场内的食品及食用农产品可溯源，避免发生食品安全事故，以及为食品安全事故的发生做好溯源体系，应鼓励开办者采用现代化和信息化手段建设溯源系统。</w:t>
      </w:r>
    </w:p>
    <w:p>
      <w:pPr>
        <w:pStyle w:val="62"/>
        <w:ind w:firstLine="420"/>
        <w:rPr>
          <w:rFonts w:hint="eastAsia"/>
          <w:sz w:val="24"/>
          <w:lang w:val="en-US" w:eastAsia="zh-CN"/>
        </w:rPr>
      </w:pPr>
      <w:r>
        <w:rPr>
          <w:rFonts w:hint="eastAsia" w:cs="Times New Roman"/>
          <w:b w:val="0"/>
          <w:bCs w:val="0"/>
          <w:sz w:val="24"/>
          <w:szCs w:val="22"/>
          <w:lang w:val="en-US" w:eastAsia="zh-CN"/>
        </w:rPr>
        <w:t>供水设施要求参照</w:t>
      </w:r>
      <w:r>
        <w:rPr>
          <w:rFonts w:hint="eastAsia"/>
          <w:sz w:val="24"/>
          <w:lang w:val="en-US" w:eastAsia="zh-CN"/>
        </w:rPr>
        <w:t>《标准化菜市场设置与管理规范》（商办建函〔2011〕886号）制定。</w:t>
      </w:r>
    </w:p>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leftChars="200" w:right="0" w:rightChars="0" w:firstLine="480" w:firstLineChars="200"/>
        <w:textAlignment w:val="auto"/>
        <w:rPr>
          <w:rFonts w:hint="default"/>
          <w:sz w:val="24"/>
          <w:lang w:val="en-US" w:eastAsia="zh-CN"/>
        </w:rPr>
      </w:pPr>
      <w:r>
        <w:rPr>
          <w:rFonts w:hint="eastAsia" w:cs="Times New Roman"/>
          <w:b w:val="0"/>
          <w:bCs w:val="0"/>
          <w:sz w:val="24"/>
          <w:szCs w:val="22"/>
          <w:lang w:val="en-US" w:eastAsia="zh-CN"/>
        </w:rPr>
        <w:t>排水设施要求参照</w:t>
      </w:r>
      <w:r>
        <w:rPr>
          <w:rFonts w:hint="eastAsia"/>
          <w:sz w:val="24"/>
          <w:lang w:val="en-US" w:eastAsia="zh-CN"/>
        </w:rPr>
        <w:t>《海南省农贸市场建设与管理规范》（DB46/T 80-2019）中排水设施制定。排水设施着重强调了市场内排水的走向，污水应由清洁度要求高的区域向清洁度要求低的区域，符合食品生产的要求，也是保证食品安全的有效方法。</w:t>
      </w:r>
    </w:p>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leftChars="200" w:right="0" w:rightChars="0" w:firstLine="480" w:firstLineChars="200"/>
        <w:textAlignment w:val="auto"/>
        <w:rPr>
          <w:rFonts w:hint="default" w:cs="Times New Roman"/>
          <w:b w:val="0"/>
          <w:bCs w:val="0"/>
          <w:sz w:val="24"/>
          <w:szCs w:val="22"/>
          <w:lang w:val="en-US" w:eastAsia="zh-CN"/>
        </w:rPr>
      </w:pPr>
      <w:r>
        <w:rPr>
          <w:rFonts w:hint="eastAsia" w:cs="Times New Roman"/>
          <w:b w:val="0"/>
          <w:bCs w:val="0"/>
          <w:sz w:val="24"/>
          <w:szCs w:val="22"/>
          <w:lang w:val="en-US" w:eastAsia="zh-CN"/>
        </w:rPr>
        <w:t>通风设施要求尽量采用自然通风，以机械通风为辅助，在活禽交易、宰杀等异味较重的区域，应当合理设置排风设施，保证市场内部的空气流通顺畅。</w:t>
      </w:r>
    </w:p>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leftChars="200" w:right="0" w:rightChars="0" w:firstLine="480" w:firstLineChars="200"/>
        <w:textAlignment w:val="auto"/>
        <w:rPr>
          <w:rFonts w:hint="default" w:cs="Times New Roman"/>
          <w:b w:val="0"/>
          <w:bCs w:val="0"/>
          <w:sz w:val="24"/>
          <w:szCs w:val="22"/>
          <w:lang w:val="en-US" w:eastAsia="zh-CN"/>
        </w:rPr>
      </w:pPr>
      <w:r>
        <w:rPr>
          <w:rFonts w:hint="eastAsia" w:cs="Times New Roman"/>
          <w:b w:val="0"/>
          <w:bCs w:val="0"/>
          <w:sz w:val="24"/>
          <w:szCs w:val="22"/>
          <w:lang w:val="en-US" w:eastAsia="zh-CN"/>
        </w:rPr>
        <w:t>垃圾收集设施内容规定了垃圾收集容器、垃圾转运车的要求。在食品经营场所，垃圾容易造成食品污染，因此垃圾容器应做到密闭性良好。</w:t>
      </w:r>
    </w:p>
    <w:p>
      <w:pPr>
        <w:pStyle w:val="62"/>
        <w:keepNext w:val="0"/>
        <w:keepLines w:val="0"/>
        <w:pageBreakBefore w:val="0"/>
        <w:widowControl/>
        <w:numPr>
          <w:ilvl w:val="0"/>
          <w:numId w:val="12"/>
        </w:numPr>
        <w:kinsoku/>
        <w:wordWrap/>
        <w:overflowPunct/>
        <w:topLinePunct w:val="0"/>
        <w:autoSpaceDE w:val="0"/>
        <w:autoSpaceDN w:val="0"/>
        <w:bidi w:val="0"/>
        <w:adjustRightInd/>
        <w:snapToGrid/>
        <w:spacing w:line="360" w:lineRule="auto"/>
        <w:ind w:left="0" w:leftChars="0" w:right="0" w:rightChars="0" w:firstLine="480" w:firstLineChars="200"/>
        <w:textAlignment w:val="auto"/>
        <w:rPr>
          <w:rFonts w:hint="eastAsia" w:cs="Times New Roman"/>
          <w:b w:val="0"/>
          <w:bCs w:val="0"/>
          <w:sz w:val="24"/>
          <w:szCs w:val="22"/>
          <w:lang w:val="en-US" w:eastAsia="zh-CN"/>
        </w:rPr>
      </w:pPr>
      <w:r>
        <w:rPr>
          <w:rFonts w:hint="eastAsia" w:cs="Times New Roman"/>
          <w:b w:val="0"/>
          <w:bCs w:val="0"/>
          <w:sz w:val="24"/>
          <w:szCs w:val="22"/>
          <w:lang w:val="en-US" w:eastAsia="zh-CN"/>
        </w:rPr>
        <w:t>经营管理要求</w:t>
      </w:r>
    </w:p>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leftChars="200" w:right="0" w:rightChars="0" w:firstLine="480"/>
        <w:textAlignment w:val="auto"/>
        <w:rPr>
          <w:rFonts w:hint="eastAsia"/>
          <w:sz w:val="24"/>
          <w:lang w:val="en-US" w:eastAsia="zh-CN"/>
        </w:rPr>
      </w:pPr>
      <w:r>
        <w:rPr>
          <w:rFonts w:hint="eastAsia" w:cs="Times New Roman"/>
          <w:b w:val="0"/>
          <w:bCs w:val="0"/>
          <w:sz w:val="24"/>
          <w:szCs w:val="22"/>
          <w:lang w:val="en-US" w:eastAsia="zh-CN"/>
        </w:rPr>
        <w:t>本章参照</w:t>
      </w:r>
      <w:r>
        <w:rPr>
          <w:rFonts w:hint="eastAsia"/>
          <w:sz w:val="24"/>
          <w:lang w:val="en-US" w:eastAsia="zh-CN"/>
        </w:rPr>
        <w:t xml:space="preserve">《农贸市场管理技术规范》（GB/T 21720-2022），对进货管理、过程控制、包装与标识、检验检测、管理制度、教育培训、消费者权益保护、档案管理、应急处置共7部分进行了规定。  </w:t>
      </w:r>
    </w:p>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leftChars="200" w:right="0" w:rightChars="0" w:firstLine="480"/>
        <w:textAlignment w:val="auto"/>
        <w:rPr>
          <w:rFonts w:hint="eastAsia"/>
          <w:sz w:val="24"/>
          <w:lang w:val="en-US" w:eastAsia="zh-CN"/>
        </w:rPr>
      </w:pPr>
      <w:r>
        <w:rPr>
          <w:rFonts w:hint="eastAsia"/>
          <w:sz w:val="24"/>
          <w:lang w:val="en-US" w:eastAsia="zh-CN"/>
        </w:rPr>
        <w:t>主体资质、经营行为、人员管理要求应符合《农贸市场管理技术规范》（GB/T 21720-2022）规定。</w:t>
      </w:r>
    </w:p>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leftChars="200" w:right="0" w:rightChars="0" w:firstLine="480"/>
        <w:textAlignment w:val="auto"/>
        <w:rPr>
          <w:rFonts w:hint="eastAsia"/>
          <w:sz w:val="24"/>
          <w:lang w:val="en-US" w:eastAsia="zh-CN"/>
        </w:rPr>
      </w:pPr>
      <w:r>
        <w:rPr>
          <w:rFonts w:hint="eastAsia"/>
          <w:sz w:val="24"/>
          <w:lang w:val="en-US" w:eastAsia="zh-CN"/>
        </w:rPr>
        <w:t>人员管理中对于接触直接入口食品商品经营者作出了强调，不应患有发热、腹泻、咽部炎症等病症及皮肤有伤口或感染。</w:t>
      </w:r>
    </w:p>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leftChars="200" w:right="0" w:rightChars="0" w:firstLine="480"/>
        <w:textAlignment w:val="auto"/>
        <w:rPr>
          <w:rFonts w:hint="default"/>
          <w:sz w:val="24"/>
          <w:lang w:val="en-US" w:eastAsia="zh-CN"/>
        </w:rPr>
      </w:pPr>
      <w:r>
        <w:rPr>
          <w:rFonts w:hint="eastAsia"/>
          <w:sz w:val="24"/>
          <w:lang w:val="en-US" w:eastAsia="zh-CN"/>
        </w:rPr>
        <w:t>进货管理要求应符合GB/T 21720的相关规定，参照《农贸市场食品安全管理规范》（DB5115/T 45-2020 ）中的相关内容对进货管理进行了更详细的规定。做好进货管理是食品溯源的重要保障，经营者理应做好进货台账、查验供货者或供应商的资质及食品（食用农产品）的合格证明文件，确保所销售食品的安全，避免发生安全事故。</w:t>
      </w:r>
    </w:p>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leftChars="200" w:right="0" w:rightChars="0" w:firstLine="480"/>
        <w:textAlignment w:val="auto"/>
        <w:rPr>
          <w:rFonts w:hint="default"/>
          <w:sz w:val="24"/>
          <w:lang w:val="en-US" w:eastAsia="zh-CN"/>
        </w:rPr>
      </w:pPr>
      <w:r>
        <w:rPr>
          <w:rFonts w:hint="eastAsia"/>
          <w:sz w:val="24"/>
          <w:lang w:val="en-US" w:eastAsia="zh-CN"/>
        </w:rPr>
        <w:t>过程控制中商品展陈、设施使用管理、制售管理、卫生管理为关键控制点，对这4点分别进行了规定。商品展陈、设施使用管理应符合GB /T 21720中的要求；制售管理中参照《农贸市场食品安全管理规范》（DB5115/T 45-2020 ）对人员操作、食品添加剂使用、配送、保鲜、贮存及不合格品检查做了详细规定，从食品制作到售卖过程中涉及许多操作要点，每一个环节都必须符合相应的法律法规及相关标准的要求；卫生管理涉及经营环境卫生及工器具卫生管理，对使用的洗涤剂、消毒剂及市场内清洁、消毒的频率进行了规定，以保证环境的清洁。</w:t>
      </w:r>
    </w:p>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leftChars="200" w:right="0" w:rightChars="0" w:firstLine="480"/>
        <w:textAlignment w:val="auto"/>
        <w:rPr>
          <w:rFonts w:hint="eastAsia"/>
          <w:sz w:val="24"/>
          <w:lang w:val="en-US" w:eastAsia="zh-CN"/>
        </w:rPr>
      </w:pPr>
      <w:r>
        <w:rPr>
          <w:rFonts w:hint="eastAsia"/>
          <w:sz w:val="24"/>
          <w:lang w:val="en-US" w:eastAsia="zh-CN"/>
        </w:rPr>
        <w:t>包装与标识应符合GB/T 21720中的相关规定。</w:t>
      </w:r>
    </w:p>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leftChars="200" w:right="0" w:rightChars="0" w:firstLine="480"/>
        <w:textAlignment w:val="auto"/>
        <w:rPr>
          <w:rFonts w:hint="default"/>
          <w:sz w:val="24"/>
          <w:lang w:val="en-US" w:eastAsia="zh-CN"/>
        </w:rPr>
      </w:pPr>
      <w:r>
        <w:rPr>
          <w:rFonts w:hint="eastAsia"/>
          <w:sz w:val="24"/>
          <w:lang w:val="en-US" w:eastAsia="zh-CN"/>
        </w:rPr>
        <w:t>检验检测要求参照《农贸市场食品安全管理规范》（DB5115/T 45-2020 ）制定。</w:t>
      </w:r>
    </w:p>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leftChars="200" w:right="0" w:rightChars="0" w:firstLine="480"/>
        <w:textAlignment w:val="auto"/>
        <w:rPr>
          <w:rFonts w:hint="default"/>
          <w:sz w:val="24"/>
          <w:lang w:val="en-US" w:eastAsia="zh-CN"/>
        </w:rPr>
      </w:pPr>
      <w:r>
        <w:rPr>
          <w:rFonts w:hint="eastAsia"/>
          <w:sz w:val="24"/>
          <w:lang w:val="en-US" w:eastAsia="zh-CN"/>
        </w:rPr>
        <w:t>管理制度要求制定应符合GB/T 21720中的相关规定。</w:t>
      </w:r>
    </w:p>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leftChars="200" w:right="0" w:rightChars="0" w:firstLine="480"/>
        <w:textAlignment w:val="auto"/>
        <w:rPr>
          <w:rFonts w:hint="eastAsia"/>
          <w:sz w:val="24"/>
          <w:lang w:val="en-US" w:eastAsia="zh-CN"/>
        </w:rPr>
      </w:pPr>
      <w:r>
        <w:rPr>
          <w:rFonts w:hint="eastAsia"/>
          <w:sz w:val="24"/>
          <w:lang w:val="en-US" w:eastAsia="zh-CN"/>
        </w:rPr>
        <w:t>教育培训要求参照《农贸市场食品安全管理规范》（DB5115/T 45-2020 ）及《农贸市场管理技术规范》（GB/T 21720-2022）中相关要求制定。</w:t>
      </w:r>
    </w:p>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leftChars="200" w:right="0" w:rightChars="0" w:firstLine="480"/>
        <w:textAlignment w:val="auto"/>
        <w:rPr>
          <w:rFonts w:hint="eastAsia"/>
          <w:sz w:val="24"/>
          <w:lang w:val="en-US" w:eastAsia="zh-CN"/>
        </w:rPr>
      </w:pPr>
      <w:r>
        <w:rPr>
          <w:rFonts w:hint="eastAsia"/>
          <w:sz w:val="24"/>
          <w:lang w:val="en-US" w:eastAsia="zh-CN"/>
        </w:rPr>
        <w:t>消费者权益保护与档案管理要求制定应符合GB/T 21720中的相关规定。</w:t>
      </w:r>
    </w:p>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leftChars="200" w:right="0" w:rightChars="0" w:firstLine="480"/>
        <w:textAlignment w:val="auto"/>
        <w:rPr>
          <w:rFonts w:hint="eastAsia"/>
          <w:sz w:val="24"/>
          <w:lang w:val="en-US" w:eastAsia="zh-CN"/>
        </w:rPr>
      </w:pPr>
      <w:r>
        <w:rPr>
          <w:rFonts w:hint="eastAsia"/>
          <w:sz w:val="24"/>
          <w:lang w:val="en-US" w:eastAsia="zh-CN"/>
        </w:rPr>
        <w:t xml:space="preserve">应急处置要求参照《农贸市场食品安全管理规范》（DB5115/T 45-2020 ）中相关要求制定。  </w:t>
      </w:r>
    </w:p>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leftChars="200" w:right="0" w:rightChars="0" w:firstLine="480"/>
        <w:textAlignment w:val="auto"/>
        <w:rPr>
          <w:rFonts w:hint="eastAsia"/>
          <w:sz w:val="24"/>
          <w:lang w:val="en-US" w:eastAsia="zh-CN"/>
        </w:rPr>
      </w:pPr>
    </w:p>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leftChars="200" w:right="0" w:rightChars="0" w:firstLine="480"/>
        <w:jc w:val="right"/>
        <w:textAlignment w:val="auto"/>
        <w:rPr>
          <w:rFonts w:hint="eastAsia" w:hAnsi="宋体" w:cs="宋体"/>
          <w:kern w:val="2"/>
          <w:sz w:val="24"/>
          <w:szCs w:val="24"/>
          <w:lang w:val="en-US" w:eastAsia="zh-CN"/>
        </w:rPr>
      </w:pPr>
      <w:r>
        <w:rPr>
          <w:rFonts w:hint="eastAsia" w:ascii="宋体" w:hAnsi="宋体" w:eastAsia="宋体" w:cs="宋体"/>
          <w:kern w:val="2"/>
          <w:sz w:val="24"/>
          <w:szCs w:val="24"/>
          <w:lang w:eastAsia="zh-CN"/>
        </w:rPr>
        <w:t>《</w:t>
      </w:r>
      <w:r>
        <w:rPr>
          <w:rFonts w:hint="eastAsia" w:ascii="宋体" w:hAnsi="宋体" w:eastAsia="宋体" w:cs="宋体"/>
          <w:kern w:val="2"/>
          <w:sz w:val="24"/>
          <w:szCs w:val="24"/>
        </w:rPr>
        <w:t>湖南农贸市场食品经营管理规范</w:t>
      </w:r>
      <w:r>
        <w:rPr>
          <w:rFonts w:hint="eastAsia" w:ascii="宋体" w:hAnsi="宋体" w:eastAsia="宋体" w:cs="宋体"/>
          <w:kern w:val="2"/>
          <w:sz w:val="24"/>
          <w:szCs w:val="24"/>
          <w:lang w:eastAsia="zh-CN"/>
        </w:rPr>
        <w:t>》</w:t>
      </w:r>
      <w:r>
        <w:rPr>
          <w:rFonts w:hint="eastAsia" w:hAnsi="宋体" w:cs="宋体"/>
          <w:kern w:val="2"/>
          <w:sz w:val="24"/>
          <w:szCs w:val="24"/>
          <w:lang w:val="en-US" w:eastAsia="zh-CN"/>
        </w:rPr>
        <w:t>地方标准起草组</w:t>
      </w:r>
    </w:p>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leftChars="200" w:right="0" w:rightChars="0" w:firstLine="480"/>
        <w:jc w:val="right"/>
        <w:textAlignment w:val="auto"/>
        <w:rPr>
          <w:rFonts w:hint="default" w:hAnsi="宋体" w:cs="宋体"/>
          <w:kern w:val="2"/>
          <w:sz w:val="24"/>
          <w:szCs w:val="24"/>
          <w:lang w:val="en-US" w:eastAsia="zh-CN"/>
        </w:rPr>
      </w:pPr>
      <w:r>
        <w:rPr>
          <w:rFonts w:hint="eastAsia" w:hAnsi="宋体" w:cs="宋体"/>
          <w:kern w:val="2"/>
          <w:sz w:val="24"/>
          <w:szCs w:val="24"/>
          <w:lang w:val="en-US" w:eastAsia="zh-CN"/>
        </w:rPr>
        <w:t xml:space="preserve">2023年6月28日 </w:t>
      </w:r>
    </w:p>
    <w:p>
      <w:pPr>
        <w:pStyle w:val="62"/>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leftChars="200" w:right="0" w:rightChars="0" w:firstLine="480"/>
        <w:textAlignment w:val="auto"/>
        <w:rPr>
          <w:rFonts w:hint="default"/>
          <w:sz w:val="24"/>
          <w:lang w:val="en-US" w:eastAsia="zh-CN"/>
        </w:rPr>
      </w:pPr>
    </w:p>
    <w:sectPr>
      <w:headerReference r:id="rId3" w:type="default"/>
      <w:pgSz w:w="11907" w:h="16839"/>
      <w:pgMar w:top="1440" w:right="1800" w:bottom="1440" w:left="1800" w:header="850" w:footer="851" w:gutter="0"/>
      <w:pgNumType w:start="1"/>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numPr>
        <w:ilvl w:val="6"/>
        <w:numId w:val="0"/>
      </w:numPr>
      <w:pBdr>
        <w:bottom w:val="none" w:color="auto" w:sz="0" w:space="0"/>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2D148C"/>
    <w:multiLevelType w:val="singleLevel"/>
    <w:tmpl w:val="E32D148C"/>
    <w:lvl w:ilvl="0" w:tentative="0">
      <w:start w:val="1"/>
      <w:numFmt w:val="decimal"/>
      <w:suff w:val="nothing"/>
      <w:lvlText w:val="%1．"/>
      <w:lvlJc w:val="left"/>
      <w:pPr>
        <w:ind w:left="0" w:firstLine="400"/>
      </w:pPr>
      <w:rPr>
        <w:rFonts w:hint="default"/>
      </w:rPr>
    </w:lvl>
  </w:abstractNum>
  <w:abstractNum w:abstractNumId="1">
    <w:nsid w:val="FFE2ED5A"/>
    <w:multiLevelType w:val="singleLevel"/>
    <w:tmpl w:val="FFE2ED5A"/>
    <w:lvl w:ilvl="0" w:tentative="0">
      <w:start w:val="1"/>
      <w:numFmt w:val="chineseCounting"/>
      <w:suff w:val="nothing"/>
      <w:lvlText w:val="（%1）"/>
      <w:lvlJc w:val="left"/>
      <w:pPr>
        <w:ind w:left="0" w:firstLine="420"/>
      </w:pPr>
      <w:rPr>
        <w:rFonts w:hint="eastAsia"/>
        <w:b w:val="0"/>
        <w:bCs w:val="0"/>
      </w:rPr>
    </w:lvl>
  </w:abstractNum>
  <w:abstractNum w:abstractNumId="2">
    <w:nsid w:val="040A15CD"/>
    <w:multiLevelType w:val="multilevel"/>
    <w:tmpl w:val="040A15CD"/>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31"/>
      <w:suff w:val="nothing"/>
      <w:lvlText w:val="%1%2.%3　"/>
      <w:lvlJc w:val="left"/>
      <w:pPr>
        <w:ind w:left="0" w:firstLine="0"/>
      </w:pPr>
      <w:rPr>
        <w:rFonts w:hint="eastAsia" w:ascii="黑体" w:hAnsi="Times New Roman" w:eastAsia="黑体"/>
        <w:b w:val="0"/>
        <w:i w:val="0"/>
        <w:sz w:val="21"/>
      </w:rPr>
    </w:lvl>
    <w:lvl w:ilvl="3" w:tentative="0">
      <w:start w:val="1"/>
      <w:numFmt w:val="decimal"/>
      <w:pStyle w:val="30"/>
      <w:suff w:val="nothing"/>
      <w:lvlText w:val="%1%2.%3.%4　"/>
      <w:lvlJc w:val="left"/>
      <w:pPr>
        <w:ind w:left="0" w:firstLine="0"/>
      </w:pPr>
      <w:rPr>
        <w:rFonts w:hint="eastAsia" w:ascii="黑体" w:hAnsi="Times New Roman" w:eastAsia="黑体"/>
        <w:b w:val="0"/>
        <w:i w:val="0"/>
        <w:sz w:val="21"/>
      </w:rPr>
    </w:lvl>
    <w:lvl w:ilvl="4" w:tentative="0">
      <w:start w:val="1"/>
      <w:numFmt w:val="decimal"/>
      <w:pStyle w:val="56"/>
      <w:suff w:val="nothing"/>
      <w:lvlText w:val="%1%2.%3.%4.%5　"/>
      <w:lvlJc w:val="left"/>
      <w:pPr>
        <w:ind w:left="0" w:firstLine="0"/>
      </w:pPr>
      <w:rPr>
        <w:rFonts w:hint="eastAsia" w:ascii="黑体" w:hAnsi="Times New Roman" w:eastAsia="黑体"/>
        <w:b w:val="0"/>
        <w:i w:val="0"/>
        <w:sz w:val="21"/>
      </w:rPr>
    </w:lvl>
    <w:lvl w:ilvl="5" w:tentative="0">
      <w:start w:val="1"/>
      <w:numFmt w:val="decimal"/>
      <w:pStyle w:val="51"/>
      <w:suff w:val="nothing"/>
      <w:lvlText w:val="%1%2.%3.%4.%5.%6　"/>
      <w:lvlJc w:val="left"/>
      <w:pPr>
        <w:ind w:left="0" w:firstLine="0"/>
      </w:pPr>
      <w:rPr>
        <w:rFonts w:hint="eastAsia" w:ascii="黑体" w:hAnsi="Times New Roman" w:eastAsia="黑体"/>
        <w:b w:val="0"/>
        <w:i w:val="0"/>
        <w:sz w:val="21"/>
      </w:rPr>
    </w:lvl>
    <w:lvl w:ilvl="6" w:tentative="0">
      <w:start w:val="1"/>
      <w:numFmt w:val="decimal"/>
      <w:pStyle w:val="55"/>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
    <w:nsid w:val="079102AD"/>
    <w:multiLevelType w:val="multilevel"/>
    <w:tmpl w:val="079102AD"/>
    <w:lvl w:ilvl="0" w:tentative="0">
      <w:start w:val="1"/>
      <w:numFmt w:val="decimal"/>
      <w:pStyle w:val="47"/>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14A45D03"/>
    <w:multiLevelType w:val="singleLevel"/>
    <w:tmpl w:val="14A45D03"/>
    <w:lvl w:ilvl="0" w:tentative="0">
      <w:start w:val="1"/>
      <w:numFmt w:val="chineseCounting"/>
      <w:suff w:val="nothing"/>
      <w:lvlText w:val="%1、"/>
      <w:lvlJc w:val="left"/>
      <w:pPr>
        <w:ind w:left="0" w:firstLine="420"/>
      </w:pPr>
      <w:rPr>
        <w:rFonts w:hint="eastAsia"/>
        <w:b/>
        <w:bCs/>
      </w:rPr>
    </w:lvl>
  </w:abstractNum>
  <w:abstractNum w:abstractNumId="5">
    <w:nsid w:val="44C50F90"/>
    <w:multiLevelType w:val="multilevel"/>
    <w:tmpl w:val="44C50F90"/>
    <w:lvl w:ilvl="0" w:tentative="0">
      <w:start w:val="1"/>
      <w:numFmt w:val="lowerLetter"/>
      <w:pStyle w:val="32"/>
      <w:lvlText w:val="%1)"/>
      <w:lvlJc w:val="left"/>
      <w:pPr>
        <w:tabs>
          <w:tab w:val="left" w:pos="840"/>
        </w:tabs>
        <w:ind w:left="839" w:hanging="419"/>
      </w:pPr>
      <w:rPr>
        <w:rFonts w:hint="eastAsia" w:ascii="宋体" w:eastAsia="宋体"/>
        <w:b w:val="0"/>
        <w:i w:val="0"/>
        <w:sz w:val="21"/>
        <w:szCs w:val="21"/>
      </w:rPr>
    </w:lvl>
    <w:lvl w:ilvl="1" w:tentative="0">
      <w:start w:val="1"/>
      <w:numFmt w:val="decimal"/>
      <w:pStyle w:val="48"/>
      <w:lvlText w:val="%2)"/>
      <w:lvlJc w:val="left"/>
      <w:pPr>
        <w:tabs>
          <w:tab w:val="left" w:pos="1260"/>
        </w:tabs>
        <w:ind w:left="1259" w:hanging="419"/>
      </w:pPr>
      <w:rPr>
        <w:rFonts w:hint="eastAsia"/>
      </w:rPr>
    </w:lvl>
    <w:lvl w:ilvl="2" w:tentative="0">
      <w:start w:val="1"/>
      <w:numFmt w:val="decimal"/>
      <w:pStyle w:val="52"/>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6">
    <w:nsid w:val="4E6D7D2A"/>
    <w:multiLevelType w:val="multilevel"/>
    <w:tmpl w:val="4E6D7D2A"/>
    <w:lvl w:ilvl="0" w:tentative="0">
      <w:start w:val="1"/>
      <w:numFmt w:val="japaneseCounting"/>
      <w:lvlText w:val="%1、"/>
      <w:lvlJc w:val="left"/>
      <w:pPr>
        <w:ind w:left="420" w:hanging="420"/>
      </w:pPr>
      <w:rPr>
        <w:rFonts w:hint="default" w:ascii="Times New Roman" w:hAnsi="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pStyle w:val="27"/>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657D3FBC"/>
    <w:multiLevelType w:val="multilevel"/>
    <w:tmpl w:val="657D3FBC"/>
    <w:lvl w:ilvl="0" w:tentative="0">
      <w:start w:val="1"/>
      <w:numFmt w:val="upperLetter"/>
      <w:pStyle w:val="57"/>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36"/>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35"/>
      <w:suff w:val="nothing"/>
      <w:lvlText w:val="%1.%2.%3　"/>
      <w:lvlJc w:val="left"/>
      <w:pPr>
        <w:ind w:left="0" w:firstLine="0"/>
      </w:pPr>
      <w:rPr>
        <w:rFonts w:hint="eastAsia" w:ascii="黑体" w:hAnsi="Times New Roman" w:eastAsia="黑体"/>
        <w:b w:val="0"/>
        <w:i w:val="0"/>
        <w:sz w:val="21"/>
      </w:rPr>
    </w:lvl>
    <w:lvl w:ilvl="3" w:tentative="0">
      <w:start w:val="1"/>
      <w:numFmt w:val="decimal"/>
      <w:pStyle w:val="50"/>
      <w:suff w:val="nothing"/>
      <w:lvlText w:val="%1.%2.%3.%4　"/>
      <w:lvlJc w:val="left"/>
      <w:pPr>
        <w:ind w:left="0" w:firstLine="0"/>
      </w:pPr>
      <w:rPr>
        <w:rFonts w:hint="eastAsia" w:ascii="黑体" w:hAnsi="Times New Roman" w:eastAsia="黑体"/>
        <w:b w:val="0"/>
        <w:i w:val="0"/>
        <w:sz w:val="21"/>
      </w:rPr>
    </w:lvl>
    <w:lvl w:ilvl="4" w:tentative="0">
      <w:start w:val="1"/>
      <w:numFmt w:val="decimal"/>
      <w:pStyle w:val="49"/>
      <w:suff w:val="nothing"/>
      <w:lvlText w:val="%1.%2.%3.%4.%5　"/>
      <w:lvlJc w:val="left"/>
      <w:pPr>
        <w:ind w:left="0" w:firstLine="0"/>
      </w:pPr>
      <w:rPr>
        <w:rFonts w:hint="eastAsia" w:ascii="黑体" w:hAnsi="Times New Roman" w:eastAsia="黑体"/>
        <w:b w:val="0"/>
        <w:i w:val="0"/>
        <w:sz w:val="21"/>
      </w:rPr>
    </w:lvl>
    <w:lvl w:ilvl="5" w:tentative="0">
      <w:start w:val="1"/>
      <w:numFmt w:val="decimal"/>
      <w:pStyle w:val="59"/>
      <w:suff w:val="nothing"/>
      <w:lvlText w:val="%1.%2.%3.%4.%5.%6　"/>
      <w:lvlJc w:val="left"/>
      <w:pPr>
        <w:ind w:left="0" w:firstLine="0"/>
      </w:pPr>
      <w:rPr>
        <w:rFonts w:hint="eastAsia" w:ascii="黑体" w:hAnsi="Times New Roman" w:eastAsia="黑体"/>
        <w:b w:val="0"/>
        <w:i w:val="0"/>
        <w:sz w:val="21"/>
      </w:rPr>
    </w:lvl>
    <w:lvl w:ilvl="6" w:tentative="0">
      <w:start w:val="1"/>
      <w:numFmt w:val="decimal"/>
      <w:pStyle w:val="58"/>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8">
    <w:nsid w:val="6738B81F"/>
    <w:multiLevelType w:val="singleLevel"/>
    <w:tmpl w:val="6738B81F"/>
    <w:lvl w:ilvl="0" w:tentative="0">
      <w:start w:val="1"/>
      <w:numFmt w:val="chineseCounting"/>
      <w:suff w:val="nothing"/>
      <w:lvlText w:val="（%1）"/>
      <w:lvlJc w:val="left"/>
      <w:pPr>
        <w:ind w:left="0" w:firstLine="420"/>
      </w:pPr>
      <w:rPr>
        <w:rFonts w:hint="eastAsia"/>
      </w:rPr>
    </w:lvl>
  </w:abstractNum>
  <w:abstractNum w:abstractNumId="9">
    <w:nsid w:val="6CEA2025"/>
    <w:multiLevelType w:val="multilevel"/>
    <w:tmpl w:val="6CEA2025"/>
    <w:lvl w:ilvl="0" w:tentative="0">
      <w:start w:val="1"/>
      <w:numFmt w:val="none"/>
      <w:pStyle w:val="45"/>
      <w:suff w:val="nothing"/>
      <w:lvlText w:val="%1"/>
      <w:lvlJc w:val="left"/>
      <w:pPr>
        <w:ind w:left="0" w:firstLine="0"/>
      </w:pPr>
      <w:rPr>
        <w:rFonts w:hint="default" w:ascii="Times New Roman" w:hAnsi="Times New Roman"/>
        <w:b/>
        <w:i w:val="0"/>
        <w:sz w:val="21"/>
      </w:rPr>
    </w:lvl>
    <w:lvl w:ilvl="1" w:tentative="0">
      <w:start w:val="1"/>
      <w:numFmt w:val="decimal"/>
      <w:pStyle w:val="66"/>
      <w:suff w:val="nothing"/>
      <w:lvlText w:val="%1%2　"/>
      <w:lvlJc w:val="left"/>
      <w:pPr>
        <w:ind w:left="360" w:firstLine="0"/>
      </w:pPr>
      <w:rPr>
        <w:rFonts w:hint="eastAsia" w:ascii="黑体" w:hAnsi="Times New Roman" w:eastAsia="黑体"/>
        <w:b w:val="0"/>
        <w:i w:val="0"/>
        <w:color w:val="auto"/>
        <w:sz w:val="21"/>
      </w:rPr>
    </w:lvl>
    <w:lvl w:ilvl="2" w:tentative="0">
      <w:start w:val="1"/>
      <w:numFmt w:val="decimal"/>
      <w:pStyle w:val="65"/>
      <w:suff w:val="nothing"/>
      <w:lvlText w:val="%1%2.%3　"/>
      <w:lvlJc w:val="left"/>
      <w:pPr>
        <w:ind w:left="180" w:firstLine="0"/>
      </w:pPr>
      <w:rPr>
        <w:rFonts w:hint="eastAsia" w:ascii="黑体" w:hAnsi="Times New Roman" w:eastAsia="黑体"/>
        <w:b w:val="0"/>
        <w:i w:val="0"/>
        <w:sz w:val="21"/>
      </w:rPr>
    </w:lvl>
    <w:lvl w:ilvl="3" w:tentative="0">
      <w:start w:val="1"/>
      <w:numFmt w:val="decimal"/>
      <w:pStyle w:val="22"/>
      <w:suff w:val="nothing"/>
      <w:lvlText w:val="%1%2.%3.%4　"/>
      <w:lvlJc w:val="left"/>
      <w:pPr>
        <w:ind w:left="0" w:firstLine="0"/>
      </w:pPr>
      <w:rPr>
        <w:rFonts w:hint="eastAsia" w:ascii="黑体" w:hAnsi="Times New Roman" w:eastAsia="黑体"/>
        <w:b w:val="0"/>
        <w:i w:val="0"/>
        <w:sz w:val="21"/>
      </w:rPr>
    </w:lvl>
    <w:lvl w:ilvl="4" w:tentative="0">
      <w:start w:val="1"/>
      <w:numFmt w:val="decimal"/>
      <w:pStyle w:val="39"/>
      <w:suff w:val="nothing"/>
      <w:lvlText w:val="%1%2.%3.%4.%5　"/>
      <w:lvlJc w:val="left"/>
      <w:pPr>
        <w:ind w:left="1080" w:firstLine="0"/>
      </w:pPr>
      <w:rPr>
        <w:rFonts w:hint="eastAsia" w:ascii="黑体" w:hAnsi="Times New Roman" w:eastAsia="黑体"/>
        <w:b w:val="0"/>
        <w:i w:val="0"/>
        <w:sz w:val="21"/>
      </w:rPr>
    </w:lvl>
    <w:lvl w:ilvl="5" w:tentative="0">
      <w:start w:val="1"/>
      <w:numFmt w:val="decimal"/>
      <w:pStyle w:val="46"/>
      <w:suff w:val="nothing"/>
      <w:lvlText w:val="%1%2.%3.%4.%5.%6　"/>
      <w:lvlJc w:val="left"/>
      <w:pPr>
        <w:ind w:left="0" w:firstLine="0"/>
      </w:pPr>
      <w:rPr>
        <w:rFonts w:hint="eastAsia" w:ascii="黑体" w:hAnsi="Times New Roman" w:eastAsia="黑体"/>
        <w:b w:val="0"/>
        <w:i w:val="0"/>
        <w:sz w:val="21"/>
      </w:rPr>
    </w:lvl>
    <w:lvl w:ilvl="6" w:tentative="0">
      <w:start w:val="1"/>
      <w:numFmt w:val="decimal"/>
      <w:pStyle w:val="5"/>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0">
    <w:nsid w:val="6D330964"/>
    <w:multiLevelType w:val="singleLevel"/>
    <w:tmpl w:val="6D330964"/>
    <w:lvl w:ilvl="0" w:tentative="0">
      <w:start w:val="1"/>
      <w:numFmt w:val="decimal"/>
      <w:suff w:val="nothing"/>
      <w:lvlText w:val="%1．"/>
      <w:lvlJc w:val="left"/>
      <w:pPr>
        <w:ind w:left="0" w:firstLine="400"/>
      </w:pPr>
      <w:rPr>
        <w:rFonts w:hint="default"/>
        <w:b w:val="0"/>
        <w:bCs w:val="0"/>
      </w:rPr>
    </w:lvl>
  </w:abstractNum>
  <w:abstractNum w:abstractNumId="11">
    <w:nsid w:val="6D6C07CD"/>
    <w:multiLevelType w:val="multilevel"/>
    <w:tmpl w:val="6D6C07CD"/>
    <w:lvl w:ilvl="0" w:tentative="0">
      <w:start w:val="1"/>
      <w:numFmt w:val="lowerLetter"/>
      <w:pStyle w:val="40"/>
      <w:lvlText w:val="%1)"/>
      <w:lvlJc w:val="left"/>
      <w:pPr>
        <w:tabs>
          <w:tab w:val="left" w:pos="839"/>
        </w:tabs>
        <w:ind w:left="839" w:hanging="419"/>
      </w:pPr>
      <w:rPr>
        <w:rFonts w:hint="eastAsia" w:ascii="宋体" w:eastAsia="宋体"/>
        <w:b w:val="0"/>
        <w:i w:val="0"/>
        <w:sz w:val="21"/>
      </w:rPr>
    </w:lvl>
    <w:lvl w:ilvl="1" w:tentative="0">
      <w:start w:val="1"/>
      <w:numFmt w:val="decimal"/>
      <w:pStyle w:val="38"/>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num w:numId="1">
    <w:abstractNumId w:val="9"/>
  </w:num>
  <w:num w:numId="2">
    <w:abstractNumId w:val="6"/>
  </w:num>
  <w:num w:numId="3">
    <w:abstractNumId w:val="2"/>
  </w:num>
  <w:num w:numId="4">
    <w:abstractNumId w:val="5"/>
  </w:num>
  <w:num w:numId="5">
    <w:abstractNumId w:val="7"/>
  </w:num>
  <w:num w:numId="6">
    <w:abstractNumId w:val="11"/>
  </w:num>
  <w:num w:numId="7">
    <w:abstractNumId w:val="3"/>
  </w:num>
  <w:num w:numId="8">
    <w:abstractNumId w:val="4"/>
  </w:num>
  <w:num w:numId="9">
    <w:abstractNumId w:val="8"/>
  </w:num>
  <w:num w:numId="10">
    <w:abstractNumId w:val="1"/>
  </w:num>
  <w:num w:numId="11">
    <w:abstractNumId w:val="10"/>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M1ZTE4Nzk1MzIyNDU1NzU4NDBkNjJiYmZmYmUyNjcifQ=="/>
  </w:docVars>
  <w:rsids>
    <w:rsidRoot w:val="00172A27"/>
    <w:rsid w:val="00077F41"/>
    <w:rsid w:val="00093803"/>
    <w:rsid w:val="000C6316"/>
    <w:rsid w:val="000D7EED"/>
    <w:rsid w:val="0014051D"/>
    <w:rsid w:val="00155941"/>
    <w:rsid w:val="00160CB8"/>
    <w:rsid w:val="00163B18"/>
    <w:rsid w:val="00236841"/>
    <w:rsid w:val="00243C63"/>
    <w:rsid w:val="00251B34"/>
    <w:rsid w:val="00261E9A"/>
    <w:rsid w:val="002A5245"/>
    <w:rsid w:val="002C4879"/>
    <w:rsid w:val="002D5C7B"/>
    <w:rsid w:val="002F6EF6"/>
    <w:rsid w:val="0030647C"/>
    <w:rsid w:val="00306966"/>
    <w:rsid w:val="003102D6"/>
    <w:rsid w:val="003218DC"/>
    <w:rsid w:val="00364D87"/>
    <w:rsid w:val="00367621"/>
    <w:rsid w:val="003A2529"/>
    <w:rsid w:val="003A4968"/>
    <w:rsid w:val="003F11FA"/>
    <w:rsid w:val="003F3DE7"/>
    <w:rsid w:val="004014EF"/>
    <w:rsid w:val="00433E76"/>
    <w:rsid w:val="004347F3"/>
    <w:rsid w:val="00477633"/>
    <w:rsid w:val="004F203E"/>
    <w:rsid w:val="00521BC5"/>
    <w:rsid w:val="00547C25"/>
    <w:rsid w:val="00574DF2"/>
    <w:rsid w:val="005B1EBE"/>
    <w:rsid w:val="005B4591"/>
    <w:rsid w:val="005D4603"/>
    <w:rsid w:val="00711487"/>
    <w:rsid w:val="007171BE"/>
    <w:rsid w:val="00721089"/>
    <w:rsid w:val="00727D32"/>
    <w:rsid w:val="00745D57"/>
    <w:rsid w:val="0074751E"/>
    <w:rsid w:val="00784ABC"/>
    <w:rsid w:val="007E0016"/>
    <w:rsid w:val="007E7E0F"/>
    <w:rsid w:val="00814DC5"/>
    <w:rsid w:val="008229B6"/>
    <w:rsid w:val="008229DC"/>
    <w:rsid w:val="00825F03"/>
    <w:rsid w:val="008447B0"/>
    <w:rsid w:val="00857B4C"/>
    <w:rsid w:val="0086377A"/>
    <w:rsid w:val="008774E7"/>
    <w:rsid w:val="00931110"/>
    <w:rsid w:val="00947927"/>
    <w:rsid w:val="00966880"/>
    <w:rsid w:val="009719F8"/>
    <w:rsid w:val="00991ADF"/>
    <w:rsid w:val="009F2BC4"/>
    <w:rsid w:val="00A25CB9"/>
    <w:rsid w:val="00A35205"/>
    <w:rsid w:val="00A662FC"/>
    <w:rsid w:val="00A8096D"/>
    <w:rsid w:val="00A82EF0"/>
    <w:rsid w:val="00AA0C7E"/>
    <w:rsid w:val="00AF090D"/>
    <w:rsid w:val="00AF216C"/>
    <w:rsid w:val="00B10FE7"/>
    <w:rsid w:val="00B244F1"/>
    <w:rsid w:val="00BB0D39"/>
    <w:rsid w:val="00BD5BB2"/>
    <w:rsid w:val="00BE7C7E"/>
    <w:rsid w:val="00C23E27"/>
    <w:rsid w:val="00C67073"/>
    <w:rsid w:val="00C85E82"/>
    <w:rsid w:val="00D11A1E"/>
    <w:rsid w:val="00D1301C"/>
    <w:rsid w:val="00D24EDE"/>
    <w:rsid w:val="00D27DCD"/>
    <w:rsid w:val="00D72B93"/>
    <w:rsid w:val="00D9231A"/>
    <w:rsid w:val="00DA5B51"/>
    <w:rsid w:val="00DE643A"/>
    <w:rsid w:val="00E1019D"/>
    <w:rsid w:val="00E407E6"/>
    <w:rsid w:val="00E52F76"/>
    <w:rsid w:val="00EC4A22"/>
    <w:rsid w:val="00EE1E26"/>
    <w:rsid w:val="00F1650A"/>
    <w:rsid w:val="00F5474E"/>
    <w:rsid w:val="00F63F49"/>
    <w:rsid w:val="00F66CBF"/>
    <w:rsid w:val="00FC709F"/>
    <w:rsid w:val="00FD2FC9"/>
    <w:rsid w:val="00FD57CF"/>
    <w:rsid w:val="00FE5DE6"/>
    <w:rsid w:val="0136557F"/>
    <w:rsid w:val="014417E0"/>
    <w:rsid w:val="019329D2"/>
    <w:rsid w:val="01E271FF"/>
    <w:rsid w:val="01E41B1F"/>
    <w:rsid w:val="01E52B01"/>
    <w:rsid w:val="021519A0"/>
    <w:rsid w:val="024261A6"/>
    <w:rsid w:val="02881E0B"/>
    <w:rsid w:val="02E66B31"/>
    <w:rsid w:val="03463A74"/>
    <w:rsid w:val="0348159A"/>
    <w:rsid w:val="03653EFA"/>
    <w:rsid w:val="03BD5AE4"/>
    <w:rsid w:val="03D33559"/>
    <w:rsid w:val="03DB240E"/>
    <w:rsid w:val="043D6C25"/>
    <w:rsid w:val="045521C0"/>
    <w:rsid w:val="047D34C5"/>
    <w:rsid w:val="04974587"/>
    <w:rsid w:val="049A5E25"/>
    <w:rsid w:val="04BD7D66"/>
    <w:rsid w:val="04D255BF"/>
    <w:rsid w:val="04EE6171"/>
    <w:rsid w:val="050F6813"/>
    <w:rsid w:val="052851DF"/>
    <w:rsid w:val="05373674"/>
    <w:rsid w:val="056F72B2"/>
    <w:rsid w:val="05740424"/>
    <w:rsid w:val="057B7A05"/>
    <w:rsid w:val="05847F27"/>
    <w:rsid w:val="05860158"/>
    <w:rsid w:val="05D95027"/>
    <w:rsid w:val="060317A8"/>
    <w:rsid w:val="061B4D44"/>
    <w:rsid w:val="062F259D"/>
    <w:rsid w:val="06417756"/>
    <w:rsid w:val="064A73D7"/>
    <w:rsid w:val="06652463"/>
    <w:rsid w:val="068B1EC9"/>
    <w:rsid w:val="06AB60C8"/>
    <w:rsid w:val="06F07F7E"/>
    <w:rsid w:val="06F86E33"/>
    <w:rsid w:val="07034156"/>
    <w:rsid w:val="070457D8"/>
    <w:rsid w:val="072F4F4B"/>
    <w:rsid w:val="073C7668"/>
    <w:rsid w:val="074919B2"/>
    <w:rsid w:val="077639DE"/>
    <w:rsid w:val="07AB0349"/>
    <w:rsid w:val="07B70A9C"/>
    <w:rsid w:val="07CB11DD"/>
    <w:rsid w:val="082D6FB0"/>
    <w:rsid w:val="08326375"/>
    <w:rsid w:val="083D3697"/>
    <w:rsid w:val="08A90D2D"/>
    <w:rsid w:val="08DD09D6"/>
    <w:rsid w:val="090E0B90"/>
    <w:rsid w:val="093E76C7"/>
    <w:rsid w:val="09646A02"/>
    <w:rsid w:val="096D58B6"/>
    <w:rsid w:val="09DC2A3C"/>
    <w:rsid w:val="09EF451D"/>
    <w:rsid w:val="0A2D217F"/>
    <w:rsid w:val="0A2D5046"/>
    <w:rsid w:val="0A764C3F"/>
    <w:rsid w:val="0A9E51BA"/>
    <w:rsid w:val="0B04224A"/>
    <w:rsid w:val="0B1F7084"/>
    <w:rsid w:val="0B24315C"/>
    <w:rsid w:val="0B4D1E43"/>
    <w:rsid w:val="0B6251C3"/>
    <w:rsid w:val="0BA61553"/>
    <w:rsid w:val="0BA8707A"/>
    <w:rsid w:val="0BC41D77"/>
    <w:rsid w:val="0C6F1945"/>
    <w:rsid w:val="0C945850"/>
    <w:rsid w:val="0CA84E57"/>
    <w:rsid w:val="0CCF6888"/>
    <w:rsid w:val="0CE560AB"/>
    <w:rsid w:val="0CF77F3A"/>
    <w:rsid w:val="0D244E26"/>
    <w:rsid w:val="0D447276"/>
    <w:rsid w:val="0DA41AC3"/>
    <w:rsid w:val="0E0C5F1C"/>
    <w:rsid w:val="0EA855E3"/>
    <w:rsid w:val="0EAD49A7"/>
    <w:rsid w:val="0F1C2932"/>
    <w:rsid w:val="0F36499C"/>
    <w:rsid w:val="0F680533"/>
    <w:rsid w:val="0F704352"/>
    <w:rsid w:val="0F7A39FB"/>
    <w:rsid w:val="0F825E34"/>
    <w:rsid w:val="0FC401FA"/>
    <w:rsid w:val="10293A80"/>
    <w:rsid w:val="103510F8"/>
    <w:rsid w:val="10667503"/>
    <w:rsid w:val="10A32505"/>
    <w:rsid w:val="10D73F5D"/>
    <w:rsid w:val="10E83632"/>
    <w:rsid w:val="1142587A"/>
    <w:rsid w:val="11651A16"/>
    <w:rsid w:val="11BF511D"/>
    <w:rsid w:val="11D230A2"/>
    <w:rsid w:val="11F8062F"/>
    <w:rsid w:val="121511E1"/>
    <w:rsid w:val="12353631"/>
    <w:rsid w:val="12635AA8"/>
    <w:rsid w:val="126E269F"/>
    <w:rsid w:val="12BA7692"/>
    <w:rsid w:val="12F6691D"/>
    <w:rsid w:val="12FD60C7"/>
    <w:rsid w:val="12FE3A23"/>
    <w:rsid w:val="130F5C30"/>
    <w:rsid w:val="135D699C"/>
    <w:rsid w:val="1376180B"/>
    <w:rsid w:val="13877EBC"/>
    <w:rsid w:val="138959E3"/>
    <w:rsid w:val="13C7650B"/>
    <w:rsid w:val="13D749A0"/>
    <w:rsid w:val="13DD5D2E"/>
    <w:rsid w:val="13E1581F"/>
    <w:rsid w:val="13E64BE3"/>
    <w:rsid w:val="14065285"/>
    <w:rsid w:val="143771ED"/>
    <w:rsid w:val="14496F20"/>
    <w:rsid w:val="145002AE"/>
    <w:rsid w:val="146975C2"/>
    <w:rsid w:val="147026FF"/>
    <w:rsid w:val="147E4E1C"/>
    <w:rsid w:val="147F6DE6"/>
    <w:rsid w:val="148166BA"/>
    <w:rsid w:val="14B95E54"/>
    <w:rsid w:val="14F84643"/>
    <w:rsid w:val="156264EB"/>
    <w:rsid w:val="156D4E90"/>
    <w:rsid w:val="15A44D56"/>
    <w:rsid w:val="15AC7766"/>
    <w:rsid w:val="15C50828"/>
    <w:rsid w:val="15EF58A5"/>
    <w:rsid w:val="16486A32"/>
    <w:rsid w:val="164D0F49"/>
    <w:rsid w:val="164D28A4"/>
    <w:rsid w:val="16BE1E47"/>
    <w:rsid w:val="16E6314C"/>
    <w:rsid w:val="17127A9D"/>
    <w:rsid w:val="17173305"/>
    <w:rsid w:val="172A3039"/>
    <w:rsid w:val="17397720"/>
    <w:rsid w:val="173E6AE4"/>
    <w:rsid w:val="174C1201"/>
    <w:rsid w:val="178E7A6B"/>
    <w:rsid w:val="1796247C"/>
    <w:rsid w:val="17DB2585"/>
    <w:rsid w:val="18251CCF"/>
    <w:rsid w:val="1840063A"/>
    <w:rsid w:val="187D188E"/>
    <w:rsid w:val="189310B2"/>
    <w:rsid w:val="18D07C10"/>
    <w:rsid w:val="192166BD"/>
    <w:rsid w:val="19287A4C"/>
    <w:rsid w:val="192D6E10"/>
    <w:rsid w:val="194F34C0"/>
    <w:rsid w:val="19520625"/>
    <w:rsid w:val="195E346D"/>
    <w:rsid w:val="19832ED4"/>
    <w:rsid w:val="198555C1"/>
    <w:rsid w:val="198729C4"/>
    <w:rsid w:val="199155F1"/>
    <w:rsid w:val="19D07778"/>
    <w:rsid w:val="19DD0836"/>
    <w:rsid w:val="1A002777"/>
    <w:rsid w:val="1A584361"/>
    <w:rsid w:val="1AB64BE3"/>
    <w:rsid w:val="1B0B13D3"/>
    <w:rsid w:val="1B154000"/>
    <w:rsid w:val="1B3721C8"/>
    <w:rsid w:val="1B391A9C"/>
    <w:rsid w:val="1B634D6B"/>
    <w:rsid w:val="1B974A15"/>
    <w:rsid w:val="1B9A3B40"/>
    <w:rsid w:val="1BBC447B"/>
    <w:rsid w:val="1C67088B"/>
    <w:rsid w:val="1C7D3C0B"/>
    <w:rsid w:val="1C976FB2"/>
    <w:rsid w:val="1CF2284B"/>
    <w:rsid w:val="1D28001A"/>
    <w:rsid w:val="1D3249F5"/>
    <w:rsid w:val="1D8D2573"/>
    <w:rsid w:val="1DAF6046"/>
    <w:rsid w:val="1DB4365C"/>
    <w:rsid w:val="1DE57CB9"/>
    <w:rsid w:val="1E1265D5"/>
    <w:rsid w:val="1E214A6A"/>
    <w:rsid w:val="1E25455A"/>
    <w:rsid w:val="1E7554E1"/>
    <w:rsid w:val="1E8A6AB3"/>
    <w:rsid w:val="1E9F430C"/>
    <w:rsid w:val="1EB83620"/>
    <w:rsid w:val="1EC73863"/>
    <w:rsid w:val="1ECB5101"/>
    <w:rsid w:val="1F3D3B25"/>
    <w:rsid w:val="1F505606"/>
    <w:rsid w:val="1F5A6485"/>
    <w:rsid w:val="1F615A66"/>
    <w:rsid w:val="1F7E03C6"/>
    <w:rsid w:val="1F7F7C9A"/>
    <w:rsid w:val="1F8B605E"/>
    <w:rsid w:val="1FBE07C2"/>
    <w:rsid w:val="1FD60202"/>
    <w:rsid w:val="1FEF4E1F"/>
    <w:rsid w:val="1FFB7C68"/>
    <w:rsid w:val="201523AC"/>
    <w:rsid w:val="20286583"/>
    <w:rsid w:val="202F7912"/>
    <w:rsid w:val="2063580D"/>
    <w:rsid w:val="208A2D9A"/>
    <w:rsid w:val="21535882"/>
    <w:rsid w:val="215C64E4"/>
    <w:rsid w:val="21661111"/>
    <w:rsid w:val="219043E0"/>
    <w:rsid w:val="21957C48"/>
    <w:rsid w:val="21CD1190"/>
    <w:rsid w:val="22196184"/>
    <w:rsid w:val="22603DB2"/>
    <w:rsid w:val="22A719E1"/>
    <w:rsid w:val="22CC31F6"/>
    <w:rsid w:val="22D36C7A"/>
    <w:rsid w:val="22FD3CF7"/>
    <w:rsid w:val="23270D74"/>
    <w:rsid w:val="234731C4"/>
    <w:rsid w:val="236B6EB3"/>
    <w:rsid w:val="23953F30"/>
    <w:rsid w:val="23C245F9"/>
    <w:rsid w:val="23C33983"/>
    <w:rsid w:val="23C40371"/>
    <w:rsid w:val="23C95987"/>
    <w:rsid w:val="23ED20E8"/>
    <w:rsid w:val="24045981"/>
    <w:rsid w:val="243472A5"/>
    <w:rsid w:val="24545B99"/>
    <w:rsid w:val="247E6772"/>
    <w:rsid w:val="24BB1774"/>
    <w:rsid w:val="24D665AE"/>
    <w:rsid w:val="24DC02E5"/>
    <w:rsid w:val="25331C52"/>
    <w:rsid w:val="253A4D8F"/>
    <w:rsid w:val="253C3621"/>
    <w:rsid w:val="253D662D"/>
    <w:rsid w:val="25553977"/>
    <w:rsid w:val="256B319A"/>
    <w:rsid w:val="25B032A3"/>
    <w:rsid w:val="25D616BE"/>
    <w:rsid w:val="26296BB1"/>
    <w:rsid w:val="263124FB"/>
    <w:rsid w:val="263E318C"/>
    <w:rsid w:val="2640208A"/>
    <w:rsid w:val="265C6F87"/>
    <w:rsid w:val="268A7650"/>
    <w:rsid w:val="26920BFA"/>
    <w:rsid w:val="26A050C5"/>
    <w:rsid w:val="26BE379D"/>
    <w:rsid w:val="272445CF"/>
    <w:rsid w:val="275E288B"/>
    <w:rsid w:val="27716A62"/>
    <w:rsid w:val="27B150B0"/>
    <w:rsid w:val="27C546B8"/>
    <w:rsid w:val="27CC5A46"/>
    <w:rsid w:val="27D43A83"/>
    <w:rsid w:val="27F54F9D"/>
    <w:rsid w:val="28125B4F"/>
    <w:rsid w:val="28285372"/>
    <w:rsid w:val="284B72B3"/>
    <w:rsid w:val="28551EE0"/>
    <w:rsid w:val="28732366"/>
    <w:rsid w:val="29785E86"/>
    <w:rsid w:val="29C9048F"/>
    <w:rsid w:val="29F16CFD"/>
    <w:rsid w:val="2A1E3DA8"/>
    <w:rsid w:val="2A36189D"/>
    <w:rsid w:val="2A5266D7"/>
    <w:rsid w:val="2A6603D4"/>
    <w:rsid w:val="2A905451"/>
    <w:rsid w:val="2AAB4039"/>
    <w:rsid w:val="2B253DEB"/>
    <w:rsid w:val="2B345DDC"/>
    <w:rsid w:val="2B4754B4"/>
    <w:rsid w:val="2B481888"/>
    <w:rsid w:val="2B710CB1"/>
    <w:rsid w:val="2BCE4483"/>
    <w:rsid w:val="2BD001FB"/>
    <w:rsid w:val="2BE912BD"/>
    <w:rsid w:val="2BE9306B"/>
    <w:rsid w:val="2C077995"/>
    <w:rsid w:val="2C1A3224"/>
    <w:rsid w:val="2CC55886"/>
    <w:rsid w:val="2CDD4252"/>
    <w:rsid w:val="2CE35D0C"/>
    <w:rsid w:val="2D314CC9"/>
    <w:rsid w:val="2D346567"/>
    <w:rsid w:val="2D6D3827"/>
    <w:rsid w:val="2D8D5C78"/>
    <w:rsid w:val="2D9B2143"/>
    <w:rsid w:val="2DE53D06"/>
    <w:rsid w:val="2DEC299E"/>
    <w:rsid w:val="2DFB0E33"/>
    <w:rsid w:val="2E3F3416"/>
    <w:rsid w:val="2E7C01C6"/>
    <w:rsid w:val="2E813A2E"/>
    <w:rsid w:val="2E8E614B"/>
    <w:rsid w:val="2EA15E7F"/>
    <w:rsid w:val="2F336759"/>
    <w:rsid w:val="2F350375"/>
    <w:rsid w:val="2F383732"/>
    <w:rsid w:val="2F3C5BA7"/>
    <w:rsid w:val="2F61316F"/>
    <w:rsid w:val="2F6F7D2B"/>
    <w:rsid w:val="2FAD43AF"/>
    <w:rsid w:val="2FCD4A51"/>
    <w:rsid w:val="2FE73D65"/>
    <w:rsid w:val="301601A6"/>
    <w:rsid w:val="303643A5"/>
    <w:rsid w:val="3078676B"/>
    <w:rsid w:val="308B46F0"/>
    <w:rsid w:val="30A811B7"/>
    <w:rsid w:val="30C220DC"/>
    <w:rsid w:val="31140B8A"/>
    <w:rsid w:val="3155215F"/>
    <w:rsid w:val="31707702"/>
    <w:rsid w:val="31810686"/>
    <w:rsid w:val="3196159F"/>
    <w:rsid w:val="31B41A25"/>
    <w:rsid w:val="31F75DB5"/>
    <w:rsid w:val="32087FC3"/>
    <w:rsid w:val="322070BA"/>
    <w:rsid w:val="323A4620"/>
    <w:rsid w:val="324A05DB"/>
    <w:rsid w:val="32867865"/>
    <w:rsid w:val="32A23F73"/>
    <w:rsid w:val="331C1F78"/>
    <w:rsid w:val="332E5807"/>
    <w:rsid w:val="335C2374"/>
    <w:rsid w:val="33C61EE3"/>
    <w:rsid w:val="33E365F1"/>
    <w:rsid w:val="33F73715"/>
    <w:rsid w:val="3402227D"/>
    <w:rsid w:val="3491604D"/>
    <w:rsid w:val="349B71CE"/>
    <w:rsid w:val="34C31946"/>
    <w:rsid w:val="34EC2A15"/>
    <w:rsid w:val="351849C1"/>
    <w:rsid w:val="35230286"/>
    <w:rsid w:val="352944D8"/>
    <w:rsid w:val="357C36EF"/>
    <w:rsid w:val="35D703D8"/>
    <w:rsid w:val="35E548A3"/>
    <w:rsid w:val="37476E97"/>
    <w:rsid w:val="375F2433"/>
    <w:rsid w:val="377834F5"/>
    <w:rsid w:val="37C404E8"/>
    <w:rsid w:val="38213B8C"/>
    <w:rsid w:val="38481119"/>
    <w:rsid w:val="38495371"/>
    <w:rsid w:val="3857135C"/>
    <w:rsid w:val="386121DB"/>
    <w:rsid w:val="38685317"/>
    <w:rsid w:val="38A5656B"/>
    <w:rsid w:val="38C61C36"/>
    <w:rsid w:val="39565AB7"/>
    <w:rsid w:val="399C171C"/>
    <w:rsid w:val="39B27192"/>
    <w:rsid w:val="3A045513"/>
    <w:rsid w:val="3A7527C3"/>
    <w:rsid w:val="3A791A5E"/>
    <w:rsid w:val="3AF77A09"/>
    <w:rsid w:val="3B0C0B24"/>
    <w:rsid w:val="3B5129DA"/>
    <w:rsid w:val="3B653D90"/>
    <w:rsid w:val="3B697D24"/>
    <w:rsid w:val="3B716BD9"/>
    <w:rsid w:val="3BB84807"/>
    <w:rsid w:val="3BF75330"/>
    <w:rsid w:val="3C145EE2"/>
    <w:rsid w:val="3C1A7270"/>
    <w:rsid w:val="3C5502A8"/>
    <w:rsid w:val="3C5C1637"/>
    <w:rsid w:val="3C957F32"/>
    <w:rsid w:val="3CB43221"/>
    <w:rsid w:val="3CBC3E83"/>
    <w:rsid w:val="3D073351"/>
    <w:rsid w:val="3D0765B5"/>
    <w:rsid w:val="3D474095"/>
    <w:rsid w:val="3D4F2F4A"/>
    <w:rsid w:val="3DC2196D"/>
    <w:rsid w:val="3E0930F8"/>
    <w:rsid w:val="3E2D5039"/>
    <w:rsid w:val="3E506F79"/>
    <w:rsid w:val="3F051B12"/>
    <w:rsid w:val="3F1669A3"/>
    <w:rsid w:val="3F1C50AD"/>
    <w:rsid w:val="3F2B709E"/>
    <w:rsid w:val="3F2D72BA"/>
    <w:rsid w:val="3F487C50"/>
    <w:rsid w:val="3F93711E"/>
    <w:rsid w:val="3FBB6674"/>
    <w:rsid w:val="3FC65745"/>
    <w:rsid w:val="3FCC0881"/>
    <w:rsid w:val="3FF322B2"/>
    <w:rsid w:val="402B55A8"/>
    <w:rsid w:val="405C39B3"/>
    <w:rsid w:val="40C1415E"/>
    <w:rsid w:val="411A73CB"/>
    <w:rsid w:val="41391F47"/>
    <w:rsid w:val="416845DA"/>
    <w:rsid w:val="41727207"/>
    <w:rsid w:val="41EE0F83"/>
    <w:rsid w:val="41FD11C6"/>
    <w:rsid w:val="423A41C8"/>
    <w:rsid w:val="425C3259"/>
    <w:rsid w:val="42A97719"/>
    <w:rsid w:val="42DD3A38"/>
    <w:rsid w:val="42E90FF2"/>
    <w:rsid w:val="42EB101F"/>
    <w:rsid w:val="42FB0032"/>
    <w:rsid w:val="43234C5C"/>
    <w:rsid w:val="434A043B"/>
    <w:rsid w:val="434F476D"/>
    <w:rsid w:val="43A51B15"/>
    <w:rsid w:val="43D9356D"/>
    <w:rsid w:val="43EE526A"/>
    <w:rsid w:val="440B5E1C"/>
    <w:rsid w:val="440E6370"/>
    <w:rsid w:val="4413082D"/>
    <w:rsid w:val="445F1CC4"/>
    <w:rsid w:val="44727C49"/>
    <w:rsid w:val="448259B3"/>
    <w:rsid w:val="44A771C7"/>
    <w:rsid w:val="44F7014F"/>
    <w:rsid w:val="451C7BB5"/>
    <w:rsid w:val="453E5D7D"/>
    <w:rsid w:val="459C2AA4"/>
    <w:rsid w:val="45B44292"/>
    <w:rsid w:val="45D471E6"/>
    <w:rsid w:val="46004DE1"/>
    <w:rsid w:val="46160AA8"/>
    <w:rsid w:val="46420213"/>
    <w:rsid w:val="46696E2A"/>
    <w:rsid w:val="467001B9"/>
    <w:rsid w:val="46932F8C"/>
    <w:rsid w:val="46D00C57"/>
    <w:rsid w:val="47573126"/>
    <w:rsid w:val="476B0980"/>
    <w:rsid w:val="477535AD"/>
    <w:rsid w:val="477A5EA1"/>
    <w:rsid w:val="4791488A"/>
    <w:rsid w:val="479E2B03"/>
    <w:rsid w:val="47B24801"/>
    <w:rsid w:val="47CA38F8"/>
    <w:rsid w:val="482A0AE5"/>
    <w:rsid w:val="48990868"/>
    <w:rsid w:val="48A95C04"/>
    <w:rsid w:val="48CB5B7A"/>
    <w:rsid w:val="48CE566A"/>
    <w:rsid w:val="49061C42"/>
    <w:rsid w:val="49214B3A"/>
    <w:rsid w:val="493C0826"/>
    <w:rsid w:val="4941408E"/>
    <w:rsid w:val="49956188"/>
    <w:rsid w:val="49A168DB"/>
    <w:rsid w:val="49A95790"/>
    <w:rsid w:val="49CF51F6"/>
    <w:rsid w:val="4A056E6A"/>
    <w:rsid w:val="4A0E7992"/>
    <w:rsid w:val="4A525E27"/>
    <w:rsid w:val="4A653DAC"/>
    <w:rsid w:val="4B0233A9"/>
    <w:rsid w:val="4B0372DA"/>
    <w:rsid w:val="4B0D6DAA"/>
    <w:rsid w:val="4B11183E"/>
    <w:rsid w:val="4B1B446B"/>
    <w:rsid w:val="4B410375"/>
    <w:rsid w:val="4B4B11F4"/>
    <w:rsid w:val="4B50680B"/>
    <w:rsid w:val="4BA6642B"/>
    <w:rsid w:val="4BB723E6"/>
    <w:rsid w:val="4BCD7E5B"/>
    <w:rsid w:val="4BD20FCE"/>
    <w:rsid w:val="4BF663FF"/>
    <w:rsid w:val="4C417F01"/>
    <w:rsid w:val="4C4F6AC2"/>
    <w:rsid w:val="4C523EBC"/>
    <w:rsid w:val="4C6205A3"/>
    <w:rsid w:val="4C6A56AA"/>
    <w:rsid w:val="4C6F469D"/>
    <w:rsid w:val="4C771B75"/>
    <w:rsid w:val="4C79769B"/>
    <w:rsid w:val="4C9269AF"/>
    <w:rsid w:val="4D382434"/>
    <w:rsid w:val="4D3F08E5"/>
    <w:rsid w:val="4D812CAB"/>
    <w:rsid w:val="4D8F45EB"/>
    <w:rsid w:val="4DC40DEA"/>
    <w:rsid w:val="4DC808DA"/>
    <w:rsid w:val="4DDC4386"/>
    <w:rsid w:val="4DE80F7C"/>
    <w:rsid w:val="4DEF230B"/>
    <w:rsid w:val="4E105DDD"/>
    <w:rsid w:val="4E265601"/>
    <w:rsid w:val="4E655E61"/>
    <w:rsid w:val="4E9133C2"/>
    <w:rsid w:val="4E9B7D9D"/>
    <w:rsid w:val="4EB7039E"/>
    <w:rsid w:val="4EC41512"/>
    <w:rsid w:val="4F231B40"/>
    <w:rsid w:val="4F361873"/>
    <w:rsid w:val="4F3D70A6"/>
    <w:rsid w:val="4F6665FD"/>
    <w:rsid w:val="4F8D1DDB"/>
    <w:rsid w:val="4F9667B6"/>
    <w:rsid w:val="4FC652ED"/>
    <w:rsid w:val="4FEB08B0"/>
    <w:rsid w:val="4FEB6B02"/>
    <w:rsid w:val="50100325"/>
    <w:rsid w:val="503B2279"/>
    <w:rsid w:val="50923421"/>
    <w:rsid w:val="50C80BF1"/>
    <w:rsid w:val="50FB2D75"/>
    <w:rsid w:val="51163FC1"/>
    <w:rsid w:val="5119769F"/>
    <w:rsid w:val="512E314A"/>
    <w:rsid w:val="5181771E"/>
    <w:rsid w:val="519311FF"/>
    <w:rsid w:val="51B56DF8"/>
    <w:rsid w:val="51B7313F"/>
    <w:rsid w:val="51CB0999"/>
    <w:rsid w:val="51D27F79"/>
    <w:rsid w:val="52097713"/>
    <w:rsid w:val="523A167B"/>
    <w:rsid w:val="524B3888"/>
    <w:rsid w:val="52833022"/>
    <w:rsid w:val="52CD24EF"/>
    <w:rsid w:val="52D4387D"/>
    <w:rsid w:val="53057EDB"/>
    <w:rsid w:val="530D4FE1"/>
    <w:rsid w:val="53397B84"/>
    <w:rsid w:val="533B56AA"/>
    <w:rsid w:val="53620E89"/>
    <w:rsid w:val="53760DD8"/>
    <w:rsid w:val="53AC47FA"/>
    <w:rsid w:val="53BB4A3D"/>
    <w:rsid w:val="53CC27A6"/>
    <w:rsid w:val="53D33B35"/>
    <w:rsid w:val="54001829"/>
    <w:rsid w:val="5406215C"/>
    <w:rsid w:val="54332825"/>
    <w:rsid w:val="544B7B6F"/>
    <w:rsid w:val="545D0A6C"/>
    <w:rsid w:val="547215A0"/>
    <w:rsid w:val="54866DF9"/>
    <w:rsid w:val="54953368"/>
    <w:rsid w:val="54B90F7D"/>
    <w:rsid w:val="54D04518"/>
    <w:rsid w:val="54D25A42"/>
    <w:rsid w:val="54F56767"/>
    <w:rsid w:val="551E34D6"/>
    <w:rsid w:val="55713605"/>
    <w:rsid w:val="55760C1C"/>
    <w:rsid w:val="557650C0"/>
    <w:rsid w:val="55F67FAE"/>
    <w:rsid w:val="560501F2"/>
    <w:rsid w:val="560721BC"/>
    <w:rsid w:val="564156CE"/>
    <w:rsid w:val="565A678F"/>
    <w:rsid w:val="566118CC"/>
    <w:rsid w:val="56777341"/>
    <w:rsid w:val="56955A19"/>
    <w:rsid w:val="56AD2D63"/>
    <w:rsid w:val="57212E09"/>
    <w:rsid w:val="575D6537"/>
    <w:rsid w:val="57723665"/>
    <w:rsid w:val="57763155"/>
    <w:rsid w:val="57833B43"/>
    <w:rsid w:val="5798756F"/>
    <w:rsid w:val="57C739B1"/>
    <w:rsid w:val="57D64006"/>
    <w:rsid w:val="57E92E12"/>
    <w:rsid w:val="580764A3"/>
    <w:rsid w:val="58156E12"/>
    <w:rsid w:val="5822508B"/>
    <w:rsid w:val="58733B38"/>
    <w:rsid w:val="587358E6"/>
    <w:rsid w:val="58AB32D2"/>
    <w:rsid w:val="58B06B3A"/>
    <w:rsid w:val="58C83E84"/>
    <w:rsid w:val="58EA204C"/>
    <w:rsid w:val="593C03CE"/>
    <w:rsid w:val="595474C6"/>
    <w:rsid w:val="595C281E"/>
    <w:rsid w:val="5960230F"/>
    <w:rsid w:val="597610C2"/>
    <w:rsid w:val="59C53DD7"/>
    <w:rsid w:val="5A1B4488"/>
    <w:rsid w:val="5A285D45"/>
    <w:rsid w:val="5A3E2B3C"/>
    <w:rsid w:val="5A6279C1"/>
    <w:rsid w:val="5A690D4F"/>
    <w:rsid w:val="5AA24261"/>
    <w:rsid w:val="5AC62645"/>
    <w:rsid w:val="5ACE0C44"/>
    <w:rsid w:val="5ADD173D"/>
    <w:rsid w:val="5ADE798F"/>
    <w:rsid w:val="5AE42ACB"/>
    <w:rsid w:val="5B10566E"/>
    <w:rsid w:val="5B303F63"/>
    <w:rsid w:val="5B3C46B5"/>
    <w:rsid w:val="5B5639C9"/>
    <w:rsid w:val="5B6360E6"/>
    <w:rsid w:val="5B9718EC"/>
    <w:rsid w:val="5BA33255"/>
    <w:rsid w:val="5BE34B31"/>
    <w:rsid w:val="5C013209"/>
    <w:rsid w:val="5C043425"/>
    <w:rsid w:val="5C724FDF"/>
    <w:rsid w:val="5C877BB2"/>
    <w:rsid w:val="5C9122C7"/>
    <w:rsid w:val="5C9A1694"/>
    <w:rsid w:val="5CD70CB9"/>
    <w:rsid w:val="5D1C02FB"/>
    <w:rsid w:val="5D251D29"/>
    <w:rsid w:val="5D79574D"/>
    <w:rsid w:val="5D9D3BE1"/>
    <w:rsid w:val="5DB26EB1"/>
    <w:rsid w:val="5E23390B"/>
    <w:rsid w:val="5E532442"/>
    <w:rsid w:val="5E5E2B95"/>
    <w:rsid w:val="5E6D4B86"/>
    <w:rsid w:val="5EAB402C"/>
    <w:rsid w:val="5EEE3F19"/>
    <w:rsid w:val="5EF157B7"/>
    <w:rsid w:val="5F1F0576"/>
    <w:rsid w:val="5F2F459B"/>
    <w:rsid w:val="5F463D55"/>
    <w:rsid w:val="5F61293D"/>
    <w:rsid w:val="5FA32F55"/>
    <w:rsid w:val="605E6E7C"/>
    <w:rsid w:val="60844B35"/>
    <w:rsid w:val="60936B26"/>
    <w:rsid w:val="60B151FE"/>
    <w:rsid w:val="60E90E3C"/>
    <w:rsid w:val="613B0F6B"/>
    <w:rsid w:val="616109D2"/>
    <w:rsid w:val="619A2136"/>
    <w:rsid w:val="61A86601"/>
    <w:rsid w:val="61AE5BE1"/>
    <w:rsid w:val="61DA0784"/>
    <w:rsid w:val="61DE2439"/>
    <w:rsid w:val="61FF370F"/>
    <w:rsid w:val="62483940"/>
    <w:rsid w:val="626764BC"/>
    <w:rsid w:val="63181564"/>
    <w:rsid w:val="631A3196"/>
    <w:rsid w:val="631A52DC"/>
    <w:rsid w:val="635A7DCF"/>
    <w:rsid w:val="63B2759E"/>
    <w:rsid w:val="63B76FCF"/>
    <w:rsid w:val="64116879"/>
    <w:rsid w:val="641C5084"/>
    <w:rsid w:val="641E704E"/>
    <w:rsid w:val="64462101"/>
    <w:rsid w:val="64B21544"/>
    <w:rsid w:val="64E8140A"/>
    <w:rsid w:val="64E831B8"/>
    <w:rsid w:val="64F46001"/>
    <w:rsid w:val="65363F24"/>
    <w:rsid w:val="6536434F"/>
    <w:rsid w:val="65562818"/>
    <w:rsid w:val="65DF0A5F"/>
    <w:rsid w:val="660F30F2"/>
    <w:rsid w:val="663D12E2"/>
    <w:rsid w:val="664E50BC"/>
    <w:rsid w:val="66652D12"/>
    <w:rsid w:val="668F4233"/>
    <w:rsid w:val="66CF63DE"/>
    <w:rsid w:val="66E8749F"/>
    <w:rsid w:val="670D5158"/>
    <w:rsid w:val="67332E10"/>
    <w:rsid w:val="673646AF"/>
    <w:rsid w:val="6751773B"/>
    <w:rsid w:val="675B5EC3"/>
    <w:rsid w:val="67A41555"/>
    <w:rsid w:val="68185BEC"/>
    <w:rsid w:val="683138AD"/>
    <w:rsid w:val="68633281"/>
    <w:rsid w:val="68D26659"/>
    <w:rsid w:val="68EA5751"/>
    <w:rsid w:val="690C1B6B"/>
    <w:rsid w:val="69132EFA"/>
    <w:rsid w:val="691E364C"/>
    <w:rsid w:val="69344C1E"/>
    <w:rsid w:val="69513A22"/>
    <w:rsid w:val="69787200"/>
    <w:rsid w:val="69C935B8"/>
    <w:rsid w:val="6A2E5B11"/>
    <w:rsid w:val="6AA3205B"/>
    <w:rsid w:val="6AED777A"/>
    <w:rsid w:val="6B2A452A"/>
    <w:rsid w:val="6B9E2823"/>
    <w:rsid w:val="6BA75B7B"/>
    <w:rsid w:val="6BC4672D"/>
    <w:rsid w:val="6BEC5C84"/>
    <w:rsid w:val="6C557385"/>
    <w:rsid w:val="6C727F37"/>
    <w:rsid w:val="6C7D4B2E"/>
    <w:rsid w:val="6CC462B9"/>
    <w:rsid w:val="6CDF1345"/>
    <w:rsid w:val="6CF43042"/>
    <w:rsid w:val="6CF50B68"/>
    <w:rsid w:val="6D433682"/>
    <w:rsid w:val="6D54763D"/>
    <w:rsid w:val="6D747CDF"/>
    <w:rsid w:val="6D857C2C"/>
    <w:rsid w:val="6DC24EEE"/>
    <w:rsid w:val="6DC76061"/>
    <w:rsid w:val="6E0A419F"/>
    <w:rsid w:val="6E10402A"/>
    <w:rsid w:val="6E1F7C4B"/>
    <w:rsid w:val="6E755ABD"/>
    <w:rsid w:val="6E7D0E15"/>
    <w:rsid w:val="6E821BA6"/>
    <w:rsid w:val="6E8C40E8"/>
    <w:rsid w:val="6EB56801"/>
    <w:rsid w:val="6EC66318"/>
    <w:rsid w:val="6EC86534"/>
    <w:rsid w:val="6EDE7B06"/>
    <w:rsid w:val="6EF2710D"/>
    <w:rsid w:val="6F0D03EB"/>
    <w:rsid w:val="6F1C062E"/>
    <w:rsid w:val="6F410095"/>
    <w:rsid w:val="6F7E3097"/>
    <w:rsid w:val="6FBB1BF5"/>
    <w:rsid w:val="6FCD36D6"/>
    <w:rsid w:val="6FD827A7"/>
    <w:rsid w:val="702F1F81"/>
    <w:rsid w:val="70671D7D"/>
    <w:rsid w:val="706E6C67"/>
    <w:rsid w:val="708C17E3"/>
    <w:rsid w:val="70A42689"/>
    <w:rsid w:val="70BA3C5B"/>
    <w:rsid w:val="70E707C8"/>
    <w:rsid w:val="70FA674D"/>
    <w:rsid w:val="71237A52"/>
    <w:rsid w:val="712B6906"/>
    <w:rsid w:val="71341C5F"/>
    <w:rsid w:val="71902C0D"/>
    <w:rsid w:val="71926986"/>
    <w:rsid w:val="71997D14"/>
    <w:rsid w:val="71C11019"/>
    <w:rsid w:val="71CD3E62"/>
    <w:rsid w:val="71F413EE"/>
    <w:rsid w:val="72330169"/>
    <w:rsid w:val="7233543C"/>
    <w:rsid w:val="72730565"/>
    <w:rsid w:val="728269FA"/>
    <w:rsid w:val="73520AC2"/>
    <w:rsid w:val="736B748E"/>
    <w:rsid w:val="7379604F"/>
    <w:rsid w:val="739F538A"/>
    <w:rsid w:val="73A330CC"/>
    <w:rsid w:val="73A66718"/>
    <w:rsid w:val="73CA0659"/>
    <w:rsid w:val="74000DE6"/>
    <w:rsid w:val="741E09A4"/>
    <w:rsid w:val="74582108"/>
    <w:rsid w:val="749D3FBF"/>
    <w:rsid w:val="74DA29AD"/>
    <w:rsid w:val="750D66D2"/>
    <w:rsid w:val="751853F4"/>
    <w:rsid w:val="753C37D8"/>
    <w:rsid w:val="756643B1"/>
    <w:rsid w:val="757D16FB"/>
    <w:rsid w:val="75A3343A"/>
    <w:rsid w:val="75E70E46"/>
    <w:rsid w:val="75FC4D15"/>
    <w:rsid w:val="76085468"/>
    <w:rsid w:val="76116A13"/>
    <w:rsid w:val="761402B1"/>
    <w:rsid w:val="763C5112"/>
    <w:rsid w:val="76FB4FCD"/>
    <w:rsid w:val="770F2826"/>
    <w:rsid w:val="773504DF"/>
    <w:rsid w:val="77400C32"/>
    <w:rsid w:val="77672662"/>
    <w:rsid w:val="778E5E41"/>
    <w:rsid w:val="778E7BEF"/>
    <w:rsid w:val="77DF669D"/>
    <w:rsid w:val="77FE2FC7"/>
    <w:rsid w:val="780A196C"/>
    <w:rsid w:val="786170B2"/>
    <w:rsid w:val="78731498"/>
    <w:rsid w:val="78A07BDA"/>
    <w:rsid w:val="78AF606F"/>
    <w:rsid w:val="78D930EC"/>
    <w:rsid w:val="79183C14"/>
    <w:rsid w:val="791A5BDE"/>
    <w:rsid w:val="79570BE0"/>
    <w:rsid w:val="798E3ED6"/>
    <w:rsid w:val="79A4749B"/>
    <w:rsid w:val="79BA2F1D"/>
    <w:rsid w:val="7A301431"/>
    <w:rsid w:val="7A3731F1"/>
    <w:rsid w:val="7A560E98"/>
    <w:rsid w:val="7A5E7D4D"/>
    <w:rsid w:val="7A770E0E"/>
    <w:rsid w:val="7AA5772A"/>
    <w:rsid w:val="7AA80FC8"/>
    <w:rsid w:val="7AD85D51"/>
    <w:rsid w:val="7B3B62E0"/>
    <w:rsid w:val="7B3D7962"/>
    <w:rsid w:val="7BE75B20"/>
    <w:rsid w:val="7BEC3136"/>
    <w:rsid w:val="7C413482"/>
    <w:rsid w:val="7C4411C4"/>
    <w:rsid w:val="7C4B60AF"/>
    <w:rsid w:val="7C653614"/>
    <w:rsid w:val="7C8A4E29"/>
    <w:rsid w:val="7CB7251E"/>
    <w:rsid w:val="7CDC31AB"/>
    <w:rsid w:val="7CF16C56"/>
    <w:rsid w:val="7CF46746"/>
    <w:rsid w:val="7CF6426C"/>
    <w:rsid w:val="7D142945"/>
    <w:rsid w:val="7D230DDA"/>
    <w:rsid w:val="7D6B2EAC"/>
    <w:rsid w:val="7D741635"/>
    <w:rsid w:val="7D965A4F"/>
    <w:rsid w:val="7D9F4904"/>
    <w:rsid w:val="7DA0242A"/>
    <w:rsid w:val="7DA72945"/>
    <w:rsid w:val="7E8555AE"/>
    <w:rsid w:val="7E867872"/>
    <w:rsid w:val="7EA63A70"/>
    <w:rsid w:val="7EE03426"/>
    <w:rsid w:val="7EF96296"/>
    <w:rsid w:val="7EFC7B34"/>
    <w:rsid w:val="7F4219EB"/>
    <w:rsid w:val="7F73429A"/>
    <w:rsid w:val="7F8518D8"/>
    <w:rsid w:val="7F98785D"/>
    <w:rsid w:val="7FC71EF0"/>
    <w:rsid w:val="7FEC1957"/>
    <w:rsid w:val="7FED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qFormat/>
    <w:uiPriority w:val="0"/>
  </w:style>
  <w:style w:type="table" w:default="1" w:styleId="7">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2">
    <w:name w:val="caption"/>
    <w:basedOn w:val="1"/>
    <w:next w:val="1"/>
    <w:qFormat/>
    <w:uiPriority w:val="0"/>
    <w:pPr>
      <w:spacing w:before="152" w:after="160"/>
    </w:pPr>
    <w:rPr>
      <w:rFonts w:ascii="Arial" w:hAnsi="Arial" w:eastAsia="黑体" w:cs="Arial"/>
      <w:sz w:val="20"/>
      <w:szCs w:val="20"/>
    </w:rPr>
  </w:style>
  <w:style w:type="paragraph" w:styleId="3">
    <w:name w:val="Body Text Indent"/>
    <w:basedOn w:val="1"/>
    <w:link w:val="24"/>
    <w:qFormat/>
    <w:uiPriority w:val="0"/>
    <w:pPr>
      <w:spacing w:line="440" w:lineRule="exact"/>
      <w:ind w:left="340" w:leftChars="162" w:firstLine="480" w:firstLineChars="200"/>
    </w:pPr>
    <w:rPr>
      <w:rFonts w:ascii="宋体" w:hAnsi="宋体"/>
      <w:sz w:val="24"/>
      <w:lang w:val="zh-CN" w:eastAsia="zh-CN"/>
    </w:rPr>
  </w:style>
  <w:style w:type="paragraph" w:styleId="4">
    <w:name w:val="footer"/>
    <w:basedOn w:val="1"/>
    <w:link w:val="25"/>
    <w:qFormat/>
    <w:uiPriority w:val="0"/>
    <w:pPr>
      <w:tabs>
        <w:tab w:val="center" w:pos="4153"/>
        <w:tab w:val="right" w:pos="8306"/>
      </w:tabs>
      <w:snapToGrid w:val="0"/>
      <w:jc w:val="left"/>
    </w:pPr>
    <w:rPr>
      <w:sz w:val="18"/>
      <w:szCs w:val="18"/>
      <w:lang w:val="zh-CN" w:eastAsia="zh-CN"/>
    </w:rPr>
  </w:style>
  <w:style w:type="paragraph" w:styleId="5">
    <w:name w:val="header"/>
    <w:basedOn w:val="1"/>
    <w:link w:val="20"/>
    <w:qFormat/>
    <w:uiPriority w:val="0"/>
    <w:pPr>
      <w:numPr>
        <w:ilvl w:val="6"/>
        <w:numId w:val="1"/>
      </w:numPr>
      <w:pBdr>
        <w:bottom w:val="single" w:color="auto" w:sz="6" w:space="1"/>
      </w:pBdr>
      <w:tabs>
        <w:tab w:val="center" w:pos="4153"/>
        <w:tab w:val="right" w:pos="8306"/>
      </w:tabs>
      <w:snapToGrid w:val="0"/>
      <w:jc w:val="center"/>
    </w:pPr>
    <w:rPr>
      <w:sz w:val="18"/>
      <w:szCs w:val="18"/>
      <w:lang w:val="zh-CN" w:eastAsia="zh-CN"/>
    </w:rPr>
  </w:style>
  <w:style w:type="paragraph" w:styleId="6">
    <w:name w:val="HTML Preformatted"/>
    <w:basedOn w:val="1"/>
    <w:qFormat/>
    <w:uiPriority w:val="0"/>
    <w:rPr>
      <w:rFonts w:ascii="Courier New" w:hAnsi="Courier New" w:cs="Courier New"/>
      <w:sz w:val="20"/>
      <w:szCs w:val="20"/>
    </w:rPr>
  </w:style>
  <w:style w:type="table" w:styleId="8">
    <w:name w:val="Table Grid"/>
    <w:basedOn w:val="7"/>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qFormat/>
    <w:uiPriority w:val="0"/>
    <w:rPr>
      <w:rFonts w:ascii="Times New Roman" w:hAnsi="Times New Roman" w:eastAsia="宋体"/>
      <w:sz w:val="18"/>
    </w:rPr>
  </w:style>
  <w:style w:type="paragraph" w:customStyle="1" w:styleId="11">
    <w:name w:val="一级条标题"/>
    <w:next w:val="12"/>
    <w:link w:val="13"/>
    <w:qFormat/>
    <w:uiPriority w:val="0"/>
    <w:pPr>
      <w:numPr>
        <w:ilvl w:val="2"/>
        <w:numId w:val="1"/>
      </w:numPr>
      <w:outlineLvl w:val="2"/>
    </w:pPr>
    <w:rPr>
      <w:rFonts w:ascii="Times New Roman" w:hAnsi="Times New Roman" w:eastAsia="黑体" w:cs="Times New Roman"/>
      <w:sz w:val="21"/>
      <w:lang w:val="en-US" w:eastAsia="zh-CN" w:bidi="ar-SA"/>
    </w:rPr>
  </w:style>
  <w:style w:type="paragraph" w:customStyle="1" w:styleId="12">
    <w:name w:val="段"/>
    <w:link w:val="1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3">
    <w:name w:val="一级条标题 Char Char"/>
    <w:link w:val="11"/>
    <w:qFormat/>
    <w:uiPriority w:val="0"/>
    <w:rPr>
      <w:rFonts w:eastAsia="黑体"/>
      <w:sz w:val="21"/>
      <w:lang w:val="en-US" w:eastAsia="zh-CN" w:bidi="ar-SA"/>
    </w:rPr>
  </w:style>
  <w:style w:type="character" w:customStyle="1" w:styleId="14">
    <w:name w:val="一级条标题 Char1"/>
    <w:qFormat/>
    <w:uiPriority w:val="0"/>
    <w:rPr>
      <w:rFonts w:ascii="黑体" w:eastAsia="黑体"/>
      <w:sz w:val="21"/>
      <w:szCs w:val="21"/>
      <w:lang w:val="en-US" w:eastAsia="zh-CN" w:bidi="ar-SA"/>
    </w:rPr>
  </w:style>
  <w:style w:type="character" w:customStyle="1" w:styleId="15">
    <w:name w:val="段 Char Char"/>
    <w:link w:val="12"/>
    <w:qFormat/>
    <w:uiPriority w:val="0"/>
    <w:rPr>
      <w:rFonts w:ascii="宋体"/>
      <w:sz w:val="21"/>
      <w:lang w:val="en-US" w:eastAsia="zh-CN" w:bidi="ar-SA"/>
    </w:rPr>
  </w:style>
  <w:style w:type="character" w:customStyle="1" w:styleId="16">
    <w:name w:val="附录公式 Char Char"/>
    <w:link w:val="17"/>
    <w:qFormat/>
    <w:uiPriority w:val="0"/>
    <w:rPr>
      <w:rFonts w:ascii="宋体"/>
      <w:sz w:val="21"/>
      <w:lang w:val="en-US" w:eastAsia="zh-CN"/>
    </w:rPr>
  </w:style>
  <w:style w:type="paragraph" w:customStyle="1" w:styleId="17">
    <w:name w:val="附录公式"/>
    <w:basedOn w:val="1"/>
    <w:next w:val="1"/>
    <w:link w:val="16"/>
    <w:qFormat/>
    <w:uiPriority w:val="0"/>
    <w:pPr>
      <w:widowControl/>
      <w:tabs>
        <w:tab w:val="center" w:pos="4201"/>
        <w:tab w:val="right" w:leader="dot" w:pos="9298"/>
      </w:tabs>
      <w:autoSpaceDE w:val="0"/>
      <w:autoSpaceDN w:val="0"/>
      <w:ind w:firstLine="420" w:firstLineChars="200"/>
    </w:pPr>
    <w:rPr>
      <w:rFonts w:ascii="宋体"/>
      <w:kern w:val="0"/>
      <w:szCs w:val="20"/>
      <w:lang w:val="en-US" w:eastAsia="zh-CN"/>
    </w:rPr>
  </w:style>
  <w:style w:type="character" w:customStyle="1" w:styleId="18">
    <w:name w:val="首示例 Char Char"/>
    <w:link w:val="19"/>
    <w:qFormat/>
    <w:uiPriority w:val="0"/>
    <w:rPr>
      <w:rFonts w:ascii="宋体" w:hAnsi="宋体"/>
      <w:kern w:val="2"/>
      <w:sz w:val="18"/>
      <w:szCs w:val="18"/>
      <w:lang w:val="en-US" w:eastAsia="zh-CN" w:bidi="ar-SA"/>
    </w:rPr>
  </w:style>
  <w:style w:type="paragraph" w:customStyle="1" w:styleId="19">
    <w:name w:val="首示例"/>
    <w:next w:val="1"/>
    <w:link w:val="18"/>
    <w:qFormat/>
    <w:uiPriority w:val="0"/>
    <w:rPr>
      <w:rFonts w:ascii="宋体" w:hAnsi="宋体" w:eastAsia="宋体" w:cs="Times New Roman"/>
      <w:kern w:val="2"/>
      <w:sz w:val="18"/>
      <w:szCs w:val="18"/>
      <w:lang w:val="en-US" w:eastAsia="zh-CN" w:bidi="ar-SA"/>
    </w:rPr>
  </w:style>
  <w:style w:type="character" w:customStyle="1" w:styleId="20">
    <w:name w:val="页眉 Char"/>
    <w:link w:val="5"/>
    <w:qFormat/>
    <w:uiPriority w:val="0"/>
    <w:rPr>
      <w:kern w:val="2"/>
      <w:sz w:val="18"/>
      <w:szCs w:val="18"/>
    </w:rPr>
  </w:style>
  <w:style w:type="character" w:customStyle="1" w:styleId="21">
    <w:name w:val="二级条标题 Char Char"/>
    <w:basedOn w:val="13"/>
    <w:link w:val="22"/>
    <w:qFormat/>
    <w:uiPriority w:val="0"/>
    <w:rPr>
      <w:rFonts w:eastAsia="黑体"/>
      <w:sz w:val="21"/>
      <w:lang w:val="en-US" w:eastAsia="zh-CN" w:bidi="ar-SA"/>
    </w:rPr>
  </w:style>
  <w:style w:type="paragraph" w:customStyle="1" w:styleId="22">
    <w:name w:val="二级条标题"/>
    <w:basedOn w:val="11"/>
    <w:next w:val="12"/>
    <w:link w:val="21"/>
    <w:qFormat/>
    <w:uiPriority w:val="0"/>
    <w:pPr>
      <w:numPr>
        <w:ilvl w:val="3"/>
      </w:numPr>
      <w:outlineLvl w:val="3"/>
    </w:pPr>
  </w:style>
  <w:style w:type="character" w:customStyle="1" w:styleId="23">
    <w:name w:val="段 Char"/>
    <w:qFormat/>
    <w:uiPriority w:val="0"/>
    <w:rPr>
      <w:rFonts w:ascii="宋体" w:hAnsi="Times New Roman"/>
      <w:sz w:val="21"/>
      <w:lang w:val="en-US" w:eastAsia="zh-CN" w:bidi="ar-SA"/>
    </w:rPr>
  </w:style>
  <w:style w:type="character" w:customStyle="1" w:styleId="24">
    <w:name w:val="正文文本缩进 Char"/>
    <w:link w:val="3"/>
    <w:qFormat/>
    <w:uiPriority w:val="0"/>
    <w:rPr>
      <w:rFonts w:ascii="宋体" w:hAnsi="宋体"/>
      <w:kern w:val="2"/>
      <w:sz w:val="24"/>
      <w:szCs w:val="24"/>
    </w:rPr>
  </w:style>
  <w:style w:type="character" w:customStyle="1" w:styleId="25">
    <w:name w:val="页脚 Char"/>
    <w:link w:val="4"/>
    <w:qFormat/>
    <w:uiPriority w:val="0"/>
    <w:rPr>
      <w:kern w:val="2"/>
      <w:sz w:val="18"/>
      <w:szCs w:val="18"/>
    </w:rPr>
  </w:style>
  <w:style w:type="character" w:customStyle="1" w:styleId="26">
    <w:name w:val="样式 二级条标题 + 宋体 Char Char"/>
    <w:link w:val="27"/>
    <w:qFormat/>
    <w:uiPriority w:val="0"/>
    <w:rPr>
      <w:rFonts w:ascii="宋体" w:hAnsi="宋体" w:eastAsia="宋体"/>
      <w:sz w:val="21"/>
      <w:lang w:val="en-US" w:eastAsia="zh-CN" w:bidi="ar-SA"/>
    </w:rPr>
  </w:style>
  <w:style w:type="paragraph" w:customStyle="1" w:styleId="27">
    <w:name w:val="样式 二级条标题 + 宋体"/>
    <w:basedOn w:val="22"/>
    <w:link w:val="26"/>
    <w:qFormat/>
    <w:uiPriority w:val="0"/>
    <w:pPr>
      <w:numPr>
        <w:numId w:val="2"/>
      </w:numPr>
      <w:jc w:val="both"/>
    </w:pPr>
    <w:rPr>
      <w:rFonts w:ascii="宋体" w:hAnsi="宋体" w:eastAsia="宋体"/>
    </w:rPr>
  </w:style>
  <w:style w:type="paragraph" w:customStyle="1" w:styleId="28">
    <w:name w:val="四级条标题"/>
    <w:basedOn w:val="29"/>
    <w:next w:val="12"/>
    <w:qFormat/>
    <w:uiPriority w:val="0"/>
    <w:pPr>
      <w:ind w:left="1134"/>
      <w:outlineLvl w:val="5"/>
    </w:pPr>
  </w:style>
  <w:style w:type="paragraph" w:customStyle="1" w:styleId="29">
    <w:name w:val="三级条标题"/>
    <w:basedOn w:val="22"/>
    <w:next w:val="12"/>
    <w:qFormat/>
    <w:uiPriority w:val="0"/>
    <w:pPr>
      <w:numPr>
        <w:numId w:val="0"/>
      </w:numPr>
      <w:spacing w:before="156" w:beforeLines="50" w:after="156" w:afterLines="50"/>
      <w:outlineLvl w:val="4"/>
    </w:pPr>
    <w:rPr>
      <w:rFonts w:ascii="黑体"/>
      <w:szCs w:val="21"/>
    </w:rPr>
  </w:style>
  <w:style w:type="paragraph" w:customStyle="1" w:styleId="30">
    <w:name w:val="二级无标题条"/>
    <w:basedOn w:val="1"/>
    <w:qFormat/>
    <w:uiPriority w:val="0"/>
    <w:pPr>
      <w:numPr>
        <w:ilvl w:val="3"/>
        <w:numId w:val="3"/>
      </w:numPr>
    </w:pPr>
  </w:style>
  <w:style w:type="paragraph" w:customStyle="1" w:styleId="31">
    <w:name w:val="一级无标题条"/>
    <w:basedOn w:val="1"/>
    <w:qFormat/>
    <w:uiPriority w:val="0"/>
    <w:pPr>
      <w:numPr>
        <w:ilvl w:val="2"/>
        <w:numId w:val="3"/>
      </w:numPr>
    </w:pPr>
  </w:style>
  <w:style w:type="paragraph" w:customStyle="1" w:styleId="32">
    <w:name w:val="字母编号列项（一级）"/>
    <w:qFormat/>
    <w:uiPriority w:val="0"/>
    <w:pPr>
      <w:numPr>
        <w:ilvl w:val="0"/>
        <w:numId w:val="4"/>
      </w:numPr>
      <w:jc w:val="both"/>
    </w:pPr>
    <w:rPr>
      <w:rFonts w:ascii="宋体" w:hAnsi="Times New Roman" w:eastAsia="宋体" w:cs="Times New Roman"/>
      <w:sz w:val="21"/>
      <w:lang w:val="en-US" w:eastAsia="zh-CN" w:bidi="ar-SA"/>
    </w:rPr>
  </w:style>
  <w:style w:type="paragraph" w:customStyle="1" w:styleId="33">
    <w:name w:val="章标题"/>
    <w:next w:val="12"/>
    <w:qFormat/>
    <w:uiPriority w:val="0"/>
    <w:pPr>
      <w:numPr>
        <w:ilvl w:val="1"/>
        <w:numId w:val="1"/>
      </w:numPr>
      <w:spacing w:before="156" w:beforeLines="50" w:after="156" w:afterLines="50"/>
      <w:jc w:val="both"/>
      <w:outlineLvl w:val="1"/>
    </w:pPr>
    <w:rPr>
      <w:rFonts w:ascii="黑体" w:hAnsi="Times New Roman" w:eastAsia="黑体" w:cs="Times New Roman"/>
      <w:sz w:val="21"/>
      <w:lang w:val="en-US" w:eastAsia="zh-CN" w:bidi="ar-SA"/>
    </w:rPr>
  </w:style>
  <w:style w:type="paragraph" w:customStyle="1" w:styleId="34">
    <w:name w:val="示例×："/>
    <w:basedOn w:val="1"/>
    <w:qFormat/>
    <w:uiPriority w:val="0"/>
    <w:pPr>
      <w:widowControl/>
    </w:pPr>
    <w:rPr>
      <w:rFonts w:ascii="宋体"/>
      <w:kern w:val="0"/>
      <w:sz w:val="18"/>
      <w:szCs w:val="18"/>
    </w:rPr>
  </w:style>
  <w:style w:type="paragraph" w:customStyle="1" w:styleId="35">
    <w:name w:val="附录一级条标题"/>
    <w:basedOn w:val="36"/>
    <w:next w:val="12"/>
    <w:qFormat/>
    <w:uiPriority w:val="0"/>
    <w:pPr>
      <w:numPr>
        <w:ilvl w:val="2"/>
      </w:numPr>
      <w:tabs>
        <w:tab w:val="left" w:pos="360"/>
      </w:tabs>
      <w:autoSpaceDN w:val="0"/>
      <w:spacing w:before="156" w:beforeLines="50" w:after="156" w:afterLines="50"/>
      <w:outlineLvl w:val="2"/>
    </w:pPr>
  </w:style>
  <w:style w:type="paragraph" w:customStyle="1" w:styleId="36">
    <w:name w:val="附录章标题"/>
    <w:next w:val="12"/>
    <w:qFormat/>
    <w:uiPriority w:val="0"/>
    <w:pPr>
      <w:numPr>
        <w:ilvl w:val="1"/>
        <w:numId w:val="5"/>
      </w:numPr>
      <w:tabs>
        <w:tab w:val="left" w:pos="360"/>
      </w:tabs>
      <w:wordWrap w:val="0"/>
      <w:overflowPunct w:val="0"/>
      <w:autoSpaceDE w:val="0"/>
      <w:spacing w:before="312" w:beforeLines="100" w:after="312"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37">
    <w:name w:val="附录公式编号制表符"/>
    <w:basedOn w:val="1"/>
    <w:next w:val="1"/>
    <w:qFormat/>
    <w:uiPriority w:val="0"/>
    <w:pPr>
      <w:widowControl/>
      <w:tabs>
        <w:tab w:val="center" w:pos="4201"/>
        <w:tab w:val="right" w:leader="dot" w:pos="9298"/>
      </w:tabs>
      <w:autoSpaceDE w:val="0"/>
      <w:autoSpaceDN w:val="0"/>
    </w:pPr>
    <w:rPr>
      <w:rFonts w:ascii="宋体"/>
      <w:kern w:val="0"/>
      <w:szCs w:val="20"/>
      <w:lang w:val="en-US" w:eastAsia="zh-CN"/>
    </w:rPr>
  </w:style>
  <w:style w:type="paragraph" w:customStyle="1" w:styleId="38">
    <w:name w:val="附录数字编号列项（二级）"/>
    <w:qFormat/>
    <w:uiPriority w:val="0"/>
    <w:pPr>
      <w:numPr>
        <w:ilvl w:val="1"/>
        <w:numId w:val="6"/>
      </w:numPr>
    </w:pPr>
    <w:rPr>
      <w:rFonts w:ascii="宋体" w:hAnsi="Times New Roman" w:eastAsia="宋体" w:cs="Times New Roman"/>
      <w:sz w:val="21"/>
      <w:lang w:val="en-US" w:eastAsia="zh-CN" w:bidi="ar-SA"/>
    </w:rPr>
  </w:style>
  <w:style w:type="paragraph" w:customStyle="1" w:styleId="39">
    <w:name w:val="实施日期"/>
    <w:basedOn w:val="1"/>
    <w:qFormat/>
    <w:uiPriority w:val="0"/>
    <w:pPr>
      <w:widowControl/>
      <w:numPr>
        <w:ilvl w:val="4"/>
        <w:numId w:val="1"/>
      </w:numPr>
      <w:jc w:val="right"/>
    </w:pPr>
    <w:rPr>
      <w:rFonts w:eastAsia="黑体"/>
      <w:kern w:val="0"/>
      <w:sz w:val="28"/>
      <w:szCs w:val="20"/>
    </w:rPr>
  </w:style>
  <w:style w:type="paragraph" w:customStyle="1" w:styleId="40">
    <w:name w:val="附录字母编号列项（一级）"/>
    <w:qFormat/>
    <w:uiPriority w:val="0"/>
    <w:pPr>
      <w:numPr>
        <w:ilvl w:val="0"/>
        <w:numId w:val="6"/>
      </w:numPr>
    </w:pPr>
    <w:rPr>
      <w:rFonts w:ascii="宋体" w:hAnsi="Times New Roman" w:eastAsia="宋体" w:cs="Times New Roman"/>
      <w:sz w:val="21"/>
      <w:lang w:val="en-US" w:eastAsia="zh-CN" w:bidi="ar-SA"/>
    </w:rPr>
  </w:style>
  <w:style w:type="paragraph" w:customStyle="1" w:styleId="41">
    <w:name w:val="正文公式编号制表符"/>
    <w:basedOn w:val="1"/>
    <w:next w:val="1"/>
    <w:qFormat/>
    <w:uiPriority w:val="0"/>
    <w:pPr>
      <w:widowControl/>
      <w:tabs>
        <w:tab w:val="center" w:pos="4201"/>
        <w:tab w:val="right" w:leader="dot" w:pos="9298"/>
      </w:tabs>
      <w:autoSpaceDE w:val="0"/>
      <w:autoSpaceDN w:val="0"/>
    </w:pPr>
    <w:rPr>
      <w:rFonts w:ascii="宋体"/>
      <w:kern w:val="0"/>
      <w:szCs w:val="20"/>
      <w:lang w:val="en-US" w:eastAsia="zh-CN"/>
    </w:rPr>
  </w:style>
  <w:style w:type="paragraph" w:customStyle="1" w:styleId="42">
    <w:name w:val="示例后文字"/>
    <w:basedOn w:val="1"/>
    <w:next w:val="1"/>
    <w:qFormat/>
    <w:uiPriority w:val="0"/>
    <w:pPr>
      <w:widowControl/>
      <w:tabs>
        <w:tab w:val="center" w:pos="4201"/>
        <w:tab w:val="right" w:leader="dot" w:pos="9298"/>
      </w:tabs>
      <w:autoSpaceDE w:val="0"/>
      <w:autoSpaceDN w:val="0"/>
      <w:ind w:firstLine="360" w:firstLineChars="200"/>
    </w:pPr>
    <w:rPr>
      <w:rFonts w:ascii="宋体"/>
      <w:kern w:val="0"/>
      <w:sz w:val="18"/>
      <w:szCs w:val="20"/>
      <w:lang w:val="en-US" w:eastAsia="zh-CN"/>
    </w:rPr>
  </w:style>
  <w:style w:type="paragraph" w:customStyle="1" w:styleId="43">
    <w:name w:val="图的脚注"/>
    <w:next w:val="1"/>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44">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45">
    <w:name w:val="前言、引言标题"/>
    <w:next w:val="1"/>
    <w:qFormat/>
    <w:uiPriority w:val="0"/>
    <w:pPr>
      <w:numPr>
        <w:ilvl w:val="0"/>
        <w:numId w:val="1"/>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46">
    <w:name w:val="图表脚注"/>
    <w:next w:val="12"/>
    <w:qFormat/>
    <w:uiPriority w:val="0"/>
    <w:pPr>
      <w:numPr>
        <w:ilvl w:val="5"/>
        <w:numId w:val="1"/>
      </w:numPr>
      <w:jc w:val="both"/>
    </w:pPr>
    <w:rPr>
      <w:rFonts w:ascii="宋体" w:hAnsi="Times New Roman" w:eastAsia="宋体" w:cs="Times New Roman"/>
      <w:sz w:val="18"/>
      <w:lang w:val="en-US" w:eastAsia="zh-CN" w:bidi="ar-SA"/>
    </w:rPr>
  </w:style>
  <w:style w:type="paragraph" w:customStyle="1" w:styleId="47">
    <w:name w:val="注："/>
    <w:next w:val="12"/>
    <w:qFormat/>
    <w:uiPriority w:val="0"/>
    <w:pPr>
      <w:widowControl w:val="0"/>
      <w:numPr>
        <w:ilvl w:val="0"/>
        <w:numId w:val="7"/>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48">
    <w:name w:val="数字编号列项（二级）"/>
    <w:qFormat/>
    <w:uiPriority w:val="0"/>
    <w:pPr>
      <w:numPr>
        <w:ilvl w:val="1"/>
        <w:numId w:val="4"/>
      </w:numPr>
      <w:jc w:val="both"/>
    </w:pPr>
    <w:rPr>
      <w:rFonts w:ascii="宋体" w:hAnsi="Times New Roman" w:eastAsia="宋体" w:cs="Times New Roman"/>
      <w:sz w:val="21"/>
      <w:lang w:val="en-US" w:eastAsia="zh-CN" w:bidi="ar-SA"/>
    </w:rPr>
  </w:style>
  <w:style w:type="paragraph" w:customStyle="1" w:styleId="49">
    <w:name w:val="附录三级条标题"/>
    <w:basedOn w:val="50"/>
    <w:next w:val="12"/>
    <w:qFormat/>
    <w:uiPriority w:val="0"/>
    <w:pPr>
      <w:numPr>
        <w:ilvl w:val="4"/>
      </w:numPr>
      <w:tabs>
        <w:tab w:val="left" w:pos="360"/>
      </w:tabs>
      <w:outlineLvl w:val="4"/>
    </w:pPr>
  </w:style>
  <w:style w:type="paragraph" w:customStyle="1" w:styleId="50">
    <w:name w:val="附录二级条标题"/>
    <w:basedOn w:val="1"/>
    <w:next w:val="12"/>
    <w:qFormat/>
    <w:uiPriority w:val="0"/>
    <w:pPr>
      <w:widowControl/>
      <w:numPr>
        <w:ilvl w:val="3"/>
        <w:numId w:val="5"/>
      </w:numPr>
      <w:tabs>
        <w:tab w:val="left" w:pos="360"/>
      </w:tabs>
      <w:wordWrap w:val="0"/>
      <w:overflowPunct w:val="0"/>
      <w:autoSpaceDE w:val="0"/>
      <w:autoSpaceDN w:val="0"/>
      <w:spacing w:before="156" w:beforeLines="50" w:after="156" w:afterLines="50"/>
      <w:textAlignment w:val="baseline"/>
      <w:outlineLvl w:val="3"/>
    </w:pPr>
    <w:rPr>
      <w:rFonts w:ascii="黑体" w:eastAsia="黑体"/>
      <w:kern w:val="21"/>
      <w:szCs w:val="20"/>
    </w:rPr>
  </w:style>
  <w:style w:type="paragraph" w:customStyle="1" w:styleId="51">
    <w:name w:val="四级无标题条"/>
    <w:basedOn w:val="1"/>
    <w:qFormat/>
    <w:uiPriority w:val="0"/>
    <w:pPr>
      <w:numPr>
        <w:ilvl w:val="5"/>
        <w:numId w:val="3"/>
      </w:numPr>
    </w:pPr>
  </w:style>
  <w:style w:type="paragraph" w:customStyle="1" w:styleId="52">
    <w:name w:val="编号列项（三级）"/>
    <w:qFormat/>
    <w:uiPriority w:val="0"/>
    <w:pPr>
      <w:numPr>
        <w:ilvl w:val="2"/>
        <w:numId w:val="4"/>
      </w:numPr>
    </w:pPr>
    <w:rPr>
      <w:rFonts w:ascii="宋体" w:hAnsi="Times New Roman" w:eastAsia="宋体" w:cs="Times New Roman"/>
      <w:sz w:val="21"/>
      <w:lang w:val="en-US" w:eastAsia="zh-CN" w:bidi="ar-SA"/>
    </w:rPr>
  </w:style>
  <w:style w:type="paragraph" w:customStyle="1" w:styleId="53">
    <w:name w:val="封面标准号2"/>
    <w:basedOn w:val="1"/>
    <w:qFormat/>
    <w:uiPriority w:val="0"/>
    <w:pPr>
      <w:kinsoku w:val="0"/>
      <w:overflowPunct w:val="0"/>
      <w:autoSpaceDE w:val="0"/>
      <w:autoSpaceDN w:val="0"/>
      <w:adjustRightInd w:val="0"/>
      <w:spacing w:before="357" w:line="280" w:lineRule="exact"/>
      <w:jc w:val="right"/>
      <w:textAlignment w:val="center"/>
    </w:pPr>
    <w:rPr>
      <w:kern w:val="0"/>
      <w:sz w:val="28"/>
      <w:szCs w:val="20"/>
    </w:rPr>
  </w:style>
  <w:style w:type="paragraph" w:customStyle="1" w:styleId="54">
    <w:name w:val="五级条标题"/>
    <w:basedOn w:val="28"/>
    <w:next w:val="12"/>
    <w:qFormat/>
    <w:uiPriority w:val="0"/>
    <w:pPr>
      <w:ind w:left="0"/>
      <w:outlineLvl w:val="6"/>
    </w:pPr>
  </w:style>
  <w:style w:type="paragraph" w:customStyle="1" w:styleId="55">
    <w:name w:val="五级无标题条"/>
    <w:basedOn w:val="1"/>
    <w:qFormat/>
    <w:uiPriority w:val="0"/>
    <w:pPr>
      <w:numPr>
        <w:ilvl w:val="6"/>
        <w:numId w:val="3"/>
      </w:numPr>
    </w:pPr>
  </w:style>
  <w:style w:type="paragraph" w:customStyle="1" w:styleId="56">
    <w:name w:val="三级无标题条"/>
    <w:basedOn w:val="1"/>
    <w:qFormat/>
    <w:uiPriority w:val="0"/>
    <w:pPr>
      <w:numPr>
        <w:ilvl w:val="4"/>
        <w:numId w:val="3"/>
      </w:numPr>
    </w:pPr>
  </w:style>
  <w:style w:type="paragraph" w:customStyle="1" w:styleId="57">
    <w:name w:val="附录标识"/>
    <w:basedOn w:val="1"/>
    <w:next w:val="12"/>
    <w:qFormat/>
    <w:uiPriority w:val="0"/>
    <w:pPr>
      <w:keepNext/>
      <w:widowControl/>
      <w:numPr>
        <w:ilvl w:val="0"/>
        <w:numId w:val="5"/>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58">
    <w:name w:val="附录五级条标题"/>
    <w:basedOn w:val="59"/>
    <w:next w:val="12"/>
    <w:qFormat/>
    <w:uiPriority w:val="0"/>
    <w:pPr>
      <w:numPr>
        <w:ilvl w:val="6"/>
      </w:numPr>
      <w:tabs>
        <w:tab w:val="left" w:pos="360"/>
      </w:tabs>
      <w:outlineLvl w:val="6"/>
    </w:pPr>
  </w:style>
  <w:style w:type="paragraph" w:customStyle="1" w:styleId="59">
    <w:name w:val="附录四级条标题"/>
    <w:basedOn w:val="49"/>
    <w:next w:val="12"/>
    <w:qFormat/>
    <w:uiPriority w:val="0"/>
    <w:pPr>
      <w:numPr>
        <w:ilvl w:val="5"/>
      </w:numPr>
      <w:outlineLvl w:val="5"/>
    </w:pPr>
  </w:style>
  <w:style w:type="paragraph" w:customStyle="1" w:styleId="60">
    <w:name w:val=" Char Char Char Char"/>
    <w:basedOn w:val="1"/>
    <w:qFormat/>
    <w:uiPriority w:val="0"/>
    <w:pPr>
      <w:widowControl/>
      <w:spacing w:after="160" w:line="240" w:lineRule="exact"/>
      <w:jc w:val="left"/>
    </w:pPr>
    <w:rPr>
      <w:rFonts w:ascii="Verdana" w:hAnsi="Verdana"/>
      <w:kern w:val="0"/>
      <w:sz w:val="20"/>
      <w:szCs w:val="20"/>
      <w:lang w:eastAsia="en-US"/>
    </w:rPr>
  </w:style>
  <w:style w:type="character" w:customStyle="1" w:styleId="61">
    <w:name w:val="二级条标题 Char"/>
    <w:qFormat/>
    <w:uiPriority w:val="0"/>
    <w:rPr>
      <w:rFonts w:ascii="黑体" w:eastAsia="黑体"/>
      <w:sz w:val="21"/>
      <w:szCs w:val="21"/>
      <w:lang w:val="en-US" w:eastAsia="zh-CN" w:bidi="ar-SA"/>
    </w:rPr>
  </w:style>
  <w:style w:type="paragraph" w:customStyle="1" w:styleId="62">
    <w:name w:val="标准文件_段"/>
    <w:basedOn w:val="1"/>
    <w:link w:val="63"/>
    <w:qFormat/>
    <w:uiPriority w:val="0"/>
    <w:pPr>
      <w:keepNext w:val="0"/>
      <w:keepLines w:val="0"/>
      <w:widowControl/>
      <w:suppressLineNumbers w:val="0"/>
      <w:autoSpaceDE w:val="0"/>
      <w:autoSpaceDN w:val="0"/>
      <w:adjustRightInd/>
      <w:spacing w:before="0" w:beforeAutospacing="0" w:after="0" w:afterAutospacing="0" w:line="240" w:lineRule="auto"/>
      <w:ind w:left="0" w:right="0" w:firstLine="200" w:firstLineChars="200"/>
      <w:jc w:val="both"/>
    </w:pPr>
    <w:rPr>
      <w:rFonts w:hint="eastAsia" w:ascii="宋体" w:hAnsi="Times New Roman" w:eastAsia="宋体" w:cs="Times New Roman"/>
      <w:kern w:val="0"/>
      <w:sz w:val="21"/>
      <w:szCs w:val="20"/>
      <w:lang w:val="en-US" w:eastAsia="zh-CN" w:bidi="ar"/>
    </w:rPr>
  </w:style>
  <w:style w:type="character" w:customStyle="1" w:styleId="63">
    <w:name w:val="标准文件_段 Char"/>
    <w:basedOn w:val="9"/>
    <w:link w:val="62"/>
    <w:qFormat/>
    <w:uiPriority w:val="0"/>
    <w:rPr>
      <w:rFonts w:hint="eastAsia" w:ascii="宋体" w:hAnsi="Times New Roman" w:eastAsia="宋体" w:cs="宋体"/>
      <w:sz w:val="21"/>
    </w:rPr>
  </w:style>
  <w:style w:type="paragraph" w:customStyle="1" w:styleId="64">
    <w:name w:val="标准文件_一级无标题"/>
    <w:basedOn w:val="65"/>
    <w:qFormat/>
    <w:uiPriority w:val="0"/>
    <w:pPr>
      <w:spacing w:before="0" w:beforeLines="0" w:after="0" w:afterLines="0"/>
      <w:outlineLvl w:val="9"/>
    </w:pPr>
    <w:rPr>
      <w:rFonts w:ascii="宋体" w:eastAsia="宋体"/>
    </w:rPr>
  </w:style>
  <w:style w:type="paragraph" w:customStyle="1" w:styleId="65">
    <w:name w:val="标准文件_一级条标题"/>
    <w:basedOn w:val="66"/>
    <w:next w:val="62"/>
    <w:qFormat/>
    <w:uiPriority w:val="0"/>
    <w:pPr>
      <w:numPr>
        <w:ilvl w:val="2"/>
      </w:numPr>
      <w:spacing w:before="50" w:beforeLines="50" w:after="50" w:afterLines="50"/>
      <w:ind w:left="0"/>
      <w:outlineLvl w:val="1"/>
    </w:pPr>
  </w:style>
  <w:style w:type="paragraph" w:customStyle="1" w:styleId="66">
    <w:name w:val="标准文件_章标题"/>
    <w:next w:val="62"/>
    <w:qFormat/>
    <w:uiPriority w:val="0"/>
    <w:pPr>
      <w:numPr>
        <w:ilvl w:val="1"/>
        <w:numId w:val="1"/>
      </w:numPr>
      <w:spacing w:before="100" w:beforeLines="100" w:after="100" w:afterLines="100"/>
      <w:jc w:val="both"/>
      <w:outlineLvl w:val="0"/>
    </w:pPr>
    <w:rPr>
      <w:rFonts w:ascii="黑体" w:hAnsi="Times New Roman" w:eastAsia="黑体" w:cs="Times New Roman"/>
      <w:sz w:val="21"/>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5</Pages>
  <Words>3284</Words>
  <Characters>3673</Characters>
  <Lines>3</Lines>
  <Paragraphs>1</Paragraphs>
  <TotalTime>3</TotalTime>
  <ScaleCrop>false</ScaleCrop>
  <LinksUpToDate>false</LinksUpToDate>
  <CharactersWithSpaces>3742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2022-12-01T08:40:00Z</dcterms:created>
  <dc:creator>微软系统</dc:creator>
  <cp:lastModifiedBy>萤火虫</cp:lastModifiedBy>
  <cp:lastPrinted>2016-10-17T13:00:00Z</cp:lastPrinted>
  <dcterms:modified xsi:type="dcterms:W3CDTF">2023-06-29T00:37:45Z</dcterms:modified>
  <dc:title>福州永同惠生物医药科技有限公司</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0D19D29E38EF4A69BF1E85F1A4135950_13</vt:lpwstr>
  </property>
</Properties>
</file>