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EC473">
      <w:pPr>
        <w:jc w:val="distribute"/>
        <w:rPr>
          <w:b/>
          <w:bCs/>
          <w:sz w:val="48"/>
          <w:szCs w:val="48"/>
        </w:rPr>
      </w:pPr>
      <w:r>
        <w:rPr>
          <w:b/>
          <w:bCs/>
          <w:sz w:val="48"/>
          <w:szCs w:val="48"/>
        </w:rPr>
        <w:t>湖南省地方标准</w:t>
      </w:r>
    </w:p>
    <w:p w14:paraId="43034E69">
      <w:pPr>
        <w:jc w:val="center"/>
        <w:rPr>
          <w:sz w:val="28"/>
          <w:szCs w:val="28"/>
        </w:rPr>
      </w:pPr>
    </w:p>
    <w:p w14:paraId="70E3FBCA">
      <w:pPr>
        <w:jc w:val="center"/>
        <w:rPr>
          <w:sz w:val="28"/>
          <w:szCs w:val="28"/>
        </w:rPr>
      </w:pPr>
    </w:p>
    <w:p w14:paraId="753F78EE">
      <w:pPr>
        <w:jc w:val="center"/>
        <w:rPr>
          <w:sz w:val="28"/>
          <w:szCs w:val="28"/>
        </w:rPr>
      </w:pPr>
    </w:p>
    <w:p w14:paraId="1F0F28BE">
      <w:pPr>
        <w:spacing w:line="360" w:lineRule="auto"/>
        <w:jc w:val="center"/>
        <w:rPr>
          <w:b/>
          <w:spacing w:val="-20"/>
          <w:sz w:val="52"/>
          <w:szCs w:val="52"/>
        </w:rPr>
      </w:pPr>
      <w:r>
        <w:rPr>
          <w:b/>
          <w:spacing w:val="-20"/>
          <w:sz w:val="52"/>
          <w:szCs w:val="52"/>
        </w:rPr>
        <w:t>古树名木养护术规范</w:t>
      </w:r>
    </w:p>
    <w:p w14:paraId="239AB241">
      <w:pPr>
        <w:spacing w:line="360" w:lineRule="auto"/>
        <w:jc w:val="center"/>
        <w:rPr>
          <w:rFonts w:eastAsia="方正黑体_GBK"/>
          <w:szCs w:val="21"/>
        </w:rPr>
      </w:pPr>
      <w:r>
        <w:rPr>
          <w:rFonts w:eastAsia="方正黑体_GBK"/>
          <w:szCs w:val="21"/>
        </w:rPr>
        <w:t xml:space="preserve">Technical specification for conservation of ancient and famous trees </w:t>
      </w:r>
    </w:p>
    <w:p w14:paraId="00B5280E">
      <w:pPr>
        <w:spacing w:line="360" w:lineRule="auto"/>
        <w:jc w:val="center"/>
        <w:rPr>
          <w:b/>
          <w:spacing w:val="-20"/>
          <w:sz w:val="52"/>
          <w:szCs w:val="52"/>
        </w:rPr>
      </w:pPr>
      <w:r>
        <w:rPr>
          <w:b/>
          <w:spacing w:val="-20"/>
          <w:sz w:val="52"/>
          <w:szCs w:val="52"/>
        </w:rPr>
        <w:t>编制说明</w:t>
      </w:r>
    </w:p>
    <w:p w14:paraId="40CE5CA7">
      <w:pPr>
        <w:spacing w:line="360" w:lineRule="auto"/>
        <w:jc w:val="center"/>
        <w:rPr>
          <w:rFonts w:eastAsia="方正黑体简体"/>
        </w:rPr>
      </w:pPr>
      <w:r>
        <w:rPr>
          <w:rFonts w:eastAsia="方正黑体简体"/>
          <w:sz w:val="24"/>
        </w:rPr>
        <w:t>（征求意见稿)</w:t>
      </w:r>
    </w:p>
    <w:p w14:paraId="47C55C05">
      <w:pPr>
        <w:spacing w:line="1440" w:lineRule="auto"/>
        <w:jc w:val="center"/>
        <w:rPr>
          <w:b/>
          <w:spacing w:val="-20"/>
          <w:sz w:val="52"/>
          <w:szCs w:val="52"/>
        </w:rPr>
      </w:pPr>
    </w:p>
    <w:p w14:paraId="7967F997">
      <w:pPr>
        <w:jc w:val="center"/>
        <w:rPr>
          <w:b/>
          <w:spacing w:val="-20"/>
          <w:sz w:val="32"/>
          <w:szCs w:val="32"/>
        </w:rPr>
      </w:pPr>
    </w:p>
    <w:p w14:paraId="24DF0487">
      <w:pPr>
        <w:jc w:val="center"/>
        <w:rPr>
          <w:b/>
          <w:spacing w:val="-20"/>
          <w:sz w:val="32"/>
          <w:szCs w:val="32"/>
        </w:rPr>
      </w:pPr>
    </w:p>
    <w:p w14:paraId="1ABD6D76">
      <w:pPr>
        <w:jc w:val="center"/>
        <w:rPr>
          <w:b/>
          <w:spacing w:val="-20"/>
          <w:sz w:val="32"/>
          <w:szCs w:val="32"/>
        </w:rPr>
      </w:pPr>
    </w:p>
    <w:p w14:paraId="701D071B">
      <w:pPr>
        <w:jc w:val="center"/>
        <w:rPr>
          <w:b/>
          <w:spacing w:val="-20"/>
          <w:sz w:val="32"/>
          <w:szCs w:val="32"/>
        </w:rPr>
      </w:pPr>
    </w:p>
    <w:p w14:paraId="24A67C57">
      <w:pPr>
        <w:spacing w:line="360" w:lineRule="auto"/>
        <w:ind w:firstLine="560" w:firstLineChars="200"/>
        <w:rPr>
          <w:color w:val="000000" w:themeColor="text1"/>
          <w:sz w:val="28"/>
          <w:szCs w:val="28"/>
          <w14:textFill>
            <w14:solidFill>
              <w14:schemeClr w14:val="tx1"/>
            </w14:solidFill>
          </w14:textFill>
        </w:rPr>
      </w:pPr>
    </w:p>
    <w:p w14:paraId="21FCCDE1">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                中南林业科技大学</w:t>
      </w:r>
    </w:p>
    <w:p w14:paraId="7A72F405">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                湖南省绿化委员会</w:t>
      </w:r>
    </w:p>
    <w:p w14:paraId="2708685E">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                  湖南省植物园</w:t>
      </w:r>
    </w:p>
    <w:p w14:paraId="08989E11">
      <w:pPr>
        <w:spacing w:line="360" w:lineRule="auto"/>
        <w:ind w:firstLine="560" w:firstLineChars="200"/>
        <w:rPr>
          <w:color w:val="000000" w:themeColor="text1"/>
          <w:sz w:val="28"/>
          <w:szCs w:val="28"/>
          <w14:textFill>
            <w14:solidFill>
              <w14:schemeClr w14:val="tx1"/>
            </w14:solidFill>
          </w14:textFill>
        </w:rPr>
      </w:pPr>
    </w:p>
    <w:p w14:paraId="61F4A354">
      <w:pPr>
        <w:spacing w:line="360" w:lineRule="auto"/>
        <w:ind w:firstLine="560" w:firstLineChars="200"/>
        <w:rPr>
          <w:color w:val="000000" w:themeColor="text1"/>
          <w:sz w:val="28"/>
          <w:szCs w:val="28"/>
          <w14:textFill>
            <w14:solidFill>
              <w14:schemeClr w14:val="tx1"/>
            </w14:solidFill>
          </w14:textFill>
        </w:rPr>
        <w:sectPr>
          <w:footerReference r:id="rId3" w:type="default"/>
          <w:pgSz w:w="11906" w:h="16838"/>
          <w:pgMar w:top="1440" w:right="1800" w:bottom="1440" w:left="1800" w:header="851" w:footer="992" w:gutter="0"/>
          <w:cols w:space="425" w:num="1"/>
          <w:docGrid w:type="lines" w:linePitch="312" w:charSpace="0"/>
        </w:sectPr>
      </w:pPr>
      <w:r>
        <w:rPr>
          <w:color w:val="000000" w:themeColor="text1"/>
          <w:sz w:val="28"/>
          <w:szCs w:val="28"/>
          <w14:textFill>
            <w14:solidFill>
              <w14:schemeClr w14:val="tx1"/>
            </w14:solidFill>
          </w14:textFill>
        </w:rPr>
        <w:t xml:space="preserve">                   2023年</w:t>
      </w:r>
      <w:r>
        <w:rPr>
          <w:rFonts w:hint="eastAsia"/>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t>月</w:t>
      </w:r>
    </w:p>
    <w:p w14:paraId="012AAD5A">
      <w:pPr>
        <w:widowControl/>
        <w:spacing w:line="360" w:lineRule="auto"/>
        <w:jc w:val="center"/>
        <w:rPr>
          <w:rFonts w:eastAsia="仿宋_GB2312"/>
          <w:b/>
          <w:kern w:val="0"/>
          <w:sz w:val="36"/>
          <w:szCs w:val="36"/>
        </w:rPr>
      </w:pPr>
      <w:r>
        <w:rPr>
          <w:rFonts w:eastAsia="仿宋_GB2312"/>
          <w:b/>
          <w:kern w:val="0"/>
          <w:sz w:val="36"/>
          <w:szCs w:val="36"/>
        </w:rPr>
        <w:t>古树名木养护术规范</w:t>
      </w:r>
    </w:p>
    <w:p w14:paraId="5D491562">
      <w:pPr>
        <w:widowControl/>
        <w:spacing w:line="360" w:lineRule="auto"/>
        <w:jc w:val="center"/>
        <w:rPr>
          <w:rFonts w:eastAsia="仿宋_GB2312"/>
          <w:b/>
          <w:kern w:val="0"/>
          <w:sz w:val="36"/>
          <w:szCs w:val="36"/>
        </w:rPr>
      </w:pPr>
      <w:r>
        <w:rPr>
          <w:rFonts w:eastAsia="仿宋_GB2312"/>
          <w:b/>
          <w:kern w:val="0"/>
          <w:sz w:val="36"/>
          <w:szCs w:val="36"/>
        </w:rPr>
        <w:t>编制说明</w:t>
      </w:r>
    </w:p>
    <w:p w14:paraId="57C63993">
      <w:pPr>
        <w:spacing w:line="360" w:lineRule="auto"/>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一、工作简况</w:t>
      </w:r>
    </w:p>
    <w:p w14:paraId="6A9BB410">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（一）标准项目的来源、制定标准的目的和意义、参加单位和协作单位人员分工</w:t>
      </w:r>
    </w:p>
    <w:p w14:paraId="7257A6B9">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1、标准项目的来源</w:t>
      </w:r>
    </w:p>
    <w:p w14:paraId="32ABC836">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2022年3月12日，湖南省人民政府第306号令发布的《湖南省古树名木保护办法》。</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湖南省古树名木保护办法</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总则第二十条明确指出省绿化委员会负责发布古树名木养护技术规范。因此，相关技术规程亟需编制。</w:t>
      </w:r>
    </w:p>
    <w:p w14:paraId="27A3EA0A">
      <w:pPr>
        <w:spacing w:line="360" w:lineRule="auto"/>
        <w:ind w:firstLine="560" w:firstLineChars="200"/>
        <w:rPr>
          <w:color w:val="000000" w:themeColor="text1"/>
          <w:sz w:val="28"/>
          <w:szCs w:val="28"/>
          <w14:textFill>
            <w14:gradFill>
              <w14:gsLst>
                <w14:gs w14:pos="0">
                  <w14:srgbClr w14:val="14CD68"/>
                </w14:gs>
                <w14:gs w14:pos="100000">
                  <w14:srgbClr w14:val="0B6E38"/>
                </w14:gs>
              </w14:gsLst>
              <w14:lin w14:ang="0" w14:scaled="0"/>
            </w14:gradFill>
          </w14:textFill>
        </w:rPr>
      </w:pPr>
      <w:r>
        <w:rPr>
          <w:rFonts w:hint="eastAsia"/>
          <w:color w:val="000000" w:themeColor="text1"/>
          <w:sz w:val="28"/>
          <w:szCs w:val="28"/>
          <w14:textFill>
            <w14:solidFill>
              <w14:schemeClr w14:val="tx1"/>
            </w14:solidFill>
          </w14:textFill>
        </w:rPr>
        <w:t>为了更好地开展湖南古树名木的保护工作，</w:t>
      </w:r>
      <w:r>
        <w:rPr>
          <w:color w:val="000000" w:themeColor="text1"/>
          <w:sz w:val="28"/>
          <w:szCs w:val="28"/>
          <w14:textFill>
            <w14:solidFill>
              <w14:schemeClr w14:val="tx1"/>
            </w14:solidFill>
          </w14:textFill>
        </w:rPr>
        <w:t>湖南省林业局</w:t>
      </w:r>
      <w:r>
        <w:rPr>
          <w:rFonts w:hint="eastAsia"/>
          <w:color w:val="000000" w:themeColor="text1"/>
          <w:sz w:val="28"/>
          <w:szCs w:val="28"/>
          <w14:textFill>
            <w14:solidFill>
              <w14:schemeClr w14:val="tx1"/>
            </w14:solidFill>
          </w14:textFill>
        </w:rPr>
        <w:t>在2</w:t>
      </w:r>
      <w:r>
        <w:rPr>
          <w:color w:val="000000" w:themeColor="text1"/>
          <w:sz w:val="28"/>
          <w:szCs w:val="28"/>
          <w14:textFill>
            <w14:solidFill>
              <w14:schemeClr w14:val="tx1"/>
            </w14:solidFill>
          </w14:textFill>
        </w:rPr>
        <w:t>021</w:t>
      </w:r>
      <w:r>
        <w:rPr>
          <w:rFonts w:hint="eastAsia"/>
          <w:color w:val="000000" w:themeColor="text1"/>
          <w:sz w:val="28"/>
          <w:szCs w:val="28"/>
          <w14:textFill>
            <w14:solidFill>
              <w14:schemeClr w14:val="tx1"/>
            </w14:solidFill>
          </w14:textFill>
        </w:rPr>
        <w:t>年</w:t>
      </w:r>
      <w:r>
        <w:rPr>
          <w:color w:val="000000" w:themeColor="text1"/>
          <w:sz w:val="28"/>
          <w:szCs w:val="28"/>
          <w14:textFill>
            <w14:solidFill>
              <w14:schemeClr w14:val="tx1"/>
            </w14:solidFill>
          </w14:textFill>
        </w:rPr>
        <w:t>提出</w:t>
      </w:r>
      <w:r>
        <w:rPr>
          <w:rFonts w:hint="eastAsia"/>
          <w:color w:val="000000" w:themeColor="text1"/>
          <w:sz w:val="28"/>
          <w:szCs w:val="28"/>
          <w14:textFill>
            <w14:solidFill>
              <w14:schemeClr w14:val="tx1"/>
            </w14:solidFill>
          </w14:textFill>
        </w:rPr>
        <w:t>了编制</w:t>
      </w:r>
      <w:r>
        <w:rPr>
          <w:color w:val="000000" w:themeColor="text1"/>
          <w:sz w:val="28"/>
          <w:szCs w:val="28"/>
          <w14:textFill>
            <w14:solidFill>
              <w14:schemeClr w14:val="tx1"/>
            </w14:solidFill>
          </w14:textFill>
        </w:rPr>
        <w:t>《古树名木养护技术规范》</w:t>
      </w:r>
      <w:r>
        <w:rPr>
          <w:rFonts w:hint="eastAsia"/>
          <w:color w:val="000000" w:themeColor="text1"/>
          <w:sz w:val="28"/>
          <w:szCs w:val="28"/>
          <w14:textFill>
            <w14:solidFill>
              <w14:schemeClr w14:val="tx1"/>
            </w14:solidFill>
          </w14:textFill>
        </w:rPr>
        <w:t>地方标准</w:t>
      </w:r>
      <w:r>
        <w:rPr>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由</w:t>
      </w:r>
      <w:r>
        <w:rPr>
          <w:color w:val="000000" w:themeColor="text1"/>
          <w:sz w:val="28"/>
          <w:szCs w:val="28"/>
          <w14:textFill>
            <w14:solidFill>
              <w14:schemeClr w14:val="tx1"/>
            </w14:solidFill>
          </w14:textFill>
        </w:rPr>
        <w:t>湖南省绿化委员会下达任务，中南林业科技大学负责起草，参与单位有湖南省森林植物园。</w:t>
      </w:r>
    </w:p>
    <w:p w14:paraId="56564B96">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2、制定标准的目的和意义</w:t>
      </w:r>
    </w:p>
    <w:p w14:paraId="737BCB26">
      <w:pPr>
        <w:spacing w:line="360" w:lineRule="auto"/>
        <w:ind w:firstLine="560" w:firstLineChars="200"/>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古树名木和古树后续资源是自然界与古人留下的宝贵财富，具有重要的历史价值和纪念意义。古树名木是不可再生资源，数量稀少，它们见证了所在城市的发展历程，镌刻着时代的烙印，被称做“绿色古董”，是“活文物”，具有很高的生态效益、社会效益和经济效益，更具欣赏价值。它们历经千百年的风雨洗礼，能够留存至今，弥足珍贵。当前，我国各地区都把古树名木与古村落、 古民居一起纳入了重点保护对象。因此，</w:t>
      </w:r>
      <w:r>
        <w:rPr>
          <w:b/>
          <w:color w:val="000000" w:themeColor="text1"/>
          <w:sz w:val="28"/>
          <w:szCs w:val="28"/>
          <w14:textFill>
            <w14:solidFill>
              <w14:schemeClr w14:val="tx1"/>
            </w14:solidFill>
          </w14:textFill>
        </w:rPr>
        <w:t>保护古树名木是贯彻落实生态文明战略的需求，意义特殊且重大</w:t>
      </w:r>
      <w:r>
        <w:rPr>
          <w:bCs/>
          <w:color w:val="000000" w:themeColor="text1"/>
          <w:sz w:val="28"/>
          <w:szCs w:val="28"/>
          <w14:textFill>
            <w14:solidFill>
              <w14:schemeClr w14:val="tx1"/>
            </w14:solidFill>
          </w14:textFill>
        </w:rPr>
        <w:t xml:space="preserve">。 </w:t>
      </w:r>
    </w:p>
    <w:p w14:paraId="6F2D671D">
      <w:pPr>
        <w:spacing w:line="360" w:lineRule="auto"/>
        <w:ind w:firstLine="560" w:firstLineChars="200"/>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湖南省是古树名木大省，2019年底省政府认定公布的古树名木239143棵，其中一级古树7956棵、二级古树27628棵、三级古树203054棵，名木505棵，隶属于76科231属657种及种下等级。数量前10的树种分别为枫香树(</w:t>
      </w:r>
      <w:r>
        <w:rPr>
          <w:bCs/>
          <w:i/>
          <w:iCs/>
          <w:color w:val="000000" w:themeColor="text1"/>
          <w:sz w:val="28"/>
          <w:szCs w:val="28"/>
          <w14:textFill>
            <w14:solidFill>
              <w14:schemeClr w14:val="tx1"/>
            </w14:solidFill>
          </w14:textFill>
        </w:rPr>
        <w:t>Liquidambar formosana</w:t>
      </w:r>
      <w:r>
        <w:rPr>
          <w:bCs/>
          <w:color w:val="000000" w:themeColor="text1"/>
          <w:sz w:val="28"/>
          <w:szCs w:val="28"/>
          <w14:textFill>
            <w14:solidFill>
              <w14:schemeClr w14:val="tx1"/>
            </w14:solidFill>
          </w14:textFill>
        </w:rPr>
        <w:t>)、樟(</w:t>
      </w:r>
      <w:r>
        <w:rPr>
          <w:bCs/>
          <w:i/>
          <w:iCs/>
          <w:color w:val="000000" w:themeColor="text1"/>
          <w:sz w:val="28"/>
          <w:szCs w:val="28"/>
          <w14:textFill>
            <w14:solidFill>
              <w14:schemeClr w14:val="tx1"/>
            </w14:solidFill>
          </w14:textFill>
        </w:rPr>
        <w:t>Cinnamomum camphora</w:t>
      </w:r>
      <w:r>
        <w:rPr>
          <w:bCs/>
          <w:color w:val="000000" w:themeColor="text1"/>
          <w:sz w:val="28"/>
          <w:szCs w:val="28"/>
          <w14:textFill>
            <w14:solidFill>
              <w14:schemeClr w14:val="tx1"/>
            </w14:solidFill>
          </w14:textFill>
        </w:rPr>
        <w:t>)、柏木(</w:t>
      </w:r>
      <w:r>
        <w:rPr>
          <w:bCs/>
          <w:i/>
          <w:iCs/>
          <w:color w:val="000000" w:themeColor="text1"/>
          <w:sz w:val="28"/>
          <w:szCs w:val="28"/>
          <w14:textFill>
            <w14:solidFill>
              <w14:schemeClr w14:val="tx1"/>
            </w14:solidFill>
          </w14:textFill>
        </w:rPr>
        <w:t>Cupressus funebris</w:t>
      </w:r>
      <w:r>
        <w:rPr>
          <w:bCs/>
          <w:color w:val="000000" w:themeColor="text1"/>
          <w:sz w:val="28"/>
          <w:szCs w:val="28"/>
          <w14:textFill>
            <w14:solidFill>
              <w14:schemeClr w14:val="tx1"/>
            </w14:solidFill>
          </w14:textFill>
        </w:rPr>
        <w:t>)、马尾松(</w:t>
      </w:r>
      <w:r>
        <w:rPr>
          <w:bCs/>
          <w:i/>
          <w:iCs/>
          <w:color w:val="000000" w:themeColor="text1"/>
          <w:sz w:val="28"/>
          <w:szCs w:val="28"/>
          <w14:textFill>
            <w14:solidFill>
              <w14:schemeClr w14:val="tx1"/>
            </w14:solidFill>
          </w14:textFill>
        </w:rPr>
        <w:t>Pinus massoniana</w:t>
      </w:r>
      <w:r>
        <w:rPr>
          <w:bCs/>
          <w:color w:val="000000" w:themeColor="text1"/>
          <w:sz w:val="28"/>
          <w:szCs w:val="28"/>
          <w14:textFill>
            <w14:solidFill>
              <w14:schemeClr w14:val="tx1"/>
            </w14:solidFill>
          </w14:textFill>
        </w:rPr>
        <w:t>)、甜槠(</w:t>
      </w:r>
      <w:r>
        <w:rPr>
          <w:bCs/>
          <w:i/>
          <w:iCs/>
          <w:color w:val="000000" w:themeColor="text1"/>
          <w:sz w:val="28"/>
          <w:szCs w:val="28"/>
          <w14:textFill>
            <w14:solidFill>
              <w14:schemeClr w14:val="tx1"/>
            </w14:solidFill>
          </w14:textFill>
        </w:rPr>
        <w:t>Castanopsis eyrei</w:t>
      </w:r>
      <w:r>
        <w:rPr>
          <w:bCs/>
          <w:color w:val="000000" w:themeColor="text1"/>
          <w:sz w:val="28"/>
          <w:szCs w:val="28"/>
          <w14:textFill>
            <w14:solidFill>
              <w14:schemeClr w14:val="tx1"/>
            </w14:solidFill>
          </w14:textFill>
        </w:rPr>
        <w:t>)、青冈(</w:t>
      </w:r>
      <w:r>
        <w:rPr>
          <w:bCs/>
          <w:i/>
          <w:iCs/>
          <w:color w:val="000000" w:themeColor="text1"/>
          <w:sz w:val="28"/>
          <w:szCs w:val="28"/>
          <w14:textFill>
            <w14:solidFill>
              <w14:schemeClr w14:val="tx1"/>
            </w14:solidFill>
          </w14:textFill>
        </w:rPr>
        <w:t>Quercus glauca</w:t>
      </w:r>
      <w:r>
        <w:rPr>
          <w:bCs/>
          <w:color w:val="000000" w:themeColor="text1"/>
          <w:sz w:val="28"/>
          <w:szCs w:val="28"/>
          <w14:textFill>
            <w14:solidFill>
              <w14:schemeClr w14:val="tx1"/>
            </w14:solidFill>
          </w14:textFill>
        </w:rPr>
        <w:t>)、黄连木(</w:t>
      </w:r>
      <w:r>
        <w:rPr>
          <w:bCs/>
          <w:i/>
          <w:iCs/>
          <w:color w:val="000000" w:themeColor="text1"/>
          <w:sz w:val="28"/>
          <w:szCs w:val="28"/>
          <w14:textFill>
            <w14:solidFill>
              <w14:schemeClr w14:val="tx1"/>
            </w14:solidFill>
          </w14:textFill>
        </w:rPr>
        <w:t>Pistacia chinensis</w:t>
      </w:r>
      <w:r>
        <w:rPr>
          <w:bCs/>
          <w:color w:val="000000" w:themeColor="text1"/>
          <w:sz w:val="28"/>
          <w:szCs w:val="28"/>
          <w14:textFill>
            <w14:solidFill>
              <w14:schemeClr w14:val="tx1"/>
            </w14:solidFill>
          </w14:textFill>
        </w:rPr>
        <w:t>)、贵州石楠(</w:t>
      </w:r>
      <w:r>
        <w:rPr>
          <w:bCs/>
          <w:i/>
          <w:iCs/>
          <w:color w:val="000000" w:themeColor="text1"/>
          <w:sz w:val="28"/>
          <w:szCs w:val="28"/>
          <w14:textFill>
            <w14:solidFill>
              <w14:schemeClr w14:val="tx1"/>
            </w14:solidFill>
          </w14:textFill>
        </w:rPr>
        <w:t>Photinia bodinieri</w:t>
      </w:r>
      <w:r>
        <w:rPr>
          <w:bCs/>
          <w:color w:val="000000" w:themeColor="text1"/>
          <w:sz w:val="28"/>
          <w:szCs w:val="28"/>
          <w14:textFill>
            <w14:solidFill>
              <w14:schemeClr w14:val="tx1"/>
            </w14:solidFill>
          </w14:textFill>
        </w:rPr>
        <w:t>)、木荷(</w:t>
      </w:r>
      <w:r>
        <w:rPr>
          <w:bCs/>
          <w:i/>
          <w:iCs/>
          <w:color w:val="000000" w:themeColor="text1"/>
          <w:sz w:val="28"/>
          <w:szCs w:val="28"/>
          <w14:textFill>
            <w14:solidFill>
              <w14:schemeClr w14:val="tx1"/>
            </w14:solidFill>
          </w14:textFill>
        </w:rPr>
        <w:t>Schima superba</w:t>
      </w:r>
      <w:r>
        <w:rPr>
          <w:bCs/>
          <w:color w:val="000000" w:themeColor="text1"/>
          <w:sz w:val="28"/>
          <w:szCs w:val="28"/>
          <w14:textFill>
            <w14:solidFill>
              <w14:schemeClr w14:val="tx1"/>
            </w14:solidFill>
          </w14:textFill>
        </w:rPr>
        <w:t>)、栲(</w:t>
      </w:r>
      <w:r>
        <w:rPr>
          <w:bCs/>
          <w:i/>
          <w:iCs/>
          <w:color w:val="000000" w:themeColor="text1"/>
          <w:sz w:val="28"/>
          <w:szCs w:val="28"/>
          <w14:textFill>
            <w14:solidFill>
              <w14:schemeClr w14:val="tx1"/>
            </w14:solidFill>
          </w14:textFill>
        </w:rPr>
        <w:t>Castanopsis fargesii</w:t>
      </w:r>
      <w:r>
        <w:rPr>
          <w:bCs/>
          <w:color w:val="000000" w:themeColor="text1"/>
          <w:sz w:val="28"/>
          <w:szCs w:val="28"/>
          <w14:textFill>
            <w14:solidFill>
              <w14:schemeClr w14:val="tx1"/>
            </w14:solidFill>
          </w14:textFill>
        </w:rPr>
        <w:t>)。长期以来，我省对古树名木的保护十分重视，实施了大量守护、救护措施。2021 年 12 月 24 日，省委书记张庆伟同志在常德河街考察时，强调要因地制宜、科学有序实施城市更新行动，加强历史文化、古树名木等保护。湖南省林业局长期重视古树名木保护，保护古树名木目前已成为全省林业系统的主要工作之一。然而，近年来，</w:t>
      </w:r>
      <w:r>
        <w:rPr>
          <w:b/>
          <w:color w:val="000000" w:themeColor="text1"/>
          <w:sz w:val="28"/>
          <w:szCs w:val="28"/>
          <w14:textFill>
            <w14:solidFill>
              <w14:schemeClr w14:val="tx1"/>
            </w14:solidFill>
          </w14:textFill>
        </w:rPr>
        <w:t>随着人类活动、环境及气候的变化等众多因素的影响，古树名木的健康状况受到了不同程度的威胁</w:t>
      </w:r>
      <w:r>
        <w:rPr>
          <w:bCs/>
          <w:color w:val="000000" w:themeColor="text1"/>
          <w:sz w:val="28"/>
          <w:szCs w:val="28"/>
          <w14:textFill>
            <w14:solidFill>
              <w14:schemeClr w14:val="tx1"/>
            </w14:solidFill>
          </w14:textFill>
        </w:rPr>
        <w:t>。</w:t>
      </w:r>
    </w:p>
    <w:p w14:paraId="3BD9BC8C">
      <w:pPr>
        <w:spacing w:line="360" w:lineRule="auto"/>
        <w:ind w:firstLine="560" w:firstLineChars="200"/>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根据文献资料了解，目前</w:t>
      </w:r>
      <w:r>
        <w:rPr>
          <w:b/>
          <w:color w:val="000000" w:themeColor="text1"/>
          <w:sz w:val="28"/>
          <w:szCs w:val="28"/>
          <w14:textFill>
            <w14:solidFill>
              <w14:schemeClr w14:val="tx1"/>
            </w14:solidFill>
          </w14:textFill>
        </w:rPr>
        <w:t>湖南现有的在册古树中，因抗逆性差，年代久远，根系生长力减退，树体长势衰弱，容易造成整株树木的衰败或死亡。</w:t>
      </w:r>
      <w:r>
        <w:rPr>
          <w:bCs/>
          <w:color w:val="000000" w:themeColor="text1"/>
          <w:sz w:val="28"/>
          <w:szCs w:val="28"/>
          <w14:textFill>
            <w14:solidFill>
              <w14:schemeClr w14:val="tx1"/>
            </w14:solidFill>
          </w14:textFill>
        </w:rPr>
        <w:t>湖南省80%以上的古树名木都不同程度存在病虫危害、腐心或衰老等不利于树木保护的现象，如不及时对这些古树名木</w:t>
      </w:r>
      <w:r>
        <w:rPr>
          <w:rFonts w:hint="eastAsia"/>
          <w:bCs/>
          <w:color w:val="000000" w:themeColor="text1"/>
          <w:sz w:val="28"/>
          <w:szCs w:val="28"/>
          <w14:textFill>
            <w14:solidFill>
              <w14:schemeClr w14:val="tx1"/>
            </w14:solidFill>
          </w14:textFill>
        </w:rPr>
        <w:t>采</w:t>
      </w:r>
      <w:r>
        <w:rPr>
          <w:bCs/>
          <w:color w:val="000000" w:themeColor="text1"/>
          <w:sz w:val="28"/>
          <w:szCs w:val="28"/>
          <w14:textFill>
            <w14:solidFill>
              <w14:schemeClr w14:val="tx1"/>
            </w14:solidFill>
          </w14:textFill>
        </w:rPr>
        <w:t>取科学的养护保护，据预测，到2030年湖南已建档的古</w:t>
      </w:r>
      <w:bookmarkStart w:id="4" w:name="_GoBack"/>
      <w:bookmarkEnd w:id="4"/>
      <w:r>
        <w:rPr>
          <w:bCs/>
          <w:color w:val="000000" w:themeColor="text1"/>
          <w:sz w:val="28"/>
          <w:szCs w:val="28"/>
          <w14:textFill>
            <w14:solidFill>
              <w14:schemeClr w14:val="tx1"/>
            </w14:solidFill>
          </w14:textFill>
        </w:rPr>
        <w:t>树名木或将有三成以上因各种病虫灾害而死亡。随着城镇化进程的推进，城市道路、地铁、轻轨等基础设施的飞速建设对于古树名木的保护工作带来了新的难题。一方面市民和相关部门保护古树名木的意识日益增强，大力呼吁加强古树名木的保护，另一方面古树名木的抢救复壮技术仍处于相对落后和保守状态，如</w:t>
      </w:r>
      <w:r>
        <w:rPr>
          <w:color w:val="000000" w:themeColor="text1"/>
          <w:sz w:val="28"/>
          <w:szCs w:val="28"/>
          <w14:textFill>
            <w14:solidFill>
              <w14:schemeClr w14:val="tx1"/>
            </w14:solidFill>
          </w14:textFill>
        </w:rPr>
        <w:t>DB43/T 618-2011《古树名木保护和养护技术规程》已经不能满足当前湖南古树名木养护的需要。已出台国家标准 GB/T 51168-2016《城市古树名木养护和复壮工程技术规范》、林业行业标准 LY/T 3073-2018《古树名木管护技术规程》，适用范围、内容有限</w:t>
      </w:r>
      <w:r>
        <w:rPr>
          <w:bCs/>
          <w:color w:val="000000" w:themeColor="text1"/>
          <w:sz w:val="28"/>
          <w:szCs w:val="28"/>
          <w14:textFill>
            <w14:solidFill>
              <w14:schemeClr w14:val="tx1"/>
            </w14:solidFill>
          </w14:textFill>
        </w:rPr>
        <w:t>。因此，</w:t>
      </w:r>
      <w:r>
        <w:rPr>
          <w:b/>
          <w:color w:val="000000" w:themeColor="text1"/>
          <w:sz w:val="28"/>
          <w:szCs w:val="28"/>
          <w14:textFill>
            <w14:solidFill>
              <w14:schemeClr w14:val="tx1"/>
            </w14:solidFill>
          </w14:textFill>
        </w:rPr>
        <w:t>制定古树名木相关技术规程刻不容缓。</w:t>
      </w:r>
    </w:p>
    <w:p w14:paraId="4F3653AC">
      <w:pPr>
        <w:spacing w:line="360" w:lineRule="auto"/>
        <w:ind w:firstLine="560" w:firstLineChars="200"/>
        <w:rPr>
          <w:b/>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鉴于此，本研究拟着眼于湖南省古树名木，在不破坏生态平衡的前提下，贯彻落实国家的保护政策，从林业生态系统总体观出发，</w:t>
      </w:r>
      <w:r>
        <w:rPr>
          <w:b/>
          <w:color w:val="000000" w:themeColor="text1"/>
          <w:sz w:val="28"/>
          <w:szCs w:val="28"/>
          <w14:textFill>
            <w14:solidFill>
              <w14:schemeClr w14:val="tx1"/>
            </w14:solidFill>
          </w14:textFill>
        </w:rPr>
        <w:t>针对性地制定“古树名木保护技术规程”地方标准，对我省古树名木抢救、养护、病虫害防治等进行科学指导。</w:t>
      </w:r>
      <w:r>
        <w:rPr>
          <w:bCs/>
          <w:color w:val="000000" w:themeColor="text1"/>
          <w:sz w:val="28"/>
          <w:szCs w:val="28"/>
          <w14:textFill>
            <w14:solidFill>
              <w14:schemeClr w14:val="tx1"/>
            </w14:solidFill>
          </w14:textFill>
        </w:rPr>
        <w:t xml:space="preserve">标准的制定有利于更好地保护好古树名木，使古树名木管理机构有章可循、有据可依，提高古树名木成活率，填补我省乃至我国古树名木保护相关技术方向无标准的空白，为充分发挥其经济效益、生态效益都将具有重要的现实意义。 </w:t>
      </w:r>
      <w:r>
        <w:rPr>
          <w:b/>
          <w:color w:val="000000" w:themeColor="text1"/>
          <w:sz w:val="28"/>
          <w:szCs w:val="28"/>
          <w14:textFill>
            <w14:solidFill>
              <w14:schemeClr w14:val="tx1"/>
            </w14:solidFill>
          </w14:textFill>
        </w:rPr>
        <w:t xml:space="preserve">  </w:t>
      </w:r>
    </w:p>
    <w:p w14:paraId="62105141">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3、项目参加单位和协作单位人员分工</w:t>
      </w:r>
    </w:p>
    <w:p w14:paraId="270A17DC">
      <w:pPr>
        <w:pStyle w:val="23"/>
        <w:spacing w:line="360" w:lineRule="auto"/>
        <w:ind w:firstLine="560"/>
        <w:rPr>
          <w:rFonts w:ascii="Times New Roman" w:cs="Times New Roman"/>
          <w:color w:val="000000" w:themeColor="text1"/>
          <w:sz w:val="28"/>
          <w:szCs w:val="28"/>
          <w14:textFill>
            <w14:solidFill>
              <w14:schemeClr w14:val="tx1"/>
            </w14:solidFill>
          </w14:textFill>
        </w:rPr>
      </w:pPr>
      <w:r>
        <w:rPr>
          <w:rFonts w:ascii="Times New Roman" w:eastAsia="宋体" w:cs="Times New Roman"/>
          <w:color w:val="000000" w:themeColor="text1"/>
          <w:sz w:val="28"/>
          <w:szCs w:val="28"/>
          <w14:textFill>
            <w14:solidFill>
              <w14:schemeClr w14:val="tx1"/>
            </w14:solidFill>
          </w14:textFill>
        </w:rPr>
        <w:t>该项目承担单位为中南林业科技大学，参与单位包括湖南省森林植物园。项目组成员具有多年的古树名木相关工作经历。以下为本标准主要起草人名单及任务分工：</w:t>
      </w:r>
    </w:p>
    <w:p w14:paraId="49422651">
      <w:pPr>
        <w:pStyle w:val="23"/>
        <w:spacing w:line="360" w:lineRule="auto"/>
        <w:ind w:firstLine="480"/>
        <w:jc w:val="center"/>
        <w:rPr>
          <w:rFonts w:ascii="Times New Roman" w:cs="Times New Roman"/>
          <w:b/>
          <w:bCs/>
          <w:color w:val="000000" w:themeColor="text1"/>
          <w:sz w:val="24"/>
          <w:szCs w:val="24"/>
          <w14:textFill>
            <w14:solidFill>
              <w14:schemeClr w14:val="tx1"/>
            </w14:solidFill>
          </w14:textFill>
        </w:rPr>
      </w:pPr>
      <w:r>
        <w:rPr>
          <w:rFonts w:ascii="Times New Roman" w:cs="Times New Roman"/>
          <w:b/>
          <w:bCs/>
          <w:color w:val="000000" w:themeColor="text1"/>
          <w:sz w:val="24"/>
          <w:szCs w:val="24"/>
          <w14:textFill>
            <w14:solidFill>
              <w14:schemeClr w14:val="tx1"/>
            </w14:solidFill>
          </w14:textFill>
        </w:rPr>
        <w:t>表 1  主要起草人名单</w:t>
      </w:r>
    </w:p>
    <w:tbl>
      <w:tblPr>
        <w:tblStyle w:val="13"/>
        <w:tblW w:w="52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926"/>
        <w:gridCol w:w="1848"/>
        <w:gridCol w:w="2768"/>
        <w:gridCol w:w="2237"/>
      </w:tblGrid>
      <w:tr w14:paraId="63FE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81" w:type="pct"/>
          </w:tcPr>
          <w:p w14:paraId="09C4D1A3">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姓 名</w:t>
            </w:r>
          </w:p>
        </w:tc>
        <w:tc>
          <w:tcPr>
            <w:tcW w:w="514" w:type="pct"/>
          </w:tcPr>
          <w:p w14:paraId="5EAB1661">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性别</w:t>
            </w:r>
          </w:p>
        </w:tc>
        <w:tc>
          <w:tcPr>
            <w:tcW w:w="1026" w:type="pct"/>
          </w:tcPr>
          <w:p w14:paraId="648681F8">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职务/职称</w:t>
            </w:r>
          </w:p>
        </w:tc>
        <w:tc>
          <w:tcPr>
            <w:tcW w:w="1537" w:type="pct"/>
          </w:tcPr>
          <w:p w14:paraId="1734F52B">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工作单位</w:t>
            </w:r>
          </w:p>
        </w:tc>
        <w:tc>
          <w:tcPr>
            <w:tcW w:w="1243" w:type="pct"/>
          </w:tcPr>
          <w:p w14:paraId="65AE1F93">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任务分工</w:t>
            </w:r>
          </w:p>
        </w:tc>
      </w:tr>
      <w:tr w14:paraId="7A27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681" w:type="pct"/>
          </w:tcPr>
          <w:p w14:paraId="2D69EF04">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曹基武</w:t>
            </w:r>
          </w:p>
        </w:tc>
        <w:tc>
          <w:tcPr>
            <w:tcW w:w="514" w:type="pct"/>
          </w:tcPr>
          <w:p w14:paraId="54034072">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1BCC4702">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教授</w:t>
            </w:r>
          </w:p>
        </w:tc>
        <w:tc>
          <w:tcPr>
            <w:tcW w:w="1537" w:type="pct"/>
          </w:tcPr>
          <w:p w14:paraId="06CCD94B">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7BB8C33F">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技术咨询专家</w:t>
            </w:r>
          </w:p>
        </w:tc>
      </w:tr>
      <w:tr w14:paraId="24A1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1" w:type="pct"/>
          </w:tcPr>
          <w:p w14:paraId="4ED4B9CF">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唐  滔</w:t>
            </w:r>
          </w:p>
        </w:tc>
        <w:tc>
          <w:tcPr>
            <w:tcW w:w="514" w:type="pct"/>
          </w:tcPr>
          <w:p w14:paraId="51E92978">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78E8B050">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主任</w:t>
            </w:r>
          </w:p>
        </w:tc>
        <w:tc>
          <w:tcPr>
            <w:tcW w:w="1537" w:type="pct"/>
          </w:tcPr>
          <w:p w14:paraId="11C0F775">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湖南省绿化委员会</w:t>
            </w:r>
          </w:p>
        </w:tc>
        <w:tc>
          <w:tcPr>
            <w:tcW w:w="1243" w:type="pct"/>
          </w:tcPr>
          <w:p w14:paraId="32E209DD">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政策性文件咨询</w:t>
            </w:r>
          </w:p>
        </w:tc>
      </w:tr>
      <w:tr w14:paraId="43E5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81" w:type="pct"/>
          </w:tcPr>
          <w:p w14:paraId="562C0365">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贺  勇</w:t>
            </w:r>
          </w:p>
        </w:tc>
        <w:tc>
          <w:tcPr>
            <w:tcW w:w="514" w:type="pct"/>
          </w:tcPr>
          <w:p w14:paraId="718B1999">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0061EF9B">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科长</w:t>
            </w:r>
          </w:p>
        </w:tc>
        <w:tc>
          <w:tcPr>
            <w:tcW w:w="1537" w:type="pct"/>
          </w:tcPr>
          <w:p w14:paraId="4831CBE0">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湖南省绿化委员会</w:t>
            </w:r>
          </w:p>
        </w:tc>
        <w:tc>
          <w:tcPr>
            <w:tcW w:w="1243" w:type="pct"/>
          </w:tcPr>
          <w:p w14:paraId="39671D8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政策性文件咨询</w:t>
            </w:r>
          </w:p>
        </w:tc>
      </w:tr>
      <w:tr w14:paraId="6AB7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1" w:type="pct"/>
          </w:tcPr>
          <w:p w14:paraId="34387754">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吴  磊</w:t>
            </w:r>
          </w:p>
        </w:tc>
        <w:tc>
          <w:tcPr>
            <w:tcW w:w="514" w:type="pct"/>
          </w:tcPr>
          <w:p w14:paraId="7546AE33">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3395CED1">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副教授</w:t>
            </w:r>
          </w:p>
        </w:tc>
        <w:tc>
          <w:tcPr>
            <w:tcW w:w="1537" w:type="pct"/>
          </w:tcPr>
          <w:p w14:paraId="152BFE2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53C29415">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规范起草</w:t>
            </w:r>
            <w:r>
              <w:rPr>
                <w:rFonts w:hint="eastAsia"/>
                <w:color w:val="000000" w:themeColor="text1"/>
                <w:sz w:val="24"/>
                <w14:textFill>
                  <w14:solidFill>
                    <w14:schemeClr w14:val="tx1"/>
                  </w14:solidFill>
                </w14:textFill>
              </w:rPr>
              <w:t>及完善</w:t>
            </w:r>
          </w:p>
        </w:tc>
      </w:tr>
      <w:tr w14:paraId="6EB1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681" w:type="pct"/>
          </w:tcPr>
          <w:p w14:paraId="59B44CB4">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吴琴香</w:t>
            </w:r>
          </w:p>
        </w:tc>
        <w:tc>
          <w:tcPr>
            <w:tcW w:w="514" w:type="pct"/>
          </w:tcPr>
          <w:p w14:paraId="74EF7F69">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女</w:t>
            </w:r>
          </w:p>
        </w:tc>
        <w:tc>
          <w:tcPr>
            <w:tcW w:w="1026" w:type="pct"/>
          </w:tcPr>
          <w:p w14:paraId="22F7E02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高级工程师</w:t>
            </w:r>
          </w:p>
        </w:tc>
        <w:tc>
          <w:tcPr>
            <w:tcW w:w="1537" w:type="pct"/>
          </w:tcPr>
          <w:p w14:paraId="1A5FC9B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67CAEB4A">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规范起草</w:t>
            </w:r>
          </w:p>
        </w:tc>
      </w:tr>
      <w:tr w14:paraId="1581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1" w:type="pct"/>
          </w:tcPr>
          <w:p w14:paraId="26B056D3">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周  围</w:t>
            </w:r>
          </w:p>
        </w:tc>
        <w:tc>
          <w:tcPr>
            <w:tcW w:w="514" w:type="pct"/>
          </w:tcPr>
          <w:p w14:paraId="55FFA51B">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女</w:t>
            </w:r>
          </w:p>
        </w:tc>
        <w:tc>
          <w:tcPr>
            <w:tcW w:w="1026" w:type="pct"/>
          </w:tcPr>
          <w:p w14:paraId="4B6DEF73">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讲师</w:t>
            </w:r>
          </w:p>
        </w:tc>
        <w:tc>
          <w:tcPr>
            <w:tcW w:w="1537" w:type="pct"/>
          </w:tcPr>
          <w:p w14:paraId="5387E52B">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1F6F8D06">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资料收集</w:t>
            </w:r>
          </w:p>
        </w:tc>
      </w:tr>
      <w:tr w14:paraId="46788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681" w:type="pct"/>
          </w:tcPr>
          <w:p w14:paraId="3013CD5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曹受金</w:t>
            </w:r>
          </w:p>
        </w:tc>
        <w:tc>
          <w:tcPr>
            <w:tcW w:w="514" w:type="pct"/>
          </w:tcPr>
          <w:p w14:paraId="02BA16B8">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38065195">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教授</w:t>
            </w:r>
          </w:p>
        </w:tc>
        <w:tc>
          <w:tcPr>
            <w:tcW w:w="1537" w:type="pct"/>
          </w:tcPr>
          <w:p w14:paraId="65749892">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450E08E8">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规范起草</w:t>
            </w:r>
          </w:p>
        </w:tc>
      </w:tr>
      <w:tr w14:paraId="7F892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1" w:type="pct"/>
            <w:vAlign w:val="center"/>
          </w:tcPr>
          <w:p w14:paraId="19D4F864">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牟  村</w:t>
            </w:r>
          </w:p>
        </w:tc>
        <w:tc>
          <w:tcPr>
            <w:tcW w:w="514" w:type="pct"/>
          </w:tcPr>
          <w:p w14:paraId="1A49DD9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1EC775E0">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高级工程师</w:t>
            </w:r>
          </w:p>
        </w:tc>
        <w:tc>
          <w:tcPr>
            <w:tcW w:w="1537" w:type="pct"/>
          </w:tcPr>
          <w:p w14:paraId="6501E1C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湖南省植物园</w:t>
            </w:r>
          </w:p>
        </w:tc>
        <w:tc>
          <w:tcPr>
            <w:tcW w:w="1243" w:type="pct"/>
          </w:tcPr>
          <w:p w14:paraId="14403DA2">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规范完善</w:t>
            </w:r>
          </w:p>
        </w:tc>
      </w:tr>
      <w:tr w14:paraId="27E0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681" w:type="pct"/>
            <w:vAlign w:val="center"/>
          </w:tcPr>
          <w:p w14:paraId="4AA7447D">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肖  炜</w:t>
            </w:r>
          </w:p>
        </w:tc>
        <w:tc>
          <w:tcPr>
            <w:tcW w:w="514" w:type="pct"/>
          </w:tcPr>
          <w:p w14:paraId="0DFB5863">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男</w:t>
            </w:r>
          </w:p>
        </w:tc>
        <w:tc>
          <w:tcPr>
            <w:tcW w:w="1026" w:type="pct"/>
          </w:tcPr>
          <w:p w14:paraId="7E7A93CB">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高级实验师</w:t>
            </w:r>
          </w:p>
        </w:tc>
        <w:tc>
          <w:tcPr>
            <w:tcW w:w="1537" w:type="pct"/>
          </w:tcPr>
          <w:p w14:paraId="3F84DE0A">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6746F2E2">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资料收集</w:t>
            </w:r>
          </w:p>
        </w:tc>
      </w:tr>
      <w:tr w14:paraId="16CFF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1" w:type="pct"/>
          </w:tcPr>
          <w:p w14:paraId="7140FA3E">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刘  帅</w:t>
            </w:r>
          </w:p>
        </w:tc>
        <w:tc>
          <w:tcPr>
            <w:tcW w:w="514" w:type="pct"/>
          </w:tcPr>
          <w:p w14:paraId="64CD1EE6">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男</w:t>
            </w:r>
          </w:p>
        </w:tc>
        <w:tc>
          <w:tcPr>
            <w:tcW w:w="1026" w:type="pct"/>
          </w:tcPr>
          <w:p w14:paraId="2C27397E">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副教授</w:t>
            </w:r>
          </w:p>
        </w:tc>
        <w:tc>
          <w:tcPr>
            <w:tcW w:w="1537" w:type="pct"/>
          </w:tcPr>
          <w:p w14:paraId="77D56BBD">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5193311D">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规范起草</w:t>
            </w:r>
          </w:p>
        </w:tc>
      </w:tr>
      <w:tr w14:paraId="3E3D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81" w:type="pct"/>
          </w:tcPr>
          <w:p w14:paraId="582E0C56">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易烜</w:t>
            </w:r>
          </w:p>
        </w:tc>
        <w:tc>
          <w:tcPr>
            <w:tcW w:w="514" w:type="pct"/>
          </w:tcPr>
          <w:p w14:paraId="799C2451">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男</w:t>
            </w:r>
          </w:p>
        </w:tc>
        <w:tc>
          <w:tcPr>
            <w:tcW w:w="1026" w:type="pct"/>
          </w:tcPr>
          <w:p w14:paraId="762A38E6">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高级工程师</w:t>
            </w:r>
          </w:p>
        </w:tc>
        <w:tc>
          <w:tcPr>
            <w:tcW w:w="1537" w:type="pct"/>
          </w:tcPr>
          <w:p w14:paraId="4CD5CAF6">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湖南省青羊湖国有林场</w:t>
            </w:r>
          </w:p>
        </w:tc>
        <w:tc>
          <w:tcPr>
            <w:tcW w:w="1243" w:type="pct"/>
          </w:tcPr>
          <w:p w14:paraId="40D81F80">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规范完善</w:t>
            </w:r>
          </w:p>
        </w:tc>
      </w:tr>
      <w:tr w14:paraId="575E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81" w:type="pct"/>
          </w:tcPr>
          <w:p w14:paraId="445C995C">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刘瑞峰</w:t>
            </w:r>
          </w:p>
        </w:tc>
        <w:tc>
          <w:tcPr>
            <w:tcW w:w="514" w:type="pct"/>
          </w:tcPr>
          <w:p w14:paraId="2F7424C8">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女</w:t>
            </w:r>
          </w:p>
        </w:tc>
        <w:tc>
          <w:tcPr>
            <w:tcW w:w="1026" w:type="pct"/>
          </w:tcPr>
          <w:p w14:paraId="15B3D5A4">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讲师</w:t>
            </w:r>
          </w:p>
        </w:tc>
        <w:tc>
          <w:tcPr>
            <w:tcW w:w="1537" w:type="pct"/>
          </w:tcPr>
          <w:p w14:paraId="2F17A4E9">
            <w:pPr>
              <w:spacing w:line="360" w:lineRule="auto"/>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中南林业科技大学</w:t>
            </w:r>
          </w:p>
        </w:tc>
        <w:tc>
          <w:tcPr>
            <w:tcW w:w="1243" w:type="pct"/>
          </w:tcPr>
          <w:p w14:paraId="391E3831">
            <w:pPr>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资料收集</w:t>
            </w:r>
          </w:p>
        </w:tc>
      </w:tr>
    </w:tbl>
    <w:p w14:paraId="5DF34B5B">
      <w:pPr>
        <w:spacing w:line="360" w:lineRule="auto"/>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（二）主要工作过程</w:t>
      </w:r>
    </w:p>
    <w:p w14:paraId="599ECEA1">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1、工作基础</w:t>
      </w:r>
    </w:p>
    <w:p w14:paraId="77D59BC3">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中南林业科技大学</w:t>
      </w:r>
      <w:r>
        <w:rPr>
          <w:rFonts w:hint="eastAsia"/>
          <w:color w:val="000000" w:themeColor="text1"/>
          <w:sz w:val="28"/>
          <w:szCs w:val="28"/>
          <w14:textFill>
            <w14:solidFill>
              <w14:schemeClr w14:val="tx1"/>
            </w14:solidFill>
          </w14:textFill>
        </w:rPr>
        <w:t>是林业特色鲜明的综合性大学。学校始终坚持以习近平新时代中国特色社会主义思想为指导，以强林兴林为己任，并针对社会刚性需求，积极投身林业生态建设和研究工作中。2</w:t>
      </w:r>
      <w:r>
        <w:rPr>
          <w:color w:val="000000" w:themeColor="text1"/>
          <w:sz w:val="28"/>
          <w:szCs w:val="28"/>
          <w14:textFill>
            <w14:solidFill>
              <w14:schemeClr w14:val="tx1"/>
            </w14:solidFill>
          </w14:textFill>
        </w:rPr>
        <w:t>022</w:t>
      </w:r>
      <w:r>
        <w:rPr>
          <w:rFonts w:hint="eastAsia"/>
          <w:color w:val="000000" w:themeColor="text1"/>
          <w:sz w:val="28"/>
          <w:szCs w:val="28"/>
          <w14:textFill>
            <w14:solidFill>
              <w14:schemeClr w14:val="tx1"/>
            </w14:solidFill>
          </w14:textFill>
        </w:rPr>
        <w:t>年6月，在湖南省林业局和省绿委办领导的见证下，学校成立了以</w:t>
      </w:r>
      <w:r>
        <w:rPr>
          <w:color w:val="000000" w:themeColor="text1"/>
          <w:sz w:val="28"/>
          <w:szCs w:val="28"/>
          <w14:textFill>
            <w14:solidFill>
              <w14:schemeClr w14:val="tx1"/>
            </w14:solidFill>
          </w14:textFill>
        </w:rPr>
        <w:t>林学院</w:t>
      </w:r>
      <w:r>
        <w:rPr>
          <w:rFonts w:hint="eastAsia"/>
          <w:color w:val="000000" w:themeColor="text1"/>
          <w:sz w:val="28"/>
          <w:szCs w:val="28"/>
          <w14:textFill>
            <w14:solidFill>
              <w14:schemeClr w14:val="tx1"/>
            </w14:solidFill>
          </w14:textFill>
        </w:rPr>
        <w:t>依托，吸纳不同学院多个学科的教师力量，组建了古树名木保护工程研究中心，专门针对古树名木保护工作存在的各种短板吹响克难攻坚冲锋号。研究中心的成员长期</w:t>
      </w:r>
      <w:r>
        <w:rPr>
          <w:color w:val="000000" w:themeColor="text1"/>
          <w:sz w:val="28"/>
          <w:szCs w:val="28"/>
          <w14:textFill>
            <w14:solidFill>
              <w14:schemeClr w14:val="tx1"/>
            </w14:solidFill>
          </w14:textFill>
        </w:rPr>
        <w:t>从事树木鉴定、</w:t>
      </w:r>
      <w:r>
        <w:rPr>
          <w:rFonts w:hint="eastAsia"/>
          <w:color w:val="000000" w:themeColor="text1"/>
          <w:sz w:val="28"/>
          <w:szCs w:val="28"/>
          <w14:textFill>
            <w14:solidFill>
              <w14:schemeClr w14:val="tx1"/>
            </w14:solidFill>
          </w14:textFill>
        </w:rPr>
        <w:t>育种、</w:t>
      </w:r>
      <w:r>
        <w:rPr>
          <w:color w:val="000000" w:themeColor="text1"/>
          <w:sz w:val="28"/>
          <w:szCs w:val="28"/>
          <w14:textFill>
            <w14:solidFill>
              <w14:schemeClr w14:val="tx1"/>
            </w14:solidFill>
          </w14:textFill>
        </w:rPr>
        <w:t>栽培、</w:t>
      </w:r>
      <w:r>
        <w:rPr>
          <w:rFonts w:hint="eastAsia"/>
          <w:color w:val="000000" w:themeColor="text1"/>
          <w:sz w:val="28"/>
          <w:szCs w:val="28"/>
          <w14:textFill>
            <w14:solidFill>
              <w14:schemeClr w14:val="tx1"/>
            </w14:solidFill>
          </w14:textFill>
        </w:rPr>
        <w:t>病虫害防治</w:t>
      </w:r>
      <w:r>
        <w:rPr>
          <w:color w:val="000000" w:themeColor="text1"/>
          <w:sz w:val="28"/>
          <w:szCs w:val="28"/>
          <w14:textFill>
            <w14:solidFill>
              <w14:schemeClr w14:val="tx1"/>
            </w14:solidFill>
          </w14:textFill>
        </w:rPr>
        <w:t>及古树养护、复壮研究，特别是近年来承担了国家自然科学基金项目、中央财政推广项目、省重点研发计划等一批树木栽培、养护研究项目，创造了一批</w:t>
      </w:r>
      <w:r>
        <w:rPr>
          <w:rFonts w:hint="eastAsia"/>
          <w:color w:val="000000" w:themeColor="text1"/>
          <w:sz w:val="28"/>
          <w:szCs w:val="28"/>
          <w14:textFill>
            <w14:solidFill>
              <w14:schemeClr w14:val="tx1"/>
            </w14:solidFill>
          </w14:textFill>
        </w:rPr>
        <w:t>阶段性的</w:t>
      </w:r>
      <w:r>
        <w:rPr>
          <w:color w:val="000000" w:themeColor="text1"/>
          <w:sz w:val="28"/>
          <w:szCs w:val="28"/>
          <w14:textFill>
            <w14:solidFill>
              <w14:schemeClr w14:val="tx1"/>
            </w14:solidFill>
          </w14:textFill>
        </w:rPr>
        <w:t>研究成果，积累了丰富的研究经验</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为本标准的制定奠定了坚实的基础。</w:t>
      </w:r>
    </w:p>
    <w:p w14:paraId="438C4B20">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2、组织编写</w:t>
      </w:r>
    </w:p>
    <w:p w14:paraId="782AE9C8">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项目单位于2022年3月成立了《古树名木养护技术规范》</w:t>
      </w:r>
      <w:r>
        <w:rPr>
          <w:rFonts w:hint="eastAsia"/>
          <w:color w:val="000000" w:themeColor="text1"/>
          <w:sz w:val="28"/>
          <w:szCs w:val="28"/>
          <w14:textFill>
            <w14:solidFill>
              <w14:schemeClr w14:val="tx1"/>
            </w14:solidFill>
          </w14:textFill>
        </w:rPr>
        <w:t>编写工作</w:t>
      </w:r>
      <w:r>
        <w:rPr>
          <w:color w:val="000000" w:themeColor="text1"/>
          <w:sz w:val="28"/>
          <w:szCs w:val="28"/>
          <w14:textFill>
            <w14:solidFill>
              <w14:schemeClr w14:val="tx1"/>
            </w14:solidFill>
          </w14:textFill>
        </w:rPr>
        <w:t>组，</w:t>
      </w:r>
      <w:r>
        <w:rPr>
          <w:rFonts w:hint="eastAsia"/>
          <w:color w:val="000000" w:themeColor="text1"/>
          <w:sz w:val="28"/>
          <w:szCs w:val="28"/>
          <w14:textFill>
            <w14:solidFill>
              <w14:schemeClr w14:val="tx1"/>
            </w14:solidFill>
          </w14:textFill>
        </w:rPr>
        <w:t>工作组成员均为后面成立的古树名木保护工程研究中心主要科研人员。编写工作组首先</w:t>
      </w:r>
      <w:r>
        <w:rPr>
          <w:color w:val="000000" w:themeColor="text1"/>
          <w:sz w:val="28"/>
          <w:szCs w:val="28"/>
          <w14:textFill>
            <w14:solidFill>
              <w14:schemeClr w14:val="tx1"/>
            </w14:solidFill>
          </w14:textFill>
        </w:rPr>
        <w:t>明确了工作指导思想，确定了项目主要内容和技术指标，即按照GB/T 1.1-2009《标准化工作导则 第1部分：标准的结构和编写规则》的规定，严格按照规范编写要求进行编写</w:t>
      </w:r>
      <w:r>
        <w:rPr>
          <w:rFonts w:hint="eastAsia"/>
          <w:color w:val="000000" w:themeColor="text1"/>
          <w:sz w:val="28"/>
          <w:szCs w:val="28"/>
          <w14:textFill>
            <w14:solidFill>
              <w14:schemeClr w14:val="tx1"/>
            </w14:solidFill>
          </w14:textFill>
        </w:rPr>
        <w:t>；同时，</w:t>
      </w:r>
      <w:r>
        <w:rPr>
          <w:color w:val="000000" w:themeColor="text1"/>
          <w:sz w:val="28"/>
          <w:szCs w:val="28"/>
          <w14:textFill>
            <w14:solidFill>
              <w14:schemeClr w14:val="tx1"/>
            </w14:solidFill>
          </w14:textFill>
        </w:rPr>
        <w:t>就编写的主要内容进行了深入、广泛、细致、认真的讨论，编写了项目实施方案，明确了项目组人员的分工。</w:t>
      </w:r>
    </w:p>
    <w:p w14:paraId="215791B9">
      <w:pPr>
        <w:spacing w:line="360" w:lineRule="auto"/>
        <w:ind w:firstLine="700" w:firstLineChars="25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起草小组首先收集、查阅了国内相关标准、文献等技术资料，在此基础上，在总结前期研究的基础上，密切联系生产实践，广泛查阅相关资料，开展调查研究，掌握第一手资料，并不断进行验证，于2023年4月编写完成《古树名木养护技术规范》标准初稿。</w:t>
      </w:r>
      <w:r>
        <w:rPr>
          <w:color w:val="000000" w:themeColor="text1"/>
          <w:kern w:val="0"/>
          <w:sz w:val="28"/>
          <w:szCs w:val="28"/>
          <w14:textFill>
            <w14:solidFill>
              <w14:schemeClr w14:val="tx1"/>
            </w14:solidFill>
          </w14:textFill>
        </w:rPr>
        <w:t>2023年5月组织项目组成员进行了专题讨论，</w:t>
      </w:r>
      <w:r>
        <w:rPr>
          <w:rFonts w:hint="eastAsia"/>
          <w:color w:val="000000" w:themeColor="text1"/>
          <w:kern w:val="0"/>
          <w:sz w:val="28"/>
          <w:szCs w:val="28"/>
          <w14:textFill>
            <w14:solidFill>
              <w14:schemeClr w14:val="tx1"/>
            </w14:solidFill>
          </w14:textFill>
        </w:rPr>
        <w:t>8</w:t>
      </w:r>
      <w:r>
        <w:rPr>
          <w:color w:val="000000" w:themeColor="text1"/>
          <w:kern w:val="0"/>
          <w:sz w:val="28"/>
          <w:szCs w:val="28"/>
          <w14:textFill>
            <w14:solidFill>
              <w14:schemeClr w14:val="tx1"/>
            </w14:solidFill>
          </w14:textFill>
        </w:rPr>
        <w:t>月形成征求意见稿初稿，</w:t>
      </w:r>
      <w:r>
        <w:rPr>
          <w:rFonts w:hint="eastAsia"/>
          <w:color w:val="000000" w:themeColor="text1"/>
          <w:kern w:val="0"/>
          <w:sz w:val="28"/>
          <w:szCs w:val="28"/>
          <w14:textFill>
            <w14:solidFill>
              <w14:schemeClr w14:val="tx1"/>
            </w14:solidFill>
          </w14:textFill>
        </w:rPr>
        <w:t>8</w:t>
      </w:r>
      <w:r>
        <w:rPr>
          <w:color w:val="000000" w:themeColor="text1"/>
          <w:kern w:val="0"/>
          <w:sz w:val="28"/>
          <w:szCs w:val="28"/>
          <w14:textFill>
            <w14:solidFill>
              <w14:schemeClr w14:val="tx1"/>
            </w14:solidFill>
          </w14:textFill>
        </w:rPr>
        <w:t>月就初稿再次进行修改，形成征求意见稿。</w:t>
      </w:r>
    </w:p>
    <w:p w14:paraId="377E279F">
      <w:pPr>
        <w:spacing w:line="360" w:lineRule="auto"/>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二、标准编制原则和主要内容的论据</w:t>
      </w:r>
    </w:p>
    <w:p w14:paraId="7DC2C830">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（一）标准编制原则</w:t>
      </w:r>
    </w:p>
    <w:p w14:paraId="3486D9F1">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1、编写格式按中华人民共和国国家标准 GB/T 1.1-2020 标准化工作导则 第1部分：标准的结构和编写规则。</w:t>
      </w:r>
    </w:p>
    <w:p w14:paraId="3463B9CF">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2、内容紧密联系我省目前古树名木养护现状，各项技术指标先进、合理，系统性和可操作性强。</w:t>
      </w:r>
    </w:p>
    <w:p w14:paraId="70DC0A12">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（二）主要内容及依据</w:t>
      </w:r>
    </w:p>
    <w:p w14:paraId="447B4681">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本标准</w:t>
      </w:r>
      <w:r>
        <w:rPr>
          <w:rFonts w:hint="eastAsia"/>
          <w:color w:val="000000" w:themeColor="text1"/>
          <w:sz w:val="28"/>
          <w:szCs w:val="28"/>
          <w14:textFill>
            <w14:solidFill>
              <w14:schemeClr w14:val="tx1"/>
            </w14:solidFill>
          </w14:textFill>
        </w:rPr>
        <w:t>主要参照了</w:t>
      </w:r>
      <w:r>
        <w:rPr>
          <w:color w:val="000000" w:themeColor="text1"/>
          <w:sz w:val="28"/>
          <w:szCs w:val="28"/>
          <w14:textFill>
            <w14:solidFill>
              <w14:schemeClr w14:val="tx1"/>
            </w14:solidFill>
          </w14:textFill>
        </w:rPr>
        <w:t>国家标准 GB/T 51168-2016《城市古树名木养护和复壮工程技术规范》中</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4 养护</w:t>
      </w:r>
      <w:r>
        <w:rPr>
          <w:rFonts w:hint="eastAsia"/>
          <w:color w:val="000000" w:themeColor="text1"/>
          <w:sz w:val="28"/>
          <w:szCs w:val="28"/>
          <w14:textFill>
            <w14:solidFill>
              <w14:schemeClr w14:val="tx1"/>
            </w14:solidFill>
          </w14:textFill>
        </w:rPr>
        <w:t>”和“5</w:t>
      </w:r>
      <w:r>
        <w:rPr>
          <w:color w:val="000000" w:themeColor="text1"/>
          <w:sz w:val="28"/>
          <w:szCs w:val="28"/>
          <w14:textFill>
            <w14:solidFill>
              <w14:schemeClr w14:val="tx1"/>
            </w14:solidFill>
          </w14:textFill>
        </w:rPr>
        <w:t xml:space="preserve"> </w:t>
      </w:r>
      <w:r>
        <w:rPr>
          <w:rFonts w:hint="eastAsia"/>
          <w:color w:val="000000" w:themeColor="text1"/>
          <w:sz w:val="28"/>
          <w:szCs w:val="28"/>
          <w14:textFill>
            <w14:solidFill>
              <w14:schemeClr w14:val="tx1"/>
            </w14:solidFill>
          </w14:textFill>
        </w:rPr>
        <w:t>复壮”</w:t>
      </w:r>
      <w:r>
        <w:rPr>
          <w:color w:val="000000" w:themeColor="text1"/>
          <w:sz w:val="28"/>
          <w:szCs w:val="28"/>
          <w14:textFill>
            <w14:solidFill>
              <w14:schemeClr w14:val="tx1"/>
            </w14:solidFill>
          </w14:textFill>
        </w:rPr>
        <w:t>相关内容规定，</w:t>
      </w:r>
      <w:r>
        <w:rPr>
          <w:rFonts w:hint="eastAsia"/>
          <w:color w:val="000000" w:themeColor="text1"/>
          <w:sz w:val="28"/>
          <w:szCs w:val="28"/>
          <w14:textFill>
            <w14:solidFill>
              <w14:schemeClr w14:val="tx1"/>
            </w14:solidFill>
          </w14:textFill>
        </w:rPr>
        <w:t>但</w:t>
      </w:r>
      <w:r>
        <w:rPr>
          <w:color w:val="000000" w:themeColor="text1"/>
          <w:sz w:val="28"/>
          <w:szCs w:val="28"/>
          <w14:textFill>
            <w14:solidFill>
              <w14:schemeClr w14:val="tx1"/>
            </w14:solidFill>
          </w14:textFill>
        </w:rPr>
        <w:t>不同点主要体现在：（1）</w:t>
      </w:r>
      <w:r>
        <w:rPr>
          <w:rFonts w:hint="eastAsia"/>
          <w:color w:val="000000" w:themeColor="text1"/>
          <w:sz w:val="28"/>
          <w:szCs w:val="28"/>
          <w14:textFill>
            <w14:solidFill>
              <w14:schemeClr w14:val="tx1"/>
            </w14:solidFill>
          </w14:textFill>
        </w:rPr>
        <w:t>针对性强，更符合湖南省地方特色。</w:t>
      </w:r>
      <w:r>
        <w:rPr>
          <w:color w:val="000000" w:themeColor="text1"/>
          <w:sz w:val="28"/>
          <w:szCs w:val="28"/>
          <w14:textFill>
            <w14:solidFill>
              <w14:schemeClr w14:val="tx1"/>
            </w14:solidFill>
          </w14:textFill>
        </w:rPr>
        <w:t>从地域分布看，除自然保护区外，</w:t>
      </w:r>
      <w:r>
        <w:rPr>
          <w:rFonts w:hint="eastAsia"/>
          <w:color w:val="000000" w:themeColor="text1"/>
          <w:sz w:val="28"/>
          <w:szCs w:val="28"/>
          <w14:textFill>
            <w14:solidFill>
              <w14:schemeClr w14:val="tx1"/>
            </w14:solidFill>
          </w14:textFill>
        </w:rPr>
        <w:t>湖南省</w:t>
      </w:r>
      <w:r>
        <w:rPr>
          <w:color w:val="000000" w:themeColor="text1"/>
          <w:sz w:val="28"/>
          <w:szCs w:val="28"/>
          <w14:textFill>
            <w14:solidFill>
              <w14:schemeClr w14:val="tx1"/>
            </w14:solidFill>
          </w14:textFill>
        </w:rPr>
        <w:t>95%以上</w:t>
      </w:r>
      <w:r>
        <w:rPr>
          <w:rFonts w:hint="eastAsia"/>
          <w:color w:val="000000" w:themeColor="text1"/>
          <w:sz w:val="28"/>
          <w:szCs w:val="28"/>
          <w14:textFill>
            <w14:solidFill>
              <w14:schemeClr w14:val="tx1"/>
            </w14:solidFill>
          </w14:textFill>
        </w:rPr>
        <w:t>古树名木（尤其是古树）</w:t>
      </w:r>
      <w:r>
        <w:rPr>
          <w:color w:val="000000" w:themeColor="text1"/>
          <w:sz w:val="28"/>
          <w:szCs w:val="28"/>
          <w14:textFill>
            <w14:solidFill>
              <w14:schemeClr w14:val="tx1"/>
            </w14:solidFill>
          </w14:textFill>
        </w:rPr>
        <w:t>分布</w:t>
      </w:r>
      <w:r>
        <w:rPr>
          <w:rFonts w:hint="eastAsia"/>
          <w:color w:val="000000" w:themeColor="text1"/>
          <w:sz w:val="28"/>
          <w:szCs w:val="28"/>
          <w14:textFill>
            <w14:solidFill>
              <w14:schemeClr w14:val="tx1"/>
            </w14:solidFill>
          </w14:textFill>
        </w:rPr>
        <w:t>于</w:t>
      </w:r>
      <w:r>
        <w:rPr>
          <w:color w:val="000000" w:themeColor="text1"/>
          <w:sz w:val="28"/>
          <w:szCs w:val="28"/>
          <w14:textFill>
            <w14:solidFill>
              <w14:schemeClr w14:val="tx1"/>
            </w14:solidFill>
          </w14:textFill>
        </w:rPr>
        <w:t>乡镇及村寨周边</w:t>
      </w:r>
      <w:r>
        <w:rPr>
          <w:rFonts w:hint="eastAsia"/>
          <w:color w:val="000000" w:themeColor="text1"/>
          <w:sz w:val="28"/>
          <w:szCs w:val="28"/>
          <w14:textFill>
            <w14:solidFill>
              <w14:schemeClr w14:val="tx1"/>
            </w14:solidFill>
          </w14:textFill>
        </w:rPr>
        <w:t>。因此，</w:t>
      </w:r>
      <w:r>
        <w:rPr>
          <w:color w:val="000000" w:themeColor="text1"/>
          <w:sz w:val="28"/>
          <w:szCs w:val="28"/>
          <w14:textFill>
            <w14:solidFill>
              <w14:schemeClr w14:val="tx1"/>
            </w14:solidFill>
          </w14:textFill>
        </w:rPr>
        <w:t>本标准适用的养护对象</w:t>
      </w:r>
      <w:r>
        <w:rPr>
          <w:rFonts w:hint="eastAsia"/>
          <w:color w:val="000000" w:themeColor="text1"/>
          <w:sz w:val="28"/>
          <w:szCs w:val="28"/>
          <w14:textFill>
            <w14:solidFill>
              <w14:schemeClr w14:val="tx1"/>
            </w14:solidFill>
          </w14:textFill>
        </w:rPr>
        <w:t>更多为</w:t>
      </w:r>
      <w:r>
        <w:rPr>
          <w:color w:val="000000" w:themeColor="text1"/>
          <w:sz w:val="28"/>
          <w:szCs w:val="28"/>
          <w14:textFill>
            <w14:solidFill>
              <w14:schemeClr w14:val="tx1"/>
            </w14:solidFill>
          </w14:textFill>
        </w:rPr>
        <w:t>湖南山地生境中的古树名木。（2）强化了先进诊断技术和养护技术。本标准对古树名木</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精准施策</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，提出了采取养护措施前应进行相应指标的诊断、监测。</w:t>
      </w:r>
      <w:r>
        <w:rPr>
          <w:rFonts w:hint="eastAsia"/>
          <w:color w:val="000000" w:themeColor="text1"/>
          <w:sz w:val="28"/>
          <w:szCs w:val="28"/>
          <w14:textFill>
            <w14:solidFill>
              <w14:schemeClr w14:val="tx1"/>
            </w14:solidFill>
          </w14:textFill>
        </w:rPr>
        <w:t>（3）助力美丽乡村建设。本标准对象更多为湖南各地乡村古树，根据本标准规定实施，乡村古树风貌和景观能够得到维系，“乡愁记忆”一直留存。（4）病虫害防治方面吸纳了最近的一些研究结果，尤其是在农药种类选择上。</w:t>
      </w:r>
    </w:p>
    <w:p w14:paraId="484CA758">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遵循行业标准 LY/T 3073-2018《古树名木管护技术规程》</w:t>
      </w:r>
      <w:r>
        <w:rPr>
          <w:rFonts w:hint="eastAsia"/>
          <w:color w:val="000000" w:themeColor="text1"/>
          <w:sz w:val="28"/>
          <w:szCs w:val="28"/>
          <w14:textFill>
            <w14:solidFill>
              <w14:schemeClr w14:val="tx1"/>
            </w14:solidFill>
          </w14:textFill>
        </w:rPr>
        <w:t>和LY/T 2494《古树名木复壮技术规程》</w:t>
      </w:r>
      <w:r>
        <w:rPr>
          <w:color w:val="000000" w:themeColor="text1"/>
          <w:sz w:val="28"/>
          <w:szCs w:val="28"/>
          <w14:textFill>
            <w14:solidFill>
              <w14:schemeClr w14:val="tx1"/>
            </w14:solidFill>
          </w14:textFill>
        </w:rPr>
        <w:t>的相关内容，并在此基础上根据湖南省古树名木实际问题，进行了技术的细化和手段的完善。</w:t>
      </w:r>
      <w:bookmarkStart w:id="0" w:name="_Hlk100583225"/>
      <w:r>
        <w:rPr>
          <w:color w:val="000000" w:themeColor="text1"/>
          <w:sz w:val="28"/>
          <w:szCs w:val="28"/>
          <w14:textFill>
            <w14:solidFill>
              <w14:schemeClr w14:val="tx1"/>
            </w14:solidFill>
          </w14:textFill>
        </w:rPr>
        <w:t>与DB43/T 618-2011《古树名木保护和养护技术规程》</w:t>
      </w:r>
      <w:bookmarkEnd w:id="0"/>
      <w:r>
        <w:rPr>
          <w:color w:val="000000" w:themeColor="text1"/>
          <w:sz w:val="28"/>
          <w:szCs w:val="28"/>
          <w14:textFill>
            <w14:solidFill>
              <w14:schemeClr w14:val="tx1"/>
            </w14:solidFill>
          </w14:textFill>
        </w:rPr>
        <w:t>相比，内容更新、更全、更细。</w:t>
      </w:r>
    </w:p>
    <w:p w14:paraId="3FBCA4B3">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吸纳了《湖南省古树名木保护办法》、《关于印发湖南省濒危衰弱古树名木抢救复壮、古树名木主题公园建设、古树名木就地保护三份指导意见的通知》等工作成果；针对我省已依法认定的古树名木实施系统化、综合性的养护管理，注重聚焦问题、系统化养护、精细化养护。</w:t>
      </w:r>
    </w:p>
    <w:p w14:paraId="430736AD">
      <w:pPr>
        <w:spacing w:line="360" w:lineRule="auto"/>
        <w:ind w:firstLine="560" w:firstLineChars="200"/>
        <w:rPr>
          <w:b/>
          <w:bCs/>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与各标准对照详见表2。</w:t>
      </w:r>
    </w:p>
    <w:p w14:paraId="06C967EA">
      <w:pPr>
        <w:pStyle w:val="23"/>
        <w:spacing w:line="360" w:lineRule="auto"/>
        <w:ind w:firstLine="560"/>
        <w:jc w:val="center"/>
        <w:rPr>
          <w:rFonts w:ascii="Times New Roman" w:cs="Times New Roman"/>
          <w:b/>
          <w:bCs/>
          <w:color w:val="0070C0"/>
          <w:sz w:val="28"/>
          <w:szCs w:val="28"/>
        </w:rPr>
      </w:pPr>
    </w:p>
    <w:p w14:paraId="77A4200C">
      <w:pPr>
        <w:pStyle w:val="23"/>
        <w:spacing w:line="360" w:lineRule="auto"/>
        <w:ind w:firstLine="560"/>
        <w:jc w:val="center"/>
        <w:rPr>
          <w:rFonts w:ascii="Times New Roman" w:cs="Times New Roman"/>
          <w:b/>
          <w:bCs/>
          <w:color w:val="0070C0"/>
          <w:sz w:val="28"/>
          <w:szCs w:val="28"/>
        </w:rPr>
        <w:sectPr>
          <w:footerReference r:id="rId4" w:type="default"/>
          <w:pgSz w:w="11906" w:h="16838"/>
          <w:pgMar w:top="1440" w:right="1800" w:bottom="1440" w:left="1800" w:header="851" w:footer="992" w:gutter="0"/>
          <w:pgNumType w:start="1"/>
          <w:cols w:space="425" w:num="1"/>
          <w:docGrid w:type="lines" w:linePitch="312" w:charSpace="0"/>
        </w:sectPr>
      </w:pPr>
    </w:p>
    <w:p w14:paraId="6E6E545B">
      <w:pPr>
        <w:pStyle w:val="23"/>
        <w:spacing w:line="360" w:lineRule="auto"/>
        <w:ind w:firstLine="480"/>
        <w:jc w:val="center"/>
        <w:rPr>
          <w:rFonts w:ascii="Times New Roman" w:cs="Times New Roman"/>
          <w:b/>
          <w:bCs/>
          <w:color w:val="000000" w:themeColor="text1"/>
          <w:sz w:val="28"/>
          <w:szCs w:val="28"/>
          <w14:textFill>
            <w14:solidFill>
              <w14:schemeClr w14:val="tx1"/>
            </w14:solidFill>
          </w14:textFill>
        </w:rPr>
      </w:pPr>
      <w:r>
        <w:rPr>
          <w:rFonts w:ascii="Times New Roman" w:cs="Times New Roman"/>
          <w:b/>
          <w:bCs/>
          <w:color w:val="000000" w:themeColor="text1"/>
          <w:sz w:val="24"/>
          <w:szCs w:val="24"/>
          <w14:textFill>
            <w14:solidFill>
              <w14:schemeClr w14:val="tx1"/>
            </w14:solidFill>
          </w14:textFill>
        </w:rPr>
        <w:t>表 2 《古树名木养护技术规程》与国标、行标对照说明</w:t>
      </w:r>
    </w:p>
    <w:tbl>
      <w:tblPr>
        <w:tblStyle w:val="13"/>
        <w:tblW w:w="141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472"/>
        <w:gridCol w:w="1647"/>
        <w:gridCol w:w="1417"/>
        <w:gridCol w:w="7350"/>
      </w:tblGrid>
      <w:tr w14:paraId="681E9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63" w:type="dxa"/>
          </w:tcPr>
          <w:p w14:paraId="19A72BC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本标准条款内容</w:t>
            </w:r>
          </w:p>
        </w:tc>
        <w:tc>
          <w:tcPr>
            <w:tcW w:w="1472" w:type="dxa"/>
          </w:tcPr>
          <w:p w14:paraId="3D467F5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GB/T 51168-2016 国标相关条款</w:t>
            </w:r>
          </w:p>
        </w:tc>
        <w:tc>
          <w:tcPr>
            <w:tcW w:w="1647" w:type="dxa"/>
          </w:tcPr>
          <w:p w14:paraId="548F88C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LY/T 3073-2018行标相关条款</w:t>
            </w:r>
          </w:p>
        </w:tc>
        <w:tc>
          <w:tcPr>
            <w:tcW w:w="1417" w:type="dxa"/>
          </w:tcPr>
          <w:p w14:paraId="68137B8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LY/T 2494-2015行标相关条款</w:t>
            </w:r>
          </w:p>
        </w:tc>
        <w:tc>
          <w:tcPr>
            <w:tcW w:w="7350" w:type="dxa"/>
          </w:tcPr>
          <w:p w14:paraId="0F1307C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编写说明</w:t>
            </w:r>
          </w:p>
        </w:tc>
      </w:tr>
      <w:tr w14:paraId="4826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63" w:type="dxa"/>
          </w:tcPr>
          <w:p w14:paraId="79055A7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2规范性引用文件</w:t>
            </w:r>
          </w:p>
        </w:tc>
        <w:tc>
          <w:tcPr>
            <w:tcW w:w="1472" w:type="dxa"/>
          </w:tcPr>
          <w:p w14:paraId="5D6B865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010E1AB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2</w:t>
            </w:r>
          </w:p>
        </w:tc>
        <w:tc>
          <w:tcPr>
            <w:tcW w:w="1417" w:type="dxa"/>
          </w:tcPr>
          <w:p w14:paraId="351EA4A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13D0B11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1、结合了国标、行标，加强了指导性</w:t>
            </w:r>
          </w:p>
        </w:tc>
      </w:tr>
      <w:tr w14:paraId="3588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2263" w:type="dxa"/>
          </w:tcPr>
          <w:p w14:paraId="79EB62E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3古树名木生境保护范围</w:t>
            </w:r>
          </w:p>
          <w:p w14:paraId="563E9E65">
            <w:pPr>
              <w:pStyle w:val="23"/>
              <w:ind w:firstLine="0" w:firstLineChars="0"/>
              <w:jc w:val="left"/>
              <w:rPr>
                <w:rFonts w:hAnsi="宋体" w:eastAsia="宋体" w:cs="Times New Roman"/>
                <w:color w:val="000000" w:themeColor="text1"/>
                <w:sz w:val="24"/>
                <w:szCs w:val="24"/>
                <w14:textFill>
                  <w14:solidFill>
                    <w14:schemeClr w14:val="tx1"/>
                  </w14:solidFill>
                </w14:textFill>
              </w:rPr>
            </w:pPr>
          </w:p>
        </w:tc>
        <w:tc>
          <w:tcPr>
            <w:tcW w:w="1472" w:type="dxa"/>
          </w:tcPr>
          <w:p w14:paraId="3B4F7E6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3.0.1</w:t>
            </w:r>
          </w:p>
        </w:tc>
        <w:tc>
          <w:tcPr>
            <w:tcW w:w="1647" w:type="dxa"/>
          </w:tcPr>
          <w:p w14:paraId="73B11CF7">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417" w:type="dxa"/>
          </w:tcPr>
          <w:p w14:paraId="58622BC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.1.1</w:t>
            </w:r>
          </w:p>
        </w:tc>
        <w:tc>
          <w:tcPr>
            <w:tcW w:w="7350" w:type="dxa"/>
          </w:tcPr>
          <w:p w14:paraId="64B0F3C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1、国标中城市古树名木生境保护范围为树冠垂直投影外延5m。LY/T 2494-2015</w:t>
            </w:r>
            <w:r>
              <w:rPr>
                <w:rFonts w:hint="eastAsia" w:hAnsi="宋体" w:eastAsia="宋体" w:cs="Times New Roman"/>
                <w:color w:val="000000" w:themeColor="text1"/>
                <w:sz w:val="24"/>
                <w:szCs w:val="24"/>
                <w14:textFill>
                  <w14:solidFill>
                    <w14:schemeClr w14:val="tx1"/>
                  </w14:solidFill>
                </w14:textFill>
              </w:rPr>
              <w:t>仅规定参照树冠投影划定保护区范围。</w:t>
            </w:r>
          </w:p>
          <w:p w14:paraId="73844CF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2、</w:t>
            </w:r>
            <w:r>
              <w:rPr>
                <w:rFonts w:hint="eastAsia" w:hAnsi="宋体" w:eastAsia="宋体" w:cs="Times New Roman"/>
                <w:color w:val="000000" w:themeColor="text1"/>
                <w:sz w:val="24"/>
                <w:szCs w:val="24"/>
                <w14:textFill>
                  <w14:solidFill>
                    <w14:schemeClr w14:val="tx1"/>
                  </w14:solidFill>
                </w14:textFill>
              </w:rPr>
              <w:t>本标准结合了国标，同时</w:t>
            </w:r>
            <w:r>
              <w:rPr>
                <w:rFonts w:hAnsi="宋体" w:eastAsia="宋体" w:cs="Times New Roman"/>
                <w:color w:val="000000" w:themeColor="text1"/>
                <w:sz w:val="24"/>
                <w:szCs w:val="24"/>
                <w14:textFill>
                  <w14:solidFill>
                    <w14:schemeClr w14:val="tx1"/>
                  </w14:solidFill>
                </w14:textFill>
              </w:rPr>
              <w:t>根据《湖南省古树名木保护办法》“第二十三条”，增加了特殊情况时生境保护范围界定。</w:t>
            </w:r>
          </w:p>
        </w:tc>
      </w:tr>
      <w:tr w14:paraId="29D1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2263" w:type="dxa"/>
            <w:vAlign w:val="center"/>
          </w:tcPr>
          <w:p w14:paraId="686AF01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sz w:val="24"/>
                <w:szCs w:val="24"/>
              </w:rPr>
              <w:t>4.2生长势</w:t>
            </w:r>
          </w:p>
        </w:tc>
        <w:tc>
          <w:tcPr>
            <w:tcW w:w="1472" w:type="dxa"/>
            <w:vAlign w:val="center"/>
          </w:tcPr>
          <w:p w14:paraId="698A2E8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sz w:val="24"/>
                <w:szCs w:val="24"/>
              </w:rPr>
              <w:t>3.0.4</w:t>
            </w:r>
          </w:p>
        </w:tc>
        <w:tc>
          <w:tcPr>
            <w:tcW w:w="1647" w:type="dxa"/>
            <w:vAlign w:val="center"/>
          </w:tcPr>
          <w:p w14:paraId="7527A80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417" w:type="dxa"/>
            <w:vAlign w:val="center"/>
          </w:tcPr>
          <w:p w14:paraId="0D666DE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vAlign w:val="center"/>
          </w:tcPr>
          <w:p w14:paraId="091FF39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sz w:val="24"/>
                <w:szCs w:val="24"/>
              </w:rPr>
              <w:t>1、</w:t>
            </w:r>
            <w:r>
              <w:rPr>
                <w:rFonts w:hAnsi="宋体" w:eastAsia="宋体" w:cs="Times New Roman"/>
                <w:sz w:val="24"/>
                <w:szCs w:val="24"/>
              </w:rPr>
              <w:t>较国标 GB/T 51168，本标准条款增加了中弱生长势的分级标准，且在分级中对重弱、濒危生长势的分级标准按实际情况进行了修正。</w:t>
            </w:r>
          </w:p>
        </w:tc>
      </w:tr>
      <w:tr w14:paraId="080F6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263" w:type="dxa"/>
          </w:tcPr>
          <w:p w14:paraId="53041B1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4.3养护责任人</w:t>
            </w:r>
          </w:p>
        </w:tc>
        <w:tc>
          <w:tcPr>
            <w:tcW w:w="1472" w:type="dxa"/>
          </w:tcPr>
          <w:p w14:paraId="5F8FA987">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2567830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417" w:type="dxa"/>
          </w:tcPr>
          <w:p w14:paraId="6CC946E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7350" w:type="dxa"/>
          </w:tcPr>
          <w:p w14:paraId="003B8FFC">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1、增加了古树名木养护责任人的界定</w:t>
            </w:r>
          </w:p>
        </w:tc>
      </w:tr>
      <w:tr w14:paraId="178F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63" w:type="dxa"/>
          </w:tcPr>
          <w:p w14:paraId="51BF613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4.4古树名木养护方案</w:t>
            </w:r>
          </w:p>
        </w:tc>
        <w:tc>
          <w:tcPr>
            <w:tcW w:w="1472" w:type="dxa"/>
          </w:tcPr>
          <w:p w14:paraId="3601B43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7A6AAD5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417" w:type="dxa"/>
          </w:tcPr>
          <w:p w14:paraId="3B453741">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1C44D43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1、提出在专业养护条件下应根据古树名木情况制定养护方案</w:t>
            </w:r>
          </w:p>
        </w:tc>
      </w:tr>
      <w:tr w14:paraId="67E1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3" w:type="dxa"/>
          </w:tcPr>
          <w:p w14:paraId="652421F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4.4古树名木</w:t>
            </w:r>
            <w:r>
              <w:rPr>
                <w:rFonts w:hint="eastAsia" w:hAnsi="宋体" w:eastAsia="宋体"/>
                <w:color w:val="000000" w:themeColor="text1"/>
                <w:sz w:val="24"/>
                <w:szCs w:val="24"/>
                <w14:textFill>
                  <w14:solidFill>
                    <w14:schemeClr w14:val="tx1"/>
                  </w14:solidFill>
                </w14:textFill>
              </w:rPr>
              <w:t>复壮方案</w:t>
            </w:r>
          </w:p>
        </w:tc>
        <w:tc>
          <w:tcPr>
            <w:tcW w:w="1472" w:type="dxa"/>
          </w:tcPr>
          <w:p w14:paraId="363824AD">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647" w:type="dxa"/>
          </w:tcPr>
          <w:p w14:paraId="22E3C4CF">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417" w:type="dxa"/>
          </w:tcPr>
          <w:p w14:paraId="765D440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3</w:t>
            </w:r>
            <w:r>
              <w:rPr>
                <w:rFonts w:hAnsi="宋体" w:eastAsia="宋体" w:cs="Times New Roman"/>
                <w:color w:val="000000" w:themeColor="text1"/>
                <w:sz w:val="24"/>
                <w:szCs w:val="24"/>
                <w14:textFill>
                  <w14:solidFill>
                    <w14:schemeClr w14:val="tx1"/>
                  </w14:solidFill>
                </w14:textFill>
              </w:rPr>
              <w:t>.2</w:t>
            </w:r>
          </w:p>
        </w:tc>
        <w:tc>
          <w:tcPr>
            <w:tcW w:w="7350" w:type="dxa"/>
          </w:tcPr>
          <w:p w14:paraId="437E85D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1、结合了行标，加强了指导性</w:t>
            </w:r>
          </w:p>
        </w:tc>
      </w:tr>
      <w:tr w14:paraId="7281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2263" w:type="dxa"/>
          </w:tcPr>
          <w:p w14:paraId="1F97A8C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 xml:space="preserve"> </w:t>
            </w:r>
            <w:r>
              <w:rPr>
                <w:rFonts w:hint="eastAsia" w:hAnsi="宋体" w:eastAsia="宋体" w:cs="Times New Roman"/>
                <w:color w:val="000000" w:themeColor="text1"/>
                <w:sz w:val="24"/>
                <w:szCs w:val="24"/>
                <w14:textFill>
                  <w14:solidFill>
                    <w14:schemeClr w14:val="tx1"/>
                  </w14:solidFill>
                </w14:textFill>
              </w:rPr>
              <w:t xml:space="preserve">地上环境改良与保护（几种养护设施） </w:t>
            </w:r>
          </w:p>
        </w:tc>
        <w:tc>
          <w:tcPr>
            <w:tcW w:w="1472" w:type="dxa"/>
          </w:tcPr>
          <w:p w14:paraId="183311A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7A38AC9F">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4.2.1</w:t>
            </w:r>
          </w:p>
        </w:tc>
        <w:tc>
          <w:tcPr>
            <w:tcW w:w="1417" w:type="dxa"/>
          </w:tcPr>
          <w:p w14:paraId="6B434D1D">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w:t>
            </w: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.1</w:t>
            </w:r>
          </w:p>
        </w:tc>
        <w:tc>
          <w:tcPr>
            <w:tcW w:w="7350" w:type="dxa"/>
          </w:tcPr>
          <w:p w14:paraId="5EC37C2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1、</w:t>
            </w:r>
            <w:r>
              <w:rPr>
                <w:rFonts w:hAnsi="宋体" w:eastAsia="宋体" w:cs="Times New Roman"/>
                <w:color w:val="000000" w:themeColor="text1"/>
                <w:sz w:val="24"/>
                <w:szCs w:val="24"/>
                <w14:textFill>
                  <w14:solidFill>
                    <w14:schemeClr w14:val="tx1"/>
                  </w14:solidFill>
                </w14:textFill>
              </w:rPr>
              <w:t>国标和地标中无养护设施条款，</w:t>
            </w:r>
            <w:r>
              <w:rPr>
                <w:rFonts w:hint="eastAsia" w:hAnsi="宋体" w:eastAsia="宋体" w:cs="Times New Roman"/>
                <w:color w:val="000000" w:themeColor="text1"/>
                <w:sz w:val="24"/>
                <w:szCs w:val="24"/>
                <w14:textFill>
                  <w14:solidFill>
                    <w14:schemeClr w14:val="tx1"/>
                  </w14:solidFill>
                </w14:textFill>
              </w:rPr>
              <w:t>两个行标</w:t>
            </w:r>
            <w:r>
              <w:rPr>
                <w:rFonts w:hAnsi="宋体" w:eastAsia="宋体" w:cs="Times New Roman"/>
                <w:color w:val="000000" w:themeColor="text1"/>
                <w:sz w:val="24"/>
                <w:szCs w:val="24"/>
                <w14:textFill>
                  <w14:solidFill>
                    <w14:schemeClr w14:val="tx1"/>
                  </w14:solidFill>
                </w14:textFill>
              </w:rPr>
              <w:t>设施管理条款涉及部分内容。</w:t>
            </w:r>
          </w:p>
          <w:p w14:paraId="5D8FD8E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2</w:t>
            </w:r>
            <w:r>
              <w:rPr>
                <w:rFonts w:hint="eastAsia" w:hAnsi="宋体" w:eastAsia="宋体" w:cs="Times New Roman"/>
                <w:color w:val="000000" w:themeColor="text1"/>
                <w:sz w:val="24"/>
                <w:szCs w:val="24"/>
                <w14:textFill>
                  <w14:solidFill>
                    <w14:schemeClr w14:val="tx1"/>
                  </w14:solidFill>
                </w14:textFill>
              </w:rPr>
              <w:t>、</w:t>
            </w:r>
            <w:r>
              <w:rPr>
                <w:rFonts w:hAnsi="宋体" w:eastAsia="宋体" w:cs="Times New Roman"/>
                <w:color w:val="000000" w:themeColor="text1"/>
                <w:sz w:val="24"/>
                <w:szCs w:val="24"/>
                <w14:textFill>
                  <w14:solidFill>
                    <w14:schemeClr w14:val="tx1"/>
                  </w14:solidFill>
                </w14:textFill>
              </w:rPr>
              <w:t>本标准增加了古树名木养护设施相关条款</w:t>
            </w:r>
            <w:r>
              <w:rPr>
                <w:rFonts w:hint="eastAsia" w:hAnsi="宋体" w:eastAsia="宋体" w:cs="Times New Roman"/>
                <w:color w:val="000000" w:themeColor="text1"/>
                <w:sz w:val="24"/>
                <w:szCs w:val="24"/>
                <w14:textFill>
                  <w14:solidFill>
                    <w14:schemeClr w14:val="tx1"/>
                  </w14:solidFill>
                </w14:textFill>
              </w:rPr>
              <w:t>，首次提出了</w:t>
            </w:r>
            <w:r>
              <w:rPr>
                <w:rFonts w:hint="eastAsia" w:hAnsi="宋体" w:eastAsia="宋体"/>
                <w:color w:val="000000" w:themeColor="text1"/>
                <w:sz w:val="24"/>
                <w:szCs w:val="24"/>
                <w14:textFill>
                  <w14:solidFill>
                    <w14:schemeClr w14:val="tx1"/>
                  </w14:solidFill>
                </w14:textFill>
              </w:rPr>
              <w:t>鼓励在条件具备的地方设立远程监控</w:t>
            </w:r>
          </w:p>
        </w:tc>
      </w:tr>
      <w:tr w14:paraId="1991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263" w:type="dxa"/>
          </w:tcPr>
          <w:p w14:paraId="4F13E41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5.1</w:t>
            </w:r>
            <w:r>
              <w:rPr>
                <w:rFonts w:hint="eastAsia" w:hAnsi="宋体" w:eastAsia="宋体" w:cs="Times New Roman"/>
                <w:color w:val="000000" w:themeColor="text1"/>
                <w:sz w:val="24"/>
                <w:szCs w:val="24"/>
                <w14:textFill>
                  <w14:solidFill>
                    <w14:schemeClr w14:val="tx1"/>
                  </w14:solidFill>
                </w14:textFill>
              </w:rPr>
              <w:t>生长空间保护</w:t>
            </w:r>
          </w:p>
        </w:tc>
        <w:tc>
          <w:tcPr>
            <w:tcW w:w="1472" w:type="dxa"/>
          </w:tcPr>
          <w:p w14:paraId="49223DC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4AFAF7F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4.1.1.2</w:t>
            </w:r>
          </w:p>
          <w:p w14:paraId="41A95CC1">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4.1.1.3</w:t>
            </w:r>
          </w:p>
        </w:tc>
        <w:tc>
          <w:tcPr>
            <w:tcW w:w="1417" w:type="dxa"/>
          </w:tcPr>
          <w:p w14:paraId="195820F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.1.1</w:t>
            </w:r>
          </w:p>
        </w:tc>
        <w:tc>
          <w:tcPr>
            <w:tcW w:w="7350" w:type="dxa"/>
          </w:tcPr>
          <w:p w14:paraId="56BCA0F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1、行标禁止的破坏土壤生境行为4项，根据最新的《湖南省古树名木保护办法》“第二十四条”增加至12项，加大了古树名木生境保护的力度。</w:t>
            </w:r>
          </w:p>
          <w:p w14:paraId="64F4ACA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2、本标准进行了更新，更新为“古树名木生境保护范围内”（5m），扩大了保护范围，与国家、省现行规定一致。</w:t>
            </w:r>
          </w:p>
        </w:tc>
      </w:tr>
      <w:tr w14:paraId="4B14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63" w:type="dxa"/>
          </w:tcPr>
          <w:p w14:paraId="170736F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.5</w:t>
            </w:r>
            <w:r>
              <w:rPr>
                <w:rFonts w:hint="eastAsia" w:hAnsi="宋体" w:eastAsia="宋体" w:cs="Times New Roman"/>
                <w:color w:val="000000" w:themeColor="text1"/>
                <w:sz w:val="24"/>
                <w:szCs w:val="24"/>
                <w14:textFill>
                  <w14:solidFill>
                    <w14:schemeClr w14:val="tx1"/>
                  </w14:solidFill>
                </w14:textFill>
              </w:rPr>
              <w:t>地表根系管护</w:t>
            </w:r>
          </w:p>
        </w:tc>
        <w:tc>
          <w:tcPr>
            <w:tcW w:w="1472" w:type="dxa"/>
          </w:tcPr>
          <w:p w14:paraId="0AD3476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647" w:type="dxa"/>
          </w:tcPr>
          <w:p w14:paraId="666695A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417" w:type="dxa"/>
          </w:tcPr>
          <w:p w14:paraId="0887143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.1.6</w:t>
            </w:r>
          </w:p>
        </w:tc>
        <w:tc>
          <w:tcPr>
            <w:tcW w:w="7350" w:type="dxa"/>
          </w:tcPr>
          <w:p w14:paraId="62A0BA3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1、结合了行标</w:t>
            </w:r>
            <w:r>
              <w:rPr>
                <w:rFonts w:hAnsi="宋体" w:eastAsia="宋体" w:cs="Times New Roman"/>
                <w:color w:val="000000" w:themeColor="text1"/>
                <w:sz w:val="24"/>
                <w:szCs w:val="24"/>
                <w14:textFill>
                  <w14:solidFill>
                    <w14:schemeClr w14:val="tx1"/>
                  </w14:solidFill>
                </w14:textFill>
              </w:rPr>
              <w:t>LY/T 2494-2015</w:t>
            </w:r>
            <w:r>
              <w:rPr>
                <w:rFonts w:hint="eastAsia" w:hAnsi="宋体" w:eastAsia="宋体" w:cs="Times New Roman"/>
                <w:color w:val="000000" w:themeColor="text1"/>
                <w:sz w:val="24"/>
                <w:szCs w:val="24"/>
                <w14:textFill>
                  <w14:solidFill>
                    <w14:schemeClr w14:val="tx1"/>
                  </w14:solidFill>
                </w14:textFill>
              </w:rPr>
              <w:t>，同时总结了古树名木复壮过程中遇到的不同覆土情况，本标准增加了古树名木深埋及机械损伤所采取的措施。</w:t>
            </w:r>
          </w:p>
        </w:tc>
      </w:tr>
      <w:tr w14:paraId="669E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63" w:type="dxa"/>
          </w:tcPr>
          <w:p w14:paraId="3DE25943">
            <w:pPr>
              <w:pStyle w:val="23"/>
              <w:ind w:firstLine="0" w:firstLineChars="0"/>
              <w:jc w:val="left"/>
              <w:rPr>
                <w:rFonts w:hAnsi="宋体" w:eastAsia="宋体" w:cs="Times New Roman"/>
                <w:color w:val="000000" w:themeColor="text1"/>
                <w:sz w:val="24"/>
                <w:szCs w:val="24"/>
                <w14:textFill>
                  <w14:solidFill>
                    <w14:schemeClr w14:val="tx1"/>
                  </w14:solidFill>
                </w14:textFill>
              </w:rPr>
            </w:pPr>
            <w:bookmarkStart w:id="1" w:name="_Hlk100584062"/>
            <w:r>
              <w:rPr>
                <w:rFonts w:hAnsi="宋体" w:eastAsia="宋体" w:cs="Times New Roman"/>
                <w:color w:val="000000" w:themeColor="text1"/>
                <w:sz w:val="24"/>
                <w:szCs w:val="24"/>
                <w14:textFill>
                  <w14:solidFill>
                    <w14:schemeClr w14:val="tx1"/>
                  </w14:solidFill>
                </w14:textFill>
              </w:rPr>
              <w:t>6.1.1古树名木土壤理化性质监测</w:t>
            </w:r>
          </w:p>
        </w:tc>
        <w:tc>
          <w:tcPr>
            <w:tcW w:w="1472" w:type="dxa"/>
          </w:tcPr>
          <w:p w14:paraId="2F87365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713C304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417" w:type="dxa"/>
          </w:tcPr>
          <w:p w14:paraId="2290273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341361DF">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1、增加内容，根据古树名木养护需要进行定期监测，强调掌握古树名木实际情况，精准养护。</w:t>
            </w:r>
          </w:p>
        </w:tc>
      </w:tr>
      <w:bookmarkEnd w:id="1"/>
      <w:tr w14:paraId="0520D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263" w:type="dxa"/>
          </w:tcPr>
          <w:p w14:paraId="65E6280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6.2施肥</w:t>
            </w:r>
          </w:p>
        </w:tc>
        <w:tc>
          <w:tcPr>
            <w:tcW w:w="1472" w:type="dxa"/>
          </w:tcPr>
          <w:p w14:paraId="499AC81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4.2</w:t>
            </w:r>
          </w:p>
        </w:tc>
        <w:tc>
          <w:tcPr>
            <w:tcW w:w="1647" w:type="dxa"/>
          </w:tcPr>
          <w:p w14:paraId="51FA3C7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4.1.2</w:t>
            </w:r>
          </w:p>
        </w:tc>
        <w:tc>
          <w:tcPr>
            <w:tcW w:w="1417" w:type="dxa"/>
          </w:tcPr>
          <w:p w14:paraId="6083A1F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.2.4</w:t>
            </w:r>
          </w:p>
        </w:tc>
        <w:tc>
          <w:tcPr>
            <w:tcW w:w="7350" w:type="dxa"/>
          </w:tcPr>
          <w:p w14:paraId="6B06F63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1、结合技术经验，在行标基础上，细化了土壤施肥和叶面施肥的技术要点。</w:t>
            </w:r>
          </w:p>
        </w:tc>
      </w:tr>
      <w:tr w14:paraId="0708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63" w:type="dxa"/>
          </w:tcPr>
          <w:p w14:paraId="5926F4BD">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6.3补水与排水</w:t>
            </w:r>
          </w:p>
        </w:tc>
        <w:tc>
          <w:tcPr>
            <w:tcW w:w="1472" w:type="dxa"/>
          </w:tcPr>
          <w:p w14:paraId="4687E8B3">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4.1</w:t>
            </w:r>
          </w:p>
        </w:tc>
        <w:tc>
          <w:tcPr>
            <w:tcW w:w="1647" w:type="dxa"/>
          </w:tcPr>
          <w:p w14:paraId="66F7066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4.1.3</w:t>
            </w:r>
          </w:p>
        </w:tc>
        <w:tc>
          <w:tcPr>
            <w:tcW w:w="1417" w:type="dxa"/>
          </w:tcPr>
          <w:p w14:paraId="0D1E290C">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5</w:t>
            </w:r>
            <w:r>
              <w:rPr>
                <w:rFonts w:hAnsi="宋体" w:eastAsia="宋体" w:cs="Times New Roman"/>
                <w:color w:val="000000" w:themeColor="text1"/>
                <w:sz w:val="24"/>
                <w:szCs w:val="24"/>
                <w14:textFill>
                  <w14:solidFill>
                    <w14:schemeClr w14:val="tx1"/>
                  </w14:solidFill>
                </w14:textFill>
              </w:rPr>
              <w:t>.2.2</w:t>
            </w:r>
          </w:p>
        </w:tc>
        <w:tc>
          <w:tcPr>
            <w:tcW w:w="7350" w:type="dxa"/>
          </w:tcPr>
          <w:p w14:paraId="54817F9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w:t>
            </w:r>
            <w:r>
              <w:rPr>
                <w:rFonts w:hint="eastAsia" w:hAnsi="宋体" w:eastAsia="宋体" w:cs="Times New Roman"/>
                <w:color w:val="000000" w:themeColor="text1"/>
                <w:sz w:val="24"/>
                <w:szCs w:val="24"/>
                <w14:textFill>
                  <w14:solidFill>
                    <w14:schemeClr w14:val="tx1"/>
                  </w14:solidFill>
                </w14:textFill>
              </w:rPr>
              <w:t>、结合了国标和行标</w:t>
            </w:r>
            <w:r>
              <w:rPr>
                <w:rFonts w:hAnsi="宋体" w:eastAsia="宋体" w:cs="Times New Roman"/>
                <w:color w:val="000000" w:themeColor="text1"/>
                <w:sz w:val="24"/>
                <w:szCs w:val="24"/>
                <w14:textFill>
                  <w14:solidFill>
                    <w14:schemeClr w14:val="tx1"/>
                  </w14:solidFill>
                </w14:textFill>
              </w:rPr>
              <w:t>，</w:t>
            </w:r>
            <w:r>
              <w:rPr>
                <w:rFonts w:hint="eastAsia" w:hAnsi="宋体" w:eastAsia="宋体" w:cs="Times New Roman"/>
                <w:color w:val="000000" w:themeColor="text1"/>
                <w:sz w:val="24"/>
                <w:szCs w:val="24"/>
                <w14:textFill>
                  <w14:solidFill>
                    <w14:schemeClr w14:val="tx1"/>
                  </w14:solidFill>
                </w14:textFill>
              </w:rPr>
              <w:t>但增加了极端天气或恶劣事件造成古树名木树干脱水，通过主根和主枝补液内容。</w:t>
            </w:r>
          </w:p>
        </w:tc>
      </w:tr>
      <w:tr w14:paraId="43DE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63" w:type="dxa"/>
          </w:tcPr>
          <w:p w14:paraId="785F5D5F">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7 病虫害防治</w:t>
            </w:r>
          </w:p>
        </w:tc>
        <w:tc>
          <w:tcPr>
            <w:tcW w:w="1472" w:type="dxa"/>
          </w:tcPr>
          <w:p w14:paraId="7D8DF6B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4</w:t>
            </w:r>
            <w:r>
              <w:rPr>
                <w:rFonts w:hAnsi="宋体" w:eastAsia="宋体" w:cs="Times New Roman"/>
                <w:color w:val="000000" w:themeColor="text1"/>
                <w:sz w:val="24"/>
                <w:szCs w:val="24"/>
                <w14:textFill>
                  <w14:solidFill>
                    <w14:schemeClr w14:val="tx1"/>
                  </w14:solidFill>
                </w14:textFill>
              </w:rPr>
              <w:t xml:space="preserve">.3 </w:t>
            </w:r>
          </w:p>
        </w:tc>
        <w:tc>
          <w:tcPr>
            <w:tcW w:w="1647" w:type="dxa"/>
          </w:tcPr>
          <w:p w14:paraId="4A3F291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4</w:t>
            </w:r>
            <w:r>
              <w:rPr>
                <w:rFonts w:hAnsi="宋体" w:eastAsia="宋体" w:cs="Times New Roman"/>
                <w:color w:val="000000" w:themeColor="text1"/>
                <w:sz w:val="24"/>
                <w:szCs w:val="24"/>
                <w14:textFill>
                  <w14:solidFill>
                    <w14:schemeClr w14:val="tx1"/>
                  </w14:solidFill>
                </w14:textFill>
              </w:rPr>
              <w:t>.1.6</w:t>
            </w:r>
          </w:p>
        </w:tc>
        <w:tc>
          <w:tcPr>
            <w:tcW w:w="1417" w:type="dxa"/>
          </w:tcPr>
          <w:p w14:paraId="74184A5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6</w:t>
            </w:r>
            <w:r>
              <w:rPr>
                <w:rFonts w:hAnsi="宋体" w:eastAsia="宋体" w:cs="Times New Roman"/>
                <w:color w:val="000000" w:themeColor="text1"/>
                <w:sz w:val="24"/>
                <w:szCs w:val="24"/>
                <w14:textFill>
                  <w14:solidFill>
                    <w14:schemeClr w14:val="tx1"/>
                  </w14:solidFill>
                </w14:textFill>
              </w:rPr>
              <w:t xml:space="preserve"> </w:t>
            </w:r>
          </w:p>
        </w:tc>
        <w:tc>
          <w:tcPr>
            <w:tcW w:w="7350" w:type="dxa"/>
          </w:tcPr>
          <w:p w14:paraId="62E9F161">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1、针对我省古树名木出现的病虫害，开展具体的有害生物的日常监测和防治，并在附录C中有详细说明。</w:t>
            </w:r>
          </w:p>
        </w:tc>
      </w:tr>
      <w:tr w14:paraId="770AA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263" w:type="dxa"/>
          </w:tcPr>
          <w:p w14:paraId="763C664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8.1.1禁止破坏古树名木树体的行为</w:t>
            </w:r>
          </w:p>
        </w:tc>
        <w:tc>
          <w:tcPr>
            <w:tcW w:w="1472" w:type="dxa"/>
          </w:tcPr>
          <w:p w14:paraId="062CD6A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0132F613">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4.1.5.1</w:t>
            </w:r>
          </w:p>
        </w:tc>
        <w:tc>
          <w:tcPr>
            <w:tcW w:w="1417" w:type="dxa"/>
          </w:tcPr>
          <w:p w14:paraId="3DEDBB0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560E20BC">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1、LY/T 3073-2018禁止的破坏树体行为3项，根据《湖南省古树名木保护办法》“第二十四条”增加至7项，加大了古树名木树体保护的力度。</w:t>
            </w:r>
          </w:p>
        </w:tc>
      </w:tr>
      <w:tr w14:paraId="51C1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2263" w:type="dxa"/>
          </w:tcPr>
          <w:p w14:paraId="1C281C7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8.3 树体支撑、加固</w:t>
            </w:r>
          </w:p>
        </w:tc>
        <w:tc>
          <w:tcPr>
            <w:tcW w:w="1472" w:type="dxa"/>
          </w:tcPr>
          <w:p w14:paraId="49D80AD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647" w:type="dxa"/>
          </w:tcPr>
          <w:p w14:paraId="0024DA9D">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417" w:type="dxa"/>
          </w:tcPr>
          <w:p w14:paraId="20E359D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8</w:t>
            </w:r>
          </w:p>
        </w:tc>
        <w:tc>
          <w:tcPr>
            <w:tcW w:w="7350" w:type="dxa"/>
          </w:tcPr>
          <w:p w14:paraId="4CFAEF77">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sz w:val="24"/>
                <w:szCs w:val="24"/>
              </w:rPr>
              <w:t>1、</w:t>
            </w:r>
            <w:r>
              <w:rPr>
                <w:rFonts w:hAnsi="宋体" w:eastAsia="宋体" w:cs="Times New Roman"/>
                <w:sz w:val="24"/>
                <w:szCs w:val="24"/>
              </w:rPr>
              <w:t>基本引用</w:t>
            </w:r>
            <w:r>
              <w:rPr>
                <w:rFonts w:hAnsi="宋体" w:eastAsia="宋体" w:cs="Times New Roman"/>
                <w:color w:val="000000" w:themeColor="text1"/>
                <w:sz w:val="24"/>
                <w:szCs w:val="24"/>
                <w14:textFill>
                  <w14:solidFill>
                    <w14:schemeClr w14:val="tx1"/>
                  </w14:solidFill>
                </w14:textFill>
              </w:rPr>
              <w:t>LY/T 2494-2015</w:t>
            </w:r>
            <w:r>
              <w:rPr>
                <w:rFonts w:hint="eastAsia" w:hAnsi="宋体" w:eastAsia="宋体" w:cs="Times New Roman"/>
                <w:color w:val="000000" w:themeColor="text1"/>
                <w:sz w:val="24"/>
                <w:szCs w:val="24"/>
                <w14:textFill>
                  <w14:solidFill>
                    <w14:schemeClr w14:val="tx1"/>
                  </w14:solidFill>
                </w14:textFill>
              </w:rPr>
              <w:t>的</w:t>
            </w:r>
            <w:r>
              <w:rPr>
                <w:rFonts w:hAnsi="宋体" w:eastAsia="宋体" w:cs="Times New Roman"/>
                <w:sz w:val="24"/>
                <w:szCs w:val="24"/>
              </w:rPr>
              <w:t>规范</w:t>
            </w:r>
            <w:r>
              <w:rPr>
                <w:rFonts w:hint="eastAsia" w:hAnsi="宋体" w:eastAsia="宋体" w:cs="Times New Roman"/>
                <w:sz w:val="24"/>
                <w:szCs w:val="24"/>
              </w:rPr>
              <w:t>，但增加了</w:t>
            </w:r>
            <w:r>
              <w:rPr>
                <w:rFonts w:hAnsi="宋体" w:eastAsia="宋体" w:cs="Times New Roman"/>
                <w:sz w:val="24"/>
                <w:szCs w:val="24"/>
              </w:rPr>
              <w:t>树体支撑、加固</w:t>
            </w:r>
            <w:r>
              <w:rPr>
                <w:rFonts w:hint="eastAsia" w:hAnsi="宋体" w:eastAsia="宋体" w:cs="Times New Roman"/>
                <w:sz w:val="24"/>
                <w:szCs w:val="24"/>
              </w:rPr>
              <w:t>具体</w:t>
            </w:r>
            <w:r>
              <w:rPr>
                <w:rFonts w:hAnsi="宋体" w:eastAsia="宋体" w:cs="Times New Roman"/>
                <w:sz w:val="24"/>
                <w:szCs w:val="24"/>
              </w:rPr>
              <w:t>技术</w:t>
            </w:r>
            <w:r>
              <w:rPr>
                <w:rFonts w:hint="eastAsia" w:hAnsi="宋体" w:eastAsia="宋体" w:cs="Times New Roman"/>
                <w:sz w:val="24"/>
                <w:szCs w:val="24"/>
              </w:rPr>
              <w:t>要求</w:t>
            </w:r>
          </w:p>
        </w:tc>
      </w:tr>
      <w:tr w14:paraId="5FAC6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263" w:type="dxa"/>
          </w:tcPr>
          <w:p w14:paraId="6ED50B7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9树冠整理</w:t>
            </w:r>
          </w:p>
        </w:tc>
        <w:tc>
          <w:tcPr>
            <w:tcW w:w="1472" w:type="dxa"/>
          </w:tcPr>
          <w:p w14:paraId="7E24B41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4.4</w:t>
            </w:r>
          </w:p>
        </w:tc>
        <w:tc>
          <w:tcPr>
            <w:tcW w:w="1647" w:type="dxa"/>
          </w:tcPr>
          <w:p w14:paraId="611E69B7">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417" w:type="dxa"/>
          </w:tcPr>
          <w:p w14:paraId="327C9E1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9</w:t>
            </w:r>
            <w:r>
              <w:rPr>
                <w:rFonts w:hAnsi="宋体" w:eastAsia="宋体" w:cs="Times New Roman"/>
                <w:color w:val="000000" w:themeColor="text1"/>
                <w:sz w:val="24"/>
                <w:szCs w:val="24"/>
                <w14:textFill>
                  <w14:solidFill>
                    <w14:schemeClr w14:val="tx1"/>
                  </w14:solidFill>
                </w14:textFill>
              </w:rPr>
              <w:t xml:space="preserve"> </w:t>
            </w:r>
          </w:p>
        </w:tc>
        <w:tc>
          <w:tcPr>
            <w:tcW w:w="7350" w:type="dxa"/>
          </w:tcPr>
          <w:p w14:paraId="52FCDC8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1、提出了树冠整理的原则</w:t>
            </w:r>
          </w:p>
          <w:p w14:paraId="4AE8CA7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2</w:t>
            </w:r>
            <w:r>
              <w:rPr>
                <w:rFonts w:hAnsi="宋体" w:eastAsia="宋体" w:cs="Times New Roman"/>
                <w:color w:val="000000" w:themeColor="text1"/>
                <w:sz w:val="24"/>
                <w:szCs w:val="24"/>
                <w14:textFill>
                  <w14:solidFill>
                    <w14:schemeClr w14:val="tx1"/>
                  </w14:solidFill>
                </w14:textFill>
              </w:rPr>
              <w:t>、提出对古树名木修剪</w:t>
            </w:r>
            <w:r>
              <w:rPr>
                <w:rFonts w:hint="eastAsia" w:hAnsi="宋体" w:eastAsia="宋体" w:cs="Times New Roman"/>
                <w:color w:val="000000" w:themeColor="text1"/>
                <w:sz w:val="24"/>
                <w:szCs w:val="24"/>
                <w14:textFill>
                  <w14:solidFill>
                    <w14:schemeClr w14:val="tx1"/>
                  </w14:solidFill>
                </w14:textFill>
              </w:rPr>
              <w:t>最宜时期、</w:t>
            </w:r>
            <w:r>
              <w:rPr>
                <w:rFonts w:hAnsi="宋体" w:eastAsia="宋体" w:cs="Times New Roman"/>
                <w:color w:val="000000" w:themeColor="text1"/>
                <w:sz w:val="24"/>
                <w:szCs w:val="24"/>
                <w14:textFill>
                  <w14:solidFill>
                    <w14:schemeClr w14:val="tx1"/>
                  </w14:solidFill>
                </w14:textFill>
              </w:rPr>
              <w:t>创面技术要求</w:t>
            </w:r>
            <w:r>
              <w:rPr>
                <w:rFonts w:hint="eastAsia" w:hAnsi="宋体" w:eastAsia="宋体" w:cs="Times New Roman"/>
                <w:color w:val="000000" w:themeColor="text1"/>
                <w:sz w:val="24"/>
                <w:szCs w:val="24"/>
                <w14:textFill>
                  <w14:solidFill>
                    <w14:schemeClr w14:val="tx1"/>
                  </w14:solidFill>
                </w14:textFill>
              </w:rPr>
              <w:t>，并在附录F中详细说明</w:t>
            </w:r>
            <w:r>
              <w:rPr>
                <w:rFonts w:hAnsi="宋体" w:eastAsia="宋体" w:cs="Times New Roman"/>
                <w:color w:val="000000" w:themeColor="text1"/>
                <w:sz w:val="24"/>
                <w:szCs w:val="24"/>
                <w14:textFill>
                  <w14:solidFill>
                    <w14:schemeClr w14:val="tx1"/>
                  </w14:solidFill>
                </w14:textFill>
              </w:rPr>
              <w:t>。</w:t>
            </w:r>
          </w:p>
        </w:tc>
      </w:tr>
      <w:tr w14:paraId="56B8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2263" w:type="dxa"/>
          </w:tcPr>
          <w:p w14:paraId="1C7F633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10.1巡查频次</w:t>
            </w:r>
          </w:p>
        </w:tc>
        <w:tc>
          <w:tcPr>
            <w:tcW w:w="1472" w:type="dxa"/>
          </w:tcPr>
          <w:p w14:paraId="5E0DE190">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55932E13">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4.2.2.3</w:t>
            </w:r>
          </w:p>
        </w:tc>
        <w:tc>
          <w:tcPr>
            <w:tcW w:w="1417" w:type="dxa"/>
          </w:tcPr>
          <w:p w14:paraId="7A7252ED">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6F105B3A">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1、在行业标准上，进一步细化，提出根据古树名木保护与养护等级区分巡护频次，巡护频次以“至少”衡量，增加了巡护力度。</w:t>
            </w:r>
          </w:p>
          <w:p w14:paraId="6188C34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2、增加了特殊自然环境时巡护要求。</w:t>
            </w:r>
          </w:p>
        </w:tc>
      </w:tr>
      <w:tr w14:paraId="1F51A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63" w:type="dxa"/>
          </w:tcPr>
          <w:p w14:paraId="6D649D54">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1</w:t>
            </w:r>
            <w:r>
              <w:rPr>
                <w:rFonts w:hAnsi="宋体" w:eastAsia="宋体" w:cs="Times New Roman"/>
                <w:color w:val="000000" w:themeColor="text1"/>
                <w:sz w:val="24"/>
                <w:szCs w:val="24"/>
                <w14:textFill>
                  <w14:solidFill>
                    <w14:schemeClr w14:val="tx1"/>
                  </w14:solidFill>
                </w14:textFill>
              </w:rPr>
              <w:t>0.3问题处理</w:t>
            </w:r>
          </w:p>
        </w:tc>
        <w:tc>
          <w:tcPr>
            <w:tcW w:w="1472" w:type="dxa"/>
          </w:tcPr>
          <w:p w14:paraId="47F49EF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0E8368E3">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417" w:type="dxa"/>
          </w:tcPr>
          <w:p w14:paraId="67ED2E1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6CAF620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1、增加内容，明确古树名木养护中出现问题时相关记录和及时上报的要求。</w:t>
            </w:r>
          </w:p>
        </w:tc>
      </w:tr>
      <w:tr w14:paraId="1E5A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63" w:type="dxa"/>
          </w:tcPr>
          <w:p w14:paraId="19D12CC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1</w:t>
            </w:r>
            <w:r>
              <w:rPr>
                <w:rFonts w:hAnsi="宋体" w:eastAsia="宋体" w:cs="Times New Roman"/>
                <w:color w:val="000000" w:themeColor="text1"/>
                <w:sz w:val="24"/>
                <w:szCs w:val="24"/>
                <w14:textFill>
                  <w14:solidFill>
                    <w14:schemeClr w14:val="tx1"/>
                  </w14:solidFill>
                </w14:textFill>
              </w:rPr>
              <w:t>1档案管理</w:t>
            </w:r>
          </w:p>
        </w:tc>
        <w:tc>
          <w:tcPr>
            <w:tcW w:w="1472" w:type="dxa"/>
          </w:tcPr>
          <w:p w14:paraId="08B0A252">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无</w:t>
            </w:r>
          </w:p>
        </w:tc>
        <w:tc>
          <w:tcPr>
            <w:tcW w:w="1647" w:type="dxa"/>
          </w:tcPr>
          <w:p w14:paraId="7B4FE233">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4.2.3</w:t>
            </w:r>
          </w:p>
        </w:tc>
        <w:tc>
          <w:tcPr>
            <w:tcW w:w="1417" w:type="dxa"/>
          </w:tcPr>
          <w:p w14:paraId="6DE51AA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1D7B4D89">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Ansi="宋体" w:eastAsia="宋体" w:cs="Times New Roman"/>
                <w:color w:val="000000" w:themeColor="text1"/>
                <w:sz w:val="24"/>
                <w:szCs w:val="24"/>
                <w14:textFill>
                  <w14:solidFill>
                    <w14:schemeClr w14:val="tx1"/>
                  </w14:solidFill>
                </w14:textFill>
              </w:rPr>
              <w:t>1、</w:t>
            </w:r>
            <w:r>
              <w:rPr>
                <w:rFonts w:hint="eastAsia" w:hAnsi="宋体" w:eastAsia="宋体" w:cs="Times New Roman"/>
                <w:color w:val="000000" w:themeColor="text1"/>
                <w:sz w:val="24"/>
                <w:szCs w:val="24"/>
                <w14:textFill>
                  <w14:solidFill>
                    <w14:schemeClr w14:val="tx1"/>
                  </w14:solidFill>
                </w14:textFill>
              </w:rPr>
              <w:t>档案管理更加明确。</w:t>
            </w:r>
            <w:r>
              <w:rPr>
                <w:rFonts w:hAnsi="宋体" w:eastAsia="宋体" w:cs="Times New Roman"/>
                <w:color w:val="000000" w:themeColor="text1"/>
                <w:sz w:val="24"/>
                <w:szCs w:val="24"/>
                <w14:textFill>
                  <w14:solidFill>
                    <w14:schemeClr w14:val="tx1"/>
                  </w14:solidFill>
                </w14:textFill>
              </w:rPr>
              <w:t>档案管理以表格的形式进行细化。</w:t>
            </w:r>
          </w:p>
        </w:tc>
      </w:tr>
      <w:tr w14:paraId="13D4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63" w:type="dxa"/>
          </w:tcPr>
          <w:p w14:paraId="7CAC56E6">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附录G</w:t>
            </w:r>
            <w:r>
              <w:rPr>
                <w:rFonts w:hAnsi="宋体" w:eastAsia="宋体" w:cs="Times New Roman"/>
                <w:color w:val="000000" w:themeColor="text1"/>
                <w:sz w:val="24"/>
                <w:szCs w:val="24"/>
                <w14:textFill>
                  <w14:solidFill>
                    <w14:schemeClr w14:val="tx1"/>
                  </w14:solidFill>
                </w14:textFill>
              </w:rPr>
              <w:t xml:space="preserve"> </w:t>
            </w:r>
            <w:r>
              <w:rPr>
                <w:rFonts w:hint="eastAsia" w:hAnsi="宋体" w:eastAsia="宋体" w:cs="Times New Roman"/>
                <w:color w:val="000000" w:themeColor="text1"/>
                <w:sz w:val="24"/>
                <w:szCs w:val="24"/>
                <w14:textFill>
                  <w14:solidFill>
                    <w14:schemeClr w14:val="tx1"/>
                  </w14:solidFill>
                </w14:textFill>
              </w:rPr>
              <w:t>古树名木登记表</w:t>
            </w:r>
          </w:p>
        </w:tc>
        <w:tc>
          <w:tcPr>
            <w:tcW w:w="1472" w:type="dxa"/>
          </w:tcPr>
          <w:p w14:paraId="7A8EC20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647" w:type="dxa"/>
          </w:tcPr>
          <w:p w14:paraId="51B71003">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附录F</w:t>
            </w:r>
          </w:p>
        </w:tc>
        <w:tc>
          <w:tcPr>
            <w:tcW w:w="1417" w:type="dxa"/>
          </w:tcPr>
          <w:p w14:paraId="76EE3235">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2B090368">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sz w:val="24"/>
                <w:szCs w:val="24"/>
              </w:rPr>
              <w:t>1、</w:t>
            </w:r>
            <w:r>
              <w:rPr>
                <w:rFonts w:hAnsi="宋体" w:eastAsia="宋体" w:cs="Times New Roman"/>
                <w:sz w:val="24"/>
                <w:szCs w:val="24"/>
              </w:rPr>
              <w:t>基本引用</w:t>
            </w:r>
            <w:r>
              <w:rPr>
                <w:rFonts w:hAnsi="宋体" w:eastAsia="宋体" w:cs="Times New Roman"/>
                <w:color w:val="000000" w:themeColor="text1"/>
                <w:sz w:val="24"/>
                <w:szCs w:val="24"/>
                <w14:textFill>
                  <w14:solidFill>
                    <w14:schemeClr w14:val="tx1"/>
                  </w14:solidFill>
                </w14:textFill>
              </w:rPr>
              <w:t>LY/T 3073-2018</w:t>
            </w:r>
            <w:r>
              <w:rPr>
                <w:rFonts w:hint="eastAsia" w:hAnsi="宋体" w:eastAsia="宋体" w:cs="Times New Roman"/>
                <w:color w:val="000000" w:themeColor="text1"/>
                <w:sz w:val="24"/>
                <w:szCs w:val="24"/>
                <w14:textFill>
                  <w14:solidFill>
                    <w14:schemeClr w14:val="tx1"/>
                  </w14:solidFill>
                </w14:textFill>
              </w:rPr>
              <w:t>表格</w:t>
            </w:r>
            <w:r>
              <w:rPr>
                <w:rFonts w:hint="eastAsia" w:hAnsi="宋体" w:eastAsia="宋体" w:cs="Times New Roman"/>
                <w:sz w:val="24"/>
                <w:szCs w:val="24"/>
              </w:rPr>
              <w:t>，但稍为调整，另外，还对照片提供进行了说明。</w:t>
            </w:r>
          </w:p>
        </w:tc>
      </w:tr>
      <w:tr w14:paraId="4F96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263" w:type="dxa"/>
          </w:tcPr>
          <w:p w14:paraId="77C54D4D">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附录H</w:t>
            </w:r>
            <w:r>
              <w:rPr>
                <w:rFonts w:hAnsi="宋体" w:eastAsia="宋体" w:cs="Times New Roman"/>
                <w:color w:val="000000" w:themeColor="text1"/>
                <w:sz w:val="24"/>
                <w:szCs w:val="24"/>
                <w14:textFill>
                  <w14:solidFill>
                    <w14:schemeClr w14:val="tx1"/>
                  </w14:solidFill>
                </w14:textFill>
              </w:rPr>
              <w:t>1</w:t>
            </w:r>
            <w:r>
              <w:rPr>
                <w:rFonts w:hint="eastAsia" w:hAnsi="宋体" w:eastAsia="宋体" w:cs="Times New Roman"/>
                <w:color w:val="000000" w:themeColor="text1"/>
                <w:sz w:val="24"/>
                <w:szCs w:val="24"/>
                <w14:textFill>
                  <w14:solidFill>
                    <w14:schemeClr w14:val="tx1"/>
                  </w14:solidFill>
                </w14:textFill>
              </w:rPr>
              <w:t>-</w:t>
            </w:r>
            <w:r>
              <w:rPr>
                <w:rFonts w:hAnsi="宋体" w:eastAsia="宋体" w:cs="Times New Roman"/>
                <w:color w:val="000000" w:themeColor="text1"/>
                <w:sz w:val="24"/>
                <w:szCs w:val="24"/>
                <w14:textFill>
                  <w14:solidFill>
                    <w14:schemeClr w14:val="tx1"/>
                  </w14:solidFill>
                </w14:textFill>
              </w:rPr>
              <w:t xml:space="preserve">4 </w:t>
            </w:r>
            <w:r>
              <w:rPr>
                <w:rFonts w:hint="eastAsia" w:hAnsi="宋体" w:eastAsia="宋体" w:cs="Times New Roman"/>
                <w:color w:val="000000" w:themeColor="text1"/>
                <w:sz w:val="24"/>
                <w:szCs w:val="24"/>
                <w14:textFill>
                  <w14:solidFill>
                    <w14:schemeClr w14:val="tx1"/>
                  </w14:solidFill>
                </w14:textFill>
              </w:rPr>
              <w:t>古树名木记录表</w:t>
            </w:r>
          </w:p>
        </w:tc>
        <w:tc>
          <w:tcPr>
            <w:tcW w:w="1472" w:type="dxa"/>
          </w:tcPr>
          <w:p w14:paraId="6733705E">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1647" w:type="dxa"/>
          </w:tcPr>
          <w:p w14:paraId="3B6AA77B">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附录F、附录G、附录H</w:t>
            </w:r>
          </w:p>
        </w:tc>
        <w:tc>
          <w:tcPr>
            <w:tcW w:w="1417" w:type="dxa"/>
          </w:tcPr>
          <w:p w14:paraId="05A7F1A7">
            <w:pPr>
              <w:pStyle w:val="23"/>
              <w:ind w:firstLine="0"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无</w:t>
            </w:r>
          </w:p>
        </w:tc>
        <w:tc>
          <w:tcPr>
            <w:tcW w:w="7350" w:type="dxa"/>
          </w:tcPr>
          <w:p w14:paraId="7D9A0434">
            <w:pPr>
              <w:pStyle w:val="23"/>
              <w:numPr>
                <w:ilvl w:val="0"/>
                <w:numId w:val="1"/>
              </w:numPr>
              <w:ind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附录H包括古树名木养护管理记录表、古树名木巡查记录表、</w:t>
            </w:r>
            <w:r>
              <w:rPr>
                <w:rFonts w:hAnsi="宋体" w:eastAsia="宋体" w:cs="Times New Roman"/>
                <w:color w:val="000000" w:themeColor="text1"/>
                <w:sz w:val="24"/>
                <w:szCs w:val="24"/>
                <w14:textFill>
                  <w14:solidFill>
                    <w14:schemeClr w14:val="tx1"/>
                  </w14:solidFill>
                </w14:textFill>
              </w:rPr>
              <w:t>古树名木异常情况报告表</w:t>
            </w:r>
            <w:r>
              <w:rPr>
                <w:rFonts w:hint="eastAsia" w:hAnsi="宋体" w:eastAsia="宋体" w:cs="Times New Roman"/>
                <w:color w:val="000000" w:themeColor="text1"/>
                <w:sz w:val="24"/>
                <w:szCs w:val="24"/>
                <w14:textFill>
                  <w14:solidFill>
                    <w14:schemeClr w14:val="tx1"/>
                  </w14:solidFill>
                </w14:textFill>
              </w:rPr>
              <w:t>、古树名木健康会诊表，其中管理记录表基本引用</w:t>
            </w:r>
            <w:r>
              <w:rPr>
                <w:rFonts w:hAnsi="宋体" w:eastAsia="宋体" w:cs="Times New Roman"/>
                <w:color w:val="000000" w:themeColor="text1"/>
                <w:sz w:val="24"/>
                <w:szCs w:val="24"/>
                <w14:textFill>
                  <w14:solidFill>
                    <w14:schemeClr w14:val="tx1"/>
                  </w14:solidFill>
                </w14:textFill>
              </w:rPr>
              <w:t>LY/T 3073-2018</w:t>
            </w:r>
            <w:r>
              <w:rPr>
                <w:rFonts w:hint="eastAsia" w:hAnsi="宋体" w:eastAsia="宋体" w:cs="Times New Roman"/>
                <w:color w:val="000000" w:themeColor="text1"/>
                <w:sz w:val="24"/>
                <w:szCs w:val="24"/>
                <w14:textFill>
                  <w14:solidFill>
                    <w14:schemeClr w14:val="tx1"/>
                  </w14:solidFill>
                </w14:textFill>
              </w:rPr>
              <w:t>表格</w:t>
            </w:r>
          </w:p>
          <w:p w14:paraId="5DF0D818">
            <w:pPr>
              <w:pStyle w:val="23"/>
              <w:numPr>
                <w:ilvl w:val="0"/>
                <w:numId w:val="1"/>
              </w:numPr>
              <w:ind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巡查记录表和</w:t>
            </w:r>
            <w:r>
              <w:rPr>
                <w:rFonts w:hAnsi="宋体" w:eastAsia="宋体" w:cs="Times New Roman"/>
                <w:color w:val="000000" w:themeColor="text1"/>
                <w:sz w:val="24"/>
                <w:szCs w:val="24"/>
                <w14:textFill>
                  <w14:solidFill>
                    <w14:schemeClr w14:val="tx1"/>
                  </w14:solidFill>
                </w14:textFill>
              </w:rPr>
              <w:t>异常情况报告表</w:t>
            </w:r>
            <w:r>
              <w:rPr>
                <w:rFonts w:hint="eastAsia" w:hAnsi="宋体" w:eastAsia="宋体" w:cs="Times New Roman"/>
                <w:color w:val="000000" w:themeColor="text1"/>
                <w:sz w:val="24"/>
                <w:szCs w:val="24"/>
                <w14:textFill>
                  <w14:solidFill>
                    <w14:schemeClr w14:val="tx1"/>
                  </w14:solidFill>
                </w14:textFill>
              </w:rPr>
              <w:t>参考了</w:t>
            </w:r>
            <w:r>
              <w:rPr>
                <w:rFonts w:hAnsi="宋体" w:eastAsia="宋体" w:cs="Times New Roman"/>
                <w:color w:val="000000" w:themeColor="text1"/>
                <w:sz w:val="24"/>
                <w:szCs w:val="24"/>
                <w14:textFill>
                  <w14:solidFill>
                    <w14:schemeClr w14:val="tx1"/>
                  </w14:solidFill>
                </w14:textFill>
              </w:rPr>
              <w:t>LY/T 3073-2018</w:t>
            </w:r>
            <w:r>
              <w:rPr>
                <w:rFonts w:hint="eastAsia" w:hAnsi="宋体" w:eastAsia="宋体" w:cs="Times New Roman"/>
                <w:color w:val="000000" w:themeColor="text1"/>
                <w:sz w:val="24"/>
                <w:szCs w:val="24"/>
                <w14:textFill>
                  <w14:solidFill>
                    <w14:schemeClr w14:val="tx1"/>
                  </w14:solidFill>
                </w14:textFill>
              </w:rPr>
              <w:t>，但进行了较大调整</w:t>
            </w:r>
          </w:p>
          <w:p w14:paraId="16EE5096">
            <w:pPr>
              <w:pStyle w:val="23"/>
              <w:numPr>
                <w:ilvl w:val="0"/>
                <w:numId w:val="1"/>
              </w:numPr>
              <w:ind w:firstLineChars="0"/>
              <w:jc w:val="left"/>
              <w:rPr>
                <w:rFonts w:hAnsi="宋体" w:eastAsia="宋体" w:cs="Times New Roman"/>
                <w:color w:val="000000" w:themeColor="text1"/>
                <w:sz w:val="24"/>
                <w:szCs w:val="24"/>
                <w14:textFill>
                  <w14:solidFill>
                    <w14:schemeClr w14:val="tx1"/>
                  </w14:solidFill>
                </w14:textFill>
              </w:rPr>
            </w:pPr>
            <w:r>
              <w:rPr>
                <w:rFonts w:hint="eastAsia" w:hAnsi="宋体" w:eastAsia="宋体" w:cs="Times New Roman"/>
                <w:color w:val="000000" w:themeColor="text1"/>
                <w:sz w:val="24"/>
                <w:szCs w:val="24"/>
                <w14:textFill>
                  <w14:solidFill>
                    <w14:schemeClr w14:val="tx1"/>
                  </w14:solidFill>
                </w14:textFill>
              </w:rPr>
              <w:t>增加了古树名木健康会诊表</w:t>
            </w:r>
          </w:p>
        </w:tc>
      </w:tr>
    </w:tbl>
    <w:p w14:paraId="5DC34369">
      <w:pPr>
        <w:pStyle w:val="23"/>
        <w:spacing w:line="360" w:lineRule="auto"/>
        <w:ind w:firstLine="560"/>
        <w:jc w:val="center"/>
        <w:rPr>
          <w:rFonts w:ascii="Times New Roman" w:cs="Times New Roman"/>
          <w:b/>
          <w:bCs/>
          <w:color w:val="0070C0"/>
          <w:sz w:val="28"/>
          <w:szCs w:val="28"/>
        </w:rPr>
        <w:sectPr>
          <w:pgSz w:w="16838" w:h="11906" w:orient="landscape"/>
          <w:pgMar w:top="1800" w:right="1440" w:bottom="1800" w:left="1440" w:header="851" w:footer="992" w:gutter="0"/>
          <w:cols w:space="425" w:num="1"/>
          <w:docGrid w:type="lines" w:linePitch="312" w:charSpace="0"/>
        </w:sectPr>
      </w:pPr>
    </w:p>
    <w:p w14:paraId="26FDF42E">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（三）本标准与DB43/T 618-2011《古树名木保护和养护技术规程》比较的亮点</w:t>
      </w:r>
    </w:p>
    <w:p w14:paraId="778D44CD">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1、领会了国家、湖南省关于古树名木保护与养护的最新规定与成果</w:t>
      </w:r>
    </w:p>
    <w:p w14:paraId="0195603E">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DB43/T 618-2011《古树名木保护和养护技术规程》于2011年4月1日发布。此后，国家相继发布了GB/T 51168-2016《城市古树名木养护和复壮工程技术规范》</w:t>
      </w:r>
      <w:r>
        <w:rPr>
          <w:rFonts w:hint="eastAsia"/>
          <w:color w:val="000000" w:themeColor="text1"/>
          <w:sz w:val="28"/>
          <w:szCs w:val="28"/>
          <w14:textFill>
            <w14:solidFill>
              <w14:schemeClr w14:val="tx1"/>
            </w14:solidFill>
          </w14:textFill>
        </w:rPr>
        <w:t>、LY/T 2494-</w:t>
      </w:r>
      <w:r>
        <w:rPr>
          <w:color w:val="000000" w:themeColor="text1"/>
          <w:sz w:val="28"/>
          <w:szCs w:val="28"/>
          <w14:textFill>
            <w14:solidFill>
              <w14:schemeClr w14:val="tx1"/>
            </w14:solidFill>
          </w14:textFill>
        </w:rPr>
        <w:t>2015</w:t>
      </w:r>
      <w:r>
        <w:rPr>
          <w:rFonts w:hint="eastAsia"/>
          <w:color w:val="000000" w:themeColor="text1"/>
          <w:sz w:val="28"/>
          <w:szCs w:val="28"/>
          <w14:textFill>
            <w14:solidFill>
              <w14:schemeClr w14:val="tx1"/>
            </w14:solidFill>
          </w14:textFill>
        </w:rPr>
        <w:t>《古树名木复壮技术规程》</w:t>
      </w:r>
      <w:r>
        <w:rPr>
          <w:color w:val="000000" w:themeColor="text1"/>
          <w:sz w:val="28"/>
          <w:szCs w:val="28"/>
          <w14:textFill>
            <w14:solidFill>
              <w14:schemeClr w14:val="tx1"/>
            </w14:solidFill>
          </w14:textFill>
        </w:rPr>
        <w:t>、林业行业标准 LY/T 3073-2018《古树名木管护技术规程》，湖南省发布的《湖南省古树名木保护办法》</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于2022年3月12日施行</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，都对古树名木保护与养护提出了新的要求。本次修编成果，领会了国家、湖南省关于古树名木保护与养护的最新规定，同时也结合了湖南省的实际情况，丰富了湖南省古树名木保护与养护的相关条款</w:t>
      </w:r>
      <w:r>
        <w:rPr>
          <w:rFonts w:hint="eastAsia"/>
          <w:color w:val="000000" w:themeColor="text1"/>
          <w:sz w:val="28"/>
          <w:szCs w:val="28"/>
          <w14:textFill>
            <w14:solidFill>
              <w14:schemeClr w14:val="tx1"/>
            </w14:solidFill>
          </w14:textFill>
        </w:rPr>
        <w:t>，更加有利于湖南古树名木养护工作的规范性开展</w:t>
      </w:r>
      <w:r>
        <w:rPr>
          <w:color w:val="000000" w:themeColor="text1"/>
          <w:sz w:val="28"/>
          <w:szCs w:val="28"/>
          <w14:textFill>
            <w14:solidFill>
              <w14:schemeClr w14:val="tx1"/>
            </w14:solidFill>
          </w14:textFill>
        </w:rPr>
        <w:t>。</w:t>
      </w:r>
    </w:p>
    <w:p w14:paraId="5A99D010">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2、引入了新技术</w:t>
      </w:r>
    </w:p>
    <w:p w14:paraId="59CFCFBA">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本标准引入了先进诊断技术。根据古树名木养护需要，按照相关技术标准进行诊断、监测。在准确掌握古树名木生境状况、生长势的前提下，有针对性进行养护。</w:t>
      </w:r>
    </w:p>
    <w:p w14:paraId="1460F6AD">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本标准引入了先进养护技术。细化了古树名木日常养护的土壤、水、肥、树体养护、树冠整理、地上环境及有害生物防治的管理要求。</w:t>
      </w:r>
    </w:p>
    <w:p w14:paraId="66E41819">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3、提出了古树名木养护</w:t>
      </w:r>
      <w:r>
        <w:rPr>
          <w:rFonts w:hint="eastAsia"/>
          <w:b/>
          <w:bCs/>
          <w:color w:val="000000" w:themeColor="text1"/>
          <w:sz w:val="28"/>
          <w:szCs w:val="28"/>
          <w14:textFill>
            <w14:solidFill>
              <w14:schemeClr w14:val="tx1"/>
            </w14:solidFill>
          </w14:textFill>
        </w:rPr>
        <w:t>“</w:t>
      </w:r>
      <w:r>
        <w:rPr>
          <w:b/>
          <w:bCs/>
          <w:color w:val="000000" w:themeColor="text1"/>
          <w:sz w:val="28"/>
          <w:szCs w:val="28"/>
          <w14:textFill>
            <w14:solidFill>
              <w14:schemeClr w14:val="tx1"/>
            </w14:solidFill>
          </w14:textFill>
        </w:rPr>
        <w:t>精准施策</w:t>
      </w:r>
      <w:r>
        <w:rPr>
          <w:rFonts w:hint="eastAsia"/>
          <w:b/>
          <w:bCs/>
          <w:color w:val="000000" w:themeColor="text1"/>
          <w:sz w:val="28"/>
          <w:szCs w:val="28"/>
          <w14:textFill>
            <w14:solidFill>
              <w14:schemeClr w14:val="tx1"/>
            </w14:solidFill>
          </w14:textFill>
        </w:rPr>
        <w:t>”</w:t>
      </w:r>
    </w:p>
    <w:p w14:paraId="577D5B56">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首先</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根据古树名木保护与养护需要，将定期监测写入规范，强调掌握古树名木实际情况，精准养护。</w:t>
      </w:r>
    </w:p>
    <w:p w14:paraId="7F25CD6D">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其次</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本标准提出了制定古树名木养护方案的建议，专业养护应根据古树名木情况制定养护方案，将古树名木保护与养护落到实处。</w:t>
      </w:r>
    </w:p>
    <w:p w14:paraId="493CC4F9">
      <w:pPr>
        <w:spacing w:line="360" w:lineRule="auto"/>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再次，</w:t>
      </w:r>
      <w:r>
        <w:rPr>
          <w:color w:val="000000" w:themeColor="text1"/>
          <w:sz w:val="28"/>
          <w:szCs w:val="28"/>
          <w14:textFill>
            <w14:solidFill>
              <w14:schemeClr w14:val="tx1"/>
            </w14:solidFill>
          </w14:textFill>
        </w:rPr>
        <w:t>增加了古树名木巡护章节，加强了古树名木日常巡护，提出了古树名木巡护内容及要求。</w:t>
      </w:r>
    </w:p>
    <w:p w14:paraId="6846D0F9">
      <w:pPr>
        <w:spacing w:line="360" w:lineRule="auto"/>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最后，</w:t>
      </w:r>
      <w:r>
        <w:rPr>
          <w:color w:val="000000" w:themeColor="text1"/>
          <w:sz w:val="28"/>
          <w:szCs w:val="28"/>
          <w14:textFill>
            <w14:solidFill>
              <w14:schemeClr w14:val="tx1"/>
            </w14:solidFill>
          </w14:textFill>
        </w:rPr>
        <w:t>要求建立古树名木养护档案，</w:t>
      </w:r>
      <w:r>
        <w:rPr>
          <w:rFonts w:hint="eastAsia"/>
          <w:color w:val="000000" w:themeColor="text1"/>
          <w:sz w:val="28"/>
          <w:szCs w:val="28"/>
          <w14:textFill>
            <w14:solidFill>
              <w14:schemeClr w14:val="tx1"/>
            </w14:solidFill>
          </w14:textFill>
        </w:rPr>
        <w:t>统一规格，</w:t>
      </w:r>
      <w:r>
        <w:rPr>
          <w:color w:val="000000" w:themeColor="text1"/>
          <w:sz w:val="28"/>
          <w:szCs w:val="28"/>
          <w14:textFill>
            <w14:solidFill>
              <w14:schemeClr w14:val="tx1"/>
            </w14:solidFill>
          </w14:textFill>
        </w:rPr>
        <w:t>并以表格、文档的形式建立电子版和纸质版两套档案，使得古树名木养护记录可追溯。</w:t>
      </w:r>
    </w:p>
    <w:p w14:paraId="7FCBBC64">
      <w:pPr>
        <w:spacing w:line="360" w:lineRule="auto"/>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三、主要条款的说明</w:t>
      </w:r>
    </w:p>
    <w:p w14:paraId="460743A9">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为了保护古树名木及其生存的自然环境，传承历史文化，促进生态文明建设，根据《中华人民共和国森林法》等法律、法规，结合湖南省实际，制定了《湖南省古树名木保护办法》。《湖南省古树名木保护办法》已经2021年11月15日省人民政府第125次常务会议通过，自2022年3月12日起施行。该文件中：</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第二十条 省绿化委员会负责发布古树名木养护技术规范。县级以上人民政府古树名木主管部门应当根据古树名木等级，组织专家和技术人员或者通过购买服务的方式对古树名木定期巡查和专业养护。</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 本标准依据《湖南省古树名木保护办法》，结合古树名木养护经验和研究成果制定。</w:t>
      </w:r>
      <w:bookmarkStart w:id="2" w:name="_Toc289350772"/>
      <w:bookmarkEnd w:id="2"/>
    </w:p>
    <w:p w14:paraId="1FBB83A3">
      <w:pPr>
        <w:widowControl/>
        <w:shd w:val="clear" w:color="auto" w:fill="FFFFFF"/>
        <w:spacing w:line="360" w:lineRule="atLeast"/>
        <w:ind w:firstLine="562" w:firstLineChars="200"/>
        <w:jc w:val="left"/>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（一）适用范围</w:t>
      </w:r>
    </w:p>
    <w:p w14:paraId="77B5C480">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为了科学、及时、有效的保护湖南省古树名木，规范古树名木养护措施，发挥古树名木的综合效益，特制订本技术规范。</w:t>
      </w:r>
    </w:p>
    <w:p w14:paraId="13405CDC">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《湖南省古树名木保护办法》第二条：</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本省行政区域内分布在原始林外，经依法认定公布的古树名木的养护管理活动，适用于本办法。</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本标准中古树名木的范围与该办法保持一致。</w:t>
      </w:r>
    </w:p>
    <w:p w14:paraId="27372F3A">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（二）基本规定</w:t>
      </w:r>
    </w:p>
    <w:p w14:paraId="0B1B8C9B">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将养护责任人的确定写入基本规定，作为古树名木日常养护管理的实施主体。</w:t>
      </w:r>
    </w:p>
    <w:p w14:paraId="3AEDC331">
      <w:pPr>
        <w:widowControl/>
        <w:numPr>
          <w:ilvl w:val="0"/>
          <w:numId w:val="2"/>
        </w:numPr>
        <w:shd w:val="clear" w:color="auto" w:fill="FFFFFF"/>
        <w:spacing w:line="360" w:lineRule="atLeast"/>
        <w:ind w:firstLine="562" w:firstLineChars="200"/>
        <w:jc w:val="left"/>
        <w:rPr>
          <w:b/>
          <w:bCs/>
          <w:sz w:val="28"/>
          <w:szCs w:val="28"/>
        </w:rPr>
      </w:pPr>
      <w:r>
        <w:rPr>
          <w:b/>
          <w:bCs/>
          <w:sz w:val="28"/>
          <w:szCs w:val="28"/>
        </w:rPr>
        <w:t>养护设施设置</w:t>
      </w:r>
    </w:p>
    <w:p w14:paraId="4E660112">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1、围栏设置</w:t>
      </w:r>
    </w:p>
    <w:p w14:paraId="3A43FA50">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 对于易受踩踏属</w:t>
      </w:r>
      <w:r>
        <w:rPr>
          <w:rFonts w:hint="eastAsia"/>
          <w:color w:val="000000" w:themeColor="text1"/>
          <w:sz w:val="28"/>
          <w:szCs w:val="28"/>
          <w14:textFill>
            <w14:solidFill>
              <w14:schemeClr w14:val="tx1"/>
            </w14:solidFill>
          </w14:textFill>
        </w:rPr>
        <w:t>于</w:t>
      </w:r>
      <w:r>
        <w:rPr>
          <w:color w:val="000000" w:themeColor="text1"/>
          <w:sz w:val="28"/>
          <w:szCs w:val="28"/>
          <w14:textFill>
            <w14:solidFill>
              <w14:schemeClr w14:val="tx1"/>
            </w14:solidFill>
          </w14:textFill>
        </w:rPr>
        <w:t>易受破坏的古树名木，应设置保护围栏，一方面避免人为损害根系和树干等行为，另一方面避免造成土壤板结，保持土壤通气透水性。</w:t>
      </w:r>
    </w:p>
    <w:p w14:paraId="5CE6A2AE">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2、铺装设置</w:t>
      </w:r>
    </w:p>
    <w:p w14:paraId="16FBE254">
      <w:pPr>
        <w:spacing w:line="360" w:lineRule="auto"/>
        <w:ind w:firstLine="560" w:firstLineChars="200"/>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对古树名木周围透气性差的铺装应予拆除，如需铺设保护铺装，需按照透水性铺装要求铺设。铺装时应先平整地形，熟土上加砂垫层，其上铺设透气砖，砖缝用细砂填满，不能用水泥、石灰勾缝，注意排水。</w:t>
      </w:r>
    </w:p>
    <w:p w14:paraId="58266052">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（四）养护技术</w:t>
      </w:r>
    </w:p>
    <w:p w14:paraId="5349FF48">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1、土壤管护</w:t>
      </w:r>
    </w:p>
    <w:p w14:paraId="58D350A9">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土壤日常管护一是杜绝危害土壤生境的行为发生，二是应根据土壤理化性状，进行土壤管护和改良。土壤疏松、无污染、透气性良好、自然含水率在古树名木正常生长需要范围。</w:t>
      </w:r>
    </w:p>
    <w:p w14:paraId="3DCA45A0">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2 、施肥</w:t>
      </w:r>
    </w:p>
    <w:p w14:paraId="13DDE9FD">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施肥方式的选择。一般情况下，通过土壤施肥，根系从土壤中吸收养分，就能满足树木正常生长需要。土壤施肥和叶面施肥两种施肥方法中，应以土壤施肥为主。当根系从土壤吸收养分难以满足树木需求时，应进行叶面施肥。</w:t>
      </w:r>
    </w:p>
    <w:p w14:paraId="436640BD">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肥料的要求。土壤和叶片的营养诊断结果显示树木营养缺乏时， 应进行土壤施肥。古树名木生长势弱，根系吸收功能差，宜选用缓效有机无机复合颗粒肥、生物活性有机肥和微生物菌肥进行土壤施肥。</w:t>
      </w:r>
    </w:p>
    <w:p w14:paraId="44CE647B">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根系从土壤吸收养分能否满足树木需求，除与土壤施肥技术有关外，还与土壤密实等障碍因素有关。土壤密实板结、通气不良，采用挖复壮沟、挖穴、打孔和深翻等土壤改良技术，改善土壤理化性质，提高根系吸收养分的能力。</w:t>
      </w:r>
    </w:p>
    <w:p w14:paraId="3CF1AA03">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叶面施肥的应用条件。在营养诊断的基础上，若古树名木需紧急施肥，可采用叶面施肥技术，需在专业技术人员指导下进行。叶面施肥通过叶片对喷施养分的直接吸收，补充树体营养。叶面肥应选用性能稳定、不损伤叶片的肥料品种。</w:t>
      </w:r>
    </w:p>
    <w:p w14:paraId="1E13FB13">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3 补水与排水</w:t>
      </w:r>
    </w:p>
    <w:p w14:paraId="7F93D467">
      <w:pPr>
        <w:spacing w:line="360" w:lineRule="auto"/>
        <w:ind w:firstLine="560" w:firstLineChars="200"/>
        <w:rPr>
          <w:rFonts w:eastAsia="仿宋"/>
          <w:color w:val="000000" w:themeColor="text1"/>
          <w:sz w:val="24"/>
          <w14:textFill>
            <w14:solidFill>
              <w14:schemeClr w14:val="tx1"/>
            </w14:solidFill>
          </w14:textFill>
        </w:rPr>
      </w:pPr>
      <w:r>
        <w:rPr>
          <w:color w:val="000000" w:themeColor="text1"/>
          <w:sz w:val="28"/>
          <w:szCs w:val="28"/>
          <w14:textFill>
            <w14:solidFill>
              <w14:schemeClr w14:val="tx1"/>
            </w14:solidFill>
          </w14:textFill>
        </w:rPr>
        <w:t>补水的措施。 当土壤干旱时应进行土壤浇水，如果土壤浇水达不到树木要求，还必须进行叶面喷水。浇水要改变过去在树池内浇水的传统做法，应在多数吸收根分布范围内浇水，即树冠垂直投影半径的一半至树冠外缘的适当位置，吸收根能否得到水分，也与密实土壤和硬质铺装等障碍因素相关，对此应进行改土之后浇水。 在树木生长季节， 由于土壤过度干旱或积水、土壤盐分过高、烂根、伤根等，引起树木生理干旱时， 应及时进行叶面喷水。</w:t>
      </w:r>
    </w:p>
    <w:p w14:paraId="65485EB7">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排水措施。树木生长在低洼处和受人为因素影响导致土壤排水不畅， 或者雨季时引起土壤积水，树木根系因缺氧引起烂根或者土壤受含有害物质的污水侵入引起烂根， 都能导致树木生长衰弱。因此，对土壤积水和污水应及时排除。</w:t>
      </w:r>
    </w:p>
    <w:p w14:paraId="24667084">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4 、树体养护</w:t>
      </w:r>
    </w:p>
    <w:p w14:paraId="08F75039">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古树名木树体养护，一方面是对于易受踩踏、主干易受破坏的古树名木避免人为损害树干等行为； 另一方面是</w:t>
      </w:r>
      <w:r>
        <w:rPr>
          <w:rFonts w:hint="eastAsia"/>
          <w:color w:val="000000" w:themeColor="text1"/>
          <w:sz w:val="28"/>
          <w:szCs w:val="28"/>
          <w14:textFill>
            <w14:solidFill>
              <w14:schemeClr w14:val="tx1"/>
            </w14:solidFill>
          </w14:textFill>
        </w:rPr>
        <w:t>在</w:t>
      </w:r>
      <w:r>
        <w:rPr>
          <w:color w:val="000000" w:themeColor="text1"/>
          <w:sz w:val="28"/>
          <w:szCs w:val="28"/>
          <w14:textFill>
            <w14:solidFill>
              <w14:schemeClr w14:val="tx1"/>
            </w14:solidFill>
          </w14:textFill>
        </w:rPr>
        <w:t>树体、枝、干等部位的损伤采取防护和修补的技术措施。</w:t>
      </w:r>
    </w:p>
    <w:p w14:paraId="12CD4D23">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5、 树冠整理</w:t>
      </w:r>
    </w:p>
    <w:p w14:paraId="6914F48E">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古树名木因自然条件恶化、植物竞争、病虫危害、人为伤害、自然灾害等因素的影响，导致树冠严重受损或者树枝与房屋建筑等发生矛盾时，不仅存在安全隐患，而且影响树木长势以及景观效果。应按照</w:t>
      </w:r>
      <w:r>
        <w:rPr>
          <w:rFonts w:hint="eastAsia"/>
          <w:color w:val="000000" w:themeColor="text1"/>
          <w:sz w:val="28"/>
          <w:szCs w:val="28"/>
          <w14:textFill>
            <w14:solidFill>
              <w14:schemeClr w14:val="tx1"/>
            </w14:solidFill>
          </w14:textFill>
        </w:rPr>
        <w:t>树冠</w:t>
      </w:r>
      <w:r>
        <w:rPr>
          <w:color w:val="000000" w:themeColor="text1"/>
          <w:sz w:val="28"/>
          <w:szCs w:val="28"/>
          <w14:textFill>
            <w14:solidFill>
              <w14:schemeClr w14:val="tx1"/>
            </w14:solidFill>
          </w14:textFill>
        </w:rPr>
        <w:t>整理原则和技术规定进行整理。古树修剪，以轻剪、疏剪为主， 基本保持原有树形为原则。通过修剪整形， 调节和均衡树势， 利于通风透光， 减少病虫害， 使树木生长健壮、树姿美观。</w:t>
      </w:r>
    </w:p>
    <w:p w14:paraId="63F6D84E">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6 、地上环境改良</w:t>
      </w:r>
    </w:p>
    <w:p w14:paraId="0FD517AF">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在古树名木植株保护范围内的其他植物、建筑等设施、 杂物等地上物以及液体、有毒气体，影响树木的生存，一旦超出古树自身忍受能力，势必导致古树名木衰弱和死亡。调查表明， 全国大中小城市的古树名木，因受地上环境因素影响，每年都有一些树木死亡。因此，对地上环境进行改良是古树名木养护的重要环节之一。本标准中列出了古树名木地上环境维护的禁止行为。</w:t>
      </w:r>
    </w:p>
    <w:p w14:paraId="7CFA44E6">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7 、病虫害防治</w:t>
      </w:r>
    </w:p>
    <w:p w14:paraId="283231D4">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加强病虫害日常预测预报工作，做到疫情</w:t>
      </w:r>
      <w:bookmarkStart w:id="3" w:name="_Hlk97540716"/>
      <w:r>
        <w:rPr>
          <w:color w:val="000000" w:themeColor="text1"/>
          <w:sz w:val="28"/>
          <w:szCs w:val="28"/>
          <w14:textFill>
            <w14:solidFill>
              <w14:schemeClr w14:val="tx1"/>
            </w14:solidFill>
          </w14:textFill>
        </w:rPr>
        <w:t>早发现、早预防、早治疗</w:t>
      </w:r>
      <w:bookmarkEnd w:id="3"/>
      <w:r>
        <w:rPr>
          <w:color w:val="000000" w:themeColor="text1"/>
          <w:sz w:val="28"/>
          <w:szCs w:val="28"/>
          <w14:textFill>
            <w14:solidFill>
              <w14:schemeClr w14:val="tx1"/>
            </w14:solidFill>
          </w14:textFill>
        </w:rPr>
        <w:t>。防治前，应准确识别有害生物种类、受害症状，根据有害生物在当地的生活史及发生规律，抓住防控关键时机，做到及时有效防控。</w:t>
      </w:r>
    </w:p>
    <w:p w14:paraId="28AE58AD">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古树名木病虫防治采用生物、物理、化学综合防控措施时，重点是加强对有益生物的保护、引进、人工繁殖与释放等，结合人工和简单机器捕捉与灯光、食饵等诱杀的合理运用以及化学防控相互协调配合，实现对花、果、叶、枝干和根系病虫害的有效控制。</w:t>
      </w:r>
    </w:p>
    <w:p w14:paraId="438CA357">
      <w:pPr>
        <w:spacing w:line="360" w:lineRule="auto"/>
        <w:ind w:firstLine="562" w:firstLineChars="200"/>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8巡查与档案管理</w:t>
      </w:r>
    </w:p>
    <w:p w14:paraId="056306D1">
      <w:pPr>
        <w:spacing w:line="360" w:lineRule="auto"/>
        <w:ind w:firstLine="560" w:firstLineChars="200"/>
        <w:rPr>
          <w:b/>
          <w:bCs/>
          <w:color w:val="0070C0"/>
          <w:sz w:val="28"/>
          <w:szCs w:val="28"/>
        </w:rPr>
      </w:pPr>
      <w:r>
        <w:rPr>
          <w:color w:val="000000" w:themeColor="text1"/>
          <w:sz w:val="28"/>
          <w:szCs w:val="28"/>
          <w14:textFill>
            <w14:solidFill>
              <w14:schemeClr w14:val="tx1"/>
            </w14:solidFill>
          </w14:textFill>
        </w:rPr>
        <w:t>建立定期巡查制度，做好相关巡查记录。古树名木养护责任单位应建立纸质和电子保护复壮技术档案，并做好各类资料的收集、整理、鉴定与归档工作。档案内容包括古树名木登记表、年度养护技术方案、日常巡查记录表、日常养护管理记录表、调查诊断记录、专家会诊报告、异常情况报告表等相关资料。建立技术档案，使古树名木养护工作的可追溯性与可延续性加强。</w:t>
      </w:r>
    </w:p>
    <w:p w14:paraId="43093AF8">
      <w:pPr>
        <w:rPr>
          <w:b/>
          <w:bCs/>
          <w:sz w:val="28"/>
          <w:szCs w:val="28"/>
        </w:rPr>
      </w:pPr>
      <w:r>
        <w:rPr>
          <w:b/>
          <w:bCs/>
          <w:sz w:val="28"/>
          <w:szCs w:val="28"/>
        </w:rPr>
        <w:t>四、预期的社会经济效果</w:t>
      </w:r>
    </w:p>
    <w:p w14:paraId="54281B07">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古树名木不仅有其重要的生态价值，是十分珍贵的“绿色文物”，是活的化石，也是地方古老文明和文化的传承。同时，古树名木形态各异且枝繁叶茂，其本身就是极美的一件艺术品，极具审美价值和观赏价值，是生态旅游的资源瑰宝，大力发展古树名木生态旅游，不但可以让游客了解古树名木的风采和文化内涵，还可以增加古树名木周围居民的经济收入，让居民能获得保护古树名木的实惠，进而自觉保护和爱护古树，为古树名木的保护创造极好的社会环境。例如，中国山东郯城将一棵拥有3000 年历史的银杏古树进行了观光</w:t>
      </w:r>
      <w:r>
        <w:rPr>
          <w:rFonts w:hint="eastAsia"/>
          <w:color w:val="000000" w:themeColor="text1"/>
          <w:sz w:val="28"/>
          <w:szCs w:val="28"/>
          <w14:textFill>
            <w14:solidFill>
              <w14:schemeClr w14:val="tx1"/>
            </w14:solidFill>
          </w14:textFill>
        </w:rPr>
        <w:t>旅游</w:t>
      </w:r>
      <w:r>
        <w:rPr>
          <w:color w:val="000000" w:themeColor="text1"/>
          <w:sz w:val="28"/>
          <w:szCs w:val="28"/>
          <w14:textFill>
            <w14:solidFill>
              <w14:schemeClr w14:val="tx1"/>
            </w14:solidFill>
          </w14:textFill>
        </w:rPr>
        <w:t>开发，在这棵古树的基础上建立了银杏古</w:t>
      </w:r>
      <w:r>
        <w:rPr>
          <w:rFonts w:hint="eastAsia"/>
          <w:color w:val="000000" w:themeColor="text1"/>
          <w:sz w:val="28"/>
          <w:szCs w:val="28"/>
          <w14:textFill>
            <w14:solidFill>
              <w14:schemeClr w14:val="tx1"/>
            </w14:solidFill>
          </w14:textFill>
        </w:rPr>
        <w:t>树公</w:t>
      </w:r>
      <w:r>
        <w:rPr>
          <w:color w:val="000000" w:themeColor="text1"/>
          <w:sz w:val="28"/>
          <w:szCs w:val="28"/>
          <w14:textFill>
            <w14:solidFill>
              <w14:schemeClr w14:val="tx1"/>
            </w14:solidFill>
          </w14:textFill>
        </w:rPr>
        <w:t>园，马上就变成了当地的知名景区，园区通过建设成为国家AAAA级旅游景区、全国农业旅游示范点，慕名而来的游客数不胜数。同时，郯城县也借“银杏”招牌促成当地产业全面开花，经济收益</w:t>
      </w:r>
      <w:r>
        <w:rPr>
          <w:rFonts w:hint="eastAsia"/>
          <w:color w:val="000000" w:themeColor="text1"/>
          <w:sz w:val="28"/>
          <w:szCs w:val="28"/>
          <w14:textFill>
            <w14:solidFill>
              <w14:schemeClr w14:val="tx1"/>
            </w14:solidFill>
          </w14:textFill>
        </w:rPr>
        <w:t>显著提高</w:t>
      </w:r>
      <w:r>
        <w:rPr>
          <w:color w:val="000000" w:themeColor="text1"/>
          <w:sz w:val="28"/>
          <w:szCs w:val="28"/>
          <w14:textFill>
            <w14:solidFill>
              <w14:schemeClr w14:val="tx1"/>
            </w14:solidFill>
          </w14:textFill>
        </w:rPr>
        <w:t>。</w:t>
      </w:r>
    </w:p>
    <w:p w14:paraId="21A1BAB4">
      <w:pPr>
        <w:spacing w:line="36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因此</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通过对古树名木的保护和养护，</w:t>
      </w:r>
      <w:r>
        <w:rPr>
          <w:rFonts w:hint="eastAsia"/>
          <w:color w:val="000000" w:themeColor="text1"/>
          <w:sz w:val="28"/>
          <w:szCs w:val="28"/>
          <w14:textFill>
            <w14:solidFill>
              <w14:schemeClr w14:val="tx1"/>
            </w14:solidFill>
          </w14:textFill>
        </w:rPr>
        <w:t>不仅有利于</w:t>
      </w:r>
      <w:r>
        <w:rPr>
          <w:color w:val="000000" w:themeColor="text1"/>
          <w:sz w:val="28"/>
          <w:szCs w:val="28"/>
          <w14:textFill>
            <w14:solidFill>
              <w14:schemeClr w14:val="tx1"/>
            </w14:solidFill>
          </w14:textFill>
        </w:rPr>
        <w:t>提高人民的文化素养、提高城乡的文明程度、山水园林进程以及提升旅游景点品位，更有利于生态文明的建设，具有较好的社会经济效益。</w:t>
      </w:r>
    </w:p>
    <w:p w14:paraId="54845917">
      <w:pPr>
        <w:rPr>
          <w:sz w:val="28"/>
          <w:szCs w:val="28"/>
        </w:rPr>
      </w:pPr>
      <w:r>
        <w:rPr>
          <w:b/>
          <w:bCs/>
          <w:sz w:val="28"/>
          <w:szCs w:val="28"/>
        </w:rPr>
        <w:t>五、与有关的现行法律、法规和强制性标准的关系</w:t>
      </w:r>
    </w:p>
    <w:p w14:paraId="745AAF0E">
      <w:pPr>
        <w:spacing w:line="580" w:lineRule="exact"/>
        <w:ind w:firstLine="560" w:firstLineChars="200"/>
        <w:rPr>
          <w:kern w:val="0"/>
          <w:sz w:val="28"/>
          <w:szCs w:val="28"/>
        </w:rPr>
      </w:pPr>
      <w:r>
        <w:rPr>
          <w:color w:val="000000" w:themeColor="text1"/>
          <w:sz w:val="28"/>
          <w:szCs w:val="28"/>
          <w14:textFill>
            <w14:solidFill>
              <w14:schemeClr w14:val="tx1"/>
            </w14:solidFill>
          </w14:textFill>
        </w:rPr>
        <w:t>本次编写的标准所涉及的物质药剂等指标均符合国家现行法律、法规和强制性标准的规定，因此，本次标准内容与现行法</w:t>
      </w:r>
      <w:r>
        <w:rPr>
          <w:kern w:val="0"/>
          <w:sz w:val="28"/>
          <w:szCs w:val="28"/>
        </w:rPr>
        <w:t>律、法规和强制性国家标准不冲突。</w:t>
      </w:r>
    </w:p>
    <w:p w14:paraId="55FA94E9">
      <w:pPr>
        <w:rPr>
          <w:b/>
          <w:bCs/>
          <w:sz w:val="28"/>
          <w:szCs w:val="28"/>
        </w:rPr>
      </w:pPr>
      <w:r>
        <w:rPr>
          <w:b/>
          <w:bCs/>
          <w:sz w:val="28"/>
          <w:szCs w:val="28"/>
        </w:rPr>
        <w:t>六、重大分歧意见的处理经过和依据</w:t>
      </w:r>
    </w:p>
    <w:p w14:paraId="092F8CFC">
      <w:pPr>
        <w:ind w:firstLine="560" w:firstLineChars="200"/>
        <w:rPr>
          <w:sz w:val="28"/>
          <w:szCs w:val="28"/>
        </w:rPr>
      </w:pPr>
      <w:r>
        <w:rPr>
          <w:sz w:val="28"/>
          <w:szCs w:val="28"/>
        </w:rPr>
        <w:t>无。</w:t>
      </w:r>
    </w:p>
    <w:p w14:paraId="004046F7">
      <w:pPr>
        <w:rPr>
          <w:b/>
          <w:bCs/>
          <w:sz w:val="28"/>
          <w:szCs w:val="28"/>
        </w:rPr>
      </w:pPr>
      <w:r>
        <w:rPr>
          <w:b/>
          <w:bCs/>
          <w:sz w:val="28"/>
          <w:szCs w:val="28"/>
        </w:rPr>
        <w:t>七、代替现行标准</w:t>
      </w:r>
    </w:p>
    <w:p w14:paraId="3CEF13AC">
      <w:pPr>
        <w:spacing w:line="580" w:lineRule="exact"/>
        <w:ind w:firstLine="560" w:firstLineChars="200"/>
        <w:rPr>
          <w:kern w:val="0"/>
          <w:sz w:val="28"/>
          <w:szCs w:val="28"/>
        </w:rPr>
      </w:pPr>
      <w:r>
        <w:rPr>
          <w:kern w:val="0"/>
          <w:sz w:val="28"/>
          <w:szCs w:val="28"/>
        </w:rPr>
        <w:t>本标准无替代其他标准。</w:t>
      </w:r>
    </w:p>
    <w:p w14:paraId="3AD29231">
      <w:pPr>
        <w:rPr>
          <w:b/>
          <w:bCs/>
          <w:sz w:val="28"/>
          <w:szCs w:val="28"/>
        </w:rPr>
      </w:pPr>
      <w:r>
        <w:rPr>
          <w:b/>
          <w:bCs/>
          <w:sz w:val="28"/>
          <w:szCs w:val="28"/>
        </w:rPr>
        <w:t>八、其他应予说明的事项</w:t>
      </w:r>
    </w:p>
    <w:p w14:paraId="3B3F2875">
      <w:pPr>
        <w:spacing w:line="580" w:lineRule="exact"/>
        <w:ind w:firstLine="560" w:firstLineChars="200"/>
        <w:rPr>
          <w:kern w:val="0"/>
          <w:sz w:val="28"/>
          <w:szCs w:val="28"/>
        </w:rPr>
      </w:pPr>
      <w:r>
        <w:rPr>
          <w:kern w:val="0"/>
          <w:sz w:val="28"/>
          <w:szCs w:val="28"/>
        </w:rPr>
        <w:t>无。</w:t>
      </w:r>
    </w:p>
    <w:p w14:paraId="00FFF55D">
      <w:pPr>
        <w:ind w:firstLine="5600" w:firstLineChars="2000"/>
        <w:rPr>
          <w:sz w:val="28"/>
          <w:szCs w:val="28"/>
        </w:rPr>
      </w:pPr>
    </w:p>
    <w:p w14:paraId="767490A0">
      <w:pPr>
        <w:ind w:firstLine="3920" w:firstLineChars="1400"/>
        <w:rPr>
          <w:sz w:val="28"/>
          <w:szCs w:val="28"/>
        </w:rPr>
      </w:pPr>
      <w:r>
        <w:rPr>
          <w:sz w:val="28"/>
          <w:szCs w:val="28"/>
        </w:rPr>
        <w:t>《古树名木养护技术规范》编写组</w:t>
      </w:r>
    </w:p>
    <w:p w14:paraId="70DD51E5">
      <w:pPr>
        <w:ind w:firstLine="5460" w:firstLineChars="1950"/>
        <w:rPr>
          <w:sz w:val="28"/>
          <w:szCs w:val="28"/>
        </w:rPr>
      </w:pPr>
      <w:r>
        <w:rPr>
          <w:sz w:val="28"/>
          <w:szCs w:val="28"/>
        </w:rPr>
        <w:t xml:space="preserve"> 二Ｏ二三年四月三日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黑体简体">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7354819"/>
      <w:docPartObj>
        <w:docPartGallery w:val="AutoText"/>
      </w:docPartObj>
    </w:sdtPr>
    <w:sdtContent>
      <w:p w14:paraId="2F0E18A2">
        <w:pPr>
          <w:pStyle w:val="8"/>
          <w:jc w:val="right"/>
        </w:pPr>
      </w:p>
    </w:sdtContent>
  </w:sdt>
  <w:p w14:paraId="4AD3D4DE">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2046691"/>
      <w:docPartObj>
        <w:docPartGallery w:val="AutoText"/>
      </w:docPartObj>
    </w:sdtPr>
    <w:sdtEndPr>
      <w:rPr>
        <w:rFonts w:ascii="宋体" w:hAnsi="宋体"/>
        <w:sz w:val="24"/>
        <w:szCs w:val="24"/>
      </w:rPr>
    </w:sdtEndPr>
    <w:sdtContent>
      <w:p w14:paraId="262C446D">
        <w:pPr>
          <w:pStyle w:val="8"/>
          <w:jc w:val="right"/>
          <w:rPr>
            <w:rFonts w:ascii="宋体" w:hAnsi="宋体"/>
            <w:sz w:val="24"/>
            <w:szCs w:val="24"/>
          </w:rPr>
        </w:pPr>
        <w:r>
          <w:rPr>
            <w:rFonts w:ascii="宋体" w:hAnsi="宋体"/>
            <w:sz w:val="24"/>
            <w:szCs w:val="24"/>
          </w:rPr>
          <w:fldChar w:fldCharType="begin"/>
        </w:r>
        <w:r>
          <w:rPr>
            <w:rFonts w:ascii="宋体" w:hAnsi="宋体"/>
            <w:sz w:val="24"/>
            <w:szCs w:val="24"/>
          </w:rPr>
          <w:instrText xml:space="preserve">PAGE   \* MERGEFORMAT</w:instrText>
        </w:r>
        <w:r>
          <w:rPr>
            <w:rFonts w:ascii="宋体" w:hAnsi="宋体"/>
            <w:sz w:val="24"/>
            <w:szCs w:val="24"/>
          </w:rPr>
          <w:fldChar w:fldCharType="separate"/>
        </w:r>
        <w:r>
          <w:rPr>
            <w:rFonts w:ascii="宋体" w:hAnsi="宋体"/>
            <w:sz w:val="24"/>
            <w:szCs w:val="24"/>
            <w:lang w:val="zh-CN"/>
          </w:rPr>
          <w:t>16</w:t>
        </w:r>
        <w:r>
          <w:rPr>
            <w:rFonts w:ascii="宋体" w:hAnsi="宋体"/>
            <w:sz w:val="24"/>
            <w:szCs w:val="24"/>
          </w:rPr>
          <w:fldChar w:fldCharType="end"/>
        </w:r>
      </w:p>
    </w:sdtContent>
  </w:sdt>
  <w:p w14:paraId="0B49C4B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6F2B7"/>
    <w:multiLevelType w:val="singleLevel"/>
    <w:tmpl w:val="1906F2B7"/>
    <w:lvl w:ilvl="0" w:tentative="0">
      <w:start w:val="3"/>
      <w:numFmt w:val="chineseCounting"/>
      <w:suff w:val="nothing"/>
      <w:lvlText w:val="（%1）"/>
      <w:lvlJc w:val="left"/>
      <w:rPr>
        <w:rFonts w:hint="eastAsia"/>
      </w:rPr>
    </w:lvl>
  </w:abstractNum>
  <w:abstractNum w:abstractNumId="1">
    <w:nsid w:val="64B94ADD"/>
    <w:multiLevelType w:val="multilevel"/>
    <w:tmpl w:val="64B94A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30"/>
    <w:rsid w:val="00002096"/>
    <w:rsid w:val="00003186"/>
    <w:rsid w:val="000068AE"/>
    <w:rsid w:val="00013493"/>
    <w:rsid w:val="000169B5"/>
    <w:rsid w:val="0003001C"/>
    <w:rsid w:val="0003149C"/>
    <w:rsid w:val="000366C6"/>
    <w:rsid w:val="00042C77"/>
    <w:rsid w:val="0004493D"/>
    <w:rsid w:val="00075EEA"/>
    <w:rsid w:val="000921B2"/>
    <w:rsid w:val="000A4215"/>
    <w:rsid w:val="000C2D01"/>
    <w:rsid w:val="000D0442"/>
    <w:rsid w:val="000D1B5C"/>
    <w:rsid w:val="000E2C9E"/>
    <w:rsid w:val="000E40C4"/>
    <w:rsid w:val="000F34C1"/>
    <w:rsid w:val="00124D93"/>
    <w:rsid w:val="0012630F"/>
    <w:rsid w:val="00126A58"/>
    <w:rsid w:val="001327F8"/>
    <w:rsid w:val="00132A94"/>
    <w:rsid w:val="00152547"/>
    <w:rsid w:val="001739CA"/>
    <w:rsid w:val="00180EF9"/>
    <w:rsid w:val="001828F6"/>
    <w:rsid w:val="00187BB1"/>
    <w:rsid w:val="001937AE"/>
    <w:rsid w:val="001A4E3B"/>
    <w:rsid w:val="001B1714"/>
    <w:rsid w:val="001C292A"/>
    <w:rsid w:val="001D2BB8"/>
    <w:rsid w:val="001D31A4"/>
    <w:rsid w:val="001D6137"/>
    <w:rsid w:val="001F64BB"/>
    <w:rsid w:val="00200C8D"/>
    <w:rsid w:val="00206F24"/>
    <w:rsid w:val="002104B5"/>
    <w:rsid w:val="00213624"/>
    <w:rsid w:val="00230A3D"/>
    <w:rsid w:val="00244D7C"/>
    <w:rsid w:val="00257646"/>
    <w:rsid w:val="00270F12"/>
    <w:rsid w:val="0028076B"/>
    <w:rsid w:val="00282B10"/>
    <w:rsid w:val="002B1649"/>
    <w:rsid w:val="002C2621"/>
    <w:rsid w:val="002D27A6"/>
    <w:rsid w:val="002F3FE2"/>
    <w:rsid w:val="00303338"/>
    <w:rsid w:val="00306063"/>
    <w:rsid w:val="0032259E"/>
    <w:rsid w:val="00356F9F"/>
    <w:rsid w:val="00361975"/>
    <w:rsid w:val="0037423F"/>
    <w:rsid w:val="003757FE"/>
    <w:rsid w:val="0037766F"/>
    <w:rsid w:val="0039294D"/>
    <w:rsid w:val="003B686D"/>
    <w:rsid w:val="003C7051"/>
    <w:rsid w:val="003E7B5D"/>
    <w:rsid w:val="003F0C86"/>
    <w:rsid w:val="003F1E31"/>
    <w:rsid w:val="00401561"/>
    <w:rsid w:val="00424CF8"/>
    <w:rsid w:val="00451467"/>
    <w:rsid w:val="00457D16"/>
    <w:rsid w:val="00461065"/>
    <w:rsid w:val="00465C10"/>
    <w:rsid w:val="00470D4C"/>
    <w:rsid w:val="004713BD"/>
    <w:rsid w:val="00477F99"/>
    <w:rsid w:val="004849A5"/>
    <w:rsid w:val="00486B63"/>
    <w:rsid w:val="004A5FA0"/>
    <w:rsid w:val="004B0F30"/>
    <w:rsid w:val="004B13FA"/>
    <w:rsid w:val="004D24BE"/>
    <w:rsid w:val="004D66A3"/>
    <w:rsid w:val="004D758A"/>
    <w:rsid w:val="004F684A"/>
    <w:rsid w:val="00517F13"/>
    <w:rsid w:val="00525799"/>
    <w:rsid w:val="00527B72"/>
    <w:rsid w:val="0053559F"/>
    <w:rsid w:val="005369EB"/>
    <w:rsid w:val="005536FF"/>
    <w:rsid w:val="00567AC5"/>
    <w:rsid w:val="005B7DC1"/>
    <w:rsid w:val="005D7B4A"/>
    <w:rsid w:val="005F7532"/>
    <w:rsid w:val="00620E22"/>
    <w:rsid w:val="00641040"/>
    <w:rsid w:val="0066279D"/>
    <w:rsid w:val="006812F0"/>
    <w:rsid w:val="0069673E"/>
    <w:rsid w:val="006A35C2"/>
    <w:rsid w:val="006B2CD2"/>
    <w:rsid w:val="006C75BC"/>
    <w:rsid w:val="006F7EE2"/>
    <w:rsid w:val="0070531E"/>
    <w:rsid w:val="00747B58"/>
    <w:rsid w:val="007A2D11"/>
    <w:rsid w:val="007A3F2A"/>
    <w:rsid w:val="007A4E66"/>
    <w:rsid w:val="007C27BD"/>
    <w:rsid w:val="007C5558"/>
    <w:rsid w:val="007E29F6"/>
    <w:rsid w:val="007E3C46"/>
    <w:rsid w:val="00821F30"/>
    <w:rsid w:val="00825B8D"/>
    <w:rsid w:val="008305B2"/>
    <w:rsid w:val="00850F5F"/>
    <w:rsid w:val="008612C6"/>
    <w:rsid w:val="00873876"/>
    <w:rsid w:val="00876AB2"/>
    <w:rsid w:val="00883500"/>
    <w:rsid w:val="00890A75"/>
    <w:rsid w:val="00892F9E"/>
    <w:rsid w:val="008A2CE5"/>
    <w:rsid w:val="008B2340"/>
    <w:rsid w:val="008D6B7E"/>
    <w:rsid w:val="008E138A"/>
    <w:rsid w:val="008F4548"/>
    <w:rsid w:val="008F7CFC"/>
    <w:rsid w:val="009000E5"/>
    <w:rsid w:val="00900291"/>
    <w:rsid w:val="00924CC0"/>
    <w:rsid w:val="00935E56"/>
    <w:rsid w:val="009402B7"/>
    <w:rsid w:val="009461ED"/>
    <w:rsid w:val="00960FD8"/>
    <w:rsid w:val="00984FF6"/>
    <w:rsid w:val="00986D02"/>
    <w:rsid w:val="00986EBD"/>
    <w:rsid w:val="009916E9"/>
    <w:rsid w:val="00994CF5"/>
    <w:rsid w:val="0099690C"/>
    <w:rsid w:val="009A6A38"/>
    <w:rsid w:val="009A711B"/>
    <w:rsid w:val="009C2E83"/>
    <w:rsid w:val="009E2203"/>
    <w:rsid w:val="009F0C5B"/>
    <w:rsid w:val="00A04A35"/>
    <w:rsid w:val="00A42B00"/>
    <w:rsid w:val="00A91F2D"/>
    <w:rsid w:val="00AA06EF"/>
    <w:rsid w:val="00AA1615"/>
    <w:rsid w:val="00AB7E8C"/>
    <w:rsid w:val="00AC64CA"/>
    <w:rsid w:val="00AF0159"/>
    <w:rsid w:val="00AF0E28"/>
    <w:rsid w:val="00AF7100"/>
    <w:rsid w:val="00B15EA7"/>
    <w:rsid w:val="00B166E3"/>
    <w:rsid w:val="00B21C37"/>
    <w:rsid w:val="00B34134"/>
    <w:rsid w:val="00B34F31"/>
    <w:rsid w:val="00B35B7D"/>
    <w:rsid w:val="00B50125"/>
    <w:rsid w:val="00B5071A"/>
    <w:rsid w:val="00B90475"/>
    <w:rsid w:val="00B93880"/>
    <w:rsid w:val="00BA1554"/>
    <w:rsid w:val="00BC4A30"/>
    <w:rsid w:val="00BE58F3"/>
    <w:rsid w:val="00BE73C9"/>
    <w:rsid w:val="00BF2B97"/>
    <w:rsid w:val="00C10885"/>
    <w:rsid w:val="00C22535"/>
    <w:rsid w:val="00C2366B"/>
    <w:rsid w:val="00C237D3"/>
    <w:rsid w:val="00C27307"/>
    <w:rsid w:val="00C31344"/>
    <w:rsid w:val="00C32A6F"/>
    <w:rsid w:val="00C42176"/>
    <w:rsid w:val="00C4584C"/>
    <w:rsid w:val="00C52D2A"/>
    <w:rsid w:val="00C5329E"/>
    <w:rsid w:val="00C61A29"/>
    <w:rsid w:val="00C62415"/>
    <w:rsid w:val="00C63D3D"/>
    <w:rsid w:val="00C7029E"/>
    <w:rsid w:val="00C8451A"/>
    <w:rsid w:val="00CB1021"/>
    <w:rsid w:val="00CB67C0"/>
    <w:rsid w:val="00CC219A"/>
    <w:rsid w:val="00CF0228"/>
    <w:rsid w:val="00CF1D50"/>
    <w:rsid w:val="00D00C6E"/>
    <w:rsid w:val="00D157A6"/>
    <w:rsid w:val="00D21C52"/>
    <w:rsid w:val="00D2607F"/>
    <w:rsid w:val="00D66CC6"/>
    <w:rsid w:val="00D671E3"/>
    <w:rsid w:val="00D67ABE"/>
    <w:rsid w:val="00D84D32"/>
    <w:rsid w:val="00D84E79"/>
    <w:rsid w:val="00D913D7"/>
    <w:rsid w:val="00DA200F"/>
    <w:rsid w:val="00DB3614"/>
    <w:rsid w:val="00DD6D08"/>
    <w:rsid w:val="00DD6E07"/>
    <w:rsid w:val="00E06645"/>
    <w:rsid w:val="00E11007"/>
    <w:rsid w:val="00E34505"/>
    <w:rsid w:val="00E40A0F"/>
    <w:rsid w:val="00E57180"/>
    <w:rsid w:val="00E6370F"/>
    <w:rsid w:val="00E9586B"/>
    <w:rsid w:val="00EA2DAB"/>
    <w:rsid w:val="00EB5AFA"/>
    <w:rsid w:val="00EC597D"/>
    <w:rsid w:val="00ED108F"/>
    <w:rsid w:val="00EE1C17"/>
    <w:rsid w:val="00EF137A"/>
    <w:rsid w:val="00F05450"/>
    <w:rsid w:val="00F07856"/>
    <w:rsid w:val="00F539D1"/>
    <w:rsid w:val="00F6160E"/>
    <w:rsid w:val="00F70DC1"/>
    <w:rsid w:val="00F93662"/>
    <w:rsid w:val="00FA3131"/>
    <w:rsid w:val="00FA7E57"/>
    <w:rsid w:val="00FB25CF"/>
    <w:rsid w:val="00FC0647"/>
    <w:rsid w:val="00FC2006"/>
    <w:rsid w:val="00FE71FB"/>
    <w:rsid w:val="065B545A"/>
    <w:rsid w:val="0CF43F6D"/>
    <w:rsid w:val="1F792523"/>
    <w:rsid w:val="24163097"/>
    <w:rsid w:val="24893D3B"/>
    <w:rsid w:val="28DC4222"/>
    <w:rsid w:val="29CC1A74"/>
    <w:rsid w:val="495A30E9"/>
    <w:rsid w:val="4BDB0237"/>
    <w:rsid w:val="5A1B5865"/>
    <w:rsid w:val="64A16835"/>
    <w:rsid w:val="67882B8A"/>
    <w:rsid w:val="7AFD2A4B"/>
    <w:rsid w:val="7DAB4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1"/>
    <w:pPr>
      <w:ind w:left="226"/>
      <w:outlineLvl w:val="0"/>
    </w:pPr>
    <w:rPr>
      <w:rFonts w:ascii="仿宋" w:hAnsi="仿宋" w:eastAsia="仿宋" w:cs="仿宋"/>
      <w:b/>
      <w:bCs/>
      <w:sz w:val="32"/>
      <w:szCs w:val="32"/>
    </w:rPr>
  </w:style>
  <w:style w:type="paragraph" w:styleId="3">
    <w:name w:val="heading 2"/>
    <w:basedOn w:val="1"/>
    <w:next w:val="1"/>
    <w:link w:val="18"/>
    <w:qFormat/>
    <w:uiPriority w:val="1"/>
    <w:pPr>
      <w:ind w:left="226"/>
      <w:outlineLvl w:val="1"/>
    </w:pPr>
    <w:rPr>
      <w:rFonts w:ascii="仿宋" w:hAnsi="仿宋" w:eastAsia="仿宋" w:cs="仿宋"/>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19"/>
    <w:qFormat/>
    <w:uiPriority w:val="1"/>
    <w:pPr>
      <w:ind w:left="226"/>
    </w:pPr>
    <w:rPr>
      <w:rFonts w:ascii="仿宋" w:hAnsi="仿宋" w:eastAsia="仿宋" w:cs="仿宋"/>
      <w:sz w:val="28"/>
      <w:szCs w:val="28"/>
    </w:rPr>
  </w:style>
  <w:style w:type="paragraph" w:styleId="6">
    <w:name w:val="Date"/>
    <w:basedOn w:val="1"/>
    <w:next w:val="1"/>
    <w:link w:val="16"/>
    <w:semiHidden/>
    <w:unhideWhenUsed/>
    <w:qFormat/>
    <w:uiPriority w:val="99"/>
    <w:pPr>
      <w:ind w:left="100" w:leftChars="2500"/>
    </w:pPr>
  </w:style>
  <w:style w:type="paragraph" w:styleId="7">
    <w:name w:val="Balloon Text"/>
    <w:basedOn w:val="1"/>
    <w:link w:val="27"/>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rPr>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character" w:customStyle="1" w:styleId="16">
    <w:name w:val="日期 字符"/>
    <w:basedOn w:val="14"/>
    <w:link w:val="6"/>
    <w:semiHidden/>
    <w:qFormat/>
    <w:uiPriority w:val="99"/>
    <w:rPr>
      <w:rFonts w:ascii="Times New Roman" w:hAnsi="Times New Roman" w:eastAsia="宋体" w:cs="Times New Roman"/>
      <w:szCs w:val="24"/>
    </w:rPr>
  </w:style>
  <w:style w:type="character" w:customStyle="1" w:styleId="17">
    <w:name w:val="标题 1 字符"/>
    <w:basedOn w:val="14"/>
    <w:link w:val="2"/>
    <w:qFormat/>
    <w:uiPriority w:val="1"/>
    <w:rPr>
      <w:rFonts w:ascii="仿宋" w:hAnsi="仿宋" w:eastAsia="仿宋" w:cs="仿宋"/>
      <w:b/>
      <w:bCs/>
      <w:sz w:val="32"/>
      <w:szCs w:val="32"/>
    </w:rPr>
  </w:style>
  <w:style w:type="character" w:customStyle="1" w:styleId="18">
    <w:name w:val="标题 2 字符"/>
    <w:basedOn w:val="14"/>
    <w:link w:val="3"/>
    <w:qFormat/>
    <w:uiPriority w:val="1"/>
    <w:rPr>
      <w:rFonts w:ascii="仿宋" w:hAnsi="仿宋" w:eastAsia="仿宋" w:cs="仿宋"/>
      <w:b/>
      <w:bCs/>
      <w:sz w:val="28"/>
      <w:szCs w:val="28"/>
    </w:rPr>
  </w:style>
  <w:style w:type="character" w:customStyle="1" w:styleId="19">
    <w:name w:val="正文文本 字符"/>
    <w:basedOn w:val="14"/>
    <w:link w:val="5"/>
    <w:qFormat/>
    <w:uiPriority w:val="1"/>
    <w:rPr>
      <w:rFonts w:ascii="仿宋" w:hAnsi="仿宋" w:eastAsia="仿宋" w:cs="仿宋"/>
      <w:sz w:val="28"/>
      <w:szCs w:val="28"/>
    </w:rPr>
  </w:style>
  <w:style w:type="character" w:customStyle="1" w:styleId="20">
    <w:name w:val="页眉 字符"/>
    <w:basedOn w:val="14"/>
    <w:link w:val="9"/>
    <w:qFormat/>
    <w:uiPriority w:val="99"/>
    <w:rPr>
      <w:rFonts w:ascii="Times New Roman" w:hAnsi="Times New Roman" w:eastAsia="宋体" w:cs="Times New Roman"/>
      <w:sz w:val="18"/>
      <w:szCs w:val="18"/>
    </w:rPr>
  </w:style>
  <w:style w:type="character" w:customStyle="1" w:styleId="21">
    <w:name w:val="页脚 字符"/>
    <w:basedOn w:val="14"/>
    <w:link w:val="8"/>
    <w:qFormat/>
    <w:uiPriority w:val="99"/>
    <w:rPr>
      <w:rFonts w:ascii="Times New Roman" w:hAnsi="Times New Roman" w:eastAsia="宋体" w:cs="Times New Roman"/>
      <w:sz w:val="18"/>
      <w:szCs w:val="18"/>
    </w:rPr>
  </w:style>
  <w:style w:type="character" w:customStyle="1" w:styleId="22">
    <w:name w:val="段 Char"/>
    <w:link w:val="23"/>
    <w:qFormat/>
    <w:uiPriority w:val="0"/>
    <w:rPr>
      <w:rFonts w:ascii="宋体" w:hAnsi="Times New Roman"/>
    </w:rPr>
  </w:style>
  <w:style w:type="paragraph" w:customStyle="1" w:styleId="23">
    <w:name w:val="段"/>
    <w:link w:val="22"/>
    <w:qFormat/>
    <w:uiPriority w:val="0"/>
    <w:pPr>
      <w:autoSpaceDE w:val="0"/>
      <w:autoSpaceDN w:val="0"/>
      <w:ind w:firstLine="200" w:firstLineChars="200"/>
      <w:jc w:val="both"/>
    </w:pPr>
    <w:rPr>
      <w:rFonts w:ascii="宋体" w:hAnsi="Times New Roman" w:eastAsiaTheme="minorEastAsia" w:cstheme="minorBidi"/>
      <w:kern w:val="2"/>
      <w:sz w:val="21"/>
      <w:szCs w:val="22"/>
      <w:lang w:val="en-US" w:eastAsia="zh-CN" w:bidi="ar-SA"/>
    </w:rPr>
  </w:style>
  <w:style w:type="paragraph" w:customStyle="1" w:styleId="24">
    <w:name w:val="Table Paragraph"/>
    <w:basedOn w:val="1"/>
    <w:qFormat/>
    <w:uiPriority w:val="1"/>
    <w:pPr>
      <w:spacing w:before="1"/>
    </w:pPr>
    <w:rPr>
      <w:rFonts w:ascii="仿宋" w:hAnsi="仿宋" w:eastAsia="仿宋" w:cs="仿宋"/>
    </w:rPr>
  </w:style>
  <w:style w:type="character" w:customStyle="1" w:styleId="25">
    <w:name w:val="批注文字 字符"/>
    <w:basedOn w:val="14"/>
    <w:link w:val="4"/>
    <w:semiHidden/>
    <w:qFormat/>
    <w:uiPriority w:val="99"/>
    <w:rPr>
      <w:rFonts w:ascii="Times New Roman" w:hAnsi="Times New Roman" w:eastAsia="宋体" w:cs="Times New Roman"/>
      <w:szCs w:val="24"/>
    </w:rPr>
  </w:style>
  <w:style w:type="character" w:customStyle="1" w:styleId="26">
    <w:name w:val="批注主题 字符"/>
    <w:basedOn w:val="25"/>
    <w:link w:val="11"/>
    <w:semiHidden/>
    <w:qFormat/>
    <w:uiPriority w:val="99"/>
    <w:rPr>
      <w:rFonts w:ascii="Times New Roman" w:hAnsi="Times New Roman" w:eastAsia="宋体" w:cs="Times New Roman"/>
      <w:b/>
      <w:bCs/>
      <w:szCs w:val="24"/>
    </w:rPr>
  </w:style>
  <w:style w:type="character" w:customStyle="1" w:styleId="27">
    <w:name w:val="批注框文本 字符"/>
    <w:basedOn w:val="14"/>
    <w:link w:val="7"/>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4528</Words>
  <Characters>5145</Characters>
  <Lines>65</Lines>
  <Paragraphs>18</Paragraphs>
  <TotalTime>516</TotalTime>
  <ScaleCrop>false</ScaleCrop>
  <LinksUpToDate>false</LinksUpToDate>
  <CharactersWithSpaces>5304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2022-05-26T15:15:00Z</dcterms:created>
  <dc:creator>Administrator</dc:creator>
  <cp:lastModifiedBy>WPS_1643073644</cp:lastModifiedBy>
  <dcterms:modified xsi:type="dcterms:W3CDTF">2026-05-20T07:43:08Z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eyJoZGlkIjoiNzRiODI2OTA0YTMwOTBjYmY3NTZkNTllNjIwN2U5ODUiLCJ1c2VySWQiOiIxMzE5NDc3NDg4In0=</vt:lpwstr>
  </property>
  <property fmtid="{D5CDD505-2E9C-101B-9397-08002B2CF9AE}" pid="4" name="ICV">
    <vt:lpwstr>EB83FBC9FB464BE39A381060B0184739_12</vt:lpwstr>
  </property>
</Properties>
</file>