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E5967">
      <w:pPr>
        <w:widowControl/>
        <w:jc w:val="left"/>
        <w:rPr>
          <w:rFonts w:ascii="黑体" w:hAnsi="宋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ascii="黑体" w:hAnsi="宋体" w:eastAsia="黑体" w:cs="黑体"/>
          <w:color w:val="000000"/>
          <w:kern w:val="0"/>
          <w:sz w:val="28"/>
          <w:szCs w:val="28"/>
          <w:lang w:bidi="ar"/>
        </w:rPr>
        <w:t xml:space="preserve">ICS 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bidi="ar"/>
        </w:rPr>
        <w:t xml:space="preserve">xx.xxx.xx </w:t>
      </w:r>
    </w:p>
    <w:p w14:paraId="19354B48">
      <w:pPr>
        <w:widowControl/>
        <w:jc w:val="left"/>
        <w:rPr>
          <w:rFonts w:ascii="黑体" w:hAnsi="宋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ascii="黑体" w:hAnsi="宋体" w:eastAsia="黑体" w:cs="黑体"/>
          <w:color w:val="000000"/>
          <w:kern w:val="0"/>
          <w:sz w:val="28"/>
          <w:szCs w:val="28"/>
          <w:lang w:bidi="ar"/>
        </w:rPr>
        <w:t xml:space="preserve">CCS B 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bidi="ar"/>
        </w:rPr>
        <w:t>xx</w:t>
      </w:r>
    </w:p>
    <w:p w14:paraId="2D82F16B">
      <w:pPr>
        <w:widowControl/>
        <w:jc w:val="left"/>
      </w:pPr>
    </w:p>
    <w:p w14:paraId="37DFF753">
      <w:pPr>
        <w:spacing w:line="280" w:lineRule="exact"/>
        <w:rPr>
          <w:rFonts w:ascii="Times New Roman" w:hAnsi="Times New Roman" w:eastAsia="方正黑体简体" w:cs="Times New Roman"/>
          <w:szCs w:val="24"/>
        </w:rPr>
      </w:pPr>
    </w:p>
    <w:p w14:paraId="0BCF5D9C">
      <w:pPr>
        <w:spacing w:line="280" w:lineRule="exact"/>
        <w:rPr>
          <w:rFonts w:ascii="Times New Roman" w:hAnsi="Times New Roman" w:eastAsia="方正黑体简体" w:cs="Times New Roman"/>
          <w:szCs w:val="24"/>
        </w:rPr>
      </w:pPr>
    </w:p>
    <w:p w14:paraId="4A3972B4">
      <w:pPr>
        <w:spacing w:line="280" w:lineRule="exact"/>
        <w:rPr>
          <w:rFonts w:ascii="Times New Roman" w:hAnsi="Times New Roman" w:eastAsia="方正黑体简体" w:cs="Times New Roman"/>
          <w:szCs w:val="24"/>
        </w:rPr>
      </w:pPr>
    </w:p>
    <w:p w14:paraId="25E592F8">
      <w:pPr>
        <w:rPr>
          <w:rFonts w:ascii="Times New Roman" w:hAnsi="Times New Roman" w:eastAsia="方正黑体简体" w:cs="Times New Roman"/>
          <w:spacing w:val="113"/>
          <w:w w:val="120"/>
          <w:sz w:val="44"/>
          <w:szCs w:val="44"/>
        </w:rPr>
      </w:pPr>
      <w:r>
        <w:rPr>
          <w:rFonts w:ascii="Times New Roman" w:hAnsi="Times New Roman" w:eastAsia="方正黑体简体" w:cs="Times New Roman"/>
          <w:spacing w:val="125"/>
          <w:w w:val="120"/>
          <w:sz w:val="44"/>
          <w:szCs w:val="44"/>
        </w:rPr>
        <w:t xml:space="preserve">湖 南 省 地 方 标 </w:t>
      </w:r>
      <w:r>
        <w:rPr>
          <w:rFonts w:ascii="Times New Roman" w:hAnsi="Times New Roman" w:eastAsia="方正黑体简体" w:cs="Times New Roman"/>
          <w:w w:val="120"/>
          <w:sz w:val="44"/>
          <w:szCs w:val="44"/>
        </w:rPr>
        <w:t>准</w:t>
      </w:r>
    </w:p>
    <w:p w14:paraId="0E33F6AF">
      <w:pPr>
        <w:widowControl/>
        <w:ind w:firstLine="6720" w:firstLineChars="2400"/>
        <w:jc w:val="left"/>
      </w:pPr>
      <w:r>
        <w:rPr>
          <w:rFonts w:ascii="黑体" w:hAnsi="宋体" w:eastAsia="黑体" w:cs="黑体"/>
          <w:color w:val="000000"/>
          <w:kern w:val="0"/>
          <w:sz w:val="28"/>
          <w:szCs w:val="28"/>
          <w:lang w:bidi="ar"/>
        </w:rPr>
        <w:t xml:space="preserve">DB43/T 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bidi="ar"/>
        </w:rPr>
        <w:t>xxxx</w:t>
      </w:r>
      <w:r>
        <w:rPr>
          <w:rFonts w:ascii="黑体" w:hAnsi="宋体" w:eastAsia="黑体" w:cs="黑体"/>
          <w:color w:val="000000"/>
          <w:kern w:val="0"/>
          <w:sz w:val="28"/>
          <w:szCs w:val="28"/>
          <w:lang w:bidi="ar"/>
        </w:rPr>
        <w:t>—2023</w:t>
      </w:r>
    </w:p>
    <w:p w14:paraId="032F3663">
      <w:pPr>
        <w:wordWrap w:val="0"/>
        <w:spacing w:line="320" w:lineRule="exact"/>
        <w:jc w:val="right"/>
        <w:rPr>
          <w:rFonts w:ascii="Times New Roman" w:hAnsi="Times New Roman" w:eastAsia="方正黑体简体" w:cs="Times New Roman"/>
          <w:szCs w:val="24"/>
        </w:rPr>
      </w:pPr>
      <w:r>
        <w:rPr>
          <w:rFonts w:ascii="Times New Roman" w:hAnsi="Times New Roman" w:eastAsia="方正黑体简体" w:cs="Times New Roman"/>
          <w:szCs w:val="24"/>
        </w:rPr>
        <w:t xml:space="preserve"> </w:t>
      </w:r>
    </w:p>
    <w:p w14:paraId="1CA18FB1">
      <w:pPr>
        <w:spacing w:line="320" w:lineRule="exact"/>
        <w:jc w:val="right"/>
        <w:rPr>
          <w:rFonts w:ascii="Times New Roman" w:hAnsi="Times New Roman" w:eastAsia="方正黑体简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133985</wp:posOffset>
                </wp:positionV>
                <wp:extent cx="516255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625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9pt;margin-top:10.55pt;height:0pt;width:406.5pt;z-index:251660288;mso-width-relative:page;mso-height-relative:page;" filled="f" stroked="t" coordsize="21600,21600" o:gfxdata="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P9u5rSAAAABwEAAA8AAAAAAAAAAQAgAAAAIgAAAGRycy9kb3ducmV2&#10;LnhtbFBLAQIUABQAAAAIAIdO4kCiCoUFAgIAAPQDAAAOAAAAAAAAAAEAIAAAACEBAABkcnMvZTJv&#10;RG9jLnhtbFBLBQYAAAAABgAGAFkBAACV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16A8ACD2">
      <w:pPr>
        <w:spacing w:line="320" w:lineRule="exact"/>
        <w:jc w:val="center"/>
        <w:rPr>
          <w:rFonts w:ascii="Times New Roman" w:hAnsi="Times New Roman" w:eastAsia="方正黑体简体" w:cs="Times New Roman"/>
          <w:szCs w:val="24"/>
        </w:rPr>
      </w:pPr>
    </w:p>
    <w:p w14:paraId="617EC70D">
      <w:pPr>
        <w:spacing w:line="320" w:lineRule="exact"/>
        <w:jc w:val="center"/>
        <w:rPr>
          <w:rFonts w:ascii="Times New Roman" w:hAnsi="Times New Roman" w:eastAsia="方正黑体简体" w:cs="Times New Roman"/>
          <w:szCs w:val="24"/>
        </w:rPr>
      </w:pPr>
    </w:p>
    <w:p w14:paraId="3031C38C">
      <w:pPr>
        <w:spacing w:line="320" w:lineRule="exact"/>
        <w:jc w:val="center"/>
        <w:rPr>
          <w:rFonts w:ascii="Times New Roman" w:hAnsi="Times New Roman" w:eastAsia="方正黑体简体" w:cs="Times New Roman"/>
          <w:szCs w:val="24"/>
        </w:rPr>
      </w:pPr>
    </w:p>
    <w:p w14:paraId="52EB9778">
      <w:pPr>
        <w:spacing w:line="320" w:lineRule="exact"/>
        <w:jc w:val="center"/>
        <w:rPr>
          <w:rFonts w:ascii="Times New Roman" w:hAnsi="Times New Roman" w:eastAsia="方正黑体简体" w:cs="Times New Roman"/>
          <w:szCs w:val="24"/>
        </w:rPr>
      </w:pPr>
    </w:p>
    <w:p w14:paraId="37D48771">
      <w:pPr>
        <w:spacing w:line="360" w:lineRule="auto"/>
        <w:jc w:val="center"/>
        <w:rPr>
          <w:rFonts w:ascii="Times New Roman" w:hAnsi="Times New Roman" w:eastAsia="方正黑体简体" w:cs="Times New Roman"/>
          <w:szCs w:val="24"/>
        </w:rPr>
      </w:pPr>
    </w:p>
    <w:p w14:paraId="1E84A1D4">
      <w:pPr>
        <w:spacing w:line="360" w:lineRule="auto"/>
        <w:jc w:val="center"/>
        <w:rPr>
          <w:rFonts w:ascii="Times New Roman" w:hAnsi="Times New Roman" w:eastAsia="方正黑体_GBK" w:cs="Times New Roman"/>
          <w:sz w:val="52"/>
          <w:szCs w:val="52"/>
        </w:rPr>
      </w:pPr>
      <w:r>
        <w:rPr>
          <w:rFonts w:hint="eastAsia" w:ascii="Times New Roman" w:hAnsi="Times New Roman" w:eastAsia="方正黑体_GBK" w:cs="Times New Roman"/>
          <w:sz w:val="52"/>
          <w:szCs w:val="52"/>
        </w:rPr>
        <w:t>古树名木养护技术规范</w:t>
      </w:r>
    </w:p>
    <w:p w14:paraId="001ADA3A">
      <w:pPr>
        <w:spacing w:line="360" w:lineRule="auto"/>
        <w:jc w:val="center"/>
        <w:rPr>
          <w:rFonts w:ascii="Times New Roman" w:hAnsi="Times New Roman" w:eastAsia="方正黑体_GBK" w:cs="Times New Roman"/>
          <w:szCs w:val="21"/>
        </w:rPr>
      </w:pPr>
      <w:r>
        <w:rPr>
          <w:rFonts w:ascii="Times New Roman" w:hAnsi="Times New Roman" w:eastAsia="方正黑体_GBK" w:cs="Times New Roman"/>
          <w:szCs w:val="21"/>
        </w:rPr>
        <w:t>Technical specification for conservation of ancient and famous trees</w:t>
      </w:r>
    </w:p>
    <w:p w14:paraId="784CA7E7">
      <w:pPr>
        <w:spacing w:line="360" w:lineRule="auto"/>
        <w:jc w:val="center"/>
        <w:rPr>
          <w:rFonts w:ascii="Times New Roman" w:hAnsi="Times New Roman" w:eastAsia="方正黑体简体" w:cs="Times New Roman"/>
          <w:szCs w:val="24"/>
        </w:rPr>
      </w:pPr>
      <w:r>
        <w:rPr>
          <w:rFonts w:hint="eastAsia" w:ascii="方正黑体简体" w:eastAsia="方正黑体简体"/>
          <w:sz w:val="24"/>
        </w:rPr>
        <w:t>（征求意见稿)</w:t>
      </w:r>
    </w:p>
    <w:p w14:paraId="01FC5A97">
      <w:pPr>
        <w:spacing w:line="320" w:lineRule="exact"/>
        <w:jc w:val="center"/>
        <w:rPr>
          <w:rFonts w:ascii="Times New Roman" w:hAnsi="Times New Roman" w:eastAsia="方正黑体简体" w:cs="Times New Roman"/>
          <w:szCs w:val="24"/>
        </w:rPr>
      </w:pPr>
    </w:p>
    <w:p w14:paraId="3B8A6E93">
      <w:pPr>
        <w:spacing w:line="320" w:lineRule="exact"/>
        <w:jc w:val="center"/>
        <w:rPr>
          <w:rFonts w:ascii="Times New Roman" w:hAnsi="Times New Roman" w:eastAsia="方正黑体简体" w:cs="Times New Roman"/>
          <w:szCs w:val="24"/>
        </w:rPr>
      </w:pPr>
    </w:p>
    <w:p w14:paraId="49CFF4F7">
      <w:pPr>
        <w:spacing w:line="320" w:lineRule="exact"/>
        <w:jc w:val="center"/>
        <w:rPr>
          <w:rFonts w:ascii="Times New Roman" w:hAnsi="Times New Roman" w:eastAsia="方正黑体简体" w:cs="Times New Roman"/>
          <w:szCs w:val="24"/>
        </w:rPr>
      </w:pPr>
    </w:p>
    <w:p w14:paraId="4DA1621C">
      <w:pPr>
        <w:spacing w:line="320" w:lineRule="exact"/>
        <w:jc w:val="center"/>
        <w:rPr>
          <w:rFonts w:ascii="Times New Roman" w:hAnsi="Times New Roman" w:eastAsia="方正黑体简体" w:cs="Times New Roman"/>
          <w:szCs w:val="24"/>
        </w:rPr>
      </w:pPr>
    </w:p>
    <w:p w14:paraId="4BE2E870">
      <w:pPr>
        <w:spacing w:line="320" w:lineRule="exact"/>
        <w:jc w:val="center"/>
        <w:rPr>
          <w:rFonts w:ascii="Times New Roman" w:hAnsi="Times New Roman" w:eastAsia="方正黑体简体" w:cs="Times New Roman"/>
          <w:szCs w:val="24"/>
        </w:rPr>
      </w:pPr>
    </w:p>
    <w:p w14:paraId="2A936CB2">
      <w:pPr>
        <w:spacing w:line="320" w:lineRule="exact"/>
        <w:jc w:val="center"/>
        <w:rPr>
          <w:rFonts w:ascii="Times New Roman" w:hAnsi="Times New Roman" w:eastAsia="方正黑体简体" w:cs="Times New Roman"/>
          <w:szCs w:val="24"/>
        </w:rPr>
      </w:pPr>
    </w:p>
    <w:p w14:paraId="7A87116E">
      <w:pPr>
        <w:spacing w:line="320" w:lineRule="exact"/>
        <w:jc w:val="center"/>
        <w:rPr>
          <w:rFonts w:ascii="Times New Roman" w:hAnsi="Times New Roman" w:eastAsia="方正黑体简体" w:cs="Times New Roman"/>
          <w:szCs w:val="24"/>
        </w:rPr>
      </w:pPr>
    </w:p>
    <w:p w14:paraId="020BE014">
      <w:pPr>
        <w:spacing w:line="320" w:lineRule="exact"/>
        <w:jc w:val="center"/>
        <w:rPr>
          <w:rFonts w:ascii="Times New Roman" w:hAnsi="Times New Roman" w:eastAsia="方正黑体简体" w:cs="Times New Roman"/>
          <w:szCs w:val="24"/>
        </w:rPr>
      </w:pPr>
    </w:p>
    <w:p w14:paraId="339F8A21">
      <w:pPr>
        <w:spacing w:line="320" w:lineRule="exact"/>
        <w:rPr>
          <w:rFonts w:ascii="Times New Roman" w:hAnsi="Times New Roman" w:eastAsia="方正黑体简体" w:cs="Times New Roman"/>
          <w:szCs w:val="24"/>
        </w:rPr>
      </w:pPr>
    </w:p>
    <w:p w14:paraId="1ABAEE6F">
      <w:pPr>
        <w:spacing w:line="320" w:lineRule="exact"/>
        <w:jc w:val="center"/>
        <w:rPr>
          <w:rFonts w:ascii="Times New Roman" w:hAnsi="Times New Roman" w:eastAsia="方正黑体简体" w:cs="Times New Roman"/>
          <w:sz w:val="28"/>
          <w:szCs w:val="28"/>
        </w:rPr>
      </w:pPr>
      <w:r>
        <w:rPr>
          <w:rFonts w:ascii="Times New Roman" w:hAnsi="Times New Roman" w:eastAsia="方正黑体简体" w:cs="Times New Roman"/>
          <w:sz w:val="28"/>
          <w:szCs w:val="28"/>
        </w:rPr>
        <w:t>XXXX-XX-XX 发布                       XXXX-XX-XX 实施</w:t>
      </w:r>
    </w:p>
    <w:p w14:paraId="4AE38FC5">
      <w:pPr>
        <w:spacing w:line="320" w:lineRule="exact"/>
        <w:jc w:val="center"/>
        <w:rPr>
          <w:rFonts w:ascii="Times New Roman" w:hAnsi="Times New Roman" w:eastAsia="方正黑体简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13335</wp:posOffset>
                </wp:positionV>
                <wp:extent cx="5219700" cy="0"/>
                <wp:effectExtent l="0" t="6350" r="0" b="6350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97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3.3pt;margin-top:1.05pt;height:0pt;width:411pt;z-index:251659264;mso-width-relative:page;mso-height-relative:page;" filled="f" stroked="t" coordsize="21600,21600" o:gfxdata="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Bkxah&#10;0QAAAAUBAAAPAAAAAAAAAAEAIAAAACIAAABkcnMvZG93bnJldi54bWxQSwECFAAUAAAACACHTuJA&#10;JAKdSu8BAADnAwAADgAAAAAAAAABACAAAAAgAQAAZHJzL2Uyb0RvYy54bWxQSwUGAAAAAAYABgBZ&#10;AQAAgQUAAAAA&#10;">
                <v:fill on="f" focussize="0,0"/>
                <v:stroke weight="1pt" color="#000008" joinstyle="round"/>
                <v:imagedata o:title=""/>
                <o:lock v:ext="edit" aspectratio="f"/>
              </v:line>
            </w:pict>
          </mc:Fallback>
        </mc:AlternateContent>
      </w:r>
    </w:p>
    <w:p w14:paraId="1BCFA292">
      <w:pPr>
        <w:spacing w:line="320" w:lineRule="exact"/>
        <w:jc w:val="center"/>
        <w:rPr>
          <w:rFonts w:ascii="Times New Roman" w:hAnsi="Times New Roman" w:eastAsia="方正黑体简体" w:cs="Times New Roman"/>
          <w:sz w:val="24"/>
          <w:szCs w:val="24"/>
        </w:rPr>
      </w:pPr>
    </w:p>
    <w:p w14:paraId="4911D2AF">
      <w:pPr>
        <w:spacing w:line="320" w:lineRule="exact"/>
        <w:jc w:val="center"/>
        <w:rPr>
          <w:rFonts w:ascii="Times New Roman" w:hAnsi="Times New Roman" w:eastAsia="方正黑体简体" w:cs="Times New Roman"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eastAsia="方正黑体简体" w:cs="Times New Roman"/>
          <w:sz w:val="28"/>
          <w:szCs w:val="28"/>
        </w:rPr>
        <w:t>XXXX   发 布</w:t>
      </w:r>
    </w:p>
    <w:sdt>
      <w:sdtPr>
        <w:rPr>
          <w:rFonts w:asciiTheme="minorHAnsi" w:hAnsiTheme="minorHAnsi" w:eastAsiaTheme="minorEastAsia" w:cstheme="minorBidi"/>
          <w:color w:val="auto"/>
          <w:kern w:val="2"/>
          <w:sz w:val="21"/>
          <w:szCs w:val="22"/>
          <w:lang w:val="zh-CN"/>
        </w:rPr>
        <w:id w:val="-1821803408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/>
          <w:bCs/>
          <w:color w:val="auto"/>
          <w:kern w:val="2"/>
          <w:sz w:val="21"/>
          <w:szCs w:val="22"/>
          <w:lang w:val="zh-CN"/>
        </w:rPr>
      </w:sdtEndPr>
      <w:sdtContent>
        <w:p w14:paraId="321F7961">
          <w:pPr>
            <w:pStyle w:val="31"/>
            <w:spacing w:line="360" w:lineRule="auto"/>
            <w:jc w:val="center"/>
          </w:pPr>
          <w:r>
            <w:rPr>
              <w:rFonts w:hint="eastAsia"/>
              <w:b/>
              <w:lang w:val="zh-CN"/>
            </w:rPr>
            <w:t xml:space="preserve">目 </w:t>
          </w:r>
          <w:r>
            <w:rPr>
              <w:b/>
              <w:lang w:val="zh-CN"/>
            </w:rPr>
            <w:t xml:space="preserve"> </w:t>
          </w:r>
          <w:r>
            <w:rPr>
              <w:rFonts w:hint="eastAsia"/>
              <w:b/>
              <w:lang w:val="zh-CN"/>
            </w:rPr>
            <w:t>录</w:t>
          </w:r>
          <w:r>
            <w:rPr>
              <w:b/>
            </w:rPr>
            <w:fldChar w:fldCharType="begin"/>
          </w:r>
          <w:r>
            <w:rPr>
              <w:b/>
            </w:rPr>
            <w:instrText xml:space="preserve"> TOC \o "1-3" \h \z \u </w:instrText>
          </w:r>
          <w:r>
            <w:rPr>
              <w:b/>
            </w:rPr>
            <w:fldChar w:fldCharType="separate"/>
          </w:r>
        </w:p>
        <w:p w14:paraId="109A8FCD">
          <w:pPr>
            <w:pStyle w:val="13"/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"_Toc137156094" </w:instrText>
          </w:r>
          <w:r>
            <w:fldChar w:fldCharType="separate"/>
          </w:r>
          <w:r>
            <w:rPr>
              <w:rStyle w:val="20"/>
              <w:rFonts w:ascii="仿宋" w:hAnsi="仿宋" w:eastAsia="仿宋"/>
              <w:b/>
            </w:rPr>
            <w:t>前  言</w:t>
          </w:r>
          <w:r>
            <w:tab/>
          </w:r>
          <w:r>
            <w:fldChar w:fldCharType="begin"/>
          </w:r>
          <w:r>
            <w:instrText xml:space="preserve"> PAGEREF _Toc137156094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5451619E">
          <w:pPr>
            <w:pStyle w:val="13"/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"_Toc137156095" </w:instrText>
          </w:r>
          <w:r>
            <w:fldChar w:fldCharType="separate"/>
          </w:r>
          <w:r>
            <w:rPr>
              <w:rStyle w:val="20"/>
              <w:rFonts w:ascii="黑体" w:hAnsi="黑体" w:eastAsia="黑体"/>
              <w:b/>
            </w:rPr>
            <w:t>1 范围</w:t>
          </w:r>
          <w:r>
            <w:tab/>
          </w:r>
          <w:r>
            <w:fldChar w:fldCharType="begin"/>
          </w:r>
          <w:r>
            <w:instrText xml:space="preserve"> PAGEREF _Toc137156095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 w14:paraId="40AC5720">
          <w:pPr>
            <w:pStyle w:val="13"/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"_Toc137156096" </w:instrText>
          </w:r>
          <w:r>
            <w:fldChar w:fldCharType="separate"/>
          </w:r>
          <w:r>
            <w:rPr>
              <w:rStyle w:val="20"/>
              <w:rFonts w:ascii="黑体" w:hAnsi="黑体" w:eastAsia="黑体"/>
              <w:b/>
            </w:rPr>
            <w:t>2 规范性引用文件</w:t>
          </w:r>
          <w:r>
            <w:tab/>
          </w:r>
          <w:r>
            <w:fldChar w:fldCharType="begin"/>
          </w:r>
          <w:r>
            <w:instrText xml:space="preserve"> PAGEREF _Toc137156096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 w14:paraId="1F27DF5A">
          <w:pPr>
            <w:pStyle w:val="13"/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"_Toc137156097" </w:instrText>
          </w:r>
          <w:r>
            <w:fldChar w:fldCharType="separate"/>
          </w:r>
          <w:r>
            <w:rPr>
              <w:rStyle w:val="20"/>
              <w:rFonts w:ascii="黑体" w:hAnsi="黑体" w:eastAsia="黑体"/>
              <w:b/>
            </w:rPr>
            <w:t>3 术语和定义</w:t>
          </w:r>
          <w:r>
            <w:tab/>
          </w:r>
          <w:r>
            <w:fldChar w:fldCharType="begin"/>
          </w:r>
          <w:r>
            <w:instrText xml:space="preserve"> PAGEREF _Toc137156097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 w14:paraId="1A617D1D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"_Toc137156098"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3.1 生境</w:t>
          </w:r>
          <w:r>
            <w:rPr>
              <w:rStyle w:val="20"/>
              <w:rFonts w:ascii="宋体" w:hAnsi="宋体" w:eastAsia="宋体"/>
              <w:bCs/>
            </w:rPr>
            <w:t xml:space="preserve"> habitat</w:t>
          </w:r>
          <w:r>
            <w:tab/>
          </w:r>
          <w:r>
            <w:fldChar w:fldCharType="begin"/>
          </w:r>
          <w:r>
            <w:instrText xml:space="preserve"> PAGEREF _Toc137156098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 w14:paraId="34BB34FD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"_Toc137156099"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3.2 树冠投影</w:t>
          </w:r>
          <w:r>
            <w:rPr>
              <w:rStyle w:val="20"/>
              <w:rFonts w:ascii="宋体" w:hAnsi="宋体" w:eastAsia="宋体"/>
              <w:bCs/>
            </w:rPr>
            <w:t xml:space="preserve"> canopy projection</w:t>
          </w:r>
          <w:r>
            <w:tab/>
          </w:r>
          <w:r>
            <w:fldChar w:fldCharType="begin"/>
          </w:r>
          <w:r>
            <w:instrText xml:space="preserve"> PAGEREF _Toc137156099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346EE3CB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"_Toc137156100"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 xml:space="preserve">3.3 生境保护范围 </w:t>
          </w:r>
          <w:r>
            <w:rPr>
              <w:rStyle w:val="20"/>
              <w:rFonts w:ascii="宋体" w:hAnsi="宋体" w:eastAsia="宋体"/>
              <w:bCs/>
            </w:rPr>
            <w:t>protected area</w:t>
          </w:r>
          <w:r>
            <w:tab/>
          </w:r>
          <w:r>
            <w:fldChar w:fldCharType="begin"/>
          </w:r>
          <w:r>
            <w:instrText xml:space="preserve"> PAGEREF _Toc137156100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3E58751A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"_Toc137156101"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3.4 根系分布区</w:t>
          </w:r>
          <w:r>
            <w:rPr>
              <w:rStyle w:val="20"/>
              <w:rFonts w:ascii="宋体" w:hAnsi="宋体" w:eastAsia="宋体"/>
              <w:bCs/>
            </w:rPr>
            <w:t xml:space="preserve"> root area</w:t>
          </w:r>
          <w:r>
            <w:tab/>
          </w:r>
          <w:r>
            <w:fldChar w:fldCharType="begin"/>
          </w:r>
          <w:r>
            <w:instrText xml:space="preserve"> PAGEREF _Toc137156101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44D37B66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"_Toc137156102"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3.5 生长势</w:t>
          </w:r>
          <w:r>
            <w:rPr>
              <w:rStyle w:val="20"/>
              <w:rFonts w:ascii="宋体" w:hAnsi="宋体" w:eastAsia="宋体"/>
              <w:bCs/>
            </w:rPr>
            <w:t xml:space="preserve"> growth potential</w:t>
          </w:r>
          <w:r>
            <w:tab/>
          </w:r>
          <w:r>
            <w:fldChar w:fldCharType="begin"/>
          </w:r>
          <w:r>
            <w:instrText xml:space="preserve"> PAGEREF _Toc137156102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625C18A7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"_Toc137156103"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 xml:space="preserve">3.6 硬支撑 </w:t>
          </w:r>
          <w:r>
            <w:rPr>
              <w:rStyle w:val="20"/>
              <w:rFonts w:ascii="宋体" w:hAnsi="宋体" w:eastAsia="宋体"/>
              <w:bCs/>
            </w:rPr>
            <w:t>solid propping</w:t>
          </w:r>
          <w:r>
            <w:tab/>
          </w:r>
          <w:r>
            <w:fldChar w:fldCharType="begin"/>
          </w:r>
          <w:r>
            <w:instrText xml:space="preserve"> PAGEREF _Toc137156103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087A2F6C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"_Toc137156104"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3.7 拉纤</w:t>
          </w:r>
          <w:r>
            <w:rPr>
              <w:rStyle w:val="20"/>
              <w:rFonts w:ascii="宋体" w:hAnsi="宋体" w:eastAsia="宋体"/>
              <w:bCs/>
            </w:rPr>
            <w:t xml:space="preserve"> branch-towing</w:t>
          </w:r>
          <w:r>
            <w:tab/>
          </w:r>
          <w:r>
            <w:fldChar w:fldCharType="begin"/>
          </w:r>
          <w:r>
            <w:instrText xml:space="preserve"> PAGEREF _Toc137156104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0C098CB1">
          <w:pPr>
            <w:pStyle w:val="13"/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"_Toc137156105" </w:instrText>
          </w:r>
          <w:r>
            <w:fldChar w:fldCharType="separate"/>
          </w:r>
          <w:r>
            <w:rPr>
              <w:rStyle w:val="20"/>
              <w:rFonts w:ascii="黑体" w:hAnsi="黑体" w:eastAsia="黑体"/>
              <w:b/>
            </w:rPr>
            <w:t>4基本规定</w:t>
          </w:r>
          <w:r>
            <w:tab/>
          </w:r>
          <w:r>
            <w:fldChar w:fldCharType="begin"/>
          </w:r>
          <w:r>
            <w:instrText xml:space="preserve"> PAGEREF _Toc137156105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39D84A4D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"_Toc137156106"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4.1 古树名木分级保护</w:t>
          </w:r>
          <w:r>
            <w:tab/>
          </w:r>
          <w:r>
            <w:fldChar w:fldCharType="begin"/>
          </w:r>
          <w:r>
            <w:instrText xml:space="preserve"> PAGEREF _Toc137156106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6E915666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"_Toc137156107"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4.2 古树名木生长势分级</w:t>
          </w:r>
          <w:r>
            <w:tab/>
          </w:r>
          <w:r>
            <w:fldChar w:fldCharType="begin"/>
          </w:r>
          <w:r>
            <w:instrText xml:space="preserve"> PAGEREF _Toc137156107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7022512D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"_Toc137156108"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4.3 养护责任人</w:t>
          </w:r>
          <w:r>
            <w:tab/>
          </w:r>
          <w:r>
            <w:fldChar w:fldCharType="begin"/>
          </w:r>
          <w:r>
            <w:instrText xml:space="preserve"> PAGEREF _Toc137156108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36FB977E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"_Toc137156109"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4.4 古树名木养护</w:t>
          </w:r>
          <w:r>
            <w:tab/>
          </w:r>
          <w:r>
            <w:fldChar w:fldCharType="begin"/>
          </w:r>
          <w:r>
            <w:instrText xml:space="preserve"> PAGEREF _Toc137156109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740B4B84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"_Toc137156110"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4.5 古树名木复壮</w:t>
          </w:r>
          <w:r>
            <w:tab/>
          </w:r>
          <w:r>
            <w:fldChar w:fldCharType="begin"/>
          </w:r>
          <w:r>
            <w:instrText xml:space="preserve"> PAGEREF _Toc137156110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02C31950">
          <w:pPr>
            <w:pStyle w:val="13"/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"_Toc137156111" </w:instrText>
          </w:r>
          <w:r>
            <w:fldChar w:fldCharType="separate"/>
          </w:r>
          <w:r>
            <w:rPr>
              <w:rStyle w:val="20"/>
              <w:rFonts w:ascii="黑体" w:hAnsi="黑体" w:eastAsia="黑体"/>
              <w:b/>
            </w:rPr>
            <w:t>5 地上环境改良与保护</w:t>
          </w:r>
          <w:r>
            <w:tab/>
          </w:r>
          <w:r>
            <w:fldChar w:fldCharType="begin"/>
          </w:r>
          <w:r>
            <w:instrText xml:space="preserve"> PAGEREF _Toc137156111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6426AE81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"_Toc137156112"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5.1 生长空间保护</w:t>
          </w:r>
          <w:r>
            <w:tab/>
          </w:r>
          <w:r>
            <w:fldChar w:fldCharType="begin"/>
          </w:r>
          <w:r>
            <w:instrText xml:space="preserve"> PAGEREF _Toc137156112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38DA5EA5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"_Toc137156113"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5.2 保护牌设置</w:t>
          </w:r>
          <w:r>
            <w:tab/>
          </w:r>
          <w:r>
            <w:fldChar w:fldCharType="begin"/>
          </w:r>
          <w:r>
            <w:instrText xml:space="preserve"> PAGEREF _Toc137156113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73A969E4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"_Toc137156114"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5.3 围栏和树堰设置</w:t>
          </w:r>
          <w:r>
            <w:tab/>
          </w:r>
          <w:r>
            <w:fldChar w:fldCharType="begin"/>
          </w:r>
          <w:r>
            <w:instrText xml:space="preserve"> PAGEREF _Toc137156114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59450F73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"_Toc137156115"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5.4 污染物和杂物清除</w:t>
          </w:r>
          <w:r>
            <w:tab/>
          </w:r>
          <w:r>
            <w:fldChar w:fldCharType="begin"/>
          </w:r>
          <w:r>
            <w:instrText xml:space="preserve"> PAGEREF _Toc137156115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1A97B13E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"_Toc137156116"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5.5 伴生植物处理</w:t>
          </w:r>
          <w:r>
            <w:tab/>
          </w:r>
          <w:r>
            <w:fldChar w:fldCharType="begin"/>
          </w:r>
          <w:r>
            <w:instrText xml:space="preserve"> PAGEREF _Toc137156116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29A27CDB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"_Toc137156117"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5.6 地表根系管护</w:t>
          </w:r>
          <w:r>
            <w:tab/>
          </w:r>
          <w:r>
            <w:fldChar w:fldCharType="begin"/>
          </w:r>
          <w:r>
            <w:instrText xml:space="preserve"> PAGEREF _Toc137156117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3039AAE0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"_Toc137156118"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5.7 防雷</w:t>
          </w:r>
          <w:r>
            <w:tab/>
          </w:r>
          <w:r>
            <w:fldChar w:fldCharType="begin"/>
          </w:r>
          <w:r>
            <w:instrText xml:space="preserve"> PAGEREF _Toc137156118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1FF51A61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"_Toc137156119"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5.8 远程监控保护</w:t>
          </w:r>
          <w:r>
            <w:tab/>
          </w:r>
          <w:r>
            <w:fldChar w:fldCharType="begin"/>
          </w:r>
          <w:r>
            <w:instrText xml:space="preserve"> PAGEREF _Toc137156119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5BE7DCAC">
          <w:pPr>
            <w:pStyle w:val="13"/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"_Toc137156120" </w:instrText>
          </w:r>
          <w:r>
            <w:fldChar w:fldCharType="separate"/>
          </w:r>
          <w:r>
            <w:rPr>
              <w:rStyle w:val="20"/>
              <w:rFonts w:ascii="黑体" w:hAnsi="黑体" w:eastAsia="黑体"/>
              <w:b/>
            </w:rPr>
            <w:t>6 土肥水管理</w:t>
          </w:r>
          <w:r>
            <w:tab/>
          </w:r>
          <w:r>
            <w:fldChar w:fldCharType="begin"/>
          </w:r>
          <w:r>
            <w:instrText xml:space="preserve"> PAGEREF _Toc137156120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606451E8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"_Toc137156121"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6.1 土壤管护</w:t>
          </w:r>
          <w:r>
            <w:tab/>
          </w:r>
          <w:r>
            <w:fldChar w:fldCharType="begin"/>
          </w:r>
          <w:r>
            <w:instrText xml:space="preserve"> PAGEREF _Toc137156121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49AC7497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"_Toc137156122"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6.2 施肥</w:t>
          </w:r>
          <w:r>
            <w:tab/>
          </w:r>
          <w:r>
            <w:fldChar w:fldCharType="begin"/>
          </w:r>
          <w:r>
            <w:instrText xml:space="preserve"> PAGEREF _Toc137156122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 w14:paraId="3B7ABA52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"_Toc137156123"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6.3 补水与排水</w:t>
          </w:r>
          <w:r>
            <w:tab/>
          </w:r>
          <w:r>
            <w:fldChar w:fldCharType="begin"/>
          </w:r>
          <w:r>
            <w:instrText xml:space="preserve"> PAGEREF _Toc137156123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 w14:paraId="7F36040D">
          <w:pPr>
            <w:pStyle w:val="13"/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"_Toc137156124" </w:instrText>
          </w:r>
          <w:r>
            <w:fldChar w:fldCharType="separate"/>
          </w:r>
          <w:r>
            <w:rPr>
              <w:rStyle w:val="20"/>
              <w:rFonts w:ascii="黑体" w:hAnsi="黑体" w:eastAsia="黑体"/>
              <w:b/>
            </w:rPr>
            <w:t>7 病虫害防治</w:t>
          </w:r>
          <w:r>
            <w:tab/>
          </w:r>
          <w:r>
            <w:fldChar w:fldCharType="begin"/>
          </w:r>
          <w:r>
            <w:instrText xml:space="preserve"> PAGEREF _Toc137156124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1E8D589C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"_Toc137156125"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7.1 原则</w:t>
          </w:r>
          <w:r>
            <w:tab/>
          </w:r>
          <w:r>
            <w:fldChar w:fldCharType="begin"/>
          </w:r>
          <w:r>
            <w:instrText xml:space="preserve"> PAGEREF _Toc137156125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513B0458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"_Toc137156126"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7.2 防治方法</w:t>
          </w:r>
          <w:r>
            <w:tab/>
          </w:r>
          <w:r>
            <w:fldChar w:fldCharType="begin"/>
          </w:r>
          <w:r>
            <w:instrText xml:space="preserve"> PAGEREF _Toc137156126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2E23E105">
          <w:pPr>
            <w:pStyle w:val="13"/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"_Toc137156127" </w:instrText>
          </w:r>
          <w:r>
            <w:fldChar w:fldCharType="separate"/>
          </w:r>
          <w:r>
            <w:rPr>
              <w:rStyle w:val="20"/>
              <w:rFonts w:ascii="黑体" w:hAnsi="黑体" w:eastAsia="黑体"/>
              <w:b/>
            </w:rPr>
            <w:t>8. 树体养护</w:t>
          </w:r>
          <w:r>
            <w:tab/>
          </w:r>
          <w:r>
            <w:fldChar w:fldCharType="begin"/>
          </w:r>
          <w:r>
            <w:instrText xml:space="preserve"> PAGEREF _Toc137156127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4F8024D4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"_Toc137156128"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8.1 常规养护</w:t>
          </w:r>
          <w:r>
            <w:tab/>
          </w:r>
          <w:r>
            <w:fldChar w:fldCharType="begin"/>
          </w:r>
          <w:r>
            <w:instrText xml:space="preserve"> PAGEREF _Toc137156128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57F50860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"_Toc137156129"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8.2 防腐、填充修补</w:t>
          </w:r>
          <w:r>
            <w:tab/>
          </w:r>
          <w:r>
            <w:fldChar w:fldCharType="begin"/>
          </w:r>
          <w:r>
            <w:instrText xml:space="preserve"> PAGEREF _Toc137156129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 w14:paraId="66F46A73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"_Toc137156130"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8.3 树体支撑、加固</w:t>
          </w:r>
          <w:r>
            <w:tab/>
          </w:r>
          <w:r>
            <w:fldChar w:fldCharType="begin"/>
          </w:r>
          <w:r>
            <w:instrText xml:space="preserve"> PAGEREF _Toc137156130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 w14:paraId="10751CDC">
          <w:pPr>
            <w:pStyle w:val="13"/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"_Toc137156131" </w:instrText>
          </w:r>
          <w:r>
            <w:fldChar w:fldCharType="separate"/>
          </w:r>
          <w:r>
            <w:rPr>
              <w:rStyle w:val="20"/>
              <w:rFonts w:ascii="黑体" w:hAnsi="黑体" w:eastAsia="黑体"/>
              <w:b/>
            </w:rPr>
            <w:t>9 树冠整理</w:t>
          </w:r>
          <w:r>
            <w:tab/>
          </w:r>
          <w:r>
            <w:fldChar w:fldCharType="begin"/>
          </w:r>
          <w:r>
            <w:instrText xml:space="preserve"> PAGEREF _Toc137156131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 w14:paraId="20B11A10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"_Toc137156132"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9.1 原则</w:t>
          </w:r>
          <w:r>
            <w:tab/>
          </w:r>
          <w:r>
            <w:fldChar w:fldCharType="begin"/>
          </w:r>
          <w:r>
            <w:instrText xml:space="preserve"> PAGEREF _Toc137156132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 w14:paraId="1C140895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"_Toc137156133"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9.2 具体措施</w:t>
          </w:r>
          <w:r>
            <w:tab/>
          </w:r>
          <w:r>
            <w:fldChar w:fldCharType="begin"/>
          </w:r>
          <w:r>
            <w:instrText xml:space="preserve"> PAGEREF _Toc137156133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 w14:paraId="5182A13F">
          <w:pPr>
            <w:pStyle w:val="13"/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"_Toc137156134" </w:instrText>
          </w:r>
          <w:r>
            <w:fldChar w:fldCharType="separate"/>
          </w:r>
          <w:r>
            <w:rPr>
              <w:rStyle w:val="20"/>
              <w:rFonts w:ascii="黑体" w:hAnsi="黑体" w:eastAsia="黑体"/>
              <w:b/>
            </w:rPr>
            <w:t>10 巡查</w:t>
          </w:r>
          <w:r>
            <w:tab/>
          </w:r>
          <w:r>
            <w:fldChar w:fldCharType="begin"/>
          </w:r>
          <w:r>
            <w:instrText xml:space="preserve"> PAGEREF _Toc137156134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 w14:paraId="674A6E2E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"_Toc137156135"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10.1</w:t>
          </w:r>
          <w:r>
            <w:rPr>
              <w:rStyle w:val="20"/>
              <w:rFonts w:ascii="宋体" w:hAnsi="宋体" w:eastAsia="宋体"/>
            </w:rPr>
            <w:t xml:space="preserve"> </w:t>
          </w:r>
          <w:r>
            <w:rPr>
              <w:rStyle w:val="20"/>
              <w:rFonts w:ascii="宋体" w:hAnsi="宋体" w:eastAsia="宋体"/>
              <w:b/>
            </w:rPr>
            <w:t>巡查频次</w:t>
          </w:r>
          <w:r>
            <w:tab/>
          </w:r>
          <w:r>
            <w:fldChar w:fldCharType="begin"/>
          </w:r>
          <w:r>
            <w:instrText xml:space="preserve"> PAGEREF _Toc137156135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 w14:paraId="78F76773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"_Toc137156136"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10.2 巡查内容</w:t>
          </w:r>
          <w:r>
            <w:tab/>
          </w:r>
          <w:r>
            <w:fldChar w:fldCharType="begin"/>
          </w:r>
          <w:r>
            <w:instrText xml:space="preserve"> PAGEREF _Toc137156136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 w14:paraId="7A3C692B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"_Toc137156137"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10.3 问题处理</w:t>
          </w:r>
          <w:r>
            <w:tab/>
          </w:r>
          <w:r>
            <w:fldChar w:fldCharType="begin"/>
          </w:r>
          <w:r>
            <w:instrText xml:space="preserve"> PAGEREF _Toc137156137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 w14:paraId="7759DE4E">
          <w:pPr>
            <w:pStyle w:val="13"/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"_Toc137156138" </w:instrText>
          </w:r>
          <w:r>
            <w:fldChar w:fldCharType="separate"/>
          </w:r>
          <w:r>
            <w:rPr>
              <w:rStyle w:val="20"/>
              <w:rFonts w:ascii="黑体" w:hAnsi="黑体" w:eastAsia="黑体"/>
              <w:b/>
            </w:rPr>
            <w:t>11 档案管理</w:t>
          </w:r>
          <w:r>
            <w:tab/>
          </w:r>
          <w:r>
            <w:fldChar w:fldCharType="begin"/>
          </w:r>
          <w:r>
            <w:instrText xml:space="preserve"> PAGEREF _Toc137156138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 w14:paraId="764FA57C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"_Toc137156139"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11.1 档案组成</w:t>
          </w:r>
          <w:r>
            <w:tab/>
          </w:r>
          <w:r>
            <w:fldChar w:fldCharType="begin"/>
          </w:r>
          <w:r>
            <w:instrText xml:space="preserve"> PAGEREF _Toc137156139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 w14:paraId="45128EC9">
          <w:pPr>
            <w:pStyle w:val="14"/>
            <w:tabs>
              <w:tab w:val="right" w:leader="dot" w:pos="8296"/>
            </w:tabs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"_Toc137156140" </w:instrText>
          </w:r>
          <w:r>
            <w:fldChar w:fldCharType="separate"/>
          </w:r>
          <w:r>
            <w:rPr>
              <w:rStyle w:val="20"/>
              <w:rFonts w:ascii="宋体" w:hAnsi="宋体" w:eastAsia="宋体"/>
              <w:b/>
            </w:rPr>
            <w:t>11.2 档案管理</w:t>
          </w:r>
          <w:r>
            <w:tab/>
          </w:r>
          <w:r>
            <w:fldChar w:fldCharType="begin"/>
          </w:r>
          <w:r>
            <w:instrText xml:space="preserve"> PAGEREF _Toc137156140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 w14:paraId="659BF9C6">
          <w:pPr>
            <w:pStyle w:val="13"/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"_Toc137156141" </w:instrText>
          </w:r>
          <w:r>
            <w:fldChar w:fldCharType="separate"/>
          </w:r>
          <w:r>
            <w:rPr>
              <w:rStyle w:val="20"/>
              <w:rFonts w:ascii="黑体" w:hAnsi="黑体" w:eastAsia="黑体" w:cs="黑体"/>
              <w:b/>
              <w:bCs/>
              <w:lang w:bidi="zh-CN"/>
            </w:rPr>
            <w:t xml:space="preserve">附 录 </w:t>
          </w:r>
          <w:r>
            <w:rPr>
              <w:rStyle w:val="20"/>
              <w:rFonts w:ascii="黑体" w:hAnsi="黑体" w:eastAsia="黑体" w:cs="黑体"/>
              <w:b/>
              <w:bCs/>
              <w:lang w:bidi="en-US"/>
            </w:rPr>
            <w:t>A</w:t>
          </w:r>
          <w:r>
            <w:tab/>
          </w:r>
          <w:r>
            <w:fldChar w:fldCharType="begin"/>
          </w:r>
          <w:r>
            <w:instrText xml:space="preserve"> PAGEREF _Toc137156141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 w14:paraId="4065FF08">
          <w:pPr>
            <w:pStyle w:val="13"/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"_Toc137156142" </w:instrText>
          </w:r>
          <w:r>
            <w:fldChar w:fldCharType="separate"/>
          </w:r>
          <w:r>
            <w:rPr>
              <w:rStyle w:val="20"/>
              <w:rFonts w:ascii="黑体" w:hAnsi="黑体" w:eastAsia="黑体" w:cs="黑体"/>
              <w:b/>
              <w:bCs/>
              <w:lang w:bidi="en-US"/>
            </w:rPr>
            <w:t>附 录 B</w:t>
          </w:r>
          <w:r>
            <w:tab/>
          </w:r>
          <w:r>
            <w:fldChar w:fldCharType="begin"/>
          </w:r>
          <w:r>
            <w:instrText xml:space="preserve"> PAGEREF _Toc137156142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 w14:paraId="7CD6AAD9">
          <w:pPr>
            <w:pStyle w:val="13"/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"_Toc137156143" </w:instrText>
          </w:r>
          <w:r>
            <w:fldChar w:fldCharType="separate"/>
          </w:r>
          <w:r>
            <w:rPr>
              <w:rStyle w:val="20"/>
              <w:rFonts w:ascii="黑体" w:hAnsi="黑体" w:eastAsia="黑体" w:cs="黑体"/>
              <w:b/>
              <w:bCs/>
              <w:lang w:bidi="en-US"/>
            </w:rPr>
            <w:t>附 录 C</w:t>
          </w:r>
          <w:r>
            <w:tab/>
          </w:r>
          <w:r>
            <w:fldChar w:fldCharType="begin"/>
          </w:r>
          <w:r>
            <w:instrText xml:space="preserve"> PAGEREF _Toc137156143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 w14:paraId="445ABE40">
          <w:pPr>
            <w:pStyle w:val="13"/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"_Toc137156144" </w:instrText>
          </w:r>
          <w:r>
            <w:fldChar w:fldCharType="separate"/>
          </w:r>
          <w:r>
            <w:rPr>
              <w:rStyle w:val="20"/>
              <w:rFonts w:ascii="黑体" w:hAnsi="黑体" w:eastAsia="黑体" w:cs="黑体"/>
              <w:b/>
              <w:bCs/>
              <w:lang w:bidi="en-US"/>
            </w:rPr>
            <w:t>附 录 D</w:t>
          </w:r>
          <w:r>
            <w:tab/>
          </w:r>
          <w:r>
            <w:fldChar w:fldCharType="begin"/>
          </w:r>
          <w:r>
            <w:instrText xml:space="preserve"> PAGEREF _Toc137156144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 w14:paraId="6E21F631">
          <w:pPr>
            <w:pStyle w:val="13"/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"_Toc137156145" </w:instrText>
          </w:r>
          <w:r>
            <w:fldChar w:fldCharType="separate"/>
          </w:r>
          <w:r>
            <w:rPr>
              <w:rStyle w:val="20"/>
              <w:rFonts w:ascii="黑体" w:hAnsi="黑体" w:eastAsia="黑体" w:cs="黑体"/>
              <w:b/>
              <w:bCs/>
              <w:lang w:bidi="en-US"/>
            </w:rPr>
            <w:t>附 录 E</w:t>
          </w:r>
          <w:r>
            <w:tab/>
          </w:r>
          <w:r>
            <w:fldChar w:fldCharType="begin"/>
          </w:r>
          <w:r>
            <w:instrText xml:space="preserve"> PAGEREF _Toc137156145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 w14:paraId="394F132C">
          <w:pPr>
            <w:pStyle w:val="13"/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"_Toc137156146" </w:instrText>
          </w:r>
          <w:r>
            <w:fldChar w:fldCharType="separate"/>
          </w:r>
          <w:r>
            <w:rPr>
              <w:rStyle w:val="20"/>
              <w:rFonts w:ascii="黑体" w:hAnsi="黑体" w:eastAsia="黑体" w:cs="黑体"/>
              <w:b/>
              <w:bCs/>
              <w:lang w:bidi="en-US"/>
            </w:rPr>
            <w:t>附 录 F</w:t>
          </w:r>
          <w:r>
            <w:tab/>
          </w:r>
          <w:r>
            <w:fldChar w:fldCharType="begin"/>
          </w:r>
          <w:r>
            <w:instrText xml:space="preserve"> PAGEREF _Toc137156146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 w14:paraId="53F2A6D4">
          <w:pPr>
            <w:pStyle w:val="13"/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"_Toc137156147" </w:instrText>
          </w:r>
          <w:r>
            <w:fldChar w:fldCharType="separate"/>
          </w:r>
          <w:r>
            <w:rPr>
              <w:rStyle w:val="20"/>
              <w:rFonts w:ascii="黑体" w:hAnsi="黑体" w:eastAsia="黑体" w:cs="黑体"/>
              <w:b/>
              <w:bCs/>
              <w:lang w:bidi="en-US"/>
            </w:rPr>
            <w:t>附 录 G</w:t>
          </w:r>
          <w:r>
            <w:tab/>
          </w:r>
          <w:r>
            <w:fldChar w:fldCharType="begin"/>
          </w:r>
          <w:r>
            <w:instrText xml:space="preserve"> PAGEREF _Toc137156147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 w14:paraId="5FBBC575">
          <w:pPr>
            <w:pStyle w:val="13"/>
            <w:rPr>
              <w14:ligatures w14:val="standardContextual"/>
            </w:rPr>
          </w:pPr>
          <w:r>
            <w:fldChar w:fldCharType="begin"/>
          </w:r>
          <w:r>
            <w:instrText xml:space="preserve"> HYPERLINK \l "_Toc137156148" </w:instrText>
          </w:r>
          <w:r>
            <w:fldChar w:fldCharType="separate"/>
          </w:r>
          <w:r>
            <w:rPr>
              <w:rStyle w:val="20"/>
              <w:rFonts w:ascii="黑体" w:hAnsi="黑体" w:eastAsia="黑体" w:cs="黑体"/>
              <w:b/>
              <w:bCs/>
              <w:lang w:bidi="en-US"/>
            </w:rPr>
            <w:t>附 录 H</w:t>
          </w:r>
          <w:r>
            <w:tab/>
          </w:r>
          <w:r>
            <w:fldChar w:fldCharType="begin"/>
          </w:r>
          <w:r>
            <w:instrText xml:space="preserve"> PAGEREF _Toc137156148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 w14:paraId="6801330E">
          <w:pPr>
            <w:spacing w:line="360" w:lineRule="auto"/>
          </w:pPr>
          <w:r>
            <w:rPr>
              <w:b/>
              <w:bCs/>
              <w:lang w:val="zh-CN"/>
            </w:rPr>
            <w:fldChar w:fldCharType="end"/>
          </w:r>
        </w:p>
      </w:sdtContent>
    </w:sdt>
    <w:p w14:paraId="0C964DFB">
      <w:pPr>
        <w:outlineLvl w:val="0"/>
        <w:rPr>
          <w:rFonts w:ascii="仿宋" w:hAnsi="仿宋" w:eastAsia="仿宋"/>
          <w:b/>
          <w:sz w:val="32"/>
          <w:szCs w:val="32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fmt="upperRoman" w:start="1"/>
          <w:cols w:space="425" w:num="1"/>
          <w:docGrid w:type="lines" w:linePitch="312" w:charSpace="0"/>
        </w:sectPr>
      </w:pPr>
    </w:p>
    <w:p w14:paraId="1A931F59">
      <w:pPr>
        <w:spacing w:before="312" w:beforeLines="100" w:after="312" w:afterLines="100"/>
        <w:jc w:val="center"/>
        <w:outlineLvl w:val="0"/>
        <w:rPr>
          <w:rFonts w:ascii="仿宋" w:hAnsi="仿宋" w:eastAsia="仿宋"/>
          <w:b/>
          <w:sz w:val="32"/>
          <w:szCs w:val="32"/>
        </w:rPr>
      </w:pPr>
      <w:bookmarkStart w:id="0" w:name="_Toc137156094"/>
      <w:bookmarkStart w:id="1" w:name="_Toc99792250"/>
      <w:r>
        <w:rPr>
          <w:rFonts w:hint="eastAsia" w:ascii="仿宋" w:hAnsi="仿宋" w:eastAsia="仿宋"/>
          <w:b/>
          <w:sz w:val="32"/>
          <w:szCs w:val="32"/>
        </w:rPr>
        <w:t xml:space="preserve">前 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言</w:t>
      </w:r>
      <w:bookmarkEnd w:id="0"/>
      <w:bookmarkEnd w:id="1"/>
    </w:p>
    <w:p w14:paraId="1B78DDC1">
      <w:pPr>
        <w:spacing w:line="360" w:lineRule="auto"/>
        <w:ind w:firstLine="420" w:firstLineChars="200"/>
        <w:jc w:val="left"/>
        <w:rPr>
          <w:rFonts w:cs="Times New Roman" w:asciiTheme="minorEastAsia" w:hAnsiTheme="minorEastAsia"/>
          <w:szCs w:val="21"/>
          <w:lang w:val="zh-CN"/>
        </w:rPr>
      </w:pPr>
      <w:r>
        <w:rPr>
          <w:rFonts w:cs="Times New Roman" w:asciiTheme="minorEastAsia" w:hAnsiTheme="minorEastAsia"/>
          <w:szCs w:val="21"/>
          <w:lang w:val="zh-CN"/>
        </w:rPr>
        <w:t>本文件按照GB/T1.1-2020《标准化工作导则第1部分：标准化文件的结构和起草规则》的规定起草。</w:t>
      </w:r>
    </w:p>
    <w:p w14:paraId="02016B4E">
      <w:pPr>
        <w:widowControl/>
        <w:ind w:firstLine="420" w:firstLineChars="200"/>
        <w:jc w:val="left"/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本文件的某些内容可能涉及专利。本文件的发布机构不承担识别专利的责任。</w:t>
      </w:r>
    </w:p>
    <w:p w14:paraId="3C008BFB">
      <w:pPr>
        <w:spacing w:line="360" w:lineRule="auto"/>
        <w:ind w:firstLine="420" w:firstLineChars="200"/>
        <w:jc w:val="left"/>
        <w:rPr>
          <w:rFonts w:cs="Times New Roman" w:asciiTheme="minorEastAsia" w:hAnsiTheme="minorEastAsia"/>
          <w:szCs w:val="21"/>
          <w:lang w:val="zh-CN"/>
        </w:rPr>
      </w:pPr>
      <w:r>
        <w:rPr>
          <w:rFonts w:cs="Times New Roman" w:asciiTheme="minorEastAsia" w:hAnsiTheme="minorEastAsia"/>
          <w:szCs w:val="21"/>
          <w:lang w:val="zh-CN"/>
        </w:rPr>
        <w:t>本文件由湖南省林业局提出。</w:t>
      </w:r>
    </w:p>
    <w:p w14:paraId="2F34F7D8">
      <w:pPr>
        <w:spacing w:line="360" w:lineRule="auto"/>
        <w:ind w:firstLine="420" w:firstLineChars="200"/>
        <w:jc w:val="left"/>
        <w:rPr>
          <w:rFonts w:cs="Times New Roman" w:asciiTheme="minorEastAsia" w:hAnsiTheme="minorEastAsia"/>
          <w:szCs w:val="21"/>
          <w:lang w:val="zh-CN"/>
        </w:rPr>
      </w:pPr>
      <w:r>
        <w:rPr>
          <w:rFonts w:cs="Times New Roman" w:asciiTheme="minorEastAsia" w:hAnsiTheme="minorEastAsia"/>
          <w:szCs w:val="21"/>
          <w:lang w:val="zh-CN"/>
        </w:rPr>
        <w:t>本文件由湖南省林业标准化技术委员会归口。</w:t>
      </w:r>
    </w:p>
    <w:p w14:paraId="405346CE">
      <w:pPr>
        <w:spacing w:line="360" w:lineRule="auto"/>
        <w:ind w:left="420" w:leftChars="200"/>
        <w:jc w:val="left"/>
        <w:rPr>
          <w:rFonts w:cs="Times New Roman" w:asciiTheme="minorEastAsia" w:hAnsiTheme="minorEastAsia"/>
          <w:szCs w:val="21"/>
          <w:lang w:val="zh-CN"/>
        </w:rPr>
      </w:pPr>
      <w:r>
        <w:rPr>
          <w:rFonts w:cs="Times New Roman" w:asciiTheme="minorEastAsia" w:hAnsiTheme="minorEastAsia"/>
          <w:szCs w:val="21"/>
          <w:lang w:val="zh-CN"/>
        </w:rPr>
        <w:t>本文件起草单位：中南林业科技大学、湖南省绿</w:t>
      </w:r>
      <w:r>
        <w:rPr>
          <w:rFonts w:hint="eastAsia" w:cs="Times New Roman" w:asciiTheme="minorEastAsia" w:hAnsiTheme="minorEastAsia"/>
          <w:szCs w:val="21"/>
          <w:lang w:val="zh-CN"/>
        </w:rPr>
        <w:t>化</w:t>
      </w:r>
      <w:r>
        <w:rPr>
          <w:rFonts w:cs="Times New Roman" w:asciiTheme="minorEastAsia" w:hAnsiTheme="minorEastAsia"/>
          <w:szCs w:val="21"/>
          <w:lang w:val="zh-CN"/>
        </w:rPr>
        <w:t>委</w:t>
      </w:r>
      <w:r>
        <w:rPr>
          <w:rFonts w:hint="eastAsia" w:cs="Times New Roman" w:asciiTheme="minorEastAsia" w:hAnsiTheme="minorEastAsia"/>
          <w:szCs w:val="21"/>
          <w:lang w:val="zh-CN"/>
        </w:rPr>
        <w:t>员会</w:t>
      </w:r>
      <w:r>
        <w:rPr>
          <w:rFonts w:cs="Times New Roman" w:asciiTheme="minorEastAsia" w:hAnsiTheme="minorEastAsia"/>
          <w:szCs w:val="21"/>
          <w:lang w:val="zh-CN"/>
        </w:rPr>
        <w:t>办</w:t>
      </w:r>
      <w:r>
        <w:rPr>
          <w:rFonts w:hint="eastAsia" w:cs="Times New Roman" w:asciiTheme="minorEastAsia" w:hAnsiTheme="minorEastAsia"/>
          <w:szCs w:val="21"/>
          <w:lang w:val="zh-CN"/>
        </w:rPr>
        <w:t>公室</w:t>
      </w:r>
      <w:r>
        <w:rPr>
          <w:rFonts w:cs="Times New Roman" w:asciiTheme="minorEastAsia" w:hAnsiTheme="minorEastAsia"/>
          <w:szCs w:val="21"/>
          <w:lang w:val="zh-CN"/>
        </w:rPr>
        <w:t>、</w:t>
      </w:r>
      <w:r>
        <w:rPr>
          <w:rFonts w:hint="eastAsia" w:cs="Times New Roman" w:asciiTheme="minorEastAsia" w:hAnsiTheme="minorEastAsia"/>
          <w:szCs w:val="21"/>
          <w:lang w:val="zh-CN"/>
        </w:rPr>
        <w:t>湖南省植物园、湖南省青羊湖国有林场</w:t>
      </w:r>
      <w:r>
        <w:rPr>
          <w:rFonts w:cs="Times New Roman" w:asciiTheme="minorEastAsia" w:hAnsiTheme="minorEastAsia"/>
          <w:szCs w:val="21"/>
          <w:lang w:val="zh-CN"/>
        </w:rPr>
        <w:t>。</w:t>
      </w:r>
    </w:p>
    <w:p w14:paraId="4D9C9B00">
      <w:pPr>
        <w:spacing w:line="360" w:lineRule="auto"/>
        <w:ind w:left="420" w:leftChars="200"/>
        <w:jc w:val="left"/>
        <w:rPr>
          <w:rFonts w:ascii="宋体" w:hAnsi="宋体" w:eastAsia="宋体" w:cs="Times New Roman"/>
          <w:kern w:val="0"/>
          <w:szCs w:val="21"/>
          <w:lang w:val="zh-CN"/>
        </w:rPr>
      </w:pPr>
      <w:r>
        <w:rPr>
          <w:rFonts w:cs="Times New Roman" w:asciiTheme="minorEastAsia" w:hAnsiTheme="minorEastAsia"/>
          <w:szCs w:val="21"/>
          <w:lang w:val="zh-CN"/>
        </w:rPr>
        <w:t>本文件</w:t>
      </w:r>
      <w:r>
        <w:rPr>
          <w:rFonts w:hint="eastAsia" w:ascii="宋体" w:hAnsi="宋体" w:eastAsia="宋体"/>
          <w:szCs w:val="21"/>
        </w:rPr>
        <w:t>主要起草人：</w: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t xml:space="preserve"> </w:t>
      </w:r>
      <w:r>
        <w:rPr>
          <w:rFonts w:hint="eastAsia" w:ascii="宋体" w:hAnsi="宋体" w:eastAsia="宋体" w:cs="Times New Roman"/>
          <w:kern w:val="0"/>
          <w:szCs w:val="21"/>
          <w:highlight w:val="green"/>
          <w:lang w:val="zh-CN"/>
        </w:rPr>
        <w:t>吴磊、曹基武、夏艳萍、唐滔、贺勇、曹受金、吴琴香、牟村、周围、肖炜、易烜、刘帅、吕浩、刘瑞峰</w:t>
      </w:r>
    </w:p>
    <w:p w14:paraId="6C85475F">
      <w:pPr>
        <w:spacing w:line="360" w:lineRule="auto"/>
        <w:ind w:left="420" w:leftChars="200"/>
        <w:jc w:val="left"/>
        <w:rPr>
          <w:rFonts w:ascii="宋体" w:hAnsi="宋体" w:eastAsia="宋体" w:cs="Times New Roman"/>
          <w:kern w:val="0"/>
          <w:szCs w:val="21"/>
          <w:lang w:val="zh-CN"/>
        </w:rPr>
      </w:pPr>
    </w:p>
    <w:p w14:paraId="7D661672">
      <w:pPr>
        <w:spacing w:line="360" w:lineRule="auto"/>
        <w:ind w:left="420" w:leftChars="200"/>
        <w:jc w:val="left"/>
        <w:rPr>
          <w:rFonts w:ascii="宋体" w:hAnsi="宋体" w:eastAsia="宋体" w:cs="Times New Roman"/>
          <w:kern w:val="0"/>
          <w:szCs w:val="21"/>
          <w:lang w:val="zh-CN"/>
        </w:rPr>
      </w:pPr>
    </w:p>
    <w:p w14:paraId="78DCD1ED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p w14:paraId="6A13C36E">
      <w:pPr>
        <w:ind w:firstLine="640" w:firstLineChars="20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古树名木养护技术规范</w:t>
      </w:r>
    </w:p>
    <w:p w14:paraId="1A3F2FFF">
      <w:pPr>
        <w:spacing w:before="312" w:beforeLines="100" w:after="312" w:afterLines="100"/>
        <w:jc w:val="left"/>
        <w:outlineLvl w:val="0"/>
        <w:rPr>
          <w:rFonts w:ascii="黑体" w:hAnsi="黑体" w:eastAsia="黑体"/>
          <w:b/>
          <w:szCs w:val="21"/>
        </w:rPr>
      </w:pPr>
      <w:bookmarkStart w:id="2" w:name="_Toc99792251"/>
      <w:bookmarkStart w:id="3" w:name="_Toc137156095"/>
      <w:r>
        <w:rPr>
          <w:rFonts w:hint="eastAsia" w:ascii="黑体" w:hAnsi="黑体" w:eastAsia="黑体"/>
          <w:b/>
          <w:szCs w:val="21"/>
        </w:rPr>
        <w:t>1 范围</w:t>
      </w:r>
      <w:bookmarkEnd w:id="2"/>
      <w:bookmarkEnd w:id="3"/>
    </w:p>
    <w:p w14:paraId="04F6AB9D"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本规范了古树名木养护技术、管理措施方面的技术要求。</w:t>
      </w:r>
    </w:p>
    <w:p w14:paraId="337DE741"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湖南省行政区域内分布在原始林外，经依法认定公布的古树名木。</w:t>
      </w:r>
    </w:p>
    <w:p w14:paraId="621256A5">
      <w:pPr>
        <w:spacing w:before="312" w:beforeLines="100" w:after="312" w:afterLines="100"/>
        <w:jc w:val="left"/>
        <w:outlineLvl w:val="0"/>
        <w:rPr>
          <w:rFonts w:ascii="黑体" w:hAnsi="黑体" w:eastAsia="黑体"/>
          <w:b/>
          <w:szCs w:val="21"/>
        </w:rPr>
      </w:pPr>
      <w:bookmarkStart w:id="4" w:name="_Toc137156096"/>
      <w:bookmarkStart w:id="5" w:name="_Toc99792252"/>
      <w:r>
        <w:rPr>
          <w:rFonts w:hint="eastAsia" w:ascii="黑体" w:hAnsi="黑体" w:eastAsia="黑体"/>
          <w:b/>
          <w:szCs w:val="21"/>
        </w:rPr>
        <w:t>2 规范性引用文件</w:t>
      </w:r>
      <w:bookmarkEnd w:id="4"/>
      <w:bookmarkEnd w:id="5"/>
    </w:p>
    <w:p w14:paraId="6F8D6F5D"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下列文件对于本文件的应用是必不可少的。凡是标注日期的引用文件，仅注日期的版本适用于本文件。凡是未标注日期的引用文件，其最新版本（包括所有的修改单）适用于本文件。</w:t>
      </w:r>
    </w:p>
    <w:p w14:paraId="25769473">
      <w:pPr>
        <w:spacing w:line="360" w:lineRule="auto"/>
        <w:ind w:firstLine="420" w:firstLineChars="200"/>
        <w:jc w:val="left"/>
        <w:rPr>
          <w:rFonts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>G</w:t>
      </w:r>
      <w:r>
        <w:rPr>
          <w:rFonts w:cs="Times New Roman" w:asciiTheme="minorEastAsia" w:hAnsiTheme="minorEastAsia"/>
          <w:szCs w:val="21"/>
        </w:rPr>
        <w:t>B/T 8321.10</w:t>
      </w:r>
      <w:r>
        <w:rPr>
          <w:rFonts w:hint="eastAsia" w:cs="Times New Roman" w:asciiTheme="minorEastAsia" w:hAnsiTheme="minorEastAsia"/>
          <w:szCs w:val="21"/>
        </w:rPr>
        <w:t>农药合理使用准则(十)</w:t>
      </w:r>
    </w:p>
    <w:p w14:paraId="5FC3663D">
      <w:pPr>
        <w:spacing w:line="360" w:lineRule="auto"/>
        <w:ind w:firstLine="420" w:firstLineChars="200"/>
        <w:jc w:val="left"/>
        <w:rPr>
          <w:rFonts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>G</w:t>
      </w:r>
      <w:r>
        <w:rPr>
          <w:rFonts w:cs="Times New Roman" w:asciiTheme="minorEastAsia" w:hAnsiTheme="minorEastAsia"/>
          <w:szCs w:val="21"/>
        </w:rPr>
        <w:t xml:space="preserve">B/T 51168-2016 </w:t>
      </w:r>
      <w:r>
        <w:rPr>
          <w:rFonts w:hint="eastAsia" w:cs="Times New Roman" w:asciiTheme="minorEastAsia" w:hAnsiTheme="minorEastAsia"/>
          <w:szCs w:val="21"/>
        </w:rPr>
        <w:t>城市古树名木养护和复壮工程技术规范</w:t>
      </w:r>
    </w:p>
    <w:p w14:paraId="18683416">
      <w:pPr>
        <w:spacing w:line="360" w:lineRule="auto"/>
        <w:ind w:firstLine="420" w:firstLineChars="200"/>
        <w:jc w:val="left"/>
        <w:rPr>
          <w:rFonts w:cs="Times New Roman" w:asciiTheme="minorEastAsia" w:hAnsiTheme="minorEastAsia"/>
          <w:szCs w:val="21"/>
        </w:rPr>
      </w:pPr>
      <w:r>
        <w:rPr>
          <w:rFonts w:cs="Times New Roman" w:asciiTheme="minorEastAsia" w:hAnsiTheme="minorEastAsia"/>
          <w:szCs w:val="21"/>
        </w:rPr>
        <w:t>LY/T 3073</w:t>
      </w:r>
      <w:r>
        <w:rPr>
          <w:rFonts w:hint="eastAsia" w:asciiTheme="minorEastAsia" w:hAnsiTheme="minorEastAsia"/>
          <w:szCs w:val="21"/>
        </w:rPr>
        <w:t>-</w:t>
      </w:r>
      <w:r>
        <w:rPr>
          <w:rFonts w:cs="Times New Roman" w:asciiTheme="minorEastAsia" w:hAnsiTheme="minorEastAsia"/>
          <w:szCs w:val="21"/>
        </w:rPr>
        <w:t>2018</w:t>
      </w:r>
      <w:r>
        <w:rPr>
          <w:rFonts w:hint="eastAsia" w:cs="Times New Roman" w:asciiTheme="minorEastAsia" w:hAnsiTheme="minorEastAsia"/>
          <w:szCs w:val="21"/>
        </w:rPr>
        <w:t>古树名木管护技术规程</w:t>
      </w:r>
    </w:p>
    <w:p w14:paraId="479B64F2"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LY/T 1228森林土壤氮的测定 </w:t>
      </w:r>
    </w:p>
    <w:p w14:paraId="35D5F999"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LY/T 1232森林土壤磷的测定 </w:t>
      </w:r>
    </w:p>
    <w:p w14:paraId="5AA085B2"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LY/T 1234森林土壤钾的测定 </w:t>
      </w:r>
    </w:p>
    <w:p w14:paraId="349738DA"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LY/T 1237森林土壤有机质的测定及碳氮比的计算 </w:t>
      </w:r>
    </w:p>
    <w:p w14:paraId="4D10CBF6"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LY/T 1253森林土壤矿质全最元素（硅、铁、铝、钛、猛、钙、镁、磷）烧失量的测定</w:t>
      </w:r>
    </w:p>
    <w:p w14:paraId="6795AA83"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cs="Times New Roman" w:asciiTheme="minorEastAsia" w:hAnsiTheme="minorEastAsia"/>
          <w:szCs w:val="21"/>
        </w:rPr>
        <w:t>LY/T 2494</w:t>
      </w:r>
      <w:r>
        <w:rPr>
          <w:rFonts w:hint="eastAsia" w:cs="Times New Roman" w:asciiTheme="minorEastAsia" w:hAnsiTheme="minorEastAsia"/>
          <w:szCs w:val="21"/>
        </w:rPr>
        <w:t>-</w:t>
      </w:r>
      <w:r>
        <w:rPr>
          <w:rFonts w:cs="Times New Roman" w:asciiTheme="minorEastAsia" w:hAnsiTheme="minorEastAsia"/>
          <w:szCs w:val="21"/>
        </w:rPr>
        <w:t xml:space="preserve">2015 </w:t>
      </w:r>
      <w:r>
        <w:rPr>
          <w:rFonts w:hint="eastAsia" w:cs="Times New Roman" w:asciiTheme="minorEastAsia" w:hAnsiTheme="minorEastAsia"/>
          <w:szCs w:val="21"/>
        </w:rPr>
        <w:t>古树名木复壮技术规程</w:t>
      </w:r>
    </w:p>
    <w:p w14:paraId="4B056FEC"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bookmarkStart w:id="6" w:name="OLE_LINK1"/>
      <w:bookmarkStart w:id="7" w:name="OLE_LINK5"/>
      <w:r>
        <w:rPr>
          <w:rFonts w:cs="Times New Roman" w:asciiTheme="minorEastAsia" w:hAnsiTheme="minorEastAsia"/>
          <w:szCs w:val="21"/>
        </w:rPr>
        <w:t>LY/T</w:t>
      </w:r>
      <w:bookmarkEnd w:id="6"/>
      <w:r>
        <w:rPr>
          <w:rFonts w:cs="Times New Roman" w:asciiTheme="minorEastAsia" w:hAnsiTheme="minorEastAsia"/>
          <w:szCs w:val="21"/>
        </w:rPr>
        <w:t xml:space="preserve"> 1270</w:t>
      </w:r>
      <w:r>
        <w:rPr>
          <w:rFonts w:hint="eastAsia" w:cs="Times New Roman" w:asciiTheme="minorEastAsia" w:hAnsiTheme="minorEastAsia"/>
          <w:szCs w:val="21"/>
        </w:rPr>
        <w:t>-</w:t>
      </w:r>
      <w:r>
        <w:rPr>
          <w:rFonts w:cs="Times New Roman" w:asciiTheme="minorEastAsia" w:hAnsiTheme="minorEastAsia"/>
          <w:szCs w:val="21"/>
        </w:rPr>
        <w:t>1274</w:t>
      </w:r>
      <w:r>
        <w:rPr>
          <w:rFonts w:hint="eastAsia" w:asciiTheme="minorEastAsia" w:hAnsiTheme="minorEastAsia"/>
          <w:szCs w:val="21"/>
        </w:rPr>
        <w:t>森林植物与森林枯枝落叶层元素的测定</w:t>
      </w:r>
    </w:p>
    <w:bookmarkEnd w:id="7"/>
    <w:p w14:paraId="3964F24A"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LY/T 2970古树名木生长与环境监测技术规程</w:t>
      </w:r>
    </w:p>
    <w:p w14:paraId="79BF8635"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HJ/T 166土壤环境监测技术规范</w:t>
      </w:r>
    </w:p>
    <w:p w14:paraId="77565F8B"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QX/T 231-2014 古树名木防雷技术规范（第一）</w:t>
      </w:r>
    </w:p>
    <w:p w14:paraId="7E61D5A2">
      <w:pPr>
        <w:pStyle w:val="2"/>
        <w:ind w:left="0" w:leftChars="0" w:firstLine="0" w:firstLineChars="0"/>
      </w:pPr>
    </w:p>
    <w:p w14:paraId="081C230D">
      <w:pPr>
        <w:spacing w:before="312" w:beforeLines="100" w:after="312" w:afterLines="100"/>
        <w:jc w:val="left"/>
        <w:outlineLvl w:val="0"/>
        <w:rPr>
          <w:rFonts w:ascii="黑体" w:hAnsi="黑体" w:eastAsia="黑体"/>
          <w:b/>
          <w:szCs w:val="21"/>
        </w:rPr>
      </w:pPr>
      <w:bookmarkStart w:id="8" w:name="_Toc99792253"/>
      <w:bookmarkStart w:id="9" w:name="_Toc137156097"/>
      <w:r>
        <w:rPr>
          <w:rFonts w:hint="eastAsia" w:ascii="黑体" w:hAnsi="黑体" w:eastAsia="黑体"/>
          <w:b/>
          <w:szCs w:val="21"/>
        </w:rPr>
        <w:t>3 术语和定义</w:t>
      </w:r>
      <w:bookmarkEnd w:id="8"/>
      <w:bookmarkEnd w:id="9"/>
    </w:p>
    <w:p w14:paraId="0FAF55C3"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下列术语和定义适用于本文件</w:t>
      </w:r>
    </w:p>
    <w:p w14:paraId="2D2CC3DE">
      <w:pPr>
        <w:spacing w:line="360" w:lineRule="auto"/>
        <w:jc w:val="left"/>
        <w:outlineLvl w:val="1"/>
        <w:rPr>
          <w:rFonts w:ascii="宋体" w:hAnsi="宋体" w:eastAsia="宋体"/>
          <w:bCs/>
          <w:szCs w:val="21"/>
        </w:rPr>
      </w:pPr>
      <w:bookmarkStart w:id="10" w:name="_Toc137156098"/>
      <w:r>
        <w:rPr>
          <w:rFonts w:hint="eastAsia" w:ascii="宋体" w:hAnsi="宋体" w:eastAsia="宋体"/>
          <w:b/>
          <w:szCs w:val="21"/>
        </w:rPr>
        <w:t>3.1</w:t>
      </w:r>
      <w:r>
        <w:rPr>
          <w:rFonts w:ascii="宋体" w:hAnsi="宋体" w:eastAsia="宋体"/>
          <w:b/>
          <w:szCs w:val="21"/>
        </w:rPr>
        <w:t xml:space="preserve"> </w:t>
      </w:r>
      <w:r>
        <w:rPr>
          <w:rFonts w:hint="eastAsia" w:ascii="宋体" w:hAnsi="宋体" w:eastAsia="宋体"/>
          <w:b/>
          <w:szCs w:val="21"/>
        </w:rPr>
        <w:t>生境</w:t>
      </w:r>
      <w:r>
        <w:rPr>
          <w:rFonts w:hint="eastAsia" w:ascii="宋体" w:hAnsi="宋体" w:eastAsia="宋体"/>
          <w:bCs/>
          <w:szCs w:val="21"/>
        </w:rPr>
        <w:t xml:space="preserve"> </w:t>
      </w:r>
      <w:r>
        <w:rPr>
          <w:rFonts w:ascii="宋体" w:hAnsi="宋体" w:eastAsia="宋体"/>
          <w:bCs/>
          <w:szCs w:val="21"/>
        </w:rPr>
        <w:t>habitat</w:t>
      </w:r>
      <w:bookmarkEnd w:id="10"/>
    </w:p>
    <w:p w14:paraId="17ECDD13">
      <w:pPr>
        <w:spacing w:line="360" w:lineRule="auto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指古树名木、古树群生长地域的环境，包括气候、土壤、地形、地下水、生物及人为活动等对古树名木起作用的生态因素。</w:t>
      </w:r>
    </w:p>
    <w:p w14:paraId="32511B3C">
      <w:pPr>
        <w:spacing w:line="360" w:lineRule="auto"/>
        <w:jc w:val="left"/>
        <w:outlineLvl w:val="1"/>
        <w:rPr>
          <w:rFonts w:ascii="宋体" w:hAnsi="宋体" w:eastAsia="宋体"/>
          <w:bCs/>
          <w:szCs w:val="21"/>
        </w:rPr>
      </w:pPr>
      <w:bookmarkStart w:id="11" w:name="_Toc137156099"/>
      <w:r>
        <w:rPr>
          <w:rFonts w:hint="eastAsia" w:ascii="宋体" w:hAnsi="宋体" w:eastAsia="宋体"/>
          <w:b/>
          <w:szCs w:val="21"/>
        </w:rPr>
        <w:t>3.</w:t>
      </w:r>
      <w:r>
        <w:rPr>
          <w:rFonts w:ascii="宋体" w:hAnsi="宋体" w:eastAsia="宋体"/>
          <w:b/>
          <w:szCs w:val="21"/>
        </w:rPr>
        <w:t xml:space="preserve">2 </w:t>
      </w:r>
      <w:r>
        <w:rPr>
          <w:rFonts w:hint="eastAsia" w:ascii="宋体" w:hAnsi="宋体" w:eastAsia="宋体"/>
          <w:b/>
          <w:szCs w:val="21"/>
        </w:rPr>
        <w:t>树冠投影</w:t>
      </w:r>
      <w:r>
        <w:rPr>
          <w:rFonts w:hint="eastAsia" w:ascii="宋体" w:hAnsi="宋体" w:eastAsia="宋体"/>
          <w:bCs/>
          <w:szCs w:val="21"/>
        </w:rPr>
        <w:t xml:space="preserve"> </w:t>
      </w:r>
      <w:r>
        <w:rPr>
          <w:rFonts w:ascii="宋体" w:hAnsi="宋体" w:eastAsia="宋体"/>
          <w:bCs/>
          <w:szCs w:val="21"/>
        </w:rPr>
        <w:t>canopy projection</w:t>
      </w:r>
      <w:bookmarkEnd w:id="11"/>
    </w:p>
    <w:p w14:paraId="3DCE5F38">
      <w:pPr>
        <w:spacing w:line="360" w:lineRule="auto"/>
        <w:ind w:firstLine="420" w:firstLineChars="200"/>
        <w:jc w:val="left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指树冠枝叶外缘向地面垂直投影后形成的影区。</w:t>
      </w:r>
    </w:p>
    <w:p w14:paraId="22550A47">
      <w:pPr>
        <w:spacing w:line="360" w:lineRule="auto"/>
        <w:jc w:val="left"/>
        <w:outlineLvl w:val="1"/>
        <w:rPr>
          <w:rFonts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12" w:name="_Toc137156100"/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3.</w:t>
      </w:r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3 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生境保护范围 </w:t>
      </w:r>
      <w:r>
        <w:rPr>
          <w:rFonts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protected area</w:t>
      </w:r>
      <w:bookmarkEnd w:id="12"/>
    </w:p>
    <w:p w14:paraId="63C1DBA2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指树冠投影外延5m范围内。因特殊情况无法满足的，按县级以上人民政府批准的保护范围执行。</w:t>
      </w:r>
    </w:p>
    <w:p w14:paraId="2080CEB1">
      <w:pPr>
        <w:spacing w:line="360" w:lineRule="auto"/>
        <w:jc w:val="left"/>
        <w:outlineLvl w:val="1"/>
        <w:rPr>
          <w:rFonts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13" w:name="_Toc137156101"/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3.</w:t>
      </w:r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4 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根系分布区</w:t>
      </w:r>
      <w:r>
        <w:rPr>
          <w:rFonts w:hint="eastAsia"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root area</w:t>
      </w:r>
      <w:bookmarkEnd w:id="13"/>
    </w:p>
    <w:p w14:paraId="1E7BEF4B">
      <w:pPr>
        <w:spacing w:line="360" w:lineRule="auto"/>
        <w:ind w:firstLine="420" w:firstLineChars="200"/>
        <w:jc w:val="left"/>
        <w:rPr>
          <w:rFonts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指树木根系在水平和垂直方向伸展所形成的地下空间区域。</w:t>
      </w:r>
    </w:p>
    <w:p w14:paraId="51A854A4">
      <w:pPr>
        <w:spacing w:line="360" w:lineRule="auto"/>
        <w:jc w:val="left"/>
        <w:outlineLvl w:val="1"/>
        <w:rPr>
          <w:rFonts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14" w:name="_Toc137156102"/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3.</w:t>
      </w:r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5 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生长势</w:t>
      </w:r>
      <w:r>
        <w:rPr>
          <w:rFonts w:hint="eastAsia"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growth potential</w:t>
      </w:r>
      <w:bookmarkEnd w:id="14"/>
    </w:p>
    <w:p w14:paraId="0AE98529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指古树名木生长发育的旺盛程度和潜在能力，用树叶、枝条、和树干的生长状态来表征。</w:t>
      </w:r>
    </w:p>
    <w:p w14:paraId="35E26874">
      <w:pPr>
        <w:spacing w:line="360" w:lineRule="auto"/>
        <w:jc w:val="left"/>
        <w:outlineLvl w:val="1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15" w:name="_Toc137156103"/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3.6 硬支撑 </w:t>
      </w:r>
      <w:r>
        <w:rPr>
          <w:rFonts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solid propping</w:t>
      </w:r>
      <w:bookmarkEnd w:id="15"/>
    </w:p>
    <w:p w14:paraId="7C06C864">
      <w:pPr>
        <w:pStyle w:val="33"/>
        <w:spacing w:line="400" w:lineRule="exact"/>
        <w:ind w:firstLine="460"/>
        <w:rPr>
          <w:rFonts w:ascii="Times New Roman" w:hAnsi="Times New Roman" w:cs="Times New Roman"/>
          <w:sz w:val="21"/>
          <w:szCs w:val="21"/>
          <w:lang w:val="en-US"/>
        </w:rPr>
      </w:pPr>
      <w:r>
        <w:rPr>
          <w:rFonts w:ascii="Times New Roman" w:hAnsi="Times New Roman" w:cs="Times New Roman"/>
          <w:sz w:val="21"/>
          <w:szCs w:val="21"/>
        </w:rPr>
        <w:t>指从地面至古树斜体支撑点用硬质柱体支撑的方法。</w:t>
      </w:r>
    </w:p>
    <w:p w14:paraId="202BEAA3">
      <w:pPr>
        <w:spacing w:line="360" w:lineRule="auto"/>
        <w:jc w:val="left"/>
        <w:outlineLvl w:val="1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16" w:name="_Toc137156104"/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.7 拉纤</w:t>
      </w:r>
      <w:r>
        <w:rPr>
          <w:rFonts w:ascii="宋体" w:hAnsi="宋体" w:eastAsia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branch-towing</w:t>
      </w:r>
      <w:bookmarkEnd w:id="16"/>
    </w:p>
    <w:p w14:paraId="02EEF7D8">
      <w:pPr>
        <w:pStyle w:val="33"/>
        <w:spacing w:line="400" w:lineRule="exact"/>
        <w:ind w:firstLine="460"/>
        <w:rPr>
          <w:color w:val="000000" w:themeColor="text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1"/>
          <w:szCs w:val="21"/>
        </w:rPr>
        <w:t>指在主干或大侧枝上选择一牵引点，在附着体上选择另一牵引点，两点之间用</w:t>
      </w:r>
      <w:r>
        <w:rPr>
          <w:rFonts w:hint="eastAsia" w:ascii="Times New Roman" w:hAnsi="Times New Roman" w:cs="Times New Roman"/>
          <w:sz w:val="21"/>
          <w:szCs w:val="21"/>
        </w:rPr>
        <w:t>可调节柔性材料</w:t>
      </w:r>
      <w:r>
        <w:rPr>
          <w:rFonts w:ascii="Times New Roman" w:hAnsi="Times New Roman" w:cs="Times New Roman"/>
          <w:sz w:val="21"/>
          <w:szCs w:val="21"/>
        </w:rPr>
        <w:t>牵引的方法。</w:t>
      </w:r>
    </w:p>
    <w:p w14:paraId="79D10FEA">
      <w:pPr>
        <w:spacing w:before="312" w:beforeLines="100" w:after="312" w:afterLines="100"/>
        <w:jc w:val="left"/>
        <w:outlineLvl w:val="0"/>
        <w:rPr>
          <w:rFonts w:ascii="黑体" w:hAnsi="黑体" w:eastAsia="黑体"/>
          <w:b/>
          <w:szCs w:val="21"/>
        </w:rPr>
      </w:pPr>
      <w:bookmarkStart w:id="17" w:name="_Toc137156105"/>
      <w:bookmarkStart w:id="18" w:name="_Toc99792254"/>
      <w:r>
        <w:rPr>
          <w:rFonts w:hint="eastAsia" w:ascii="黑体" w:hAnsi="黑体" w:eastAsia="黑体"/>
          <w:b/>
          <w:szCs w:val="21"/>
        </w:rPr>
        <w:t>4基本规定</w:t>
      </w:r>
      <w:bookmarkEnd w:id="17"/>
      <w:bookmarkEnd w:id="18"/>
    </w:p>
    <w:p w14:paraId="66F1A8CC">
      <w:pPr>
        <w:spacing w:line="360" w:lineRule="auto"/>
        <w:jc w:val="left"/>
        <w:outlineLvl w:val="1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19" w:name="_Toc137156106"/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4.1</w:t>
      </w:r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古树名木分级保护</w:t>
      </w:r>
      <w:bookmarkEnd w:id="19"/>
    </w:p>
    <w:p w14:paraId="6DD45B91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古树名木保护级别按《湖南省古树名木保护办法》第九条的规定确定。</w:t>
      </w:r>
    </w:p>
    <w:p w14:paraId="5DB0128C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20" w:name="_Toc137156107"/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4.</w:t>
      </w:r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2 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古树名木生长势分级</w:t>
      </w:r>
      <w:bookmarkEnd w:id="20"/>
    </w:p>
    <w:p w14:paraId="57D736F2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古树名木生长状况分为：正常、衰弱、濒危、死亡共四个级别。详见附录A。</w:t>
      </w:r>
    </w:p>
    <w:p w14:paraId="2BB8DC79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21" w:name="_Toc137156108"/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.3 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养护责任人</w:t>
      </w:r>
      <w:bookmarkEnd w:id="21"/>
    </w:p>
    <w:p w14:paraId="50540000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县级人民政府古树名木主管部门</w:t>
      </w:r>
      <w:bookmarkStart w:id="22" w:name="OLE_LINK3"/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按《湖南省古树名木保护办法》</w:t>
      </w:r>
      <w:bookmarkEnd w:id="22"/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第十六条的规定确定古树名木养护责任人。</w:t>
      </w:r>
    </w:p>
    <w:p w14:paraId="671737AE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23" w:name="_Toc137156109"/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4.</w:t>
      </w:r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4 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古树名木养护</w:t>
      </w:r>
      <w:bookmarkEnd w:id="23"/>
    </w:p>
    <w:p w14:paraId="5C06F016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专业养护应根据古树名木情况制定养护方案。</w:t>
      </w:r>
    </w:p>
    <w:p w14:paraId="4CD83DDB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24" w:name="_Toc137156110"/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.5 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古树名木复壮</w:t>
      </w:r>
      <w:bookmarkEnd w:id="24"/>
    </w:p>
    <w:p w14:paraId="1B3936E3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生长势衰弱和濒危古树名木必须制定详细复壮方案，经专家论证，报古树名木主管部门审核批准。复壮工作完成后，应组织专家进行验收，并定期跟踪检查。</w:t>
      </w:r>
    </w:p>
    <w:p w14:paraId="0867114B">
      <w:pPr>
        <w:spacing w:before="312" w:beforeLines="100" w:after="312" w:afterLines="100"/>
        <w:jc w:val="left"/>
        <w:outlineLvl w:val="0"/>
        <w:rPr>
          <w:rFonts w:ascii="黑体" w:hAnsi="黑体" w:eastAsia="黑体"/>
          <w:b/>
          <w:szCs w:val="21"/>
        </w:rPr>
      </w:pPr>
      <w:bookmarkStart w:id="25" w:name="_Toc137156111"/>
      <w:bookmarkStart w:id="26" w:name="_Toc99792256"/>
      <w:r>
        <w:rPr>
          <w:rFonts w:ascii="黑体" w:hAnsi="黑体" w:eastAsia="黑体"/>
          <w:b/>
          <w:szCs w:val="21"/>
        </w:rPr>
        <w:t xml:space="preserve">5 </w:t>
      </w:r>
      <w:r>
        <w:rPr>
          <w:rFonts w:hint="eastAsia" w:ascii="黑体" w:hAnsi="黑体" w:eastAsia="黑体"/>
          <w:b/>
          <w:szCs w:val="21"/>
        </w:rPr>
        <w:t>地上环境改良与保护</w:t>
      </w:r>
      <w:bookmarkEnd w:id="25"/>
    </w:p>
    <w:p w14:paraId="5B22FAA9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27" w:name="_Toc137156112"/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1 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生长空间保护</w:t>
      </w:r>
      <w:bookmarkEnd w:id="27"/>
    </w:p>
    <w:p w14:paraId="56DF954D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szCs w:val="21"/>
        </w:rPr>
        <w:t>为古树名木留出足够的生长空间</w:t>
      </w:r>
      <w:r>
        <w:rPr>
          <w:rFonts w:ascii="Times New Roman" w:hAnsi="Times New Roman" w:cs="Times New Roman"/>
          <w:szCs w:val="21"/>
        </w:rPr>
        <w:t>，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禁止在生境保护范围内新建（扩建）建筑物或者构筑物、非通透性硬化地面、修建道路、敷设管线、架设电线、挖坑取土、采石取砂、非保护性填土、动用明火、倾倒污水垃圾、堆放和倾倒易燃易爆、有毒有害物品。 </w:t>
      </w:r>
    </w:p>
    <w:p w14:paraId="516E044F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28" w:name="_Toc137156113"/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.2 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保护牌设置</w:t>
      </w:r>
      <w:bookmarkEnd w:id="28"/>
    </w:p>
    <w:p w14:paraId="36987B05">
      <w:pPr>
        <w:pStyle w:val="2"/>
        <w:ind w:left="0" w:leftChars="0" w:firstLine="0" w:firstLineChars="0"/>
      </w:pP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古树名木应设置保护牌。具体要求详见附录B。</w:t>
      </w:r>
    </w:p>
    <w:p w14:paraId="46D85EEF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29" w:name="_Toc137156114"/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5.</w:t>
      </w:r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3 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围栏和树堰设置</w:t>
      </w:r>
      <w:bookmarkEnd w:id="29"/>
    </w:p>
    <w:p w14:paraId="2C9F9D95">
      <w:pPr>
        <w:spacing w:line="360" w:lineRule="auto"/>
        <w:jc w:val="left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5.3.1 </w:t>
      </w:r>
      <w:r>
        <w:rPr>
          <w:rFonts w:hint="eastAsia" w:ascii="宋体" w:hAnsi="宋体" w:eastAsia="宋体"/>
          <w:color w:val="000000"/>
          <w:szCs w:val="21"/>
        </w:rPr>
        <w:t>古树名木生境保护范围内游人践踏较多的、存在野生动物及家畜啃咬风险的、树冠下根系分布区易受踩踏、主干易受破坏的古树名木应设置围栏或防护栏与防踩踏设施。</w:t>
      </w:r>
    </w:p>
    <w:p w14:paraId="4C2210A7">
      <w:pPr>
        <w:spacing w:line="360" w:lineRule="auto"/>
        <w:jc w:val="left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color w:val="000000"/>
          <w:szCs w:val="21"/>
        </w:rPr>
        <w:t xml:space="preserve">5.3.2 </w:t>
      </w:r>
      <w:r>
        <w:rPr>
          <w:rFonts w:hint="eastAsia" w:ascii="宋体" w:hAnsi="宋体" w:eastAsia="宋体"/>
          <w:color w:val="000000"/>
          <w:szCs w:val="21"/>
        </w:rPr>
        <w:t>围栏及周围木栈道设计应与景观环境相协调，不得伤害古树名木根系，不得阻碍根系生长，存在白蚁危害风险区域不得使用普通竹木类材料做围栏，不得采取混凝土浇筑、石块堆砌等做法。</w:t>
      </w:r>
    </w:p>
    <w:p w14:paraId="0EB2643F">
      <w:pPr>
        <w:spacing w:line="360" w:lineRule="auto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5.3.3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围栏与树干的距离不小于3m。无法达到3m的，以1.5m为最低要求。围栏高度1.0m以上，围栏应安全、牢固。</w:t>
      </w:r>
    </w:p>
    <w:p w14:paraId="7839E38A">
      <w:pPr>
        <w:spacing w:line="360" w:lineRule="auto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szCs w:val="21"/>
        </w:rPr>
        <w:t>5.</w:t>
      </w:r>
      <w:r>
        <w:rPr>
          <w:rFonts w:ascii="宋体" w:hAnsi="宋体" w:eastAsia="宋体"/>
          <w:szCs w:val="21"/>
        </w:rPr>
        <w:t>3</w:t>
      </w:r>
      <w:r>
        <w:rPr>
          <w:rFonts w:hint="eastAsia" w:ascii="宋体" w:hAnsi="宋体" w:eastAsia="宋体"/>
          <w:szCs w:val="21"/>
        </w:rPr>
        <w:t>.</w:t>
      </w:r>
      <w:r>
        <w:rPr>
          <w:rFonts w:ascii="宋体" w:hAnsi="宋体" w:eastAsia="宋体"/>
          <w:szCs w:val="21"/>
        </w:rPr>
        <w:t>4</w:t>
      </w:r>
      <w:r>
        <w:rPr>
          <w:rFonts w:hint="eastAsia" w:ascii="宋体" w:hAnsi="宋体" w:eastAsia="宋体"/>
          <w:szCs w:val="21"/>
        </w:rPr>
        <w:t>有树堰的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树木，应根据环境铺设透水、透气、无污染的树堰覆盖物，也可在树堰内种植益生地被植物，防止践踏。</w:t>
      </w:r>
    </w:p>
    <w:p w14:paraId="7AD10990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30" w:name="_Toc137156115"/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4 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污染物和杂物清除</w:t>
      </w:r>
      <w:bookmarkEnd w:id="30"/>
    </w:p>
    <w:p w14:paraId="10BB5F34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及时清除树木周边的建筑垃圾或生活垃圾等有毒有害物质，控制污染源。</w:t>
      </w:r>
    </w:p>
    <w:p w14:paraId="011EC494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31" w:name="_Toc137156116"/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5.5 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伴生植物处理</w:t>
      </w:r>
      <w:bookmarkEnd w:id="31"/>
    </w:p>
    <w:p w14:paraId="33C33A46">
      <w:pPr>
        <w:spacing w:line="360" w:lineRule="auto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5.5.1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原则</w:t>
      </w:r>
    </w:p>
    <w:p w14:paraId="6200FBE0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对古树名木生长不利的植物应尽量清除。</w:t>
      </w:r>
    </w:p>
    <w:p w14:paraId="6D51CD92">
      <w:pPr>
        <w:spacing w:line="360" w:lineRule="auto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5.5.2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方法</w:t>
      </w:r>
    </w:p>
    <w:p w14:paraId="708B2CF3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（1）对影响古树名木光照的周边树木枝条应定期修剪。</w:t>
      </w:r>
    </w:p>
    <w:p w14:paraId="7465428E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（2）保护范围内的大型野草、恶性杂草、竹类应连根拔除。</w:t>
      </w:r>
    </w:p>
    <w:p w14:paraId="5E21DA68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（3）对树木生长有不良影响的藤本植物应从藤条根部砍断，清除藤条或任其留在树上自然腐烂；清除藤条时应注意树皮保护。</w:t>
      </w:r>
    </w:p>
    <w:p w14:paraId="0F6CB976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（4）树上的寄生植物应连同被寄生的枝条一起修剪去除</w:t>
      </w:r>
    </w:p>
    <w:p w14:paraId="2804CA8B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枝条修剪和创伤面处理应参照附录F树冠整理技术规定；附生的蕨类植物可不清除。</w:t>
      </w:r>
    </w:p>
    <w:p w14:paraId="0E582A30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32" w:name="_Toc137156117"/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5.6 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地表根系管护</w:t>
      </w:r>
      <w:bookmarkEnd w:id="32"/>
    </w:p>
    <w:p w14:paraId="0FEF1AAD">
      <w:pPr>
        <w:pStyle w:val="33"/>
        <w:tabs>
          <w:tab w:val="left" w:pos="699"/>
        </w:tabs>
        <w:spacing w:line="400" w:lineRule="exact"/>
        <w:rPr>
          <w:rFonts w:cstheme="minorBidi"/>
          <w:color w:val="000000" w:themeColor="text1"/>
          <w:sz w:val="21"/>
          <w:szCs w:val="21"/>
          <w:lang w:val="en-US" w:bidi="ar-SA"/>
          <w14:textFill>
            <w14:solidFill>
              <w14:schemeClr w14:val="tx1"/>
            </w14:solidFill>
          </w14:textFill>
        </w:rPr>
      </w:pPr>
      <w:r>
        <w:rPr>
          <w:rFonts w:cstheme="minorBidi"/>
          <w:color w:val="000000" w:themeColor="text1"/>
          <w:sz w:val="21"/>
          <w:szCs w:val="21"/>
          <w:lang w:val="en-US" w:bidi="ar-SA"/>
          <w14:textFill>
            <w14:solidFill>
              <w14:schemeClr w14:val="tx1"/>
            </w14:solidFill>
          </w14:textFill>
        </w:rPr>
        <w:t>5.6.1 生长于平地的古树名木，裸露地表的根</w:t>
      </w:r>
      <w:r>
        <w:rPr>
          <w:rFonts w:hint="eastAsia" w:cstheme="minorBidi"/>
          <w:color w:val="000000" w:themeColor="text1"/>
          <w:sz w:val="21"/>
          <w:szCs w:val="21"/>
          <w:lang w:val="en-US" w:bidi="ar-SA"/>
          <w14:textFill>
            <w14:solidFill>
              <w14:schemeClr w14:val="tx1"/>
            </w14:solidFill>
          </w14:textFill>
        </w:rPr>
        <w:t>可</w:t>
      </w:r>
      <w:r>
        <w:rPr>
          <w:rFonts w:cstheme="minorBidi"/>
          <w:color w:val="000000" w:themeColor="text1"/>
          <w:sz w:val="21"/>
          <w:szCs w:val="21"/>
          <w:lang w:val="en-US" w:bidi="ar-SA"/>
          <w14:textFill>
            <w14:solidFill>
              <w14:schemeClr w14:val="tx1"/>
            </w14:solidFill>
          </w14:textFill>
        </w:rPr>
        <w:t>适当覆土，但不宜盖过根系10cm</w:t>
      </w:r>
      <w:r>
        <w:rPr>
          <w:rFonts w:hint="eastAsia" w:cstheme="minorBidi"/>
          <w:color w:val="000000" w:themeColor="text1"/>
          <w:sz w:val="21"/>
          <w:szCs w:val="21"/>
          <w:lang w:val="en-US" w:bidi="ar-SA"/>
          <w14:textFill>
            <w14:solidFill>
              <w14:schemeClr w14:val="tx1"/>
            </w14:solidFill>
          </w14:textFill>
        </w:rPr>
        <w:t>，</w:t>
      </w:r>
      <w:r>
        <w:rPr>
          <w:rFonts w:cstheme="minorBidi"/>
          <w:color w:val="000000" w:themeColor="text1"/>
          <w:sz w:val="21"/>
          <w:szCs w:val="21"/>
          <w:lang w:val="en-US" w:bidi="ar-SA"/>
          <w14:textFill>
            <w14:solidFill>
              <w14:schemeClr w14:val="tx1"/>
            </w14:solidFill>
          </w14:textFill>
        </w:rPr>
        <w:t>覆土土壤应富含腐殖质，无污染，理化性质适合古树名木生长。</w:t>
      </w:r>
    </w:p>
    <w:p w14:paraId="51CDD653">
      <w:pPr>
        <w:pStyle w:val="33"/>
        <w:tabs>
          <w:tab w:val="left" w:pos="793"/>
        </w:tabs>
        <w:autoSpaceDE w:val="0"/>
        <w:autoSpaceDN w:val="0"/>
        <w:spacing w:line="400" w:lineRule="exact"/>
        <w:rPr>
          <w:rFonts w:cstheme="minorBidi"/>
          <w:color w:val="000000" w:themeColor="text1"/>
          <w:sz w:val="21"/>
          <w:szCs w:val="21"/>
          <w:lang w:val="en-US" w:bidi="ar-SA"/>
          <w14:textFill>
            <w14:solidFill>
              <w14:schemeClr w14:val="tx1"/>
            </w14:solidFill>
          </w14:textFill>
        </w:rPr>
      </w:pPr>
      <w:r>
        <w:rPr>
          <w:rFonts w:cstheme="minorBidi"/>
          <w:color w:val="000000" w:themeColor="text1"/>
          <w:sz w:val="21"/>
          <w:szCs w:val="21"/>
          <w:lang w:val="en-US" w:bidi="ar-SA"/>
          <w14:textFill>
            <w14:solidFill>
              <w14:schemeClr w14:val="tx1"/>
            </w14:solidFill>
          </w14:textFill>
        </w:rPr>
        <w:t>5.6.2 长于坡地且树根周围出现水土流失的古树名木，应设置护坡，回填一定厚度、适合根系生长的基质加以护根</w:t>
      </w:r>
      <w:r>
        <w:rPr>
          <w:rFonts w:hint="eastAsia" w:cstheme="minorBidi"/>
          <w:color w:val="000000" w:themeColor="text1"/>
          <w:sz w:val="21"/>
          <w:szCs w:val="21"/>
          <w:lang w:val="en-US" w:bidi="ar-SA"/>
          <w14:textFill>
            <w14:solidFill>
              <w14:schemeClr w14:val="tx1"/>
            </w14:solidFill>
          </w14:textFill>
        </w:rPr>
        <w:t>；</w:t>
      </w:r>
      <w:r>
        <w:rPr>
          <w:rFonts w:cstheme="minorBidi"/>
          <w:color w:val="000000" w:themeColor="text1"/>
          <w:sz w:val="21"/>
          <w:szCs w:val="21"/>
          <w:lang w:val="en-US" w:bidi="ar-SA"/>
          <w14:textFill>
            <w14:solidFill>
              <w14:schemeClr w14:val="tx1"/>
            </w14:solidFill>
          </w14:textFill>
        </w:rPr>
        <w:t>护坡高度、长度及走向依地势而定。</w:t>
      </w:r>
    </w:p>
    <w:p w14:paraId="73E24B50">
      <w:pPr>
        <w:pStyle w:val="33"/>
        <w:tabs>
          <w:tab w:val="left" w:pos="699"/>
        </w:tabs>
        <w:spacing w:line="400" w:lineRule="exact"/>
        <w:rPr>
          <w:rFonts w:cstheme="minorBidi"/>
          <w:color w:val="000000" w:themeColor="text1"/>
          <w:sz w:val="21"/>
          <w:szCs w:val="21"/>
          <w:lang w:val="en-US" w:bidi="ar-SA"/>
          <w14:textFill>
            <w14:solidFill>
              <w14:schemeClr w14:val="tx1"/>
            </w14:solidFill>
          </w14:textFill>
        </w:rPr>
      </w:pPr>
      <w:r>
        <w:rPr>
          <w:rFonts w:cstheme="minorBidi"/>
          <w:color w:val="000000" w:themeColor="text1"/>
          <w:sz w:val="21"/>
          <w:szCs w:val="21"/>
          <w:lang w:val="en-US" w:bidi="ar-SA"/>
          <w14:textFill>
            <w14:solidFill>
              <w14:schemeClr w14:val="tx1"/>
            </w14:solidFill>
          </w14:textFill>
        </w:rPr>
        <w:t>5.6.3 生长于水系边的古树名木，应据周边环境需要进行护岸加固，保护根系</w:t>
      </w:r>
      <w:r>
        <w:rPr>
          <w:rFonts w:hint="eastAsia" w:cstheme="minorBidi"/>
          <w:color w:val="000000" w:themeColor="text1"/>
          <w:sz w:val="21"/>
          <w:szCs w:val="21"/>
          <w:lang w:val="en-US" w:bidi="ar-SA"/>
          <w14:textFill>
            <w14:solidFill>
              <w14:schemeClr w14:val="tx1"/>
            </w14:solidFill>
          </w14:textFill>
        </w:rPr>
        <w:t>；</w:t>
      </w:r>
      <w:r>
        <w:rPr>
          <w:rFonts w:cstheme="minorBidi"/>
          <w:color w:val="000000" w:themeColor="text1"/>
          <w:sz w:val="21"/>
          <w:szCs w:val="21"/>
          <w:lang w:val="en-US" w:bidi="ar-SA"/>
          <w14:textFill>
            <w14:solidFill>
              <w14:schemeClr w14:val="tx1"/>
            </w14:solidFill>
          </w14:textFill>
        </w:rPr>
        <w:t>可用石驳、木桩等。</w:t>
      </w:r>
    </w:p>
    <w:p w14:paraId="47775EBC">
      <w:pPr>
        <w:pStyle w:val="33"/>
        <w:tabs>
          <w:tab w:val="left" w:pos="699"/>
        </w:tabs>
        <w:spacing w:line="400" w:lineRule="exact"/>
        <w:rPr>
          <w:rFonts w:cstheme="minorBidi"/>
          <w:color w:val="000000" w:themeColor="text1"/>
          <w:sz w:val="21"/>
          <w:szCs w:val="21"/>
          <w:lang w:val="en-US" w:bidi="ar-SA"/>
          <w14:textFill>
            <w14:solidFill>
              <w14:schemeClr w14:val="tx1"/>
            </w14:solidFill>
          </w14:textFill>
        </w:rPr>
      </w:pPr>
      <w:r>
        <w:rPr>
          <w:rFonts w:cstheme="minorBidi"/>
          <w:color w:val="000000" w:themeColor="text1"/>
          <w:sz w:val="21"/>
          <w:szCs w:val="21"/>
          <w:lang w:val="en-US" w:bidi="ar-SA"/>
          <w14:textFill>
            <w14:solidFill>
              <w14:schemeClr w14:val="tx1"/>
            </w14:solidFill>
          </w14:textFill>
        </w:rPr>
        <w:t>5.6.4 主干被埋的古树名木，</w:t>
      </w:r>
      <w:r>
        <w:rPr>
          <w:rFonts w:hint="eastAsia" w:cstheme="minorBidi"/>
          <w:color w:val="000000" w:themeColor="text1"/>
          <w:sz w:val="21"/>
          <w:szCs w:val="21"/>
          <w:lang w:val="en-US" w:bidi="ar-SA"/>
          <w14:textFill>
            <w14:solidFill>
              <w14:schemeClr w14:val="tx1"/>
            </w14:solidFill>
          </w14:textFill>
        </w:rPr>
        <w:t>原则上</w:t>
      </w:r>
      <w:r>
        <w:rPr>
          <w:rFonts w:cstheme="minorBidi"/>
          <w:color w:val="000000" w:themeColor="text1"/>
          <w:sz w:val="21"/>
          <w:szCs w:val="21"/>
          <w:lang w:val="en-US" w:bidi="ar-SA"/>
          <w14:textFill>
            <w14:solidFill>
              <w14:schemeClr w14:val="tx1"/>
            </w14:solidFill>
          </w14:textFill>
        </w:rPr>
        <w:t>移除覆土，挖至原表土层或根颈部为宜。</w:t>
      </w:r>
      <w:r>
        <w:rPr>
          <w:rFonts w:hint="eastAsia" w:cstheme="minorBidi"/>
          <w:color w:val="000000" w:themeColor="text1"/>
          <w:sz w:val="21"/>
          <w:szCs w:val="21"/>
          <w:lang w:val="en-US" w:bidi="ar-SA"/>
          <w14:textFill>
            <w14:solidFill>
              <w14:schemeClr w14:val="tx1"/>
            </w14:solidFill>
          </w14:textFill>
        </w:rPr>
        <w:t>但如果堆高时间很长，古树名木已经在堆高土壤中萌生了大量适应性根系，则保留堆高。</w:t>
      </w:r>
    </w:p>
    <w:bookmarkEnd w:id="26"/>
    <w:p w14:paraId="6D5F265D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szCs w:val="21"/>
        </w:rPr>
      </w:pPr>
      <w:bookmarkStart w:id="33" w:name="_Toc137156118"/>
      <w:r>
        <w:rPr>
          <w:rFonts w:hint="eastAsia" w:ascii="宋体" w:hAnsi="宋体" w:eastAsia="宋体"/>
          <w:b/>
          <w:szCs w:val="21"/>
        </w:rPr>
        <w:t>5.</w:t>
      </w:r>
      <w:r>
        <w:rPr>
          <w:rFonts w:ascii="宋体" w:hAnsi="宋体" w:eastAsia="宋体"/>
          <w:b/>
          <w:szCs w:val="21"/>
        </w:rPr>
        <w:t xml:space="preserve">7 </w:t>
      </w:r>
      <w:r>
        <w:rPr>
          <w:rFonts w:hint="eastAsia" w:ascii="宋体" w:hAnsi="宋体" w:eastAsia="宋体"/>
          <w:b/>
          <w:szCs w:val="21"/>
        </w:rPr>
        <w:t>防雷</w:t>
      </w:r>
      <w:bookmarkEnd w:id="33"/>
    </w:p>
    <w:p w14:paraId="337A32A3">
      <w:pPr>
        <w:spacing w:line="360" w:lineRule="auto"/>
        <w:jc w:val="left"/>
        <w:rPr>
          <w:rFonts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>5.</w:t>
      </w:r>
      <w:r>
        <w:rPr>
          <w:rFonts w:ascii="宋体" w:hAnsi="宋体" w:eastAsia="宋体"/>
          <w:color w:val="000000"/>
          <w:szCs w:val="21"/>
        </w:rPr>
        <w:t>7</w:t>
      </w:r>
      <w:r>
        <w:rPr>
          <w:rFonts w:hint="eastAsia" w:ascii="宋体" w:hAnsi="宋体" w:eastAsia="宋体"/>
          <w:color w:val="000000"/>
          <w:szCs w:val="21"/>
        </w:rPr>
        <w:t>.1古树名木的防雷应根据古树名木所处的地理位置、环境条件、雷击概率、雷击后果以及被保护物的特点等综合因素，采用不同的雷电防护措施。</w:t>
      </w:r>
    </w:p>
    <w:p w14:paraId="388C028A">
      <w:pPr>
        <w:spacing w:line="360" w:lineRule="auto"/>
        <w:jc w:val="left"/>
        <w:rPr>
          <w:rFonts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>5.</w:t>
      </w:r>
      <w:r>
        <w:rPr>
          <w:rFonts w:ascii="宋体" w:hAnsi="宋体" w:eastAsia="宋体"/>
          <w:color w:val="000000"/>
          <w:szCs w:val="21"/>
        </w:rPr>
        <w:t>7</w:t>
      </w:r>
      <w:r>
        <w:rPr>
          <w:rFonts w:hint="eastAsia" w:ascii="宋体" w:hAnsi="宋体" w:eastAsia="宋体"/>
          <w:color w:val="000000"/>
          <w:szCs w:val="21"/>
        </w:rPr>
        <w:t>.2</w:t>
      </w:r>
      <w:r>
        <w:rPr>
          <w:rFonts w:ascii="宋体" w:hAnsi="宋体" w:eastAsia="宋体"/>
          <w:color w:val="000000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树体高大的古树名木应该安装避雷针。</w:t>
      </w:r>
      <w:r>
        <w:rPr>
          <w:rFonts w:hint="eastAsia" w:ascii="宋体" w:hAnsi="宋体" w:eastAsia="宋体"/>
          <w:color w:val="000000"/>
          <w:szCs w:val="21"/>
        </w:rPr>
        <w:t>多株或成群成片的古树名木，宜采用独立接闪（杆）进行保护。防雷装置应设置配套的符合安全规范的警示牌、警示柱等安全防护措施，并划定安全范围。防雷装置的设置与安装具体要求参照</w:t>
      </w:r>
      <w:r>
        <w:rPr>
          <w:rFonts w:hint="eastAsia" w:asciiTheme="minorEastAsia" w:hAnsiTheme="minorEastAsia"/>
          <w:szCs w:val="21"/>
        </w:rPr>
        <w:t>QX/T 231-2014。</w:t>
      </w:r>
    </w:p>
    <w:p w14:paraId="2687E46A"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5.</w:t>
      </w:r>
      <w:r>
        <w:rPr>
          <w:rFonts w:ascii="宋体" w:hAnsi="宋体" w:eastAsia="宋体"/>
          <w:szCs w:val="21"/>
        </w:rPr>
        <w:t>7</w:t>
      </w:r>
      <w:r>
        <w:rPr>
          <w:rFonts w:hint="eastAsia" w:ascii="宋体" w:hAnsi="宋体" w:eastAsia="宋体"/>
          <w:szCs w:val="21"/>
        </w:rPr>
        <w:t>.3防雷装置投入使用后，应定期检查维护。每年至少要检查一次古树名木生长变化对防雷装置的影响。</w:t>
      </w:r>
    </w:p>
    <w:p w14:paraId="5A1F96D5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34" w:name="_Toc137156119"/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5.</w:t>
      </w:r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8 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远程监控保护</w:t>
      </w:r>
      <w:bookmarkEnd w:id="34"/>
    </w:p>
    <w:p w14:paraId="38BB6DC4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鼓励在条件具备的地方设立远程监控，可安装远程监控摄像头、温湿度传感器和土壤pH值检测传感器等设备。采购设备时不作品牌要求。</w:t>
      </w:r>
    </w:p>
    <w:p w14:paraId="5F9A3311">
      <w:pPr>
        <w:spacing w:before="312" w:beforeLines="100" w:after="312" w:afterLines="100"/>
        <w:jc w:val="left"/>
        <w:outlineLvl w:val="0"/>
        <w:rPr>
          <w:rFonts w:ascii="黑体" w:hAnsi="黑体" w:eastAsia="黑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35" w:name="_Toc137156120"/>
      <w:r>
        <w:rPr>
          <w:rFonts w:ascii="黑体" w:hAnsi="黑体" w:eastAsia="黑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6 </w:t>
      </w:r>
      <w:r>
        <w:rPr>
          <w:rFonts w:hint="eastAsia" w:ascii="黑体" w:hAnsi="黑体" w:eastAsia="黑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土肥水管理</w:t>
      </w:r>
      <w:bookmarkEnd w:id="35"/>
    </w:p>
    <w:p w14:paraId="17B4C435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36" w:name="_Toc137156121"/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.1 土壤管护</w:t>
      </w:r>
      <w:bookmarkEnd w:id="36"/>
    </w:p>
    <w:p w14:paraId="7067DB60">
      <w:pPr>
        <w:spacing w:line="360" w:lineRule="auto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1.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根据养护需要定期进行土壤理化性质监测。</w:t>
      </w:r>
    </w:p>
    <w:p w14:paraId="2179149B">
      <w:pPr>
        <w:spacing w:line="360" w:lineRule="auto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6.1.2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土壤理化性质监测指标包括土壤容重、孔隙度、颗粒组成、有机质、氮、磷、钾、微量元素、重金属等，</w:t>
      </w:r>
      <w:bookmarkStart w:id="37" w:name="OLE_LINK2"/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按照LY/T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1228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、1232、1234、1237、1253、2970、HJ/T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1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66规定执行。</w:t>
      </w:r>
      <w:bookmarkEnd w:id="37"/>
    </w:p>
    <w:p w14:paraId="6A31C7C1">
      <w:pPr>
        <w:spacing w:line="360" w:lineRule="auto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1.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土壤疏松、无污染、透气性良好、自然含水率应在古树名木正常生长的需求范围。</w:t>
      </w:r>
    </w:p>
    <w:p w14:paraId="720715EE">
      <w:pPr>
        <w:spacing w:line="360" w:lineRule="auto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1.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cs="Times New Roman"/>
          <w:szCs w:val="21"/>
        </w:rPr>
        <w:t>土壤密实板结，通气不良，可采取挖复壮沟等土壤改良技术，结合土壤通气措施，改善土壤理化性质。单株古树可挖 4～6 条复壮沟，</w:t>
      </w:r>
      <w:r>
        <w:rPr>
          <w:rFonts w:ascii="Times New Roman" w:hAnsi="Times New Roman" w:cs="Times New Roman"/>
          <w:szCs w:val="21"/>
        </w:rPr>
        <w:t>古树群</w:t>
      </w:r>
      <w:r>
        <w:rPr>
          <w:rFonts w:hint="eastAsia" w:ascii="Times New Roman" w:hAnsi="Times New Roman" w:cs="Times New Roman"/>
          <w:szCs w:val="21"/>
        </w:rPr>
        <w:t>可在古树之间设置 2～3 条复壮沟。复壮沟可与通气管（井）相连接，大小和形状因环境而定，也可根据情况单独竖向埋设通气管。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/>
          <w:szCs w:val="21"/>
        </w:rPr>
        <w:t>具体要求按照L</w:t>
      </w:r>
      <w:r>
        <w:rPr>
          <w:rFonts w:ascii="宋体" w:hAnsi="宋体" w:eastAsia="宋体"/>
          <w:color w:val="000000"/>
          <w:szCs w:val="21"/>
        </w:rPr>
        <w:t>Y</w:t>
      </w:r>
      <w:r>
        <w:rPr>
          <w:rFonts w:hint="eastAsia" w:asciiTheme="minorEastAsia" w:hAnsiTheme="minorEastAsia"/>
          <w:szCs w:val="21"/>
        </w:rPr>
        <w:t xml:space="preserve">/T </w:t>
      </w:r>
      <w:r>
        <w:rPr>
          <w:rFonts w:asciiTheme="minorEastAsia" w:hAnsiTheme="minorEastAsia"/>
          <w:szCs w:val="21"/>
        </w:rPr>
        <w:t>2494</w:t>
      </w:r>
      <w:r>
        <w:rPr>
          <w:rFonts w:hint="eastAsia" w:asciiTheme="minorEastAsia" w:hAnsiTheme="minorEastAsia"/>
          <w:szCs w:val="21"/>
        </w:rPr>
        <w:t>-201</w:t>
      </w:r>
      <w:r>
        <w:rPr>
          <w:rFonts w:asciiTheme="minorEastAsia" w:hAnsiTheme="minorEastAsia"/>
          <w:szCs w:val="21"/>
        </w:rPr>
        <w:t>5</w:t>
      </w:r>
      <w:r>
        <w:rPr>
          <w:rFonts w:hint="eastAsia" w:asciiTheme="minorEastAsia" w:hAnsiTheme="minorEastAsia"/>
          <w:szCs w:val="21"/>
        </w:rPr>
        <w:t>附录A规定执行。</w:t>
      </w:r>
    </w:p>
    <w:p w14:paraId="2256ED29">
      <w:pPr>
        <w:spacing w:line="360" w:lineRule="auto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1.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古树名木处于坡地的应防止生境保护范围内水土流失。</w:t>
      </w:r>
    </w:p>
    <w:p w14:paraId="460F36FC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38" w:name="_Toc137156122"/>
      <w:r>
        <w:rPr>
          <w:rFonts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2 施肥</w:t>
      </w:r>
      <w:bookmarkEnd w:id="38"/>
    </w:p>
    <w:p w14:paraId="7A3A544B">
      <w:pPr>
        <w:spacing w:line="360" w:lineRule="auto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2.1施肥前宜进行营养诊断，叶片营养诊断按照LY/T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1270</w:t>
      </w:r>
      <w:r>
        <w:rPr>
          <w:rFonts w:hint="eastAsia"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1274规定执行，土壤营养诊断按土壤管护6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.1.2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条款规定。</w:t>
      </w:r>
    </w:p>
    <w:p w14:paraId="0EA69C3A">
      <w:pPr>
        <w:spacing w:line="360" w:lineRule="auto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2.2施肥方式分土壤施肥、叶面施肥。</w:t>
      </w:r>
    </w:p>
    <w:p w14:paraId="43DF860D">
      <w:pPr>
        <w:spacing w:line="360" w:lineRule="auto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2.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按需施肥，根据树种、树木营养诊断结果确定施肥量。</w:t>
      </w:r>
    </w:p>
    <w:p w14:paraId="3614BE23">
      <w:pPr>
        <w:spacing w:line="360" w:lineRule="auto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6.2.4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土壤施肥以充分腐熟的有机肥或缓释肥为主，速效肥为辅。</w:t>
      </w:r>
    </w:p>
    <w:p w14:paraId="385F822A">
      <w:pPr>
        <w:spacing w:line="360" w:lineRule="auto"/>
        <w:jc w:val="left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2.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土壤施肥每年进行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次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~3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次，对于生长较差的古树名木，应酌情增加施肥次数，在早春或秋后进行；对于根系衰弱的古树、如褐根病、根腐病等不得施肥。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 w14:paraId="7D1D6F29">
      <w:pPr>
        <w:spacing w:line="360" w:lineRule="auto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2.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6 </w:t>
      </w:r>
      <w:bookmarkStart w:id="39" w:name="_Hlk130931960"/>
      <w:bookmarkStart w:id="40" w:name="_Hlk130932225"/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在树冠投影外围沟施或穴施。沟施时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沟规格宜宽0.3m~0.4m，深0.4m~0.5m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，长度、形状、数量等依据周围环境确定；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穴施时穴洞直径 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5cm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~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10cm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、深 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20cm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~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50cm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，穴个数、间距依据周围环境确定。</w:t>
      </w:r>
      <w:bookmarkEnd w:id="39"/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施肥点均匀分布在古树四周且每年轮替交换。</w:t>
      </w:r>
      <w:bookmarkEnd w:id="40"/>
    </w:p>
    <w:p w14:paraId="575E18DA">
      <w:pPr>
        <w:spacing w:line="360" w:lineRule="auto"/>
        <w:jc w:val="left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2.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叶面施肥的种类应根据叶片缺素症状选择有针对性的叶面肥。</w:t>
      </w:r>
    </w:p>
    <w:p w14:paraId="3748FCE7">
      <w:pPr>
        <w:spacing w:line="360" w:lineRule="auto"/>
        <w:jc w:val="left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2.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叶面肥应每10天喷一次，施肥次数应以达到叶片恢复基本正常为宜。</w:t>
      </w:r>
    </w:p>
    <w:p w14:paraId="23A99E52">
      <w:pPr>
        <w:spacing w:line="360" w:lineRule="auto"/>
        <w:jc w:val="left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2.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叶面施肥在生长季进行，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但不得在叶芽期、幼叶期喷施，且避开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炎热中午。</w:t>
      </w:r>
    </w:p>
    <w:p w14:paraId="44933B58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szCs w:val="21"/>
        </w:rPr>
      </w:pPr>
      <w:bookmarkStart w:id="41" w:name="_Toc137156123"/>
      <w:r>
        <w:rPr>
          <w:rFonts w:ascii="宋体" w:hAnsi="宋体" w:eastAsia="宋体"/>
          <w:b/>
          <w:szCs w:val="21"/>
        </w:rPr>
        <w:t>6.</w:t>
      </w:r>
      <w:r>
        <w:rPr>
          <w:rFonts w:hint="eastAsia" w:ascii="宋体" w:hAnsi="宋体" w:eastAsia="宋体"/>
          <w:b/>
          <w:szCs w:val="21"/>
        </w:rPr>
        <w:t>3 补水与排水</w:t>
      </w:r>
      <w:bookmarkEnd w:id="41"/>
    </w:p>
    <w:p w14:paraId="1C8AF7D5">
      <w:pPr>
        <w:spacing w:line="360" w:lineRule="auto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3.1补水 </w:t>
      </w:r>
    </w:p>
    <w:p w14:paraId="7D6BF282">
      <w:pPr>
        <w:spacing w:line="360" w:lineRule="auto"/>
        <w:ind w:firstLine="420" w:firstLineChars="200"/>
        <w:jc w:val="left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（1）土壤干旱缺水时应及时补水，补水可采用土壤浇水或叶面喷水。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浇水要浇足浇透，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补水量为田间最大持水量的70%~80%。 </w:t>
      </w:r>
    </w:p>
    <w:p w14:paraId="5E53E00F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）土壤浇水应在多数吸收根分布范围内进行。</w:t>
      </w:r>
    </w:p>
    <w:p w14:paraId="0DCA8C79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）遇有密实土壤、不透气硬质铺装等障碍因素时，应先改土后浇水。</w:t>
      </w:r>
    </w:p>
    <w:p w14:paraId="2205F361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）叶面喷水时间应选择晴天的清晨或者傍晚，避开炎热中午。</w:t>
      </w:r>
    </w:p>
    <w:p w14:paraId="3D13EF01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）叶面喷水宜使用雾化设施，均匀喷洒树冠。</w:t>
      </w:r>
    </w:p>
    <w:p w14:paraId="66537A09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（6）因极端天气或恶劣事件造成古树名木树干脱水、生长势骤然下降时，应及时采取以下措施：</w:t>
      </w:r>
    </w:p>
    <w:p w14:paraId="590EB4AF">
      <w:pPr>
        <w:spacing w:line="360" w:lineRule="auto"/>
        <w:ind w:firstLine="630" w:firstLineChars="3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树体上安装喷水系统，微喷补水。</w:t>
      </w:r>
    </w:p>
    <w:p w14:paraId="5D470BD0">
      <w:pPr>
        <w:spacing w:line="360" w:lineRule="auto"/>
        <w:ind w:firstLine="630" w:firstLineChars="3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主根和主枝补液。严重失水后通过浇水不能使萎蔫枝叶恢复正常的古树名木，应在根部或枝干上打孔补液，按胸径每 10 cm 输 1 袋/次进行，输液应持续 10～20 天。</w:t>
      </w:r>
    </w:p>
    <w:p w14:paraId="0867EDFE">
      <w:pPr>
        <w:pStyle w:val="2"/>
        <w:ind w:left="0" w:leftChars="0" w:firstLine="0" w:firstLineChars="0"/>
      </w:pPr>
      <w:r>
        <w:rPr>
          <w:rFonts w:hint="eastAsia"/>
        </w:rPr>
        <w:t xml:space="preserve"> </w:t>
      </w:r>
      <w:r>
        <w:t xml:space="preserve">     C </w:t>
      </w:r>
      <w:r>
        <w:rPr>
          <w:rFonts w:hint="eastAsia"/>
        </w:rPr>
        <w:t>主干缠绕草绳、土工布等，早晚进行喷水保湿。</w:t>
      </w:r>
    </w:p>
    <w:p w14:paraId="46B659BD">
      <w:pPr>
        <w:spacing w:line="360" w:lineRule="auto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3.2排水 </w:t>
      </w:r>
    </w:p>
    <w:p w14:paraId="312FF9B5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42" w:name="_Hlk98517317"/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</w:t>
      </w:r>
      <w:bookmarkEnd w:id="42"/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地表积水应利用地势径流或原有沟渠及时排出。</w:t>
      </w:r>
    </w:p>
    <w:p w14:paraId="39621460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（2）处于地势低洼或地下水位高的古树名木，雨后2小时内应及时排除根部积水。当积水不能及时排除时，须采取挖渗水井、铺设管道等措施，将水排到生境保护范围外。渗水井设置</w:t>
      </w:r>
      <w:r>
        <w:rPr>
          <w:rFonts w:hint="eastAsia" w:ascii="宋体" w:hAnsi="宋体" w:eastAsia="宋体"/>
          <w:color w:val="000000"/>
          <w:szCs w:val="21"/>
        </w:rPr>
        <w:t>具体要求按照L</w:t>
      </w:r>
      <w:r>
        <w:rPr>
          <w:rFonts w:ascii="宋体" w:hAnsi="宋体" w:eastAsia="宋体"/>
          <w:color w:val="000000"/>
          <w:szCs w:val="21"/>
        </w:rPr>
        <w:t>Y</w:t>
      </w:r>
      <w:r>
        <w:rPr>
          <w:rFonts w:hint="eastAsia" w:asciiTheme="minorEastAsia" w:hAnsiTheme="minorEastAsia"/>
          <w:szCs w:val="21"/>
        </w:rPr>
        <w:t xml:space="preserve">/T </w:t>
      </w:r>
      <w:r>
        <w:rPr>
          <w:rFonts w:asciiTheme="minorEastAsia" w:hAnsiTheme="minorEastAsia"/>
          <w:szCs w:val="21"/>
        </w:rPr>
        <w:t>2494</w:t>
      </w:r>
      <w:r>
        <w:rPr>
          <w:rFonts w:hint="eastAsia" w:asciiTheme="minorEastAsia" w:hAnsiTheme="minorEastAsia"/>
          <w:szCs w:val="21"/>
        </w:rPr>
        <w:t>-201</w:t>
      </w:r>
      <w:r>
        <w:rPr>
          <w:rFonts w:asciiTheme="minorEastAsia" w:hAnsiTheme="minorEastAsia"/>
          <w:szCs w:val="21"/>
        </w:rPr>
        <w:t>5</w:t>
      </w:r>
      <w:r>
        <w:rPr>
          <w:rFonts w:hint="eastAsia" w:asciiTheme="minorEastAsia" w:hAnsiTheme="minorEastAsia"/>
          <w:szCs w:val="21"/>
        </w:rPr>
        <w:t>附录A规定执行。</w:t>
      </w:r>
    </w:p>
    <w:p w14:paraId="4C802A13">
      <w:pPr>
        <w:spacing w:before="312" w:beforeLines="100" w:after="312" w:afterLines="100"/>
        <w:jc w:val="left"/>
        <w:outlineLvl w:val="0"/>
        <w:rPr>
          <w:rFonts w:ascii="黑体" w:hAnsi="黑体" w:eastAsia="黑体"/>
          <w:b/>
          <w:szCs w:val="21"/>
        </w:rPr>
      </w:pPr>
      <w:bookmarkStart w:id="43" w:name="_Toc137156124"/>
      <w:r>
        <w:rPr>
          <w:rFonts w:ascii="黑体" w:hAnsi="黑体" w:eastAsia="黑体"/>
          <w:b/>
          <w:szCs w:val="21"/>
        </w:rPr>
        <w:t xml:space="preserve">7 </w:t>
      </w:r>
      <w:r>
        <w:rPr>
          <w:rFonts w:hint="eastAsia" w:ascii="黑体" w:hAnsi="黑体" w:eastAsia="黑体"/>
          <w:b/>
          <w:szCs w:val="21"/>
        </w:rPr>
        <w:t>病虫害防治</w:t>
      </w:r>
      <w:bookmarkEnd w:id="43"/>
    </w:p>
    <w:p w14:paraId="787319C8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szCs w:val="21"/>
        </w:rPr>
      </w:pPr>
      <w:bookmarkStart w:id="44" w:name="_Toc137156125"/>
      <w:r>
        <w:rPr>
          <w:rFonts w:ascii="宋体" w:hAnsi="宋体" w:eastAsia="宋体"/>
          <w:b/>
          <w:szCs w:val="21"/>
        </w:rPr>
        <w:t>7</w:t>
      </w:r>
      <w:r>
        <w:rPr>
          <w:rFonts w:hint="eastAsia" w:ascii="宋体" w:hAnsi="宋体" w:eastAsia="宋体"/>
          <w:b/>
          <w:szCs w:val="21"/>
        </w:rPr>
        <w:t>.</w:t>
      </w:r>
      <w:r>
        <w:rPr>
          <w:rFonts w:ascii="宋体" w:hAnsi="宋体" w:eastAsia="宋体"/>
          <w:b/>
          <w:szCs w:val="21"/>
        </w:rPr>
        <w:t xml:space="preserve">1 </w:t>
      </w:r>
      <w:r>
        <w:rPr>
          <w:rFonts w:hint="eastAsia" w:ascii="宋体" w:hAnsi="宋体" w:eastAsia="宋体"/>
          <w:b/>
          <w:szCs w:val="21"/>
        </w:rPr>
        <w:t>原则</w:t>
      </w:r>
      <w:bookmarkEnd w:id="44"/>
    </w:p>
    <w:p w14:paraId="07FB12D3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按照林业有害生物防治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“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预防为主、科学防控、综合治理、分类施策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”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的原则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加强有害生物监测工作，做好监测记录，发现疫情及时报告主管部门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早发现、早预防、早治疗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。需药防治时应施用低毒农药。</w:t>
      </w:r>
    </w:p>
    <w:p w14:paraId="088E5722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szCs w:val="21"/>
        </w:rPr>
      </w:pPr>
      <w:bookmarkStart w:id="45" w:name="_Toc137156126"/>
      <w:r>
        <w:rPr>
          <w:rFonts w:ascii="宋体" w:hAnsi="宋体" w:eastAsia="宋体"/>
          <w:b/>
          <w:szCs w:val="21"/>
        </w:rPr>
        <w:t xml:space="preserve">7.2 </w:t>
      </w:r>
      <w:r>
        <w:rPr>
          <w:rFonts w:hint="eastAsia" w:ascii="宋体" w:hAnsi="宋体" w:eastAsia="宋体"/>
          <w:b/>
          <w:szCs w:val="21"/>
        </w:rPr>
        <w:t>防治方法</w:t>
      </w:r>
      <w:bookmarkEnd w:id="45"/>
      <w:r>
        <w:rPr>
          <w:rFonts w:ascii="宋体" w:hAnsi="宋体" w:eastAsia="宋体"/>
          <w:b/>
          <w:szCs w:val="21"/>
        </w:rPr>
        <w:t> </w:t>
      </w:r>
    </w:p>
    <w:p w14:paraId="3BC14F95">
      <w:pPr>
        <w:spacing w:line="360" w:lineRule="auto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.3.1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有病虫害防治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提倡以生物、物理为主的可持续防治方法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。详见附录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。农药使用按照</w:t>
      </w:r>
      <w:r>
        <w:rPr>
          <w:rFonts w:hint="eastAsia" w:cs="Times New Roman" w:asciiTheme="minorEastAsia" w:hAnsiTheme="minorEastAsia"/>
          <w:szCs w:val="21"/>
        </w:rPr>
        <w:t>G</w:t>
      </w:r>
      <w:r>
        <w:rPr>
          <w:rFonts w:cs="Times New Roman" w:asciiTheme="minorEastAsia" w:hAnsiTheme="minorEastAsia"/>
          <w:szCs w:val="21"/>
        </w:rPr>
        <w:t>B/T 8321.10</w:t>
      </w:r>
      <w:r>
        <w:rPr>
          <w:rFonts w:hint="eastAsia" w:cs="Times New Roman" w:asciiTheme="minorEastAsia" w:hAnsiTheme="minorEastAsia"/>
          <w:szCs w:val="21"/>
        </w:rPr>
        <w:t>的规定执行。</w:t>
      </w:r>
    </w:p>
    <w:p w14:paraId="66238025">
      <w:pPr>
        <w:spacing w:line="360" w:lineRule="auto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.3.2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及时清理带病虫的落叶、杂草等，消灭病源、虫源，防止病虫害再发生。</w:t>
      </w:r>
    </w:p>
    <w:p w14:paraId="5D12C2A0">
      <w:pPr>
        <w:spacing w:before="312" w:beforeLines="100" w:after="312" w:afterLines="100"/>
        <w:jc w:val="left"/>
        <w:outlineLvl w:val="0"/>
        <w:rPr>
          <w:rFonts w:ascii="黑体" w:hAnsi="黑体" w:eastAsia="黑体"/>
          <w:b/>
          <w:szCs w:val="21"/>
        </w:rPr>
      </w:pPr>
      <w:bookmarkStart w:id="46" w:name="_Toc137156127"/>
      <w:r>
        <w:rPr>
          <w:rFonts w:ascii="黑体" w:hAnsi="黑体" w:eastAsia="黑体"/>
          <w:b/>
          <w:szCs w:val="21"/>
        </w:rPr>
        <w:t xml:space="preserve">8. </w:t>
      </w:r>
      <w:r>
        <w:rPr>
          <w:rFonts w:hint="eastAsia" w:ascii="黑体" w:hAnsi="黑体" w:eastAsia="黑体"/>
          <w:b/>
          <w:szCs w:val="21"/>
        </w:rPr>
        <w:t>树体养护</w:t>
      </w:r>
      <w:bookmarkEnd w:id="46"/>
    </w:p>
    <w:p w14:paraId="05E74B82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szCs w:val="21"/>
        </w:rPr>
      </w:pPr>
      <w:bookmarkStart w:id="47" w:name="_Toc137156128"/>
      <w:r>
        <w:rPr>
          <w:rFonts w:ascii="宋体" w:hAnsi="宋体" w:eastAsia="宋体"/>
          <w:b/>
          <w:szCs w:val="21"/>
        </w:rPr>
        <w:t xml:space="preserve">8.1 </w:t>
      </w:r>
      <w:r>
        <w:rPr>
          <w:rFonts w:hint="eastAsia" w:ascii="宋体" w:hAnsi="宋体" w:eastAsia="宋体"/>
          <w:b/>
          <w:szCs w:val="21"/>
        </w:rPr>
        <w:t>常规养护</w:t>
      </w:r>
      <w:bookmarkEnd w:id="47"/>
    </w:p>
    <w:p w14:paraId="38714100">
      <w:pPr>
        <w:spacing w:line="360" w:lineRule="auto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8.1.1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禁止攀树、折枝、剥树皮、注入有毒有害物质，在古树名木上刻划、钉钉、悬挂重物或者以古树名木为支撑等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伤害古树名木的行为。 </w:t>
      </w:r>
    </w:p>
    <w:p w14:paraId="795274E9">
      <w:pPr>
        <w:spacing w:line="360" w:lineRule="auto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8.1.2冬季遇大雪天气，应及时去除古树名木所覆盖的积雪。禁止在保护范围内使用融雪剂。 </w:t>
      </w:r>
    </w:p>
    <w:p w14:paraId="77A07BDF">
      <w:pPr>
        <w:spacing w:line="360" w:lineRule="auto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8.1.3因机械损伤、雷击等造成的伤口，应及时消毒，涂抹伤口愈合剂。</w:t>
      </w:r>
    </w:p>
    <w:p w14:paraId="0781E978">
      <w:pPr>
        <w:spacing w:line="360" w:lineRule="auto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8.1.4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应及时清除影响古树名木生长的寄生物，注意保护主干和树枝，不得伤害树皮。</w:t>
      </w:r>
    </w:p>
    <w:p w14:paraId="6FABF5F7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szCs w:val="21"/>
        </w:rPr>
      </w:pPr>
      <w:bookmarkStart w:id="48" w:name="_Toc137156129"/>
      <w:r>
        <w:rPr>
          <w:rFonts w:ascii="宋体" w:hAnsi="宋体" w:eastAsia="宋体"/>
          <w:b/>
          <w:szCs w:val="21"/>
        </w:rPr>
        <w:t xml:space="preserve">8.2 </w:t>
      </w:r>
      <w:r>
        <w:rPr>
          <w:rFonts w:hint="eastAsia" w:ascii="宋体" w:hAnsi="宋体" w:eastAsia="宋体"/>
          <w:b/>
          <w:szCs w:val="21"/>
        </w:rPr>
        <w:t>防腐、填充修补</w:t>
      </w:r>
      <w:bookmarkEnd w:id="48"/>
    </w:p>
    <w:p w14:paraId="697107D1">
      <w:pPr>
        <w:pStyle w:val="33"/>
        <w:spacing w:line="40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lang w:val="en-US"/>
        </w:rPr>
        <w:t xml:space="preserve">8.2.1  </w:t>
      </w:r>
      <w:r>
        <w:rPr>
          <w:rFonts w:ascii="Times New Roman" w:hAnsi="Times New Roman" w:cs="Times New Roman"/>
          <w:sz w:val="21"/>
          <w:szCs w:val="21"/>
        </w:rPr>
        <w:t>古树名木树体皮层或木质部腐朽腐烂，导致主干、枝干缺失，形成树洞或主干、枝干中空，造成主干、枝干轮廓缺失，在复壮时应进行防腐处理并结合景观进行填补。具体技术按附录</w:t>
      </w:r>
      <w:r>
        <w:rPr>
          <w:rFonts w:hint="eastAsia" w:ascii="Times New Roman" w:hAnsi="Times New Roman" w:cs="Times New Roman"/>
          <w:sz w:val="21"/>
          <w:szCs w:val="21"/>
        </w:rPr>
        <w:t>D</w:t>
      </w:r>
      <w:r>
        <w:rPr>
          <w:rFonts w:ascii="Times New Roman" w:hAnsi="Times New Roman" w:cs="Times New Roman"/>
          <w:sz w:val="21"/>
          <w:szCs w:val="21"/>
        </w:rPr>
        <w:t>的规定执行。</w:t>
      </w:r>
    </w:p>
    <w:p w14:paraId="1826ED23">
      <w:pPr>
        <w:pStyle w:val="33"/>
        <w:tabs>
          <w:tab w:val="left" w:pos="490"/>
        </w:tabs>
        <w:spacing w:line="400" w:lineRule="exact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sz w:val="21"/>
          <w:szCs w:val="21"/>
          <w:lang w:val="en-US"/>
        </w:rPr>
        <w:t>8.2.</w:t>
      </w:r>
      <w:r>
        <w:rPr>
          <w:rFonts w:hint="eastAsia" w:ascii="Times New Roman" w:hAnsi="Times New Roman" w:cs="Times New Roman"/>
          <w:sz w:val="21"/>
          <w:szCs w:val="21"/>
          <w:lang w:val="en-US"/>
        </w:rPr>
        <w:t xml:space="preserve">2 </w:t>
      </w:r>
      <w:r>
        <w:rPr>
          <w:rFonts w:ascii="Times New Roman" w:hAnsi="Times New Roman" w:cs="Times New Roman"/>
          <w:sz w:val="21"/>
          <w:szCs w:val="21"/>
        </w:rPr>
        <w:t>可应用树干断面声波扫描仪等监测树干腐烂情况。</w:t>
      </w:r>
    </w:p>
    <w:p w14:paraId="41691C72">
      <w:pPr>
        <w:pStyle w:val="33"/>
        <w:tabs>
          <w:tab w:val="left" w:pos="490"/>
        </w:tabs>
        <w:spacing w:line="40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lang w:val="en-US"/>
        </w:rPr>
        <w:t>8.2.</w:t>
      </w:r>
      <w:r>
        <w:rPr>
          <w:rFonts w:hint="eastAsia" w:ascii="Times New Roman" w:hAnsi="Times New Roman" w:cs="Times New Roman"/>
          <w:sz w:val="21"/>
          <w:szCs w:val="21"/>
          <w:lang w:val="en-US"/>
        </w:rPr>
        <w:t>3</w:t>
      </w:r>
      <w:r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树体防腐、填充修补使用的材料应符合以下要求：</w:t>
      </w:r>
    </w:p>
    <w:p w14:paraId="14AD2A4E">
      <w:pPr>
        <w:pStyle w:val="33"/>
        <w:tabs>
          <w:tab w:val="left" w:pos="808"/>
        </w:tabs>
        <w:spacing w:line="400" w:lineRule="exact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  <w:lang w:val="en-US"/>
        </w:rPr>
        <w:t>1</w:t>
      </w:r>
      <w:r>
        <w:rPr>
          <w:rFonts w:ascii="Times New Roman" w:hAnsi="Times New Roman" w:cs="Times New Roman"/>
          <w:sz w:val="21"/>
          <w:szCs w:val="21"/>
        </w:rPr>
        <w:t>）填充材料能充满树洞并与内壁紧密结合，并具有一定的延展性</w:t>
      </w:r>
      <w:r>
        <w:rPr>
          <w:rFonts w:hint="eastAsia" w:ascii="Times New Roman" w:hAnsi="Times New Roman" w:cs="Times New Roman"/>
          <w:sz w:val="21"/>
          <w:szCs w:val="21"/>
        </w:rPr>
        <w:t>，不得对树皮生长、愈合形成阻碍</w:t>
      </w:r>
      <w:r>
        <w:rPr>
          <w:rFonts w:ascii="Times New Roman" w:hAnsi="Times New Roman" w:cs="Times New Roman"/>
          <w:sz w:val="21"/>
          <w:szCs w:val="21"/>
        </w:rPr>
        <w:t>。</w:t>
      </w:r>
    </w:p>
    <w:p w14:paraId="1F858E81">
      <w:pPr>
        <w:pStyle w:val="33"/>
        <w:tabs>
          <w:tab w:val="left" w:pos="808"/>
        </w:tabs>
        <w:spacing w:line="400" w:lineRule="exact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  <w:lang w:val="en-US"/>
        </w:rPr>
        <w:t>2</w:t>
      </w:r>
      <w:r>
        <w:rPr>
          <w:rFonts w:ascii="Times New Roman" w:hAnsi="Times New Roman" w:cs="Times New Roman"/>
          <w:sz w:val="21"/>
          <w:szCs w:val="21"/>
        </w:rPr>
        <w:t>）树洞修补材料及药剂应具有持久的效果，防腐材料对杀虫、杀菌剂效果不产生影响</w:t>
      </w:r>
      <w:r>
        <w:rPr>
          <w:rFonts w:hint="eastAsia" w:ascii="Times New Roman" w:hAnsi="Times New Roman" w:cs="Times New Roman"/>
          <w:sz w:val="21"/>
          <w:szCs w:val="21"/>
        </w:rPr>
        <w:t>。</w:t>
      </w:r>
    </w:p>
    <w:p w14:paraId="21B018A0">
      <w:pPr>
        <w:pStyle w:val="33"/>
        <w:tabs>
          <w:tab w:val="left" w:pos="808"/>
        </w:tabs>
        <w:spacing w:line="400" w:lineRule="exact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  <w:lang w:val="en-US"/>
        </w:rPr>
        <w:t>3</w:t>
      </w:r>
      <w:r>
        <w:rPr>
          <w:rFonts w:ascii="Times New Roman" w:hAnsi="Times New Roman" w:cs="Times New Roman"/>
          <w:sz w:val="21"/>
          <w:szCs w:val="21"/>
        </w:rPr>
        <w:t>）安全可靠，绿色环保，对树体活组织无害。</w:t>
      </w:r>
    </w:p>
    <w:p w14:paraId="5CCFFD87">
      <w:pPr>
        <w:pStyle w:val="33"/>
        <w:tabs>
          <w:tab w:val="left" w:pos="277"/>
        </w:tabs>
        <w:spacing w:line="40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lang w:val="en-US"/>
        </w:rPr>
        <w:t>8.2.</w:t>
      </w:r>
      <w:r>
        <w:rPr>
          <w:rFonts w:hint="eastAsia" w:ascii="Times New Roman" w:hAnsi="Times New Roman" w:cs="Times New Roman"/>
          <w:sz w:val="21"/>
          <w:szCs w:val="21"/>
          <w:lang w:val="en-US"/>
        </w:rPr>
        <w:t>4</w:t>
      </w:r>
      <w:r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对具有较大观赏价值或纪念意义的树洞，且非必须填充的，应采取卫生清理和防腐措施防止或延缓腐烂，并防止树洞积水。</w:t>
      </w:r>
    </w:p>
    <w:p w14:paraId="2E41CFFB">
      <w:pPr>
        <w:pStyle w:val="33"/>
        <w:tabs>
          <w:tab w:val="left" w:pos="490"/>
        </w:tabs>
        <w:spacing w:line="40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lang w:val="en-US"/>
        </w:rPr>
        <w:t>8.2.</w:t>
      </w:r>
      <w:r>
        <w:rPr>
          <w:rFonts w:hint="eastAsia" w:ascii="Times New Roman" w:hAnsi="Times New Roman" w:cs="Times New Roman"/>
          <w:sz w:val="21"/>
          <w:szCs w:val="21"/>
          <w:lang w:val="en-US"/>
        </w:rPr>
        <w:t xml:space="preserve">5 </w:t>
      </w:r>
      <w:r>
        <w:rPr>
          <w:rFonts w:ascii="Times New Roman" w:hAnsi="Times New Roman" w:cs="Times New Roman"/>
          <w:sz w:val="21"/>
          <w:szCs w:val="21"/>
        </w:rPr>
        <w:t>树体太大或主干缺损太多，影响树体稳定</w:t>
      </w:r>
      <w:r>
        <w:rPr>
          <w:rFonts w:hint="eastAsia" w:ascii="Times New Roman" w:hAnsi="Times New Roman" w:cs="Times New Roman"/>
          <w:sz w:val="21"/>
          <w:szCs w:val="21"/>
        </w:rPr>
        <w:t>时</w:t>
      </w:r>
      <w:r>
        <w:rPr>
          <w:rFonts w:ascii="Times New Roman" w:hAnsi="Times New Roman" w:cs="Times New Roman"/>
          <w:sz w:val="21"/>
          <w:szCs w:val="21"/>
        </w:rPr>
        <w:t>，填充封堵前可做龙骨，加固树体。</w:t>
      </w:r>
    </w:p>
    <w:p w14:paraId="1EBD4CDC">
      <w:pPr>
        <w:pStyle w:val="33"/>
        <w:tabs>
          <w:tab w:val="left" w:pos="277"/>
        </w:tabs>
        <w:spacing w:line="40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lang w:val="en-US"/>
        </w:rPr>
        <w:t>8.2.</w:t>
      </w:r>
      <w:r>
        <w:rPr>
          <w:rFonts w:hint="eastAsia" w:ascii="Times New Roman" w:hAnsi="Times New Roman" w:cs="Times New Roman"/>
          <w:sz w:val="21"/>
          <w:szCs w:val="21"/>
          <w:lang w:val="en-US"/>
        </w:rPr>
        <w:t>6</w:t>
      </w:r>
      <w:r>
        <w:rPr>
          <w:rFonts w:ascii="Times New Roman" w:hAnsi="Times New Roman" w:cs="Times New Roman"/>
          <w:sz w:val="21"/>
          <w:szCs w:val="21"/>
        </w:rPr>
        <w:t xml:space="preserve"> 树体填补施工宜在树木休眠期、天气干燥时进行。</w:t>
      </w:r>
    </w:p>
    <w:p w14:paraId="2EBEEF22">
      <w:pPr>
        <w:pStyle w:val="33"/>
        <w:tabs>
          <w:tab w:val="left" w:pos="277"/>
        </w:tabs>
        <w:spacing w:line="40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lang w:val="en-US"/>
        </w:rPr>
        <w:t>8.2.</w:t>
      </w:r>
      <w:r>
        <w:rPr>
          <w:rFonts w:ascii="Times New Roman" w:hAnsi="Times New Roman" w:cs="Times New Roman"/>
          <w:sz w:val="21"/>
          <w:szCs w:val="21"/>
        </w:rPr>
        <w:t>7 树洞</w:t>
      </w:r>
      <w:r>
        <w:rPr>
          <w:rFonts w:hint="eastAsia" w:ascii="Times New Roman" w:hAnsi="Times New Roman" w:cs="Times New Roman"/>
          <w:sz w:val="21"/>
          <w:szCs w:val="21"/>
        </w:rPr>
        <w:t>禁止使用石块、水泥等物质填充，</w:t>
      </w:r>
      <w:r>
        <w:rPr>
          <w:rFonts w:ascii="Times New Roman" w:hAnsi="Times New Roman" w:cs="Times New Roman"/>
          <w:sz w:val="21"/>
          <w:szCs w:val="21"/>
        </w:rPr>
        <w:t>表面做仿真修复处理，并做好树缝密封处理。</w:t>
      </w:r>
    </w:p>
    <w:p w14:paraId="1A87108A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szCs w:val="21"/>
        </w:rPr>
      </w:pPr>
      <w:bookmarkStart w:id="49" w:name="_Toc137156130"/>
      <w:r>
        <w:rPr>
          <w:rFonts w:ascii="宋体" w:hAnsi="宋体" w:eastAsia="宋体"/>
          <w:b/>
          <w:szCs w:val="21"/>
        </w:rPr>
        <w:t>8.3 树体支撑</w:t>
      </w:r>
      <w:r>
        <w:rPr>
          <w:rFonts w:hint="eastAsia" w:ascii="宋体" w:hAnsi="宋体" w:eastAsia="宋体"/>
          <w:b/>
          <w:szCs w:val="21"/>
        </w:rPr>
        <w:t>、加</w:t>
      </w:r>
      <w:r>
        <w:rPr>
          <w:rFonts w:ascii="宋体" w:hAnsi="宋体" w:eastAsia="宋体"/>
          <w:b/>
          <w:szCs w:val="21"/>
        </w:rPr>
        <w:t>固</w:t>
      </w:r>
      <w:bookmarkEnd w:id="49"/>
    </w:p>
    <w:p w14:paraId="7C8DBB97">
      <w:pPr>
        <w:pStyle w:val="33"/>
        <w:spacing w:line="40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8.3.1 树体明显倾斜</w:t>
      </w:r>
      <w:r>
        <w:rPr>
          <w:rFonts w:hint="eastAsia" w:ascii="Times New Roman" w:hAnsi="Times New Roman" w:cs="Times New Roman"/>
          <w:sz w:val="21"/>
          <w:szCs w:val="21"/>
        </w:rPr>
        <w:t>、</w:t>
      </w:r>
      <w:r>
        <w:rPr>
          <w:rFonts w:ascii="Times New Roman" w:hAnsi="Times New Roman" w:cs="Times New Roman"/>
          <w:sz w:val="21"/>
          <w:szCs w:val="21"/>
        </w:rPr>
        <w:t>树冠大、枝叶密集、主干（枝）中空、枝条过长、易遭风折的古树名木，可采用硬支撑、拉纤等方法进行加固；树体上有断裂隐患的大枝</w:t>
      </w:r>
      <w:r>
        <w:rPr>
          <w:rFonts w:hint="eastAsia" w:ascii="Times New Roman" w:hAnsi="Times New Roman" w:cs="Times New Roman"/>
          <w:sz w:val="21"/>
          <w:szCs w:val="21"/>
        </w:rPr>
        <w:t>，</w:t>
      </w:r>
      <w:r>
        <w:rPr>
          <w:rFonts w:ascii="Times New Roman" w:hAnsi="Times New Roman" w:cs="Times New Roman"/>
          <w:sz w:val="21"/>
          <w:szCs w:val="21"/>
        </w:rPr>
        <w:t>可利用螺纹杆、铁箍等方法进行固定。具体技术按附录</w:t>
      </w:r>
      <w:r>
        <w:rPr>
          <w:rFonts w:hint="eastAsia" w:ascii="Times New Roman" w:hAnsi="Times New Roman" w:cs="Times New Roman"/>
          <w:sz w:val="21"/>
          <w:szCs w:val="21"/>
        </w:rPr>
        <w:t>E</w:t>
      </w:r>
      <w:r>
        <w:rPr>
          <w:rFonts w:ascii="Times New Roman" w:hAnsi="Times New Roman" w:cs="Times New Roman"/>
          <w:sz w:val="21"/>
          <w:szCs w:val="21"/>
        </w:rPr>
        <w:t xml:space="preserve"> 的规定执行。</w:t>
      </w:r>
    </w:p>
    <w:p w14:paraId="1C649955">
      <w:pPr>
        <w:pStyle w:val="33"/>
        <w:spacing w:line="40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8.3.2</w:t>
      </w:r>
      <w:r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根据树体状况和周围环境</w:t>
      </w:r>
      <w:r>
        <w:rPr>
          <w:rFonts w:hint="eastAsia" w:ascii="Times New Roman" w:hAnsi="Times New Roman" w:cs="Times New Roman"/>
          <w:sz w:val="21"/>
          <w:szCs w:val="21"/>
        </w:rPr>
        <w:t>，</w:t>
      </w:r>
      <w:r>
        <w:rPr>
          <w:rFonts w:ascii="Times New Roman" w:hAnsi="Times New Roman" w:cs="Times New Roman"/>
          <w:sz w:val="21"/>
          <w:szCs w:val="21"/>
        </w:rPr>
        <w:t>选择合适的支撑、稳固形式；支撑、稳固要符合力学要求，安全可靠。</w:t>
      </w:r>
    </w:p>
    <w:p w14:paraId="352AC960">
      <w:pPr>
        <w:pStyle w:val="33"/>
        <w:spacing w:line="40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8.3.3</w:t>
      </w:r>
      <w:r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根据被支撑、稳固的树体枝干载荷大小，选用材料的规格；支撑、加固设施与树体接触面加弹性垫层以保护树皮。</w:t>
      </w:r>
    </w:p>
    <w:p w14:paraId="26A9D773">
      <w:pPr>
        <w:pStyle w:val="33"/>
        <w:spacing w:line="40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8.3.4 采用非活体支撑、稳固材料要经过防腐蚀保护处理。</w:t>
      </w:r>
    </w:p>
    <w:p w14:paraId="227E601C">
      <w:pPr>
        <w:pStyle w:val="33"/>
        <w:spacing w:line="40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8.3.</w:t>
      </w:r>
      <w:r>
        <w:rPr>
          <w:rFonts w:hint="eastAsia" w:ascii="Times New Roman" w:hAnsi="Times New Roman" w:cs="Times New Roman"/>
          <w:sz w:val="21"/>
          <w:szCs w:val="21"/>
          <w:lang w:val="en-US"/>
        </w:rPr>
        <w:t xml:space="preserve">5 </w:t>
      </w:r>
      <w:r>
        <w:rPr>
          <w:rFonts w:ascii="Times New Roman" w:hAnsi="Times New Roman" w:cs="Times New Roman"/>
          <w:sz w:val="21"/>
          <w:szCs w:val="21"/>
        </w:rPr>
        <w:t>定期检查，消除安全隐患。</w:t>
      </w:r>
    </w:p>
    <w:p w14:paraId="7E2E4D61">
      <w:pPr>
        <w:spacing w:before="312" w:beforeLines="100" w:after="312" w:afterLines="100"/>
        <w:jc w:val="left"/>
        <w:outlineLvl w:val="0"/>
        <w:rPr>
          <w:rFonts w:ascii="黑体" w:hAnsi="黑体" w:eastAsia="黑体"/>
          <w:b/>
          <w:szCs w:val="21"/>
        </w:rPr>
      </w:pPr>
      <w:bookmarkStart w:id="50" w:name="_Toc137156131"/>
      <w:bookmarkStart w:id="51" w:name="_Hlk97542802"/>
      <w:r>
        <w:rPr>
          <w:rFonts w:ascii="黑体" w:hAnsi="黑体" w:eastAsia="黑体"/>
          <w:b/>
          <w:szCs w:val="21"/>
        </w:rPr>
        <w:t xml:space="preserve">9 </w:t>
      </w:r>
      <w:r>
        <w:rPr>
          <w:rFonts w:hint="eastAsia" w:ascii="黑体" w:hAnsi="黑体" w:eastAsia="黑体"/>
          <w:b/>
          <w:szCs w:val="21"/>
        </w:rPr>
        <w:t>树冠整理</w:t>
      </w:r>
      <w:bookmarkEnd w:id="50"/>
    </w:p>
    <w:bookmarkEnd w:id="51"/>
    <w:p w14:paraId="268817F3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szCs w:val="21"/>
        </w:rPr>
      </w:pPr>
      <w:bookmarkStart w:id="52" w:name="_Toc137156132"/>
      <w:r>
        <w:rPr>
          <w:rFonts w:ascii="宋体" w:hAnsi="宋体" w:eastAsia="宋体"/>
          <w:b/>
          <w:szCs w:val="21"/>
        </w:rPr>
        <w:t xml:space="preserve">9.1 </w:t>
      </w:r>
      <w:r>
        <w:rPr>
          <w:rFonts w:hint="eastAsia" w:ascii="宋体" w:hAnsi="宋体" w:eastAsia="宋体"/>
          <w:b/>
          <w:szCs w:val="21"/>
        </w:rPr>
        <w:t>原则</w:t>
      </w:r>
      <w:bookmarkEnd w:id="52"/>
    </w:p>
    <w:p w14:paraId="4CDD216D">
      <w:pPr>
        <w:spacing w:line="360" w:lineRule="auto"/>
        <w:ind w:firstLine="420" w:firstLineChars="200"/>
        <w:jc w:val="left"/>
        <w:rPr>
          <w:rFonts w:ascii="宋体" w:hAnsi="宋体" w:eastAsia="宋体" w:cs="Calibri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古树名木树冠整理以有利于古树名木正常生长和复壮为原则。对能体现古树名木自然风貌且无安全隐患的枯枝应予以保留，但应进行防腐固化和加固处理。</w:t>
      </w:r>
    </w:p>
    <w:p w14:paraId="2682AA5F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szCs w:val="21"/>
        </w:rPr>
      </w:pPr>
      <w:bookmarkStart w:id="53" w:name="_Toc137156133"/>
      <w:r>
        <w:rPr>
          <w:rFonts w:ascii="宋体" w:hAnsi="宋体" w:eastAsia="宋体"/>
          <w:b/>
          <w:szCs w:val="21"/>
        </w:rPr>
        <w:t xml:space="preserve">9.2 </w:t>
      </w:r>
      <w:r>
        <w:rPr>
          <w:rFonts w:hint="eastAsia" w:ascii="宋体" w:hAnsi="宋体" w:eastAsia="宋体"/>
          <w:b/>
          <w:szCs w:val="21"/>
        </w:rPr>
        <w:t>具体措施</w:t>
      </w:r>
      <w:bookmarkEnd w:id="53"/>
    </w:p>
    <w:p w14:paraId="25E26329">
      <w:pPr>
        <w:spacing w:line="360" w:lineRule="auto"/>
        <w:jc w:val="left"/>
        <w:rPr>
          <w:rFonts w:ascii="宋体" w:hAnsi="宋体" w:eastAsia="宋体" w:cs="Calibri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.2.1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树冠整理</w:t>
      </w:r>
      <w:r>
        <w:rPr>
          <w:rFonts w:hint="eastAsia" w:ascii="宋体" w:hAnsi="宋体" w:eastAsia="宋体" w:cs="Calibri"/>
          <w:color w:val="000000" w:themeColor="text1"/>
          <w:szCs w:val="21"/>
          <w14:textFill>
            <w14:solidFill>
              <w14:schemeClr w14:val="tx1"/>
            </w14:solidFill>
          </w14:textFill>
        </w:rPr>
        <w:t>应按规定履行报批手续。</w:t>
      </w:r>
    </w:p>
    <w:p w14:paraId="60660306">
      <w:pPr>
        <w:spacing w:line="360" w:lineRule="auto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9.2.2 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结合通风</w:t>
      </w:r>
      <w:r>
        <w:rPr>
          <w:rFonts w:hint="eastAsia" w:ascii="宋体" w:hAnsi="宋体" w:eastAsia="宋体"/>
          <w:szCs w:val="21"/>
        </w:rPr>
        <w:t>采光和病虫害防治等需要进行整形，</w:t>
      </w:r>
      <w:r>
        <w:rPr>
          <w:rFonts w:ascii="Times New Roman" w:hAnsi="Times New Roman" w:cs="Times New Roman"/>
          <w:szCs w:val="21"/>
        </w:rPr>
        <w:t>及时清理有安全隐患的枯枝、断枝、劈裂枝。具体技术按附录 F 的规定执行。</w:t>
      </w:r>
    </w:p>
    <w:p w14:paraId="0CCAEC20">
      <w:pPr>
        <w:spacing w:line="36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宋体" w:hAnsi="宋体" w:eastAsia="宋体"/>
          <w:szCs w:val="21"/>
        </w:rPr>
        <w:t xml:space="preserve">9.2.3 </w:t>
      </w:r>
      <w:r>
        <w:rPr>
          <w:rFonts w:ascii="Times New Roman" w:hAnsi="Times New Roman" w:cs="Times New Roman"/>
          <w:szCs w:val="21"/>
        </w:rPr>
        <w:t>应适当疏枝，包括部分生长衰弱枝、交叉枝、萌蘖枝、病虫枝；适当短截树冠外围过长枝</w:t>
      </w:r>
      <w:r>
        <w:rPr>
          <w:rFonts w:hint="eastAsia" w:ascii="Times New Roman" w:hAnsi="Times New Roman" w:cs="Times New Roman"/>
          <w:szCs w:val="21"/>
        </w:rPr>
        <w:t>；</w:t>
      </w:r>
      <w:r>
        <w:rPr>
          <w:rFonts w:ascii="Times New Roman" w:hAnsi="Times New Roman" w:cs="Times New Roman"/>
          <w:szCs w:val="21"/>
        </w:rPr>
        <w:t>树干过度腐烂的，对树枝进行修剪调整，保持树势平衡。</w:t>
      </w:r>
    </w:p>
    <w:p w14:paraId="40A92B72"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9.2.4 </w:t>
      </w:r>
      <w:r>
        <w:rPr>
          <w:rFonts w:hint="eastAsia" w:ascii="宋体" w:hAnsi="宋体" w:eastAsia="宋体" w:cs="Calibri"/>
          <w:szCs w:val="21"/>
        </w:rPr>
        <w:t>对开花、坐果过多影响树势的树木应及时</w:t>
      </w:r>
      <w:r>
        <w:rPr>
          <w:rFonts w:hint="eastAsia" w:ascii="宋体" w:hAnsi="宋体" w:eastAsia="宋体"/>
          <w:szCs w:val="21"/>
        </w:rPr>
        <w:t>疏花疏果</w:t>
      </w:r>
      <w:r>
        <w:rPr>
          <w:rFonts w:ascii="Times New Roman" w:hAnsi="Times New Roman" w:cs="Times New Roman"/>
          <w:szCs w:val="21"/>
        </w:rPr>
        <w:t>，减少树体养分消耗</w:t>
      </w:r>
    </w:p>
    <w:p w14:paraId="6E53E1A1">
      <w:pPr>
        <w:spacing w:before="312" w:beforeLines="100" w:after="312" w:afterLines="100"/>
        <w:jc w:val="left"/>
        <w:outlineLvl w:val="0"/>
        <w:rPr>
          <w:rFonts w:ascii="黑体" w:hAnsi="黑体" w:eastAsia="黑体"/>
          <w:b/>
          <w:szCs w:val="21"/>
        </w:rPr>
      </w:pPr>
      <w:bookmarkStart w:id="54" w:name="_Toc99792257"/>
      <w:bookmarkStart w:id="55" w:name="_Toc137156134"/>
      <w:r>
        <w:rPr>
          <w:rFonts w:ascii="黑体" w:hAnsi="黑体" w:eastAsia="黑体"/>
          <w:b/>
          <w:szCs w:val="21"/>
        </w:rPr>
        <w:t xml:space="preserve">10 </w:t>
      </w:r>
      <w:r>
        <w:rPr>
          <w:rFonts w:hint="eastAsia" w:ascii="黑体" w:hAnsi="黑体" w:eastAsia="黑体"/>
          <w:b/>
          <w:szCs w:val="21"/>
        </w:rPr>
        <w:t>巡</w:t>
      </w:r>
      <w:bookmarkEnd w:id="54"/>
      <w:r>
        <w:rPr>
          <w:rFonts w:hint="eastAsia" w:ascii="黑体" w:hAnsi="黑体" w:eastAsia="黑体"/>
          <w:b/>
          <w:szCs w:val="21"/>
        </w:rPr>
        <w:t>查</w:t>
      </w:r>
      <w:bookmarkEnd w:id="55"/>
    </w:p>
    <w:p w14:paraId="2BB1B608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szCs w:val="21"/>
        </w:rPr>
      </w:pPr>
      <w:bookmarkStart w:id="56" w:name="_Toc137156135"/>
      <w:r>
        <w:rPr>
          <w:rFonts w:ascii="宋体" w:hAnsi="宋体" w:eastAsia="宋体"/>
          <w:b/>
          <w:szCs w:val="21"/>
        </w:rPr>
        <w:t>10</w:t>
      </w:r>
      <w:r>
        <w:rPr>
          <w:rFonts w:hint="eastAsia" w:ascii="宋体" w:hAnsi="宋体" w:eastAsia="宋体"/>
          <w:b/>
          <w:szCs w:val="21"/>
        </w:rPr>
        <w:t>.1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b/>
          <w:szCs w:val="21"/>
        </w:rPr>
        <w:t>巡查频次</w:t>
      </w:r>
      <w:bookmarkEnd w:id="56"/>
      <w:r>
        <w:rPr>
          <w:rFonts w:hint="eastAsia" w:ascii="宋体" w:hAnsi="宋体" w:eastAsia="宋体"/>
          <w:b/>
          <w:szCs w:val="21"/>
        </w:rPr>
        <w:t xml:space="preserve"> </w:t>
      </w:r>
    </w:p>
    <w:p w14:paraId="70A5F2E5">
      <w:pPr>
        <w:spacing w:line="360" w:lineRule="auto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（1）古树名木应每季度巡查1次。</w:t>
      </w:r>
    </w:p>
    <w:p w14:paraId="0C776080">
      <w:pPr>
        <w:spacing w:line="360" w:lineRule="auto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（2）对生长不良、刚完成复壮或抢险扶正、周边有</w:t>
      </w:r>
      <w:r>
        <w:rPr>
          <w:rFonts w:ascii="宋体" w:hAnsi="宋体" w:eastAsia="宋体"/>
          <w:szCs w:val="21"/>
        </w:rPr>
        <w:t>建设</w:t>
      </w:r>
      <w:r>
        <w:rPr>
          <w:rFonts w:hint="eastAsia" w:ascii="宋体" w:hAnsi="宋体" w:eastAsia="宋体"/>
          <w:szCs w:val="21"/>
        </w:rPr>
        <w:t>工</w:t>
      </w:r>
      <w:bookmarkStart w:id="81" w:name="_GoBack"/>
      <w:bookmarkEnd w:id="81"/>
      <w:r>
        <w:rPr>
          <w:rFonts w:hint="eastAsia" w:ascii="宋体" w:hAnsi="宋体" w:eastAsia="宋体"/>
          <w:szCs w:val="21"/>
        </w:rPr>
        <w:t>程、存在安全隐患等存在特殊情况的古树名木</w:t>
      </w:r>
      <w:r>
        <w:rPr>
          <w:rFonts w:ascii="宋体" w:hAnsi="宋体" w:eastAsia="宋体"/>
          <w:szCs w:val="21"/>
        </w:rPr>
        <w:t>的</w:t>
      </w:r>
      <w:r>
        <w:rPr>
          <w:rFonts w:hint="eastAsia" w:ascii="宋体" w:hAnsi="宋体" w:eastAsia="宋体"/>
          <w:szCs w:val="21"/>
        </w:rPr>
        <w:t>应至少</w:t>
      </w:r>
      <w:r>
        <w:rPr>
          <w:rFonts w:ascii="宋体" w:hAnsi="宋体" w:eastAsia="宋体"/>
          <w:szCs w:val="21"/>
        </w:rPr>
        <w:t>每</w:t>
      </w:r>
      <w:r>
        <w:rPr>
          <w:rFonts w:hint="eastAsia" w:ascii="宋体" w:hAnsi="宋体" w:eastAsia="宋体"/>
          <w:szCs w:val="21"/>
        </w:rPr>
        <w:t>2个</w:t>
      </w:r>
      <w:r>
        <w:rPr>
          <w:rFonts w:ascii="宋体" w:hAnsi="宋体" w:eastAsia="宋体"/>
          <w:szCs w:val="21"/>
        </w:rPr>
        <w:t>月巡</w:t>
      </w:r>
      <w:r>
        <w:rPr>
          <w:rFonts w:hint="eastAsia" w:ascii="宋体" w:hAnsi="宋体" w:eastAsia="宋体"/>
          <w:szCs w:val="21"/>
        </w:rPr>
        <w:t>查</w:t>
      </w:r>
      <w:r>
        <w:rPr>
          <w:rFonts w:ascii="宋体" w:hAnsi="宋体" w:eastAsia="宋体"/>
          <w:szCs w:val="21"/>
        </w:rPr>
        <w:t>1次</w:t>
      </w:r>
      <w:r>
        <w:rPr>
          <w:rFonts w:hint="eastAsia" w:ascii="宋体" w:hAnsi="宋体" w:eastAsia="宋体"/>
          <w:szCs w:val="21"/>
        </w:rPr>
        <w:t>；</w:t>
      </w:r>
      <w:r>
        <w:rPr>
          <w:rFonts w:ascii="宋体" w:hAnsi="宋体" w:eastAsia="宋体"/>
          <w:szCs w:val="21"/>
        </w:rPr>
        <w:t>必要时委派专人驻守管护</w:t>
      </w:r>
      <w:r>
        <w:rPr>
          <w:rFonts w:hint="eastAsia" w:ascii="宋体" w:hAnsi="宋体" w:eastAsia="宋体"/>
          <w:szCs w:val="21"/>
        </w:rPr>
        <w:t>。</w:t>
      </w:r>
    </w:p>
    <w:p w14:paraId="67634992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szCs w:val="21"/>
        </w:rPr>
        <w:t>（3）在强风、雨、雪等特殊气候影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响期，可增加巡查频次，及时发现和消除安全隐患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 w14:paraId="5F4CEB74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szCs w:val="21"/>
        </w:rPr>
      </w:pPr>
      <w:bookmarkStart w:id="57" w:name="_Toc137156136"/>
      <w:r>
        <w:rPr>
          <w:rFonts w:ascii="宋体" w:hAnsi="宋体" w:eastAsia="宋体"/>
          <w:b/>
          <w:szCs w:val="21"/>
        </w:rPr>
        <w:t>10</w:t>
      </w:r>
      <w:r>
        <w:rPr>
          <w:rFonts w:hint="eastAsia" w:ascii="宋体" w:hAnsi="宋体" w:eastAsia="宋体"/>
          <w:b/>
          <w:szCs w:val="21"/>
        </w:rPr>
        <w:t>.2</w:t>
      </w:r>
      <w:r>
        <w:rPr>
          <w:rFonts w:ascii="宋体" w:hAnsi="宋体" w:eastAsia="宋体"/>
          <w:b/>
          <w:szCs w:val="21"/>
        </w:rPr>
        <w:t xml:space="preserve"> </w:t>
      </w:r>
      <w:r>
        <w:rPr>
          <w:rFonts w:hint="eastAsia" w:ascii="宋体" w:hAnsi="宋体" w:eastAsia="宋体"/>
          <w:b/>
          <w:szCs w:val="21"/>
        </w:rPr>
        <w:t>巡查内容</w:t>
      </w:r>
      <w:bookmarkEnd w:id="57"/>
      <w:r>
        <w:rPr>
          <w:rFonts w:hint="eastAsia" w:ascii="宋体" w:hAnsi="宋体" w:eastAsia="宋体"/>
          <w:b/>
          <w:szCs w:val="21"/>
        </w:rPr>
        <w:t xml:space="preserve"> </w:t>
      </w:r>
    </w:p>
    <w:p w14:paraId="14C435F9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养护责任人应当巡查古树名木生长状况、生长环境、病虫害以及设施情况。</w:t>
      </w:r>
    </w:p>
    <w:p w14:paraId="3A97B61E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szCs w:val="21"/>
        </w:rPr>
      </w:pPr>
      <w:bookmarkStart w:id="58" w:name="_Toc137156137"/>
      <w:r>
        <w:rPr>
          <w:rFonts w:ascii="宋体" w:hAnsi="宋体" w:eastAsia="宋体"/>
          <w:b/>
          <w:szCs w:val="21"/>
        </w:rPr>
        <w:t>10</w:t>
      </w:r>
      <w:r>
        <w:rPr>
          <w:rFonts w:hint="eastAsia" w:ascii="宋体" w:hAnsi="宋体" w:eastAsia="宋体"/>
          <w:b/>
          <w:szCs w:val="21"/>
        </w:rPr>
        <w:t>.3</w:t>
      </w:r>
      <w:r>
        <w:rPr>
          <w:rFonts w:ascii="宋体" w:hAnsi="宋体" w:eastAsia="宋体"/>
          <w:b/>
          <w:szCs w:val="21"/>
        </w:rPr>
        <w:t xml:space="preserve"> </w:t>
      </w:r>
      <w:r>
        <w:rPr>
          <w:rFonts w:hint="eastAsia" w:ascii="宋体" w:hAnsi="宋体" w:eastAsia="宋体"/>
          <w:b/>
          <w:szCs w:val="21"/>
        </w:rPr>
        <w:t>问题处理</w:t>
      </w:r>
      <w:bookmarkEnd w:id="58"/>
      <w:r>
        <w:rPr>
          <w:rFonts w:hint="eastAsia" w:ascii="宋体" w:hAnsi="宋体" w:eastAsia="宋体"/>
          <w:b/>
          <w:szCs w:val="21"/>
        </w:rPr>
        <w:t xml:space="preserve"> </w:t>
      </w:r>
    </w:p>
    <w:p w14:paraId="23766D1B">
      <w:pPr>
        <w:spacing w:line="360" w:lineRule="auto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（1）巡查后，养护责任人需填写《巡查记录表》（附录</w:t>
      </w:r>
      <w:r>
        <w:rPr>
          <w:rFonts w:ascii="宋体" w:hAnsi="宋体" w:eastAsia="宋体"/>
          <w:szCs w:val="21"/>
        </w:rPr>
        <w:t>H</w:t>
      </w:r>
      <w:r>
        <w:rPr>
          <w:rFonts w:hint="eastAsia" w:ascii="宋体" w:hAnsi="宋体" w:eastAsia="宋体"/>
          <w:szCs w:val="21"/>
        </w:rPr>
        <w:t>-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），</w:t>
      </w:r>
      <w:r>
        <w:rPr>
          <w:rFonts w:ascii="宋体" w:hAnsi="宋体" w:eastAsia="宋体"/>
          <w:szCs w:val="21"/>
        </w:rPr>
        <w:t>要求日期无误</w: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t>事实清楚</w: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t xml:space="preserve">记录准确。 </w:t>
      </w:r>
    </w:p>
    <w:p w14:paraId="74A8D02A">
      <w:pPr>
        <w:spacing w:line="360" w:lineRule="auto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（2）古树名木生长异常，或遭受有害生物侵害、自然损害、人为损害，或可能对公众生命财产安全造成危害时，养护责任人应</w:t>
      </w:r>
      <w:r>
        <w:rPr>
          <w:rFonts w:ascii="宋体" w:hAnsi="宋体" w:eastAsia="宋体"/>
          <w:szCs w:val="21"/>
        </w:rPr>
        <w:t>及时报告古树名木主管部门</w:t>
      </w:r>
      <w:r>
        <w:rPr>
          <w:rFonts w:hint="eastAsia" w:ascii="宋体" w:hAnsi="宋体" w:eastAsia="宋体"/>
          <w:szCs w:val="21"/>
        </w:rPr>
        <w:t>，并填报《古树名木异常情况报告表》（附录</w:t>
      </w:r>
      <w:r>
        <w:rPr>
          <w:rFonts w:ascii="宋体" w:hAnsi="宋体" w:eastAsia="宋体"/>
          <w:szCs w:val="21"/>
        </w:rPr>
        <w:t>H</w:t>
      </w:r>
      <w:r>
        <w:rPr>
          <w:rFonts w:hint="eastAsia" w:ascii="宋体" w:hAnsi="宋体" w:eastAsia="宋体"/>
          <w:szCs w:val="21"/>
        </w:rPr>
        <w:t>-</w:t>
      </w:r>
      <w:r>
        <w:rPr>
          <w:rFonts w:ascii="宋体" w:hAnsi="宋体" w:eastAsia="宋体"/>
          <w:szCs w:val="21"/>
        </w:rPr>
        <w:t>3</w:t>
      </w:r>
      <w:r>
        <w:rPr>
          <w:rFonts w:hint="eastAsia" w:ascii="宋体" w:hAnsi="宋体" w:eastAsia="宋体"/>
          <w:szCs w:val="21"/>
        </w:rPr>
        <w:t>）</w:t>
      </w:r>
      <w:r>
        <w:rPr>
          <w:rFonts w:ascii="宋体" w:hAnsi="宋体" w:eastAsia="宋体"/>
          <w:szCs w:val="21"/>
        </w:rPr>
        <w:t>。</w:t>
      </w:r>
    </w:p>
    <w:p w14:paraId="77398310">
      <w:pPr>
        <w:spacing w:line="360" w:lineRule="auto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/>
        </w:rPr>
        <w:t>（3）</w:t>
      </w:r>
      <w:r>
        <w:rPr>
          <w:rFonts w:hint="eastAsia" w:ascii="宋体" w:hAnsi="宋体" w:eastAsia="宋体"/>
          <w:szCs w:val="21"/>
        </w:rPr>
        <w:t>古树名木主管部门接到报告后，必要时应组织古树名木健康会诊。</w:t>
      </w:r>
    </w:p>
    <w:p w14:paraId="744DF7DA">
      <w:pPr>
        <w:spacing w:line="360" w:lineRule="auto"/>
        <w:ind w:firstLine="420" w:firstLineChars="200"/>
        <w:jc w:val="left"/>
      </w:pPr>
      <w:r>
        <w:rPr>
          <w:rFonts w:hint="eastAsia" w:ascii="宋体" w:hAnsi="宋体" w:eastAsia="宋体"/>
          <w:szCs w:val="21"/>
        </w:rPr>
        <w:t>（4）</w:t>
      </w:r>
      <w:r>
        <w:rPr>
          <w:rFonts w:hint="eastAsia"/>
        </w:rPr>
        <w:t>对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生长势衰弱和濒危古树名木必须及时开展抢救复壮。</w:t>
      </w:r>
    </w:p>
    <w:p w14:paraId="74F35282">
      <w:pPr>
        <w:spacing w:before="312" w:beforeLines="100" w:after="312" w:afterLines="100"/>
        <w:jc w:val="left"/>
        <w:outlineLvl w:val="0"/>
        <w:rPr>
          <w:rFonts w:ascii="黑体" w:hAnsi="黑体" w:eastAsia="黑体"/>
          <w:b/>
          <w:szCs w:val="21"/>
        </w:rPr>
      </w:pPr>
      <w:bookmarkStart w:id="59" w:name="_Toc137156138"/>
      <w:bookmarkStart w:id="60" w:name="_Toc99792258"/>
      <w:r>
        <w:rPr>
          <w:rFonts w:ascii="黑体" w:hAnsi="黑体" w:eastAsia="黑体"/>
          <w:b/>
          <w:szCs w:val="21"/>
        </w:rPr>
        <w:t>11 档案管理</w:t>
      </w:r>
      <w:bookmarkEnd w:id="59"/>
      <w:r>
        <w:rPr>
          <w:rFonts w:ascii="黑体" w:hAnsi="黑体" w:eastAsia="黑体"/>
          <w:b/>
          <w:szCs w:val="21"/>
        </w:rPr>
        <w:t xml:space="preserve"> </w:t>
      </w:r>
      <w:bookmarkEnd w:id="60"/>
    </w:p>
    <w:p w14:paraId="6B66B0FB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szCs w:val="21"/>
        </w:rPr>
      </w:pPr>
      <w:bookmarkStart w:id="61" w:name="_Toc137156139"/>
      <w:r>
        <w:rPr>
          <w:rFonts w:ascii="宋体" w:hAnsi="宋体" w:eastAsia="宋体"/>
          <w:b/>
          <w:szCs w:val="21"/>
        </w:rPr>
        <w:t>11</w:t>
      </w:r>
      <w:r>
        <w:rPr>
          <w:rFonts w:hint="eastAsia" w:ascii="宋体" w:hAnsi="宋体" w:eastAsia="宋体"/>
          <w:b/>
          <w:szCs w:val="21"/>
        </w:rPr>
        <w:t>.1</w:t>
      </w:r>
      <w:r>
        <w:rPr>
          <w:rFonts w:ascii="宋体" w:hAnsi="宋体" w:eastAsia="宋体"/>
          <w:b/>
          <w:szCs w:val="21"/>
        </w:rPr>
        <w:t xml:space="preserve"> </w:t>
      </w:r>
      <w:r>
        <w:rPr>
          <w:rFonts w:hint="eastAsia" w:ascii="宋体" w:hAnsi="宋体" w:eastAsia="宋体"/>
          <w:b/>
          <w:szCs w:val="21"/>
        </w:rPr>
        <w:t>档案组成</w:t>
      </w:r>
      <w:bookmarkEnd w:id="61"/>
    </w:p>
    <w:p w14:paraId="405002F4">
      <w:pPr>
        <w:spacing w:line="360" w:lineRule="auto"/>
        <w:ind w:firstLine="420" w:firstLineChars="200"/>
        <w:jc w:val="left"/>
        <w:rPr>
          <w:rFonts w:ascii="宋体" w:hAnsi="宋体" w:eastAsia="宋体"/>
          <w:szCs w:val="21"/>
        </w:rPr>
      </w:pPr>
      <w:bookmarkStart w:id="62" w:name="_Hlk98604963"/>
      <w:r>
        <w:rPr>
          <w:rFonts w:hint="eastAsia" w:ascii="宋体" w:hAnsi="宋体" w:eastAsia="宋体"/>
          <w:szCs w:val="21"/>
        </w:rPr>
        <w:t>（1）</w:t>
      </w:r>
      <w:r>
        <w:rPr>
          <w:rFonts w:ascii="宋体" w:hAnsi="宋体" w:eastAsia="宋体"/>
          <w:szCs w:val="21"/>
        </w:rPr>
        <w:t>档案</w:t>
      </w:r>
      <w:r>
        <w:rPr>
          <w:rFonts w:hint="eastAsia" w:ascii="宋体" w:hAnsi="宋体" w:eastAsia="宋体"/>
          <w:szCs w:val="21"/>
        </w:rPr>
        <w:t>形式应为纸质和电子技术档案两套。</w:t>
      </w:r>
    </w:p>
    <w:p w14:paraId="20BCB11C">
      <w:pPr>
        <w:spacing w:line="360" w:lineRule="auto"/>
        <w:ind w:firstLine="420" w:firstLineChars="200"/>
        <w:jc w:val="left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szCs w:val="21"/>
        </w:rPr>
        <w:t>（2）档案</w:t>
      </w:r>
      <w:r>
        <w:rPr>
          <w:rFonts w:ascii="宋体" w:hAnsi="宋体" w:eastAsia="宋体"/>
          <w:szCs w:val="21"/>
        </w:rPr>
        <w:t>内容包括古树名木登记表</w:t>
      </w:r>
      <w:r>
        <w:rPr>
          <w:rFonts w:hint="eastAsia" w:ascii="宋体" w:hAnsi="宋体" w:eastAsia="宋体"/>
          <w:szCs w:val="21"/>
        </w:rPr>
        <w:t>、养护管理记录表、</w:t>
      </w:r>
      <w:r>
        <w:rPr>
          <w:rFonts w:ascii="宋体" w:hAnsi="宋体" w:eastAsia="宋体"/>
          <w:szCs w:val="21"/>
        </w:rPr>
        <w:t>巡查记录表</w: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t>异常情况报告表</w:t>
      </w:r>
      <w:r>
        <w:rPr>
          <w:rFonts w:hint="eastAsia" w:ascii="宋体" w:hAnsi="宋体" w:eastAsia="宋体"/>
          <w:szCs w:val="21"/>
        </w:rPr>
        <w:t>、健康会诊表等相关资料</w:t>
      </w:r>
      <w:r>
        <w:rPr>
          <w:rFonts w:ascii="宋体" w:hAnsi="宋体" w:eastAsia="宋体"/>
          <w:szCs w:val="21"/>
        </w:rPr>
        <w:t>。</w:t>
      </w:r>
      <w:bookmarkEnd w:id="62"/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格填写内容与格式见附录G和附录</w:t>
      </w:r>
      <w:r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 w14:paraId="080768AA">
      <w:pPr>
        <w:spacing w:before="156" w:beforeLines="50" w:after="156" w:afterLines="50" w:line="360" w:lineRule="auto"/>
        <w:jc w:val="left"/>
        <w:outlineLvl w:val="1"/>
        <w:rPr>
          <w:rFonts w:ascii="宋体" w:hAnsi="宋体" w:eastAsia="宋体"/>
          <w:b/>
          <w:szCs w:val="21"/>
        </w:rPr>
      </w:pPr>
      <w:bookmarkStart w:id="63" w:name="_Toc137156140"/>
      <w:r>
        <w:rPr>
          <w:rFonts w:ascii="宋体" w:hAnsi="宋体" w:eastAsia="宋体"/>
          <w:b/>
          <w:szCs w:val="21"/>
        </w:rPr>
        <w:t>11</w:t>
      </w:r>
      <w:r>
        <w:rPr>
          <w:rFonts w:hint="eastAsia" w:ascii="宋体" w:hAnsi="宋体" w:eastAsia="宋体"/>
          <w:b/>
          <w:szCs w:val="21"/>
        </w:rPr>
        <w:t>.2</w:t>
      </w:r>
      <w:r>
        <w:rPr>
          <w:rFonts w:ascii="宋体" w:hAnsi="宋体" w:eastAsia="宋体"/>
          <w:b/>
          <w:szCs w:val="21"/>
        </w:rPr>
        <w:t xml:space="preserve"> </w:t>
      </w:r>
      <w:r>
        <w:rPr>
          <w:rFonts w:hint="eastAsia" w:ascii="宋体" w:hAnsi="宋体" w:eastAsia="宋体"/>
          <w:b/>
          <w:szCs w:val="21"/>
        </w:rPr>
        <w:t>档案管理</w:t>
      </w:r>
      <w:bookmarkEnd w:id="63"/>
    </w:p>
    <w:p w14:paraId="564FCA8A">
      <w:pPr>
        <w:spacing w:line="360" w:lineRule="auto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（1）按照“</w:t>
      </w:r>
      <w:r>
        <w:rPr>
          <w:rFonts w:ascii="宋体" w:hAnsi="宋体" w:eastAsia="宋体"/>
          <w:szCs w:val="21"/>
        </w:rPr>
        <w:t>一树一档</w:t>
      </w:r>
      <w:r>
        <w:rPr>
          <w:rFonts w:hint="eastAsia" w:ascii="宋体" w:hAnsi="宋体" w:eastAsia="宋体"/>
          <w:szCs w:val="21"/>
        </w:rPr>
        <w:t>”的原则</w:t>
      </w:r>
      <w:r>
        <w:rPr>
          <w:rFonts w:ascii="宋体" w:hAnsi="宋体" w:eastAsia="宋体"/>
          <w:szCs w:val="21"/>
        </w:rPr>
        <w:t>，</w:t>
      </w:r>
      <w:r>
        <w:rPr>
          <w:rFonts w:hint="eastAsia" w:ascii="宋体" w:hAnsi="宋体" w:eastAsia="宋体"/>
          <w:szCs w:val="21"/>
        </w:rPr>
        <w:t>及时整理归档，妥善保管。</w:t>
      </w:r>
      <w:r>
        <w:rPr>
          <w:rFonts w:ascii="宋体" w:hAnsi="宋体" w:eastAsia="宋体"/>
          <w:szCs w:val="21"/>
        </w:rPr>
        <w:t xml:space="preserve"> </w:t>
      </w:r>
    </w:p>
    <w:p w14:paraId="7AC948E1">
      <w:pPr>
        <w:spacing w:line="360" w:lineRule="auto"/>
        <w:ind w:firstLine="42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宋体" w:hAnsi="宋体" w:eastAsia="宋体"/>
          <w:szCs w:val="21"/>
        </w:rPr>
        <w:t>（2）技术档案记录应做到真实、及时、完整、清晰，按年份整理装订成册，编好目录，分类归档，并按要求报送有关部门。</w:t>
      </w:r>
    </w:p>
    <w:p w14:paraId="0B5D3BBE">
      <w:pPr>
        <w:spacing w:line="360" w:lineRule="auto"/>
        <w:jc w:val="left"/>
        <w:rPr>
          <w:rFonts w:ascii="仿宋" w:hAnsi="仿宋" w:eastAsia="仿宋"/>
          <w:sz w:val="24"/>
          <w:szCs w:val="24"/>
        </w:rPr>
      </w:pPr>
    </w:p>
    <w:p w14:paraId="7DD1C05B">
      <w:pPr>
        <w:spacing w:line="360" w:lineRule="auto"/>
        <w:jc w:val="left"/>
        <w:rPr>
          <w:rFonts w:ascii="仿宋" w:hAnsi="仿宋" w:eastAsia="仿宋"/>
          <w:sz w:val="24"/>
          <w:szCs w:val="24"/>
        </w:rPr>
        <w:sectPr>
          <w:footerReference r:id="rId6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178D8774">
      <w:pPr>
        <w:pStyle w:val="33"/>
        <w:spacing w:line="240" w:lineRule="auto"/>
        <w:jc w:val="center"/>
        <w:outlineLvl w:val="0"/>
        <w:rPr>
          <w:rFonts w:ascii="黑体" w:hAnsi="黑体" w:eastAsia="黑体" w:cs="黑体"/>
          <w:b/>
          <w:bCs/>
          <w:sz w:val="24"/>
          <w:szCs w:val="24"/>
          <w:lang w:val="en-US" w:bidi="en-US"/>
        </w:rPr>
      </w:pPr>
      <w:bookmarkStart w:id="64" w:name="_Toc137156141"/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附 录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bidi="en-US"/>
        </w:rPr>
        <w:t>A</w:t>
      </w:r>
      <w:bookmarkEnd w:id="64"/>
      <w:r>
        <w:rPr>
          <w:rFonts w:ascii="黑体" w:hAnsi="黑体" w:eastAsia="黑体" w:cs="黑体"/>
          <w:b/>
          <w:bCs/>
          <w:sz w:val="24"/>
          <w:szCs w:val="24"/>
          <w:lang w:val="en-US" w:bidi="en-US"/>
        </w:rPr>
        <w:t xml:space="preserve">  </w:t>
      </w:r>
    </w:p>
    <w:p w14:paraId="14C4A4F0">
      <w:pPr>
        <w:spacing w:before="312" w:beforeLines="100" w:after="312" w:afterLines="100"/>
        <w:jc w:val="center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（资料性）</w:t>
      </w:r>
    </w:p>
    <w:p w14:paraId="7020816A">
      <w:pPr>
        <w:spacing w:before="312" w:beforeLines="100" w:after="312" w:afterLines="100"/>
        <w:jc w:val="center"/>
        <w:rPr>
          <w:rFonts w:ascii="仿宋" w:hAnsi="仿宋" w:eastAsia="仿宋"/>
          <w:color w:val="FF0000"/>
          <w:sz w:val="24"/>
          <w:szCs w:val="24"/>
        </w:rPr>
      </w:pPr>
      <w:bookmarkStart w:id="65" w:name="_Hlk101277212"/>
      <w:r>
        <w:rPr>
          <w:rFonts w:ascii="黑体" w:hAnsi="黑体" w:eastAsia="黑体"/>
          <w:b/>
          <w:szCs w:val="21"/>
        </w:rPr>
        <w:t xml:space="preserve"> </w:t>
      </w:r>
      <w:r>
        <w:rPr>
          <w:rFonts w:hint="eastAsia" w:ascii="黑体" w:hAnsi="黑体" w:eastAsia="黑体"/>
          <w:b/>
          <w:szCs w:val="21"/>
        </w:rPr>
        <w:t>古树名木生长势分级标准</w:t>
      </w:r>
    </w:p>
    <w:bookmarkEnd w:id="65"/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2976"/>
        <w:gridCol w:w="2258"/>
        <w:gridCol w:w="2074"/>
      </w:tblGrid>
      <w:tr w14:paraId="4545F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 w14:paraId="7F6DC6C8">
            <w:pPr>
              <w:jc w:val="left"/>
              <w:rPr>
                <w:rFonts w:asciiTheme="minorEastAsia" w:hAnsiTheme="minorEastAsia"/>
                <w:szCs w:val="21"/>
                <w:lang w:val="zh-CN"/>
              </w:rPr>
            </w:pPr>
            <w:r>
              <w:rPr>
                <w:rFonts w:asciiTheme="minorEastAsia" w:hAnsiTheme="minorEastAsia"/>
                <w:szCs w:val="21"/>
                <w:lang w:val="zh-CN"/>
              </w:rPr>
              <w:t>生长</w:t>
            </w:r>
          </w:p>
          <w:p w14:paraId="79515C1D">
            <w:pPr>
              <w:jc w:val="left"/>
              <w:rPr>
                <w:rFonts w:asciiTheme="minorEastAsia" w:hAnsiTheme="minorEastAsia"/>
                <w:color w:val="FF0000"/>
                <w:szCs w:val="21"/>
              </w:rPr>
            </w:pPr>
            <w:r>
              <w:rPr>
                <w:rFonts w:asciiTheme="minorEastAsia" w:hAnsiTheme="minorEastAsia"/>
                <w:szCs w:val="21"/>
                <w:lang w:val="zh-CN"/>
              </w:rPr>
              <w:t>状况</w:t>
            </w:r>
          </w:p>
        </w:tc>
        <w:tc>
          <w:tcPr>
            <w:tcW w:w="7308" w:type="dxa"/>
            <w:gridSpan w:val="3"/>
            <w:vAlign w:val="center"/>
          </w:tcPr>
          <w:p w14:paraId="26D21D46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  <w:r>
              <w:rPr>
                <w:rFonts w:asciiTheme="minorEastAsia" w:hAnsiTheme="minorEastAsia"/>
                <w:szCs w:val="21"/>
                <w:lang w:val="zh-CN"/>
              </w:rPr>
              <w:t>分级标准</w:t>
            </w:r>
          </w:p>
        </w:tc>
      </w:tr>
      <w:tr w14:paraId="4F40F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 w14:paraId="33E138EF">
            <w:pPr>
              <w:jc w:val="left"/>
              <w:rPr>
                <w:rFonts w:asciiTheme="minorEastAsia" w:hAnsiTheme="minorEastAsia"/>
                <w:color w:val="FF0000"/>
                <w:szCs w:val="21"/>
              </w:rPr>
            </w:pPr>
            <w:r>
              <w:rPr>
                <w:rFonts w:asciiTheme="minorEastAsia" w:hAnsiTheme="minorEastAsia"/>
                <w:szCs w:val="21"/>
                <w:lang w:val="zh-CN"/>
              </w:rPr>
              <w:t>分级</w:t>
            </w:r>
          </w:p>
        </w:tc>
        <w:tc>
          <w:tcPr>
            <w:tcW w:w="2976" w:type="dxa"/>
            <w:vAlign w:val="center"/>
          </w:tcPr>
          <w:p w14:paraId="06DA8B27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  <w:r>
              <w:rPr>
                <w:rFonts w:asciiTheme="minorEastAsia" w:hAnsiTheme="minorEastAsia"/>
                <w:szCs w:val="21"/>
                <w:lang w:val="zh-CN"/>
              </w:rPr>
              <w:t>叶片</w:t>
            </w:r>
          </w:p>
        </w:tc>
        <w:tc>
          <w:tcPr>
            <w:tcW w:w="2258" w:type="dxa"/>
            <w:vAlign w:val="center"/>
          </w:tcPr>
          <w:p w14:paraId="2F6F7E82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  <w:r>
              <w:rPr>
                <w:rFonts w:asciiTheme="minorEastAsia" w:hAnsiTheme="minorEastAsia"/>
                <w:szCs w:val="21"/>
                <w:lang w:val="zh-CN"/>
              </w:rPr>
              <w:t>枝条</w:t>
            </w:r>
          </w:p>
        </w:tc>
        <w:tc>
          <w:tcPr>
            <w:tcW w:w="2074" w:type="dxa"/>
            <w:vAlign w:val="center"/>
          </w:tcPr>
          <w:p w14:paraId="33757783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  <w:r>
              <w:rPr>
                <w:rFonts w:asciiTheme="minorEastAsia" w:hAnsiTheme="minorEastAsia"/>
                <w:szCs w:val="21"/>
                <w:lang w:val="zh-CN"/>
              </w:rPr>
              <w:t>干皮</w:t>
            </w:r>
          </w:p>
        </w:tc>
      </w:tr>
      <w:tr w14:paraId="38603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01062AF8">
            <w:pPr>
              <w:jc w:val="left"/>
              <w:rPr>
                <w:rFonts w:asciiTheme="minorEastAsia" w:hAnsiTheme="minorEastAsia"/>
                <w:szCs w:val="21"/>
                <w:lang w:val="zh-CN"/>
              </w:rPr>
            </w:pPr>
            <w:r>
              <w:rPr>
                <w:rFonts w:asciiTheme="minorEastAsia" w:hAnsiTheme="minorEastAsia"/>
                <w:szCs w:val="21"/>
                <w:lang w:val="zh-CN"/>
              </w:rPr>
              <w:t>正常</w:t>
            </w:r>
          </w:p>
        </w:tc>
        <w:tc>
          <w:tcPr>
            <w:tcW w:w="2976" w:type="dxa"/>
          </w:tcPr>
          <w:p w14:paraId="4D5E7ED8">
            <w:pPr>
              <w:rPr>
                <w:rFonts w:asciiTheme="minorEastAsia" w:hAnsiTheme="minorEastAsia"/>
                <w:szCs w:val="21"/>
                <w:lang w:val="zh-CN"/>
              </w:rPr>
            </w:pPr>
            <w:r>
              <w:rPr>
                <w:rFonts w:asciiTheme="minorEastAsia" w:hAnsiTheme="minorEastAsia"/>
                <w:szCs w:val="21"/>
                <w:lang w:val="zh-CN"/>
              </w:rPr>
              <w:t>正常叶片</w:t>
            </w:r>
            <w:r>
              <w:rPr>
                <w:rFonts w:hint="eastAsia" w:asciiTheme="minorEastAsia" w:hAnsiTheme="minorEastAsia"/>
                <w:szCs w:val="21"/>
                <w:lang w:val="zh-CN"/>
              </w:rPr>
              <w:t>量</w:t>
            </w:r>
            <w:r>
              <w:rPr>
                <w:rFonts w:asciiTheme="minorEastAsia" w:hAnsiTheme="minorEastAsia"/>
                <w:szCs w:val="21"/>
                <w:lang w:val="zh-CN"/>
              </w:rPr>
              <w:t>占叶片总量的95%以上</w:t>
            </w:r>
          </w:p>
        </w:tc>
        <w:tc>
          <w:tcPr>
            <w:tcW w:w="2258" w:type="dxa"/>
          </w:tcPr>
          <w:p w14:paraId="77E9E4CF">
            <w:pPr>
              <w:rPr>
                <w:rFonts w:asciiTheme="minorEastAsia" w:hAnsiTheme="minorEastAsia"/>
                <w:szCs w:val="21"/>
                <w:lang w:val="zh-CN"/>
              </w:rPr>
            </w:pPr>
            <w:r>
              <w:rPr>
                <w:rFonts w:asciiTheme="minorEastAsia" w:hAnsiTheme="minorEastAsia"/>
                <w:szCs w:val="21"/>
                <w:lang w:val="zh-CN"/>
              </w:rPr>
              <w:t>枝条生长正常，新梢数量</w:t>
            </w:r>
            <w:r>
              <w:rPr>
                <w:rFonts w:hint="eastAsia" w:asciiTheme="minorEastAsia" w:hAnsiTheme="minorEastAsia"/>
                <w:szCs w:val="21"/>
                <w:lang w:val="zh-CN"/>
              </w:rPr>
              <w:t>多，无枯枝枯梢。</w:t>
            </w:r>
          </w:p>
        </w:tc>
        <w:tc>
          <w:tcPr>
            <w:tcW w:w="2074" w:type="dxa"/>
          </w:tcPr>
          <w:p w14:paraId="6A7217AC">
            <w:pPr>
              <w:rPr>
                <w:rFonts w:asciiTheme="minorEastAsia" w:hAnsiTheme="minorEastAsia"/>
                <w:szCs w:val="21"/>
                <w:lang w:val="zh-CN"/>
              </w:rPr>
            </w:pPr>
            <w:r>
              <w:rPr>
                <w:rFonts w:hint="eastAsia" w:asciiTheme="minorEastAsia" w:hAnsiTheme="minorEastAsia"/>
                <w:szCs w:val="21"/>
                <w:lang w:val="zh-CN"/>
              </w:rPr>
              <w:t>树干基本完好，无坏死。</w:t>
            </w:r>
          </w:p>
        </w:tc>
      </w:tr>
      <w:tr w14:paraId="6A55B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5ACA5FB0">
            <w:pPr>
              <w:jc w:val="left"/>
              <w:rPr>
                <w:rFonts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衰弱</w:t>
            </w:r>
          </w:p>
        </w:tc>
        <w:tc>
          <w:tcPr>
            <w:tcW w:w="2976" w:type="dxa"/>
          </w:tcPr>
          <w:p w14:paraId="0BAF35DB">
            <w:pP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szCs w:val="21"/>
                <w:lang w:val="zh-CN"/>
              </w:rPr>
              <w:t>正常叶片</w:t>
            </w:r>
            <w:r>
              <w:rPr>
                <w:rFonts w:hint="eastAsia" w:asciiTheme="minorEastAsia" w:hAnsiTheme="minorEastAsia"/>
                <w:szCs w:val="21"/>
                <w:lang w:val="zh-CN"/>
              </w:rPr>
              <w:t>量</w:t>
            </w:r>
            <w:r>
              <w:rPr>
                <w:rFonts w:asciiTheme="minorEastAsia" w:hAnsiTheme="minorEastAsia"/>
                <w:szCs w:val="21"/>
                <w:lang w:val="zh-CN"/>
              </w:rPr>
              <w:t>占叶片总量的</w:t>
            </w:r>
            <w:r>
              <w:rPr>
                <w:rFonts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50%</w:t>
            </w:r>
            <w:r>
              <w:rPr>
                <w:rFonts w:ascii="Calibri" w:hAnsi="Calibri" w:cs="Calibri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~</w:t>
            </w:r>
            <w:r>
              <w:rPr>
                <w:rFonts w:asciiTheme="minorEastAsia" w:hAnsiTheme="minorEastAsia"/>
                <w:szCs w:val="21"/>
                <w:lang w:val="zh-CN"/>
              </w:rPr>
              <w:t>95%以上</w:t>
            </w:r>
          </w:p>
        </w:tc>
        <w:tc>
          <w:tcPr>
            <w:tcW w:w="2258" w:type="dxa"/>
          </w:tcPr>
          <w:p w14:paraId="31B16633">
            <w:pP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szCs w:val="21"/>
                <w:lang w:val="zh-CN"/>
              </w:rPr>
              <w:t>少量枯死。</w:t>
            </w:r>
          </w:p>
        </w:tc>
        <w:tc>
          <w:tcPr>
            <w:tcW w:w="2074" w:type="dxa"/>
          </w:tcPr>
          <w:p w14:paraId="2354A09F">
            <w:pP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树干局部有损伤或少量坏死。</w:t>
            </w:r>
          </w:p>
        </w:tc>
      </w:tr>
      <w:tr w14:paraId="47B97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12655C52">
            <w:pPr>
              <w:jc w:val="left"/>
              <w:rPr>
                <w:rFonts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濒危</w:t>
            </w:r>
          </w:p>
        </w:tc>
        <w:tc>
          <w:tcPr>
            <w:tcW w:w="2976" w:type="dxa"/>
          </w:tcPr>
          <w:p w14:paraId="541DD415">
            <w:pP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正常叶片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量</w:t>
            </w:r>
            <w:r>
              <w:rPr>
                <w:rFonts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占叶片总量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50%以下</w:t>
            </w:r>
          </w:p>
        </w:tc>
        <w:tc>
          <w:tcPr>
            <w:tcW w:w="2258" w:type="dxa"/>
          </w:tcPr>
          <w:p w14:paraId="36CACE0F">
            <w:pP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枝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条</w:t>
            </w:r>
            <w:r>
              <w:rPr>
                <w:rFonts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枯死较多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2074" w:type="dxa"/>
          </w:tcPr>
          <w:p w14:paraId="72E4D594">
            <w:pP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树干大部坏死，干朽或成空洞；出现以上特征之一或多个特征的。</w:t>
            </w:r>
          </w:p>
        </w:tc>
      </w:tr>
      <w:tr w14:paraId="6265D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527CEBA8">
            <w:pPr>
              <w:jc w:val="left"/>
              <w:rPr>
                <w:rFonts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死亡</w:t>
            </w:r>
          </w:p>
        </w:tc>
        <w:tc>
          <w:tcPr>
            <w:tcW w:w="2976" w:type="dxa"/>
          </w:tcPr>
          <w:p w14:paraId="3ADF2B61">
            <w:pPr>
              <w:rPr>
                <w:rFonts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无正常叶片</w:t>
            </w:r>
          </w:p>
        </w:tc>
        <w:tc>
          <w:tcPr>
            <w:tcW w:w="2258" w:type="dxa"/>
          </w:tcPr>
          <w:p w14:paraId="359CA9E7">
            <w:pPr>
              <w:rPr>
                <w:rFonts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枝条枯死，无新梢或萌条。</w:t>
            </w:r>
          </w:p>
        </w:tc>
        <w:tc>
          <w:tcPr>
            <w:tcW w:w="2074" w:type="dxa"/>
          </w:tcPr>
          <w:p w14:paraId="288D2950">
            <w:pPr>
              <w:rPr>
                <w:rFonts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树干枯死，树根枯死或地上部分一年以上且无新梢萌发；出现以上全部特征。</w:t>
            </w:r>
          </w:p>
        </w:tc>
      </w:tr>
    </w:tbl>
    <w:p w14:paraId="465E4F84">
      <w:pPr>
        <w:jc w:val="left"/>
        <w:rPr>
          <w:rFonts w:ascii="仿宋" w:hAnsi="仿宋" w:eastAsia="仿宋"/>
          <w:color w:val="FF0000"/>
          <w:szCs w:val="21"/>
        </w:rPr>
      </w:pPr>
      <w:r>
        <w:rPr>
          <w:rFonts w:ascii="宋体" w:hAnsi="宋体" w:eastAsia="宋体"/>
          <w:szCs w:val="21"/>
          <w:lang w:val="zh-CN"/>
        </w:rPr>
        <w:t>备注：古树名木</w:t>
      </w:r>
      <w:r>
        <w:rPr>
          <w:rFonts w:hint="eastAsia" w:ascii="宋体" w:hAnsi="宋体" w:eastAsia="宋体"/>
          <w:szCs w:val="21"/>
          <w:lang w:val="zh-CN"/>
        </w:rPr>
        <w:t>生长势</w:t>
      </w:r>
      <w:r>
        <w:rPr>
          <w:rFonts w:ascii="宋体" w:hAnsi="宋体" w:eastAsia="宋体"/>
          <w:szCs w:val="21"/>
          <w:lang w:val="zh-CN"/>
        </w:rPr>
        <w:t>分级应由专家根据现场调查情况进行确定。</w:t>
      </w:r>
    </w:p>
    <w:p w14:paraId="3F8CA2D4">
      <w:pPr>
        <w:jc w:val="left"/>
        <w:rPr>
          <w:rFonts w:ascii="仿宋" w:hAnsi="仿宋" w:eastAsia="仿宋"/>
          <w:color w:val="FF0000"/>
          <w:sz w:val="24"/>
          <w:szCs w:val="24"/>
        </w:rPr>
      </w:pPr>
    </w:p>
    <w:p w14:paraId="48787914">
      <w:pPr>
        <w:jc w:val="left"/>
        <w:rPr>
          <w:rFonts w:ascii="仿宋" w:hAnsi="仿宋" w:eastAsia="仿宋"/>
          <w:color w:val="FF0000"/>
          <w:sz w:val="24"/>
          <w:szCs w:val="24"/>
        </w:rPr>
      </w:pPr>
    </w:p>
    <w:p w14:paraId="21CC582F">
      <w:pPr>
        <w:jc w:val="left"/>
        <w:rPr>
          <w:rFonts w:ascii="仿宋" w:hAnsi="仿宋" w:eastAsia="仿宋"/>
          <w:color w:val="FF0000"/>
          <w:sz w:val="24"/>
          <w:szCs w:val="24"/>
        </w:rPr>
      </w:pPr>
    </w:p>
    <w:p w14:paraId="74EE8501">
      <w:pPr>
        <w:jc w:val="left"/>
        <w:rPr>
          <w:rFonts w:ascii="仿宋" w:hAnsi="仿宋" w:eastAsia="仿宋"/>
          <w:color w:val="FF0000"/>
          <w:sz w:val="24"/>
          <w:szCs w:val="24"/>
        </w:rPr>
      </w:pPr>
    </w:p>
    <w:p w14:paraId="4D857B6C">
      <w:pPr>
        <w:jc w:val="left"/>
        <w:rPr>
          <w:rFonts w:ascii="仿宋" w:hAnsi="仿宋" w:eastAsia="仿宋"/>
          <w:color w:val="FF0000"/>
          <w:sz w:val="24"/>
          <w:szCs w:val="24"/>
        </w:rPr>
      </w:pPr>
    </w:p>
    <w:p w14:paraId="252ADB78">
      <w:pPr>
        <w:jc w:val="left"/>
        <w:rPr>
          <w:rFonts w:ascii="仿宋" w:hAnsi="仿宋" w:eastAsia="仿宋"/>
          <w:color w:val="FF0000"/>
          <w:sz w:val="24"/>
          <w:szCs w:val="24"/>
        </w:rPr>
      </w:pPr>
    </w:p>
    <w:p w14:paraId="2046D1D4">
      <w:pPr>
        <w:jc w:val="left"/>
        <w:rPr>
          <w:rFonts w:ascii="仿宋" w:hAnsi="仿宋" w:eastAsia="仿宋"/>
          <w:color w:val="FF0000"/>
          <w:sz w:val="24"/>
          <w:szCs w:val="24"/>
        </w:rPr>
      </w:pPr>
    </w:p>
    <w:p w14:paraId="6FECFABD">
      <w:pPr>
        <w:jc w:val="left"/>
        <w:rPr>
          <w:rFonts w:ascii="仿宋" w:hAnsi="仿宋" w:eastAsia="仿宋"/>
          <w:color w:val="FF0000"/>
          <w:sz w:val="24"/>
          <w:szCs w:val="24"/>
        </w:rPr>
      </w:pPr>
    </w:p>
    <w:p w14:paraId="5E98E21E">
      <w:pPr>
        <w:jc w:val="left"/>
        <w:rPr>
          <w:rFonts w:ascii="仿宋" w:hAnsi="仿宋" w:eastAsia="仿宋"/>
          <w:color w:val="FF0000"/>
          <w:sz w:val="24"/>
          <w:szCs w:val="24"/>
        </w:rPr>
      </w:pPr>
    </w:p>
    <w:p w14:paraId="7D8E4A10">
      <w:pPr>
        <w:jc w:val="left"/>
        <w:rPr>
          <w:rFonts w:ascii="仿宋" w:hAnsi="仿宋" w:eastAsia="仿宋"/>
          <w:color w:val="FF0000"/>
          <w:sz w:val="24"/>
          <w:szCs w:val="24"/>
        </w:rPr>
      </w:pPr>
    </w:p>
    <w:p w14:paraId="2E1F9EBF">
      <w:pPr>
        <w:jc w:val="left"/>
        <w:rPr>
          <w:rFonts w:ascii="仿宋" w:hAnsi="仿宋" w:eastAsia="仿宋"/>
          <w:color w:val="FF0000"/>
          <w:sz w:val="24"/>
          <w:szCs w:val="24"/>
        </w:rPr>
      </w:pPr>
    </w:p>
    <w:p w14:paraId="0471BAE1">
      <w:pPr>
        <w:jc w:val="left"/>
        <w:rPr>
          <w:rFonts w:ascii="仿宋" w:hAnsi="仿宋" w:eastAsia="仿宋"/>
          <w:color w:val="FF0000"/>
          <w:sz w:val="24"/>
          <w:szCs w:val="24"/>
        </w:rPr>
      </w:pPr>
    </w:p>
    <w:p w14:paraId="7CCCC828">
      <w:pPr>
        <w:jc w:val="left"/>
        <w:rPr>
          <w:rFonts w:ascii="仿宋" w:hAnsi="仿宋" w:eastAsia="仿宋"/>
          <w:color w:val="FF0000"/>
          <w:sz w:val="24"/>
          <w:szCs w:val="24"/>
        </w:rPr>
      </w:pPr>
    </w:p>
    <w:p w14:paraId="402D26D9">
      <w:pPr>
        <w:jc w:val="left"/>
        <w:rPr>
          <w:rFonts w:ascii="仿宋" w:hAnsi="仿宋" w:eastAsia="仿宋"/>
          <w:color w:val="FF0000"/>
          <w:sz w:val="24"/>
          <w:szCs w:val="24"/>
        </w:rPr>
      </w:pPr>
    </w:p>
    <w:p w14:paraId="1C92C88E">
      <w:pPr>
        <w:jc w:val="left"/>
        <w:rPr>
          <w:rFonts w:ascii="仿宋" w:hAnsi="仿宋" w:eastAsia="仿宋"/>
          <w:color w:val="FF0000"/>
          <w:sz w:val="24"/>
          <w:szCs w:val="24"/>
        </w:rPr>
      </w:pPr>
    </w:p>
    <w:p w14:paraId="0BC981E1">
      <w:pPr>
        <w:jc w:val="left"/>
        <w:rPr>
          <w:rFonts w:ascii="仿宋" w:hAnsi="仿宋" w:eastAsia="仿宋"/>
          <w:color w:val="FF0000"/>
          <w:sz w:val="24"/>
          <w:szCs w:val="24"/>
        </w:rPr>
      </w:pPr>
    </w:p>
    <w:p w14:paraId="41DB83B0">
      <w:pPr>
        <w:jc w:val="left"/>
        <w:rPr>
          <w:rFonts w:ascii="仿宋" w:hAnsi="仿宋" w:eastAsia="仿宋"/>
          <w:color w:val="FF0000"/>
          <w:sz w:val="24"/>
          <w:szCs w:val="24"/>
        </w:rPr>
      </w:pPr>
    </w:p>
    <w:p w14:paraId="57411A12">
      <w:pPr>
        <w:jc w:val="left"/>
        <w:rPr>
          <w:rFonts w:ascii="仿宋" w:hAnsi="仿宋" w:eastAsia="仿宋"/>
          <w:color w:val="FF0000"/>
          <w:sz w:val="24"/>
          <w:szCs w:val="24"/>
        </w:rPr>
      </w:pPr>
    </w:p>
    <w:p w14:paraId="764652AF">
      <w:pPr>
        <w:jc w:val="left"/>
        <w:rPr>
          <w:rFonts w:ascii="仿宋" w:hAnsi="仿宋" w:eastAsia="仿宋"/>
          <w:color w:val="FF0000"/>
          <w:sz w:val="24"/>
          <w:szCs w:val="24"/>
        </w:rPr>
      </w:pPr>
    </w:p>
    <w:p w14:paraId="2151D29A">
      <w:pPr>
        <w:jc w:val="left"/>
        <w:rPr>
          <w:rFonts w:ascii="仿宋" w:hAnsi="仿宋" w:eastAsia="仿宋"/>
          <w:color w:val="FF0000"/>
          <w:sz w:val="24"/>
          <w:szCs w:val="24"/>
        </w:rPr>
      </w:pPr>
    </w:p>
    <w:p w14:paraId="2D8BD86F">
      <w:pPr>
        <w:jc w:val="left"/>
        <w:rPr>
          <w:rFonts w:ascii="仿宋" w:hAnsi="仿宋" w:eastAsia="仿宋"/>
          <w:color w:val="FF0000"/>
          <w:sz w:val="24"/>
          <w:szCs w:val="24"/>
        </w:rPr>
      </w:pPr>
    </w:p>
    <w:p w14:paraId="2F1F886D">
      <w:pPr>
        <w:jc w:val="left"/>
        <w:rPr>
          <w:rFonts w:ascii="仿宋" w:hAnsi="仿宋" w:eastAsia="仿宋"/>
          <w:color w:val="FF0000"/>
          <w:sz w:val="24"/>
          <w:szCs w:val="24"/>
        </w:rPr>
      </w:pPr>
    </w:p>
    <w:p w14:paraId="48B946C9">
      <w:pPr>
        <w:pStyle w:val="33"/>
        <w:spacing w:line="240" w:lineRule="auto"/>
        <w:jc w:val="center"/>
        <w:outlineLvl w:val="0"/>
        <w:rPr>
          <w:rFonts w:ascii="黑体" w:hAnsi="黑体" w:eastAsia="黑体" w:cs="黑体"/>
          <w:b/>
          <w:bCs/>
          <w:sz w:val="24"/>
          <w:szCs w:val="24"/>
          <w:lang w:val="en-US" w:bidi="en-US"/>
        </w:rPr>
      </w:pPr>
      <w:bookmarkStart w:id="66" w:name="_Toc137156142"/>
      <w:r>
        <w:rPr>
          <w:rFonts w:hint="eastAsia" w:ascii="黑体" w:hAnsi="黑体" w:eastAsia="黑体" w:cs="黑体"/>
          <w:b/>
          <w:bCs/>
          <w:sz w:val="24"/>
          <w:szCs w:val="24"/>
          <w:lang w:val="en-US" w:bidi="en-US"/>
        </w:rPr>
        <w:t xml:space="preserve">附 录 </w:t>
      </w:r>
      <w:r>
        <w:rPr>
          <w:rFonts w:ascii="黑体" w:hAnsi="黑体" w:eastAsia="黑体" w:cs="黑体"/>
          <w:b/>
          <w:bCs/>
          <w:sz w:val="24"/>
          <w:szCs w:val="24"/>
          <w:lang w:val="en-US" w:bidi="en-US"/>
        </w:rPr>
        <w:t>B</w:t>
      </w:r>
      <w:bookmarkEnd w:id="66"/>
      <w:r>
        <w:rPr>
          <w:rFonts w:ascii="黑体" w:hAnsi="黑体" w:eastAsia="黑体" w:cs="黑体"/>
          <w:b/>
          <w:bCs/>
          <w:sz w:val="24"/>
          <w:szCs w:val="24"/>
          <w:lang w:val="en-US" w:bidi="en-US"/>
        </w:rPr>
        <w:t xml:space="preserve"> </w:t>
      </w:r>
    </w:p>
    <w:p w14:paraId="2377E8C1">
      <w:pPr>
        <w:spacing w:before="312" w:beforeLines="100" w:after="312" w:afterLines="100"/>
        <w:jc w:val="center"/>
        <w:rPr>
          <w:rFonts w:ascii="黑体" w:hAnsi="黑体" w:eastAsia="黑体" w:cs="黑体"/>
          <w:b/>
          <w:bCs/>
          <w:sz w:val="24"/>
          <w:szCs w:val="24"/>
        </w:rPr>
      </w:pPr>
      <w:bookmarkStart w:id="67" w:name="_Toc101277198"/>
      <w:r>
        <w:rPr>
          <w:rFonts w:hint="eastAsia" w:ascii="黑体" w:hAnsi="黑体" w:eastAsia="黑体" w:cs="黑体"/>
          <w:b/>
          <w:bCs/>
          <w:sz w:val="24"/>
          <w:szCs w:val="24"/>
        </w:rPr>
        <w:t>（资料性）</w:t>
      </w:r>
      <w:bookmarkEnd w:id="67"/>
    </w:p>
    <w:p w14:paraId="717AFDC9">
      <w:pPr>
        <w:spacing w:before="312" w:beforeLines="100" w:after="312" w:afterLines="100"/>
        <w:jc w:val="center"/>
        <w:rPr>
          <w:rFonts w:ascii="黑体" w:hAnsi="黑体" w:eastAsia="黑体"/>
          <w:b/>
          <w:szCs w:val="21"/>
        </w:rPr>
      </w:pPr>
      <w:bookmarkStart w:id="68" w:name="_Hlk101277116"/>
      <w:r>
        <w:rPr>
          <w:rFonts w:hint="eastAsia" w:ascii="黑体" w:hAnsi="黑体" w:eastAsia="黑体"/>
          <w:b/>
          <w:szCs w:val="21"/>
        </w:rPr>
        <w:t>古树名木保护牌规格</w:t>
      </w:r>
    </w:p>
    <w:p w14:paraId="2D05B305"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color w:val="000000"/>
          <w:szCs w:val="21"/>
        </w:rPr>
        <w:t>B.1</w:t>
      </w:r>
      <w:r>
        <w:rPr>
          <w:rFonts w:hint="eastAsia" w:ascii="宋体" w:hAnsi="宋体" w:eastAsia="宋体"/>
          <w:szCs w:val="21"/>
        </w:rPr>
        <w:t>古树名木保护牌规格为300×225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mm，厚度60丝。保护牌内容按图1执行。挂式保护牌应采用可调节的弹簧钢丝绳悬挂，防止勒紧树干，不得在树干上钉挂保护牌。</w:t>
      </w:r>
    </w:p>
    <w:p w14:paraId="1FB60120">
      <w:pPr>
        <w:spacing w:line="360" w:lineRule="auto"/>
        <w:jc w:val="left"/>
        <w:rPr>
          <w:rFonts w:ascii="宋体" w:hAnsi="宋体" w:eastAsia="宋体"/>
          <w:color w:val="000000"/>
          <w:szCs w:val="21"/>
        </w:rPr>
      </w:pPr>
      <w:r>
        <w:rPr>
          <w:rFonts w:ascii="宋体" w:hAnsi="宋体" w:eastAsia="宋体"/>
          <w:szCs w:val="21"/>
        </w:rPr>
        <w:t>B</w:t>
      </w:r>
      <w:r>
        <w:rPr>
          <w:rFonts w:hint="eastAsia" w:ascii="宋体" w:hAnsi="宋体" w:eastAsia="宋体"/>
          <w:szCs w:val="21"/>
        </w:rPr>
        <w:t>.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color w:val="000000"/>
          <w:szCs w:val="21"/>
        </w:rPr>
        <w:t>保护牌上附二维码，确保可准确扫描（</w:t>
      </w:r>
      <w:r>
        <w:rPr>
          <w:rFonts w:hint="eastAsia" w:ascii="宋体" w:hAnsi="宋体" w:eastAsia="宋体"/>
          <w:szCs w:val="21"/>
        </w:rPr>
        <w:t>见示例图</w:t>
      </w:r>
      <w:r>
        <w:rPr>
          <w:rFonts w:hint="eastAsia" w:ascii="宋体" w:hAnsi="宋体" w:eastAsia="宋体"/>
          <w:color w:val="000000"/>
          <w:szCs w:val="21"/>
        </w:rPr>
        <w:t>）。凡已录入（导入）湖南古树名木数据库的古树名木，其二维码均可登陆湖南古树名木信息管理系</w:t>
      </w:r>
      <w:r>
        <w:rPr>
          <w:rFonts w:hint="eastAsia" w:ascii="宋体" w:hAnsi="宋体" w:eastAsia="宋体"/>
          <w:szCs w:val="21"/>
        </w:rPr>
        <w:t>统查询其信息</w:t>
      </w:r>
      <w:r>
        <w:rPr>
          <w:rFonts w:hint="eastAsia" w:ascii="宋体" w:hAnsi="宋体" w:eastAsia="宋体"/>
          <w:color w:val="000000"/>
          <w:szCs w:val="21"/>
        </w:rPr>
        <w:t>。</w:t>
      </w:r>
    </w:p>
    <w:p w14:paraId="03136CCB"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color w:val="00000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2997200</wp:posOffset>
            </wp:positionH>
            <wp:positionV relativeFrom="paragraph">
              <wp:posOffset>1056005</wp:posOffset>
            </wp:positionV>
            <wp:extent cx="2240280" cy="1461135"/>
            <wp:effectExtent l="0" t="0" r="7620" b="5715"/>
            <wp:wrapTight wrapText="bothSides">
              <wp:wrapPolygon>
                <wp:start x="0" y="0"/>
                <wp:lineTo x="0" y="21403"/>
                <wp:lineTo x="21490" y="21403"/>
                <wp:lineTo x="21490" y="0"/>
                <wp:lineTo x="0" y="0"/>
              </wp:wrapPolygon>
            </wp:wrapTight>
            <wp:docPr id="5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40280" cy="1461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1057910</wp:posOffset>
            </wp:positionV>
            <wp:extent cx="2242820" cy="1459865"/>
            <wp:effectExtent l="0" t="0" r="5080" b="6985"/>
            <wp:wrapTopAndBottom/>
            <wp:docPr id="6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3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42820" cy="1459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color w:val="000000"/>
          <w:szCs w:val="21"/>
        </w:rPr>
        <w:t>B</w:t>
      </w:r>
      <w:r>
        <w:rPr>
          <w:rFonts w:hint="eastAsia" w:ascii="宋体" w:hAnsi="宋体" w:eastAsia="宋体"/>
          <w:color w:val="000000"/>
          <w:szCs w:val="21"/>
        </w:rPr>
        <w:t>.</w:t>
      </w:r>
      <w:r>
        <w:rPr>
          <w:rFonts w:ascii="宋体" w:hAnsi="宋体" w:eastAsia="宋体"/>
          <w:color w:val="000000"/>
          <w:szCs w:val="21"/>
        </w:rPr>
        <w:t>3</w:t>
      </w:r>
      <w:r>
        <w:rPr>
          <w:rFonts w:hint="eastAsia" w:ascii="宋体" w:hAnsi="宋体" w:eastAsia="宋体"/>
          <w:color w:val="000000"/>
          <w:szCs w:val="21"/>
        </w:rPr>
        <w:t>古树群保护牌（碑）文字采用红字（底色根据环境自定），一般采用立式保护牌或保护碑；应标明编号、主要树种、保护面积、古树株数、平均树龄等主要内容，按图2执行；保护级别按古树群平均树龄填写。</w:t>
      </w:r>
      <w:r>
        <w:rPr>
          <w:rFonts w:hint="eastAsia" w:ascii="宋体" w:hAnsi="宋体" w:eastAsia="宋体"/>
          <w:szCs w:val="21"/>
        </w:rPr>
        <w:t xml:space="preserve"> </w:t>
      </w:r>
    </w:p>
    <w:p w14:paraId="6D47876F">
      <w:pPr>
        <w:pStyle w:val="2"/>
        <w:ind w:left="0" w:leftChars="0" w:firstLine="840" w:firstLineChars="400"/>
      </w:pPr>
      <w:r>
        <w:rPr>
          <w:rFonts w:hint="eastAsia"/>
        </w:rPr>
        <w:t>图1</w:t>
      </w:r>
      <w:r>
        <w:t xml:space="preserve"> </w:t>
      </w:r>
      <w:r>
        <w:rPr>
          <w:rFonts w:hint="eastAsia"/>
        </w:rPr>
        <w:t xml:space="preserve">单株保护牌 </w:t>
      </w:r>
      <w:r>
        <w:t xml:space="preserve">                               </w:t>
      </w:r>
      <w:r>
        <w:rPr>
          <w:rFonts w:hint="eastAsia"/>
        </w:rPr>
        <w:t>图2</w:t>
      </w:r>
      <w:r>
        <w:t xml:space="preserve"> </w:t>
      </w:r>
      <w:r>
        <w:rPr>
          <w:rFonts w:hint="eastAsia"/>
        </w:rPr>
        <w:t>古树群保护牌</w:t>
      </w:r>
    </w:p>
    <w:p w14:paraId="45FA3D6E">
      <w:pPr>
        <w:pStyle w:val="2"/>
        <w:ind w:left="0" w:leftChars="0" w:firstLine="0" w:firstLineChars="0"/>
      </w:pPr>
      <w:r>
        <w:rPr>
          <w:color w:val="00000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65405</wp:posOffset>
            </wp:positionH>
            <wp:positionV relativeFrom="paragraph">
              <wp:posOffset>214630</wp:posOffset>
            </wp:positionV>
            <wp:extent cx="5270500" cy="3457575"/>
            <wp:effectExtent l="0" t="0" r="6350" b="0"/>
            <wp:wrapNone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29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例：</w:t>
      </w:r>
    </w:p>
    <w:bookmarkEnd w:id="68"/>
    <w:p w14:paraId="20ED839D">
      <w:pPr>
        <w:spacing w:line="560" w:lineRule="exact"/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8EC05AC">
      <w:pPr>
        <w:pStyle w:val="33"/>
        <w:spacing w:line="240" w:lineRule="auto"/>
        <w:jc w:val="center"/>
        <w:outlineLvl w:val="0"/>
        <w:rPr>
          <w:rFonts w:ascii="黑体" w:hAnsi="黑体" w:eastAsia="黑体" w:cs="黑体"/>
          <w:b/>
          <w:bCs/>
          <w:sz w:val="24"/>
          <w:szCs w:val="24"/>
          <w:lang w:val="en-US" w:bidi="en-US"/>
        </w:rPr>
      </w:pPr>
      <w:bookmarkStart w:id="69" w:name="_Toc137156143"/>
      <w:bookmarkStart w:id="70" w:name="bookmark5"/>
      <w:bookmarkStart w:id="71" w:name="bookmark4"/>
      <w:bookmarkStart w:id="72" w:name="bookmark3"/>
      <w:r>
        <w:rPr>
          <w:rFonts w:hint="eastAsia" w:ascii="黑体" w:hAnsi="黑体" w:eastAsia="黑体" w:cs="黑体"/>
          <w:b/>
          <w:bCs/>
          <w:sz w:val="24"/>
          <w:szCs w:val="24"/>
          <w:lang w:val="en-US" w:bidi="en-US"/>
        </w:rPr>
        <w:t xml:space="preserve">附 录 </w:t>
      </w:r>
      <w:r>
        <w:rPr>
          <w:rFonts w:ascii="黑体" w:hAnsi="黑体" w:eastAsia="黑体" w:cs="黑体"/>
          <w:b/>
          <w:bCs/>
          <w:sz w:val="24"/>
          <w:szCs w:val="24"/>
          <w:lang w:val="en-US" w:bidi="en-US"/>
        </w:rPr>
        <w:t>C</w:t>
      </w:r>
      <w:bookmarkEnd w:id="69"/>
      <w:r>
        <w:rPr>
          <w:rFonts w:ascii="黑体" w:hAnsi="黑体" w:eastAsia="黑体" w:cs="黑体"/>
          <w:b/>
          <w:bCs/>
          <w:sz w:val="24"/>
          <w:szCs w:val="24"/>
          <w:lang w:val="en-US" w:bidi="en-US"/>
        </w:rPr>
        <w:t xml:space="preserve"> </w:t>
      </w:r>
    </w:p>
    <w:p w14:paraId="00F85C87">
      <w:pPr>
        <w:spacing w:before="312" w:beforeLines="100" w:after="312" w:afterLines="100"/>
        <w:jc w:val="center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（资料性）</w:t>
      </w:r>
    </w:p>
    <w:p w14:paraId="190EC8E6">
      <w:pPr>
        <w:spacing w:before="312" w:beforeLines="100" w:after="312" w:afterLines="100"/>
        <w:jc w:val="center"/>
      </w:pPr>
      <w:bookmarkStart w:id="73" w:name="_Hlk101277215"/>
      <w:r>
        <w:rPr>
          <w:rFonts w:hint="eastAsia" w:ascii="黑体" w:hAnsi="黑体" w:eastAsia="黑体"/>
          <w:b/>
          <w:szCs w:val="21"/>
        </w:rPr>
        <w:t>病虫害</w:t>
      </w:r>
      <w:r>
        <w:rPr>
          <w:rFonts w:ascii="黑体" w:hAnsi="黑体" w:eastAsia="黑体"/>
          <w:b/>
          <w:szCs w:val="21"/>
        </w:rPr>
        <w:t>防治</w:t>
      </w:r>
      <w:bookmarkEnd w:id="70"/>
      <w:bookmarkEnd w:id="71"/>
      <w:bookmarkEnd w:id="72"/>
    </w:p>
    <w:bookmarkEnd w:id="73"/>
    <w:tbl>
      <w:tblPr>
        <w:tblStyle w:val="16"/>
        <w:tblW w:w="9706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85"/>
        <w:gridCol w:w="1099"/>
        <w:gridCol w:w="1348"/>
        <w:gridCol w:w="1465"/>
        <w:gridCol w:w="5009"/>
      </w:tblGrid>
      <w:tr w14:paraId="5F1EC42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7" w:hRule="exac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AB1CA2C">
            <w:pPr>
              <w:pStyle w:val="28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类型</w:t>
            </w: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621442BF">
            <w:pPr>
              <w:pStyle w:val="28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常见主要</w:t>
            </w:r>
          </w:p>
          <w:p w14:paraId="3CEFD010">
            <w:pPr>
              <w:pStyle w:val="28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种类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9BF30C8">
            <w:pPr>
              <w:pStyle w:val="28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为害特点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5D4E0D4F">
            <w:pPr>
              <w:pStyle w:val="28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识别要点</w:t>
            </w:r>
          </w:p>
        </w:tc>
        <w:tc>
          <w:tcPr>
            <w:tcW w:w="50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33171B">
            <w:pPr>
              <w:pStyle w:val="28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防治措施</w:t>
            </w:r>
          </w:p>
        </w:tc>
      </w:tr>
      <w:tr w14:paraId="2231EF8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540" w:hRule="exact"/>
          <w:jc w:val="center"/>
        </w:trPr>
        <w:tc>
          <w:tcPr>
            <w:tcW w:w="78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F82BB15">
            <w:pPr>
              <w:pStyle w:val="28"/>
              <w:spacing w:line="240" w:lineRule="exact"/>
              <w:jc w:val="center"/>
              <w:rPr>
                <w:rFonts w:eastAsia="PMingLiU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叶、 花、 果</w:t>
            </w:r>
          </w:p>
          <w:p w14:paraId="0B314E17">
            <w:pPr>
              <w:pStyle w:val="28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虫</w:t>
            </w:r>
          </w:p>
          <w:p w14:paraId="162F7A67">
            <w:pPr>
              <w:pStyle w:val="28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害</w:t>
            </w: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5F4EFF9A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刺吸类害虫（如</w:t>
            </w:r>
            <w:r>
              <w:rPr>
                <w:rFonts w:hint="eastAsia"/>
                <w:sz w:val="18"/>
                <w:szCs w:val="18"/>
                <w:lang w:eastAsia="zh-CN"/>
              </w:rPr>
              <w:t>蚜</w:t>
            </w:r>
            <w:r>
              <w:rPr>
                <w:rFonts w:hint="eastAsia"/>
                <w:sz w:val="18"/>
                <w:szCs w:val="18"/>
              </w:rPr>
              <w:t>虫、叶</w:t>
            </w:r>
            <w:r>
              <w:rPr>
                <w:rFonts w:hint="eastAsia"/>
                <w:sz w:val="18"/>
                <w:szCs w:val="18"/>
                <w:lang w:eastAsia="zh-CN"/>
              </w:rPr>
              <w:t>螨</w:t>
            </w:r>
            <w:r>
              <w:rPr>
                <w:rFonts w:hint="eastAsia"/>
                <w:sz w:val="18"/>
                <w:szCs w:val="18"/>
              </w:rPr>
              <w:t xml:space="preserve">、 </w:t>
            </w:r>
            <w:r>
              <w:rPr>
                <w:rFonts w:hint="eastAsia"/>
                <w:sz w:val="18"/>
                <w:szCs w:val="18"/>
                <w:lang w:eastAsia="zh-CN"/>
              </w:rPr>
              <w:t>粉</w:t>
            </w:r>
            <w:r>
              <w:rPr>
                <w:rFonts w:hint="eastAsia"/>
                <w:sz w:val="18"/>
                <w:szCs w:val="18"/>
              </w:rPr>
              <w:t>虱、木虱、网</w:t>
            </w:r>
            <w:r>
              <w:rPr>
                <w:rFonts w:hint="eastAsia"/>
                <w:sz w:val="18"/>
                <w:szCs w:val="18"/>
                <w:lang w:eastAsia="zh-CN"/>
              </w:rPr>
              <w:t>蝽</w:t>
            </w:r>
            <w:r>
              <w:rPr>
                <w:rFonts w:hint="eastAsia"/>
                <w:sz w:val="18"/>
                <w:szCs w:val="18"/>
              </w:rPr>
              <w:t>、 叶</w:t>
            </w:r>
            <w:r>
              <w:rPr>
                <w:rFonts w:hint="eastAsia"/>
                <w:sz w:val="18"/>
                <w:szCs w:val="18"/>
                <w:lang w:eastAsia="zh-CN"/>
              </w:rPr>
              <w:t>蝉、</w:t>
            </w:r>
            <w:r>
              <w:rPr>
                <w:rStyle w:val="19"/>
                <w:rFonts w:ascii="Arial" w:hAnsi="Arial" w:cs="Arial"/>
                <w:i w:val="0"/>
                <w:sz w:val="19"/>
                <w:szCs w:val="19"/>
                <w:shd w:val="clear" w:color="auto" w:fill="FFFFFF"/>
              </w:rPr>
              <w:t>蓟马</w:t>
            </w:r>
            <w:r>
              <w:rPr>
                <w:rFonts w:hint="eastAsia"/>
                <w:sz w:val="18"/>
                <w:szCs w:val="18"/>
              </w:rPr>
              <w:t>等）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3026690B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刺吸植物汁液或，可致树势衰弱。初期不易发现，有隐蔽性，易暴发。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65591805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查看叶片有无卷曲、 结网，叶色有无失绿 变黄或黄色斑点，査 看地面有无非正常落叶、有无油点（害虫分泌物）等。</w:t>
            </w:r>
          </w:p>
        </w:tc>
        <w:tc>
          <w:tcPr>
            <w:tcW w:w="50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18E24C0B">
            <w:pPr>
              <w:pStyle w:val="28"/>
              <w:tabs>
                <w:tab w:val="left" w:pos="436"/>
              </w:tabs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（1）释放瓢虫、食</w:t>
            </w:r>
            <w:r>
              <w:rPr>
                <w:rFonts w:hint="eastAsia"/>
                <w:sz w:val="18"/>
                <w:szCs w:val="18"/>
                <w:lang w:eastAsia="zh-CN"/>
              </w:rPr>
              <w:t>蚜</w:t>
            </w:r>
            <w:r>
              <w:rPr>
                <w:rFonts w:hint="eastAsia"/>
                <w:sz w:val="18"/>
                <w:szCs w:val="18"/>
              </w:rPr>
              <w:t>蝇、草蛉、</w:t>
            </w:r>
            <w:r>
              <w:rPr>
                <w:rFonts w:hint="eastAsia"/>
                <w:sz w:val="18"/>
                <w:szCs w:val="18"/>
                <w:lang w:eastAsia="zh-CN"/>
              </w:rPr>
              <w:t>蚜</w:t>
            </w:r>
            <w:r>
              <w:rPr>
                <w:rFonts w:hint="eastAsia"/>
                <w:sz w:val="18"/>
                <w:szCs w:val="18"/>
              </w:rPr>
              <w:t>小蜂、</w:t>
            </w:r>
            <w:r>
              <w:rPr>
                <w:rFonts w:hint="eastAsia"/>
                <w:sz w:val="18"/>
                <w:szCs w:val="18"/>
                <w:lang w:eastAsia="zh-CN"/>
              </w:rPr>
              <w:t>蚜</w:t>
            </w:r>
            <w:r>
              <w:rPr>
                <w:rFonts w:hint="eastAsia"/>
                <w:sz w:val="18"/>
                <w:szCs w:val="18"/>
              </w:rPr>
              <w:t>茧蜂等天敌昆虫防治。</w:t>
            </w:r>
          </w:p>
          <w:p w14:paraId="0DC250B2">
            <w:pPr>
              <w:pStyle w:val="28"/>
              <w:tabs>
                <w:tab w:val="left" w:pos="535"/>
              </w:tabs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（2）黄色粘虫板诱杀粉虱</w:t>
            </w:r>
            <w:r>
              <w:rPr>
                <w:rFonts w:hint="eastAsia"/>
                <w:sz w:val="18"/>
                <w:szCs w:val="18"/>
                <w:lang w:eastAsia="zh-CN"/>
              </w:rPr>
              <w:t>、蚜</w:t>
            </w:r>
            <w:r>
              <w:rPr>
                <w:rFonts w:hint="eastAsia"/>
                <w:sz w:val="18"/>
                <w:szCs w:val="18"/>
              </w:rPr>
              <w:t>虫</w:t>
            </w:r>
            <w:r>
              <w:rPr>
                <w:rFonts w:hint="eastAsia"/>
                <w:sz w:val="18"/>
                <w:szCs w:val="18"/>
                <w:lang w:eastAsia="zh-CN"/>
              </w:rPr>
              <w:t>、</w:t>
            </w:r>
            <w:r>
              <w:rPr>
                <w:rStyle w:val="19"/>
                <w:rFonts w:ascii="Arial" w:hAnsi="Arial" w:cs="Arial"/>
                <w:i w:val="0"/>
                <w:sz w:val="19"/>
                <w:szCs w:val="19"/>
                <w:shd w:val="clear" w:color="auto" w:fill="FFFFFF"/>
              </w:rPr>
              <w:t>蓟马</w:t>
            </w:r>
            <w:r>
              <w:rPr>
                <w:rFonts w:hint="eastAsia"/>
                <w:sz w:val="18"/>
                <w:szCs w:val="18"/>
              </w:rPr>
              <w:t>等等。</w:t>
            </w:r>
          </w:p>
          <w:p w14:paraId="3540D71A">
            <w:pPr>
              <w:pStyle w:val="28"/>
              <w:tabs>
                <w:tab w:val="left" w:pos="436"/>
              </w:tabs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（3）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  <w:lang w:eastAsia="zh-CN"/>
              </w:rPr>
              <w:t>吡</w:t>
            </w:r>
            <w:r>
              <w:rPr>
                <w:rFonts w:hint="eastAsia"/>
                <w:sz w:val="18"/>
                <w:szCs w:val="18"/>
              </w:rPr>
              <w:t>虫</w:t>
            </w:r>
            <w:r>
              <w:rPr>
                <w:rFonts w:hint="eastAsia"/>
                <w:sz w:val="18"/>
                <w:szCs w:val="18"/>
                <w:lang w:eastAsia="zh-CN"/>
              </w:rPr>
              <w:t>啉乳油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1500</w:t>
            </w:r>
            <w:r>
              <w:rPr>
                <w:rFonts w:hint="eastAsia"/>
                <w:sz w:val="18"/>
                <w:szCs w:val="18"/>
              </w:rPr>
              <w:t>〜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2000</w:t>
            </w:r>
            <w:r>
              <w:rPr>
                <w:rFonts w:hint="eastAsia"/>
                <w:sz w:val="18"/>
                <w:szCs w:val="18"/>
              </w:rPr>
              <w:t>倍液、25%</w:t>
            </w:r>
            <w:r>
              <w:rPr>
                <w:rFonts w:hint="eastAsia"/>
                <w:sz w:val="18"/>
                <w:szCs w:val="18"/>
                <w:lang w:eastAsia="zh-CN"/>
              </w:rPr>
              <w:t>喹硫磷乳油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500</w:t>
            </w:r>
            <w:r>
              <w:rPr>
                <w:rFonts w:hint="eastAsia"/>
                <w:sz w:val="18"/>
                <w:szCs w:val="18"/>
              </w:rPr>
              <w:t>〜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1000</w:t>
            </w:r>
            <w:r>
              <w:rPr>
                <w:rFonts w:hint="eastAsia"/>
                <w:sz w:val="18"/>
                <w:szCs w:val="18"/>
              </w:rPr>
              <w:t>倍液、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50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  <w:lang w:eastAsia="zh-CN"/>
              </w:rPr>
              <w:t>杀螟松</w:t>
            </w:r>
            <w:r>
              <w:rPr>
                <w:rFonts w:hint="eastAsia"/>
                <w:sz w:val="18"/>
                <w:szCs w:val="18"/>
              </w:rPr>
              <w:t>乳</w:t>
            </w:r>
            <w:r>
              <w:rPr>
                <w:rFonts w:hint="eastAsia"/>
                <w:sz w:val="18"/>
                <w:szCs w:val="18"/>
                <w:lang w:eastAsia="zh-CN"/>
              </w:rPr>
              <w:t>油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z w:val="18"/>
                <w:szCs w:val="18"/>
              </w:rPr>
              <w:t>000倍液</w:t>
            </w:r>
            <w:r>
              <w:rPr>
                <w:rFonts w:hint="eastAsia"/>
                <w:sz w:val="18"/>
                <w:szCs w:val="18"/>
                <w:lang w:eastAsia="zh-CN"/>
              </w:rPr>
              <w:t>、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40%氧化乐果1000</w:t>
            </w:r>
            <w:r>
              <w:rPr>
                <w:rFonts w:hint="eastAsia"/>
                <w:sz w:val="18"/>
                <w:szCs w:val="18"/>
              </w:rPr>
              <w:t>〜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1500</w:t>
            </w:r>
            <w:r>
              <w:rPr>
                <w:rFonts w:hint="eastAsia"/>
                <w:sz w:val="18"/>
                <w:szCs w:val="18"/>
              </w:rPr>
              <w:t>倍液喷洒防治。</w:t>
            </w:r>
          </w:p>
          <w:p w14:paraId="74104411">
            <w:pPr>
              <w:pStyle w:val="28"/>
              <w:tabs>
                <w:tab w:val="left" w:pos="466"/>
              </w:tabs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（4）萌芽前喷3〜5倍美度石硫合剂，防治虻壳 虫及叶蜻类害虫。</w:t>
            </w:r>
          </w:p>
        </w:tc>
      </w:tr>
      <w:tr w14:paraId="182C0D8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88" w:hRule="exact"/>
          <w:jc w:val="center"/>
        </w:trPr>
        <w:tc>
          <w:tcPr>
            <w:tcW w:w="785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 w14:paraId="4EBB0CF9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60EB0F9F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食叶类害虫（如叶甲、尺蟻、刺蛾、夜 蛾、叶甲等）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29187890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咬食植物叶 片，具咀嚼式 口器，以幼虫 或成虫为害植物，致生长衰弱。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5986602D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查看古树叶片有无咬食缺刻、虫眼，叶面有无缺绿潜斑，有无拉网结丝，有无只剩叶脉的叶片，地下有无虫粪等。</w:t>
            </w:r>
          </w:p>
        </w:tc>
        <w:tc>
          <w:tcPr>
            <w:tcW w:w="50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58AC2BE4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（1）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  <w:lang w:eastAsia="zh-CN"/>
              </w:rPr>
              <w:t>氯氢菊酯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sz w:val="18"/>
                <w:szCs w:val="18"/>
              </w:rPr>
              <w:t>00〜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z w:val="18"/>
                <w:szCs w:val="18"/>
              </w:rPr>
              <w:t>000倍液、25%灭幼</w:t>
            </w:r>
            <w:r>
              <w:rPr>
                <w:rFonts w:hint="eastAsia"/>
                <w:sz w:val="18"/>
                <w:szCs w:val="18"/>
                <w:lang w:eastAsia="zh-CN"/>
              </w:rPr>
              <w:t>尿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/>
                <w:sz w:val="18"/>
                <w:szCs w:val="18"/>
              </w:rPr>
              <w:t>00〜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  <w:r>
              <w:rPr>
                <w:rFonts w:hint="eastAsia"/>
                <w:sz w:val="18"/>
                <w:szCs w:val="18"/>
              </w:rPr>
              <w:t>00倍液、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/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  <w:lang w:eastAsia="zh-CN"/>
              </w:rPr>
              <w:t>敌百虫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z w:val="18"/>
                <w:szCs w:val="18"/>
              </w:rPr>
              <w:t>000〜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  <w:r>
              <w:rPr>
                <w:rFonts w:hint="eastAsia"/>
                <w:sz w:val="18"/>
                <w:szCs w:val="18"/>
              </w:rPr>
              <w:t>00倍液喷洒防治。</w:t>
            </w:r>
          </w:p>
          <w:p w14:paraId="25433FFE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（2）苏云金杆菌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（Bt）</w:t>
            </w:r>
            <w:r>
              <w:rPr>
                <w:rFonts w:hint="eastAsia"/>
                <w:sz w:val="18"/>
                <w:szCs w:val="18"/>
              </w:rPr>
              <w:t>可湿性粉剂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（8000IU/mg）</w:t>
            </w:r>
            <w:r>
              <w:rPr>
                <w:rFonts w:hint="eastAsia"/>
                <w:sz w:val="18"/>
                <w:szCs w:val="18"/>
              </w:rPr>
              <w:t>500〜800倍液喷洒防治。</w:t>
            </w:r>
          </w:p>
          <w:p w14:paraId="760EEA8E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（3）白僵菌100亿抱子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/g</w:t>
            </w:r>
            <w:r>
              <w:rPr>
                <w:rFonts w:hint="eastAsia"/>
                <w:sz w:val="18"/>
                <w:szCs w:val="18"/>
              </w:rPr>
              <w:t>可湿性粉剂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50</w:t>
            </w:r>
            <w:r>
              <w:rPr>
                <w:rFonts w:hint="eastAsia"/>
                <w:sz w:val="18"/>
                <w:szCs w:val="18"/>
              </w:rPr>
              <w:t>〜100倍液、1.2%烟碱•苦参碱乳油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1000</w:t>
            </w:r>
            <w:r>
              <w:rPr>
                <w:rFonts w:hint="eastAsia"/>
                <w:sz w:val="18"/>
                <w:szCs w:val="18"/>
              </w:rPr>
              <w:t>〜1500倍液喷洒防治。</w:t>
            </w:r>
          </w:p>
          <w:p w14:paraId="3EDB5DAE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（4）灯光诱杀成虫。</w:t>
            </w:r>
          </w:p>
          <w:p w14:paraId="388499BE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（5）人工剪除网幕，在美国白蛾网幕期，人工剪 除网幕，并就地销毁。</w:t>
            </w:r>
          </w:p>
        </w:tc>
      </w:tr>
      <w:tr w14:paraId="7FEF0F9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79" w:hRule="exact"/>
          <w:jc w:val="center"/>
        </w:trPr>
        <w:tc>
          <w:tcPr>
            <w:tcW w:w="78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6F0166CD">
            <w:pPr>
              <w:pStyle w:val="28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枝干</w:t>
            </w:r>
          </w:p>
          <w:p w14:paraId="00B9620D">
            <w:pPr>
              <w:pStyle w:val="28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害虫</w:t>
            </w: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3AD65788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松材线虫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1A5AE81D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毁灭性</w:t>
            </w:r>
            <w:r>
              <w:rPr>
                <w:rFonts w:hint="eastAsia"/>
                <w:sz w:val="18"/>
                <w:szCs w:val="18"/>
                <w:lang w:eastAsia="zh-CN"/>
              </w:rPr>
              <w:t>病</w:t>
            </w:r>
            <w:r>
              <w:rPr>
                <w:rFonts w:hint="eastAsia"/>
                <w:sz w:val="18"/>
                <w:szCs w:val="18"/>
              </w:rPr>
              <w:t>害， 在湿地松、马 尾松、黑松等 植株上发生比较普遍，</w:t>
            </w:r>
            <w:r>
              <w:rPr>
                <w:rFonts w:hint="eastAsia"/>
                <w:sz w:val="18"/>
                <w:szCs w:val="18"/>
                <w:lang w:eastAsia="zh-CN"/>
              </w:rPr>
              <w:t>由</w:t>
            </w:r>
            <w:r>
              <w:rPr>
                <w:rFonts w:hint="eastAsia"/>
                <w:sz w:val="18"/>
                <w:szCs w:val="18"/>
              </w:rPr>
              <w:t>媒介</w:t>
            </w:r>
            <w:r>
              <w:rPr>
                <w:rFonts w:hint="eastAsia"/>
                <w:sz w:val="18"/>
                <w:szCs w:val="18"/>
                <w:lang w:eastAsia="zh-CN"/>
              </w:rPr>
              <w:t>昆虫进行</w:t>
            </w:r>
            <w:r>
              <w:rPr>
                <w:rFonts w:hint="eastAsia"/>
                <w:sz w:val="18"/>
                <w:szCs w:val="18"/>
              </w:rPr>
              <w:t>传播，严重威胁</w:t>
            </w:r>
            <w:r>
              <w:rPr>
                <w:rFonts w:hint="eastAsia"/>
                <w:sz w:val="18"/>
                <w:szCs w:val="18"/>
                <w:lang w:eastAsia="zh-CN"/>
              </w:rPr>
              <w:t>松科植物</w:t>
            </w:r>
            <w:r>
              <w:rPr>
                <w:rFonts w:hint="eastAsia"/>
                <w:sz w:val="18"/>
                <w:szCs w:val="18"/>
              </w:rPr>
              <w:t>，扩</w:t>
            </w:r>
            <w:r>
              <w:rPr>
                <w:rFonts w:hint="eastAsia"/>
                <w:sz w:val="18"/>
                <w:szCs w:val="18"/>
                <w:lang w:eastAsia="zh-CN"/>
              </w:rPr>
              <w:t>散</w:t>
            </w:r>
            <w:r>
              <w:rPr>
                <w:rFonts w:hint="eastAsia"/>
                <w:sz w:val="18"/>
                <w:szCs w:val="18"/>
              </w:rPr>
              <w:t>迅速。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682EA98B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树脂分泌减少，蒸腾 作用下降，部分针叶 失去光泽成灰绿色， 并逐渐变黄，树脂停 止分泌，最后整个树 冠针叶变成红褐色， 植株死亡。</w:t>
            </w:r>
          </w:p>
        </w:tc>
        <w:tc>
          <w:tcPr>
            <w:tcW w:w="50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65825377">
            <w:pPr>
              <w:pStyle w:val="28"/>
              <w:spacing w:line="240" w:lineRule="auto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（1）对松材线虫病应加强检疫检验，严禁被害木外运</w:t>
            </w:r>
            <w:r>
              <w:rPr>
                <w:rFonts w:hint="eastAsia"/>
                <w:sz w:val="18"/>
                <w:szCs w:val="18"/>
                <w:lang w:eastAsia="zh-CN"/>
              </w:rPr>
              <w:t>。</w:t>
            </w:r>
          </w:p>
          <w:p w14:paraId="0F678266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  <w:lang w:eastAsia="zh-CN"/>
              </w:rPr>
              <w:t>2</w:t>
            </w:r>
            <w:r>
              <w:rPr>
                <w:rFonts w:hint="eastAsia"/>
                <w:sz w:val="18"/>
                <w:szCs w:val="18"/>
              </w:rPr>
              <w:t>）积极防治</w:t>
            </w:r>
            <w:r>
              <w:rPr>
                <w:rFonts w:hint="eastAsia"/>
                <w:sz w:val="18"/>
                <w:szCs w:val="18"/>
                <w:lang w:eastAsia="zh-CN"/>
              </w:rPr>
              <w:t>媒介</w:t>
            </w:r>
            <w:r>
              <w:rPr>
                <w:rFonts w:hint="eastAsia"/>
                <w:sz w:val="18"/>
                <w:szCs w:val="18"/>
              </w:rPr>
              <w:t>昆虫，用化学引诱剂诱杀</w:t>
            </w:r>
            <w:r>
              <w:rPr>
                <w:rFonts w:hint="eastAsia"/>
                <w:sz w:val="18"/>
                <w:szCs w:val="18"/>
                <w:lang w:eastAsia="zh-CN"/>
              </w:rPr>
              <w:t>媒介</w:t>
            </w:r>
            <w:r>
              <w:rPr>
                <w:rFonts w:hint="eastAsia"/>
                <w:sz w:val="18"/>
                <w:szCs w:val="18"/>
              </w:rPr>
              <w:t>昆虫或养放肿腿蜂</w:t>
            </w:r>
            <w:r>
              <w:rPr>
                <w:rFonts w:hint="eastAsia"/>
                <w:sz w:val="18"/>
                <w:szCs w:val="18"/>
                <w:lang w:eastAsia="zh-CN"/>
              </w:rPr>
              <w:t>（花绒寄甲）防治媒介</w:t>
            </w:r>
            <w:r>
              <w:rPr>
                <w:rFonts w:hint="eastAsia"/>
                <w:sz w:val="18"/>
                <w:szCs w:val="18"/>
              </w:rPr>
              <w:t>昆虫。</w:t>
            </w:r>
          </w:p>
          <w:p w14:paraId="59638237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rFonts w:hint="eastAsia"/>
                <w:sz w:val="18"/>
                <w:szCs w:val="18"/>
              </w:rPr>
              <w:t>）生物防治，利用白僵菌防治</w:t>
            </w:r>
            <w:r>
              <w:rPr>
                <w:rFonts w:hint="eastAsia"/>
                <w:sz w:val="18"/>
                <w:szCs w:val="18"/>
                <w:lang w:eastAsia="zh-CN"/>
              </w:rPr>
              <w:t>媒介</w:t>
            </w:r>
            <w:r>
              <w:rPr>
                <w:rFonts w:hint="eastAsia"/>
                <w:sz w:val="18"/>
                <w:szCs w:val="18"/>
              </w:rPr>
              <w:t>昆虫，也可用捕线虫真菌来防治松材线虫。</w:t>
            </w:r>
          </w:p>
        </w:tc>
      </w:tr>
      <w:tr w14:paraId="0288EB3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63" w:hRule="exact"/>
          <w:jc w:val="center"/>
        </w:trPr>
        <w:tc>
          <w:tcPr>
            <w:tcW w:w="785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438E5B63"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59A626AC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鞘翅目（天 牛、小蠹</w:t>
            </w:r>
            <w:r>
              <w:rPr>
                <w:rFonts w:hint="eastAsia"/>
                <w:sz w:val="18"/>
                <w:szCs w:val="18"/>
                <w:lang w:eastAsia="zh-CN"/>
              </w:rPr>
              <w:t>、</w:t>
            </w:r>
            <w:r>
              <w:rPr>
                <w:rFonts w:hint="eastAsia"/>
                <w:sz w:val="18"/>
                <w:szCs w:val="18"/>
              </w:rPr>
              <w:t>吉丁虫等）、鳞翅目（木蠹蛾、小卷蛾、松梢</w:t>
            </w:r>
          </w:p>
          <w:p w14:paraId="34ED0177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螟等）、膜翅 目</w:t>
            </w: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</w:rPr>
              <w:t>白蚁等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7140D05C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咬食枝梢嫩 皮，钻蛀古树 干、枝、皮层， 破坏输导组 织，可直接致 古树整株死 亡。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64261CA7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查看树冠上有无枯死嫩枝新梢，树枝上有无虫瘦，主干树皮有无虫孔、木屑、流胶，地下有无落枝落叶、虫粪木屑，敲击主干有无空洞声等。</w:t>
            </w:r>
          </w:p>
        </w:tc>
        <w:tc>
          <w:tcPr>
            <w:tcW w:w="5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7CA21C1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（1）释放管氏肿腿蜂、花绒寄甲等天敌昆虫防治。</w:t>
            </w:r>
          </w:p>
          <w:p w14:paraId="405F7A4F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（2）清除带虫被害枝干；磷化铝片按每虫孔1/4 片堵蛀孔后用湿泥封孔</w:t>
            </w:r>
            <w:r>
              <w:rPr>
                <w:rFonts w:hint="eastAsia"/>
                <w:sz w:val="18"/>
                <w:szCs w:val="18"/>
                <w:lang w:eastAsia="zh-CN"/>
              </w:rPr>
              <w:t>，或用</w:t>
            </w:r>
            <w:r>
              <w:rPr>
                <w:sz w:val="18"/>
                <w:szCs w:val="18"/>
                <w:lang w:val="en-US"/>
              </w:rPr>
              <w:t>40%</w:t>
            </w:r>
            <w:r>
              <w:rPr>
                <w:rFonts w:hint="eastAsia"/>
                <w:sz w:val="18"/>
                <w:szCs w:val="18"/>
              </w:rPr>
              <w:t>氧化乐果原液浸湿棉球，塞入排粪孔后用湿泥封孔；成虫期用30%</w:t>
            </w:r>
            <w:r>
              <w:rPr>
                <w:sz w:val="18"/>
                <w:szCs w:val="18"/>
              </w:rPr>
              <w:t>噻虫嗪悬浮剂800</w:t>
            </w:r>
            <w:r>
              <w:rPr>
                <w:rFonts w:hint="eastAsia"/>
                <w:sz w:val="18"/>
                <w:szCs w:val="18"/>
              </w:rPr>
              <w:t>〜</w:t>
            </w:r>
            <w:r>
              <w:rPr>
                <w:sz w:val="18"/>
                <w:szCs w:val="18"/>
              </w:rPr>
              <w:t>1000倍液</w:t>
            </w:r>
            <w:r>
              <w:rPr>
                <w:rFonts w:hint="eastAsia"/>
                <w:sz w:val="18"/>
                <w:szCs w:val="18"/>
                <w:lang w:eastAsia="zh-CN"/>
              </w:rPr>
              <w:t>或</w:t>
            </w:r>
            <w:r>
              <w:rPr>
                <w:sz w:val="18"/>
                <w:szCs w:val="18"/>
              </w:rPr>
              <w:t>绿色威雷300</w:t>
            </w:r>
            <w:r>
              <w:rPr>
                <w:rFonts w:hint="eastAsia"/>
                <w:sz w:val="18"/>
                <w:szCs w:val="18"/>
              </w:rPr>
              <w:t>〜</w:t>
            </w:r>
            <w:r>
              <w:rPr>
                <w:sz w:val="18"/>
                <w:szCs w:val="18"/>
              </w:rPr>
              <w:t>400倍喷雾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  <w:p w14:paraId="6C3DF373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（3）白蚁类用甘蔗渣</w:t>
            </w:r>
            <w:r>
              <w:rPr>
                <w:rFonts w:hint="eastAsia"/>
                <w:sz w:val="18"/>
                <w:szCs w:val="18"/>
                <w:lang w:eastAsia="zh-CN"/>
              </w:rPr>
              <w:t>或桉</w:t>
            </w:r>
            <w:r>
              <w:rPr>
                <w:rFonts w:hint="eastAsia"/>
                <w:sz w:val="18"/>
                <w:szCs w:val="18"/>
              </w:rPr>
              <w:t>树皮等作诱饵，加灭蚁灵</w:t>
            </w:r>
            <w:r>
              <w:rPr>
                <w:rFonts w:hint="eastAsia"/>
                <w:sz w:val="18"/>
                <w:szCs w:val="18"/>
                <w:lang w:eastAsia="zh-CN"/>
              </w:rPr>
              <w:t>、</w:t>
            </w:r>
            <w:r>
              <w:rPr>
                <w:rFonts w:hint="eastAsia"/>
                <w:sz w:val="18"/>
                <w:szCs w:val="18"/>
              </w:rPr>
              <w:t>食糖(催引剂)等诱杀。</w:t>
            </w:r>
          </w:p>
        </w:tc>
      </w:tr>
    </w:tbl>
    <w:p w14:paraId="42B74A2A">
      <w:pPr>
        <w:spacing w:line="240" w:lineRule="exact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br w:type="page"/>
      </w:r>
    </w:p>
    <w:tbl>
      <w:tblPr>
        <w:tblStyle w:val="16"/>
        <w:tblW w:w="9688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66"/>
        <w:gridCol w:w="1143"/>
        <w:gridCol w:w="1380"/>
        <w:gridCol w:w="2015"/>
        <w:gridCol w:w="4484"/>
      </w:tblGrid>
      <w:tr w14:paraId="58692CB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571" w:hRule="exact"/>
          <w:jc w:val="center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BC04FAA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地下害虫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228DDADF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鞘翅目（金龟 子等）、鳞翅目（地老 虎）、直翅目（</w:t>
            </w:r>
            <w:r>
              <w:rPr>
                <w:rFonts w:hint="eastAsia"/>
                <w:sz w:val="18"/>
                <w:szCs w:val="18"/>
                <w:lang w:eastAsia="zh-CN"/>
              </w:rPr>
              <w:t>蝼蛄</w:t>
            </w:r>
            <w:r>
              <w:rPr>
                <w:rFonts w:hint="eastAsia"/>
                <w:sz w:val="18"/>
                <w:szCs w:val="18"/>
              </w:rPr>
              <w:t>等）、白蚁等。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2831E0FF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在土壤里咬食古树根皮和木质部，破坏输导组织，可致根系死亡，造成地上部分整株衰弱或死亡。常不易被发现。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7762CD95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查看树冠叶片有无整体萎黄或者枯死，浅层根系有无被啃食等。</w:t>
            </w:r>
          </w:p>
        </w:tc>
        <w:tc>
          <w:tcPr>
            <w:tcW w:w="44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6B186997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（1）50%辛硫磷乳油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7500ml/hm2</w:t>
            </w:r>
            <w:r>
              <w:rPr>
                <w:rFonts w:hint="eastAsia"/>
                <w:sz w:val="18"/>
                <w:szCs w:val="18"/>
              </w:rPr>
              <w:t>加水稀释均匀喷施土壤，随即浅翻土壤，灌水使药剂浸湿虫体活动层。</w:t>
            </w:r>
          </w:p>
          <w:p w14:paraId="0EBDD171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（2）灯光诱杀成虫。</w:t>
            </w:r>
          </w:p>
          <w:p w14:paraId="24A4D2D2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（3）清除受害根部。</w:t>
            </w:r>
          </w:p>
        </w:tc>
      </w:tr>
      <w:tr w14:paraId="30F42AD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07" w:hRule="exact"/>
          <w:jc w:val="center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34E5786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叶、 花、果病害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2AC0E77D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叶斑病、叶 枯病、锈病、白粉病、松落针病、煤污病 等。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770DDD28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病原物主要为真菌等，常为害古树名木的叶部。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7BB8DCC6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查看叶片上有无病 斑、锈斑、白粉层等。</w:t>
            </w:r>
          </w:p>
        </w:tc>
        <w:tc>
          <w:tcPr>
            <w:tcW w:w="44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27D4976F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（1）清除染病的叶、花、果并集中销毁。</w:t>
            </w:r>
          </w:p>
          <w:p w14:paraId="4D7CE89F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（2）发病初期可喷石硫合剂等进行预防，发病期内可选用多菌灵、甲基托布津、扑海因、粉锈宁等杀菌剂喷药防治。</w:t>
            </w:r>
          </w:p>
        </w:tc>
      </w:tr>
      <w:tr w14:paraId="7BE2818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09" w:hRule="exact"/>
          <w:jc w:val="center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5C18427E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枝干</w:t>
            </w:r>
          </w:p>
          <w:p w14:paraId="55B5B290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病害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6A72BD19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腐烂病、枯 梢病、木腐 病、溃疡病、炭疽病等。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3AFAB79C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病原物主要为真菌、细菌，常为害嫩梢、枝、干等部位。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1745911C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查看枝干有无丛枝， 主干、枝干皮层有无 腐烂的病斑，有无枯 死嫩梢，主干木质部 有无腐烂，主干上有 无马蹄形子实体等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44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041709BD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（1）腐烂病、松枯梢病、木腐病等常采取树干涂抹石硫合剂进行预防。</w:t>
            </w:r>
          </w:p>
          <w:p w14:paraId="5BB14D92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（2）发病期内可选用百菌清、甲基托布津、扑海因等杀菌剂交替喷药防治。</w:t>
            </w:r>
          </w:p>
        </w:tc>
      </w:tr>
      <w:tr w14:paraId="012D85F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08" w:hRule="exact"/>
          <w:jc w:val="center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5A814F66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根部</w:t>
            </w:r>
          </w:p>
          <w:p w14:paraId="41F324F4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病害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71F3570F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枯萎病、黄 萎病、根腐 病、茎基腐 烂病、根癌 病、根结线 虫病、紫纹 羽病等。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17AE9D86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病原物主要为真菌、细菌，常为害营养根、侧根的根皮部位。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3D036C02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查看全株枝叶是否变黄、枯萎，树干基部树皮有无腐烂开裂或树脂凝块，根部皮层有无腐烂变黑、是否易剥落等。</w:t>
            </w:r>
          </w:p>
        </w:tc>
        <w:tc>
          <w:tcPr>
            <w:tcW w:w="44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13CD8D83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（1）适量挖除病根，清除病残体，剪除侵染源。</w:t>
            </w:r>
          </w:p>
          <w:p w14:paraId="1F7659F1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（2）发病期内使用立枯灵、多菌灵等杀菌剂浇灌 根区土壤。</w:t>
            </w:r>
          </w:p>
          <w:p w14:paraId="675EA0C4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（3）改良土壤理化性质，提高抗病能力。</w:t>
            </w:r>
          </w:p>
        </w:tc>
      </w:tr>
      <w:tr w14:paraId="146BF39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4" w:hRule="exact"/>
          <w:jc w:val="center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516B48C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有害</w:t>
            </w:r>
          </w:p>
          <w:p w14:paraId="370C4F68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动物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4EAD9666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蜗牛、鼠 妇、田鼠 等。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149093A7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危害古树根、 干、枝、叶片 等。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49FED933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查看有无啃咬痕迹。</w:t>
            </w:r>
          </w:p>
        </w:tc>
        <w:tc>
          <w:tcPr>
            <w:tcW w:w="44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24B9C229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（1）可引入猫头鹰、黄鼬等生物天敌进行防治。</w:t>
            </w:r>
          </w:p>
          <w:p w14:paraId="0B3BE69F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（2）采用笼、夹防治，应防止对人和有益动物的 伤害。</w:t>
            </w:r>
          </w:p>
          <w:p w14:paraId="03B7C8F7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（3）必要时可选用8%灭蜗灵颗粒，灭鼠可用大 隆、浪敌隆等。</w:t>
            </w:r>
          </w:p>
        </w:tc>
      </w:tr>
      <w:tr w14:paraId="3313A1F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09" w:hRule="exact"/>
          <w:jc w:val="center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26735280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有害</w:t>
            </w:r>
          </w:p>
          <w:p w14:paraId="753D680F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植物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2A7C0D19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菟丝子、桑 寄生、薇甘 菊、樹寄生 等竞争性 植物。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4AC05425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吸取古树养 分，影响光 照、通风。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62BECCF0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查看根、主干有无竞 争性植物缠绕。</w:t>
            </w:r>
          </w:p>
        </w:tc>
        <w:tc>
          <w:tcPr>
            <w:tcW w:w="4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D4883A0">
            <w:pPr>
              <w:pStyle w:val="28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铲除缠绕枝干或根系周边的有害植物，清除土壤中的残留根系。</w:t>
            </w:r>
          </w:p>
        </w:tc>
      </w:tr>
    </w:tbl>
    <w:p w14:paraId="5C191A56">
      <w:pPr>
        <w:pStyle w:val="28"/>
        <w:spacing w:line="400" w:lineRule="exact"/>
        <w:jc w:val="both"/>
        <w:rPr>
          <w:color w:val="000000"/>
          <w:sz w:val="18"/>
          <w:szCs w:val="1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C829819">
      <w:pPr>
        <w:pStyle w:val="33"/>
        <w:spacing w:line="240" w:lineRule="auto"/>
        <w:jc w:val="center"/>
        <w:outlineLvl w:val="0"/>
        <w:rPr>
          <w:rFonts w:ascii="黑体" w:hAnsi="黑体" w:eastAsia="黑体" w:cs="黑体"/>
          <w:b/>
          <w:bCs/>
          <w:sz w:val="24"/>
          <w:szCs w:val="24"/>
          <w:lang w:val="en-US" w:bidi="en-US"/>
        </w:rPr>
      </w:pPr>
      <w:bookmarkStart w:id="74" w:name="_Toc137156144"/>
      <w:r>
        <w:rPr>
          <w:rFonts w:ascii="黑体" w:hAnsi="黑体" w:eastAsia="黑体" w:cs="黑体"/>
          <w:b/>
          <w:bCs/>
          <w:sz w:val="24"/>
          <w:szCs w:val="24"/>
          <w:lang w:val="en-US" w:bidi="en-US"/>
        </w:rPr>
        <w:t>附 录 D</w:t>
      </w:r>
      <w:bookmarkEnd w:id="74"/>
    </w:p>
    <w:p w14:paraId="34A74B8B">
      <w:pPr>
        <w:pStyle w:val="33"/>
        <w:spacing w:line="240" w:lineRule="auto"/>
        <w:jc w:val="center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ascii="黑体" w:hAnsi="黑体" w:eastAsia="黑体" w:cs="黑体"/>
          <w:b/>
          <w:bCs/>
          <w:sz w:val="24"/>
          <w:szCs w:val="24"/>
        </w:rPr>
        <w:t>（资料性）</w:t>
      </w:r>
    </w:p>
    <w:p w14:paraId="0B37644D">
      <w:pPr>
        <w:pStyle w:val="33"/>
        <w:spacing w:line="240" w:lineRule="auto"/>
        <w:jc w:val="center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ascii="黑体" w:hAnsi="黑体" w:eastAsia="黑体" w:cs="黑体"/>
          <w:b/>
          <w:bCs/>
          <w:sz w:val="24"/>
          <w:szCs w:val="24"/>
        </w:rPr>
        <w:t>树体防腐填充修补</w:t>
      </w:r>
    </w:p>
    <w:p w14:paraId="7D3CFFF8">
      <w:pPr>
        <w:pStyle w:val="33"/>
        <w:spacing w:before="240" w:beforeLines="100" w:after="240" w:afterLines="100" w:line="400" w:lineRule="exact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D.1  树体防腐</w:t>
      </w:r>
    </w:p>
    <w:p w14:paraId="20ED6024">
      <w:pPr>
        <w:pStyle w:val="33"/>
        <w:spacing w:line="400" w:lineRule="exact"/>
        <w:ind w:firstLine="442"/>
        <w:rPr>
          <w:rFonts w:ascii="Times New Roman" w:hAnsi="Times New Roman" w:cs="Times New Roman"/>
          <w:sz w:val="21"/>
          <w:szCs w:val="21"/>
          <w:lang w:val="en-US"/>
        </w:rPr>
      </w:pPr>
      <w:r>
        <w:rPr>
          <w:rFonts w:ascii="Times New Roman" w:hAnsi="Times New Roman" w:cs="Times New Roman"/>
          <w:sz w:val="21"/>
          <w:szCs w:val="21"/>
          <w:lang w:val="en-US"/>
        </w:rPr>
        <w:t>首先进行清腐处理。清除树体中腐朽的木质碎末等杂物；然后用高压水枪喷洗树体内部，清除残留碎屑；干燥后给树体内喷施防腐消毒剂。</w:t>
      </w:r>
    </w:p>
    <w:p w14:paraId="564A152B">
      <w:pPr>
        <w:pStyle w:val="33"/>
        <w:spacing w:before="240" w:beforeLines="100" w:after="240" w:afterLines="100" w:line="400" w:lineRule="exact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D.2  树体填补</w:t>
      </w:r>
    </w:p>
    <w:p w14:paraId="0FF3BD8F">
      <w:pPr>
        <w:pStyle w:val="33"/>
        <w:spacing w:before="120" w:beforeLines="50" w:after="120" w:afterLines="50" w:line="400" w:lineRule="exact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D.2.1  清理、消毒</w:t>
      </w:r>
    </w:p>
    <w:p w14:paraId="464DDA58">
      <w:pPr>
        <w:pStyle w:val="33"/>
        <w:spacing w:line="400" w:lineRule="exact"/>
        <w:ind w:firstLine="442"/>
        <w:rPr>
          <w:rFonts w:ascii="Times New Roman" w:hAnsi="Times New Roman" w:cs="Times New Roman"/>
          <w:sz w:val="21"/>
          <w:szCs w:val="21"/>
          <w:lang w:val="en-US"/>
        </w:rPr>
      </w:pPr>
      <w:r>
        <w:rPr>
          <w:rFonts w:ascii="Times New Roman" w:hAnsi="Times New Roman" w:cs="Times New Roman"/>
          <w:sz w:val="21"/>
          <w:szCs w:val="21"/>
        </w:rPr>
        <w:t>对填充修补部位的朽木进行再次清理</w:t>
      </w:r>
      <w:r>
        <w:rPr>
          <w:rFonts w:ascii="Times New Roman" w:hAnsi="Times New Roman" w:cs="Times New Roman"/>
          <w:sz w:val="21"/>
          <w:szCs w:val="21"/>
          <w:lang w:val="en-US"/>
        </w:rPr>
        <w:t>；然后对树体进行彻底的杀虫和杀菌处理。</w:t>
      </w:r>
    </w:p>
    <w:p w14:paraId="3A2BCBF5">
      <w:pPr>
        <w:pStyle w:val="33"/>
        <w:spacing w:before="120" w:beforeLines="50" w:after="120" w:afterLines="50" w:line="400" w:lineRule="exact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D.2.2  填充</w:t>
      </w:r>
    </w:p>
    <w:p w14:paraId="1661FA2E"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填充部位的表面经消毒风干后，填充一定规格的同类树种的木条（高温消毒后干燥至水分含量＜14%）；木条间、木条与树体壁间用聚氨酯填充；若缺失形成的空洞太大，影响树体稳定，可先用钢筋做稳固支撑龙骨，外罩铁丝网造形，再填充。 </w:t>
      </w:r>
    </w:p>
    <w:p w14:paraId="2C58614B">
      <w:pPr>
        <w:pStyle w:val="33"/>
        <w:spacing w:before="120" w:beforeLines="50" w:after="120" w:afterLines="50" w:line="400" w:lineRule="exact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D.2.3  封堵</w:t>
      </w:r>
    </w:p>
    <w:p w14:paraId="7DA5466E"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填充好的外表面，随树形用利刀削平整，然后在聚氨酯表面涂抹一层阻燃剂。在阻燃剂表面，涂抹一层粘合胶，罩铁丝网，再贴一层无纺布，在上面涂抹硅胶或玻璃胶，厚度至树皮形成层，封口外面要平整严实，洞口边缘作相应处理，用环氧树脂、紫胶脂或蜂胶等进行封缝。</w:t>
      </w:r>
    </w:p>
    <w:p w14:paraId="44C22E73">
      <w:pPr>
        <w:pStyle w:val="33"/>
        <w:spacing w:before="120" w:beforeLines="50" w:after="120" w:afterLines="50" w:line="400" w:lineRule="exact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D.2.4  仿真处理</w:t>
      </w:r>
    </w:p>
    <w:p w14:paraId="0D6C5185">
      <w:pPr>
        <w:pStyle w:val="33"/>
        <w:spacing w:line="400" w:lineRule="exact"/>
        <w:ind w:firstLine="442"/>
        <w:rPr>
          <w:rFonts w:ascii="Times New Roman" w:hAnsi="Times New Roman" w:cs="Times New Roman"/>
          <w:sz w:val="21"/>
          <w:szCs w:val="21"/>
          <w:lang w:val="en-US"/>
        </w:rPr>
      </w:pPr>
      <w:r>
        <w:rPr>
          <w:rFonts w:ascii="Times New Roman" w:hAnsi="Times New Roman" w:cs="Times New Roman"/>
          <w:sz w:val="21"/>
          <w:szCs w:val="21"/>
          <w:lang w:val="en-US"/>
        </w:rPr>
        <w:t>树体封堵完成后，最外层可做仿真树皮处理。</w:t>
      </w:r>
    </w:p>
    <w:p w14:paraId="58CF750A">
      <w:pPr>
        <w:pStyle w:val="2"/>
        <w:rPr>
          <w:rFonts w:eastAsia="宋体"/>
          <w:lang w:bidi="zh-CN"/>
        </w:rPr>
      </w:pPr>
      <w:r>
        <w:br w:type="page"/>
      </w:r>
    </w:p>
    <w:p w14:paraId="669824F8">
      <w:pPr>
        <w:pStyle w:val="33"/>
        <w:spacing w:line="240" w:lineRule="auto"/>
        <w:jc w:val="center"/>
        <w:outlineLvl w:val="0"/>
        <w:rPr>
          <w:rFonts w:ascii="黑体" w:hAnsi="黑体" w:eastAsia="黑体" w:cs="黑体"/>
          <w:b/>
          <w:bCs/>
          <w:sz w:val="24"/>
          <w:szCs w:val="24"/>
          <w:lang w:val="en-US" w:bidi="en-US"/>
        </w:rPr>
      </w:pPr>
      <w:bookmarkStart w:id="75" w:name="_Toc137156145"/>
      <w:r>
        <w:rPr>
          <w:rFonts w:ascii="黑体" w:hAnsi="黑体" w:eastAsia="黑体" w:cs="黑体"/>
          <w:b/>
          <w:bCs/>
          <w:sz w:val="24"/>
          <w:szCs w:val="24"/>
          <w:lang w:val="en-US" w:bidi="en-US"/>
        </w:rPr>
        <w:t>附 录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bidi="en-US"/>
        </w:rPr>
        <w:t xml:space="preserve"> </w:t>
      </w:r>
      <w:r>
        <w:rPr>
          <w:rFonts w:ascii="黑体" w:hAnsi="黑体" w:eastAsia="黑体" w:cs="黑体"/>
          <w:b/>
          <w:bCs/>
          <w:sz w:val="24"/>
          <w:szCs w:val="24"/>
          <w:lang w:val="en-US" w:bidi="en-US"/>
        </w:rPr>
        <w:t>E</w:t>
      </w:r>
      <w:bookmarkEnd w:id="75"/>
    </w:p>
    <w:p w14:paraId="583E9841">
      <w:pPr>
        <w:pStyle w:val="33"/>
        <w:spacing w:line="40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（资料性）</w:t>
      </w:r>
    </w:p>
    <w:p w14:paraId="1D68EB49">
      <w:pPr>
        <w:pStyle w:val="33"/>
        <w:spacing w:line="40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树体支撑、加固技术</w:t>
      </w:r>
    </w:p>
    <w:p w14:paraId="3204B232">
      <w:pPr>
        <w:pStyle w:val="33"/>
        <w:spacing w:line="400" w:lineRule="exac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0B94367">
      <w:pPr>
        <w:pStyle w:val="33"/>
        <w:spacing w:before="240" w:beforeLines="100" w:after="240" w:afterLines="100" w:line="400" w:lineRule="exact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E.1树体支撑</w:t>
      </w:r>
    </w:p>
    <w:p w14:paraId="4ACCFBB4">
      <w:pPr>
        <w:pStyle w:val="33"/>
        <w:spacing w:before="120" w:beforeLines="50" w:after="120" w:afterLines="50" w:line="400" w:lineRule="exact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E.1.1硬支撑</w:t>
      </w:r>
    </w:p>
    <w:p w14:paraId="78C17B88"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使用钢管、钢板、杉篙、橡胶垫、防锈漆等可满足安全支撑要求的材料，在要支撑的树干、枝上及地面选择受力稳固、支撑效果最好的点作为支撑点，支柱顶端的托板与树体支撑点接触面要大，托板和树皮间垫有弹性的橡胶垫，支柱下端埋入地下水泥浇筑的基座里，基座要确保稳固安全。</w:t>
      </w:r>
    </w:p>
    <w:p w14:paraId="62C953D0">
      <w:pPr>
        <w:pStyle w:val="33"/>
        <w:spacing w:before="120" w:beforeLines="50" w:after="120" w:afterLines="50" w:line="400" w:lineRule="exact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E.1.2拉纤</w:t>
      </w:r>
    </w:p>
    <w:p w14:paraId="78479815">
      <w:pPr>
        <w:pStyle w:val="33"/>
        <w:spacing w:before="120" w:beforeLines="50" w:after="120" w:afterLines="50" w:line="400" w:lineRule="exact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E.1.2 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/>
        </w:rPr>
        <w:t>.1</w:t>
      </w: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材料</w:t>
      </w:r>
    </w:p>
    <w:p w14:paraId="6EFD6D74"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钢管、铁箍、钢丝绳、螺栓，螺母、紧线器、弹簧、橡胶垫、防锈漆等。</w:t>
      </w:r>
    </w:p>
    <w:p w14:paraId="17F0C6FC">
      <w:pPr>
        <w:pStyle w:val="33"/>
        <w:spacing w:before="120" w:beforeLines="50" w:after="120" w:afterLines="50" w:line="400" w:lineRule="exact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E.1.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/>
        </w:rPr>
        <w:t>2.2</w:t>
      </w: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 xml:space="preserve"> 安装</w:t>
      </w:r>
    </w:p>
    <w:p w14:paraId="6C837F7B">
      <w:pPr>
        <w:pStyle w:val="37"/>
        <w:tabs>
          <w:tab w:val="left" w:pos="1899"/>
          <w:tab w:val="left" w:pos="1900"/>
        </w:tabs>
        <w:spacing w:before="0" w:line="400" w:lineRule="exact"/>
        <w:ind w:left="0" w:firstLine="420" w:firstLineChars="200"/>
        <w:rPr>
          <w:rFonts w:ascii="Times New Roman" w:hAnsi="Times New Roman" w:cs="Times New Roman"/>
          <w:color w:val="auto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auto"/>
          <w:sz w:val="21"/>
          <w:szCs w:val="21"/>
          <w:lang w:eastAsia="zh-CN"/>
        </w:rPr>
        <w:t>硬拉纤常使用2寸钢管（规格：直径约6cm，壁厚约3mm），两端压扁并打孔套丝口。铁箍常用宽约12cm、厚约0.5～1cm的扁钢制作，对接处打孔套丝口。钢管和铁箍外先涂防锈漆，再涂色漆。安装时将钢管的两端与铁箍对接处插在一起，插上螺栓固定，铁箍与树皮间加橡胶垫。</w:t>
      </w:r>
    </w:p>
    <w:p w14:paraId="64A4C4D4">
      <w:pPr>
        <w:pStyle w:val="33"/>
        <w:spacing w:before="240" w:beforeLines="100" w:after="240" w:afterLines="100" w:line="400" w:lineRule="exact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E.2加固</w:t>
      </w:r>
    </w:p>
    <w:p w14:paraId="60626B70">
      <w:pPr>
        <w:pStyle w:val="33"/>
        <w:spacing w:before="120" w:beforeLines="50" w:after="120" w:afterLines="50" w:line="400" w:lineRule="exact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E.2.1拉纤加固</w:t>
      </w:r>
    </w:p>
    <w:p w14:paraId="06F0B184"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所用材料和安装方法同附录E.1.2的规定。</w:t>
      </w:r>
    </w:p>
    <w:p w14:paraId="1B724CB7">
      <w:pPr>
        <w:pStyle w:val="33"/>
        <w:spacing w:before="120" w:beforeLines="50" w:after="120" w:afterLines="50" w:line="400" w:lineRule="exact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E.2.2螺纹杆加固</w:t>
      </w:r>
    </w:p>
    <w:p w14:paraId="40E9D1FB"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螺纹杆直径多为10～20mm。树体劈裂处打孔，螺纹杆穿过树体，两头垫胶圈，拧紧镙母，将树木裂缝封闭伤口要消毒，并涂抹保护剂。</w:t>
      </w:r>
    </w:p>
    <w:p w14:paraId="1C65E339">
      <w:pPr>
        <w:pStyle w:val="33"/>
        <w:spacing w:before="120" w:beforeLines="50" w:after="120" w:afterLines="50" w:line="400" w:lineRule="exact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E.2.3铁箍加固</w:t>
      </w:r>
    </w:p>
    <w:p w14:paraId="70840E86"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在树体劈裂处打铁箍，铁箍下垫橡胶垫。</w:t>
      </w:r>
    </w:p>
    <w:p w14:paraId="6D5193C6">
      <w:pPr>
        <w:pStyle w:val="33"/>
        <w:spacing w:line="400" w:lineRule="exact"/>
        <w:rPr>
          <w:rFonts w:ascii="Times New Roman" w:hAnsi="Times New Roman" w:cs="Times New Roman"/>
          <w:sz w:val="21"/>
          <w:szCs w:val="21"/>
          <w:lang w:val="en-US"/>
        </w:rPr>
      </w:pPr>
    </w:p>
    <w:p w14:paraId="4C8025CB">
      <w:pPr>
        <w:pStyle w:val="2"/>
        <w:rPr>
          <w:rFonts w:eastAsia="宋体"/>
          <w:lang w:bidi="zh-CN"/>
        </w:rPr>
      </w:pPr>
      <w:r>
        <w:br w:type="page"/>
      </w:r>
    </w:p>
    <w:p w14:paraId="081E32BD">
      <w:pPr>
        <w:pStyle w:val="33"/>
        <w:spacing w:line="240" w:lineRule="auto"/>
        <w:jc w:val="center"/>
        <w:outlineLvl w:val="0"/>
        <w:rPr>
          <w:rFonts w:ascii="黑体" w:hAnsi="黑体" w:eastAsia="黑体" w:cs="黑体"/>
          <w:b/>
          <w:bCs/>
          <w:sz w:val="24"/>
          <w:szCs w:val="24"/>
          <w:lang w:val="en-US" w:bidi="en-US"/>
        </w:rPr>
      </w:pPr>
      <w:bookmarkStart w:id="76" w:name="_Toc137156146"/>
      <w:r>
        <w:rPr>
          <w:rFonts w:hint="eastAsia" w:ascii="黑体" w:hAnsi="黑体" w:eastAsia="黑体" w:cs="黑体"/>
          <w:b/>
          <w:bCs/>
          <w:sz w:val="24"/>
          <w:szCs w:val="24"/>
          <w:lang w:val="en-US" w:bidi="en-US"/>
        </w:rPr>
        <w:t xml:space="preserve">附 录 </w:t>
      </w:r>
      <w:r>
        <w:rPr>
          <w:rFonts w:ascii="黑体" w:hAnsi="黑体" w:eastAsia="黑体" w:cs="黑体"/>
          <w:b/>
          <w:bCs/>
          <w:sz w:val="24"/>
          <w:szCs w:val="24"/>
          <w:lang w:val="en-US" w:bidi="en-US"/>
        </w:rPr>
        <w:t>F</w:t>
      </w:r>
      <w:bookmarkEnd w:id="76"/>
    </w:p>
    <w:p w14:paraId="1F81767F">
      <w:pPr>
        <w:spacing w:before="240" w:beforeLines="100" w:after="240" w:afterLines="100"/>
        <w:jc w:val="center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（资料性）</w:t>
      </w:r>
    </w:p>
    <w:p w14:paraId="675E48E4">
      <w:pPr>
        <w:spacing w:before="240" w:beforeLines="100" w:after="240" w:afterLines="1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树冠</w:t>
      </w:r>
      <w:r>
        <w:rPr>
          <w:rFonts w:ascii="黑体" w:hAnsi="黑体" w:eastAsia="黑体" w:cs="黑体"/>
          <w:b/>
          <w:bCs/>
          <w:sz w:val="24"/>
          <w:szCs w:val="24"/>
        </w:rPr>
        <w:t>整理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技术</w:t>
      </w:r>
    </w:p>
    <w:p w14:paraId="4E78CAD3">
      <w:pPr>
        <w:pStyle w:val="33"/>
        <w:spacing w:before="240" w:beforeLines="100" w:after="240" w:afterLines="100" w:line="400" w:lineRule="exact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F.1 整理时期</w:t>
      </w:r>
    </w:p>
    <w:p w14:paraId="41F46BCB">
      <w:pPr>
        <w:spacing w:line="400" w:lineRule="exact"/>
        <w:ind w:firstLine="422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常绿树枝条整理通常在休眠期进行；落叶树枝条整理通常在落叶后与新梢萌动之前进行；易伤流、易流胶的树种枝条整理应避开生长季和落叶后伤流盛期；有安全隐患的枯死枝、断枝、劈裂枝应在发现时及时整理。</w:t>
      </w:r>
    </w:p>
    <w:p w14:paraId="464C9355">
      <w:pPr>
        <w:pStyle w:val="33"/>
        <w:spacing w:before="240" w:beforeLines="100" w:after="240" w:afterLines="100" w:line="400" w:lineRule="exact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F.2 操作要求</w:t>
      </w:r>
    </w:p>
    <w:p w14:paraId="1753C9C2">
      <w:pPr>
        <w:pStyle w:val="37"/>
        <w:tabs>
          <w:tab w:val="left" w:pos="1481"/>
          <w:tab w:val="left" w:pos="1482"/>
        </w:tabs>
        <w:spacing w:before="0" w:line="400" w:lineRule="exact"/>
        <w:ind w:left="0" w:firstLine="0"/>
        <w:rPr>
          <w:rFonts w:ascii="Times New Roman" w:hAnsi="Times New Roman" w:cs="Times New Roman"/>
          <w:color w:val="auto"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color w:val="auto"/>
          <w:sz w:val="21"/>
          <w:szCs w:val="21"/>
          <w:lang w:eastAsia="zh-CN"/>
        </w:rPr>
        <w:t>F.2.1采用“三锯下枝法”</w:t>
      </w:r>
    </w:p>
    <w:p w14:paraId="0631D6D2">
      <w:pPr>
        <w:pStyle w:val="37"/>
        <w:tabs>
          <w:tab w:val="left" w:pos="1481"/>
          <w:tab w:val="left" w:pos="1482"/>
        </w:tabs>
        <w:spacing w:before="0" w:line="400" w:lineRule="exact"/>
        <w:ind w:left="0" w:firstLine="420" w:firstLineChars="200"/>
        <w:rPr>
          <w:rFonts w:ascii="Times New Roman" w:hAnsi="Times New Roman" w:cs="Times New Roman"/>
          <w:color w:val="auto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auto"/>
          <w:sz w:val="21"/>
          <w:szCs w:val="21"/>
          <w:lang w:eastAsia="zh-CN"/>
        </w:rPr>
        <w:t>在被整理枝条预定切口以外30cm处，第一锯先锯“向地面”做背口， 第二锯再锯“背地面”锯掉树枝，第三锯再根据枝干大小在皮脊前锯掉，留1～5cm 的橛。整理时不要伤及古树干皮，锯口断面平滑，不劈裂，利于排水。锯口直径超过5cm时，应使锯口的上下延伸面呈椭圆形，以便伤口更好愈合。</w:t>
      </w:r>
    </w:p>
    <w:p w14:paraId="3CF3F8C6">
      <w:pPr>
        <w:pStyle w:val="37"/>
        <w:tabs>
          <w:tab w:val="left" w:pos="1481"/>
          <w:tab w:val="left" w:pos="1482"/>
        </w:tabs>
        <w:spacing w:before="0" w:line="400" w:lineRule="exact"/>
        <w:ind w:left="0" w:firstLine="0"/>
        <w:rPr>
          <w:rFonts w:ascii="Times New Roman" w:hAnsi="Times New Roman" w:cs="Times New Roman"/>
          <w:color w:val="auto"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color w:val="auto"/>
          <w:sz w:val="21"/>
          <w:szCs w:val="21"/>
          <w:lang w:eastAsia="zh-CN"/>
        </w:rPr>
        <w:t>F.2.2断枝、劈裂枝整理</w:t>
      </w:r>
    </w:p>
    <w:p w14:paraId="60CAF67C">
      <w:pPr>
        <w:pStyle w:val="37"/>
        <w:tabs>
          <w:tab w:val="left" w:pos="1481"/>
          <w:tab w:val="left" w:pos="1482"/>
        </w:tabs>
        <w:spacing w:before="0" w:line="400" w:lineRule="exact"/>
        <w:ind w:left="0" w:firstLine="420" w:firstLineChars="200"/>
        <w:rPr>
          <w:rFonts w:ascii="Times New Roman" w:hAnsi="Times New Roman" w:cs="Times New Roman"/>
          <w:color w:val="auto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auto"/>
          <w:sz w:val="21"/>
          <w:szCs w:val="21"/>
          <w:lang w:eastAsia="zh-CN"/>
        </w:rPr>
        <w:t>折断残留的枝杈上若尚有活枝，应在距断口2～3cm处修剪；若无活枝， 直径5cm以下的枝杈则尽量靠近主干或枝干修剪，直径5cm以上的枝杈则在保留树型的基础上在伤口附近适当处理。</w:t>
      </w:r>
    </w:p>
    <w:p w14:paraId="0849F01A">
      <w:pPr>
        <w:pStyle w:val="37"/>
        <w:tabs>
          <w:tab w:val="left" w:pos="1481"/>
          <w:tab w:val="left" w:pos="1482"/>
        </w:tabs>
        <w:spacing w:before="0" w:line="400" w:lineRule="exact"/>
        <w:ind w:left="0" w:firstLine="0"/>
        <w:rPr>
          <w:rFonts w:ascii="Times New Roman" w:hAnsi="Times New Roman" w:cs="Times New Roman"/>
          <w:color w:val="auto"/>
          <w:sz w:val="21"/>
          <w:szCs w:val="21"/>
          <w:lang w:eastAsia="zh-CN"/>
        </w:rPr>
      </w:pPr>
      <w:bookmarkStart w:id="77" w:name="_Hlk130548782"/>
      <w:r>
        <w:rPr>
          <w:rFonts w:ascii="Times New Roman" w:hAnsi="Times New Roman" w:cs="Times New Roman"/>
          <w:b/>
          <w:bCs/>
          <w:color w:val="auto"/>
          <w:sz w:val="21"/>
          <w:szCs w:val="21"/>
          <w:lang w:eastAsia="zh-CN"/>
        </w:rPr>
        <w:t>F.2.3创伤面保护处理</w:t>
      </w:r>
    </w:p>
    <w:bookmarkEnd w:id="77"/>
    <w:p w14:paraId="2BF5E112">
      <w:pPr>
        <w:pStyle w:val="37"/>
        <w:tabs>
          <w:tab w:val="left" w:pos="1481"/>
          <w:tab w:val="left" w:pos="1482"/>
        </w:tabs>
        <w:spacing w:before="0" w:line="400" w:lineRule="exact"/>
        <w:ind w:left="0" w:firstLine="420" w:firstLineChars="200"/>
        <w:rPr>
          <w:rFonts w:ascii="Times New Roman" w:hAnsi="Times New Roman" w:cs="Times New Roman"/>
          <w:color w:val="auto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auto"/>
          <w:sz w:val="21"/>
          <w:szCs w:val="21"/>
          <w:lang w:eastAsia="zh-CN"/>
        </w:rPr>
        <w:t>所有锯口、劈裂撕裂伤口须首先均匀涂抹消毒剂。消毒剂风干后再均匀涂抹伤口保护剂或愈合敷料。</w:t>
      </w:r>
    </w:p>
    <w:p w14:paraId="3E439AAB">
      <w:pPr>
        <w:pStyle w:val="9"/>
        <w:spacing w:before="4" w:line="360" w:lineRule="auto"/>
        <w:rPr>
          <w:rFonts w:ascii="Times New Roman" w:hAnsi="Times New Roman" w:cs="Times New Roman"/>
          <w:sz w:val="15"/>
        </w:rPr>
      </w:pPr>
    </w:p>
    <w:p w14:paraId="00FD7FD8">
      <w:pPr>
        <w:pStyle w:val="33"/>
        <w:spacing w:after="120" w:line="360" w:lineRule="exact"/>
        <w:ind w:firstLine="442"/>
        <w:rPr>
          <w:rFonts w:ascii="Times New Roman" w:hAnsi="Times New Roman" w:cs="Times New Roman"/>
          <w:sz w:val="20"/>
          <w:szCs w:val="20"/>
          <w:lang w:val="en-US"/>
        </w:rPr>
        <w:sectPr>
          <w:headerReference r:id="rId7" w:type="default"/>
          <w:footerReference r:id="rId8" w:type="default"/>
          <w:pgSz w:w="11900" w:h="16840"/>
          <w:pgMar w:top="1417" w:right="1417" w:bottom="1417" w:left="1417" w:header="0" w:footer="1814" w:gutter="0"/>
          <w:cols w:space="0" w:num="1"/>
          <w:docGrid w:linePitch="360" w:charSpace="0"/>
        </w:sectPr>
      </w:pPr>
    </w:p>
    <w:p w14:paraId="199FDE4A">
      <w:pPr>
        <w:spacing w:line="1" w:lineRule="exact"/>
        <w:rPr>
          <w:rFonts w:ascii="Times New Roman" w:hAnsi="Times New Roman" w:cs="Times New Roman"/>
        </w:rPr>
      </w:pPr>
    </w:p>
    <w:p w14:paraId="0A8BC400">
      <w:pPr>
        <w:pStyle w:val="33"/>
        <w:spacing w:line="240" w:lineRule="auto"/>
        <w:jc w:val="center"/>
        <w:outlineLvl w:val="0"/>
        <w:rPr>
          <w:rFonts w:ascii="黑体" w:hAnsi="黑体" w:eastAsia="黑体" w:cs="黑体"/>
          <w:b/>
          <w:bCs/>
          <w:sz w:val="24"/>
          <w:szCs w:val="24"/>
          <w:lang w:val="en-US" w:bidi="en-US"/>
        </w:rPr>
      </w:pPr>
      <w:bookmarkStart w:id="78" w:name="_Toc137156147"/>
      <w:r>
        <w:rPr>
          <w:rFonts w:hint="eastAsia" w:ascii="黑体" w:hAnsi="黑体" w:eastAsia="黑体" w:cs="黑体"/>
          <w:b/>
          <w:bCs/>
          <w:sz w:val="24"/>
          <w:szCs w:val="24"/>
          <w:lang w:val="en-US" w:bidi="en-US"/>
        </w:rPr>
        <w:t xml:space="preserve">附 录 </w:t>
      </w:r>
      <w:r>
        <w:rPr>
          <w:rFonts w:ascii="黑体" w:hAnsi="黑体" w:eastAsia="黑体" w:cs="黑体"/>
          <w:b/>
          <w:bCs/>
          <w:sz w:val="24"/>
          <w:szCs w:val="24"/>
          <w:lang w:val="en-US" w:bidi="en-US"/>
        </w:rPr>
        <w:t>G</w:t>
      </w:r>
      <w:bookmarkEnd w:id="78"/>
      <w:r>
        <w:rPr>
          <w:rFonts w:ascii="黑体" w:hAnsi="黑体" w:eastAsia="黑体" w:cs="黑体"/>
          <w:b/>
          <w:bCs/>
          <w:sz w:val="24"/>
          <w:szCs w:val="24"/>
          <w:lang w:val="en-US" w:bidi="en-US"/>
        </w:rPr>
        <w:t xml:space="preserve"> </w:t>
      </w:r>
    </w:p>
    <w:p w14:paraId="500F5465">
      <w:pPr>
        <w:spacing w:before="312" w:beforeLines="100" w:after="312" w:afterLines="100"/>
        <w:jc w:val="center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（资料性）</w:t>
      </w:r>
    </w:p>
    <w:p w14:paraId="0B7FCE3B">
      <w:pPr>
        <w:spacing w:before="312" w:beforeLines="100" w:after="312" w:afterLines="100"/>
        <w:jc w:val="center"/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古树名木登记表</w:t>
      </w:r>
    </w:p>
    <w:p w14:paraId="42211BC7">
      <w:pPr>
        <w:ind w:left="14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  <w:lang w:val="zh-CN"/>
        </w:rPr>
        <w:t xml:space="preserve">填表单位： </w:t>
      </w:r>
      <w:r>
        <w:rPr>
          <w:rFonts w:ascii="宋体" w:hAnsi="宋体" w:eastAsia="宋体"/>
          <w:szCs w:val="21"/>
          <w:lang w:val="zh-CN"/>
        </w:rPr>
        <w:t xml:space="preserve">                 </w:t>
      </w:r>
      <w:r>
        <w:rPr>
          <w:rFonts w:hint="eastAsia" w:ascii="宋体" w:hAnsi="宋体" w:eastAsia="宋体"/>
          <w:szCs w:val="21"/>
        </w:rPr>
        <w:t xml:space="preserve">       </w:t>
      </w:r>
      <w:r>
        <w:rPr>
          <w:rFonts w:hint="eastAsia" w:ascii="宋体" w:hAnsi="宋体" w:eastAsia="宋体"/>
          <w:szCs w:val="21"/>
          <w:lang w:val="zh-CN"/>
        </w:rPr>
        <w:t>填表人：</w:t>
      </w:r>
      <w:r>
        <w:rPr>
          <w:rFonts w:hint="eastAsia" w:ascii="宋体" w:hAnsi="宋体" w:eastAsia="宋体"/>
          <w:szCs w:val="21"/>
        </w:rPr>
        <w:t xml:space="preserve">                 时间：</w:t>
      </w:r>
    </w:p>
    <w:tbl>
      <w:tblPr>
        <w:tblStyle w:val="17"/>
        <w:tblW w:w="0" w:type="auto"/>
        <w:tblInd w:w="-1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315"/>
        <w:gridCol w:w="1383"/>
        <w:gridCol w:w="1383"/>
        <w:gridCol w:w="1383"/>
        <w:gridCol w:w="1383"/>
      </w:tblGrid>
      <w:tr w14:paraId="0B3AD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 w14:paraId="4C269268">
            <w:pPr>
              <w:jc w:val="center"/>
              <w:rPr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古树名木编号</w:t>
            </w:r>
          </w:p>
        </w:tc>
        <w:tc>
          <w:tcPr>
            <w:tcW w:w="2698" w:type="dxa"/>
            <w:gridSpan w:val="2"/>
            <w:vAlign w:val="center"/>
          </w:tcPr>
          <w:p w14:paraId="5FE5C174">
            <w:pPr>
              <w:jc w:val="center"/>
              <w:rPr>
                <w:szCs w:val="21"/>
              </w:rPr>
            </w:pPr>
          </w:p>
        </w:tc>
        <w:tc>
          <w:tcPr>
            <w:tcW w:w="1383" w:type="dxa"/>
            <w:vAlign w:val="center"/>
          </w:tcPr>
          <w:p w14:paraId="7855D7AE">
            <w:pPr>
              <w:jc w:val="center"/>
              <w:rPr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所属区（县）</w:t>
            </w:r>
          </w:p>
        </w:tc>
        <w:tc>
          <w:tcPr>
            <w:tcW w:w="2766" w:type="dxa"/>
            <w:gridSpan w:val="2"/>
            <w:vAlign w:val="center"/>
          </w:tcPr>
          <w:p w14:paraId="21EC9083">
            <w:pPr>
              <w:jc w:val="center"/>
              <w:rPr>
                <w:szCs w:val="21"/>
              </w:rPr>
            </w:pPr>
          </w:p>
        </w:tc>
      </w:tr>
      <w:tr w14:paraId="03F0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Merge w:val="restart"/>
            <w:vAlign w:val="center"/>
          </w:tcPr>
          <w:p w14:paraId="7D69E3D3">
            <w:pPr>
              <w:jc w:val="center"/>
              <w:rPr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树种</w:t>
            </w:r>
          </w:p>
        </w:tc>
        <w:tc>
          <w:tcPr>
            <w:tcW w:w="2698" w:type="dxa"/>
            <w:gridSpan w:val="2"/>
            <w:vAlign w:val="center"/>
          </w:tcPr>
          <w:p w14:paraId="3D6780F7">
            <w:pPr>
              <w:rPr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中文名：</w:t>
            </w:r>
          </w:p>
        </w:tc>
        <w:tc>
          <w:tcPr>
            <w:tcW w:w="4149" w:type="dxa"/>
            <w:gridSpan w:val="3"/>
            <w:vAlign w:val="center"/>
          </w:tcPr>
          <w:p w14:paraId="1A05D549">
            <w:pPr>
              <w:jc w:val="center"/>
              <w:rPr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别名：</w:t>
            </w:r>
          </w:p>
        </w:tc>
      </w:tr>
      <w:tr w14:paraId="2C0B5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Merge w:val="continue"/>
            <w:vAlign w:val="center"/>
          </w:tcPr>
          <w:p w14:paraId="23209C96">
            <w:pPr>
              <w:jc w:val="center"/>
              <w:rPr>
                <w:szCs w:val="21"/>
              </w:rPr>
            </w:pPr>
          </w:p>
        </w:tc>
        <w:tc>
          <w:tcPr>
            <w:tcW w:w="6847" w:type="dxa"/>
            <w:gridSpan w:val="5"/>
            <w:vAlign w:val="center"/>
          </w:tcPr>
          <w:p w14:paraId="4C5432AD">
            <w:pPr>
              <w:rPr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拉丁名：</w:t>
            </w:r>
            <w:r>
              <w:rPr>
                <w:rFonts w:hint="eastAsia" w:ascii="宋体" w:hAnsi="宋体" w:eastAsia="宋体"/>
                <w:szCs w:val="21"/>
                <w:lang w:val="zh-CN"/>
              </w:rPr>
              <w:t xml:space="preserve">                  </w:t>
            </w:r>
            <w:r>
              <w:rPr>
                <w:rFonts w:ascii="宋体" w:hAnsi="宋体" w:eastAsia="宋体"/>
                <w:w w:val="137"/>
                <w:szCs w:val="21"/>
                <w:lang w:val="zh-CN"/>
              </w:rPr>
              <w:t>科：</w:t>
            </w:r>
            <w:r>
              <w:rPr>
                <w:rFonts w:hint="eastAsia" w:ascii="宋体" w:hAnsi="宋体" w:eastAsia="宋体"/>
                <w:w w:val="137"/>
                <w:szCs w:val="21"/>
                <w:lang w:val="zh-CN"/>
              </w:rPr>
              <w:t xml:space="preserve">              </w:t>
            </w:r>
            <w:r>
              <w:rPr>
                <w:rFonts w:ascii="宋体" w:hAnsi="宋体" w:eastAsia="宋体"/>
                <w:szCs w:val="21"/>
                <w:lang w:val="zh-CN"/>
              </w:rPr>
              <w:t>属：</w:t>
            </w:r>
          </w:p>
        </w:tc>
      </w:tr>
      <w:tr w14:paraId="7A3DD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Merge w:val="restart"/>
            <w:vAlign w:val="center"/>
          </w:tcPr>
          <w:p w14:paraId="156D3439">
            <w:pPr>
              <w:jc w:val="center"/>
              <w:rPr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位置</w:t>
            </w:r>
          </w:p>
        </w:tc>
        <w:tc>
          <w:tcPr>
            <w:tcW w:w="6847" w:type="dxa"/>
            <w:gridSpan w:val="5"/>
            <w:vAlign w:val="center"/>
          </w:tcPr>
          <w:p w14:paraId="2939D7F2">
            <w:pPr>
              <w:jc w:val="center"/>
              <w:rPr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乡镇（办事处）：村（居委会）：小地名</w:t>
            </w:r>
          </w:p>
        </w:tc>
      </w:tr>
      <w:tr w14:paraId="45404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Merge w:val="continue"/>
            <w:vAlign w:val="center"/>
          </w:tcPr>
          <w:p w14:paraId="38C463D3">
            <w:pPr>
              <w:jc w:val="center"/>
              <w:rPr>
                <w:szCs w:val="21"/>
              </w:rPr>
            </w:pPr>
          </w:p>
        </w:tc>
        <w:tc>
          <w:tcPr>
            <w:tcW w:w="6847" w:type="dxa"/>
            <w:gridSpan w:val="5"/>
            <w:vAlign w:val="center"/>
          </w:tcPr>
          <w:p w14:paraId="7C1D9D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生长场所：</w:t>
            </w:r>
            <w:r>
              <w:rPr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(1)郊外 (2)乡村街道 (3)区县城区 (4)市区范围  (5)自然保护区  (6)森林公园 (7)风景名胜区 (8)历史名园</w:t>
            </w:r>
          </w:p>
        </w:tc>
      </w:tr>
      <w:tr w14:paraId="4F212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620" w:type="dxa"/>
            <w:vMerge w:val="continue"/>
            <w:vAlign w:val="center"/>
          </w:tcPr>
          <w:p w14:paraId="0DE95C2F">
            <w:pPr>
              <w:jc w:val="center"/>
              <w:rPr>
                <w:szCs w:val="21"/>
              </w:rPr>
            </w:pPr>
          </w:p>
        </w:tc>
        <w:tc>
          <w:tcPr>
            <w:tcW w:w="6847" w:type="dxa"/>
            <w:gridSpan w:val="5"/>
            <w:vAlign w:val="center"/>
          </w:tcPr>
          <w:p w14:paraId="1F01B134">
            <w:pPr>
              <w:rPr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经度</w:t>
            </w:r>
            <w:r>
              <w:rPr>
                <w:rFonts w:hint="eastAsia" w:ascii="宋体" w:hAnsi="宋体" w:eastAsia="宋体"/>
                <w:szCs w:val="21"/>
                <w:lang w:val="zh-CN"/>
              </w:rPr>
              <w:t xml:space="preserve">：                       </w:t>
            </w:r>
            <w:r>
              <w:rPr>
                <w:rFonts w:ascii="宋体" w:hAnsi="宋体" w:eastAsia="宋体"/>
                <w:szCs w:val="21"/>
                <w:lang w:val="zh-CN"/>
              </w:rPr>
              <w:t>纬度</w:t>
            </w:r>
            <w:r>
              <w:rPr>
                <w:rFonts w:hint="eastAsia" w:ascii="宋体" w:hAnsi="宋体" w:eastAsia="宋体"/>
                <w:szCs w:val="21"/>
                <w:lang w:val="zh-CN"/>
              </w:rPr>
              <w:t xml:space="preserve">：                  </w:t>
            </w:r>
            <w:r>
              <w:rPr>
                <w:rFonts w:ascii="宋体" w:hAnsi="宋体" w:eastAsia="宋体"/>
                <w:w w:val="116"/>
                <w:szCs w:val="21"/>
                <w:lang w:val="zh-CN"/>
              </w:rPr>
              <w:t>海拔：</w:t>
            </w:r>
          </w:p>
        </w:tc>
      </w:tr>
      <w:tr w14:paraId="29056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 w14:paraId="5D05A0EC">
            <w:pPr>
              <w:jc w:val="center"/>
              <w:rPr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分布特点</w:t>
            </w:r>
          </w:p>
        </w:tc>
        <w:tc>
          <w:tcPr>
            <w:tcW w:w="6847" w:type="dxa"/>
            <w:gridSpan w:val="5"/>
            <w:vAlign w:val="center"/>
          </w:tcPr>
          <w:p w14:paraId="0E1B4C16"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(1)散生    (2)群状</w:t>
            </w:r>
          </w:p>
        </w:tc>
      </w:tr>
      <w:tr w14:paraId="7384F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620" w:type="dxa"/>
            <w:vAlign w:val="center"/>
          </w:tcPr>
          <w:p w14:paraId="54FC7C57">
            <w:pPr>
              <w:jc w:val="center"/>
              <w:rPr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特征代码</w:t>
            </w:r>
          </w:p>
        </w:tc>
        <w:tc>
          <w:tcPr>
            <w:tcW w:w="6847" w:type="dxa"/>
            <w:gridSpan w:val="5"/>
            <w:vAlign w:val="center"/>
          </w:tcPr>
          <w:p w14:paraId="08491B2B">
            <w:pPr>
              <w:jc w:val="center"/>
              <w:rPr>
                <w:szCs w:val="21"/>
              </w:rPr>
            </w:pPr>
          </w:p>
        </w:tc>
      </w:tr>
      <w:tr w14:paraId="695DA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620" w:type="dxa"/>
            <w:vAlign w:val="center"/>
          </w:tcPr>
          <w:p w14:paraId="5B1B350D">
            <w:pPr>
              <w:jc w:val="center"/>
              <w:rPr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树龄</w:t>
            </w:r>
          </w:p>
        </w:tc>
        <w:tc>
          <w:tcPr>
            <w:tcW w:w="1315" w:type="dxa"/>
            <w:vAlign w:val="center"/>
          </w:tcPr>
          <w:p w14:paraId="67A1AC05">
            <w:pPr>
              <w:jc w:val="center"/>
              <w:rPr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实际树龄：</w:t>
            </w:r>
          </w:p>
        </w:tc>
        <w:tc>
          <w:tcPr>
            <w:tcW w:w="2766" w:type="dxa"/>
            <w:gridSpan w:val="2"/>
            <w:vAlign w:val="center"/>
          </w:tcPr>
          <w:p w14:paraId="453C3E42">
            <w:pPr>
              <w:jc w:val="center"/>
              <w:rPr>
                <w:szCs w:val="21"/>
              </w:rPr>
            </w:pPr>
          </w:p>
        </w:tc>
        <w:tc>
          <w:tcPr>
            <w:tcW w:w="1383" w:type="dxa"/>
            <w:vAlign w:val="center"/>
          </w:tcPr>
          <w:p w14:paraId="3A3BDEF9">
            <w:pPr>
              <w:jc w:val="center"/>
              <w:rPr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估测树龄：</w:t>
            </w:r>
          </w:p>
        </w:tc>
        <w:tc>
          <w:tcPr>
            <w:tcW w:w="1383" w:type="dxa"/>
            <w:vAlign w:val="center"/>
          </w:tcPr>
          <w:p w14:paraId="017069BE">
            <w:pPr>
              <w:jc w:val="center"/>
              <w:rPr>
                <w:szCs w:val="21"/>
              </w:rPr>
            </w:pPr>
          </w:p>
        </w:tc>
      </w:tr>
      <w:tr w14:paraId="63321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620" w:type="dxa"/>
            <w:vAlign w:val="center"/>
          </w:tcPr>
          <w:p w14:paraId="2842D951">
            <w:pPr>
              <w:jc w:val="center"/>
              <w:rPr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古树级别</w:t>
            </w:r>
          </w:p>
        </w:tc>
        <w:tc>
          <w:tcPr>
            <w:tcW w:w="1315" w:type="dxa"/>
            <w:vAlign w:val="center"/>
          </w:tcPr>
          <w:p w14:paraId="20E29FFB">
            <w:pPr>
              <w:jc w:val="center"/>
              <w:rPr>
                <w:szCs w:val="21"/>
              </w:rPr>
            </w:pPr>
          </w:p>
        </w:tc>
        <w:tc>
          <w:tcPr>
            <w:tcW w:w="1383" w:type="dxa"/>
            <w:vAlign w:val="center"/>
          </w:tcPr>
          <w:p w14:paraId="574E5FD3">
            <w:pPr>
              <w:jc w:val="center"/>
              <w:rPr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树高</w:t>
            </w:r>
            <w:r>
              <w:rPr>
                <w:rFonts w:hint="eastAsia" w:eastAsia="宋体"/>
                <w:w w:val="83"/>
                <w:szCs w:val="21"/>
                <w:lang w:val="zh-CN"/>
              </w:rPr>
              <w:t>(</w:t>
            </w:r>
            <w:r>
              <w:rPr>
                <w:rFonts w:eastAsia="宋体"/>
                <w:w w:val="83"/>
                <w:szCs w:val="21"/>
                <w:lang w:val="zh-CN"/>
              </w:rPr>
              <w:t>m)</w:t>
            </w:r>
          </w:p>
        </w:tc>
        <w:tc>
          <w:tcPr>
            <w:tcW w:w="1383" w:type="dxa"/>
            <w:vAlign w:val="center"/>
          </w:tcPr>
          <w:p w14:paraId="0CEACD43">
            <w:pPr>
              <w:jc w:val="center"/>
              <w:rPr>
                <w:szCs w:val="21"/>
              </w:rPr>
            </w:pPr>
          </w:p>
        </w:tc>
        <w:tc>
          <w:tcPr>
            <w:tcW w:w="1383" w:type="dxa"/>
            <w:vAlign w:val="center"/>
          </w:tcPr>
          <w:p w14:paraId="237CCE7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胸径</w:t>
            </w:r>
            <w:r>
              <w:rPr>
                <w:szCs w:val="21"/>
              </w:rPr>
              <w:t>(cm)</w:t>
            </w:r>
          </w:p>
        </w:tc>
        <w:tc>
          <w:tcPr>
            <w:tcW w:w="1383" w:type="dxa"/>
            <w:vAlign w:val="center"/>
          </w:tcPr>
          <w:p w14:paraId="3D19B3BB">
            <w:pPr>
              <w:jc w:val="center"/>
              <w:rPr>
                <w:szCs w:val="21"/>
              </w:rPr>
            </w:pPr>
          </w:p>
        </w:tc>
      </w:tr>
      <w:tr w14:paraId="52C9B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620" w:type="dxa"/>
            <w:vAlign w:val="center"/>
          </w:tcPr>
          <w:p w14:paraId="1E9AAAAC">
            <w:pPr>
              <w:jc w:val="center"/>
              <w:rPr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冠幅</w:t>
            </w:r>
            <w:r>
              <w:rPr>
                <w:rFonts w:hint="eastAsia" w:eastAsia="宋体"/>
                <w:w w:val="83"/>
                <w:szCs w:val="21"/>
                <w:lang w:val="zh-CN"/>
              </w:rPr>
              <w:t>(</w:t>
            </w:r>
            <w:r>
              <w:rPr>
                <w:rFonts w:eastAsia="宋体"/>
                <w:w w:val="83"/>
                <w:szCs w:val="21"/>
                <w:lang w:val="zh-CN"/>
              </w:rPr>
              <w:t>m)</w:t>
            </w:r>
          </w:p>
        </w:tc>
        <w:tc>
          <w:tcPr>
            <w:tcW w:w="1315" w:type="dxa"/>
            <w:vAlign w:val="center"/>
          </w:tcPr>
          <w:p w14:paraId="6092D011">
            <w:pPr>
              <w:jc w:val="center"/>
              <w:rPr>
                <w:szCs w:val="21"/>
              </w:rPr>
            </w:pPr>
          </w:p>
        </w:tc>
        <w:tc>
          <w:tcPr>
            <w:tcW w:w="1383" w:type="dxa"/>
            <w:vAlign w:val="center"/>
          </w:tcPr>
          <w:p w14:paraId="76F1FB0B">
            <w:pPr>
              <w:jc w:val="center"/>
              <w:rPr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东西</w:t>
            </w:r>
            <w:r>
              <w:rPr>
                <w:rFonts w:hint="eastAsia" w:eastAsia="宋体"/>
                <w:w w:val="83"/>
                <w:szCs w:val="21"/>
                <w:lang w:val="zh-CN"/>
              </w:rPr>
              <w:t>(</w:t>
            </w:r>
            <w:r>
              <w:rPr>
                <w:rFonts w:eastAsia="宋体"/>
                <w:w w:val="83"/>
                <w:szCs w:val="21"/>
                <w:lang w:val="zh-CN"/>
              </w:rPr>
              <w:t>m)</w:t>
            </w:r>
          </w:p>
        </w:tc>
        <w:tc>
          <w:tcPr>
            <w:tcW w:w="1383" w:type="dxa"/>
            <w:vAlign w:val="center"/>
          </w:tcPr>
          <w:p w14:paraId="1EBBD668">
            <w:pPr>
              <w:jc w:val="center"/>
              <w:rPr>
                <w:szCs w:val="21"/>
              </w:rPr>
            </w:pPr>
          </w:p>
        </w:tc>
        <w:tc>
          <w:tcPr>
            <w:tcW w:w="1383" w:type="dxa"/>
            <w:vAlign w:val="center"/>
          </w:tcPr>
          <w:p w14:paraId="0CFF2AFD">
            <w:pPr>
              <w:jc w:val="center"/>
              <w:rPr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南北</w:t>
            </w:r>
            <w:r>
              <w:rPr>
                <w:rFonts w:hint="eastAsia" w:eastAsia="宋体"/>
                <w:w w:val="83"/>
                <w:szCs w:val="21"/>
                <w:lang w:val="zh-CN"/>
              </w:rPr>
              <w:t>(</w:t>
            </w:r>
            <w:r>
              <w:rPr>
                <w:rFonts w:eastAsia="宋体"/>
                <w:w w:val="83"/>
                <w:szCs w:val="21"/>
                <w:lang w:val="zh-CN"/>
              </w:rPr>
              <w:t>m)</w:t>
            </w:r>
          </w:p>
        </w:tc>
        <w:tc>
          <w:tcPr>
            <w:tcW w:w="1383" w:type="dxa"/>
            <w:vAlign w:val="center"/>
          </w:tcPr>
          <w:p w14:paraId="01DC2454">
            <w:pPr>
              <w:jc w:val="center"/>
              <w:rPr>
                <w:szCs w:val="21"/>
              </w:rPr>
            </w:pPr>
          </w:p>
        </w:tc>
      </w:tr>
      <w:tr w14:paraId="137A4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20" w:type="dxa"/>
            <w:vAlign w:val="center"/>
          </w:tcPr>
          <w:p w14:paraId="4B76FD94">
            <w:pPr>
              <w:jc w:val="center"/>
              <w:rPr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立地条件描述</w:t>
            </w:r>
          </w:p>
        </w:tc>
        <w:tc>
          <w:tcPr>
            <w:tcW w:w="6847" w:type="dxa"/>
            <w:gridSpan w:val="5"/>
            <w:vAlign w:val="center"/>
          </w:tcPr>
          <w:p w14:paraId="6EFD0F12">
            <w:pPr>
              <w:jc w:val="center"/>
              <w:rPr>
                <w:szCs w:val="21"/>
              </w:rPr>
            </w:pPr>
          </w:p>
        </w:tc>
      </w:tr>
      <w:tr w14:paraId="7DAB1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 w14:paraId="5D59BDE4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zh-CN"/>
              </w:rPr>
              <w:t>生长势</w:t>
            </w:r>
          </w:p>
        </w:tc>
        <w:tc>
          <w:tcPr>
            <w:tcW w:w="6847" w:type="dxa"/>
            <w:gridSpan w:val="5"/>
            <w:vAlign w:val="center"/>
          </w:tcPr>
          <w:p w14:paraId="02E2225B">
            <w:pPr>
              <w:jc w:val="center"/>
              <w:rPr>
                <w:szCs w:val="21"/>
              </w:rPr>
            </w:pPr>
            <w:r>
              <w:rPr>
                <w:rFonts w:eastAsia="宋体"/>
                <w:w w:val="125"/>
                <w:sz w:val="18"/>
                <w:szCs w:val="18"/>
                <w:lang w:val="zh-CN"/>
              </w:rPr>
              <w:t>(</w:t>
            </w:r>
            <w:r>
              <w:rPr>
                <w:rFonts w:hint="eastAsia" w:ascii="宋体" w:hAnsi="宋体" w:eastAsia="宋体"/>
                <w:szCs w:val="21"/>
                <w:lang w:val="zh-CN"/>
              </w:rPr>
              <w:t>1)正常</w:t>
            </w: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val="zh-CN"/>
              </w:rPr>
              <w:t>(2)衰弱</w:t>
            </w: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val="zh-CN"/>
              </w:rPr>
              <w:t>(3)濒危</w:t>
            </w: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val="zh-CN"/>
              </w:rPr>
              <w:t>(4)死亡</w:t>
            </w:r>
          </w:p>
        </w:tc>
      </w:tr>
      <w:tr w14:paraId="18F71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 w14:paraId="6225D577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影响生长环境因素描述</w:t>
            </w:r>
          </w:p>
        </w:tc>
        <w:tc>
          <w:tcPr>
            <w:tcW w:w="6847" w:type="dxa"/>
            <w:gridSpan w:val="5"/>
            <w:vAlign w:val="center"/>
          </w:tcPr>
          <w:p w14:paraId="05D37CF0">
            <w:pPr>
              <w:jc w:val="center"/>
              <w:rPr>
                <w:szCs w:val="21"/>
              </w:rPr>
            </w:pPr>
          </w:p>
        </w:tc>
      </w:tr>
      <w:tr w14:paraId="62A02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620" w:type="dxa"/>
            <w:vAlign w:val="center"/>
          </w:tcPr>
          <w:p w14:paraId="3802C0CA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生长环境</w:t>
            </w:r>
          </w:p>
        </w:tc>
        <w:tc>
          <w:tcPr>
            <w:tcW w:w="6847" w:type="dxa"/>
            <w:gridSpan w:val="5"/>
            <w:vAlign w:val="center"/>
          </w:tcPr>
          <w:p w14:paraId="4C7D1E7B">
            <w:pPr>
              <w:jc w:val="center"/>
              <w:rPr>
                <w:szCs w:val="21"/>
              </w:rPr>
            </w:pPr>
            <w:r>
              <w:rPr>
                <w:rFonts w:eastAsia="宋体"/>
                <w:w w:val="125"/>
                <w:szCs w:val="21"/>
                <w:lang w:val="zh-CN"/>
              </w:rPr>
              <w:t>(1)</w:t>
            </w:r>
            <w:r>
              <w:rPr>
                <w:rFonts w:ascii="宋体" w:hAnsi="宋体" w:eastAsia="宋体"/>
                <w:szCs w:val="21"/>
                <w:lang w:val="zh-CN"/>
              </w:rPr>
              <w:t>良好</w:t>
            </w:r>
            <w:r>
              <w:rPr>
                <w:rFonts w:hint="eastAsia" w:ascii="宋体" w:hAnsi="宋体" w:eastAsia="宋体"/>
                <w:szCs w:val="21"/>
              </w:rPr>
              <w:t xml:space="preserve">  </w:t>
            </w:r>
            <w:r>
              <w:rPr>
                <w:rFonts w:eastAsia="宋体"/>
                <w:w w:val="125"/>
                <w:szCs w:val="21"/>
                <w:lang w:val="zh-CN"/>
              </w:rPr>
              <w:t>(2)</w:t>
            </w:r>
            <w:r>
              <w:rPr>
                <w:rFonts w:ascii="宋体" w:hAnsi="宋体" w:eastAsia="宋体"/>
                <w:szCs w:val="21"/>
                <w:lang w:val="zh-CN"/>
              </w:rPr>
              <w:t>一般</w:t>
            </w:r>
            <w:r>
              <w:rPr>
                <w:rFonts w:hint="eastAsia" w:ascii="宋体" w:hAnsi="宋体" w:eastAsia="宋体"/>
                <w:szCs w:val="21"/>
              </w:rPr>
              <w:t xml:space="preserve">  </w:t>
            </w:r>
            <w:r>
              <w:rPr>
                <w:rFonts w:eastAsia="宋体"/>
                <w:w w:val="125"/>
                <w:szCs w:val="21"/>
                <w:lang w:val="zh-CN"/>
              </w:rPr>
              <w:t>(3)</w:t>
            </w:r>
            <w:r>
              <w:rPr>
                <w:rFonts w:ascii="宋体" w:hAnsi="宋体" w:eastAsia="宋体"/>
                <w:szCs w:val="21"/>
                <w:lang w:val="zh-CN"/>
              </w:rPr>
              <w:t>差</w:t>
            </w:r>
          </w:p>
        </w:tc>
      </w:tr>
      <w:tr w14:paraId="36BF8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 w14:paraId="246201C7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现存状态</w:t>
            </w:r>
          </w:p>
        </w:tc>
        <w:tc>
          <w:tcPr>
            <w:tcW w:w="6847" w:type="dxa"/>
            <w:gridSpan w:val="5"/>
            <w:vAlign w:val="center"/>
          </w:tcPr>
          <w:p w14:paraId="49D50ACD">
            <w:pPr>
              <w:jc w:val="center"/>
              <w:rPr>
                <w:rFonts w:eastAsia="宋体"/>
                <w:w w:val="125"/>
                <w:szCs w:val="21"/>
                <w:lang w:val="zh-CN"/>
              </w:rPr>
            </w:pPr>
            <w:r>
              <w:rPr>
                <w:rFonts w:eastAsia="宋体"/>
                <w:w w:val="125"/>
                <w:szCs w:val="21"/>
                <w:lang w:val="zh-CN"/>
              </w:rPr>
              <w:t>(1)</w:t>
            </w:r>
            <w:r>
              <w:rPr>
                <w:rFonts w:ascii="宋体" w:hAnsi="宋体" w:eastAsia="宋体"/>
                <w:szCs w:val="21"/>
                <w:lang w:val="zh-CN"/>
              </w:rPr>
              <w:t>正常</w:t>
            </w:r>
            <w:r>
              <w:rPr>
                <w:rFonts w:hint="eastAsia" w:ascii="宋体" w:hAnsi="宋体" w:eastAsia="宋体"/>
                <w:szCs w:val="21"/>
              </w:rPr>
              <w:t xml:space="preserve">  </w:t>
            </w:r>
            <w:r>
              <w:rPr>
                <w:rFonts w:eastAsia="宋体"/>
                <w:w w:val="125"/>
                <w:szCs w:val="21"/>
                <w:lang w:val="zh-CN"/>
              </w:rPr>
              <w:t>(2)</w:t>
            </w:r>
            <w:r>
              <w:rPr>
                <w:rFonts w:ascii="宋体" w:hAnsi="宋体" w:eastAsia="宋体"/>
                <w:szCs w:val="21"/>
                <w:lang w:val="zh-CN"/>
              </w:rPr>
              <w:t>移植</w:t>
            </w:r>
            <w:r>
              <w:rPr>
                <w:rFonts w:hint="eastAsia" w:ascii="宋体" w:hAnsi="宋体" w:eastAsia="宋体"/>
                <w:szCs w:val="21"/>
              </w:rPr>
              <w:t xml:space="preserve">  </w:t>
            </w:r>
            <w:r>
              <w:rPr>
                <w:rFonts w:eastAsia="宋体"/>
                <w:w w:val="125"/>
                <w:szCs w:val="21"/>
                <w:lang w:val="zh-CN"/>
              </w:rPr>
              <w:t>(3)</w:t>
            </w:r>
            <w:r>
              <w:rPr>
                <w:rFonts w:ascii="宋体" w:hAnsi="宋体" w:eastAsia="宋体"/>
                <w:szCs w:val="21"/>
                <w:lang w:val="zh-CN"/>
              </w:rPr>
              <w:t>伤残</w:t>
            </w:r>
            <w:r>
              <w:rPr>
                <w:rFonts w:hint="eastAsia" w:ascii="宋体" w:hAnsi="宋体" w:eastAsia="宋体"/>
                <w:szCs w:val="21"/>
              </w:rPr>
              <w:t xml:space="preserve">  </w:t>
            </w:r>
            <w:r>
              <w:rPr>
                <w:rFonts w:eastAsia="宋体"/>
                <w:w w:val="106"/>
                <w:szCs w:val="21"/>
                <w:lang w:val="zh-CN"/>
              </w:rPr>
              <w:t>(4)</w:t>
            </w:r>
            <w:r>
              <w:rPr>
                <w:rFonts w:ascii="宋体" w:hAnsi="宋体" w:eastAsia="宋体"/>
                <w:szCs w:val="21"/>
                <w:lang w:val="zh-CN"/>
              </w:rPr>
              <w:t>死亡</w:t>
            </w:r>
            <w:r>
              <w:rPr>
                <w:rFonts w:hint="eastAsia" w:ascii="宋体" w:hAnsi="宋体" w:eastAsia="宋体"/>
                <w:szCs w:val="21"/>
              </w:rPr>
              <w:t xml:space="preserve">  </w:t>
            </w:r>
            <w:r>
              <w:rPr>
                <w:rFonts w:eastAsia="宋体"/>
                <w:w w:val="125"/>
                <w:szCs w:val="21"/>
                <w:lang w:val="zh-CN"/>
              </w:rPr>
              <w:t>(5)</w:t>
            </w:r>
            <w:r>
              <w:rPr>
                <w:rFonts w:ascii="宋体" w:hAnsi="宋体" w:eastAsia="宋体"/>
                <w:w w:val="116"/>
                <w:szCs w:val="21"/>
                <w:lang w:val="zh-CN"/>
              </w:rPr>
              <w:t>新增</w:t>
            </w:r>
          </w:p>
        </w:tc>
      </w:tr>
      <w:tr w14:paraId="48985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 w14:paraId="2FB55D82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历史文化记载</w:t>
            </w:r>
          </w:p>
        </w:tc>
        <w:tc>
          <w:tcPr>
            <w:tcW w:w="6847" w:type="dxa"/>
            <w:gridSpan w:val="5"/>
            <w:vAlign w:val="center"/>
          </w:tcPr>
          <w:p w14:paraId="68172522">
            <w:pPr>
              <w:jc w:val="center"/>
              <w:rPr>
                <w:rFonts w:eastAsia="宋体"/>
                <w:w w:val="125"/>
                <w:szCs w:val="21"/>
                <w:lang w:val="zh-CN"/>
              </w:rPr>
            </w:pPr>
          </w:p>
        </w:tc>
      </w:tr>
      <w:tr w14:paraId="18927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 w14:paraId="58E84BCB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地上保护记载</w:t>
            </w:r>
          </w:p>
        </w:tc>
        <w:tc>
          <w:tcPr>
            <w:tcW w:w="6847" w:type="dxa"/>
            <w:gridSpan w:val="5"/>
            <w:vAlign w:val="center"/>
          </w:tcPr>
          <w:p w14:paraId="47F31CA4">
            <w:pPr>
              <w:jc w:val="center"/>
              <w:rPr>
                <w:rFonts w:eastAsia="宋体"/>
                <w:w w:val="125"/>
                <w:szCs w:val="21"/>
                <w:lang w:val="zh-CN"/>
              </w:rPr>
            </w:pPr>
          </w:p>
        </w:tc>
      </w:tr>
      <w:tr w14:paraId="698F0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 w14:paraId="74518FAC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养护复壮记载</w:t>
            </w:r>
          </w:p>
        </w:tc>
        <w:tc>
          <w:tcPr>
            <w:tcW w:w="6847" w:type="dxa"/>
            <w:gridSpan w:val="5"/>
            <w:vAlign w:val="center"/>
          </w:tcPr>
          <w:p w14:paraId="5F7740A8">
            <w:pPr>
              <w:jc w:val="center"/>
              <w:rPr>
                <w:rFonts w:eastAsia="宋体"/>
                <w:w w:val="125"/>
                <w:szCs w:val="21"/>
                <w:lang w:val="zh-CN"/>
              </w:rPr>
            </w:pPr>
          </w:p>
        </w:tc>
      </w:tr>
      <w:tr w14:paraId="41C63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 w14:paraId="38E37CC6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照片及说明</w:t>
            </w:r>
          </w:p>
        </w:tc>
        <w:tc>
          <w:tcPr>
            <w:tcW w:w="6847" w:type="dxa"/>
            <w:gridSpan w:val="5"/>
            <w:vAlign w:val="center"/>
          </w:tcPr>
          <w:p w14:paraId="7DFDBDCA">
            <w:pPr>
              <w:jc w:val="center"/>
              <w:rPr>
                <w:rFonts w:eastAsia="宋体"/>
                <w:w w:val="125"/>
                <w:szCs w:val="21"/>
                <w:lang w:val="zh-CN"/>
              </w:rPr>
            </w:pPr>
            <w:r>
              <w:rPr>
                <w:rFonts w:hint="eastAsia" w:eastAsia="宋体"/>
                <w:w w:val="125"/>
                <w:szCs w:val="21"/>
                <w:lang w:val="zh-CN"/>
              </w:rPr>
              <w:t>（照片粘贴与背面）</w:t>
            </w:r>
          </w:p>
        </w:tc>
      </w:tr>
      <w:tr w14:paraId="60C81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 w14:paraId="66EC98B0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  <w:r>
              <w:rPr>
                <w:rFonts w:hint="eastAsia" w:ascii="宋体" w:hAnsi="宋体" w:eastAsia="宋体"/>
                <w:szCs w:val="21"/>
                <w:lang w:val="zh-CN"/>
              </w:rPr>
              <w:t>养护</w:t>
            </w:r>
            <w:r>
              <w:rPr>
                <w:rFonts w:ascii="宋体" w:hAnsi="宋体" w:eastAsia="宋体"/>
                <w:szCs w:val="21"/>
                <w:lang w:val="zh-CN"/>
              </w:rPr>
              <w:t>责任单位</w:t>
            </w:r>
          </w:p>
        </w:tc>
        <w:tc>
          <w:tcPr>
            <w:tcW w:w="2698" w:type="dxa"/>
            <w:gridSpan w:val="2"/>
            <w:vAlign w:val="center"/>
          </w:tcPr>
          <w:p w14:paraId="0CB7B669">
            <w:pPr>
              <w:jc w:val="center"/>
              <w:rPr>
                <w:szCs w:val="21"/>
              </w:rPr>
            </w:pPr>
          </w:p>
        </w:tc>
        <w:tc>
          <w:tcPr>
            <w:tcW w:w="1383" w:type="dxa"/>
            <w:vAlign w:val="center"/>
          </w:tcPr>
          <w:p w14:paraId="41AD0C63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zh-CN"/>
              </w:rPr>
              <w:t>养护</w:t>
            </w:r>
            <w:r>
              <w:rPr>
                <w:rFonts w:ascii="宋体" w:hAnsi="宋体" w:eastAsia="宋体"/>
                <w:szCs w:val="21"/>
                <w:lang w:val="zh-CN"/>
              </w:rPr>
              <w:t>责任人</w:t>
            </w:r>
          </w:p>
        </w:tc>
        <w:tc>
          <w:tcPr>
            <w:tcW w:w="2766" w:type="dxa"/>
            <w:gridSpan w:val="2"/>
            <w:vAlign w:val="center"/>
          </w:tcPr>
          <w:p w14:paraId="391BCC69">
            <w:pPr>
              <w:jc w:val="center"/>
              <w:rPr>
                <w:szCs w:val="21"/>
              </w:rPr>
            </w:pPr>
          </w:p>
        </w:tc>
      </w:tr>
    </w:tbl>
    <w:p w14:paraId="7B759E26">
      <w:pPr>
        <w:rPr>
          <w:szCs w:val="2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53C02AB">
      <w:pPr>
        <w:pStyle w:val="33"/>
        <w:spacing w:line="240" w:lineRule="auto"/>
        <w:jc w:val="center"/>
        <w:outlineLvl w:val="0"/>
        <w:rPr>
          <w:rFonts w:ascii="黑体" w:hAnsi="黑体" w:eastAsia="黑体" w:cs="黑体"/>
          <w:b/>
          <w:bCs/>
          <w:sz w:val="24"/>
          <w:szCs w:val="24"/>
          <w:lang w:val="en-US" w:bidi="en-US"/>
        </w:rPr>
      </w:pPr>
      <w:bookmarkStart w:id="79" w:name="_Toc137156148"/>
      <w:r>
        <w:rPr>
          <w:rFonts w:hint="eastAsia" w:ascii="黑体" w:hAnsi="黑体" w:eastAsia="黑体" w:cs="黑体"/>
          <w:b/>
          <w:bCs/>
          <w:sz w:val="24"/>
          <w:szCs w:val="24"/>
          <w:lang w:val="en-US" w:bidi="en-US"/>
        </w:rPr>
        <w:t xml:space="preserve">附 录 </w:t>
      </w:r>
      <w:r>
        <w:rPr>
          <w:rFonts w:ascii="黑体" w:hAnsi="黑体" w:eastAsia="黑体" w:cs="黑体"/>
          <w:b/>
          <w:bCs/>
          <w:sz w:val="24"/>
          <w:szCs w:val="24"/>
          <w:lang w:val="en-US" w:bidi="en-US"/>
        </w:rPr>
        <w:t>H</w:t>
      </w:r>
      <w:bookmarkEnd w:id="79"/>
      <w:r>
        <w:rPr>
          <w:rFonts w:ascii="黑体" w:hAnsi="黑体" w:eastAsia="黑体" w:cs="黑体"/>
          <w:b/>
          <w:bCs/>
          <w:sz w:val="24"/>
          <w:szCs w:val="24"/>
          <w:lang w:val="en-US" w:bidi="en-US"/>
        </w:rPr>
        <w:t xml:space="preserve"> </w:t>
      </w:r>
    </w:p>
    <w:p w14:paraId="6FB3113C">
      <w:pPr>
        <w:spacing w:before="312" w:beforeLines="100" w:after="312" w:afterLines="100"/>
        <w:jc w:val="center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（资料性）</w:t>
      </w:r>
    </w:p>
    <w:p w14:paraId="45ABB935">
      <w:pPr>
        <w:spacing w:before="312" w:beforeLines="100" w:after="312" w:afterLines="100"/>
        <w:jc w:val="center"/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附录</w:t>
      </w:r>
      <w:r>
        <w:rPr>
          <w:rFonts w:ascii="黑体" w:hAnsi="黑体" w:eastAsia="黑体"/>
          <w:b/>
          <w:szCs w:val="21"/>
        </w:rPr>
        <w:t>H-1</w:t>
      </w:r>
      <w:r>
        <w:rPr>
          <w:rFonts w:hint="eastAsia" w:ascii="黑体" w:hAnsi="黑体" w:eastAsia="黑体"/>
          <w:b/>
          <w:szCs w:val="21"/>
        </w:rPr>
        <w:t xml:space="preserve"> 古树名木养护管理记录表</w:t>
      </w:r>
    </w:p>
    <w:p w14:paraId="75FF3328">
      <w:pPr>
        <w:ind w:left="14"/>
        <w:jc w:val="left"/>
        <w:rPr>
          <w:rFonts w:ascii="宋体" w:hAnsi="宋体" w:eastAsia="宋体"/>
          <w:szCs w:val="21"/>
          <w:lang w:val="zh-CN"/>
        </w:rPr>
      </w:pPr>
      <w:r>
        <w:rPr>
          <w:rFonts w:hint="eastAsia" w:ascii="宋体" w:hAnsi="宋体" w:eastAsia="宋体"/>
          <w:sz w:val="19"/>
          <w:szCs w:val="24"/>
          <w:lang w:val="zh-CN"/>
        </w:rPr>
        <w:t>填</w:t>
      </w:r>
      <w:r>
        <w:rPr>
          <w:rFonts w:hint="eastAsia" w:ascii="宋体" w:hAnsi="宋体" w:eastAsia="宋体"/>
          <w:szCs w:val="21"/>
          <w:lang w:val="zh-CN"/>
        </w:rPr>
        <w:t xml:space="preserve">表单位： </w:t>
      </w:r>
      <w:r>
        <w:rPr>
          <w:rFonts w:ascii="宋体" w:hAnsi="宋体" w:eastAsia="宋体"/>
          <w:szCs w:val="21"/>
          <w:lang w:val="zh-CN"/>
        </w:rPr>
        <w:t xml:space="preserve">                 </w:t>
      </w:r>
      <w:r>
        <w:rPr>
          <w:rFonts w:hint="eastAsia" w:ascii="宋体" w:hAnsi="宋体" w:eastAsia="宋体"/>
          <w:szCs w:val="21"/>
          <w:lang w:val="zh-CN"/>
        </w:rPr>
        <w:t xml:space="preserve">填表人： </w:t>
      </w:r>
      <w:r>
        <w:rPr>
          <w:rFonts w:ascii="宋体" w:hAnsi="宋体" w:eastAsia="宋体"/>
          <w:szCs w:val="21"/>
          <w:lang w:val="zh-CN"/>
        </w:rPr>
        <w:t xml:space="preserve">             </w:t>
      </w:r>
      <w:r>
        <w:rPr>
          <w:rFonts w:hint="eastAsia" w:ascii="宋体" w:hAnsi="宋体" w:eastAsia="宋体"/>
          <w:szCs w:val="21"/>
          <w:lang w:val="zh-CN"/>
        </w:rPr>
        <w:t>养护管理年度：</w:t>
      </w:r>
    </w:p>
    <w:tbl>
      <w:tblPr>
        <w:tblStyle w:val="16"/>
        <w:tblW w:w="9057" w:type="dxa"/>
        <w:tblInd w:w="-38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0"/>
        <w:gridCol w:w="2368"/>
        <w:gridCol w:w="1199"/>
        <w:gridCol w:w="240"/>
        <w:gridCol w:w="1038"/>
        <w:gridCol w:w="1417"/>
        <w:gridCol w:w="845"/>
      </w:tblGrid>
      <w:tr w14:paraId="011FEF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exact"/>
        </w:trPr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A2766">
            <w:pPr>
              <w:ind w:left="14"/>
              <w:jc w:val="center"/>
              <w:rPr>
                <w:rFonts w:ascii="宋体" w:hAnsi="宋体" w:eastAsia="宋体"/>
                <w:szCs w:val="21"/>
                <w:lang w:val="zh-CN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 xml:space="preserve">古树名木编号 </w:t>
            </w:r>
          </w:p>
        </w:tc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CC821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AFAB8">
            <w:pPr>
              <w:ind w:left="47"/>
              <w:jc w:val="center"/>
              <w:rPr>
                <w:rFonts w:ascii="宋体" w:hAnsi="宋体" w:eastAsia="宋体"/>
                <w:szCs w:val="21"/>
                <w:lang w:val="zh-CN"/>
              </w:rPr>
            </w:pPr>
            <w:r>
              <w:rPr>
                <w:rFonts w:hint="eastAsia" w:ascii="宋体" w:hAnsi="宋体" w:eastAsia="宋体"/>
                <w:szCs w:val="21"/>
                <w:lang w:val="zh-CN"/>
              </w:rPr>
              <w:t>树种名称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43CD853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  <w:tc>
          <w:tcPr>
            <w:tcW w:w="33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5E2523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</w:tr>
      <w:tr w14:paraId="370DE1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</w:trPr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BB40F">
            <w:pPr>
              <w:ind w:left="14"/>
              <w:jc w:val="center"/>
              <w:rPr>
                <w:rFonts w:ascii="Arial" w:hAnsi="Arial" w:eastAsia="宋体"/>
                <w:w w:val="132"/>
                <w:szCs w:val="21"/>
                <w:lang w:val="zh-CN"/>
              </w:rPr>
            </w:pPr>
            <w:r>
              <w:rPr>
                <w:rFonts w:hint="eastAsia" w:ascii="宋体" w:hAnsi="宋体" w:eastAsia="宋体"/>
                <w:szCs w:val="21"/>
                <w:lang w:val="zh-CN"/>
              </w:rPr>
              <w:t>古树级别</w:t>
            </w:r>
          </w:p>
        </w:tc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4882C">
            <w:pPr>
              <w:jc w:val="center"/>
              <w:rPr>
                <w:rFonts w:ascii="Arial" w:hAnsi="Arial" w:eastAsia="宋体"/>
                <w:w w:val="132"/>
                <w:szCs w:val="21"/>
                <w:lang w:val="zh-CN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D8947">
            <w:pPr>
              <w:jc w:val="center"/>
              <w:rPr>
                <w:rFonts w:ascii="Arial" w:hAnsi="Arial" w:eastAsia="宋体"/>
                <w:w w:val="132"/>
                <w:szCs w:val="21"/>
                <w:lang w:val="zh-CN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树高</w:t>
            </w:r>
            <w:r>
              <w:rPr>
                <w:rFonts w:ascii="Arial" w:hAnsi="Arial" w:eastAsia="宋体"/>
                <w:w w:val="132"/>
                <w:szCs w:val="21"/>
                <w:lang w:val="zh-CN"/>
              </w:rPr>
              <w:t>(m)</w:t>
            </w: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6544BD">
            <w:pPr>
              <w:jc w:val="center"/>
              <w:rPr>
                <w:rFonts w:ascii="Arial" w:hAnsi="Arial" w:eastAsia="宋体"/>
                <w:w w:val="132"/>
                <w:szCs w:val="21"/>
                <w:lang w:val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79B57">
            <w:pPr>
              <w:jc w:val="center"/>
              <w:rPr>
                <w:rFonts w:ascii="Arial" w:hAnsi="Arial" w:eastAsia="宋体"/>
                <w:w w:val="132"/>
                <w:szCs w:val="21"/>
                <w:lang w:val="zh-CN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胸径</w:t>
            </w:r>
            <w:r>
              <w:rPr>
                <w:rFonts w:ascii="Arial" w:hAnsi="Arial" w:eastAsia="宋体"/>
                <w:w w:val="132"/>
                <w:szCs w:val="21"/>
                <w:lang w:val="zh-CN"/>
              </w:rPr>
              <w:t>(cm)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6A6E9">
            <w:pPr>
              <w:jc w:val="center"/>
              <w:rPr>
                <w:rFonts w:ascii="Arial" w:hAnsi="Arial" w:eastAsia="宋体"/>
                <w:w w:val="132"/>
                <w:szCs w:val="21"/>
                <w:lang w:val="zh-CN"/>
              </w:rPr>
            </w:pPr>
          </w:p>
        </w:tc>
      </w:tr>
      <w:tr w14:paraId="0ACB51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</w:trPr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067CD">
            <w:pPr>
              <w:ind w:left="513"/>
              <w:rPr>
                <w:rFonts w:ascii="宋体" w:hAnsi="宋体" w:eastAsia="宋体"/>
                <w:szCs w:val="21"/>
                <w:lang w:val="zh-CN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 xml:space="preserve">生长地点 </w:t>
            </w:r>
          </w:p>
        </w:tc>
        <w:tc>
          <w:tcPr>
            <w:tcW w:w="71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C10BF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</w:tr>
      <w:tr w14:paraId="6C2C3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exact"/>
        </w:trPr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7D74C">
            <w:pPr>
              <w:rPr>
                <w:rFonts w:ascii="宋体" w:hAnsi="宋体" w:eastAsia="宋体"/>
                <w:szCs w:val="21"/>
                <w:lang w:val="zh-CN"/>
              </w:rPr>
            </w:pPr>
            <w:r>
              <w:rPr>
                <w:rFonts w:hint="eastAsia" w:eastAsia="宋体"/>
                <w:w w:val="106"/>
                <w:szCs w:val="21"/>
              </w:rPr>
              <w:t xml:space="preserve">     </w:t>
            </w:r>
            <w:r>
              <w:rPr>
                <w:rFonts w:eastAsia="宋体"/>
                <w:w w:val="106"/>
                <w:szCs w:val="21"/>
                <w:lang w:val="zh-CN"/>
              </w:rPr>
              <w:t>生长势</w:t>
            </w:r>
          </w:p>
        </w:tc>
        <w:tc>
          <w:tcPr>
            <w:tcW w:w="71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8BDF4">
            <w:pPr>
              <w:jc w:val="center"/>
              <w:rPr>
                <w:rFonts w:eastAsia="宋体"/>
                <w:w w:val="106"/>
                <w:szCs w:val="21"/>
                <w:lang w:val="zh-CN"/>
              </w:rPr>
            </w:pPr>
            <w:r>
              <w:rPr>
                <w:rFonts w:eastAsia="宋体"/>
                <w:w w:val="125"/>
                <w:sz w:val="18"/>
                <w:szCs w:val="18"/>
                <w:lang w:val="zh-CN"/>
              </w:rPr>
              <w:t>(</w:t>
            </w:r>
            <w:r>
              <w:rPr>
                <w:rFonts w:hint="eastAsia" w:ascii="宋体" w:hAnsi="宋体" w:eastAsia="宋体"/>
                <w:szCs w:val="21"/>
                <w:lang w:val="zh-CN"/>
              </w:rPr>
              <w:t>1)正常</w:t>
            </w: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val="zh-CN"/>
              </w:rPr>
              <w:t>(2)衰弱</w:t>
            </w: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val="zh-CN"/>
              </w:rPr>
              <w:t>(3)濒危</w:t>
            </w: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  <w:lang w:val="zh-CN"/>
              </w:rPr>
              <w:t>(4)死亡</w:t>
            </w:r>
          </w:p>
        </w:tc>
      </w:tr>
      <w:tr w14:paraId="324F8E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</w:trPr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62972">
            <w:pPr>
              <w:ind w:left="14"/>
              <w:jc w:val="center"/>
              <w:rPr>
                <w:rFonts w:ascii="宋体" w:hAnsi="宋体" w:eastAsia="宋体"/>
                <w:szCs w:val="21"/>
                <w:lang w:val="zh-CN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 xml:space="preserve">时间 </w:t>
            </w:r>
          </w:p>
        </w:tc>
        <w:tc>
          <w:tcPr>
            <w:tcW w:w="71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B5D0A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  <w:r>
              <w:rPr>
                <w:rFonts w:hint="eastAsia" w:ascii="宋体" w:hAnsi="宋体" w:eastAsia="宋体"/>
                <w:szCs w:val="21"/>
                <w:lang w:val="zh-CN"/>
              </w:rPr>
              <w:t>养护管理措施</w:t>
            </w:r>
          </w:p>
        </w:tc>
      </w:tr>
      <w:tr w14:paraId="619424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</w:trPr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517CE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  <w:tc>
          <w:tcPr>
            <w:tcW w:w="71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243ED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</w:tr>
      <w:tr w14:paraId="2F18F0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</w:trPr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8337C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  <w:tc>
          <w:tcPr>
            <w:tcW w:w="71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C0067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</w:tr>
      <w:tr w14:paraId="57A3F2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</w:trPr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3EEBE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  <w:tc>
          <w:tcPr>
            <w:tcW w:w="71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78342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</w:tr>
      <w:tr w14:paraId="02B932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</w:trPr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82807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  <w:tc>
          <w:tcPr>
            <w:tcW w:w="71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1E93A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</w:tr>
      <w:tr w14:paraId="4F2372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</w:trPr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6AB3B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  <w:tc>
          <w:tcPr>
            <w:tcW w:w="71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E6BAB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</w:tr>
      <w:tr w14:paraId="625C78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</w:trPr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91FB1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  <w:tc>
          <w:tcPr>
            <w:tcW w:w="71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8860D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</w:tr>
      <w:tr w14:paraId="05D101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</w:trPr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3423B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  <w:tc>
          <w:tcPr>
            <w:tcW w:w="71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20CAB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</w:tr>
      <w:tr w14:paraId="719F01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</w:trPr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88435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  <w:tc>
          <w:tcPr>
            <w:tcW w:w="71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8E776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</w:tr>
      <w:tr w14:paraId="07E743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</w:trPr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FAD50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  <w:tc>
          <w:tcPr>
            <w:tcW w:w="71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811F4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</w:tr>
      <w:tr w14:paraId="7F8A2B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</w:trPr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FC363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  <w:tc>
          <w:tcPr>
            <w:tcW w:w="71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FB95F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</w:tr>
      <w:tr w14:paraId="2314F1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8" w:hRule="exact"/>
        </w:trPr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854C9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  <w:r>
              <w:rPr>
                <w:rFonts w:ascii="宋体" w:hAnsi="宋体" w:eastAsia="宋体"/>
                <w:w w:val="125"/>
                <w:szCs w:val="21"/>
                <w:lang w:val="zh-CN"/>
              </w:rPr>
              <w:t>备注</w:t>
            </w:r>
          </w:p>
        </w:tc>
        <w:tc>
          <w:tcPr>
            <w:tcW w:w="71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B1F22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  <w:p w14:paraId="7E4CDD3B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  <w:p w14:paraId="5B7701A3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  <w:p w14:paraId="0B1D2D68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</w:tr>
    </w:tbl>
    <w:p w14:paraId="52584829">
      <w:pPr>
        <w:jc w:val="left"/>
        <w:rPr>
          <w:rFonts w:ascii="仿宋" w:hAnsi="仿宋" w:eastAsia="仿宋"/>
          <w:color w:val="FF0000"/>
          <w:szCs w:val="21"/>
        </w:rPr>
      </w:pPr>
    </w:p>
    <w:p w14:paraId="7B6B7709">
      <w:pPr>
        <w:jc w:val="left"/>
        <w:rPr>
          <w:rFonts w:ascii="仿宋" w:hAnsi="仿宋" w:eastAsia="仿宋"/>
          <w:color w:val="FF0000"/>
          <w:szCs w:val="21"/>
        </w:rPr>
        <w:sectPr>
          <w:pgSz w:w="11906" w:h="16838"/>
          <w:pgMar w:top="1440" w:right="1797" w:bottom="1440" w:left="1797" w:header="851" w:footer="992" w:gutter="0"/>
          <w:cols w:space="425" w:num="1"/>
          <w:docGrid w:type="lines" w:linePitch="312" w:charSpace="0"/>
        </w:sectPr>
      </w:pPr>
    </w:p>
    <w:p w14:paraId="0B3384D2">
      <w:pPr>
        <w:pStyle w:val="33"/>
        <w:spacing w:line="240" w:lineRule="auto"/>
        <w:jc w:val="center"/>
        <w:rPr>
          <w:rFonts w:ascii="黑体" w:hAnsi="黑体" w:eastAsia="黑体" w:cs="黑体"/>
          <w:b/>
          <w:bCs/>
          <w:sz w:val="24"/>
          <w:szCs w:val="24"/>
          <w:lang w:val="en-US" w:bidi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附 录</w:t>
      </w:r>
      <w:r>
        <w:rPr>
          <w:rFonts w:ascii="黑体" w:hAnsi="黑体" w:eastAsia="黑体" w:cs="黑体"/>
          <w:b/>
          <w:bCs/>
          <w:sz w:val="24"/>
          <w:szCs w:val="24"/>
          <w:lang w:val="en-US"/>
        </w:rPr>
        <w:t>H</w:t>
      </w:r>
    </w:p>
    <w:p w14:paraId="50A36893">
      <w:pPr>
        <w:spacing w:before="312" w:beforeLines="100" w:after="312" w:afterLines="100"/>
        <w:jc w:val="center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（资料性）</w:t>
      </w:r>
    </w:p>
    <w:p w14:paraId="09EFB31C">
      <w:pPr>
        <w:spacing w:before="312" w:beforeLines="100" w:after="312" w:afterLines="100"/>
        <w:jc w:val="center"/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附录</w:t>
      </w:r>
      <w:r>
        <w:rPr>
          <w:rFonts w:ascii="黑体" w:hAnsi="黑体" w:eastAsia="黑体"/>
          <w:b/>
          <w:szCs w:val="21"/>
        </w:rPr>
        <w:t>H-2</w:t>
      </w:r>
      <w:r>
        <w:rPr>
          <w:rFonts w:hint="eastAsia" w:ascii="黑体" w:hAnsi="黑体" w:eastAsia="黑体"/>
          <w:b/>
          <w:szCs w:val="21"/>
        </w:rPr>
        <w:t>古树名木巡查记录表</w:t>
      </w:r>
    </w:p>
    <w:p w14:paraId="4EAB8F6F">
      <w:pPr>
        <w:ind w:left="14"/>
        <w:jc w:val="left"/>
        <w:rPr>
          <w:rFonts w:ascii="仿宋" w:hAnsi="仿宋" w:eastAsia="宋体"/>
          <w:color w:val="FF0000"/>
          <w:szCs w:val="21"/>
        </w:rPr>
      </w:pPr>
      <w:r>
        <w:rPr>
          <w:rFonts w:hint="eastAsia" w:ascii="宋体" w:hAnsi="宋体" w:eastAsia="宋体"/>
          <w:szCs w:val="21"/>
          <w:lang w:val="zh-CN"/>
        </w:rPr>
        <w:t xml:space="preserve">填表单位： </w:t>
      </w:r>
      <w:r>
        <w:rPr>
          <w:rFonts w:ascii="宋体" w:hAnsi="宋体" w:eastAsia="宋体"/>
          <w:szCs w:val="21"/>
          <w:lang w:val="zh-CN"/>
        </w:rPr>
        <w:t xml:space="preserve">               </w:t>
      </w:r>
      <w:r>
        <w:rPr>
          <w:rFonts w:hint="eastAsia" w:ascii="宋体" w:hAnsi="宋体" w:eastAsia="宋体"/>
          <w:szCs w:val="21"/>
        </w:rPr>
        <w:t xml:space="preserve">            </w:t>
      </w:r>
      <w:r>
        <w:rPr>
          <w:rFonts w:ascii="宋体" w:hAnsi="宋体" w:eastAsia="宋体"/>
          <w:szCs w:val="21"/>
          <w:lang w:val="zh-CN"/>
        </w:rPr>
        <w:t xml:space="preserve">  </w:t>
      </w:r>
      <w:r>
        <w:rPr>
          <w:rFonts w:hint="eastAsia" w:ascii="宋体" w:hAnsi="宋体" w:eastAsia="宋体"/>
          <w:szCs w:val="21"/>
          <w:lang w:val="zh-CN"/>
        </w:rPr>
        <w:t>填表人：</w:t>
      </w:r>
      <w:r>
        <w:rPr>
          <w:rFonts w:hint="eastAsia" w:ascii="宋体" w:hAnsi="宋体" w:eastAsia="宋体"/>
          <w:szCs w:val="21"/>
        </w:rPr>
        <w:t xml:space="preserve">              时间：</w:t>
      </w:r>
    </w:p>
    <w:tbl>
      <w:tblPr>
        <w:tblStyle w:val="17"/>
        <w:tblW w:w="86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1423"/>
        <w:gridCol w:w="1299"/>
        <w:gridCol w:w="1714"/>
        <w:gridCol w:w="1163"/>
        <w:gridCol w:w="1192"/>
      </w:tblGrid>
      <w:tr w14:paraId="58A05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830" w:type="dxa"/>
            <w:vAlign w:val="center"/>
          </w:tcPr>
          <w:p w14:paraId="4B28AF5E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古树名木编号</w:t>
            </w:r>
          </w:p>
        </w:tc>
        <w:tc>
          <w:tcPr>
            <w:tcW w:w="2722" w:type="dxa"/>
            <w:gridSpan w:val="2"/>
            <w:vAlign w:val="center"/>
          </w:tcPr>
          <w:p w14:paraId="67F5BA24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  <w:tc>
          <w:tcPr>
            <w:tcW w:w="1714" w:type="dxa"/>
            <w:vAlign w:val="center"/>
          </w:tcPr>
          <w:p w14:paraId="704B0665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  <w:r>
              <w:rPr>
                <w:rFonts w:hint="eastAsia" w:ascii="宋体" w:hAnsi="宋体" w:eastAsia="宋体"/>
                <w:szCs w:val="21"/>
                <w:lang w:val="zh-CN"/>
              </w:rPr>
              <w:t>树种名称</w:t>
            </w:r>
          </w:p>
        </w:tc>
        <w:tc>
          <w:tcPr>
            <w:tcW w:w="2353" w:type="dxa"/>
            <w:gridSpan w:val="2"/>
            <w:vAlign w:val="center"/>
          </w:tcPr>
          <w:p w14:paraId="5EA85656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 w14:paraId="49A7A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830" w:type="dxa"/>
            <w:vAlign w:val="center"/>
          </w:tcPr>
          <w:p w14:paraId="65270C49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古树级别</w:t>
            </w:r>
          </w:p>
        </w:tc>
        <w:tc>
          <w:tcPr>
            <w:tcW w:w="1423" w:type="dxa"/>
            <w:vAlign w:val="center"/>
          </w:tcPr>
          <w:p w14:paraId="339D1BDE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  <w:tc>
          <w:tcPr>
            <w:tcW w:w="1299" w:type="dxa"/>
            <w:vAlign w:val="center"/>
          </w:tcPr>
          <w:p w14:paraId="2A8AD16B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树高</w:t>
            </w:r>
            <w:r>
              <w:rPr>
                <w:rFonts w:ascii="Arial" w:hAnsi="Arial" w:eastAsia="宋体"/>
                <w:w w:val="133"/>
                <w:szCs w:val="21"/>
                <w:lang w:val="zh-CN"/>
              </w:rPr>
              <w:t>(m)</w:t>
            </w:r>
          </w:p>
        </w:tc>
        <w:tc>
          <w:tcPr>
            <w:tcW w:w="1714" w:type="dxa"/>
            <w:vAlign w:val="center"/>
          </w:tcPr>
          <w:p w14:paraId="4B40C141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</w:p>
        </w:tc>
        <w:tc>
          <w:tcPr>
            <w:tcW w:w="1163" w:type="dxa"/>
            <w:vAlign w:val="center"/>
          </w:tcPr>
          <w:p w14:paraId="0EB5E005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胸径</w:t>
            </w:r>
            <w:r>
              <w:rPr>
                <w:rFonts w:ascii="Arial" w:hAnsi="Arial" w:eastAsia="宋体"/>
                <w:w w:val="133"/>
                <w:szCs w:val="21"/>
                <w:lang w:val="zh-CN"/>
              </w:rPr>
              <w:t>(cm)</w:t>
            </w:r>
          </w:p>
        </w:tc>
        <w:tc>
          <w:tcPr>
            <w:tcW w:w="1189" w:type="dxa"/>
            <w:vAlign w:val="center"/>
          </w:tcPr>
          <w:p w14:paraId="61C32E15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 w14:paraId="4EF36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830" w:type="dxa"/>
            <w:vAlign w:val="center"/>
          </w:tcPr>
          <w:p w14:paraId="30B4191E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生长地点</w:t>
            </w:r>
          </w:p>
        </w:tc>
        <w:tc>
          <w:tcPr>
            <w:tcW w:w="2722" w:type="dxa"/>
            <w:gridSpan w:val="2"/>
            <w:vAlign w:val="center"/>
          </w:tcPr>
          <w:p w14:paraId="67D75370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</w:p>
        </w:tc>
        <w:tc>
          <w:tcPr>
            <w:tcW w:w="1714" w:type="dxa"/>
            <w:vAlign w:val="center"/>
          </w:tcPr>
          <w:p w14:paraId="14BA7421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责任人</w:t>
            </w:r>
          </w:p>
        </w:tc>
        <w:tc>
          <w:tcPr>
            <w:tcW w:w="2353" w:type="dxa"/>
            <w:gridSpan w:val="2"/>
            <w:vAlign w:val="center"/>
          </w:tcPr>
          <w:p w14:paraId="1C106277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 w14:paraId="6021F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830" w:type="dxa"/>
            <w:vAlign w:val="center"/>
          </w:tcPr>
          <w:p w14:paraId="435CEF32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生长势</w:t>
            </w:r>
          </w:p>
        </w:tc>
        <w:tc>
          <w:tcPr>
            <w:tcW w:w="6791" w:type="dxa"/>
            <w:gridSpan w:val="5"/>
            <w:vAlign w:val="center"/>
          </w:tcPr>
          <w:p w14:paraId="394F3BD2">
            <w:pPr>
              <w:rPr>
                <w:rFonts w:ascii="仿宋" w:hAnsi="仿宋" w:eastAsia="仿宋"/>
                <w:color w:val="FF0000"/>
                <w:szCs w:val="21"/>
              </w:rPr>
            </w:pPr>
            <w:r>
              <w:rPr>
                <w:rFonts w:hint="eastAsia" w:eastAsia="宋体"/>
                <w:w w:val="125"/>
                <w:szCs w:val="21"/>
                <w:lang w:val="zh-CN"/>
              </w:rPr>
              <w:t>(1)正常 (2)衰弱 (3)濒危 (4)死亡</w:t>
            </w:r>
          </w:p>
        </w:tc>
      </w:tr>
      <w:tr w14:paraId="142BC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830" w:type="dxa"/>
            <w:vAlign w:val="center"/>
          </w:tcPr>
          <w:p w14:paraId="393A0934">
            <w:pPr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古树名木状况</w:t>
            </w:r>
          </w:p>
        </w:tc>
        <w:tc>
          <w:tcPr>
            <w:tcW w:w="6791" w:type="dxa"/>
            <w:gridSpan w:val="5"/>
            <w:vAlign w:val="center"/>
          </w:tcPr>
          <w:p w14:paraId="0C266C60">
            <w:pPr>
              <w:rPr>
                <w:rFonts w:ascii="仿宋" w:hAnsi="仿宋" w:eastAsia="仿宋"/>
                <w:color w:val="FF0000"/>
                <w:szCs w:val="21"/>
              </w:rPr>
            </w:pPr>
          </w:p>
          <w:p w14:paraId="38E7D557">
            <w:pPr>
              <w:rPr>
                <w:rFonts w:ascii="仿宋" w:hAnsi="仿宋" w:eastAsia="仿宋"/>
                <w:color w:val="FF0000"/>
                <w:szCs w:val="21"/>
              </w:rPr>
            </w:pPr>
          </w:p>
          <w:p w14:paraId="2319CF3B">
            <w:pPr>
              <w:rPr>
                <w:rFonts w:ascii="仿宋" w:hAnsi="仿宋" w:eastAsia="仿宋"/>
                <w:color w:val="FF0000"/>
                <w:szCs w:val="21"/>
              </w:rPr>
            </w:pPr>
          </w:p>
          <w:p w14:paraId="71809310">
            <w:pPr>
              <w:rPr>
                <w:rFonts w:ascii="仿宋" w:hAnsi="仿宋" w:eastAsia="仿宋"/>
                <w:color w:val="FF0000"/>
                <w:szCs w:val="21"/>
              </w:rPr>
            </w:pPr>
          </w:p>
          <w:p w14:paraId="15BC6FB0">
            <w:pPr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 w14:paraId="07258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830" w:type="dxa"/>
            <w:vAlign w:val="center"/>
          </w:tcPr>
          <w:p w14:paraId="40202ED7">
            <w:pPr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生境状况</w:t>
            </w:r>
          </w:p>
        </w:tc>
        <w:tc>
          <w:tcPr>
            <w:tcW w:w="6791" w:type="dxa"/>
            <w:gridSpan w:val="5"/>
            <w:vAlign w:val="center"/>
          </w:tcPr>
          <w:p w14:paraId="7F4E452F">
            <w:pPr>
              <w:rPr>
                <w:rFonts w:ascii="仿宋" w:hAnsi="仿宋" w:eastAsia="仿宋"/>
                <w:color w:val="FF0000"/>
                <w:szCs w:val="21"/>
              </w:rPr>
            </w:pPr>
          </w:p>
          <w:p w14:paraId="23700543">
            <w:pPr>
              <w:rPr>
                <w:rFonts w:ascii="仿宋" w:hAnsi="仿宋" w:eastAsia="仿宋"/>
                <w:color w:val="FF0000"/>
                <w:szCs w:val="21"/>
              </w:rPr>
            </w:pPr>
          </w:p>
          <w:p w14:paraId="18DBD11C">
            <w:pPr>
              <w:rPr>
                <w:rFonts w:ascii="仿宋" w:hAnsi="仿宋" w:eastAsia="仿宋"/>
                <w:color w:val="FF0000"/>
                <w:szCs w:val="21"/>
              </w:rPr>
            </w:pPr>
          </w:p>
          <w:p w14:paraId="5378D72C">
            <w:pPr>
              <w:rPr>
                <w:rFonts w:ascii="仿宋" w:hAnsi="仿宋" w:eastAsia="仿宋"/>
                <w:color w:val="FF0000"/>
                <w:szCs w:val="21"/>
              </w:rPr>
            </w:pPr>
          </w:p>
          <w:p w14:paraId="57E66520">
            <w:pPr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 w14:paraId="3BDFE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830" w:type="dxa"/>
            <w:vAlign w:val="center"/>
          </w:tcPr>
          <w:p w14:paraId="4FCE56DD">
            <w:pPr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设施状况</w:t>
            </w:r>
          </w:p>
        </w:tc>
        <w:tc>
          <w:tcPr>
            <w:tcW w:w="6791" w:type="dxa"/>
            <w:gridSpan w:val="5"/>
            <w:vAlign w:val="center"/>
          </w:tcPr>
          <w:p w14:paraId="06772581">
            <w:pPr>
              <w:rPr>
                <w:rFonts w:ascii="仿宋" w:hAnsi="仿宋" w:eastAsia="仿宋"/>
                <w:color w:val="FF0000"/>
                <w:szCs w:val="21"/>
              </w:rPr>
            </w:pPr>
          </w:p>
          <w:p w14:paraId="35915884">
            <w:pPr>
              <w:rPr>
                <w:rFonts w:ascii="仿宋" w:hAnsi="仿宋" w:eastAsia="仿宋"/>
                <w:color w:val="FF0000"/>
                <w:szCs w:val="21"/>
              </w:rPr>
            </w:pPr>
          </w:p>
          <w:p w14:paraId="753DA077">
            <w:pPr>
              <w:rPr>
                <w:rFonts w:ascii="仿宋" w:hAnsi="仿宋" w:eastAsia="仿宋"/>
                <w:color w:val="FF0000"/>
                <w:szCs w:val="21"/>
              </w:rPr>
            </w:pPr>
          </w:p>
          <w:p w14:paraId="5928C19F">
            <w:pPr>
              <w:rPr>
                <w:rFonts w:ascii="仿宋" w:hAnsi="仿宋" w:eastAsia="仿宋"/>
                <w:color w:val="FF0000"/>
                <w:szCs w:val="21"/>
              </w:rPr>
            </w:pPr>
          </w:p>
          <w:p w14:paraId="4CE8D51A">
            <w:pPr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 w14:paraId="154DA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830" w:type="dxa"/>
            <w:vAlign w:val="center"/>
          </w:tcPr>
          <w:p w14:paraId="4196AB6B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异常情况描述</w:t>
            </w:r>
          </w:p>
          <w:p w14:paraId="47992598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（附照</w:t>
            </w:r>
            <w:r>
              <w:rPr>
                <w:rFonts w:hint="eastAsia" w:ascii="宋体" w:hAnsi="宋体" w:eastAsia="宋体"/>
                <w:szCs w:val="21"/>
                <w:lang w:val="zh-CN"/>
              </w:rPr>
              <w:t>片）</w:t>
            </w:r>
          </w:p>
        </w:tc>
        <w:tc>
          <w:tcPr>
            <w:tcW w:w="6791" w:type="dxa"/>
            <w:gridSpan w:val="5"/>
            <w:vAlign w:val="center"/>
          </w:tcPr>
          <w:p w14:paraId="6DE0B53F">
            <w:pPr>
              <w:rPr>
                <w:rFonts w:ascii="仿宋" w:hAnsi="仿宋" w:eastAsia="仿宋"/>
                <w:color w:val="FF0000"/>
                <w:szCs w:val="21"/>
              </w:rPr>
            </w:pPr>
          </w:p>
          <w:p w14:paraId="54EC23DB">
            <w:pPr>
              <w:rPr>
                <w:rFonts w:ascii="仿宋" w:hAnsi="仿宋" w:eastAsia="仿宋"/>
                <w:color w:val="FF0000"/>
                <w:szCs w:val="21"/>
              </w:rPr>
            </w:pPr>
          </w:p>
          <w:p w14:paraId="632A687F">
            <w:pPr>
              <w:rPr>
                <w:rFonts w:ascii="仿宋" w:hAnsi="仿宋" w:eastAsia="仿宋"/>
                <w:color w:val="FF0000"/>
                <w:szCs w:val="21"/>
              </w:rPr>
            </w:pPr>
          </w:p>
          <w:p w14:paraId="04517C80">
            <w:pPr>
              <w:rPr>
                <w:rFonts w:ascii="仿宋" w:hAnsi="仿宋" w:eastAsia="仿宋"/>
                <w:color w:val="FF0000"/>
                <w:szCs w:val="21"/>
              </w:rPr>
            </w:pPr>
          </w:p>
          <w:p w14:paraId="4C41FC5F">
            <w:pPr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 w14:paraId="6E9F4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830" w:type="dxa"/>
            <w:vAlign w:val="center"/>
          </w:tcPr>
          <w:p w14:paraId="52486848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备注</w:t>
            </w:r>
          </w:p>
        </w:tc>
        <w:tc>
          <w:tcPr>
            <w:tcW w:w="6791" w:type="dxa"/>
            <w:gridSpan w:val="5"/>
            <w:vAlign w:val="center"/>
          </w:tcPr>
          <w:p w14:paraId="505039E4">
            <w:pPr>
              <w:rPr>
                <w:rFonts w:ascii="仿宋" w:hAnsi="仿宋" w:eastAsia="仿宋"/>
                <w:color w:val="FF0000"/>
                <w:szCs w:val="21"/>
              </w:rPr>
            </w:pPr>
          </w:p>
          <w:p w14:paraId="6C88FA55">
            <w:pPr>
              <w:rPr>
                <w:rFonts w:ascii="仿宋" w:hAnsi="仿宋" w:eastAsia="仿宋"/>
                <w:color w:val="FF0000"/>
                <w:szCs w:val="21"/>
              </w:rPr>
            </w:pPr>
          </w:p>
          <w:p w14:paraId="091B7684">
            <w:pPr>
              <w:rPr>
                <w:rFonts w:ascii="仿宋" w:hAnsi="仿宋" w:eastAsia="仿宋"/>
                <w:color w:val="FF0000"/>
                <w:szCs w:val="21"/>
              </w:rPr>
            </w:pPr>
          </w:p>
          <w:p w14:paraId="73250D69">
            <w:pPr>
              <w:rPr>
                <w:rFonts w:ascii="仿宋" w:hAnsi="仿宋" w:eastAsia="仿宋"/>
                <w:color w:val="FF0000"/>
                <w:szCs w:val="21"/>
              </w:rPr>
            </w:pPr>
          </w:p>
          <w:p w14:paraId="5FC82338">
            <w:pPr>
              <w:rPr>
                <w:rFonts w:ascii="仿宋" w:hAnsi="仿宋" w:eastAsia="仿宋"/>
                <w:color w:val="FF0000"/>
                <w:szCs w:val="21"/>
              </w:rPr>
            </w:pPr>
          </w:p>
          <w:p w14:paraId="2F8D046D">
            <w:pPr>
              <w:rPr>
                <w:rFonts w:ascii="仿宋" w:hAnsi="仿宋" w:eastAsia="仿宋"/>
                <w:color w:val="FF0000"/>
                <w:szCs w:val="21"/>
              </w:rPr>
            </w:pPr>
          </w:p>
          <w:p w14:paraId="2626EE33">
            <w:pPr>
              <w:rPr>
                <w:rFonts w:ascii="仿宋" w:hAnsi="仿宋" w:eastAsia="仿宋"/>
                <w:color w:val="FF0000"/>
                <w:szCs w:val="21"/>
              </w:rPr>
            </w:pPr>
          </w:p>
          <w:p w14:paraId="5CA627CD">
            <w:pPr>
              <w:rPr>
                <w:rFonts w:ascii="仿宋" w:hAnsi="仿宋" w:eastAsia="仿宋"/>
                <w:color w:val="FF0000"/>
                <w:szCs w:val="21"/>
              </w:rPr>
            </w:pPr>
          </w:p>
          <w:p w14:paraId="2A184AFF">
            <w:pPr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</w:tbl>
    <w:p w14:paraId="46D63662">
      <w:pPr>
        <w:jc w:val="left"/>
        <w:rPr>
          <w:rFonts w:ascii="仿宋" w:hAnsi="仿宋" w:eastAsia="仿宋"/>
          <w:color w:val="FF0000"/>
          <w:szCs w:val="21"/>
        </w:rPr>
      </w:pPr>
    </w:p>
    <w:p w14:paraId="2205C0B3">
      <w:pPr>
        <w:pStyle w:val="33"/>
        <w:spacing w:line="240" w:lineRule="auto"/>
        <w:jc w:val="center"/>
        <w:rPr>
          <w:rFonts w:ascii="黑体" w:hAnsi="黑体" w:eastAsia="黑体" w:cs="黑体"/>
          <w:b/>
          <w:bCs/>
          <w:sz w:val="24"/>
          <w:szCs w:val="24"/>
          <w:lang w:val="en-US" w:bidi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附 录</w:t>
      </w:r>
      <w:r>
        <w:rPr>
          <w:rFonts w:ascii="黑体" w:hAnsi="黑体" w:eastAsia="黑体" w:cs="黑体"/>
          <w:b/>
          <w:bCs/>
          <w:sz w:val="24"/>
          <w:szCs w:val="24"/>
          <w:lang w:val="en-US"/>
        </w:rPr>
        <w:t>H</w:t>
      </w:r>
    </w:p>
    <w:p w14:paraId="1C257825">
      <w:pPr>
        <w:spacing w:before="312" w:beforeLines="100" w:after="312" w:afterLines="100"/>
        <w:jc w:val="center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（资料性）</w:t>
      </w:r>
    </w:p>
    <w:p w14:paraId="7107D95C">
      <w:pPr>
        <w:spacing w:before="312" w:beforeLines="100" w:after="312" w:afterLines="100"/>
        <w:jc w:val="center"/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附录</w:t>
      </w:r>
      <w:r>
        <w:rPr>
          <w:rFonts w:ascii="黑体" w:hAnsi="黑体" w:eastAsia="黑体"/>
          <w:b/>
          <w:szCs w:val="21"/>
        </w:rPr>
        <w:t>H-</w:t>
      </w:r>
      <w:bookmarkStart w:id="80" w:name="_Hlk100913560"/>
      <w:r>
        <w:rPr>
          <w:rFonts w:ascii="黑体" w:hAnsi="黑体" w:eastAsia="黑体"/>
          <w:b/>
          <w:szCs w:val="21"/>
        </w:rPr>
        <w:t>3古树名木异常情况报告表</w:t>
      </w:r>
    </w:p>
    <w:bookmarkEnd w:id="80"/>
    <w:p w14:paraId="2EDAFDB2">
      <w:pPr>
        <w:ind w:left="14"/>
        <w:jc w:val="left"/>
        <w:rPr>
          <w:rFonts w:ascii="仿宋" w:hAnsi="仿宋" w:eastAsia="宋体"/>
          <w:szCs w:val="21"/>
        </w:rPr>
      </w:pPr>
      <w:r>
        <w:rPr>
          <w:rFonts w:hint="eastAsia" w:ascii="宋体" w:hAnsi="宋体" w:eastAsia="宋体"/>
          <w:sz w:val="19"/>
          <w:szCs w:val="24"/>
          <w:lang w:val="zh-CN"/>
        </w:rPr>
        <w:t>填</w:t>
      </w:r>
      <w:r>
        <w:rPr>
          <w:rFonts w:hint="eastAsia" w:ascii="宋体" w:hAnsi="宋体" w:eastAsia="宋体"/>
          <w:szCs w:val="21"/>
          <w:lang w:val="zh-CN"/>
        </w:rPr>
        <w:t xml:space="preserve">表单位： </w:t>
      </w:r>
      <w:r>
        <w:rPr>
          <w:rFonts w:ascii="宋体" w:hAnsi="宋体" w:eastAsia="宋体"/>
          <w:szCs w:val="21"/>
          <w:lang w:val="zh-CN"/>
        </w:rPr>
        <w:t xml:space="preserve">                </w:t>
      </w:r>
      <w:r>
        <w:rPr>
          <w:rFonts w:hint="eastAsia" w:ascii="宋体" w:hAnsi="宋体" w:eastAsia="宋体"/>
          <w:szCs w:val="21"/>
        </w:rPr>
        <w:t xml:space="preserve">      </w:t>
      </w:r>
      <w:r>
        <w:rPr>
          <w:rFonts w:hint="eastAsia" w:ascii="宋体" w:hAnsi="宋体" w:eastAsia="宋体"/>
          <w:szCs w:val="21"/>
          <w:lang w:val="zh-CN"/>
        </w:rPr>
        <w:t>填表人：</w:t>
      </w:r>
      <w:r>
        <w:rPr>
          <w:rFonts w:hint="eastAsia" w:ascii="宋体" w:hAnsi="宋体" w:eastAsia="宋体"/>
          <w:szCs w:val="21"/>
        </w:rPr>
        <w:t xml:space="preserve">         时间：</w:t>
      </w:r>
    </w:p>
    <w:tbl>
      <w:tblPr>
        <w:tblStyle w:val="17"/>
        <w:tblW w:w="86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9"/>
        <w:gridCol w:w="1423"/>
        <w:gridCol w:w="1295"/>
        <w:gridCol w:w="1713"/>
        <w:gridCol w:w="1156"/>
        <w:gridCol w:w="1191"/>
      </w:tblGrid>
      <w:tr w14:paraId="6395C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29" w:type="dxa"/>
            <w:vAlign w:val="center"/>
          </w:tcPr>
          <w:p w14:paraId="04CF3471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古树名木编号</w:t>
            </w:r>
          </w:p>
        </w:tc>
        <w:tc>
          <w:tcPr>
            <w:tcW w:w="2718" w:type="dxa"/>
            <w:gridSpan w:val="2"/>
            <w:vAlign w:val="center"/>
          </w:tcPr>
          <w:p w14:paraId="03C580FE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  <w:tc>
          <w:tcPr>
            <w:tcW w:w="1713" w:type="dxa"/>
            <w:vAlign w:val="center"/>
          </w:tcPr>
          <w:p w14:paraId="223CE331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  <w:r>
              <w:rPr>
                <w:rFonts w:hint="eastAsia" w:ascii="宋体" w:hAnsi="宋体" w:eastAsia="宋体"/>
                <w:szCs w:val="21"/>
                <w:lang w:val="zh-CN"/>
              </w:rPr>
              <w:t>树种名称</w:t>
            </w:r>
          </w:p>
        </w:tc>
        <w:tc>
          <w:tcPr>
            <w:tcW w:w="2347" w:type="dxa"/>
            <w:gridSpan w:val="2"/>
            <w:vAlign w:val="center"/>
          </w:tcPr>
          <w:p w14:paraId="23F6CCDE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 w14:paraId="5547B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29" w:type="dxa"/>
            <w:vAlign w:val="center"/>
          </w:tcPr>
          <w:p w14:paraId="78B8242E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古树级别</w:t>
            </w:r>
          </w:p>
        </w:tc>
        <w:tc>
          <w:tcPr>
            <w:tcW w:w="1423" w:type="dxa"/>
            <w:vAlign w:val="center"/>
          </w:tcPr>
          <w:p w14:paraId="323AE6B9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</w:tc>
        <w:tc>
          <w:tcPr>
            <w:tcW w:w="1294" w:type="dxa"/>
            <w:vAlign w:val="center"/>
          </w:tcPr>
          <w:p w14:paraId="58EE99A9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树高</w:t>
            </w:r>
            <w:r>
              <w:rPr>
                <w:rFonts w:ascii="Arial" w:hAnsi="Arial" w:eastAsia="宋体"/>
                <w:w w:val="133"/>
                <w:szCs w:val="21"/>
                <w:lang w:val="zh-CN"/>
              </w:rPr>
              <w:t>(m)</w:t>
            </w:r>
          </w:p>
        </w:tc>
        <w:tc>
          <w:tcPr>
            <w:tcW w:w="1713" w:type="dxa"/>
            <w:vAlign w:val="center"/>
          </w:tcPr>
          <w:p w14:paraId="4F072FD6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</w:p>
        </w:tc>
        <w:tc>
          <w:tcPr>
            <w:tcW w:w="1156" w:type="dxa"/>
            <w:vAlign w:val="center"/>
          </w:tcPr>
          <w:p w14:paraId="4D525B17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胸径</w:t>
            </w:r>
            <w:r>
              <w:rPr>
                <w:rFonts w:ascii="Arial" w:hAnsi="Arial" w:eastAsia="宋体"/>
                <w:w w:val="133"/>
                <w:szCs w:val="21"/>
                <w:lang w:val="zh-CN"/>
              </w:rPr>
              <w:t>(cm)</w:t>
            </w:r>
          </w:p>
        </w:tc>
        <w:tc>
          <w:tcPr>
            <w:tcW w:w="1190" w:type="dxa"/>
            <w:vAlign w:val="center"/>
          </w:tcPr>
          <w:p w14:paraId="362BF044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 w14:paraId="1BBE1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29" w:type="dxa"/>
            <w:vAlign w:val="center"/>
          </w:tcPr>
          <w:p w14:paraId="1F5ACD7A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生长地点</w:t>
            </w:r>
          </w:p>
        </w:tc>
        <w:tc>
          <w:tcPr>
            <w:tcW w:w="2718" w:type="dxa"/>
            <w:gridSpan w:val="2"/>
            <w:vAlign w:val="center"/>
          </w:tcPr>
          <w:p w14:paraId="4A1F3DCA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</w:p>
        </w:tc>
        <w:tc>
          <w:tcPr>
            <w:tcW w:w="1713" w:type="dxa"/>
            <w:vAlign w:val="center"/>
          </w:tcPr>
          <w:p w14:paraId="28C3101F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责任人</w:t>
            </w:r>
          </w:p>
        </w:tc>
        <w:tc>
          <w:tcPr>
            <w:tcW w:w="2347" w:type="dxa"/>
            <w:gridSpan w:val="2"/>
            <w:vAlign w:val="center"/>
          </w:tcPr>
          <w:p w14:paraId="4DD7B39D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 w14:paraId="79DB8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29" w:type="dxa"/>
          </w:tcPr>
          <w:p w14:paraId="739FEF5F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  <w:p w14:paraId="4FF1A624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  <w:p w14:paraId="0D010A56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  <w:p w14:paraId="0298164E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  <w:p w14:paraId="43BBD320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zh-CN"/>
              </w:rPr>
              <w:t>异常情况</w:t>
            </w:r>
          </w:p>
        </w:tc>
        <w:tc>
          <w:tcPr>
            <w:tcW w:w="6778" w:type="dxa"/>
            <w:gridSpan w:val="5"/>
          </w:tcPr>
          <w:p w14:paraId="13268BA4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66CDC7C8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12308215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5DF9E89D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1B8B94C6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70829926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11C68369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2B6B45BC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3AA8095D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4FF3C82F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 w14:paraId="1A7BF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29" w:type="dxa"/>
          </w:tcPr>
          <w:p w14:paraId="6AB1DAE0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  <w:p w14:paraId="401EE2FE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  <w:p w14:paraId="43F93646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  <w:p w14:paraId="187335BC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  <w:p w14:paraId="22C9E3EF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  <w:p w14:paraId="08F25BC5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  <w:r>
              <w:rPr>
                <w:rFonts w:hint="eastAsia" w:ascii="宋体" w:hAnsi="宋体" w:eastAsia="宋体"/>
                <w:szCs w:val="21"/>
                <w:lang w:val="zh-CN"/>
              </w:rPr>
              <w:t>主管部门</w:t>
            </w:r>
          </w:p>
          <w:p w14:paraId="6819505B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zh-CN"/>
              </w:rPr>
              <w:t>处理意见</w:t>
            </w:r>
          </w:p>
        </w:tc>
        <w:tc>
          <w:tcPr>
            <w:tcW w:w="6778" w:type="dxa"/>
            <w:gridSpan w:val="5"/>
          </w:tcPr>
          <w:p w14:paraId="67C2EDFB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675CD8A6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7CBAF047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6A539D10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7126C0E7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46F5F51F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266C4B71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Cs w:val="21"/>
              </w:rPr>
              <w:t xml:space="preserve"> </w:t>
            </w:r>
          </w:p>
          <w:p w14:paraId="490C17CE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2E2B24DA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64345DC3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47B591D4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 w14:paraId="64A65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29" w:type="dxa"/>
          </w:tcPr>
          <w:p w14:paraId="4E8D71C8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  <w:p w14:paraId="720A7C9F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  <w:p w14:paraId="540D5149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  <w:p w14:paraId="3F6C90DA">
            <w:pPr>
              <w:jc w:val="center"/>
              <w:rPr>
                <w:rFonts w:ascii="宋体" w:hAnsi="宋体" w:eastAsia="宋体"/>
                <w:szCs w:val="21"/>
                <w:lang w:val="zh-CN"/>
              </w:rPr>
            </w:pPr>
          </w:p>
          <w:p w14:paraId="2D8A10E2">
            <w:pPr>
              <w:jc w:val="center"/>
              <w:rPr>
                <w:rFonts w:ascii="仿宋" w:hAnsi="仿宋" w:eastAsia="仿宋"/>
                <w:color w:val="FF0000"/>
                <w:szCs w:val="21"/>
              </w:rPr>
            </w:pPr>
            <w:r>
              <w:rPr>
                <w:rFonts w:ascii="宋体" w:hAnsi="宋体" w:eastAsia="宋体"/>
                <w:szCs w:val="21"/>
                <w:lang w:val="zh-CN"/>
              </w:rPr>
              <w:t>备注</w:t>
            </w:r>
          </w:p>
        </w:tc>
        <w:tc>
          <w:tcPr>
            <w:tcW w:w="6778" w:type="dxa"/>
            <w:gridSpan w:val="5"/>
          </w:tcPr>
          <w:p w14:paraId="3879F30A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7EF62B07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2491AFF4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26DCF388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31C17BD5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31826F6A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294AA3ED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5F3E712C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  <w:p w14:paraId="2EA319B8"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</w:tbl>
    <w:p w14:paraId="2ABEF9BB">
      <w:pPr>
        <w:pStyle w:val="33"/>
        <w:spacing w:line="240" w:lineRule="auto"/>
        <w:jc w:val="center"/>
        <w:rPr>
          <w:rFonts w:ascii="黑体" w:hAnsi="黑体" w:eastAsia="黑体" w:cs="黑体"/>
          <w:b/>
          <w:bCs/>
          <w:sz w:val="24"/>
          <w:szCs w:val="24"/>
        </w:rPr>
      </w:pPr>
    </w:p>
    <w:p w14:paraId="5DD04055">
      <w:pPr>
        <w:pStyle w:val="33"/>
        <w:spacing w:line="240" w:lineRule="auto"/>
        <w:jc w:val="center"/>
        <w:rPr>
          <w:rFonts w:ascii="黑体" w:hAnsi="黑体" w:eastAsia="黑体" w:cs="黑体"/>
          <w:b/>
          <w:bCs/>
          <w:sz w:val="24"/>
          <w:szCs w:val="24"/>
          <w:lang w:val="en-US" w:bidi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附 录</w:t>
      </w:r>
      <w:r>
        <w:rPr>
          <w:rFonts w:ascii="黑体" w:hAnsi="黑体" w:eastAsia="黑体" w:cs="黑体"/>
          <w:b/>
          <w:bCs/>
          <w:sz w:val="24"/>
          <w:szCs w:val="24"/>
          <w:lang w:val="en-US"/>
        </w:rPr>
        <w:t>H</w:t>
      </w:r>
    </w:p>
    <w:p w14:paraId="6FAE89AB">
      <w:pPr>
        <w:spacing w:before="312" w:beforeLines="100" w:after="312" w:afterLines="100"/>
        <w:jc w:val="center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（资料性）</w:t>
      </w:r>
    </w:p>
    <w:p w14:paraId="4A6965E1">
      <w:pPr>
        <w:spacing w:before="312" w:beforeLines="100" w:after="312" w:afterLines="100"/>
        <w:jc w:val="center"/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附录</w:t>
      </w:r>
      <w:r>
        <w:rPr>
          <w:rFonts w:ascii="黑体" w:hAnsi="黑体" w:eastAsia="黑体"/>
          <w:b/>
          <w:szCs w:val="21"/>
        </w:rPr>
        <w:t>H-4</w:t>
      </w:r>
      <w:r>
        <w:rPr>
          <w:rFonts w:hint="eastAsia" w:ascii="黑体" w:hAnsi="黑体" w:eastAsia="黑体"/>
          <w:b/>
          <w:szCs w:val="21"/>
        </w:rPr>
        <w:t>古树名木健康会诊表</w:t>
      </w:r>
    </w:p>
    <w:tbl>
      <w:tblPr>
        <w:tblStyle w:val="16"/>
        <w:tblW w:w="9072" w:type="dxa"/>
        <w:tblInd w:w="-3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7"/>
        <w:gridCol w:w="2691"/>
        <w:gridCol w:w="1959"/>
        <w:gridCol w:w="2535"/>
      </w:tblGrid>
      <w:tr w14:paraId="041EE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87" w:type="dxa"/>
            <w:vAlign w:val="center"/>
          </w:tcPr>
          <w:p w14:paraId="735DE496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所属分类</w:t>
            </w:r>
          </w:p>
        </w:tc>
        <w:tc>
          <w:tcPr>
            <w:tcW w:w="2691" w:type="dxa"/>
            <w:vAlign w:val="center"/>
          </w:tcPr>
          <w:p w14:paraId="763BFBD1">
            <w:pPr>
              <w:pStyle w:val="6"/>
              <w:spacing w:before="0" w:after="0" w:line="600" w:lineRule="exact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1959" w:type="dxa"/>
            <w:vAlign w:val="center"/>
          </w:tcPr>
          <w:p w14:paraId="1C4CA4E6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所属</w:t>
            </w:r>
            <w:r>
              <w:rPr>
                <w:rFonts w:hint="eastAsia" w:eastAsia="方正仿宋_GBK"/>
                <w:sz w:val="24"/>
              </w:rPr>
              <w:t>县（市、</w:t>
            </w:r>
            <w:r>
              <w:rPr>
                <w:rFonts w:ascii="Times New Roman" w:hAnsi="Times New Roman" w:eastAsia="方正仿宋_GBK"/>
                <w:sz w:val="24"/>
              </w:rPr>
              <w:t>区</w:t>
            </w:r>
            <w:r>
              <w:rPr>
                <w:rFonts w:hint="eastAsia" w:eastAsia="方正仿宋_GBK"/>
                <w:sz w:val="24"/>
              </w:rPr>
              <w:t>）</w:t>
            </w:r>
            <w:r>
              <w:rPr>
                <w:rFonts w:ascii="Times New Roman" w:hAnsi="Times New Roman" w:eastAsia="方正仿宋_GBK"/>
                <w:sz w:val="24"/>
              </w:rPr>
              <w:t>（县）</w:t>
            </w:r>
          </w:p>
        </w:tc>
        <w:tc>
          <w:tcPr>
            <w:tcW w:w="2535" w:type="dxa"/>
            <w:vAlign w:val="center"/>
          </w:tcPr>
          <w:p w14:paraId="50F35F80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 w14:paraId="1AD14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9072" w:type="dxa"/>
            <w:gridSpan w:val="4"/>
            <w:vAlign w:val="center"/>
          </w:tcPr>
          <w:p w14:paraId="7CD15622">
            <w:pPr>
              <w:spacing w:line="500" w:lineRule="exact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 w:val="24"/>
              </w:rPr>
              <w:t>树体状况:</w:t>
            </w:r>
            <w:r>
              <w:rPr>
                <w:rFonts w:hint="eastAsia" w:ascii="Times New Roman" w:hAnsi="Times New Roman" w:eastAsia="方正仿宋_GBK"/>
                <w:sz w:val="24"/>
              </w:rPr>
              <w:t xml:space="preserve"> </w:t>
            </w:r>
          </w:p>
        </w:tc>
      </w:tr>
      <w:tr w14:paraId="5118F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87" w:type="dxa"/>
            <w:vAlign w:val="center"/>
          </w:tcPr>
          <w:p w14:paraId="44CB9B75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古树名木编号</w:t>
            </w:r>
          </w:p>
        </w:tc>
        <w:tc>
          <w:tcPr>
            <w:tcW w:w="2691" w:type="dxa"/>
            <w:vAlign w:val="center"/>
          </w:tcPr>
          <w:p w14:paraId="3E655352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1959" w:type="dxa"/>
            <w:vAlign w:val="center"/>
          </w:tcPr>
          <w:p w14:paraId="6AF76F0C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树    种</w:t>
            </w:r>
          </w:p>
        </w:tc>
        <w:tc>
          <w:tcPr>
            <w:tcW w:w="2535" w:type="dxa"/>
            <w:vAlign w:val="center"/>
          </w:tcPr>
          <w:p w14:paraId="02114C12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 w14:paraId="24996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87" w:type="dxa"/>
            <w:vAlign w:val="center"/>
          </w:tcPr>
          <w:p w14:paraId="1ECF154D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古树</w:t>
            </w:r>
            <w:r>
              <w:rPr>
                <w:rFonts w:hint="eastAsia" w:ascii="Times New Roman" w:hAnsi="Times New Roman" w:eastAsia="方正仿宋_GBK"/>
                <w:sz w:val="24"/>
              </w:rPr>
              <w:t>等级</w:t>
            </w:r>
          </w:p>
        </w:tc>
        <w:tc>
          <w:tcPr>
            <w:tcW w:w="2691" w:type="dxa"/>
            <w:vAlign w:val="center"/>
          </w:tcPr>
          <w:p w14:paraId="217E1780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1959" w:type="dxa"/>
            <w:vAlign w:val="center"/>
          </w:tcPr>
          <w:p w14:paraId="4E2614FD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树龄</w:t>
            </w:r>
            <w:r>
              <w:rPr>
                <w:rFonts w:hint="eastAsia" w:ascii="Times New Roman" w:hAnsi="Times New Roman" w:eastAsia="方正仿宋_GBK"/>
                <w:sz w:val="24"/>
              </w:rPr>
              <w:t>（年）</w:t>
            </w:r>
          </w:p>
        </w:tc>
        <w:tc>
          <w:tcPr>
            <w:tcW w:w="2535" w:type="dxa"/>
            <w:vAlign w:val="center"/>
          </w:tcPr>
          <w:p w14:paraId="18D7BEED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 w14:paraId="72414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87" w:type="dxa"/>
            <w:vAlign w:val="center"/>
          </w:tcPr>
          <w:p w14:paraId="2D915CDA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胸径</w:t>
            </w:r>
            <w:r>
              <w:rPr>
                <w:rFonts w:hint="eastAsia" w:ascii="Times New Roman" w:hAnsi="Times New Roman" w:eastAsia="方正仿宋_GBK"/>
                <w:sz w:val="24"/>
              </w:rPr>
              <w:t>（cm）</w:t>
            </w:r>
          </w:p>
        </w:tc>
        <w:tc>
          <w:tcPr>
            <w:tcW w:w="2691" w:type="dxa"/>
            <w:vAlign w:val="center"/>
          </w:tcPr>
          <w:p w14:paraId="75032E32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1959" w:type="dxa"/>
            <w:vAlign w:val="center"/>
          </w:tcPr>
          <w:p w14:paraId="16E7921E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树高</w:t>
            </w:r>
            <w:r>
              <w:rPr>
                <w:rFonts w:hint="eastAsia" w:ascii="Times New Roman" w:hAnsi="Times New Roman" w:eastAsia="方正仿宋_GBK"/>
                <w:sz w:val="24"/>
              </w:rPr>
              <w:t>（m）</w:t>
            </w:r>
          </w:p>
        </w:tc>
        <w:tc>
          <w:tcPr>
            <w:tcW w:w="2535" w:type="dxa"/>
            <w:vAlign w:val="center"/>
          </w:tcPr>
          <w:p w14:paraId="5EA9528D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 w14:paraId="38928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87" w:type="dxa"/>
            <w:vAlign w:val="center"/>
          </w:tcPr>
          <w:p w14:paraId="617AABDB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冠幅</w:t>
            </w:r>
            <w:r>
              <w:rPr>
                <w:rFonts w:hint="eastAsia" w:ascii="Times New Roman" w:hAnsi="Times New Roman" w:eastAsia="方正仿宋_GBK"/>
                <w:sz w:val="24"/>
              </w:rPr>
              <w:t>（m）</w:t>
            </w:r>
          </w:p>
        </w:tc>
        <w:tc>
          <w:tcPr>
            <w:tcW w:w="7185" w:type="dxa"/>
            <w:gridSpan w:val="3"/>
            <w:vAlign w:val="center"/>
          </w:tcPr>
          <w:p w14:paraId="2215C7EF">
            <w:pPr>
              <w:spacing w:line="500" w:lineRule="exact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 xml:space="preserve">平均：  </w:t>
            </w:r>
            <w:r>
              <w:rPr>
                <w:rFonts w:ascii="Times New Roman" w:hAnsi="Times New Roman" w:eastAsia="方正仿宋_GBK"/>
                <w:sz w:val="24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sz w:val="24"/>
              </w:rPr>
              <w:t xml:space="preserve">   东西：</w:t>
            </w:r>
            <w:r>
              <w:rPr>
                <w:rFonts w:ascii="Times New Roman" w:hAnsi="Times New Roman" w:eastAsia="方正仿宋_GBK"/>
                <w:sz w:val="24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sz w:val="24"/>
              </w:rPr>
              <w:t xml:space="preserve">             南北：</w:t>
            </w:r>
            <w:r>
              <w:rPr>
                <w:rFonts w:ascii="Times New Roman" w:hAnsi="Times New Roman" w:eastAsia="方正仿宋_GBK"/>
                <w:sz w:val="24"/>
              </w:rPr>
              <w:t xml:space="preserve"> </w:t>
            </w:r>
          </w:p>
        </w:tc>
      </w:tr>
      <w:tr w14:paraId="76BFF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87" w:type="dxa"/>
            <w:vAlign w:val="center"/>
          </w:tcPr>
          <w:p w14:paraId="00FA12EC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生长位置</w:t>
            </w:r>
          </w:p>
        </w:tc>
        <w:tc>
          <w:tcPr>
            <w:tcW w:w="7185" w:type="dxa"/>
            <w:gridSpan w:val="3"/>
            <w:vAlign w:val="center"/>
          </w:tcPr>
          <w:p w14:paraId="4A17F200">
            <w:pPr>
              <w:spacing w:line="500" w:lineRule="exact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 xml:space="preserve"> </w:t>
            </w:r>
          </w:p>
        </w:tc>
      </w:tr>
      <w:tr w14:paraId="3E6A4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87" w:type="dxa"/>
            <w:vAlign w:val="center"/>
          </w:tcPr>
          <w:p w14:paraId="760FF256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经纬度坐标</w:t>
            </w:r>
          </w:p>
        </w:tc>
        <w:tc>
          <w:tcPr>
            <w:tcW w:w="7185" w:type="dxa"/>
            <w:gridSpan w:val="3"/>
            <w:vAlign w:val="center"/>
          </w:tcPr>
          <w:p w14:paraId="4F1708BB">
            <w:pPr>
              <w:spacing w:line="500" w:lineRule="exact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纵坐标：　　　　　　　　　　　　横坐标：</w:t>
            </w:r>
          </w:p>
        </w:tc>
      </w:tr>
      <w:tr w14:paraId="2AF64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87" w:type="dxa"/>
            <w:vAlign w:val="center"/>
          </w:tcPr>
          <w:p w14:paraId="750CB4D4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养护责任人</w:t>
            </w:r>
          </w:p>
        </w:tc>
        <w:tc>
          <w:tcPr>
            <w:tcW w:w="7185" w:type="dxa"/>
            <w:gridSpan w:val="3"/>
            <w:vAlign w:val="center"/>
          </w:tcPr>
          <w:p w14:paraId="7D80FB5B">
            <w:pPr>
              <w:spacing w:line="500" w:lineRule="exact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责任人：　　　　　　　　　　　　电话：</w:t>
            </w:r>
          </w:p>
        </w:tc>
      </w:tr>
      <w:tr w14:paraId="0E2DE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87" w:type="dxa"/>
            <w:vMerge w:val="restart"/>
            <w:vAlign w:val="center"/>
          </w:tcPr>
          <w:p w14:paraId="0B7EFA8E">
            <w:pPr>
              <w:spacing w:line="500" w:lineRule="exact"/>
              <w:jc w:val="center"/>
              <w:rPr>
                <w:b/>
                <w:bCs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 w:val="24"/>
              </w:rPr>
              <w:t>生长势状况</w:t>
            </w:r>
          </w:p>
          <w:p w14:paraId="7F842309">
            <w:pPr>
              <w:jc w:val="center"/>
            </w:pPr>
          </w:p>
        </w:tc>
        <w:tc>
          <w:tcPr>
            <w:tcW w:w="7185" w:type="dxa"/>
            <w:gridSpan w:val="3"/>
            <w:vAlign w:val="center"/>
          </w:tcPr>
          <w:p w14:paraId="59975986">
            <w:pPr>
              <w:spacing w:line="500" w:lineRule="exact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资源普查状况：①正常　　②衰弱　    ③濒危　　　　④死亡</w:t>
            </w:r>
          </w:p>
        </w:tc>
      </w:tr>
      <w:tr w14:paraId="5FBCB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87" w:type="dxa"/>
            <w:vMerge w:val="continue"/>
            <w:vAlign w:val="center"/>
          </w:tcPr>
          <w:p w14:paraId="28D04619"/>
        </w:tc>
        <w:tc>
          <w:tcPr>
            <w:tcW w:w="7185" w:type="dxa"/>
            <w:gridSpan w:val="3"/>
            <w:vAlign w:val="center"/>
          </w:tcPr>
          <w:p w14:paraId="4ED8ACE3">
            <w:pPr>
              <w:spacing w:line="500" w:lineRule="exact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本次会诊状况：①正常　　②衰弱　　　③濒危　　　  ④死亡</w:t>
            </w:r>
          </w:p>
        </w:tc>
      </w:tr>
      <w:tr w14:paraId="2FA14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87" w:type="dxa"/>
            <w:vAlign w:val="center"/>
          </w:tcPr>
          <w:p w14:paraId="43460CC9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叶片情况</w:t>
            </w:r>
          </w:p>
        </w:tc>
        <w:tc>
          <w:tcPr>
            <w:tcW w:w="7185" w:type="dxa"/>
            <w:gridSpan w:val="3"/>
            <w:vAlign w:val="center"/>
          </w:tcPr>
          <w:p w14:paraId="2E243933">
            <w:pPr>
              <w:spacing w:line="500" w:lineRule="exact"/>
              <w:rPr>
                <w:rFonts w:eastAsia="方正仿宋_GBK"/>
                <w:sz w:val="24"/>
              </w:rPr>
            </w:pPr>
          </w:p>
        </w:tc>
      </w:tr>
      <w:tr w14:paraId="29051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87" w:type="dxa"/>
            <w:vAlign w:val="center"/>
          </w:tcPr>
          <w:p w14:paraId="3AA4A606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枝条情况</w:t>
            </w:r>
          </w:p>
        </w:tc>
        <w:tc>
          <w:tcPr>
            <w:tcW w:w="7185" w:type="dxa"/>
            <w:gridSpan w:val="3"/>
            <w:vAlign w:val="center"/>
          </w:tcPr>
          <w:p w14:paraId="742F36A1">
            <w:pPr>
              <w:spacing w:line="500" w:lineRule="exact"/>
              <w:rPr>
                <w:rFonts w:eastAsia="方正仿宋_GBK"/>
                <w:sz w:val="24"/>
              </w:rPr>
            </w:pPr>
          </w:p>
        </w:tc>
      </w:tr>
      <w:tr w14:paraId="377CC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87" w:type="dxa"/>
            <w:vAlign w:val="center"/>
          </w:tcPr>
          <w:p w14:paraId="68D53A95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树干情况</w:t>
            </w:r>
          </w:p>
        </w:tc>
        <w:tc>
          <w:tcPr>
            <w:tcW w:w="7185" w:type="dxa"/>
            <w:gridSpan w:val="3"/>
            <w:vAlign w:val="center"/>
          </w:tcPr>
          <w:p w14:paraId="1563363E">
            <w:pPr>
              <w:spacing w:line="500" w:lineRule="exact"/>
              <w:rPr>
                <w:rFonts w:eastAsia="方正仿宋_GBK"/>
                <w:sz w:val="24"/>
              </w:rPr>
            </w:pPr>
          </w:p>
        </w:tc>
      </w:tr>
      <w:tr w14:paraId="1741E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87" w:type="dxa"/>
            <w:vAlign w:val="center"/>
          </w:tcPr>
          <w:p w14:paraId="6BDA8897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树根情况</w:t>
            </w:r>
          </w:p>
        </w:tc>
        <w:tc>
          <w:tcPr>
            <w:tcW w:w="7185" w:type="dxa"/>
            <w:gridSpan w:val="3"/>
            <w:vAlign w:val="center"/>
          </w:tcPr>
          <w:p w14:paraId="11B05D4E">
            <w:pPr>
              <w:spacing w:line="500" w:lineRule="exact"/>
              <w:rPr>
                <w:rFonts w:eastAsia="方正仿宋_GBK"/>
                <w:sz w:val="24"/>
              </w:rPr>
            </w:pPr>
          </w:p>
        </w:tc>
      </w:tr>
      <w:tr w14:paraId="4118E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87" w:type="dxa"/>
            <w:vAlign w:val="center"/>
          </w:tcPr>
          <w:p w14:paraId="2BB93738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主要数据指标</w:t>
            </w:r>
          </w:p>
        </w:tc>
        <w:tc>
          <w:tcPr>
            <w:tcW w:w="7185" w:type="dxa"/>
            <w:gridSpan w:val="3"/>
            <w:vAlign w:val="center"/>
          </w:tcPr>
          <w:p w14:paraId="79EE939B">
            <w:pPr>
              <w:spacing w:line="500" w:lineRule="exact"/>
              <w:rPr>
                <w:rFonts w:eastAsia="方正仿宋_GBK"/>
                <w:sz w:val="24"/>
              </w:rPr>
            </w:pPr>
          </w:p>
        </w:tc>
      </w:tr>
      <w:tr w14:paraId="2D442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87" w:type="dxa"/>
            <w:vMerge w:val="restart"/>
            <w:vAlign w:val="center"/>
          </w:tcPr>
          <w:p w14:paraId="3C7570CE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 w:val="24"/>
              </w:rPr>
              <w:t>生境状况</w:t>
            </w:r>
          </w:p>
        </w:tc>
        <w:tc>
          <w:tcPr>
            <w:tcW w:w="7185" w:type="dxa"/>
            <w:gridSpan w:val="3"/>
            <w:vAlign w:val="center"/>
          </w:tcPr>
          <w:p w14:paraId="3F28BA3F">
            <w:pPr>
              <w:spacing w:line="500" w:lineRule="exact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 xml:space="preserve">资源普查状况：①良好　　　　②差 </w:t>
            </w:r>
            <w:r>
              <w:rPr>
                <w:rFonts w:eastAsia="方正仿宋_GBK"/>
                <w:sz w:val="24"/>
              </w:rPr>
              <w:t xml:space="preserve">       </w:t>
            </w:r>
            <w:r>
              <w:rPr>
                <w:rFonts w:hint="eastAsia" w:eastAsia="方正仿宋_GBK"/>
                <w:sz w:val="24"/>
              </w:rPr>
              <w:t>③极差</w:t>
            </w:r>
          </w:p>
        </w:tc>
      </w:tr>
      <w:tr w14:paraId="298B2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87" w:type="dxa"/>
            <w:vMerge w:val="continue"/>
            <w:vAlign w:val="center"/>
          </w:tcPr>
          <w:p w14:paraId="16B74458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7185" w:type="dxa"/>
            <w:gridSpan w:val="3"/>
            <w:vAlign w:val="center"/>
          </w:tcPr>
          <w:p w14:paraId="68E0E9A8">
            <w:pPr>
              <w:spacing w:line="500" w:lineRule="exact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本次会诊状况：①良好　　　　②差　　　　③极差</w:t>
            </w:r>
          </w:p>
        </w:tc>
      </w:tr>
      <w:tr w14:paraId="4F0E3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87" w:type="dxa"/>
            <w:vAlign w:val="center"/>
          </w:tcPr>
          <w:p w14:paraId="5460765B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核心生境</w:t>
            </w:r>
          </w:p>
        </w:tc>
        <w:tc>
          <w:tcPr>
            <w:tcW w:w="7185" w:type="dxa"/>
            <w:gridSpan w:val="3"/>
            <w:vAlign w:val="center"/>
          </w:tcPr>
          <w:p w14:paraId="651BBCAD">
            <w:pPr>
              <w:spacing w:line="500" w:lineRule="exact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 xml:space="preserve"> </w:t>
            </w:r>
          </w:p>
        </w:tc>
      </w:tr>
      <w:tr w14:paraId="1D2F8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87" w:type="dxa"/>
            <w:vAlign w:val="center"/>
          </w:tcPr>
          <w:p w14:paraId="637D3482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缓冲生境</w:t>
            </w:r>
          </w:p>
        </w:tc>
        <w:tc>
          <w:tcPr>
            <w:tcW w:w="7185" w:type="dxa"/>
            <w:gridSpan w:val="3"/>
            <w:vAlign w:val="center"/>
          </w:tcPr>
          <w:p w14:paraId="3DE86C8D">
            <w:pPr>
              <w:spacing w:line="500" w:lineRule="exact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 xml:space="preserve"> </w:t>
            </w:r>
          </w:p>
          <w:p w14:paraId="1B2C58C1">
            <w:pPr>
              <w:spacing w:line="500" w:lineRule="exact"/>
              <w:rPr>
                <w:rFonts w:eastAsia="方正仿宋_GBK"/>
                <w:sz w:val="24"/>
              </w:rPr>
            </w:pPr>
          </w:p>
        </w:tc>
      </w:tr>
      <w:tr w14:paraId="57FF8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</w:trPr>
        <w:tc>
          <w:tcPr>
            <w:tcW w:w="1887" w:type="dxa"/>
            <w:vAlign w:val="center"/>
          </w:tcPr>
          <w:p w14:paraId="42E0FF81">
            <w:pPr>
              <w:spacing w:line="50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主要数据指标</w:t>
            </w:r>
          </w:p>
        </w:tc>
        <w:tc>
          <w:tcPr>
            <w:tcW w:w="7185" w:type="dxa"/>
            <w:gridSpan w:val="3"/>
            <w:vAlign w:val="center"/>
          </w:tcPr>
          <w:p w14:paraId="6B5818B1">
            <w:pPr>
              <w:spacing w:line="500" w:lineRule="exact"/>
              <w:rPr>
                <w:rFonts w:eastAsia="方正仿宋_GBK"/>
                <w:sz w:val="24"/>
              </w:rPr>
            </w:pPr>
          </w:p>
        </w:tc>
      </w:tr>
      <w:tr w14:paraId="72C7A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72" w:type="dxa"/>
            <w:gridSpan w:val="4"/>
            <w:vAlign w:val="center"/>
          </w:tcPr>
          <w:p w14:paraId="3B328D18">
            <w:pPr>
              <w:spacing w:line="500" w:lineRule="exact"/>
              <w:jc w:val="left"/>
              <w:rPr>
                <w:rFonts w:ascii="Times New Roman" w:hAnsi="Times New Roman" w:eastAsia="方正仿宋_GBK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 w:val="24"/>
              </w:rPr>
              <w:t>遭受自然灾害情况调查</w:t>
            </w:r>
          </w:p>
          <w:p w14:paraId="08E34AF6">
            <w:pPr>
              <w:pStyle w:val="7"/>
            </w:pPr>
          </w:p>
          <w:p w14:paraId="0164FFC5">
            <w:pPr>
              <w:pStyle w:val="7"/>
              <w:rPr>
                <w:rFonts w:ascii="Times New Roman" w:hAnsi="Times New Roman" w:eastAsia="方正仿宋_GBK"/>
                <w:b/>
                <w:bCs/>
              </w:rPr>
            </w:pPr>
          </w:p>
          <w:p w14:paraId="654173E1">
            <w:pPr>
              <w:pStyle w:val="7"/>
              <w:rPr>
                <w:rFonts w:ascii="Times New Roman" w:hAnsi="Times New Roman" w:eastAsia="方正仿宋_GBK"/>
                <w:b/>
                <w:bCs/>
              </w:rPr>
            </w:pPr>
          </w:p>
        </w:tc>
      </w:tr>
      <w:tr w14:paraId="5BAC3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exact"/>
        </w:trPr>
        <w:tc>
          <w:tcPr>
            <w:tcW w:w="9072" w:type="dxa"/>
            <w:gridSpan w:val="4"/>
          </w:tcPr>
          <w:p w14:paraId="289E8DCA">
            <w:pPr>
              <w:spacing w:line="500" w:lineRule="exact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情况描述：</w:t>
            </w:r>
          </w:p>
          <w:p w14:paraId="327F6F81">
            <w:pPr>
              <w:spacing w:line="500" w:lineRule="exact"/>
              <w:rPr>
                <w:rFonts w:eastAsia="方正仿宋_GBK"/>
                <w:sz w:val="24"/>
              </w:rPr>
            </w:pPr>
          </w:p>
          <w:p w14:paraId="109A7094">
            <w:pPr>
              <w:spacing w:line="500" w:lineRule="exact"/>
              <w:rPr>
                <w:rFonts w:eastAsia="方正仿宋_GBK"/>
                <w:sz w:val="24"/>
              </w:rPr>
            </w:pPr>
          </w:p>
          <w:p w14:paraId="5EE9981A">
            <w:pPr>
              <w:spacing w:line="500" w:lineRule="exact"/>
              <w:rPr>
                <w:rFonts w:eastAsia="方正仿宋_GBK"/>
                <w:sz w:val="24"/>
              </w:rPr>
            </w:pPr>
          </w:p>
          <w:p w14:paraId="4E95EE51">
            <w:pPr>
              <w:spacing w:line="500" w:lineRule="exact"/>
              <w:rPr>
                <w:rFonts w:eastAsia="方正仿宋_GBK"/>
                <w:sz w:val="24"/>
              </w:rPr>
            </w:pPr>
          </w:p>
          <w:p w14:paraId="221E2ECC">
            <w:pPr>
              <w:spacing w:line="500" w:lineRule="exact"/>
              <w:rPr>
                <w:rFonts w:eastAsia="方正仿宋_GBK"/>
                <w:sz w:val="24"/>
              </w:rPr>
            </w:pPr>
          </w:p>
        </w:tc>
      </w:tr>
      <w:tr w14:paraId="71C6E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72" w:type="dxa"/>
            <w:gridSpan w:val="4"/>
            <w:vAlign w:val="center"/>
          </w:tcPr>
          <w:p w14:paraId="22E86543">
            <w:pPr>
              <w:spacing w:line="500" w:lineRule="exact"/>
              <w:jc w:val="left"/>
              <w:rPr>
                <w:rFonts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 w:val="24"/>
              </w:rPr>
              <w:t>遭受人为损害情况调查</w:t>
            </w:r>
          </w:p>
        </w:tc>
      </w:tr>
      <w:tr w14:paraId="3FA6C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exact"/>
        </w:trPr>
        <w:tc>
          <w:tcPr>
            <w:tcW w:w="9072" w:type="dxa"/>
            <w:gridSpan w:val="4"/>
          </w:tcPr>
          <w:p w14:paraId="134D7BDD">
            <w:pPr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 xml:space="preserve">情况描述： </w:t>
            </w:r>
          </w:p>
        </w:tc>
      </w:tr>
      <w:tr w14:paraId="36E97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72" w:type="dxa"/>
            <w:gridSpan w:val="4"/>
            <w:vAlign w:val="center"/>
          </w:tcPr>
          <w:p w14:paraId="40B88546">
            <w:pPr>
              <w:spacing w:line="500" w:lineRule="exact"/>
              <w:jc w:val="left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b/>
                <w:bCs/>
                <w:sz w:val="24"/>
              </w:rPr>
              <w:t>其他情况调查</w:t>
            </w:r>
          </w:p>
        </w:tc>
      </w:tr>
      <w:tr w14:paraId="00507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exact"/>
        </w:trPr>
        <w:tc>
          <w:tcPr>
            <w:tcW w:w="9072" w:type="dxa"/>
            <w:gridSpan w:val="4"/>
          </w:tcPr>
          <w:p w14:paraId="14CAA7D8">
            <w:pPr>
              <w:spacing w:line="500" w:lineRule="exact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 xml:space="preserve">情况描述： </w:t>
            </w:r>
          </w:p>
        </w:tc>
      </w:tr>
      <w:tr w14:paraId="34875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exact"/>
        </w:trPr>
        <w:tc>
          <w:tcPr>
            <w:tcW w:w="1887" w:type="dxa"/>
            <w:vAlign w:val="center"/>
          </w:tcPr>
          <w:p w14:paraId="47CC7817">
            <w:pPr>
              <w:spacing w:line="500" w:lineRule="exact"/>
              <w:jc w:val="center"/>
              <w:rPr>
                <w:rFonts w:ascii="Times New Roman" w:hAnsi="Times New Roman" w:eastAsia="方正仿宋_GBK"/>
                <w:b/>
                <w:bCs/>
                <w:sz w:val="24"/>
              </w:rPr>
            </w:pPr>
            <w:r>
              <w:rPr>
                <w:rFonts w:eastAsia="方正仿宋_GBK"/>
                <w:b/>
                <w:bCs/>
                <w:sz w:val="24"/>
              </w:rPr>
              <w:t>相关照片</w:t>
            </w:r>
          </w:p>
        </w:tc>
        <w:tc>
          <w:tcPr>
            <w:tcW w:w="7185" w:type="dxa"/>
            <w:gridSpan w:val="3"/>
            <w:vAlign w:val="center"/>
          </w:tcPr>
          <w:p w14:paraId="66FCD769">
            <w:pPr>
              <w:spacing w:line="320" w:lineRule="exact"/>
            </w:pPr>
            <w:r>
              <w:rPr>
                <w:rFonts w:hint="eastAsia" w:eastAsia="方正仿宋_GBK"/>
                <w:sz w:val="24"/>
              </w:rPr>
              <w:t>树冠照片1</w:t>
            </w:r>
            <w:r>
              <w:rPr>
                <w:rFonts w:eastAsia="方正仿宋_GBK"/>
                <w:sz w:val="24"/>
              </w:rPr>
              <w:t>-2</w:t>
            </w:r>
            <w:r>
              <w:rPr>
                <w:rFonts w:hint="eastAsia" w:eastAsia="方正仿宋_GBK"/>
                <w:sz w:val="24"/>
              </w:rPr>
              <w:t>张；树干照片1</w:t>
            </w:r>
            <w:r>
              <w:rPr>
                <w:rFonts w:eastAsia="方正仿宋_GBK"/>
                <w:sz w:val="24"/>
              </w:rPr>
              <w:t>-2</w:t>
            </w:r>
            <w:r>
              <w:rPr>
                <w:rFonts w:hint="eastAsia" w:eastAsia="方正仿宋_GBK"/>
                <w:sz w:val="24"/>
              </w:rPr>
              <w:t>张；树洞照片1</w:t>
            </w:r>
            <w:r>
              <w:rPr>
                <w:rFonts w:eastAsia="方正仿宋_GBK"/>
                <w:sz w:val="24"/>
              </w:rPr>
              <w:t>-2</w:t>
            </w:r>
            <w:r>
              <w:rPr>
                <w:rFonts w:hint="eastAsia" w:eastAsia="方正仿宋_GBK"/>
                <w:sz w:val="24"/>
              </w:rPr>
              <w:t>张；树根照片1</w:t>
            </w:r>
            <w:r>
              <w:rPr>
                <w:rFonts w:eastAsia="方正仿宋_GBK"/>
                <w:sz w:val="24"/>
              </w:rPr>
              <w:t>-2</w:t>
            </w:r>
            <w:r>
              <w:rPr>
                <w:rFonts w:hint="eastAsia" w:eastAsia="方正仿宋_GBK"/>
                <w:sz w:val="24"/>
              </w:rPr>
              <w:t>张；生境照片</w:t>
            </w:r>
            <w:r>
              <w:rPr>
                <w:rFonts w:eastAsia="方正仿宋_GBK"/>
                <w:sz w:val="24"/>
              </w:rPr>
              <w:t>2-3</w:t>
            </w:r>
            <w:r>
              <w:rPr>
                <w:rFonts w:hint="eastAsia" w:eastAsia="方正仿宋_GBK"/>
                <w:sz w:val="24"/>
              </w:rPr>
              <w:t>张。</w:t>
            </w:r>
          </w:p>
        </w:tc>
      </w:tr>
      <w:tr w14:paraId="14C69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5" w:hRule="exact"/>
        </w:trPr>
        <w:tc>
          <w:tcPr>
            <w:tcW w:w="1887" w:type="dxa"/>
            <w:vAlign w:val="center"/>
          </w:tcPr>
          <w:p w14:paraId="14E37EEB">
            <w:pPr>
              <w:spacing w:line="500" w:lineRule="exact"/>
              <w:jc w:val="center"/>
              <w:rPr>
                <w:rFonts w:ascii="Times New Roman" w:hAnsi="Times New Roman" w:eastAsia="方正仿宋_GBK"/>
                <w:b/>
                <w:bCs/>
                <w:sz w:val="24"/>
              </w:rPr>
            </w:pPr>
            <w:r>
              <w:rPr>
                <w:rFonts w:ascii="Times New Roman" w:hAnsi="Times New Roman" w:eastAsia="方正仿宋_GBK"/>
                <w:b/>
                <w:bCs/>
                <w:sz w:val="24"/>
              </w:rPr>
              <w:t>专家</w:t>
            </w:r>
            <w:r>
              <w:rPr>
                <w:rFonts w:hint="eastAsia" w:ascii="Times New Roman" w:hAnsi="Times New Roman" w:eastAsia="方正仿宋_GBK"/>
                <w:b/>
                <w:bCs/>
                <w:sz w:val="24"/>
              </w:rPr>
              <w:t>会诊</w:t>
            </w:r>
            <w:r>
              <w:rPr>
                <w:rFonts w:ascii="Times New Roman" w:hAnsi="Times New Roman" w:eastAsia="方正仿宋_GBK"/>
                <w:b/>
                <w:bCs/>
                <w:sz w:val="24"/>
              </w:rPr>
              <w:t>结论</w:t>
            </w:r>
          </w:p>
        </w:tc>
        <w:tc>
          <w:tcPr>
            <w:tcW w:w="7185" w:type="dxa"/>
            <w:gridSpan w:val="3"/>
            <w:vAlign w:val="center"/>
          </w:tcPr>
          <w:p w14:paraId="5CECE2A2">
            <w:pPr>
              <w:pStyle w:val="6"/>
            </w:pPr>
            <w:r>
              <w:rPr>
                <w:rFonts w:hint="eastAsia" w:ascii="仿宋" w:hAnsi="仿宋" w:eastAsia="仿宋" w:cs="宋体"/>
                <w:bCs w:val="0"/>
                <w:color w:val="191919"/>
                <w:sz w:val="30"/>
                <w:szCs w:val="30"/>
                <w:shd w:val="clear" w:color="auto" w:fill="FFFFFF"/>
              </w:rPr>
              <w:t xml:space="preserve">     </w:t>
            </w:r>
            <w:r>
              <w:rPr>
                <w:rFonts w:hint="eastAsia"/>
              </w:rPr>
              <w:t xml:space="preserve">　 </w:t>
            </w:r>
            <w:r>
              <w:t xml:space="preserve">    </w:t>
            </w:r>
          </w:p>
          <w:p w14:paraId="1BA9BFAF">
            <w:pPr>
              <w:pStyle w:val="6"/>
            </w:pPr>
          </w:p>
          <w:p w14:paraId="34132238">
            <w:pPr>
              <w:pStyle w:val="6"/>
              <w:ind w:firstLine="600" w:firstLineChars="250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 xml:space="preserve">专家签字：  </w:t>
            </w:r>
          </w:p>
          <w:p w14:paraId="533B5C4B">
            <w:pPr>
              <w:pStyle w:val="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 </w:t>
            </w:r>
            <w:r>
              <w:rPr>
                <w:sz w:val="24"/>
                <w:szCs w:val="24"/>
              </w:rPr>
              <w:t xml:space="preserve">                 </w:t>
            </w:r>
            <w:r>
              <w:rPr>
                <w:rFonts w:hint="eastAsia"/>
                <w:sz w:val="24"/>
                <w:szCs w:val="24"/>
              </w:rPr>
              <w:t xml:space="preserve">　 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日期：　　年　　月　　日</w:t>
            </w:r>
          </w:p>
          <w:p w14:paraId="06251282"/>
          <w:p w14:paraId="0F40ACEE">
            <w:pPr>
              <w:pStyle w:val="6"/>
            </w:pPr>
          </w:p>
          <w:p w14:paraId="611DBFDA"/>
          <w:p w14:paraId="249C49EE">
            <w:pPr>
              <w:pStyle w:val="6"/>
            </w:pPr>
          </w:p>
        </w:tc>
      </w:tr>
      <w:tr w14:paraId="41FF1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4" w:hRule="exact"/>
        </w:trPr>
        <w:tc>
          <w:tcPr>
            <w:tcW w:w="1887" w:type="dxa"/>
            <w:vAlign w:val="center"/>
          </w:tcPr>
          <w:p w14:paraId="10B895B6">
            <w:pPr>
              <w:spacing w:line="500" w:lineRule="exact"/>
              <w:jc w:val="center"/>
              <w:rPr>
                <w:rFonts w:ascii="Times New Roman" w:hAnsi="Times New Roman" w:eastAsia="方正仿宋_GBK"/>
                <w:b/>
                <w:bCs/>
                <w:sz w:val="24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 w:val="24"/>
              </w:rPr>
              <w:t>古树名木主管</w:t>
            </w:r>
            <w:r>
              <w:rPr>
                <w:rFonts w:ascii="Times New Roman" w:hAnsi="Times New Roman" w:eastAsia="方正仿宋_GBK"/>
                <w:b/>
                <w:bCs/>
                <w:sz w:val="24"/>
              </w:rPr>
              <w:t>单位意见</w:t>
            </w:r>
          </w:p>
        </w:tc>
        <w:tc>
          <w:tcPr>
            <w:tcW w:w="7185" w:type="dxa"/>
            <w:gridSpan w:val="3"/>
            <w:vAlign w:val="center"/>
          </w:tcPr>
          <w:p w14:paraId="2C927158">
            <w:pPr>
              <w:spacing w:line="500" w:lineRule="exact"/>
              <w:jc w:val="center"/>
            </w:pPr>
          </w:p>
          <w:p w14:paraId="2EA0C87F">
            <w:pPr>
              <w:spacing w:line="500" w:lineRule="exact"/>
              <w:jc w:val="center"/>
            </w:pPr>
          </w:p>
          <w:p w14:paraId="23347180"/>
          <w:p w14:paraId="65C8329F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 xml:space="preserve"> 盖章：</w:t>
            </w:r>
          </w:p>
          <w:p w14:paraId="16BC405E">
            <w:pPr>
              <w:pStyle w:val="6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 xml:space="preserve">　　　　　　 </w:t>
            </w:r>
            <w:r>
              <w:rPr>
                <w:b w:val="0"/>
                <w:bCs w:val="0"/>
                <w:sz w:val="24"/>
                <w:szCs w:val="24"/>
              </w:rPr>
              <w:t xml:space="preserve">                 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日期：　　年　　月　　日</w:t>
            </w:r>
          </w:p>
          <w:p w14:paraId="1E5DF482">
            <w:pPr>
              <w:pStyle w:val="6"/>
            </w:pPr>
          </w:p>
        </w:tc>
      </w:tr>
    </w:tbl>
    <w:p w14:paraId="17F97D50">
      <w:pPr>
        <w:pStyle w:val="6"/>
        <w:rPr>
          <w:rFonts w:ascii="宋体" w:hAnsi="宋体" w:eastAsia="宋体"/>
          <w:b w:val="0"/>
          <w:bCs w:val="0"/>
          <w:sz w:val="21"/>
          <w:szCs w:val="21"/>
        </w:rPr>
      </w:pPr>
      <w:r>
        <w:rPr>
          <w:rFonts w:ascii="宋体" w:hAnsi="宋体" w:eastAsia="宋体"/>
          <w:b w:val="0"/>
          <w:bCs w:val="0"/>
          <w:sz w:val="21"/>
          <w:szCs w:val="21"/>
        </w:rPr>
        <w:t>填表说明：</w:t>
      </w:r>
    </w:p>
    <w:p w14:paraId="52B86FD0">
      <w:pPr>
        <w:pStyle w:val="6"/>
        <w:spacing w:before="0" w:after="0" w:line="360" w:lineRule="auto"/>
        <w:rPr>
          <w:rFonts w:ascii="宋体" w:hAnsi="宋体" w:eastAsia="宋体"/>
          <w:b w:val="0"/>
          <w:bCs w:val="0"/>
          <w:sz w:val="21"/>
          <w:szCs w:val="21"/>
        </w:rPr>
      </w:pPr>
      <w:r>
        <w:rPr>
          <w:rFonts w:hint="eastAsia" w:ascii="宋体" w:hAnsi="宋体" w:eastAsia="宋体"/>
          <w:b w:val="0"/>
          <w:bCs w:val="0"/>
          <w:sz w:val="21"/>
          <w:szCs w:val="21"/>
        </w:rPr>
        <w:t>（1）</w:t>
      </w:r>
      <w:r>
        <w:rPr>
          <w:rFonts w:ascii="宋体" w:hAnsi="宋体" w:eastAsia="宋体"/>
          <w:b w:val="0"/>
          <w:bCs w:val="0"/>
          <w:sz w:val="21"/>
          <w:szCs w:val="21"/>
        </w:rPr>
        <w:t>所属分类，在中国最美树王、湖南树王、湖南最美古树、湖南古树公园中选择填写；</w:t>
      </w:r>
    </w:p>
    <w:p w14:paraId="61C02CF5">
      <w:pPr>
        <w:pStyle w:val="6"/>
        <w:spacing w:before="0" w:after="0" w:line="360" w:lineRule="auto"/>
        <w:rPr>
          <w:rFonts w:ascii="宋体" w:hAnsi="宋体" w:eastAsia="宋体"/>
          <w:b w:val="0"/>
          <w:bCs w:val="0"/>
          <w:sz w:val="21"/>
          <w:szCs w:val="21"/>
        </w:rPr>
      </w:pPr>
      <w:r>
        <w:rPr>
          <w:rFonts w:hint="eastAsia" w:ascii="宋体" w:hAnsi="宋体" w:eastAsia="宋体"/>
          <w:b w:val="0"/>
          <w:bCs w:val="0"/>
          <w:sz w:val="21"/>
          <w:szCs w:val="21"/>
        </w:rPr>
        <w:t>（</w:t>
      </w:r>
      <w:r>
        <w:rPr>
          <w:rFonts w:ascii="宋体" w:hAnsi="宋体" w:eastAsia="宋体"/>
          <w:b w:val="0"/>
          <w:bCs w:val="0"/>
          <w:sz w:val="21"/>
          <w:szCs w:val="21"/>
        </w:rPr>
        <w:t>2</w:t>
      </w:r>
      <w:r>
        <w:rPr>
          <w:rFonts w:hint="eastAsia" w:ascii="宋体" w:hAnsi="宋体" w:eastAsia="宋体"/>
          <w:b w:val="0"/>
          <w:bCs w:val="0"/>
          <w:sz w:val="21"/>
          <w:szCs w:val="21"/>
        </w:rPr>
        <w:t>）</w:t>
      </w:r>
      <w:r>
        <w:rPr>
          <w:rFonts w:ascii="宋体" w:hAnsi="宋体" w:eastAsia="宋体"/>
          <w:b w:val="0"/>
          <w:bCs w:val="0"/>
          <w:sz w:val="21"/>
          <w:szCs w:val="21"/>
        </w:rPr>
        <w:t>古树名木编号，即11位数的行政区域统一编号，与地方人民政府认定公布文件中所示编号一致；</w:t>
      </w:r>
    </w:p>
    <w:p w14:paraId="0136EC0E">
      <w:pPr>
        <w:pStyle w:val="6"/>
        <w:spacing w:before="0" w:after="0" w:line="360" w:lineRule="auto"/>
        <w:rPr>
          <w:rFonts w:ascii="宋体" w:hAnsi="宋体" w:eastAsia="宋体"/>
          <w:b w:val="0"/>
          <w:bCs w:val="0"/>
          <w:sz w:val="21"/>
          <w:szCs w:val="21"/>
        </w:rPr>
      </w:pPr>
      <w:r>
        <w:rPr>
          <w:rFonts w:hint="eastAsia" w:ascii="宋体" w:hAnsi="宋体" w:eastAsia="宋体"/>
          <w:b w:val="0"/>
          <w:bCs w:val="0"/>
          <w:sz w:val="21"/>
          <w:szCs w:val="21"/>
        </w:rPr>
        <w:t>（</w:t>
      </w:r>
      <w:r>
        <w:rPr>
          <w:rFonts w:ascii="宋体" w:hAnsi="宋体" w:eastAsia="宋体"/>
          <w:b w:val="0"/>
          <w:bCs w:val="0"/>
          <w:sz w:val="21"/>
          <w:szCs w:val="21"/>
        </w:rPr>
        <w:t>3</w:t>
      </w:r>
      <w:r>
        <w:rPr>
          <w:rFonts w:hint="eastAsia" w:ascii="宋体" w:hAnsi="宋体" w:eastAsia="宋体"/>
          <w:b w:val="0"/>
          <w:bCs w:val="0"/>
          <w:sz w:val="21"/>
          <w:szCs w:val="21"/>
        </w:rPr>
        <w:t>）</w:t>
      </w:r>
      <w:r>
        <w:rPr>
          <w:rFonts w:ascii="宋体" w:hAnsi="宋体" w:eastAsia="宋体"/>
          <w:b w:val="0"/>
          <w:bCs w:val="0"/>
          <w:sz w:val="21"/>
          <w:szCs w:val="21"/>
        </w:rPr>
        <w:t>经纬度以小数度数表示，精确到小数点后6位，坐标格式为CGCS2000坐标系或WGS84坐标系；</w:t>
      </w:r>
    </w:p>
    <w:p w14:paraId="4C9C066D">
      <w:pPr>
        <w:pStyle w:val="6"/>
        <w:spacing w:before="0" w:after="0" w:line="360" w:lineRule="auto"/>
        <w:rPr>
          <w:rFonts w:ascii="宋体" w:hAnsi="宋体" w:eastAsia="宋体"/>
          <w:b w:val="0"/>
          <w:bCs w:val="0"/>
          <w:sz w:val="21"/>
          <w:szCs w:val="21"/>
        </w:rPr>
      </w:pPr>
      <w:r>
        <w:rPr>
          <w:rFonts w:hint="eastAsia" w:ascii="宋体" w:hAnsi="宋体" w:eastAsia="宋体"/>
          <w:b w:val="0"/>
          <w:bCs w:val="0"/>
          <w:sz w:val="21"/>
          <w:szCs w:val="21"/>
        </w:rPr>
        <w:t>（</w:t>
      </w:r>
      <w:r>
        <w:rPr>
          <w:rFonts w:ascii="宋体" w:hAnsi="宋体" w:eastAsia="宋体"/>
          <w:b w:val="0"/>
          <w:bCs w:val="0"/>
          <w:sz w:val="21"/>
          <w:szCs w:val="21"/>
        </w:rPr>
        <w:t>4</w:t>
      </w:r>
      <w:r>
        <w:rPr>
          <w:rFonts w:hint="eastAsia" w:ascii="宋体" w:hAnsi="宋体" w:eastAsia="宋体"/>
          <w:b w:val="0"/>
          <w:bCs w:val="0"/>
          <w:sz w:val="21"/>
          <w:szCs w:val="21"/>
        </w:rPr>
        <w:t>）</w:t>
      </w:r>
      <w:r>
        <w:rPr>
          <w:rFonts w:ascii="宋体" w:hAnsi="宋体" w:eastAsia="宋体"/>
          <w:b w:val="0"/>
          <w:bCs w:val="0"/>
          <w:sz w:val="21"/>
          <w:szCs w:val="21"/>
        </w:rPr>
        <w:t>生长势状况调查</w:t>
      </w:r>
      <w:r>
        <w:rPr>
          <w:rFonts w:hint="eastAsia" w:ascii="宋体" w:hAnsi="宋体" w:eastAsia="宋体"/>
          <w:b w:val="0"/>
          <w:bCs w:val="0"/>
          <w:sz w:val="21"/>
          <w:szCs w:val="21"/>
        </w:rPr>
        <w:t>附录A</w:t>
      </w:r>
      <w:r>
        <w:rPr>
          <w:rFonts w:ascii="宋体" w:hAnsi="宋体" w:eastAsia="宋体"/>
          <w:b w:val="0"/>
          <w:bCs w:val="0"/>
          <w:sz w:val="21"/>
          <w:szCs w:val="21"/>
        </w:rPr>
        <w:t>进行调查和分级；</w:t>
      </w:r>
    </w:p>
    <w:p w14:paraId="03E633DA">
      <w:pPr>
        <w:pStyle w:val="6"/>
        <w:spacing w:before="0" w:after="0" w:line="360" w:lineRule="auto"/>
        <w:rPr>
          <w:rFonts w:ascii="宋体" w:hAnsi="宋体" w:eastAsia="宋体"/>
          <w:b w:val="0"/>
          <w:bCs w:val="0"/>
          <w:sz w:val="21"/>
          <w:szCs w:val="21"/>
        </w:rPr>
      </w:pPr>
      <w:r>
        <w:rPr>
          <w:rFonts w:hint="eastAsia" w:ascii="宋体" w:hAnsi="宋体" w:eastAsia="宋体"/>
          <w:b w:val="0"/>
          <w:bCs w:val="0"/>
          <w:sz w:val="21"/>
          <w:szCs w:val="21"/>
        </w:rPr>
        <w:t>（</w:t>
      </w:r>
      <w:r>
        <w:rPr>
          <w:rFonts w:ascii="宋体" w:hAnsi="宋体" w:eastAsia="宋体"/>
          <w:b w:val="0"/>
          <w:bCs w:val="0"/>
          <w:sz w:val="21"/>
          <w:szCs w:val="21"/>
        </w:rPr>
        <w:t>5</w:t>
      </w:r>
      <w:r>
        <w:rPr>
          <w:rFonts w:hint="eastAsia" w:ascii="宋体" w:hAnsi="宋体" w:eastAsia="宋体"/>
          <w:b w:val="0"/>
          <w:bCs w:val="0"/>
          <w:sz w:val="21"/>
          <w:szCs w:val="21"/>
        </w:rPr>
        <w:t>）</w:t>
      </w:r>
      <w:r>
        <w:rPr>
          <w:rFonts w:ascii="宋体" w:hAnsi="宋体" w:eastAsia="宋体"/>
          <w:b w:val="0"/>
          <w:bCs w:val="0"/>
          <w:sz w:val="21"/>
          <w:szCs w:val="21"/>
        </w:rPr>
        <w:t>生境状况调查按照《湖南省濒危衰弱古树名木抢救复壮指导意见》进行调查和分级，省级专家会诊时需要进行地下水位、土壤</w:t>
      </w:r>
      <w:r>
        <w:rPr>
          <w:rFonts w:hint="eastAsia" w:ascii="宋体" w:hAnsi="宋体" w:eastAsia="宋体"/>
          <w:b w:val="0"/>
          <w:bCs w:val="0"/>
          <w:sz w:val="21"/>
          <w:szCs w:val="21"/>
        </w:rPr>
        <w:t>p</w:t>
      </w:r>
      <w:r>
        <w:rPr>
          <w:rFonts w:ascii="宋体" w:hAnsi="宋体" w:eastAsia="宋体"/>
          <w:b w:val="0"/>
          <w:bCs w:val="0"/>
          <w:sz w:val="21"/>
          <w:szCs w:val="21"/>
        </w:rPr>
        <w:t>H值、土壤有机质含量、土壤容重等数据测量，市县级会诊时不作明确测量数据要求</w:t>
      </w:r>
      <w:r>
        <w:rPr>
          <w:rFonts w:hint="eastAsia" w:ascii="宋体" w:hAnsi="宋体" w:eastAsia="宋体"/>
          <w:b w:val="0"/>
          <w:bCs w:val="0"/>
          <w:sz w:val="21"/>
          <w:szCs w:val="21"/>
        </w:rPr>
        <w:t>。</w:t>
      </w:r>
    </w:p>
    <w:p w14:paraId="548C50D6"/>
    <w:p w14:paraId="7751FF30">
      <w:pPr>
        <w:jc w:val="left"/>
        <w:rPr>
          <w:rFonts w:ascii="仿宋" w:hAnsi="仿宋" w:eastAsia="仿宋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简体">
    <w:altName w:val="方正小标宋简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Droid Sans Fallback">
    <w:altName w:val="宋体"/>
    <w:panose1 w:val="020B0502000000000001"/>
    <w:charset w:val="86"/>
    <w:family w:val="auto"/>
    <w:pitch w:val="default"/>
    <w:sig w:usb0="00000000" w:usb1="00000000" w:usb2="00000036" w:usb3="00000000" w:csb0="203F01FF" w:csb1="D7FF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AE4FC611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498377">
    <w:pPr>
      <w:pStyle w:val="11"/>
      <w:jc w:val="right"/>
    </w:pPr>
  </w:p>
  <w:p w14:paraId="4674DF5F"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01830143"/>
    </w:sdtPr>
    <w:sdtContent>
      <w:p w14:paraId="3AD49586">
        <w:pPr>
          <w:pStyle w:val="11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II</w:t>
        </w:r>
        <w:r>
          <w:fldChar w:fldCharType="end"/>
        </w:r>
      </w:p>
    </w:sdtContent>
  </w:sdt>
  <w:p w14:paraId="389F64D1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24644634"/>
    </w:sdtPr>
    <w:sdtContent>
      <w:p w14:paraId="79CFCB46">
        <w:pPr>
          <w:pStyle w:val="11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5587D54E">
    <w:pPr>
      <w:pStyle w:val="1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D0F7F0"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C3A248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XI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C3A248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XI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AC3A7F">
    <w:pPr>
      <w:pStyle w:val="29"/>
      <w:rPr>
        <w:sz w:val="24"/>
        <w:szCs w:val="24"/>
      </w:rPr>
    </w:pPr>
    <w:r>
      <w:t xml:space="preserve">DB43/ </w:t>
    </w:r>
    <w:r>
      <w:rPr>
        <w:rFonts w:hint="eastAsia"/>
      </w:rPr>
      <w:t>T</w:t>
    </w:r>
    <w:r>
      <w:t>—</w:t>
    </w:r>
    <w:r>
      <w:rPr>
        <w:sz w:val="24"/>
        <w:szCs w:val="24"/>
      </w:rPr>
      <w:t>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32B862">
    <w:pPr>
      <w:spacing w:line="1" w:lineRule="exact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4730115</wp:posOffset>
              </wp:positionH>
              <wp:positionV relativeFrom="paragraph">
                <wp:posOffset>-120015</wp:posOffset>
              </wp:positionV>
              <wp:extent cx="1346200" cy="1828800"/>
              <wp:effectExtent l="0" t="0" r="6985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5997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442E11">
                          <w:pPr>
                            <w:pStyle w:val="29"/>
                          </w:pPr>
                          <w:r>
                            <w:t xml:space="preserve">DB43/ </w:t>
                          </w:r>
                          <w:r>
                            <w:rPr>
                              <w:rFonts w:hint="eastAsia"/>
                            </w:rPr>
                            <w:t>T</w:t>
                          </w:r>
                          <w:r>
                            <w:t>—</w:t>
                          </w:r>
                          <w:r>
                            <w:rPr>
                              <w:sz w:val="24"/>
                              <w:szCs w:val="24"/>
                            </w:rPr>
                            <w:t>XXXX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72.45pt;margin-top:-9.45pt;height:144pt;width:106pt;mso-position-horizontal-relative:margin;z-index:251660288;mso-width-relative:page;mso-height-relative:page;" filled="f" stroked="f" coordsize="21600,21600" o:gfxdata="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Lh25HrZAAAACwEAAA8AAAAAAAAAAQAgAAAAIgAAAGRycy9kb3ducmV2&#10;LnhtbFBLAQIUABQAAAAIAIdO4kAejeBCNAIAAFkEAAAOAAAAAAAAAAEAIAAAACg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442E11">
                    <w:pPr>
                      <w:pStyle w:val="29"/>
                    </w:pPr>
                    <w:r>
                      <w:t xml:space="preserve">DB43/ </w:t>
                    </w:r>
                    <w:r>
                      <w:rPr>
                        <w:rFonts w:hint="eastAsia"/>
                      </w:rPr>
                      <w:t>T</w:t>
                    </w:r>
                    <w:r>
                      <w:t>—</w:t>
                    </w:r>
                    <w:r>
                      <w:rPr>
                        <w:sz w:val="24"/>
                        <w:szCs w:val="24"/>
                      </w:rPr>
                      <w:t>XXXX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4ODM5YzVmMWMxZjFjZGMwZTFkNjVkNDg3Nzg3MTYifQ=="/>
  </w:docVars>
  <w:rsids>
    <w:rsidRoot w:val="00A3547B"/>
    <w:rsid w:val="00005AA4"/>
    <w:rsid w:val="0000692E"/>
    <w:rsid w:val="00007380"/>
    <w:rsid w:val="00012B23"/>
    <w:rsid w:val="00013121"/>
    <w:rsid w:val="00015134"/>
    <w:rsid w:val="000174B3"/>
    <w:rsid w:val="0001783E"/>
    <w:rsid w:val="000204B0"/>
    <w:rsid w:val="00024918"/>
    <w:rsid w:val="000327DD"/>
    <w:rsid w:val="00033300"/>
    <w:rsid w:val="00035CAF"/>
    <w:rsid w:val="00035E9E"/>
    <w:rsid w:val="0004246D"/>
    <w:rsid w:val="00047E9A"/>
    <w:rsid w:val="00051010"/>
    <w:rsid w:val="000546B5"/>
    <w:rsid w:val="000570A2"/>
    <w:rsid w:val="00061282"/>
    <w:rsid w:val="00062BA3"/>
    <w:rsid w:val="00072B83"/>
    <w:rsid w:val="00077F6A"/>
    <w:rsid w:val="00081996"/>
    <w:rsid w:val="00087C2F"/>
    <w:rsid w:val="0009300A"/>
    <w:rsid w:val="000A35FD"/>
    <w:rsid w:val="000B1B5B"/>
    <w:rsid w:val="000B5E04"/>
    <w:rsid w:val="000B75FB"/>
    <w:rsid w:val="000C18E9"/>
    <w:rsid w:val="000C5A30"/>
    <w:rsid w:val="000D2D45"/>
    <w:rsid w:val="000D3F98"/>
    <w:rsid w:val="000E58CB"/>
    <w:rsid w:val="000E59CF"/>
    <w:rsid w:val="000E7D92"/>
    <w:rsid w:val="000F4723"/>
    <w:rsid w:val="001007C9"/>
    <w:rsid w:val="00105DB2"/>
    <w:rsid w:val="00110B1C"/>
    <w:rsid w:val="00113DF2"/>
    <w:rsid w:val="00116D85"/>
    <w:rsid w:val="00122E5A"/>
    <w:rsid w:val="00127983"/>
    <w:rsid w:val="00131079"/>
    <w:rsid w:val="00134D5C"/>
    <w:rsid w:val="00145E70"/>
    <w:rsid w:val="00150901"/>
    <w:rsid w:val="00157784"/>
    <w:rsid w:val="00167595"/>
    <w:rsid w:val="00181B43"/>
    <w:rsid w:val="00183DD3"/>
    <w:rsid w:val="00184184"/>
    <w:rsid w:val="001846E2"/>
    <w:rsid w:val="00191A52"/>
    <w:rsid w:val="00191D34"/>
    <w:rsid w:val="001966AD"/>
    <w:rsid w:val="0019738D"/>
    <w:rsid w:val="001A294F"/>
    <w:rsid w:val="001B22F6"/>
    <w:rsid w:val="001B35EF"/>
    <w:rsid w:val="001B3C60"/>
    <w:rsid w:val="001C166E"/>
    <w:rsid w:val="001D0320"/>
    <w:rsid w:val="001D1D01"/>
    <w:rsid w:val="001D4E5C"/>
    <w:rsid w:val="001D70E5"/>
    <w:rsid w:val="001F68B5"/>
    <w:rsid w:val="001F7A70"/>
    <w:rsid w:val="002110D6"/>
    <w:rsid w:val="002124B6"/>
    <w:rsid w:val="0021716A"/>
    <w:rsid w:val="00217D92"/>
    <w:rsid w:val="00227630"/>
    <w:rsid w:val="00244ADC"/>
    <w:rsid w:val="002465D6"/>
    <w:rsid w:val="002469E2"/>
    <w:rsid w:val="00247724"/>
    <w:rsid w:val="00252B11"/>
    <w:rsid w:val="00255B9C"/>
    <w:rsid w:val="00260E8F"/>
    <w:rsid w:val="00264B3F"/>
    <w:rsid w:val="00267572"/>
    <w:rsid w:val="0026795B"/>
    <w:rsid w:val="00284216"/>
    <w:rsid w:val="00285FB2"/>
    <w:rsid w:val="00286213"/>
    <w:rsid w:val="00291B24"/>
    <w:rsid w:val="0029489C"/>
    <w:rsid w:val="0029701D"/>
    <w:rsid w:val="002A5136"/>
    <w:rsid w:val="002B7094"/>
    <w:rsid w:val="002B7F6F"/>
    <w:rsid w:val="002C3417"/>
    <w:rsid w:val="002C4240"/>
    <w:rsid w:val="002C54FB"/>
    <w:rsid w:val="002C7E68"/>
    <w:rsid w:val="002D0F1B"/>
    <w:rsid w:val="002D6390"/>
    <w:rsid w:val="002E282D"/>
    <w:rsid w:val="002E6C4F"/>
    <w:rsid w:val="002E77A0"/>
    <w:rsid w:val="002F3284"/>
    <w:rsid w:val="002F381B"/>
    <w:rsid w:val="002F4121"/>
    <w:rsid w:val="002F441F"/>
    <w:rsid w:val="0030028E"/>
    <w:rsid w:val="00306EFE"/>
    <w:rsid w:val="0031145F"/>
    <w:rsid w:val="00327057"/>
    <w:rsid w:val="0034161B"/>
    <w:rsid w:val="00346A23"/>
    <w:rsid w:val="00346EFF"/>
    <w:rsid w:val="00347CF8"/>
    <w:rsid w:val="003500D2"/>
    <w:rsid w:val="00352170"/>
    <w:rsid w:val="00352CF8"/>
    <w:rsid w:val="003537F2"/>
    <w:rsid w:val="0035387F"/>
    <w:rsid w:val="003540B3"/>
    <w:rsid w:val="00361C12"/>
    <w:rsid w:val="0036247F"/>
    <w:rsid w:val="0037098C"/>
    <w:rsid w:val="00382F08"/>
    <w:rsid w:val="003879DA"/>
    <w:rsid w:val="00390769"/>
    <w:rsid w:val="00392F1F"/>
    <w:rsid w:val="003974CC"/>
    <w:rsid w:val="003A2226"/>
    <w:rsid w:val="003A434E"/>
    <w:rsid w:val="003A5B2B"/>
    <w:rsid w:val="003A65B0"/>
    <w:rsid w:val="003C393B"/>
    <w:rsid w:val="003C439A"/>
    <w:rsid w:val="003C7B57"/>
    <w:rsid w:val="003D00A2"/>
    <w:rsid w:val="003D15DD"/>
    <w:rsid w:val="003D79C1"/>
    <w:rsid w:val="003E124B"/>
    <w:rsid w:val="003E1CD6"/>
    <w:rsid w:val="003E2E77"/>
    <w:rsid w:val="003F067E"/>
    <w:rsid w:val="003F24DF"/>
    <w:rsid w:val="003F36BE"/>
    <w:rsid w:val="00404389"/>
    <w:rsid w:val="00405352"/>
    <w:rsid w:val="004068A7"/>
    <w:rsid w:val="004159E2"/>
    <w:rsid w:val="00422ADB"/>
    <w:rsid w:val="0042504E"/>
    <w:rsid w:val="0042592A"/>
    <w:rsid w:val="00426CEE"/>
    <w:rsid w:val="00433967"/>
    <w:rsid w:val="00444BF5"/>
    <w:rsid w:val="00457BA3"/>
    <w:rsid w:val="00457F6E"/>
    <w:rsid w:val="00463BA1"/>
    <w:rsid w:val="004648E3"/>
    <w:rsid w:val="004672B6"/>
    <w:rsid w:val="00471A13"/>
    <w:rsid w:val="004776EB"/>
    <w:rsid w:val="00483008"/>
    <w:rsid w:val="00486C9E"/>
    <w:rsid w:val="0049036E"/>
    <w:rsid w:val="00491076"/>
    <w:rsid w:val="0049276F"/>
    <w:rsid w:val="00494501"/>
    <w:rsid w:val="004964F8"/>
    <w:rsid w:val="004A1B28"/>
    <w:rsid w:val="004A5703"/>
    <w:rsid w:val="004B1C9E"/>
    <w:rsid w:val="004B258F"/>
    <w:rsid w:val="004B66DF"/>
    <w:rsid w:val="004C266B"/>
    <w:rsid w:val="004C5CFB"/>
    <w:rsid w:val="004D00BB"/>
    <w:rsid w:val="004E2A90"/>
    <w:rsid w:val="004E3744"/>
    <w:rsid w:val="004F25A8"/>
    <w:rsid w:val="004F6E01"/>
    <w:rsid w:val="004F7538"/>
    <w:rsid w:val="0050541B"/>
    <w:rsid w:val="005064DC"/>
    <w:rsid w:val="005071AF"/>
    <w:rsid w:val="00510340"/>
    <w:rsid w:val="00531ADE"/>
    <w:rsid w:val="0053506A"/>
    <w:rsid w:val="00540106"/>
    <w:rsid w:val="00544189"/>
    <w:rsid w:val="005444B5"/>
    <w:rsid w:val="00550886"/>
    <w:rsid w:val="005525AC"/>
    <w:rsid w:val="00553BAD"/>
    <w:rsid w:val="00560DA2"/>
    <w:rsid w:val="00561BEE"/>
    <w:rsid w:val="00562494"/>
    <w:rsid w:val="00563F13"/>
    <w:rsid w:val="00567306"/>
    <w:rsid w:val="005745F3"/>
    <w:rsid w:val="0057641C"/>
    <w:rsid w:val="00576854"/>
    <w:rsid w:val="00581C81"/>
    <w:rsid w:val="0058779D"/>
    <w:rsid w:val="00587800"/>
    <w:rsid w:val="00591B95"/>
    <w:rsid w:val="005B0756"/>
    <w:rsid w:val="005B2D03"/>
    <w:rsid w:val="005B4ECC"/>
    <w:rsid w:val="005C4DB1"/>
    <w:rsid w:val="005C5A83"/>
    <w:rsid w:val="005D60BA"/>
    <w:rsid w:val="005D6324"/>
    <w:rsid w:val="005E46B4"/>
    <w:rsid w:val="005E5F6E"/>
    <w:rsid w:val="006014F2"/>
    <w:rsid w:val="00602536"/>
    <w:rsid w:val="00603677"/>
    <w:rsid w:val="006038C1"/>
    <w:rsid w:val="00603953"/>
    <w:rsid w:val="006041F5"/>
    <w:rsid w:val="00612FDB"/>
    <w:rsid w:val="006137E9"/>
    <w:rsid w:val="00617B39"/>
    <w:rsid w:val="006207A7"/>
    <w:rsid w:val="00620E89"/>
    <w:rsid w:val="006219E7"/>
    <w:rsid w:val="006222C3"/>
    <w:rsid w:val="0063110C"/>
    <w:rsid w:val="0063229F"/>
    <w:rsid w:val="006337D9"/>
    <w:rsid w:val="00633819"/>
    <w:rsid w:val="006408E2"/>
    <w:rsid w:val="00654767"/>
    <w:rsid w:val="0066529A"/>
    <w:rsid w:val="006666A2"/>
    <w:rsid w:val="0066740A"/>
    <w:rsid w:val="006731C8"/>
    <w:rsid w:val="00681DE4"/>
    <w:rsid w:val="0068236F"/>
    <w:rsid w:val="00687277"/>
    <w:rsid w:val="00694A15"/>
    <w:rsid w:val="006974EA"/>
    <w:rsid w:val="006A337C"/>
    <w:rsid w:val="006B3E3F"/>
    <w:rsid w:val="006B5228"/>
    <w:rsid w:val="006C2216"/>
    <w:rsid w:val="006C7FAB"/>
    <w:rsid w:val="006E6158"/>
    <w:rsid w:val="006F182B"/>
    <w:rsid w:val="00710362"/>
    <w:rsid w:val="007110DE"/>
    <w:rsid w:val="00711153"/>
    <w:rsid w:val="00714CF4"/>
    <w:rsid w:val="00725FC9"/>
    <w:rsid w:val="00731936"/>
    <w:rsid w:val="00731E0A"/>
    <w:rsid w:val="00734D0F"/>
    <w:rsid w:val="007414C8"/>
    <w:rsid w:val="007429C1"/>
    <w:rsid w:val="00744B2A"/>
    <w:rsid w:val="0075019A"/>
    <w:rsid w:val="0075116D"/>
    <w:rsid w:val="007536D2"/>
    <w:rsid w:val="00753A88"/>
    <w:rsid w:val="0076280D"/>
    <w:rsid w:val="00762F87"/>
    <w:rsid w:val="0077329F"/>
    <w:rsid w:val="00773960"/>
    <w:rsid w:val="00774AC2"/>
    <w:rsid w:val="00775CBC"/>
    <w:rsid w:val="00792FE5"/>
    <w:rsid w:val="00793870"/>
    <w:rsid w:val="007C047F"/>
    <w:rsid w:val="007C790A"/>
    <w:rsid w:val="007D287F"/>
    <w:rsid w:val="007D5234"/>
    <w:rsid w:val="007E6323"/>
    <w:rsid w:val="007F3E3B"/>
    <w:rsid w:val="007F5D4F"/>
    <w:rsid w:val="007F6030"/>
    <w:rsid w:val="008008C9"/>
    <w:rsid w:val="00813B04"/>
    <w:rsid w:val="00816842"/>
    <w:rsid w:val="008204E3"/>
    <w:rsid w:val="00820CCE"/>
    <w:rsid w:val="008228FB"/>
    <w:rsid w:val="0082440F"/>
    <w:rsid w:val="008307A1"/>
    <w:rsid w:val="0083100A"/>
    <w:rsid w:val="00833CD7"/>
    <w:rsid w:val="0083513C"/>
    <w:rsid w:val="00841398"/>
    <w:rsid w:val="00843587"/>
    <w:rsid w:val="00857854"/>
    <w:rsid w:val="00862B6F"/>
    <w:rsid w:val="00864E90"/>
    <w:rsid w:val="00866C76"/>
    <w:rsid w:val="008725A4"/>
    <w:rsid w:val="00875D65"/>
    <w:rsid w:val="00887F85"/>
    <w:rsid w:val="008919D7"/>
    <w:rsid w:val="00895E66"/>
    <w:rsid w:val="00897898"/>
    <w:rsid w:val="00897A2A"/>
    <w:rsid w:val="008A10CF"/>
    <w:rsid w:val="008A5CFF"/>
    <w:rsid w:val="008A7A9B"/>
    <w:rsid w:val="008B23A0"/>
    <w:rsid w:val="008B6199"/>
    <w:rsid w:val="008B6C3B"/>
    <w:rsid w:val="008D0C0A"/>
    <w:rsid w:val="008D1AE9"/>
    <w:rsid w:val="008D4063"/>
    <w:rsid w:val="008D4482"/>
    <w:rsid w:val="008D550D"/>
    <w:rsid w:val="008D68BB"/>
    <w:rsid w:val="008D7367"/>
    <w:rsid w:val="008E756F"/>
    <w:rsid w:val="008E7FB9"/>
    <w:rsid w:val="008F49DB"/>
    <w:rsid w:val="008F5FB1"/>
    <w:rsid w:val="009037D7"/>
    <w:rsid w:val="00910167"/>
    <w:rsid w:val="00910399"/>
    <w:rsid w:val="00910A8B"/>
    <w:rsid w:val="009171A6"/>
    <w:rsid w:val="00917DEF"/>
    <w:rsid w:val="009241AA"/>
    <w:rsid w:val="0092432E"/>
    <w:rsid w:val="00924D16"/>
    <w:rsid w:val="0093298D"/>
    <w:rsid w:val="00933A84"/>
    <w:rsid w:val="00935248"/>
    <w:rsid w:val="009371C3"/>
    <w:rsid w:val="00945A23"/>
    <w:rsid w:val="00947F01"/>
    <w:rsid w:val="00950890"/>
    <w:rsid w:val="00951406"/>
    <w:rsid w:val="00954289"/>
    <w:rsid w:val="00961755"/>
    <w:rsid w:val="009618D1"/>
    <w:rsid w:val="00961BB8"/>
    <w:rsid w:val="00965A23"/>
    <w:rsid w:val="00966983"/>
    <w:rsid w:val="00981BB1"/>
    <w:rsid w:val="00983946"/>
    <w:rsid w:val="00984A9F"/>
    <w:rsid w:val="00986040"/>
    <w:rsid w:val="00991099"/>
    <w:rsid w:val="00993EC7"/>
    <w:rsid w:val="009B061F"/>
    <w:rsid w:val="009C2816"/>
    <w:rsid w:val="009C2C2E"/>
    <w:rsid w:val="009C497D"/>
    <w:rsid w:val="009D2BF2"/>
    <w:rsid w:val="009D39E2"/>
    <w:rsid w:val="009D58E2"/>
    <w:rsid w:val="009D5FFF"/>
    <w:rsid w:val="009D6A7D"/>
    <w:rsid w:val="009F0329"/>
    <w:rsid w:val="00A12BB0"/>
    <w:rsid w:val="00A1572E"/>
    <w:rsid w:val="00A20E3E"/>
    <w:rsid w:val="00A23269"/>
    <w:rsid w:val="00A33071"/>
    <w:rsid w:val="00A3547B"/>
    <w:rsid w:val="00A35EEC"/>
    <w:rsid w:val="00A364A6"/>
    <w:rsid w:val="00A4264A"/>
    <w:rsid w:val="00A50D54"/>
    <w:rsid w:val="00A51743"/>
    <w:rsid w:val="00A54129"/>
    <w:rsid w:val="00A5434E"/>
    <w:rsid w:val="00A54781"/>
    <w:rsid w:val="00A54D77"/>
    <w:rsid w:val="00A62B11"/>
    <w:rsid w:val="00A632AF"/>
    <w:rsid w:val="00A71121"/>
    <w:rsid w:val="00A7323B"/>
    <w:rsid w:val="00A73C3C"/>
    <w:rsid w:val="00A76B35"/>
    <w:rsid w:val="00A80CC5"/>
    <w:rsid w:val="00A90436"/>
    <w:rsid w:val="00A9472B"/>
    <w:rsid w:val="00A96F05"/>
    <w:rsid w:val="00A97340"/>
    <w:rsid w:val="00AA28C9"/>
    <w:rsid w:val="00AB41EC"/>
    <w:rsid w:val="00AB73E7"/>
    <w:rsid w:val="00AC058D"/>
    <w:rsid w:val="00AC2D94"/>
    <w:rsid w:val="00AC38ED"/>
    <w:rsid w:val="00AC5321"/>
    <w:rsid w:val="00AD7B73"/>
    <w:rsid w:val="00AE0927"/>
    <w:rsid w:val="00AE3820"/>
    <w:rsid w:val="00AE70F8"/>
    <w:rsid w:val="00AF27CC"/>
    <w:rsid w:val="00AF60FF"/>
    <w:rsid w:val="00AF6236"/>
    <w:rsid w:val="00AF6393"/>
    <w:rsid w:val="00B03ADC"/>
    <w:rsid w:val="00B06224"/>
    <w:rsid w:val="00B0707D"/>
    <w:rsid w:val="00B13AD6"/>
    <w:rsid w:val="00B16AFD"/>
    <w:rsid w:val="00B2121A"/>
    <w:rsid w:val="00B22FCF"/>
    <w:rsid w:val="00B23517"/>
    <w:rsid w:val="00B30902"/>
    <w:rsid w:val="00B36064"/>
    <w:rsid w:val="00B36982"/>
    <w:rsid w:val="00B40361"/>
    <w:rsid w:val="00B43ED3"/>
    <w:rsid w:val="00B44B0B"/>
    <w:rsid w:val="00B51174"/>
    <w:rsid w:val="00B5478A"/>
    <w:rsid w:val="00B56981"/>
    <w:rsid w:val="00B73D9F"/>
    <w:rsid w:val="00B73FEE"/>
    <w:rsid w:val="00B8190B"/>
    <w:rsid w:val="00B81927"/>
    <w:rsid w:val="00B826E0"/>
    <w:rsid w:val="00BA2CCA"/>
    <w:rsid w:val="00BA2EDB"/>
    <w:rsid w:val="00BA682F"/>
    <w:rsid w:val="00BA6F89"/>
    <w:rsid w:val="00BB011B"/>
    <w:rsid w:val="00BB1B3A"/>
    <w:rsid w:val="00BB3BFA"/>
    <w:rsid w:val="00BC656D"/>
    <w:rsid w:val="00BD3B0C"/>
    <w:rsid w:val="00BF0B79"/>
    <w:rsid w:val="00BF675C"/>
    <w:rsid w:val="00C0120A"/>
    <w:rsid w:val="00C03985"/>
    <w:rsid w:val="00C0733F"/>
    <w:rsid w:val="00C07CB0"/>
    <w:rsid w:val="00C11571"/>
    <w:rsid w:val="00C1557B"/>
    <w:rsid w:val="00C15F79"/>
    <w:rsid w:val="00C16AB2"/>
    <w:rsid w:val="00C2013D"/>
    <w:rsid w:val="00C230A5"/>
    <w:rsid w:val="00C24347"/>
    <w:rsid w:val="00C24D49"/>
    <w:rsid w:val="00C25F3F"/>
    <w:rsid w:val="00C26480"/>
    <w:rsid w:val="00C31B4F"/>
    <w:rsid w:val="00C36988"/>
    <w:rsid w:val="00C36B8D"/>
    <w:rsid w:val="00C4494F"/>
    <w:rsid w:val="00C45C43"/>
    <w:rsid w:val="00C466D7"/>
    <w:rsid w:val="00C523D4"/>
    <w:rsid w:val="00C524D8"/>
    <w:rsid w:val="00C611AB"/>
    <w:rsid w:val="00C6577A"/>
    <w:rsid w:val="00C66A10"/>
    <w:rsid w:val="00C73F55"/>
    <w:rsid w:val="00C77578"/>
    <w:rsid w:val="00C80432"/>
    <w:rsid w:val="00CA38C1"/>
    <w:rsid w:val="00CA767C"/>
    <w:rsid w:val="00CA7CC4"/>
    <w:rsid w:val="00CB0B05"/>
    <w:rsid w:val="00CB515B"/>
    <w:rsid w:val="00CC3763"/>
    <w:rsid w:val="00CD1F6F"/>
    <w:rsid w:val="00CD311A"/>
    <w:rsid w:val="00CE25C1"/>
    <w:rsid w:val="00CE370B"/>
    <w:rsid w:val="00CE56B0"/>
    <w:rsid w:val="00CE7C9B"/>
    <w:rsid w:val="00D01E91"/>
    <w:rsid w:val="00D0438A"/>
    <w:rsid w:val="00D045E3"/>
    <w:rsid w:val="00D04870"/>
    <w:rsid w:val="00D0714E"/>
    <w:rsid w:val="00D10BDF"/>
    <w:rsid w:val="00D1366B"/>
    <w:rsid w:val="00D142A8"/>
    <w:rsid w:val="00D25EAD"/>
    <w:rsid w:val="00D26874"/>
    <w:rsid w:val="00D30FC0"/>
    <w:rsid w:val="00D37E51"/>
    <w:rsid w:val="00D41A84"/>
    <w:rsid w:val="00D44270"/>
    <w:rsid w:val="00D51C4A"/>
    <w:rsid w:val="00D54DA8"/>
    <w:rsid w:val="00D66085"/>
    <w:rsid w:val="00D708BD"/>
    <w:rsid w:val="00D72316"/>
    <w:rsid w:val="00D73473"/>
    <w:rsid w:val="00D77FFC"/>
    <w:rsid w:val="00D82378"/>
    <w:rsid w:val="00D86001"/>
    <w:rsid w:val="00D94B6E"/>
    <w:rsid w:val="00DA0ACA"/>
    <w:rsid w:val="00DA19E9"/>
    <w:rsid w:val="00DA202D"/>
    <w:rsid w:val="00DA46A5"/>
    <w:rsid w:val="00DA5D47"/>
    <w:rsid w:val="00DB01A1"/>
    <w:rsid w:val="00DB12B3"/>
    <w:rsid w:val="00DB24F2"/>
    <w:rsid w:val="00DB2E0E"/>
    <w:rsid w:val="00DB5D52"/>
    <w:rsid w:val="00DB65A0"/>
    <w:rsid w:val="00DC3030"/>
    <w:rsid w:val="00DC7806"/>
    <w:rsid w:val="00DD05D9"/>
    <w:rsid w:val="00DE07DC"/>
    <w:rsid w:val="00DF776E"/>
    <w:rsid w:val="00E15261"/>
    <w:rsid w:val="00E25523"/>
    <w:rsid w:val="00E2655B"/>
    <w:rsid w:val="00E3745B"/>
    <w:rsid w:val="00E440ED"/>
    <w:rsid w:val="00E50C96"/>
    <w:rsid w:val="00E52189"/>
    <w:rsid w:val="00E54929"/>
    <w:rsid w:val="00E54E5B"/>
    <w:rsid w:val="00E56A37"/>
    <w:rsid w:val="00E63FC9"/>
    <w:rsid w:val="00E663B1"/>
    <w:rsid w:val="00E77EF8"/>
    <w:rsid w:val="00E85151"/>
    <w:rsid w:val="00E8712F"/>
    <w:rsid w:val="00E87AB3"/>
    <w:rsid w:val="00E955F2"/>
    <w:rsid w:val="00E95C04"/>
    <w:rsid w:val="00EA53AC"/>
    <w:rsid w:val="00EB2853"/>
    <w:rsid w:val="00EB5B3A"/>
    <w:rsid w:val="00EC2BEC"/>
    <w:rsid w:val="00EC6BD9"/>
    <w:rsid w:val="00EC7237"/>
    <w:rsid w:val="00ED11F5"/>
    <w:rsid w:val="00ED1430"/>
    <w:rsid w:val="00ED5327"/>
    <w:rsid w:val="00EE1172"/>
    <w:rsid w:val="00EF7605"/>
    <w:rsid w:val="00F004B2"/>
    <w:rsid w:val="00F01BB4"/>
    <w:rsid w:val="00F02404"/>
    <w:rsid w:val="00F21A8D"/>
    <w:rsid w:val="00F21C3C"/>
    <w:rsid w:val="00F238B8"/>
    <w:rsid w:val="00F24CB9"/>
    <w:rsid w:val="00F26B44"/>
    <w:rsid w:val="00F31646"/>
    <w:rsid w:val="00F36D91"/>
    <w:rsid w:val="00F37C02"/>
    <w:rsid w:val="00F41D04"/>
    <w:rsid w:val="00F531E1"/>
    <w:rsid w:val="00F53A69"/>
    <w:rsid w:val="00F54F56"/>
    <w:rsid w:val="00F55871"/>
    <w:rsid w:val="00F57040"/>
    <w:rsid w:val="00F62E17"/>
    <w:rsid w:val="00F64751"/>
    <w:rsid w:val="00F6636C"/>
    <w:rsid w:val="00F6724A"/>
    <w:rsid w:val="00F70BF8"/>
    <w:rsid w:val="00F76B23"/>
    <w:rsid w:val="00F8117D"/>
    <w:rsid w:val="00F857AB"/>
    <w:rsid w:val="00F87157"/>
    <w:rsid w:val="00F87AE2"/>
    <w:rsid w:val="00F9107E"/>
    <w:rsid w:val="00F92628"/>
    <w:rsid w:val="00F944A4"/>
    <w:rsid w:val="00F952DD"/>
    <w:rsid w:val="00F958D8"/>
    <w:rsid w:val="00FA23E0"/>
    <w:rsid w:val="00FA4B23"/>
    <w:rsid w:val="00FB24B8"/>
    <w:rsid w:val="00FB779B"/>
    <w:rsid w:val="00FC0C6E"/>
    <w:rsid w:val="00FC7A80"/>
    <w:rsid w:val="00FD6A8E"/>
    <w:rsid w:val="00FE3BE9"/>
    <w:rsid w:val="00FF2BFB"/>
    <w:rsid w:val="00FF3545"/>
    <w:rsid w:val="049D775B"/>
    <w:rsid w:val="05592A30"/>
    <w:rsid w:val="06965F87"/>
    <w:rsid w:val="074B36DE"/>
    <w:rsid w:val="07E175C4"/>
    <w:rsid w:val="08132E73"/>
    <w:rsid w:val="08F85A5C"/>
    <w:rsid w:val="119F737E"/>
    <w:rsid w:val="11F50B41"/>
    <w:rsid w:val="18843584"/>
    <w:rsid w:val="19885CFF"/>
    <w:rsid w:val="1AF83B5F"/>
    <w:rsid w:val="1EBF2C12"/>
    <w:rsid w:val="1F191A0C"/>
    <w:rsid w:val="258E6CA4"/>
    <w:rsid w:val="26BB4BF2"/>
    <w:rsid w:val="2C244EC4"/>
    <w:rsid w:val="2DB86843"/>
    <w:rsid w:val="2FEF1E4F"/>
    <w:rsid w:val="309B3B4F"/>
    <w:rsid w:val="354F4C99"/>
    <w:rsid w:val="37632A79"/>
    <w:rsid w:val="38186D86"/>
    <w:rsid w:val="3B0A169F"/>
    <w:rsid w:val="423B024B"/>
    <w:rsid w:val="435C3CCA"/>
    <w:rsid w:val="44F302F0"/>
    <w:rsid w:val="4764785E"/>
    <w:rsid w:val="47A057D9"/>
    <w:rsid w:val="48557D05"/>
    <w:rsid w:val="5485041D"/>
    <w:rsid w:val="587A6D20"/>
    <w:rsid w:val="59945420"/>
    <w:rsid w:val="5CF07793"/>
    <w:rsid w:val="5DD94F6A"/>
    <w:rsid w:val="6CFB6462"/>
    <w:rsid w:val="6D1E77B1"/>
    <w:rsid w:val="6E97103D"/>
    <w:rsid w:val="71F3691E"/>
    <w:rsid w:val="721537F2"/>
    <w:rsid w:val="76B80988"/>
    <w:rsid w:val="78117670"/>
    <w:rsid w:val="7A9A289A"/>
    <w:rsid w:val="7FDB1244"/>
    <w:rsid w:val="FCD98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3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32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6">
    <w:name w:val="heading 5"/>
    <w:basedOn w:val="1"/>
    <w:next w:val="1"/>
    <w:link w:val="3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semiHidden/>
    <w:unhideWhenUsed/>
    <w:qFormat/>
    <w:uiPriority w:val="0"/>
    <w:pPr>
      <w:spacing w:after="120"/>
      <w:ind w:left="420" w:leftChars="200"/>
    </w:pPr>
  </w:style>
  <w:style w:type="paragraph" w:styleId="7">
    <w:name w:val="Normal Indent"/>
    <w:basedOn w:val="1"/>
    <w:qFormat/>
    <w:uiPriority w:val="99"/>
    <w:pPr>
      <w:adjustRightInd w:val="0"/>
      <w:spacing w:line="360" w:lineRule="atLeast"/>
      <w:ind w:firstLine="420"/>
      <w:jc w:val="left"/>
      <w:textAlignment w:val="baseline"/>
    </w:pPr>
    <w:rPr>
      <w:rFonts w:ascii="Calibri" w:hAnsi="Calibri" w:eastAsia="宋体" w:cs="Times New Roman"/>
      <w:kern w:val="0"/>
      <w:sz w:val="24"/>
      <w:szCs w:val="24"/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Body Text"/>
    <w:basedOn w:val="1"/>
    <w:link w:val="36"/>
    <w:semiHidden/>
    <w:unhideWhenUsed/>
    <w:qFormat/>
    <w:uiPriority w:val="99"/>
    <w:pPr>
      <w:spacing w:after="120"/>
    </w:pPr>
  </w:style>
  <w:style w:type="paragraph" w:styleId="10">
    <w:name w:val="Date"/>
    <w:basedOn w:val="1"/>
    <w:next w:val="1"/>
    <w:link w:val="24"/>
    <w:semiHidden/>
    <w:unhideWhenUsed/>
    <w:qFormat/>
    <w:uiPriority w:val="99"/>
    <w:pPr>
      <w:ind w:left="100" w:leftChars="2500"/>
    </w:pPr>
  </w:style>
  <w:style w:type="paragraph" w:styleId="11">
    <w:name w:val="footer"/>
    <w:basedOn w:val="1"/>
    <w:link w:val="2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unhideWhenUsed/>
    <w:qFormat/>
    <w:uiPriority w:val="39"/>
    <w:pPr>
      <w:tabs>
        <w:tab w:val="right" w:leader="dot" w:pos="8296"/>
      </w:tabs>
      <w:jc w:val="center"/>
    </w:pPr>
  </w:style>
  <w:style w:type="paragraph" w:styleId="14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Emphasis"/>
    <w:basedOn w:val="18"/>
    <w:qFormat/>
    <w:uiPriority w:val="20"/>
    <w:rPr>
      <w:i/>
    </w:rPr>
  </w:style>
  <w:style w:type="character" w:styleId="20">
    <w:name w:val="Hyperlink"/>
    <w:basedOn w:val="1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1">
    <w:name w:val="annotation reference"/>
    <w:basedOn w:val="18"/>
    <w:semiHidden/>
    <w:unhideWhenUsed/>
    <w:qFormat/>
    <w:uiPriority w:val="99"/>
    <w:rPr>
      <w:sz w:val="21"/>
      <w:szCs w:val="21"/>
    </w:rPr>
  </w:style>
  <w:style w:type="character" w:customStyle="1" w:styleId="22">
    <w:name w:val="页眉 字符"/>
    <w:basedOn w:val="18"/>
    <w:link w:val="12"/>
    <w:qFormat/>
    <w:uiPriority w:val="99"/>
    <w:rPr>
      <w:sz w:val="18"/>
      <w:szCs w:val="18"/>
    </w:rPr>
  </w:style>
  <w:style w:type="character" w:customStyle="1" w:styleId="23">
    <w:name w:val="页脚 字符"/>
    <w:basedOn w:val="18"/>
    <w:link w:val="11"/>
    <w:qFormat/>
    <w:uiPriority w:val="99"/>
    <w:rPr>
      <w:sz w:val="18"/>
      <w:szCs w:val="18"/>
    </w:rPr>
  </w:style>
  <w:style w:type="character" w:customStyle="1" w:styleId="24">
    <w:name w:val="日期 字符"/>
    <w:basedOn w:val="18"/>
    <w:link w:val="10"/>
    <w:semiHidden/>
    <w:qFormat/>
    <w:uiPriority w:val="99"/>
  </w:style>
  <w:style w:type="character" w:customStyle="1" w:styleId="25">
    <w:name w:val="Heading #1|1_"/>
    <w:basedOn w:val="18"/>
    <w:link w:val="26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paragraph" w:customStyle="1" w:styleId="26">
    <w:name w:val="Heading #1|1"/>
    <w:basedOn w:val="1"/>
    <w:link w:val="25"/>
    <w:qFormat/>
    <w:uiPriority w:val="0"/>
    <w:pPr>
      <w:spacing w:after="360" w:line="304" w:lineRule="exact"/>
      <w:jc w:val="center"/>
      <w:outlineLvl w:val="0"/>
    </w:pPr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27">
    <w:name w:val="Other|1_"/>
    <w:basedOn w:val="18"/>
    <w:link w:val="28"/>
    <w:qFormat/>
    <w:uiPriority w:val="0"/>
    <w:rPr>
      <w:rFonts w:ascii="宋体" w:hAnsi="宋体" w:eastAsia="宋体" w:cs="宋体"/>
      <w:sz w:val="15"/>
      <w:szCs w:val="15"/>
      <w:lang w:val="zh-TW" w:eastAsia="zh-TW" w:bidi="zh-TW"/>
    </w:rPr>
  </w:style>
  <w:style w:type="paragraph" w:customStyle="1" w:styleId="28">
    <w:name w:val="Other|1"/>
    <w:basedOn w:val="1"/>
    <w:link w:val="27"/>
    <w:qFormat/>
    <w:uiPriority w:val="0"/>
    <w:pPr>
      <w:spacing w:line="312" w:lineRule="exact"/>
      <w:jc w:val="left"/>
    </w:pPr>
    <w:rPr>
      <w:rFonts w:ascii="宋体" w:hAnsi="宋体" w:eastAsia="宋体" w:cs="宋体"/>
      <w:sz w:val="15"/>
      <w:szCs w:val="15"/>
      <w:lang w:val="zh-TW" w:eastAsia="zh-TW" w:bidi="zh-TW"/>
    </w:rPr>
  </w:style>
  <w:style w:type="paragraph" w:customStyle="1" w:styleId="29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character" w:customStyle="1" w:styleId="30">
    <w:name w:val="标题 1 字符"/>
    <w:basedOn w:val="18"/>
    <w:link w:val="4"/>
    <w:qFormat/>
    <w:uiPriority w:val="9"/>
    <w:rPr>
      <w:b/>
      <w:bCs/>
      <w:kern w:val="44"/>
      <w:sz w:val="44"/>
      <w:szCs w:val="44"/>
    </w:rPr>
  </w:style>
  <w:style w:type="paragraph" w:customStyle="1" w:styleId="31">
    <w:name w:val="TOC 标题1"/>
    <w:basedOn w:val="4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kern w:val="0"/>
      <w:sz w:val="32"/>
      <w:szCs w:val="32"/>
    </w:rPr>
  </w:style>
  <w:style w:type="character" w:customStyle="1" w:styleId="32">
    <w:name w:val="标题 2 字符"/>
    <w:basedOn w:val="18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33">
    <w:name w:val="正文文本1"/>
    <w:basedOn w:val="1"/>
    <w:link w:val="35"/>
    <w:qFormat/>
    <w:uiPriority w:val="0"/>
    <w:pPr>
      <w:spacing w:line="329" w:lineRule="auto"/>
    </w:pPr>
    <w:rPr>
      <w:rFonts w:ascii="宋体" w:hAnsi="宋体" w:eastAsia="宋体" w:cs="宋体"/>
      <w:sz w:val="19"/>
      <w:szCs w:val="19"/>
      <w:lang w:val="zh-CN" w:bidi="zh-CN"/>
    </w:rPr>
  </w:style>
  <w:style w:type="character" w:customStyle="1" w:styleId="34">
    <w:name w:val="标题 5 字符"/>
    <w:basedOn w:val="18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35">
    <w:name w:val="正文文本_"/>
    <w:basedOn w:val="18"/>
    <w:link w:val="33"/>
    <w:qFormat/>
    <w:uiPriority w:val="0"/>
    <w:rPr>
      <w:rFonts w:ascii="宋体" w:hAnsi="宋体" w:cs="宋体"/>
      <w:kern w:val="2"/>
      <w:sz w:val="19"/>
      <w:szCs w:val="19"/>
      <w:lang w:val="zh-CN" w:bidi="zh-CN"/>
    </w:rPr>
  </w:style>
  <w:style w:type="character" w:customStyle="1" w:styleId="36">
    <w:name w:val="正文文本 字符"/>
    <w:basedOn w:val="18"/>
    <w:link w:val="9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37">
    <w:name w:val="List Paragraph"/>
    <w:basedOn w:val="1"/>
    <w:qFormat/>
    <w:uiPriority w:val="1"/>
    <w:pPr>
      <w:spacing w:before="43"/>
      <w:ind w:left="1481" w:hanging="947"/>
      <w:jc w:val="left"/>
    </w:pPr>
    <w:rPr>
      <w:rFonts w:ascii="宋体" w:hAnsi="宋体" w:eastAsia="宋体" w:cs="宋体"/>
      <w:color w:val="000000"/>
      <w:kern w:val="0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header" Target="header2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27</Pages>
  <Words>6454</Words>
  <Characters>7374</Characters>
  <Lines>120</Lines>
  <Paragraphs>33</Paragraphs>
  <TotalTime>152</TotalTime>
  <ScaleCrop>false</ScaleCrop>
  <LinksUpToDate>false</LinksUpToDate>
  <CharactersWithSpaces>7880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2022-05-27T16:30:00Z</dcterms:created>
  <dc:creator>吴琴香</dc:creator>
  <cp:lastModifiedBy>WPS_1643073644</cp:lastModifiedBy>
  <dcterms:modified xsi:type="dcterms:W3CDTF">2026-05-20T07:42:04Z</dcterms:modified>
  <cp:revision>255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F0CB214D7F9C4423A3CDBD020619A70B_13</vt:lpwstr>
  </property>
  <property fmtid="{D5CDD505-2E9C-101B-9397-08002B2CF9AE}" pid="4" name="KSOTemplateDocerSaveRecord">
    <vt:lpwstr>eyJoZGlkIjoiNzRiODI2OTA0YTMwOTBjYmY3NTZkNTllNjIwN2U5ODUiLCJ1c2VySWQiOiIxMzE5NDc3NDg4In0=</vt:lpwstr>
  </property>
</Properties>
</file>