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2"/>
        <w:rPr>
          <w:b/>
          <w:sz w:val="28"/>
          <w:szCs w:val="28"/>
        </w:rPr>
      </w:pPr>
    </w:p>
    <w:p>
      <w:pPr>
        <w:ind w:firstLine="560"/>
        <w:rPr>
          <w:rFonts w:ascii="Times New Roman" w:hAnsi="Times New Roman" w:cs="Times New Roman"/>
          <w:sz w:val="28"/>
          <w:szCs w:val="28"/>
        </w:rPr>
      </w:pPr>
    </w:p>
    <w:p>
      <w:pPr>
        <w:ind w:firstLine="0" w:firstLineChars="0"/>
        <w:jc w:val="left"/>
        <w:rPr>
          <w:rFonts w:ascii="Times New Roman" w:hAnsi="Times New Roman" w:cs="Times New Roman"/>
          <w:sz w:val="28"/>
          <w:szCs w:val="28"/>
        </w:rPr>
      </w:pPr>
    </w:p>
    <w:p>
      <w:pPr>
        <w:ind w:firstLine="0" w:firstLineChars="0"/>
        <w:jc w:val="center"/>
        <w:rPr>
          <w:rFonts w:ascii="Times New Roman" w:hAnsi="Times New Roman" w:eastAsia="黑体" w:cs="Times New Roman"/>
          <w:sz w:val="48"/>
          <w:szCs w:val="48"/>
        </w:rPr>
      </w:pPr>
      <w:r>
        <w:rPr>
          <w:rFonts w:hint="eastAsia" w:ascii="Times New Roman" w:hAnsi="Times New Roman" w:eastAsia="黑体" w:cs="Times New Roman"/>
          <w:sz w:val="48"/>
          <w:szCs w:val="48"/>
        </w:rPr>
        <w:t>建设项目节地评价技术规程</w:t>
      </w:r>
    </w:p>
    <w:p>
      <w:pPr>
        <w:ind w:firstLine="0" w:firstLineChars="0"/>
        <w:jc w:val="center"/>
        <w:rPr>
          <w:rFonts w:ascii="Times New Roman" w:hAnsi="Times New Roman" w:eastAsia="黑体" w:cs="Times New Roman"/>
          <w:sz w:val="48"/>
          <w:szCs w:val="48"/>
        </w:rPr>
      </w:pPr>
    </w:p>
    <w:p>
      <w:pPr>
        <w:ind w:firstLine="0" w:firstLineChars="0"/>
        <w:jc w:val="center"/>
        <w:rPr>
          <w:rFonts w:ascii="Times New Roman" w:hAnsi="Times New Roman" w:eastAsia="黑体" w:cs="Times New Roman"/>
          <w:sz w:val="48"/>
          <w:szCs w:val="48"/>
        </w:rPr>
      </w:pPr>
      <w:r>
        <w:rPr>
          <w:rFonts w:ascii="Times New Roman" w:hAnsi="Times New Roman" w:eastAsia="黑体" w:cs="Times New Roman"/>
          <w:sz w:val="48"/>
          <w:szCs w:val="48"/>
        </w:rPr>
        <w:t>编制说明</w:t>
      </w:r>
    </w:p>
    <w:p>
      <w:pPr>
        <w:ind w:firstLine="560"/>
        <w:rPr>
          <w:rFonts w:ascii="Times New Roman" w:hAnsi="Times New Roman" w:cs="Times New Roman"/>
          <w:sz w:val="28"/>
          <w:szCs w:val="28"/>
        </w:rPr>
      </w:pPr>
    </w:p>
    <w:p>
      <w:pPr>
        <w:ind w:firstLine="560"/>
        <w:rPr>
          <w:rFonts w:ascii="Times New Roman" w:hAnsi="Times New Roman" w:cs="Times New Roman"/>
          <w:sz w:val="28"/>
          <w:szCs w:val="28"/>
        </w:rPr>
      </w:pPr>
    </w:p>
    <w:p>
      <w:pPr>
        <w:ind w:firstLine="560"/>
        <w:rPr>
          <w:rFonts w:ascii="Times New Roman" w:hAnsi="Times New Roman" w:cs="Times New Roman"/>
          <w:sz w:val="28"/>
          <w:szCs w:val="28"/>
        </w:rPr>
      </w:pPr>
    </w:p>
    <w:p>
      <w:pPr>
        <w:ind w:firstLine="560"/>
        <w:rPr>
          <w:rFonts w:ascii="Times New Roman" w:hAnsi="Times New Roman" w:cs="Times New Roman"/>
          <w:sz w:val="28"/>
          <w:szCs w:val="28"/>
        </w:rPr>
      </w:pPr>
    </w:p>
    <w:p>
      <w:pPr>
        <w:ind w:firstLine="560"/>
        <w:rPr>
          <w:rFonts w:ascii="Times New Roman" w:hAnsi="Times New Roman" w:cs="Times New Roman"/>
          <w:sz w:val="28"/>
          <w:szCs w:val="28"/>
        </w:rPr>
      </w:pPr>
    </w:p>
    <w:p>
      <w:pPr>
        <w:ind w:firstLine="560"/>
        <w:rPr>
          <w:rFonts w:ascii="Times New Roman" w:hAnsi="Times New Roman" w:cs="Times New Roman"/>
          <w:sz w:val="28"/>
          <w:szCs w:val="28"/>
        </w:rPr>
      </w:pPr>
    </w:p>
    <w:p>
      <w:pPr>
        <w:ind w:firstLine="560"/>
        <w:rPr>
          <w:rFonts w:ascii="Times New Roman" w:hAnsi="Times New Roman" w:cs="Times New Roman"/>
          <w:sz w:val="28"/>
          <w:szCs w:val="28"/>
        </w:rPr>
      </w:pPr>
    </w:p>
    <w:p>
      <w:pPr>
        <w:ind w:firstLine="560"/>
        <w:rPr>
          <w:rFonts w:ascii="Times New Roman" w:hAnsi="Times New Roman" w:cs="Times New Roman"/>
          <w:sz w:val="28"/>
          <w:szCs w:val="28"/>
        </w:rPr>
      </w:pPr>
    </w:p>
    <w:p>
      <w:pPr>
        <w:ind w:firstLine="560"/>
        <w:rPr>
          <w:rFonts w:ascii="Times New Roman" w:hAnsi="Times New Roman" w:cs="Times New Roman"/>
          <w:sz w:val="28"/>
          <w:szCs w:val="28"/>
        </w:rPr>
      </w:pPr>
    </w:p>
    <w:p>
      <w:pPr>
        <w:ind w:firstLine="560"/>
        <w:rPr>
          <w:rFonts w:ascii="Times New Roman" w:hAnsi="Times New Roman" w:cs="Times New Roman"/>
          <w:sz w:val="28"/>
          <w:szCs w:val="28"/>
        </w:rPr>
      </w:pPr>
    </w:p>
    <w:p>
      <w:pPr>
        <w:ind w:firstLine="560"/>
        <w:rPr>
          <w:rFonts w:ascii="Times New Roman" w:hAnsi="Times New Roman" w:cs="Times New Roman"/>
          <w:sz w:val="28"/>
          <w:szCs w:val="28"/>
        </w:rPr>
      </w:pPr>
    </w:p>
    <w:p>
      <w:pPr>
        <w:ind w:firstLine="640"/>
        <w:jc w:val="center"/>
        <w:rPr>
          <w:rFonts w:ascii="Times New Roman" w:hAnsi="Times New Roman" w:eastAsia="黑体" w:cs="Times New Roman"/>
          <w:sz w:val="32"/>
          <w:szCs w:val="32"/>
        </w:rPr>
      </w:pPr>
      <w:r>
        <w:rPr>
          <w:rFonts w:ascii="Times New Roman" w:hAnsi="Times New Roman" w:eastAsia="黑体" w:cs="Times New Roman"/>
          <w:sz w:val="32"/>
          <w:szCs w:val="32"/>
        </w:rPr>
        <w:t>湖南省国土资源规划院</w:t>
      </w:r>
    </w:p>
    <w:p>
      <w:pPr>
        <w:ind w:firstLine="560"/>
        <w:jc w:val="center"/>
        <w:rPr>
          <w:rFonts w:ascii="Times New Roman" w:hAnsi="Times New Roman" w:eastAsia="黑体" w:cs="Times New Roman"/>
          <w:sz w:val="28"/>
          <w:szCs w:val="28"/>
        </w:rPr>
      </w:pPr>
      <w:r>
        <w:rPr>
          <w:rFonts w:ascii="Times New Roman" w:hAnsi="Times New Roman" w:eastAsia="黑体" w:cs="Times New Roman"/>
          <w:sz w:val="28"/>
          <w:szCs w:val="28"/>
        </w:rPr>
        <w:t>二〇二</w:t>
      </w:r>
      <w:r>
        <w:rPr>
          <w:rFonts w:hint="eastAsia" w:ascii="Times New Roman" w:hAnsi="Times New Roman" w:eastAsia="黑体" w:cs="Times New Roman"/>
          <w:sz w:val="28"/>
          <w:szCs w:val="28"/>
        </w:rPr>
        <w:t>二</w:t>
      </w:r>
      <w:r>
        <w:rPr>
          <w:rFonts w:ascii="Times New Roman" w:hAnsi="Times New Roman" w:eastAsia="黑体" w:cs="Times New Roman"/>
          <w:sz w:val="28"/>
          <w:szCs w:val="28"/>
        </w:rPr>
        <w:t>年</w:t>
      </w:r>
      <w:r>
        <w:rPr>
          <w:rFonts w:hint="eastAsia" w:ascii="Times New Roman" w:hAnsi="Times New Roman" w:eastAsia="黑体" w:cs="Times New Roman"/>
          <w:sz w:val="28"/>
          <w:szCs w:val="28"/>
        </w:rPr>
        <w:t>十二</w:t>
      </w:r>
      <w:r>
        <w:rPr>
          <w:rFonts w:ascii="Times New Roman" w:hAnsi="Times New Roman" w:eastAsia="黑体" w:cs="Times New Roman"/>
          <w:sz w:val="28"/>
          <w:szCs w:val="28"/>
        </w:rPr>
        <w:t>月</w:t>
      </w:r>
    </w:p>
    <w:p>
      <w:pPr>
        <w:ind w:firstLine="560"/>
        <w:jc w:val="center"/>
        <w:rPr>
          <w:rFonts w:ascii="Times New Roman" w:hAnsi="Times New Roman" w:eastAsia="黑体" w:cs="Times New Roman"/>
          <w:sz w:val="28"/>
          <w:szCs w:val="28"/>
        </w:rPr>
      </w:pPr>
    </w:p>
    <w:p>
      <w:pPr>
        <w:ind w:firstLine="560"/>
        <w:jc w:val="center"/>
        <w:rPr>
          <w:rFonts w:ascii="Times New Roman" w:hAnsi="Times New Roman" w:eastAsia="黑体" w:cs="Times New Roman"/>
          <w:sz w:val="28"/>
          <w:szCs w:val="28"/>
        </w:rPr>
      </w:pPr>
    </w:p>
    <w:p>
      <w:pPr>
        <w:spacing w:before="156" w:beforeLines="50"/>
        <w:ind w:firstLine="883"/>
        <w:jc w:val="center"/>
        <w:rPr>
          <w:rFonts w:eastAsia="黑体"/>
          <w:b/>
          <w:bCs/>
          <w:sz w:val="44"/>
          <w:szCs w:val="44"/>
        </w:rPr>
      </w:pPr>
    </w:p>
    <w:p>
      <w:pPr>
        <w:spacing w:before="156" w:beforeLines="50"/>
        <w:ind w:firstLine="883"/>
        <w:jc w:val="center"/>
        <w:rPr>
          <w:rFonts w:eastAsia="黑体"/>
          <w:b/>
          <w:bCs/>
          <w:sz w:val="44"/>
          <w:szCs w:val="44"/>
        </w:rPr>
      </w:pPr>
    </w:p>
    <w:p>
      <w:pPr>
        <w:spacing w:before="156" w:beforeLines="50"/>
        <w:ind w:firstLine="883"/>
        <w:jc w:val="center"/>
        <w:rPr>
          <w:rFonts w:eastAsia="黑体"/>
          <w:b/>
          <w:bCs/>
          <w:sz w:val="44"/>
          <w:szCs w:val="44"/>
        </w:rPr>
      </w:pPr>
      <w:r>
        <w:rPr>
          <w:rFonts w:hint="eastAsia" w:eastAsia="黑体"/>
          <w:b/>
          <w:bCs/>
          <w:sz w:val="44"/>
          <w:szCs w:val="44"/>
        </w:rPr>
        <w:t>规程编制说明</w:t>
      </w:r>
    </w:p>
    <w:p>
      <w:pPr>
        <w:spacing w:before="156" w:beforeLines="50"/>
        <w:ind w:firstLine="442"/>
        <w:rPr>
          <w:b/>
          <w:sz w:val="22"/>
        </w:rPr>
      </w:pPr>
    </w:p>
    <w:p>
      <w:pPr>
        <w:spacing w:before="156" w:beforeLines="50"/>
        <w:ind w:firstLine="442"/>
        <w:rPr>
          <w:b/>
          <w:sz w:val="22"/>
        </w:rPr>
      </w:pPr>
    </w:p>
    <w:tbl>
      <w:tblPr>
        <w:tblStyle w:val="11"/>
        <w:tblW w:w="9059" w:type="dxa"/>
        <w:jc w:val="center"/>
        <w:tblLayout w:type="autofit"/>
        <w:tblCellMar>
          <w:top w:w="0" w:type="dxa"/>
          <w:left w:w="108" w:type="dxa"/>
          <w:bottom w:w="0" w:type="dxa"/>
          <w:right w:w="108" w:type="dxa"/>
        </w:tblCellMar>
      </w:tblPr>
      <w:tblGrid>
        <w:gridCol w:w="2732"/>
        <w:gridCol w:w="6327"/>
      </w:tblGrid>
      <w:tr>
        <w:tblPrEx>
          <w:tblCellMar>
            <w:top w:w="0" w:type="dxa"/>
            <w:left w:w="108" w:type="dxa"/>
            <w:bottom w:w="0" w:type="dxa"/>
            <w:right w:w="108" w:type="dxa"/>
          </w:tblCellMar>
        </w:tblPrEx>
        <w:trPr>
          <w:jc w:val="center"/>
        </w:trPr>
        <w:tc>
          <w:tcPr>
            <w:tcW w:w="2732" w:type="dxa"/>
          </w:tcPr>
          <w:p>
            <w:pPr>
              <w:spacing w:before="156" w:beforeLines="50"/>
              <w:ind w:firstLine="560"/>
              <w:jc w:val="distribute"/>
              <w:rPr>
                <w:rFonts w:eastAsia="仿宋_GB2312"/>
                <w:sz w:val="28"/>
                <w:szCs w:val="28"/>
              </w:rPr>
            </w:pPr>
            <w:r>
              <w:rPr>
                <w:rFonts w:eastAsia="仿宋_GB2312"/>
                <w:sz w:val="28"/>
                <w:szCs w:val="28"/>
              </w:rPr>
              <w:t>项目主管部门</w:t>
            </w:r>
          </w:p>
        </w:tc>
        <w:tc>
          <w:tcPr>
            <w:tcW w:w="6327" w:type="dxa"/>
          </w:tcPr>
          <w:p>
            <w:pPr>
              <w:spacing w:before="156" w:beforeLines="50"/>
              <w:ind w:left="-8" w:leftChars="-23" w:hanging="47" w:hangingChars="17"/>
              <w:rPr>
                <w:rFonts w:eastAsia="仿宋_GB2312"/>
                <w:sz w:val="28"/>
                <w:szCs w:val="28"/>
              </w:rPr>
            </w:pPr>
            <w:r>
              <w:rPr>
                <w:rFonts w:eastAsia="仿宋_GB2312"/>
                <w:sz w:val="28"/>
                <w:szCs w:val="28"/>
              </w:rPr>
              <w:t>：湖南省自然资源厅</w:t>
            </w:r>
          </w:p>
        </w:tc>
      </w:tr>
      <w:tr>
        <w:tblPrEx>
          <w:tblCellMar>
            <w:top w:w="0" w:type="dxa"/>
            <w:left w:w="108" w:type="dxa"/>
            <w:bottom w:w="0" w:type="dxa"/>
            <w:right w:w="108" w:type="dxa"/>
          </w:tblCellMar>
        </w:tblPrEx>
        <w:trPr>
          <w:jc w:val="center"/>
        </w:trPr>
        <w:tc>
          <w:tcPr>
            <w:tcW w:w="2732" w:type="dxa"/>
          </w:tcPr>
          <w:p>
            <w:pPr>
              <w:spacing w:before="156" w:beforeLines="50"/>
              <w:ind w:firstLine="560"/>
              <w:jc w:val="distribute"/>
              <w:rPr>
                <w:rFonts w:eastAsia="仿宋_GB2312"/>
                <w:sz w:val="28"/>
                <w:szCs w:val="28"/>
              </w:rPr>
            </w:pPr>
            <w:r>
              <w:rPr>
                <w:rFonts w:eastAsia="仿宋_GB2312"/>
                <w:sz w:val="28"/>
                <w:szCs w:val="28"/>
              </w:rPr>
              <w:t>项目名称</w:t>
            </w:r>
          </w:p>
        </w:tc>
        <w:tc>
          <w:tcPr>
            <w:tcW w:w="6327" w:type="dxa"/>
          </w:tcPr>
          <w:p>
            <w:pPr>
              <w:spacing w:before="156" w:beforeLines="50"/>
              <w:ind w:left="-8" w:leftChars="-23" w:hanging="47" w:hangingChars="17"/>
              <w:rPr>
                <w:rFonts w:eastAsia="仿宋_GB2312"/>
                <w:sz w:val="28"/>
                <w:szCs w:val="28"/>
              </w:rPr>
            </w:pPr>
            <w:r>
              <w:rPr>
                <w:rFonts w:eastAsia="仿宋_GB2312"/>
                <w:sz w:val="28"/>
                <w:szCs w:val="28"/>
              </w:rPr>
              <w:t>：</w:t>
            </w:r>
            <w:r>
              <w:rPr>
                <w:rFonts w:hint="eastAsia" w:eastAsia="仿宋_GB2312"/>
                <w:sz w:val="28"/>
                <w:szCs w:val="28"/>
              </w:rPr>
              <w:t>建设项目节地评价技术规程</w:t>
            </w:r>
          </w:p>
        </w:tc>
      </w:tr>
      <w:tr>
        <w:tblPrEx>
          <w:tblCellMar>
            <w:top w:w="0" w:type="dxa"/>
            <w:left w:w="108" w:type="dxa"/>
            <w:bottom w:w="0" w:type="dxa"/>
            <w:right w:w="108" w:type="dxa"/>
          </w:tblCellMar>
        </w:tblPrEx>
        <w:trPr>
          <w:jc w:val="center"/>
        </w:trPr>
        <w:tc>
          <w:tcPr>
            <w:tcW w:w="2732" w:type="dxa"/>
          </w:tcPr>
          <w:p>
            <w:pPr>
              <w:spacing w:before="156" w:beforeLines="50"/>
              <w:ind w:firstLine="560"/>
              <w:jc w:val="distribute"/>
              <w:rPr>
                <w:rFonts w:eastAsia="仿宋_GB2312"/>
                <w:sz w:val="28"/>
                <w:szCs w:val="28"/>
              </w:rPr>
            </w:pPr>
            <w:r>
              <w:rPr>
                <w:rFonts w:eastAsia="仿宋_GB2312"/>
                <w:sz w:val="28"/>
                <w:szCs w:val="28"/>
              </w:rPr>
              <w:t>项目编号</w:t>
            </w:r>
          </w:p>
        </w:tc>
        <w:tc>
          <w:tcPr>
            <w:tcW w:w="6327" w:type="dxa"/>
          </w:tcPr>
          <w:p>
            <w:pPr>
              <w:spacing w:before="156" w:beforeLines="50"/>
              <w:ind w:left="-8" w:leftChars="-23" w:hanging="47" w:hangingChars="17"/>
              <w:rPr>
                <w:rFonts w:eastAsia="仿宋_GB2312"/>
                <w:sz w:val="28"/>
                <w:szCs w:val="28"/>
              </w:rPr>
            </w:pPr>
            <w:r>
              <w:rPr>
                <w:rFonts w:eastAsia="仿宋_GB2312"/>
                <w:sz w:val="28"/>
                <w:szCs w:val="28"/>
              </w:rPr>
              <w:t>：2021B06</w:t>
            </w:r>
          </w:p>
        </w:tc>
      </w:tr>
      <w:tr>
        <w:tblPrEx>
          <w:tblCellMar>
            <w:top w:w="0" w:type="dxa"/>
            <w:left w:w="108" w:type="dxa"/>
            <w:bottom w:w="0" w:type="dxa"/>
            <w:right w:w="108" w:type="dxa"/>
          </w:tblCellMar>
        </w:tblPrEx>
        <w:trPr>
          <w:jc w:val="center"/>
        </w:trPr>
        <w:tc>
          <w:tcPr>
            <w:tcW w:w="2732" w:type="dxa"/>
          </w:tcPr>
          <w:p>
            <w:pPr>
              <w:spacing w:before="156" w:beforeLines="50"/>
              <w:ind w:firstLine="560"/>
              <w:jc w:val="distribute"/>
              <w:rPr>
                <w:rFonts w:eastAsia="仿宋_GB2312"/>
                <w:sz w:val="28"/>
                <w:szCs w:val="28"/>
              </w:rPr>
            </w:pPr>
            <w:r>
              <w:rPr>
                <w:rFonts w:eastAsia="仿宋_GB2312"/>
                <w:sz w:val="28"/>
                <w:szCs w:val="28"/>
              </w:rPr>
              <w:t>项目起止时间</w:t>
            </w:r>
          </w:p>
        </w:tc>
        <w:tc>
          <w:tcPr>
            <w:tcW w:w="6327" w:type="dxa"/>
          </w:tcPr>
          <w:p>
            <w:pPr>
              <w:spacing w:before="156" w:beforeLines="50"/>
              <w:ind w:left="-8" w:leftChars="-23" w:hanging="47" w:hangingChars="17"/>
              <w:rPr>
                <w:rFonts w:eastAsia="仿宋_GB2312"/>
                <w:sz w:val="28"/>
                <w:szCs w:val="28"/>
              </w:rPr>
            </w:pPr>
            <w:r>
              <w:rPr>
                <w:rFonts w:eastAsia="仿宋_GB2312"/>
                <w:sz w:val="28"/>
                <w:szCs w:val="28"/>
              </w:rPr>
              <w:t>：20</w:t>
            </w:r>
            <w:r>
              <w:rPr>
                <w:rFonts w:hint="eastAsia" w:eastAsia="仿宋_GB2312"/>
                <w:sz w:val="28"/>
                <w:szCs w:val="28"/>
              </w:rPr>
              <w:t>2</w:t>
            </w:r>
            <w:r>
              <w:rPr>
                <w:rFonts w:eastAsia="仿宋_GB2312"/>
                <w:sz w:val="28"/>
                <w:szCs w:val="28"/>
              </w:rPr>
              <w:t>1</w:t>
            </w:r>
            <w:r>
              <w:rPr>
                <w:rFonts w:hint="eastAsia" w:eastAsia="仿宋_GB2312"/>
                <w:sz w:val="28"/>
                <w:szCs w:val="28"/>
              </w:rPr>
              <w:t>年</w:t>
            </w:r>
            <w:r>
              <w:rPr>
                <w:rFonts w:eastAsia="仿宋_GB2312"/>
                <w:sz w:val="28"/>
                <w:szCs w:val="28"/>
              </w:rPr>
              <w:t>6</w:t>
            </w:r>
            <w:r>
              <w:rPr>
                <w:rFonts w:hint="eastAsia" w:eastAsia="仿宋_GB2312"/>
                <w:sz w:val="28"/>
                <w:szCs w:val="28"/>
              </w:rPr>
              <w:t>月</w:t>
            </w:r>
            <w:r>
              <w:rPr>
                <w:rFonts w:eastAsia="仿宋_GB2312"/>
                <w:sz w:val="28"/>
                <w:szCs w:val="28"/>
              </w:rPr>
              <w:t>-20</w:t>
            </w:r>
            <w:r>
              <w:rPr>
                <w:rFonts w:hint="eastAsia" w:eastAsia="仿宋_GB2312"/>
                <w:sz w:val="28"/>
                <w:szCs w:val="28"/>
              </w:rPr>
              <w:t>2</w:t>
            </w:r>
            <w:r>
              <w:rPr>
                <w:rFonts w:eastAsia="仿宋_GB2312"/>
                <w:sz w:val="28"/>
                <w:szCs w:val="28"/>
              </w:rPr>
              <w:t>2</w:t>
            </w:r>
            <w:r>
              <w:rPr>
                <w:rFonts w:hint="eastAsia" w:eastAsia="仿宋_GB2312"/>
                <w:sz w:val="28"/>
                <w:szCs w:val="28"/>
              </w:rPr>
              <w:t>年</w:t>
            </w:r>
            <w:r>
              <w:rPr>
                <w:rFonts w:eastAsia="仿宋_GB2312"/>
                <w:sz w:val="28"/>
                <w:szCs w:val="28"/>
              </w:rPr>
              <w:t>12</w:t>
            </w:r>
            <w:r>
              <w:rPr>
                <w:rFonts w:hint="eastAsia" w:eastAsia="仿宋_GB2312"/>
                <w:sz w:val="28"/>
                <w:szCs w:val="28"/>
              </w:rPr>
              <w:t>月</w:t>
            </w:r>
          </w:p>
        </w:tc>
      </w:tr>
      <w:tr>
        <w:tblPrEx>
          <w:tblCellMar>
            <w:top w:w="0" w:type="dxa"/>
            <w:left w:w="108" w:type="dxa"/>
            <w:bottom w:w="0" w:type="dxa"/>
            <w:right w:w="108" w:type="dxa"/>
          </w:tblCellMar>
        </w:tblPrEx>
        <w:trPr>
          <w:jc w:val="center"/>
        </w:trPr>
        <w:tc>
          <w:tcPr>
            <w:tcW w:w="2732" w:type="dxa"/>
          </w:tcPr>
          <w:p>
            <w:pPr>
              <w:spacing w:before="156" w:beforeLines="50"/>
              <w:ind w:firstLine="560"/>
              <w:jc w:val="distribute"/>
              <w:rPr>
                <w:rFonts w:eastAsia="仿宋_GB2312"/>
                <w:sz w:val="28"/>
                <w:szCs w:val="28"/>
              </w:rPr>
            </w:pPr>
            <w:r>
              <w:rPr>
                <w:rFonts w:eastAsia="仿宋_GB2312"/>
                <w:sz w:val="28"/>
                <w:szCs w:val="28"/>
              </w:rPr>
              <w:t>项目承担单位</w:t>
            </w:r>
          </w:p>
        </w:tc>
        <w:tc>
          <w:tcPr>
            <w:tcW w:w="6327" w:type="dxa"/>
          </w:tcPr>
          <w:p>
            <w:pPr>
              <w:spacing w:before="156" w:beforeLines="50"/>
              <w:ind w:left="-8" w:leftChars="-23" w:hanging="47" w:hangingChars="17"/>
              <w:rPr>
                <w:rFonts w:eastAsia="仿宋_GB2312"/>
                <w:sz w:val="28"/>
                <w:szCs w:val="28"/>
              </w:rPr>
            </w:pPr>
            <w:r>
              <w:rPr>
                <w:rFonts w:eastAsia="仿宋_GB2312"/>
                <w:sz w:val="28"/>
                <w:szCs w:val="28"/>
              </w:rPr>
              <w:t xml:space="preserve">：湖南省国土资源规划院 </w:t>
            </w:r>
          </w:p>
        </w:tc>
      </w:tr>
      <w:tr>
        <w:tblPrEx>
          <w:tblCellMar>
            <w:top w:w="0" w:type="dxa"/>
            <w:left w:w="108" w:type="dxa"/>
            <w:bottom w:w="0" w:type="dxa"/>
            <w:right w:w="108" w:type="dxa"/>
          </w:tblCellMar>
        </w:tblPrEx>
        <w:trPr>
          <w:jc w:val="center"/>
        </w:trPr>
        <w:tc>
          <w:tcPr>
            <w:tcW w:w="2732" w:type="dxa"/>
          </w:tcPr>
          <w:p>
            <w:pPr>
              <w:spacing w:before="156" w:beforeLines="50"/>
              <w:ind w:firstLine="560"/>
              <w:jc w:val="distribute"/>
              <w:rPr>
                <w:rFonts w:eastAsia="仿宋_GB2312"/>
                <w:sz w:val="28"/>
                <w:szCs w:val="28"/>
              </w:rPr>
            </w:pPr>
            <w:r>
              <w:rPr>
                <w:rFonts w:eastAsia="仿宋_GB2312"/>
                <w:sz w:val="28"/>
                <w:szCs w:val="28"/>
              </w:rPr>
              <w:t>项目负责人</w:t>
            </w:r>
          </w:p>
        </w:tc>
        <w:tc>
          <w:tcPr>
            <w:tcW w:w="6327" w:type="dxa"/>
          </w:tcPr>
          <w:p>
            <w:pPr>
              <w:spacing w:before="156" w:beforeLines="50"/>
              <w:ind w:left="-8" w:leftChars="-23" w:hanging="47" w:hangingChars="17"/>
              <w:rPr>
                <w:rFonts w:eastAsia="仿宋_GB2312"/>
                <w:sz w:val="28"/>
                <w:szCs w:val="28"/>
              </w:rPr>
            </w:pPr>
            <w:r>
              <w:rPr>
                <w:rFonts w:eastAsia="仿宋_GB2312"/>
                <w:sz w:val="28"/>
                <w:szCs w:val="28"/>
              </w:rPr>
              <w:t>：</w:t>
            </w:r>
            <w:r>
              <w:rPr>
                <w:rFonts w:hint="eastAsia" w:eastAsia="仿宋_GB2312"/>
                <w:sz w:val="28"/>
                <w:szCs w:val="28"/>
              </w:rPr>
              <w:t>谢显军</w:t>
            </w:r>
          </w:p>
        </w:tc>
      </w:tr>
      <w:tr>
        <w:tblPrEx>
          <w:tblCellMar>
            <w:top w:w="0" w:type="dxa"/>
            <w:left w:w="108" w:type="dxa"/>
            <w:bottom w:w="0" w:type="dxa"/>
            <w:right w:w="108" w:type="dxa"/>
          </w:tblCellMar>
        </w:tblPrEx>
        <w:trPr>
          <w:jc w:val="center"/>
        </w:trPr>
        <w:tc>
          <w:tcPr>
            <w:tcW w:w="2732" w:type="dxa"/>
          </w:tcPr>
          <w:p>
            <w:pPr>
              <w:spacing w:before="156" w:beforeLines="50"/>
              <w:ind w:firstLine="560"/>
              <w:jc w:val="distribute"/>
              <w:rPr>
                <w:rFonts w:eastAsia="仿宋_GB2312"/>
                <w:sz w:val="28"/>
                <w:szCs w:val="28"/>
              </w:rPr>
            </w:pPr>
            <w:r>
              <w:rPr>
                <w:rFonts w:hint="eastAsia" w:eastAsia="仿宋_GB2312"/>
                <w:sz w:val="28"/>
                <w:szCs w:val="28"/>
              </w:rPr>
              <w:t>报告编写</w:t>
            </w:r>
            <w:r>
              <w:rPr>
                <w:rFonts w:eastAsia="仿宋_GB2312"/>
                <w:sz w:val="28"/>
                <w:szCs w:val="28"/>
              </w:rPr>
              <w:t>人</w:t>
            </w:r>
          </w:p>
        </w:tc>
        <w:tc>
          <w:tcPr>
            <w:tcW w:w="6327" w:type="dxa"/>
          </w:tcPr>
          <w:p>
            <w:pPr>
              <w:spacing w:before="156" w:beforeLines="50"/>
              <w:ind w:left="-8" w:leftChars="-23" w:hanging="47" w:hangingChars="17"/>
              <w:rPr>
                <w:rFonts w:eastAsia="仿宋_GB2312"/>
                <w:sz w:val="28"/>
                <w:szCs w:val="28"/>
              </w:rPr>
            </w:pPr>
            <w:r>
              <w:rPr>
                <w:rFonts w:eastAsia="仿宋_GB2312"/>
                <w:sz w:val="28"/>
                <w:szCs w:val="28"/>
              </w:rPr>
              <w:t>：</w:t>
            </w:r>
            <w:r>
              <w:rPr>
                <w:rFonts w:hint="eastAsia" w:eastAsia="仿宋_GB2312"/>
                <w:sz w:val="28"/>
                <w:szCs w:val="28"/>
              </w:rPr>
              <w:t>谢显军、唐宝莉、肖文君、卜聪</w:t>
            </w:r>
          </w:p>
        </w:tc>
      </w:tr>
      <w:tr>
        <w:tblPrEx>
          <w:tblCellMar>
            <w:top w:w="0" w:type="dxa"/>
            <w:left w:w="108" w:type="dxa"/>
            <w:bottom w:w="0" w:type="dxa"/>
            <w:right w:w="108" w:type="dxa"/>
          </w:tblCellMar>
        </w:tblPrEx>
        <w:trPr>
          <w:jc w:val="center"/>
        </w:trPr>
        <w:tc>
          <w:tcPr>
            <w:tcW w:w="2732" w:type="dxa"/>
          </w:tcPr>
          <w:p>
            <w:pPr>
              <w:spacing w:before="156" w:beforeLines="50"/>
              <w:ind w:firstLine="560"/>
              <w:jc w:val="distribute"/>
              <w:rPr>
                <w:rFonts w:eastAsia="仿宋_GB2312"/>
                <w:sz w:val="28"/>
                <w:szCs w:val="28"/>
              </w:rPr>
            </w:pPr>
            <w:r>
              <w:rPr>
                <w:rFonts w:eastAsia="仿宋_GB2312"/>
                <w:sz w:val="28"/>
                <w:szCs w:val="28"/>
              </w:rPr>
              <w:t>成果提交单位</w:t>
            </w:r>
          </w:p>
        </w:tc>
        <w:tc>
          <w:tcPr>
            <w:tcW w:w="6327" w:type="dxa"/>
          </w:tcPr>
          <w:p>
            <w:pPr>
              <w:spacing w:before="156" w:beforeLines="50"/>
              <w:ind w:left="-8" w:leftChars="-23" w:hanging="47" w:hangingChars="17"/>
              <w:rPr>
                <w:rFonts w:eastAsia="仿宋_GB2312"/>
                <w:sz w:val="28"/>
                <w:szCs w:val="28"/>
              </w:rPr>
            </w:pPr>
            <w:r>
              <w:rPr>
                <w:rFonts w:eastAsia="仿宋_GB2312"/>
                <w:sz w:val="28"/>
                <w:szCs w:val="28"/>
              </w:rPr>
              <w:t xml:space="preserve">：湖南省国土资源规划院 </w:t>
            </w:r>
          </w:p>
        </w:tc>
      </w:tr>
      <w:tr>
        <w:tblPrEx>
          <w:tblCellMar>
            <w:top w:w="0" w:type="dxa"/>
            <w:left w:w="108" w:type="dxa"/>
            <w:bottom w:w="0" w:type="dxa"/>
            <w:right w:w="108" w:type="dxa"/>
          </w:tblCellMar>
        </w:tblPrEx>
        <w:trPr>
          <w:jc w:val="center"/>
        </w:trPr>
        <w:tc>
          <w:tcPr>
            <w:tcW w:w="2732" w:type="dxa"/>
          </w:tcPr>
          <w:p>
            <w:pPr>
              <w:spacing w:before="156" w:beforeLines="50"/>
              <w:ind w:firstLine="560"/>
              <w:jc w:val="distribute"/>
              <w:rPr>
                <w:rFonts w:eastAsia="仿宋_GB2312"/>
                <w:sz w:val="28"/>
                <w:szCs w:val="28"/>
              </w:rPr>
            </w:pPr>
            <w:r>
              <w:rPr>
                <w:rFonts w:eastAsia="仿宋_GB2312"/>
                <w:sz w:val="28"/>
                <w:szCs w:val="28"/>
              </w:rPr>
              <w:t>提交时间</w:t>
            </w:r>
          </w:p>
        </w:tc>
        <w:tc>
          <w:tcPr>
            <w:tcW w:w="6327" w:type="dxa"/>
          </w:tcPr>
          <w:p>
            <w:pPr>
              <w:spacing w:before="156" w:beforeLines="50"/>
              <w:ind w:left="-8" w:leftChars="-23" w:hanging="47" w:hangingChars="17"/>
              <w:rPr>
                <w:rFonts w:eastAsia="仿宋_GB2312"/>
                <w:sz w:val="28"/>
                <w:szCs w:val="28"/>
              </w:rPr>
            </w:pPr>
            <w:r>
              <w:rPr>
                <w:rFonts w:eastAsia="仿宋_GB2312"/>
                <w:sz w:val="28"/>
                <w:szCs w:val="28"/>
              </w:rPr>
              <w:t>：2022年</w:t>
            </w:r>
            <w:r>
              <w:rPr>
                <w:rFonts w:hint="eastAsia" w:eastAsia="仿宋_GB2312"/>
                <w:sz w:val="28"/>
                <w:szCs w:val="28"/>
              </w:rPr>
              <w:t>1</w:t>
            </w:r>
            <w:r>
              <w:rPr>
                <w:rFonts w:eastAsia="仿宋_GB2312"/>
                <w:sz w:val="28"/>
                <w:szCs w:val="28"/>
              </w:rPr>
              <w:t>2月30日</w:t>
            </w:r>
          </w:p>
        </w:tc>
      </w:tr>
    </w:tbl>
    <w:p>
      <w:pPr>
        <w:widowControl/>
        <w:spacing w:before="156" w:beforeLines="50"/>
        <w:ind w:firstLine="643"/>
        <w:jc w:val="center"/>
        <w:rPr>
          <w:rFonts w:eastAsia="仿宋_GB2312"/>
          <w:b/>
          <w:sz w:val="32"/>
          <w:szCs w:val="32"/>
        </w:rPr>
      </w:pPr>
    </w:p>
    <w:p>
      <w:pPr>
        <w:ind w:firstLine="560"/>
        <w:jc w:val="center"/>
        <w:rPr>
          <w:rFonts w:ascii="Times New Roman" w:hAnsi="Times New Roman" w:eastAsia="黑体" w:cs="Times New Roman"/>
          <w:sz w:val="28"/>
          <w:szCs w:val="28"/>
        </w:rPr>
      </w:pPr>
    </w:p>
    <w:p>
      <w:pPr>
        <w:widowControl/>
        <w:spacing w:before="156" w:beforeLines="50" w:after="156" w:afterLines="50" w:line="500" w:lineRule="exact"/>
        <w:ind w:firstLine="643"/>
        <w:jc w:val="center"/>
        <w:rPr>
          <w:rFonts w:ascii="仿宋_GB2312" w:hAnsi="宋体" w:eastAsia="仿宋_GB2312"/>
          <w:b/>
          <w:sz w:val="32"/>
          <w:szCs w:val="32"/>
        </w:rPr>
      </w:pPr>
      <w:r>
        <w:rPr>
          <w:rFonts w:hint="eastAsia" w:ascii="仿宋_GB2312" w:hAnsi="宋体" w:eastAsia="仿宋_GB2312"/>
          <w:b/>
          <w:sz w:val="32"/>
          <w:szCs w:val="32"/>
        </w:rPr>
        <w:t>湖南省国土资源规划院</w:t>
      </w:r>
    </w:p>
    <w:p>
      <w:pPr>
        <w:widowControl/>
        <w:spacing w:before="156" w:beforeLines="50" w:after="156" w:afterLines="50" w:line="500" w:lineRule="exact"/>
        <w:ind w:firstLine="643"/>
        <w:jc w:val="center"/>
        <w:rPr>
          <w:rFonts w:ascii="仿宋_GB2312" w:hAnsi="宋体" w:eastAsia="仿宋_GB2312"/>
          <w:b/>
          <w:sz w:val="32"/>
          <w:szCs w:val="32"/>
        </w:rPr>
      </w:pPr>
      <w:r>
        <w:rPr>
          <w:rFonts w:hint="eastAsia" w:ascii="仿宋_GB2312" w:hAnsi="宋体" w:eastAsia="仿宋_GB2312"/>
          <w:b/>
          <w:sz w:val="32"/>
          <w:szCs w:val="32"/>
        </w:rPr>
        <w:t>二〇二二年十二月</w:t>
      </w:r>
    </w:p>
    <w:p>
      <w:pPr>
        <w:ind w:firstLine="560"/>
        <w:jc w:val="center"/>
        <w:rPr>
          <w:rFonts w:ascii="Times New Roman" w:hAnsi="Times New Roman" w:eastAsia="黑体" w:cs="Times New Roman"/>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ind w:firstLine="0" w:firstLineChars="0"/>
        <w:jc w:val="center"/>
        <w:rPr>
          <w:rFonts w:ascii="Times New Roman" w:hAnsi="Times New Roman" w:eastAsia="黑体" w:cs="Times New Roman"/>
          <w:sz w:val="28"/>
          <w:szCs w:val="28"/>
        </w:rPr>
      </w:pPr>
      <w:r>
        <w:rPr>
          <w:rFonts w:ascii="Times New Roman" w:hAnsi="Times New Roman" w:eastAsia="黑体" w:cs="Times New Roman"/>
          <w:sz w:val="28"/>
          <w:szCs w:val="28"/>
        </w:rPr>
        <w:t>目  录</w:t>
      </w:r>
    </w:p>
    <w:p>
      <w:pPr>
        <w:pStyle w:val="9"/>
        <w:ind w:left="410" w:hanging="410"/>
        <w:rPr>
          <w:color w:val="auto"/>
          <w:sz w:val="21"/>
        </w:rPr>
      </w:pPr>
      <w:r>
        <w:rPr>
          <w:rFonts w:ascii="Times New Roman" w:hAnsi="Times New Roman" w:eastAsia="仿宋_GB2312" w:cs="Times New Roman"/>
          <w:szCs w:val="24"/>
        </w:rPr>
        <w:fldChar w:fldCharType="begin"/>
      </w:r>
      <w:r>
        <w:rPr>
          <w:rFonts w:ascii="Times New Roman" w:hAnsi="Times New Roman" w:eastAsia="仿宋_GB2312" w:cs="Times New Roman"/>
          <w:szCs w:val="24"/>
        </w:rPr>
        <w:instrText xml:space="preserve"> TOC \o "1-3" \h \z \u </w:instrText>
      </w:r>
      <w:r>
        <w:rPr>
          <w:rFonts w:ascii="Times New Roman" w:hAnsi="Times New Roman" w:eastAsia="仿宋_GB2312" w:cs="Times New Roman"/>
          <w:szCs w:val="24"/>
        </w:rPr>
        <w:fldChar w:fldCharType="separate"/>
      </w:r>
      <w:r>
        <w:fldChar w:fldCharType="begin"/>
      </w:r>
      <w:r>
        <w:instrText xml:space="preserve"> HYPERLINK \l "_Toc111929637" </w:instrText>
      </w:r>
      <w:r>
        <w:fldChar w:fldCharType="separate"/>
      </w:r>
      <w:r>
        <w:rPr>
          <w:rStyle w:val="14"/>
          <w:rFonts w:ascii="Times New Roman" w:hAnsi="Times New Roman" w:eastAsia="黑体" w:cs="Times New Roman"/>
          <w:bCs/>
        </w:rPr>
        <w:t>一、规程制定背景</w:t>
      </w:r>
      <w:r>
        <w:tab/>
      </w:r>
      <w:r>
        <w:fldChar w:fldCharType="begin"/>
      </w:r>
      <w:r>
        <w:instrText xml:space="preserve"> PAGEREF _Toc111929637 \h </w:instrText>
      </w:r>
      <w:r>
        <w:fldChar w:fldCharType="separate"/>
      </w:r>
      <w:r>
        <w:t>1</w:t>
      </w:r>
      <w:r>
        <w:fldChar w:fldCharType="end"/>
      </w:r>
      <w:r>
        <w:fldChar w:fldCharType="end"/>
      </w:r>
    </w:p>
    <w:p>
      <w:pPr>
        <w:pStyle w:val="9"/>
        <w:ind w:left="410" w:hanging="410"/>
        <w:rPr>
          <w:color w:val="auto"/>
          <w:sz w:val="21"/>
        </w:rPr>
      </w:pPr>
      <w:r>
        <w:fldChar w:fldCharType="begin"/>
      </w:r>
      <w:r>
        <w:instrText xml:space="preserve"> HYPERLINK \l "_Toc111929638" </w:instrText>
      </w:r>
      <w:r>
        <w:fldChar w:fldCharType="separate"/>
      </w:r>
      <w:r>
        <w:rPr>
          <w:rStyle w:val="14"/>
          <w:rFonts w:ascii="Times New Roman" w:hAnsi="Times New Roman" w:eastAsia="黑体" w:cs="Times New Roman"/>
          <w:bCs/>
        </w:rPr>
        <w:t>二、规程制定目的</w:t>
      </w:r>
      <w:r>
        <w:tab/>
      </w:r>
      <w:r>
        <w:fldChar w:fldCharType="begin"/>
      </w:r>
      <w:r>
        <w:instrText xml:space="preserve"> PAGEREF _Toc111929638 \h </w:instrText>
      </w:r>
      <w:r>
        <w:fldChar w:fldCharType="separate"/>
      </w:r>
      <w:r>
        <w:t>2</w:t>
      </w:r>
      <w:r>
        <w:fldChar w:fldCharType="end"/>
      </w:r>
      <w:r>
        <w:fldChar w:fldCharType="end"/>
      </w:r>
    </w:p>
    <w:p>
      <w:pPr>
        <w:pStyle w:val="9"/>
        <w:ind w:left="410" w:hanging="410"/>
        <w:rPr>
          <w:color w:val="auto"/>
          <w:sz w:val="21"/>
        </w:rPr>
      </w:pPr>
      <w:r>
        <w:fldChar w:fldCharType="begin"/>
      </w:r>
      <w:r>
        <w:instrText xml:space="preserve"> HYPERLINK \l "_Toc111929639" </w:instrText>
      </w:r>
      <w:r>
        <w:fldChar w:fldCharType="separate"/>
      </w:r>
      <w:r>
        <w:rPr>
          <w:rStyle w:val="14"/>
          <w:rFonts w:ascii="Times New Roman" w:hAnsi="Times New Roman" w:eastAsia="黑体" w:cs="Times New Roman"/>
          <w:bCs/>
        </w:rPr>
        <w:t>三、工作简况</w:t>
      </w:r>
      <w:r>
        <w:tab/>
      </w:r>
      <w:r>
        <w:fldChar w:fldCharType="begin"/>
      </w:r>
      <w:r>
        <w:instrText xml:space="preserve"> PAGEREF _Toc111929639 \h </w:instrText>
      </w:r>
      <w:r>
        <w:fldChar w:fldCharType="separate"/>
      </w:r>
      <w:r>
        <w:t>2</w:t>
      </w:r>
      <w:r>
        <w:fldChar w:fldCharType="end"/>
      </w:r>
      <w:r>
        <w:fldChar w:fldCharType="end"/>
      </w:r>
    </w:p>
    <w:p>
      <w:pPr>
        <w:pStyle w:val="5"/>
        <w:rPr>
          <w:color w:val="auto"/>
          <w:sz w:val="21"/>
        </w:rPr>
      </w:pPr>
      <w:r>
        <w:fldChar w:fldCharType="begin"/>
      </w:r>
      <w:r>
        <w:instrText xml:space="preserve"> HYPERLINK \l "_Toc111929640" </w:instrText>
      </w:r>
      <w:r>
        <w:fldChar w:fldCharType="separate"/>
      </w:r>
      <w:r>
        <w:rPr>
          <w:rStyle w:val="14"/>
          <w:rFonts w:ascii="Times New Roman" w:hAnsi="Times New Roman" w:eastAsia="黑体" w:cs="Times New Roman"/>
          <w:bCs/>
        </w:rPr>
        <w:t>3.1 主要工作过程</w:t>
      </w:r>
      <w:r>
        <w:tab/>
      </w:r>
      <w:r>
        <w:fldChar w:fldCharType="begin"/>
      </w:r>
      <w:r>
        <w:instrText xml:space="preserve"> PAGEREF _Toc111929640 \h </w:instrText>
      </w:r>
      <w:r>
        <w:fldChar w:fldCharType="separate"/>
      </w:r>
      <w:r>
        <w:t>2</w:t>
      </w:r>
      <w:r>
        <w:fldChar w:fldCharType="end"/>
      </w:r>
      <w:r>
        <w:fldChar w:fldCharType="end"/>
      </w:r>
    </w:p>
    <w:p>
      <w:pPr>
        <w:pStyle w:val="5"/>
        <w:rPr>
          <w:color w:val="auto"/>
          <w:sz w:val="21"/>
        </w:rPr>
      </w:pPr>
      <w:r>
        <w:fldChar w:fldCharType="begin"/>
      </w:r>
      <w:r>
        <w:instrText xml:space="preserve"> HYPERLINK \l "_Toc111929641" </w:instrText>
      </w:r>
      <w:r>
        <w:fldChar w:fldCharType="separate"/>
      </w:r>
      <w:r>
        <w:rPr>
          <w:rStyle w:val="14"/>
          <w:rFonts w:ascii="Times New Roman" w:hAnsi="Times New Roman" w:eastAsia="黑体" w:cs="Times New Roman"/>
          <w:bCs/>
        </w:rPr>
        <w:t>3.2 起草单位介绍</w:t>
      </w:r>
      <w:r>
        <w:tab/>
      </w:r>
      <w:r>
        <w:fldChar w:fldCharType="begin"/>
      </w:r>
      <w:r>
        <w:instrText xml:space="preserve"> PAGEREF _Toc111929641 \h </w:instrText>
      </w:r>
      <w:r>
        <w:fldChar w:fldCharType="separate"/>
      </w:r>
      <w:r>
        <w:t>2</w:t>
      </w:r>
      <w:r>
        <w:fldChar w:fldCharType="end"/>
      </w:r>
      <w:r>
        <w:fldChar w:fldCharType="end"/>
      </w:r>
    </w:p>
    <w:p>
      <w:pPr>
        <w:pStyle w:val="9"/>
        <w:ind w:left="410" w:hanging="410"/>
        <w:rPr>
          <w:color w:val="auto"/>
          <w:sz w:val="21"/>
        </w:rPr>
      </w:pPr>
      <w:r>
        <w:fldChar w:fldCharType="begin"/>
      </w:r>
      <w:r>
        <w:instrText xml:space="preserve"> HYPERLINK \l "_Toc111929642" </w:instrText>
      </w:r>
      <w:r>
        <w:fldChar w:fldCharType="separate"/>
      </w:r>
      <w:r>
        <w:rPr>
          <w:rStyle w:val="14"/>
          <w:rFonts w:ascii="Times New Roman" w:hAnsi="Times New Roman" w:eastAsia="黑体" w:cs="Times New Roman"/>
          <w:bCs/>
        </w:rPr>
        <w:t>四、主要技术内容说明</w:t>
      </w:r>
      <w:r>
        <w:tab/>
      </w:r>
      <w:r>
        <w:fldChar w:fldCharType="begin"/>
      </w:r>
      <w:r>
        <w:instrText xml:space="preserve"> PAGEREF _Toc111929642 \h </w:instrText>
      </w:r>
      <w:r>
        <w:fldChar w:fldCharType="separate"/>
      </w:r>
      <w:r>
        <w:t>3</w:t>
      </w:r>
      <w:r>
        <w:fldChar w:fldCharType="end"/>
      </w:r>
      <w:r>
        <w:fldChar w:fldCharType="end"/>
      </w:r>
    </w:p>
    <w:p>
      <w:pPr>
        <w:pStyle w:val="5"/>
        <w:rPr>
          <w:color w:val="auto"/>
          <w:sz w:val="21"/>
        </w:rPr>
      </w:pPr>
      <w:r>
        <w:fldChar w:fldCharType="begin"/>
      </w:r>
      <w:r>
        <w:instrText xml:space="preserve"> HYPERLINK \l "_Toc111929643" </w:instrText>
      </w:r>
      <w:r>
        <w:fldChar w:fldCharType="separate"/>
      </w:r>
      <w:r>
        <w:rPr>
          <w:rStyle w:val="14"/>
          <w:rFonts w:ascii="Times New Roman" w:hAnsi="Times New Roman" w:eastAsia="黑体" w:cs="Times New Roman"/>
          <w:bCs/>
        </w:rPr>
        <w:t>4.1 编制依据</w:t>
      </w:r>
      <w:r>
        <w:tab/>
      </w:r>
      <w:r>
        <w:fldChar w:fldCharType="begin"/>
      </w:r>
      <w:r>
        <w:instrText xml:space="preserve"> PAGEREF _Toc111929643 \h </w:instrText>
      </w:r>
      <w:r>
        <w:fldChar w:fldCharType="separate"/>
      </w:r>
      <w:r>
        <w:t>3</w:t>
      </w:r>
      <w:r>
        <w:fldChar w:fldCharType="end"/>
      </w:r>
      <w:r>
        <w:fldChar w:fldCharType="end"/>
      </w:r>
    </w:p>
    <w:p>
      <w:pPr>
        <w:pStyle w:val="5"/>
        <w:rPr>
          <w:color w:val="auto"/>
          <w:sz w:val="21"/>
        </w:rPr>
      </w:pPr>
      <w:r>
        <w:fldChar w:fldCharType="begin"/>
      </w:r>
      <w:r>
        <w:instrText xml:space="preserve"> HYPERLINK \l "_Toc111929644" </w:instrText>
      </w:r>
      <w:r>
        <w:fldChar w:fldCharType="separate"/>
      </w:r>
      <w:r>
        <w:rPr>
          <w:rStyle w:val="14"/>
          <w:rFonts w:ascii="Times New Roman" w:hAnsi="Times New Roman" w:eastAsia="黑体" w:cs="Times New Roman"/>
          <w:bCs/>
        </w:rPr>
        <w:t>4.2 建设项目节地评价对象确定</w:t>
      </w:r>
      <w:r>
        <w:tab/>
      </w:r>
      <w:r>
        <w:fldChar w:fldCharType="begin"/>
      </w:r>
      <w:r>
        <w:instrText xml:space="preserve"> PAGEREF _Toc111929644 \h </w:instrText>
      </w:r>
      <w:r>
        <w:fldChar w:fldCharType="separate"/>
      </w:r>
      <w:r>
        <w:t>3</w:t>
      </w:r>
      <w:r>
        <w:fldChar w:fldCharType="end"/>
      </w:r>
      <w:r>
        <w:fldChar w:fldCharType="end"/>
      </w:r>
    </w:p>
    <w:p>
      <w:pPr>
        <w:pStyle w:val="5"/>
        <w:rPr>
          <w:color w:val="auto"/>
          <w:sz w:val="21"/>
        </w:rPr>
      </w:pPr>
      <w:r>
        <w:fldChar w:fldCharType="begin"/>
      </w:r>
      <w:r>
        <w:instrText xml:space="preserve"> HYPERLINK \l "_Toc111929645" </w:instrText>
      </w:r>
      <w:r>
        <w:fldChar w:fldCharType="separate"/>
      </w:r>
      <w:r>
        <w:rPr>
          <w:rStyle w:val="14"/>
          <w:rFonts w:ascii="Times New Roman" w:hAnsi="Times New Roman" w:eastAsia="黑体" w:cs="Times New Roman"/>
          <w:bCs/>
        </w:rPr>
        <w:t>4.3 建设项目节地评价工作体系</w:t>
      </w:r>
      <w:r>
        <w:tab/>
      </w:r>
      <w:r>
        <w:fldChar w:fldCharType="begin"/>
      </w:r>
      <w:r>
        <w:instrText xml:space="preserve"> PAGEREF _Toc111929645 \h </w:instrText>
      </w:r>
      <w:r>
        <w:fldChar w:fldCharType="separate"/>
      </w:r>
      <w:r>
        <w:t>3</w:t>
      </w:r>
      <w:r>
        <w:fldChar w:fldCharType="end"/>
      </w:r>
      <w:r>
        <w:fldChar w:fldCharType="end"/>
      </w:r>
    </w:p>
    <w:p>
      <w:pPr>
        <w:pStyle w:val="5"/>
        <w:rPr>
          <w:color w:val="auto"/>
          <w:sz w:val="21"/>
        </w:rPr>
      </w:pPr>
      <w:r>
        <w:fldChar w:fldCharType="begin"/>
      </w:r>
      <w:r>
        <w:instrText xml:space="preserve"> HYPERLINK \l "_Toc111929646" </w:instrText>
      </w:r>
      <w:r>
        <w:fldChar w:fldCharType="separate"/>
      </w:r>
      <w:r>
        <w:rPr>
          <w:rStyle w:val="14"/>
          <w:rFonts w:ascii="Times New Roman" w:hAnsi="Times New Roman" w:eastAsia="黑体" w:cs="Times New Roman"/>
          <w:bCs/>
        </w:rPr>
        <w:t>4.4 建设项目调查</w:t>
      </w:r>
      <w:r>
        <w:tab/>
      </w:r>
      <w:r>
        <w:fldChar w:fldCharType="begin"/>
      </w:r>
      <w:r>
        <w:instrText xml:space="preserve"> PAGEREF _Toc111929646 \h </w:instrText>
      </w:r>
      <w:r>
        <w:fldChar w:fldCharType="separate"/>
      </w:r>
      <w:r>
        <w:t>4</w:t>
      </w:r>
      <w:r>
        <w:fldChar w:fldCharType="end"/>
      </w:r>
      <w:r>
        <w:fldChar w:fldCharType="end"/>
      </w:r>
    </w:p>
    <w:p>
      <w:pPr>
        <w:pStyle w:val="5"/>
        <w:rPr>
          <w:color w:val="auto"/>
          <w:sz w:val="21"/>
        </w:rPr>
      </w:pPr>
      <w:r>
        <w:fldChar w:fldCharType="begin"/>
      </w:r>
      <w:r>
        <w:instrText xml:space="preserve"> HYPERLINK \l "_Toc111929647" </w:instrText>
      </w:r>
      <w:r>
        <w:fldChar w:fldCharType="separate"/>
      </w:r>
      <w:r>
        <w:rPr>
          <w:rStyle w:val="14"/>
          <w:rFonts w:ascii="Times New Roman" w:hAnsi="Times New Roman" w:eastAsia="黑体" w:cs="Times New Roman"/>
          <w:bCs/>
        </w:rPr>
        <w:t>4.5 建设项目节地分析</w:t>
      </w:r>
      <w:r>
        <w:tab/>
      </w:r>
      <w:r>
        <w:fldChar w:fldCharType="begin"/>
      </w:r>
      <w:r>
        <w:instrText xml:space="preserve"> PAGEREF _Toc111929647 \h </w:instrText>
      </w:r>
      <w:r>
        <w:fldChar w:fldCharType="separate"/>
      </w:r>
      <w:r>
        <w:t>4</w:t>
      </w:r>
      <w:r>
        <w:fldChar w:fldCharType="end"/>
      </w:r>
      <w:r>
        <w:fldChar w:fldCharType="end"/>
      </w:r>
    </w:p>
    <w:p>
      <w:pPr>
        <w:pStyle w:val="5"/>
        <w:rPr>
          <w:color w:val="auto"/>
          <w:sz w:val="21"/>
        </w:rPr>
      </w:pPr>
      <w:r>
        <w:fldChar w:fldCharType="begin"/>
      </w:r>
      <w:r>
        <w:instrText xml:space="preserve"> HYPERLINK \l "_Toc111929648" </w:instrText>
      </w:r>
      <w:r>
        <w:fldChar w:fldCharType="separate"/>
      </w:r>
      <w:r>
        <w:rPr>
          <w:rStyle w:val="14"/>
          <w:rFonts w:ascii="Times New Roman" w:hAnsi="Times New Roman" w:eastAsia="黑体" w:cs="Times New Roman"/>
          <w:bCs/>
        </w:rPr>
        <w:t>4.7 成果编制</w:t>
      </w:r>
      <w:r>
        <w:tab/>
      </w:r>
      <w:r>
        <w:fldChar w:fldCharType="begin"/>
      </w:r>
      <w:r>
        <w:instrText xml:space="preserve"> PAGEREF _Toc111929648 \h </w:instrText>
      </w:r>
      <w:r>
        <w:fldChar w:fldCharType="separate"/>
      </w:r>
      <w:r>
        <w:t>5</w:t>
      </w:r>
      <w:r>
        <w:fldChar w:fldCharType="end"/>
      </w:r>
      <w:r>
        <w:fldChar w:fldCharType="end"/>
      </w:r>
    </w:p>
    <w:p>
      <w:pPr>
        <w:pStyle w:val="5"/>
        <w:rPr>
          <w:color w:val="auto"/>
          <w:sz w:val="21"/>
        </w:rPr>
      </w:pPr>
      <w:r>
        <w:fldChar w:fldCharType="begin"/>
      </w:r>
      <w:r>
        <w:instrText xml:space="preserve"> HYPERLINK \l "_Toc111929649" </w:instrText>
      </w:r>
      <w:r>
        <w:fldChar w:fldCharType="separate"/>
      </w:r>
      <w:r>
        <w:rPr>
          <w:rStyle w:val="14"/>
          <w:rFonts w:ascii="Times New Roman" w:hAnsi="Times New Roman" w:eastAsia="黑体" w:cs="Times New Roman"/>
          <w:bCs/>
        </w:rPr>
        <w:t>4.8 成果论证及应用</w:t>
      </w:r>
      <w:r>
        <w:tab/>
      </w:r>
      <w:r>
        <w:fldChar w:fldCharType="begin"/>
      </w:r>
      <w:r>
        <w:instrText xml:space="preserve"> PAGEREF _Toc111929649 \h </w:instrText>
      </w:r>
      <w:r>
        <w:fldChar w:fldCharType="separate"/>
      </w:r>
      <w:r>
        <w:t>5</w:t>
      </w:r>
      <w:r>
        <w:fldChar w:fldCharType="end"/>
      </w:r>
      <w:r>
        <w:fldChar w:fldCharType="end"/>
      </w:r>
    </w:p>
    <w:p>
      <w:pPr>
        <w:pStyle w:val="9"/>
        <w:ind w:left="410" w:hanging="410"/>
        <w:rPr>
          <w:color w:val="auto"/>
          <w:sz w:val="21"/>
        </w:rPr>
      </w:pPr>
      <w:r>
        <w:fldChar w:fldCharType="begin"/>
      </w:r>
      <w:r>
        <w:instrText xml:space="preserve"> HYPERLINK \l "_Toc111929650" </w:instrText>
      </w:r>
      <w:r>
        <w:fldChar w:fldCharType="separate"/>
      </w:r>
      <w:r>
        <w:rPr>
          <w:rStyle w:val="14"/>
          <w:rFonts w:ascii="Times New Roman" w:hAnsi="Times New Roman" w:eastAsia="黑体" w:cs="Times New Roman"/>
          <w:bCs/>
        </w:rPr>
        <w:t>五、采用国际标准和国外先进标准的程度及与国际、国外同类标准水平的对比</w:t>
      </w:r>
      <w:r>
        <w:tab/>
      </w:r>
      <w:r>
        <w:fldChar w:fldCharType="begin"/>
      </w:r>
      <w:r>
        <w:instrText xml:space="preserve"> PAGEREF _Toc111929650 \h </w:instrText>
      </w:r>
      <w:r>
        <w:fldChar w:fldCharType="separate"/>
      </w:r>
      <w:r>
        <w:t>5</w:t>
      </w:r>
      <w:r>
        <w:fldChar w:fldCharType="end"/>
      </w:r>
      <w:r>
        <w:fldChar w:fldCharType="end"/>
      </w:r>
    </w:p>
    <w:p>
      <w:pPr>
        <w:pStyle w:val="9"/>
        <w:ind w:left="410" w:hanging="410"/>
        <w:rPr>
          <w:color w:val="auto"/>
          <w:sz w:val="21"/>
        </w:rPr>
      </w:pPr>
      <w:r>
        <w:fldChar w:fldCharType="begin"/>
      </w:r>
      <w:r>
        <w:instrText xml:space="preserve"> HYPERLINK \l "_Toc111929651" </w:instrText>
      </w:r>
      <w:r>
        <w:fldChar w:fldCharType="separate"/>
      </w:r>
      <w:r>
        <w:rPr>
          <w:rStyle w:val="14"/>
          <w:rFonts w:ascii="Times New Roman" w:hAnsi="Times New Roman" w:eastAsia="黑体" w:cs="Times New Roman"/>
          <w:bCs/>
        </w:rPr>
        <w:t>六、与现有法律、法规和强制性标准的关系</w:t>
      </w:r>
      <w:r>
        <w:tab/>
      </w:r>
      <w:r>
        <w:fldChar w:fldCharType="begin"/>
      </w:r>
      <w:r>
        <w:instrText xml:space="preserve"> PAGEREF _Toc111929651 \h </w:instrText>
      </w:r>
      <w:r>
        <w:fldChar w:fldCharType="separate"/>
      </w:r>
      <w:r>
        <w:t>6</w:t>
      </w:r>
      <w:r>
        <w:fldChar w:fldCharType="end"/>
      </w:r>
      <w:r>
        <w:fldChar w:fldCharType="end"/>
      </w:r>
    </w:p>
    <w:p>
      <w:pPr>
        <w:pStyle w:val="9"/>
        <w:ind w:left="410" w:hanging="410"/>
        <w:rPr>
          <w:color w:val="auto"/>
          <w:sz w:val="21"/>
        </w:rPr>
      </w:pPr>
      <w:r>
        <w:fldChar w:fldCharType="begin"/>
      </w:r>
      <w:r>
        <w:instrText xml:space="preserve"> HYPERLINK \l "_Toc111929652" </w:instrText>
      </w:r>
      <w:r>
        <w:fldChar w:fldCharType="separate"/>
      </w:r>
      <w:r>
        <w:rPr>
          <w:rStyle w:val="14"/>
          <w:rFonts w:ascii="Times New Roman" w:hAnsi="Times New Roman" w:eastAsia="黑体" w:cs="Times New Roman"/>
          <w:bCs/>
        </w:rPr>
        <w:t>七、重大分歧意见的处理经过和依据</w:t>
      </w:r>
      <w:r>
        <w:tab/>
      </w:r>
      <w:r>
        <w:fldChar w:fldCharType="begin"/>
      </w:r>
      <w:r>
        <w:instrText xml:space="preserve"> PAGEREF _Toc111929652 \h </w:instrText>
      </w:r>
      <w:r>
        <w:fldChar w:fldCharType="separate"/>
      </w:r>
      <w:r>
        <w:t>6</w:t>
      </w:r>
      <w:r>
        <w:fldChar w:fldCharType="end"/>
      </w:r>
      <w:r>
        <w:fldChar w:fldCharType="end"/>
      </w:r>
    </w:p>
    <w:p>
      <w:pPr>
        <w:pStyle w:val="9"/>
        <w:ind w:left="410" w:hanging="410"/>
        <w:rPr>
          <w:color w:val="auto"/>
          <w:sz w:val="21"/>
        </w:rPr>
      </w:pPr>
      <w:r>
        <w:fldChar w:fldCharType="begin"/>
      </w:r>
      <w:r>
        <w:instrText xml:space="preserve"> HYPERLINK \l "_Toc111929653" </w:instrText>
      </w:r>
      <w:r>
        <w:fldChar w:fldCharType="separate"/>
      </w:r>
      <w:r>
        <w:rPr>
          <w:rStyle w:val="14"/>
          <w:rFonts w:ascii="Times New Roman" w:hAnsi="Times New Roman" w:eastAsia="黑体" w:cs="Times New Roman"/>
          <w:bCs/>
        </w:rPr>
        <w:t>八、标准性质的建议说明</w:t>
      </w:r>
      <w:r>
        <w:tab/>
      </w:r>
      <w:r>
        <w:fldChar w:fldCharType="begin"/>
      </w:r>
      <w:r>
        <w:instrText xml:space="preserve"> PAGEREF _Toc111929653 \h </w:instrText>
      </w:r>
      <w:r>
        <w:fldChar w:fldCharType="separate"/>
      </w:r>
      <w:r>
        <w:t>6</w:t>
      </w:r>
      <w:r>
        <w:fldChar w:fldCharType="end"/>
      </w:r>
      <w:r>
        <w:fldChar w:fldCharType="end"/>
      </w:r>
    </w:p>
    <w:p>
      <w:pPr>
        <w:pStyle w:val="9"/>
        <w:ind w:left="410" w:hanging="410"/>
        <w:rPr>
          <w:color w:val="auto"/>
          <w:sz w:val="21"/>
        </w:rPr>
      </w:pPr>
      <w:r>
        <w:fldChar w:fldCharType="begin"/>
      </w:r>
      <w:r>
        <w:instrText xml:space="preserve"> HYPERLINK \l "_Toc111929654" </w:instrText>
      </w:r>
      <w:r>
        <w:fldChar w:fldCharType="separate"/>
      </w:r>
      <w:r>
        <w:rPr>
          <w:rStyle w:val="14"/>
          <w:rFonts w:ascii="Times New Roman" w:hAnsi="Times New Roman" w:eastAsia="黑体" w:cs="Times New Roman"/>
          <w:bCs/>
        </w:rPr>
        <w:t>九、贯彻标准的要求和措施建议</w:t>
      </w:r>
      <w:r>
        <w:tab/>
      </w:r>
      <w:r>
        <w:fldChar w:fldCharType="begin"/>
      </w:r>
      <w:r>
        <w:instrText xml:space="preserve"> PAGEREF _Toc111929654 \h </w:instrText>
      </w:r>
      <w:r>
        <w:fldChar w:fldCharType="separate"/>
      </w:r>
      <w:r>
        <w:t>6</w:t>
      </w:r>
      <w:r>
        <w:fldChar w:fldCharType="end"/>
      </w:r>
      <w:r>
        <w:fldChar w:fldCharType="end"/>
      </w:r>
    </w:p>
    <w:p>
      <w:pPr>
        <w:pStyle w:val="9"/>
        <w:ind w:left="410" w:hanging="410"/>
        <w:rPr>
          <w:color w:val="auto"/>
          <w:sz w:val="21"/>
        </w:rPr>
      </w:pPr>
      <w:r>
        <w:fldChar w:fldCharType="begin"/>
      </w:r>
      <w:r>
        <w:instrText xml:space="preserve"> HYPERLINK \l "_Toc111929655" </w:instrText>
      </w:r>
      <w:r>
        <w:fldChar w:fldCharType="separate"/>
      </w:r>
      <w:r>
        <w:rPr>
          <w:rStyle w:val="14"/>
          <w:rFonts w:ascii="Times New Roman" w:hAnsi="Times New Roman" w:eastAsia="黑体" w:cs="Times New Roman"/>
          <w:bCs/>
        </w:rPr>
        <w:t>十一、其他应予说明的事项</w:t>
      </w:r>
      <w:r>
        <w:tab/>
      </w:r>
      <w:r>
        <w:fldChar w:fldCharType="begin"/>
      </w:r>
      <w:r>
        <w:instrText xml:space="preserve"> PAGEREF _Toc111929655 \h </w:instrText>
      </w:r>
      <w:r>
        <w:fldChar w:fldCharType="separate"/>
      </w:r>
      <w:r>
        <w:t>7</w:t>
      </w:r>
      <w:r>
        <w:fldChar w:fldCharType="end"/>
      </w:r>
      <w:r>
        <w:fldChar w:fldCharType="end"/>
      </w:r>
    </w:p>
    <w:p>
      <w:pPr>
        <w:ind w:firstLine="0" w:firstLineChars="0"/>
        <w:jc w:val="center"/>
        <w:rPr>
          <w:rFonts w:ascii="Times New Roman" w:hAnsi="Times New Roman" w:eastAsia="黑体" w:cs="Times New Roman"/>
          <w:sz w:val="28"/>
          <w:szCs w:val="28"/>
        </w:rPr>
      </w:pPr>
      <w:r>
        <w:rPr>
          <w:rFonts w:ascii="Times New Roman" w:hAnsi="Times New Roman" w:eastAsia="仿宋_GB2312" w:cs="Times New Roman"/>
          <w:szCs w:val="24"/>
        </w:rPr>
        <w:fldChar w:fldCharType="end"/>
      </w:r>
    </w:p>
    <w:p>
      <w:pPr>
        <w:ind w:firstLine="560"/>
        <w:jc w:val="center"/>
        <w:rPr>
          <w:rFonts w:ascii="Times New Roman" w:hAnsi="Times New Roman" w:eastAsia="黑体" w:cs="Times New Roman"/>
          <w:sz w:val="28"/>
          <w:szCs w:val="28"/>
        </w:rPr>
        <w:sectPr>
          <w:footerReference r:id="rId11" w:type="default"/>
          <w:pgSz w:w="11906" w:h="16838"/>
          <w:pgMar w:top="1440" w:right="1800" w:bottom="1440" w:left="1800" w:header="851" w:footer="992" w:gutter="0"/>
          <w:pgNumType w:fmt="upperRoman" w:start="1"/>
          <w:cols w:space="425" w:num="1"/>
          <w:docGrid w:type="lines" w:linePitch="312" w:charSpace="0"/>
        </w:sectPr>
      </w:pPr>
    </w:p>
    <w:p>
      <w:pPr>
        <w:pStyle w:val="2"/>
        <w:ind w:firstLine="600"/>
      </w:pPr>
      <w:bookmarkStart w:id="0" w:name="_Toc111929637"/>
      <w:r>
        <w:t>一、</w:t>
      </w:r>
      <w:r>
        <w:rPr>
          <w:rFonts w:hint="eastAsia"/>
        </w:rPr>
        <w:t>规程</w:t>
      </w:r>
      <w:r>
        <w:t>制定背景</w:t>
      </w:r>
      <w:bookmarkEnd w:id="0"/>
    </w:p>
    <w:p>
      <w:pPr>
        <w:ind w:firstLine="480"/>
      </w:pPr>
      <w:r>
        <w:rPr>
          <w:rFonts w:hint="eastAsia"/>
        </w:rPr>
        <w:t>2</w:t>
      </w:r>
      <w:r>
        <w:t>014</w:t>
      </w:r>
      <w:r>
        <w:rPr>
          <w:rFonts w:hint="eastAsia"/>
        </w:rPr>
        <w:t>年，国土资源部编制了《＜建设项目节地评价论证规范＞（征求意见稿）》（以下简称“国家规程”）。然而受全国各地建设项目节地评价开展的进度和层次，以及各地用地定额标准的不同，国家规程在颁发后一直未试行。鉴于此，国土资源部不再对建设项目节地评价论证工作要求全国“千篇一律”，转而鼓励各地制定符合当地用地预审、用地审查报批相关要求的建设项目节地评价论证规范。在国土资源部的指导下，新疆、湖北、浙江、上海、河北等地陆续开展对机场、电厂等建设项目组织节地评价论证工作，并在论证过程中，对开展节地评价的目的、范围、原则、操作程序等进行了深入研究。此外，江苏、安徽、甘肃3地已在规程的编制上先行一步，分别于2</w:t>
      </w:r>
      <w:r>
        <w:t>014</w:t>
      </w:r>
      <w:r>
        <w:rPr>
          <w:rFonts w:hint="eastAsia"/>
        </w:rPr>
        <w:t>年后编制规程（范），作为规范其辖域范围内建设项目节地评价工作的执行参考。</w:t>
      </w:r>
    </w:p>
    <w:p>
      <w:pPr>
        <w:ind w:firstLine="480"/>
      </w:pPr>
      <w:r>
        <w:t>2021</w:t>
      </w:r>
      <w:r>
        <w:rPr>
          <w:rFonts w:hint="eastAsia"/>
        </w:rPr>
        <w:t>年自然资源部发布《自然资源部办公厅关于规范开展建设项目节地评价工作的通知》（自然资办发 [</w:t>
      </w:r>
      <w:r>
        <w:t>2021</w:t>
      </w:r>
      <w:r>
        <w:rPr>
          <w:rFonts w:hint="eastAsia"/>
        </w:rPr>
        <w:t>]</w:t>
      </w:r>
      <w:r>
        <w:t>14</w:t>
      </w:r>
      <w:r>
        <w:rPr>
          <w:rFonts w:hint="eastAsia"/>
        </w:rPr>
        <w:t>号），强调要充分认识开展建设项目节地评价的重要性，对确需突破土地使用标准确定的规模和功能分区的建设项目，应当通过节地评价严格把关。对国家和地方尚未颁布土地使用标准和建设标准的建设项目，应当通过节地评价合理确定建设项目用地功能分区和规模。2</w:t>
      </w:r>
      <w:r>
        <w:t>021</w:t>
      </w:r>
      <w:r>
        <w:rPr>
          <w:rFonts w:hint="eastAsia"/>
        </w:rPr>
        <w:t>年湖南省自然资源厅发布《湖南省自然资源厅关于规范开展建设项目用地预审与选址有关事项的通知》(湘自资发〔2021〕20 号)，强调因国家和地方已颁布土地使用标准和建设标准，但因安全生产、地形地貌、生产工艺技术等有特殊要求，确需突破土地使用标准确定的规模和功能分区的建设项目，以及国家或地方尚未颁布土地使用标准和建设标准的建设项目，应按要求开展节地评价工作。</w:t>
      </w:r>
    </w:p>
    <w:p>
      <w:pPr>
        <w:ind w:firstLine="480"/>
      </w:pPr>
      <w:r>
        <w:rPr>
          <w:rFonts w:hint="eastAsia"/>
        </w:rPr>
        <w:t>当前湖南省需要编制的节地评价报告数量多，但国家和湖南省无统一的编制规程，未规范编制报告的体例、内容、评价方法及附件材料，导致报告成果质量参差不齐；论证程序不规范，存在参与论证专家类型不全、数量不足等问题。在此背景下，湖南省国土资源规划院向湖南省自然资源厅提出2</w:t>
      </w:r>
      <w:r>
        <w:t>021</w:t>
      </w:r>
      <w:r>
        <w:rPr>
          <w:rFonts w:hint="eastAsia"/>
        </w:rPr>
        <w:t>年度湖南省自然资源科研（标准）项目《建设项目节地评价技术规程》的申请。经公开申报、专家评审、厅党组会议审议和立项公示等程序后，2021年5月湖南省自然资源厅下发《关于2</w:t>
      </w:r>
      <w:r>
        <w:t>021</w:t>
      </w:r>
      <w:r>
        <w:rPr>
          <w:rFonts w:hint="eastAsia"/>
        </w:rPr>
        <w:t>年度自然资源科研（标准）项目立项的通知》（湘自资办发〔2</w:t>
      </w:r>
      <w:r>
        <w:t>021</w:t>
      </w:r>
      <w:r>
        <w:rPr>
          <w:rFonts w:hint="eastAsia"/>
        </w:rPr>
        <w:t>〕6</w:t>
      </w:r>
      <w:r>
        <w:t>7</w:t>
      </w:r>
      <w:r>
        <w:rPr>
          <w:rFonts w:hint="eastAsia"/>
        </w:rPr>
        <w:t>号），文件中明确由湖南省国土资源规划院在2</w:t>
      </w:r>
      <w:r>
        <w:t>022</w:t>
      </w:r>
      <w:r>
        <w:rPr>
          <w:rFonts w:hint="eastAsia"/>
        </w:rPr>
        <w:t>年1</w:t>
      </w:r>
      <w:r>
        <w:t>2</w:t>
      </w:r>
      <w:r>
        <w:rPr>
          <w:rFonts w:hint="eastAsia"/>
        </w:rPr>
        <w:t>月底前完成《建设项目节地评价技术规程》标准制定工作。</w:t>
      </w:r>
    </w:p>
    <w:p>
      <w:pPr>
        <w:pStyle w:val="2"/>
        <w:ind w:firstLine="600"/>
      </w:pPr>
      <w:bookmarkStart w:id="1" w:name="_Toc111929638"/>
      <w:r>
        <w:t>二、</w:t>
      </w:r>
      <w:r>
        <w:rPr>
          <w:rFonts w:hint="eastAsia"/>
        </w:rPr>
        <w:t>规程</w:t>
      </w:r>
      <w:r>
        <w:t>制定目的</w:t>
      </w:r>
      <w:bookmarkEnd w:id="1"/>
    </w:p>
    <w:p>
      <w:pPr>
        <w:ind w:firstLine="480"/>
      </w:pPr>
      <w:r>
        <w:rPr>
          <w:rFonts w:hint="eastAsia"/>
        </w:rPr>
        <w:t>通过研制建设项目节地评价技术规程，明确湖南省建设项目节地评价工作程序、技术方法、工作准备、项目调查、节地分析、优化用地规模测算、成果编制、成果论证及应用等内容，为规范全省建设项目节地评价提供技术指导，进而为落实建设用地控制标准制度、建设项目审批和办理用地手续提供依据。</w:t>
      </w:r>
    </w:p>
    <w:p>
      <w:pPr>
        <w:pStyle w:val="2"/>
        <w:ind w:firstLine="600"/>
      </w:pPr>
      <w:bookmarkStart w:id="2" w:name="_Toc111929639"/>
      <w:r>
        <w:t>三、工作简况</w:t>
      </w:r>
      <w:bookmarkEnd w:id="2"/>
    </w:p>
    <w:p>
      <w:pPr>
        <w:pStyle w:val="3"/>
        <w:ind w:firstLine="560"/>
      </w:pPr>
      <w:bookmarkStart w:id="3" w:name="_Toc111929640"/>
      <w:r>
        <w:t>3.1 主要工作过程</w:t>
      </w:r>
      <w:bookmarkEnd w:id="3"/>
    </w:p>
    <w:p>
      <w:pPr>
        <w:ind w:firstLine="480"/>
      </w:pPr>
      <w:r>
        <w:t>（1）</w:t>
      </w:r>
      <w:r>
        <w:rPr>
          <w:rFonts w:hint="eastAsia"/>
        </w:rPr>
        <w:t>启动阶段（2021年6月-2021年9月）</w:t>
      </w:r>
    </w:p>
    <w:p>
      <w:pPr>
        <w:ind w:firstLine="480"/>
      </w:pPr>
      <w:r>
        <w:rPr>
          <w:rFonts w:hint="eastAsia"/>
        </w:rPr>
        <w:t>学习已编制节地技术规程的省份经验，制定详细的工作方案，通过多次论证形成可操作性强的技术方案，组建技术团队并明确具体分工。</w:t>
      </w:r>
    </w:p>
    <w:p>
      <w:pPr>
        <w:ind w:firstLine="480"/>
      </w:pPr>
      <w:r>
        <w:t>（2）</w:t>
      </w:r>
      <w:r>
        <w:rPr>
          <w:rFonts w:hint="eastAsia"/>
        </w:rPr>
        <w:t>推进阶段（2021年10月-2022年</w:t>
      </w:r>
      <w:r>
        <w:t>6</w:t>
      </w:r>
      <w:r>
        <w:rPr>
          <w:rFonts w:hint="eastAsia"/>
        </w:rPr>
        <w:t>月）</w:t>
      </w:r>
    </w:p>
    <w:p>
      <w:pPr>
        <w:ind w:firstLine="480"/>
      </w:pPr>
      <w:r>
        <w:rPr>
          <w:rFonts w:hint="eastAsia"/>
        </w:rPr>
        <w:t>搜集相关政策与文件、行业规范与标准等，分类设计建设项目节地分析指标体系、列举出各类建设项目功能分区情况等。搜集省内已开展节地评价项目成果，归纳已有评价方法，并选取典型进行实地踏勘调研，通过专家论证集成成熟适用的评价方法体系。</w:t>
      </w:r>
    </w:p>
    <w:p>
      <w:pPr>
        <w:ind w:firstLine="480"/>
      </w:pPr>
      <w:r>
        <w:t>（3）</w:t>
      </w:r>
      <w:r>
        <w:rPr>
          <w:rFonts w:hint="eastAsia"/>
        </w:rPr>
        <w:t>总结阶段（2022年6月-2022年12月）</w:t>
      </w:r>
    </w:p>
    <w:p>
      <w:pPr>
        <w:ind w:firstLine="480"/>
      </w:pPr>
      <w:r>
        <w:rPr>
          <w:rFonts w:hint="eastAsia"/>
        </w:rPr>
        <w:t>撰写成果初稿，通过自查形成讨论稿，多次组织专家咨询与论证，修改形成成果送审稿，根据评审意见完善形成成果终稿。</w:t>
      </w:r>
    </w:p>
    <w:p>
      <w:pPr>
        <w:pStyle w:val="3"/>
        <w:ind w:firstLine="560"/>
      </w:pPr>
      <w:bookmarkStart w:id="4" w:name="_Toc111929641"/>
      <w:r>
        <w:t>3.2 起草单位介绍</w:t>
      </w:r>
      <w:bookmarkEnd w:id="4"/>
    </w:p>
    <w:p>
      <w:pPr>
        <w:ind w:firstLine="480"/>
      </w:pPr>
      <w:r>
        <w:t>《</w:t>
      </w:r>
      <w:r>
        <w:rPr>
          <w:rFonts w:hint="eastAsia"/>
        </w:rPr>
        <w:t>建设项目节地评价技术规程</w:t>
      </w:r>
      <w:r>
        <w:t>》的起草单位为湖南省国土资源规划院。湖南省国土资源规划院是一家集科研生产、技术规范研究、技术管理于一身的基础性、公益性、战略性综合科研机构，业务涵盖国土空间规划、自然资源调查监测、评价等多个领域。单位自1959年成立以来完成各类科研生产项目（报告）5000余项，荣获省部级奖励100余项，起草相关行业技术标准、规范10余项。近年来，单位承担了《城镇建设用地增加规模与吸纳农业转移人口落户数量挂钩政策研究》、《湖南省土地利用状况综合分析评估》、《湖南省城乡建设用地增减挂钩节余指标交易机制研究》、《湖南省自然资源调查监测数据综合分析》、《湖南省城乡空闲地预警机制与规划治理研究》等多个科研项目，</w:t>
      </w:r>
      <w:r>
        <w:rPr>
          <w:rFonts w:hint="eastAsia"/>
        </w:rPr>
        <w:t>同时承担了全省建设项目节地评价审核与技术服务工作和多个重大建设项目用地预审工作，</w:t>
      </w:r>
      <w:r>
        <w:t>为开展我省</w:t>
      </w:r>
      <w:r>
        <w:rPr>
          <w:rFonts w:hint="eastAsia"/>
        </w:rPr>
        <w:t>建设项目节地评价技术规程编制工作</w:t>
      </w:r>
      <w:r>
        <w:t>积累了经验。</w:t>
      </w:r>
    </w:p>
    <w:p>
      <w:pPr>
        <w:pStyle w:val="2"/>
        <w:ind w:firstLine="600"/>
      </w:pPr>
      <w:bookmarkStart w:id="5" w:name="_Toc111929642"/>
      <w:r>
        <w:t>四、主要技术内容说明</w:t>
      </w:r>
      <w:bookmarkEnd w:id="5"/>
    </w:p>
    <w:p>
      <w:pPr>
        <w:pStyle w:val="3"/>
        <w:ind w:firstLine="560"/>
      </w:pPr>
      <w:bookmarkStart w:id="6" w:name="_Toc111929643"/>
      <w:r>
        <w:t>4.1 编制依据</w:t>
      </w:r>
      <w:bookmarkEnd w:id="6"/>
    </w:p>
    <w:p>
      <w:pPr>
        <w:ind w:firstLine="480"/>
      </w:pPr>
      <w:r>
        <w:t>本</w:t>
      </w:r>
      <w:r>
        <w:rPr>
          <w:rFonts w:hint="eastAsia"/>
        </w:rPr>
        <w:t>规程</w:t>
      </w:r>
      <w:r>
        <w:t>的编制充分贯彻落实</w:t>
      </w:r>
      <w:r>
        <w:rPr>
          <w:rFonts w:hint="eastAsia"/>
        </w:rPr>
        <w:t>《国务院关于促进节约集约用地的通知》（国发〔2008〕3号）、《自然资源部办公厅关于规范建设项目节地评价工作的通知》（自然资办发〔</w:t>
      </w:r>
      <w:r>
        <w:t>2021</w:t>
      </w:r>
      <w:r>
        <w:rPr>
          <w:rFonts w:hint="eastAsia"/>
        </w:rPr>
        <w:t>〕14号）、《湖南省人民政府关于进一步加强节约集约用地的意见》（湘政发〔2016〕10号）、《湖南省自然资源厅关于规范开展建设项目用地预审与选址有关事项的通知》（湘自资发〔2021〕20 号）</w:t>
      </w:r>
      <w:r>
        <w:t>等文件的精神和要求，</w:t>
      </w:r>
      <w:r>
        <w:rPr>
          <w:rFonts w:hint="eastAsia"/>
        </w:rPr>
        <w:t>在学习江苏、安徽、陕西等省份经验，梳理相关政策文件及行业标准，汇总归纳省内已有建设项目成果的基础上，研制出</w:t>
      </w:r>
      <w:bookmarkStart w:id="21" w:name="_GoBack"/>
      <w:bookmarkEnd w:id="21"/>
      <w:r>
        <w:rPr>
          <w:rFonts w:hint="eastAsia"/>
        </w:rPr>
        <w:t>建设项目节地评价技术规程。</w:t>
      </w:r>
    </w:p>
    <w:p>
      <w:pPr>
        <w:pStyle w:val="3"/>
        <w:ind w:firstLine="560"/>
      </w:pPr>
      <w:bookmarkStart w:id="7" w:name="_Toc111929644"/>
      <w:r>
        <w:t xml:space="preserve">4.2 </w:t>
      </w:r>
      <w:r>
        <w:rPr>
          <w:rFonts w:hint="eastAsia"/>
        </w:rPr>
        <w:t>建设项目节地评价对象确定</w:t>
      </w:r>
      <w:bookmarkEnd w:id="7"/>
    </w:p>
    <w:p>
      <w:pPr>
        <w:ind w:firstLine="480"/>
      </w:pPr>
      <w:r>
        <w:rPr>
          <w:rFonts w:hint="eastAsia"/>
        </w:rPr>
        <w:t>本规程的评价对象包括（1）因国家和湖南省未颁布土地使用标准和建设标准的建设项目；（2）国家和地方已颁布土地使用标准和建设标准，但因安全生产、地形地貌、工艺技术等有特殊要求，确需突破土地使用标准确定的规模和功能分区的建设项目。其中建设项目包括新建、改建和扩建建设项目，水库和水电工程项目淹没区用地、矿山企业开采区用地、通信和输电线路塔基用地、河道治理工程用地和引排灌工程用地、涉密工程用地、小于0.2公顷的工程项目用地，以及未确定用地主体、以招标拍卖挂牌方式供应的工业、商业、旅游、娱乐和商品住宅等经营性用地，可不列入建设项目节地评价范围。</w:t>
      </w:r>
    </w:p>
    <w:p>
      <w:pPr>
        <w:pStyle w:val="3"/>
        <w:ind w:firstLine="560"/>
      </w:pPr>
      <w:bookmarkStart w:id="8" w:name="_Toc111929645"/>
      <w:r>
        <w:t>4.</w:t>
      </w:r>
      <w:bookmarkStart w:id="9" w:name="_Toc45479658"/>
      <w:r>
        <w:t xml:space="preserve">3 </w:t>
      </w:r>
      <w:bookmarkEnd w:id="9"/>
      <w:r>
        <w:rPr>
          <w:rFonts w:hint="eastAsia"/>
        </w:rPr>
        <w:t>建设项目节地评价工作体系</w:t>
      </w:r>
      <w:bookmarkEnd w:id="8"/>
    </w:p>
    <w:p>
      <w:pPr>
        <w:ind w:firstLine="480"/>
      </w:pPr>
      <w:r>
        <w:rPr>
          <w:rFonts w:hint="eastAsia"/>
        </w:rPr>
        <w:t>建设项目节地评价主要包括建设项目调查、建设项目节地分析、建设项目优化用地规模测算。</w:t>
      </w:r>
    </w:p>
    <w:p>
      <w:pPr>
        <w:ind w:firstLine="480"/>
      </w:pPr>
      <w:r>
        <w:rPr>
          <w:rFonts w:hint="eastAsia"/>
        </w:rPr>
        <w:t>（1）建设项目调查包括基本情况调查、土地利用情况调查、所在区域情况调查、类比项目调查和其他调查。</w:t>
      </w:r>
    </w:p>
    <w:p>
      <w:pPr>
        <w:ind w:firstLine="480"/>
      </w:pPr>
      <w:r>
        <w:rPr>
          <w:rFonts w:hint="eastAsia"/>
        </w:rPr>
        <w:t>（2）建设项目节地分析包括建设项目与相关规划符合性分析和建设项目节地措施分析。</w:t>
      </w:r>
    </w:p>
    <w:p>
      <w:pPr>
        <w:ind w:firstLine="480"/>
      </w:pPr>
      <w:r>
        <w:rPr>
          <w:rFonts w:hint="eastAsia"/>
        </w:rPr>
        <w:t>（3）</w:t>
      </w:r>
      <w:bookmarkStart w:id="10" w:name="_Hlk111928447"/>
      <w:r>
        <w:rPr>
          <w:rFonts w:hint="eastAsia"/>
        </w:rPr>
        <w:t>建设项目优化用地规模测算是指通过功能分析法和类比法等评价方法分析后，测算建设项目在用地结构合理、布局优化、各项用地指标达到最优状态下的土地利用规模。</w:t>
      </w:r>
    </w:p>
    <w:bookmarkEnd w:id="10"/>
    <w:p>
      <w:pPr>
        <w:pStyle w:val="3"/>
        <w:ind w:firstLine="560"/>
      </w:pPr>
      <w:bookmarkStart w:id="11" w:name="_Toc111929646"/>
      <w:r>
        <w:t xml:space="preserve">4.4 </w:t>
      </w:r>
      <w:r>
        <w:rPr>
          <w:rFonts w:hint="eastAsia"/>
        </w:rPr>
        <w:t>建设项目调查</w:t>
      </w:r>
      <w:bookmarkEnd w:id="11"/>
    </w:p>
    <w:p>
      <w:pPr>
        <w:ind w:firstLine="480"/>
      </w:pPr>
      <w:r>
        <w:rPr>
          <w:rFonts w:hint="eastAsia"/>
        </w:rPr>
        <w:t>建设项目调查是建设项目节地评价的基础性工作，要按照规程的要求，调查建设项目包括建设项目基本情况调查、建设项目土地利用情况调查、建设项目所在区域情况调查、建设项目的类比项目调查和其他调查。</w:t>
      </w:r>
    </w:p>
    <w:p>
      <w:pPr>
        <w:ind w:firstLine="480"/>
      </w:pPr>
      <w:r>
        <w:rPr>
          <w:rFonts w:hint="eastAsia"/>
        </w:rPr>
        <w:t>建设项目基本情况调查中，由建设单位提供建设项目有关前期工作的批复意见、建设项目用地预审申请报告或申请表、可行性研究报告或项目申请报告、工程总平面布置图、各功能分区用地面积和用地指标等。</w:t>
      </w:r>
    </w:p>
    <w:p>
      <w:pPr>
        <w:ind w:firstLine="480"/>
      </w:pPr>
      <w:r>
        <w:rPr>
          <w:rFonts w:hint="eastAsia"/>
        </w:rPr>
        <w:t>建设项目土地利用情况调查中，由自然资源部门提供评价对象涉及区域的土地利用现状图、国土空间规划图、遥感影像图、占永久基本农田分布图、占生态保护红线分布图等资料。</w:t>
      </w:r>
    </w:p>
    <w:p>
      <w:pPr>
        <w:ind w:firstLine="480"/>
      </w:pPr>
      <w:r>
        <w:rPr>
          <w:rFonts w:hint="eastAsia"/>
        </w:rPr>
        <w:t>建设项目所在区域情况调查中，评价单位通过查阅相关文献、统计年鉴和网站下载等方式获取。当现有资料不能满足节地评价需要时，应开展实地踏勘获取。</w:t>
      </w:r>
    </w:p>
    <w:p>
      <w:pPr>
        <w:ind w:firstLine="480"/>
      </w:pPr>
      <w:r>
        <w:rPr>
          <w:rFonts w:hint="eastAsia"/>
        </w:rPr>
        <w:t>建设项目的类比项目调查中，评价单位可向自然资源部门和建设单位等其他途径收集类比项目的土地利用规模、土地利用功能分区、土地容积率等情况。</w:t>
      </w:r>
    </w:p>
    <w:p>
      <w:pPr>
        <w:ind w:firstLine="480"/>
      </w:pPr>
      <w:r>
        <w:rPr>
          <w:rFonts w:hint="eastAsia"/>
        </w:rPr>
        <w:t>其他调查中，评价单位可通过多方渠道获取建设项目所涉及的土地使用标准、建设标准、行业设计标准及其他相关政策文件等资料。</w:t>
      </w:r>
    </w:p>
    <w:p>
      <w:pPr>
        <w:pStyle w:val="3"/>
        <w:ind w:firstLine="560"/>
      </w:pPr>
      <w:bookmarkStart w:id="12" w:name="_Toc111929647"/>
      <w:r>
        <w:t xml:space="preserve">4.5 </w:t>
      </w:r>
      <w:r>
        <w:rPr>
          <w:rFonts w:hint="eastAsia"/>
        </w:rPr>
        <w:t>建设项目节地分析</w:t>
      </w:r>
      <w:bookmarkEnd w:id="12"/>
    </w:p>
    <w:p>
      <w:pPr>
        <w:ind w:firstLine="480"/>
      </w:pPr>
      <w:r>
        <w:rPr>
          <w:rFonts w:hint="eastAsia"/>
        </w:rPr>
        <w:t>建设项目节地分析包括建设项目合规性分析和建设项目节地措施分析两大部分。建设项目合规性分析主要包括建设项目与各类发展规划、行业规划、产业政策、用地政策和各类国土空间规划的符合性分析；建设项目节地措施分析主要包括建设项目建设规模、选址方案、工艺技术、功能分区、分期建设等合理性分析。</w:t>
      </w:r>
    </w:p>
    <w:p>
      <w:pPr>
        <w:pStyle w:val="3"/>
        <w:ind w:firstLine="560"/>
      </w:pPr>
      <w:r>
        <w:t xml:space="preserve">4.6 </w:t>
      </w:r>
      <w:r>
        <w:rPr>
          <w:rFonts w:hint="eastAsia"/>
        </w:rPr>
        <w:t>建设项目优化用地规模测算</w:t>
      </w:r>
    </w:p>
    <w:p>
      <w:pPr>
        <w:ind w:firstLine="480"/>
      </w:pPr>
      <w:r>
        <w:rPr>
          <w:rFonts w:hint="eastAsia"/>
        </w:rPr>
        <w:t>建设项目优化用地规模测算是指通过功能分析法和类比法等评价方法分析后，测算建设项目在用地结构合理、布局优化、各项用地指标达到最优状态下的土地利用规模。</w:t>
      </w:r>
    </w:p>
    <w:p>
      <w:pPr>
        <w:ind w:firstLine="480"/>
      </w:pPr>
      <w:r>
        <w:rPr>
          <w:rFonts w:hint="eastAsia"/>
        </w:rPr>
        <w:t>在开展建设项目优化用地规模测算时，功能分析法为必选方法，类比项目充足时，同时采用两种方法。当同时采用功能分析和类比法测算建设项目优化用地规模的，根据用地规模最小化原则，应选择两种结果中较小值作为评价项目优化用地规模。</w:t>
      </w:r>
    </w:p>
    <w:p>
      <w:pPr>
        <w:ind w:firstLine="480"/>
      </w:pPr>
      <w:r>
        <w:rPr>
          <w:rFonts w:hint="eastAsia"/>
        </w:rPr>
        <w:t>使用功能分区法测算建设项目优化用地规模时，参照附录B对建设项目进行功能分区划定后，尽量对每类功能分区找到对应的行业设计标准、规范和建设标准，部分功能分区无法找到相应的标准和规范时，可采用类比法分析该功能分区优化用地规模。</w:t>
      </w:r>
    </w:p>
    <w:p>
      <w:pPr>
        <w:ind w:firstLine="480"/>
      </w:pPr>
      <w:r>
        <w:rPr>
          <w:rFonts w:hint="eastAsia"/>
        </w:rPr>
        <w:t>使用类比法测算建设项目优化用地规模时，不一定要把所有影响因素选取，但是建设项目规模、建设项目所在地的地形地貌、影响用地面积的关键技术因素必须包含进去。</w:t>
      </w:r>
    </w:p>
    <w:p>
      <w:pPr>
        <w:pStyle w:val="3"/>
        <w:ind w:firstLine="560"/>
      </w:pPr>
      <w:bookmarkStart w:id="13" w:name="_Toc111929648"/>
      <w:r>
        <w:t>4.7 成果</w:t>
      </w:r>
      <w:r>
        <w:rPr>
          <w:rFonts w:hint="eastAsia"/>
        </w:rPr>
        <w:t>编制</w:t>
      </w:r>
      <w:bookmarkEnd w:id="13"/>
    </w:p>
    <w:p>
      <w:pPr>
        <w:ind w:firstLine="480"/>
      </w:pPr>
      <w:r>
        <w:rPr>
          <w:rFonts w:hint="eastAsia"/>
        </w:rPr>
        <w:t>建设项目节地评价成果包括评价报告和基础资料汇编。（1）评价报告封面、节地评价技术人员名单、评价单位相关资质证明、节地评价基本信息表、目录、正文、附件和附图。（2）基础资料汇编包括节地评价工作涉及的原始数据、过程数据、指标数据等各类数据。</w:t>
      </w:r>
    </w:p>
    <w:p>
      <w:pPr>
        <w:pStyle w:val="3"/>
        <w:ind w:firstLine="560"/>
      </w:pPr>
      <w:bookmarkStart w:id="14" w:name="_Toc111929649"/>
      <w:r>
        <w:rPr>
          <w:rFonts w:hint="eastAsia"/>
        </w:rPr>
        <w:t>4</w:t>
      </w:r>
      <w:r>
        <w:t xml:space="preserve">.8 </w:t>
      </w:r>
      <w:r>
        <w:rPr>
          <w:rFonts w:hint="eastAsia"/>
        </w:rPr>
        <w:t>成果论证及应用</w:t>
      </w:r>
      <w:bookmarkEnd w:id="14"/>
    </w:p>
    <w:p>
      <w:pPr>
        <w:ind w:firstLine="480"/>
      </w:pPr>
      <w:r>
        <w:rPr>
          <w:rFonts w:hint="eastAsia"/>
        </w:rPr>
        <w:t>建设项目节地论证由负责建设项目用地预审与选址、用地审批手续的自然资源主管部门组织实施。成立3人以上单数专家组，其中专家组成员必须包含2名土地工程类专家和1名行业专家。可根据实际情况，采用网上论证、室内集中论证、函审论证与现场踏勘相结合等形式开展论证。专家组出具专家论证意见，建设单位根据不同的意见类型进行成果完善及备案，对于成果应用方面按照规程执行。</w:t>
      </w:r>
    </w:p>
    <w:p>
      <w:pPr>
        <w:pStyle w:val="2"/>
        <w:ind w:firstLine="600"/>
      </w:pPr>
      <w:bookmarkStart w:id="15" w:name="_Toc111929650"/>
      <w:r>
        <w:t>五、采用国际标准和国外先进标准的程度及与国际、国外同类标准水平的对比</w:t>
      </w:r>
      <w:bookmarkEnd w:id="15"/>
    </w:p>
    <w:p>
      <w:pPr>
        <w:ind w:firstLine="480"/>
      </w:pPr>
      <w:r>
        <w:t>本</w:t>
      </w:r>
      <w:r>
        <w:rPr>
          <w:rFonts w:hint="eastAsia"/>
        </w:rPr>
        <w:t>标准</w:t>
      </w:r>
      <w:r>
        <w:t>未采用国际、国外同类标准。</w:t>
      </w:r>
    </w:p>
    <w:p>
      <w:pPr>
        <w:pStyle w:val="2"/>
        <w:ind w:firstLine="600"/>
      </w:pPr>
      <w:bookmarkStart w:id="16" w:name="_Toc111929651"/>
      <w:r>
        <w:t>六、与现有法律、法规和强制性标准的关系</w:t>
      </w:r>
      <w:bookmarkEnd w:id="16"/>
    </w:p>
    <w:p>
      <w:pPr>
        <w:ind w:firstLine="480"/>
      </w:pPr>
      <w:r>
        <w:t>下列文件中的条款通过</w:t>
      </w:r>
      <w:r>
        <w:rPr>
          <w:rFonts w:hint="eastAsia"/>
        </w:rPr>
        <w:t>规程</w:t>
      </w:r>
      <w:r>
        <w:t>的引用而成为本</w:t>
      </w:r>
      <w:r>
        <w:rPr>
          <w:rFonts w:hint="eastAsia"/>
        </w:rPr>
        <w:t>规程</w:t>
      </w:r>
      <w:r>
        <w:t>的条款。</w:t>
      </w:r>
      <w:r>
        <w:rPr>
          <w:rFonts w:hint="eastAsia"/>
        </w:rPr>
        <w:t>本规程发布时，所示版本均为有效。使用本规程的各方应使用下列标准和文件的最新版本。</w:t>
      </w:r>
    </w:p>
    <w:p>
      <w:pPr>
        <w:ind w:firstLine="480"/>
      </w:pPr>
      <w:r>
        <w:t>GB/T 19231-2003  土地基本术语</w:t>
      </w:r>
    </w:p>
    <w:p>
      <w:pPr>
        <w:ind w:firstLine="480"/>
      </w:pPr>
      <w:r>
        <w:t>GB/T 4754-2017  国民经济行业分类</w:t>
      </w:r>
    </w:p>
    <w:p>
      <w:pPr>
        <w:ind w:firstLine="480"/>
      </w:pPr>
      <w:r>
        <w:t>GB/T 21010-2017  土地利用现状分类</w:t>
      </w:r>
    </w:p>
    <w:p>
      <w:pPr>
        <w:ind w:firstLine="480"/>
      </w:pPr>
      <w:r>
        <w:rPr>
          <w:rFonts w:hint="eastAsia"/>
        </w:rPr>
        <w:t>GB/T 50280—1998  城市规划基本术语标准</w:t>
      </w:r>
    </w:p>
    <w:p>
      <w:pPr>
        <w:ind w:firstLine="480"/>
      </w:pPr>
      <w:r>
        <w:t>GB 50137-2011  城市用地分类与规划建设用地标准</w:t>
      </w:r>
    </w:p>
    <w:p>
      <w:pPr>
        <w:ind w:firstLine="480"/>
      </w:pPr>
      <w:r>
        <w:rPr>
          <w:rFonts w:hint="eastAsia"/>
        </w:rPr>
        <w:t>GB50330-2013  建筑边坡工程技术规范</w:t>
      </w:r>
    </w:p>
    <w:p>
      <w:pPr>
        <w:pStyle w:val="2"/>
        <w:ind w:firstLine="600"/>
      </w:pPr>
      <w:bookmarkStart w:id="17" w:name="_Toc111929652"/>
      <w:r>
        <w:t>七、重大分歧意见的处理经过和依据</w:t>
      </w:r>
      <w:bookmarkEnd w:id="17"/>
    </w:p>
    <w:p>
      <w:pPr>
        <w:ind w:firstLine="480"/>
      </w:pPr>
      <w:r>
        <w:t>无。</w:t>
      </w:r>
    </w:p>
    <w:p>
      <w:pPr>
        <w:pStyle w:val="2"/>
        <w:ind w:firstLine="600"/>
      </w:pPr>
      <w:bookmarkStart w:id="18" w:name="_Toc111929653"/>
      <w:r>
        <w:t>八、标准性质的建议说明</w:t>
      </w:r>
      <w:bookmarkEnd w:id="18"/>
    </w:p>
    <w:p>
      <w:pPr>
        <w:ind w:firstLine="480"/>
        <w:rPr>
          <w:rFonts w:eastAsia="仿宋_GB2312"/>
          <w:bCs/>
        </w:rPr>
      </w:pPr>
      <w:r>
        <w:t>本</w:t>
      </w:r>
      <w:r>
        <w:rPr>
          <w:rFonts w:hint="eastAsia"/>
        </w:rPr>
        <w:t>规程</w:t>
      </w:r>
      <w:r>
        <w:t>为推荐性标准。</w:t>
      </w:r>
    </w:p>
    <w:p>
      <w:pPr>
        <w:pStyle w:val="2"/>
        <w:ind w:firstLine="600"/>
      </w:pPr>
      <w:bookmarkStart w:id="19" w:name="_Toc111929654"/>
      <w:r>
        <w:t>九、贯彻标准的要求和措施建议</w:t>
      </w:r>
      <w:bookmarkEnd w:id="19"/>
    </w:p>
    <w:p>
      <w:pPr>
        <w:ind w:firstLine="482"/>
      </w:pPr>
      <w:r>
        <w:rPr>
          <w:b/>
          <w:bCs/>
        </w:rPr>
        <w:t>（1）</w:t>
      </w:r>
      <w:r>
        <w:rPr>
          <w:rFonts w:hint="eastAsia"/>
          <w:b/>
          <w:bCs/>
        </w:rPr>
        <w:t>合理明确节地评价范围，及时更新相关用地标准。</w:t>
      </w:r>
      <w:r>
        <w:rPr>
          <w:rFonts w:hint="eastAsia"/>
        </w:rPr>
        <w:t>建议根据实际情况，进一步分类研究建设项目节地评价的范围，完善土地使用标准体系，及时更新相关行业用地标准，减少因“超标准”或“无标准”而造成需要开展节地评价的项目过多，阻碍部分建设项目落地实施。</w:t>
      </w:r>
    </w:p>
    <w:p>
      <w:pPr>
        <w:ind w:firstLine="482"/>
      </w:pPr>
      <w:r>
        <w:rPr>
          <w:b/>
          <w:bCs/>
        </w:rPr>
        <w:t>（2）</w:t>
      </w:r>
      <w:r>
        <w:rPr>
          <w:rFonts w:hint="eastAsia"/>
          <w:b/>
          <w:bCs/>
        </w:rPr>
        <w:t>加强评价方法研究，探索汇编典型案例。</w:t>
      </w:r>
      <w:r>
        <w:rPr>
          <w:rFonts w:hint="eastAsia"/>
        </w:rPr>
        <w:t>针对目前各地节地评价方法较单一、定性评价多、定量评价少、编制报告多采用类比法且评价过程受评价单位主观影响大等现实，建议加强优化评价方法研究，采用定性和定量相结合的方法，通过定性方法评价判定项目用地的合理性，通过定量方法测算建设项目优化用地规模，优化用地结构、强度和效益，并加强开展外业实地勘察。同时，各地可依据现有项目，分行业类型总结提炼典型案例，主要内容可包括评价方法、评价内容、评价指标等，形成典型案例汇编，为以后相关行业项目通过类比法进行节地评价提供参考。</w:t>
      </w:r>
    </w:p>
    <w:p>
      <w:pPr>
        <w:ind w:firstLine="482"/>
      </w:pPr>
      <w:r>
        <w:rPr>
          <w:b/>
          <w:bCs/>
        </w:rPr>
        <w:t>（3）</w:t>
      </w:r>
      <w:r>
        <w:rPr>
          <w:rFonts w:hint="eastAsia"/>
          <w:b/>
          <w:bCs/>
        </w:rPr>
        <w:t>设置评价单位准入门槛，严格把控成果报告质量</w:t>
      </w:r>
      <w:r>
        <w:rPr>
          <w:rFonts w:hint="eastAsia"/>
        </w:rPr>
        <w:t>。自然资源主管部门应对相关编制报告单位进行资质审核、建立信用管理制度，对于多次编制报告且内容质量较差的机构，减少或禁止其参与节地评价报告编制工作。节地评价单位在编制报告过程中，应按照最新要求进一步规范编制报告的体例、内容、评价方法以及附件材料，明确包含建设项目功能分区的相关依据及其合理性、功能布局规模、评价相关结论等内容，规范相关的工程总平面图、功能分区图等图件资料。</w:t>
      </w:r>
    </w:p>
    <w:p>
      <w:pPr>
        <w:ind w:firstLine="482"/>
      </w:pPr>
      <w:r>
        <w:rPr>
          <w:rFonts w:hint="eastAsia"/>
          <w:b/>
          <w:bCs/>
        </w:rPr>
        <w:t>（4）加强专家库建设，实行动态更新机制。</w:t>
      </w:r>
      <w:r>
        <w:rPr>
          <w:rFonts w:hint="eastAsia"/>
        </w:rPr>
        <w:t>建议自然主管部门加强对专家的准入、评价、审核、退出等方面的有效管理，探索建立标准的专家评审制度，缩短评审论证周期；同时，充实专家库中行业专家数量，优化专家评审论证程序，建立专家考评制度。</w:t>
      </w:r>
    </w:p>
    <w:p>
      <w:pPr>
        <w:pStyle w:val="2"/>
        <w:ind w:firstLine="600"/>
        <w:rPr>
          <w:rFonts w:eastAsia="仿宋"/>
          <w:sz w:val="28"/>
        </w:rPr>
      </w:pPr>
      <w:r>
        <w:t>十、废止现行有关标准的建议</w:t>
      </w:r>
    </w:p>
    <w:p>
      <w:pPr>
        <w:ind w:firstLine="480"/>
        <w:rPr>
          <w:rFonts w:eastAsia="仿宋_GB2312"/>
          <w:bCs/>
        </w:rPr>
      </w:pPr>
      <w:r>
        <w:t>本</w:t>
      </w:r>
      <w:r>
        <w:rPr>
          <w:rFonts w:hint="eastAsia"/>
        </w:rPr>
        <w:t>规程</w:t>
      </w:r>
      <w:r>
        <w:t>为首次制定。</w:t>
      </w:r>
    </w:p>
    <w:p>
      <w:pPr>
        <w:pStyle w:val="2"/>
        <w:ind w:firstLine="600"/>
      </w:pPr>
      <w:bookmarkStart w:id="20" w:name="_Toc111929655"/>
      <w:r>
        <w:t>十一、其他应予说明的事项</w:t>
      </w:r>
      <w:bookmarkEnd w:id="20"/>
    </w:p>
    <w:p>
      <w:pPr>
        <w:ind w:firstLine="480"/>
      </w:pPr>
      <w:r>
        <w:t>无。</w:t>
      </w:r>
    </w:p>
    <w:sectPr>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420"/>
      <w:jc w:val="center"/>
      <w:rPr>
        <w:rFonts w:ascii="Times New Roman" w:hAnsi="Times New Roman" w:eastAsia="仿宋_GB2312" w:cs="Times New Roman"/>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13078186"/>
      <w:docPartObj>
        <w:docPartGallery w:val="AutoText"/>
      </w:docPartObj>
    </w:sdtPr>
    <w:sdtEndPr>
      <w:rPr>
        <w:rFonts w:ascii="Times New Roman" w:hAnsi="Times New Roman" w:eastAsia="仿宋_GB2312" w:cs="Times New Roman"/>
        <w:sz w:val="21"/>
        <w:szCs w:val="21"/>
      </w:rPr>
    </w:sdtEndPr>
    <w:sdtContent>
      <w:p>
        <w:pPr>
          <w:pStyle w:val="7"/>
          <w:ind w:firstLine="36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6</w:t>
        </w:r>
        <w:r>
          <w:rPr>
            <w:rFonts w:ascii="Times New Roman" w:hAnsi="Times New Roman" w:eastAsia="仿宋_GB2312" w:cs="Times New Roman"/>
            <w:sz w:val="21"/>
            <w:szCs w:val="2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E4ZmMzMzg4NzkzMmRhOGE5NGI0NWE1YWMxNDg2ZGYifQ=="/>
  </w:docVars>
  <w:rsids>
    <w:rsidRoot w:val="00436536"/>
    <w:rsid w:val="00002DB3"/>
    <w:rsid w:val="00002E83"/>
    <w:rsid w:val="000045DF"/>
    <w:rsid w:val="00011502"/>
    <w:rsid w:val="00012BD6"/>
    <w:rsid w:val="000161D5"/>
    <w:rsid w:val="00017C35"/>
    <w:rsid w:val="0002260B"/>
    <w:rsid w:val="00022E40"/>
    <w:rsid w:val="00026B2F"/>
    <w:rsid w:val="000327BB"/>
    <w:rsid w:val="00043F97"/>
    <w:rsid w:val="0006094A"/>
    <w:rsid w:val="00062122"/>
    <w:rsid w:val="000734D0"/>
    <w:rsid w:val="00077040"/>
    <w:rsid w:val="00087405"/>
    <w:rsid w:val="000A4737"/>
    <w:rsid w:val="000A645C"/>
    <w:rsid w:val="000B584E"/>
    <w:rsid w:val="000C6AEC"/>
    <w:rsid w:val="000E5021"/>
    <w:rsid w:val="00105B7E"/>
    <w:rsid w:val="00106C29"/>
    <w:rsid w:val="00144FB5"/>
    <w:rsid w:val="001533B3"/>
    <w:rsid w:val="00182235"/>
    <w:rsid w:val="001839F5"/>
    <w:rsid w:val="001A4AE0"/>
    <w:rsid w:val="001C42A6"/>
    <w:rsid w:val="001D10EA"/>
    <w:rsid w:val="001D315E"/>
    <w:rsid w:val="001E2FF1"/>
    <w:rsid w:val="001E7862"/>
    <w:rsid w:val="00204B01"/>
    <w:rsid w:val="002105B3"/>
    <w:rsid w:val="002148B2"/>
    <w:rsid w:val="00214D3C"/>
    <w:rsid w:val="002156C5"/>
    <w:rsid w:val="00236485"/>
    <w:rsid w:val="002415AC"/>
    <w:rsid w:val="00241605"/>
    <w:rsid w:val="002429D6"/>
    <w:rsid w:val="00250027"/>
    <w:rsid w:val="00253808"/>
    <w:rsid w:val="00253995"/>
    <w:rsid w:val="00275A86"/>
    <w:rsid w:val="00284D74"/>
    <w:rsid w:val="002862A8"/>
    <w:rsid w:val="0029166C"/>
    <w:rsid w:val="00291993"/>
    <w:rsid w:val="002A10EB"/>
    <w:rsid w:val="002A20FF"/>
    <w:rsid w:val="002A4D22"/>
    <w:rsid w:val="002C18DB"/>
    <w:rsid w:val="002C6B10"/>
    <w:rsid w:val="002D110C"/>
    <w:rsid w:val="002E340A"/>
    <w:rsid w:val="002F1CFB"/>
    <w:rsid w:val="002F776E"/>
    <w:rsid w:val="003227E0"/>
    <w:rsid w:val="003232F4"/>
    <w:rsid w:val="0034023B"/>
    <w:rsid w:val="00343D51"/>
    <w:rsid w:val="00345574"/>
    <w:rsid w:val="0035740D"/>
    <w:rsid w:val="00367910"/>
    <w:rsid w:val="003716ED"/>
    <w:rsid w:val="003741DB"/>
    <w:rsid w:val="00375201"/>
    <w:rsid w:val="00380990"/>
    <w:rsid w:val="00387247"/>
    <w:rsid w:val="00387B5E"/>
    <w:rsid w:val="00391AAA"/>
    <w:rsid w:val="003939C1"/>
    <w:rsid w:val="003A7540"/>
    <w:rsid w:val="003B23B9"/>
    <w:rsid w:val="003C34BC"/>
    <w:rsid w:val="003C74DE"/>
    <w:rsid w:val="003D504D"/>
    <w:rsid w:val="003D788D"/>
    <w:rsid w:val="003E4396"/>
    <w:rsid w:val="003F1CAA"/>
    <w:rsid w:val="003F30C8"/>
    <w:rsid w:val="00424D34"/>
    <w:rsid w:val="00435657"/>
    <w:rsid w:val="00436536"/>
    <w:rsid w:val="004420B3"/>
    <w:rsid w:val="0045742B"/>
    <w:rsid w:val="0046075F"/>
    <w:rsid w:val="0046316D"/>
    <w:rsid w:val="00463407"/>
    <w:rsid w:val="004667AE"/>
    <w:rsid w:val="00471A06"/>
    <w:rsid w:val="00472574"/>
    <w:rsid w:val="00474DFB"/>
    <w:rsid w:val="004808F6"/>
    <w:rsid w:val="004871BA"/>
    <w:rsid w:val="00492ACA"/>
    <w:rsid w:val="0049317F"/>
    <w:rsid w:val="004A29A2"/>
    <w:rsid w:val="004A549F"/>
    <w:rsid w:val="004B33E5"/>
    <w:rsid w:val="004C18E3"/>
    <w:rsid w:val="004C227C"/>
    <w:rsid w:val="004C6FF4"/>
    <w:rsid w:val="004C7870"/>
    <w:rsid w:val="004F258E"/>
    <w:rsid w:val="0050050D"/>
    <w:rsid w:val="00511DE1"/>
    <w:rsid w:val="00514581"/>
    <w:rsid w:val="005320D0"/>
    <w:rsid w:val="0053720B"/>
    <w:rsid w:val="00544E39"/>
    <w:rsid w:val="00552E5C"/>
    <w:rsid w:val="00557B11"/>
    <w:rsid w:val="0059193F"/>
    <w:rsid w:val="00594FB3"/>
    <w:rsid w:val="005A0D0E"/>
    <w:rsid w:val="005B3FF4"/>
    <w:rsid w:val="005C1E0D"/>
    <w:rsid w:val="005F0B40"/>
    <w:rsid w:val="005F38D3"/>
    <w:rsid w:val="00624D7B"/>
    <w:rsid w:val="00632EE7"/>
    <w:rsid w:val="00635C22"/>
    <w:rsid w:val="00636431"/>
    <w:rsid w:val="00636507"/>
    <w:rsid w:val="006375F2"/>
    <w:rsid w:val="00643FA9"/>
    <w:rsid w:val="00650F06"/>
    <w:rsid w:val="00654CAA"/>
    <w:rsid w:val="00682D64"/>
    <w:rsid w:val="00694FD5"/>
    <w:rsid w:val="006963CA"/>
    <w:rsid w:val="006A5604"/>
    <w:rsid w:val="006B1234"/>
    <w:rsid w:val="006B13E4"/>
    <w:rsid w:val="006C4126"/>
    <w:rsid w:val="006C78DB"/>
    <w:rsid w:val="006D16A2"/>
    <w:rsid w:val="006F064A"/>
    <w:rsid w:val="007010A8"/>
    <w:rsid w:val="0070230C"/>
    <w:rsid w:val="00732C60"/>
    <w:rsid w:val="00734012"/>
    <w:rsid w:val="007343EC"/>
    <w:rsid w:val="00741E05"/>
    <w:rsid w:val="00745D9D"/>
    <w:rsid w:val="0075033F"/>
    <w:rsid w:val="00753960"/>
    <w:rsid w:val="007624BB"/>
    <w:rsid w:val="00764F55"/>
    <w:rsid w:val="007672CF"/>
    <w:rsid w:val="007706BD"/>
    <w:rsid w:val="007844F5"/>
    <w:rsid w:val="007A0075"/>
    <w:rsid w:val="007A3DC0"/>
    <w:rsid w:val="007A6F34"/>
    <w:rsid w:val="007C0A1D"/>
    <w:rsid w:val="007C3DE8"/>
    <w:rsid w:val="007D1746"/>
    <w:rsid w:val="007E48D7"/>
    <w:rsid w:val="007F2714"/>
    <w:rsid w:val="007F2E6B"/>
    <w:rsid w:val="00802240"/>
    <w:rsid w:val="008168F7"/>
    <w:rsid w:val="008255FB"/>
    <w:rsid w:val="008304F9"/>
    <w:rsid w:val="00832085"/>
    <w:rsid w:val="0087164C"/>
    <w:rsid w:val="00873A4C"/>
    <w:rsid w:val="00874C88"/>
    <w:rsid w:val="00880A50"/>
    <w:rsid w:val="00883590"/>
    <w:rsid w:val="00885364"/>
    <w:rsid w:val="008A389D"/>
    <w:rsid w:val="008A6967"/>
    <w:rsid w:val="008B7E0F"/>
    <w:rsid w:val="008E7337"/>
    <w:rsid w:val="008F0044"/>
    <w:rsid w:val="00906A1D"/>
    <w:rsid w:val="009131F0"/>
    <w:rsid w:val="0091658C"/>
    <w:rsid w:val="00921E53"/>
    <w:rsid w:val="00933CC5"/>
    <w:rsid w:val="009351EA"/>
    <w:rsid w:val="009475D2"/>
    <w:rsid w:val="00950034"/>
    <w:rsid w:val="00993D63"/>
    <w:rsid w:val="009A1E88"/>
    <w:rsid w:val="009A26F8"/>
    <w:rsid w:val="009A2E72"/>
    <w:rsid w:val="009A4BB2"/>
    <w:rsid w:val="009B6918"/>
    <w:rsid w:val="009C01E7"/>
    <w:rsid w:val="009C3ABE"/>
    <w:rsid w:val="009D2DC9"/>
    <w:rsid w:val="009D6B1E"/>
    <w:rsid w:val="009E3F7C"/>
    <w:rsid w:val="009E45A9"/>
    <w:rsid w:val="009E60D2"/>
    <w:rsid w:val="009F124C"/>
    <w:rsid w:val="009F2293"/>
    <w:rsid w:val="009F2988"/>
    <w:rsid w:val="00A04DEF"/>
    <w:rsid w:val="00A0707B"/>
    <w:rsid w:val="00A105AD"/>
    <w:rsid w:val="00A21068"/>
    <w:rsid w:val="00A23EEF"/>
    <w:rsid w:val="00A336EB"/>
    <w:rsid w:val="00A34965"/>
    <w:rsid w:val="00A427BA"/>
    <w:rsid w:val="00A43F8E"/>
    <w:rsid w:val="00A46B54"/>
    <w:rsid w:val="00A47166"/>
    <w:rsid w:val="00A50041"/>
    <w:rsid w:val="00A53F0D"/>
    <w:rsid w:val="00A56EDA"/>
    <w:rsid w:val="00A572D8"/>
    <w:rsid w:val="00A75ABE"/>
    <w:rsid w:val="00A8795B"/>
    <w:rsid w:val="00AA18EF"/>
    <w:rsid w:val="00AA30A6"/>
    <w:rsid w:val="00AA7BD7"/>
    <w:rsid w:val="00AA7D41"/>
    <w:rsid w:val="00AB1CEF"/>
    <w:rsid w:val="00AB44DD"/>
    <w:rsid w:val="00AC330C"/>
    <w:rsid w:val="00AC3BB7"/>
    <w:rsid w:val="00AD13FE"/>
    <w:rsid w:val="00AE154E"/>
    <w:rsid w:val="00AE498A"/>
    <w:rsid w:val="00AF44D1"/>
    <w:rsid w:val="00AF58F5"/>
    <w:rsid w:val="00AF7BAB"/>
    <w:rsid w:val="00B07494"/>
    <w:rsid w:val="00B148D1"/>
    <w:rsid w:val="00B2225E"/>
    <w:rsid w:val="00B251F7"/>
    <w:rsid w:val="00B305F9"/>
    <w:rsid w:val="00B34C51"/>
    <w:rsid w:val="00B5087A"/>
    <w:rsid w:val="00B618BC"/>
    <w:rsid w:val="00B632F9"/>
    <w:rsid w:val="00B90BCA"/>
    <w:rsid w:val="00B93AAF"/>
    <w:rsid w:val="00B96E71"/>
    <w:rsid w:val="00BA15F2"/>
    <w:rsid w:val="00BA5311"/>
    <w:rsid w:val="00BB0779"/>
    <w:rsid w:val="00BB725A"/>
    <w:rsid w:val="00BC0C93"/>
    <w:rsid w:val="00BC1029"/>
    <w:rsid w:val="00BC5065"/>
    <w:rsid w:val="00BC59FE"/>
    <w:rsid w:val="00BC6C87"/>
    <w:rsid w:val="00BC7B04"/>
    <w:rsid w:val="00BD0364"/>
    <w:rsid w:val="00BE2C32"/>
    <w:rsid w:val="00BE6B7B"/>
    <w:rsid w:val="00BF18B3"/>
    <w:rsid w:val="00BF66B9"/>
    <w:rsid w:val="00C00328"/>
    <w:rsid w:val="00C0080A"/>
    <w:rsid w:val="00C03AFC"/>
    <w:rsid w:val="00C05A9E"/>
    <w:rsid w:val="00C1686E"/>
    <w:rsid w:val="00C2305B"/>
    <w:rsid w:val="00C23264"/>
    <w:rsid w:val="00C2784A"/>
    <w:rsid w:val="00C5159B"/>
    <w:rsid w:val="00C53B4A"/>
    <w:rsid w:val="00C56C99"/>
    <w:rsid w:val="00C5708F"/>
    <w:rsid w:val="00C61F24"/>
    <w:rsid w:val="00C64259"/>
    <w:rsid w:val="00C65A34"/>
    <w:rsid w:val="00C65FB1"/>
    <w:rsid w:val="00C748E9"/>
    <w:rsid w:val="00C80CA9"/>
    <w:rsid w:val="00C852D6"/>
    <w:rsid w:val="00C93352"/>
    <w:rsid w:val="00C95AFB"/>
    <w:rsid w:val="00C97C45"/>
    <w:rsid w:val="00CA54EA"/>
    <w:rsid w:val="00CB45D5"/>
    <w:rsid w:val="00CB6B46"/>
    <w:rsid w:val="00CC0402"/>
    <w:rsid w:val="00CC2681"/>
    <w:rsid w:val="00CC50C0"/>
    <w:rsid w:val="00CC63C0"/>
    <w:rsid w:val="00CE119A"/>
    <w:rsid w:val="00CF555C"/>
    <w:rsid w:val="00D16B09"/>
    <w:rsid w:val="00D33AF1"/>
    <w:rsid w:val="00D40307"/>
    <w:rsid w:val="00D46C30"/>
    <w:rsid w:val="00D5132E"/>
    <w:rsid w:val="00D6228C"/>
    <w:rsid w:val="00D63669"/>
    <w:rsid w:val="00D77CCD"/>
    <w:rsid w:val="00D90644"/>
    <w:rsid w:val="00D95A78"/>
    <w:rsid w:val="00D965D6"/>
    <w:rsid w:val="00DA3035"/>
    <w:rsid w:val="00DA4875"/>
    <w:rsid w:val="00DA7803"/>
    <w:rsid w:val="00DB2DB8"/>
    <w:rsid w:val="00DB3716"/>
    <w:rsid w:val="00DB5DA9"/>
    <w:rsid w:val="00DC3414"/>
    <w:rsid w:val="00DD61C8"/>
    <w:rsid w:val="00DF1576"/>
    <w:rsid w:val="00DF44A9"/>
    <w:rsid w:val="00E02C83"/>
    <w:rsid w:val="00E04827"/>
    <w:rsid w:val="00E06A7A"/>
    <w:rsid w:val="00E425E4"/>
    <w:rsid w:val="00E5107A"/>
    <w:rsid w:val="00E56707"/>
    <w:rsid w:val="00E64A92"/>
    <w:rsid w:val="00E64CCB"/>
    <w:rsid w:val="00E70507"/>
    <w:rsid w:val="00E710AF"/>
    <w:rsid w:val="00E741CA"/>
    <w:rsid w:val="00E753C7"/>
    <w:rsid w:val="00E85768"/>
    <w:rsid w:val="00E9277E"/>
    <w:rsid w:val="00E947C1"/>
    <w:rsid w:val="00E97774"/>
    <w:rsid w:val="00EA70F3"/>
    <w:rsid w:val="00EA740D"/>
    <w:rsid w:val="00EB2A67"/>
    <w:rsid w:val="00EB77DC"/>
    <w:rsid w:val="00EC1046"/>
    <w:rsid w:val="00EC6415"/>
    <w:rsid w:val="00EE0A92"/>
    <w:rsid w:val="00EF2A38"/>
    <w:rsid w:val="00F01B14"/>
    <w:rsid w:val="00F0520B"/>
    <w:rsid w:val="00F05C3E"/>
    <w:rsid w:val="00F072E3"/>
    <w:rsid w:val="00F1353B"/>
    <w:rsid w:val="00F15CB4"/>
    <w:rsid w:val="00F34A28"/>
    <w:rsid w:val="00F435B6"/>
    <w:rsid w:val="00F566D2"/>
    <w:rsid w:val="00F67F15"/>
    <w:rsid w:val="00F7256B"/>
    <w:rsid w:val="00F81406"/>
    <w:rsid w:val="00F81790"/>
    <w:rsid w:val="00F856DB"/>
    <w:rsid w:val="00F91211"/>
    <w:rsid w:val="00FA1177"/>
    <w:rsid w:val="00FB51C7"/>
    <w:rsid w:val="00FB751B"/>
    <w:rsid w:val="00FC4C1C"/>
    <w:rsid w:val="00FD0014"/>
    <w:rsid w:val="00FE3BDA"/>
    <w:rsid w:val="00FE488D"/>
    <w:rsid w:val="00FF530C"/>
    <w:rsid w:val="00FF6773"/>
    <w:rsid w:val="1B4048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heme="minorHAnsi" w:hAnsiTheme="minorHAnsi" w:eastAsiaTheme="minorEastAsia" w:cstheme="minorBidi"/>
      <w:color w:val="000000" w:themeColor="text1"/>
      <w:kern w:val="2"/>
      <w:sz w:val="24"/>
      <w:szCs w:val="22"/>
      <w:lang w:val="en-US" w:eastAsia="zh-CN" w:bidi="ar-SA"/>
      <w14:textFill>
        <w14:solidFill>
          <w14:schemeClr w14:val="tx1"/>
        </w14:solidFill>
      </w14:textFill>
    </w:rPr>
  </w:style>
  <w:style w:type="paragraph" w:styleId="2">
    <w:name w:val="heading 1"/>
    <w:basedOn w:val="1"/>
    <w:next w:val="1"/>
    <w:link w:val="26"/>
    <w:qFormat/>
    <w:uiPriority w:val="9"/>
    <w:pPr>
      <w:keepNext/>
      <w:keepLines/>
      <w:outlineLvl w:val="0"/>
    </w:pPr>
    <w:rPr>
      <w:rFonts w:ascii="Times New Roman" w:hAnsi="Times New Roman" w:eastAsia="黑体"/>
      <w:bCs/>
      <w:kern w:val="44"/>
      <w:sz w:val="30"/>
      <w:szCs w:val="44"/>
    </w:rPr>
  </w:style>
  <w:style w:type="paragraph" w:styleId="3">
    <w:name w:val="heading 2"/>
    <w:basedOn w:val="1"/>
    <w:next w:val="1"/>
    <w:link w:val="27"/>
    <w:unhideWhenUsed/>
    <w:qFormat/>
    <w:uiPriority w:val="9"/>
    <w:pPr>
      <w:keepNext/>
      <w:keepLines/>
      <w:outlineLvl w:val="1"/>
    </w:pPr>
    <w:rPr>
      <w:rFonts w:ascii="Times New Roman" w:hAnsi="Times New Roman" w:eastAsia="黑体" w:cstheme="majorBidi"/>
      <w:bCs/>
      <w:sz w:val="28"/>
      <w:szCs w:val="32"/>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8"/>
    <w:semiHidden/>
    <w:unhideWhenUsed/>
    <w:uiPriority w:val="99"/>
    <w:pPr>
      <w:jc w:val="left"/>
    </w:pPr>
  </w:style>
  <w:style w:type="paragraph" w:styleId="5">
    <w:name w:val="toc 3"/>
    <w:basedOn w:val="1"/>
    <w:next w:val="1"/>
    <w:unhideWhenUsed/>
    <w:uiPriority w:val="39"/>
    <w:pPr>
      <w:tabs>
        <w:tab w:val="right" w:leader="dot" w:pos="8296"/>
      </w:tabs>
      <w:ind w:left="960" w:leftChars="237" w:hanging="391" w:hangingChars="163"/>
    </w:pPr>
  </w:style>
  <w:style w:type="paragraph" w:styleId="6">
    <w:name w:val="Balloon Text"/>
    <w:basedOn w:val="1"/>
    <w:link w:val="20"/>
    <w:semiHidden/>
    <w:unhideWhenUsed/>
    <w:uiPriority w:val="99"/>
    <w:pPr>
      <w:spacing w:line="240" w:lineRule="auto"/>
    </w:pPr>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2"/>
    <w:basedOn w:val="1"/>
    <w:next w:val="1"/>
    <w:unhideWhenUsed/>
    <w:uiPriority w:val="39"/>
    <w:pPr>
      <w:tabs>
        <w:tab w:val="right" w:leader="dot" w:pos="8296"/>
      </w:tabs>
      <w:ind w:left="479" w:hanging="479" w:hangingChars="171"/>
    </w:pPr>
  </w:style>
  <w:style w:type="paragraph" w:styleId="10">
    <w:name w:val="annotation subject"/>
    <w:basedOn w:val="4"/>
    <w:next w:val="4"/>
    <w:link w:val="19"/>
    <w:semiHidden/>
    <w:unhideWhenUsed/>
    <w:qFormat/>
    <w:uiPriority w:val="99"/>
    <w:rPr>
      <w:b/>
      <w:bCs/>
    </w:rPr>
  </w:style>
  <w:style w:type="table" w:styleId="12">
    <w:name w:val="Table Grid"/>
    <w:basedOn w:val="11"/>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unhideWhenUsed/>
    <w:qFormat/>
    <w:uiPriority w:val="99"/>
    <w:rPr>
      <w:color w:val="0000FF" w:themeColor="hyperlink"/>
      <w:u w:val="single"/>
      <w14:textFill>
        <w14:solidFill>
          <w14:schemeClr w14:val="hlink"/>
        </w14:solidFill>
      </w14:textFill>
    </w:rPr>
  </w:style>
  <w:style w:type="character" w:styleId="15">
    <w:name w:val="annotation reference"/>
    <w:basedOn w:val="13"/>
    <w:semiHidden/>
    <w:unhideWhenUsed/>
    <w:uiPriority w:val="99"/>
    <w:rPr>
      <w:sz w:val="21"/>
      <w:szCs w:val="21"/>
    </w:rPr>
  </w:style>
  <w:style w:type="character" w:customStyle="1" w:styleId="16">
    <w:name w:val="页眉 字符"/>
    <w:basedOn w:val="13"/>
    <w:link w:val="8"/>
    <w:qFormat/>
    <w:uiPriority w:val="99"/>
    <w:rPr>
      <w:sz w:val="18"/>
      <w:szCs w:val="18"/>
    </w:rPr>
  </w:style>
  <w:style w:type="character" w:customStyle="1" w:styleId="17">
    <w:name w:val="页脚 字符"/>
    <w:basedOn w:val="13"/>
    <w:link w:val="7"/>
    <w:uiPriority w:val="99"/>
    <w:rPr>
      <w:sz w:val="18"/>
      <w:szCs w:val="18"/>
    </w:rPr>
  </w:style>
  <w:style w:type="character" w:customStyle="1" w:styleId="18">
    <w:name w:val="批注文字 字符"/>
    <w:basedOn w:val="13"/>
    <w:link w:val="4"/>
    <w:semiHidden/>
    <w:uiPriority w:val="99"/>
    <w:rPr>
      <w:color w:val="000000" w:themeColor="text1"/>
      <w:sz w:val="24"/>
      <w14:textFill>
        <w14:solidFill>
          <w14:schemeClr w14:val="tx1"/>
        </w14:solidFill>
      </w14:textFill>
    </w:rPr>
  </w:style>
  <w:style w:type="character" w:customStyle="1" w:styleId="19">
    <w:name w:val="批注主题 字符"/>
    <w:basedOn w:val="18"/>
    <w:link w:val="10"/>
    <w:semiHidden/>
    <w:qFormat/>
    <w:uiPriority w:val="99"/>
    <w:rPr>
      <w:b/>
      <w:bCs/>
      <w:color w:val="000000" w:themeColor="text1"/>
      <w:sz w:val="24"/>
      <w14:textFill>
        <w14:solidFill>
          <w14:schemeClr w14:val="tx1"/>
        </w14:solidFill>
      </w14:textFill>
    </w:rPr>
  </w:style>
  <w:style w:type="character" w:customStyle="1" w:styleId="20">
    <w:name w:val="批注框文本 字符"/>
    <w:basedOn w:val="13"/>
    <w:link w:val="6"/>
    <w:semiHidden/>
    <w:qFormat/>
    <w:uiPriority w:val="99"/>
    <w:rPr>
      <w:color w:val="000000" w:themeColor="text1"/>
      <w:sz w:val="18"/>
      <w:szCs w:val="18"/>
      <w14:textFill>
        <w14:solidFill>
          <w14:schemeClr w14:val="tx1"/>
        </w14:solidFill>
      </w14:textFill>
    </w:rPr>
  </w:style>
  <w:style w:type="paragraph" w:customStyle="1" w:styleId="21">
    <w:name w:val="段"/>
    <w:link w:val="22"/>
    <w:qFormat/>
    <w:uiPriority w:val="0"/>
    <w:pPr>
      <w:autoSpaceDE w:val="0"/>
      <w:autoSpaceDN w:val="0"/>
      <w:spacing w:after="200" w:line="276" w:lineRule="auto"/>
      <w:ind w:firstLine="200" w:firstLineChars="200"/>
      <w:jc w:val="both"/>
    </w:pPr>
    <w:rPr>
      <w:rFonts w:ascii="宋体" w:hAnsi="Times New Roman" w:eastAsia="宋体" w:cs="Times New Roman"/>
      <w:kern w:val="0"/>
      <w:sz w:val="22"/>
      <w:szCs w:val="20"/>
      <w:lang w:val="en-US" w:eastAsia="zh-CN" w:bidi="ar-SA"/>
    </w:rPr>
  </w:style>
  <w:style w:type="character" w:customStyle="1" w:styleId="22">
    <w:name w:val="段 Char"/>
    <w:basedOn w:val="13"/>
    <w:link w:val="21"/>
    <w:qFormat/>
    <w:uiPriority w:val="0"/>
    <w:rPr>
      <w:rFonts w:ascii="宋体" w:hAnsi="Times New Roman" w:eastAsia="宋体" w:cs="Times New Roman"/>
      <w:kern w:val="0"/>
      <w:sz w:val="22"/>
      <w:szCs w:val="20"/>
    </w:rPr>
  </w:style>
  <w:style w:type="paragraph" w:customStyle="1" w:styleId="23">
    <w:name w:val="Revision"/>
    <w:hidden/>
    <w:semiHidden/>
    <w:qFormat/>
    <w:uiPriority w:val="99"/>
    <w:rPr>
      <w:rFonts w:asciiTheme="minorHAnsi" w:hAnsiTheme="minorHAnsi" w:eastAsiaTheme="minorEastAsia" w:cstheme="minorBidi"/>
      <w:color w:val="000000" w:themeColor="text1"/>
      <w:kern w:val="2"/>
      <w:sz w:val="24"/>
      <w:szCs w:val="22"/>
      <w:lang w:val="en-US" w:eastAsia="zh-CN" w:bidi="ar-SA"/>
      <w14:textFill>
        <w14:solidFill>
          <w14:schemeClr w14:val="tx1"/>
        </w14:solidFill>
      </w14:textFill>
    </w:rPr>
  </w:style>
  <w:style w:type="paragraph" w:customStyle="1" w:styleId="24">
    <w:name w:val="Char Char Char Char"/>
    <w:basedOn w:val="1"/>
    <w:qFormat/>
    <w:uiPriority w:val="0"/>
    <w:pPr>
      <w:spacing w:line="240" w:lineRule="auto"/>
      <w:ind w:firstLine="0" w:firstLineChars="0"/>
    </w:pPr>
    <w:rPr>
      <w:rFonts w:ascii="Times New Roman" w:hAnsi="Times New Roman" w:eastAsia="宋体" w:cs="Calibri"/>
      <w:color w:val="auto"/>
      <w:sz w:val="21"/>
      <w:szCs w:val="24"/>
    </w:rPr>
  </w:style>
  <w:style w:type="paragraph" w:customStyle="1" w:styleId="25">
    <w:name w:val="Char Char Char Char Char"/>
    <w:basedOn w:val="1"/>
    <w:uiPriority w:val="0"/>
    <w:pPr>
      <w:spacing w:line="240" w:lineRule="auto"/>
      <w:ind w:firstLine="0" w:firstLineChars="0"/>
    </w:pPr>
    <w:rPr>
      <w:rFonts w:ascii="仿宋_GB2312" w:hAnsi="Times New Roman" w:eastAsia="仿宋_GB2312" w:cs="Times New Roman"/>
      <w:b/>
      <w:color w:val="auto"/>
      <w:sz w:val="32"/>
      <w:szCs w:val="32"/>
    </w:rPr>
  </w:style>
  <w:style w:type="character" w:customStyle="1" w:styleId="26">
    <w:name w:val="标题 1 字符"/>
    <w:basedOn w:val="13"/>
    <w:link w:val="2"/>
    <w:qFormat/>
    <w:uiPriority w:val="9"/>
    <w:rPr>
      <w:rFonts w:ascii="Times New Roman" w:hAnsi="Times New Roman" w:eastAsia="黑体"/>
      <w:bCs/>
      <w:color w:val="000000" w:themeColor="text1"/>
      <w:kern w:val="44"/>
      <w:sz w:val="30"/>
      <w:szCs w:val="44"/>
      <w14:textFill>
        <w14:solidFill>
          <w14:schemeClr w14:val="tx1"/>
        </w14:solidFill>
      </w14:textFill>
    </w:rPr>
  </w:style>
  <w:style w:type="character" w:customStyle="1" w:styleId="27">
    <w:name w:val="标题 2 字符"/>
    <w:basedOn w:val="13"/>
    <w:link w:val="3"/>
    <w:qFormat/>
    <w:uiPriority w:val="9"/>
    <w:rPr>
      <w:rFonts w:ascii="Times New Roman" w:hAnsi="Times New Roman" w:eastAsia="黑体" w:cstheme="majorBidi"/>
      <w:bCs/>
      <w:color w:val="000000" w:themeColor="text1"/>
      <w:sz w:val="28"/>
      <w:szCs w:val="32"/>
      <w14:textFill>
        <w14:solidFill>
          <w14:schemeClr w14:val="tx1"/>
        </w14:solidFill>
      </w14:textFill>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7FA63-1ED4-44EA-9FE4-C0AC299D0AA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5248</Words>
  <Characters>5460</Characters>
  <Lines>48</Lines>
  <Paragraphs>13</Paragraphs>
  <TotalTime>3621</TotalTime>
  <ScaleCrop>false</ScaleCrop>
  <LinksUpToDate>false</LinksUpToDate>
  <CharactersWithSpaces>5522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2022-08-13T09:59:00Z</dcterms:created>
  <dc:creator>Microsoft</dc:creator>
  <cp:lastModifiedBy>李子</cp:lastModifiedBy>
  <cp:lastPrinted>2022-11-23T07:52:00Z</cp:lastPrinted>
  <dcterms:modified xsi:type="dcterms:W3CDTF">2023-06-06T07:29:46Z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843CC2D6A2124CADA68DAF38A7E29079_12</vt:lpwstr>
  </property>
</Properties>
</file>