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简体" w:hAnsi="方正小标宋简体" w:eastAsia="方正小标宋简体" w:cs="方正小标宋简体"/>
          <w:kern w:val="2"/>
          <w:sz w:val="44"/>
          <w:szCs w:val="44"/>
          <w:lang w:eastAsia="zh-CN"/>
        </w:rPr>
      </w:pPr>
      <w:r>
        <w:rPr>
          <w:rFonts w:hint="eastAsia" w:ascii="方正小标宋简体" w:hAnsi="方正小标宋简体" w:eastAsia="方正小标宋简体" w:cs="方正小标宋简体"/>
          <w:kern w:val="2"/>
          <w:sz w:val="44"/>
          <w:szCs w:val="44"/>
          <w:lang w:eastAsia="zh-CN"/>
        </w:rPr>
        <w:t>湖南省《营养健康食堂建设</w:t>
      </w:r>
      <w:r>
        <w:rPr>
          <w:rFonts w:hint="eastAsia" w:ascii="方正小标宋简体" w:hAnsi="方正小标宋简体" w:eastAsia="方正小标宋简体" w:cs="方正小标宋简体"/>
          <w:kern w:val="2"/>
          <w:sz w:val="44"/>
          <w:szCs w:val="44"/>
        </w:rPr>
        <w:t>管理规</w:t>
      </w:r>
      <w:r>
        <w:rPr>
          <w:rFonts w:hint="eastAsia" w:ascii="方正小标宋简体" w:hAnsi="方正小标宋简体" w:eastAsia="方正小标宋简体" w:cs="方正小标宋简体"/>
          <w:kern w:val="2"/>
          <w:sz w:val="44"/>
          <w:szCs w:val="44"/>
          <w:lang w:eastAsia="zh-CN"/>
        </w:rPr>
        <w:t>范》</w:t>
      </w:r>
    </w:p>
    <w:p>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简体" w:hAnsi="方正小标宋简体" w:eastAsia="方正小标宋简体" w:cs="方正小标宋简体"/>
          <w:kern w:val="2"/>
          <w:sz w:val="44"/>
          <w:szCs w:val="44"/>
          <w:lang w:eastAsia="zh-CN"/>
        </w:rPr>
      </w:pPr>
      <w:r>
        <w:rPr>
          <w:rFonts w:hint="eastAsia" w:ascii="方正小标宋简体" w:hAnsi="方正小标宋简体" w:eastAsia="方正小标宋简体" w:cs="方正小标宋简体"/>
          <w:kern w:val="2"/>
          <w:sz w:val="44"/>
          <w:szCs w:val="44"/>
          <w:lang w:eastAsia="zh-CN"/>
        </w:rPr>
        <w:t>（征求意见稿）地方标准编制说明</w:t>
      </w:r>
    </w:p>
    <w:p>
      <w:pPr>
        <w:keepNext w:val="0"/>
        <w:keepLines w:val="0"/>
        <w:pageBreakBefore w:val="0"/>
        <w:widowControl w:val="0"/>
        <w:kinsoku/>
        <w:wordWrap/>
        <w:overflowPunct/>
        <w:topLinePunct w:val="0"/>
        <w:autoSpaceDE/>
        <w:autoSpaceDN/>
        <w:bidi w:val="0"/>
        <w:adjustRightInd/>
        <w:snapToGrid/>
        <w:spacing w:after="0" w:line="640" w:lineRule="exact"/>
        <w:jc w:val="both"/>
        <w:textAlignment w:val="auto"/>
        <w:rPr>
          <w:rFonts w:hint="eastAsia" w:ascii="方正小标宋简体" w:hAnsi="方正小标宋简体" w:eastAsia="方正小标宋简体" w:cs="方正小标宋简体"/>
          <w:kern w:val="2"/>
          <w:sz w:val="36"/>
          <w:szCs w:val="36"/>
          <w:lang w:eastAsia="zh-CN"/>
        </w:rPr>
      </w:pPr>
    </w:p>
    <w:p>
      <w:pPr>
        <w:pStyle w:val="6"/>
        <w:keepNext w:val="0"/>
        <w:keepLines w:val="0"/>
        <w:pageBreakBefore w:val="0"/>
        <w:numPr>
          <w:ilvl w:val="0"/>
          <w:numId w:val="1"/>
        </w:numPr>
        <w:kinsoku/>
        <w:wordWrap/>
        <w:overflowPunct/>
        <w:topLinePunct w:val="0"/>
        <w:autoSpaceDE/>
        <w:autoSpaceDN/>
        <w:bidi w:val="0"/>
        <w:spacing w:before="204" w:line="640" w:lineRule="exact"/>
        <w:ind w:left="0" w:right="438" w:firstLine="640" w:firstLineChars="200"/>
        <w:jc w:val="both"/>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任务来源</w:t>
      </w:r>
    </w:p>
    <w:p>
      <w:pPr>
        <w:pStyle w:val="6"/>
        <w:keepNext w:val="0"/>
        <w:keepLines w:val="0"/>
        <w:pageBreakBefore w:val="0"/>
        <w:numPr>
          <w:ilvl w:val="0"/>
          <w:numId w:val="0"/>
        </w:numPr>
        <w:kinsoku/>
        <w:wordWrap/>
        <w:overflowPunct/>
        <w:topLinePunct w:val="0"/>
        <w:autoSpaceDE/>
        <w:autoSpaceDN/>
        <w:bidi w:val="0"/>
        <w:spacing w:before="204" w:line="640" w:lineRule="exact"/>
        <w:ind w:right="438" w:righ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《健康湖南行动（2019- 2030年）》之合理膳食行动提出要“制定实施集体供餐单位营养操作规范，开展示范健康食堂和健康餐厅创建活动”</w:t>
      </w:r>
      <w:r>
        <w:rPr>
          <w:rFonts w:hint="eastAsia"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湖南省国民营养计划2030实施方案》提出要“创建食物营养教育示范基地，开展示范健康食堂和健康餐厅建设，推广健康烹饪模式与营养均衡配餐”。制定《营养健康食堂建设管理规范》，是推进落实上述行动和计划的具体要求。</w:t>
      </w:r>
      <w:r>
        <w:rPr>
          <w:rFonts w:hint="default" w:ascii="Times New Roman" w:hAnsi="Times New Roman" w:eastAsia="仿宋_GB2312" w:cs="Times New Roman"/>
          <w:spacing w:val="-11"/>
          <w:sz w:val="32"/>
          <w:szCs w:val="32"/>
        </w:rPr>
        <w:t>由湖南省</w:t>
      </w:r>
      <w:r>
        <w:rPr>
          <w:rFonts w:hint="default" w:ascii="Times New Roman" w:hAnsi="Times New Roman" w:eastAsia="仿宋_GB2312" w:cs="Times New Roman"/>
          <w:spacing w:val="-11"/>
          <w:sz w:val="32"/>
          <w:szCs w:val="32"/>
          <w:lang w:eastAsia="zh-CN"/>
        </w:rPr>
        <w:t>疾病预防控制</w:t>
      </w:r>
      <w:r>
        <w:rPr>
          <w:rFonts w:hint="default" w:ascii="Times New Roman" w:hAnsi="Times New Roman" w:eastAsia="仿宋_GB2312" w:cs="Times New Roman"/>
          <w:spacing w:val="-11"/>
          <w:sz w:val="32"/>
          <w:szCs w:val="32"/>
        </w:rPr>
        <w:t>中心牵头向湖南省市场监督管理局</w:t>
      </w:r>
      <w:r>
        <w:rPr>
          <w:rFonts w:hint="default" w:ascii="Times New Roman" w:hAnsi="Times New Roman" w:eastAsia="仿宋_GB2312" w:cs="Times New Roman"/>
          <w:b w:val="0"/>
          <w:bCs/>
          <w:sz w:val="32"/>
          <w:szCs w:val="32"/>
        </w:rPr>
        <w:t>申报制订《</w:t>
      </w:r>
      <w:r>
        <w:rPr>
          <w:rFonts w:hint="default" w:ascii="Times New Roman" w:hAnsi="Times New Roman" w:eastAsia="仿宋_GB2312" w:cs="Times New Roman"/>
          <w:b w:val="0"/>
          <w:bCs/>
          <w:sz w:val="32"/>
          <w:szCs w:val="32"/>
          <w:lang w:eastAsia="zh-CN"/>
        </w:rPr>
        <w:t>营养健康食堂建设</w:t>
      </w:r>
      <w:r>
        <w:rPr>
          <w:rFonts w:hint="default" w:ascii="Times New Roman" w:hAnsi="Times New Roman" w:eastAsia="仿宋_GB2312" w:cs="Times New Roman"/>
          <w:b w:val="0"/>
          <w:bCs/>
          <w:sz w:val="32"/>
          <w:szCs w:val="32"/>
        </w:rPr>
        <w:t>管理规范》地方标准，经湖南省市场监督管理局评审同意立项。根据湖南省市场监督管理局（湘市监标函﹝202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w:t>
      </w:r>
      <w:r>
        <w:rPr>
          <w:rFonts w:hint="default" w:ascii="Times New Roman" w:hAnsi="Times New Roman" w:eastAsia="仿宋_GB2312" w:cs="Times New Roman"/>
          <w:b w:val="0"/>
          <w:bCs/>
          <w:sz w:val="32"/>
          <w:szCs w:val="32"/>
          <w:lang w:val="en-US" w:eastAsia="zh-CN"/>
        </w:rPr>
        <w:t>4</w:t>
      </w:r>
      <w:r>
        <w:rPr>
          <w:rFonts w:hint="default" w:ascii="Times New Roman" w:hAnsi="Times New Roman" w:eastAsia="仿宋_GB2312" w:cs="Times New Roman"/>
          <w:b w:val="0"/>
          <w:bCs/>
          <w:sz w:val="32"/>
          <w:szCs w:val="32"/>
        </w:rPr>
        <w:t>号）《关于下达202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w:t>
      </w:r>
      <w:r>
        <w:rPr>
          <w:rFonts w:hint="default" w:ascii="Times New Roman" w:hAnsi="Times New Roman" w:eastAsia="仿宋_GB2312" w:cs="Times New Roman"/>
          <w:b w:val="0"/>
          <w:bCs/>
          <w:sz w:val="32"/>
          <w:szCs w:val="32"/>
          <w:lang w:eastAsia="zh-CN"/>
        </w:rPr>
        <w:t>第一批</w:t>
      </w:r>
      <w:r>
        <w:rPr>
          <w:rFonts w:hint="default" w:ascii="Times New Roman" w:hAnsi="Times New Roman" w:eastAsia="仿宋_GB2312" w:cs="Times New Roman"/>
          <w:b w:val="0"/>
          <w:bCs/>
          <w:sz w:val="32"/>
          <w:szCs w:val="32"/>
        </w:rPr>
        <w:t>地方标准</w:t>
      </w:r>
      <w:r>
        <w:rPr>
          <w:rFonts w:hint="default" w:ascii="Times New Roman" w:hAnsi="Times New Roman" w:eastAsia="仿宋_GB2312" w:cs="Times New Roman"/>
          <w:b w:val="0"/>
          <w:bCs/>
          <w:sz w:val="32"/>
          <w:szCs w:val="32"/>
          <w:lang w:eastAsia="zh-CN"/>
        </w:rPr>
        <w:t>制</w:t>
      </w:r>
      <w:r>
        <w:rPr>
          <w:rFonts w:hint="default" w:ascii="Times New Roman" w:hAnsi="Times New Roman" w:eastAsia="仿宋_GB2312" w:cs="Times New Roman"/>
          <w:b w:val="0"/>
          <w:bCs/>
          <w:sz w:val="32"/>
          <w:szCs w:val="32"/>
        </w:rPr>
        <w:t>修订项目计划的通知》中附件202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年地方标准</w:t>
      </w:r>
      <w:r>
        <w:rPr>
          <w:rFonts w:hint="default" w:ascii="Times New Roman" w:hAnsi="Times New Roman" w:eastAsia="仿宋_GB2312" w:cs="Times New Roman"/>
          <w:b w:val="0"/>
          <w:bCs/>
          <w:sz w:val="32"/>
          <w:szCs w:val="32"/>
          <w:lang w:eastAsia="zh-CN"/>
        </w:rPr>
        <w:t>制</w:t>
      </w:r>
      <w:r>
        <w:rPr>
          <w:rFonts w:hint="default" w:ascii="Times New Roman" w:hAnsi="Times New Roman" w:eastAsia="仿宋_GB2312" w:cs="Times New Roman"/>
          <w:b w:val="0"/>
          <w:bCs/>
          <w:sz w:val="32"/>
          <w:szCs w:val="32"/>
        </w:rPr>
        <w:t>修订项目立项计划表的要求，本标准的编制工作由湖南省</w:t>
      </w:r>
      <w:r>
        <w:rPr>
          <w:rFonts w:hint="default" w:ascii="Times New Roman" w:hAnsi="Times New Roman" w:eastAsia="仿宋_GB2312" w:cs="Times New Roman"/>
          <w:b w:val="0"/>
          <w:bCs/>
          <w:sz w:val="32"/>
          <w:szCs w:val="32"/>
          <w:lang w:eastAsia="zh-CN"/>
        </w:rPr>
        <w:t>疾病预防控制</w:t>
      </w:r>
      <w:r>
        <w:rPr>
          <w:rFonts w:hint="default" w:ascii="Times New Roman" w:hAnsi="Times New Roman" w:eastAsia="仿宋_GB2312" w:cs="Times New Roman"/>
          <w:b w:val="0"/>
          <w:bCs/>
          <w:sz w:val="32"/>
          <w:szCs w:val="32"/>
        </w:rPr>
        <w:t>中心、</w:t>
      </w:r>
      <w:r>
        <w:rPr>
          <w:rFonts w:hint="default" w:ascii="Times New Roman" w:hAnsi="Times New Roman" w:eastAsia="仿宋_GB2312" w:cs="Times New Roman"/>
          <w:b w:val="0"/>
          <w:bCs/>
          <w:sz w:val="32"/>
          <w:szCs w:val="32"/>
          <w:lang w:eastAsia="zh-CN"/>
        </w:rPr>
        <w:t>中南大学、湖南省产商品评审中心、华逸府餐饮文化传播有限公司</w:t>
      </w:r>
      <w:r>
        <w:rPr>
          <w:rFonts w:hint="default" w:ascii="Times New Roman" w:hAnsi="Times New Roman" w:eastAsia="仿宋_GB2312" w:cs="Times New Roman"/>
          <w:b w:val="0"/>
          <w:bCs/>
          <w:sz w:val="32"/>
          <w:szCs w:val="32"/>
        </w:rPr>
        <w:t>共同完成，并且为此专门成立《</w:t>
      </w:r>
      <w:r>
        <w:rPr>
          <w:rFonts w:hint="default" w:ascii="Times New Roman" w:hAnsi="Times New Roman" w:eastAsia="仿宋_GB2312" w:cs="Times New Roman"/>
          <w:b w:val="0"/>
          <w:bCs/>
          <w:sz w:val="32"/>
          <w:szCs w:val="32"/>
          <w:lang w:eastAsia="zh-CN"/>
        </w:rPr>
        <w:t>营养健康食堂建设</w:t>
      </w:r>
      <w:r>
        <w:rPr>
          <w:rFonts w:hint="default" w:ascii="Times New Roman" w:hAnsi="Times New Roman" w:eastAsia="仿宋_GB2312" w:cs="Times New Roman"/>
          <w:b w:val="0"/>
          <w:bCs/>
          <w:sz w:val="32"/>
          <w:szCs w:val="32"/>
        </w:rPr>
        <w:t>管理规范》地方标准制订工作小组，负责本标准的各项工作。</w:t>
      </w:r>
    </w:p>
    <w:p>
      <w:pPr>
        <w:pStyle w:val="6"/>
        <w:keepNext w:val="0"/>
        <w:keepLines w:val="0"/>
        <w:pageBreakBefore w:val="0"/>
        <w:numPr>
          <w:ilvl w:val="0"/>
          <w:numId w:val="1"/>
        </w:numPr>
        <w:kinsoku/>
        <w:wordWrap/>
        <w:overflowPunct/>
        <w:topLinePunct w:val="0"/>
        <w:autoSpaceDE/>
        <w:autoSpaceDN/>
        <w:bidi w:val="0"/>
        <w:spacing w:before="204" w:line="640" w:lineRule="exact"/>
        <w:ind w:left="0" w:right="438" w:firstLine="640" w:firstLineChars="200"/>
        <w:jc w:val="both"/>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制定标准的目的和意义</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default" w:ascii="Times New Roman" w:hAnsi="Times New Roman" w:eastAsia="仿宋_GB2312" w:cs="Times New Roman"/>
          <w:spacing w:val="-3"/>
          <w:sz w:val="32"/>
          <w:szCs w:val="32"/>
          <w:lang w:val="en-US" w:eastAsia="zh-CN"/>
        </w:rPr>
        <w:t>《健康湖南行动（2019- 2030年）》之合理膳食行动提出要“制定实施集体供餐单位营养操作规范，开展示范健康食堂和健康餐厅创建活动”；《湖南省国民营养计划2030实施方案》提出要“创建食物营养教育示范基地，开展示范健康食堂和健康餐厅建设，推广健康烹饪模式与营养均衡配餐”。制定《营养健康食堂建设管理规范》，是推进落实上述行动和计划的具体要求。</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default" w:ascii="Times New Roman" w:hAnsi="Times New Roman" w:eastAsia="仿宋_GB2312" w:cs="Times New Roman"/>
          <w:spacing w:val="-3"/>
          <w:sz w:val="32"/>
          <w:szCs w:val="32"/>
          <w:lang w:val="en-US" w:eastAsia="zh-CN"/>
        </w:rPr>
        <w:t>通过制定规范营养健康食堂建设工作的地方标准，有助于引导单位食堂（职工食堂）不断增强营养健康意识，不断提高营养健康服务水平，从而推动实现以合理膳食、杜绝浪费为目标的营养转型升级，满足</w:t>
      </w:r>
      <w:r>
        <w:rPr>
          <w:rFonts w:hint="eastAsia" w:ascii="Times New Roman" w:hAnsi="Times New Roman" w:eastAsia="仿宋_GB2312" w:cs="Times New Roman"/>
          <w:spacing w:val="-3"/>
          <w:sz w:val="32"/>
          <w:szCs w:val="32"/>
          <w:lang w:val="en-US" w:eastAsia="zh-CN"/>
        </w:rPr>
        <w:t>广大</w:t>
      </w:r>
      <w:r>
        <w:rPr>
          <w:rFonts w:hint="default" w:ascii="Times New Roman" w:hAnsi="Times New Roman" w:eastAsia="仿宋_GB2312" w:cs="Times New Roman"/>
          <w:spacing w:val="-3"/>
          <w:sz w:val="32"/>
          <w:szCs w:val="32"/>
          <w:lang w:val="en-US" w:eastAsia="zh-CN"/>
        </w:rPr>
        <w:t>职工日益增长的营养健康需求，具有明显的社会效益。</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三、标准编制的原则及依据</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楷体_GB2312" w:hAnsi="楷体_GB2312" w:eastAsia="楷体_GB2312" w:cs="楷体_GB2312"/>
          <w:spacing w:val="-3"/>
          <w:sz w:val="32"/>
          <w:szCs w:val="32"/>
          <w:lang w:val="en-US" w:eastAsia="zh-CN"/>
        </w:rPr>
      </w:pPr>
      <w:r>
        <w:rPr>
          <w:rFonts w:hint="eastAsia" w:ascii="楷体_GB2312" w:hAnsi="楷体_GB2312" w:eastAsia="楷体_GB2312" w:cs="楷体_GB2312"/>
          <w:spacing w:val="-3"/>
          <w:sz w:val="32"/>
          <w:szCs w:val="32"/>
          <w:lang w:val="en-US" w:eastAsia="zh-CN"/>
        </w:rPr>
        <w:t>（一）编制原则</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default" w:ascii="Times New Roman" w:hAnsi="Times New Roman" w:eastAsia="仿宋_GB2312" w:cs="Times New Roman"/>
          <w:spacing w:val="-3"/>
          <w:sz w:val="32"/>
          <w:szCs w:val="32"/>
          <w:lang w:val="en-US" w:eastAsia="zh-CN"/>
        </w:rPr>
        <w:t>1．科学性原则。遵守国家相关法律、法规，不与国家标准、行业标准相抵触，满足全省营养健康食堂管理服务的要求</w:t>
      </w:r>
      <w:r>
        <w:rPr>
          <w:rFonts w:hint="eastAsia" w:ascii="Times New Roman" w:hAnsi="Times New Roman" w:eastAsia="仿宋_GB2312" w:cs="Times New Roman"/>
          <w:spacing w:val="-3"/>
          <w:sz w:val="32"/>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default" w:ascii="Times New Roman" w:hAnsi="Times New Roman" w:eastAsia="仿宋_GB2312" w:cs="Times New Roman"/>
          <w:spacing w:val="-3"/>
          <w:sz w:val="32"/>
          <w:szCs w:val="32"/>
          <w:lang w:val="en-US" w:eastAsia="zh-CN"/>
        </w:rPr>
        <w:t>2．适用性原则。广泛收集国家、其他省地方标准相关建设规范，收集食堂管理人员以及工作人员的意见和建议，考虑全省各市州</w:t>
      </w:r>
      <w:r>
        <w:rPr>
          <w:rFonts w:hint="eastAsia" w:ascii="Times New Roman" w:hAnsi="Times New Roman" w:eastAsia="仿宋_GB2312" w:cs="Times New Roman"/>
          <w:spacing w:val="-3"/>
          <w:sz w:val="32"/>
          <w:szCs w:val="32"/>
          <w:lang w:val="en-US" w:eastAsia="zh-CN"/>
        </w:rPr>
        <w:t>职工</w:t>
      </w:r>
      <w:r>
        <w:rPr>
          <w:rFonts w:hint="default" w:ascii="Times New Roman" w:hAnsi="Times New Roman" w:eastAsia="仿宋_GB2312" w:cs="Times New Roman"/>
          <w:spacing w:val="-3"/>
          <w:sz w:val="32"/>
          <w:szCs w:val="32"/>
          <w:lang w:val="en-US" w:eastAsia="zh-CN"/>
        </w:rPr>
        <w:t>食堂的实际情况，制定在全省范围内适宜的规范标准，提高规范的适用性。</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default" w:ascii="Times New Roman" w:hAnsi="Times New Roman" w:eastAsia="仿宋_GB2312" w:cs="Times New Roman"/>
          <w:spacing w:val="-3"/>
          <w:sz w:val="32"/>
          <w:szCs w:val="32"/>
          <w:lang w:val="en-US" w:eastAsia="zh-CN"/>
        </w:rPr>
        <w:t>3、规范性原则。本标准按照国家有关规定制定，以确保标准制定的规范性。标准中的内容有国家标准要求的，以国家标准要求为准。</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楷体_GB2312" w:hAnsi="楷体_GB2312" w:eastAsia="楷体_GB2312" w:cs="楷体_GB2312"/>
          <w:b w:val="0"/>
          <w:bCs w:val="0"/>
          <w:spacing w:val="-3"/>
          <w:sz w:val="32"/>
          <w:szCs w:val="32"/>
          <w:lang w:val="en-US" w:eastAsia="zh-CN"/>
        </w:rPr>
      </w:pPr>
      <w:r>
        <w:rPr>
          <w:rFonts w:hint="eastAsia" w:ascii="楷体_GB2312" w:hAnsi="楷体_GB2312" w:eastAsia="楷体_GB2312" w:cs="楷体_GB2312"/>
          <w:b w:val="0"/>
          <w:bCs w:val="0"/>
          <w:spacing w:val="-3"/>
          <w:sz w:val="32"/>
          <w:szCs w:val="32"/>
          <w:lang w:val="en-US" w:eastAsia="zh-CN"/>
        </w:rPr>
        <w:t>（二）编制依据</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Times New Roman" w:hAnsi="Times New Roman" w:eastAsia="仿宋_GB2312" w:cs="Times New Roman"/>
          <w:spacing w:val="-3"/>
          <w:sz w:val="32"/>
          <w:szCs w:val="32"/>
          <w:lang w:val="en-US" w:eastAsia="zh-CN"/>
        </w:rPr>
      </w:pPr>
      <w:r>
        <w:rPr>
          <w:rFonts w:hint="default" w:ascii="Times New Roman" w:hAnsi="Times New Roman" w:eastAsia="仿宋_GB2312" w:cs="Times New Roman"/>
          <w:spacing w:val="-3"/>
          <w:sz w:val="32"/>
          <w:szCs w:val="32"/>
          <w:lang w:val="en-US" w:eastAsia="zh-CN"/>
        </w:rPr>
        <w:t>本标准</w:t>
      </w:r>
      <w:r>
        <w:rPr>
          <w:rFonts w:hint="eastAsia" w:ascii="Times New Roman" w:hAnsi="Times New Roman" w:eastAsia="仿宋_GB2312" w:cs="Times New Roman"/>
          <w:spacing w:val="-3"/>
          <w:sz w:val="32"/>
          <w:szCs w:val="32"/>
          <w:lang w:val="en-US" w:eastAsia="zh-CN"/>
        </w:rPr>
        <w:t>编写</w:t>
      </w:r>
      <w:r>
        <w:rPr>
          <w:rFonts w:hint="default" w:ascii="Times New Roman" w:hAnsi="Times New Roman" w:eastAsia="仿宋_GB2312" w:cs="Times New Roman"/>
          <w:spacing w:val="-3"/>
          <w:sz w:val="32"/>
          <w:szCs w:val="32"/>
          <w:lang w:val="en-US" w:eastAsia="zh-CN"/>
        </w:rPr>
        <w:t>遵循GB/T 1.</w:t>
      </w:r>
      <w:r>
        <w:rPr>
          <w:rFonts w:hint="eastAsia" w:ascii="Times New Roman" w:hAnsi="Times New Roman" w:eastAsia="仿宋_GB2312" w:cs="Times New Roman"/>
          <w:spacing w:val="-3"/>
          <w:sz w:val="32"/>
          <w:szCs w:val="32"/>
          <w:lang w:val="en-US" w:eastAsia="zh-CN"/>
        </w:rPr>
        <w:t>1-</w:t>
      </w:r>
      <w:r>
        <w:rPr>
          <w:rFonts w:hint="default" w:ascii="Times New Roman" w:hAnsi="Times New Roman" w:eastAsia="仿宋_GB2312" w:cs="Times New Roman"/>
          <w:spacing w:val="-3"/>
          <w:sz w:val="32"/>
          <w:szCs w:val="32"/>
          <w:lang w:val="en-US" w:eastAsia="zh-CN"/>
        </w:rPr>
        <w:t>2020《标准化工作导则第1部分：标准化文件的结构和起草规则》起草。</w:t>
      </w:r>
      <w:r>
        <w:rPr>
          <w:rFonts w:hint="eastAsia" w:ascii="Times New Roman" w:hAnsi="Times New Roman" w:eastAsia="仿宋_GB2312" w:cs="Times New Roman"/>
          <w:spacing w:val="-3"/>
          <w:sz w:val="32"/>
          <w:szCs w:val="32"/>
          <w:lang w:val="en-US" w:eastAsia="zh-CN"/>
        </w:rPr>
        <w:t>在技术内容的选取上，结合参考了众多的文件。追求规范性技术要求和技术指标选取科学合理、有据可依。</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楷体_GB2312" w:hAnsi="楷体_GB2312" w:eastAsia="楷体_GB2312" w:cs="楷体_GB2312"/>
          <w:b w:val="0"/>
          <w:bCs w:val="0"/>
          <w:spacing w:val="-3"/>
          <w:sz w:val="32"/>
          <w:szCs w:val="32"/>
          <w:lang w:val="en-US" w:eastAsia="zh-CN"/>
        </w:rPr>
      </w:pPr>
      <w:r>
        <w:rPr>
          <w:rFonts w:hint="eastAsia" w:ascii="Times New Roman" w:hAnsi="Times New Roman" w:eastAsia="仿宋_GB2312" w:cs="Times New Roman"/>
          <w:spacing w:val="-3"/>
          <w:sz w:val="32"/>
          <w:szCs w:val="32"/>
          <w:lang w:val="en-US" w:eastAsia="zh-CN"/>
        </w:rPr>
        <w:t>规范性引用文件包括：</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8" w:firstLineChars="250"/>
        <w:jc w:val="both"/>
        <w:textAlignment w:val="auto"/>
        <w:rPr>
          <w:rFonts w:hint="eastAsia" w:ascii="Times New Roman" w:hAnsi="Times New Roman" w:eastAsia="仿宋_GB2312" w:cs="Times New Roman"/>
          <w:b/>
          <w:bCs/>
          <w:spacing w:val="-3"/>
          <w:sz w:val="32"/>
          <w:szCs w:val="32"/>
          <w:lang w:val="en-US" w:eastAsia="zh-CN"/>
        </w:rPr>
      </w:pPr>
      <w:r>
        <w:rPr>
          <w:rFonts w:hint="eastAsia" w:ascii="Times New Roman" w:hAnsi="Times New Roman" w:eastAsia="仿宋_GB2312" w:cs="Times New Roman"/>
          <w:b/>
          <w:bCs/>
          <w:spacing w:val="-3"/>
          <w:sz w:val="32"/>
          <w:szCs w:val="32"/>
          <w:lang w:val="en-US" w:eastAsia="zh-CN"/>
        </w:rPr>
        <w:t>1.标准依据</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default" w:ascii="Times New Roman" w:hAnsi="Times New Roman" w:eastAsia="仿宋_GB2312" w:cs="Times New Roman"/>
          <w:spacing w:val="-3"/>
          <w:sz w:val="32"/>
          <w:szCs w:val="32"/>
          <w:lang w:val="en-US" w:eastAsia="zh-CN"/>
        </w:rPr>
        <w:t>GB/T 1.</w:t>
      </w:r>
      <w:r>
        <w:rPr>
          <w:rFonts w:hint="eastAsia" w:ascii="Times New Roman" w:hAnsi="Times New Roman" w:eastAsia="仿宋_GB2312" w:cs="Times New Roman"/>
          <w:spacing w:val="-3"/>
          <w:sz w:val="32"/>
          <w:szCs w:val="32"/>
          <w:lang w:val="en-US" w:eastAsia="zh-CN"/>
        </w:rPr>
        <w:t>1-</w:t>
      </w:r>
      <w:r>
        <w:rPr>
          <w:rFonts w:hint="default" w:ascii="Times New Roman" w:hAnsi="Times New Roman" w:eastAsia="仿宋_GB2312" w:cs="Times New Roman"/>
          <w:spacing w:val="-3"/>
          <w:sz w:val="32"/>
          <w:szCs w:val="32"/>
          <w:lang w:val="en-US" w:eastAsia="zh-CN"/>
        </w:rPr>
        <w:t>2020《标准化工作导则第1部分：标准化文件的结构和起草规则》</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default" w:ascii="Times New Roman" w:hAnsi="Times New Roman" w:eastAsia="仿宋_GB2312" w:cs="Times New Roman"/>
          <w:spacing w:val="-3"/>
          <w:sz w:val="32"/>
          <w:szCs w:val="32"/>
          <w:lang w:val="en-US" w:eastAsia="zh-CN"/>
        </w:rPr>
        <w:t>GB 31654-2021《食品安全国家标准</w:t>
      </w:r>
      <w:r>
        <w:rPr>
          <w:rFonts w:hint="eastAsia" w:ascii="Times New Roman" w:hAnsi="Times New Roman" w:eastAsia="仿宋_GB2312" w:cs="Times New Roman"/>
          <w:spacing w:val="-3"/>
          <w:sz w:val="32"/>
          <w:szCs w:val="32"/>
          <w:lang w:val="en-US" w:eastAsia="zh-CN"/>
        </w:rPr>
        <w:t xml:space="preserve"> </w:t>
      </w:r>
      <w:r>
        <w:rPr>
          <w:rFonts w:hint="default" w:ascii="Times New Roman" w:hAnsi="Times New Roman" w:eastAsia="仿宋_GB2312" w:cs="Times New Roman"/>
          <w:spacing w:val="-3"/>
          <w:sz w:val="32"/>
          <w:szCs w:val="32"/>
          <w:lang w:val="en-US" w:eastAsia="zh-CN"/>
        </w:rPr>
        <w:t>餐饮服务通用卫生规范》</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DB50/T 1058-2020《机关健康食堂管理规范》</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DBS 45/068-2020《食品安全地方标准 医疗机构营养健康食堂建设管理规范》</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T/CNSS 012-2021《健康食堂建设管理规范》</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T/JPMA 001-2020《营养餐厅规范》</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8" w:firstLineChars="250"/>
        <w:jc w:val="both"/>
        <w:textAlignment w:val="auto"/>
        <w:rPr>
          <w:rFonts w:hint="eastAsia" w:ascii="Times New Roman" w:hAnsi="Times New Roman" w:eastAsia="仿宋_GB2312" w:cs="Times New Roman"/>
          <w:b/>
          <w:bCs/>
          <w:spacing w:val="-3"/>
          <w:sz w:val="32"/>
          <w:szCs w:val="32"/>
          <w:lang w:val="en-US" w:eastAsia="zh-CN"/>
        </w:rPr>
      </w:pPr>
      <w:r>
        <w:rPr>
          <w:rFonts w:hint="eastAsia" w:ascii="Times New Roman" w:hAnsi="Times New Roman" w:eastAsia="仿宋_GB2312" w:cs="Times New Roman"/>
          <w:b/>
          <w:bCs/>
          <w:spacing w:val="-3"/>
          <w:sz w:val="32"/>
          <w:szCs w:val="32"/>
          <w:lang w:val="en-US" w:eastAsia="zh-CN"/>
        </w:rPr>
        <w:t>2.参考文献</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湖南省市场监督管理局关于印发《湖南省食品经营风险分级管理办法》的通知（湘市监食〔2021〕131号）</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营养健康食堂建设指南[Z].北京:国家卫生健康委,2020.</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餐饮食品营养标识指南[Z].北京:国家卫生健康委,2020.</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中国营养学会.中国居民膳食指南（2022）[M].人民卫生出版社:北京,2022.</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四、标准编制过程</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2021年9-12月，省疾病预防控制中心在省卫生健康委的组织领导下在全省14个市州开展了营养健康食堂建设的前期现场调研走访。2021年9月5日，印发了《关于在“百优食堂、幸福职工”为民办实事竞赛创优活动中开展“营养健康食堂”建设工作的通知》（湘工办函〔2021〕26号），在省总工会、省市场监督管理局联合开展的“百优食堂 幸福职工”为民办实事竞赛创优活动中开展“营养健康食堂”试点建设工作。11月中下旬，现场调研走访100余家企业食堂，了解食堂具体运营情况和建设工作重点。与此同时，回顾了解“全民健康生活方式—健康食堂”建设工作，并现场走访10余家建成的“健康食堂”。以上实地调研与考核工作为积极申报地方标准打下了坚实基础。</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2022年1月14日，根据《湖南省市场监督管理局关于下达2022年第一批地方标准制修订项目计划的通知》要求，湖南省地方标准《营养健康食堂建设管理规范》获得省市场监督管理局批准立项。</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2022年3月30日，省卫生健康委会同省总工会、省市场监督管理局共同印发《关于开展2022年度“百优食堂、幸福职工”为民办实事竞赛创优活动的通知》（湘工发〔2022〕5号），继续积极引导我省餐饮业不断增强营养健康意识，提升营养健康服务水平，推动国民营养计划和合理膳食行动落实落地，集中创建一批有示范、引领、带动作用的企业职工营养健康食堂，保障职工“舌尖上的安全”和健康生活。</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2022年6月14日，省卫生健康委食品处组织召开营养健康食堂建设座谈会，省疾病预防控制中心作为地方标准主要编写单位，在会上针对营养健康食堂建设内容进行详细说明，并与岳阳市卫生健康委、省卫生计生综合监督局、中南大学湘雅公共卫生学院、中南大学湘雅医院、省妇幼保健院、省人民医院等单位共同商讨营养健康食堂建设要点与细则，听取专家学者、临床营养师、食堂管理人员的意见和建议，进一步推动营养健康食堂建设管理规范内容的完善优化。</w:t>
      </w:r>
    </w:p>
    <w:p>
      <w:pPr>
        <w:pStyle w:val="6"/>
        <w:keepNext w:val="0"/>
        <w:keepLines w:val="0"/>
        <w:pageBreakBefore w:val="0"/>
        <w:widowControl w:val="0"/>
        <w:kinsoku/>
        <w:wordWrap/>
        <w:overflowPunct/>
        <w:topLinePunct w:val="0"/>
        <w:autoSpaceDE/>
        <w:autoSpaceDN/>
        <w:bidi w:val="0"/>
        <w:adjustRightInd/>
        <w:snapToGrid/>
        <w:spacing w:line="640" w:lineRule="exact"/>
        <w:ind w:left="0" w:right="431" w:firstLine="785" w:firstLineChars="250"/>
        <w:jc w:val="both"/>
        <w:textAlignment w:val="auto"/>
        <w:rPr>
          <w:rFonts w:hint="default"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2022年7月，通过省卫生健康委食品处专函将与营养健康食堂建设管理规范相关的核心内容发至各市州征求意见和建议。同月，在省直属机关工会的组织下联合省市场监督管理局对12个厅局机关食堂和13家企业食堂开展优秀食堂实地考评。2023年2月，在省总工会的组织下联合省市场监督管理局对全省各市州申报“百优食堂”的企业单位食堂进行现场实地考核。两次考核评价要点均包括营养健康教育、配餐烹饪与供餐服务等与营养健康食堂建设管理规范相关的内容。通过实地走访与考核评价，进一步修订和完善部分标准内容的适用性和可操作性。</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250" w:right="431" w:rightChars="0"/>
        <w:jc w:val="both"/>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五、标准主要技术内容说明</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250" w:right="431" w:rightChars="0"/>
        <w:jc w:val="both"/>
        <w:textAlignment w:val="auto"/>
        <w:rPr>
          <w:rFonts w:hint="eastAsia" w:ascii="楷体_GB2312" w:hAnsi="楷体_GB2312" w:eastAsia="楷体_GB2312" w:cs="楷体_GB2312"/>
          <w:b/>
          <w:bCs/>
          <w:spacing w:val="-3"/>
          <w:sz w:val="32"/>
          <w:szCs w:val="32"/>
          <w:lang w:val="en-US" w:eastAsia="zh-CN"/>
        </w:rPr>
      </w:pPr>
      <w:r>
        <w:rPr>
          <w:rFonts w:hint="eastAsia" w:ascii="楷体_GB2312" w:hAnsi="楷体_GB2312" w:eastAsia="楷体_GB2312" w:cs="楷体_GB2312"/>
          <w:b/>
          <w:bCs/>
          <w:spacing w:val="-3"/>
          <w:sz w:val="32"/>
          <w:szCs w:val="32"/>
          <w:lang w:val="en-US" w:eastAsia="zh-CN"/>
        </w:rPr>
        <w:t>（一）框架结构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default"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标准总体结构包括标准的范围、规范性引用文件、术语和定义、基本要求、组织建设、人员要求、营养健康教育、配餐烹饪与供餐服务、餐饮食品营养标识共九项内容。</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31" w:firstLineChars="200"/>
        <w:jc w:val="both"/>
        <w:textAlignment w:val="auto"/>
        <w:rPr>
          <w:rFonts w:hint="default" w:ascii="仿宋_GB2312" w:hAnsi="仿宋_GB2312" w:eastAsia="仿宋_GB2312" w:cs="仿宋_GB2312"/>
          <w:b w:val="0"/>
          <w:bCs w:val="0"/>
          <w:spacing w:val="-3"/>
          <w:sz w:val="32"/>
          <w:szCs w:val="32"/>
          <w:lang w:val="en-US" w:eastAsia="zh-CN"/>
        </w:rPr>
      </w:pPr>
      <w:r>
        <w:rPr>
          <w:rFonts w:hint="eastAsia" w:ascii="楷体_GB2312" w:hAnsi="楷体_GB2312" w:eastAsia="楷体_GB2312" w:cs="楷体_GB2312"/>
          <w:b/>
          <w:bCs/>
          <w:spacing w:val="-3"/>
          <w:sz w:val="32"/>
          <w:szCs w:val="32"/>
          <w:lang w:val="en-US" w:eastAsia="zh-CN"/>
        </w:rPr>
        <w:t>（二）主要技术内容说明</w:t>
      </w:r>
    </w:p>
    <w:p>
      <w:pPr>
        <w:pStyle w:val="6"/>
        <w:keepNext w:val="0"/>
        <w:keepLines w:val="0"/>
        <w:pageBreakBefore w:val="0"/>
        <w:widowControl w:val="0"/>
        <w:numPr>
          <w:ilvl w:val="0"/>
          <w:numId w:val="0"/>
        </w:numPr>
        <w:tabs>
          <w:tab w:val="left" w:pos="3223"/>
        </w:tabs>
        <w:kinsoku/>
        <w:wordWrap/>
        <w:overflowPunct/>
        <w:topLinePunct w:val="0"/>
        <w:autoSpaceDE/>
        <w:autoSpaceDN/>
        <w:bidi w:val="0"/>
        <w:adjustRightInd/>
        <w:snapToGrid/>
        <w:spacing w:line="640" w:lineRule="exact"/>
        <w:ind w:right="431" w:rightChars="0" w:firstLine="617"/>
        <w:jc w:val="both"/>
        <w:textAlignment w:val="auto"/>
        <w:rPr>
          <w:rFonts w:hint="default" w:ascii="仿宋_GB2312" w:hAnsi="仿宋_GB2312" w:eastAsia="仿宋_GB2312" w:cs="仿宋_GB2312"/>
          <w:b w:val="0"/>
          <w:bCs w:val="0"/>
          <w:spacing w:val="-3"/>
          <w:sz w:val="32"/>
          <w:szCs w:val="32"/>
          <w:lang w:val="en-US" w:eastAsia="zh-CN"/>
        </w:rPr>
      </w:pPr>
      <w:r>
        <w:rPr>
          <w:rFonts w:hint="eastAsia" w:ascii="仿宋_GB2312" w:hAnsi="仿宋_GB2312" w:eastAsia="仿宋_GB2312" w:cs="仿宋_GB2312"/>
          <w:b w:val="0"/>
          <w:bCs w:val="0"/>
          <w:spacing w:val="-3"/>
          <w:sz w:val="32"/>
          <w:szCs w:val="32"/>
          <w:lang w:val="en-US" w:eastAsia="zh-CN"/>
        </w:rPr>
        <w:t>标准第1章“范围”对标准的适用范围进行了界定，明确标准适用于湖南省行政区域内的单位食堂开展营养健康食堂建设和管理。</w:t>
      </w:r>
    </w:p>
    <w:p>
      <w:pPr>
        <w:pStyle w:val="6"/>
        <w:keepNext w:val="0"/>
        <w:keepLines w:val="0"/>
        <w:pageBreakBefore w:val="0"/>
        <w:widowControl w:val="0"/>
        <w:numPr>
          <w:ilvl w:val="0"/>
          <w:numId w:val="0"/>
        </w:numPr>
        <w:tabs>
          <w:tab w:val="left" w:pos="3223"/>
        </w:tabs>
        <w:kinsoku/>
        <w:wordWrap/>
        <w:overflowPunct/>
        <w:topLinePunct w:val="0"/>
        <w:autoSpaceDE/>
        <w:autoSpaceDN/>
        <w:bidi w:val="0"/>
        <w:adjustRightInd/>
        <w:snapToGrid/>
        <w:spacing w:line="640" w:lineRule="exact"/>
        <w:ind w:right="431" w:rightChars="0" w:firstLine="617"/>
        <w:jc w:val="both"/>
        <w:textAlignment w:val="auto"/>
        <w:rPr>
          <w:rFonts w:hint="default" w:ascii="仿宋_GB2312" w:hAnsi="仿宋_GB2312" w:eastAsia="仿宋_GB2312" w:cs="仿宋_GB2312"/>
          <w:b w:val="0"/>
          <w:bCs w:val="0"/>
          <w:spacing w:val="-3"/>
          <w:sz w:val="32"/>
          <w:szCs w:val="32"/>
          <w:lang w:val="en-US" w:eastAsia="zh-CN"/>
        </w:rPr>
      </w:pPr>
      <w:r>
        <w:rPr>
          <w:rFonts w:hint="eastAsia" w:ascii="仿宋_GB2312" w:hAnsi="仿宋_GB2312" w:eastAsia="仿宋_GB2312" w:cs="仿宋_GB2312"/>
          <w:b w:val="0"/>
          <w:bCs w:val="0"/>
          <w:spacing w:val="-3"/>
          <w:sz w:val="32"/>
          <w:szCs w:val="32"/>
          <w:lang w:val="en-US" w:eastAsia="zh-CN"/>
        </w:rPr>
        <w:t>标准第3章“术语和定义”对营养健康食堂、三减、分餐、食谱、带量食谱、餐饮食品、餐饮食品营养标识进行了解释和定义。</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17"/>
        <w:jc w:val="both"/>
        <w:textAlignment w:val="auto"/>
        <w:rPr>
          <w:rFonts w:hint="default" w:ascii="仿宋_GB2312" w:hAnsi="仿宋_GB2312" w:eastAsia="仿宋_GB2312" w:cs="仿宋_GB2312"/>
          <w:b w:val="0"/>
          <w:bCs w:val="0"/>
          <w:spacing w:val="-3"/>
          <w:sz w:val="32"/>
          <w:szCs w:val="32"/>
          <w:lang w:val="en-US" w:eastAsia="zh-CN"/>
        </w:rPr>
      </w:pPr>
      <w:r>
        <w:rPr>
          <w:rFonts w:hint="eastAsia" w:ascii="仿宋_GB2312" w:hAnsi="仿宋_GB2312" w:eastAsia="仿宋_GB2312" w:cs="仿宋_GB2312"/>
          <w:b w:val="0"/>
          <w:bCs w:val="0"/>
          <w:spacing w:val="-3"/>
          <w:sz w:val="32"/>
          <w:szCs w:val="32"/>
          <w:lang w:val="en-US" w:eastAsia="zh-CN"/>
        </w:rPr>
        <w:t>标准第4章“基本要求”规定了建设营养健康食堂应满足的基本要求。</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17"/>
        <w:jc w:val="both"/>
        <w:textAlignment w:val="auto"/>
        <w:rPr>
          <w:rFonts w:hint="eastAsia" w:ascii="Times New Roman" w:hAnsi="Times New Roman" w:eastAsia="仿宋_GB2312" w:cs="Times New Roman"/>
          <w:spacing w:val="-3"/>
          <w:sz w:val="32"/>
          <w:szCs w:val="32"/>
          <w:lang w:val="en-US" w:eastAsia="zh-CN"/>
        </w:rPr>
      </w:pPr>
      <w:r>
        <w:rPr>
          <w:rFonts w:hint="eastAsia" w:ascii="仿宋_GB2312" w:hAnsi="仿宋_GB2312" w:eastAsia="仿宋_GB2312" w:cs="仿宋_GB2312"/>
          <w:b w:val="0"/>
          <w:bCs w:val="0"/>
          <w:spacing w:val="-3"/>
          <w:sz w:val="32"/>
          <w:szCs w:val="32"/>
          <w:lang w:val="en-US" w:eastAsia="zh-CN"/>
        </w:rPr>
        <w:t>标准第5章“组织建设”主要从设立营养健康管理委员会，建立营养健康管理制度、原材料采购制度、防范和抵制食物浪费制度、食物消费量记录、盐油糖（包括含盐油糖的各种调味品）采购制度和台账等方面进行了具体规定</w:t>
      </w:r>
      <w:r>
        <w:rPr>
          <w:rFonts w:hint="eastAsia" w:ascii="Times New Roman" w:hAnsi="Times New Roman" w:eastAsia="仿宋_GB2312" w:cs="Times New Roman"/>
          <w:spacing w:val="-3"/>
          <w:sz w:val="32"/>
          <w:szCs w:val="32"/>
          <w:lang w:val="en-US"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17"/>
        <w:jc w:val="both"/>
        <w:textAlignment w:val="auto"/>
        <w:rPr>
          <w:rFonts w:hint="default" w:ascii="仿宋_GB2312" w:hAnsi="仿宋_GB2312" w:eastAsia="仿宋_GB2312" w:cs="仿宋_GB2312"/>
          <w:b w:val="0"/>
          <w:bCs w:val="0"/>
          <w:spacing w:val="-3"/>
          <w:sz w:val="32"/>
          <w:szCs w:val="32"/>
          <w:lang w:val="en-US" w:eastAsia="zh-CN"/>
        </w:rPr>
      </w:pPr>
      <w:r>
        <w:rPr>
          <w:rFonts w:hint="eastAsia" w:ascii="仿宋_GB2312" w:hAnsi="仿宋_GB2312" w:eastAsia="仿宋_GB2312" w:cs="仿宋_GB2312"/>
          <w:b w:val="0"/>
          <w:bCs w:val="0"/>
          <w:spacing w:val="-3"/>
          <w:sz w:val="32"/>
          <w:szCs w:val="32"/>
          <w:lang w:val="en-US" w:eastAsia="zh-CN"/>
        </w:rPr>
        <w:t>标准第6章“人员要求”主要针对营养健康食堂的营养指导人员专业资质及工作能力、食堂从业人员培训及考核要求等内容进行了具体规定</w:t>
      </w:r>
      <w:r>
        <w:rPr>
          <w:rFonts w:hint="eastAsia" w:ascii="Times New Roman" w:hAnsi="Times New Roman" w:eastAsia="仿宋_GB2312" w:cs="Times New Roman"/>
          <w:spacing w:val="-3"/>
          <w:sz w:val="32"/>
          <w:szCs w:val="32"/>
          <w:lang w:val="en-US"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default" w:ascii="仿宋_GB2312" w:hAnsi="仿宋_GB2312" w:eastAsia="仿宋_GB2312" w:cs="仿宋_GB2312"/>
          <w:b w:val="0"/>
          <w:bCs w:val="0"/>
          <w:spacing w:val="-3"/>
          <w:sz w:val="32"/>
          <w:szCs w:val="32"/>
          <w:lang w:val="en-US" w:eastAsia="zh-CN"/>
        </w:rPr>
      </w:pPr>
      <w:r>
        <w:rPr>
          <w:rFonts w:hint="eastAsia" w:ascii="仿宋_GB2312" w:hAnsi="仿宋_GB2312" w:eastAsia="仿宋_GB2312" w:cs="仿宋_GB2312"/>
          <w:b w:val="0"/>
          <w:bCs w:val="0"/>
          <w:spacing w:val="-3"/>
          <w:sz w:val="32"/>
          <w:szCs w:val="32"/>
          <w:lang w:val="en-US" w:eastAsia="zh-CN"/>
        </w:rPr>
        <w:t>标准第7章“营养健康教育”主要针对设置营养健康角、营养健康教育的内容与形式等提出了具体要求。</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default" w:ascii="仿宋_GB2312" w:hAnsi="仿宋_GB2312" w:eastAsia="仿宋_GB2312" w:cs="仿宋_GB2312"/>
          <w:b w:val="0"/>
          <w:bCs w:val="0"/>
          <w:spacing w:val="-3"/>
          <w:sz w:val="32"/>
          <w:szCs w:val="32"/>
          <w:lang w:val="en-US" w:eastAsia="zh-CN"/>
        </w:rPr>
      </w:pPr>
      <w:r>
        <w:rPr>
          <w:rFonts w:hint="eastAsia" w:ascii="仿宋_GB2312" w:hAnsi="仿宋_GB2312" w:eastAsia="仿宋_GB2312" w:cs="仿宋_GB2312"/>
          <w:b w:val="0"/>
          <w:bCs w:val="0"/>
          <w:spacing w:val="-3"/>
          <w:sz w:val="32"/>
          <w:szCs w:val="32"/>
          <w:lang w:val="en-US" w:eastAsia="zh-CN"/>
        </w:rPr>
        <w:t>标准第8章“配餐烹饪和供餐服务”主要从营养配餐计划、食物类别及品种、烹饪方法、分餐制供餐、卫生防疫措施等方面进行了具体规定</w:t>
      </w:r>
      <w:r>
        <w:rPr>
          <w:rFonts w:hint="eastAsia" w:ascii="Times New Roman" w:hAnsi="Times New Roman" w:eastAsia="仿宋_GB2312" w:cs="Times New Roman"/>
          <w:spacing w:val="-3"/>
          <w:sz w:val="32"/>
          <w:szCs w:val="32"/>
          <w:lang w:val="en-US"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eastAsia" w:ascii="Times New Roman" w:hAnsi="Times New Roman" w:eastAsia="仿宋_GB2312" w:cs="Times New Roman"/>
          <w:spacing w:val="-3"/>
          <w:sz w:val="32"/>
          <w:szCs w:val="32"/>
          <w:lang w:val="en-US" w:eastAsia="zh-CN"/>
        </w:rPr>
      </w:pPr>
      <w:r>
        <w:rPr>
          <w:rFonts w:hint="eastAsia" w:ascii="仿宋_GB2312" w:hAnsi="仿宋_GB2312" w:eastAsia="仿宋_GB2312" w:cs="仿宋_GB2312"/>
          <w:b w:val="0"/>
          <w:bCs w:val="0"/>
          <w:spacing w:val="-3"/>
          <w:sz w:val="32"/>
          <w:szCs w:val="32"/>
          <w:lang w:val="en-US" w:eastAsia="zh-CN"/>
        </w:rPr>
        <w:t>标准第9章“餐饮食品营养标识”主要针</w:t>
      </w:r>
      <w:r>
        <w:rPr>
          <w:rFonts w:hint="eastAsia" w:ascii="Times New Roman" w:hAnsi="Times New Roman" w:eastAsia="仿宋_GB2312" w:cs="Times New Roman"/>
          <w:spacing w:val="-3"/>
          <w:sz w:val="32"/>
          <w:szCs w:val="32"/>
          <w:lang w:val="en-US" w:eastAsia="zh-CN"/>
        </w:rPr>
        <w:t>对餐饮食品营养标识的标示内容和标示格式提出了具体要求。</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250" w:right="431" w:rightChars="0"/>
        <w:jc w:val="both"/>
        <w:textAlignment w:val="auto"/>
        <w:rPr>
          <w:rFonts w:hint="default"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六、标准</w:t>
      </w:r>
      <w:r>
        <w:rPr>
          <w:rFonts w:hint="default" w:ascii="黑体" w:hAnsi="黑体" w:eastAsia="黑体" w:cs="黑体"/>
          <w:spacing w:val="-3"/>
          <w:sz w:val="32"/>
          <w:szCs w:val="32"/>
          <w:lang w:val="en-US" w:eastAsia="zh-CN"/>
        </w:rPr>
        <w:t>预期的</w:t>
      </w:r>
      <w:r>
        <w:rPr>
          <w:rFonts w:hint="eastAsia" w:ascii="黑体" w:hAnsi="黑体" w:eastAsia="黑体" w:cs="黑体"/>
          <w:spacing w:val="-3"/>
          <w:sz w:val="32"/>
          <w:szCs w:val="32"/>
          <w:lang w:val="en-US" w:eastAsia="zh-CN"/>
        </w:rPr>
        <w:t>社会效益</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通过制定湖南省地方标准</w:t>
      </w:r>
      <w:r>
        <w:rPr>
          <w:rFonts w:hint="default" w:ascii="Times New Roman" w:hAnsi="Times New Roman" w:eastAsia="仿宋_GB2312" w:cs="Times New Roman"/>
          <w:spacing w:val="-3"/>
          <w:sz w:val="32"/>
          <w:szCs w:val="32"/>
          <w:lang w:val="en-US" w:eastAsia="zh-CN"/>
        </w:rPr>
        <w:t>《营养健康食堂建设管理规范》，</w:t>
      </w:r>
      <w:r>
        <w:rPr>
          <w:rFonts w:hint="eastAsia" w:ascii="Times New Roman" w:hAnsi="Times New Roman" w:eastAsia="仿宋_GB2312" w:cs="Times New Roman"/>
          <w:spacing w:val="-3"/>
          <w:sz w:val="32"/>
          <w:szCs w:val="32"/>
          <w:lang w:val="en-US" w:eastAsia="zh-CN"/>
        </w:rPr>
        <w:t>对主体业态为单位食堂的餐饮服务单位建设营养健康食堂的具体工作内容提出要求，有助于</w:t>
      </w:r>
      <w:r>
        <w:rPr>
          <w:rFonts w:hint="default" w:ascii="Times New Roman" w:hAnsi="Times New Roman" w:eastAsia="仿宋_GB2312" w:cs="Times New Roman"/>
          <w:spacing w:val="-3"/>
          <w:sz w:val="32"/>
          <w:szCs w:val="32"/>
          <w:lang w:val="en-US" w:eastAsia="zh-CN"/>
        </w:rPr>
        <w:t>提</w:t>
      </w:r>
      <w:r>
        <w:rPr>
          <w:rFonts w:hint="eastAsia" w:ascii="Times New Roman" w:hAnsi="Times New Roman" w:eastAsia="仿宋_GB2312" w:cs="Times New Roman"/>
          <w:spacing w:val="-3"/>
          <w:sz w:val="32"/>
          <w:szCs w:val="32"/>
          <w:lang w:val="en-US" w:eastAsia="zh-CN"/>
        </w:rPr>
        <w:t>升食堂的</w:t>
      </w:r>
      <w:r>
        <w:rPr>
          <w:rFonts w:hint="default" w:ascii="Times New Roman" w:hAnsi="Times New Roman" w:eastAsia="仿宋_GB2312" w:cs="Times New Roman"/>
          <w:spacing w:val="-3"/>
          <w:sz w:val="32"/>
          <w:szCs w:val="32"/>
          <w:lang w:val="en-US" w:eastAsia="zh-CN"/>
        </w:rPr>
        <w:t>营养健康服务水平，</w:t>
      </w:r>
      <w:r>
        <w:rPr>
          <w:rFonts w:hint="eastAsia" w:ascii="Times New Roman" w:hAnsi="Times New Roman" w:eastAsia="仿宋_GB2312" w:cs="Times New Roman"/>
          <w:spacing w:val="-3"/>
          <w:sz w:val="32"/>
          <w:szCs w:val="32"/>
          <w:lang w:val="en-US" w:eastAsia="zh-CN"/>
        </w:rPr>
        <w:t>满足广大职业人群</w:t>
      </w:r>
      <w:r>
        <w:rPr>
          <w:rFonts w:hint="default" w:ascii="Times New Roman" w:hAnsi="Times New Roman" w:eastAsia="仿宋_GB2312" w:cs="Times New Roman"/>
          <w:spacing w:val="-3"/>
          <w:sz w:val="32"/>
          <w:szCs w:val="32"/>
          <w:lang w:val="en-US" w:eastAsia="zh-CN"/>
        </w:rPr>
        <w:t>日益增长的营养健康需求</w:t>
      </w:r>
      <w:r>
        <w:rPr>
          <w:rFonts w:hint="eastAsia" w:ascii="Times New Roman" w:hAnsi="Times New Roman" w:eastAsia="仿宋_GB2312" w:cs="Times New Roman"/>
          <w:spacing w:val="-3"/>
          <w:sz w:val="32"/>
          <w:szCs w:val="32"/>
          <w:lang w:val="en-US" w:eastAsia="zh-CN"/>
        </w:rPr>
        <w:t>，助力健康湖南行动之合理膳食行动和国民营养计划在我省落实。</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七、重大意见分歧的处理依据和结果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无。</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八、作为推荐性或强制性标准的建议及其理由</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本文件拟作为推荐性标准地方标准。</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九、贯彻标准的措施建议</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628" w:firstLineChars="200"/>
        <w:jc w:val="both"/>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标准发布后，应当多方面采取措施加强标准的宣贯与培训，建议会同有关部门开展培训，增强专业技术人员对标准内容的理解与运用，促进该标准的实施落地与推广应用。同时，采取线上线下相结合的方式，通过短视频、公众号、微博等新媒体传播手段以及电视、广播、报刊等传统传播手段，在全省范围内对营养健康食堂建设管理规范的内容开展科普宣传。</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jc w:val="left"/>
        <w:textAlignment w:val="auto"/>
        <w:rPr>
          <w:rFonts w:hint="eastAsia" w:ascii="Times New Roman" w:hAnsi="Times New Roman" w:eastAsia="仿宋_GB2312" w:cs="Times New Roman"/>
          <w:spacing w:val="-3"/>
          <w:sz w:val="32"/>
          <w:szCs w:val="32"/>
          <w:lang w:val="en-US" w:eastAsia="zh-CN"/>
        </w:rPr>
      </w:pP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jc w:val="left"/>
        <w:textAlignment w:val="auto"/>
        <w:rPr>
          <w:rFonts w:hint="eastAsia" w:ascii="Times New Roman" w:hAnsi="Times New Roman" w:eastAsia="仿宋_GB2312" w:cs="Times New Roman"/>
          <w:spacing w:val="-3"/>
          <w:sz w:val="32"/>
          <w:szCs w:val="32"/>
          <w:lang w:val="en-US" w:eastAsia="zh-CN"/>
        </w:rPr>
      </w:pP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5024" w:firstLineChars="1600"/>
        <w:jc w:val="left"/>
        <w:textAlignment w:val="auto"/>
        <w:rPr>
          <w:rFonts w:hint="eastAsia" w:ascii="Times New Roman" w:hAnsi="Times New Roman" w:eastAsia="仿宋_GB2312" w:cs="Times New Roman"/>
          <w:spacing w:val="-3"/>
          <w:sz w:val="32"/>
          <w:szCs w:val="32"/>
          <w:lang w:val="en-US" w:eastAsia="zh-CN"/>
        </w:rPr>
      </w:pPr>
      <w:r>
        <w:rPr>
          <w:rFonts w:hint="eastAsia" w:ascii="Times New Roman" w:hAnsi="Times New Roman" w:eastAsia="仿宋_GB2312" w:cs="Times New Roman"/>
          <w:spacing w:val="-3"/>
          <w:sz w:val="32"/>
          <w:szCs w:val="32"/>
          <w:lang w:val="en-US" w:eastAsia="zh-CN"/>
        </w:rPr>
        <w:t>标准编制项目组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431" w:rightChars="0" w:firstLine="5024" w:firstLineChars="1600"/>
        <w:jc w:val="left"/>
        <w:textAlignment w:val="auto"/>
      </w:pPr>
      <w:r>
        <w:rPr>
          <w:rFonts w:hint="eastAsia" w:ascii="Times New Roman" w:hAnsi="Times New Roman" w:eastAsia="仿宋_GB2312" w:cs="Times New Roman"/>
          <w:spacing w:val="-3"/>
          <w:sz w:val="32"/>
          <w:szCs w:val="32"/>
          <w:lang w:val="en-US" w:eastAsia="zh-CN"/>
        </w:rPr>
        <w:t>2023年3月22日</w:t>
      </w:r>
      <w:bookmarkStart w:id="0" w:name="_GoBack"/>
      <w:bookmarkEnd w:id="0"/>
    </w:p>
    <w:sectPr>
      <w:footerReference r:id="rId5" w:type="default"/>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rFonts w:hint="eastAsia"/>
        <w:sz w:val="17"/>
      </w:rPr>
    </w:pPr>
    <w:r>
      <w:rPr>
        <w:rFonts w:hint="eastAsia"/>
      </w:rPr>
      <mc:AlternateContent>
        <mc:Choice Requires="wps">
          <w:drawing>
            <wp:anchor distT="0" distB="0" distL="114300" distR="114300" simplePos="0" relativeHeight="251659264" behindDoc="1" locked="0" layoutInCell="1" allowOverlap="1">
              <wp:simplePos x="0" y="0"/>
              <wp:positionH relativeFrom="page">
                <wp:posOffset>3685540</wp:posOffset>
              </wp:positionH>
              <wp:positionV relativeFrom="page">
                <wp:posOffset>9785350</wp:posOffset>
              </wp:positionV>
              <wp:extent cx="192405" cy="152400"/>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192405" cy="152400"/>
                      </a:xfrm>
                      <a:prstGeom prst="rect">
                        <a:avLst/>
                      </a:prstGeom>
                      <a:noFill/>
                      <a:ln>
                        <a:noFill/>
                      </a:ln>
                      <a:effectLst/>
                    </wps:spPr>
                    <wps:txbx>
                      <w:txbxContent>
                        <w:p>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0.2pt;margin-top:770.5pt;height:12pt;width:15.15pt;mso-position-horizontal-relative:page;mso-position-vertical-relative:page;z-index:-251657216;mso-width-relative:page;mso-height-relative:page;" filled="f" stroked="f" coordsize="21600,21600" o:gfxdata="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5efoBNoAAAANAQAADwAAAAAAAAABACAAAAAiAAAAZHJzL2Rv&#10;d25yZXYueG1sUEsBAhQAFAAAAAgAh07iQEfyAsT/AQAAEQQAAA4AAAAAAAAAAQAgAAAAKQEAAGRy&#10;cy9lMm9Eb2MueG1sUEsFBgAAAAAGAAYAWQEAAJoFAAAAAA==&#10;">
              <v:fill on="f" focussize="0,0"/>
              <v:stroke on="f"/>
              <v:imagedata o:title=""/>
              <o:lock v:ext="edit" aspectratio="f"/>
              <v:textbox inset="0mm,0mm,0mm,0mm">
                <w:txbxContent>
                  <w:p>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BA3B0A"/>
    <w:multiLevelType w:val="singleLevel"/>
    <w:tmpl w:val="C9BA3B0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5"/>
    </o:shapelayout>
  </w:hdrShapeDefault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TZkZTcyODQyZmVmMDA0MmI3OGM0MzcxNWJlOWYifQ=="/>
  </w:docVars>
  <w:rsids>
    <w:rsidRoot w:val="00D31D50"/>
    <w:rsid w:val="00006417"/>
    <w:rsid w:val="00014294"/>
    <w:rsid w:val="00065954"/>
    <w:rsid w:val="00083B0B"/>
    <w:rsid w:val="00097915"/>
    <w:rsid w:val="000B73A4"/>
    <w:rsid w:val="000C46DF"/>
    <w:rsid w:val="000F714E"/>
    <w:rsid w:val="00112FDE"/>
    <w:rsid w:val="00133620"/>
    <w:rsid w:val="00135491"/>
    <w:rsid w:val="00142FEF"/>
    <w:rsid w:val="00181C67"/>
    <w:rsid w:val="001A6293"/>
    <w:rsid w:val="001E2972"/>
    <w:rsid w:val="00203548"/>
    <w:rsid w:val="0020451E"/>
    <w:rsid w:val="00206ABF"/>
    <w:rsid w:val="00212799"/>
    <w:rsid w:val="00234138"/>
    <w:rsid w:val="00242D28"/>
    <w:rsid w:val="00247CC3"/>
    <w:rsid w:val="0025358A"/>
    <w:rsid w:val="002564F8"/>
    <w:rsid w:val="002622F9"/>
    <w:rsid w:val="002673CD"/>
    <w:rsid w:val="00283796"/>
    <w:rsid w:val="002C036F"/>
    <w:rsid w:val="002C1AFF"/>
    <w:rsid w:val="002C53AF"/>
    <w:rsid w:val="002C5AC6"/>
    <w:rsid w:val="002C641E"/>
    <w:rsid w:val="002E2635"/>
    <w:rsid w:val="002E7330"/>
    <w:rsid w:val="002E7A4D"/>
    <w:rsid w:val="00323B43"/>
    <w:rsid w:val="00346189"/>
    <w:rsid w:val="00353E41"/>
    <w:rsid w:val="003567B2"/>
    <w:rsid w:val="00364198"/>
    <w:rsid w:val="0036612D"/>
    <w:rsid w:val="00381E48"/>
    <w:rsid w:val="003A0703"/>
    <w:rsid w:val="003C613C"/>
    <w:rsid w:val="003D37D8"/>
    <w:rsid w:val="003E4D68"/>
    <w:rsid w:val="003E7ADD"/>
    <w:rsid w:val="00400575"/>
    <w:rsid w:val="0040118D"/>
    <w:rsid w:val="00426133"/>
    <w:rsid w:val="004347CE"/>
    <w:rsid w:val="004358AB"/>
    <w:rsid w:val="004376BD"/>
    <w:rsid w:val="004405D7"/>
    <w:rsid w:val="00447C41"/>
    <w:rsid w:val="00471BDE"/>
    <w:rsid w:val="00471FBA"/>
    <w:rsid w:val="00490EE8"/>
    <w:rsid w:val="004A33D3"/>
    <w:rsid w:val="004A3CDE"/>
    <w:rsid w:val="004A3EB2"/>
    <w:rsid w:val="004B552E"/>
    <w:rsid w:val="004D4AEB"/>
    <w:rsid w:val="004D61B8"/>
    <w:rsid w:val="004E5441"/>
    <w:rsid w:val="00501C4C"/>
    <w:rsid w:val="005374B9"/>
    <w:rsid w:val="00545374"/>
    <w:rsid w:val="00546194"/>
    <w:rsid w:val="00566E9E"/>
    <w:rsid w:val="005711EE"/>
    <w:rsid w:val="005C2843"/>
    <w:rsid w:val="005D3635"/>
    <w:rsid w:val="00603489"/>
    <w:rsid w:val="00633D89"/>
    <w:rsid w:val="00641A03"/>
    <w:rsid w:val="00642F93"/>
    <w:rsid w:val="0065042A"/>
    <w:rsid w:val="00691E35"/>
    <w:rsid w:val="006A12E0"/>
    <w:rsid w:val="006B4775"/>
    <w:rsid w:val="006E2E3E"/>
    <w:rsid w:val="006E43DC"/>
    <w:rsid w:val="006E5EDD"/>
    <w:rsid w:val="00701243"/>
    <w:rsid w:val="00705D75"/>
    <w:rsid w:val="007545AE"/>
    <w:rsid w:val="00765220"/>
    <w:rsid w:val="0076647B"/>
    <w:rsid w:val="00766C8C"/>
    <w:rsid w:val="00776E4B"/>
    <w:rsid w:val="0078764C"/>
    <w:rsid w:val="007B2E0F"/>
    <w:rsid w:val="007E1C0E"/>
    <w:rsid w:val="007E3993"/>
    <w:rsid w:val="007E40F0"/>
    <w:rsid w:val="00803ED5"/>
    <w:rsid w:val="00825721"/>
    <w:rsid w:val="0083377E"/>
    <w:rsid w:val="00845E31"/>
    <w:rsid w:val="00864721"/>
    <w:rsid w:val="00895789"/>
    <w:rsid w:val="00896ADC"/>
    <w:rsid w:val="008B25EF"/>
    <w:rsid w:val="008B7726"/>
    <w:rsid w:val="008D27AF"/>
    <w:rsid w:val="008E066A"/>
    <w:rsid w:val="008F09EA"/>
    <w:rsid w:val="00910655"/>
    <w:rsid w:val="009350C3"/>
    <w:rsid w:val="00937158"/>
    <w:rsid w:val="0095676D"/>
    <w:rsid w:val="00976194"/>
    <w:rsid w:val="00992786"/>
    <w:rsid w:val="009A3A80"/>
    <w:rsid w:val="009D1603"/>
    <w:rsid w:val="00A16800"/>
    <w:rsid w:val="00A26C32"/>
    <w:rsid w:val="00A46809"/>
    <w:rsid w:val="00A55C16"/>
    <w:rsid w:val="00A868DC"/>
    <w:rsid w:val="00A964DA"/>
    <w:rsid w:val="00AC4A4D"/>
    <w:rsid w:val="00AD3A87"/>
    <w:rsid w:val="00AE0A52"/>
    <w:rsid w:val="00AF469C"/>
    <w:rsid w:val="00B40D9B"/>
    <w:rsid w:val="00B42565"/>
    <w:rsid w:val="00B63E0C"/>
    <w:rsid w:val="00B76FD2"/>
    <w:rsid w:val="00B86C52"/>
    <w:rsid w:val="00BC2411"/>
    <w:rsid w:val="00BC7D9D"/>
    <w:rsid w:val="00BD74B3"/>
    <w:rsid w:val="00BF7BF6"/>
    <w:rsid w:val="00C02D41"/>
    <w:rsid w:val="00C050B0"/>
    <w:rsid w:val="00C06A01"/>
    <w:rsid w:val="00C267C5"/>
    <w:rsid w:val="00C32372"/>
    <w:rsid w:val="00C73C41"/>
    <w:rsid w:val="00CC782A"/>
    <w:rsid w:val="00CE4AC4"/>
    <w:rsid w:val="00D31D50"/>
    <w:rsid w:val="00D50D49"/>
    <w:rsid w:val="00D56BD3"/>
    <w:rsid w:val="00D57C06"/>
    <w:rsid w:val="00D67536"/>
    <w:rsid w:val="00D74F39"/>
    <w:rsid w:val="00D81023"/>
    <w:rsid w:val="00D9511F"/>
    <w:rsid w:val="00DD3F3A"/>
    <w:rsid w:val="00DD7687"/>
    <w:rsid w:val="00E22A21"/>
    <w:rsid w:val="00E25523"/>
    <w:rsid w:val="00E57BF4"/>
    <w:rsid w:val="00E66898"/>
    <w:rsid w:val="00E94C07"/>
    <w:rsid w:val="00EA47F9"/>
    <w:rsid w:val="00EE1AEC"/>
    <w:rsid w:val="00EF1142"/>
    <w:rsid w:val="00F3328A"/>
    <w:rsid w:val="00F50D93"/>
    <w:rsid w:val="00F74794"/>
    <w:rsid w:val="00F77BD5"/>
    <w:rsid w:val="00F85192"/>
    <w:rsid w:val="00F95063"/>
    <w:rsid w:val="00FA7763"/>
    <w:rsid w:val="00FF0AE9"/>
    <w:rsid w:val="00FF6FCC"/>
    <w:rsid w:val="01510B99"/>
    <w:rsid w:val="04C2712A"/>
    <w:rsid w:val="05EB5844"/>
    <w:rsid w:val="07A336E6"/>
    <w:rsid w:val="089C33E7"/>
    <w:rsid w:val="09F54A85"/>
    <w:rsid w:val="0A4971E6"/>
    <w:rsid w:val="0B28153C"/>
    <w:rsid w:val="0BB94772"/>
    <w:rsid w:val="0C18633A"/>
    <w:rsid w:val="0D98668B"/>
    <w:rsid w:val="0F391943"/>
    <w:rsid w:val="1015454A"/>
    <w:rsid w:val="10F808C4"/>
    <w:rsid w:val="114657DE"/>
    <w:rsid w:val="11795BF5"/>
    <w:rsid w:val="12EA61CA"/>
    <w:rsid w:val="13081DE0"/>
    <w:rsid w:val="13CA1B57"/>
    <w:rsid w:val="149E6311"/>
    <w:rsid w:val="158B7629"/>
    <w:rsid w:val="167B4ADC"/>
    <w:rsid w:val="16890E1E"/>
    <w:rsid w:val="17327861"/>
    <w:rsid w:val="17835FD2"/>
    <w:rsid w:val="1E357891"/>
    <w:rsid w:val="1ED57D2E"/>
    <w:rsid w:val="1FAC5655"/>
    <w:rsid w:val="1FDF698A"/>
    <w:rsid w:val="208D0A85"/>
    <w:rsid w:val="20C12C6B"/>
    <w:rsid w:val="212D1A4B"/>
    <w:rsid w:val="21C65175"/>
    <w:rsid w:val="21D7396E"/>
    <w:rsid w:val="2383244E"/>
    <w:rsid w:val="2390767E"/>
    <w:rsid w:val="251F561F"/>
    <w:rsid w:val="25A370CF"/>
    <w:rsid w:val="25D64C31"/>
    <w:rsid w:val="262E41C8"/>
    <w:rsid w:val="291446A8"/>
    <w:rsid w:val="291B5380"/>
    <w:rsid w:val="29366A52"/>
    <w:rsid w:val="2A336250"/>
    <w:rsid w:val="2AC46142"/>
    <w:rsid w:val="2B5A077B"/>
    <w:rsid w:val="2B6E213B"/>
    <w:rsid w:val="2C1874AC"/>
    <w:rsid w:val="2D8E211C"/>
    <w:rsid w:val="2E9342DF"/>
    <w:rsid w:val="2FB5242A"/>
    <w:rsid w:val="321F2C5E"/>
    <w:rsid w:val="33737C12"/>
    <w:rsid w:val="35FA48FF"/>
    <w:rsid w:val="36484E32"/>
    <w:rsid w:val="36FE4C94"/>
    <w:rsid w:val="37FA254C"/>
    <w:rsid w:val="38501B76"/>
    <w:rsid w:val="38A808F8"/>
    <w:rsid w:val="3A2B49C7"/>
    <w:rsid w:val="3A81140B"/>
    <w:rsid w:val="3B204199"/>
    <w:rsid w:val="3CF03EC1"/>
    <w:rsid w:val="3DBB446A"/>
    <w:rsid w:val="3EFD0EAF"/>
    <w:rsid w:val="3F8F762D"/>
    <w:rsid w:val="405D597D"/>
    <w:rsid w:val="41BC1082"/>
    <w:rsid w:val="41FA72B6"/>
    <w:rsid w:val="438463DC"/>
    <w:rsid w:val="443D6757"/>
    <w:rsid w:val="45A32084"/>
    <w:rsid w:val="45E303CB"/>
    <w:rsid w:val="4608383F"/>
    <w:rsid w:val="473C6DF3"/>
    <w:rsid w:val="4A187689"/>
    <w:rsid w:val="4BA43117"/>
    <w:rsid w:val="4BC93ACA"/>
    <w:rsid w:val="4C5B1C61"/>
    <w:rsid w:val="4D75441B"/>
    <w:rsid w:val="4DDB1734"/>
    <w:rsid w:val="4E7E49BD"/>
    <w:rsid w:val="50F43794"/>
    <w:rsid w:val="513C5C90"/>
    <w:rsid w:val="51D51226"/>
    <w:rsid w:val="527E3AF3"/>
    <w:rsid w:val="544C184F"/>
    <w:rsid w:val="54BF435E"/>
    <w:rsid w:val="54C13ACE"/>
    <w:rsid w:val="5613655D"/>
    <w:rsid w:val="56D06A51"/>
    <w:rsid w:val="57684EDC"/>
    <w:rsid w:val="588F5D47"/>
    <w:rsid w:val="597B282D"/>
    <w:rsid w:val="5A8E1024"/>
    <w:rsid w:val="5A902780"/>
    <w:rsid w:val="5AB67D0C"/>
    <w:rsid w:val="5B5B4112"/>
    <w:rsid w:val="5C891B7C"/>
    <w:rsid w:val="5D4F4CE9"/>
    <w:rsid w:val="5D5D1E24"/>
    <w:rsid w:val="61A82A85"/>
    <w:rsid w:val="62257C51"/>
    <w:rsid w:val="62EA0B16"/>
    <w:rsid w:val="647D5BD2"/>
    <w:rsid w:val="654B5FB4"/>
    <w:rsid w:val="67F05F48"/>
    <w:rsid w:val="6B581726"/>
    <w:rsid w:val="6D977A9D"/>
    <w:rsid w:val="6E997168"/>
    <w:rsid w:val="6EC40A86"/>
    <w:rsid w:val="703F6955"/>
    <w:rsid w:val="711F330A"/>
    <w:rsid w:val="71BC1C54"/>
    <w:rsid w:val="729B408F"/>
    <w:rsid w:val="72AC520C"/>
    <w:rsid w:val="72E6342D"/>
    <w:rsid w:val="737427E7"/>
    <w:rsid w:val="74067FC6"/>
    <w:rsid w:val="747436ED"/>
    <w:rsid w:val="762F16F5"/>
    <w:rsid w:val="775F555C"/>
    <w:rsid w:val="785B21C7"/>
    <w:rsid w:val="79C303DB"/>
    <w:rsid w:val="7B3041E8"/>
    <w:rsid w:val="7BDA43C0"/>
    <w:rsid w:val="7C333F7E"/>
    <w:rsid w:val="7CEA3FA0"/>
    <w:rsid w:val="7E4F0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link w:val="34"/>
    <w:qFormat/>
    <w:uiPriority w:val="9"/>
    <w:pPr>
      <w:widowControl w:val="0"/>
      <w:adjustRightInd/>
      <w:snapToGrid/>
      <w:spacing w:after="0"/>
      <w:ind w:left="979"/>
      <w:jc w:val="both"/>
      <w:outlineLvl w:val="0"/>
    </w:pPr>
    <w:rPr>
      <w:rFonts w:asciiTheme="minorHAnsi" w:hAnsiTheme="minorHAnsi" w:eastAsiaTheme="minorEastAsia"/>
      <w:b/>
      <w:bCs/>
      <w:kern w:val="2"/>
      <w:sz w:val="28"/>
      <w:szCs w:val="28"/>
    </w:rPr>
  </w:style>
  <w:style w:type="paragraph" w:styleId="3">
    <w:name w:val="heading 2"/>
    <w:basedOn w:val="1"/>
    <w:next w:val="1"/>
    <w:link w:val="40"/>
    <w:unhideWhenUsed/>
    <w:qFormat/>
    <w:uiPriority w:val="99"/>
    <w:pPr>
      <w:keepNext/>
      <w:keepLines/>
      <w:widowControl w:val="0"/>
      <w:adjustRightInd/>
      <w:snapToGrid/>
      <w:spacing w:before="260" w:after="260" w:line="416" w:lineRule="auto"/>
      <w:jc w:val="both"/>
      <w:outlineLvl w:val="1"/>
    </w:pPr>
    <w:rPr>
      <w:rFonts w:ascii="Cambria" w:hAnsi="Cambria" w:eastAsia="宋体" w:cs="Times New Roman"/>
      <w:b/>
      <w:bCs/>
      <w:kern w:val="2"/>
      <w:sz w:val="32"/>
      <w:szCs w:val="32"/>
    </w:rPr>
  </w:style>
  <w:style w:type="paragraph" w:styleId="4">
    <w:name w:val="heading 3"/>
    <w:basedOn w:val="1"/>
    <w:next w:val="1"/>
    <w:link w:val="41"/>
    <w:qFormat/>
    <w:uiPriority w:val="99"/>
    <w:pPr>
      <w:widowControl w:val="0"/>
      <w:autoSpaceDE w:val="0"/>
      <w:autoSpaceDN w:val="0"/>
      <w:snapToGrid/>
      <w:spacing w:after="0"/>
      <w:outlineLvl w:val="2"/>
    </w:pPr>
    <w:rPr>
      <w:rFonts w:ascii="MingLiU" w:hAnsi="Times New Roman" w:eastAsia="MingLiU" w:cs="Times New Roman"/>
      <w:b/>
      <w:color w:val="000000"/>
      <w:sz w:val="26"/>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link w:val="39"/>
    <w:unhideWhenUsed/>
    <w:qFormat/>
    <w:uiPriority w:val="99"/>
    <w:pPr>
      <w:widowControl w:val="0"/>
      <w:adjustRightInd/>
      <w:snapToGrid/>
      <w:spacing w:after="0"/>
      <w:jc w:val="both"/>
    </w:pPr>
    <w:rPr>
      <w:rFonts w:ascii="Calibri" w:hAnsi="Calibri" w:eastAsia="宋体" w:cs="Times New Roman"/>
      <w:kern w:val="2"/>
      <w:sz w:val="21"/>
      <w:szCs w:val="24"/>
    </w:rPr>
  </w:style>
  <w:style w:type="paragraph" w:styleId="6">
    <w:name w:val="Body Text"/>
    <w:basedOn w:val="1"/>
    <w:link w:val="35"/>
    <w:qFormat/>
    <w:uiPriority w:val="1"/>
    <w:pPr>
      <w:widowControl w:val="0"/>
      <w:adjustRightInd/>
      <w:snapToGrid/>
      <w:spacing w:after="0"/>
      <w:ind w:left="420"/>
      <w:jc w:val="both"/>
    </w:pPr>
    <w:rPr>
      <w:rFonts w:asciiTheme="minorHAnsi" w:hAnsiTheme="minorHAnsi" w:eastAsiaTheme="minorEastAsia"/>
      <w:kern w:val="2"/>
      <w:sz w:val="28"/>
      <w:szCs w:val="28"/>
    </w:rPr>
  </w:style>
  <w:style w:type="paragraph" w:styleId="7">
    <w:name w:val="toc 3"/>
    <w:basedOn w:val="1"/>
    <w:next w:val="1"/>
    <w:unhideWhenUsed/>
    <w:qFormat/>
    <w:uiPriority w:val="39"/>
    <w:pPr>
      <w:adjustRightInd/>
      <w:snapToGrid/>
      <w:spacing w:after="100" w:line="276" w:lineRule="auto"/>
      <w:ind w:left="440"/>
    </w:pPr>
    <w:rPr>
      <w:rFonts w:ascii="Calibri" w:hAnsi="Calibri" w:eastAsia="宋体" w:cs="Times New Roman"/>
    </w:rPr>
  </w:style>
  <w:style w:type="paragraph" w:styleId="8">
    <w:name w:val="Balloon Text"/>
    <w:basedOn w:val="1"/>
    <w:link w:val="38"/>
    <w:semiHidden/>
    <w:unhideWhenUsed/>
    <w:qFormat/>
    <w:uiPriority w:val="0"/>
    <w:pPr>
      <w:spacing w:after="0"/>
    </w:pPr>
    <w:rPr>
      <w:sz w:val="18"/>
      <w:szCs w:val="18"/>
    </w:rPr>
  </w:style>
  <w:style w:type="paragraph" w:styleId="9">
    <w:name w:val="footer"/>
    <w:basedOn w:val="1"/>
    <w:link w:val="33"/>
    <w:unhideWhenUsed/>
    <w:qFormat/>
    <w:uiPriority w:val="99"/>
    <w:pPr>
      <w:tabs>
        <w:tab w:val="center" w:pos="4153"/>
        <w:tab w:val="right" w:pos="8306"/>
      </w:tabs>
    </w:pPr>
    <w:rPr>
      <w:sz w:val="18"/>
      <w:szCs w:val="18"/>
    </w:rPr>
  </w:style>
  <w:style w:type="paragraph" w:styleId="10">
    <w:name w:val="header"/>
    <w:basedOn w:val="1"/>
    <w:link w:val="32"/>
    <w:unhideWhenUsed/>
    <w:qFormat/>
    <w:uiPriority w:val="99"/>
    <w:pPr>
      <w:pBdr>
        <w:bottom w:val="single" w:color="auto" w:sz="6" w:space="1"/>
      </w:pBdr>
      <w:tabs>
        <w:tab w:val="center" w:pos="4153"/>
        <w:tab w:val="right" w:pos="8306"/>
      </w:tabs>
      <w:jc w:val="center"/>
    </w:pPr>
    <w:rPr>
      <w:sz w:val="18"/>
      <w:szCs w:val="18"/>
    </w:rPr>
  </w:style>
  <w:style w:type="paragraph" w:styleId="11">
    <w:name w:val="toc 1"/>
    <w:basedOn w:val="1"/>
    <w:next w:val="1"/>
    <w:unhideWhenUsed/>
    <w:qFormat/>
    <w:uiPriority w:val="39"/>
    <w:pPr>
      <w:tabs>
        <w:tab w:val="right" w:leader="dot" w:pos="8607"/>
      </w:tabs>
      <w:adjustRightInd/>
      <w:snapToGrid/>
      <w:spacing w:after="100" w:line="276" w:lineRule="auto"/>
    </w:pPr>
    <w:rPr>
      <w:rFonts w:ascii="Calibri" w:hAnsi="Calibri" w:eastAsia="宋体" w:cs="Times New Roman"/>
      <w:color w:val="000000" w:themeColor="text1"/>
      <w14:textFill>
        <w14:solidFill>
          <w14:schemeClr w14:val="tx1"/>
        </w14:solidFill>
      </w14:textFill>
    </w:rPr>
  </w:style>
  <w:style w:type="paragraph" w:styleId="12">
    <w:name w:val="Subtitle"/>
    <w:basedOn w:val="1"/>
    <w:next w:val="1"/>
    <w:link w:val="59"/>
    <w:qFormat/>
    <w:uiPriority w:val="0"/>
    <w:pPr>
      <w:widowControl w:val="0"/>
      <w:adjustRightInd/>
      <w:snapToGrid/>
      <w:spacing w:before="240" w:after="60" w:line="312" w:lineRule="auto"/>
      <w:jc w:val="center"/>
      <w:outlineLvl w:val="1"/>
    </w:pPr>
    <w:rPr>
      <w:rFonts w:ascii="Cambria" w:hAnsi="Cambria" w:eastAsia="宋体" w:cs="Times New Roman"/>
      <w:b/>
      <w:bCs/>
      <w:kern w:val="28"/>
      <w:sz w:val="32"/>
      <w:szCs w:val="32"/>
    </w:rPr>
  </w:style>
  <w:style w:type="paragraph" w:styleId="13">
    <w:name w:val="toc 2"/>
    <w:basedOn w:val="1"/>
    <w:next w:val="1"/>
    <w:unhideWhenUsed/>
    <w:qFormat/>
    <w:uiPriority w:val="39"/>
    <w:pPr>
      <w:tabs>
        <w:tab w:val="right" w:leader="dot" w:pos="8607"/>
      </w:tabs>
      <w:adjustRightInd/>
      <w:snapToGrid/>
      <w:spacing w:after="100" w:line="276" w:lineRule="auto"/>
      <w:ind w:left="220"/>
    </w:pPr>
    <w:rPr>
      <w:rFonts w:ascii="Calibri" w:hAnsi="Calibri" w:eastAsia="宋体" w:cs="Times New Roman"/>
      <w:color w:val="000000" w:themeColor="text1"/>
      <w14:textFill>
        <w14:solidFill>
          <w14:schemeClr w14:val="tx1"/>
        </w14:solidFill>
      </w14:textFill>
    </w:rPr>
  </w:style>
  <w:style w:type="paragraph" w:styleId="14">
    <w:name w:val="HTML Preformatted"/>
    <w:basedOn w:val="1"/>
    <w:link w:val="55"/>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Arial" w:hAnsi="Arial" w:eastAsia="宋体" w:cs="Times New Roman"/>
      <w:sz w:val="24"/>
      <w:szCs w:val="24"/>
    </w:rPr>
  </w:style>
  <w:style w:type="paragraph" w:styleId="15">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paragraph" w:styleId="16">
    <w:name w:val="Title"/>
    <w:basedOn w:val="1"/>
    <w:next w:val="1"/>
    <w:link w:val="58"/>
    <w:qFormat/>
    <w:uiPriority w:val="0"/>
    <w:pPr>
      <w:widowControl w:val="0"/>
      <w:adjustRightInd/>
      <w:snapToGrid/>
      <w:spacing w:before="240" w:after="60"/>
      <w:jc w:val="center"/>
      <w:outlineLvl w:val="0"/>
    </w:pPr>
    <w:rPr>
      <w:rFonts w:ascii="Cambria" w:hAnsi="Cambria" w:eastAsia="宋体" w:cs="Times New Roman"/>
      <w:b/>
      <w:bCs/>
      <w:kern w:val="2"/>
      <w:sz w:val="32"/>
      <w:szCs w:val="32"/>
    </w:rPr>
  </w:style>
  <w:style w:type="table" w:styleId="18">
    <w:name w:val="Table Grid"/>
    <w:basedOn w:val="17"/>
    <w:qFormat/>
    <w:uiPriority w:val="0"/>
    <w:pPr>
      <w:widowControl w:val="0"/>
      <w:spacing w:after="0" w:line="240" w:lineRule="auto"/>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0"/>
    <w:rPr>
      <w:b/>
    </w:rPr>
  </w:style>
  <w:style w:type="character" w:styleId="21">
    <w:name w:val="page number"/>
    <w:qFormat/>
    <w:uiPriority w:val="0"/>
    <w:rPr>
      <w:rFonts w:cs="Times New Roman"/>
    </w:rPr>
  </w:style>
  <w:style w:type="character" w:styleId="22">
    <w:name w:val="FollowedHyperlink"/>
    <w:basedOn w:val="19"/>
    <w:semiHidden/>
    <w:unhideWhenUsed/>
    <w:qFormat/>
    <w:uiPriority w:val="99"/>
    <w:rPr>
      <w:color w:val="800080" w:themeColor="followedHyperlink"/>
      <w:u w:val="single"/>
      <w14:textFill>
        <w14:solidFill>
          <w14:schemeClr w14:val="folHlink"/>
        </w14:solidFill>
      </w14:textFill>
    </w:rPr>
  </w:style>
  <w:style w:type="character" w:styleId="23">
    <w:name w:val="Emphasis"/>
    <w:qFormat/>
    <w:uiPriority w:val="0"/>
  </w:style>
  <w:style w:type="character" w:styleId="24">
    <w:name w:val="HTML Definition"/>
    <w:qFormat/>
    <w:uiPriority w:val="0"/>
  </w:style>
  <w:style w:type="character" w:styleId="25">
    <w:name w:val="HTML Acronym"/>
    <w:basedOn w:val="19"/>
    <w:qFormat/>
    <w:uiPriority w:val="0"/>
  </w:style>
  <w:style w:type="character" w:styleId="26">
    <w:name w:val="HTML Variable"/>
    <w:qFormat/>
    <w:uiPriority w:val="0"/>
  </w:style>
  <w:style w:type="character" w:styleId="27">
    <w:name w:val="Hyperlink"/>
    <w:basedOn w:val="19"/>
    <w:qFormat/>
    <w:uiPriority w:val="99"/>
    <w:rPr>
      <w:color w:val="0000FF" w:themeColor="hyperlink"/>
      <w:u w:val="single"/>
      <w14:textFill>
        <w14:solidFill>
          <w14:schemeClr w14:val="hlink"/>
        </w14:solidFill>
      </w14:textFill>
    </w:rPr>
  </w:style>
  <w:style w:type="character" w:styleId="28">
    <w:name w:val="HTML Code"/>
    <w:qFormat/>
    <w:uiPriority w:val="0"/>
    <w:rPr>
      <w:rFonts w:hint="default" w:ascii="Arial" w:hAnsi="Arial" w:cs="Arial"/>
      <w:color w:val="333333"/>
      <w:sz w:val="18"/>
      <w:szCs w:val="18"/>
    </w:rPr>
  </w:style>
  <w:style w:type="character" w:styleId="29">
    <w:name w:val="HTML Cite"/>
    <w:qFormat/>
    <w:uiPriority w:val="0"/>
  </w:style>
  <w:style w:type="character" w:styleId="30">
    <w:name w:val="HTML Keyboard"/>
    <w:qFormat/>
    <w:uiPriority w:val="0"/>
    <w:rPr>
      <w:rFonts w:hint="eastAsia" w:ascii="Arial" w:hAnsi="Arial" w:cs="Arial"/>
      <w:sz w:val="20"/>
    </w:rPr>
  </w:style>
  <w:style w:type="character" w:styleId="31">
    <w:name w:val="HTML Sample"/>
    <w:qFormat/>
    <w:uiPriority w:val="0"/>
    <w:rPr>
      <w:rFonts w:hint="default" w:ascii="Arial" w:hAnsi="Arial" w:cs="Arial"/>
    </w:rPr>
  </w:style>
  <w:style w:type="character" w:customStyle="1" w:styleId="32">
    <w:name w:val="页眉 Char"/>
    <w:basedOn w:val="19"/>
    <w:link w:val="10"/>
    <w:qFormat/>
    <w:uiPriority w:val="99"/>
    <w:rPr>
      <w:rFonts w:ascii="Tahoma" w:hAnsi="Tahoma"/>
      <w:sz w:val="18"/>
      <w:szCs w:val="18"/>
    </w:rPr>
  </w:style>
  <w:style w:type="character" w:customStyle="1" w:styleId="33">
    <w:name w:val="页脚 Char"/>
    <w:basedOn w:val="19"/>
    <w:link w:val="9"/>
    <w:qFormat/>
    <w:uiPriority w:val="99"/>
    <w:rPr>
      <w:rFonts w:ascii="Tahoma" w:hAnsi="Tahoma"/>
      <w:sz w:val="18"/>
      <w:szCs w:val="18"/>
    </w:rPr>
  </w:style>
  <w:style w:type="character" w:customStyle="1" w:styleId="34">
    <w:name w:val="标题 1 Char"/>
    <w:basedOn w:val="19"/>
    <w:link w:val="2"/>
    <w:qFormat/>
    <w:uiPriority w:val="9"/>
    <w:rPr>
      <w:rFonts w:eastAsiaTheme="minorEastAsia"/>
      <w:b/>
      <w:bCs/>
      <w:kern w:val="2"/>
      <w:sz w:val="28"/>
      <w:szCs w:val="28"/>
    </w:rPr>
  </w:style>
  <w:style w:type="character" w:customStyle="1" w:styleId="35">
    <w:name w:val="正文文本 Char"/>
    <w:basedOn w:val="19"/>
    <w:link w:val="6"/>
    <w:qFormat/>
    <w:uiPriority w:val="1"/>
    <w:rPr>
      <w:rFonts w:eastAsiaTheme="minorEastAsia"/>
      <w:kern w:val="2"/>
      <w:sz w:val="28"/>
      <w:szCs w:val="28"/>
    </w:rPr>
  </w:style>
  <w:style w:type="paragraph" w:styleId="36">
    <w:name w:val="List Paragraph"/>
    <w:basedOn w:val="1"/>
    <w:qFormat/>
    <w:uiPriority w:val="34"/>
    <w:pPr>
      <w:widowControl w:val="0"/>
      <w:adjustRightInd/>
      <w:snapToGrid/>
      <w:spacing w:before="5" w:after="0"/>
      <w:ind w:left="1228" w:hanging="250"/>
      <w:jc w:val="both"/>
    </w:pPr>
    <w:rPr>
      <w:rFonts w:asciiTheme="minorHAnsi" w:hAnsiTheme="minorHAnsi" w:eastAsiaTheme="minorEastAsia"/>
      <w:kern w:val="2"/>
      <w:sz w:val="21"/>
      <w:szCs w:val="24"/>
    </w:rPr>
  </w:style>
  <w:style w:type="paragraph" w:customStyle="1" w:styleId="37">
    <w:name w:val="Table Paragraph"/>
    <w:basedOn w:val="1"/>
    <w:qFormat/>
    <w:uiPriority w:val="1"/>
    <w:pPr>
      <w:widowControl w:val="0"/>
      <w:adjustRightInd/>
      <w:snapToGrid/>
      <w:spacing w:after="0"/>
      <w:jc w:val="center"/>
    </w:pPr>
    <w:rPr>
      <w:rFonts w:ascii="Times New Roman" w:hAnsi="Times New Roman" w:eastAsia="Times New Roman" w:cs="Times New Roman"/>
      <w:kern w:val="2"/>
      <w:sz w:val="21"/>
      <w:szCs w:val="24"/>
    </w:rPr>
  </w:style>
  <w:style w:type="character" w:customStyle="1" w:styleId="38">
    <w:name w:val="批注框文本 Char"/>
    <w:basedOn w:val="19"/>
    <w:link w:val="8"/>
    <w:semiHidden/>
    <w:qFormat/>
    <w:uiPriority w:val="99"/>
    <w:rPr>
      <w:rFonts w:ascii="Tahoma" w:hAnsi="Tahoma"/>
      <w:sz w:val="18"/>
      <w:szCs w:val="18"/>
    </w:rPr>
  </w:style>
  <w:style w:type="character" w:customStyle="1" w:styleId="39">
    <w:name w:val="批注文字 Char"/>
    <w:basedOn w:val="19"/>
    <w:link w:val="5"/>
    <w:qFormat/>
    <w:uiPriority w:val="99"/>
    <w:rPr>
      <w:rFonts w:ascii="Calibri" w:hAnsi="Calibri" w:eastAsia="宋体" w:cs="Times New Roman"/>
      <w:kern w:val="2"/>
      <w:sz w:val="21"/>
      <w:szCs w:val="24"/>
    </w:rPr>
  </w:style>
  <w:style w:type="character" w:customStyle="1" w:styleId="40">
    <w:name w:val="标题 2 Char"/>
    <w:basedOn w:val="19"/>
    <w:link w:val="3"/>
    <w:qFormat/>
    <w:uiPriority w:val="99"/>
    <w:rPr>
      <w:rFonts w:ascii="Cambria" w:hAnsi="Cambria" w:eastAsia="宋体" w:cs="Times New Roman"/>
      <w:b/>
      <w:bCs/>
      <w:kern w:val="2"/>
      <w:sz w:val="32"/>
      <w:szCs w:val="32"/>
    </w:rPr>
  </w:style>
  <w:style w:type="character" w:customStyle="1" w:styleId="41">
    <w:name w:val="标题 3 Char"/>
    <w:basedOn w:val="19"/>
    <w:link w:val="4"/>
    <w:qFormat/>
    <w:uiPriority w:val="99"/>
    <w:rPr>
      <w:rFonts w:ascii="MingLiU" w:hAnsi="Times New Roman" w:eastAsia="MingLiU" w:cs="Times New Roman"/>
      <w:b/>
      <w:color w:val="000000"/>
      <w:sz w:val="26"/>
      <w:szCs w:val="24"/>
    </w:rPr>
  </w:style>
  <w:style w:type="character" w:customStyle="1" w:styleId="42">
    <w:name w:val="正文文本 (2)_"/>
    <w:link w:val="43"/>
    <w:qFormat/>
    <w:locked/>
    <w:uiPriority w:val="0"/>
    <w:rPr>
      <w:rFonts w:ascii="黑体" w:eastAsia="黑体" w:cs="黑体"/>
      <w:shd w:val="clear" w:color="auto" w:fill="FFFFFF"/>
    </w:rPr>
  </w:style>
  <w:style w:type="paragraph" w:customStyle="1" w:styleId="43">
    <w:name w:val="正文文本 (2)"/>
    <w:basedOn w:val="1"/>
    <w:link w:val="42"/>
    <w:qFormat/>
    <w:uiPriority w:val="0"/>
    <w:pPr>
      <w:widowControl w:val="0"/>
      <w:shd w:val="clear" w:color="auto" w:fill="FFFFFF"/>
      <w:adjustRightInd/>
      <w:snapToGrid/>
      <w:spacing w:before="600" w:after="0" w:line="460" w:lineRule="exact"/>
      <w:jc w:val="distribute"/>
    </w:pPr>
    <w:rPr>
      <w:rFonts w:ascii="黑体" w:eastAsia="黑体" w:cs="黑体" w:hAnsiTheme="minorHAnsi"/>
    </w:rPr>
  </w:style>
  <w:style w:type="character" w:customStyle="1" w:styleId="44">
    <w:name w:val="num"/>
    <w:qFormat/>
    <w:uiPriority w:val="0"/>
    <w:rPr>
      <w:b/>
      <w:color w:val="FF7800"/>
    </w:rPr>
  </w:style>
  <w:style w:type="character" w:customStyle="1" w:styleId="45">
    <w:name w:val="正文文本 (2) + 间距 2 pt"/>
    <w:qFormat/>
    <w:uiPriority w:val="0"/>
    <w:rPr>
      <w:rFonts w:ascii="黑体" w:eastAsia="黑体" w:cs="黑体"/>
      <w:color w:val="auto"/>
      <w:spacing w:val="40"/>
      <w:lang w:val="en-US"/>
    </w:rPr>
  </w:style>
  <w:style w:type="character" w:customStyle="1" w:styleId="46">
    <w:name w:val="span-bg"/>
    <w:basedOn w:val="19"/>
    <w:qFormat/>
    <w:uiPriority w:val="0"/>
  </w:style>
  <w:style w:type="character" w:customStyle="1" w:styleId="47">
    <w:name w:val="正文文本 (2) + MS Mincho"/>
    <w:qFormat/>
    <w:uiPriority w:val="0"/>
    <w:rPr>
      <w:rFonts w:ascii="MS Mincho" w:eastAsia="MS Mincho" w:cs="MS Mincho"/>
      <w:color w:val="auto"/>
      <w:sz w:val="22"/>
      <w:szCs w:val="22"/>
      <w:lang w:val="en-US" w:eastAsia="en-US"/>
    </w:rPr>
  </w:style>
  <w:style w:type="paragraph" w:customStyle="1" w:styleId="48">
    <w:name w:val="_Style 38"/>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customStyle="1" w:styleId="49">
    <w:name w:val="span-hover"/>
    <w:basedOn w:val="19"/>
    <w:qFormat/>
    <w:uiPriority w:val="0"/>
  </w:style>
  <w:style w:type="character" w:customStyle="1" w:styleId="50">
    <w:name w:val="release-day"/>
    <w:qFormat/>
    <w:uiPriority w:val="0"/>
    <w:rPr>
      <w:bdr w:val="single" w:color="BDEBB0" w:sz="6" w:space="0"/>
      <w:shd w:val="clear" w:color="auto" w:fill="F5FFF1"/>
    </w:rPr>
  </w:style>
  <w:style w:type="character" w:customStyle="1" w:styleId="51">
    <w:name w:val="legend"/>
    <w:qFormat/>
    <w:uiPriority w:val="0"/>
    <w:rPr>
      <w:rFonts w:hint="default" w:ascii="Arial" w:hAnsi="Arial" w:cs="Arial"/>
      <w:b/>
      <w:color w:val="73B304"/>
      <w:sz w:val="21"/>
      <w:szCs w:val="21"/>
      <w:shd w:val="clear" w:color="auto" w:fill="FFFFFF"/>
    </w:rPr>
  </w:style>
  <w:style w:type="character" w:customStyle="1" w:styleId="52">
    <w:name w:val="span-bg12"/>
    <w:basedOn w:val="19"/>
    <w:qFormat/>
    <w:uiPriority w:val="0"/>
  </w:style>
  <w:style w:type="paragraph" w:customStyle="1" w:styleId="53">
    <w:name w:val="正文文本 (2)1"/>
    <w:basedOn w:val="1"/>
    <w:qFormat/>
    <w:uiPriority w:val="0"/>
    <w:pPr>
      <w:widowControl w:val="0"/>
      <w:shd w:val="clear" w:color="auto" w:fill="FFFFFF"/>
      <w:adjustRightInd/>
      <w:snapToGrid/>
      <w:spacing w:after="0" w:line="435" w:lineRule="exact"/>
      <w:ind w:hanging="420"/>
      <w:jc w:val="distribute"/>
    </w:pPr>
    <w:rPr>
      <w:rFonts w:ascii="MingLiU" w:hAnsi="Times New Roman" w:eastAsia="MingLiU" w:cs="MingLiU"/>
      <w:kern w:val="2"/>
    </w:rPr>
  </w:style>
  <w:style w:type="paragraph" w:customStyle="1" w:styleId="54">
    <w:name w:val="Char Char Char Char Char Char Char Char Char Char"/>
    <w:basedOn w:val="1"/>
    <w:qFormat/>
    <w:uiPriority w:val="0"/>
    <w:pPr>
      <w:adjustRightInd/>
      <w:snapToGrid/>
      <w:spacing w:after="160" w:line="240" w:lineRule="exact"/>
    </w:pPr>
    <w:rPr>
      <w:rFonts w:ascii="Times New Roman" w:hAnsi="Times New Roman" w:eastAsia="宋体" w:cs="Times New Roman"/>
      <w:kern w:val="2"/>
      <w:sz w:val="21"/>
      <w:szCs w:val="24"/>
    </w:rPr>
  </w:style>
  <w:style w:type="character" w:customStyle="1" w:styleId="55">
    <w:name w:val="HTML 预设格式 Char"/>
    <w:basedOn w:val="19"/>
    <w:link w:val="14"/>
    <w:qFormat/>
    <w:uiPriority w:val="0"/>
    <w:rPr>
      <w:rFonts w:ascii="Arial" w:hAnsi="Arial" w:eastAsia="宋体" w:cs="Times New Roman"/>
      <w:sz w:val="24"/>
      <w:szCs w:val="24"/>
    </w:rPr>
  </w:style>
  <w:style w:type="paragraph" w:customStyle="1" w:styleId="56">
    <w:name w:val="Char"/>
    <w:basedOn w:val="1"/>
    <w:qFormat/>
    <w:uiPriority w:val="0"/>
    <w:pPr>
      <w:widowControl w:val="0"/>
      <w:adjustRightInd/>
      <w:snapToGrid/>
      <w:spacing w:after="0"/>
      <w:jc w:val="both"/>
    </w:pPr>
    <w:rPr>
      <w:rFonts w:eastAsia="宋体" w:cs="Times New Roman"/>
      <w:kern w:val="2"/>
      <w:sz w:val="24"/>
      <w:szCs w:val="20"/>
    </w:rPr>
  </w:style>
  <w:style w:type="paragraph" w:customStyle="1" w:styleId="57">
    <w:name w:val="TOC Heading"/>
    <w:basedOn w:val="2"/>
    <w:next w:val="1"/>
    <w:semiHidden/>
    <w:unhideWhenUsed/>
    <w:qFormat/>
    <w:uiPriority w:val="39"/>
    <w:pPr>
      <w:keepNext/>
      <w:keepLines/>
      <w:widowControl/>
      <w:spacing w:before="480" w:line="276" w:lineRule="auto"/>
      <w:ind w:left="0"/>
      <w:jc w:val="left"/>
      <w:outlineLvl w:val="9"/>
    </w:pPr>
    <w:rPr>
      <w:rFonts w:ascii="Cambria" w:hAnsi="Cambria" w:eastAsia="宋体" w:cs="Times New Roman"/>
      <w:color w:val="365F91"/>
      <w:kern w:val="0"/>
    </w:rPr>
  </w:style>
  <w:style w:type="character" w:customStyle="1" w:styleId="58">
    <w:name w:val="标题 Char"/>
    <w:basedOn w:val="19"/>
    <w:link w:val="16"/>
    <w:qFormat/>
    <w:uiPriority w:val="0"/>
    <w:rPr>
      <w:rFonts w:ascii="Cambria" w:hAnsi="Cambria" w:eastAsia="宋体" w:cs="Times New Roman"/>
      <w:b/>
      <w:bCs/>
      <w:kern w:val="2"/>
      <w:sz w:val="32"/>
      <w:szCs w:val="32"/>
    </w:rPr>
  </w:style>
  <w:style w:type="character" w:customStyle="1" w:styleId="59">
    <w:name w:val="副标题 Char"/>
    <w:basedOn w:val="19"/>
    <w:link w:val="12"/>
    <w:qFormat/>
    <w:uiPriority w:val="0"/>
    <w:rPr>
      <w:rFonts w:ascii="Cambria" w:hAnsi="Cambria" w:eastAsia="宋体" w:cs="Times New Roman"/>
      <w:b/>
      <w:bCs/>
      <w:kern w:val="28"/>
      <w:sz w:val="32"/>
      <w:szCs w:val="32"/>
    </w:rPr>
  </w:style>
  <w:style w:type="paragraph" w:customStyle="1" w:styleId="60">
    <w:name w:val="图标"/>
    <w:basedOn w:val="1"/>
    <w:qFormat/>
    <w:uiPriority w:val="0"/>
    <w:pPr>
      <w:spacing w:after="0"/>
      <w:jc w:val="center"/>
    </w:pPr>
    <w:rPr>
      <w:rFonts w:ascii="Times New Roman" w:hAnsi="Times New Roman" w:eastAsia="宋体" w:cs="Times New Roman"/>
      <w:b/>
      <w:sz w:val="21"/>
      <w:szCs w:val="32"/>
    </w:rPr>
  </w:style>
  <w:style w:type="character" w:customStyle="1" w:styleId="61">
    <w:name w:val="页眉 字符1"/>
    <w:semiHidden/>
    <w:qFormat/>
    <w:uiPriority w:val="99"/>
    <w:rPr>
      <w:sz w:val="18"/>
      <w:szCs w:val="18"/>
    </w:rPr>
  </w:style>
  <w:style w:type="character" w:customStyle="1" w:styleId="62">
    <w:name w:val="页脚 字符1"/>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3237</Words>
  <Characters>3430</Characters>
  <Lines>172</Lines>
  <Paragraphs>48</Paragraphs>
  <TotalTime>3</TotalTime>
  <ScaleCrop>false</ScaleCrop>
  <LinksUpToDate>false</LinksUpToDate>
  <CharactersWithSpaces>3442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BRUIN</cp:lastModifiedBy>
  <dcterms:modified xsi:type="dcterms:W3CDTF">2023-03-22T06:53:47Z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C21A0B14CEC54FA5BCC10E97C6D19BD5</vt:lpwstr>
  </property>
</Properties>
</file>