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黑体" w:hAnsi="黑体" w:eastAsia="黑体" w:cs="黑体"/>
          <w:color w:val="000000" w:themeColor="text1"/>
          <w:sz w:val="32"/>
          <w:szCs w:val="32"/>
          <w:lang w:val="en-US" w:eastAsia="zh-CN"/>
          <w14:textFill>
            <w14:solidFill>
              <w14:schemeClr w14:val="tx1"/>
            </w14:solidFill>
          </w14:textFill>
        </w:rPr>
      </w:pPr>
      <w:bookmarkStart w:id="147" w:name="_GoBack"/>
      <w:r>
        <w:rPr>
          <w:rFonts w:hint="eastAsia" w:ascii="黑体" w:hAnsi="黑体" w:eastAsia="黑体" w:cs="黑体"/>
          <w:color w:val="000000" w:themeColor="text1"/>
          <w:sz w:val="32"/>
          <w:szCs w:val="32"/>
          <w:lang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4</w:t>
      </w:r>
    </w:p>
    <w:bookmarkEnd w:id="147"/>
    <w:p>
      <w:pPr>
        <w:pStyle w:val="2"/>
        <w:rPr>
          <w:rFonts w:hint="default" w:ascii="Times New Roman" w:hAnsi="Times New Roman" w:eastAsia="仿宋"/>
          <w:color w:val="000000" w:themeColor="text1"/>
          <w14:textFill>
            <w14:solidFill>
              <w14:schemeClr w14:val="tx1"/>
            </w14:solidFill>
          </w14:textFill>
        </w:rPr>
      </w:pPr>
    </w:p>
    <w:p>
      <w:pPr>
        <w:autoSpaceDE w:val="0"/>
        <w:autoSpaceDN w:val="0"/>
        <w:spacing w:before="41" w:line="800" w:lineRule="exact"/>
        <w:ind w:right="1035"/>
        <w:rPr>
          <w:rFonts w:ascii="Times New Roman" w:hAnsi="Times New Roman" w:eastAsia="仿宋"/>
          <w:color w:val="000000" w:themeColor="text1"/>
          <w14:textFill>
            <w14:solidFill>
              <w14:schemeClr w14:val="tx1"/>
            </w14:solidFill>
          </w14:textFill>
        </w:rPr>
      </w:pPr>
    </w:p>
    <w:p>
      <w:pPr>
        <w:autoSpaceDE w:val="0"/>
        <w:autoSpaceDN w:val="0"/>
        <w:adjustRightInd w:val="0"/>
        <w:spacing w:line="720" w:lineRule="auto"/>
        <w:jc w:val="center"/>
        <w:rPr>
          <w:rFonts w:ascii="Times New Roman" w:hAnsi="Times New Roman" w:eastAsia="仿宋"/>
          <w:b/>
          <w:color w:val="000000" w:themeColor="text1"/>
          <w:kern w:val="0"/>
          <w:sz w:val="48"/>
          <w:szCs w:val="32"/>
          <w14:textFill>
            <w14:solidFill>
              <w14:schemeClr w14:val="tx1"/>
            </w14:solidFill>
          </w14:textFill>
        </w:rPr>
      </w:pPr>
      <w:r>
        <w:rPr>
          <w:rFonts w:ascii="Times New Roman" w:hAnsi="Times New Roman" w:eastAsia="仿宋"/>
          <w:b/>
          <w:color w:val="000000" w:themeColor="text1"/>
          <w:kern w:val="0"/>
          <w:sz w:val="48"/>
          <w:szCs w:val="32"/>
          <w14:textFill>
            <w14:solidFill>
              <w14:schemeClr w14:val="tx1"/>
            </w14:solidFill>
          </w14:textFill>
        </w:rPr>
        <w:t>《生态环境准入清单编制技术指南》</w:t>
      </w:r>
    </w:p>
    <w:p>
      <w:pPr>
        <w:autoSpaceDE w:val="0"/>
        <w:autoSpaceDN w:val="0"/>
        <w:adjustRightInd w:val="0"/>
        <w:spacing w:line="720" w:lineRule="auto"/>
        <w:jc w:val="center"/>
        <w:rPr>
          <w:rFonts w:ascii="Times New Roman" w:hAnsi="Times New Roman" w:eastAsia="仿宋"/>
          <w:b/>
          <w:color w:val="000000" w:themeColor="text1"/>
          <w:kern w:val="0"/>
          <w:sz w:val="48"/>
          <w:szCs w:val="32"/>
          <w14:textFill>
            <w14:solidFill>
              <w14:schemeClr w14:val="tx1"/>
            </w14:solidFill>
          </w14:textFill>
        </w:rPr>
      </w:pPr>
      <w:r>
        <w:rPr>
          <w:rFonts w:ascii="Times New Roman" w:hAnsi="Times New Roman" w:eastAsia="仿宋"/>
          <w:b/>
          <w:color w:val="000000" w:themeColor="text1"/>
          <w:kern w:val="0"/>
          <w:sz w:val="48"/>
          <w:szCs w:val="32"/>
          <w14:textFill>
            <w14:solidFill>
              <w14:schemeClr w14:val="tx1"/>
            </w14:solidFill>
          </w14:textFill>
        </w:rPr>
        <w:t>（</w:t>
      </w:r>
      <w:r>
        <w:rPr>
          <w:rFonts w:hint="eastAsia" w:ascii="Times New Roman" w:hAnsi="Times New Roman" w:eastAsia="仿宋"/>
          <w:b/>
          <w:color w:val="000000" w:themeColor="text1"/>
          <w:kern w:val="0"/>
          <w:sz w:val="48"/>
          <w:szCs w:val="32"/>
          <w14:textFill>
            <w14:solidFill>
              <w14:schemeClr w14:val="tx1"/>
            </w14:solidFill>
          </w14:textFill>
        </w:rPr>
        <w:t>征求意见稿</w:t>
      </w:r>
      <w:r>
        <w:rPr>
          <w:rFonts w:ascii="Times New Roman" w:hAnsi="Times New Roman" w:eastAsia="仿宋"/>
          <w:b/>
          <w:color w:val="000000" w:themeColor="text1"/>
          <w:kern w:val="0"/>
          <w:sz w:val="48"/>
          <w:szCs w:val="32"/>
          <w14:textFill>
            <w14:solidFill>
              <w14:schemeClr w14:val="tx1"/>
            </w14:solidFill>
          </w14:textFill>
        </w:rPr>
        <w:t>）</w:t>
      </w:r>
    </w:p>
    <w:p>
      <w:pPr>
        <w:autoSpaceDE w:val="0"/>
        <w:autoSpaceDN w:val="0"/>
        <w:adjustRightInd w:val="0"/>
        <w:spacing w:line="720" w:lineRule="auto"/>
        <w:jc w:val="center"/>
        <w:rPr>
          <w:rFonts w:ascii="Times New Roman" w:hAnsi="Times New Roman" w:eastAsia="仿宋"/>
          <w:b/>
          <w:color w:val="000000" w:themeColor="text1"/>
          <w:kern w:val="0"/>
          <w:sz w:val="48"/>
          <w:szCs w:val="32"/>
          <w14:textFill>
            <w14:solidFill>
              <w14:schemeClr w14:val="tx1"/>
            </w14:solidFill>
          </w14:textFill>
        </w:rPr>
      </w:pPr>
      <w:r>
        <w:rPr>
          <w:rFonts w:ascii="Times New Roman" w:hAnsi="Times New Roman" w:eastAsia="仿宋"/>
          <w:b/>
          <w:color w:val="000000" w:themeColor="text1"/>
          <w:kern w:val="0"/>
          <w:sz w:val="48"/>
          <w:szCs w:val="32"/>
          <w14:textFill>
            <w14:solidFill>
              <w14:schemeClr w14:val="tx1"/>
            </w14:solidFill>
          </w14:textFill>
        </w:rPr>
        <w:t>编制说明</w:t>
      </w:r>
    </w:p>
    <w:p>
      <w:pPr>
        <w:autoSpaceDE w:val="0"/>
        <w:autoSpaceDN w:val="0"/>
        <w:adjustRightInd w:val="0"/>
        <w:spacing w:line="720" w:lineRule="auto"/>
        <w:jc w:val="center"/>
        <w:rPr>
          <w:rFonts w:ascii="Times New Roman" w:hAnsi="Times New Roman" w:eastAsia="仿宋"/>
          <w:b/>
          <w:color w:val="000000" w:themeColor="text1"/>
          <w:kern w:val="0"/>
          <w:sz w:val="48"/>
          <w:szCs w:val="32"/>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20" w:firstLineChars="200"/>
        <w:jc w:val="center"/>
        <w:rPr>
          <w:rFonts w:ascii="Times New Roman" w:hAnsi="Times New Roman" w:eastAsia="仿宋"/>
          <w:color w:val="000000" w:themeColor="text1"/>
          <w14:textFill>
            <w14:solidFill>
              <w14:schemeClr w14:val="tx1"/>
            </w14:solidFill>
          </w14:textFill>
        </w:rPr>
      </w:pPr>
    </w:p>
    <w:p>
      <w:pPr>
        <w:wordWrap w:val="0"/>
        <w:spacing w:line="360" w:lineRule="auto"/>
        <w:ind w:firstLine="420" w:firstLineChars="200"/>
        <w:jc w:val="center"/>
        <w:rPr>
          <w:rFonts w:ascii="Times New Roman" w:hAnsi="Times New Roman" w:eastAsia="仿宋"/>
          <w:color w:val="000000" w:themeColor="text1"/>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20" w:firstLineChars="200"/>
        <w:jc w:val="center"/>
        <w:rPr>
          <w:rFonts w:ascii="Times New Roman" w:hAnsi="Times New Roman" w:eastAsia="仿宋"/>
          <w:color w:val="000000" w:themeColor="text1"/>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wordWrap w:val="0"/>
        <w:spacing w:line="360" w:lineRule="auto"/>
        <w:ind w:firstLine="481" w:firstLineChars="200"/>
        <w:jc w:val="center"/>
        <w:rPr>
          <w:rFonts w:ascii="Times New Roman" w:hAnsi="Times New Roman" w:eastAsia="仿宋"/>
          <w:b/>
          <w:bCs/>
          <w:color w:val="000000" w:themeColor="text1"/>
          <w:sz w:val="24"/>
          <w:szCs w:val="24"/>
          <w14:textFill>
            <w14:solidFill>
              <w14:schemeClr w14:val="tx1"/>
            </w14:solidFill>
          </w14:textFill>
        </w:rPr>
      </w:pPr>
    </w:p>
    <w:p>
      <w:pPr>
        <w:spacing w:line="360" w:lineRule="auto"/>
        <w:jc w:val="center"/>
        <w:rPr>
          <w:rFonts w:ascii="Times New Roman" w:hAnsi="Times New Roman" w:eastAsia="仿宋"/>
          <w:b/>
          <w:color w:val="000000" w:themeColor="text1"/>
          <w:sz w:val="32"/>
          <w:szCs w:val="32"/>
          <w14:textFill>
            <w14:solidFill>
              <w14:schemeClr w14:val="tx1"/>
            </w14:solidFill>
          </w14:textFill>
        </w:rPr>
      </w:pPr>
      <w:r>
        <w:rPr>
          <w:rFonts w:ascii="Times New Roman" w:hAnsi="Times New Roman" w:eastAsia="仿宋"/>
          <w:b/>
          <w:color w:val="000000" w:themeColor="text1"/>
          <w:sz w:val="32"/>
          <w:szCs w:val="32"/>
          <w14:textFill>
            <w14:solidFill>
              <w14:schemeClr w14:val="tx1"/>
            </w14:solidFill>
          </w14:textFill>
        </w:rPr>
        <w:t>《生态环境准入清单编制技术指南》编制组</w:t>
      </w:r>
    </w:p>
    <w:p>
      <w:pPr>
        <w:spacing w:line="360" w:lineRule="auto"/>
        <w:jc w:val="center"/>
        <w:rPr>
          <w:rFonts w:ascii="Times New Roman" w:hAnsi="Times New Roman" w:eastAsia="仿宋"/>
          <w:b/>
          <w:color w:val="000000" w:themeColor="text1"/>
          <w:sz w:val="32"/>
          <w:szCs w:val="32"/>
          <w14:textFill>
            <w14:solidFill>
              <w14:schemeClr w14:val="tx1"/>
            </w14:solidFill>
          </w14:textFill>
        </w:rPr>
      </w:pPr>
      <w:r>
        <w:rPr>
          <w:rFonts w:ascii="Times New Roman" w:hAnsi="Times New Roman" w:eastAsia="仿宋"/>
          <w:b/>
          <w:color w:val="000000" w:themeColor="text1"/>
          <w:sz w:val="32"/>
          <w:szCs w:val="32"/>
          <w14:textFill>
            <w14:solidFill>
              <w14:schemeClr w14:val="tx1"/>
            </w14:solidFill>
          </w14:textFill>
        </w:rPr>
        <w:t>202</w:t>
      </w:r>
      <w:r>
        <w:rPr>
          <w:rFonts w:hint="eastAsia" w:ascii="Times New Roman" w:hAnsi="Times New Roman" w:eastAsia="仿宋"/>
          <w:b/>
          <w:color w:val="000000" w:themeColor="text1"/>
          <w:sz w:val="32"/>
          <w:szCs w:val="32"/>
          <w14:textFill>
            <w14:solidFill>
              <w14:schemeClr w14:val="tx1"/>
            </w14:solidFill>
          </w14:textFill>
        </w:rPr>
        <w:t>3</w:t>
      </w:r>
      <w:r>
        <w:rPr>
          <w:rFonts w:ascii="Times New Roman" w:hAnsi="Times New Roman" w:eastAsia="仿宋"/>
          <w:b/>
          <w:color w:val="000000" w:themeColor="text1"/>
          <w:sz w:val="32"/>
          <w:szCs w:val="32"/>
          <w14:textFill>
            <w14:solidFill>
              <w14:schemeClr w14:val="tx1"/>
            </w14:solidFill>
          </w14:textFill>
        </w:rPr>
        <w:t>年</w:t>
      </w:r>
      <w:r>
        <w:rPr>
          <w:rFonts w:hint="eastAsia" w:ascii="Times New Roman" w:hAnsi="Times New Roman" w:eastAsia="仿宋"/>
          <w:b/>
          <w:color w:val="000000" w:themeColor="text1"/>
          <w:sz w:val="32"/>
          <w:szCs w:val="32"/>
          <w14:textFill>
            <w14:solidFill>
              <w14:schemeClr w14:val="tx1"/>
            </w14:solidFill>
          </w14:textFill>
        </w:rPr>
        <w:t>4</w:t>
      </w:r>
      <w:r>
        <w:rPr>
          <w:rFonts w:ascii="Times New Roman" w:hAnsi="Times New Roman" w:eastAsia="仿宋"/>
          <w:b/>
          <w:color w:val="000000" w:themeColor="text1"/>
          <w:sz w:val="32"/>
          <w:szCs w:val="32"/>
          <w14:textFill>
            <w14:solidFill>
              <w14:schemeClr w14:val="tx1"/>
            </w14:solidFill>
          </w14:textFill>
        </w:rPr>
        <w:t>月</w:t>
      </w:r>
    </w:p>
    <w:p>
      <w:pPr>
        <w:wordWrap w:val="0"/>
        <w:jc w:val="left"/>
        <w:rPr>
          <w:rFonts w:ascii="Times New Roman" w:hAnsi="Times New Roman" w:eastAsia="仿宋"/>
          <w:b/>
          <w:bCs/>
          <w:color w:val="000000" w:themeColor="text1"/>
          <w:sz w:val="24"/>
          <w:szCs w:val="24"/>
          <w14:textFill>
            <w14:solidFill>
              <w14:schemeClr w14:val="tx1"/>
            </w14:solidFill>
          </w14:textFill>
        </w:rPr>
      </w:pPr>
    </w:p>
    <w:p>
      <w:pPr>
        <w:wordWrap w:val="0"/>
        <w:jc w:val="left"/>
        <w:rPr>
          <w:rFonts w:ascii="Times New Roman" w:hAnsi="Times New Roman" w:eastAsia="仿宋"/>
          <w:b/>
          <w:bCs/>
          <w:color w:val="000000" w:themeColor="text1"/>
          <w:sz w:val="24"/>
          <w:szCs w:val="24"/>
          <w14:textFill>
            <w14:solidFill>
              <w14:schemeClr w14:val="tx1"/>
            </w14:solidFill>
          </w14:textFill>
        </w:rPr>
        <w:sectPr>
          <w:headerReference r:id="rId3" w:type="default"/>
          <w:pgSz w:w="11906" w:h="16838"/>
          <w:pgMar w:top="1440" w:right="1800" w:bottom="1440" w:left="1800" w:header="851" w:footer="992" w:gutter="0"/>
          <w:pgNumType w:start="1"/>
          <w:cols w:space="720" w:num="1"/>
          <w:docGrid w:type="lines" w:linePitch="312" w:charSpace="0"/>
        </w:sectPr>
      </w:pPr>
    </w:p>
    <w:p>
      <w:pPr>
        <w:pStyle w:val="85"/>
        <w:wordWrap w:val="0"/>
        <w:spacing w:line="360" w:lineRule="auto"/>
        <w:jc w:val="center"/>
        <w:rPr>
          <w:rFonts w:ascii="Times New Roman" w:hAnsi="Times New Roman" w:eastAsia="仿宋"/>
          <w:b/>
          <w:bCs/>
          <w:color w:val="000000" w:themeColor="text1"/>
          <w14:textFill>
            <w14:solidFill>
              <w14:schemeClr w14:val="tx1"/>
            </w14:solidFill>
          </w14:textFill>
        </w:rPr>
      </w:pPr>
      <w:bookmarkStart w:id="0" w:name="_Toc28504"/>
      <w:r>
        <w:rPr>
          <w:rFonts w:ascii="Times New Roman" w:hAnsi="Times New Roman" w:eastAsia="仿宋"/>
          <w:b/>
          <w:bCs/>
          <w:color w:val="000000" w:themeColor="text1"/>
          <w:sz w:val="36"/>
          <w:szCs w:val="36"/>
          <w:lang w:val="zh-CN"/>
          <w14:textFill>
            <w14:solidFill>
              <w14:schemeClr w14:val="tx1"/>
            </w14:solidFill>
          </w14:textFill>
        </w:rPr>
        <w:t>目</w:t>
      </w:r>
      <w:r>
        <w:rPr>
          <w:rFonts w:ascii="Times New Roman" w:hAnsi="Times New Roman" w:eastAsia="仿宋"/>
          <w:b/>
          <w:bCs/>
          <w:color w:val="000000" w:themeColor="text1"/>
          <w:sz w:val="36"/>
          <w:szCs w:val="36"/>
          <w14:textFill>
            <w14:solidFill>
              <w14:schemeClr w14:val="tx1"/>
            </w14:solidFill>
          </w14:textFill>
        </w:rPr>
        <w:t xml:space="preserve">  </w:t>
      </w:r>
      <w:r>
        <w:rPr>
          <w:rFonts w:ascii="Times New Roman" w:hAnsi="Times New Roman" w:eastAsia="仿宋"/>
          <w:b/>
          <w:bCs/>
          <w:color w:val="000000" w:themeColor="text1"/>
          <w:sz w:val="36"/>
          <w:szCs w:val="36"/>
          <w:lang w:val="zh-CN"/>
          <w14:textFill>
            <w14:solidFill>
              <w14:schemeClr w14:val="tx1"/>
            </w14:solidFill>
          </w14:textFill>
        </w:rPr>
        <w:t>录</w:t>
      </w:r>
      <w:bookmarkEnd w:id="0"/>
    </w:p>
    <w:sdt>
      <w:sdtPr>
        <w:rPr>
          <w:rFonts w:ascii="Times New Roman" w:hAnsi="Times New Roman" w:eastAsia="仿宋"/>
          <w:color w:val="000000" w:themeColor="text1"/>
          <w:kern w:val="0"/>
          <w:sz w:val="30"/>
          <w:szCs w:val="30"/>
          <w14:textFill>
            <w14:solidFill>
              <w14:schemeClr w14:val="tx1"/>
            </w14:solidFill>
          </w14:textFill>
        </w:rPr>
        <w:id w:val="147458292"/>
        <w15:color w:val="DBDBDB"/>
        <w:docPartObj>
          <w:docPartGallery w:val="Table of Contents"/>
          <w:docPartUnique/>
        </w:docPartObj>
      </w:sdtPr>
      <w:sdtEndPr>
        <w:rPr>
          <w:rFonts w:ascii="Times New Roman" w:hAnsi="Times New Roman" w:eastAsia="仿宋"/>
          <w:color w:val="000000" w:themeColor="text1"/>
          <w:kern w:val="0"/>
          <w:sz w:val="28"/>
          <w:szCs w:val="28"/>
          <w14:textFill>
            <w14:solidFill>
              <w14:schemeClr w14:val="tx1"/>
            </w14:solidFill>
          </w14:textFill>
        </w:rPr>
      </w:sdtEndPr>
      <w:sdtContent>
        <w:p>
          <w:pPr>
            <w:jc w:val="center"/>
          </w:pPr>
        </w:p>
        <w:p>
          <w:pPr>
            <w:pStyle w:val="21"/>
            <w:tabs>
              <w:tab w:val="right" w:leader="dot" w:pos="8306"/>
            </w:tabs>
            <w:spacing w:line="440" w:lineRule="exact"/>
          </w:pPr>
          <w:r>
            <w:rPr>
              <w:rFonts w:hint="eastAsia" w:ascii="仿宋" w:hAnsi="仿宋" w:eastAsia="仿宋" w:cs="仿宋"/>
              <w:color w:val="000000" w:themeColor="text1"/>
              <w:sz w:val="28"/>
              <w:szCs w:val="28"/>
              <w14:textFill>
                <w14:solidFill>
                  <w14:schemeClr w14:val="tx1"/>
                </w14:solidFill>
              </w14:textFill>
            </w:rPr>
            <w:fldChar w:fldCharType="begin"/>
          </w:r>
          <w:r>
            <w:rPr>
              <w:rFonts w:hint="eastAsia" w:ascii="仿宋" w:hAnsi="仿宋" w:eastAsia="仿宋" w:cs="仿宋"/>
              <w:color w:val="000000" w:themeColor="text1"/>
              <w:sz w:val="28"/>
              <w:szCs w:val="28"/>
              <w14:textFill>
                <w14:solidFill>
                  <w14:schemeClr w14:val="tx1"/>
                </w14:solidFill>
              </w14:textFill>
            </w:rPr>
            <w:instrText xml:space="preserve">TOC \o "1-2" \h \u </w:instrText>
          </w:r>
          <w:r>
            <w:rPr>
              <w:rFonts w:hint="eastAsia" w:ascii="仿宋" w:hAnsi="仿宋" w:eastAsia="仿宋" w:cs="仿宋"/>
              <w:color w:val="000000" w:themeColor="text1"/>
              <w:sz w:val="28"/>
              <w:szCs w:val="28"/>
              <w14:textFill>
                <w14:solidFill>
                  <w14:schemeClr w14:val="tx1"/>
                </w14:solidFill>
              </w14:textFill>
            </w:rPr>
            <w:fldChar w:fldCharType="separate"/>
          </w:r>
          <w:r>
            <w:fldChar w:fldCharType="begin"/>
          </w:r>
          <w:r>
            <w:instrText xml:space="preserve"> HYPERLINK \l "_Toc4579" </w:instrText>
          </w:r>
          <w:r>
            <w:fldChar w:fldCharType="separate"/>
          </w:r>
          <w:r>
            <w:rPr>
              <w:rFonts w:hint="eastAsia" w:ascii="华文仿宋" w:hAnsi="华文仿宋" w:eastAsia="华文仿宋" w:cs="华文仿宋"/>
              <w:szCs w:val="32"/>
            </w:rPr>
            <w:t>1 项目背景</w:t>
          </w:r>
          <w:r>
            <w:tab/>
          </w:r>
          <w:r>
            <w:fldChar w:fldCharType="begin"/>
          </w:r>
          <w:r>
            <w:instrText xml:space="preserve"> PAGEREF _Toc4579 </w:instrText>
          </w:r>
          <w:r>
            <w:fldChar w:fldCharType="separate"/>
          </w:r>
          <w:r>
            <w:t>1</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"_Toc21685" </w:instrText>
          </w:r>
          <w:r>
            <w:fldChar w:fldCharType="separate"/>
          </w:r>
          <w:r>
            <w:rPr>
              <w:rFonts w:eastAsia="仿宋"/>
              <w:szCs w:val="30"/>
            </w:rPr>
            <w:t>1.1任务来源</w:t>
          </w:r>
          <w:r>
            <w:tab/>
          </w:r>
          <w:r>
            <w:fldChar w:fldCharType="begin"/>
          </w:r>
          <w:r>
            <w:instrText xml:space="preserve"> PAGEREF _Toc21685 </w:instrText>
          </w:r>
          <w:r>
            <w:fldChar w:fldCharType="separate"/>
          </w:r>
          <w:r>
            <w:t>1</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"_Toc17724" </w:instrText>
          </w:r>
          <w:r>
            <w:fldChar w:fldCharType="separate"/>
          </w:r>
          <w:r>
            <w:rPr>
              <w:rFonts w:eastAsia="仿宋"/>
              <w:szCs w:val="30"/>
            </w:rPr>
            <w:t>1.2工作过程</w:t>
          </w:r>
          <w:r>
            <w:tab/>
          </w:r>
          <w:r>
            <w:fldChar w:fldCharType="begin"/>
          </w:r>
          <w:r>
            <w:instrText xml:space="preserve"> PAGEREF _Toc17724 </w:instrText>
          </w:r>
          <w:r>
            <w:fldChar w:fldCharType="separate"/>
          </w:r>
          <w:r>
            <w:t>1</w:t>
          </w:r>
          <w:r>
            <w:fldChar w:fldCharType="end"/>
          </w:r>
          <w:r>
            <w:fldChar w:fldCharType="end"/>
          </w:r>
        </w:p>
        <w:p>
          <w:pPr>
            <w:pStyle w:val="21"/>
            <w:tabs>
              <w:tab w:val="right" w:leader="dot" w:pos="8306"/>
            </w:tabs>
            <w:spacing w:line="440" w:lineRule="exact"/>
          </w:pPr>
          <w:r>
            <w:fldChar w:fldCharType="begin"/>
          </w:r>
          <w:r>
            <w:instrText xml:space="preserve"> HYPERLINK \l "_Toc25891" </w:instrText>
          </w:r>
          <w:r>
            <w:fldChar w:fldCharType="separate"/>
          </w:r>
          <w:r>
            <w:rPr>
              <w:rFonts w:hint="eastAsia" w:ascii="华文仿宋" w:hAnsi="华文仿宋" w:eastAsia="华文仿宋" w:cs="华文仿宋"/>
              <w:szCs w:val="32"/>
            </w:rPr>
            <w:t>2 标准制定的必要性分析</w:t>
          </w:r>
          <w:r>
            <w:tab/>
          </w:r>
          <w:r>
            <w:fldChar w:fldCharType="begin"/>
          </w:r>
          <w:r>
            <w:instrText xml:space="preserve"> PAGEREF _Toc25891 </w:instrText>
          </w:r>
          <w:r>
            <w:fldChar w:fldCharType="separate"/>
          </w:r>
          <w:r>
            <w:t>2</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"_Toc7083" </w:instrText>
          </w:r>
          <w:r>
            <w:fldChar w:fldCharType="separate"/>
          </w:r>
          <w:r>
            <w:rPr>
              <w:rFonts w:eastAsia="仿宋"/>
              <w:szCs w:val="30"/>
            </w:rPr>
            <w:t>2.1更好发挥总规矩的作用</w:t>
          </w:r>
          <w:r>
            <w:tab/>
          </w:r>
          <w:r>
            <w:fldChar w:fldCharType="begin"/>
          </w:r>
          <w:r>
            <w:instrText xml:space="preserve"> PAGEREF _Toc7083 </w:instrText>
          </w:r>
          <w:r>
            <w:fldChar w:fldCharType="separate"/>
          </w:r>
          <w:r>
            <w:t>2</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"_Toc13637" </w:instrText>
          </w:r>
          <w:r>
            <w:fldChar w:fldCharType="separate"/>
          </w:r>
          <w:r>
            <w:rPr>
              <w:rFonts w:eastAsia="仿宋"/>
              <w:szCs w:val="30"/>
            </w:rPr>
            <w:t>2.2</w:t>
          </w:r>
          <w:r>
            <w:rPr>
              <w:rFonts w:hint="eastAsia" w:eastAsia="仿宋"/>
              <w:szCs w:val="30"/>
            </w:rPr>
            <w:t>修订与</w:t>
          </w:r>
          <w:r>
            <w:rPr>
              <w:rFonts w:eastAsia="仿宋"/>
              <w:szCs w:val="30"/>
            </w:rPr>
            <w:t>动态更新的必然要求</w:t>
          </w:r>
          <w:r>
            <w:tab/>
          </w:r>
          <w:r>
            <w:fldChar w:fldCharType="begin"/>
          </w:r>
          <w:r>
            <w:instrText xml:space="preserve"> PAGEREF _Toc13637 </w:instrText>
          </w:r>
          <w:r>
            <w:fldChar w:fldCharType="separate"/>
          </w:r>
          <w:r>
            <w:t>3</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"_Toc28945" </w:instrText>
          </w:r>
          <w:r>
            <w:fldChar w:fldCharType="separate"/>
          </w:r>
          <w:r>
            <w:rPr>
              <w:rFonts w:eastAsia="仿宋"/>
              <w:szCs w:val="30"/>
            </w:rPr>
            <w:t>2.3</w:t>
          </w:r>
          <w:r>
            <w:rPr>
              <w:rFonts w:hint="eastAsia" w:eastAsia="仿宋"/>
              <w:szCs w:val="30"/>
            </w:rPr>
            <w:t>是</w:t>
          </w:r>
          <w:r>
            <w:rPr>
              <w:rFonts w:eastAsia="仿宋"/>
              <w:szCs w:val="28"/>
            </w:rPr>
            <w:t>推动</w:t>
          </w:r>
          <w:r>
            <w:rPr>
              <w:rFonts w:hint="eastAsia" w:eastAsia="仿宋"/>
              <w:szCs w:val="30"/>
            </w:rPr>
            <w:t>生态环境高水平保护促进高质量发展的</w:t>
          </w:r>
          <w:r>
            <w:rPr>
              <w:rFonts w:eastAsia="仿宋"/>
              <w:szCs w:val="30"/>
            </w:rPr>
            <w:t>需要</w:t>
          </w:r>
          <w:r>
            <w:tab/>
          </w:r>
          <w:r>
            <w:fldChar w:fldCharType="begin"/>
          </w:r>
          <w:r>
            <w:instrText xml:space="preserve"> PAGEREF _Toc28945 </w:instrText>
          </w:r>
          <w:r>
            <w:fldChar w:fldCharType="separate"/>
          </w:r>
          <w:r>
            <w:t>3</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"_Toc9042" </w:instrText>
          </w:r>
          <w:r>
            <w:fldChar w:fldCharType="separate"/>
          </w:r>
          <w:r>
            <w:rPr>
              <w:rFonts w:eastAsia="仿宋"/>
              <w:szCs w:val="30"/>
            </w:rPr>
            <w:t>2.4为</w:t>
          </w:r>
          <w:r>
            <w:rPr>
              <w:rFonts w:hint="eastAsia" w:eastAsia="仿宋"/>
              <w:szCs w:val="30"/>
            </w:rPr>
            <w:t>生态环境准入</w:t>
          </w:r>
          <w:r>
            <w:rPr>
              <w:rFonts w:eastAsia="仿宋"/>
              <w:szCs w:val="30"/>
            </w:rPr>
            <w:t>清单编制贡献“湖南经验”</w:t>
          </w:r>
          <w:r>
            <w:tab/>
          </w:r>
          <w:r>
            <w:fldChar w:fldCharType="begin"/>
          </w:r>
          <w:r>
            <w:instrText xml:space="preserve"> PAGEREF _Toc9042 </w:instrText>
          </w:r>
          <w:r>
            <w:fldChar w:fldCharType="separate"/>
          </w:r>
          <w:r>
            <w:t>4</w:t>
          </w:r>
          <w:r>
            <w:fldChar w:fldCharType="end"/>
          </w:r>
          <w:r>
            <w:fldChar w:fldCharType="end"/>
          </w:r>
        </w:p>
        <w:p>
          <w:pPr>
            <w:pStyle w:val="21"/>
            <w:tabs>
              <w:tab w:val="right" w:leader="dot" w:pos="8306"/>
            </w:tabs>
            <w:spacing w:line="440" w:lineRule="exact"/>
          </w:pPr>
          <w:r>
            <w:fldChar w:fldCharType="begin"/>
          </w:r>
          <w:r>
            <w:instrText xml:space="preserve"> HYPERLINK \l "_Toc7505" </w:instrText>
          </w:r>
          <w:r>
            <w:fldChar w:fldCharType="separate"/>
          </w:r>
          <w:r>
            <w:rPr>
              <w:rFonts w:hint="eastAsia" w:ascii="华文仿宋" w:hAnsi="华文仿宋" w:eastAsia="华文仿宋" w:cs="华文仿宋"/>
              <w:szCs w:val="32"/>
            </w:rPr>
            <w:t>3 标准制订原则及技术路线</w:t>
          </w:r>
          <w:r>
            <w:tab/>
          </w:r>
          <w:r>
            <w:fldChar w:fldCharType="begin"/>
          </w:r>
          <w:r>
            <w:instrText xml:space="preserve"> PAGEREF _Toc7505 </w:instrText>
          </w:r>
          <w:r>
            <w:fldChar w:fldCharType="separate"/>
          </w:r>
          <w:r>
            <w:t>4</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"_Toc30718" </w:instrText>
          </w:r>
          <w:r>
            <w:fldChar w:fldCharType="separate"/>
          </w:r>
          <w:r>
            <w:rPr>
              <w:rFonts w:hint="eastAsia" w:eastAsia="仿宋"/>
              <w:szCs w:val="30"/>
            </w:rPr>
            <w:t>3</w:t>
          </w:r>
          <w:r>
            <w:rPr>
              <w:rFonts w:eastAsia="仿宋"/>
              <w:szCs w:val="30"/>
            </w:rPr>
            <w:t>.1标准制订原则</w:t>
          </w:r>
          <w:r>
            <w:tab/>
          </w:r>
          <w:r>
            <w:fldChar w:fldCharType="begin"/>
          </w:r>
          <w:r>
            <w:instrText xml:space="preserve"> PAGEREF _Toc30718 </w:instrText>
          </w:r>
          <w:r>
            <w:fldChar w:fldCharType="separate"/>
          </w:r>
          <w:r>
            <w:t>4</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"_Toc23850" </w:instrText>
          </w:r>
          <w:r>
            <w:fldChar w:fldCharType="separate"/>
          </w:r>
          <w:r>
            <w:rPr>
              <w:rFonts w:hint="eastAsia" w:eastAsia="仿宋"/>
              <w:szCs w:val="30"/>
            </w:rPr>
            <w:t>3.2工作技术路线</w:t>
          </w:r>
          <w:r>
            <w:tab/>
          </w:r>
          <w:r>
            <w:fldChar w:fldCharType="begin"/>
          </w:r>
          <w:r>
            <w:instrText xml:space="preserve"> PAGEREF _Toc23850 </w:instrText>
          </w:r>
          <w:r>
            <w:fldChar w:fldCharType="separate"/>
          </w:r>
          <w:r>
            <w:t>5</w:t>
          </w:r>
          <w:r>
            <w:fldChar w:fldCharType="end"/>
          </w:r>
          <w:r>
            <w:fldChar w:fldCharType="end"/>
          </w:r>
        </w:p>
        <w:p>
          <w:pPr>
            <w:pStyle w:val="21"/>
            <w:tabs>
              <w:tab w:val="right" w:leader="dot" w:pos="8306"/>
            </w:tabs>
            <w:spacing w:line="440" w:lineRule="exact"/>
          </w:pPr>
          <w:r>
            <w:fldChar w:fldCharType="begin"/>
          </w:r>
          <w:r>
            <w:instrText xml:space="preserve"> HYPERLINK \l "_Toc8320" </w:instrText>
          </w:r>
          <w:r>
            <w:fldChar w:fldCharType="separate"/>
          </w:r>
          <w:r>
            <w:rPr>
              <w:rFonts w:hint="eastAsia" w:ascii="华文仿宋" w:hAnsi="华文仿宋" w:eastAsia="华文仿宋" w:cs="华文仿宋"/>
              <w:szCs w:val="32"/>
            </w:rPr>
            <w:t>4 标准制定主要内容</w:t>
          </w:r>
          <w:r>
            <w:tab/>
          </w:r>
          <w:r>
            <w:fldChar w:fldCharType="begin"/>
          </w:r>
          <w:r>
            <w:instrText xml:space="preserve"> PAGEREF _Toc8320 </w:instrText>
          </w:r>
          <w:r>
            <w:fldChar w:fldCharType="separate"/>
          </w:r>
          <w:r>
            <w:t>6</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"_Toc18079" </w:instrText>
          </w:r>
          <w:r>
            <w:fldChar w:fldCharType="separate"/>
          </w:r>
          <w:r>
            <w:rPr>
              <w:rFonts w:hint="eastAsia" w:eastAsia="仿宋"/>
              <w:szCs w:val="30"/>
            </w:rPr>
            <w:t>4</w:t>
          </w:r>
          <w:r>
            <w:rPr>
              <w:rFonts w:eastAsia="仿宋"/>
              <w:szCs w:val="30"/>
            </w:rPr>
            <w:t>.1适用范围</w:t>
          </w:r>
          <w:r>
            <w:tab/>
          </w:r>
          <w:r>
            <w:fldChar w:fldCharType="begin"/>
          </w:r>
          <w:r>
            <w:instrText xml:space="preserve"> PAGEREF _Toc18079 </w:instrText>
          </w:r>
          <w:r>
            <w:fldChar w:fldCharType="separate"/>
          </w:r>
          <w:r>
            <w:t>7</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"_Toc27086" </w:instrText>
          </w:r>
          <w:r>
            <w:fldChar w:fldCharType="separate"/>
          </w:r>
          <w:r>
            <w:rPr>
              <w:rFonts w:hint="eastAsia" w:eastAsia="仿宋"/>
              <w:szCs w:val="30"/>
            </w:rPr>
            <w:t>4</w:t>
          </w:r>
          <w:r>
            <w:rPr>
              <w:rFonts w:eastAsia="仿宋"/>
              <w:szCs w:val="30"/>
            </w:rPr>
            <w:t>.2规范性引用文件</w:t>
          </w:r>
          <w:r>
            <w:tab/>
          </w:r>
          <w:r>
            <w:fldChar w:fldCharType="begin"/>
          </w:r>
          <w:r>
            <w:instrText xml:space="preserve"> PAGEREF _Toc27086 </w:instrText>
          </w:r>
          <w:r>
            <w:fldChar w:fldCharType="separate"/>
          </w:r>
          <w:r>
            <w:t>7</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"_Toc19912" </w:instrText>
          </w:r>
          <w:r>
            <w:fldChar w:fldCharType="separate"/>
          </w:r>
          <w:r>
            <w:rPr>
              <w:rFonts w:hint="eastAsia" w:eastAsia="仿宋"/>
              <w:szCs w:val="30"/>
            </w:rPr>
            <w:t>4</w:t>
          </w:r>
          <w:r>
            <w:rPr>
              <w:rFonts w:eastAsia="仿宋"/>
              <w:szCs w:val="30"/>
            </w:rPr>
            <w:t>.3术语和定义</w:t>
          </w:r>
          <w:r>
            <w:tab/>
          </w:r>
          <w:r>
            <w:fldChar w:fldCharType="begin"/>
          </w:r>
          <w:r>
            <w:instrText xml:space="preserve"> PAGEREF _Toc19912 </w:instrText>
          </w:r>
          <w:r>
            <w:fldChar w:fldCharType="separate"/>
          </w:r>
          <w:r>
            <w:t>7</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"_Toc20152" </w:instrText>
          </w:r>
          <w:r>
            <w:fldChar w:fldCharType="separate"/>
          </w:r>
          <w:r>
            <w:rPr>
              <w:rFonts w:hint="eastAsia" w:eastAsia="仿宋"/>
              <w:szCs w:val="30"/>
            </w:rPr>
            <w:t>4</w:t>
          </w:r>
          <w:r>
            <w:rPr>
              <w:rFonts w:eastAsia="仿宋"/>
              <w:szCs w:val="30"/>
            </w:rPr>
            <w:t>.4</w:t>
          </w:r>
          <w:r>
            <w:rPr>
              <w:rFonts w:hint="eastAsia" w:eastAsia="仿宋"/>
              <w:szCs w:val="30"/>
            </w:rPr>
            <w:t>编制</w:t>
          </w:r>
          <w:r>
            <w:rPr>
              <w:rFonts w:eastAsia="仿宋"/>
              <w:szCs w:val="30"/>
            </w:rPr>
            <w:t>原则</w:t>
          </w:r>
          <w:r>
            <w:tab/>
          </w:r>
          <w:r>
            <w:fldChar w:fldCharType="begin"/>
          </w:r>
          <w:r>
            <w:instrText xml:space="preserve"> PAGEREF _Toc20152 </w:instrText>
          </w:r>
          <w:r>
            <w:fldChar w:fldCharType="separate"/>
          </w:r>
          <w:r>
            <w:t>11</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"_Toc17667" </w:instrText>
          </w:r>
          <w:r>
            <w:fldChar w:fldCharType="separate"/>
          </w:r>
          <w:r>
            <w:rPr>
              <w:rFonts w:hint="eastAsia" w:eastAsia="仿宋"/>
              <w:szCs w:val="30"/>
            </w:rPr>
            <w:t>4</w:t>
          </w:r>
          <w:r>
            <w:rPr>
              <w:rFonts w:eastAsia="仿宋"/>
              <w:szCs w:val="30"/>
            </w:rPr>
            <w:t>.5</w:t>
          </w:r>
          <w:r>
            <w:rPr>
              <w:rFonts w:hint="eastAsia" w:eastAsia="仿宋"/>
              <w:szCs w:val="30"/>
            </w:rPr>
            <w:t>生态环境准入清单体系及编制流程</w:t>
          </w:r>
          <w:r>
            <w:tab/>
          </w:r>
          <w:r>
            <w:fldChar w:fldCharType="begin"/>
          </w:r>
          <w:r>
            <w:instrText xml:space="preserve"> PAGEREF _Toc17667 </w:instrText>
          </w:r>
          <w:r>
            <w:fldChar w:fldCharType="separate"/>
          </w:r>
          <w:r>
            <w:t>11</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"_Toc14272" </w:instrText>
          </w:r>
          <w:r>
            <w:fldChar w:fldCharType="separate"/>
          </w:r>
          <w:r>
            <w:rPr>
              <w:rFonts w:hint="eastAsia" w:eastAsia="仿宋"/>
              <w:szCs w:val="30"/>
            </w:rPr>
            <w:t>4</w:t>
          </w:r>
          <w:r>
            <w:rPr>
              <w:rFonts w:eastAsia="仿宋"/>
              <w:szCs w:val="30"/>
            </w:rPr>
            <w:t>.6</w:t>
          </w:r>
          <w:r>
            <w:rPr>
              <w:rFonts w:hint="eastAsia" w:eastAsia="仿宋"/>
              <w:szCs w:val="30"/>
            </w:rPr>
            <w:t>一般性要求</w:t>
          </w:r>
          <w:r>
            <w:tab/>
          </w:r>
          <w:r>
            <w:fldChar w:fldCharType="begin"/>
          </w:r>
          <w:r>
            <w:instrText xml:space="preserve"> PAGEREF _Toc14272 </w:instrText>
          </w:r>
          <w:r>
            <w:fldChar w:fldCharType="separate"/>
          </w:r>
          <w:r>
            <w:t>14</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"_Toc23520" </w:instrText>
          </w:r>
          <w:r>
            <w:fldChar w:fldCharType="separate"/>
          </w:r>
          <w:r>
            <w:rPr>
              <w:rFonts w:hint="eastAsia" w:eastAsia="仿宋"/>
              <w:szCs w:val="30"/>
            </w:rPr>
            <w:t>4</w:t>
          </w:r>
          <w:r>
            <w:rPr>
              <w:rFonts w:eastAsia="仿宋"/>
              <w:szCs w:val="30"/>
            </w:rPr>
            <w:t>.</w:t>
          </w:r>
          <w:r>
            <w:rPr>
              <w:rFonts w:hint="eastAsia" w:eastAsia="仿宋"/>
              <w:szCs w:val="30"/>
            </w:rPr>
            <w:t>7省级总要求编写</w:t>
          </w:r>
          <w:r>
            <w:tab/>
          </w:r>
          <w:r>
            <w:fldChar w:fldCharType="begin"/>
          </w:r>
          <w:r>
            <w:instrText xml:space="preserve"> PAGEREF _Toc23520 </w:instrText>
          </w:r>
          <w:r>
            <w:fldChar w:fldCharType="separate"/>
          </w:r>
          <w:r>
            <w:t>14</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"_Toc17130" </w:instrText>
          </w:r>
          <w:r>
            <w:fldChar w:fldCharType="separate"/>
          </w:r>
          <w:r>
            <w:rPr>
              <w:rFonts w:hint="eastAsia" w:eastAsia="仿宋"/>
              <w:szCs w:val="30"/>
            </w:rPr>
            <w:t>4</w:t>
          </w:r>
          <w:r>
            <w:rPr>
              <w:rFonts w:eastAsia="仿宋"/>
              <w:szCs w:val="30"/>
            </w:rPr>
            <w:t>.</w:t>
          </w:r>
          <w:r>
            <w:rPr>
              <w:rFonts w:hint="eastAsia" w:eastAsia="仿宋"/>
              <w:szCs w:val="30"/>
            </w:rPr>
            <w:t>8四大板块总要求编写</w:t>
          </w:r>
          <w:r>
            <w:tab/>
          </w:r>
          <w:r>
            <w:fldChar w:fldCharType="begin"/>
          </w:r>
          <w:r>
            <w:instrText xml:space="preserve"> PAGEREF _Toc17130 </w:instrText>
          </w:r>
          <w:r>
            <w:fldChar w:fldCharType="separate"/>
          </w:r>
          <w:r>
            <w:t>15</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"_Toc31295" </w:instrText>
          </w:r>
          <w:r>
            <w:fldChar w:fldCharType="separate"/>
          </w:r>
          <w:r>
            <w:rPr>
              <w:rFonts w:hint="eastAsia" w:eastAsia="仿宋"/>
              <w:szCs w:val="30"/>
            </w:rPr>
            <w:t>4</w:t>
          </w:r>
          <w:r>
            <w:rPr>
              <w:rFonts w:eastAsia="仿宋"/>
              <w:szCs w:val="30"/>
            </w:rPr>
            <w:t>.</w:t>
          </w:r>
          <w:r>
            <w:rPr>
              <w:rFonts w:hint="eastAsia" w:eastAsia="仿宋"/>
              <w:szCs w:val="30"/>
            </w:rPr>
            <w:t>9市（州）级总要求编写</w:t>
          </w:r>
          <w:r>
            <w:tab/>
          </w:r>
          <w:r>
            <w:fldChar w:fldCharType="begin"/>
          </w:r>
          <w:r>
            <w:instrText xml:space="preserve"> PAGEREF _Toc31295 </w:instrText>
          </w:r>
          <w:r>
            <w:fldChar w:fldCharType="separate"/>
          </w:r>
          <w:r>
            <w:t>15</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"_Toc6872" </w:instrText>
          </w:r>
          <w:r>
            <w:fldChar w:fldCharType="separate"/>
          </w:r>
          <w:r>
            <w:rPr>
              <w:rFonts w:hint="eastAsia" w:eastAsia="仿宋"/>
              <w:szCs w:val="30"/>
            </w:rPr>
            <w:t>4</w:t>
          </w:r>
          <w:r>
            <w:rPr>
              <w:rFonts w:eastAsia="仿宋"/>
              <w:szCs w:val="30"/>
            </w:rPr>
            <w:t>.</w:t>
          </w:r>
          <w:r>
            <w:rPr>
              <w:rFonts w:hint="eastAsia" w:eastAsia="仿宋"/>
              <w:szCs w:val="30"/>
            </w:rPr>
            <w:t>10生态环境准入清单编写</w:t>
          </w:r>
          <w:r>
            <w:tab/>
          </w:r>
          <w:r>
            <w:fldChar w:fldCharType="begin"/>
          </w:r>
          <w:r>
            <w:instrText xml:space="preserve"> PAGEREF _Toc6872 </w:instrText>
          </w:r>
          <w:r>
            <w:fldChar w:fldCharType="separate"/>
          </w:r>
          <w:r>
            <w:t>15</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"_Toc369" </w:instrText>
          </w:r>
          <w:r>
            <w:fldChar w:fldCharType="separate"/>
          </w:r>
          <w:r>
            <w:rPr>
              <w:rFonts w:hint="eastAsia" w:eastAsia="仿宋"/>
              <w:szCs w:val="30"/>
            </w:rPr>
            <w:t>4.11成果及使用规范</w:t>
          </w:r>
          <w:r>
            <w:tab/>
          </w:r>
          <w:r>
            <w:fldChar w:fldCharType="begin"/>
          </w:r>
          <w:r>
            <w:instrText xml:space="preserve"> PAGEREF _Toc369 </w:instrText>
          </w:r>
          <w:r>
            <w:fldChar w:fldCharType="separate"/>
          </w:r>
          <w:r>
            <w:t>16</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"_Toc24555" </w:instrText>
          </w:r>
          <w:r>
            <w:fldChar w:fldCharType="separate"/>
          </w:r>
          <w:r>
            <w:rPr>
              <w:rFonts w:hint="eastAsia" w:eastAsia="仿宋"/>
              <w:szCs w:val="30"/>
            </w:rPr>
            <w:t>4.12修订与动态更新</w:t>
          </w:r>
          <w:r>
            <w:tab/>
          </w:r>
          <w:r>
            <w:fldChar w:fldCharType="begin"/>
          </w:r>
          <w:r>
            <w:instrText xml:space="preserve"> PAGEREF _Toc24555 </w:instrText>
          </w:r>
          <w:r>
            <w:fldChar w:fldCharType="separate"/>
          </w:r>
          <w:r>
            <w:t>16</w:t>
          </w:r>
          <w:r>
            <w:fldChar w:fldCharType="end"/>
          </w:r>
          <w:r>
            <w:fldChar w:fldCharType="end"/>
          </w:r>
        </w:p>
        <w:p>
          <w:pPr>
            <w:pStyle w:val="24"/>
            <w:tabs>
              <w:tab w:val="right" w:leader="dot" w:pos="8306"/>
              <w:tab w:val="clear" w:pos="8296"/>
            </w:tabs>
            <w:spacing w:line="440" w:lineRule="exact"/>
          </w:pPr>
          <w:r>
            <w:fldChar w:fldCharType="begin"/>
          </w:r>
          <w:r>
            <w:instrText xml:space="preserve"> HYPERLINK \l "_Toc2913" </w:instrText>
          </w:r>
          <w:r>
            <w:fldChar w:fldCharType="separate"/>
          </w:r>
          <w:r>
            <w:rPr>
              <w:rFonts w:hint="eastAsia" w:eastAsia="仿宋"/>
              <w:szCs w:val="30"/>
            </w:rPr>
            <w:t>4.13附录</w:t>
          </w:r>
          <w:r>
            <w:tab/>
          </w:r>
          <w:r>
            <w:fldChar w:fldCharType="begin"/>
          </w:r>
          <w:r>
            <w:instrText xml:space="preserve"> PAGEREF _Toc2913 </w:instrText>
          </w:r>
          <w:r>
            <w:fldChar w:fldCharType="separate"/>
          </w:r>
          <w:r>
            <w:t>17</w:t>
          </w:r>
          <w:r>
            <w:fldChar w:fldCharType="end"/>
          </w:r>
          <w:r>
            <w:fldChar w:fldCharType="end"/>
          </w:r>
        </w:p>
        <w:p>
          <w:pPr>
            <w:pStyle w:val="21"/>
            <w:tabs>
              <w:tab w:val="right" w:leader="dot" w:pos="8306"/>
            </w:tabs>
            <w:spacing w:line="440" w:lineRule="exact"/>
          </w:pPr>
          <w:r>
            <w:fldChar w:fldCharType="begin"/>
          </w:r>
          <w:r>
            <w:instrText xml:space="preserve"> HYPERLINK \l "_Toc16404" </w:instrText>
          </w:r>
          <w:r>
            <w:fldChar w:fldCharType="separate"/>
          </w:r>
          <w:r>
            <w:rPr>
              <w:rFonts w:hint="eastAsia" w:ascii="华文仿宋" w:hAnsi="华文仿宋" w:eastAsia="华文仿宋" w:cs="华文仿宋"/>
              <w:szCs w:val="32"/>
            </w:rPr>
            <w:t>5 相关标准情况对比</w:t>
          </w:r>
          <w:r>
            <w:tab/>
          </w:r>
          <w:r>
            <w:fldChar w:fldCharType="begin"/>
          </w:r>
          <w:r>
            <w:instrText xml:space="preserve"> PAGEREF _Toc16404 </w:instrText>
          </w:r>
          <w:r>
            <w:fldChar w:fldCharType="separate"/>
          </w:r>
          <w:r>
            <w:t>17</w:t>
          </w:r>
          <w:r>
            <w:fldChar w:fldCharType="end"/>
          </w:r>
          <w:r>
            <w:fldChar w:fldCharType="end"/>
          </w:r>
        </w:p>
        <w:p>
          <w:pPr>
            <w:pStyle w:val="109"/>
            <w:tabs>
              <w:tab w:val="right" w:leader="dot" w:pos="8306"/>
            </w:tabs>
            <w:snapToGrid w:val="0"/>
            <w:spacing w:line="440" w:lineRule="exact"/>
            <w:rPr>
              <w:rFonts w:eastAsia="仿宋"/>
              <w:color w:val="000000" w:themeColor="text1"/>
              <w:sz w:val="28"/>
              <w:szCs w:val="28"/>
              <w14:textFill>
                <w14:solidFill>
                  <w14:schemeClr w14:val="tx1"/>
                </w14:solidFill>
              </w14:textFill>
            </w:rPr>
          </w:pPr>
          <w:r>
            <w:rPr>
              <w:rFonts w:hint="eastAsia" w:ascii="仿宋" w:hAnsi="仿宋" w:eastAsia="仿宋" w:cs="仿宋"/>
              <w:color w:val="000000" w:themeColor="text1"/>
              <w:szCs w:val="28"/>
              <w14:textFill>
                <w14:solidFill>
                  <w14:schemeClr w14:val="tx1"/>
                </w14:solidFill>
              </w14:textFill>
            </w:rPr>
            <w:fldChar w:fldCharType="end"/>
          </w:r>
        </w:p>
      </w:sdtContent>
    </w:sdt>
    <w:p>
      <w:pPr>
        <w:wordWrap w:val="0"/>
        <w:rPr>
          <w:rFonts w:ascii="Times New Roman" w:hAnsi="Times New Roman" w:eastAsia="仿宋"/>
          <w:color w:val="000000" w:themeColor="text1"/>
          <w:sz w:val="30"/>
          <w:szCs w:val="30"/>
          <w14:textFill>
            <w14:solidFill>
              <w14:schemeClr w14:val="tx1"/>
            </w14:solidFill>
          </w14:textFill>
        </w:rPr>
        <w:sectPr>
          <w:footerReference r:id="rId4" w:type="default"/>
          <w:pgSz w:w="11906" w:h="16838"/>
          <w:pgMar w:top="1440" w:right="1800" w:bottom="1440" w:left="1800" w:header="851" w:footer="992" w:gutter="0"/>
          <w:pgNumType w:start="1"/>
          <w:cols w:space="720" w:num="1"/>
          <w:docGrid w:type="lines" w:linePitch="312" w:charSpace="0"/>
        </w:sectPr>
      </w:pPr>
    </w:p>
    <w:p>
      <w:pPr>
        <w:pStyle w:val="3"/>
        <w:spacing w:line="600" w:lineRule="exact"/>
        <w:ind w:firstLine="640" w:firstLineChars="200"/>
        <w:rPr>
          <w:rFonts w:ascii="华文仿宋" w:hAnsi="华文仿宋" w:eastAsia="华文仿宋" w:cs="华文仿宋"/>
          <w:color w:val="000000" w:themeColor="text1"/>
          <w:sz w:val="32"/>
          <w:szCs w:val="32"/>
          <w14:textFill>
            <w14:solidFill>
              <w14:schemeClr w14:val="tx1"/>
            </w14:solidFill>
          </w14:textFill>
        </w:rPr>
      </w:pPr>
      <w:bookmarkStart w:id="1" w:name="_Toc4579"/>
      <w:bookmarkStart w:id="2" w:name="_Toc9708"/>
      <w:bookmarkStart w:id="3" w:name="_Toc31003"/>
      <w:bookmarkStart w:id="4" w:name="_Toc1243"/>
      <w:bookmarkStart w:id="5" w:name="_Toc95134535"/>
      <w:bookmarkStart w:id="6" w:name="_Toc12067"/>
      <w:r>
        <w:rPr>
          <w:rFonts w:hint="eastAsia" w:ascii="华文仿宋" w:hAnsi="华文仿宋" w:eastAsia="华文仿宋" w:cs="华文仿宋"/>
          <w:color w:val="000000" w:themeColor="text1"/>
          <w:sz w:val="32"/>
          <w:szCs w:val="32"/>
          <w14:textFill>
            <w14:solidFill>
              <w14:schemeClr w14:val="tx1"/>
            </w14:solidFill>
          </w14:textFill>
        </w:rPr>
        <w:t>1 项目背景</w:t>
      </w:r>
      <w:bookmarkEnd w:id="1"/>
      <w:bookmarkEnd w:id="2"/>
      <w:bookmarkEnd w:id="3"/>
      <w:bookmarkEnd w:id="4"/>
      <w:bookmarkEnd w:id="5"/>
      <w:bookmarkEnd w:id="6"/>
    </w:p>
    <w:p>
      <w:pPr>
        <w:pStyle w:val="4"/>
        <w:spacing w:line="600" w:lineRule="exact"/>
        <w:ind w:firstLine="602" w:firstLineChars="200"/>
        <w:rPr>
          <w:rFonts w:eastAsia="仿宋"/>
          <w:b w:val="0"/>
          <w:bCs w:val="0"/>
          <w:color w:val="000000" w:themeColor="text1"/>
          <w:sz w:val="30"/>
          <w:szCs w:val="30"/>
          <w14:textFill>
            <w14:solidFill>
              <w14:schemeClr w14:val="tx1"/>
            </w14:solidFill>
          </w14:textFill>
        </w:rPr>
      </w:pPr>
      <w:bookmarkStart w:id="7" w:name="_Toc71019760"/>
      <w:bookmarkStart w:id="8" w:name="_Toc27758"/>
      <w:bookmarkStart w:id="9" w:name="_Toc21685"/>
      <w:bookmarkStart w:id="10" w:name="_Toc10766"/>
      <w:bookmarkStart w:id="11" w:name="_Toc31454"/>
      <w:bookmarkStart w:id="12" w:name="_Toc26626"/>
      <w:bookmarkStart w:id="13" w:name="_Toc95134536"/>
      <w:r>
        <w:rPr>
          <w:rFonts w:eastAsia="仿宋"/>
          <w:color w:val="000000" w:themeColor="text1"/>
          <w:sz w:val="30"/>
          <w:szCs w:val="30"/>
          <w14:textFill>
            <w14:solidFill>
              <w14:schemeClr w14:val="tx1"/>
            </w14:solidFill>
          </w14:textFill>
        </w:rPr>
        <w:t>1.1任务来源</w:t>
      </w:r>
      <w:bookmarkEnd w:id="7"/>
      <w:bookmarkEnd w:id="8"/>
      <w:bookmarkEnd w:id="9"/>
      <w:bookmarkEnd w:id="10"/>
      <w:bookmarkEnd w:id="11"/>
      <w:bookmarkEnd w:id="12"/>
      <w:bookmarkEnd w:id="13"/>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32"/>
          <w:szCs w:val="32"/>
          <w:lang w:val="en-US"/>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为贯彻《中华人民共和国环境保护法》《中华人民共和国环境影响评价法》《中华人民共和国长江保护法》和《湖南省环境保护条例》等法律法规，</w:t>
      </w:r>
      <w:r>
        <w:rPr>
          <w:rFonts w:hint="eastAsia" w:ascii="Times New Roman" w:hAnsi="Times New Roman" w:eastAsia="仿宋" w:cs="Times New Roman"/>
          <w:color w:val="000000" w:themeColor="text1"/>
          <w:sz w:val="28"/>
          <w:szCs w:val="28"/>
          <w14:textFill>
            <w14:solidFill>
              <w14:schemeClr w14:val="tx1"/>
            </w14:solidFill>
          </w14:textFill>
        </w:rPr>
        <w:t>完善生态环境分区管控技术体系建设，指导生态环境准入清单体系的搭建和编制，服务生态环境高水平保护，促进经济高质量发展，</w:t>
      </w:r>
      <w:r>
        <w:rPr>
          <w:rFonts w:ascii="Times New Roman" w:hAnsi="Times New Roman" w:eastAsia="仿宋" w:cs="Times New Roman"/>
          <w:color w:val="000000" w:themeColor="text1"/>
          <w:sz w:val="28"/>
          <w:szCs w:val="28"/>
          <w14:textFill>
            <w14:solidFill>
              <w14:schemeClr w14:val="tx1"/>
            </w14:solidFill>
          </w14:textFill>
        </w:rPr>
        <w:t>结合湖南省实际情况和生态环境管理要求，制定《生态环境准入清单编制技术指南》。经研究确定由省生态环境事务中心技术牵头开展标准制定工作，并向省市场监督管理局推荐立项。</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4" w:name="_Toc17724"/>
      <w:bookmarkStart w:id="15" w:name="_Toc30746"/>
      <w:bookmarkStart w:id="16" w:name="_Toc24091"/>
      <w:bookmarkStart w:id="17" w:name="_Toc95134537"/>
      <w:bookmarkStart w:id="18" w:name="_Toc9522"/>
      <w:bookmarkStart w:id="19" w:name="_Toc71019772"/>
      <w:bookmarkStart w:id="20" w:name="_Toc6835"/>
      <w:bookmarkStart w:id="21" w:name="_Toc71019764"/>
      <w:r>
        <w:rPr>
          <w:rFonts w:eastAsia="仿宋"/>
          <w:color w:val="000000" w:themeColor="text1"/>
          <w:sz w:val="30"/>
          <w:szCs w:val="30"/>
          <w14:textFill>
            <w14:solidFill>
              <w14:schemeClr w14:val="tx1"/>
            </w14:solidFill>
          </w14:textFill>
        </w:rPr>
        <w:t>1.2工作过程</w:t>
      </w:r>
      <w:bookmarkEnd w:id="14"/>
      <w:bookmarkEnd w:id="15"/>
      <w:bookmarkEnd w:id="16"/>
      <w:bookmarkEnd w:id="17"/>
      <w:bookmarkEnd w:id="18"/>
      <w:bookmarkEnd w:id="19"/>
      <w:bookmarkEnd w:id="20"/>
    </w:p>
    <w:p>
      <w:pPr>
        <w:autoSpaceDE w:val="0"/>
        <w:autoSpaceDN w:val="0"/>
        <w:adjustRightInd w:val="0"/>
        <w:spacing w:line="600" w:lineRule="exact"/>
        <w:ind w:firstLine="562" w:firstLineChars="200"/>
        <w:outlineLvl w:val="2"/>
        <w:rPr>
          <w:rFonts w:ascii="Times New Roman" w:hAnsi="Times New Roman" w:eastAsia="仿宋"/>
          <w:b/>
          <w:color w:val="000000" w:themeColor="text1"/>
          <w:sz w:val="28"/>
          <w:szCs w:val="28"/>
          <w14:textFill>
            <w14:solidFill>
              <w14:schemeClr w14:val="tx1"/>
            </w14:solidFill>
          </w14:textFill>
        </w:rPr>
      </w:pPr>
      <w:bookmarkStart w:id="22" w:name="_Toc95134538"/>
      <w:r>
        <w:rPr>
          <w:rFonts w:ascii="Times New Roman" w:hAnsi="Times New Roman" w:eastAsia="仿宋"/>
          <w:b/>
          <w:color w:val="000000" w:themeColor="text1"/>
          <w:sz w:val="28"/>
          <w:szCs w:val="28"/>
          <w14:textFill>
            <w14:solidFill>
              <w14:schemeClr w14:val="tx1"/>
            </w14:solidFill>
          </w14:textFill>
        </w:rPr>
        <w:t>1.2.1 资料收集</w:t>
      </w:r>
      <w:bookmarkEnd w:id="22"/>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资料收集是标准制修订工作的重要内容，贯穿于项目启动前后的全过程。牵头单位组织技术力量，全面分析了国内外现有的“三线一单”分区管控体系建设基础资料。并对相关资料进行全面梳理。全面掌握了当前生态环境准入清单编制相关的文件及资料信息。</w:t>
      </w:r>
    </w:p>
    <w:p>
      <w:pPr>
        <w:autoSpaceDE w:val="0"/>
        <w:autoSpaceDN w:val="0"/>
        <w:adjustRightInd w:val="0"/>
        <w:spacing w:line="600" w:lineRule="exact"/>
        <w:ind w:firstLine="562" w:firstLineChars="200"/>
        <w:outlineLvl w:val="2"/>
        <w:rPr>
          <w:rFonts w:ascii="Times New Roman" w:hAnsi="Times New Roman" w:eastAsia="仿宋"/>
          <w:b/>
          <w:color w:val="000000" w:themeColor="text1"/>
          <w:sz w:val="28"/>
          <w:szCs w:val="28"/>
          <w14:textFill>
            <w14:solidFill>
              <w14:schemeClr w14:val="tx1"/>
            </w14:solidFill>
          </w14:textFill>
        </w:rPr>
      </w:pPr>
      <w:bookmarkStart w:id="23" w:name="_Toc95134539"/>
      <w:r>
        <w:rPr>
          <w:rFonts w:ascii="Times New Roman" w:hAnsi="Times New Roman" w:eastAsia="仿宋"/>
          <w:b/>
          <w:color w:val="000000" w:themeColor="text1"/>
          <w:sz w:val="28"/>
          <w:szCs w:val="28"/>
          <w14:textFill>
            <w14:solidFill>
              <w14:schemeClr w14:val="tx1"/>
            </w14:solidFill>
          </w14:textFill>
        </w:rPr>
        <w:t>1.2.2 编制组成立与项目启动</w:t>
      </w:r>
      <w:bookmarkEnd w:id="23"/>
    </w:p>
    <w:p>
      <w:pPr>
        <w:pStyle w:val="112"/>
        <w:spacing w:before="159"/>
        <w:ind w:firstLine="560"/>
        <w:rPr>
          <w:color w:val="000000" w:themeColor="text1"/>
          <w14:textFill>
            <w14:solidFill>
              <w14:schemeClr w14:val="tx1"/>
            </w14:solidFill>
          </w14:textFill>
        </w:rPr>
      </w:pPr>
      <w:r>
        <w:rPr>
          <w:color w:val="000000" w:themeColor="text1"/>
          <w14:textFill>
            <w14:solidFill>
              <w14:schemeClr w14:val="tx1"/>
            </w14:solidFill>
          </w14:textFill>
        </w:rPr>
        <w:t>2022年10月，按照</w:t>
      </w:r>
      <w:r>
        <w:rPr>
          <w:rFonts w:hint="eastAsia"/>
          <w:color w:val="000000" w:themeColor="text1"/>
          <w:lang w:val="en-US"/>
          <w14:textFill>
            <w14:solidFill>
              <w14:schemeClr w14:val="tx1"/>
            </w14:solidFill>
          </w14:textFill>
        </w:rPr>
        <w:t>湖南省生态环境厅（以下简称“省厅”）</w:t>
      </w:r>
      <w:r>
        <w:rPr>
          <w:color w:val="000000" w:themeColor="text1"/>
          <w14:textFill>
            <w14:solidFill>
              <w14:schemeClr w14:val="tx1"/>
            </w14:solidFill>
          </w14:textFill>
        </w:rPr>
        <w:t>关于标准征集的相关要求，技术牵头单位</w:t>
      </w:r>
      <w:r>
        <w:rPr>
          <w:rFonts w:hint="eastAsia"/>
          <w:color w:val="000000" w:themeColor="text1"/>
          <w:lang w:val="en-US"/>
          <w14:textFill>
            <w14:solidFill>
              <w14:schemeClr w14:val="tx1"/>
            </w14:solidFill>
          </w14:textFill>
        </w:rPr>
        <w:t>湖南省</w:t>
      </w:r>
      <w:r>
        <w:rPr>
          <w:color w:val="000000" w:themeColor="text1"/>
          <w14:textFill>
            <w14:solidFill>
              <w14:schemeClr w14:val="tx1"/>
            </w14:solidFill>
          </w14:textFill>
        </w:rPr>
        <w:t>生态环境事务中心组建技术组，长沙环境保护职业技术学院作为协作单位，经技术组协调讨论，明确了标准制修订的工作目标和具体任务分工。在大量资料收集的基础上，牵头单位组织编制并按时提交项目申请书、标准草拟稿。经技术评审、专题论证，本项目正式立项。</w:t>
      </w:r>
    </w:p>
    <w:p>
      <w:pPr>
        <w:autoSpaceDE w:val="0"/>
        <w:autoSpaceDN w:val="0"/>
        <w:adjustRightInd w:val="0"/>
        <w:spacing w:line="600" w:lineRule="exact"/>
        <w:ind w:firstLine="562" w:firstLineChars="200"/>
        <w:outlineLvl w:val="2"/>
        <w:rPr>
          <w:rFonts w:ascii="Times New Roman" w:hAnsi="Times New Roman" w:eastAsia="仿宋"/>
          <w:b/>
          <w:color w:val="000000" w:themeColor="text1"/>
          <w:sz w:val="28"/>
          <w:szCs w:val="28"/>
          <w14:textFill>
            <w14:solidFill>
              <w14:schemeClr w14:val="tx1"/>
            </w14:solidFill>
          </w14:textFill>
        </w:rPr>
      </w:pPr>
      <w:bookmarkStart w:id="24" w:name="_Toc95134540"/>
      <w:r>
        <w:rPr>
          <w:rFonts w:ascii="Times New Roman" w:hAnsi="Times New Roman" w:eastAsia="仿宋"/>
          <w:b/>
          <w:color w:val="000000" w:themeColor="text1"/>
          <w:sz w:val="28"/>
          <w:szCs w:val="28"/>
          <w14:textFill>
            <w14:solidFill>
              <w14:schemeClr w14:val="tx1"/>
            </w14:solidFill>
          </w14:textFill>
        </w:rPr>
        <w:t>1.2.3开题报告论证及征求意见稿的形成</w:t>
      </w:r>
      <w:bookmarkEnd w:id="24"/>
    </w:p>
    <w:p>
      <w:pPr>
        <w:pStyle w:val="112"/>
        <w:spacing w:before="159"/>
        <w:ind w:firstLine="560"/>
        <w:rPr>
          <w:color w:val="000000" w:themeColor="text1"/>
          <w14:textFill>
            <w14:solidFill>
              <w14:schemeClr w14:val="tx1"/>
            </w14:solidFill>
          </w14:textFill>
        </w:rPr>
      </w:pPr>
      <w:bookmarkStart w:id="25" w:name="_Toc121314677"/>
      <w:bookmarkStart w:id="26" w:name="_Toc4723"/>
      <w:r>
        <w:rPr>
          <w:color w:val="000000" w:themeColor="text1"/>
          <w14:textFill>
            <w14:solidFill>
              <w14:schemeClr w14:val="tx1"/>
            </w14:solidFill>
          </w14:textFill>
        </w:rPr>
        <w:t>2022</w:t>
      </w:r>
      <w:r>
        <w:rPr>
          <w:rFonts w:hint="eastAsia"/>
          <w:color w:val="000000" w:themeColor="text1"/>
          <w14:textFill>
            <w14:solidFill>
              <w14:schemeClr w14:val="tx1"/>
            </w14:solidFill>
          </w14:textFill>
        </w:rPr>
        <w:t>年1</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12</w:t>
      </w:r>
      <w:r>
        <w:rPr>
          <w:rFonts w:hint="eastAsia"/>
          <w:color w:val="000000" w:themeColor="text1"/>
          <w14:textFill>
            <w14:solidFill>
              <w14:schemeClr w14:val="tx1"/>
            </w14:solidFill>
          </w14:textFill>
        </w:rPr>
        <w:t>月，按照省厅关于标准征集的相关要求，经编制组协调讨论、评审、专题论证，上报省厅厅务会审议通过，同意</w:t>
      </w:r>
      <w:r>
        <w:rPr>
          <w:rFonts w:hint="eastAsia"/>
          <w:color w:val="000000" w:themeColor="text1"/>
          <w:lang w:val="en-US"/>
          <w14:textFill>
            <w14:solidFill>
              <w14:schemeClr w14:val="tx1"/>
            </w14:solidFill>
          </w14:textFill>
        </w:rPr>
        <w:t>本</w:t>
      </w:r>
      <w:r>
        <w:rPr>
          <w:rFonts w:hint="eastAsia"/>
          <w:color w:val="000000" w:themeColor="text1"/>
          <w14:textFill>
            <w14:solidFill>
              <w14:schemeClr w14:val="tx1"/>
            </w14:solidFill>
          </w14:textFill>
        </w:rPr>
        <w:t>指南作为2</w:t>
      </w:r>
      <w:r>
        <w:rPr>
          <w:color w:val="000000" w:themeColor="text1"/>
          <w14:textFill>
            <w14:solidFill>
              <w14:schemeClr w14:val="tx1"/>
            </w14:solidFill>
          </w14:textFill>
        </w:rPr>
        <w:t>023</w:t>
      </w:r>
      <w:r>
        <w:rPr>
          <w:rFonts w:hint="eastAsia"/>
          <w:color w:val="000000" w:themeColor="text1"/>
          <w14:textFill>
            <w14:solidFill>
              <w14:schemeClr w14:val="tx1"/>
            </w14:solidFill>
          </w14:textFill>
        </w:rPr>
        <w:t>年向省市场监管局推荐的地方标准。</w:t>
      </w:r>
    </w:p>
    <w:p>
      <w:pPr>
        <w:pStyle w:val="112"/>
        <w:spacing w:before="159"/>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022</w:t>
      </w:r>
      <w:r>
        <w:rPr>
          <w:rFonts w:hint="eastAsia"/>
          <w:color w:val="000000" w:themeColor="text1"/>
          <w14:textFill>
            <w14:solidFill>
              <w14:schemeClr w14:val="tx1"/>
            </w14:solidFill>
          </w14:textFill>
        </w:rPr>
        <w:t>年1</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月9日，省厅组织召开该标准的开题</w:t>
      </w:r>
      <w:r>
        <w:rPr>
          <w:rFonts w:hint="eastAsia"/>
          <w:color w:val="000000" w:themeColor="text1"/>
          <w:lang w:val="en-US"/>
          <w14:textFill>
            <w14:solidFill>
              <w14:schemeClr w14:val="tx1"/>
            </w14:solidFill>
          </w14:textFill>
        </w:rPr>
        <w:t>报告暨草案稿</w:t>
      </w:r>
      <w:r>
        <w:rPr>
          <w:rFonts w:hint="eastAsia"/>
          <w:color w:val="000000" w:themeColor="text1"/>
          <w14:textFill>
            <w14:solidFill>
              <w14:schemeClr w14:val="tx1"/>
            </w14:solidFill>
          </w14:textFill>
        </w:rPr>
        <w:t>审查会。与会专家充分肯定了</w:t>
      </w:r>
      <w:r>
        <w:rPr>
          <w:rFonts w:hint="eastAsia"/>
          <w:color w:val="000000" w:themeColor="text1"/>
          <w:lang w:val="en-US"/>
          <w14:textFill>
            <w14:solidFill>
              <w14:schemeClr w14:val="tx1"/>
            </w14:solidFill>
          </w14:textFill>
        </w:rPr>
        <w:t>本</w:t>
      </w:r>
      <w:r>
        <w:rPr>
          <w:rFonts w:hint="eastAsia"/>
          <w:color w:val="000000" w:themeColor="text1"/>
          <w14:textFill>
            <w14:solidFill>
              <w14:schemeClr w14:val="tx1"/>
            </w14:solidFill>
          </w14:textFill>
        </w:rPr>
        <w:t>指南出台的必要性，建议尽快印发实施。</w:t>
      </w:r>
    </w:p>
    <w:p>
      <w:pPr>
        <w:pStyle w:val="112"/>
        <w:spacing w:before="159"/>
        <w:ind w:firstLine="56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2022年12月-2023年2月，</w:t>
      </w:r>
      <w:r>
        <w:rPr>
          <w:rFonts w:hint="eastAsia"/>
          <w:color w:val="000000" w:themeColor="text1"/>
          <w14:textFill>
            <w14:solidFill>
              <w14:schemeClr w14:val="tx1"/>
            </w14:solidFill>
          </w14:textFill>
        </w:rPr>
        <w:t>编制组形成了讨论稿、咨询稿与送审稿，</w:t>
      </w:r>
      <w:r>
        <w:rPr>
          <w:rFonts w:hint="eastAsia"/>
          <w:color w:val="000000" w:themeColor="text1"/>
          <w:lang w:val="en-US"/>
          <w14:textFill>
            <w14:solidFill>
              <w14:schemeClr w14:val="tx1"/>
            </w14:solidFill>
          </w14:textFill>
        </w:rPr>
        <w:t>并</w:t>
      </w:r>
      <w:r>
        <w:rPr>
          <w:rFonts w:hint="eastAsia"/>
          <w:color w:val="000000" w:themeColor="text1"/>
          <w14:textFill>
            <w14:solidFill>
              <w14:schemeClr w14:val="tx1"/>
            </w14:solidFill>
          </w14:textFill>
        </w:rPr>
        <w:t>多次论证</w:t>
      </w:r>
      <w:r>
        <w:rPr>
          <w:rFonts w:hint="eastAsia"/>
          <w:color w:val="000000" w:themeColor="text1"/>
          <w:lang w:val="en-US"/>
          <w14:textFill>
            <w14:solidFill>
              <w14:schemeClr w14:val="tx1"/>
            </w14:solidFill>
          </w14:textFill>
        </w:rPr>
        <w:t>完善。2023年2月17日，省生态环境事务中心组织召开本指南的专家技术咨询会，会上</w:t>
      </w:r>
      <w:r>
        <w:rPr>
          <w:rFonts w:hint="eastAsia"/>
          <w:color w:val="000000" w:themeColor="text1"/>
          <w14:textFill>
            <w14:solidFill>
              <w14:schemeClr w14:val="tx1"/>
            </w14:solidFill>
          </w14:textFill>
        </w:rPr>
        <w:t>深入研究指南的适用范围和技术要求，并</w:t>
      </w:r>
      <w:r>
        <w:rPr>
          <w:rFonts w:hint="eastAsia"/>
          <w:color w:val="000000" w:themeColor="text1"/>
          <w:lang w:val="en-US"/>
          <w14:textFill>
            <w14:solidFill>
              <w14:schemeClr w14:val="tx1"/>
            </w14:solidFill>
          </w14:textFill>
        </w:rPr>
        <w:t>提出</w:t>
      </w:r>
      <w:r>
        <w:rPr>
          <w:rFonts w:hint="eastAsia"/>
          <w:color w:val="000000" w:themeColor="text1"/>
          <w14:textFill>
            <w14:solidFill>
              <w14:schemeClr w14:val="tx1"/>
            </w14:solidFill>
          </w14:textFill>
        </w:rPr>
        <w:t>修改完善</w:t>
      </w:r>
      <w:r>
        <w:rPr>
          <w:rFonts w:hint="eastAsia"/>
          <w:color w:val="000000" w:themeColor="text1"/>
          <w:lang w:val="en-US"/>
          <w14:textFill>
            <w14:solidFill>
              <w14:schemeClr w14:val="tx1"/>
            </w14:solidFill>
          </w14:textFill>
        </w:rPr>
        <w:t>建议</w:t>
      </w: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2023年2月-4月，</w:t>
      </w:r>
      <w:r>
        <w:rPr>
          <w:rFonts w:hint="eastAsia"/>
          <w:color w:val="000000" w:themeColor="text1"/>
          <w14:textFill>
            <w14:solidFill>
              <w14:schemeClr w14:val="tx1"/>
            </w14:solidFill>
          </w14:textFill>
        </w:rPr>
        <w:t>编制组</w:t>
      </w:r>
      <w:r>
        <w:rPr>
          <w:rFonts w:hint="eastAsia"/>
          <w:color w:val="000000" w:themeColor="text1"/>
          <w:lang w:val="en-US"/>
          <w14:textFill>
            <w14:solidFill>
              <w14:schemeClr w14:val="tx1"/>
            </w14:solidFill>
          </w14:textFill>
        </w:rPr>
        <w:t>根据专家意见修改完善，形成本指南的征求意见稿。</w:t>
      </w:r>
    </w:p>
    <w:bookmarkEnd w:id="25"/>
    <w:bookmarkEnd w:id="26"/>
    <w:p>
      <w:pPr>
        <w:pStyle w:val="3"/>
        <w:spacing w:line="600" w:lineRule="exact"/>
        <w:ind w:firstLine="640" w:firstLineChars="200"/>
        <w:rPr>
          <w:rFonts w:ascii="华文仿宋" w:hAnsi="华文仿宋" w:eastAsia="华文仿宋" w:cs="华文仿宋"/>
          <w:color w:val="000000" w:themeColor="text1"/>
          <w:sz w:val="32"/>
          <w:szCs w:val="32"/>
          <w14:textFill>
            <w14:solidFill>
              <w14:schemeClr w14:val="tx1"/>
            </w14:solidFill>
          </w14:textFill>
        </w:rPr>
      </w:pPr>
      <w:bookmarkStart w:id="27" w:name="_Toc24331"/>
      <w:bookmarkStart w:id="28" w:name="_Toc26634"/>
      <w:bookmarkStart w:id="29" w:name="_Toc17691"/>
      <w:bookmarkStart w:id="30" w:name="_Toc95134541"/>
      <w:bookmarkStart w:id="31" w:name="_Toc30686"/>
      <w:bookmarkStart w:id="32" w:name="_Toc25891"/>
      <w:r>
        <w:rPr>
          <w:rFonts w:hint="eastAsia" w:ascii="华文仿宋" w:hAnsi="华文仿宋" w:eastAsia="华文仿宋" w:cs="华文仿宋"/>
          <w:color w:val="000000" w:themeColor="text1"/>
          <w:sz w:val="32"/>
          <w:szCs w:val="32"/>
          <w14:textFill>
            <w14:solidFill>
              <w14:schemeClr w14:val="tx1"/>
            </w14:solidFill>
          </w14:textFill>
        </w:rPr>
        <w:t>2 标准制定的必要性分析</w:t>
      </w:r>
      <w:bookmarkEnd w:id="21"/>
      <w:bookmarkEnd w:id="27"/>
      <w:bookmarkEnd w:id="28"/>
      <w:bookmarkEnd w:id="29"/>
      <w:bookmarkEnd w:id="30"/>
      <w:bookmarkEnd w:id="31"/>
      <w:bookmarkEnd w:id="32"/>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33" w:name="_Toc95134542"/>
      <w:bookmarkStart w:id="34" w:name="_Toc26197"/>
      <w:bookmarkStart w:id="35" w:name="_Toc25171"/>
      <w:bookmarkStart w:id="36" w:name="_Toc13735"/>
      <w:bookmarkStart w:id="37" w:name="_Toc25002"/>
      <w:bookmarkStart w:id="38" w:name="_Toc18958"/>
      <w:bookmarkStart w:id="39" w:name="_Toc32245"/>
      <w:bookmarkStart w:id="40" w:name="_Toc7677"/>
      <w:bookmarkStart w:id="41" w:name="_Toc11573"/>
      <w:bookmarkStart w:id="42" w:name="_Toc7083"/>
      <w:r>
        <w:rPr>
          <w:rFonts w:eastAsia="仿宋"/>
          <w:color w:val="000000" w:themeColor="text1"/>
          <w:sz w:val="30"/>
          <w:szCs w:val="30"/>
          <w14:textFill>
            <w14:solidFill>
              <w14:schemeClr w14:val="tx1"/>
            </w14:solidFill>
          </w14:textFill>
        </w:rPr>
        <w:t>2.1</w:t>
      </w:r>
      <w:bookmarkEnd w:id="33"/>
      <w:bookmarkEnd w:id="34"/>
      <w:bookmarkEnd w:id="35"/>
      <w:bookmarkEnd w:id="36"/>
      <w:bookmarkEnd w:id="37"/>
      <w:bookmarkEnd w:id="38"/>
      <w:bookmarkEnd w:id="39"/>
      <w:bookmarkEnd w:id="40"/>
      <w:bookmarkEnd w:id="41"/>
      <w:r>
        <w:rPr>
          <w:rFonts w:eastAsia="仿宋"/>
          <w:color w:val="000000" w:themeColor="text1"/>
          <w:sz w:val="30"/>
          <w:szCs w:val="30"/>
          <w14:textFill>
            <w14:solidFill>
              <w14:schemeClr w14:val="tx1"/>
            </w14:solidFill>
          </w14:textFill>
        </w:rPr>
        <w:t>更好发挥总规矩的作用</w:t>
      </w:r>
      <w:bookmarkEnd w:id="42"/>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生态环境准入清单是“三线一单”生态环境分区管控措施和要求落地应用的重要抓手，其基本定位和根本目是协调经济社会发展和生态环境保护的关系，为高质量发展立好生态规矩。湖南省在生态环境准入清单编制过程中，结合地方特色对清单的编制和实施进行规范化，依据相关技术规范要求，结合本省实际情况，构建有据可依、科学合理、具有可操作性的清单体系，将其用标准的形式固定下来，能更好地指导湖南省生态环境准入清单的编制与应用，发挥生态环境准入清单“绿色标尺”的作用，为我省协调经济社会发展和生态环境保护的关系立好生态规矩。</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43" w:name="_Toc6139"/>
      <w:bookmarkStart w:id="44" w:name="_Toc14366"/>
      <w:bookmarkStart w:id="45" w:name="_Toc14503"/>
      <w:bookmarkStart w:id="46" w:name="_Toc7433"/>
      <w:bookmarkStart w:id="47" w:name="_Toc10237"/>
      <w:bookmarkStart w:id="48" w:name="_Toc20853"/>
      <w:bookmarkStart w:id="49" w:name="_Toc95134543"/>
      <w:bookmarkStart w:id="50" w:name="_Toc25555"/>
      <w:bookmarkStart w:id="51" w:name="_Toc10487"/>
      <w:bookmarkStart w:id="52" w:name="_Toc13637"/>
      <w:r>
        <w:rPr>
          <w:rFonts w:eastAsia="仿宋"/>
          <w:color w:val="000000" w:themeColor="text1"/>
          <w:sz w:val="30"/>
          <w:szCs w:val="30"/>
          <w14:textFill>
            <w14:solidFill>
              <w14:schemeClr w14:val="tx1"/>
            </w14:solidFill>
          </w14:textFill>
        </w:rPr>
        <w:t>2.2</w:t>
      </w:r>
      <w:bookmarkEnd w:id="43"/>
      <w:bookmarkEnd w:id="44"/>
      <w:bookmarkEnd w:id="45"/>
      <w:bookmarkEnd w:id="46"/>
      <w:bookmarkEnd w:id="47"/>
      <w:bookmarkEnd w:id="48"/>
      <w:bookmarkEnd w:id="49"/>
      <w:bookmarkEnd w:id="50"/>
      <w:bookmarkEnd w:id="51"/>
      <w:r>
        <w:rPr>
          <w:rFonts w:hint="eastAsia" w:eastAsia="仿宋"/>
          <w:color w:val="000000" w:themeColor="text1"/>
          <w:sz w:val="30"/>
          <w:szCs w:val="30"/>
          <w14:textFill>
            <w14:solidFill>
              <w14:schemeClr w14:val="tx1"/>
            </w14:solidFill>
          </w14:textFill>
        </w:rPr>
        <w:t>修订与</w:t>
      </w:r>
      <w:r>
        <w:rPr>
          <w:rFonts w:eastAsia="仿宋"/>
          <w:color w:val="000000" w:themeColor="text1"/>
          <w:sz w:val="30"/>
          <w:szCs w:val="30"/>
          <w14:textFill>
            <w14:solidFill>
              <w14:schemeClr w14:val="tx1"/>
            </w14:solidFill>
          </w14:textFill>
        </w:rPr>
        <w:t>动态更新的必然要求</w:t>
      </w:r>
      <w:bookmarkEnd w:id="52"/>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根据《生态环境部关于实施&lt;“三线一单”生态环境分区管控的指导意见&gt;（试行）》（环环评〔2021〕108号）和《湖南省人民政府关于实施&lt;“三线一单”生态环境分区管控的意见&gt;》（湘政发〔2020〕12号）关于“三线一单”生态环境分区管控更新与调整的规定</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原则上，每五年可根据实际需要对“三线一单”生态环境分区管控成果进行调整。</w:t>
      </w:r>
      <w:r>
        <w:rPr>
          <w:rFonts w:hint="eastAsia" w:ascii="Times New Roman" w:hAnsi="Times New Roman" w:eastAsia="仿宋" w:cs="Times New Roman"/>
          <w:color w:val="000000" w:themeColor="text1"/>
          <w:sz w:val="28"/>
          <w:szCs w:val="28"/>
          <w14:textFill>
            <w14:solidFill>
              <w14:schemeClr w14:val="tx1"/>
            </w14:solidFill>
          </w14:textFill>
        </w:rPr>
        <w:t>”</w:t>
      </w:r>
      <w:r>
        <w:rPr>
          <w:rFonts w:ascii="Times New Roman" w:hAnsi="Times New Roman" w:eastAsia="仿宋" w:cs="Times New Roman"/>
          <w:color w:val="000000" w:themeColor="text1"/>
          <w:sz w:val="28"/>
          <w:szCs w:val="28"/>
          <w14:textFill>
            <w14:solidFill>
              <w14:schemeClr w14:val="tx1"/>
            </w14:solidFill>
          </w14:textFill>
        </w:rPr>
        <w:t>目前，“十四五”相关规划已陆续出台，社会经济发展、环境质量底线目标、资源上线及相关管控要求将随之发生变化，新一轮的生态保护红线和国土空间规划也将随之落地</w:t>
      </w:r>
      <w:r>
        <w:rPr>
          <w:rFonts w:hint="eastAsia" w:ascii="Times New Roman" w:hAnsi="Times New Roman" w:eastAsia="仿宋" w:cs="Times New Roman"/>
          <w:color w:val="000000" w:themeColor="text1"/>
          <w:sz w:val="28"/>
          <w:szCs w:val="28"/>
          <w14:textFill>
            <w14:solidFill>
              <w14:schemeClr w14:val="tx1"/>
            </w14:solidFill>
          </w14:textFill>
        </w:rPr>
        <w:t>。</w:t>
      </w:r>
      <w:r>
        <w:rPr>
          <w:rFonts w:hint="eastAsia" w:ascii="Times New Roman" w:hAnsi="Times New Roman" w:eastAsia="仿宋" w:cs="Times New Roman"/>
          <w:color w:val="000000" w:themeColor="text1"/>
          <w:sz w:val="28"/>
          <w:szCs w:val="28"/>
          <w:lang w:val="en-US"/>
          <w14:textFill>
            <w14:solidFill>
              <w14:schemeClr w14:val="tx1"/>
            </w14:solidFill>
          </w14:textFill>
        </w:rPr>
        <w:t>根据</w:t>
      </w:r>
      <w:r>
        <w:rPr>
          <w:rFonts w:hint="eastAsia" w:ascii="Times New Roman" w:hAnsi="Times New Roman" w:eastAsia="仿宋" w:cs="Times New Roman"/>
          <w:color w:val="000000" w:themeColor="text1"/>
          <w:sz w:val="28"/>
          <w:szCs w:val="28"/>
          <w14:textFill>
            <w14:solidFill>
              <w14:schemeClr w14:val="tx1"/>
            </w14:solidFill>
          </w14:textFill>
        </w:rPr>
        <w:t>国家和湖南省工作</w:t>
      </w:r>
      <w:r>
        <w:rPr>
          <w:rFonts w:hint="eastAsia" w:ascii="Times New Roman" w:hAnsi="Times New Roman" w:eastAsia="仿宋" w:cs="Times New Roman"/>
          <w:color w:val="000000" w:themeColor="text1"/>
          <w:sz w:val="28"/>
          <w:szCs w:val="28"/>
          <w:lang w:val="en-US"/>
          <w14:textFill>
            <w14:solidFill>
              <w14:schemeClr w14:val="tx1"/>
            </w14:solidFill>
          </w14:textFill>
        </w:rPr>
        <w:t>要求，</w:t>
      </w:r>
      <w:r>
        <w:rPr>
          <w:rFonts w:ascii="Times New Roman" w:hAnsi="Times New Roman" w:eastAsia="仿宋" w:cs="Times New Roman"/>
          <w:color w:val="000000" w:themeColor="text1"/>
          <w:sz w:val="28"/>
          <w:szCs w:val="28"/>
          <w14:textFill>
            <w14:solidFill>
              <w14:schemeClr w14:val="tx1"/>
            </w14:solidFill>
          </w14:textFill>
        </w:rPr>
        <w:t>湖南省 “三线一单”成果的动态更新</w:t>
      </w:r>
      <w:r>
        <w:rPr>
          <w:rFonts w:hint="eastAsia" w:ascii="Times New Roman" w:hAnsi="Times New Roman" w:eastAsia="仿宋" w:cs="Times New Roman"/>
          <w:color w:val="000000" w:themeColor="text1"/>
          <w:sz w:val="28"/>
          <w:szCs w:val="28"/>
          <w:lang w:val="en-US"/>
          <w14:textFill>
            <w14:solidFill>
              <w14:schemeClr w14:val="tx1"/>
            </w14:solidFill>
          </w14:textFill>
        </w:rPr>
        <w:t>已</w:t>
      </w:r>
      <w:r>
        <w:rPr>
          <w:rFonts w:ascii="Times New Roman" w:hAnsi="Times New Roman" w:eastAsia="仿宋" w:cs="Times New Roman"/>
          <w:color w:val="000000" w:themeColor="text1"/>
          <w:sz w:val="28"/>
          <w:szCs w:val="28"/>
          <w14:textFill>
            <w14:solidFill>
              <w14:schemeClr w14:val="tx1"/>
            </w14:solidFill>
          </w14:textFill>
        </w:rPr>
        <w:t>列入议事日程</w:t>
      </w:r>
      <w:r>
        <w:rPr>
          <w:rFonts w:hint="eastAsia" w:ascii="Times New Roman" w:hAnsi="Times New Roman" w:eastAsia="仿宋" w:cs="Times New Roman"/>
          <w:color w:val="000000" w:themeColor="text1"/>
          <w:sz w:val="28"/>
          <w:szCs w:val="28"/>
          <w14:textFill>
            <w14:solidFill>
              <w14:schemeClr w14:val="tx1"/>
            </w14:solidFill>
          </w14:textFill>
        </w:rPr>
        <w:t>。</w:t>
      </w:r>
      <w:r>
        <w:rPr>
          <w:rFonts w:hint="eastAsia" w:ascii="Times New Roman" w:hAnsi="Times New Roman" w:eastAsia="仿宋" w:cs="Times New Roman"/>
          <w:color w:val="000000" w:themeColor="text1"/>
          <w:sz w:val="28"/>
          <w:szCs w:val="28"/>
          <w:lang w:val="en-US"/>
          <w14:textFill>
            <w14:solidFill>
              <w14:schemeClr w14:val="tx1"/>
            </w14:solidFill>
          </w14:textFill>
        </w:rPr>
        <w:t>因此，</w:t>
      </w:r>
      <w:r>
        <w:rPr>
          <w:rFonts w:ascii="Times New Roman" w:hAnsi="Times New Roman" w:eastAsia="仿宋" w:cs="Times New Roman"/>
          <w:color w:val="000000" w:themeColor="text1"/>
          <w:sz w:val="28"/>
          <w:szCs w:val="28"/>
          <w14:textFill>
            <w14:solidFill>
              <w14:schemeClr w14:val="tx1"/>
            </w14:solidFill>
          </w14:textFill>
        </w:rPr>
        <w:t>须加快制订适应省情清单编制技术指南，深化“三线一单”生态环境分区管控，指导湖南省开展生态环境准入清单成果动态更新调整工作。</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53" w:name="_Toc18596"/>
      <w:bookmarkStart w:id="54" w:name="_Toc21823"/>
      <w:bookmarkStart w:id="55" w:name="_Toc1200"/>
      <w:bookmarkStart w:id="56" w:name="_Toc6367"/>
      <w:bookmarkStart w:id="57" w:name="_Toc95134544"/>
      <w:bookmarkStart w:id="58" w:name="_Toc28945"/>
      <w:bookmarkStart w:id="59" w:name="_Toc17215"/>
      <w:bookmarkStart w:id="60" w:name="_Toc5703"/>
      <w:bookmarkStart w:id="61" w:name="_Toc12362"/>
      <w:bookmarkStart w:id="62" w:name="_Toc7958"/>
      <w:r>
        <w:rPr>
          <w:rFonts w:eastAsia="仿宋"/>
          <w:color w:val="000000" w:themeColor="text1"/>
          <w:sz w:val="30"/>
          <w:szCs w:val="30"/>
          <w14:textFill>
            <w14:solidFill>
              <w14:schemeClr w14:val="tx1"/>
            </w14:solidFill>
          </w14:textFill>
        </w:rPr>
        <w:t>2.3</w:t>
      </w:r>
      <w:bookmarkEnd w:id="53"/>
      <w:bookmarkEnd w:id="54"/>
      <w:bookmarkEnd w:id="55"/>
      <w:r>
        <w:rPr>
          <w:rFonts w:hint="eastAsia" w:eastAsia="仿宋"/>
          <w:color w:val="000000" w:themeColor="text1"/>
          <w:sz w:val="30"/>
          <w:szCs w:val="30"/>
          <w14:textFill>
            <w14:solidFill>
              <w14:schemeClr w14:val="tx1"/>
            </w14:solidFill>
          </w14:textFill>
        </w:rPr>
        <w:t>是</w:t>
      </w:r>
      <w:r>
        <w:rPr>
          <w:rFonts w:eastAsia="仿宋"/>
          <w:color w:val="000000" w:themeColor="text1"/>
          <w:szCs w:val="28"/>
          <w14:textFill>
            <w14:solidFill>
              <w14:schemeClr w14:val="tx1"/>
            </w14:solidFill>
          </w14:textFill>
        </w:rPr>
        <w:t>推动</w:t>
      </w:r>
      <w:r>
        <w:rPr>
          <w:rFonts w:hint="eastAsia" w:eastAsia="仿宋"/>
          <w:color w:val="000000" w:themeColor="text1"/>
          <w:sz w:val="30"/>
          <w:szCs w:val="30"/>
          <w14:textFill>
            <w14:solidFill>
              <w14:schemeClr w14:val="tx1"/>
            </w14:solidFill>
          </w14:textFill>
        </w:rPr>
        <w:t>生态环境高水平保护促进高质量发展的</w:t>
      </w:r>
      <w:r>
        <w:rPr>
          <w:rFonts w:eastAsia="仿宋"/>
          <w:color w:val="000000" w:themeColor="text1"/>
          <w:sz w:val="30"/>
          <w:szCs w:val="30"/>
          <w14:textFill>
            <w14:solidFill>
              <w14:schemeClr w14:val="tx1"/>
            </w14:solidFill>
          </w14:textFill>
        </w:rPr>
        <w:t>需要</w:t>
      </w:r>
      <w:bookmarkEnd w:id="56"/>
      <w:bookmarkEnd w:id="57"/>
      <w:bookmarkEnd w:id="58"/>
      <w:bookmarkEnd w:id="59"/>
      <w:bookmarkEnd w:id="60"/>
      <w:bookmarkEnd w:id="61"/>
      <w:bookmarkEnd w:id="62"/>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将湖南省生态环境准入清单体系和生态环境分区管控体系构建与当前经济高质量发展与生态环境高水平保护相融合，牢牢把握住了长江经济带“共抓大保护、不搞大开发”战略导向。结合湖南省实际，探索湖南省生态环境分区管控体系和湖南省生态环境准入清单体系成果落地在推动经济高质量发展和生态环境高水平保护的应用领域和应用成效，优化或改进生态环境准入清单编制方法和路径，提出生态环境准入清单体系和生态环境分区管控体系更新和成果应用的优化或改进建议，有利于一步推动湖南省经济高质量发展和生态环境高水平保护</w:t>
      </w:r>
      <w:r>
        <w:rPr>
          <w:rFonts w:hint="eastAsia" w:ascii="Times New Roman" w:hAnsi="Times New Roman" w:eastAsia="仿宋" w:cs="Times New Roman"/>
          <w:color w:val="000000" w:themeColor="text1"/>
          <w:sz w:val="28"/>
          <w:szCs w:val="28"/>
          <w14:textFill>
            <w14:solidFill>
              <w14:schemeClr w14:val="tx1"/>
            </w14:solidFill>
          </w14:textFill>
        </w:rPr>
        <w:t>，为支撑发展和综合决策提出建设性的建议</w:t>
      </w:r>
      <w:r>
        <w:rPr>
          <w:rFonts w:ascii="Times New Roman" w:hAnsi="Times New Roman" w:eastAsia="仿宋" w:cs="Times New Roman"/>
          <w:color w:val="000000" w:themeColor="text1"/>
          <w:sz w:val="28"/>
          <w:szCs w:val="28"/>
          <w14:textFill>
            <w14:solidFill>
              <w14:schemeClr w14:val="tx1"/>
            </w14:solidFill>
          </w14:textFill>
        </w:rPr>
        <w:t>。</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63" w:name="_Toc2851_WPSOffice_Level2"/>
      <w:bookmarkStart w:id="64" w:name="_Toc684"/>
      <w:bookmarkStart w:id="65" w:name="_Toc15369"/>
      <w:bookmarkStart w:id="66" w:name="_Toc95134545"/>
      <w:bookmarkStart w:id="67" w:name="_Toc2382"/>
      <w:bookmarkStart w:id="68" w:name="_Toc25805"/>
      <w:bookmarkStart w:id="69" w:name="_Toc9042"/>
      <w:r>
        <w:rPr>
          <w:rFonts w:eastAsia="仿宋"/>
          <w:color w:val="000000" w:themeColor="text1"/>
          <w:sz w:val="30"/>
          <w:szCs w:val="30"/>
          <w14:textFill>
            <w14:solidFill>
              <w14:schemeClr w14:val="tx1"/>
            </w14:solidFill>
          </w14:textFill>
        </w:rPr>
        <w:t>2.4</w:t>
      </w:r>
      <w:bookmarkEnd w:id="63"/>
      <w:bookmarkEnd w:id="64"/>
      <w:bookmarkEnd w:id="65"/>
      <w:bookmarkEnd w:id="66"/>
      <w:bookmarkEnd w:id="67"/>
      <w:bookmarkEnd w:id="68"/>
      <w:r>
        <w:rPr>
          <w:rFonts w:eastAsia="仿宋"/>
          <w:color w:val="000000" w:themeColor="text1"/>
          <w:sz w:val="30"/>
          <w:szCs w:val="30"/>
          <w14:textFill>
            <w14:solidFill>
              <w14:schemeClr w14:val="tx1"/>
            </w14:solidFill>
          </w14:textFill>
        </w:rPr>
        <w:t>为</w:t>
      </w:r>
      <w:r>
        <w:rPr>
          <w:rFonts w:hint="eastAsia" w:eastAsia="仿宋"/>
          <w:color w:val="000000" w:themeColor="text1"/>
          <w:sz w:val="30"/>
          <w:szCs w:val="30"/>
          <w14:textFill>
            <w14:solidFill>
              <w14:schemeClr w14:val="tx1"/>
            </w14:solidFill>
          </w14:textFill>
        </w:rPr>
        <w:t>生态环境准入</w:t>
      </w:r>
      <w:r>
        <w:rPr>
          <w:rFonts w:eastAsia="仿宋"/>
          <w:color w:val="000000" w:themeColor="text1"/>
          <w:sz w:val="30"/>
          <w:szCs w:val="30"/>
          <w14:textFill>
            <w14:solidFill>
              <w14:schemeClr w14:val="tx1"/>
            </w14:solidFill>
          </w14:textFill>
        </w:rPr>
        <w:t>清单编制贡献“湖南经验”</w:t>
      </w:r>
      <w:bookmarkEnd w:id="69"/>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湖南省作为首批长江经济带战略评价“三线一单”编制的试点省份之一，提出全域差异化准入，实现了全省系统化、精细化生态环境分区管理机制。通过制定湖南省生态环境准入清单编制技术指南，可更好推广湖南省在生态环境准入清单构建的做法和成果落地应用的相关经验，为其他兄弟省份提供借鉴。</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ascii="Times New Roman" w:hAnsi="Times New Roman" w:eastAsia="仿宋" w:cs="Times New Roman"/>
          <w:color w:val="000000" w:themeColor="text1"/>
          <w:sz w:val="28"/>
          <w:szCs w:val="28"/>
          <w14:textFill>
            <w14:solidFill>
              <w14:schemeClr w14:val="tx1"/>
            </w14:solidFill>
          </w14:textFill>
        </w:rPr>
        <w:t>综上，本</w:t>
      </w:r>
      <w:r>
        <w:rPr>
          <w:rFonts w:hint="eastAsia" w:ascii="Times New Roman" w:hAnsi="Times New Roman" w:eastAsia="仿宋" w:cs="Times New Roman"/>
          <w:color w:val="000000" w:themeColor="text1"/>
          <w:sz w:val="28"/>
          <w:szCs w:val="28"/>
          <w:lang w:val="en-US"/>
          <w14:textFill>
            <w14:solidFill>
              <w14:schemeClr w14:val="tx1"/>
            </w14:solidFill>
          </w14:textFill>
        </w:rPr>
        <w:t>指南</w:t>
      </w:r>
      <w:r>
        <w:rPr>
          <w:rFonts w:ascii="Times New Roman" w:hAnsi="Times New Roman" w:eastAsia="仿宋" w:cs="Times New Roman"/>
          <w:color w:val="000000" w:themeColor="text1"/>
          <w:sz w:val="28"/>
          <w:szCs w:val="28"/>
          <w14:textFill>
            <w14:solidFill>
              <w14:schemeClr w14:val="tx1"/>
            </w14:solidFill>
          </w14:textFill>
        </w:rPr>
        <w:t>的编制与出台意义重大。</w:t>
      </w:r>
    </w:p>
    <w:p>
      <w:pPr>
        <w:pStyle w:val="3"/>
        <w:spacing w:line="600" w:lineRule="exact"/>
        <w:ind w:firstLine="640" w:firstLineChars="200"/>
        <w:rPr>
          <w:rFonts w:ascii="华文仿宋" w:hAnsi="华文仿宋" w:eastAsia="华文仿宋" w:cs="华文仿宋"/>
          <w:color w:val="000000" w:themeColor="text1"/>
          <w:sz w:val="32"/>
          <w:szCs w:val="32"/>
          <w14:textFill>
            <w14:solidFill>
              <w14:schemeClr w14:val="tx1"/>
            </w14:solidFill>
          </w14:textFill>
        </w:rPr>
      </w:pPr>
      <w:bookmarkStart w:id="70" w:name="_Toc14087"/>
      <w:bookmarkStart w:id="71" w:name="_Toc25095"/>
      <w:bookmarkStart w:id="72" w:name="_Toc21297"/>
      <w:bookmarkStart w:id="73" w:name="_Toc71019778"/>
      <w:bookmarkStart w:id="74" w:name="_Toc95134550"/>
      <w:bookmarkStart w:id="75" w:name="_Toc12210"/>
      <w:bookmarkStart w:id="76" w:name="_Toc7505"/>
      <w:r>
        <w:rPr>
          <w:rFonts w:hint="eastAsia" w:ascii="华文仿宋" w:hAnsi="华文仿宋" w:eastAsia="华文仿宋" w:cs="华文仿宋"/>
          <w:color w:val="000000" w:themeColor="text1"/>
          <w:sz w:val="32"/>
          <w:szCs w:val="32"/>
          <w14:textFill>
            <w14:solidFill>
              <w14:schemeClr w14:val="tx1"/>
            </w14:solidFill>
          </w14:textFill>
        </w:rPr>
        <w:t>3 标准</w:t>
      </w:r>
      <w:bookmarkEnd w:id="70"/>
      <w:bookmarkEnd w:id="71"/>
      <w:bookmarkEnd w:id="72"/>
      <w:bookmarkEnd w:id="73"/>
      <w:bookmarkEnd w:id="74"/>
      <w:bookmarkEnd w:id="75"/>
      <w:r>
        <w:rPr>
          <w:rFonts w:hint="eastAsia" w:ascii="华文仿宋" w:hAnsi="华文仿宋" w:eastAsia="华文仿宋" w:cs="华文仿宋"/>
          <w:color w:val="000000" w:themeColor="text1"/>
          <w:sz w:val="32"/>
          <w:szCs w:val="32"/>
          <w14:textFill>
            <w14:solidFill>
              <w14:schemeClr w14:val="tx1"/>
            </w14:solidFill>
          </w14:textFill>
        </w:rPr>
        <w:t>制订原则及技术路线</w:t>
      </w:r>
      <w:bookmarkEnd w:id="76"/>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77" w:name="_Toc30718"/>
      <w:r>
        <w:rPr>
          <w:rFonts w:hint="eastAsia" w:eastAsia="仿宋"/>
          <w:color w:val="000000" w:themeColor="text1"/>
          <w:sz w:val="30"/>
          <w:szCs w:val="30"/>
          <w14:textFill>
            <w14:solidFill>
              <w14:schemeClr w14:val="tx1"/>
            </w14:solidFill>
          </w14:textFill>
        </w:rPr>
        <w:t>3</w:t>
      </w:r>
      <w:r>
        <w:rPr>
          <w:rFonts w:eastAsia="仿宋"/>
          <w:color w:val="000000" w:themeColor="text1"/>
          <w:sz w:val="30"/>
          <w:szCs w:val="30"/>
          <w14:textFill>
            <w14:solidFill>
              <w14:schemeClr w14:val="tx1"/>
            </w14:solidFill>
          </w14:textFill>
        </w:rPr>
        <w:t>.1标准制订原则</w:t>
      </w:r>
      <w:bookmarkEnd w:id="77"/>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合法支撑原则。本指南的制定遵循《中华人民共和国环境保护法》、国家和湖南省制定的“三线一单”相关技术和管理文件以及相关法律法规、标准规范和政策文件的要求。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客观公正原则。本指南的制定规定了湖南省生态环境准入清单编制的原则、思路等，充分吸纳国家有关部门、地方生态环境部门、行业企业等有关方面意见，并参考国内外同类标准控制水平的基础上提出湖南省生态环境准入清单编制要求，做到客观、公正。</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体系协调原则。本指南与相关法律法规、规章、政策、规划、计划、方案、规划环评及批复相衔接，做到与现行环境管理制度相适用、配套，做到标准体系严密、协调。</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落地</w:t>
      </w:r>
      <w:r>
        <w:rPr>
          <w:rFonts w:hint="eastAsia" w:ascii="Times New Roman" w:hAnsi="Times New Roman" w:eastAsia="仿宋" w:cs="Times New Roman"/>
          <w:color w:val="000000" w:themeColor="text1"/>
          <w:sz w:val="28"/>
          <w:szCs w:val="28"/>
          <w14:textFill>
            <w14:solidFill>
              <w14:schemeClr w14:val="tx1"/>
            </w14:solidFill>
          </w14:textFill>
        </w:rPr>
        <w:t>可行原则。</w:t>
      </w:r>
      <w:r>
        <w:rPr>
          <w:rFonts w:hint="eastAsia" w:ascii="Times New Roman" w:hAnsi="Times New Roman" w:eastAsia="仿宋" w:cs="Times New Roman"/>
          <w:color w:val="000000" w:themeColor="text1"/>
          <w:sz w:val="28"/>
          <w:szCs w:val="28"/>
          <w:lang w:val="en-US"/>
          <w14:textFill>
            <w14:solidFill>
              <w14:schemeClr w14:val="tx1"/>
            </w14:solidFill>
          </w14:textFill>
        </w:rPr>
        <w:t>本指南遵循技术可达与落地可行相结合的原则，在充分调研相关技术导则、省内外各类准入清单的基础上，广泛征求意见建议，确保标准技术落地可行。</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78" w:name="_Toc31844"/>
      <w:bookmarkStart w:id="79" w:name="_Toc23850"/>
      <w:r>
        <w:rPr>
          <w:rFonts w:hint="eastAsia" w:eastAsia="仿宋"/>
          <w:color w:val="000000" w:themeColor="text1"/>
          <w:sz w:val="30"/>
          <w:szCs w:val="30"/>
          <w14:textFill>
            <w14:solidFill>
              <w14:schemeClr w14:val="tx1"/>
            </w14:solidFill>
          </w14:textFill>
        </w:rPr>
        <w:t>3.2工作技术路线</w:t>
      </w:r>
      <w:bookmarkEnd w:id="78"/>
      <w:bookmarkEnd w:id="79"/>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技术指南编制组根据我省生态环境准入清单现状，按照国家相关法律法规，参考国内外相关技术导则，提出编制技术指南的原则、拟采用的方法和技术依据，确定技术指南框架的构想、开展的工作内容、工作分工及进度安排等，从而制订详细的工作计划，明确了各阶段的任务与目标，在秉持合法与支撑、绿色与引领、风险防控性、体系协调性、合理可行的原则下，拟对本技术指南制定项目开展的工作大体分为三个阶段：</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（1）第一阶段：资料收集</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广泛搜集查阅国内外生态环境准入清单相关文献资料，主要包括：①国内外生态环境准入清单编制相关技术导则；②国家和其他省份出台的相关技术导则；③国内外相关专业期刊中关于生态环境准入清单编制的学术论文；④省内外各类准入清单。</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（2）第二阶段：技术指南编制</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 xml:space="preserve">依据国家现有相关政策、法规和标准的有关规定，根据国家和湖南省制定的“三线一单”相关技术和管理文件， </w:t>
      </w:r>
      <w:r>
        <w:rPr>
          <w:rFonts w:hint="eastAsia" w:ascii="Times New Roman" w:hAnsi="Times New Roman" w:eastAsia="仿宋" w:cs="Times New Roman"/>
          <w:color w:val="000000" w:themeColor="text1"/>
          <w:sz w:val="28"/>
          <w:szCs w:val="28"/>
          <w:lang w:val="en-US"/>
          <w14:textFill>
            <w14:solidFill>
              <w14:schemeClr w14:val="tx1"/>
            </w14:solidFill>
          </w14:textFill>
        </w:rPr>
        <w:t>结合</w:t>
      </w:r>
      <w:r>
        <w:rPr>
          <w:rFonts w:hint="eastAsia" w:ascii="Times New Roman" w:hAnsi="Times New Roman" w:eastAsia="仿宋" w:cs="Times New Roman"/>
          <w:color w:val="000000" w:themeColor="text1"/>
          <w:sz w:val="28"/>
          <w:szCs w:val="28"/>
          <w14:textFill>
            <w14:solidFill>
              <w14:schemeClr w14:val="tx1"/>
            </w14:solidFill>
          </w14:textFill>
        </w:rPr>
        <w:t>《规划环境影响评价技术导则 总纲》（HJ 130-2019）、《规划环境影响评价技术导则 产业园区》（HJ 131-2021 ）、《湖南省国土空间总体规划（2021-2035）》</w:t>
      </w:r>
      <w:r>
        <w:rPr>
          <w:rFonts w:hint="eastAsia" w:ascii="Times New Roman" w:hAnsi="Times New Roman" w:eastAsia="仿宋" w:cs="Times New Roman"/>
          <w:color w:val="000000" w:themeColor="text1"/>
          <w:sz w:val="28"/>
          <w:szCs w:val="28"/>
          <w:lang w:val="en-US"/>
          <w14:textFill>
            <w14:solidFill>
              <w14:schemeClr w14:val="tx1"/>
            </w14:solidFill>
          </w14:textFill>
        </w:rPr>
        <w:t>以及</w:t>
      </w:r>
      <w:r>
        <w:rPr>
          <w:rFonts w:hint="eastAsia" w:ascii="Times New Roman" w:hAnsi="Times New Roman" w:eastAsia="仿宋" w:cs="Times New Roman"/>
          <w:color w:val="000000" w:themeColor="text1"/>
          <w:sz w:val="28"/>
          <w:szCs w:val="28"/>
          <w14:textFill>
            <w14:solidFill>
              <w14:schemeClr w14:val="tx1"/>
            </w14:solidFill>
          </w14:textFill>
        </w:rPr>
        <w:t>第一阶段工作成果，确定工作范围与技术内容，分析技术指南实施的环境效益及经济效益，在收集整合各方意见的基础上编制完成</w:t>
      </w:r>
      <w:r>
        <w:rPr>
          <w:rFonts w:hint="eastAsia" w:ascii="Times New Roman" w:hAnsi="Times New Roman" w:eastAsia="仿宋" w:cs="Times New Roman"/>
          <w:color w:val="000000" w:themeColor="text1"/>
          <w:sz w:val="28"/>
          <w:szCs w:val="28"/>
          <w:lang w:val="en-US"/>
          <w14:textFill>
            <w14:solidFill>
              <w14:schemeClr w14:val="tx1"/>
            </w14:solidFill>
          </w14:textFill>
        </w:rPr>
        <w:t>征求意见稿</w:t>
      </w:r>
      <w:r>
        <w:rPr>
          <w:rFonts w:hint="eastAsia" w:ascii="Times New Roman" w:hAnsi="Times New Roman" w:eastAsia="仿宋" w:cs="Times New Roman"/>
          <w:color w:val="000000" w:themeColor="text1"/>
          <w:sz w:val="28"/>
          <w:szCs w:val="28"/>
          <w14:textFill>
            <w14:solidFill>
              <w14:schemeClr w14:val="tx1"/>
            </w14:solidFill>
          </w14:textFill>
        </w:rPr>
        <w:t>。</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（3）第三阶段：技术指南征求意见和技术审查</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组织技术专家进行座谈交流及公众调研，研讨技术指南内容的科学性和合理性，广泛听取相关专家及行业主管部门意见，进一步对技术指南征求意见稿和编制说明进行补充完善，形成征求意见稿。征求意见稿发布后，进一步征求公众及相关部门意见，对技术指南征求意见稿修改形成技术指南送审稿，提交相关部门开展技术审查并按照审查意见进一步修改完善，最终形成正式技术指南文本，并完成本技术指南编制说明的编制工作。</w:t>
      </w:r>
    </w:p>
    <w:p>
      <w:pPr>
        <w:pStyle w:val="3"/>
        <w:spacing w:line="600" w:lineRule="exact"/>
        <w:ind w:firstLine="640" w:firstLineChars="200"/>
        <w:rPr>
          <w:rFonts w:ascii="华文仿宋" w:hAnsi="华文仿宋" w:eastAsia="华文仿宋" w:cs="华文仿宋"/>
          <w:color w:val="000000" w:themeColor="text1"/>
          <w:sz w:val="32"/>
          <w:szCs w:val="32"/>
          <w14:textFill>
            <w14:solidFill>
              <w14:schemeClr w14:val="tx1"/>
            </w14:solidFill>
          </w14:textFill>
        </w:rPr>
      </w:pPr>
      <w:bookmarkStart w:id="80" w:name="_Toc20350"/>
      <w:bookmarkStart w:id="81" w:name="_Toc95134552"/>
      <w:bookmarkStart w:id="82" w:name="_Toc8320"/>
      <w:bookmarkStart w:id="83" w:name="_Toc4168"/>
      <w:bookmarkStart w:id="84" w:name="_Toc18910"/>
      <w:bookmarkStart w:id="85" w:name="_Toc5380"/>
      <w:bookmarkStart w:id="86" w:name="_Toc71019781"/>
      <w:r>
        <w:rPr>
          <w:rFonts w:hint="eastAsia" w:ascii="华文仿宋" w:hAnsi="华文仿宋" w:eastAsia="华文仿宋" w:cs="华文仿宋"/>
          <w:color w:val="000000" w:themeColor="text1"/>
          <w:sz w:val="32"/>
          <w:szCs w:val="32"/>
          <w14:textFill>
            <w14:solidFill>
              <w14:schemeClr w14:val="tx1"/>
            </w14:solidFill>
          </w14:textFill>
        </w:rPr>
        <w:t>4 标准制定主要内容</w:t>
      </w:r>
      <w:bookmarkEnd w:id="80"/>
      <w:bookmarkEnd w:id="81"/>
      <w:bookmarkEnd w:id="82"/>
      <w:bookmarkEnd w:id="83"/>
      <w:bookmarkEnd w:id="84"/>
      <w:bookmarkEnd w:id="85"/>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bookmarkStart w:id="87" w:name="_Toc229"/>
      <w:bookmarkStart w:id="88" w:name="_Toc19278"/>
      <w:bookmarkStart w:id="89" w:name="_Toc18921"/>
      <w:bookmarkStart w:id="90" w:name="_Toc23998"/>
      <w:r>
        <w:rPr>
          <w:rFonts w:hint="eastAsia" w:ascii="Times New Roman" w:hAnsi="Times New Roman" w:eastAsia="仿宋" w:cs="Times New Roman"/>
          <w:color w:val="000000" w:themeColor="text1"/>
          <w:sz w:val="28"/>
          <w:szCs w:val="28"/>
          <w:lang w:val="en-US"/>
          <w14:textFill>
            <w14:solidFill>
              <w14:schemeClr w14:val="tx1"/>
            </w14:solidFill>
          </w14:textFill>
        </w:rPr>
        <w:t>本指南按照《标准化工作导则》（GB/T 1.1—2020）和《生态环境标准管理办法》(生态环境部令 第17号）的要求进行编制，包括前言、引言、适用范围、规范性引用文件、术语和定义、生态环境准入清单体系及编制流程、一般性要求、省级总要求编写、四大板块总要求编写、市（州）级总要求编写、生态环境准入清单编写、成果及使用规范、修订与动态更新、附录等内容。</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91" w:name="_Toc95134553"/>
      <w:bookmarkStart w:id="92" w:name="_Toc18079"/>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.1</w:t>
      </w:r>
      <w:bookmarkEnd w:id="87"/>
      <w:bookmarkEnd w:id="88"/>
      <w:bookmarkEnd w:id="89"/>
      <w:bookmarkEnd w:id="90"/>
      <w:bookmarkStart w:id="93" w:name="_Toc25259"/>
      <w:bookmarkStart w:id="94" w:name="_Toc31811"/>
      <w:bookmarkStart w:id="95" w:name="_Toc8911"/>
      <w:bookmarkStart w:id="96" w:name="_Toc23335"/>
      <w:r>
        <w:rPr>
          <w:rFonts w:eastAsia="仿宋"/>
          <w:color w:val="000000" w:themeColor="text1"/>
          <w:sz w:val="30"/>
          <w:szCs w:val="30"/>
          <w14:textFill>
            <w14:solidFill>
              <w14:schemeClr w14:val="tx1"/>
            </w14:solidFill>
          </w14:textFill>
        </w:rPr>
        <w:t>适用范围</w:t>
      </w:r>
      <w:bookmarkEnd w:id="91"/>
      <w:bookmarkEnd w:id="92"/>
      <w:bookmarkEnd w:id="93"/>
      <w:bookmarkEnd w:id="94"/>
      <w:bookmarkEnd w:id="95"/>
      <w:bookmarkEnd w:id="96"/>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梳理总结湖南省现有“三线一单”工作经验和成果，将湖南省生态环境准入清单编制的技术原则、技术方法和技术要求进一步规范化，以湖南省地方标准出台生态环境准入清单编制指南，适用于湖南省生态环境分区管控体系中生态环境准入清单体系的构建、编制和更新调整等工作，指导各市州开展生态环境准入清单的编制，并作为各市州生态环境分区管控成果细化的参考依据。</w:t>
      </w:r>
    </w:p>
    <w:bookmarkEnd w:id="86"/>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97" w:name="_Toc4749"/>
      <w:bookmarkStart w:id="98" w:name="_Toc2317"/>
      <w:bookmarkStart w:id="99" w:name="_Toc29170"/>
      <w:bookmarkStart w:id="100" w:name="_Toc13271"/>
      <w:bookmarkStart w:id="101" w:name="_Toc27086"/>
      <w:bookmarkStart w:id="102" w:name="_Toc95134554"/>
      <w:bookmarkStart w:id="103" w:name="_Toc71019783"/>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.2规范性引用文件</w:t>
      </w:r>
      <w:bookmarkEnd w:id="97"/>
      <w:bookmarkEnd w:id="98"/>
      <w:bookmarkEnd w:id="99"/>
      <w:bookmarkEnd w:id="100"/>
      <w:bookmarkEnd w:id="101"/>
      <w:bookmarkEnd w:id="102"/>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本部分包括湖南省生态环境准入清单的编制所需要遵循的相关生态环境标准和文件。文件中的内容通过文中的规范性引用而构成本指南必不可少的条款。其中，注日期的引用文件，仅该日期对应的版本适用于本指南；不注日期的引用文件，其最新版本（包括所有的修改单）适用于本指南。</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04" w:name="_Toc28782"/>
      <w:bookmarkStart w:id="105" w:name="_Toc95134555"/>
      <w:bookmarkStart w:id="106" w:name="_Toc5000"/>
      <w:bookmarkStart w:id="107" w:name="_Toc19912"/>
      <w:bookmarkStart w:id="108" w:name="_Toc18040"/>
      <w:bookmarkStart w:id="109" w:name="_Toc15900"/>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.3术语和定义</w:t>
      </w:r>
      <w:bookmarkEnd w:id="103"/>
      <w:bookmarkEnd w:id="104"/>
      <w:bookmarkEnd w:id="105"/>
      <w:bookmarkEnd w:id="106"/>
      <w:bookmarkEnd w:id="107"/>
      <w:bookmarkEnd w:id="108"/>
      <w:bookmarkEnd w:id="109"/>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bookmarkStart w:id="110" w:name="_Toc79854745"/>
      <w:r>
        <w:rPr>
          <w:rFonts w:hint="eastAsia" w:ascii="Times New Roman" w:hAnsi="Times New Roman" w:eastAsia="仿宋" w:cs="Times New Roman"/>
          <w:color w:val="000000" w:themeColor="text1"/>
          <w:sz w:val="28"/>
          <w:szCs w:val="28"/>
          <w:lang w:val="en-US"/>
          <w14:textFill>
            <w14:solidFill>
              <w14:schemeClr w14:val="tx1"/>
            </w14:solidFill>
          </w14:textFill>
        </w:rPr>
        <w:t>本标准依据现行的法律法规，并依据实际需要，对本标准中的14个术语定义予以解释。具体如下所示：</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 xml:space="preserve">（1）生态环境分区管控ecological environment zoning control </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该定义明确生态环境分区管控是引导在生态环境承载限度内开发建设的分区域管控策略，并说明了生态环境分区管控的依据为生态环境承载能力、主体功能定位、开发强度和发展潜力。</w:t>
      </w:r>
    </w:p>
    <w:p>
      <w:pPr>
        <w:pStyle w:val="13"/>
        <w:numPr>
          <w:ilvl w:val="0"/>
          <w:numId w:val="4"/>
        </w:numPr>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生态空间 ecological space</w:t>
      </w:r>
    </w:p>
    <w:p>
      <w:pPr>
        <w:pStyle w:val="13"/>
        <w:spacing w:before="159" w:beforeLines="50" w:after="159" w:afterLines="50" w:line="360" w:lineRule="auto"/>
        <w:ind w:firstLine="560"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参照</w:t>
      </w:r>
      <w:r>
        <w:rPr>
          <w:rFonts w:hint="eastAsia" w:ascii="Times New Roman" w:hAnsi="Times New Roman" w:eastAsia="仿宋" w:cs="Times New Roman"/>
          <w:color w:val="000000" w:themeColor="text1"/>
          <w:sz w:val="28"/>
          <w:szCs w:val="28"/>
          <w14:textFill>
            <w14:solidFill>
              <w14:schemeClr w14:val="tx1"/>
            </w14:solidFill>
          </w14:textFill>
        </w:rPr>
        <w:t>《规划环境影响评价技术导则 总纲》（HJ 130-2019）</w:t>
      </w:r>
      <w:r>
        <w:rPr>
          <w:rFonts w:hint="eastAsia" w:ascii="Times New Roman" w:hAnsi="Times New Roman" w:eastAsia="仿宋" w:cs="Times New Roman"/>
          <w:color w:val="000000" w:themeColor="text1"/>
          <w:sz w:val="28"/>
          <w:szCs w:val="28"/>
          <w:lang w:val="en-US"/>
          <w14:textFill>
            <w14:solidFill>
              <w14:schemeClr w14:val="tx1"/>
            </w14:solidFill>
          </w14:textFill>
        </w:rPr>
        <w:t>中生态空间的定义</w:t>
      </w:r>
      <w:r>
        <w:rPr>
          <w:rFonts w:hint="eastAsia" w:ascii="Times New Roman" w:hAnsi="Times New Roman" w:eastAsia="仿宋" w:cs="Times New Roman"/>
          <w:color w:val="000000" w:themeColor="text1"/>
          <w:sz w:val="28"/>
          <w:szCs w:val="28"/>
          <w14:textFill>
            <w14:solidFill>
              <w14:schemeClr w14:val="tx1"/>
            </w14:solidFill>
          </w14:textFill>
        </w:rPr>
        <w:t>，</w:t>
      </w:r>
      <w:r>
        <w:rPr>
          <w:rFonts w:hint="eastAsia" w:ascii="Times New Roman" w:hAnsi="Times New Roman" w:eastAsia="仿宋" w:cs="Times New Roman"/>
          <w:color w:val="000000" w:themeColor="text1"/>
          <w:sz w:val="28"/>
          <w:szCs w:val="28"/>
          <w:lang w:val="en-US"/>
          <w14:textFill>
            <w14:solidFill>
              <w14:schemeClr w14:val="tx1"/>
            </w14:solidFill>
          </w14:textFill>
        </w:rPr>
        <w:t>并明确生态空间包括生态保护红线和一般生态空间。</w:t>
      </w:r>
    </w:p>
    <w:p>
      <w:pPr>
        <w:pStyle w:val="13"/>
        <w:numPr>
          <w:ilvl w:val="0"/>
          <w:numId w:val="4"/>
        </w:numPr>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生态保护红线 ecological conservation redline</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参照</w:t>
      </w:r>
      <w:r>
        <w:rPr>
          <w:rFonts w:hint="eastAsia" w:ascii="Times New Roman" w:hAnsi="Times New Roman" w:eastAsia="仿宋" w:cs="Times New Roman"/>
          <w:color w:val="000000" w:themeColor="text1"/>
          <w:sz w:val="28"/>
          <w:szCs w:val="28"/>
          <w14:textFill>
            <w14:solidFill>
              <w14:schemeClr w14:val="tx1"/>
            </w14:solidFill>
          </w14:textFill>
        </w:rPr>
        <w:t>《规划环境影响评价技术导则 总纲》（HJ 130-2019）</w:t>
      </w:r>
      <w:r>
        <w:rPr>
          <w:rFonts w:hint="eastAsia" w:ascii="Times New Roman" w:hAnsi="Times New Roman" w:eastAsia="仿宋" w:cs="Times New Roman"/>
          <w:color w:val="000000" w:themeColor="text1"/>
          <w:sz w:val="28"/>
          <w:szCs w:val="28"/>
          <w:lang w:val="en-US"/>
          <w14:textFill>
            <w14:solidFill>
              <w14:schemeClr w14:val="tx1"/>
            </w14:solidFill>
          </w14:textFill>
        </w:rPr>
        <w:t>中生态</w:t>
      </w:r>
    </w:p>
    <w:p>
      <w:pPr>
        <w:pStyle w:val="13"/>
        <w:spacing w:before="159" w:beforeLines="50" w:after="159" w:afterLines="50" w:line="360" w:lineRule="auto"/>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保护红线的定义</w:t>
      </w:r>
      <w:r>
        <w:rPr>
          <w:rFonts w:hint="eastAsia" w:ascii="Times New Roman" w:hAnsi="Times New Roman" w:eastAsia="仿宋" w:cs="Times New Roman"/>
          <w:color w:val="000000" w:themeColor="text1"/>
          <w:sz w:val="28"/>
          <w:szCs w:val="28"/>
          <w14:textFill>
            <w14:solidFill>
              <w14:schemeClr w14:val="tx1"/>
            </w14:solidFill>
          </w14:textFill>
        </w:rPr>
        <w:t>。</w:t>
      </w:r>
    </w:p>
    <w:p>
      <w:pPr>
        <w:pStyle w:val="13"/>
        <w:numPr>
          <w:ilvl w:val="0"/>
          <w:numId w:val="4"/>
        </w:numPr>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环境质量底线 environmental quality bottom line</w:t>
      </w:r>
    </w:p>
    <w:p>
      <w:pPr>
        <w:pStyle w:val="13"/>
        <w:spacing w:before="159" w:beforeLines="50" w:after="159" w:afterLines="50" w:line="360" w:lineRule="auto"/>
        <w:ind w:firstLine="560"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参照</w:t>
      </w:r>
      <w:r>
        <w:rPr>
          <w:rFonts w:hint="eastAsia" w:ascii="Times New Roman" w:hAnsi="Times New Roman" w:eastAsia="仿宋" w:cs="Times New Roman"/>
          <w:color w:val="000000" w:themeColor="text1"/>
          <w:sz w:val="28"/>
          <w:szCs w:val="28"/>
          <w14:textFill>
            <w14:solidFill>
              <w14:schemeClr w14:val="tx1"/>
            </w14:solidFill>
          </w14:textFill>
        </w:rPr>
        <w:t>《规划环境影响评价技术导则 总纲》（HJ 130-2019）</w:t>
      </w:r>
      <w:r>
        <w:rPr>
          <w:rFonts w:hint="eastAsia" w:ascii="Times New Roman" w:hAnsi="Times New Roman" w:eastAsia="仿宋" w:cs="Times New Roman"/>
          <w:color w:val="000000" w:themeColor="text1"/>
          <w:sz w:val="28"/>
          <w:szCs w:val="28"/>
          <w:lang w:val="en-US"/>
          <w14:textFill>
            <w14:solidFill>
              <w14:schemeClr w14:val="tx1"/>
            </w14:solidFill>
          </w14:textFill>
        </w:rPr>
        <w:t>中环境质量底线的定义</w:t>
      </w:r>
      <w:r>
        <w:rPr>
          <w:rFonts w:hint="eastAsia" w:ascii="Times New Roman" w:hAnsi="Times New Roman" w:eastAsia="仿宋" w:cs="Times New Roman"/>
          <w:color w:val="000000" w:themeColor="text1"/>
          <w:sz w:val="28"/>
          <w:szCs w:val="28"/>
          <w14:textFill>
            <w14:solidFill>
              <w14:schemeClr w14:val="tx1"/>
            </w14:solidFill>
          </w14:textFill>
        </w:rPr>
        <w:t>。</w:t>
      </w:r>
    </w:p>
    <w:p>
      <w:pPr>
        <w:pStyle w:val="13"/>
        <w:numPr>
          <w:ilvl w:val="0"/>
          <w:numId w:val="4"/>
        </w:numPr>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资源利用上线 resource utilization upper limit line</w:t>
      </w:r>
    </w:p>
    <w:p>
      <w:pPr>
        <w:pStyle w:val="13"/>
        <w:spacing w:before="159" w:beforeLines="50" w:after="159" w:afterLines="50" w:line="360" w:lineRule="auto"/>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 xml:space="preserve">      </w:t>
      </w:r>
      <w:r>
        <w:rPr>
          <w:rFonts w:hint="eastAsia" w:ascii="Times New Roman" w:hAnsi="Times New Roman" w:eastAsia="仿宋" w:cs="Times New Roman"/>
          <w:color w:val="000000" w:themeColor="text1"/>
          <w:sz w:val="28"/>
          <w:szCs w:val="28"/>
          <w:lang w:val="en-US"/>
          <w14:textFill>
            <w14:solidFill>
              <w14:schemeClr w14:val="tx1"/>
            </w14:solidFill>
          </w14:textFill>
        </w:rPr>
        <w:t>参照</w:t>
      </w:r>
      <w:r>
        <w:rPr>
          <w:rFonts w:hint="eastAsia" w:ascii="Times New Roman" w:hAnsi="Times New Roman" w:eastAsia="仿宋" w:cs="Times New Roman"/>
          <w:color w:val="000000" w:themeColor="text1"/>
          <w:sz w:val="28"/>
          <w:szCs w:val="28"/>
          <w14:textFill>
            <w14:solidFill>
              <w14:schemeClr w14:val="tx1"/>
            </w14:solidFill>
          </w14:textFill>
        </w:rPr>
        <w:t>《规划环境影响评价技术导则 总纲》（HJ 130-2019）</w:t>
      </w:r>
      <w:r>
        <w:rPr>
          <w:rFonts w:hint="eastAsia" w:ascii="Times New Roman" w:hAnsi="Times New Roman" w:eastAsia="仿宋" w:cs="Times New Roman"/>
          <w:color w:val="000000" w:themeColor="text1"/>
          <w:sz w:val="28"/>
          <w:szCs w:val="28"/>
          <w:lang w:val="en-US"/>
          <w14:textFill>
            <w14:solidFill>
              <w14:schemeClr w14:val="tx1"/>
            </w14:solidFill>
          </w14:textFill>
        </w:rPr>
        <w:t>中资源利用上线的定义</w:t>
      </w:r>
      <w:r>
        <w:rPr>
          <w:rFonts w:hint="eastAsia" w:ascii="Times New Roman" w:hAnsi="Times New Roman" w:eastAsia="仿宋" w:cs="Times New Roman"/>
          <w:color w:val="000000" w:themeColor="text1"/>
          <w:sz w:val="28"/>
          <w:szCs w:val="28"/>
          <w14:textFill>
            <w14:solidFill>
              <w14:schemeClr w14:val="tx1"/>
            </w14:solidFill>
          </w14:textFill>
        </w:rPr>
        <w:t>。</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 xml:space="preserve">（6）生态环境管控单元　integrated ecological and environmental units </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根据《</w:t>
      </w:r>
      <w:bookmarkStart w:id="111" w:name="bookmark2"/>
      <w:r>
        <w:rPr>
          <w:rFonts w:hint="eastAsia" w:ascii="Times New Roman" w:hAnsi="Times New Roman" w:eastAsia="仿宋" w:cs="Times New Roman"/>
          <w:color w:val="000000" w:themeColor="text1"/>
          <w:sz w:val="28"/>
          <w:szCs w:val="28"/>
          <w:lang w:val="en-US"/>
          <w14:textFill>
            <w14:solidFill>
              <w14:schemeClr w14:val="tx1"/>
            </w14:solidFill>
          </w14:textFill>
        </w:rPr>
        <w:t>“生态保护红线、环境质量底线、资源利用上线和环境准入负面清单”编制技术指南（试行）》</w:t>
      </w:r>
      <w:bookmarkEnd w:id="111"/>
      <w:r>
        <w:rPr>
          <w:rFonts w:hint="eastAsia" w:ascii="Times New Roman" w:hAnsi="Times New Roman" w:eastAsia="仿宋" w:cs="Times New Roman"/>
          <w:color w:val="000000" w:themeColor="text1"/>
          <w:sz w:val="28"/>
          <w:szCs w:val="28"/>
          <w:lang w:val="en-US"/>
          <w14:textFill>
            <w14:solidFill>
              <w14:schemeClr w14:val="tx1"/>
            </w14:solidFill>
          </w14:textFill>
        </w:rPr>
        <w:t>（环办环评〔2017〕99号），“环境管控单元指集成生态保护红线及生态空间、环境质量底线、资源利用上线的管控区域，衔接行政边界，划定的环境综合管理单元。”本指南明确划分优先保护、重点管控、一般管控三类生态环境管控单元。</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（7）生态环境准入清单 ecological environment access list</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 xml:space="preserve">  参考《规划环境影响评价技术导则 总纲》（HJ 130-2019）中生态环境准入清单的定义。</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（8）优先保护单元  priority protection unit</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根据《“生态保护红线、环境质量底线、资源利用上线和环境准入负面清单”编制技术指南（试行）》（环办环评〔2017〕99号），“优先保护单元包括生态保护红线、水环境优先保护区、大气环境优先保护区、农用地优先保护区等，以生态环境保护为主，禁止或限制大规模的工业发展、矿产等自然资源开发和城镇建设”。本指南细化增加了各类自然保护地及饮用水源地保护区、大气环境一类功能区、泉域保护区等需要保护的区域。</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（9）重点管控单元  key control unit</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根据《“生态保护红线、环境质量底线、资源利用上线和环境准入负面清单”编制技术指南（试行）》（环办环评〔2017〕99号），“重点管控单元包括生态保护红线外的其他生态空间、城镇和工业园区（集聚区），人口密集、资源开发强度大、污染物排放强度高的区域。”本指南对该定义归纳总结。</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（10）一般管控单元  general control unit</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根据《“生态保护红线、环境质量底线、资源利用上线和环境准入负面清单”编制技术指南（试行）》（环办环评〔2017〕99号），“一般管控单元包括除优先保护类和重点管控类之外的其他区域，执行区域生态环境保护的基本要求。”，本指南沿用该定义。”</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 xml:space="preserve">（11）要素属性  Attributes of elements </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 xml:space="preserve"> 指生态保护红线及生态空间、环境质量底线、资源利用上线包含的各类生态环境管控分区涉及的各要素的功能和性质。</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（12）产业园区  industrial park</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参照</w:t>
      </w:r>
      <w:r>
        <w:rPr>
          <w:rFonts w:hint="eastAsia" w:ascii="Times New Roman" w:hAnsi="Times New Roman" w:eastAsia="仿宋" w:cs="Times New Roman"/>
          <w:color w:val="000000" w:themeColor="text1"/>
          <w:sz w:val="28"/>
          <w:szCs w:val="28"/>
          <w14:textFill>
            <w14:solidFill>
              <w14:schemeClr w14:val="tx1"/>
            </w14:solidFill>
          </w14:textFill>
        </w:rPr>
        <w:t>《规划环境影响评价技术导则 产业园区》（HJ 131-2021 ）</w:t>
      </w:r>
      <w:r>
        <w:rPr>
          <w:rFonts w:hint="eastAsia" w:ascii="Times New Roman" w:hAnsi="Times New Roman" w:eastAsia="仿宋" w:cs="Times New Roman"/>
          <w:color w:val="000000" w:themeColor="text1"/>
          <w:sz w:val="28"/>
          <w:szCs w:val="28"/>
          <w:lang w:val="en-US"/>
          <w14:textFill>
            <w14:solidFill>
              <w14:schemeClr w14:val="tx1"/>
            </w14:solidFill>
          </w14:textFill>
        </w:rPr>
        <w:t>中</w:t>
      </w:r>
    </w:p>
    <w:p>
      <w:pPr>
        <w:pStyle w:val="13"/>
        <w:spacing w:before="159" w:beforeLines="50" w:after="159" w:afterLines="50" w:line="360" w:lineRule="auto"/>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产业园区的定义，并明确本指南中的产业园区指省级以上产业园区。</w:t>
      </w:r>
    </w:p>
    <w:p>
      <w:pPr>
        <w:pStyle w:val="13"/>
        <w:numPr>
          <w:ilvl w:val="0"/>
          <w:numId w:val="5"/>
        </w:numPr>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bookmarkStart w:id="112" w:name="_Hlk121141333"/>
      <w:r>
        <w:rPr>
          <w:rFonts w:hint="eastAsia" w:ascii="Times New Roman" w:hAnsi="Times New Roman" w:eastAsia="仿宋" w:cs="Times New Roman"/>
          <w:b/>
          <w:bCs/>
          <w:color w:val="000000" w:themeColor="text1"/>
          <w:sz w:val="28"/>
          <w:szCs w:val="28"/>
          <w:lang w:val="en-US"/>
          <w14:textFill>
            <w14:solidFill>
              <w14:schemeClr w14:val="tx1"/>
            </w14:solidFill>
          </w14:textFill>
        </w:rPr>
        <w:t>环境敏感区 environmental sensitive area</w:t>
      </w:r>
    </w:p>
    <w:p>
      <w:pPr>
        <w:pStyle w:val="13"/>
        <w:spacing w:before="159" w:beforeLines="50" w:after="159" w:afterLines="50" w:line="360" w:lineRule="auto"/>
        <w:ind w:firstLine="560"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参照</w:t>
      </w:r>
      <w:r>
        <w:rPr>
          <w:rFonts w:hint="eastAsia" w:ascii="Times New Roman" w:hAnsi="Times New Roman" w:eastAsia="仿宋" w:cs="Times New Roman"/>
          <w:color w:val="000000" w:themeColor="text1"/>
          <w:sz w:val="28"/>
          <w:szCs w:val="28"/>
          <w14:textFill>
            <w14:solidFill>
              <w14:schemeClr w14:val="tx1"/>
            </w14:solidFill>
          </w14:textFill>
        </w:rPr>
        <w:t>《规划环境影响评价技术导则 总纲》（HJ 130-2019）</w:t>
      </w:r>
      <w:r>
        <w:rPr>
          <w:rFonts w:hint="eastAsia" w:ascii="Times New Roman" w:hAnsi="Times New Roman" w:eastAsia="仿宋" w:cs="Times New Roman"/>
          <w:color w:val="000000" w:themeColor="text1"/>
          <w:sz w:val="28"/>
          <w:szCs w:val="28"/>
          <w:lang w:val="en-US"/>
          <w14:textFill>
            <w14:solidFill>
              <w14:schemeClr w14:val="tx1"/>
            </w14:solidFill>
          </w14:textFill>
        </w:rPr>
        <w:t>中环境敏感区的定义</w:t>
      </w:r>
      <w:r>
        <w:rPr>
          <w:rFonts w:hint="eastAsia" w:ascii="Times New Roman" w:hAnsi="Times New Roman" w:eastAsia="仿宋" w:cs="Times New Roman"/>
          <w:color w:val="000000" w:themeColor="text1"/>
          <w:sz w:val="28"/>
          <w:szCs w:val="28"/>
          <w14:textFill>
            <w14:solidFill>
              <w14:schemeClr w14:val="tx1"/>
            </w14:solidFill>
          </w14:textFill>
        </w:rPr>
        <w:t>。</w:t>
      </w:r>
    </w:p>
    <w:p>
      <w:pPr>
        <w:pStyle w:val="13"/>
        <w:spacing w:before="159" w:beforeLines="50" w:after="159" w:afterLines="50" w:line="360" w:lineRule="auto"/>
        <w:ind w:firstLine="562" w:firstLineChars="200"/>
        <w:jc w:val="both"/>
        <w:rPr>
          <w:rFonts w:ascii="Times New Roman" w:hAnsi="Times New Roman" w:eastAsia="仿宋" w:cs="Times New Roman"/>
          <w:b/>
          <w:bCs/>
          <w:color w:val="000000" w:themeColor="text1"/>
          <w:sz w:val="28"/>
          <w:szCs w:val="28"/>
          <w:lang w:val="en-US"/>
          <w14:textFill>
            <w14:solidFill>
              <w14:schemeClr w14:val="tx1"/>
            </w14:solidFill>
          </w14:textFill>
        </w:rPr>
      </w:pPr>
      <w:r>
        <w:rPr>
          <w:rFonts w:hint="eastAsia" w:ascii="Times New Roman" w:hAnsi="Times New Roman" w:eastAsia="仿宋" w:cs="Times New Roman"/>
          <w:b/>
          <w:bCs/>
          <w:color w:val="000000" w:themeColor="text1"/>
          <w:sz w:val="28"/>
          <w:szCs w:val="28"/>
          <w:lang w:val="en-US"/>
          <w14:textFill>
            <w14:solidFill>
              <w14:schemeClr w14:val="tx1"/>
            </w14:solidFill>
          </w14:textFill>
        </w:rPr>
        <w:t>（14）生态环境分区管控体系 ecological environment zoning control system</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根据《生态环境部办公厅关于印发〈区域空间生态环境评价工作实施方案〉的通知》（环办环评〔2018〕23号），“生态环境分区管控体系是将生态保护红线、环境质量底线、资源利用上线的要求，落实到区域空间上，根据区域空间生态环境属性制定生态环境准入清单，形成以“三线一单”为核心的生态环境分区管控体系”。本指南从空间布局约束、污染物排放管控、环境风险防控、资源开发效率等管控要求细化了生态环境分区管控体系的定义。</w:t>
      </w:r>
    </w:p>
    <w:bookmarkEnd w:id="112"/>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13" w:name="_Toc20152"/>
      <w:bookmarkStart w:id="114" w:name="_Toc30404"/>
      <w:bookmarkStart w:id="115" w:name="_Toc5827"/>
      <w:bookmarkStart w:id="116" w:name="_Toc5160"/>
      <w:bookmarkStart w:id="117" w:name="_Toc95134556"/>
      <w:bookmarkStart w:id="118" w:name="_Toc6061"/>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.4</w:t>
      </w:r>
      <w:r>
        <w:rPr>
          <w:rFonts w:hint="eastAsia" w:eastAsia="仿宋"/>
          <w:color w:val="000000" w:themeColor="text1"/>
          <w:sz w:val="30"/>
          <w:szCs w:val="30"/>
          <w14:textFill>
            <w14:solidFill>
              <w14:schemeClr w14:val="tx1"/>
            </w14:solidFill>
          </w14:textFill>
        </w:rPr>
        <w:t>编制</w:t>
      </w:r>
      <w:r>
        <w:rPr>
          <w:rFonts w:eastAsia="仿宋"/>
          <w:color w:val="000000" w:themeColor="text1"/>
          <w:sz w:val="30"/>
          <w:szCs w:val="30"/>
          <w14:textFill>
            <w14:solidFill>
              <w14:schemeClr w14:val="tx1"/>
            </w14:solidFill>
          </w14:textFill>
        </w:rPr>
        <w:t>原则</w:t>
      </w:r>
      <w:bookmarkEnd w:id="113"/>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ascii="Times New Roman" w:hAnsi="Times New Roman" w:eastAsia="仿宋" w:cs="Times New Roman"/>
          <w:color w:val="000000" w:themeColor="text1"/>
          <w:sz w:val="28"/>
          <w:szCs w:val="28"/>
          <w:lang w:val="en-US"/>
          <w14:textFill>
            <w14:solidFill>
              <w14:schemeClr w14:val="tx1"/>
            </w14:solidFill>
          </w14:textFill>
        </w:rPr>
        <w:t>生态环境准入清单源于“三线”划定管控成果的集成，是具体到每个环境管控单元</w:t>
      </w:r>
      <w:r>
        <w:rPr>
          <w:rFonts w:hint="eastAsia" w:ascii="Times New Roman" w:hAnsi="Times New Roman" w:eastAsia="仿宋" w:cs="Times New Roman"/>
          <w:color w:val="000000" w:themeColor="text1"/>
          <w:sz w:val="28"/>
          <w:szCs w:val="28"/>
          <w:lang w:val="en-US"/>
          <w14:textFill>
            <w14:solidFill>
              <w14:schemeClr w14:val="tx1"/>
            </w14:solidFill>
          </w14:textFill>
        </w:rPr>
        <w:t>，</w:t>
      </w:r>
      <w:r>
        <w:rPr>
          <w:rFonts w:ascii="Times New Roman" w:hAnsi="Times New Roman" w:eastAsia="仿宋" w:cs="Times New Roman"/>
          <w:color w:val="000000" w:themeColor="text1"/>
          <w:sz w:val="28"/>
          <w:szCs w:val="28"/>
          <w:lang w:val="en-US"/>
          <w14:textFill>
            <w14:solidFill>
              <w14:schemeClr w14:val="tx1"/>
            </w14:solidFill>
          </w14:textFill>
        </w:rPr>
        <w:t>落实底线思维和生态环境保护硬约束落地的重要出口。湖南省生态环境准入清单编制，在遵循《生态环境准入清单编制要点（试行）》（以下简称《编制要点》）提出的规范性、针对性、可操作性和动态更新基本原则的基础上，在编制与实践中结合自身管控特点和应用经验提出了具体实操原则</w:t>
      </w:r>
      <w:r>
        <w:rPr>
          <w:rFonts w:hint="eastAsia" w:ascii="Times New Roman" w:hAnsi="Times New Roman" w:eastAsia="仿宋" w:cs="Times New Roman"/>
          <w:color w:val="000000" w:themeColor="text1"/>
          <w:sz w:val="28"/>
          <w:szCs w:val="28"/>
          <w:lang w:val="en-US"/>
          <w14:textFill>
            <w14:solidFill>
              <w14:schemeClr w14:val="tx1"/>
            </w14:solidFill>
          </w14:textFill>
        </w:rPr>
        <w:t>。</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19" w:name="_Toc17667"/>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.5</w:t>
      </w:r>
      <w:r>
        <w:rPr>
          <w:rFonts w:hint="eastAsia" w:eastAsia="仿宋"/>
          <w:color w:val="000000" w:themeColor="text1"/>
          <w:sz w:val="30"/>
          <w:szCs w:val="30"/>
          <w14:textFill>
            <w14:solidFill>
              <w14:schemeClr w14:val="tx1"/>
            </w14:solidFill>
          </w14:textFill>
        </w:rPr>
        <w:t>生态环境准入清单体系及编制流程</w:t>
      </w:r>
      <w:bookmarkEnd w:id="119"/>
    </w:p>
    <w:p>
      <w:pPr>
        <w:autoSpaceDE w:val="0"/>
        <w:autoSpaceDN w:val="0"/>
        <w:adjustRightInd w:val="0"/>
        <w:spacing w:line="600" w:lineRule="exact"/>
        <w:ind w:firstLine="562" w:firstLineChars="200"/>
        <w:outlineLvl w:val="2"/>
        <w:rPr>
          <w:rFonts w:ascii="Times New Roman" w:hAnsi="Times New Roman" w:eastAsia="仿宋"/>
          <w:b/>
          <w:color w:val="000000" w:themeColor="text1"/>
          <w:sz w:val="28"/>
          <w:szCs w:val="28"/>
          <w14:textFill>
            <w14:solidFill>
              <w14:schemeClr w14:val="tx1"/>
            </w14:solidFill>
          </w14:textFill>
        </w:rPr>
      </w:pPr>
      <w:r>
        <w:rPr>
          <w:rFonts w:hint="eastAsia" w:ascii="Times New Roman" w:hAnsi="Times New Roman" w:eastAsia="仿宋"/>
          <w:b/>
          <w:color w:val="000000" w:themeColor="text1"/>
          <w:sz w:val="28"/>
          <w:szCs w:val="28"/>
          <w14:textFill>
            <w14:solidFill>
              <w14:schemeClr w14:val="tx1"/>
            </w14:solidFill>
          </w14:textFill>
        </w:rPr>
        <w:t>4.5.1生态环境准入清单体系</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以改善生态环境质量为核心，以生态环境目标和环境问题为导向，结合湖南省实际，建立包含省、板块、市（州）、单元构成“1+4+14+N”塔形生态环境准入清单体系，实现全省生态环境准入清单体系系统化、差异化、精准化管控目标。</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“1”是指针对全省优先保护单元、重点管控单元、一般管控单元制定的省级生态环境总体管控要求，体现生态环境管控单元的基础性、底线性要求。“1”简称“省级总要求”。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优先保护单元生态环境总体管控要求分别针对生态空间（包括生态保护红线和一般生态空间）、大气环境优先保护区（环境空气一类功能区）、水环境优先保护区（包括饮用水水源保护区、水产种质资源保护区、湿地公园、江河源头所在水环境优先保护区域）、农用地优先保护区（永久基本农田）明确了优先保护区域的管控导向；重点管控单元针对大气环境重点管控区（包括受体敏感区、布局敏感区、弱扩散区、高排放区）、水环境重点管控区（包括省级以上产业园区、超标断面、城镇生活污染源、涉重金属矿区所属水环境控制区域）、土壤环境风险重点管控区（包括农用地、建设用地和其他土壤污染风险重点管控区）、资源利用重点管控区（包括能源利用、水资源利用和土地资源利用重点管控区）分别提出了管控要求；一般管控单元分别提出了针对水环境、大气环境、土壤环境风险一般管控区的基本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“4”是指针对省级以上产业园区及“长株潭、洞庭湖、湘南、大湘西”等区域的生态环境总体管控要求，体现生态环境管控单元所在区域的特色性、规范性要求。“4”简称“四大板块总要求”。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“14”为市（州）级生态环境总体管控要求，体现生态环境管控单元所在市（州）的地域性、适用性要求。“14”简称“市（州）级总要求”。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“N”为生态环境管控单元对应的生态环境准入清单，包括省级以上产业园区单元清单和其它生态环境管控单元清单，分别体现各生态环境管控单元的差异性、落地性管控要求。“N”简称“清单”。</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目前，湖南省已经构建“860”个环境管控单元对应生态环境准入清单，包括144个省级以上产业园区单元和其它716个环境管控单元，“一单元一清单”突出管控重点，体现空间差异性和落地管控性要求。由于现有的“860”个环境管控单元的数量会随着园区和管控单位的变化而有所改变，因此本指南采用“N”来代表生态环境管控单元的生态环境准入清单。</w:t>
      </w:r>
    </w:p>
    <w:p>
      <w:pPr>
        <w:autoSpaceDE w:val="0"/>
        <w:autoSpaceDN w:val="0"/>
        <w:adjustRightInd w:val="0"/>
        <w:spacing w:line="600" w:lineRule="exact"/>
        <w:ind w:firstLine="562" w:firstLineChars="200"/>
        <w:outlineLvl w:val="2"/>
        <w:rPr>
          <w:rFonts w:ascii="Times New Roman" w:hAnsi="Times New Roman" w:eastAsia="仿宋"/>
          <w:b/>
          <w:color w:val="000000" w:themeColor="text1"/>
          <w:sz w:val="28"/>
          <w:szCs w:val="28"/>
          <w14:textFill>
            <w14:solidFill>
              <w14:schemeClr w14:val="tx1"/>
            </w14:solidFill>
          </w14:textFill>
        </w:rPr>
      </w:pPr>
      <w:r>
        <w:rPr>
          <w:rFonts w:hint="eastAsia" w:ascii="Times New Roman" w:hAnsi="Times New Roman" w:eastAsia="仿宋"/>
          <w:b/>
          <w:color w:val="000000" w:themeColor="text1"/>
          <w:sz w:val="28"/>
          <w:szCs w:val="28"/>
          <w14:textFill>
            <w14:solidFill>
              <w14:schemeClr w14:val="tx1"/>
            </w14:solidFill>
          </w14:textFill>
        </w:rPr>
        <w:t>4.5.2编制流程</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 xml:space="preserve"> </w:t>
      </w:r>
      <w:bookmarkStart w:id="120" w:name="_Hlk121141043"/>
      <w:r>
        <w:rPr>
          <w:rFonts w:hint="eastAsia" w:ascii="Times New Roman" w:hAnsi="Times New Roman" w:eastAsia="仿宋" w:cs="Times New Roman"/>
          <w:color w:val="000000" w:themeColor="text1"/>
          <w:sz w:val="28"/>
          <w:szCs w:val="28"/>
          <w:lang w:val="en-US"/>
          <w14:textFill>
            <w14:solidFill>
              <w14:schemeClr w14:val="tx1"/>
            </w14:solidFill>
          </w14:textFill>
        </w:rPr>
        <w:t>（1）</w:t>
      </w:r>
      <w:r>
        <w:rPr>
          <w:rFonts w:hint="eastAsia" w:ascii="Times New Roman" w:hAnsi="Times New Roman" w:eastAsia="仿宋" w:cs="Times New Roman"/>
          <w:color w:val="000000" w:themeColor="text1"/>
          <w:sz w:val="28"/>
          <w:szCs w:val="28"/>
          <w14:textFill>
            <w14:solidFill>
              <w14:schemeClr w14:val="tx1"/>
            </w14:solidFill>
          </w14:textFill>
        </w:rPr>
        <w:t>识别主要生态环境问题</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本指南明确了各县（市、区）主要环境问题清单的编制依据，做到提出的问题有据可查。问题清单主要以国家和省级污染防治攻坚战、碳达峰实施方案、减污降碳协同增效实施方案、环保督察、绿盾行动，省、市（州）春风行动、夏季攻势、利剑行动、守护蓝天以及各专项整治行动等，给地方提出的实际生态环境问题以及“三线”划分成果反映出的生态环境问题为主要依据。</w:t>
      </w:r>
    </w:p>
    <w:bookmarkEnd w:id="120"/>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bookmarkStart w:id="121" w:name="_Hlk121141067"/>
      <w:r>
        <w:rPr>
          <w:rFonts w:hint="eastAsia" w:ascii="Times New Roman" w:hAnsi="Times New Roman" w:eastAsia="仿宋" w:cs="Times New Roman"/>
          <w:color w:val="000000" w:themeColor="text1"/>
          <w:sz w:val="28"/>
          <w:szCs w:val="28"/>
          <w14:textFill>
            <w14:solidFill>
              <w14:schemeClr w14:val="tx1"/>
            </w14:solidFill>
          </w14:textFill>
        </w:rPr>
        <w:t>（</w:t>
      </w:r>
      <w:r>
        <w:rPr>
          <w:rFonts w:hint="eastAsia" w:ascii="Times New Roman" w:hAnsi="Times New Roman" w:eastAsia="仿宋" w:cs="Times New Roman"/>
          <w:color w:val="000000" w:themeColor="text1"/>
          <w:sz w:val="28"/>
          <w:szCs w:val="28"/>
          <w:lang w:val="en-US"/>
          <w14:textFill>
            <w14:solidFill>
              <w14:schemeClr w14:val="tx1"/>
            </w14:solidFill>
          </w14:textFill>
        </w:rPr>
        <w:t>2</w:t>
      </w:r>
      <w:r>
        <w:rPr>
          <w:rFonts w:hint="eastAsia" w:ascii="Times New Roman" w:hAnsi="Times New Roman" w:eastAsia="仿宋" w:cs="Times New Roman"/>
          <w:color w:val="000000" w:themeColor="text1"/>
          <w:sz w:val="28"/>
          <w:szCs w:val="28"/>
          <w14:textFill>
            <w14:solidFill>
              <w14:schemeClr w14:val="tx1"/>
            </w14:solidFill>
          </w14:textFill>
        </w:rPr>
        <w:t>）梳理既有环境管理要求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分层级全面梳理国家和地方涉及生态保护红线、环境质量底线、资源利用上线的环境要素相关法律法规、各类规划计划、政策文件、标准规范等，集成形成生态环境管理目录合集及条文素材库，形成既有环境管理要求词典。</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w:t>
      </w:r>
      <w:r>
        <w:rPr>
          <w:rFonts w:hint="eastAsia" w:ascii="Times New Roman" w:hAnsi="Times New Roman" w:eastAsia="仿宋" w:cs="Times New Roman"/>
          <w:color w:val="000000" w:themeColor="text1"/>
          <w:sz w:val="28"/>
          <w:szCs w:val="28"/>
          <w:lang w:val="en-US"/>
          <w14:textFill>
            <w14:solidFill>
              <w14:schemeClr w14:val="tx1"/>
            </w14:solidFill>
          </w14:textFill>
        </w:rPr>
        <w:t>3</w:t>
      </w:r>
      <w:r>
        <w:rPr>
          <w:rFonts w:hint="eastAsia" w:ascii="Times New Roman" w:hAnsi="Times New Roman" w:eastAsia="仿宋" w:cs="Times New Roman"/>
          <w:color w:val="000000" w:themeColor="text1"/>
          <w:sz w:val="28"/>
          <w:szCs w:val="28"/>
          <w14:textFill>
            <w14:solidFill>
              <w14:schemeClr w14:val="tx1"/>
            </w14:solidFill>
          </w14:textFill>
        </w:rPr>
        <w:t>） 衔接“三线”管控要求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将生态保护红线、环境质量底线、资源利用上线各要素分区属性涉及的既有环境管理要求与“三线”划定成果相衔接，分区域、分流域、分阶段，将“三线”管控要求在空间上落实到各生态环境管控单元或该单元所在的行政区域。</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w:t>
      </w:r>
      <w:r>
        <w:rPr>
          <w:rFonts w:hint="eastAsia" w:ascii="Times New Roman" w:hAnsi="Times New Roman" w:eastAsia="仿宋" w:cs="Times New Roman"/>
          <w:color w:val="000000" w:themeColor="text1"/>
          <w:sz w:val="28"/>
          <w:szCs w:val="28"/>
          <w:lang w:val="en-US"/>
          <w14:textFill>
            <w14:solidFill>
              <w14:schemeClr w14:val="tx1"/>
            </w14:solidFill>
          </w14:textFill>
        </w:rPr>
        <w:t>4</w:t>
      </w:r>
      <w:r>
        <w:rPr>
          <w:rFonts w:hint="eastAsia" w:ascii="Times New Roman" w:hAnsi="Times New Roman" w:eastAsia="仿宋" w:cs="Times New Roman"/>
          <w:color w:val="000000" w:themeColor="text1"/>
          <w:sz w:val="28"/>
          <w:szCs w:val="28"/>
          <w14:textFill>
            <w14:solidFill>
              <w14:schemeClr w14:val="tx1"/>
            </w14:solidFill>
          </w14:textFill>
        </w:rPr>
        <w:t>）分析经济产业布局需求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分级研判省-市-县城镇建设、资源开发和产业发展形势，明确区域发展方向和生态环境功能定位，形成分区县经济产业布局方案。</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在</w:t>
      </w:r>
      <w:r>
        <w:rPr>
          <w:rFonts w:hint="eastAsia" w:ascii="Times New Roman" w:hAnsi="Times New Roman" w:eastAsia="仿宋" w:cs="Times New Roman"/>
          <w:color w:val="000000" w:themeColor="text1"/>
          <w:sz w:val="28"/>
          <w:szCs w:val="28"/>
          <w:lang w:val="en-US"/>
          <w14:textFill>
            <w14:solidFill>
              <w14:schemeClr w14:val="tx1"/>
            </w14:solidFill>
          </w14:textFill>
        </w:rPr>
        <w:t>以上4点的基础上</w:t>
      </w:r>
      <w:r>
        <w:rPr>
          <w:rFonts w:hint="eastAsia" w:ascii="Times New Roman" w:hAnsi="Times New Roman" w:eastAsia="仿宋" w:cs="Times New Roman"/>
          <w:color w:val="000000" w:themeColor="text1"/>
          <w:sz w:val="28"/>
          <w:szCs w:val="28"/>
          <w14:textFill>
            <w14:solidFill>
              <w14:schemeClr w14:val="tx1"/>
            </w14:solidFill>
          </w14:textFill>
        </w:rPr>
        <w:t>分层级提炼管控要求，编写形成</w:t>
      </w:r>
      <w:bookmarkStart w:id="122" w:name="_Hlk120028987"/>
      <w:r>
        <w:rPr>
          <w:rFonts w:hint="eastAsia" w:ascii="Times New Roman" w:hAnsi="Times New Roman" w:eastAsia="仿宋" w:cs="Times New Roman"/>
          <w:color w:val="000000" w:themeColor="text1"/>
          <w:sz w:val="28"/>
          <w:szCs w:val="28"/>
          <w14:textFill>
            <w14:solidFill>
              <w14:schemeClr w14:val="tx1"/>
            </w14:solidFill>
          </w14:textFill>
        </w:rPr>
        <w:t>省级总要求、四大板块总要求、市（州）级总要求、产业园区清单和</w:t>
      </w:r>
      <w:r>
        <w:rPr>
          <w:rFonts w:hint="eastAsia" w:ascii="Times New Roman" w:hAnsi="Times New Roman" w:eastAsia="仿宋" w:cs="Times New Roman"/>
          <w:color w:val="000000" w:themeColor="text1"/>
          <w:sz w:val="28"/>
          <w:szCs w:val="28"/>
          <w:lang w:val="en-US"/>
          <w14:textFill>
            <w14:solidFill>
              <w14:schemeClr w14:val="tx1"/>
            </w14:solidFill>
          </w14:textFill>
        </w:rPr>
        <w:t>其他</w:t>
      </w:r>
      <w:r>
        <w:rPr>
          <w:rFonts w:hint="eastAsia" w:ascii="Times New Roman" w:hAnsi="Times New Roman" w:eastAsia="仿宋" w:cs="Times New Roman"/>
          <w:color w:val="000000" w:themeColor="text1"/>
          <w:sz w:val="28"/>
          <w:szCs w:val="28"/>
          <w14:textFill>
            <w14:solidFill>
              <w14:schemeClr w14:val="tx1"/>
            </w14:solidFill>
          </w14:textFill>
        </w:rPr>
        <w:t>单元清单，分层级明确各环境管控单元执行的管控要求。</w:t>
      </w:r>
    </w:p>
    <w:bookmarkEnd w:id="121"/>
    <w:bookmarkEnd w:id="122"/>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23" w:name="_Toc14272"/>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w:t>
      </w:r>
      <w:bookmarkEnd w:id="110"/>
      <w:bookmarkEnd w:id="114"/>
      <w:bookmarkEnd w:id="115"/>
      <w:bookmarkEnd w:id="116"/>
      <w:bookmarkEnd w:id="117"/>
      <w:bookmarkEnd w:id="118"/>
      <w:r>
        <w:rPr>
          <w:rFonts w:eastAsia="仿宋"/>
          <w:color w:val="000000" w:themeColor="text1"/>
          <w:sz w:val="30"/>
          <w:szCs w:val="30"/>
          <w14:textFill>
            <w14:solidFill>
              <w14:schemeClr w14:val="tx1"/>
            </w14:solidFill>
          </w14:textFill>
        </w:rPr>
        <w:t>6</w:t>
      </w:r>
      <w:r>
        <w:rPr>
          <w:rFonts w:hint="eastAsia" w:eastAsia="仿宋"/>
          <w:color w:val="000000" w:themeColor="text1"/>
          <w:sz w:val="30"/>
          <w:szCs w:val="30"/>
          <w14:textFill>
            <w14:solidFill>
              <w14:schemeClr w14:val="tx1"/>
            </w14:solidFill>
          </w14:textFill>
        </w:rPr>
        <w:t>一般性要求</w:t>
      </w:r>
      <w:bookmarkEnd w:id="123"/>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综合考虑生态环境准入清单编制的科学性、逻辑性、针对性和可操作性，结合国家发布的关于生态环境准入清单编制要求等规范性文件，对湖南省生态环境准入清单的编写提出一般性要求。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本指南结合湖南省实际，对各管控分区的总体管控要求和生态环境准入清单的表述方式加以规范，空间布局约束、污染物排放管控、环境风险防控、资源开发效率</w:t>
      </w:r>
      <w:r>
        <w:rPr>
          <w:rFonts w:hint="eastAsia" w:ascii="Times New Roman" w:hAnsi="Times New Roman" w:eastAsia="仿宋" w:cs="Times New Roman"/>
          <w:color w:val="000000" w:themeColor="text1"/>
          <w:sz w:val="28"/>
          <w:szCs w:val="28"/>
          <w:lang w:val="en-US"/>
          <w14:textFill>
            <w14:solidFill>
              <w14:schemeClr w14:val="tx1"/>
            </w14:solidFill>
          </w14:textFill>
        </w:rPr>
        <w:t>等</w:t>
      </w:r>
      <w:r>
        <w:rPr>
          <w:rFonts w:hint="eastAsia" w:ascii="Times New Roman" w:hAnsi="Times New Roman" w:eastAsia="仿宋" w:cs="Times New Roman"/>
          <w:color w:val="000000" w:themeColor="text1"/>
          <w:sz w:val="28"/>
          <w:szCs w:val="28"/>
          <w14:textFill>
            <w14:solidFill>
              <w14:schemeClr w14:val="tx1"/>
            </w14:solidFill>
          </w14:textFill>
        </w:rPr>
        <w:t>维度管控要求的表述方式，</w:t>
      </w:r>
      <w:r>
        <w:rPr>
          <w:rFonts w:ascii="Times New Roman" w:hAnsi="Times New Roman" w:eastAsia="仿宋" w:cs="Times New Roman"/>
          <w:color w:val="000000" w:themeColor="text1"/>
          <w:sz w:val="28"/>
          <w:szCs w:val="28"/>
          <w14:textFill>
            <w14:solidFill>
              <w14:schemeClr w14:val="tx1"/>
            </w14:solidFill>
          </w14:textFill>
        </w:rPr>
        <w:t>可参照</w:t>
      </w:r>
      <w:r>
        <w:rPr>
          <w:rFonts w:hint="eastAsia" w:ascii="Times New Roman" w:hAnsi="Times New Roman" w:eastAsia="仿宋" w:cs="Times New Roman"/>
          <w:color w:val="000000" w:themeColor="text1"/>
          <w:sz w:val="28"/>
          <w:szCs w:val="28"/>
          <w14:textFill>
            <w14:solidFill>
              <w14:schemeClr w14:val="tx1"/>
            </w14:solidFill>
          </w14:textFill>
        </w:rPr>
        <w:t>附录</w:t>
      </w:r>
      <w:r>
        <w:rPr>
          <w:rFonts w:ascii="Times New Roman" w:hAnsi="Times New Roman" w:eastAsia="仿宋" w:cs="Times New Roman"/>
          <w:color w:val="000000" w:themeColor="text1"/>
          <w:sz w:val="28"/>
          <w:szCs w:val="28"/>
          <w14:textFill>
            <w14:solidFill>
              <w14:schemeClr w14:val="tx1"/>
            </w14:solidFill>
          </w14:textFill>
        </w:rPr>
        <w:t>A.1.2</w:t>
      </w:r>
      <w:r>
        <w:rPr>
          <w:rFonts w:hint="eastAsia" w:ascii="Times New Roman" w:hAnsi="Times New Roman" w:eastAsia="仿宋" w:cs="Times New Roman"/>
          <w:color w:val="000000" w:themeColor="text1"/>
          <w:sz w:val="28"/>
          <w:szCs w:val="28"/>
          <w14:textFill>
            <w14:solidFill>
              <w14:schemeClr w14:val="tx1"/>
            </w14:solidFill>
          </w14:textFill>
        </w:rPr>
        <w:t>。</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24" w:name="_Toc23520"/>
      <w:bookmarkStart w:id="125" w:name="_Toc4390"/>
      <w:bookmarkStart w:id="126" w:name="_Toc22349"/>
      <w:bookmarkStart w:id="127" w:name="_Toc132"/>
      <w:bookmarkStart w:id="128" w:name="_Toc95134559"/>
      <w:bookmarkStart w:id="129" w:name="_Toc20185"/>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w:t>
      </w:r>
      <w:r>
        <w:rPr>
          <w:rFonts w:hint="eastAsia" w:eastAsia="仿宋"/>
          <w:color w:val="000000" w:themeColor="text1"/>
          <w:sz w:val="30"/>
          <w:szCs w:val="30"/>
          <w14:textFill>
            <w14:solidFill>
              <w14:schemeClr w14:val="tx1"/>
            </w14:solidFill>
          </w14:textFill>
        </w:rPr>
        <w:t>7省级总要求编写</w:t>
      </w:r>
      <w:bookmarkEnd w:id="124"/>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“省级总要求编写”体现生态环境管控单元的基础性、底线性要求。本指南的省级总要求分别从优先保护单元、重点管控单元、一般管控单元三类生态环境管控单元的总体管控细化编写要求。</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30" w:name="_Toc17130"/>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w:t>
      </w:r>
      <w:r>
        <w:rPr>
          <w:rFonts w:hint="eastAsia" w:eastAsia="仿宋"/>
          <w:color w:val="000000" w:themeColor="text1"/>
          <w:sz w:val="30"/>
          <w:szCs w:val="30"/>
          <w14:textFill>
            <w14:solidFill>
              <w14:schemeClr w14:val="tx1"/>
            </w14:solidFill>
          </w14:textFill>
        </w:rPr>
        <w:t>8四大板块总要求编写</w:t>
      </w:r>
      <w:bookmarkEnd w:id="130"/>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四大板块总要求编写”体现生态管控单元所在区域的特色性、规范性要求，体现引导-约束-限制-鼓励的思路。按照“长株潭、洞庭湖、湘南、大湘西”四大板块的产业发展布局，针对四大板块的省级产业园区提出总体管控要求，强化各板块管控的重点和特点。</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31" w:name="_Toc31295"/>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w:t>
      </w:r>
      <w:r>
        <w:rPr>
          <w:rFonts w:hint="eastAsia" w:eastAsia="仿宋"/>
          <w:color w:val="000000" w:themeColor="text1"/>
          <w:sz w:val="30"/>
          <w:szCs w:val="30"/>
          <w14:textFill>
            <w14:solidFill>
              <w14:schemeClr w14:val="tx1"/>
            </w14:solidFill>
          </w14:textFill>
        </w:rPr>
        <w:t>9市（州）级总要求编写</w:t>
      </w:r>
      <w:bookmarkEnd w:id="131"/>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市（州）级总要求编写”体现生态管控单元所在市州的地域性、适用性要求。将对全市适用的法律法规、规章、政策性文件、规划计划等既有环境管理要求集中纳入市级总清单，包含各县区产业发展布局方案和主要环境问题清单。</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32" w:name="_Toc6872"/>
      <w:r>
        <w:rPr>
          <w:rFonts w:hint="eastAsia" w:eastAsia="仿宋"/>
          <w:color w:val="000000" w:themeColor="text1"/>
          <w:sz w:val="30"/>
          <w:szCs w:val="30"/>
          <w14:textFill>
            <w14:solidFill>
              <w14:schemeClr w14:val="tx1"/>
            </w14:solidFill>
          </w14:textFill>
        </w:rPr>
        <w:t>4</w:t>
      </w:r>
      <w:r>
        <w:rPr>
          <w:rFonts w:eastAsia="仿宋"/>
          <w:color w:val="000000" w:themeColor="text1"/>
          <w:sz w:val="30"/>
          <w:szCs w:val="30"/>
          <w14:textFill>
            <w14:solidFill>
              <w14:schemeClr w14:val="tx1"/>
            </w14:solidFill>
          </w14:textFill>
        </w:rPr>
        <w:t>.</w:t>
      </w:r>
      <w:r>
        <w:rPr>
          <w:rFonts w:hint="eastAsia" w:eastAsia="仿宋"/>
          <w:color w:val="000000" w:themeColor="text1"/>
          <w:sz w:val="30"/>
          <w:szCs w:val="30"/>
          <w14:textFill>
            <w14:solidFill>
              <w14:schemeClr w14:val="tx1"/>
            </w14:solidFill>
          </w14:textFill>
        </w:rPr>
        <w:t>10生态环境准入清单编写</w:t>
      </w:r>
      <w:bookmarkEnd w:id="132"/>
    </w:p>
    <w:bookmarkEnd w:id="125"/>
    <w:bookmarkEnd w:id="126"/>
    <w:bookmarkEnd w:id="127"/>
    <w:bookmarkEnd w:id="128"/>
    <w:bookmarkEnd w:id="129"/>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本指南分别从“产业园区清单”和“其他单元清单”两个类别细化编写要求。为贯彻落实党的“二十大”报告精神，将“碳排放总量和强度‘双控’制度”的要求纳入到</w:t>
      </w:r>
      <w:r>
        <w:rPr>
          <w:rFonts w:hint="eastAsia" w:eastAsia="仿宋"/>
          <w:color w:val="000000" w:themeColor="text1"/>
          <w:sz w:val="30"/>
          <w:szCs w:val="30"/>
          <w:lang w:val="en-US"/>
          <w14:textFill>
            <w14:solidFill>
              <w14:schemeClr w14:val="tx1"/>
            </w14:solidFill>
          </w14:textFill>
        </w:rPr>
        <w:t>生态环境准入清单的编写中。</w:t>
      </w:r>
      <w:r>
        <w:rPr>
          <w:rFonts w:hint="eastAsia" w:ascii="Times New Roman" w:hAnsi="Times New Roman" w:eastAsia="仿宋" w:cs="Times New Roman"/>
          <w:color w:val="000000" w:themeColor="text1"/>
          <w:sz w:val="28"/>
          <w:szCs w:val="28"/>
          <w:lang w:val="en-US"/>
          <w14:textFill>
            <w14:solidFill>
              <w14:schemeClr w14:val="tx1"/>
            </w14:solidFill>
          </w14:textFill>
        </w:rPr>
        <w:t>“产业园区清单”</w:t>
      </w:r>
      <w:r>
        <w:rPr>
          <w:rFonts w:hint="eastAsia" w:ascii="Times New Roman" w:hAnsi="Times New Roman" w:eastAsia="仿宋" w:cs="Times New Roman"/>
          <w:color w:val="000000" w:themeColor="text1"/>
          <w:sz w:val="28"/>
          <w:szCs w:val="28"/>
          <w14:textFill>
            <w14:solidFill>
              <w14:schemeClr w14:val="tx1"/>
            </w14:solidFill>
          </w14:textFill>
        </w:rPr>
        <w:t>编写紧密结合</w:t>
      </w:r>
      <w:r>
        <w:rPr>
          <w:rFonts w:hint="eastAsia" w:ascii="Times New Roman" w:hAnsi="Times New Roman" w:eastAsia="仿宋" w:cs="Times New Roman"/>
          <w:color w:val="000000" w:themeColor="text1"/>
          <w:sz w:val="28"/>
          <w:szCs w:val="28"/>
          <w:lang w:val="en-US"/>
          <w14:textFill>
            <w14:solidFill>
              <w14:schemeClr w14:val="tx1"/>
            </w14:solidFill>
          </w14:textFill>
        </w:rPr>
        <w:t>产业园区</w:t>
      </w:r>
      <w:r>
        <w:rPr>
          <w:rFonts w:hint="eastAsia" w:ascii="Times New Roman" w:hAnsi="Times New Roman" w:eastAsia="仿宋" w:cs="Times New Roman"/>
          <w:color w:val="000000" w:themeColor="text1"/>
          <w:sz w:val="28"/>
          <w:szCs w:val="28"/>
          <w14:textFill>
            <w14:solidFill>
              <w14:schemeClr w14:val="tx1"/>
            </w14:solidFill>
          </w14:textFill>
        </w:rPr>
        <w:t>特点，着重针对重点行业、主要环境问题、重要敏感目标等提出具有可操作性的管控要求；</w:t>
      </w:r>
      <w:r>
        <w:rPr>
          <w:rFonts w:hint="eastAsia" w:ascii="Times New Roman" w:hAnsi="Times New Roman" w:eastAsia="仿宋" w:cs="Times New Roman"/>
          <w:color w:val="000000" w:themeColor="text1"/>
          <w:sz w:val="28"/>
          <w:szCs w:val="28"/>
          <w:lang w:val="en-US"/>
          <w14:textFill>
            <w14:solidFill>
              <w14:schemeClr w14:val="tx1"/>
            </w14:solidFill>
          </w14:textFill>
        </w:rPr>
        <w:t>“其他单元清单”编写</w:t>
      </w:r>
      <w:r>
        <w:rPr>
          <w:rFonts w:hint="eastAsia" w:ascii="Times New Roman" w:hAnsi="Times New Roman" w:eastAsia="仿宋" w:cs="Times New Roman"/>
          <w:color w:val="000000" w:themeColor="text1"/>
          <w:sz w:val="28"/>
          <w:szCs w:val="28"/>
          <w14:textFill>
            <w14:solidFill>
              <w14:schemeClr w14:val="tx1"/>
            </w14:solidFill>
          </w14:textFill>
        </w:rPr>
        <w:t>体现生态环境管控单元的针对性、可操作性要求。基于“三线”成果，针对环境问题，结合主体功能定位和地方发展需求，将既有管理要求和单元实际情况紧密结合，提出管控要求。</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33" w:name="_Toc17872"/>
      <w:bookmarkStart w:id="134" w:name="_Toc13087"/>
      <w:bookmarkStart w:id="135" w:name="_Toc6750"/>
      <w:bookmarkStart w:id="136" w:name="_Toc9773"/>
      <w:bookmarkStart w:id="137" w:name="_Toc95134560"/>
      <w:bookmarkStart w:id="138" w:name="_Toc369"/>
      <w:r>
        <w:rPr>
          <w:rFonts w:hint="eastAsia" w:eastAsia="仿宋"/>
          <w:color w:val="000000" w:themeColor="text1"/>
          <w:sz w:val="30"/>
          <w:szCs w:val="30"/>
          <w14:textFill>
            <w14:solidFill>
              <w14:schemeClr w14:val="tx1"/>
            </w14:solidFill>
          </w14:textFill>
        </w:rPr>
        <w:t>4.</w:t>
      </w:r>
      <w:bookmarkEnd w:id="133"/>
      <w:bookmarkEnd w:id="134"/>
      <w:bookmarkEnd w:id="135"/>
      <w:bookmarkEnd w:id="136"/>
      <w:bookmarkEnd w:id="137"/>
      <w:r>
        <w:rPr>
          <w:rFonts w:hint="eastAsia" w:eastAsia="仿宋"/>
          <w:color w:val="000000" w:themeColor="text1"/>
          <w:sz w:val="30"/>
          <w:szCs w:val="30"/>
          <w14:textFill>
            <w14:solidFill>
              <w14:schemeClr w14:val="tx1"/>
            </w14:solidFill>
          </w14:textFill>
        </w:rPr>
        <w:t>11成果及使用规范</w:t>
      </w:r>
      <w:bookmarkEnd w:id="138"/>
    </w:p>
    <w:p>
      <w:pPr>
        <w:ind w:firstLine="560" w:firstLineChars="200"/>
        <w:rPr>
          <w:rFonts w:ascii="Times New Roman" w:hAnsi="Times New Roman" w:eastAsia="仿宋"/>
          <w:color w:val="000000" w:themeColor="text1"/>
          <w:kern w:val="0"/>
          <w:sz w:val="28"/>
          <w:szCs w:val="28"/>
          <w:lang w:val="zh-CN" w:bidi="zh-CN"/>
          <w14:textFill>
            <w14:solidFill>
              <w14:schemeClr w14:val="tx1"/>
            </w14:solidFill>
          </w14:textFill>
        </w:rPr>
      </w:pPr>
      <w:r>
        <w:rPr>
          <w:rFonts w:hint="eastAsia" w:ascii="Times New Roman" w:hAnsi="Times New Roman" w:eastAsia="仿宋"/>
          <w:color w:val="000000" w:themeColor="text1"/>
          <w:kern w:val="0"/>
          <w:sz w:val="28"/>
          <w:szCs w:val="28"/>
          <w:lang w:val="zh-CN" w:bidi="zh-CN"/>
          <w14:textFill>
            <w14:solidFill>
              <w14:schemeClr w14:val="tx1"/>
            </w14:solidFill>
          </w14:textFill>
        </w:rPr>
        <w:t>为保证湖南省生态环境准入清单成果的合规性，生态环境准入清单编码与生态环境管控单元编码一一对应，编码规则具体要求见指南的附录A（A.2）。生态环境准入清单成果的提交、审核和入库，参照国家和湖南省有关文件规定。</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为解决准入清单执行过程中涉及到管控要求不一致的情况，使用规范规定：全省各级准入清单执行过程中涉及到管控要求不一致的，按照法律效力高的、最新的、最严格的管控要求执行。</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湖南省生态环境准入清单体系管理结构层次明晰逻辑性较强，在各级清单内容选取上层层指导，避免重复。因此各环境管控单元需满足每一层级的管控要求。使用规范规定：根据环境管控单元所涉及的区域、流域的各环境、资源要素属性，自上而下依次查阅省级总要求、四大板块总要求、市（州）级总要求、产业园区清单和</w:t>
      </w:r>
      <w:r>
        <w:rPr>
          <w:rFonts w:hint="eastAsia" w:ascii="Times New Roman" w:hAnsi="Times New Roman" w:eastAsia="仿宋" w:cs="Times New Roman"/>
          <w:color w:val="000000" w:themeColor="text1"/>
          <w:sz w:val="28"/>
          <w:szCs w:val="28"/>
          <w:lang w:val="en-US"/>
          <w14:textFill>
            <w14:solidFill>
              <w14:schemeClr w14:val="tx1"/>
            </w14:solidFill>
          </w14:textFill>
        </w:rPr>
        <w:t>其他</w:t>
      </w:r>
      <w:r>
        <w:rPr>
          <w:rFonts w:hint="eastAsia" w:ascii="Times New Roman" w:hAnsi="Times New Roman" w:eastAsia="仿宋" w:cs="Times New Roman"/>
          <w:color w:val="000000" w:themeColor="text1"/>
          <w:sz w:val="28"/>
          <w:szCs w:val="28"/>
          <w14:textFill>
            <w14:solidFill>
              <w14:schemeClr w14:val="tx1"/>
            </w14:solidFill>
          </w14:textFill>
        </w:rPr>
        <w:t>单元清单，分层级明确各环境管控单元执行的管控要求。</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39" w:name="_Toc24555"/>
      <w:r>
        <w:rPr>
          <w:rFonts w:hint="eastAsia" w:eastAsia="仿宋"/>
          <w:color w:val="000000" w:themeColor="text1"/>
          <w:sz w:val="30"/>
          <w:szCs w:val="30"/>
          <w14:textFill>
            <w14:solidFill>
              <w14:schemeClr w14:val="tx1"/>
            </w14:solidFill>
          </w14:textFill>
        </w:rPr>
        <w:t>4.12修订与动态更新</w:t>
      </w:r>
      <w:bookmarkEnd w:id="139"/>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随着绿色发展理念深化、生态文明建设推进、环境保护要求提升、社会经济技术进步等因素变化，“三线一单”相关管理要求逐步完善、动态更新，原则上更新周期为5年。根据生态环境部于2021年发布《关于实施“三线一单”生态环境分区管控的指导意见》（试行）：“原则上，每五年可根据实际需要对“三线一单”生态环境分区管控成果进行调整。”</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根据生态环境部最新文件工作要求，确定</w:t>
      </w:r>
      <w:r>
        <w:rPr>
          <w:rFonts w:hint="eastAsia" w:ascii="Times New Roman" w:hAnsi="Times New Roman" w:eastAsia="仿宋" w:cs="Times New Roman"/>
          <w:color w:val="000000" w:themeColor="text1"/>
          <w:sz w:val="28"/>
          <w:szCs w:val="28"/>
          <w:lang w:val="en-US"/>
          <w14:textFill>
            <w14:solidFill>
              <w14:schemeClr w14:val="tx1"/>
            </w14:solidFill>
          </w14:textFill>
        </w:rPr>
        <w:t>了</w:t>
      </w:r>
      <w:r>
        <w:rPr>
          <w:rFonts w:hint="eastAsia" w:ascii="Times New Roman" w:hAnsi="Times New Roman" w:eastAsia="仿宋" w:cs="Times New Roman"/>
          <w:color w:val="000000" w:themeColor="text1"/>
          <w:sz w:val="28"/>
          <w:szCs w:val="28"/>
          <w14:textFill>
            <w14:solidFill>
              <w14:schemeClr w14:val="tx1"/>
            </w14:solidFill>
          </w14:textFill>
        </w:rPr>
        <w:t>生态环境准入清单更新调整机制、动态更新基本要求、定期调整基本程序等。</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本指南</w:t>
      </w:r>
      <w:r>
        <w:rPr>
          <w:rFonts w:hint="eastAsia" w:ascii="Times New Roman" w:hAnsi="Times New Roman" w:eastAsia="仿宋" w:cs="Times New Roman"/>
          <w:color w:val="000000" w:themeColor="text1"/>
          <w:sz w:val="28"/>
          <w:szCs w:val="28"/>
          <w:lang w:val="en-US"/>
          <w14:textFill>
            <w14:solidFill>
              <w14:schemeClr w14:val="tx1"/>
            </w14:solidFill>
          </w14:textFill>
        </w:rPr>
        <w:t>根据以上文件</w:t>
      </w:r>
      <w:r>
        <w:rPr>
          <w:rFonts w:hint="eastAsia" w:ascii="Times New Roman" w:hAnsi="Times New Roman" w:eastAsia="仿宋" w:cs="Times New Roman"/>
          <w:color w:val="000000" w:themeColor="text1"/>
          <w:sz w:val="28"/>
          <w:szCs w:val="28"/>
          <w14:textFill>
            <w14:solidFill>
              <w14:schemeClr w14:val="tx1"/>
            </w14:solidFill>
          </w14:textFill>
        </w:rPr>
        <w:t>明确了</w:t>
      </w:r>
      <w:r>
        <w:rPr>
          <w:rFonts w:hint="eastAsia" w:ascii="Times New Roman" w:hAnsi="Times New Roman" w:eastAsia="仿宋" w:cs="Times New Roman"/>
          <w:color w:val="000000" w:themeColor="text1"/>
          <w:sz w:val="28"/>
          <w:szCs w:val="28"/>
          <w:lang w:val="en-US"/>
          <w14:textFill>
            <w14:solidFill>
              <w14:schemeClr w14:val="tx1"/>
            </w14:solidFill>
          </w14:textFill>
        </w:rPr>
        <w:t>湖南省生态环境准入清单</w:t>
      </w:r>
      <w:r>
        <w:rPr>
          <w:rFonts w:hint="eastAsia" w:ascii="Times New Roman" w:hAnsi="Times New Roman" w:eastAsia="仿宋" w:cs="Times New Roman"/>
          <w:color w:val="000000" w:themeColor="text1"/>
          <w:sz w:val="28"/>
          <w:szCs w:val="28"/>
          <w14:textFill>
            <w14:solidFill>
              <w14:schemeClr w14:val="tx1"/>
            </w14:solidFill>
          </w14:textFill>
        </w:rPr>
        <w:t>修订与动态更新的要求。</w:t>
      </w:r>
    </w:p>
    <w:p>
      <w:pPr>
        <w:pStyle w:val="4"/>
        <w:spacing w:line="600" w:lineRule="exact"/>
        <w:ind w:firstLine="602" w:firstLineChars="200"/>
        <w:rPr>
          <w:rFonts w:eastAsia="仿宋"/>
          <w:color w:val="000000" w:themeColor="text1"/>
          <w:sz w:val="30"/>
          <w:szCs w:val="30"/>
          <w14:textFill>
            <w14:solidFill>
              <w14:schemeClr w14:val="tx1"/>
            </w14:solidFill>
          </w14:textFill>
        </w:rPr>
      </w:pPr>
      <w:bookmarkStart w:id="140" w:name="_Toc2913"/>
      <w:bookmarkStart w:id="141" w:name="_Toc95134561"/>
      <w:bookmarkStart w:id="142" w:name="_Toc18555"/>
      <w:bookmarkStart w:id="143" w:name="_Toc1720"/>
      <w:bookmarkStart w:id="144" w:name="_Toc27361"/>
      <w:bookmarkStart w:id="145" w:name="_Toc4495"/>
      <w:r>
        <w:rPr>
          <w:rFonts w:hint="eastAsia" w:eastAsia="仿宋"/>
          <w:color w:val="000000" w:themeColor="text1"/>
          <w:sz w:val="30"/>
          <w:szCs w:val="30"/>
          <w14:textFill>
            <w14:solidFill>
              <w14:schemeClr w14:val="tx1"/>
            </w14:solidFill>
          </w14:textFill>
        </w:rPr>
        <w:t>4.13附录</w:t>
      </w:r>
      <w:bookmarkEnd w:id="140"/>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4.13.1附录A</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 xml:space="preserve"> 附录A从“总体编制思路参照和表述要求”、“生态环境管控单元编码规则”、“湖南省生态环境准入清单的更新要求”三个方面更加细化了生态环境准入清单的编制要求。</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4.13.2附录B</w:t>
      </w:r>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lang w:val="en-US"/>
          <w14:textFill>
            <w14:solidFill>
              <w14:schemeClr w14:val="tx1"/>
            </w14:solidFill>
          </w14:textFill>
        </w:rPr>
      </w:pPr>
      <w:r>
        <w:rPr>
          <w:rFonts w:hint="eastAsia" w:ascii="Times New Roman" w:hAnsi="Times New Roman" w:eastAsia="仿宋" w:cs="Times New Roman"/>
          <w:color w:val="000000" w:themeColor="text1"/>
          <w:sz w:val="28"/>
          <w:szCs w:val="28"/>
          <w:lang w:val="en-US"/>
          <w14:textFill>
            <w14:solidFill>
              <w14:schemeClr w14:val="tx1"/>
            </w14:solidFill>
          </w14:textFill>
        </w:rPr>
        <w:t>附录B为生态环境准入清单编写格式示例，包括：省级总要求、四大板块总要求、市级总要求、省级以上产业园区单元清单和其它生态环境管控单元清单格式示例。</w:t>
      </w:r>
    </w:p>
    <w:p>
      <w:pPr>
        <w:pStyle w:val="3"/>
        <w:spacing w:line="600" w:lineRule="exact"/>
        <w:ind w:firstLine="640" w:firstLineChars="200"/>
        <w:rPr>
          <w:rFonts w:ascii="华文仿宋" w:hAnsi="华文仿宋" w:eastAsia="华文仿宋" w:cs="华文仿宋"/>
          <w:color w:val="000000" w:themeColor="text1"/>
          <w:sz w:val="32"/>
          <w:szCs w:val="32"/>
          <w14:textFill>
            <w14:solidFill>
              <w14:schemeClr w14:val="tx1"/>
            </w14:solidFill>
          </w14:textFill>
        </w:rPr>
      </w:pPr>
      <w:bookmarkStart w:id="146" w:name="_Toc16404"/>
      <w:r>
        <w:rPr>
          <w:rFonts w:hint="eastAsia" w:ascii="华文仿宋" w:hAnsi="华文仿宋" w:eastAsia="华文仿宋" w:cs="华文仿宋"/>
          <w:color w:val="000000" w:themeColor="text1"/>
          <w:sz w:val="32"/>
          <w:szCs w:val="32"/>
          <w14:textFill>
            <w14:solidFill>
              <w14:schemeClr w14:val="tx1"/>
            </w14:solidFill>
          </w14:textFill>
        </w:rPr>
        <w:t>5 相关标准情况对比</w:t>
      </w:r>
      <w:bookmarkEnd w:id="141"/>
      <w:bookmarkEnd w:id="142"/>
      <w:bookmarkEnd w:id="143"/>
      <w:bookmarkEnd w:id="144"/>
      <w:bookmarkEnd w:id="145"/>
      <w:bookmarkEnd w:id="146"/>
    </w:p>
    <w:p>
      <w:pPr>
        <w:pStyle w:val="13"/>
        <w:spacing w:before="159" w:beforeLines="50" w:after="159" w:afterLines="50" w:line="360" w:lineRule="auto"/>
        <w:ind w:firstLine="560" w:firstLineChars="200"/>
        <w:jc w:val="both"/>
        <w:rPr>
          <w:rFonts w:ascii="Times New Roman" w:hAnsi="Times New Roman" w:eastAsia="仿宋" w:cs="Times New Roman"/>
          <w:color w:val="000000" w:themeColor="text1"/>
          <w:sz w:val="28"/>
          <w:szCs w:val="28"/>
          <w14:textFill>
            <w14:solidFill>
              <w14:schemeClr w14:val="tx1"/>
            </w14:solidFill>
          </w14:textFill>
        </w:rPr>
      </w:pPr>
      <w:r>
        <w:rPr>
          <w:rFonts w:hint="eastAsia" w:ascii="Times New Roman" w:hAnsi="Times New Roman" w:eastAsia="仿宋" w:cs="Times New Roman"/>
          <w:color w:val="000000" w:themeColor="text1"/>
          <w:sz w:val="28"/>
          <w:szCs w:val="28"/>
          <w14:textFill>
            <w14:solidFill>
              <w14:schemeClr w14:val="tx1"/>
            </w14:solidFill>
          </w14:textFill>
        </w:rPr>
        <w:t>依据国家现有相关政策、法规和标准的有关规定，对比国家和湖南省制定的“三线一单”相关技术和管理文件，本指南的要求符合上述文件的总体要求，并结合湖南省实际情况，建立包含省、板块、市（州）、单元构成“1+4+14+N”塔形生态环境准入清单体系，实现全省生态环境准入清单体系系统化、差异化、精准化管控目标。将湖南省生态环境准入清单编制的技术原则、技术方法和技术要求进一步规范化。</w:t>
      </w:r>
    </w:p>
    <w:sectPr>
      <w:footerReference r:id="rId5" w:type="default"/>
      <w:pgSz w:w="11906" w:h="16838"/>
      <w:pgMar w:top="1440" w:right="1474" w:bottom="1440" w:left="1587" w:header="851" w:footer="992" w:gutter="0"/>
      <w:pgNumType w:start="1"/>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Y1J0+ZFHGAs-2">
    <w:altName w:val="华文仿宋"/>
    <w:panose1 w:val="00000000000000000000"/>
    <w:charset w:val="00"/>
    <w:family w:val="roman"/>
    <w:pitch w:val="default"/>
    <w:sig w:usb0="00000000" w:usb1="00000000" w:usb2="00000000" w:usb3="00000000" w:csb0="00040001" w:csb1="00000000"/>
  </w:font>
  <w:font w:name="TimesNewRomanPSMT">
    <w:altName w:val="Nimbus Roman No9 L"/>
    <w:panose1 w:val="00000000000000000000"/>
    <w:charset w:val="86"/>
    <w:family w:val="auto"/>
    <w:pitch w:val="default"/>
    <w:sig w:usb0="00000000" w:usb1="00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Arial Unicode MS">
    <w:altName w:val="Nimbus Roman No9 L"/>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9"/>
                            <w:jc w:val="center"/>
                          </w:pPr>
                          <w:r>
                            <w:fldChar w:fldCharType="begin"/>
                          </w:r>
                          <w:r>
                            <w:instrText xml:space="preserve">PAGE   \* MERGEFORMAT</w:instrText>
                          </w:r>
                          <w:r>
                            <w:fldChar w:fldCharType="separate"/>
                          </w:r>
                          <w:r>
                            <w:rPr>
                              <w:lang w:val="zh-CN"/>
                            </w:rPr>
                            <w:t>10</w:t>
                          </w:r>
                          <w:r>
                            <w:rPr>
                              <w:lang w:val="zh-CN"/>
                            </w:rPr>
                            <w:fldChar w:fldCharType="end"/>
                          </w:r>
                        </w:p>
                        <w:p>
                          <w:pPr>
                            <w:pStyle w:val="2"/>
                            <w:rPr>
                              <w:rFonts w:hint="default"/>
                            </w:rPr>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enpu/GgIAACc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Uq7IcujLpK0uoycrdtuuX3Vr&#10;6xM29fYileD4qsEoaxbiI/PQBsaH3uMDDqksWtreomRv/ae/3ad8UIYoJS20VlGDx0CJemtAZZLl&#10;YPjB2A6GOeg7C/GCHsySTfzgoxpM6a3+iEewTD0kUwGFmeHoBqIG8y7C64N4TFwsl1cfQnQsrs3G&#10;8Z7ahFZwy0MEuhn0hNEFGJCVHKgx09a/nCT3X/2c9fS+F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B6em78aAgAAJwQAAA4AAAAAAAAAAQAgAAAANQEAAGRycy9lMm9Eb2MueG1sUEsFBgAA&#10;AAAGAAYAWQEAAMEFAAAAAA==&#10;">
              <v:fill on="f" focussize="0,0"/>
              <v:stroke on="f" weight="0.5pt"/>
              <v:imagedata o:title=""/>
              <o:lock v:ext="edit" aspectratio="f"/>
              <v:textbox inset="0mm,0mm,0mm,0mm" style="mso-fit-shape-to-text:t;">
                <w:txbxContent>
                  <w:p>
                    <w:pPr>
                      <w:pStyle w:val="19"/>
                      <w:jc w:val="center"/>
                    </w:pPr>
                    <w:r>
                      <w:fldChar w:fldCharType="begin"/>
                    </w:r>
                    <w:r>
                      <w:instrText xml:space="preserve">PAGE   \* MERGEFORMAT</w:instrText>
                    </w:r>
                    <w:r>
                      <w:fldChar w:fldCharType="separate"/>
                    </w:r>
                    <w:r>
                      <w:rPr>
                        <w:lang w:val="zh-CN"/>
                      </w:rPr>
                      <w:t>10</w:t>
                    </w:r>
                    <w:r>
                      <w:rPr>
                        <w:lang w:val="zh-CN"/>
                      </w:rPr>
                      <w:fldChar w:fldCharType="end"/>
                    </w:r>
                  </w:p>
                  <w:p>
                    <w:pPr>
                      <w:pStyle w:val="2"/>
                      <w:rPr>
                        <w:rFonts w:hint="default"/>
                      </w:rPr>
                    </w:pPr>
                  </w:p>
                </w:txbxContent>
              </v:textbox>
            </v:shape>
          </w:pict>
        </mc:Fallback>
      </mc:AlternateContent>
    </w:r>
  </w:p>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9"/>
                            <w:jc w:val="center"/>
                          </w:pPr>
                          <w:r>
                            <w:fldChar w:fldCharType="begin"/>
                          </w:r>
                          <w:r>
                            <w:instrText xml:space="preserve">PAGE   \* MERGEFORMAT</w:instrText>
                          </w:r>
                          <w:r>
                            <w:fldChar w:fldCharType="separate"/>
                          </w:r>
                          <w:r>
                            <w:rPr>
                              <w:lang w:val="zh-CN"/>
                            </w:rPr>
                            <w:t>34</w:t>
                          </w:r>
                          <w:r>
                            <w:rPr>
                              <w:lang w:val="zh-CN"/>
                            </w:rPr>
                            <w:fldChar w:fldCharType="end"/>
                          </w:r>
                        </w:p>
                        <w:p>
                          <w:pPr>
                            <w:pStyle w:val="2"/>
                            <w:rPr>
                              <w:rFonts w:hint="default"/>
                            </w:rPr>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PqZqDGwIAACgEAAAOAAAAZHJz&#10;L2Uyb0RvYy54bWytU82O0zAQviPxDpbvNGkRq6pquiq7KkKq2JUWxNl17DaS/2S7TcoDwBtw4sKd&#10;5+pz8NlNWgScEBdnxjP5PPPNN/PbTityED401lR0PCopEYbbujHbin54v3oxpSREZmqmrBEVPYpA&#10;bxfPn81bNxMTu7OqFp4AxIRZ6yq6i9HNiiLwndAsjKwTBkFpvWYRrt8WtWct0LUqJmV5U7TW185b&#10;LkLA7f05SBcZX0rB44OUQUSiKoraYj59PjfpLBZzNtt65nYN78tg/1CFZo3BoxeoexYZ2fvmDyjd&#10;cG+DlXHErS6slA0XuQd0My5/6+Zpx5zIvYCc4C40hf8Hy98dHj1p6opOKDFMY0Snr19O336cvn8m&#10;48xP68IMaU8OibF7bbuKRr8XiboUCrhPnXfS6/RFTwQpIPt4IVh0kXBcjqeT6bREiCM2OMAprr87&#10;H+IbYTVJRkU9JpiJZYd1iOfUISW9ZuyqUSpPURnSVvTm5asy/3CJAFyZlCuyHnqYa+nJit2m6/vZ&#10;2PqITr09ayU4vmpQypqF+Mg8xIHyIfj4gEMqiydtb1Gys/7T3+5TPmaGKCUtxFZRg22gRL01mGXS&#10;5WD4wdgMhtnrOwv1jrFIjmcTP/ioBlN6qz9iC5bpDclUADAzHK9hUIN5F+H1QWwTF8vlxYcSHYtr&#10;8+R4P9rEVnDLfQS7mfTE0ZkYDCs5kGMeW786Se+/+jnruuCL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PqZqDGwIAACgEAAAOAAAAAAAAAAEAIAAAADUBAABkcnMvZTJvRG9jLnhtbFBLBQYA&#10;AAAABgAGAFkBAADCBQAAAAA=&#10;">
              <v:fill on="f" focussize="0,0"/>
              <v:stroke on="f" weight="0.5pt"/>
              <v:imagedata o:title=""/>
              <o:lock v:ext="edit" aspectratio="f"/>
              <v:textbox inset="0mm,0mm,0mm,0mm" style="mso-fit-shape-to-text:t;">
                <w:txbxContent>
                  <w:p>
                    <w:pPr>
                      <w:pStyle w:val="19"/>
                      <w:jc w:val="center"/>
                    </w:pPr>
                    <w:r>
                      <w:fldChar w:fldCharType="begin"/>
                    </w:r>
                    <w:r>
                      <w:instrText xml:space="preserve">PAGE   \* MERGEFORMAT</w:instrText>
                    </w:r>
                    <w:r>
                      <w:fldChar w:fldCharType="separate"/>
                    </w:r>
                    <w:r>
                      <w:rPr>
                        <w:lang w:val="zh-CN"/>
                      </w:rPr>
                      <w:t>34</w:t>
                    </w:r>
                    <w:r>
                      <w:rPr>
                        <w:lang w:val="zh-CN"/>
                      </w:rPr>
                      <w:fldChar w:fldCharType="end"/>
                    </w:r>
                  </w:p>
                  <w:p>
                    <w:pPr>
                      <w:pStyle w:val="2"/>
                      <w:rPr>
                        <w:rFonts w:hint="default"/>
                      </w:rPr>
                    </w:pPr>
                  </w:p>
                </w:txbxContent>
              </v:textbox>
            </v:shape>
          </w:pict>
        </mc:Fallback>
      </mc:AlternateContent>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90D1E"/>
    <w:multiLevelType w:val="singleLevel"/>
    <w:tmpl w:val="9A890D1E"/>
    <w:lvl w:ilvl="0" w:tentative="0">
      <w:start w:val="2"/>
      <w:numFmt w:val="decimal"/>
      <w:suff w:val="nothing"/>
      <w:lvlText w:val="（%1）"/>
      <w:lvlJc w:val="left"/>
    </w:lvl>
  </w:abstractNum>
  <w:abstractNum w:abstractNumId="1">
    <w:nsid w:val="D2517D35"/>
    <w:multiLevelType w:val="singleLevel"/>
    <w:tmpl w:val="D2517D35"/>
    <w:lvl w:ilvl="0" w:tentative="0">
      <w:start w:val="13"/>
      <w:numFmt w:val="decimal"/>
      <w:suff w:val="nothing"/>
      <w:lvlText w:val="（%1）"/>
      <w:lvlJc w:val="left"/>
    </w:lvl>
  </w:abstractNum>
  <w:abstractNum w:abstractNumId="2">
    <w:nsid w:val="0E71416F"/>
    <w:multiLevelType w:val="multilevel"/>
    <w:tmpl w:val="0E71416F"/>
    <w:lvl w:ilvl="0" w:tentative="0">
      <w:start w:val="5"/>
      <w:numFmt w:val="decimal"/>
      <w:pStyle w:val="80"/>
      <w:lvlText w:val="%1"/>
      <w:lvlJc w:val="left"/>
      <w:pPr>
        <w:ind w:left="360" w:hanging="360"/>
      </w:pPr>
      <w:rPr>
        <w:rFonts w:hint="default"/>
      </w:rPr>
    </w:lvl>
    <w:lvl w:ilvl="1" w:tentative="0">
      <w:start w:val="3"/>
      <w:numFmt w:val="decimal"/>
      <w:isLgl/>
      <w:lvlText w:val="%1.%2"/>
      <w:lvlJc w:val="left"/>
      <w:pPr>
        <w:ind w:left="705" w:hanging="705"/>
      </w:pPr>
      <w:rPr>
        <w:rFonts w:hint="default"/>
      </w:rPr>
    </w:lvl>
    <w:lvl w:ilvl="2" w:tentative="0">
      <w:start w:val="2"/>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1FC91163"/>
    <w:multiLevelType w:val="multilevel"/>
    <w:tmpl w:val="1FC91163"/>
    <w:lvl w:ilvl="0" w:tentative="0">
      <w:start w:val="1"/>
      <w:numFmt w:val="decimal"/>
      <w:pStyle w:val="8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1"/>
      <w:suff w:val="nothing"/>
      <w:lvlText w:val="%1.%2　"/>
      <w:lvlJc w:val="left"/>
      <w:pPr>
        <w:ind w:left="326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60"/>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pStyle w:val="75"/>
      <w:suff w:val="nothing"/>
      <w:lvlText w:val="%1.%2.%3.%4.%5　"/>
      <w:lvlJc w:val="left"/>
      <w:pPr>
        <w:ind w:left="0" w:firstLine="0"/>
      </w:pPr>
      <w:rPr>
        <w:rFonts w:hint="eastAsia" w:ascii="黑体" w:hAnsi="Times New Roman" w:eastAsia="黑体"/>
        <w:b w:val="0"/>
        <w:i w:val="0"/>
        <w:sz w:val="21"/>
      </w:rPr>
    </w:lvl>
    <w:lvl w:ilvl="5" w:tentative="0">
      <w:start w:val="1"/>
      <w:numFmt w:val="decimal"/>
      <w:pStyle w:val="7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3AF7EBF"/>
    <w:multiLevelType w:val="multilevel"/>
    <w:tmpl w:val="63AF7EBF"/>
    <w:lvl w:ilvl="0" w:tentative="0">
      <w:start w:val="1"/>
      <w:numFmt w:val="decimal"/>
      <w:pStyle w:val="78"/>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true"/>
  <w:bordersDoNotSurroundFooter w:val="true"/>
  <w:documentProtection w:edit="forms" w:enforcement="0"/>
  <w:defaultTabStop w:val="420"/>
  <w:noPunctuationKerning w:val="true"/>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hZTRhMzIyMDA2YTE5NDg2ZWI2ODdkYTE4MDFhNGIifQ=="/>
  </w:docVars>
  <w:rsids>
    <w:rsidRoot w:val="00172A27"/>
    <w:rsid w:val="00000C22"/>
    <w:rsid w:val="000015D4"/>
    <w:rsid w:val="0000214B"/>
    <w:rsid w:val="000024BB"/>
    <w:rsid w:val="00003501"/>
    <w:rsid w:val="0000443B"/>
    <w:rsid w:val="0000526C"/>
    <w:rsid w:val="0000661E"/>
    <w:rsid w:val="00006979"/>
    <w:rsid w:val="00006C32"/>
    <w:rsid w:val="00006FF6"/>
    <w:rsid w:val="0001020E"/>
    <w:rsid w:val="00010CE6"/>
    <w:rsid w:val="00011697"/>
    <w:rsid w:val="00011E84"/>
    <w:rsid w:val="000124E1"/>
    <w:rsid w:val="00014A4C"/>
    <w:rsid w:val="00015421"/>
    <w:rsid w:val="00015423"/>
    <w:rsid w:val="00015D63"/>
    <w:rsid w:val="00016317"/>
    <w:rsid w:val="000167BE"/>
    <w:rsid w:val="00016EA5"/>
    <w:rsid w:val="0001710B"/>
    <w:rsid w:val="00017521"/>
    <w:rsid w:val="000176B0"/>
    <w:rsid w:val="0001787A"/>
    <w:rsid w:val="00020A45"/>
    <w:rsid w:val="000214B5"/>
    <w:rsid w:val="00021C51"/>
    <w:rsid w:val="000221C9"/>
    <w:rsid w:val="0002294F"/>
    <w:rsid w:val="00022BAB"/>
    <w:rsid w:val="00023B79"/>
    <w:rsid w:val="00025976"/>
    <w:rsid w:val="00025E99"/>
    <w:rsid w:val="00026BF5"/>
    <w:rsid w:val="00027B9D"/>
    <w:rsid w:val="000305D4"/>
    <w:rsid w:val="00030E5B"/>
    <w:rsid w:val="0003150D"/>
    <w:rsid w:val="00031515"/>
    <w:rsid w:val="0003179C"/>
    <w:rsid w:val="00031A8F"/>
    <w:rsid w:val="00031FFD"/>
    <w:rsid w:val="0003256C"/>
    <w:rsid w:val="0003282B"/>
    <w:rsid w:val="00032BE3"/>
    <w:rsid w:val="0003410C"/>
    <w:rsid w:val="000349CA"/>
    <w:rsid w:val="00035ADD"/>
    <w:rsid w:val="00035C20"/>
    <w:rsid w:val="00036ABF"/>
    <w:rsid w:val="00036BD2"/>
    <w:rsid w:val="00037A53"/>
    <w:rsid w:val="00040456"/>
    <w:rsid w:val="00041669"/>
    <w:rsid w:val="00041ACF"/>
    <w:rsid w:val="00042970"/>
    <w:rsid w:val="00045A92"/>
    <w:rsid w:val="00046368"/>
    <w:rsid w:val="00046EC5"/>
    <w:rsid w:val="0004772F"/>
    <w:rsid w:val="00047ACB"/>
    <w:rsid w:val="00047BC0"/>
    <w:rsid w:val="00047D39"/>
    <w:rsid w:val="00047E02"/>
    <w:rsid w:val="00047F90"/>
    <w:rsid w:val="000503DF"/>
    <w:rsid w:val="0005075A"/>
    <w:rsid w:val="000509E2"/>
    <w:rsid w:val="00052109"/>
    <w:rsid w:val="000530EB"/>
    <w:rsid w:val="000534C8"/>
    <w:rsid w:val="00053B34"/>
    <w:rsid w:val="000542B4"/>
    <w:rsid w:val="00054686"/>
    <w:rsid w:val="00054E6D"/>
    <w:rsid w:val="00054F67"/>
    <w:rsid w:val="000557F4"/>
    <w:rsid w:val="000565D5"/>
    <w:rsid w:val="00056D79"/>
    <w:rsid w:val="00056FCC"/>
    <w:rsid w:val="000603C8"/>
    <w:rsid w:val="00060B83"/>
    <w:rsid w:val="000618E0"/>
    <w:rsid w:val="00061E09"/>
    <w:rsid w:val="000621B1"/>
    <w:rsid w:val="00064F62"/>
    <w:rsid w:val="00065195"/>
    <w:rsid w:val="00065AF8"/>
    <w:rsid w:val="00065C2A"/>
    <w:rsid w:val="000660C6"/>
    <w:rsid w:val="000668CA"/>
    <w:rsid w:val="00066CE7"/>
    <w:rsid w:val="00067792"/>
    <w:rsid w:val="000700BB"/>
    <w:rsid w:val="0007085C"/>
    <w:rsid w:val="0007164D"/>
    <w:rsid w:val="00071771"/>
    <w:rsid w:val="000718A8"/>
    <w:rsid w:val="000725F5"/>
    <w:rsid w:val="00072EB2"/>
    <w:rsid w:val="00073879"/>
    <w:rsid w:val="00074343"/>
    <w:rsid w:val="00074931"/>
    <w:rsid w:val="00075333"/>
    <w:rsid w:val="00075E66"/>
    <w:rsid w:val="00076179"/>
    <w:rsid w:val="00076BE7"/>
    <w:rsid w:val="00076DFA"/>
    <w:rsid w:val="00076F61"/>
    <w:rsid w:val="0008014C"/>
    <w:rsid w:val="0008052F"/>
    <w:rsid w:val="000806D6"/>
    <w:rsid w:val="000808F4"/>
    <w:rsid w:val="00080C46"/>
    <w:rsid w:val="00080E4A"/>
    <w:rsid w:val="00080F01"/>
    <w:rsid w:val="00081BAB"/>
    <w:rsid w:val="0008231A"/>
    <w:rsid w:val="00082AEF"/>
    <w:rsid w:val="0008312B"/>
    <w:rsid w:val="000844AD"/>
    <w:rsid w:val="00084540"/>
    <w:rsid w:val="000856BC"/>
    <w:rsid w:val="00085DE7"/>
    <w:rsid w:val="00086A50"/>
    <w:rsid w:val="000877B5"/>
    <w:rsid w:val="000901B1"/>
    <w:rsid w:val="00090530"/>
    <w:rsid w:val="00091141"/>
    <w:rsid w:val="000939FD"/>
    <w:rsid w:val="00093C21"/>
    <w:rsid w:val="000952DA"/>
    <w:rsid w:val="000968CB"/>
    <w:rsid w:val="000A0EAF"/>
    <w:rsid w:val="000A1B85"/>
    <w:rsid w:val="000A1FE0"/>
    <w:rsid w:val="000A2390"/>
    <w:rsid w:val="000A3102"/>
    <w:rsid w:val="000A3544"/>
    <w:rsid w:val="000A5F0B"/>
    <w:rsid w:val="000A6249"/>
    <w:rsid w:val="000A6538"/>
    <w:rsid w:val="000A68E2"/>
    <w:rsid w:val="000A6AAA"/>
    <w:rsid w:val="000A7DFA"/>
    <w:rsid w:val="000B01D6"/>
    <w:rsid w:val="000B08A9"/>
    <w:rsid w:val="000B11CC"/>
    <w:rsid w:val="000B1B92"/>
    <w:rsid w:val="000B1D15"/>
    <w:rsid w:val="000B2DF2"/>
    <w:rsid w:val="000B30E2"/>
    <w:rsid w:val="000B39EA"/>
    <w:rsid w:val="000B3FA6"/>
    <w:rsid w:val="000B4805"/>
    <w:rsid w:val="000B62FF"/>
    <w:rsid w:val="000B6D98"/>
    <w:rsid w:val="000B7A27"/>
    <w:rsid w:val="000C0687"/>
    <w:rsid w:val="000C11F4"/>
    <w:rsid w:val="000C14F1"/>
    <w:rsid w:val="000C22A9"/>
    <w:rsid w:val="000C311F"/>
    <w:rsid w:val="000C3E23"/>
    <w:rsid w:val="000C3F2C"/>
    <w:rsid w:val="000C4AA2"/>
    <w:rsid w:val="000C6979"/>
    <w:rsid w:val="000C6EC5"/>
    <w:rsid w:val="000D003A"/>
    <w:rsid w:val="000D0989"/>
    <w:rsid w:val="000D1AE0"/>
    <w:rsid w:val="000D20E1"/>
    <w:rsid w:val="000D211C"/>
    <w:rsid w:val="000D21AC"/>
    <w:rsid w:val="000D2896"/>
    <w:rsid w:val="000D35DB"/>
    <w:rsid w:val="000D396F"/>
    <w:rsid w:val="000D449C"/>
    <w:rsid w:val="000D540B"/>
    <w:rsid w:val="000D5891"/>
    <w:rsid w:val="000D5AF1"/>
    <w:rsid w:val="000D6575"/>
    <w:rsid w:val="000D6CE7"/>
    <w:rsid w:val="000D6F38"/>
    <w:rsid w:val="000D7278"/>
    <w:rsid w:val="000D7B54"/>
    <w:rsid w:val="000E104C"/>
    <w:rsid w:val="000E1914"/>
    <w:rsid w:val="000E23F3"/>
    <w:rsid w:val="000E29F3"/>
    <w:rsid w:val="000E2F06"/>
    <w:rsid w:val="000E32E5"/>
    <w:rsid w:val="000E3E69"/>
    <w:rsid w:val="000E49F9"/>
    <w:rsid w:val="000E5756"/>
    <w:rsid w:val="000E5B46"/>
    <w:rsid w:val="000E5E1F"/>
    <w:rsid w:val="000E5F2A"/>
    <w:rsid w:val="000E69C1"/>
    <w:rsid w:val="000E7225"/>
    <w:rsid w:val="000E74C8"/>
    <w:rsid w:val="000E7B6B"/>
    <w:rsid w:val="000E7D2A"/>
    <w:rsid w:val="000E7E7D"/>
    <w:rsid w:val="000F0EA0"/>
    <w:rsid w:val="000F0FAC"/>
    <w:rsid w:val="000F1507"/>
    <w:rsid w:val="000F1FF4"/>
    <w:rsid w:val="000F227E"/>
    <w:rsid w:val="000F2DDD"/>
    <w:rsid w:val="000F44CA"/>
    <w:rsid w:val="000F5292"/>
    <w:rsid w:val="000F5D00"/>
    <w:rsid w:val="000F5EA4"/>
    <w:rsid w:val="000F64AA"/>
    <w:rsid w:val="000F7F68"/>
    <w:rsid w:val="00100723"/>
    <w:rsid w:val="00100FFF"/>
    <w:rsid w:val="00101B08"/>
    <w:rsid w:val="00101C4D"/>
    <w:rsid w:val="0010207C"/>
    <w:rsid w:val="00102F12"/>
    <w:rsid w:val="00103145"/>
    <w:rsid w:val="001059B7"/>
    <w:rsid w:val="00106A5C"/>
    <w:rsid w:val="00107336"/>
    <w:rsid w:val="00107D69"/>
    <w:rsid w:val="0011053B"/>
    <w:rsid w:val="0011142E"/>
    <w:rsid w:val="001114B7"/>
    <w:rsid w:val="00111610"/>
    <w:rsid w:val="00111618"/>
    <w:rsid w:val="0011171A"/>
    <w:rsid w:val="00111966"/>
    <w:rsid w:val="00111AB2"/>
    <w:rsid w:val="00111D26"/>
    <w:rsid w:val="00112406"/>
    <w:rsid w:val="00112519"/>
    <w:rsid w:val="00112C46"/>
    <w:rsid w:val="00113280"/>
    <w:rsid w:val="00113564"/>
    <w:rsid w:val="001161C1"/>
    <w:rsid w:val="00116C15"/>
    <w:rsid w:val="001175BA"/>
    <w:rsid w:val="00117CD7"/>
    <w:rsid w:val="00120C0E"/>
    <w:rsid w:val="00121CD2"/>
    <w:rsid w:val="0012255F"/>
    <w:rsid w:val="001229F7"/>
    <w:rsid w:val="00122CAE"/>
    <w:rsid w:val="00123012"/>
    <w:rsid w:val="00123817"/>
    <w:rsid w:val="00125C11"/>
    <w:rsid w:val="00126C06"/>
    <w:rsid w:val="00126C4C"/>
    <w:rsid w:val="00126CA6"/>
    <w:rsid w:val="00127992"/>
    <w:rsid w:val="0013015D"/>
    <w:rsid w:val="00130A80"/>
    <w:rsid w:val="00130C19"/>
    <w:rsid w:val="00131F11"/>
    <w:rsid w:val="0013284D"/>
    <w:rsid w:val="00133CC4"/>
    <w:rsid w:val="00133EF2"/>
    <w:rsid w:val="00134210"/>
    <w:rsid w:val="001346C4"/>
    <w:rsid w:val="001352CA"/>
    <w:rsid w:val="001355E4"/>
    <w:rsid w:val="00135B96"/>
    <w:rsid w:val="00137A10"/>
    <w:rsid w:val="00137F23"/>
    <w:rsid w:val="00140160"/>
    <w:rsid w:val="001408EB"/>
    <w:rsid w:val="00140D75"/>
    <w:rsid w:val="0014139D"/>
    <w:rsid w:val="00141B67"/>
    <w:rsid w:val="00141F63"/>
    <w:rsid w:val="0014294C"/>
    <w:rsid w:val="00143E8F"/>
    <w:rsid w:val="00144252"/>
    <w:rsid w:val="00144430"/>
    <w:rsid w:val="001445EE"/>
    <w:rsid w:val="00144707"/>
    <w:rsid w:val="00144F1C"/>
    <w:rsid w:val="00145018"/>
    <w:rsid w:val="00145863"/>
    <w:rsid w:val="001463A5"/>
    <w:rsid w:val="001469C2"/>
    <w:rsid w:val="001479AF"/>
    <w:rsid w:val="00150358"/>
    <w:rsid w:val="00150426"/>
    <w:rsid w:val="00150938"/>
    <w:rsid w:val="00150C73"/>
    <w:rsid w:val="00151326"/>
    <w:rsid w:val="001528BE"/>
    <w:rsid w:val="00152EEB"/>
    <w:rsid w:val="001531F6"/>
    <w:rsid w:val="00154162"/>
    <w:rsid w:val="001546EE"/>
    <w:rsid w:val="00154AD4"/>
    <w:rsid w:val="001554AE"/>
    <w:rsid w:val="00155AA8"/>
    <w:rsid w:val="001564A3"/>
    <w:rsid w:val="0015650E"/>
    <w:rsid w:val="00160CDA"/>
    <w:rsid w:val="001611CB"/>
    <w:rsid w:val="00161358"/>
    <w:rsid w:val="001638C5"/>
    <w:rsid w:val="001641F2"/>
    <w:rsid w:val="00164283"/>
    <w:rsid w:val="00164DE5"/>
    <w:rsid w:val="00165333"/>
    <w:rsid w:val="001667CE"/>
    <w:rsid w:val="00170DE3"/>
    <w:rsid w:val="00171B66"/>
    <w:rsid w:val="001720E8"/>
    <w:rsid w:val="00172142"/>
    <w:rsid w:val="00172A27"/>
    <w:rsid w:val="001733A2"/>
    <w:rsid w:val="001741C2"/>
    <w:rsid w:val="00174308"/>
    <w:rsid w:val="001745D0"/>
    <w:rsid w:val="001750CA"/>
    <w:rsid w:val="0017522A"/>
    <w:rsid w:val="0017563E"/>
    <w:rsid w:val="001765B9"/>
    <w:rsid w:val="00176F38"/>
    <w:rsid w:val="00177C0C"/>
    <w:rsid w:val="00180095"/>
    <w:rsid w:val="0018060F"/>
    <w:rsid w:val="00180614"/>
    <w:rsid w:val="001807CF"/>
    <w:rsid w:val="00180DE7"/>
    <w:rsid w:val="00180DFC"/>
    <w:rsid w:val="00181565"/>
    <w:rsid w:val="00181E51"/>
    <w:rsid w:val="001824BC"/>
    <w:rsid w:val="00182E3A"/>
    <w:rsid w:val="0018376F"/>
    <w:rsid w:val="00183A7A"/>
    <w:rsid w:val="001843FB"/>
    <w:rsid w:val="001844B7"/>
    <w:rsid w:val="00184FC6"/>
    <w:rsid w:val="001853EA"/>
    <w:rsid w:val="001859CA"/>
    <w:rsid w:val="001862E6"/>
    <w:rsid w:val="00187368"/>
    <w:rsid w:val="00187ADD"/>
    <w:rsid w:val="00190925"/>
    <w:rsid w:val="00190AD4"/>
    <w:rsid w:val="00190C8D"/>
    <w:rsid w:val="0019109E"/>
    <w:rsid w:val="0019114D"/>
    <w:rsid w:val="00191296"/>
    <w:rsid w:val="00191933"/>
    <w:rsid w:val="0019237D"/>
    <w:rsid w:val="001928D9"/>
    <w:rsid w:val="00193394"/>
    <w:rsid w:val="001934E9"/>
    <w:rsid w:val="0019352C"/>
    <w:rsid w:val="00193918"/>
    <w:rsid w:val="00193A0F"/>
    <w:rsid w:val="0019637E"/>
    <w:rsid w:val="001963A3"/>
    <w:rsid w:val="001A0E21"/>
    <w:rsid w:val="001A33C4"/>
    <w:rsid w:val="001A3486"/>
    <w:rsid w:val="001A3CF3"/>
    <w:rsid w:val="001A3D1A"/>
    <w:rsid w:val="001A462D"/>
    <w:rsid w:val="001A4A16"/>
    <w:rsid w:val="001A4D8D"/>
    <w:rsid w:val="001A4EE3"/>
    <w:rsid w:val="001A57C2"/>
    <w:rsid w:val="001A5E0A"/>
    <w:rsid w:val="001A5F25"/>
    <w:rsid w:val="001A673C"/>
    <w:rsid w:val="001A69B3"/>
    <w:rsid w:val="001A70BD"/>
    <w:rsid w:val="001A722C"/>
    <w:rsid w:val="001A75B8"/>
    <w:rsid w:val="001A7645"/>
    <w:rsid w:val="001B0C58"/>
    <w:rsid w:val="001B26F3"/>
    <w:rsid w:val="001B2B9D"/>
    <w:rsid w:val="001B3940"/>
    <w:rsid w:val="001B4721"/>
    <w:rsid w:val="001B5A25"/>
    <w:rsid w:val="001B5FC9"/>
    <w:rsid w:val="001B63F3"/>
    <w:rsid w:val="001B6B29"/>
    <w:rsid w:val="001B70B6"/>
    <w:rsid w:val="001B73C7"/>
    <w:rsid w:val="001C162A"/>
    <w:rsid w:val="001C1DF9"/>
    <w:rsid w:val="001C41B6"/>
    <w:rsid w:val="001C4E68"/>
    <w:rsid w:val="001C5610"/>
    <w:rsid w:val="001C5BDD"/>
    <w:rsid w:val="001C653F"/>
    <w:rsid w:val="001C69B9"/>
    <w:rsid w:val="001C6A32"/>
    <w:rsid w:val="001C7495"/>
    <w:rsid w:val="001C7844"/>
    <w:rsid w:val="001D0ADA"/>
    <w:rsid w:val="001D0FC8"/>
    <w:rsid w:val="001D26FC"/>
    <w:rsid w:val="001D2D52"/>
    <w:rsid w:val="001D3374"/>
    <w:rsid w:val="001D3E81"/>
    <w:rsid w:val="001D49FD"/>
    <w:rsid w:val="001D57BC"/>
    <w:rsid w:val="001D6518"/>
    <w:rsid w:val="001D7D97"/>
    <w:rsid w:val="001E05F9"/>
    <w:rsid w:val="001E07A8"/>
    <w:rsid w:val="001E1695"/>
    <w:rsid w:val="001E198C"/>
    <w:rsid w:val="001E1DF5"/>
    <w:rsid w:val="001E1F81"/>
    <w:rsid w:val="001E2D83"/>
    <w:rsid w:val="001E38C9"/>
    <w:rsid w:val="001E3A92"/>
    <w:rsid w:val="001E5280"/>
    <w:rsid w:val="001E5858"/>
    <w:rsid w:val="001E5C09"/>
    <w:rsid w:val="001E60F1"/>
    <w:rsid w:val="001E641F"/>
    <w:rsid w:val="001E69CC"/>
    <w:rsid w:val="001E6E55"/>
    <w:rsid w:val="001E737C"/>
    <w:rsid w:val="001E791B"/>
    <w:rsid w:val="001F05E6"/>
    <w:rsid w:val="001F0F76"/>
    <w:rsid w:val="001F19F4"/>
    <w:rsid w:val="001F2154"/>
    <w:rsid w:val="001F3E3D"/>
    <w:rsid w:val="001F456E"/>
    <w:rsid w:val="001F515D"/>
    <w:rsid w:val="001F51DD"/>
    <w:rsid w:val="001F5569"/>
    <w:rsid w:val="001F6168"/>
    <w:rsid w:val="001F69DE"/>
    <w:rsid w:val="001F6A01"/>
    <w:rsid w:val="001F7321"/>
    <w:rsid w:val="001F7DC1"/>
    <w:rsid w:val="00200585"/>
    <w:rsid w:val="00201D3B"/>
    <w:rsid w:val="00203E9C"/>
    <w:rsid w:val="00204442"/>
    <w:rsid w:val="00204BC4"/>
    <w:rsid w:val="00206A8F"/>
    <w:rsid w:val="00211376"/>
    <w:rsid w:val="0021254D"/>
    <w:rsid w:val="00212975"/>
    <w:rsid w:val="00212C2C"/>
    <w:rsid w:val="00213174"/>
    <w:rsid w:val="00213802"/>
    <w:rsid w:val="002144E9"/>
    <w:rsid w:val="0021499D"/>
    <w:rsid w:val="00215369"/>
    <w:rsid w:val="00215DF5"/>
    <w:rsid w:val="0021617A"/>
    <w:rsid w:val="0021771C"/>
    <w:rsid w:val="0021780C"/>
    <w:rsid w:val="00220451"/>
    <w:rsid w:val="00220D76"/>
    <w:rsid w:val="00221219"/>
    <w:rsid w:val="00222135"/>
    <w:rsid w:val="00222321"/>
    <w:rsid w:val="0022279C"/>
    <w:rsid w:val="00222B46"/>
    <w:rsid w:val="00222E61"/>
    <w:rsid w:val="002244A7"/>
    <w:rsid w:val="002247F0"/>
    <w:rsid w:val="0022525F"/>
    <w:rsid w:val="00226935"/>
    <w:rsid w:val="00226A15"/>
    <w:rsid w:val="00226E3B"/>
    <w:rsid w:val="00227204"/>
    <w:rsid w:val="002277D3"/>
    <w:rsid w:val="002304D3"/>
    <w:rsid w:val="002307AE"/>
    <w:rsid w:val="0023335E"/>
    <w:rsid w:val="00233A28"/>
    <w:rsid w:val="00233C8C"/>
    <w:rsid w:val="00234183"/>
    <w:rsid w:val="0023662D"/>
    <w:rsid w:val="00240308"/>
    <w:rsid w:val="00242D42"/>
    <w:rsid w:val="002442C5"/>
    <w:rsid w:val="002447DD"/>
    <w:rsid w:val="00244F0E"/>
    <w:rsid w:val="00245023"/>
    <w:rsid w:val="0024599F"/>
    <w:rsid w:val="00245A42"/>
    <w:rsid w:val="00246768"/>
    <w:rsid w:val="002475EF"/>
    <w:rsid w:val="00247B1C"/>
    <w:rsid w:val="00247C06"/>
    <w:rsid w:val="00250118"/>
    <w:rsid w:val="0025112D"/>
    <w:rsid w:val="002511E5"/>
    <w:rsid w:val="002518B5"/>
    <w:rsid w:val="00251FD9"/>
    <w:rsid w:val="0025354E"/>
    <w:rsid w:val="0025539E"/>
    <w:rsid w:val="00256A0D"/>
    <w:rsid w:val="00256AEF"/>
    <w:rsid w:val="002602C8"/>
    <w:rsid w:val="00260AEB"/>
    <w:rsid w:val="00263493"/>
    <w:rsid w:val="002638D9"/>
    <w:rsid w:val="00264BDC"/>
    <w:rsid w:val="00265C68"/>
    <w:rsid w:val="00266EE5"/>
    <w:rsid w:val="00271CF2"/>
    <w:rsid w:val="002723EF"/>
    <w:rsid w:val="00274871"/>
    <w:rsid w:val="00275A37"/>
    <w:rsid w:val="00275D61"/>
    <w:rsid w:val="002761B7"/>
    <w:rsid w:val="00276F1C"/>
    <w:rsid w:val="002771C5"/>
    <w:rsid w:val="002779D3"/>
    <w:rsid w:val="00277B92"/>
    <w:rsid w:val="002804D8"/>
    <w:rsid w:val="00280560"/>
    <w:rsid w:val="00280A36"/>
    <w:rsid w:val="002827F5"/>
    <w:rsid w:val="0028285D"/>
    <w:rsid w:val="002833B6"/>
    <w:rsid w:val="002841D8"/>
    <w:rsid w:val="00284811"/>
    <w:rsid w:val="00285E4B"/>
    <w:rsid w:val="00285EE0"/>
    <w:rsid w:val="002861AE"/>
    <w:rsid w:val="00286913"/>
    <w:rsid w:val="00293062"/>
    <w:rsid w:val="0029402B"/>
    <w:rsid w:val="00294227"/>
    <w:rsid w:val="0029462C"/>
    <w:rsid w:val="00294BDD"/>
    <w:rsid w:val="0029515C"/>
    <w:rsid w:val="002952EC"/>
    <w:rsid w:val="00295C9D"/>
    <w:rsid w:val="00295DD1"/>
    <w:rsid w:val="002961F8"/>
    <w:rsid w:val="002973FD"/>
    <w:rsid w:val="00297F74"/>
    <w:rsid w:val="002A094E"/>
    <w:rsid w:val="002A0EF5"/>
    <w:rsid w:val="002A1C2D"/>
    <w:rsid w:val="002A2008"/>
    <w:rsid w:val="002A2E62"/>
    <w:rsid w:val="002A3863"/>
    <w:rsid w:val="002A4A97"/>
    <w:rsid w:val="002A558D"/>
    <w:rsid w:val="002A58E1"/>
    <w:rsid w:val="002A627B"/>
    <w:rsid w:val="002A7BD5"/>
    <w:rsid w:val="002B0201"/>
    <w:rsid w:val="002B02DC"/>
    <w:rsid w:val="002B0FDD"/>
    <w:rsid w:val="002B138F"/>
    <w:rsid w:val="002B1D57"/>
    <w:rsid w:val="002B1EB9"/>
    <w:rsid w:val="002B1F64"/>
    <w:rsid w:val="002B2170"/>
    <w:rsid w:val="002B2B94"/>
    <w:rsid w:val="002B33F0"/>
    <w:rsid w:val="002B380C"/>
    <w:rsid w:val="002B39A5"/>
    <w:rsid w:val="002B4E54"/>
    <w:rsid w:val="002B4F6E"/>
    <w:rsid w:val="002B5B18"/>
    <w:rsid w:val="002C09FE"/>
    <w:rsid w:val="002C1CA5"/>
    <w:rsid w:val="002C2795"/>
    <w:rsid w:val="002C34D8"/>
    <w:rsid w:val="002C3689"/>
    <w:rsid w:val="002C521D"/>
    <w:rsid w:val="002C5221"/>
    <w:rsid w:val="002C53E8"/>
    <w:rsid w:val="002C5850"/>
    <w:rsid w:val="002C5EBD"/>
    <w:rsid w:val="002C6882"/>
    <w:rsid w:val="002D001B"/>
    <w:rsid w:val="002D10E6"/>
    <w:rsid w:val="002D30E0"/>
    <w:rsid w:val="002D4422"/>
    <w:rsid w:val="002D5910"/>
    <w:rsid w:val="002D6E09"/>
    <w:rsid w:val="002D7B0A"/>
    <w:rsid w:val="002D7B99"/>
    <w:rsid w:val="002D7E26"/>
    <w:rsid w:val="002E0D0F"/>
    <w:rsid w:val="002E1F55"/>
    <w:rsid w:val="002E2850"/>
    <w:rsid w:val="002E2A52"/>
    <w:rsid w:val="002E3A6C"/>
    <w:rsid w:val="002E3E71"/>
    <w:rsid w:val="002E4F8D"/>
    <w:rsid w:val="002E5101"/>
    <w:rsid w:val="002E5727"/>
    <w:rsid w:val="002E63BE"/>
    <w:rsid w:val="002E65DB"/>
    <w:rsid w:val="002E7DC6"/>
    <w:rsid w:val="002F1DEA"/>
    <w:rsid w:val="002F3908"/>
    <w:rsid w:val="002F3D04"/>
    <w:rsid w:val="002F51AF"/>
    <w:rsid w:val="002F55A9"/>
    <w:rsid w:val="002F564C"/>
    <w:rsid w:val="002F5818"/>
    <w:rsid w:val="002F6BA8"/>
    <w:rsid w:val="0030004C"/>
    <w:rsid w:val="00301FA3"/>
    <w:rsid w:val="00302619"/>
    <w:rsid w:val="00303E4D"/>
    <w:rsid w:val="00304653"/>
    <w:rsid w:val="00304B21"/>
    <w:rsid w:val="00304CE4"/>
    <w:rsid w:val="0030531F"/>
    <w:rsid w:val="0030543C"/>
    <w:rsid w:val="00306B75"/>
    <w:rsid w:val="0031021A"/>
    <w:rsid w:val="0031109A"/>
    <w:rsid w:val="00313023"/>
    <w:rsid w:val="003159EB"/>
    <w:rsid w:val="003160F6"/>
    <w:rsid w:val="0031701E"/>
    <w:rsid w:val="00320063"/>
    <w:rsid w:val="0032054F"/>
    <w:rsid w:val="00320568"/>
    <w:rsid w:val="0032079D"/>
    <w:rsid w:val="00321047"/>
    <w:rsid w:val="003211B1"/>
    <w:rsid w:val="0032184A"/>
    <w:rsid w:val="00321880"/>
    <w:rsid w:val="00321AA1"/>
    <w:rsid w:val="00321C77"/>
    <w:rsid w:val="003221B1"/>
    <w:rsid w:val="003224FE"/>
    <w:rsid w:val="00323003"/>
    <w:rsid w:val="0032373B"/>
    <w:rsid w:val="003247F1"/>
    <w:rsid w:val="00324A9F"/>
    <w:rsid w:val="00324D1A"/>
    <w:rsid w:val="00324E94"/>
    <w:rsid w:val="0032526E"/>
    <w:rsid w:val="0032634F"/>
    <w:rsid w:val="0032699E"/>
    <w:rsid w:val="00327D8F"/>
    <w:rsid w:val="00330D10"/>
    <w:rsid w:val="003320C0"/>
    <w:rsid w:val="003323CD"/>
    <w:rsid w:val="00332F07"/>
    <w:rsid w:val="00334428"/>
    <w:rsid w:val="00334DCA"/>
    <w:rsid w:val="0033591A"/>
    <w:rsid w:val="00335975"/>
    <w:rsid w:val="00336753"/>
    <w:rsid w:val="00336CA8"/>
    <w:rsid w:val="003377CE"/>
    <w:rsid w:val="00340F97"/>
    <w:rsid w:val="003411D2"/>
    <w:rsid w:val="0034147A"/>
    <w:rsid w:val="00341C42"/>
    <w:rsid w:val="00341DB6"/>
    <w:rsid w:val="00342A0A"/>
    <w:rsid w:val="003432B0"/>
    <w:rsid w:val="003432DC"/>
    <w:rsid w:val="003434E2"/>
    <w:rsid w:val="003435B6"/>
    <w:rsid w:val="0034446F"/>
    <w:rsid w:val="00344476"/>
    <w:rsid w:val="00344F50"/>
    <w:rsid w:val="00345557"/>
    <w:rsid w:val="003455F9"/>
    <w:rsid w:val="00346A65"/>
    <w:rsid w:val="00347160"/>
    <w:rsid w:val="00350DB6"/>
    <w:rsid w:val="0035146D"/>
    <w:rsid w:val="00352077"/>
    <w:rsid w:val="0035248B"/>
    <w:rsid w:val="003531BC"/>
    <w:rsid w:val="00353604"/>
    <w:rsid w:val="00354EB1"/>
    <w:rsid w:val="0035589C"/>
    <w:rsid w:val="003570AC"/>
    <w:rsid w:val="003576D1"/>
    <w:rsid w:val="00357FDF"/>
    <w:rsid w:val="00357FE7"/>
    <w:rsid w:val="003609E9"/>
    <w:rsid w:val="00360AC2"/>
    <w:rsid w:val="00360C94"/>
    <w:rsid w:val="003615EE"/>
    <w:rsid w:val="00362197"/>
    <w:rsid w:val="00362823"/>
    <w:rsid w:val="0036293C"/>
    <w:rsid w:val="0036367A"/>
    <w:rsid w:val="003640F1"/>
    <w:rsid w:val="00365E97"/>
    <w:rsid w:val="003665BA"/>
    <w:rsid w:val="003666C5"/>
    <w:rsid w:val="003672DD"/>
    <w:rsid w:val="00367401"/>
    <w:rsid w:val="00367DED"/>
    <w:rsid w:val="00370BA4"/>
    <w:rsid w:val="003714BC"/>
    <w:rsid w:val="00371B14"/>
    <w:rsid w:val="0037256A"/>
    <w:rsid w:val="00372FC3"/>
    <w:rsid w:val="003730A8"/>
    <w:rsid w:val="00374881"/>
    <w:rsid w:val="00374B5B"/>
    <w:rsid w:val="00375279"/>
    <w:rsid w:val="00375C74"/>
    <w:rsid w:val="0037703B"/>
    <w:rsid w:val="00377DCB"/>
    <w:rsid w:val="00377ED2"/>
    <w:rsid w:val="00380346"/>
    <w:rsid w:val="0038098A"/>
    <w:rsid w:val="00380CB0"/>
    <w:rsid w:val="003813DA"/>
    <w:rsid w:val="00381766"/>
    <w:rsid w:val="00382612"/>
    <w:rsid w:val="0038379C"/>
    <w:rsid w:val="00383FCC"/>
    <w:rsid w:val="00384EA8"/>
    <w:rsid w:val="00385384"/>
    <w:rsid w:val="0039014D"/>
    <w:rsid w:val="00390507"/>
    <w:rsid w:val="003905D3"/>
    <w:rsid w:val="00390602"/>
    <w:rsid w:val="003906AF"/>
    <w:rsid w:val="00391488"/>
    <w:rsid w:val="0039184A"/>
    <w:rsid w:val="00391ACB"/>
    <w:rsid w:val="00391CAD"/>
    <w:rsid w:val="0039223C"/>
    <w:rsid w:val="0039240A"/>
    <w:rsid w:val="00392AC1"/>
    <w:rsid w:val="00393541"/>
    <w:rsid w:val="003945B7"/>
    <w:rsid w:val="00394ABC"/>
    <w:rsid w:val="00395D54"/>
    <w:rsid w:val="00396221"/>
    <w:rsid w:val="00396A9D"/>
    <w:rsid w:val="003973A0"/>
    <w:rsid w:val="00397DEB"/>
    <w:rsid w:val="003A00D2"/>
    <w:rsid w:val="003A07DA"/>
    <w:rsid w:val="003A088D"/>
    <w:rsid w:val="003A18E0"/>
    <w:rsid w:val="003A1DD1"/>
    <w:rsid w:val="003A2433"/>
    <w:rsid w:val="003A25DE"/>
    <w:rsid w:val="003A28E6"/>
    <w:rsid w:val="003A2A65"/>
    <w:rsid w:val="003A2AF3"/>
    <w:rsid w:val="003A2DC7"/>
    <w:rsid w:val="003A39ED"/>
    <w:rsid w:val="003A48FD"/>
    <w:rsid w:val="003A50A4"/>
    <w:rsid w:val="003A5B68"/>
    <w:rsid w:val="003A6D69"/>
    <w:rsid w:val="003A763F"/>
    <w:rsid w:val="003A78E5"/>
    <w:rsid w:val="003B088A"/>
    <w:rsid w:val="003B0BE2"/>
    <w:rsid w:val="003B172A"/>
    <w:rsid w:val="003B1CD6"/>
    <w:rsid w:val="003B20D1"/>
    <w:rsid w:val="003B2E81"/>
    <w:rsid w:val="003B3792"/>
    <w:rsid w:val="003B423F"/>
    <w:rsid w:val="003B60EE"/>
    <w:rsid w:val="003B6218"/>
    <w:rsid w:val="003B6B39"/>
    <w:rsid w:val="003B6EB3"/>
    <w:rsid w:val="003B7498"/>
    <w:rsid w:val="003B7633"/>
    <w:rsid w:val="003C01C2"/>
    <w:rsid w:val="003C1DF1"/>
    <w:rsid w:val="003C20E3"/>
    <w:rsid w:val="003C2960"/>
    <w:rsid w:val="003C2BCE"/>
    <w:rsid w:val="003C2C98"/>
    <w:rsid w:val="003C35B8"/>
    <w:rsid w:val="003C37A9"/>
    <w:rsid w:val="003C39CB"/>
    <w:rsid w:val="003C5147"/>
    <w:rsid w:val="003C5B61"/>
    <w:rsid w:val="003C6C81"/>
    <w:rsid w:val="003C6DDD"/>
    <w:rsid w:val="003C717F"/>
    <w:rsid w:val="003C7BD1"/>
    <w:rsid w:val="003D1CB9"/>
    <w:rsid w:val="003D1F65"/>
    <w:rsid w:val="003D2028"/>
    <w:rsid w:val="003D24CC"/>
    <w:rsid w:val="003D26C3"/>
    <w:rsid w:val="003D2A1D"/>
    <w:rsid w:val="003D2A91"/>
    <w:rsid w:val="003D33A0"/>
    <w:rsid w:val="003D37FF"/>
    <w:rsid w:val="003D51B0"/>
    <w:rsid w:val="003D536B"/>
    <w:rsid w:val="003D61A1"/>
    <w:rsid w:val="003D6E9C"/>
    <w:rsid w:val="003D6FBF"/>
    <w:rsid w:val="003E038D"/>
    <w:rsid w:val="003E073B"/>
    <w:rsid w:val="003E173C"/>
    <w:rsid w:val="003E17BE"/>
    <w:rsid w:val="003E2E90"/>
    <w:rsid w:val="003E2F44"/>
    <w:rsid w:val="003E35C2"/>
    <w:rsid w:val="003E3969"/>
    <w:rsid w:val="003E44BD"/>
    <w:rsid w:val="003E49C6"/>
    <w:rsid w:val="003E4C7B"/>
    <w:rsid w:val="003E5D53"/>
    <w:rsid w:val="003E61EA"/>
    <w:rsid w:val="003E63EC"/>
    <w:rsid w:val="003E6498"/>
    <w:rsid w:val="003E7442"/>
    <w:rsid w:val="003E7C4C"/>
    <w:rsid w:val="003F08CD"/>
    <w:rsid w:val="003F1307"/>
    <w:rsid w:val="003F2AEC"/>
    <w:rsid w:val="003F2FF6"/>
    <w:rsid w:val="003F34D1"/>
    <w:rsid w:val="003F360F"/>
    <w:rsid w:val="003F396E"/>
    <w:rsid w:val="003F4C6B"/>
    <w:rsid w:val="003F6096"/>
    <w:rsid w:val="003F6D5F"/>
    <w:rsid w:val="003F6D9B"/>
    <w:rsid w:val="003F7422"/>
    <w:rsid w:val="003F78CC"/>
    <w:rsid w:val="00400BEB"/>
    <w:rsid w:val="0040151B"/>
    <w:rsid w:val="00401BBC"/>
    <w:rsid w:val="00401EE2"/>
    <w:rsid w:val="00403010"/>
    <w:rsid w:val="00404726"/>
    <w:rsid w:val="00405491"/>
    <w:rsid w:val="004059FA"/>
    <w:rsid w:val="004063E8"/>
    <w:rsid w:val="0041123D"/>
    <w:rsid w:val="00411585"/>
    <w:rsid w:val="00412156"/>
    <w:rsid w:val="00412171"/>
    <w:rsid w:val="00412BEF"/>
    <w:rsid w:val="00413C0B"/>
    <w:rsid w:val="004149F8"/>
    <w:rsid w:val="00414A16"/>
    <w:rsid w:val="004156A7"/>
    <w:rsid w:val="004158F4"/>
    <w:rsid w:val="0041727D"/>
    <w:rsid w:val="0041789B"/>
    <w:rsid w:val="0042052B"/>
    <w:rsid w:val="0042075F"/>
    <w:rsid w:val="004210D0"/>
    <w:rsid w:val="004221FD"/>
    <w:rsid w:val="00422D4A"/>
    <w:rsid w:val="00422EAF"/>
    <w:rsid w:val="00424B61"/>
    <w:rsid w:val="004259C9"/>
    <w:rsid w:val="004260E4"/>
    <w:rsid w:val="004261F0"/>
    <w:rsid w:val="00426533"/>
    <w:rsid w:val="00426E3A"/>
    <w:rsid w:val="00426F25"/>
    <w:rsid w:val="00427635"/>
    <w:rsid w:val="00427EDE"/>
    <w:rsid w:val="0043123C"/>
    <w:rsid w:val="004313AF"/>
    <w:rsid w:val="004328E9"/>
    <w:rsid w:val="00432CC6"/>
    <w:rsid w:val="00433326"/>
    <w:rsid w:val="00433CBE"/>
    <w:rsid w:val="00433FC1"/>
    <w:rsid w:val="0043412F"/>
    <w:rsid w:val="0043496E"/>
    <w:rsid w:val="00435AA7"/>
    <w:rsid w:val="00436469"/>
    <w:rsid w:val="00437492"/>
    <w:rsid w:val="00437946"/>
    <w:rsid w:val="00437BDC"/>
    <w:rsid w:val="00437EEE"/>
    <w:rsid w:val="004419EF"/>
    <w:rsid w:val="00441B69"/>
    <w:rsid w:val="00441FCD"/>
    <w:rsid w:val="00442103"/>
    <w:rsid w:val="00442570"/>
    <w:rsid w:val="0044304E"/>
    <w:rsid w:val="00443226"/>
    <w:rsid w:val="00443410"/>
    <w:rsid w:val="004435CA"/>
    <w:rsid w:val="004435F6"/>
    <w:rsid w:val="00443633"/>
    <w:rsid w:val="00443B12"/>
    <w:rsid w:val="00443D39"/>
    <w:rsid w:val="00444384"/>
    <w:rsid w:val="0044490C"/>
    <w:rsid w:val="00444B07"/>
    <w:rsid w:val="00444E99"/>
    <w:rsid w:val="00446615"/>
    <w:rsid w:val="0045002C"/>
    <w:rsid w:val="004524A9"/>
    <w:rsid w:val="004529F0"/>
    <w:rsid w:val="00452DCB"/>
    <w:rsid w:val="0045313F"/>
    <w:rsid w:val="00453982"/>
    <w:rsid w:val="00453CC5"/>
    <w:rsid w:val="00454114"/>
    <w:rsid w:val="004546B5"/>
    <w:rsid w:val="004567EA"/>
    <w:rsid w:val="0045731C"/>
    <w:rsid w:val="004606AE"/>
    <w:rsid w:val="00460AE1"/>
    <w:rsid w:val="00460BDB"/>
    <w:rsid w:val="004612E7"/>
    <w:rsid w:val="00461451"/>
    <w:rsid w:val="004617FF"/>
    <w:rsid w:val="00461DF0"/>
    <w:rsid w:val="0046221F"/>
    <w:rsid w:val="004622AD"/>
    <w:rsid w:val="004623BC"/>
    <w:rsid w:val="00462AAE"/>
    <w:rsid w:val="00462EEF"/>
    <w:rsid w:val="004631BC"/>
    <w:rsid w:val="00464397"/>
    <w:rsid w:val="00464C64"/>
    <w:rsid w:val="00465EFD"/>
    <w:rsid w:val="00466BC5"/>
    <w:rsid w:val="0046743F"/>
    <w:rsid w:val="00467445"/>
    <w:rsid w:val="00467697"/>
    <w:rsid w:val="00470732"/>
    <w:rsid w:val="00470CC3"/>
    <w:rsid w:val="00470F08"/>
    <w:rsid w:val="00471003"/>
    <w:rsid w:val="00471481"/>
    <w:rsid w:val="00471628"/>
    <w:rsid w:val="004726AE"/>
    <w:rsid w:val="00472AE4"/>
    <w:rsid w:val="004738B3"/>
    <w:rsid w:val="00473B83"/>
    <w:rsid w:val="0047458B"/>
    <w:rsid w:val="00475418"/>
    <w:rsid w:val="0047597D"/>
    <w:rsid w:val="00476639"/>
    <w:rsid w:val="004826CB"/>
    <w:rsid w:val="00484331"/>
    <w:rsid w:val="00484517"/>
    <w:rsid w:val="0048455A"/>
    <w:rsid w:val="004848FC"/>
    <w:rsid w:val="00484CA0"/>
    <w:rsid w:val="00484CB1"/>
    <w:rsid w:val="00485043"/>
    <w:rsid w:val="00485426"/>
    <w:rsid w:val="00485C54"/>
    <w:rsid w:val="00486374"/>
    <w:rsid w:val="00486ADC"/>
    <w:rsid w:val="00486D50"/>
    <w:rsid w:val="00490670"/>
    <w:rsid w:val="00490BF4"/>
    <w:rsid w:val="00491061"/>
    <w:rsid w:val="00491655"/>
    <w:rsid w:val="004918F7"/>
    <w:rsid w:val="0049310C"/>
    <w:rsid w:val="00493A75"/>
    <w:rsid w:val="00494D52"/>
    <w:rsid w:val="00495BDB"/>
    <w:rsid w:val="00495C6C"/>
    <w:rsid w:val="00495E53"/>
    <w:rsid w:val="0049629B"/>
    <w:rsid w:val="004962ED"/>
    <w:rsid w:val="00496566"/>
    <w:rsid w:val="004974FE"/>
    <w:rsid w:val="004979A9"/>
    <w:rsid w:val="004A0698"/>
    <w:rsid w:val="004A078A"/>
    <w:rsid w:val="004A0C7C"/>
    <w:rsid w:val="004A3106"/>
    <w:rsid w:val="004A3965"/>
    <w:rsid w:val="004A3B48"/>
    <w:rsid w:val="004A3FE8"/>
    <w:rsid w:val="004A3FFE"/>
    <w:rsid w:val="004A4073"/>
    <w:rsid w:val="004A5D0D"/>
    <w:rsid w:val="004A5DB5"/>
    <w:rsid w:val="004A68D9"/>
    <w:rsid w:val="004A6DE0"/>
    <w:rsid w:val="004A7290"/>
    <w:rsid w:val="004A75B4"/>
    <w:rsid w:val="004A788C"/>
    <w:rsid w:val="004B41F6"/>
    <w:rsid w:val="004B54D0"/>
    <w:rsid w:val="004B5B7F"/>
    <w:rsid w:val="004B5D7A"/>
    <w:rsid w:val="004B6138"/>
    <w:rsid w:val="004B7177"/>
    <w:rsid w:val="004C15D9"/>
    <w:rsid w:val="004C3866"/>
    <w:rsid w:val="004C46BC"/>
    <w:rsid w:val="004C5AFE"/>
    <w:rsid w:val="004C5DA2"/>
    <w:rsid w:val="004C5EC9"/>
    <w:rsid w:val="004C74B7"/>
    <w:rsid w:val="004D0843"/>
    <w:rsid w:val="004D0A95"/>
    <w:rsid w:val="004D16DF"/>
    <w:rsid w:val="004D305B"/>
    <w:rsid w:val="004D3D96"/>
    <w:rsid w:val="004D4472"/>
    <w:rsid w:val="004D4820"/>
    <w:rsid w:val="004D4DAD"/>
    <w:rsid w:val="004D565D"/>
    <w:rsid w:val="004D5C66"/>
    <w:rsid w:val="004E0F13"/>
    <w:rsid w:val="004E1125"/>
    <w:rsid w:val="004E1153"/>
    <w:rsid w:val="004E165E"/>
    <w:rsid w:val="004E21D8"/>
    <w:rsid w:val="004E22D1"/>
    <w:rsid w:val="004E2B60"/>
    <w:rsid w:val="004E3F7A"/>
    <w:rsid w:val="004E5ED5"/>
    <w:rsid w:val="004E68C4"/>
    <w:rsid w:val="004E77EE"/>
    <w:rsid w:val="004E795A"/>
    <w:rsid w:val="004E7F11"/>
    <w:rsid w:val="004F01B5"/>
    <w:rsid w:val="004F03F2"/>
    <w:rsid w:val="004F0F1F"/>
    <w:rsid w:val="004F1813"/>
    <w:rsid w:val="004F255E"/>
    <w:rsid w:val="004F35C5"/>
    <w:rsid w:val="004F392C"/>
    <w:rsid w:val="004F4487"/>
    <w:rsid w:val="004F45F3"/>
    <w:rsid w:val="004F521C"/>
    <w:rsid w:val="004F5AE4"/>
    <w:rsid w:val="004F5E62"/>
    <w:rsid w:val="004F627C"/>
    <w:rsid w:val="004F62DD"/>
    <w:rsid w:val="004F6BC1"/>
    <w:rsid w:val="004F7665"/>
    <w:rsid w:val="0050158F"/>
    <w:rsid w:val="00501FA1"/>
    <w:rsid w:val="00503313"/>
    <w:rsid w:val="0050343A"/>
    <w:rsid w:val="00503759"/>
    <w:rsid w:val="00503969"/>
    <w:rsid w:val="00503DE1"/>
    <w:rsid w:val="0050496B"/>
    <w:rsid w:val="005101CD"/>
    <w:rsid w:val="00510FCD"/>
    <w:rsid w:val="0051190C"/>
    <w:rsid w:val="00511B88"/>
    <w:rsid w:val="00512833"/>
    <w:rsid w:val="00513307"/>
    <w:rsid w:val="0051331A"/>
    <w:rsid w:val="00513F60"/>
    <w:rsid w:val="00514207"/>
    <w:rsid w:val="005144BE"/>
    <w:rsid w:val="0051481D"/>
    <w:rsid w:val="00514B34"/>
    <w:rsid w:val="0051557E"/>
    <w:rsid w:val="00515FA8"/>
    <w:rsid w:val="00516C64"/>
    <w:rsid w:val="005170F5"/>
    <w:rsid w:val="00517250"/>
    <w:rsid w:val="00517292"/>
    <w:rsid w:val="00517D8E"/>
    <w:rsid w:val="0052252C"/>
    <w:rsid w:val="00522E55"/>
    <w:rsid w:val="00524861"/>
    <w:rsid w:val="0052528A"/>
    <w:rsid w:val="005269E0"/>
    <w:rsid w:val="00527037"/>
    <w:rsid w:val="00527526"/>
    <w:rsid w:val="00527692"/>
    <w:rsid w:val="00530424"/>
    <w:rsid w:val="0053136E"/>
    <w:rsid w:val="00531814"/>
    <w:rsid w:val="0053190F"/>
    <w:rsid w:val="00531E2D"/>
    <w:rsid w:val="005323EF"/>
    <w:rsid w:val="00532CBE"/>
    <w:rsid w:val="00533757"/>
    <w:rsid w:val="00533C6C"/>
    <w:rsid w:val="005351DB"/>
    <w:rsid w:val="00535B5F"/>
    <w:rsid w:val="00536E67"/>
    <w:rsid w:val="005375BA"/>
    <w:rsid w:val="00542061"/>
    <w:rsid w:val="00542993"/>
    <w:rsid w:val="00543ED9"/>
    <w:rsid w:val="005448D6"/>
    <w:rsid w:val="005451B2"/>
    <w:rsid w:val="005455DC"/>
    <w:rsid w:val="00545723"/>
    <w:rsid w:val="00545E99"/>
    <w:rsid w:val="00546015"/>
    <w:rsid w:val="005503B0"/>
    <w:rsid w:val="00550FE0"/>
    <w:rsid w:val="005529A0"/>
    <w:rsid w:val="00552A08"/>
    <w:rsid w:val="00552E3A"/>
    <w:rsid w:val="00553507"/>
    <w:rsid w:val="00553637"/>
    <w:rsid w:val="00553888"/>
    <w:rsid w:val="00555710"/>
    <w:rsid w:val="00555A69"/>
    <w:rsid w:val="00556F98"/>
    <w:rsid w:val="0055761E"/>
    <w:rsid w:val="00557BFC"/>
    <w:rsid w:val="00557DC9"/>
    <w:rsid w:val="00557F40"/>
    <w:rsid w:val="00561313"/>
    <w:rsid w:val="00561619"/>
    <w:rsid w:val="0056259F"/>
    <w:rsid w:val="005668AE"/>
    <w:rsid w:val="00566AF1"/>
    <w:rsid w:val="00567801"/>
    <w:rsid w:val="005705F3"/>
    <w:rsid w:val="00572644"/>
    <w:rsid w:val="00572785"/>
    <w:rsid w:val="00572BF3"/>
    <w:rsid w:val="00572C30"/>
    <w:rsid w:val="0057446A"/>
    <w:rsid w:val="00574916"/>
    <w:rsid w:val="00575649"/>
    <w:rsid w:val="00575B79"/>
    <w:rsid w:val="00576355"/>
    <w:rsid w:val="00577739"/>
    <w:rsid w:val="0057793A"/>
    <w:rsid w:val="00577BE6"/>
    <w:rsid w:val="00577F90"/>
    <w:rsid w:val="00577F9C"/>
    <w:rsid w:val="0058004A"/>
    <w:rsid w:val="00580818"/>
    <w:rsid w:val="00581279"/>
    <w:rsid w:val="0058203E"/>
    <w:rsid w:val="00582BA3"/>
    <w:rsid w:val="00582C85"/>
    <w:rsid w:val="005830DC"/>
    <w:rsid w:val="00584410"/>
    <w:rsid w:val="00585097"/>
    <w:rsid w:val="00585993"/>
    <w:rsid w:val="00585A16"/>
    <w:rsid w:val="0058608E"/>
    <w:rsid w:val="005902A0"/>
    <w:rsid w:val="00590465"/>
    <w:rsid w:val="005904E5"/>
    <w:rsid w:val="005907C0"/>
    <w:rsid w:val="0059145C"/>
    <w:rsid w:val="00591C2B"/>
    <w:rsid w:val="005921E0"/>
    <w:rsid w:val="005943A2"/>
    <w:rsid w:val="005944BD"/>
    <w:rsid w:val="0059598C"/>
    <w:rsid w:val="00597DDC"/>
    <w:rsid w:val="005A0169"/>
    <w:rsid w:val="005A0855"/>
    <w:rsid w:val="005A1B67"/>
    <w:rsid w:val="005A1FF0"/>
    <w:rsid w:val="005A3799"/>
    <w:rsid w:val="005A3BFD"/>
    <w:rsid w:val="005A3CD2"/>
    <w:rsid w:val="005A486D"/>
    <w:rsid w:val="005A5958"/>
    <w:rsid w:val="005A5E07"/>
    <w:rsid w:val="005A7BC7"/>
    <w:rsid w:val="005B0D33"/>
    <w:rsid w:val="005B140D"/>
    <w:rsid w:val="005B1464"/>
    <w:rsid w:val="005B1C42"/>
    <w:rsid w:val="005B1F8E"/>
    <w:rsid w:val="005B265D"/>
    <w:rsid w:val="005B485D"/>
    <w:rsid w:val="005B560B"/>
    <w:rsid w:val="005B60BD"/>
    <w:rsid w:val="005B69A3"/>
    <w:rsid w:val="005B6A43"/>
    <w:rsid w:val="005C0F02"/>
    <w:rsid w:val="005C12A4"/>
    <w:rsid w:val="005C1D84"/>
    <w:rsid w:val="005C3BF1"/>
    <w:rsid w:val="005C3FD4"/>
    <w:rsid w:val="005C4C5E"/>
    <w:rsid w:val="005C5FE1"/>
    <w:rsid w:val="005C5FEF"/>
    <w:rsid w:val="005C6917"/>
    <w:rsid w:val="005C6AE0"/>
    <w:rsid w:val="005C6CE6"/>
    <w:rsid w:val="005C79BC"/>
    <w:rsid w:val="005D010F"/>
    <w:rsid w:val="005D0375"/>
    <w:rsid w:val="005D0536"/>
    <w:rsid w:val="005D0780"/>
    <w:rsid w:val="005D0AFE"/>
    <w:rsid w:val="005D0FD4"/>
    <w:rsid w:val="005D11B1"/>
    <w:rsid w:val="005D1451"/>
    <w:rsid w:val="005D18F1"/>
    <w:rsid w:val="005D1E3B"/>
    <w:rsid w:val="005D22DC"/>
    <w:rsid w:val="005D3088"/>
    <w:rsid w:val="005D3599"/>
    <w:rsid w:val="005D50B3"/>
    <w:rsid w:val="005D5374"/>
    <w:rsid w:val="005D5446"/>
    <w:rsid w:val="005D5C64"/>
    <w:rsid w:val="005D618C"/>
    <w:rsid w:val="005D6A13"/>
    <w:rsid w:val="005D6F10"/>
    <w:rsid w:val="005D7AEA"/>
    <w:rsid w:val="005E0A52"/>
    <w:rsid w:val="005E11C0"/>
    <w:rsid w:val="005E1715"/>
    <w:rsid w:val="005E1792"/>
    <w:rsid w:val="005E1DB5"/>
    <w:rsid w:val="005E2828"/>
    <w:rsid w:val="005E2DB7"/>
    <w:rsid w:val="005E3D9F"/>
    <w:rsid w:val="005E61A6"/>
    <w:rsid w:val="005E6B8E"/>
    <w:rsid w:val="005E7188"/>
    <w:rsid w:val="005E71EA"/>
    <w:rsid w:val="005E767D"/>
    <w:rsid w:val="005E7B8D"/>
    <w:rsid w:val="005F4F14"/>
    <w:rsid w:val="005F5F8A"/>
    <w:rsid w:val="005F6136"/>
    <w:rsid w:val="005F6533"/>
    <w:rsid w:val="005F6DF7"/>
    <w:rsid w:val="005F6E47"/>
    <w:rsid w:val="005F79D5"/>
    <w:rsid w:val="00600376"/>
    <w:rsid w:val="0060043D"/>
    <w:rsid w:val="00600764"/>
    <w:rsid w:val="0060162E"/>
    <w:rsid w:val="00603055"/>
    <w:rsid w:val="0060306F"/>
    <w:rsid w:val="00604EC9"/>
    <w:rsid w:val="00605B19"/>
    <w:rsid w:val="00605DF8"/>
    <w:rsid w:val="00606060"/>
    <w:rsid w:val="00606EDA"/>
    <w:rsid w:val="006078E7"/>
    <w:rsid w:val="00610950"/>
    <w:rsid w:val="006110BB"/>
    <w:rsid w:val="00611435"/>
    <w:rsid w:val="006114E0"/>
    <w:rsid w:val="00611A1D"/>
    <w:rsid w:val="00611AFC"/>
    <w:rsid w:val="00613B9A"/>
    <w:rsid w:val="00614433"/>
    <w:rsid w:val="00615472"/>
    <w:rsid w:val="00615CD8"/>
    <w:rsid w:val="006166EC"/>
    <w:rsid w:val="0061670B"/>
    <w:rsid w:val="00616788"/>
    <w:rsid w:val="006171EE"/>
    <w:rsid w:val="00617376"/>
    <w:rsid w:val="006175E3"/>
    <w:rsid w:val="006179D7"/>
    <w:rsid w:val="00620982"/>
    <w:rsid w:val="0062236E"/>
    <w:rsid w:val="00624854"/>
    <w:rsid w:val="00624EFD"/>
    <w:rsid w:val="00626074"/>
    <w:rsid w:val="00626683"/>
    <w:rsid w:val="0062686F"/>
    <w:rsid w:val="00626E65"/>
    <w:rsid w:val="00630534"/>
    <w:rsid w:val="00630C1F"/>
    <w:rsid w:val="00630C70"/>
    <w:rsid w:val="006313D6"/>
    <w:rsid w:val="00631FAF"/>
    <w:rsid w:val="0063486B"/>
    <w:rsid w:val="00634A4D"/>
    <w:rsid w:val="006376CA"/>
    <w:rsid w:val="00640BCF"/>
    <w:rsid w:val="00641394"/>
    <w:rsid w:val="00641FD1"/>
    <w:rsid w:val="0064208C"/>
    <w:rsid w:val="006432C6"/>
    <w:rsid w:val="00644DDF"/>
    <w:rsid w:val="006455C8"/>
    <w:rsid w:val="0064658B"/>
    <w:rsid w:val="00647417"/>
    <w:rsid w:val="00647774"/>
    <w:rsid w:val="00647878"/>
    <w:rsid w:val="00647BA7"/>
    <w:rsid w:val="00647FD9"/>
    <w:rsid w:val="006509C6"/>
    <w:rsid w:val="00651849"/>
    <w:rsid w:val="00652841"/>
    <w:rsid w:val="00652F57"/>
    <w:rsid w:val="006535DC"/>
    <w:rsid w:val="00653F65"/>
    <w:rsid w:val="0065443C"/>
    <w:rsid w:val="00655044"/>
    <w:rsid w:val="00655C99"/>
    <w:rsid w:val="00657F73"/>
    <w:rsid w:val="0066020E"/>
    <w:rsid w:val="00660220"/>
    <w:rsid w:val="00660734"/>
    <w:rsid w:val="0066078A"/>
    <w:rsid w:val="006608CB"/>
    <w:rsid w:val="00660910"/>
    <w:rsid w:val="006615E7"/>
    <w:rsid w:val="006620A2"/>
    <w:rsid w:val="00663B30"/>
    <w:rsid w:val="00665A5A"/>
    <w:rsid w:val="00665AEC"/>
    <w:rsid w:val="0066624A"/>
    <w:rsid w:val="00666818"/>
    <w:rsid w:val="00667252"/>
    <w:rsid w:val="006701A6"/>
    <w:rsid w:val="00670BA0"/>
    <w:rsid w:val="0067130E"/>
    <w:rsid w:val="00671645"/>
    <w:rsid w:val="00671840"/>
    <w:rsid w:val="00671890"/>
    <w:rsid w:val="00672769"/>
    <w:rsid w:val="00672AD3"/>
    <w:rsid w:val="0067433A"/>
    <w:rsid w:val="006753E0"/>
    <w:rsid w:val="006756AE"/>
    <w:rsid w:val="00677779"/>
    <w:rsid w:val="00677948"/>
    <w:rsid w:val="00680907"/>
    <w:rsid w:val="00681E47"/>
    <w:rsid w:val="00683CCA"/>
    <w:rsid w:val="006841B6"/>
    <w:rsid w:val="0068442D"/>
    <w:rsid w:val="00685230"/>
    <w:rsid w:val="006860E0"/>
    <w:rsid w:val="0068688D"/>
    <w:rsid w:val="00686A0B"/>
    <w:rsid w:val="00686BE8"/>
    <w:rsid w:val="00687210"/>
    <w:rsid w:val="00687537"/>
    <w:rsid w:val="00691554"/>
    <w:rsid w:val="00692712"/>
    <w:rsid w:val="006929A3"/>
    <w:rsid w:val="00693C19"/>
    <w:rsid w:val="006946B0"/>
    <w:rsid w:val="00694DC8"/>
    <w:rsid w:val="0069654D"/>
    <w:rsid w:val="00696AE3"/>
    <w:rsid w:val="00696BA6"/>
    <w:rsid w:val="00696F40"/>
    <w:rsid w:val="00697F45"/>
    <w:rsid w:val="006A01E1"/>
    <w:rsid w:val="006A18F9"/>
    <w:rsid w:val="006A1B8E"/>
    <w:rsid w:val="006A1C91"/>
    <w:rsid w:val="006A29D7"/>
    <w:rsid w:val="006A3609"/>
    <w:rsid w:val="006A4971"/>
    <w:rsid w:val="006A52B8"/>
    <w:rsid w:val="006A5894"/>
    <w:rsid w:val="006A5D6F"/>
    <w:rsid w:val="006A5EDD"/>
    <w:rsid w:val="006A6CE0"/>
    <w:rsid w:val="006A7913"/>
    <w:rsid w:val="006A7BB5"/>
    <w:rsid w:val="006A7F52"/>
    <w:rsid w:val="006B04F0"/>
    <w:rsid w:val="006B0604"/>
    <w:rsid w:val="006B0D43"/>
    <w:rsid w:val="006B2328"/>
    <w:rsid w:val="006B2C99"/>
    <w:rsid w:val="006B4055"/>
    <w:rsid w:val="006B471C"/>
    <w:rsid w:val="006B5615"/>
    <w:rsid w:val="006B6306"/>
    <w:rsid w:val="006B772C"/>
    <w:rsid w:val="006B7791"/>
    <w:rsid w:val="006C1168"/>
    <w:rsid w:val="006C1560"/>
    <w:rsid w:val="006C1DFE"/>
    <w:rsid w:val="006C42AA"/>
    <w:rsid w:val="006C5937"/>
    <w:rsid w:val="006C645C"/>
    <w:rsid w:val="006C6634"/>
    <w:rsid w:val="006D012A"/>
    <w:rsid w:val="006D0C2E"/>
    <w:rsid w:val="006D20DE"/>
    <w:rsid w:val="006D296F"/>
    <w:rsid w:val="006D2B38"/>
    <w:rsid w:val="006D2CFB"/>
    <w:rsid w:val="006D32A2"/>
    <w:rsid w:val="006D3601"/>
    <w:rsid w:val="006D4513"/>
    <w:rsid w:val="006D49AF"/>
    <w:rsid w:val="006D4AAB"/>
    <w:rsid w:val="006D4B3E"/>
    <w:rsid w:val="006D52F9"/>
    <w:rsid w:val="006D6527"/>
    <w:rsid w:val="006D7F05"/>
    <w:rsid w:val="006E0335"/>
    <w:rsid w:val="006E0481"/>
    <w:rsid w:val="006E04ED"/>
    <w:rsid w:val="006E08BC"/>
    <w:rsid w:val="006E08CB"/>
    <w:rsid w:val="006E14B1"/>
    <w:rsid w:val="006E1E47"/>
    <w:rsid w:val="006E3A71"/>
    <w:rsid w:val="006E3B91"/>
    <w:rsid w:val="006E4233"/>
    <w:rsid w:val="006E4DF7"/>
    <w:rsid w:val="006E56B4"/>
    <w:rsid w:val="006E5C5A"/>
    <w:rsid w:val="006E72CD"/>
    <w:rsid w:val="006F0CFE"/>
    <w:rsid w:val="006F102A"/>
    <w:rsid w:val="006F1123"/>
    <w:rsid w:val="006F1376"/>
    <w:rsid w:val="006F1C49"/>
    <w:rsid w:val="006F2662"/>
    <w:rsid w:val="006F2924"/>
    <w:rsid w:val="006F2980"/>
    <w:rsid w:val="006F2F31"/>
    <w:rsid w:val="006F5E0E"/>
    <w:rsid w:val="006F724C"/>
    <w:rsid w:val="006F7C3E"/>
    <w:rsid w:val="00701500"/>
    <w:rsid w:val="00701C9F"/>
    <w:rsid w:val="00701D97"/>
    <w:rsid w:val="00701E6D"/>
    <w:rsid w:val="007022A2"/>
    <w:rsid w:val="007023FE"/>
    <w:rsid w:val="00702451"/>
    <w:rsid w:val="00702BCB"/>
    <w:rsid w:val="007040CA"/>
    <w:rsid w:val="007055FE"/>
    <w:rsid w:val="007058C0"/>
    <w:rsid w:val="007071D5"/>
    <w:rsid w:val="007072DA"/>
    <w:rsid w:val="00707A92"/>
    <w:rsid w:val="007118F2"/>
    <w:rsid w:val="00711B89"/>
    <w:rsid w:val="00712FA7"/>
    <w:rsid w:val="00713350"/>
    <w:rsid w:val="007140B9"/>
    <w:rsid w:val="00714840"/>
    <w:rsid w:val="007150FD"/>
    <w:rsid w:val="00716866"/>
    <w:rsid w:val="00717DDB"/>
    <w:rsid w:val="007206D7"/>
    <w:rsid w:val="00720966"/>
    <w:rsid w:val="00720D94"/>
    <w:rsid w:val="007217E7"/>
    <w:rsid w:val="00721970"/>
    <w:rsid w:val="007220B6"/>
    <w:rsid w:val="0072344A"/>
    <w:rsid w:val="00725E19"/>
    <w:rsid w:val="007263A2"/>
    <w:rsid w:val="007264AA"/>
    <w:rsid w:val="0072678F"/>
    <w:rsid w:val="00727A60"/>
    <w:rsid w:val="00727BD0"/>
    <w:rsid w:val="007309BC"/>
    <w:rsid w:val="00731DC4"/>
    <w:rsid w:val="007322B7"/>
    <w:rsid w:val="00732486"/>
    <w:rsid w:val="00732852"/>
    <w:rsid w:val="00732975"/>
    <w:rsid w:val="007336E7"/>
    <w:rsid w:val="00734109"/>
    <w:rsid w:val="007350F7"/>
    <w:rsid w:val="0073522F"/>
    <w:rsid w:val="00735A2F"/>
    <w:rsid w:val="00735BA9"/>
    <w:rsid w:val="00735D62"/>
    <w:rsid w:val="00736A3E"/>
    <w:rsid w:val="00736C5D"/>
    <w:rsid w:val="00737784"/>
    <w:rsid w:val="00740D79"/>
    <w:rsid w:val="0074108D"/>
    <w:rsid w:val="00742B27"/>
    <w:rsid w:val="00743A5F"/>
    <w:rsid w:val="00745AC1"/>
    <w:rsid w:val="00746879"/>
    <w:rsid w:val="00746964"/>
    <w:rsid w:val="00746A53"/>
    <w:rsid w:val="00747149"/>
    <w:rsid w:val="0074759F"/>
    <w:rsid w:val="00747628"/>
    <w:rsid w:val="007501E2"/>
    <w:rsid w:val="00750BBA"/>
    <w:rsid w:val="0075143B"/>
    <w:rsid w:val="007515E6"/>
    <w:rsid w:val="007525BE"/>
    <w:rsid w:val="00752A3D"/>
    <w:rsid w:val="00752D9E"/>
    <w:rsid w:val="00752E68"/>
    <w:rsid w:val="00752F44"/>
    <w:rsid w:val="0075300E"/>
    <w:rsid w:val="00753206"/>
    <w:rsid w:val="00753395"/>
    <w:rsid w:val="007536CB"/>
    <w:rsid w:val="00753872"/>
    <w:rsid w:val="00753BC7"/>
    <w:rsid w:val="007548DA"/>
    <w:rsid w:val="00754AD3"/>
    <w:rsid w:val="00755C9F"/>
    <w:rsid w:val="00755D5E"/>
    <w:rsid w:val="00756FD7"/>
    <w:rsid w:val="00757640"/>
    <w:rsid w:val="00757986"/>
    <w:rsid w:val="00757A09"/>
    <w:rsid w:val="00760AD8"/>
    <w:rsid w:val="0076163D"/>
    <w:rsid w:val="007617E1"/>
    <w:rsid w:val="0076182D"/>
    <w:rsid w:val="00762803"/>
    <w:rsid w:val="007628FB"/>
    <w:rsid w:val="00763961"/>
    <w:rsid w:val="00763FD8"/>
    <w:rsid w:val="00764D97"/>
    <w:rsid w:val="00765D3A"/>
    <w:rsid w:val="0076612A"/>
    <w:rsid w:val="00767630"/>
    <w:rsid w:val="0077126C"/>
    <w:rsid w:val="0077136D"/>
    <w:rsid w:val="00771467"/>
    <w:rsid w:val="00771672"/>
    <w:rsid w:val="00771F67"/>
    <w:rsid w:val="00771F7F"/>
    <w:rsid w:val="007734D6"/>
    <w:rsid w:val="00774C09"/>
    <w:rsid w:val="007752D6"/>
    <w:rsid w:val="00775952"/>
    <w:rsid w:val="0077628B"/>
    <w:rsid w:val="0077681A"/>
    <w:rsid w:val="00777633"/>
    <w:rsid w:val="00777B0D"/>
    <w:rsid w:val="00777F1F"/>
    <w:rsid w:val="0078135F"/>
    <w:rsid w:val="00782730"/>
    <w:rsid w:val="00782948"/>
    <w:rsid w:val="0078396A"/>
    <w:rsid w:val="00784E9C"/>
    <w:rsid w:val="00784EFE"/>
    <w:rsid w:val="007854B1"/>
    <w:rsid w:val="0078571C"/>
    <w:rsid w:val="007864CE"/>
    <w:rsid w:val="007866CF"/>
    <w:rsid w:val="0078706F"/>
    <w:rsid w:val="00787590"/>
    <w:rsid w:val="00790335"/>
    <w:rsid w:val="00790D72"/>
    <w:rsid w:val="00791072"/>
    <w:rsid w:val="00792A24"/>
    <w:rsid w:val="00792DF1"/>
    <w:rsid w:val="00793194"/>
    <w:rsid w:val="00793378"/>
    <w:rsid w:val="007938EC"/>
    <w:rsid w:val="007939B1"/>
    <w:rsid w:val="0079464C"/>
    <w:rsid w:val="00794E61"/>
    <w:rsid w:val="0079590E"/>
    <w:rsid w:val="007968C0"/>
    <w:rsid w:val="00796F1F"/>
    <w:rsid w:val="00797409"/>
    <w:rsid w:val="00797A17"/>
    <w:rsid w:val="00797D07"/>
    <w:rsid w:val="007A0902"/>
    <w:rsid w:val="007A0BDB"/>
    <w:rsid w:val="007A1109"/>
    <w:rsid w:val="007A27CF"/>
    <w:rsid w:val="007A3130"/>
    <w:rsid w:val="007A32E6"/>
    <w:rsid w:val="007A34B0"/>
    <w:rsid w:val="007A3746"/>
    <w:rsid w:val="007A3CF4"/>
    <w:rsid w:val="007A4087"/>
    <w:rsid w:val="007A4976"/>
    <w:rsid w:val="007A4A38"/>
    <w:rsid w:val="007A5370"/>
    <w:rsid w:val="007A61C2"/>
    <w:rsid w:val="007A64EA"/>
    <w:rsid w:val="007A666A"/>
    <w:rsid w:val="007A6A40"/>
    <w:rsid w:val="007A7C13"/>
    <w:rsid w:val="007B14B9"/>
    <w:rsid w:val="007B1B3F"/>
    <w:rsid w:val="007B2BDC"/>
    <w:rsid w:val="007B3248"/>
    <w:rsid w:val="007B32D7"/>
    <w:rsid w:val="007B3F93"/>
    <w:rsid w:val="007B5CCD"/>
    <w:rsid w:val="007B7CA5"/>
    <w:rsid w:val="007C05C8"/>
    <w:rsid w:val="007C0C11"/>
    <w:rsid w:val="007C159B"/>
    <w:rsid w:val="007C3D27"/>
    <w:rsid w:val="007C4487"/>
    <w:rsid w:val="007C456B"/>
    <w:rsid w:val="007C45EF"/>
    <w:rsid w:val="007C4A68"/>
    <w:rsid w:val="007C6843"/>
    <w:rsid w:val="007C6DC0"/>
    <w:rsid w:val="007D10E0"/>
    <w:rsid w:val="007D2A30"/>
    <w:rsid w:val="007D4C45"/>
    <w:rsid w:val="007D575B"/>
    <w:rsid w:val="007D5A15"/>
    <w:rsid w:val="007D60DF"/>
    <w:rsid w:val="007D6FC0"/>
    <w:rsid w:val="007D7316"/>
    <w:rsid w:val="007D7495"/>
    <w:rsid w:val="007E0499"/>
    <w:rsid w:val="007E2AC4"/>
    <w:rsid w:val="007E3C2B"/>
    <w:rsid w:val="007E3CF7"/>
    <w:rsid w:val="007E44AD"/>
    <w:rsid w:val="007E4777"/>
    <w:rsid w:val="007E53BE"/>
    <w:rsid w:val="007E5D56"/>
    <w:rsid w:val="007E6387"/>
    <w:rsid w:val="007E6AA2"/>
    <w:rsid w:val="007F02C3"/>
    <w:rsid w:val="007F049F"/>
    <w:rsid w:val="007F0B9E"/>
    <w:rsid w:val="007F0CB2"/>
    <w:rsid w:val="007F175A"/>
    <w:rsid w:val="007F18F0"/>
    <w:rsid w:val="007F1A1D"/>
    <w:rsid w:val="007F3270"/>
    <w:rsid w:val="007F4224"/>
    <w:rsid w:val="007F459D"/>
    <w:rsid w:val="007F4A2E"/>
    <w:rsid w:val="007F6132"/>
    <w:rsid w:val="007F673A"/>
    <w:rsid w:val="007F7067"/>
    <w:rsid w:val="00800E50"/>
    <w:rsid w:val="00800FA3"/>
    <w:rsid w:val="00800FBD"/>
    <w:rsid w:val="0080160A"/>
    <w:rsid w:val="0080219D"/>
    <w:rsid w:val="00802267"/>
    <w:rsid w:val="00802B57"/>
    <w:rsid w:val="00803B4A"/>
    <w:rsid w:val="00804735"/>
    <w:rsid w:val="008047C7"/>
    <w:rsid w:val="00804BCA"/>
    <w:rsid w:val="008058B5"/>
    <w:rsid w:val="0080751B"/>
    <w:rsid w:val="008077AB"/>
    <w:rsid w:val="0080783D"/>
    <w:rsid w:val="00807EFA"/>
    <w:rsid w:val="0081156B"/>
    <w:rsid w:val="00812255"/>
    <w:rsid w:val="00812352"/>
    <w:rsid w:val="008128B4"/>
    <w:rsid w:val="00813639"/>
    <w:rsid w:val="00814CB8"/>
    <w:rsid w:val="00814D65"/>
    <w:rsid w:val="00815E37"/>
    <w:rsid w:val="008168DD"/>
    <w:rsid w:val="00820391"/>
    <w:rsid w:val="0082157B"/>
    <w:rsid w:val="00821708"/>
    <w:rsid w:val="00821BCB"/>
    <w:rsid w:val="00821EC9"/>
    <w:rsid w:val="0082202A"/>
    <w:rsid w:val="00822BF2"/>
    <w:rsid w:val="00823362"/>
    <w:rsid w:val="0082400D"/>
    <w:rsid w:val="0082433C"/>
    <w:rsid w:val="00824ABB"/>
    <w:rsid w:val="00824B65"/>
    <w:rsid w:val="00825979"/>
    <w:rsid w:val="00825AC7"/>
    <w:rsid w:val="008262B7"/>
    <w:rsid w:val="00826BB6"/>
    <w:rsid w:val="00827323"/>
    <w:rsid w:val="00830E25"/>
    <w:rsid w:val="00831213"/>
    <w:rsid w:val="00831829"/>
    <w:rsid w:val="0083313E"/>
    <w:rsid w:val="00834ADC"/>
    <w:rsid w:val="008378A1"/>
    <w:rsid w:val="00837E6D"/>
    <w:rsid w:val="00837F2F"/>
    <w:rsid w:val="008413CA"/>
    <w:rsid w:val="0084286D"/>
    <w:rsid w:val="008428B0"/>
    <w:rsid w:val="00842938"/>
    <w:rsid w:val="00843DC2"/>
    <w:rsid w:val="0084496A"/>
    <w:rsid w:val="00845794"/>
    <w:rsid w:val="00846351"/>
    <w:rsid w:val="00847308"/>
    <w:rsid w:val="008520F5"/>
    <w:rsid w:val="00852859"/>
    <w:rsid w:val="00853254"/>
    <w:rsid w:val="00854DBD"/>
    <w:rsid w:val="008558EC"/>
    <w:rsid w:val="00856131"/>
    <w:rsid w:val="00857094"/>
    <w:rsid w:val="008572C5"/>
    <w:rsid w:val="00860B22"/>
    <w:rsid w:val="00861120"/>
    <w:rsid w:val="0086321A"/>
    <w:rsid w:val="00864444"/>
    <w:rsid w:val="00864A1A"/>
    <w:rsid w:val="00864A5F"/>
    <w:rsid w:val="00865169"/>
    <w:rsid w:val="0086706E"/>
    <w:rsid w:val="0087077D"/>
    <w:rsid w:val="00870B73"/>
    <w:rsid w:val="0087240B"/>
    <w:rsid w:val="00872AB0"/>
    <w:rsid w:val="00873C23"/>
    <w:rsid w:val="00875474"/>
    <w:rsid w:val="00876788"/>
    <w:rsid w:val="00876D43"/>
    <w:rsid w:val="00877226"/>
    <w:rsid w:val="00880858"/>
    <w:rsid w:val="00880D65"/>
    <w:rsid w:val="00881281"/>
    <w:rsid w:val="00881A92"/>
    <w:rsid w:val="0088277E"/>
    <w:rsid w:val="00882977"/>
    <w:rsid w:val="00883667"/>
    <w:rsid w:val="008837C8"/>
    <w:rsid w:val="0088389C"/>
    <w:rsid w:val="00883CC2"/>
    <w:rsid w:val="00883CE8"/>
    <w:rsid w:val="0088529B"/>
    <w:rsid w:val="00885482"/>
    <w:rsid w:val="0088561F"/>
    <w:rsid w:val="008867C8"/>
    <w:rsid w:val="008869C1"/>
    <w:rsid w:val="00887F30"/>
    <w:rsid w:val="00890B0E"/>
    <w:rsid w:val="0089131F"/>
    <w:rsid w:val="0089139D"/>
    <w:rsid w:val="0089235C"/>
    <w:rsid w:val="008933F5"/>
    <w:rsid w:val="008934D0"/>
    <w:rsid w:val="008941FC"/>
    <w:rsid w:val="00894342"/>
    <w:rsid w:val="0089438C"/>
    <w:rsid w:val="008944BB"/>
    <w:rsid w:val="00894F9A"/>
    <w:rsid w:val="00895838"/>
    <w:rsid w:val="008959B1"/>
    <w:rsid w:val="008966DE"/>
    <w:rsid w:val="00896886"/>
    <w:rsid w:val="00896D24"/>
    <w:rsid w:val="00897C45"/>
    <w:rsid w:val="008A06FE"/>
    <w:rsid w:val="008A15A3"/>
    <w:rsid w:val="008A1E9E"/>
    <w:rsid w:val="008A3FD5"/>
    <w:rsid w:val="008A4136"/>
    <w:rsid w:val="008A41E9"/>
    <w:rsid w:val="008A4E92"/>
    <w:rsid w:val="008A4F17"/>
    <w:rsid w:val="008A6840"/>
    <w:rsid w:val="008A6914"/>
    <w:rsid w:val="008A720D"/>
    <w:rsid w:val="008A7662"/>
    <w:rsid w:val="008B00D0"/>
    <w:rsid w:val="008B0474"/>
    <w:rsid w:val="008B086E"/>
    <w:rsid w:val="008B187D"/>
    <w:rsid w:val="008B20DD"/>
    <w:rsid w:val="008B288B"/>
    <w:rsid w:val="008B2D06"/>
    <w:rsid w:val="008B3F2C"/>
    <w:rsid w:val="008B5FBB"/>
    <w:rsid w:val="008B63D3"/>
    <w:rsid w:val="008B7DD2"/>
    <w:rsid w:val="008C1350"/>
    <w:rsid w:val="008C193D"/>
    <w:rsid w:val="008C2314"/>
    <w:rsid w:val="008C4173"/>
    <w:rsid w:val="008C4780"/>
    <w:rsid w:val="008C5548"/>
    <w:rsid w:val="008C5CE6"/>
    <w:rsid w:val="008C66A3"/>
    <w:rsid w:val="008C6AEE"/>
    <w:rsid w:val="008C6CD4"/>
    <w:rsid w:val="008C733A"/>
    <w:rsid w:val="008C73A7"/>
    <w:rsid w:val="008C7E0A"/>
    <w:rsid w:val="008D02D1"/>
    <w:rsid w:val="008D0CD8"/>
    <w:rsid w:val="008D115C"/>
    <w:rsid w:val="008D1267"/>
    <w:rsid w:val="008D3618"/>
    <w:rsid w:val="008D37F9"/>
    <w:rsid w:val="008D50B8"/>
    <w:rsid w:val="008D559C"/>
    <w:rsid w:val="008D5624"/>
    <w:rsid w:val="008D5F0E"/>
    <w:rsid w:val="008D633E"/>
    <w:rsid w:val="008D667E"/>
    <w:rsid w:val="008D7466"/>
    <w:rsid w:val="008D79B7"/>
    <w:rsid w:val="008D7F1B"/>
    <w:rsid w:val="008E08CF"/>
    <w:rsid w:val="008E08EB"/>
    <w:rsid w:val="008E0933"/>
    <w:rsid w:val="008E1D78"/>
    <w:rsid w:val="008E29BF"/>
    <w:rsid w:val="008E3A79"/>
    <w:rsid w:val="008E4C7F"/>
    <w:rsid w:val="008E4EA5"/>
    <w:rsid w:val="008E5CE3"/>
    <w:rsid w:val="008E5E32"/>
    <w:rsid w:val="008E6445"/>
    <w:rsid w:val="008E65D4"/>
    <w:rsid w:val="008E7468"/>
    <w:rsid w:val="008E7F55"/>
    <w:rsid w:val="008F000D"/>
    <w:rsid w:val="008F0014"/>
    <w:rsid w:val="008F065E"/>
    <w:rsid w:val="008F0A3B"/>
    <w:rsid w:val="008F1828"/>
    <w:rsid w:val="008F28C5"/>
    <w:rsid w:val="008F31D0"/>
    <w:rsid w:val="008F3840"/>
    <w:rsid w:val="008F3C70"/>
    <w:rsid w:val="008F5766"/>
    <w:rsid w:val="008F5792"/>
    <w:rsid w:val="008F6157"/>
    <w:rsid w:val="008F64AE"/>
    <w:rsid w:val="008F7DB9"/>
    <w:rsid w:val="00900691"/>
    <w:rsid w:val="009007AF"/>
    <w:rsid w:val="00901271"/>
    <w:rsid w:val="00901EF7"/>
    <w:rsid w:val="00902103"/>
    <w:rsid w:val="009027CC"/>
    <w:rsid w:val="00902898"/>
    <w:rsid w:val="00903525"/>
    <w:rsid w:val="0090412A"/>
    <w:rsid w:val="00904478"/>
    <w:rsid w:val="00904B05"/>
    <w:rsid w:val="00905555"/>
    <w:rsid w:val="00905879"/>
    <w:rsid w:val="00906F50"/>
    <w:rsid w:val="00906FC0"/>
    <w:rsid w:val="00907EC2"/>
    <w:rsid w:val="0091076D"/>
    <w:rsid w:val="009112B6"/>
    <w:rsid w:val="00911821"/>
    <w:rsid w:val="009122F0"/>
    <w:rsid w:val="009125AA"/>
    <w:rsid w:val="009128D0"/>
    <w:rsid w:val="00912F06"/>
    <w:rsid w:val="00915D3A"/>
    <w:rsid w:val="00916B88"/>
    <w:rsid w:val="00917F42"/>
    <w:rsid w:val="00917F8E"/>
    <w:rsid w:val="009203DC"/>
    <w:rsid w:val="00920611"/>
    <w:rsid w:val="00921038"/>
    <w:rsid w:val="00922D9C"/>
    <w:rsid w:val="0092327C"/>
    <w:rsid w:val="009238D0"/>
    <w:rsid w:val="00923B9D"/>
    <w:rsid w:val="00923EAB"/>
    <w:rsid w:val="009241F2"/>
    <w:rsid w:val="00924DC5"/>
    <w:rsid w:val="00926B30"/>
    <w:rsid w:val="00927EC1"/>
    <w:rsid w:val="0093029A"/>
    <w:rsid w:val="00930574"/>
    <w:rsid w:val="00930EC5"/>
    <w:rsid w:val="00930EE1"/>
    <w:rsid w:val="00930F16"/>
    <w:rsid w:val="00930F34"/>
    <w:rsid w:val="00931363"/>
    <w:rsid w:val="00931F56"/>
    <w:rsid w:val="0093233D"/>
    <w:rsid w:val="00933AF8"/>
    <w:rsid w:val="00933F9D"/>
    <w:rsid w:val="00934402"/>
    <w:rsid w:val="00934B4F"/>
    <w:rsid w:val="00934F5E"/>
    <w:rsid w:val="009355F3"/>
    <w:rsid w:val="00935F47"/>
    <w:rsid w:val="0093673E"/>
    <w:rsid w:val="0093675A"/>
    <w:rsid w:val="009378BA"/>
    <w:rsid w:val="00937C50"/>
    <w:rsid w:val="00937EA9"/>
    <w:rsid w:val="00937EC9"/>
    <w:rsid w:val="0094032C"/>
    <w:rsid w:val="00942445"/>
    <w:rsid w:val="0094351D"/>
    <w:rsid w:val="00945294"/>
    <w:rsid w:val="009454C6"/>
    <w:rsid w:val="00945856"/>
    <w:rsid w:val="00946B19"/>
    <w:rsid w:val="00947351"/>
    <w:rsid w:val="009476B6"/>
    <w:rsid w:val="009477A1"/>
    <w:rsid w:val="00947BAD"/>
    <w:rsid w:val="00947E6D"/>
    <w:rsid w:val="00947FB2"/>
    <w:rsid w:val="00950178"/>
    <w:rsid w:val="009501F9"/>
    <w:rsid w:val="00950D7F"/>
    <w:rsid w:val="00950DD8"/>
    <w:rsid w:val="00950EFA"/>
    <w:rsid w:val="009512E3"/>
    <w:rsid w:val="009524B6"/>
    <w:rsid w:val="0095262A"/>
    <w:rsid w:val="009552A6"/>
    <w:rsid w:val="00955BDD"/>
    <w:rsid w:val="009560D4"/>
    <w:rsid w:val="009566C4"/>
    <w:rsid w:val="00956FA4"/>
    <w:rsid w:val="00957044"/>
    <w:rsid w:val="00957442"/>
    <w:rsid w:val="00957948"/>
    <w:rsid w:val="009607B8"/>
    <w:rsid w:val="00960DA0"/>
    <w:rsid w:val="00961DB7"/>
    <w:rsid w:val="00961FA8"/>
    <w:rsid w:val="009629FC"/>
    <w:rsid w:val="00962D88"/>
    <w:rsid w:val="00963E2D"/>
    <w:rsid w:val="00964DC3"/>
    <w:rsid w:val="00965890"/>
    <w:rsid w:val="009678CF"/>
    <w:rsid w:val="00970205"/>
    <w:rsid w:val="009716FC"/>
    <w:rsid w:val="009726E1"/>
    <w:rsid w:val="00972EC3"/>
    <w:rsid w:val="00972FA7"/>
    <w:rsid w:val="009734FC"/>
    <w:rsid w:val="00973A27"/>
    <w:rsid w:val="009747A6"/>
    <w:rsid w:val="009748B4"/>
    <w:rsid w:val="00974A71"/>
    <w:rsid w:val="00976F79"/>
    <w:rsid w:val="00977010"/>
    <w:rsid w:val="0097773E"/>
    <w:rsid w:val="00980982"/>
    <w:rsid w:val="009812CF"/>
    <w:rsid w:val="00981ABE"/>
    <w:rsid w:val="00981B84"/>
    <w:rsid w:val="00981CE7"/>
    <w:rsid w:val="00982358"/>
    <w:rsid w:val="0098257F"/>
    <w:rsid w:val="009848BE"/>
    <w:rsid w:val="00984F12"/>
    <w:rsid w:val="00985607"/>
    <w:rsid w:val="00987D1C"/>
    <w:rsid w:val="00990223"/>
    <w:rsid w:val="0099031C"/>
    <w:rsid w:val="0099066A"/>
    <w:rsid w:val="009906E1"/>
    <w:rsid w:val="009914A7"/>
    <w:rsid w:val="0099193F"/>
    <w:rsid w:val="00993C11"/>
    <w:rsid w:val="00996340"/>
    <w:rsid w:val="00996D7A"/>
    <w:rsid w:val="00997469"/>
    <w:rsid w:val="009A1000"/>
    <w:rsid w:val="009A14AC"/>
    <w:rsid w:val="009A1568"/>
    <w:rsid w:val="009A15CF"/>
    <w:rsid w:val="009A19F7"/>
    <w:rsid w:val="009A1FEE"/>
    <w:rsid w:val="009A29B0"/>
    <w:rsid w:val="009A3867"/>
    <w:rsid w:val="009A3A51"/>
    <w:rsid w:val="009A466E"/>
    <w:rsid w:val="009A4C7A"/>
    <w:rsid w:val="009A564A"/>
    <w:rsid w:val="009A79C4"/>
    <w:rsid w:val="009B06D7"/>
    <w:rsid w:val="009B0D6E"/>
    <w:rsid w:val="009B1089"/>
    <w:rsid w:val="009B15B9"/>
    <w:rsid w:val="009B39DD"/>
    <w:rsid w:val="009B3C66"/>
    <w:rsid w:val="009B450E"/>
    <w:rsid w:val="009B4D26"/>
    <w:rsid w:val="009B5038"/>
    <w:rsid w:val="009B5F23"/>
    <w:rsid w:val="009C13C7"/>
    <w:rsid w:val="009C1AE1"/>
    <w:rsid w:val="009C2AAB"/>
    <w:rsid w:val="009C2D1A"/>
    <w:rsid w:val="009C34C4"/>
    <w:rsid w:val="009C391B"/>
    <w:rsid w:val="009C402C"/>
    <w:rsid w:val="009C4450"/>
    <w:rsid w:val="009C5028"/>
    <w:rsid w:val="009C576E"/>
    <w:rsid w:val="009C5915"/>
    <w:rsid w:val="009C5920"/>
    <w:rsid w:val="009C5988"/>
    <w:rsid w:val="009C6F3B"/>
    <w:rsid w:val="009C7D2F"/>
    <w:rsid w:val="009D0A84"/>
    <w:rsid w:val="009D1E76"/>
    <w:rsid w:val="009D1E9B"/>
    <w:rsid w:val="009D1FBC"/>
    <w:rsid w:val="009D2182"/>
    <w:rsid w:val="009D2E8D"/>
    <w:rsid w:val="009D3686"/>
    <w:rsid w:val="009D4017"/>
    <w:rsid w:val="009D57B6"/>
    <w:rsid w:val="009D6283"/>
    <w:rsid w:val="009D6846"/>
    <w:rsid w:val="009D7629"/>
    <w:rsid w:val="009E0928"/>
    <w:rsid w:val="009E096B"/>
    <w:rsid w:val="009E09AC"/>
    <w:rsid w:val="009E10AF"/>
    <w:rsid w:val="009E12FC"/>
    <w:rsid w:val="009E188C"/>
    <w:rsid w:val="009E208B"/>
    <w:rsid w:val="009E3B58"/>
    <w:rsid w:val="009E448F"/>
    <w:rsid w:val="009E481A"/>
    <w:rsid w:val="009E5871"/>
    <w:rsid w:val="009F0819"/>
    <w:rsid w:val="009F1C9E"/>
    <w:rsid w:val="009F2E19"/>
    <w:rsid w:val="009F31C6"/>
    <w:rsid w:val="009F3FD2"/>
    <w:rsid w:val="009F47D5"/>
    <w:rsid w:val="009F5693"/>
    <w:rsid w:val="009F5AB6"/>
    <w:rsid w:val="009F6F2E"/>
    <w:rsid w:val="009F7855"/>
    <w:rsid w:val="009F78F2"/>
    <w:rsid w:val="009F7FA5"/>
    <w:rsid w:val="00A0068A"/>
    <w:rsid w:val="00A01D85"/>
    <w:rsid w:val="00A02DB8"/>
    <w:rsid w:val="00A0504F"/>
    <w:rsid w:val="00A05C0F"/>
    <w:rsid w:val="00A060C7"/>
    <w:rsid w:val="00A063F3"/>
    <w:rsid w:val="00A06DC6"/>
    <w:rsid w:val="00A06EBF"/>
    <w:rsid w:val="00A071F2"/>
    <w:rsid w:val="00A0730A"/>
    <w:rsid w:val="00A07758"/>
    <w:rsid w:val="00A10810"/>
    <w:rsid w:val="00A118A0"/>
    <w:rsid w:val="00A118CC"/>
    <w:rsid w:val="00A11C27"/>
    <w:rsid w:val="00A12786"/>
    <w:rsid w:val="00A13282"/>
    <w:rsid w:val="00A13592"/>
    <w:rsid w:val="00A136C0"/>
    <w:rsid w:val="00A14179"/>
    <w:rsid w:val="00A15A30"/>
    <w:rsid w:val="00A1758E"/>
    <w:rsid w:val="00A17FDA"/>
    <w:rsid w:val="00A2029A"/>
    <w:rsid w:val="00A21279"/>
    <w:rsid w:val="00A21BC0"/>
    <w:rsid w:val="00A23988"/>
    <w:rsid w:val="00A24ABE"/>
    <w:rsid w:val="00A25A73"/>
    <w:rsid w:val="00A25BB6"/>
    <w:rsid w:val="00A2629E"/>
    <w:rsid w:val="00A26582"/>
    <w:rsid w:val="00A2661B"/>
    <w:rsid w:val="00A2662A"/>
    <w:rsid w:val="00A27043"/>
    <w:rsid w:val="00A279FD"/>
    <w:rsid w:val="00A32DB4"/>
    <w:rsid w:val="00A332A4"/>
    <w:rsid w:val="00A33E2E"/>
    <w:rsid w:val="00A344FB"/>
    <w:rsid w:val="00A34AE2"/>
    <w:rsid w:val="00A35D92"/>
    <w:rsid w:val="00A362AF"/>
    <w:rsid w:val="00A36CFD"/>
    <w:rsid w:val="00A37425"/>
    <w:rsid w:val="00A378F5"/>
    <w:rsid w:val="00A37A77"/>
    <w:rsid w:val="00A401E4"/>
    <w:rsid w:val="00A4162D"/>
    <w:rsid w:val="00A4163A"/>
    <w:rsid w:val="00A41B62"/>
    <w:rsid w:val="00A42AF6"/>
    <w:rsid w:val="00A43728"/>
    <w:rsid w:val="00A451EF"/>
    <w:rsid w:val="00A45AE0"/>
    <w:rsid w:val="00A4676F"/>
    <w:rsid w:val="00A4750E"/>
    <w:rsid w:val="00A50312"/>
    <w:rsid w:val="00A50D48"/>
    <w:rsid w:val="00A50E7B"/>
    <w:rsid w:val="00A52E5F"/>
    <w:rsid w:val="00A53816"/>
    <w:rsid w:val="00A5445F"/>
    <w:rsid w:val="00A5465F"/>
    <w:rsid w:val="00A54CFD"/>
    <w:rsid w:val="00A5545B"/>
    <w:rsid w:val="00A560B8"/>
    <w:rsid w:val="00A57289"/>
    <w:rsid w:val="00A57BC1"/>
    <w:rsid w:val="00A605F9"/>
    <w:rsid w:val="00A60AB8"/>
    <w:rsid w:val="00A61120"/>
    <w:rsid w:val="00A638DB"/>
    <w:rsid w:val="00A64194"/>
    <w:rsid w:val="00A6509F"/>
    <w:rsid w:val="00A6771F"/>
    <w:rsid w:val="00A70414"/>
    <w:rsid w:val="00A70B30"/>
    <w:rsid w:val="00A711E6"/>
    <w:rsid w:val="00A71CA4"/>
    <w:rsid w:val="00A7285D"/>
    <w:rsid w:val="00A728A9"/>
    <w:rsid w:val="00A72B2D"/>
    <w:rsid w:val="00A731F5"/>
    <w:rsid w:val="00A73F13"/>
    <w:rsid w:val="00A80289"/>
    <w:rsid w:val="00A80300"/>
    <w:rsid w:val="00A8276F"/>
    <w:rsid w:val="00A82CF3"/>
    <w:rsid w:val="00A82F43"/>
    <w:rsid w:val="00A82F7F"/>
    <w:rsid w:val="00A833CC"/>
    <w:rsid w:val="00A83514"/>
    <w:rsid w:val="00A83C65"/>
    <w:rsid w:val="00A83FF9"/>
    <w:rsid w:val="00A84B0B"/>
    <w:rsid w:val="00A84C51"/>
    <w:rsid w:val="00A856B3"/>
    <w:rsid w:val="00A8574A"/>
    <w:rsid w:val="00A86A46"/>
    <w:rsid w:val="00A86B93"/>
    <w:rsid w:val="00A86CBD"/>
    <w:rsid w:val="00A8702F"/>
    <w:rsid w:val="00A91AE1"/>
    <w:rsid w:val="00A9291A"/>
    <w:rsid w:val="00A93B21"/>
    <w:rsid w:val="00A93B4A"/>
    <w:rsid w:val="00A93D4F"/>
    <w:rsid w:val="00A94001"/>
    <w:rsid w:val="00A9420D"/>
    <w:rsid w:val="00A94A86"/>
    <w:rsid w:val="00A94AF2"/>
    <w:rsid w:val="00A94BD1"/>
    <w:rsid w:val="00A94DC7"/>
    <w:rsid w:val="00A9615B"/>
    <w:rsid w:val="00A96B68"/>
    <w:rsid w:val="00A97EAE"/>
    <w:rsid w:val="00AA071E"/>
    <w:rsid w:val="00AA0D3D"/>
    <w:rsid w:val="00AA1C0B"/>
    <w:rsid w:val="00AA1DE6"/>
    <w:rsid w:val="00AA3234"/>
    <w:rsid w:val="00AA3981"/>
    <w:rsid w:val="00AA419E"/>
    <w:rsid w:val="00AA484B"/>
    <w:rsid w:val="00AA4CF7"/>
    <w:rsid w:val="00AA5040"/>
    <w:rsid w:val="00AA5213"/>
    <w:rsid w:val="00AA5583"/>
    <w:rsid w:val="00AA59F7"/>
    <w:rsid w:val="00AA6400"/>
    <w:rsid w:val="00AA676E"/>
    <w:rsid w:val="00AA6850"/>
    <w:rsid w:val="00AA7690"/>
    <w:rsid w:val="00AB0743"/>
    <w:rsid w:val="00AB18CE"/>
    <w:rsid w:val="00AB1C76"/>
    <w:rsid w:val="00AB276A"/>
    <w:rsid w:val="00AB2B2E"/>
    <w:rsid w:val="00AB2DFE"/>
    <w:rsid w:val="00AB377A"/>
    <w:rsid w:val="00AB38AD"/>
    <w:rsid w:val="00AB47E1"/>
    <w:rsid w:val="00AB521B"/>
    <w:rsid w:val="00AB53CD"/>
    <w:rsid w:val="00AB5959"/>
    <w:rsid w:val="00AB59D1"/>
    <w:rsid w:val="00AB5A16"/>
    <w:rsid w:val="00AB5D13"/>
    <w:rsid w:val="00AB6531"/>
    <w:rsid w:val="00AB6D1D"/>
    <w:rsid w:val="00AB768C"/>
    <w:rsid w:val="00AB7F1A"/>
    <w:rsid w:val="00AC0216"/>
    <w:rsid w:val="00AC07A3"/>
    <w:rsid w:val="00AC1BD4"/>
    <w:rsid w:val="00AC28E6"/>
    <w:rsid w:val="00AC2C1D"/>
    <w:rsid w:val="00AC3261"/>
    <w:rsid w:val="00AC3820"/>
    <w:rsid w:val="00AC39AB"/>
    <w:rsid w:val="00AC3A4F"/>
    <w:rsid w:val="00AC3D53"/>
    <w:rsid w:val="00AC404F"/>
    <w:rsid w:val="00AC4222"/>
    <w:rsid w:val="00AC47D8"/>
    <w:rsid w:val="00AC4802"/>
    <w:rsid w:val="00AC498B"/>
    <w:rsid w:val="00AC5183"/>
    <w:rsid w:val="00AC5288"/>
    <w:rsid w:val="00AC5A15"/>
    <w:rsid w:val="00AC5D05"/>
    <w:rsid w:val="00AC688E"/>
    <w:rsid w:val="00AC6D1D"/>
    <w:rsid w:val="00AC6E9A"/>
    <w:rsid w:val="00AC787C"/>
    <w:rsid w:val="00AD15C5"/>
    <w:rsid w:val="00AD19F1"/>
    <w:rsid w:val="00AD25B8"/>
    <w:rsid w:val="00AD33F2"/>
    <w:rsid w:val="00AD4537"/>
    <w:rsid w:val="00AE0084"/>
    <w:rsid w:val="00AE0A9D"/>
    <w:rsid w:val="00AE397C"/>
    <w:rsid w:val="00AE3E3D"/>
    <w:rsid w:val="00AE431D"/>
    <w:rsid w:val="00AE47A8"/>
    <w:rsid w:val="00AE5146"/>
    <w:rsid w:val="00AE595C"/>
    <w:rsid w:val="00AF1677"/>
    <w:rsid w:val="00AF1929"/>
    <w:rsid w:val="00AF26C4"/>
    <w:rsid w:val="00AF301C"/>
    <w:rsid w:val="00AF3E71"/>
    <w:rsid w:val="00AF3F1E"/>
    <w:rsid w:val="00AF4E7F"/>
    <w:rsid w:val="00AF5E4B"/>
    <w:rsid w:val="00AF6282"/>
    <w:rsid w:val="00AF69E0"/>
    <w:rsid w:val="00B003C5"/>
    <w:rsid w:val="00B02151"/>
    <w:rsid w:val="00B021F9"/>
    <w:rsid w:val="00B02719"/>
    <w:rsid w:val="00B02802"/>
    <w:rsid w:val="00B031A5"/>
    <w:rsid w:val="00B03203"/>
    <w:rsid w:val="00B03C18"/>
    <w:rsid w:val="00B04052"/>
    <w:rsid w:val="00B05F97"/>
    <w:rsid w:val="00B060A5"/>
    <w:rsid w:val="00B062FA"/>
    <w:rsid w:val="00B06691"/>
    <w:rsid w:val="00B06C3B"/>
    <w:rsid w:val="00B06E8D"/>
    <w:rsid w:val="00B070E9"/>
    <w:rsid w:val="00B07A22"/>
    <w:rsid w:val="00B11134"/>
    <w:rsid w:val="00B11C43"/>
    <w:rsid w:val="00B13165"/>
    <w:rsid w:val="00B133C0"/>
    <w:rsid w:val="00B138F6"/>
    <w:rsid w:val="00B139A9"/>
    <w:rsid w:val="00B13C51"/>
    <w:rsid w:val="00B144C3"/>
    <w:rsid w:val="00B14518"/>
    <w:rsid w:val="00B147FD"/>
    <w:rsid w:val="00B148EE"/>
    <w:rsid w:val="00B1577D"/>
    <w:rsid w:val="00B15791"/>
    <w:rsid w:val="00B172E9"/>
    <w:rsid w:val="00B173B6"/>
    <w:rsid w:val="00B202F5"/>
    <w:rsid w:val="00B20C25"/>
    <w:rsid w:val="00B21510"/>
    <w:rsid w:val="00B2165A"/>
    <w:rsid w:val="00B21E99"/>
    <w:rsid w:val="00B22019"/>
    <w:rsid w:val="00B220D3"/>
    <w:rsid w:val="00B23014"/>
    <w:rsid w:val="00B2302E"/>
    <w:rsid w:val="00B23609"/>
    <w:rsid w:val="00B23669"/>
    <w:rsid w:val="00B237ED"/>
    <w:rsid w:val="00B2404C"/>
    <w:rsid w:val="00B25716"/>
    <w:rsid w:val="00B25C3D"/>
    <w:rsid w:val="00B25E35"/>
    <w:rsid w:val="00B2608C"/>
    <w:rsid w:val="00B266A5"/>
    <w:rsid w:val="00B26F92"/>
    <w:rsid w:val="00B273D8"/>
    <w:rsid w:val="00B27DBD"/>
    <w:rsid w:val="00B30D4C"/>
    <w:rsid w:val="00B31104"/>
    <w:rsid w:val="00B325C7"/>
    <w:rsid w:val="00B32E73"/>
    <w:rsid w:val="00B338E0"/>
    <w:rsid w:val="00B348D4"/>
    <w:rsid w:val="00B3498B"/>
    <w:rsid w:val="00B37B11"/>
    <w:rsid w:val="00B40B45"/>
    <w:rsid w:val="00B40EBD"/>
    <w:rsid w:val="00B40F1B"/>
    <w:rsid w:val="00B41957"/>
    <w:rsid w:val="00B42464"/>
    <w:rsid w:val="00B42B6D"/>
    <w:rsid w:val="00B42F27"/>
    <w:rsid w:val="00B44082"/>
    <w:rsid w:val="00B4453D"/>
    <w:rsid w:val="00B454D2"/>
    <w:rsid w:val="00B459C8"/>
    <w:rsid w:val="00B45C64"/>
    <w:rsid w:val="00B46032"/>
    <w:rsid w:val="00B462AF"/>
    <w:rsid w:val="00B47322"/>
    <w:rsid w:val="00B476A3"/>
    <w:rsid w:val="00B47B1E"/>
    <w:rsid w:val="00B5068F"/>
    <w:rsid w:val="00B50CD6"/>
    <w:rsid w:val="00B512B9"/>
    <w:rsid w:val="00B51DAC"/>
    <w:rsid w:val="00B521B1"/>
    <w:rsid w:val="00B52427"/>
    <w:rsid w:val="00B53E05"/>
    <w:rsid w:val="00B5403F"/>
    <w:rsid w:val="00B54CD9"/>
    <w:rsid w:val="00B55F8A"/>
    <w:rsid w:val="00B57823"/>
    <w:rsid w:val="00B6225F"/>
    <w:rsid w:val="00B62DAA"/>
    <w:rsid w:val="00B62F35"/>
    <w:rsid w:val="00B63045"/>
    <w:rsid w:val="00B6354F"/>
    <w:rsid w:val="00B6559E"/>
    <w:rsid w:val="00B65754"/>
    <w:rsid w:val="00B6600B"/>
    <w:rsid w:val="00B66D4E"/>
    <w:rsid w:val="00B70F39"/>
    <w:rsid w:val="00B715B2"/>
    <w:rsid w:val="00B716F1"/>
    <w:rsid w:val="00B720E5"/>
    <w:rsid w:val="00B73530"/>
    <w:rsid w:val="00B7389C"/>
    <w:rsid w:val="00B73981"/>
    <w:rsid w:val="00B7460D"/>
    <w:rsid w:val="00B74AF1"/>
    <w:rsid w:val="00B76881"/>
    <w:rsid w:val="00B76C85"/>
    <w:rsid w:val="00B7773A"/>
    <w:rsid w:val="00B8013F"/>
    <w:rsid w:val="00B80528"/>
    <w:rsid w:val="00B808F8"/>
    <w:rsid w:val="00B80CD5"/>
    <w:rsid w:val="00B81973"/>
    <w:rsid w:val="00B81A38"/>
    <w:rsid w:val="00B8327E"/>
    <w:rsid w:val="00B832FB"/>
    <w:rsid w:val="00B83A06"/>
    <w:rsid w:val="00B83CED"/>
    <w:rsid w:val="00B84C26"/>
    <w:rsid w:val="00B851D1"/>
    <w:rsid w:val="00B852BE"/>
    <w:rsid w:val="00B8545F"/>
    <w:rsid w:val="00B8662F"/>
    <w:rsid w:val="00B86816"/>
    <w:rsid w:val="00B870C3"/>
    <w:rsid w:val="00B871E2"/>
    <w:rsid w:val="00B87CD1"/>
    <w:rsid w:val="00B87E8D"/>
    <w:rsid w:val="00B90276"/>
    <w:rsid w:val="00B902A1"/>
    <w:rsid w:val="00B90364"/>
    <w:rsid w:val="00B90550"/>
    <w:rsid w:val="00B9113C"/>
    <w:rsid w:val="00B91966"/>
    <w:rsid w:val="00B91C7A"/>
    <w:rsid w:val="00B9283D"/>
    <w:rsid w:val="00B928FA"/>
    <w:rsid w:val="00B935D3"/>
    <w:rsid w:val="00B9400E"/>
    <w:rsid w:val="00B94636"/>
    <w:rsid w:val="00B94F98"/>
    <w:rsid w:val="00B959F1"/>
    <w:rsid w:val="00B95BF2"/>
    <w:rsid w:val="00BA12D4"/>
    <w:rsid w:val="00BA143B"/>
    <w:rsid w:val="00BA16B4"/>
    <w:rsid w:val="00BA26FD"/>
    <w:rsid w:val="00BA28AA"/>
    <w:rsid w:val="00BA3269"/>
    <w:rsid w:val="00BA3605"/>
    <w:rsid w:val="00BA394F"/>
    <w:rsid w:val="00BA3DA5"/>
    <w:rsid w:val="00BA3E82"/>
    <w:rsid w:val="00BA4206"/>
    <w:rsid w:val="00BA466F"/>
    <w:rsid w:val="00BA497C"/>
    <w:rsid w:val="00BA4A76"/>
    <w:rsid w:val="00BA52A8"/>
    <w:rsid w:val="00BA5D02"/>
    <w:rsid w:val="00BA5EDC"/>
    <w:rsid w:val="00BA72B4"/>
    <w:rsid w:val="00BA7A42"/>
    <w:rsid w:val="00BB0257"/>
    <w:rsid w:val="00BB0501"/>
    <w:rsid w:val="00BB11F1"/>
    <w:rsid w:val="00BB152D"/>
    <w:rsid w:val="00BB1686"/>
    <w:rsid w:val="00BB1E75"/>
    <w:rsid w:val="00BB251F"/>
    <w:rsid w:val="00BB2791"/>
    <w:rsid w:val="00BB2A32"/>
    <w:rsid w:val="00BB2AD5"/>
    <w:rsid w:val="00BB30C2"/>
    <w:rsid w:val="00BB340F"/>
    <w:rsid w:val="00BB408E"/>
    <w:rsid w:val="00BB4130"/>
    <w:rsid w:val="00BB5712"/>
    <w:rsid w:val="00BB5BBF"/>
    <w:rsid w:val="00BB6100"/>
    <w:rsid w:val="00BC1CF0"/>
    <w:rsid w:val="00BC1DCA"/>
    <w:rsid w:val="00BC2516"/>
    <w:rsid w:val="00BC3990"/>
    <w:rsid w:val="00BC4257"/>
    <w:rsid w:val="00BC4465"/>
    <w:rsid w:val="00BC4F24"/>
    <w:rsid w:val="00BC5D80"/>
    <w:rsid w:val="00BC5EA7"/>
    <w:rsid w:val="00BC62A1"/>
    <w:rsid w:val="00BC6331"/>
    <w:rsid w:val="00BC6B3F"/>
    <w:rsid w:val="00BC709A"/>
    <w:rsid w:val="00BC79F2"/>
    <w:rsid w:val="00BD10B6"/>
    <w:rsid w:val="00BD1607"/>
    <w:rsid w:val="00BD3027"/>
    <w:rsid w:val="00BD4721"/>
    <w:rsid w:val="00BD59F7"/>
    <w:rsid w:val="00BD5AD3"/>
    <w:rsid w:val="00BD7DDA"/>
    <w:rsid w:val="00BD7E12"/>
    <w:rsid w:val="00BE00C2"/>
    <w:rsid w:val="00BE02AF"/>
    <w:rsid w:val="00BE06D6"/>
    <w:rsid w:val="00BE12DC"/>
    <w:rsid w:val="00BE1346"/>
    <w:rsid w:val="00BE1B9E"/>
    <w:rsid w:val="00BE287E"/>
    <w:rsid w:val="00BE2A5A"/>
    <w:rsid w:val="00BE337D"/>
    <w:rsid w:val="00BE35B2"/>
    <w:rsid w:val="00BE3A01"/>
    <w:rsid w:val="00BE3A1E"/>
    <w:rsid w:val="00BE49A5"/>
    <w:rsid w:val="00BE5184"/>
    <w:rsid w:val="00BE56CE"/>
    <w:rsid w:val="00BE5DD1"/>
    <w:rsid w:val="00BE6301"/>
    <w:rsid w:val="00BE645B"/>
    <w:rsid w:val="00BE682C"/>
    <w:rsid w:val="00BE7465"/>
    <w:rsid w:val="00BF0D3E"/>
    <w:rsid w:val="00BF118B"/>
    <w:rsid w:val="00BF1543"/>
    <w:rsid w:val="00BF1C73"/>
    <w:rsid w:val="00BF2321"/>
    <w:rsid w:val="00BF2CAA"/>
    <w:rsid w:val="00BF32FF"/>
    <w:rsid w:val="00BF3F27"/>
    <w:rsid w:val="00BF5595"/>
    <w:rsid w:val="00BF5B5E"/>
    <w:rsid w:val="00BF6671"/>
    <w:rsid w:val="00BF718F"/>
    <w:rsid w:val="00C01084"/>
    <w:rsid w:val="00C019C4"/>
    <w:rsid w:val="00C0265C"/>
    <w:rsid w:val="00C02985"/>
    <w:rsid w:val="00C02A7A"/>
    <w:rsid w:val="00C03679"/>
    <w:rsid w:val="00C03FB4"/>
    <w:rsid w:val="00C044AA"/>
    <w:rsid w:val="00C04CB7"/>
    <w:rsid w:val="00C05EFB"/>
    <w:rsid w:val="00C067FB"/>
    <w:rsid w:val="00C069C3"/>
    <w:rsid w:val="00C06D04"/>
    <w:rsid w:val="00C06DEC"/>
    <w:rsid w:val="00C07991"/>
    <w:rsid w:val="00C07EE2"/>
    <w:rsid w:val="00C112F3"/>
    <w:rsid w:val="00C11F5D"/>
    <w:rsid w:val="00C12069"/>
    <w:rsid w:val="00C13729"/>
    <w:rsid w:val="00C145E4"/>
    <w:rsid w:val="00C15A5C"/>
    <w:rsid w:val="00C1652C"/>
    <w:rsid w:val="00C16E69"/>
    <w:rsid w:val="00C17ED9"/>
    <w:rsid w:val="00C20342"/>
    <w:rsid w:val="00C215C9"/>
    <w:rsid w:val="00C21FD7"/>
    <w:rsid w:val="00C22541"/>
    <w:rsid w:val="00C22E75"/>
    <w:rsid w:val="00C232A2"/>
    <w:rsid w:val="00C240ED"/>
    <w:rsid w:val="00C2428D"/>
    <w:rsid w:val="00C24359"/>
    <w:rsid w:val="00C24F75"/>
    <w:rsid w:val="00C2562D"/>
    <w:rsid w:val="00C258EC"/>
    <w:rsid w:val="00C25CDA"/>
    <w:rsid w:val="00C26D80"/>
    <w:rsid w:val="00C305FD"/>
    <w:rsid w:val="00C3087E"/>
    <w:rsid w:val="00C310C6"/>
    <w:rsid w:val="00C32132"/>
    <w:rsid w:val="00C32402"/>
    <w:rsid w:val="00C3286F"/>
    <w:rsid w:val="00C32F5A"/>
    <w:rsid w:val="00C33E79"/>
    <w:rsid w:val="00C347D1"/>
    <w:rsid w:val="00C3499C"/>
    <w:rsid w:val="00C35368"/>
    <w:rsid w:val="00C354A2"/>
    <w:rsid w:val="00C35B36"/>
    <w:rsid w:val="00C36801"/>
    <w:rsid w:val="00C36A17"/>
    <w:rsid w:val="00C3736F"/>
    <w:rsid w:val="00C37F2B"/>
    <w:rsid w:val="00C37FB7"/>
    <w:rsid w:val="00C4044F"/>
    <w:rsid w:val="00C4196D"/>
    <w:rsid w:val="00C44608"/>
    <w:rsid w:val="00C448AA"/>
    <w:rsid w:val="00C4495A"/>
    <w:rsid w:val="00C45D83"/>
    <w:rsid w:val="00C45D99"/>
    <w:rsid w:val="00C45F87"/>
    <w:rsid w:val="00C46252"/>
    <w:rsid w:val="00C46B24"/>
    <w:rsid w:val="00C509A8"/>
    <w:rsid w:val="00C50C71"/>
    <w:rsid w:val="00C50F92"/>
    <w:rsid w:val="00C52655"/>
    <w:rsid w:val="00C5417B"/>
    <w:rsid w:val="00C55330"/>
    <w:rsid w:val="00C55742"/>
    <w:rsid w:val="00C56ED6"/>
    <w:rsid w:val="00C612D8"/>
    <w:rsid w:val="00C61645"/>
    <w:rsid w:val="00C6261F"/>
    <w:rsid w:val="00C6262F"/>
    <w:rsid w:val="00C62BD6"/>
    <w:rsid w:val="00C64216"/>
    <w:rsid w:val="00C648E0"/>
    <w:rsid w:val="00C65596"/>
    <w:rsid w:val="00C66916"/>
    <w:rsid w:val="00C679F6"/>
    <w:rsid w:val="00C704DD"/>
    <w:rsid w:val="00C7053F"/>
    <w:rsid w:val="00C70A68"/>
    <w:rsid w:val="00C7253B"/>
    <w:rsid w:val="00C729E0"/>
    <w:rsid w:val="00C734D1"/>
    <w:rsid w:val="00C7399D"/>
    <w:rsid w:val="00C77827"/>
    <w:rsid w:val="00C8097C"/>
    <w:rsid w:val="00C81D61"/>
    <w:rsid w:val="00C823A0"/>
    <w:rsid w:val="00C8272C"/>
    <w:rsid w:val="00C828F3"/>
    <w:rsid w:val="00C829EE"/>
    <w:rsid w:val="00C831EF"/>
    <w:rsid w:val="00C854DB"/>
    <w:rsid w:val="00C85642"/>
    <w:rsid w:val="00C85760"/>
    <w:rsid w:val="00C862C9"/>
    <w:rsid w:val="00C862DF"/>
    <w:rsid w:val="00C863F1"/>
    <w:rsid w:val="00C86E46"/>
    <w:rsid w:val="00C87837"/>
    <w:rsid w:val="00C91CEB"/>
    <w:rsid w:val="00C9203A"/>
    <w:rsid w:val="00C92344"/>
    <w:rsid w:val="00C92449"/>
    <w:rsid w:val="00C92962"/>
    <w:rsid w:val="00C92AFA"/>
    <w:rsid w:val="00C9331E"/>
    <w:rsid w:val="00C94231"/>
    <w:rsid w:val="00C94686"/>
    <w:rsid w:val="00C949E3"/>
    <w:rsid w:val="00C94B4D"/>
    <w:rsid w:val="00C952E4"/>
    <w:rsid w:val="00C9576F"/>
    <w:rsid w:val="00C95B0C"/>
    <w:rsid w:val="00C96251"/>
    <w:rsid w:val="00C9656C"/>
    <w:rsid w:val="00C97325"/>
    <w:rsid w:val="00C974F0"/>
    <w:rsid w:val="00C97C97"/>
    <w:rsid w:val="00CA02A7"/>
    <w:rsid w:val="00CA0390"/>
    <w:rsid w:val="00CA09A6"/>
    <w:rsid w:val="00CA1304"/>
    <w:rsid w:val="00CA1553"/>
    <w:rsid w:val="00CA1938"/>
    <w:rsid w:val="00CA1BEA"/>
    <w:rsid w:val="00CA2390"/>
    <w:rsid w:val="00CA27FA"/>
    <w:rsid w:val="00CA29FB"/>
    <w:rsid w:val="00CA2CE0"/>
    <w:rsid w:val="00CA3AE0"/>
    <w:rsid w:val="00CA3B84"/>
    <w:rsid w:val="00CA4029"/>
    <w:rsid w:val="00CA5117"/>
    <w:rsid w:val="00CA5C9F"/>
    <w:rsid w:val="00CA68C2"/>
    <w:rsid w:val="00CA7134"/>
    <w:rsid w:val="00CA73F8"/>
    <w:rsid w:val="00CB088A"/>
    <w:rsid w:val="00CB1362"/>
    <w:rsid w:val="00CB2A49"/>
    <w:rsid w:val="00CB2B38"/>
    <w:rsid w:val="00CB3170"/>
    <w:rsid w:val="00CB494D"/>
    <w:rsid w:val="00CB7542"/>
    <w:rsid w:val="00CB767D"/>
    <w:rsid w:val="00CC0997"/>
    <w:rsid w:val="00CC12F4"/>
    <w:rsid w:val="00CC1317"/>
    <w:rsid w:val="00CC30CC"/>
    <w:rsid w:val="00CC3C73"/>
    <w:rsid w:val="00CC44F6"/>
    <w:rsid w:val="00CC48C4"/>
    <w:rsid w:val="00CC4A2E"/>
    <w:rsid w:val="00CC7D4D"/>
    <w:rsid w:val="00CD01F5"/>
    <w:rsid w:val="00CD03E6"/>
    <w:rsid w:val="00CD086F"/>
    <w:rsid w:val="00CD1768"/>
    <w:rsid w:val="00CD23F1"/>
    <w:rsid w:val="00CD2498"/>
    <w:rsid w:val="00CD2B89"/>
    <w:rsid w:val="00CD2D45"/>
    <w:rsid w:val="00CD2E9B"/>
    <w:rsid w:val="00CD3CA9"/>
    <w:rsid w:val="00CD47A9"/>
    <w:rsid w:val="00CD4F9A"/>
    <w:rsid w:val="00CD5C59"/>
    <w:rsid w:val="00CD6116"/>
    <w:rsid w:val="00CD7620"/>
    <w:rsid w:val="00CD7E78"/>
    <w:rsid w:val="00CE2178"/>
    <w:rsid w:val="00CE263D"/>
    <w:rsid w:val="00CE2969"/>
    <w:rsid w:val="00CE2EC9"/>
    <w:rsid w:val="00CE3198"/>
    <w:rsid w:val="00CE3605"/>
    <w:rsid w:val="00CE3A9A"/>
    <w:rsid w:val="00CE4D27"/>
    <w:rsid w:val="00CE552E"/>
    <w:rsid w:val="00CE5727"/>
    <w:rsid w:val="00CE5910"/>
    <w:rsid w:val="00CE5BD7"/>
    <w:rsid w:val="00CE5E14"/>
    <w:rsid w:val="00CE5ED5"/>
    <w:rsid w:val="00CF00D9"/>
    <w:rsid w:val="00CF0761"/>
    <w:rsid w:val="00CF3ACC"/>
    <w:rsid w:val="00CF3C13"/>
    <w:rsid w:val="00CF4BB0"/>
    <w:rsid w:val="00CF4F61"/>
    <w:rsid w:val="00CF50A3"/>
    <w:rsid w:val="00CF6C30"/>
    <w:rsid w:val="00CF6CD7"/>
    <w:rsid w:val="00CF717A"/>
    <w:rsid w:val="00CF7A78"/>
    <w:rsid w:val="00D00639"/>
    <w:rsid w:val="00D006DE"/>
    <w:rsid w:val="00D00A6E"/>
    <w:rsid w:val="00D00EB7"/>
    <w:rsid w:val="00D01780"/>
    <w:rsid w:val="00D03549"/>
    <w:rsid w:val="00D03718"/>
    <w:rsid w:val="00D04199"/>
    <w:rsid w:val="00D04815"/>
    <w:rsid w:val="00D07659"/>
    <w:rsid w:val="00D07694"/>
    <w:rsid w:val="00D10A0D"/>
    <w:rsid w:val="00D10E99"/>
    <w:rsid w:val="00D11147"/>
    <w:rsid w:val="00D1136B"/>
    <w:rsid w:val="00D1152D"/>
    <w:rsid w:val="00D11765"/>
    <w:rsid w:val="00D1177F"/>
    <w:rsid w:val="00D11C27"/>
    <w:rsid w:val="00D12361"/>
    <w:rsid w:val="00D12ADA"/>
    <w:rsid w:val="00D12CC4"/>
    <w:rsid w:val="00D12E56"/>
    <w:rsid w:val="00D13947"/>
    <w:rsid w:val="00D13D16"/>
    <w:rsid w:val="00D14F02"/>
    <w:rsid w:val="00D15275"/>
    <w:rsid w:val="00D15CC2"/>
    <w:rsid w:val="00D20817"/>
    <w:rsid w:val="00D21560"/>
    <w:rsid w:val="00D21631"/>
    <w:rsid w:val="00D22393"/>
    <w:rsid w:val="00D22DF8"/>
    <w:rsid w:val="00D23345"/>
    <w:rsid w:val="00D23349"/>
    <w:rsid w:val="00D237DA"/>
    <w:rsid w:val="00D24055"/>
    <w:rsid w:val="00D2489E"/>
    <w:rsid w:val="00D24E8F"/>
    <w:rsid w:val="00D24F95"/>
    <w:rsid w:val="00D258A1"/>
    <w:rsid w:val="00D2676E"/>
    <w:rsid w:val="00D27ED7"/>
    <w:rsid w:val="00D306D4"/>
    <w:rsid w:val="00D3141B"/>
    <w:rsid w:val="00D3164D"/>
    <w:rsid w:val="00D318CF"/>
    <w:rsid w:val="00D323F8"/>
    <w:rsid w:val="00D335C6"/>
    <w:rsid w:val="00D33B37"/>
    <w:rsid w:val="00D34F8E"/>
    <w:rsid w:val="00D35C58"/>
    <w:rsid w:val="00D3652B"/>
    <w:rsid w:val="00D36799"/>
    <w:rsid w:val="00D370E0"/>
    <w:rsid w:val="00D37F08"/>
    <w:rsid w:val="00D4017E"/>
    <w:rsid w:val="00D41CD1"/>
    <w:rsid w:val="00D420ED"/>
    <w:rsid w:val="00D421AB"/>
    <w:rsid w:val="00D42C28"/>
    <w:rsid w:val="00D42C79"/>
    <w:rsid w:val="00D44ABB"/>
    <w:rsid w:val="00D458CD"/>
    <w:rsid w:val="00D45AA3"/>
    <w:rsid w:val="00D50273"/>
    <w:rsid w:val="00D5044E"/>
    <w:rsid w:val="00D50866"/>
    <w:rsid w:val="00D5191B"/>
    <w:rsid w:val="00D51E1D"/>
    <w:rsid w:val="00D52CBC"/>
    <w:rsid w:val="00D52ED7"/>
    <w:rsid w:val="00D53289"/>
    <w:rsid w:val="00D5329F"/>
    <w:rsid w:val="00D53528"/>
    <w:rsid w:val="00D5378C"/>
    <w:rsid w:val="00D54032"/>
    <w:rsid w:val="00D54777"/>
    <w:rsid w:val="00D554B9"/>
    <w:rsid w:val="00D605EF"/>
    <w:rsid w:val="00D607B3"/>
    <w:rsid w:val="00D60B9A"/>
    <w:rsid w:val="00D61589"/>
    <w:rsid w:val="00D615CC"/>
    <w:rsid w:val="00D62511"/>
    <w:rsid w:val="00D62838"/>
    <w:rsid w:val="00D62B01"/>
    <w:rsid w:val="00D62E0D"/>
    <w:rsid w:val="00D63F4A"/>
    <w:rsid w:val="00D673FD"/>
    <w:rsid w:val="00D6779A"/>
    <w:rsid w:val="00D67C97"/>
    <w:rsid w:val="00D70071"/>
    <w:rsid w:val="00D700C6"/>
    <w:rsid w:val="00D700CD"/>
    <w:rsid w:val="00D70394"/>
    <w:rsid w:val="00D70FB8"/>
    <w:rsid w:val="00D7145E"/>
    <w:rsid w:val="00D72698"/>
    <w:rsid w:val="00D72817"/>
    <w:rsid w:val="00D72C84"/>
    <w:rsid w:val="00D73681"/>
    <w:rsid w:val="00D75452"/>
    <w:rsid w:val="00D75D09"/>
    <w:rsid w:val="00D75E3C"/>
    <w:rsid w:val="00D7610C"/>
    <w:rsid w:val="00D76F0E"/>
    <w:rsid w:val="00D776F7"/>
    <w:rsid w:val="00D823B4"/>
    <w:rsid w:val="00D82778"/>
    <w:rsid w:val="00D82F24"/>
    <w:rsid w:val="00D8357C"/>
    <w:rsid w:val="00D83FB8"/>
    <w:rsid w:val="00D842A1"/>
    <w:rsid w:val="00D84A5D"/>
    <w:rsid w:val="00D84B62"/>
    <w:rsid w:val="00D84CB9"/>
    <w:rsid w:val="00D856E5"/>
    <w:rsid w:val="00D857A6"/>
    <w:rsid w:val="00D85D24"/>
    <w:rsid w:val="00D87B44"/>
    <w:rsid w:val="00D90573"/>
    <w:rsid w:val="00D90E89"/>
    <w:rsid w:val="00D91E21"/>
    <w:rsid w:val="00D92AE9"/>
    <w:rsid w:val="00D92DE2"/>
    <w:rsid w:val="00D942D7"/>
    <w:rsid w:val="00D94B83"/>
    <w:rsid w:val="00D94EB3"/>
    <w:rsid w:val="00D958C8"/>
    <w:rsid w:val="00D963F1"/>
    <w:rsid w:val="00D96768"/>
    <w:rsid w:val="00D96C59"/>
    <w:rsid w:val="00D97E3A"/>
    <w:rsid w:val="00DA031A"/>
    <w:rsid w:val="00DA0505"/>
    <w:rsid w:val="00DA1F44"/>
    <w:rsid w:val="00DA2640"/>
    <w:rsid w:val="00DA3E04"/>
    <w:rsid w:val="00DA4B3A"/>
    <w:rsid w:val="00DA7317"/>
    <w:rsid w:val="00DA768E"/>
    <w:rsid w:val="00DB2C06"/>
    <w:rsid w:val="00DB31CB"/>
    <w:rsid w:val="00DB33E3"/>
    <w:rsid w:val="00DB34B4"/>
    <w:rsid w:val="00DB3514"/>
    <w:rsid w:val="00DB3AF4"/>
    <w:rsid w:val="00DB5318"/>
    <w:rsid w:val="00DB5945"/>
    <w:rsid w:val="00DB6257"/>
    <w:rsid w:val="00DB68B6"/>
    <w:rsid w:val="00DB703F"/>
    <w:rsid w:val="00DB786D"/>
    <w:rsid w:val="00DC068E"/>
    <w:rsid w:val="00DC096B"/>
    <w:rsid w:val="00DC0AD7"/>
    <w:rsid w:val="00DC20A2"/>
    <w:rsid w:val="00DC28BB"/>
    <w:rsid w:val="00DC3B78"/>
    <w:rsid w:val="00DC5475"/>
    <w:rsid w:val="00DC5524"/>
    <w:rsid w:val="00DC55DE"/>
    <w:rsid w:val="00DC5992"/>
    <w:rsid w:val="00DC68F3"/>
    <w:rsid w:val="00DC6F01"/>
    <w:rsid w:val="00DC720C"/>
    <w:rsid w:val="00DC7C5E"/>
    <w:rsid w:val="00DD0D59"/>
    <w:rsid w:val="00DD12A4"/>
    <w:rsid w:val="00DD2010"/>
    <w:rsid w:val="00DD28B2"/>
    <w:rsid w:val="00DD3A56"/>
    <w:rsid w:val="00DD3C0F"/>
    <w:rsid w:val="00DD4220"/>
    <w:rsid w:val="00DD505A"/>
    <w:rsid w:val="00DD52D0"/>
    <w:rsid w:val="00DD5A9C"/>
    <w:rsid w:val="00DD5AFE"/>
    <w:rsid w:val="00DD666F"/>
    <w:rsid w:val="00DD6CD9"/>
    <w:rsid w:val="00DD6DBA"/>
    <w:rsid w:val="00DD6F8F"/>
    <w:rsid w:val="00DE0AE1"/>
    <w:rsid w:val="00DE0B82"/>
    <w:rsid w:val="00DE16D2"/>
    <w:rsid w:val="00DE1866"/>
    <w:rsid w:val="00DE1A43"/>
    <w:rsid w:val="00DE277A"/>
    <w:rsid w:val="00DE2A31"/>
    <w:rsid w:val="00DE2BAB"/>
    <w:rsid w:val="00DE2BB7"/>
    <w:rsid w:val="00DE32FA"/>
    <w:rsid w:val="00DE5235"/>
    <w:rsid w:val="00DE549D"/>
    <w:rsid w:val="00DE5EFB"/>
    <w:rsid w:val="00DE6611"/>
    <w:rsid w:val="00DE6DD3"/>
    <w:rsid w:val="00DE6DED"/>
    <w:rsid w:val="00DE715E"/>
    <w:rsid w:val="00DE732B"/>
    <w:rsid w:val="00DE7A9A"/>
    <w:rsid w:val="00DE7BE8"/>
    <w:rsid w:val="00DE7BEC"/>
    <w:rsid w:val="00DF0E9B"/>
    <w:rsid w:val="00DF1097"/>
    <w:rsid w:val="00DF1263"/>
    <w:rsid w:val="00DF17F4"/>
    <w:rsid w:val="00DF1C93"/>
    <w:rsid w:val="00DF3C0A"/>
    <w:rsid w:val="00DF47CB"/>
    <w:rsid w:val="00DF4F0E"/>
    <w:rsid w:val="00DF5088"/>
    <w:rsid w:val="00DF6295"/>
    <w:rsid w:val="00E000B5"/>
    <w:rsid w:val="00E01115"/>
    <w:rsid w:val="00E012B9"/>
    <w:rsid w:val="00E013A6"/>
    <w:rsid w:val="00E017D8"/>
    <w:rsid w:val="00E02826"/>
    <w:rsid w:val="00E03B64"/>
    <w:rsid w:val="00E041B3"/>
    <w:rsid w:val="00E042BC"/>
    <w:rsid w:val="00E04C44"/>
    <w:rsid w:val="00E04C9F"/>
    <w:rsid w:val="00E055BB"/>
    <w:rsid w:val="00E06991"/>
    <w:rsid w:val="00E10DB4"/>
    <w:rsid w:val="00E11447"/>
    <w:rsid w:val="00E12273"/>
    <w:rsid w:val="00E12BF0"/>
    <w:rsid w:val="00E13D2F"/>
    <w:rsid w:val="00E1476F"/>
    <w:rsid w:val="00E14E74"/>
    <w:rsid w:val="00E1513D"/>
    <w:rsid w:val="00E15A63"/>
    <w:rsid w:val="00E15D76"/>
    <w:rsid w:val="00E16980"/>
    <w:rsid w:val="00E20DD9"/>
    <w:rsid w:val="00E21554"/>
    <w:rsid w:val="00E236ED"/>
    <w:rsid w:val="00E238F0"/>
    <w:rsid w:val="00E2392B"/>
    <w:rsid w:val="00E2489A"/>
    <w:rsid w:val="00E24C93"/>
    <w:rsid w:val="00E254DD"/>
    <w:rsid w:val="00E25E8B"/>
    <w:rsid w:val="00E25F8D"/>
    <w:rsid w:val="00E273AC"/>
    <w:rsid w:val="00E27518"/>
    <w:rsid w:val="00E2779F"/>
    <w:rsid w:val="00E27B52"/>
    <w:rsid w:val="00E27C59"/>
    <w:rsid w:val="00E309AE"/>
    <w:rsid w:val="00E326AA"/>
    <w:rsid w:val="00E33684"/>
    <w:rsid w:val="00E3417E"/>
    <w:rsid w:val="00E34954"/>
    <w:rsid w:val="00E35756"/>
    <w:rsid w:val="00E35EB0"/>
    <w:rsid w:val="00E36E68"/>
    <w:rsid w:val="00E36E81"/>
    <w:rsid w:val="00E37612"/>
    <w:rsid w:val="00E40166"/>
    <w:rsid w:val="00E402AA"/>
    <w:rsid w:val="00E41158"/>
    <w:rsid w:val="00E41305"/>
    <w:rsid w:val="00E414BB"/>
    <w:rsid w:val="00E43257"/>
    <w:rsid w:val="00E4525F"/>
    <w:rsid w:val="00E452E2"/>
    <w:rsid w:val="00E470D8"/>
    <w:rsid w:val="00E4738A"/>
    <w:rsid w:val="00E47805"/>
    <w:rsid w:val="00E479F1"/>
    <w:rsid w:val="00E503FA"/>
    <w:rsid w:val="00E511E0"/>
    <w:rsid w:val="00E5209E"/>
    <w:rsid w:val="00E53670"/>
    <w:rsid w:val="00E53769"/>
    <w:rsid w:val="00E54AB1"/>
    <w:rsid w:val="00E558A3"/>
    <w:rsid w:val="00E60812"/>
    <w:rsid w:val="00E60B40"/>
    <w:rsid w:val="00E62556"/>
    <w:rsid w:val="00E62883"/>
    <w:rsid w:val="00E62988"/>
    <w:rsid w:val="00E62AFE"/>
    <w:rsid w:val="00E63182"/>
    <w:rsid w:val="00E63EE7"/>
    <w:rsid w:val="00E67D3A"/>
    <w:rsid w:val="00E67D95"/>
    <w:rsid w:val="00E705DE"/>
    <w:rsid w:val="00E7095B"/>
    <w:rsid w:val="00E72A6E"/>
    <w:rsid w:val="00E73638"/>
    <w:rsid w:val="00E73742"/>
    <w:rsid w:val="00E73C17"/>
    <w:rsid w:val="00E743B9"/>
    <w:rsid w:val="00E74E0E"/>
    <w:rsid w:val="00E7564E"/>
    <w:rsid w:val="00E76D4B"/>
    <w:rsid w:val="00E80659"/>
    <w:rsid w:val="00E80BC4"/>
    <w:rsid w:val="00E80CD5"/>
    <w:rsid w:val="00E814D4"/>
    <w:rsid w:val="00E81F7A"/>
    <w:rsid w:val="00E82687"/>
    <w:rsid w:val="00E8283B"/>
    <w:rsid w:val="00E82B09"/>
    <w:rsid w:val="00E83F4C"/>
    <w:rsid w:val="00E848DA"/>
    <w:rsid w:val="00E85303"/>
    <w:rsid w:val="00E85A14"/>
    <w:rsid w:val="00E85FBB"/>
    <w:rsid w:val="00E87106"/>
    <w:rsid w:val="00E87192"/>
    <w:rsid w:val="00E874FD"/>
    <w:rsid w:val="00E90808"/>
    <w:rsid w:val="00E91D78"/>
    <w:rsid w:val="00E920AC"/>
    <w:rsid w:val="00E929EA"/>
    <w:rsid w:val="00E92F03"/>
    <w:rsid w:val="00E93080"/>
    <w:rsid w:val="00E94007"/>
    <w:rsid w:val="00E94201"/>
    <w:rsid w:val="00E94381"/>
    <w:rsid w:val="00E943BF"/>
    <w:rsid w:val="00E94A17"/>
    <w:rsid w:val="00E95021"/>
    <w:rsid w:val="00E951E1"/>
    <w:rsid w:val="00E9533C"/>
    <w:rsid w:val="00E95853"/>
    <w:rsid w:val="00E95B77"/>
    <w:rsid w:val="00E95E33"/>
    <w:rsid w:val="00E9619B"/>
    <w:rsid w:val="00E96ABC"/>
    <w:rsid w:val="00E96DDE"/>
    <w:rsid w:val="00E979ED"/>
    <w:rsid w:val="00EA04E3"/>
    <w:rsid w:val="00EA05E2"/>
    <w:rsid w:val="00EA063E"/>
    <w:rsid w:val="00EA17ED"/>
    <w:rsid w:val="00EA1BC4"/>
    <w:rsid w:val="00EA23FC"/>
    <w:rsid w:val="00EA2C94"/>
    <w:rsid w:val="00EA2D8C"/>
    <w:rsid w:val="00EA3B8A"/>
    <w:rsid w:val="00EA485F"/>
    <w:rsid w:val="00EA4E07"/>
    <w:rsid w:val="00EA5ECB"/>
    <w:rsid w:val="00EA5EEE"/>
    <w:rsid w:val="00EA6453"/>
    <w:rsid w:val="00EA6D04"/>
    <w:rsid w:val="00EB0100"/>
    <w:rsid w:val="00EB0C7E"/>
    <w:rsid w:val="00EB23D6"/>
    <w:rsid w:val="00EB2D5A"/>
    <w:rsid w:val="00EB3018"/>
    <w:rsid w:val="00EB34D7"/>
    <w:rsid w:val="00EB3A78"/>
    <w:rsid w:val="00EB497F"/>
    <w:rsid w:val="00EB4A7C"/>
    <w:rsid w:val="00EB4AC0"/>
    <w:rsid w:val="00EB55D9"/>
    <w:rsid w:val="00EB5B7C"/>
    <w:rsid w:val="00EB5F17"/>
    <w:rsid w:val="00EB6695"/>
    <w:rsid w:val="00EB7B12"/>
    <w:rsid w:val="00EB7B15"/>
    <w:rsid w:val="00EC0394"/>
    <w:rsid w:val="00EC0E40"/>
    <w:rsid w:val="00EC0FF0"/>
    <w:rsid w:val="00EC14EA"/>
    <w:rsid w:val="00EC178C"/>
    <w:rsid w:val="00EC19A2"/>
    <w:rsid w:val="00EC276D"/>
    <w:rsid w:val="00EC29CA"/>
    <w:rsid w:val="00EC2EA6"/>
    <w:rsid w:val="00EC367C"/>
    <w:rsid w:val="00EC38D7"/>
    <w:rsid w:val="00EC416C"/>
    <w:rsid w:val="00EC41C5"/>
    <w:rsid w:val="00EC4A71"/>
    <w:rsid w:val="00EC56A0"/>
    <w:rsid w:val="00EC737A"/>
    <w:rsid w:val="00ED1550"/>
    <w:rsid w:val="00ED24C0"/>
    <w:rsid w:val="00ED2915"/>
    <w:rsid w:val="00ED59E5"/>
    <w:rsid w:val="00ED6355"/>
    <w:rsid w:val="00ED69DA"/>
    <w:rsid w:val="00ED749E"/>
    <w:rsid w:val="00ED7650"/>
    <w:rsid w:val="00ED7C06"/>
    <w:rsid w:val="00EE08DB"/>
    <w:rsid w:val="00EE0EB7"/>
    <w:rsid w:val="00EE0FAA"/>
    <w:rsid w:val="00EE107C"/>
    <w:rsid w:val="00EE1FC8"/>
    <w:rsid w:val="00EE20A4"/>
    <w:rsid w:val="00EE29FE"/>
    <w:rsid w:val="00EE2F95"/>
    <w:rsid w:val="00EE5822"/>
    <w:rsid w:val="00EE75E9"/>
    <w:rsid w:val="00EE75F8"/>
    <w:rsid w:val="00EF0A6E"/>
    <w:rsid w:val="00EF1D4D"/>
    <w:rsid w:val="00EF22DE"/>
    <w:rsid w:val="00EF259B"/>
    <w:rsid w:val="00EF289B"/>
    <w:rsid w:val="00EF3D7C"/>
    <w:rsid w:val="00EF4855"/>
    <w:rsid w:val="00EF5833"/>
    <w:rsid w:val="00EF6043"/>
    <w:rsid w:val="00EF6A74"/>
    <w:rsid w:val="00EF79D8"/>
    <w:rsid w:val="00F002C2"/>
    <w:rsid w:val="00F014A2"/>
    <w:rsid w:val="00F01D72"/>
    <w:rsid w:val="00F048F4"/>
    <w:rsid w:val="00F0671A"/>
    <w:rsid w:val="00F06CC9"/>
    <w:rsid w:val="00F0764E"/>
    <w:rsid w:val="00F07653"/>
    <w:rsid w:val="00F07A09"/>
    <w:rsid w:val="00F07DFD"/>
    <w:rsid w:val="00F10657"/>
    <w:rsid w:val="00F10775"/>
    <w:rsid w:val="00F108AA"/>
    <w:rsid w:val="00F108B4"/>
    <w:rsid w:val="00F11413"/>
    <w:rsid w:val="00F11C32"/>
    <w:rsid w:val="00F11DA7"/>
    <w:rsid w:val="00F1248D"/>
    <w:rsid w:val="00F136D3"/>
    <w:rsid w:val="00F1555A"/>
    <w:rsid w:val="00F156D1"/>
    <w:rsid w:val="00F15B3A"/>
    <w:rsid w:val="00F17095"/>
    <w:rsid w:val="00F2092D"/>
    <w:rsid w:val="00F20930"/>
    <w:rsid w:val="00F217BB"/>
    <w:rsid w:val="00F21B98"/>
    <w:rsid w:val="00F21DCC"/>
    <w:rsid w:val="00F23345"/>
    <w:rsid w:val="00F23355"/>
    <w:rsid w:val="00F24069"/>
    <w:rsid w:val="00F2408D"/>
    <w:rsid w:val="00F24FD7"/>
    <w:rsid w:val="00F25282"/>
    <w:rsid w:val="00F25EE1"/>
    <w:rsid w:val="00F30578"/>
    <w:rsid w:val="00F3084E"/>
    <w:rsid w:val="00F30A0A"/>
    <w:rsid w:val="00F30B26"/>
    <w:rsid w:val="00F31774"/>
    <w:rsid w:val="00F327BF"/>
    <w:rsid w:val="00F32AAB"/>
    <w:rsid w:val="00F331B9"/>
    <w:rsid w:val="00F334C0"/>
    <w:rsid w:val="00F3404E"/>
    <w:rsid w:val="00F34C82"/>
    <w:rsid w:val="00F359FB"/>
    <w:rsid w:val="00F367F9"/>
    <w:rsid w:val="00F36ADD"/>
    <w:rsid w:val="00F379AE"/>
    <w:rsid w:val="00F37D59"/>
    <w:rsid w:val="00F37E87"/>
    <w:rsid w:val="00F4037A"/>
    <w:rsid w:val="00F40524"/>
    <w:rsid w:val="00F40EA4"/>
    <w:rsid w:val="00F40EF3"/>
    <w:rsid w:val="00F43295"/>
    <w:rsid w:val="00F43834"/>
    <w:rsid w:val="00F44825"/>
    <w:rsid w:val="00F45170"/>
    <w:rsid w:val="00F47CD7"/>
    <w:rsid w:val="00F47D06"/>
    <w:rsid w:val="00F47E2C"/>
    <w:rsid w:val="00F47F2B"/>
    <w:rsid w:val="00F50A3E"/>
    <w:rsid w:val="00F50EC6"/>
    <w:rsid w:val="00F50F89"/>
    <w:rsid w:val="00F5116E"/>
    <w:rsid w:val="00F516BE"/>
    <w:rsid w:val="00F51845"/>
    <w:rsid w:val="00F527B1"/>
    <w:rsid w:val="00F53398"/>
    <w:rsid w:val="00F53692"/>
    <w:rsid w:val="00F536FC"/>
    <w:rsid w:val="00F53C87"/>
    <w:rsid w:val="00F53D6F"/>
    <w:rsid w:val="00F542E8"/>
    <w:rsid w:val="00F54795"/>
    <w:rsid w:val="00F54AD8"/>
    <w:rsid w:val="00F54FCE"/>
    <w:rsid w:val="00F55B8C"/>
    <w:rsid w:val="00F56133"/>
    <w:rsid w:val="00F56221"/>
    <w:rsid w:val="00F56648"/>
    <w:rsid w:val="00F5762D"/>
    <w:rsid w:val="00F57E47"/>
    <w:rsid w:val="00F6067C"/>
    <w:rsid w:val="00F60AB8"/>
    <w:rsid w:val="00F6155B"/>
    <w:rsid w:val="00F61944"/>
    <w:rsid w:val="00F65A02"/>
    <w:rsid w:val="00F65B1E"/>
    <w:rsid w:val="00F6618E"/>
    <w:rsid w:val="00F677B3"/>
    <w:rsid w:val="00F70100"/>
    <w:rsid w:val="00F70505"/>
    <w:rsid w:val="00F71ED3"/>
    <w:rsid w:val="00F71F2F"/>
    <w:rsid w:val="00F72489"/>
    <w:rsid w:val="00F729C2"/>
    <w:rsid w:val="00F72EFA"/>
    <w:rsid w:val="00F7333F"/>
    <w:rsid w:val="00F7353A"/>
    <w:rsid w:val="00F73882"/>
    <w:rsid w:val="00F73C01"/>
    <w:rsid w:val="00F76849"/>
    <w:rsid w:val="00F76E1C"/>
    <w:rsid w:val="00F76FDD"/>
    <w:rsid w:val="00F7707E"/>
    <w:rsid w:val="00F801B8"/>
    <w:rsid w:val="00F80391"/>
    <w:rsid w:val="00F80FD9"/>
    <w:rsid w:val="00F810C9"/>
    <w:rsid w:val="00F8256A"/>
    <w:rsid w:val="00F8396E"/>
    <w:rsid w:val="00F84658"/>
    <w:rsid w:val="00F847CD"/>
    <w:rsid w:val="00F8574E"/>
    <w:rsid w:val="00F857BC"/>
    <w:rsid w:val="00F85A4B"/>
    <w:rsid w:val="00F867D1"/>
    <w:rsid w:val="00F87029"/>
    <w:rsid w:val="00F876C4"/>
    <w:rsid w:val="00F909FF"/>
    <w:rsid w:val="00F939AD"/>
    <w:rsid w:val="00F9528B"/>
    <w:rsid w:val="00F95AA2"/>
    <w:rsid w:val="00F95E4A"/>
    <w:rsid w:val="00F962E2"/>
    <w:rsid w:val="00F962F3"/>
    <w:rsid w:val="00F9644B"/>
    <w:rsid w:val="00F9667E"/>
    <w:rsid w:val="00F975D3"/>
    <w:rsid w:val="00F97A97"/>
    <w:rsid w:val="00FA1279"/>
    <w:rsid w:val="00FA17AD"/>
    <w:rsid w:val="00FA1A74"/>
    <w:rsid w:val="00FA205A"/>
    <w:rsid w:val="00FA2984"/>
    <w:rsid w:val="00FA3E76"/>
    <w:rsid w:val="00FA4624"/>
    <w:rsid w:val="00FA5A1E"/>
    <w:rsid w:val="00FA5A5B"/>
    <w:rsid w:val="00FA62DF"/>
    <w:rsid w:val="00FA6E41"/>
    <w:rsid w:val="00FA76EA"/>
    <w:rsid w:val="00FA79B1"/>
    <w:rsid w:val="00FA7AED"/>
    <w:rsid w:val="00FB0C54"/>
    <w:rsid w:val="00FB1036"/>
    <w:rsid w:val="00FB1181"/>
    <w:rsid w:val="00FB2B7E"/>
    <w:rsid w:val="00FB3208"/>
    <w:rsid w:val="00FB32FC"/>
    <w:rsid w:val="00FB4128"/>
    <w:rsid w:val="00FB4827"/>
    <w:rsid w:val="00FB5E2E"/>
    <w:rsid w:val="00FC021D"/>
    <w:rsid w:val="00FC13D3"/>
    <w:rsid w:val="00FC1D52"/>
    <w:rsid w:val="00FC1EA9"/>
    <w:rsid w:val="00FC2B8D"/>
    <w:rsid w:val="00FC2DAA"/>
    <w:rsid w:val="00FC3B99"/>
    <w:rsid w:val="00FC4489"/>
    <w:rsid w:val="00FC4DEA"/>
    <w:rsid w:val="00FC637E"/>
    <w:rsid w:val="00FC65A1"/>
    <w:rsid w:val="00FC6B00"/>
    <w:rsid w:val="00FC6F2B"/>
    <w:rsid w:val="00FC72F6"/>
    <w:rsid w:val="00FC72FF"/>
    <w:rsid w:val="00FC7C9D"/>
    <w:rsid w:val="00FC7FD5"/>
    <w:rsid w:val="00FD0C12"/>
    <w:rsid w:val="00FD0DFD"/>
    <w:rsid w:val="00FD162B"/>
    <w:rsid w:val="00FD2055"/>
    <w:rsid w:val="00FD26CB"/>
    <w:rsid w:val="00FD2A4D"/>
    <w:rsid w:val="00FD2A69"/>
    <w:rsid w:val="00FD2AC6"/>
    <w:rsid w:val="00FD2DDD"/>
    <w:rsid w:val="00FD2E5A"/>
    <w:rsid w:val="00FD2F8A"/>
    <w:rsid w:val="00FD3E1E"/>
    <w:rsid w:val="00FD5DEA"/>
    <w:rsid w:val="00FD6228"/>
    <w:rsid w:val="00FD6300"/>
    <w:rsid w:val="00FD6A17"/>
    <w:rsid w:val="00FD6A88"/>
    <w:rsid w:val="00FE0AF9"/>
    <w:rsid w:val="00FE0DDF"/>
    <w:rsid w:val="00FE1C14"/>
    <w:rsid w:val="00FE1E60"/>
    <w:rsid w:val="00FE2237"/>
    <w:rsid w:val="00FE3715"/>
    <w:rsid w:val="00FE3938"/>
    <w:rsid w:val="00FE3A5E"/>
    <w:rsid w:val="00FE3D84"/>
    <w:rsid w:val="00FE6DBE"/>
    <w:rsid w:val="00FE7658"/>
    <w:rsid w:val="00FE789E"/>
    <w:rsid w:val="00FF1214"/>
    <w:rsid w:val="00FF1696"/>
    <w:rsid w:val="00FF23A6"/>
    <w:rsid w:val="00FF30D1"/>
    <w:rsid w:val="00FF49F6"/>
    <w:rsid w:val="00FF51DF"/>
    <w:rsid w:val="00FF531A"/>
    <w:rsid w:val="00FF556E"/>
    <w:rsid w:val="00FF6078"/>
    <w:rsid w:val="00FF630F"/>
    <w:rsid w:val="00FF656F"/>
    <w:rsid w:val="00FF6E30"/>
    <w:rsid w:val="00FF751A"/>
    <w:rsid w:val="02067E7E"/>
    <w:rsid w:val="022C0F12"/>
    <w:rsid w:val="023F7CF7"/>
    <w:rsid w:val="02470B49"/>
    <w:rsid w:val="02AE3C35"/>
    <w:rsid w:val="02F82B20"/>
    <w:rsid w:val="032132CE"/>
    <w:rsid w:val="032A74C7"/>
    <w:rsid w:val="03AB2C5C"/>
    <w:rsid w:val="03C113A1"/>
    <w:rsid w:val="042518DB"/>
    <w:rsid w:val="04280B0E"/>
    <w:rsid w:val="043C2B5E"/>
    <w:rsid w:val="0452245A"/>
    <w:rsid w:val="04737F79"/>
    <w:rsid w:val="047B3058"/>
    <w:rsid w:val="04A11184"/>
    <w:rsid w:val="04A60962"/>
    <w:rsid w:val="04CC650D"/>
    <w:rsid w:val="05305556"/>
    <w:rsid w:val="057211AA"/>
    <w:rsid w:val="05721A75"/>
    <w:rsid w:val="057F3F13"/>
    <w:rsid w:val="059E66FE"/>
    <w:rsid w:val="05BD34FF"/>
    <w:rsid w:val="05E1169D"/>
    <w:rsid w:val="060F258A"/>
    <w:rsid w:val="06345D7F"/>
    <w:rsid w:val="065A6E10"/>
    <w:rsid w:val="067D488D"/>
    <w:rsid w:val="06A92474"/>
    <w:rsid w:val="06E23674"/>
    <w:rsid w:val="07614372"/>
    <w:rsid w:val="07A056A3"/>
    <w:rsid w:val="07C94EF7"/>
    <w:rsid w:val="07DF0248"/>
    <w:rsid w:val="07E95EFF"/>
    <w:rsid w:val="08336B54"/>
    <w:rsid w:val="08A507E6"/>
    <w:rsid w:val="08EF440A"/>
    <w:rsid w:val="096619F7"/>
    <w:rsid w:val="09A14F60"/>
    <w:rsid w:val="09C30370"/>
    <w:rsid w:val="09F73AD7"/>
    <w:rsid w:val="0A63492C"/>
    <w:rsid w:val="0AB6328D"/>
    <w:rsid w:val="0B0541F8"/>
    <w:rsid w:val="0B161F7E"/>
    <w:rsid w:val="0B550069"/>
    <w:rsid w:val="0C0C4D8D"/>
    <w:rsid w:val="0C0E0744"/>
    <w:rsid w:val="0CEF3A34"/>
    <w:rsid w:val="0CF6195F"/>
    <w:rsid w:val="0D0E00F9"/>
    <w:rsid w:val="0D543C85"/>
    <w:rsid w:val="0D8B2166"/>
    <w:rsid w:val="0D8D4636"/>
    <w:rsid w:val="0DD010EC"/>
    <w:rsid w:val="0DED00D9"/>
    <w:rsid w:val="0DF6215D"/>
    <w:rsid w:val="0EA76A1E"/>
    <w:rsid w:val="0EFA7B1D"/>
    <w:rsid w:val="0F064724"/>
    <w:rsid w:val="0F5E24D6"/>
    <w:rsid w:val="0F5F672A"/>
    <w:rsid w:val="0FBA4D4A"/>
    <w:rsid w:val="10081CEE"/>
    <w:rsid w:val="102114ED"/>
    <w:rsid w:val="10CC3EAC"/>
    <w:rsid w:val="110C031C"/>
    <w:rsid w:val="11335637"/>
    <w:rsid w:val="119A1866"/>
    <w:rsid w:val="11F76665"/>
    <w:rsid w:val="1254352E"/>
    <w:rsid w:val="12A91043"/>
    <w:rsid w:val="12AF56AD"/>
    <w:rsid w:val="130E6B57"/>
    <w:rsid w:val="13182827"/>
    <w:rsid w:val="132638D5"/>
    <w:rsid w:val="13290214"/>
    <w:rsid w:val="13503426"/>
    <w:rsid w:val="13810D01"/>
    <w:rsid w:val="138649FB"/>
    <w:rsid w:val="138F3331"/>
    <w:rsid w:val="13A66595"/>
    <w:rsid w:val="13BE7284"/>
    <w:rsid w:val="13EE1E0E"/>
    <w:rsid w:val="140B464A"/>
    <w:rsid w:val="14256DE2"/>
    <w:rsid w:val="14276FAA"/>
    <w:rsid w:val="14931269"/>
    <w:rsid w:val="14B25210"/>
    <w:rsid w:val="14B968B4"/>
    <w:rsid w:val="14D962AE"/>
    <w:rsid w:val="15197C6C"/>
    <w:rsid w:val="15503960"/>
    <w:rsid w:val="15B24E5E"/>
    <w:rsid w:val="16097F9B"/>
    <w:rsid w:val="1655380C"/>
    <w:rsid w:val="16D23C3A"/>
    <w:rsid w:val="16FDBF0C"/>
    <w:rsid w:val="172548AE"/>
    <w:rsid w:val="17503672"/>
    <w:rsid w:val="1786143B"/>
    <w:rsid w:val="17C368EB"/>
    <w:rsid w:val="18100480"/>
    <w:rsid w:val="182A4F36"/>
    <w:rsid w:val="185A5142"/>
    <w:rsid w:val="19137997"/>
    <w:rsid w:val="19327D44"/>
    <w:rsid w:val="193E13FA"/>
    <w:rsid w:val="198C7054"/>
    <w:rsid w:val="19D054E5"/>
    <w:rsid w:val="19E908F7"/>
    <w:rsid w:val="1A0864F5"/>
    <w:rsid w:val="1A193C6E"/>
    <w:rsid w:val="1AAC2302"/>
    <w:rsid w:val="1B123241"/>
    <w:rsid w:val="1B1A1C14"/>
    <w:rsid w:val="1B1D3F4B"/>
    <w:rsid w:val="1B472A33"/>
    <w:rsid w:val="1B634624"/>
    <w:rsid w:val="1B671281"/>
    <w:rsid w:val="1B6B7230"/>
    <w:rsid w:val="1B8E46AD"/>
    <w:rsid w:val="1B92441E"/>
    <w:rsid w:val="1BD78D7E"/>
    <w:rsid w:val="1C1D750A"/>
    <w:rsid w:val="1C7B4F2D"/>
    <w:rsid w:val="1D5F2015"/>
    <w:rsid w:val="1D7F8052"/>
    <w:rsid w:val="1DBC1FAC"/>
    <w:rsid w:val="1DE21C1C"/>
    <w:rsid w:val="1E450EA3"/>
    <w:rsid w:val="1E6E4649"/>
    <w:rsid w:val="1ED02073"/>
    <w:rsid w:val="1EDE0B58"/>
    <w:rsid w:val="1F245BF0"/>
    <w:rsid w:val="1F396190"/>
    <w:rsid w:val="1FC313A4"/>
    <w:rsid w:val="1FE94E1A"/>
    <w:rsid w:val="202277EF"/>
    <w:rsid w:val="2031057F"/>
    <w:rsid w:val="21030A0C"/>
    <w:rsid w:val="213C6757"/>
    <w:rsid w:val="217C7CC5"/>
    <w:rsid w:val="21A509AA"/>
    <w:rsid w:val="21B06830"/>
    <w:rsid w:val="223473AC"/>
    <w:rsid w:val="223905D4"/>
    <w:rsid w:val="223D4486"/>
    <w:rsid w:val="236C6682"/>
    <w:rsid w:val="24043124"/>
    <w:rsid w:val="242F6E8D"/>
    <w:rsid w:val="24744471"/>
    <w:rsid w:val="24773299"/>
    <w:rsid w:val="24C578AC"/>
    <w:rsid w:val="24D047E5"/>
    <w:rsid w:val="2560311C"/>
    <w:rsid w:val="256C49FA"/>
    <w:rsid w:val="25D0124F"/>
    <w:rsid w:val="265A5EC4"/>
    <w:rsid w:val="265E2242"/>
    <w:rsid w:val="268C5C1F"/>
    <w:rsid w:val="269019CD"/>
    <w:rsid w:val="26E11CE5"/>
    <w:rsid w:val="26FB3D6A"/>
    <w:rsid w:val="277F42F2"/>
    <w:rsid w:val="27AF77AF"/>
    <w:rsid w:val="27E53D2F"/>
    <w:rsid w:val="28110535"/>
    <w:rsid w:val="2821693A"/>
    <w:rsid w:val="289F5085"/>
    <w:rsid w:val="28A8249C"/>
    <w:rsid w:val="28BA2C7D"/>
    <w:rsid w:val="28E51223"/>
    <w:rsid w:val="28FA5F6E"/>
    <w:rsid w:val="29294819"/>
    <w:rsid w:val="29573CF9"/>
    <w:rsid w:val="29645262"/>
    <w:rsid w:val="299F4E44"/>
    <w:rsid w:val="29EB46CB"/>
    <w:rsid w:val="2A5D1AB5"/>
    <w:rsid w:val="2A8E319E"/>
    <w:rsid w:val="2A9F14C7"/>
    <w:rsid w:val="2ACA4418"/>
    <w:rsid w:val="2AFA0118"/>
    <w:rsid w:val="2B057BED"/>
    <w:rsid w:val="2B77216D"/>
    <w:rsid w:val="2BB45838"/>
    <w:rsid w:val="2C065597"/>
    <w:rsid w:val="2C0E3A20"/>
    <w:rsid w:val="2C3721AC"/>
    <w:rsid w:val="2C3F712F"/>
    <w:rsid w:val="2CA57BCB"/>
    <w:rsid w:val="2CBF75ED"/>
    <w:rsid w:val="2D1244E4"/>
    <w:rsid w:val="2D1A0EBD"/>
    <w:rsid w:val="2D5961CC"/>
    <w:rsid w:val="2D946C24"/>
    <w:rsid w:val="2D997ED9"/>
    <w:rsid w:val="2DC53663"/>
    <w:rsid w:val="2E323EC8"/>
    <w:rsid w:val="2E961D13"/>
    <w:rsid w:val="2EB100AB"/>
    <w:rsid w:val="2EDD50F7"/>
    <w:rsid w:val="2F631E31"/>
    <w:rsid w:val="2F687334"/>
    <w:rsid w:val="2FBB1A94"/>
    <w:rsid w:val="2FC11C09"/>
    <w:rsid w:val="304E118F"/>
    <w:rsid w:val="30790154"/>
    <w:rsid w:val="307F0B1B"/>
    <w:rsid w:val="309C1703"/>
    <w:rsid w:val="30AC2F08"/>
    <w:rsid w:val="30E70F5B"/>
    <w:rsid w:val="31584F43"/>
    <w:rsid w:val="315C40D3"/>
    <w:rsid w:val="315D4D5C"/>
    <w:rsid w:val="31C73DA1"/>
    <w:rsid w:val="31DF12ED"/>
    <w:rsid w:val="32150B76"/>
    <w:rsid w:val="325A2A82"/>
    <w:rsid w:val="328626B9"/>
    <w:rsid w:val="32A46703"/>
    <w:rsid w:val="32E36679"/>
    <w:rsid w:val="32E40AC0"/>
    <w:rsid w:val="333C0945"/>
    <w:rsid w:val="3357135D"/>
    <w:rsid w:val="33651CD6"/>
    <w:rsid w:val="33811DDB"/>
    <w:rsid w:val="33B73A4E"/>
    <w:rsid w:val="33F07707"/>
    <w:rsid w:val="34685E15"/>
    <w:rsid w:val="347F4577"/>
    <w:rsid w:val="34D86C3F"/>
    <w:rsid w:val="34E616C4"/>
    <w:rsid w:val="34FB9247"/>
    <w:rsid w:val="352769AF"/>
    <w:rsid w:val="353A0493"/>
    <w:rsid w:val="355F7A56"/>
    <w:rsid w:val="35E93C67"/>
    <w:rsid w:val="371352CD"/>
    <w:rsid w:val="37143D0D"/>
    <w:rsid w:val="378F068B"/>
    <w:rsid w:val="37AD2C77"/>
    <w:rsid w:val="37C07FB3"/>
    <w:rsid w:val="38297B38"/>
    <w:rsid w:val="38B56B05"/>
    <w:rsid w:val="38C11E12"/>
    <w:rsid w:val="38D242A8"/>
    <w:rsid w:val="390E04F2"/>
    <w:rsid w:val="393A646C"/>
    <w:rsid w:val="39570CF8"/>
    <w:rsid w:val="3965684D"/>
    <w:rsid w:val="39A16484"/>
    <w:rsid w:val="39A63190"/>
    <w:rsid w:val="39BF2580"/>
    <w:rsid w:val="39CE6F30"/>
    <w:rsid w:val="39D02F17"/>
    <w:rsid w:val="3A811250"/>
    <w:rsid w:val="3AA52B10"/>
    <w:rsid w:val="3AA83C07"/>
    <w:rsid w:val="3AB13D31"/>
    <w:rsid w:val="3AE86ABC"/>
    <w:rsid w:val="3B075926"/>
    <w:rsid w:val="3B2D4D23"/>
    <w:rsid w:val="3B3964BF"/>
    <w:rsid w:val="3B705B44"/>
    <w:rsid w:val="3BFA1EAD"/>
    <w:rsid w:val="3C025A83"/>
    <w:rsid w:val="3C05738F"/>
    <w:rsid w:val="3C2F4AA3"/>
    <w:rsid w:val="3CB2539E"/>
    <w:rsid w:val="3CCE5B96"/>
    <w:rsid w:val="3CDF0BAA"/>
    <w:rsid w:val="3CE21B3C"/>
    <w:rsid w:val="3CF075BA"/>
    <w:rsid w:val="3D0C0D8D"/>
    <w:rsid w:val="3D211F38"/>
    <w:rsid w:val="3D93421E"/>
    <w:rsid w:val="3DB04EE8"/>
    <w:rsid w:val="3DE92C93"/>
    <w:rsid w:val="3E0228A4"/>
    <w:rsid w:val="3E3A106C"/>
    <w:rsid w:val="3E417262"/>
    <w:rsid w:val="3E686D8F"/>
    <w:rsid w:val="3EBD7ADA"/>
    <w:rsid w:val="3F577E93"/>
    <w:rsid w:val="3F7F0782"/>
    <w:rsid w:val="3F960229"/>
    <w:rsid w:val="3FB9EDFD"/>
    <w:rsid w:val="40077B0C"/>
    <w:rsid w:val="401A09E6"/>
    <w:rsid w:val="402D7FFE"/>
    <w:rsid w:val="4037219F"/>
    <w:rsid w:val="407D1B7C"/>
    <w:rsid w:val="41645C8D"/>
    <w:rsid w:val="41A3382D"/>
    <w:rsid w:val="41B1265C"/>
    <w:rsid w:val="41F34EEE"/>
    <w:rsid w:val="436D3606"/>
    <w:rsid w:val="43947ADA"/>
    <w:rsid w:val="43AD0B79"/>
    <w:rsid w:val="43E647D4"/>
    <w:rsid w:val="440F1F03"/>
    <w:rsid w:val="44191BBB"/>
    <w:rsid w:val="442F337D"/>
    <w:rsid w:val="44653D96"/>
    <w:rsid w:val="45034D69"/>
    <w:rsid w:val="457F7039"/>
    <w:rsid w:val="458B4749"/>
    <w:rsid w:val="45D7462D"/>
    <w:rsid w:val="45DA57A6"/>
    <w:rsid w:val="46276828"/>
    <w:rsid w:val="46427553"/>
    <w:rsid w:val="46666332"/>
    <w:rsid w:val="46917126"/>
    <w:rsid w:val="46A4478D"/>
    <w:rsid w:val="4743750C"/>
    <w:rsid w:val="4769057D"/>
    <w:rsid w:val="478541A9"/>
    <w:rsid w:val="47A307B3"/>
    <w:rsid w:val="47A65DE6"/>
    <w:rsid w:val="47D65A7E"/>
    <w:rsid w:val="482D7F01"/>
    <w:rsid w:val="48591EC4"/>
    <w:rsid w:val="48B130D7"/>
    <w:rsid w:val="48FD5A36"/>
    <w:rsid w:val="4936107E"/>
    <w:rsid w:val="495D2782"/>
    <w:rsid w:val="496203BA"/>
    <w:rsid w:val="49686771"/>
    <w:rsid w:val="4A0C6DEF"/>
    <w:rsid w:val="4A45195C"/>
    <w:rsid w:val="4A6C30D0"/>
    <w:rsid w:val="4A767D68"/>
    <w:rsid w:val="4A886BD8"/>
    <w:rsid w:val="4A95657B"/>
    <w:rsid w:val="4AA7666B"/>
    <w:rsid w:val="4B2631EB"/>
    <w:rsid w:val="4B34241C"/>
    <w:rsid w:val="4B9508C3"/>
    <w:rsid w:val="4BC47A32"/>
    <w:rsid w:val="4BCB40E3"/>
    <w:rsid w:val="4BDC65CF"/>
    <w:rsid w:val="4C341C88"/>
    <w:rsid w:val="4D2A46AF"/>
    <w:rsid w:val="4DD44B12"/>
    <w:rsid w:val="4DF814A8"/>
    <w:rsid w:val="4E5D1C27"/>
    <w:rsid w:val="4E9532A8"/>
    <w:rsid w:val="4EC73278"/>
    <w:rsid w:val="4EE97CE7"/>
    <w:rsid w:val="4FEE2BCB"/>
    <w:rsid w:val="50644ACE"/>
    <w:rsid w:val="509C6DB3"/>
    <w:rsid w:val="512932B8"/>
    <w:rsid w:val="5164091A"/>
    <w:rsid w:val="51890449"/>
    <w:rsid w:val="51DB6D95"/>
    <w:rsid w:val="51F670B8"/>
    <w:rsid w:val="51F8625C"/>
    <w:rsid w:val="523F70BF"/>
    <w:rsid w:val="527B1EA7"/>
    <w:rsid w:val="5338205E"/>
    <w:rsid w:val="534C5B09"/>
    <w:rsid w:val="53604867"/>
    <w:rsid w:val="537FA3D2"/>
    <w:rsid w:val="53B37FDD"/>
    <w:rsid w:val="53CC43C2"/>
    <w:rsid w:val="53DE23BF"/>
    <w:rsid w:val="53F14A16"/>
    <w:rsid w:val="53F86A27"/>
    <w:rsid w:val="53F87A3F"/>
    <w:rsid w:val="545864DD"/>
    <w:rsid w:val="5471052E"/>
    <w:rsid w:val="548700E2"/>
    <w:rsid w:val="54FF75FA"/>
    <w:rsid w:val="55442A06"/>
    <w:rsid w:val="55832A3E"/>
    <w:rsid w:val="55DE6C29"/>
    <w:rsid w:val="56400888"/>
    <w:rsid w:val="56826B6F"/>
    <w:rsid w:val="57144816"/>
    <w:rsid w:val="57423214"/>
    <w:rsid w:val="5878565D"/>
    <w:rsid w:val="58A41059"/>
    <w:rsid w:val="58BC103B"/>
    <w:rsid w:val="58C12AF6"/>
    <w:rsid w:val="58D851B6"/>
    <w:rsid w:val="590648BC"/>
    <w:rsid w:val="59DD6655"/>
    <w:rsid w:val="59FB5582"/>
    <w:rsid w:val="5A4C4641"/>
    <w:rsid w:val="5A7203F6"/>
    <w:rsid w:val="5A817F6A"/>
    <w:rsid w:val="5AB147B0"/>
    <w:rsid w:val="5ADC1D1A"/>
    <w:rsid w:val="5BAF7A15"/>
    <w:rsid w:val="5BB70C9C"/>
    <w:rsid w:val="5BB73C97"/>
    <w:rsid w:val="5BE90B20"/>
    <w:rsid w:val="5C4129EA"/>
    <w:rsid w:val="5C7670B7"/>
    <w:rsid w:val="5CF360FC"/>
    <w:rsid w:val="5CF5010F"/>
    <w:rsid w:val="5D0823D2"/>
    <w:rsid w:val="5DC56BE4"/>
    <w:rsid w:val="5DC71F59"/>
    <w:rsid w:val="5DED2098"/>
    <w:rsid w:val="5DF41277"/>
    <w:rsid w:val="5E6737F7"/>
    <w:rsid w:val="5E7535F5"/>
    <w:rsid w:val="5E9B7955"/>
    <w:rsid w:val="5EB40A0A"/>
    <w:rsid w:val="5EBA07B7"/>
    <w:rsid w:val="5F1D188E"/>
    <w:rsid w:val="5F2C3831"/>
    <w:rsid w:val="5F67218E"/>
    <w:rsid w:val="5F801B85"/>
    <w:rsid w:val="5F8C70AE"/>
    <w:rsid w:val="5F9B63B3"/>
    <w:rsid w:val="5FD2383A"/>
    <w:rsid w:val="5FDD26E6"/>
    <w:rsid w:val="5FE93561"/>
    <w:rsid w:val="5FF74177"/>
    <w:rsid w:val="600C50B5"/>
    <w:rsid w:val="606A1B48"/>
    <w:rsid w:val="61380409"/>
    <w:rsid w:val="61860919"/>
    <w:rsid w:val="61C051AC"/>
    <w:rsid w:val="61F048B7"/>
    <w:rsid w:val="620C53CE"/>
    <w:rsid w:val="6254665D"/>
    <w:rsid w:val="62774225"/>
    <w:rsid w:val="62824B0D"/>
    <w:rsid w:val="629D036C"/>
    <w:rsid w:val="62AC66EF"/>
    <w:rsid w:val="62FF6E54"/>
    <w:rsid w:val="63020122"/>
    <w:rsid w:val="63233C7B"/>
    <w:rsid w:val="6383728F"/>
    <w:rsid w:val="64A6527D"/>
    <w:rsid w:val="64FA583D"/>
    <w:rsid w:val="652B2575"/>
    <w:rsid w:val="653B6073"/>
    <w:rsid w:val="6546685C"/>
    <w:rsid w:val="65801643"/>
    <w:rsid w:val="658F71F2"/>
    <w:rsid w:val="660A14EF"/>
    <w:rsid w:val="66277F98"/>
    <w:rsid w:val="66B15F58"/>
    <w:rsid w:val="66D94BF1"/>
    <w:rsid w:val="67081E6C"/>
    <w:rsid w:val="67205A16"/>
    <w:rsid w:val="67241B0B"/>
    <w:rsid w:val="678507C4"/>
    <w:rsid w:val="67F6407E"/>
    <w:rsid w:val="681F5143"/>
    <w:rsid w:val="68304F5E"/>
    <w:rsid w:val="68607A65"/>
    <w:rsid w:val="687C2723"/>
    <w:rsid w:val="68862041"/>
    <w:rsid w:val="688864D8"/>
    <w:rsid w:val="68D96195"/>
    <w:rsid w:val="68DF01D0"/>
    <w:rsid w:val="68E627EC"/>
    <w:rsid w:val="69132578"/>
    <w:rsid w:val="698511B9"/>
    <w:rsid w:val="69AE5E9E"/>
    <w:rsid w:val="6AB328CB"/>
    <w:rsid w:val="6AB77A71"/>
    <w:rsid w:val="6AD212FC"/>
    <w:rsid w:val="6AEC7716"/>
    <w:rsid w:val="6B197068"/>
    <w:rsid w:val="6BFDFA61"/>
    <w:rsid w:val="6C247CCC"/>
    <w:rsid w:val="6C7F3A67"/>
    <w:rsid w:val="6C8C6B1F"/>
    <w:rsid w:val="6CB05AD5"/>
    <w:rsid w:val="6CED3D5A"/>
    <w:rsid w:val="6CF20FC3"/>
    <w:rsid w:val="6D071569"/>
    <w:rsid w:val="6D2207D1"/>
    <w:rsid w:val="6DCE7194"/>
    <w:rsid w:val="6E7D37E3"/>
    <w:rsid w:val="6E854431"/>
    <w:rsid w:val="6EAC551E"/>
    <w:rsid w:val="6EDE2850"/>
    <w:rsid w:val="6F081642"/>
    <w:rsid w:val="6FC10C76"/>
    <w:rsid w:val="704120C7"/>
    <w:rsid w:val="70936085"/>
    <w:rsid w:val="70E44A92"/>
    <w:rsid w:val="71261C55"/>
    <w:rsid w:val="718E2814"/>
    <w:rsid w:val="71AF602D"/>
    <w:rsid w:val="71E9647C"/>
    <w:rsid w:val="729335FC"/>
    <w:rsid w:val="72AD7A10"/>
    <w:rsid w:val="72B05BF3"/>
    <w:rsid w:val="73487C44"/>
    <w:rsid w:val="737F118B"/>
    <w:rsid w:val="741B6571"/>
    <w:rsid w:val="744F0B5E"/>
    <w:rsid w:val="745010E1"/>
    <w:rsid w:val="749FCBD7"/>
    <w:rsid w:val="74AA1A5C"/>
    <w:rsid w:val="74CC4DCF"/>
    <w:rsid w:val="7573761B"/>
    <w:rsid w:val="75774F67"/>
    <w:rsid w:val="758B40D3"/>
    <w:rsid w:val="758F6774"/>
    <w:rsid w:val="759A1151"/>
    <w:rsid w:val="75FB6CC7"/>
    <w:rsid w:val="7650400F"/>
    <w:rsid w:val="76AA05C4"/>
    <w:rsid w:val="76DB2099"/>
    <w:rsid w:val="76EC6B38"/>
    <w:rsid w:val="770848EA"/>
    <w:rsid w:val="774E1459"/>
    <w:rsid w:val="775070C7"/>
    <w:rsid w:val="77ABBBBF"/>
    <w:rsid w:val="77B82F5E"/>
    <w:rsid w:val="77DA1306"/>
    <w:rsid w:val="77F32EFE"/>
    <w:rsid w:val="77FDD0E5"/>
    <w:rsid w:val="785A77FF"/>
    <w:rsid w:val="78A11479"/>
    <w:rsid w:val="78CB4E74"/>
    <w:rsid w:val="78DA35DF"/>
    <w:rsid w:val="78DF30B4"/>
    <w:rsid w:val="78F57457"/>
    <w:rsid w:val="79034D2A"/>
    <w:rsid w:val="7961380D"/>
    <w:rsid w:val="79674613"/>
    <w:rsid w:val="799A15AE"/>
    <w:rsid w:val="7A291A95"/>
    <w:rsid w:val="7A546CB0"/>
    <w:rsid w:val="7A8354E8"/>
    <w:rsid w:val="7A9B263C"/>
    <w:rsid w:val="7AAC5231"/>
    <w:rsid w:val="7ABA53ED"/>
    <w:rsid w:val="7AD92367"/>
    <w:rsid w:val="7B0D5D39"/>
    <w:rsid w:val="7B0E60B2"/>
    <w:rsid w:val="7B5025D3"/>
    <w:rsid w:val="7B6D7F8B"/>
    <w:rsid w:val="7B9E3CA0"/>
    <w:rsid w:val="7BEA02A7"/>
    <w:rsid w:val="7BF15108"/>
    <w:rsid w:val="7BFF4031"/>
    <w:rsid w:val="7C0F5212"/>
    <w:rsid w:val="7C5F73A3"/>
    <w:rsid w:val="7C7A2C03"/>
    <w:rsid w:val="7C9A072F"/>
    <w:rsid w:val="7D7BDB7F"/>
    <w:rsid w:val="7D946242"/>
    <w:rsid w:val="7DA27B64"/>
    <w:rsid w:val="7DE92023"/>
    <w:rsid w:val="7DEB818C"/>
    <w:rsid w:val="7E0551AD"/>
    <w:rsid w:val="7E1276FE"/>
    <w:rsid w:val="7E395719"/>
    <w:rsid w:val="7E590F57"/>
    <w:rsid w:val="7E9758C7"/>
    <w:rsid w:val="7EFC28F3"/>
    <w:rsid w:val="7F560191"/>
    <w:rsid w:val="7F5D1ADB"/>
    <w:rsid w:val="7F7122D0"/>
    <w:rsid w:val="7F8C6FF3"/>
    <w:rsid w:val="7FFFF97D"/>
    <w:rsid w:val="81D9F5FC"/>
    <w:rsid w:val="9FBFC0FD"/>
    <w:rsid w:val="AFEF3F5C"/>
    <w:rsid w:val="B7F34DF9"/>
    <w:rsid w:val="BE9799D8"/>
    <w:rsid w:val="BF11988E"/>
    <w:rsid w:val="BF7E0FCC"/>
    <w:rsid w:val="BFDF1AEA"/>
    <w:rsid w:val="CEF923DF"/>
    <w:rsid w:val="D6F8E8CD"/>
    <w:rsid w:val="E7ADDC4E"/>
    <w:rsid w:val="E7D704D6"/>
    <w:rsid w:val="EDE82361"/>
    <w:rsid w:val="EFFD3FCA"/>
    <w:rsid w:val="F1FD06D4"/>
    <w:rsid w:val="F36503EF"/>
    <w:rsid w:val="F6AFAC74"/>
    <w:rsid w:val="F7EFC18A"/>
    <w:rsid w:val="FBFD93BE"/>
    <w:rsid w:val="FEBB5728"/>
    <w:rsid w:val="FEFFD941"/>
    <w:rsid w:val="FF5F7CA4"/>
    <w:rsid w:val="FFF2A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3">
    <w:name w:val="heading 1"/>
    <w:basedOn w:val="1"/>
    <w:next w:val="1"/>
    <w:link w:val="38"/>
    <w:qFormat/>
    <w:uiPriority w:val="9"/>
    <w:pPr>
      <w:keepNext/>
      <w:keepLines/>
      <w:spacing w:line="560" w:lineRule="exact"/>
      <w:outlineLvl w:val="0"/>
    </w:pPr>
    <w:rPr>
      <w:b/>
      <w:bCs/>
      <w:kern w:val="44"/>
      <w:sz w:val="44"/>
      <w:szCs w:val="44"/>
    </w:rPr>
  </w:style>
  <w:style w:type="paragraph" w:styleId="4">
    <w:name w:val="heading 2"/>
    <w:basedOn w:val="1"/>
    <w:next w:val="1"/>
    <w:link w:val="39"/>
    <w:qFormat/>
    <w:uiPriority w:val="9"/>
    <w:pPr>
      <w:keepNext/>
      <w:keepLines/>
      <w:spacing w:line="560" w:lineRule="exact"/>
      <w:outlineLvl w:val="1"/>
    </w:pPr>
    <w:rPr>
      <w:rFonts w:ascii="Times New Roman" w:hAnsi="Times New Roman" w:eastAsia="Times New Roman"/>
      <w:b/>
      <w:bCs/>
      <w:sz w:val="28"/>
      <w:szCs w:val="32"/>
    </w:rPr>
  </w:style>
  <w:style w:type="paragraph" w:styleId="5">
    <w:name w:val="heading 3"/>
    <w:basedOn w:val="1"/>
    <w:next w:val="1"/>
    <w:link w:val="40"/>
    <w:qFormat/>
    <w:uiPriority w:val="9"/>
    <w:pPr>
      <w:keepNext/>
      <w:keepLines/>
      <w:spacing w:line="560" w:lineRule="exact"/>
      <w:outlineLvl w:val="2"/>
    </w:pPr>
    <w:rPr>
      <w:b/>
      <w:bCs/>
      <w:sz w:val="32"/>
      <w:szCs w:val="32"/>
    </w:rPr>
  </w:style>
  <w:style w:type="paragraph" w:styleId="6">
    <w:name w:val="heading 4"/>
    <w:basedOn w:val="1"/>
    <w:next w:val="1"/>
    <w:link w:val="41"/>
    <w:qFormat/>
    <w:uiPriority w:val="9"/>
    <w:pPr>
      <w:keepNext/>
      <w:keepLines/>
      <w:spacing w:before="280" w:after="290" w:line="376" w:lineRule="auto"/>
      <w:outlineLvl w:val="3"/>
    </w:pPr>
    <w:rPr>
      <w:rFonts w:ascii="Calibri Light" w:hAnsi="Calibri Light"/>
      <w:b/>
      <w:bCs/>
      <w:sz w:val="28"/>
      <w:szCs w:val="28"/>
    </w:rPr>
  </w:style>
  <w:style w:type="paragraph" w:styleId="7">
    <w:name w:val="heading 5"/>
    <w:basedOn w:val="1"/>
    <w:next w:val="1"/>
    <w:link w:val="42"/>
    <w:qFormat/>
    <w:uiPriority w:val="9"/>
    <w:pPr>
      <w:keepNext/>
      <w:keepLines/>
      <w:spacing w:before="280" w:after="290" w:line="376" w:lineRule="auto"/>
      <w:outlineLvl w:val="4"/>
    </w:pPr>
    <w:rPr>
      <w:b/>
      <w:bCs/>
      <w:sz w:val="28"/>
      <w:szCs w:val="28"/>
    </w:rPr>
  </w:style>
  <w:style w:type="paragraph" w:styleId="8">
    <w:name w:val="heading 6"/>
    <w:basedOn w:val="1"/>
    <w:next w:val="1"/>
    <w:link w:val="43"/>
    <w:qFormat/>
    <w:uiPriority w:val="9"/>
    <w:pPr>
      <w:keepNext/>
      <w:keepLines/>
      <w:spacing w:before="240" w:after="64" w:line="320" w:lineRule="auto"/>
      <w:outlineLvl w:val="5"/>
    </w:pPr>
    <w:rPr>
      <w:rFonts w:ascii="Calibri Light" w:hAnsi="Calibri Light"/>
      <w:b/>
      <w:bCs/>
      <w:sz w:val="24"/>
      <w:szCs w:val="24"/>
    </w:rPr>
  </w:style>
  <w:style w:type="character" w:default="1" w:styleId="33">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 w:type="paragraph" w:styleId="9">
    <w:name w:val="toc 7"/>
    <w:basedOn w:val="1"/>
    <w:next w:val="1"/>
    <w:unhideWhenUsed/>
    <w:qFormat/>
    <w:uiPriority w:val="39"/>
    <w:pPr>
      <w:ind w:left="2520" w:leftChars="1200"/>
    </w:pPr>
    <w:rPr>
      <w:szCs w:val="22"/>
    </w:rPr>
  </w:style>
  <w:style w:type="paragraph" w:styleId="10">
    <w:name w:val="caption"/>
    <w:basedOn w:val="1"/>
    <w:next w:val="1"/>
    <w:qFormat/>
    <w:uiPriority w:val="35"/>
    <w:rPr>
      <w:rFonts w:ascii="Calibri Light" w:hAnsi="Calibri Light" w:eastAsia="黑体"/>
      <w:sz w:val="20"/>
      <w:szCs w:val="20"/>
    </w:rPr>
  </w:style>
  <w:style w:type="paragraph" w:styleId="11">
    <w:name w:val="Document Map"/>
    <w:basedOn w:val="1"/>
    <w:link w:val="44"/>
    <w:unhideWhenUsed/>
    <w:qFormat/>
    <w:uiPriority w:val="99"/>
    <w:rPr>
      <w:rFonts w:ascii="宋体"/>
      <w:sz w:val="18"/>
      <w:szCs w:val="18"/>
    </w:rPr>
  </w:style>
  <w:style w:type="paragraph" w:styleId="12">
    <w:name w:val="annotation text"/>
    <w:basedOn w:val="1"/>
    <w:link w:val="45"/>
    <w:unhideWhenUsed/>
    <w:qFormat/>
    <w:uiPriority w:val="0"/>
    <w:pPr>
      <w:jc w:val="left"/>
    </w:pPr>
  </w:style>
  <w:style w:type="paragraph" w:styleId="13">
    <w:name w:val="Body Text"/>
    <w:basedOn w:val="1"/>
    <w:link w:val="46"/>
    <w:qFormat/>
    <w:uiPriority w:val="1"/>
    <w:pPr>
      <w:autoSpaceDE w:val="0"/>
      <w:autoSpaceDN w:val="0"/>
      <w:jc w:val="left"/>
    </w:pPr>
    <w:rPr>
      <w:rFonts w:ascii="宋体" w:hAnsi="宋体" w:cs="宋体"/>
      <w:kern w:val="0"/>
      <w:sz w:val="90"/>
      <w:szCs w:val="90"/>
      <w:lang w:val="zh-CN" w:bidi="zh-CN"/>
    </w:rPr>
  </w:style>
  <w:style w:type="paragraph" w:styleId="14">
    <w:name w:val="toc 5"/>
    <w:basedOn w:val="1"/>
    <w:next w:val="1"/>
    <w:unhideWhenUsed/>
    <w:qFormat/>
    <w:uiPriority w:val="39"/>
    <w:pPr>
      <w:ind w:left="1680" w:leftChars="800"/>
    </w:pPr>
    <w:rPr>
      <w:szCs w:val="22"/>
    </w:rPr>
  </w:style>
  <w:style w:type="paragraph" w:styleId="15">
    <w:name w:val="toc 3"/>
    <w:basedOn w:val="1"/>
    <w:next w:val="1"/>
    <w:unhideWhenUsed/>
    <w:qFormat/>
    <w:uiPriority w:val="39"/>
    <w:pPr>
      <w:ind w:left="840" w:leftChars="400"/>
    </w:pPr>
    <w:rPr>
      <w:szCs w:val="22"/>
    </w:rPr>
  </w:style>
  <w:style w:type="paragraph" w:styleId="16">
    <w:name w:val="toc 8"/>
    <w:basedOn w:val="1"/>
    <w:next w:val="1"/>
    <w:unhideWhenUsed/>
    <w:qFormat/>
    <w:uiPriority w:val="39"/>
    <w:pPr>
      <w:ind w:left="2940" w:leftChars="1400"/>
    </w:pPr>
    <w:rPr>
      <w:szCs w:val="22"/>
    </w:rPr>
  </w:style>
  <w:style w:type="paragraph" w:styleId="17">
    <w:name w:val="Date"/>
    <w:basedOn w:val="1"/>
    <w:next w:val="1"/>
    <w:link w:val="47"/>
    <w:unhideWhenUsed/>
    <w:qFormat/>
    <w:uiPriority w:val="99"/>
    <w:pPr>
      <w:ind w:left="100" w:leftChars="2500"/>
    </w:pPr>
  </w:style>
  <w:style w:type="paragraph" w:styleId="18">
    <w:name w:val="Balloon Text"/>
    <w:basedOn w:val="1"/>
    <w:link w:val="48"/>
    <w:unhideWhenUsed/>
    <w:qFormat/>
    <w:uiPriority w:val="99"/>
    <w:rPr>
      <w:sz w:val="18"/>
      <w:szCs w:val="18"/>
    </w:rPr>
  </w:style>
  <w:style w:type="paragraph" w:styleId="19">
    <w:name w:val="footer"/>
    <w:basedOn w:val="1"/>
    <w:link w:val="49"/>
    <w:unhideWhenUsed/>
    <w:qFormat/>
    <w:uiPriority w:val="99"/>
    <w:pPr>
      <w:tabs>
        <w:tab w:val="center" w:pos="4153"/>
        <w:tab w:val="right" w:pos="8306"/>
      </w:tabs>
      <w:snapToGrid w:val="0"/>
      <w:jc w:val="left"/>
    </w:pPr>
    <w:rPr>
      <w:sz w:val="18"/>
      <w:szCs w:val="18"/>
    </w:rPr>
  </w:style>
  <w:style w:type="paragraph" w:styleId="20">
    <w:name w:val="header"/>
    <w:basedOn w:val="1"/>
    <w:link w:val="50"/>
    <w:unhideWhenUsed/>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rPr>
      <w:szCs w:val="22"/>
    </w:rPr>
  </w:style>
  <w:style w:type="paragraph" w:styleId="22">
    <w:name w:val="toc 4"/>
    <w:basedOn w:val="1"/>
    <w:next w:val="1"/>
    <w:unhideWhenUsed/>
    <w:qFormat/>
    <w:uiPriority w:val="39"/>
    <w:pPr>
      <w:ind w:left="1260" w:leftChars="600"/>
    </w:pPr>
    <w:rPr>
      <w:szCs w:val="22"/>
    </w:rPr>
  </w:style>
  <w:style w:type="paragraph" w:styleId="23">
    <w:name w:val="toc 6"/>
    <w:basedOn w:val="1"/>
    <w:next w:val="1"/>
    <w:unhideWhenUsed/>
    <w:qFormat/>
    <w:uiPriority w:val="39"/>
    <w:pPr>
      <w:ind w:left="2100" w:leftChars="1000"/>
    </w:pPr>
    <w:rPr>
      <w:szCs w:val="22"/>
    </w:rPr>
  </w:style>
  <w:style w:type="paragraph" w:styleId="24">
    <w:name w:val="toc 2"/>
    <w:basedOn w:val="1"/>
    <w:next w:val="1"/>
    <w:unhideWhenUsed/>
    <w:qFormat/>
    <w:uiPriority w:val="39"/>
    <w:pPr>
      <w:tabs>
        <w:tab w:val="right" w:leader="dot" w:pos="8296"/>
      </w:tabs>
      <w:spacing w:line="480" w:lineRule="auto"/>
      <w:ind w:left="420" w:leftChars="200"/>
    </w:pPr>
    <w:rPr>
      <w:szCs w:val="22"/>
    </w:rPr>
  </w:style>
  <w:style w:type="paragraph" w:styleId="25">
    <w:name w:val="toc 9"/>
    <w:basedOn w:val="1"/>
    <w:next w:val="1"/>
    <w:unhideWhenUsed/>
    <w:qFormat/>
    <w:uiPriority w:val="39"/>
    <w:pPr>
      <w:ind w:left="3360" w:leftChars="1600"/>
    </w:pPr>
    <w:rPr>
      <w:szCs w:val="22"/>
    </w:rPr>
  </w:style>
  <w:style w:type="paragraph" w:styleId="2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7">
    <w:name w:val="annotation subject"/>
    <w:basedOn w:val="12"/>
    <w:next w:val="12"/>
    <w:link w:val="51"/>
    <w:unhideWhenUsed/>
    <w:qFormat/>
    <w:uiPriority w:val="99"/>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Light Grid Accent 5"/>
    <w:basedOn w:val="28"/>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eastAsia="Calibri Light" w:cs="Times New Roman"/>
        <w:b/>
        <w:bCs/>
      </w:rPr>
      <w:tblPr/>
      <w:tcPr>
        <w:tcBorders>
          <w:top w:val="single" w:color="4472C4" w:sz="8" w:space="0"/>
          <w:left w:val="single" w:color="4472C4" w:sz="18" w:space="0"/>
          <w:bottom w:val="single" w:color="4472C4" w:sz="8" w:space="0"/>
          <w:right w:val="single" w:color="4472C4" w:sz="8" w:space="0"/>
          <w:insideH w:val="nil"/>
          <w:insideV w:val="single" w:sz="8" w:space="0"/>
          <w:tl2br w:val="nil"/>
          <w:tr2bl w:val="nil"/>
        </w:tcBorders>
      </w:tcPr>
    </w:tblStylePr>
    <w:tblStylePr w:type="lastRow">
      <w:pPr>
        <w:spacing w:before="0" w:after="0" w:line="240" w:lineRule="auto"/>
      </w:pPr>
      <w:rPr>
        <w:rFonts w:eastAsia="Calibri Light"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l2br w:val="nil"/>
          <w:tr2bl w:val="nil"/>
        </w:tcBorders>
      </w:tcPr>
    </w:tblStylePr>
    <w:tblStylePr w:type="firstCol">
      <w:rPr>
        <w:rFonts w:eastAsia="Calibri Light" w:cs="Times New Roman"/>
        <w:b/>
        <w:bCs/>
      </w:rPr>
    </w:tblStylePr>
    <w:tblStylePr w:type="lastCol">
      <w:rPr>
        <w:rFonts w:eastAsia="Calibri Light" w:cs="Times New Roman"/>
        <w:b/>
        <w:bCs/>
      </w:rPr>
      <w:tbl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Vert">
      <w:tblPr/>
      <w:tcPr>
        <w:tcBorders>
          <w:top w:val="single" w:color="4472C4" w:sz="8" w:space="0"/>
          <w:left w:val="single" w:color="4472C4" w:sz="8" w:space="0"/>
          <w:bottom w:val="single" w:color="4472C4" w:sz="8" w:space="0"/>
          <w:right w:val="single" w:color="4472C4" w:sz="8" w:space="0"/>
          <w:insideH w:val="nil"/>
          <w:insideV w:val="nil"/>
          <w:tl2br w:val="nil"/>
          <w:tr2bl w:val="nil"/>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tcPr>
    </w:tblStylePr>
  </w:style>
  <w:style w:type="table" w:styleId="31">
    <w:name w:val="Medium List 1 Accent 5"/>
    <w:basedOn w:val="28"/>
    <w:qFormat/>
    <w:uiPriority w:val="65"/>
    <w:rPr>
      <w:color w:val="000000"/>
    </w:rPr>
    <w:tblPr>
      <w:tblBorders>
        <w:top w:val="single" w:color="4472C4" w:sz="8" w:space="0"/>
        <w:bottom w:val="single" w:color="4472C4" w:sz="8" w:space="0"/>
      </w:tblBorders>
    </w:tblPr>
    <w:tblStylePr w:type="firstRow">
      <w:rPr>
        <w:rFonts w:eastAsia="Calibri Light" w:cs="Times New Roman"/>
      </w:rPr>
      <w:tblPr/>
      <w:tcPr>
        <w:tcBorders>
          <w:top w:val="nil"/>
          <w:left w:val="single" w:color="4472C4" w:sz="8" w:space="0"/>
          <w:bottom w:val="nil"/>
          <w:right w:val="nil"/>
          <w:insideH w:val="nil"/>
          <w:insideV w:val="nil"/>
          <w:tl2br w:val="nil"/>
          <w:tr2bl w:val="nil"/>
        </w:tcBorders>
      </w:tcPr>
    </w:tblStylePr>
    <w:tblStylePr w:type="lastRow">
      <w:rPr>
        <w:b/>
        <w:bCs/>
        <w:color w:val="44546A"/>
      </w:rPr>
      <w:tblPr/>
      <w:tcPr>
        <w:tcBorders>
          <w:top w:val="single" w:color="4472C4" w:sz="8" w:space="0"/>
          <w:left w:val="single" w:color="4472C4" w:sz="8" w:space="0"/>
          <w:bottom w:val="nil"/>
          <w:right w:val="nil"/>
          <w:insideH w:val="nil"/>
          <w:insideV w:val="nil"/>
          <w:tl2br w:val="nil"/>
          <w:tr2bl w:val="nil"/>
        </w:tcBorders>
      </w:tcPr>
    </w:tblStylePr>
    <w:tblStylePr w:type="firstCol">
      <w:rPr>
        <w:b/>
        <w:bCs/>
      </w:rPr>
    </w:tblStylePr>
    <w:tblStylePr w:type="lastCol">
      <w:rPr>
        <w:b/>
        <w:bCs/>
      </w:rPr>
      <w:tblPr/>
      <w:tcPr>
        <w:tcBorders>
          <w:top w:val="single" w:color="4472C4" w:sz="8" w:space="0"/>
          <w:left w:val="single" w:color="4472C4" w:sz="8" w:space="0"/>
          <w:bottom w:val="nil"/>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32">
    <w:name w:val="Medium Grid 2 Accent 5"/>
    <w:basedOn w:val="28"/>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insideV w:val="single" w:sz="6" w:space="0"/>
          <w:tl2br w:val="nil"/>
          <w:tr2bl w:val="nil"/>
        </w:tcBorders>
        <w:shd w:val="clear" w:color="auto" w:fill="A1B8E1"/>
      </w:tcPr>
    </w:tblStylePr>
    <w:tblStylePr w:type="nwCell">
      <w:tblPr/>
      <w:tcPr>
        <w:shd w:val="clear" w:color="auto" w:fill="FFFFFF"/>
      </w:tcPr>
    </w:tblStylePr>
  </w:style>
  <w:style w:type="character" w:styleId="34">
    <w:name w:val="Strong"/>
    <w:qFormat/>
    <w:uiPriority w:val="22"/>
    <w:rPr>
      <w:b/>
      <w:bCs/>
    </w:rPr>
  </w:style>
  <w:style w:type="character" w:styleId="35">
    <w:name w:val="Emphasis"/>
    <w:qFormat/>
    <w:uiPriority w:val="20"/>
    <w:rPr>
      <w:i/>
    </w:rPr>
  </w:style>
  <w:style w:type="character" w:styleId="36">
    <w:name w:val="Hyperlink"/>
    <w:unhideWhenUsed/>
    <w:qFormat/>
    <w:uiPriority w:val="99"/>
    <w:rPr>
      <w:color w:val="0563C1"/>
      <w:u w:val="single"/>
    </w:rPr>
  </w:style>
  <w:style w:type="character" w:styleId="37">
    <w:name w:val="annotation reference"/>
    <w:unhideWhenUsed/>
    <w:qFormat/>
    <w:uiPriority w:val="0"/>
    <w:rPr>
      <w:sz w:val="21"/>
      <w:szCs w:val="21"/>
    </w:rPr>
  </w:style>
  <w:style w:type="character" w:customStyle="1" w:styleId="38">
    <w:name w:val="标题 1 字符"/>
    <w:link w:val="3"/>
    <w:qFormat/>
    <w:uiPriority w:val="9"/>
    <w:rPr>
      <w:rFonts w:ascii="Calibri" w:hAnsi="Calibri" w:eastAsia="宋体"/>
      <w:b/>
      <w:bCs/>
      <w:kern w:val="44"/>
      <w:sz w:val="44"/>
      <w:szCs w:val="44"/>
    </w:rPr>
  </w:style>
  <w:style w:type="character" w:customStyle="1" w:styleId="39">
    <w:name w:val="标题 2 字符"/>
    <w:link w:val="4"/>
    <w:qFormat/>
    <w:uiPriority w:val="9"/>
    <w:rPr>
      <w:rFonts w:ascii="Times New Roman" w:hAnsi="Times New Roman" w:eastAsia="Times New Roman" w:cs="Times New Roman"/>
      <w:b/>
      <w:bCs/>
      <w:sz w:val="28"/>
      <w:szCs w:val="32"/>
    </w:rPr>
  </w:style>
  <w:style w:type="character" w:customStyle="1" w:styleId="40">
    <w:name w:val="标题 3 字符"/>
    <w:link w:val="5"/>
    <w:qFormat/>
    <w:uiPriority w:val="9"/>
    <w:rPr>
      <w:rFonts w:ascii="Calibri" w:hAnsi="Calibri" w:eastAsia="宋体"/>
      <w:b/>
      <w:bCs/>
      <w:sz w:val="32"/>
      <w:szCs w:val="32"/>
    </w:rPr>
  </w:style>
  <w:style w:type="character" w:customStyle="1" w:styleId="41">
    <w:name w:val="标题 4 字符"/>
    <w:link w:val="6"/>
    <w:qFormat/>
    <w:uiPriority w:val="9"/>
    <w:rPr>
      <w:rFonts w:ascii="Calibri Light" w:hAnsi="Calibri Light" w:eastAsia="宋体" w:cs="Times New Roman"/>
      <w:b/>
      <w:bCs/>
      <w:sz w:val="28"/>
      <w:szCs w:val="28"/>
    </w:rPr>
  </w:style>
  <w:style w:type="character" w:customStyle="1" w:styleId="42">
    <w:name w:val="标题 5 字符"/>
    <w:link w:val="7"/>
    <w:qFormat/>
    <w:uiPriority w:val="9"/>
    <w:rPr>
      <w:b/>
      <w:bCs/>
      <w:sz w:val="28"/>
      <w:szCs w:val="28"/>
    </w:rPr>
  </w:style>
  <w:style w:type="character" w:customStyle="1" w:styleId="43">
    <w:name w:val="标题 6 字符"/>
    <w:link w:val="8"/>
    <w:qFormat/>
    <w:uiPriority w:val="9"/>
    <w:rPr>
      <w:rFonts w:ascii="Calibri Light" w:hAnsi="Calibri Light" w:eastAsia="宋体" w:cs="Times New Roman"/>
      <w:b/>
      <w:bCs/>
      <w:sz w:val="24"/>
      <w:szCs w:val="24"/>
    </w:rPr>
  </w:style>
  <w:style w:type="character" w:customStyle="1" w:styleId="44">
    <w:name w:val="文档结构图 字符"/>
    <w:link w:val="11"/>
    <w:semiHidden/>
    <w:qFormat/>
    <w:uiPriority w:val="99"/>
    <w:rPr>
      <w:rFonts w:ascii="宋体" w:eastAsia="宋体"/>
      <w:sz w:val="18"/>
      <w:szCs w:val="18"/>
    </w:rPr>
  </w:style>
  <w:style w:type="character" w:customStyle="1" w:styleId="45">
    <w:name w:val="批注文字 字符"/>
    <w:link w:val="12"/>
    <w:semiHidden/>
    <w:qFormat/>
    <w:uiPriority w:val="0"/>
    <w:rPr>
      <w:kern w:val="2"/>
      <w:sz w:val="21"/>
      <w:szCs w:val="21"/>
    </w:rPr>
  </w:style>
  <w:style w:type="character" w:customStyle="1" w:styleId="46">
    <w:name w:val="正文文本 字符"/>
    <w:link w:val="13"/>
    <w:qFormat/>
    <w:uiPriority w:val="1"/>
    <w:rPr>
      <w:rFonts w:ascii="宋体" w:hAnsi="宋体" w:eastAsia="宋体" w:cs="宋体"/>
      <w:kern w:val="0"/>
      <w:sz w:val="90"/>
      <w:szCs w:val="90"/>
      <w:lang w:val="zh-CN" w:bidi="zh-CN"/>
    </w:rPr>
  </w:style>
  <w:style w:type="character" w:customStyle="1" w:styleId="47">
    <w:name w:val="日期 字符"/>
    <w:link w:val="17"/>
    <w:semiHidden/>
    <w:qFormat/>
    <w:uiPriority w:val="99"/>
  </w:style>
  <w:style w:type="character" w:customStyle="1" w:styleId="48">
    <w:name w:val="批注框文本 字符"/>
    <w:link w:val="18"/>
    <w:semiHidden/>
    <w:qFormat/>
    <w:uiPriority w:val="99"/>
    <w:rPr>
      <w:sz w:val="18"/>
      <w:szCs w:val="18"/>
    </w:rPr>
  </w:style>
  <w:style w:type="character" w:customStyle="1" w:styleId="49">
    <w:name w:val="页脚 字符"/>
    <w:link w:val="19"/>
    <w:qFormat/>
    <w:uiPriority w:val="99"/>
    <w:rPr>
      <w:sz w:val="18"/>
      <w:szCs w:val="18"/>
    </w:rPr>
  </w:style>
  <w:style w:type="character" w:customStyle="1" w:styleId="50">
    <w:name w:val="页眉 字符"/>
    <w:link w:val="20"/>
    <w:qFormat/>
    <w:uiPriority w:val="99"/>
    <w:rPr>
      <w:sz w:val="18"/>
      <w:szCs w:val="18"/>
    </w:rPr>
  </w:style>
  <w:style w:type="character" w:customStyle="1" w:styleId="51">
    <w:name w:val="批注主题 字符"/>
    <w:link w:val="27"/>
    <w:semiHidden/>
    <w:qFormat/>
    <w:uiPriority w:val="99"/>
    <w:rPr>
      <w:b/>
      <w:bCs/>
      <w:kern w:val="2"/>
      <w:sz w:val="21"/>
      <w:szCs w:val="21"/>
    </w:rPr>
  </w:style>
  <w:style w:type="character" w:customStyle="1" w:styleId="52">
    <w:name w:val="font01"/>
    <w:qFormat/>
    <w:uiPriority w:val="0"/>
    <w:rPr>
      <w:rFonts w:hint="default" w:ascii="Times New Roman" w:hAnsi="Times New Roman" w:cs="Times New Roman"/>
      <w:color w:val="000000"/>
      <w:sz w:val="21"/>
      <w:szCs w:val="21"/>
      <w:u w:val="none"/>
    </w:rPr>
  </w:style>
  <w:style w:type="character" w:customStyle="1" w:styleId="53">
    <w:name w:val="表头 Char"/>
    <w:link w:val="54"/>
    <w:qFormat/>
    <w:uiPriority w:val="0"/>
    <w:rPr>
      <w:b/>
    </w:rPr>
  </w:style>
  <w:style w:type="paragraph" w:customStyle="1" w:styleId="54">
    <w:name w:val="表头"/>
    <w:basedOn w:val="55"/>
    <w:link w:val="53"/>
    <w:qFormat/>
    <w:uiPriority w:val="0"/>
    <w:pPr>
      <w:jc w:val="center"/>
    </w:pPr>
    <w:rPr>
      <w:b/>
    </w:rPr>
  </w:style>
  <w:style w:type="paragraph" w:customStyle="1" w:styleId="55">
    <w:name w:val="文本"/>
    <w:basedOn w:val="1"/>
    <w:link w:val="56"/>
    <w:qFormat/>
    <w:uiPriority w:val="0"/>
    <w:pPr>
      <w:spacing w:line="360" w:lineRule="auto"/>
      <w:ind w:firstLine="643" w:firstLineChars="200"/>
    </w:pPr>
    <w:rPr>
      <w:rFonts w:eastAsia="仿宋_GB2312"/>
      <w:sz w:val="28"/>
    </w:rPr>
  </w:style>
  <w:style w:type="character" w:customStyle="1" w:styleId="56">
    <w:name w:val="文本 Char"/>
    <w:link w:val="55"/>
    <w:qFormat/>
    <w:uiPriority w:val="0"/>
    <w:rPr>
      <w:rFonts w:ascii="Calibri" w:hAnsi="Calibri" w:eastAsia="仿宋_GB2312"/>
      <w:sz w:val="28"/>
    </w:rPr>
  </w:style>
  <w:style w:type="character" w:customStyle="1" w:styleId="57">
    <w:name w:val="fontstyle31"/>
    <w:qFormat/>
    <w:uiPriority w:val="0"/>
    <w:rPr>
      <w:rFonts w:hint="eastAsia" w:ascii="宋体" w:hAnsi="宋体" w:eastAsia="宋体"/>
      <w:color w:val="000000"/>
      <w:sz w:val="18"/>
      <w:szCs w:val="18"/>
    </w:rPr>
  </w:style>
  <w:style w:type="character" w:customStyle="1" w:styleId="58">
    <w:name w:val="三级条标题 Char"/>
    <w:link w:val="59"/>
    <w:qFormat/>
    <w:uiPriority w:val="0"/>
  </w:style>
  <w:style w:type="paragraph" w:customStyle="1" w:styleId="59">
    <w:name w:val="三级条标题"/>
    <w:basedOn w:val="60"/>
    <w:next w:val="62"/>
    <w:link w:val="58"/>
    <w:qFormat/>
    <w:uiPriority w:val="0"/>
    <w:pPr>
      <w:numPr>
        <w:ilvl w:val="3"/>
      </w:numPr>
      <w:outlineLvl w:val="4"/>
    </w:pPr>
  </w:style>
  <w:style w:type="paragraph" w:customStyle="1" w:styleId="60">
    <w:name w:val="二级条标题"/>
    <w:basedOn w:val="61"/>
    <w:next w:val="62"/>
    <w:link w:val="64"/>
    <w:qFormat/>
    <w:uiPriority w:val="0"/>
    <w:pPr>
      <w:numPr>
        <w:ilvl w:val="2"/>
      </w:numPr>
      <w:spacing w:before="50" w:after="50"/>
      <w:outlineLvl w:val="3"/>
    </w:pPr>
  </w:style>
  <w:style w:type="paragraph" w:customStyle="1" w:styleId="61">
    <w:name w:val="一级条标题"/>
    <w:next w:val="6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62">
    <w:name w:val="段"/>
    <w:link w:val="6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63">
    <w:name w:val="段 Char"/>
    <w:link w:val="62"/>
    <w:qFormat/>
    <w:uiPriority w:val="0"/>
    <w:rPr>
      <w:rFonts w:ascii="宋体" w:hAnsi="Times New Roman" w:eastAsia="宋体" w:cs="Times New Roman"/>
      <w:sz w:val="21"/>
    </w:rPr>
  </w:style>
  <w:style w:type="character" w:customStyle="1" w:styleId="64">
    <w:name w:val="二级条标题 Char"/>
    <w:link w:val="60"/>
    <w:qFormat/>
    <w:uiPriority w:val="0"/>
  </w:style>
  <w:style w:type="character" w:customStyle="1" w:styleId="65">
    <w:name w:val="fontstyle41"/>
    <w:qFormat/>
    <w:uiPriority w:val="0"/>
    <w:rPr>
      <w:rFonts w:hint="default" w:ascii="Y1J0+ZFHGAs-2" w:hAnsi="Y1J0+ZFHGAs-2"/>
      <w:color w:val="000000"/>
      <w:sz w:val="18"/>
      <w:szCs w:val="18"/>
    </w:rPr>
  </w:style>
  <w:style w:type="character" w:customStyle="1" w:styleId="66">
    <w:name w:val="font31"/>
    <w:qFormat/>
    <w:uiPriority w:val="0"/>
    <w:rPr>
      <w:rFonts w:hint="eastAsia" w:ascii="宋体" w:hAnsi="宋体" w:eastAsia="宋体" w:cs="宋体"/>
      <w:color w:val="000000"/>
      <w:sz w:val="21"/>
      <w:szCs w:val="21"/>
      <w:u w:val="none"/>
    </w:rPr>
  </w:style>
  <w:style w:type="character" w:customStyle="1" w:styleId="67">
    <w:name w:val="fontstyle11"/>
    <w:qFormat/>
    <w:uiPriority w:val="0"/>
    <w:rPr>
      <w:rFonts w:hint="default" w:ascii="TimesNewRomanPSMT" w:hAnsi="TimesNewRomanPSMT"/>
      <w:color w:val="000000"/>
      <w:sz w:val="24"/>
      <w:szCs w:val="24"/>
    </w:rPr>
  </w:style>
  <w:style w:type="character" w:customStyle="1" w:styleId="68">
    <w:name w:val="fontstyle21"/>
    <w:qFormat/>
    <w:uiPriority w:val="0"/>
    <w:rPr>
      <w:rFonts w:hint="default" w:ascii="TimesNewRomanPSMT" w:hAnsi="TimesNewRomanPSMT"/>
      <w:color w:val="000000"/>
      <w:sz w:val="24"/>
      <w:szCs w:val="24"/>
    </w:rPr>
  </w:style>
  <w:style w:type="character" w:customStyle="1" w:styleId="69">
    <w:name w:val="font21"/>
    <w:qFormat/>
    <w:uiPriority w:val="0"/>
    <w:rPr>
      <w:rFonts w:hint="eastAsia" w:ascii="宋体" w:hAnsi="宋体" w:eastAsia="宋体" w:cs="宋体"/>
      <w:color w:val="000000"/>
      <w:sz w:val="21"/>
      <w:szCs w:val="21"/>
      <w:u w:val="none"/>
    </w:rPr>
  </w:style>
  <w:style w:type="character" w:customStyle="1" w:styleId="70">
    <w:name w:val="fontstyle01"/>
    <w:qFormat/>
    <w:uiPriority w:val="0"/>
    <w:rPr>
      <w:rFonts w:hint="eastAsia" w:ascii="宋体" w:hAnsi="宋体" w:eastAsia="宋体"/>
      <w:color w:val="000000"/>
      <w:sz w:val="24"/>
      <w:szCs w:val="24"/>
    </w:rPr>
  </w:style>
  <w:style w:type="character" w:styleId="71">
    <w:name w:val="Placeholder Text"/>
    <w:semiHidden/>
    <w:qFormat/>
    <w:uiPriority w:val="99"/>
    <w:rPr>
      <w:color w:val="808080"/>
    </w:rPr>
  </w:style>
  <w:style w:type="character" w:customStyle="1" w:styleId="72">
    <w:name w:val="未处理的提及1"/>
    <w:unhideWhenUsed/>
    <w:qFormat/>
    <w:uiPriority w:val="99"/>
    <w:rPr>
      <w:color w:val="605E5C"/>
      <w:shd w:val="clear" w:color="auto" w:fill="E1DFDD"/>
    </w:rPr>
  </w:style>
  <w:style w:type="paragraph" w:customStyle="1" w:styleId="73">
    <w:name w:val="Table Paragraph"/>
    <w:basedOn w:val="1"/>
    <w:qFormat/>
    <w:uiPriority w:val="1"/>
    <w:pPr>
      <w:spacing w:before="10" w:after="50" w:afterLines="50" w:line="560" w:lineRule="exact"/>
    </w:pPr>
    <w:rPr>
      <w:sz w:val="30"/>
    </w:rPr>
  </w:style>
  <w:style w:type="paragraph" w:customStyle="1" w:styleId="74">
    <w:name w:val="五级条标题"/>
    <w:basedOn w:val="75"/>
    <w:next w:val="62"/>
    <w:qFormat/>
    <w:uiPriority w:val="0"/>
    <w:pPr>
      <w:numPr>
        <w:ilvl w:val="5"/>
      </w:numPr>
      <w:outlineLvl w:val="6"/>
    </w:pPr>
  </w:style>
  <w:style w:type="paragraph" w:customStyle="1" w:styleId="75">
    <w:name w:val="四级条标题"/>
    <w:basedOn w:val="59"/>
    <w:next w:val="62"/>
    <w:qFormat/>
    <w:uiPriority w:val="0"/>
    <w:pPr>
      <w:numPr>
        <w:ilvl w:val="4"/>
      </w:numPr>
      <w:outlineLvl w:val="5"/>
    </w:pPr>
  </w:style>
  <w:style w:type="paragraph" w:customStyle="1" w:styleId="76">
    <w:name w:val="文本小三号"/>
    <w:basedOn w:val="1"/>
    <w:qFormat/>
    <w:uiPriority w:val="0"/>
    <w:pPr>
      <w:spacing w:line="360" w:lineRule="auto"/>
      <w:ind w:firstLine="200" w:firstLineChars="200"/>
    </w:pPr>
    <w:rPr>
      <w:rFonts w:ascii="等线" w:hAnsi="等线" w:eastAsia="仿宋_GB2312"/>
      <w:sz w:val="30"/>
    </w:rPr>
  </w:style>
  <w:style w:type="paragraph" w:customStyle="1" w:styleId="77">
    <w:name w:val="正文_40"/>
    <w:qFormat/>
    <w:uiPriority w:val="0"/>
    <w:pPr>
      <w:widowControl w:val="0"/>
      <w:jc w:val="both"/>
    </w:pPr>
    <w:rPr>
      <w:rFonts w:ascii="Calibri" w:hAnsi="Calibri" w:eastAsia="宋体" w:cs="Times New Roman"/>
      <w:kern w:val="2"/>
      <w:sz w:val="21"/>
      <w:lang w:val="en-US" w:eastAsia="zh-CN" w:bidi="ar-SA"/>
    </w:rPr>
  </w:style>
  <w:style w:type="paragraph" w:customStyle="1" w:styleId="78">
    <w:name w:val="正文表标题"/>
    <w:next w:val="62"/>
    <w:qFormat/>
    <w:uiPriority w:val="0"/>
    <w:pPr>
      <w:numPr>
        <w:ilvl w:val="0"/>
        <w:numId w:val="2"/>
      </w:numPr>
      <w:spacing w:beforeLines="50" w:afterLines="50"/>
      <w:jc w:val="center"/>
    </w:pPr>
    <w:rPr>
      <w:rFonts w:ascii="黑体" w:hAnsi="Times New Roman" w:eastAsia="黑体" w:cs="Times New Roman"/>
      <w:sz w:val="21"/>
      <w:lang w:val="en-US" w:eastAsia="zh-CN" w:bidi="ar-SA"/>
    </w:rPr>
  </w:style>
  <w:style w:type="paragraph" w:customStyle="1" w:styleId="79">
    <w:name w:val="1级5号标题"/>
    <w:basedOn w:val="1"/>
    <w:qFormat/>
    <w:uiPriority w:val="0"/>
    <w:pPr>
      <w:outlineLvl w:val="0"/>
    </w:pPr>
  </w:style>
  <w:style w:type="paragraph" w:customStyle="1" w:styleId="80">
    <w:name w:val="编号正文缩进"/>
    <w:basedOn w:val="1"/>
    <w:qFormat/>
    <w:uiPriority w:val="0"/>
    <w:pPr>
      <w:numPr>
        <w:ilvl w:val="0"/>
        <w:numId w:val="3"/>
      </w:numPr>
      <w:tabs>
        <w:tab w:val="left" w:pos="360"/>
      </w:tabs>
    </w:pPr>
    <w:rPr>
      <w:rFonts w:ascii="Times New Roman" w:hAnsi="Times New Roman"/>
      <w:szCs w:val="20"/>
    </w:rPr>
  </w:style>
  <w:style w:type="paragraph" w:customStyle="1" w:styleId="81">
    <w:name w:val="5号标题"/>
    <w:basedOn w:val="1"/>
    <w:qFormat/>
    <w:uiPriority w:val="0"/>
  </w:style>
  <w:style w:type="paragraph" w:customStyle="1" w:styleId="82">
    <w:name w:val="表中"/>
    <w:basedOn w:val="1"/>
    <w:qFormat/>
    <w:uiPriority w:val="0"/>
    <w:rPr>
      <w:sz w:val="24"/>
    </w:rPr>
  </w:style>
  <w:style w:type="paragraph" w:customStyle="1" w:styleId="83">
    <w:name w:val="章标题"/>
    <w:next w:val="6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84">
    <w:name w:val="5号正文"/>
    <w:basedOn w:val="1"/>
    <w:qFormat/>
    <w:uiPriority w:val="0"/>
    <w:pPr>
      <w:ind w:firstLine="420" w:firstLineChars="200"/>
    </w:pPr>
  </w:style>
  <w:style w:type="paragraph" w:customStyle="1" w:styleId="85">
    <w:name w:val="TOC 标题1"/>
    <w:basedOn w:val="3"/>
    <w:next w:val="1"/>
    <w:unhideWhenUsed/>
    <w:qFormat/>
    <w:uiPriority w:val="39"/>
    <w:pPr>
      <w:widowControl/>
      <w:spacing w:line="259" w:lineRule="auto"/>
      <w:jc w:val="left"/>
      <w:outlineLvl w:val="9"/>
    </w:pPr>
    <w:rPr>
      <w:rFonts w:ascii="Calibri Light" w:hAnsi="Calibri Light"/>
      <w:b w:val="0"/>
      <w:bCs w:val="0"/>
      <w:color w:val="2E74B5"/>
      <w:kern w:val="0"/>
      <w:sz w:val="32"/>
      <w:szCs w:val="32"/>
    </w:rPr>
  </w:style>
  <w:style w:type="paragraph" w:styleId="86">
    <w:name w:val="List Paragraph"/>
    <w:basedOn w:val="1"/>
    <w:qFormat/>
    <w:uiPriority w:val="34"/>
    <w:pPr>
      <w:ind w:firstLine="420" w:firstLineChars="200"/>
    </w:pPr>
  </w:style>
  <w:style w:type="paragraph" w:customStyle="1" w:styleId="87">
    <w:name w:val="_Style 86"/>
    <w:semiHidden/>
    <w:qFormat/>
    <w:uiPriority w:val="99"/>
    <w:rPr>
      <w:rFonts w:ascii="Calibri" w:hAnsi="Calibri" w:eastAsia="宋体" w:cs="Times New Roman"/>
      <w:kern w:val="2"/>
      <w:sz w:val="21"/>
      <w:szCs w:val="21"/>
      <w:lang w:val="en-US" w:eastAsia="zh-CN" w:bidi="ar-SA"/>
    </w:rPr>
  </w:style>
  <w:style w:type="paragraph" w:customStyle="1" w:styleId="88">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table" w:customStyle="1" w:styleId="89">
    <w:name w:val="浅色网格 - 着色 51"/>
    <w:basedOn w:val="28"/>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eastAsia="Calibri Light" w:cs="Times New Roman"/>
        <w:b/>
        <w:bCs/>
      </w:rPr>
      <w:tcPr>
        <w:tcBorders>
          <w:top w:val="single" w:color="4472C4" w:sz="8" w:space="0"/>
          <w:left w:val="single" w:color="4472C4" w:sz="18" w:space="0"/>
          <w:bottom w:val="single" w:color="4472C4" w:sz="8" w:space="0"/>
          <w:right w:val="single" w:color="4472C4" w:sz="8" w:space="0"/>
          <w:insideH w:val="nil"/>
          <w:insideV w:val="single" w:sz="8" w:space="0"/>
          <w:tl2br w:val="nil"/>
          <w:tr2bl w:val="nil"/>
        </w:tcBorders>
      </w:tcPr>
    </w:tblStylePr>
    <w:tblStylePr w:type="lastRow">
      <w:pPr>
        <w:spacing w:before="0" w:after="0" w:line="240" w:lineRule="auto"/>
      </w:pPr>
      <w:rPr>
        <w:rFonts w:eastAsia="Calibri Light" w:cs="Times New Roman"/>
        <w:b/>
        <w:bCs/>
      </w:rPr>
      <w:tcPr>
        <w:tcBorders>
          <w:top w:val="double" w:color="4472C4" w:sz="6" w:space="0"/>
          <w:left w:val="single" w:color="4472C4" w:sz="8" w:space="0"/>
          <w:bottom w:val="single" w:color="4472C4" w:sz="8" w:space="0"/>
          <w:right w:val="single" w:color="4472C4" w:sz="8" w:space="0"/>
          <w:insideH w:val="nil"/>
          <w:insideV w:val="single" w:sz="8" w:space="0"/>
          <w:tl2br w:val="nil"/>
          <w:tr2bl w:val="nil"/>
        </w:tcBorders>
      </w:tcPr>
    </w:tblStylePr>
    <w:tblStylePr w:type="firstCol">
      <w:rPr>
        <w:rFonts w:eastAsia="Calibri Light" w:cs="Times New Roman"/>
        <w:b/>
        <w:bCs/>
      </w:rPr>
    </w:tblStylePr>
    <w:tblStylePr w:type="lastCol">
      <w:rPr>
        <w:rFonts w:eastAsia="Calibri Light" w:cs="Times New Roman"/>
        <w:b/>
        <w:bCs/>
      </w:rPr>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Vert">
      <w:tcPr>
        <w:tcBorders>
          <w:top w:val="single" w:color="4472C4" w:sz="8" w:space="0"/>
          <w:left w:val="single" w:color="4472C4" w:sz="8" w:space="0"/>
          <w:bottom w:val="single" w:color="4472C4" w:sz="8" w:space="0"/>
          <w:right w:val="single" w:color="4472C4" w:sz="8" w:space="0"/>
          <w:insideH w:val="nil"/>
          <w:insideV w:val="nil"/>
          <w:tl2br w:val="nil"/>
          <w:tr2bl w:val="nil"/>
        </w:tcBorders>
        <w:shd w:val="clear" w:color="auto" w:fill="D0DBF0"/>
      </w:tcPr>
    </w:tblStylePr>
    <w:tblStylePr w:type="band1Horz">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shd w:val="clear" w:color="auto" w:fill="D0DBF0"/>
      </w:tcPr>
    </w:tblStylePr>
    <w:tblStylePr w:type="band2Horz">
      <w:tcPr>
        <w:tcBorders>
          <w:top w:val="single" w:color="4472C4" w:sz="8" w:space="0"/>
          <w:left w:val="single" w:color="4472C4" w:sz="8" w:space="0"/>
          <w:bottom w:val="single" w:color="4472C4" w:sz="8" w:space="0"/>
          <w:right w:val="single" w:color="4472C4" w:sz="8" w:space="0"/>
          <w:insideH w:val="nil"/>
          <w:insideV w:val="single" w:sz="8" w:space="0"/>
          <w:tl2br w:val="nil"/>
          <w:tr2bl w:val="nil"/>
        </w:tcBorders>
      </w:tcPr>
    </w:tblStylePr>
  </w:style>
  <w:style w:type="table" w:customStyle="1" w:styleId="90">
    <w:name w:val="网格表 4 - 着色 52"/>
    <w:basedOn w:val="28"/>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91">
    <w:name w:val="网格表 1 浅色 - 着色 51"/>
    <w:basedOn w:val="28"/>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top w:val="nil"/>
          <w:left w:val="single" w:color="8EAADB" w:sz="12" w:space="0"/>
          <w:bottom w:val="nil"/>
          <w:right w:val="nil"/>
          <w:insideH w:val="nil"/>
          <w:insideV w:val="nil"/>
          <w:tl2br w:val="nil"/>
          <w:tr2bl w:val="nil"/>
        </w:tcBorders>
      </w:tcPr>
    </w:tblStylePr>
    <w:tblStylePr w:type="lastRow">
      <w:rPr>
        <w:b/>
        <w:bCs/>
      </w:rPr>
      <w:tcPr>
        <w:tcBorders>
          <w:top w:val="double" w:color="8EAADB"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92">
    <w:name w:val="网格表 4 - 着色 54"/>
    <w:basedOn w:val="28"/>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93">
    <w:name w:val="清单表 2 - 着色 51"/>
    <w:basedOn w:val="28"/>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94">
    <w:name w:val="网格型1"/>
    <w:basedOn w:val="28"/>
    <w:qFormat/>
    <w:uiPriority w:val="3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表 6 彩色 - 着色 55"/>
    <w:basedOn w:val="28"/>
    <w:qFormat/>
    <w:uiPriority w:val="51"/>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single" w:color="8EAADB" w:sz="12" w:space="0"/>
          <w:bottom w:val="nil"/>
          <w:right w:val="nil"/>
          <w:insideH w:val="nil"/>
          <w:insideV w:val="nil"/>
          <w:tl2br w:val="nil"/>
          <w:tr2bl w:val="nil"/>
        </w:tcBorders>
      </w:tcPr>
    </w:tblStylePr>
    <w:tblStylePr w:type="lastRow">
      <w:rPr>
        <w:b/>
        <w:bCs/>
      </w:rPr>
      <w:tcPr>
        <w:tcBorders>
          <w:top w:val="doub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96">
    <w:name w:val="网格表 4 - 着色 53"/>
    <w:basedOn w:val="28"/>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97">
    <w:name w:val="网格表 6 彩色 - 着色 52"/>
    <w:basedOn w:val="28"/>
    <w:qFormat/>
    <w:uiPriority w:val="51"/>
    <w:rPr>
      <w:color w:val="2F5496"/>
      <w:szCs w:val="22"/>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single" w:color="8EAADB" w:sz="12" w:space="0"/>
          <w:bottom w:val="nil"/>
          <w:right w:val="nil"/>
          <w:insideH w:val="nil"/>
          <w:insideV w:val="nil"/>
          <w:tl2br w:val="nil"/>
          <w:tr2bl w:val="nil"/>
        </w:tcBorders>
      </w:tcPr>
    </w:tblStylePr>
    <w:tblStylePr w:type="lastRow">
      <w:rPr>
        <w:b/>
        <w:bCs/>
      </w:rPr>
      <w:tcPr>
        <w:tcBorders>
          <w:top w:val="doub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98">
    <w:name w:val="网格表 5 深色 - 着色 52"/>
    <w:basedOn w:val="28"/>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99">
    <w:name w:val="网格表 5 深色 - 着色 51"/>
    <w:basedOn w:val="28"/>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100">
    <w:name w:val="网格表 4 - 着色 11"/>
    <w:basedOn w:val="28"/>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1">
    <w:name w:val="网格表 6 彩色 - 着色 51"/>
    <w:basedOn w:val="28"/>
    <w:qFormat/>
    <w:uiPriority w:val="51"/>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single" w:color="8EAADB" w:sz="12" w:space="0"/>
          <w:bottom w:val="nil"/>
          <w:right w:val="nil"/>
          <w:insideH w:val="nil"/>
          <w:insideV w:val="nil"/>
          <w:tl2br w:val="nil"/>
          <w:tr2bl w:val="nil"/>
        </w:tcBorders>
      </w:tcPr>
    </w:tblStylePr>
    <w:tblStylePr w:type="lastRow">
      <w:rPr>
        <w:b/>
        <w:bCs/>
      </w:rPr>
      <w:tcPr>
        <w:tcBorders>
          <w:top w:val="doub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02">
    <w:name w:val="清单表 6 彩色 - 着色 51"/>
    <w:basedOn w:val="28"/>
    <w:qFormat/>
    <w:uiPriority w:val="51"/>
    <w:rPr>
      <w:color w:val="2F5496"/>
    </w:rPr>
    <w:tblPr>
      <w:tblBorders>
        <w:top w:val="single" w:color="4472C4" w:sz="4" w:space="0"/>
        <w:bottom w:val="single" w:color="4472C4" w:sz="4" w:space="0"/>
      </w:tblBorders>
    </w:tblPr>
    <w:tblStylePr w:type="firstRow">
      <w:rPr>
        <w:b/>
        <w:bCs/>
      </w:rPr>
      <w:tcPr>
        <w:tcBorders>
          <w:top w:val="nil"/>
          <w:left w:val="single" w:color="4472C4" w:sz="4" w:space="0"/>
          <w:bottom w:val="nil"/>
          <w:right w:val="nil"/>
          <w:insideH w:val="nil"/>
          <w:insideV w:val="nil"/>
          <w:tl2br w:val="nil"/>
          <w:tr2bl w:val="nil"/>
        </w:tcBorders>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03">
    <w:name w:val="网格表 6 彩色 - 着色 54"/>
    <w:basedOn w:val="28"/>
    <w:qFormat/>
    <w:uiPriority w:val="51"/>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single" w:color="8EAADB" w:sz="12" w:space="0"/>
          <w:bottom w:val="nil"/>
          <w:right w:val="nil"/>
          <w:insideH w:val="nil"/>
          <w:insideV w:val="nil"/>
          <w:tl2br w:val="nil"/>
          <w:tr2bl w:val="nil"/>
        </w:tcBorders>
      </w:tcPr>
    </w:tblStylePr>
    <w:tblStylePr w:type="lastRow">
      <w:rPr>
        <w:b/>
        <w:bCs/>
      </w:rPr>
      <w:tcPr>
        <w:tcBorders>
          <w:top w:val="doub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04">
    <w:name w:val="网格型11"/>
    <w:basedOn w:val="28"/>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
    <w:name w:val="网格表 4 - 着色 51"/>
    <w:basedOn w:val="28"/>
    <w:qFormat/>
    <w:uiPriority w:val="49"/>
    <w:rPr>
      <w:szCs w:val="22"/>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06">
    <w:name w:val="网格表 6 彩色 - 着色 53"/>
    <w:basedOn w:val="28"/>
    <w:qFormat/>
    <w:uiPriority w:val="51"/>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single" w:color="8EAADB" w:sz="12" w:space="0"/>
          <w:bottom w:val="nil"/>
          <w:right w:val="nil"/>
          <w:insideH w:val="nil"/>
          <w:insideV w:val="nil"/>
          <w:tl2br w:val="nil"/>
          <w:tr2bl w:val="nil"/>
        </w:tcBorders>
      </w:tcPr>
    </w:tblStylePr>
    <w:tblStylePr w:type="lastRow">
      <w:rPr>
        <w:b/>
        <w:bCs/>
      </w:rPr>
      <w:tcPr>
        <w:tcBorders>
          <w:top w:val="double" w:color="8EAADB"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07">
    <w:name w:val="TableGrid"/>
    <w:qFormat/>
    <w:uiPriority w:val="0"/>
    <w:tblPr>
      <w:tblCellMar>
        <w:top w:w="0" w:type="dxa"/>
        <w:left w:w="0" w:type="dxa"/>
        <w:bottom w:w="0" w:type="dxa"/>
        <w:right w:w="0" w:type="dxa"/>
      </w:tblCellMar>
    </w:tblPr>
  </w:style>
  <w:style w:type="table" w:customStyle="1" w:styleId="108">
    <w:name w:val="网格表 2 - 着色 11"/>
    <w:basedOn w:val="28"/>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left w:val="single" w:color="9CC2E5" w:sz="12" w:space="0"/>
          <w:bottom w:val="nil"/>
          <w:right w:val="nil"/>
          <w:insideH w:val="nil"/>
          <w:insideV w:val="nil"/>
          <w:tl2br w:val="nil"/>
          <w:tr2bl w:val="nil"/>
        </w:tcBorders>
        <w:shd w:val="clear" w:color="auto" w:fill="FFFFFF"/>
      </w:tcPr>
    </w:tblStylePr>
    <w:tblStylePr w:type="lastRow">
      <w:rPr>
        <w:b/>
        <w:bCs/>
      </w:rPr>
      <w:tcPr>
        <w:tcBorders>
          <w:top w:val="double" w:color="9CC2E5"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09">
    <w:name w:val="WPSOffice手动目录 1"/>
    <w:qFormat/>
    <w:uiPriority w:val="0"/>
    <w:rPr>
      <w:rFonts w:ascii="Times New Roman" w:hAnsi="Times New Roman" w:eastAsia="宋体" w:cs="Times New Roman"/>
      <w:lang w:val="en-US" w:eastAsia="zh-CN" w:bidi="ar-SA"/>
    </w:rPr>
  </w:style>
  <w:style w:type="paragraph" w:customStyle="1" w:styleId="11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1">
    <w:name w:val="修订1"/>
    <w:hidden/>
    <w:semiHidden/>
    <w:qFormat/>
    <w:uiPriority w:val="99"/>
    <w:rPr>
      <w:rFonts w:ascii="Calibri" w:hAnsi="Calibri" w:eastAsia="宋体" w:cs="Times New Roman"/>
      <w:kern w:val="2"/>
      <w:sz w:val="21"/>
      <w:szCs w:val="21"/>
      <w:lang w:val="en-US" w:eastAsia="zh-CN" w:bidi="ar-SA"/>
    </w:rPr>
  </w:style>
  <w:style w:type="paragraph" w:customStyle="1" w:styleId="112">
    <w:name w:val="正文1"/>
    <w:basedOn w:val="13"/>
    <w:link w:val="113"/>
    <w:qFormat/>
    <w:uiPriority w:val="0"/>
    <w:pPr>
      <w:adjustRightInd w:val="0"/>
      <w:snapToGrid w:val="0"/>
      <w:spacing w:before="50" w:beforeLines="50" w:line="360" w:lineRule="auto"/>
      <w:ind w:firstLine="200" w:firstLineChars="200"/>
      <w:jc w:val="both"/>
    </w:pPr>
    <w:rPr>
      <w:rFonts w:eastAsia="仿宋"/>
      <w:sz w:val="28"/>
      <w:szCs w:val="32"/>
    </w:rPr>
  </w:style>
  <w:style w:type="character" w:customStyle="1" w:styleId="113">
    <w:name w:val="正文1 字符"/>
    <w:basedOn w:val="46"/>
    <w:link w:val="112"/>
    <w:qFormat/>
    <w:uiPriority w:val="0"/>
    <w:rPr>
      <w:rFonts w:ascii="宋体" w:hAnsi="宋体" w:eastAsia="仿宋" w:cs="宋体"/>
      <w:kern w:val="0"/>
      <w:sz w:val="28"/>
      <w:szCs w:val="32"/>
      <w:lang w:val="zh-CN" w:bidi="zh-CN"/>
    </w:rPr>
  </w:style>
  <w:style w:type="paragraph" w:customStyle="1" w:styleId="114">
    <w:name w:val="修订2"/>
    <w:hidden/>
    <w:semiHidden/>
    <w:qFormat/>
    <w:uiPriority w:val="99"/>
    <w:rPr>
      <w:rFonts w:ascii="Calibri" w:hAnsi="Calibri" w:eastAsia="宋体" w:cs="Times New Roman"/>
      <w:kern w:val="2"/>
      <w:sz w:val="21"/>
      <w:szCs w:val="21"/>
      <w:lang w:val="en-US" w:eastAsia="zh-CN" w:bidi="ar-SA"/>
    </w:rPr>
  </w:style>
  <w:style w:type="paragraph" w:customStyle="1" w:styleId="115">
    <w:name w:val="Revision"/>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1612</Words>
  <Characters>9190</Characters>
  <Lines>76</Lines>
  <Paragraphs>21</Paragraphs>
  <TotalTime>3</TotalTime>
  <ScaleCrop>false</ScaleCrop>
  <LinksUpToDate>false</LinksUpToDate>
  <CharactersWithSpaces>10781</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2023-04-26T19:30:00Z</dcterms:created>
  <dc:creator>GONG JILAI</dc:creator>
  <cp:lastModifiedBy>kylin</cp:lastModifiedBy>
  <cp:lastPrinted>2022-12-10T18:57:00Z</cp:lastPrinted>
  <dcterms:modified xsi:type="dcterms:W3CDTF">2023-04-27T16:56:21Z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0_btnclosed</vt:lpwstr>
  </property>
  <property fmtid="{D5CDD505-2E9C-101B-9397-08002B2CF9AE}" pid="3" name="KSOProductBuildVer">
    <vt:lpwstr>2052-11.8.2.9958</vt:lpwstr>
  </property>
  <property fmtid="{D5CDD505-2E9C-101B-9397-08002B2CF9AE}" pid="4" name="ICV">
    <vt:lpwstr>CE5C8D8717B94104AA07138A40B65965</vt:lpwstr>
  </property>
</Properties>
</file>