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03.120.20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43</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rPr>
          <w:rFonts w:hint="eastAsia"/>
        </w:rPr>
        <w:t>(系列标准号)</w:t>
      </w:r>
      <w:r>
        <w:fldChar w:fldCharType="end"/>
      </w:r>
      <w:bookmarkEnd w:id="7"/>
    </w:p>
    <w:p>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1026" o:spt="20" style="position:absolute;left:0pt;margin-left:70.9pt;margin-top:212.65pt;height:0pt;width:481.9pt;mso-position-horizontal-relative:page;mso-position-vertical-relative:page;z-index:251660288;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v:path arrowok="t"/>
            <v:fill focussize="0,0"/>
            <v:stroke/>
            <v:imagedata o:title=""/>
            <o:lock v:ext="edit"/>
          </v:line>
        </w:pic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检验检测机构资质认定</w:t>
      </w:r>
      <w:r>
        <w:rPr>
          <w:rFonts w:hint="eastAsia"/>
          <w:lang w:eastAsia="zh-CN"/>
        </w:rPr>
        <w:t>评审</w:t>
      </w:r>
      <w:r>
        <w:cr/>
      </w:r>
      <w:r>
        <w:rPr>
          <w:rFonts w:hint="eastAsia"/>
        </w:rPr>
        <w:t>第1部分：现场评审工作规范</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pBdr>
          <w:top w:val="none" w:color="auto" w:sz="0" w:space="0"/>
          <w:left w:val="none" w:color="auto" w:sz="0" w:space="0"/>
          <w:bottom w:val="none" w:color="auto" w:sz="0" w:space="0"/>
          <w:right w:val="none" w:color="auto" w:sz="0" w:space="0"/>
        </w:pBdr>
        <w:textAlignment w:val="bottom"/>
        <w:rPr>
          <w:rFonts w:hint="eastAsia"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Review for inspection body and laboratory mandatory approval</w:t>
      </w:r>
    </w:p>
    <w:p>
      <w:pPr>
        <w:pStyle w:val="126"/>
        <w:framePr w:w="9639" w:h="6974" w:hRule="exact" w:wrap="around" w:vAnchor="page" w:hAnchor="page" w:x="1419" w:y="6408" w:anchorLock="1"/>
        <w:textAlignment w:val="bottom"/>
        <w:rPr>
          <w:rFonts w:eastAsia="黑体"/>
          <w:szCs w:val="28"/>
        </w:rPr>
      </w:pPr>
      <w:r>
        <w:rPr>
          <w:rFonts w:hint="eastAsia" w:eastAsia="黑体"/>
          <w:szCs w:val="28"/>
        </w:rPr>
        <w:t>Part 1: Site Review Work Specification</w:t>
      </w:r>
      <w:r>
        <w:rPr>
          <w:rFonts w:eastAsia="黑体"/>
          <w:szCs w:val="28"/>
        </w:rPr>
        <w:t>w</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w:t>
      </w:r>
      <w:r>
        <w:rPr>
          <w:sz w:val="21"/>
          <w:szCs w:val="28"/>
        </w:rPr>
        <w:t>023</w:t>
      </w:r>
      <w:r>
        <w:rPr>
          <w:rFonts w:hint="eastAsia"/>
          <w:sz w:val="21"/>
          <w:szCs w:val="28"/>
        </w:rPr>
        <w:t>-</w:t>
      </w:r>
      <w:r>
        <w:rPr>
          <w:sz w:val="21"/>
          <w:szCs w:val="28"/>
        </w:rPr>
        <w:t>04</w:t>
      </w:r>
      <w:r>
        <w:rPr>
          <w:rFonts w:hint="eastAsia"/>
          <w:sz w:val="21"/>
          <w:szCs w:val="28"/>
        </w:rPr>
        <w:t>-</w:t>
      </w:r>
      <w:r>
        <w:rPr>
          <w:sz w:val="21"/>
          <w:szCs w:val="28"/>
        </w:rPr>
        <w:t>02</w:t>
      </w:r>
      <w:r>
        <w:rPr>
          <w:rFonts w:hint="eastAsia"/>
          <w:sz w:val="21"/>
          <w:szCs w:val="28"/>
        </w:rPr>
        <w:t>）</w:t>
      </w:r>
      <w:r>
        <w:rPr>
          <w:sz w:val="21"/>
          <w:szCs w:val="28"/>
        </w:rPr>
        <w:fldChar w:fldCharType="end"/>
      </w:r>
      <w:bookmarkEnd w:id="12"/>
    </w:p>
    <w:p>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1027" o:spt="20" style="position:absolute;left:0pt;margin-left:70.85pt;margin-top:728.6pt;height:0pt;width:481.9pt;mso-position-horizontal-relative:page;mso-position-vertical-relative:page;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v:path arrowok="t"/>
            <v:fill focussize="0,0"/>
            <v:stroke/>
            <v:imagedata o:title=""/>
            <o:lock v:ext="edit"/>
            <w10:anchorlock/>
          </v:line>
        </w:pict>
      </w:r>
    </w:p>
    <w:p>
      <w:pPr>
        <w:pStyle w:val="92"/>
        <w:spacing w:after="468"/>
      </w:pPr>
      <w:bookmarkStart w:id="21" w:name="BookMark1"/>
      <w:r>
        <w:rPr>
          <w:spacing w:val="320"/>
        </w:rPr>
        <w:t>目</w:t>
      </w:r>
      <w:r>
        <w:t>次</w:t>
      </w:r>
    </w:p>
    <w:p>
      <w:pPr>
        <w:pStyle w:val="19"/>
        <w:tabs>
          <w:tab w:val="right" w:leader="dot" w:pos="9344"/>
        </w:tabs>
        <w:spacing w:line="360" w:lineRule="auto"/>
        <w:rPr>
          <w:rFonts w:asciiTheme="minorHAnsi" w:hAnsiTheme="minorHAnsi" w:eastAsiaTheme="minorEastAsia" w:cstheme="minorBidi"/>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"_Toc131409449" </w:instrText>
      </w:r>
      <w:r>
        <w:fldChar w:fldCharType="separate"/>
      </w:r>
      <w:r>
        <w:rPr>
          <w:rStyle w:val="33"/>
        </w:rPr>
        <w:t>1 范围</w:t>
      </w:r>
      <w:r>
        <w:tab/>
      </w:r>
      <w:r>
        <w:fldChar w:fldCharType="begin"/>
      </w:r>
      <w:r>
        <w:instrText xml:space="preserve"> PAGEREF _Toc131409449 \h </w:instrText>
      </w:r>
      <w:r>
        <w:fldChar w:fldCharType="separate"/>
      </w:r>
      <w:r>
        <w:t>4</w:t>
      </w:r>
      <w:r>
        <w:fldChar w:fldCharType="end"/>
      </w:r>
      <w:r>
        <w:fldChar w:fldCharType="end"/>
      </w:r>
    </w:p>
    <w:p>
      <w:pPr>
        <w:pStyle w:val="19"/>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"_Toc131409450" </w:instrText>
      </w:r>
      <w:r>
        <w:fldChar w:fldCharType="separate"/>
      </w:r>
      <w:r>
        <w:rPr>
          <w:rStyle w:val="33"/>
        </w:rPr>
        <w:t>2 规范性引用文件</w:t>
      </w:r>
      <w:r>
        <w:tab/>
      </w:r>
      <w:r>
        <w:fldChar w:fldCharType="begin"/>
      </w:r>
      <w:r>
        <w:instrText xml:space="preserve"> PAGEREF _Toc131409450 \h </w:instrText>
      </w:r>
      <w:r>
        <w:fldChar w:fldCharType="separate"/>
      </w:r>
      <w:r>
        <w:t>4</w:t>
      </w:r>
      <w:r>
        <w:fldChar w:fldCharType="end"/>
      </w:r>
      <w:r>
        <w:fldChar w:fldCharType="end"/>
      </w:r>
    </w:p>
    <w:p>
      <w:pPr>
        <w:pStyle w:val="19"/>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"_Toc131409451" </w:instrText>
      </w:r>
      <w:r>
        <w:fldChar w:fldCharType="separate"/>
      </w:r>
      <w:r>
        <w:rPr>
          <w:rStyle w:val="33"/>
        </w:rPr>
        <w:t>3 术语和定义</w:t>
      </w:r>
      <w:r>
        <w:tab/>
      </w:r>
      <w:r>
        <w:fldChar w:fldCharType="begin"/>
      </w:r>
      <w:r>
        <w:instrText xml:space="preserve"> PAGEREF _Toc131409451 \h </w:instrText>
      </w:r>
      <w:r>
        <w:fldChar w:fldCharType="separate"/>
      </w:r>
      <w:r>
        <w:t>4</w:t>
      </w:r>
      <w:r>
        <w:fldChar w:fldCharType="end"/>
      </w:r>
      <w:r>
        <w:fldChar w:fldCharType="end"/>
      </w:r>
    </w:p>
    <w:p>
      <w:pPr>
        <w:pStyle w:val="19"/>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"_Toc131409452" </w:instrText>
      </w:r>
      <w:r>
        <w:fldChar w:fldCharType="separate"/>
      </w:r>
      <w:r>
        <w:rPr>
          <w:rStyle w:val="33"/>
        </w:rPr>
        <w:t>4 职责</w:t>
      </w:r>
      <w:r>
        <w:tab/>
      </w:r>
      <w:r>
        <w:fldChar w:fldCharType="begin"/>
      </w:r>
      <w:r>
        <w:instrText xml:space="preserve"> PAGEREF _Toc131409452 \h </w:instrText>
      </w:r>
      <w:r>
        <w:fldChar w:fldCharType="separate"/>
      </w:r>
      <w:r>
        <w:t>6</w:t>
      </w:r>
      <w:r>
        <w:fldChar w:fldCharType="end"/>
      </w:r>
      <w:r>
        <w:fldChar w:fldCharType="end"/>
      </w:r>
    </w:p>
    <w:p>
      <w:pPr>
        <w:pStyle w:val="24"/>
        <w:spacing w:line="360" w:lineRule="auto"/>
        <w:rPr>
          <w:rFonts w:asciiTheme="minorHAnsi" w:hAnsiTheme="minorHAnsi" w:eastAsiaTheme="minorEastAsia" w:cstheme="minorBidi"/>
          <w:szCs w:val="22"/>
        </w:rPr>
      </w:pPr>
      <w:r>
        <w:fldChar w:fldCharType="begin"/>
      </w:r>
      <w:r>
        <w:instrText xml:space="preserve"> HYPERLINK \l "_Toc131409453" </w:instrText>
      </w:r>
      <w:r>
        <w:fldChar w:fldCharType="separate"/>
      </w:r>
      <w:r>
        <w:rPr>
          <w:rStyle w:val="33"/>
        </w:rPr>
        <w:t>4.1 专业技术评价机构</w:t>
      </w:r>
      <w:r>
        <w:tab/>
      </w:r>
      <w:r>
        <w:fldChar w:fldCharType="begin"/>
      </w:r>
      <w:r>
        <w:instrText xml:space="preserve"> PAGEREF _Toc131409453 \h </w:instrText>
      </w:r>
      <w:r>
        <w:fldChar w:fldCharType="separate"/>
      </w:r>
      <w:r>
        <w:t>6</w:t>
      </w:r>
      <w:r>
        <w:fldChar w:fldCharType="end"/>
      </w:r>
      <w:r>
        <w:fldChar w:fldCharType="end"/>
      </w:r>
    </w:p>
    <w:p>
      <w:pPr>
        <w:pStyle w:val="24"/>
        <w:spacing w:line="360" w:lineRule="auto"/>
        <w:rPr>
          <w:rFonts w:asciiTheme="minorHAnsi" w:hAnsiTheme="minorHAnsi" w:eastAsiaTheme="minorEastAsia" w:cstheme="minorBidi"/>
          <w:szCs w:val="22"/>
        </w:rPr>
      </w:pPr>
      <w:r>
        <w:fldChar w:fldCharType="begin"/>
      </w:r>
      <w:r>
        <w:instrText xml:space="preserve"> HYPERLINK \l "_Toc131409454" </w:instrText>
      </w:r>
      <w:r>
        <w:fldChar w:fldCharType="separate"/>
      </w:r>
      <w:r>
        <w:rPr>
          <w:rStyle w:val="33"/>
        </w:rPr>
        <w:t>4.2 检验检测机构</w:t>
      </w:r>
      <w:r>
        <w:tab/>
      </w:r>
      <w:r>
        <w:fldChar w:fldCharType="begin"/>
      </w:r>
      <w:r>
        <w:instrText xml:space="preserve"> PAGEREF _Toc131409454 \h </w:instrText>
      </w:r>
      <w:r>
        <w:fldChar w:fldCharType="separate"/>
      </w:r>
      <w:r>
        <w:t>6</w:t>
      </w:r>
      <w:r>
        <w:fldChar w:fldCharType="end"/>
      </w:r>
      <w:r>
        <w:fldChar w:fldCharType="end"/>
      </w:r>
    </w:p>
    <w:p>
      <w:pPr>
        <w:pStyle w:val="24"/>
        <w:spacing w:line="360" w:lineRule="auto"/>
        <w:rPr>
          <w:rFonts w:asciiTheme="minorHAnsi" w:hAnsiTheme="minorHAnsi" w:eastAsiaTheme="minorEastAsia" w:cstheme="minorBidi"/>
          <w:szCs w:val="22"/>
        </w:rPr>
      </w:pPr>
      <w:r>
        <w:fldChar w:fldCharType="begin"/>
      </w:r>
      <w:r>
        <w:instrText xml:space="preserve"> HYPERLINK \l "_Toc131409455" </w:instrText>
      </w:r>
      <w:r>
        <w:fldChar w:fldCharType="separate"/>
      </w:r>
      <w:r>
        <w:rPr>
          <w:rStyle w:val="33"/>
        </w:rPr>
        <w:t>4.3 评审组长</w:t>
      </w:r>
      <w:r>
        <w:tab/>
      </w:r>
      <w:r>
        <w:fldChar w:fldCharType="begin"/>
      </w:r>
      <w:r>
        <w:instrText xml:space="preserve"> PAGEREF _Toc131409455 \h </w:instrText>
      </w:r>
      <w:r>
        <w:fldChar w:fldCharType="separate"/>
      </w:r>
      <w:r>
        <w:t>6</w:t>
      </w:r>
      <w:r>
        <w:fldChar w:fldCharType="end"/>
      </w:r>
      <w:r>
        <w:fldChar w:fldCharType="end"/>
      </w:r>
    </w:p>
    <w:p>
      <w:pPr>
        <w:pStyle w:val="24"/>
        <w:spacing w:line="360" w:lineRule="auto"/>
        <w:rPr>
          <w:rFonts w:asciiTheme="minorHAnsi" w:hAnsiTheme="minorHAnsi" w:eastAsiaTheme="minorEastAsia" w:cstheme="minorBidi"/>
          <w:szCs w:val="22"/>
        </w:rPr>
      </w:pPr>
      <w:r>
        <w:fldChar w:fldCharType="begin"/>
      </w:r>
      <w:r>
        <w:instrText xml:space="preserve"> HYPERLINK \l "_Toc131409456" </w:instrText>
      </w:r>
      <w:r>
        <w:fldChar w:fldCharType="separate"/>
      </w:r>
      <w:r>
        <w:rPr>
          <w:rStyle w:val="33"/>
        </w:rPr>
        <w:t>4.4 评审员</w:t>
      </w:r>
      <w:r>
        <w:tab/>
      </w:r>
      <w:r>
        <w:fldChar w:fldCharType="begin"/>
      </w:r>
      <w:r>
        <w:instrText xml:space="preserve"> PAGEREF _Toc131409456 \h </w:instrText>
      </w:r>
      <w:r>
        <w:fldChar w:fldCharType="separate"/>
      </w:r>
      <w:r>
        <w:t>6</w:t>
      </w:r>
      <w:r>
        <w:fldChar w:fldCharType="end"/>
      </w:r>
      <w:r>
        <w:fldChar w:fldCharType="end"/>
      </w:r>
    </w:p>
    <w:p>
      <w:pPr>
        <w:pStyle w:val="24"/>
        <w:spacing w:line="360" w:lineRule="auto"/>
        <w:rPr>
          <w:rFonts w:asciiTheme="minorHAnsi" w:hAnsiTheme="minorHAnsi" w:eastAsiaTheme="minorEastAsia" w:cstheme="minorBidi"/>
          <w:szCs w:val="22"/>
        </w:rPr>
      </w:pPr>
      <w:r>
        <w:fldChar w:fldCharType="begin"/>
      </w:r>
      <w:r>
        <w:instrText xml:space="preserve"> HYPERLINK \l "_Toc131409457" </w:instrText>
      </w:r>
      <w:r>
        <w:fldChar w:fldCharType="separate"/>
      </w:r>
      <w:r>
        <w:rPr>
          <w:rStyle w:val="33"/>
        </w:rPr>
        <w:t>4.5 技术专家</w:t>
      </w:r>
      <w:r>
        <w:tab/>
      </w:r>
      <w:r>
        <w:fldChar w:fldCharType="begin"/>
      </w:r>
      <w:r>
        <w:instrText xml:space="preserve"> PAGEREF _Toc131409457 \h </w:instrText>
      </w:r>
      <w:r>
        <w:fldChar w:fldCharType="separate"/>
      </w:r>
      <w:r>
        <w:t>6</w:t>
      </w:r>
      <w:r>
        <w:fldChar w:fldCharType="end"/>
      </w:r>
      <w:r>
        <w:fldChar w:fldCharType="end"/>
      </w:r>
    </w:p>
    <w:p>
      <w:pPr>
        <w:pStyle w:val="19"/>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"_Toc131409459" </w:instrText>
      </w:r>
      <w:r>
        <w:fldChar w:fldCharType="separate"/>
      </w:r>
      <w:r>
        <w:rPr>
          <w:rStyle w:val="33"/>
          <w:rFonts w:hint="eastAsia"/>
        </w:rPr>
        <w:t>5</w:t>
      </w:r>
      <w:r>
        <w:rPr>
          <w:rStyle w:val="33"/>
        </w:rPr>
        <w:t xml:space="preserve"> 现场评审流程</w:t>
      </w:r>
      <w:r>
        <w:tab/>
      </w:r>
      <w:r>
        <w:fldChar w:fldCharType="begin"/>
      </w:r>
      <w:r>
        <w:instrText xml:space="preserve"> PAGEREF _Toc131409459 \h </w:instrText>
      </w:r>
      <w:r>
        <w:fldChar w:fldCharType="separate"/>
      </w:r>
      <w:r>
        <w:t>6</w:t>
      </w:r>
      <w:r>
        <w:fldChar w:fldCharType="end"/>
      </w:r>
      <w:r>
        <w:fldChar w:fldCharType="end"/>
      </w:r>
    </w:p>
    <w:p>
      <w:pPr>
        <w:pStyle w:val="24"/>
        <w:spacing w:line="360" w:lineRule="auto"/>
        <w:rPr>
          <w:rFonts w:asciiTheme="minorHAnsi" w:hAnsiTheme="minorHAnsi" w:eastAsiaTheme="minorEastAsia" w:cstheme="minorBidi"/>
          <w:szCs w:val="22"/>
        </w:rPr>
      </w:pPr>
      <w:r>
        <w:fldChar w:fldCharType="begin"/>
      </w:r>
      <w:r>
        <w:instrText xml:space="preserve"> HYPERLINK \l "_Toc131409460" </w:instrText>
      </w:r>
      <w:r>
        <w:fldChar w:fldCharType="separate"/>
      </w:r>
      <w:r>
        <w:rPr>
          <w:rStyle w:val="33"/>
          <w:rFonts w:hint="eastAsia"/>
        </w:rPr>
        <w:t>5</w:t>
      </w:r>
      <w:r>
        <w:rPr>
          <w:rStyle w:val="33"/>
        </w:rPr>
        <w:t>.1 文件资料审查</w:t>
      </w:r>
      <w:r>
        <w:tab/>
      </w:r>
      <w:r>
        <w:fldChar w:fldCharType="begin"/>
      </w:r>
      <w:r>
        <w:instrText xml:space="preserve"> PAGEREF _Toc131409460 \h </w:instrText>
      </w:r>
      <w:r>
        <w:fldChar w:fldCharType="separate"/>
      </w:r>
      <w:r>
        <w:t>6</w:t>
      </w:r>
      <w:r>
        <w:fldChar w:fldCharType="end"/>
      </w:r>
      <w:r>
        <w:fldChar w:fldCharType="end"/>
      </w:r>
    </w:p>
    <w:p>
      <w:pPr>
        <w:pStyle w:val="24"/>
        <w:spacing w:line="360" w:lineRule="auto"/>
        <w:rPr>
          <w:rFonts w:asciiTheme="minorHAnsi" w:hAnsiTheme="minorHAnsi" w:eastAsiaTheme="minorEastAsia" w:cstheme="minorBidi"/>
          <w:szCs w:val="22"/>
        </w:rPr>
      </w:pPr>
      <w:r>
        <w:fldChar w:fldCharType="begin"/>
      </w:r>
      <w:r>
        <w:instrText xml:space="preserve"> HYPERLINK \l "_Toc131409461" </w:instrText>
      </w:r>
      <w:r>
        <w:fldChar w:fldCharType="separate"/>
      </w:r>
      <w:r>
        <w:rPr>
          <w:rStyle w:val="33"/>
          <w:rFonts w:hint="eastAsia"/>
        </w:rPr>
        <w:t>5</w:t>
      </w:r>
      <w:r>
        <w:rPr>
          <w:rStyle w:val="33"/>
        </w:rPr>
        <w:t>.2 评审策划</w:t>
      </w:r>
      <w:r>
        <w:tab/>
      </w:r>
      <w:r>
        <w:fldChar w:fldCharType="begin"/>
      </w:r>
      <w:r>
        <w:instrText xml:space="preserve"> PAGEREF _Toc131409461 \h </w:instrText>
      </w:r>
      <w:r>
        <w:fldChar w:fldCharType="separate"/>
      </w:r>
      <w:r>
        <w:t>7</w:t>
      </w:r>
      <w:r>
        <w:fldChar w:fldCharType="end"/>
      </w:r>
      <w:r>
        <w:fldChar w:fldCharType="end"/>
      </w:r>
    </w:p>
    <w:p>
      <w:pPr>
        <w:pStyle w:val="24"/>
        <w:spacing w:line="360" w:lineRule="auto"/>
        <w:rPr>
          <w:rFonts w:asciiTheme="minorHAnsi" w:hAnsiTheme="minorHAnsi" w:eastAsiaTheme="minorEastAsia" w:cstheme="minorBidi"/>
          <w:szCs w:val="22"/>
        </w:rPr>
      </w:pPr>
      <w:r>
        <w:fldChar w:fldCharType="begin"/>
      </w:r>
      <w:r>
        <w:instrText xml:space="preserve"> HYPERLINK \l "_Toc131409462" </w:instrText>
      </w:r>
      <w:r>
        <w:fldChar w:fldCharType="separate"/>
      </w:r>
      <w:r>
        <w:rPr>
          <w:rStyle w:val="33"/>
          <w:rFonts w:hint="eastAsia"/>
        </w:rPr>
        <w:t>5</w:t>
      </w:r>
      <w:r>
        <w:rPr>
          <w:rStyle w:val="33"/>
        </w:rPr>
        <w:t>.3 实施现场评审</w:t>
      </w:r>
      <w:r>
        <w:tab/>
      </w:r>
      <w:r>
        <w:fldChar w:fldCharType="begin"/>
      </w:r>
      <w:r>
        <w:instrText xml:space="preserve"> PAGEREF _Toc131409462 \h </w:instrText>
      </w:r>
      <w:r>
        <w:fldChar w:fldCharType="separate"/>
      </w:r>
      <w:r>
        <w:t>8</w:t>
      </w:r>
      <w:r>
        <w:fldChar w:fldCharType="end"/>
      </w:r>
      <w:r>
        <w:fldChar w:fldCharType="end"/>
      </w:r>
    </w:p>
    <w:p>
      <w:pPr>
        <w:pStyle w:val="15"/>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"_Toc131409463" </w:instrText>
      </w:r>
      <w:r>
        <w:fldChar w:fldCharType="separate"/>
      </w:r>
      <w:r>
        <w:rPr>
          <w:rStyle w:val="33"/>
          <w:rFonts w:hint="eastAsia"/>
        </w:rPr>
        <w:t>5</w:t>
      </w:r>
      <w:r>
        <w:rPr>
          <w:rStyle w:val="33"/>
        </w:rPr>
        <w:t>.3.1 预备会议</w:t>
      </w:r>
      <w:r>
        <w:tab/>
      </w:r>
      <w:r>
        <w:fldChar w:fldCharType="begin"/>
      </w:r>
      <w:r>
        <w:instrText xml:space="preserve"> PAGEREF _Toc131409463 \h </w:instrText>
      </w:r>
      <w:r>
        <w:fldChar w:fldCharType="separate"/>
      </w:r>
      <w:r>
        <w:t>8</w:t>
      </w:r>
      <w:r>
        <w:fldChar w:fldCharType="end"/>
      </w:r>
      <w:r>
        <w:fldChar w:fldCharType="end"/>
      </w:r>
    </w:p>
    <w:p>
      <w:pPr>
        <w:pStyle w:val="15"/>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"_Toc131409464" </w:instrText>
      </w:r>
      <w:r>
        <w:fldChar w:fldCharType="separate"/>
      </w:r>
      <w:r>
        <w:rPr>
          <w:rStyle w:val="33"/>
          <w:rFonts w:hint="eastAsia"/>
        </w:rPr>
        <w:t>5</w:t>
      </w:r>
      <w:r>
        <w:rPr>
          <w:rStyle w:val="33"/>
        </w:rPr>
        <w:t>.3.2 首次会议</w:t>
      </w:r>
      <w:r>
        <w:tab/>
      </w:r>
      <w:r>
        <w:fldChar w:fldCharType="begin"/>
      </w:r>
      <w:r>
        <w:instrText xml:space="preserve"> PAGEREF _Toc131409464 \h </w:instrText>
      </w:r>
      <w:r>
        <w:fldChar w:fldCharType="separate"/>
      </w:r>
      <w:r>
        <w:t>9</w:t>
      </w:r>
      <w:r>
        <w:fldChar w:fldCharType="end"/>
      </w:r>
      <w:r>
        <w:fldChar w:fldCharType="end"/>
      </w:r>
    </w:p>
    <w:p>
      <w:pPr>
        <w:pStyle w:val="15"/>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"_Toc131409465" </w:instrText>
      </w:r>
      <w:r>
        <w:fldChar w:fldCharType="separate"/>
      </w:r>
      <w:r>
        <w:rPr>
          <w:rStyle w:val="33"/>
          <w:rFonts w:hint="eastAsia"/>
        </w:rPr>
        <w:t>5</w:t>
      </w:r>
      <w:r>
        <w:rPr>
          <w:rStyle w:val="33"/>
        </w:rPr>
        <w:t>.3.3 现场观察</w:t>
      </w:r>
      <w:r>
        <w:tab/>
      </w:r>
      <w:r>
        <w:fldChar w:fldCharType="begin"/>
      </w:r>
      <w:r>
        <w:instrText xml:space="preserve"> PAGEREF _Toc131409465 \h </w:instrText>
      </w:r>
      <w:r>
        <w:fldChar w:fldCharType="separate"/>
      </w:r>
      <w:r>
        <w:t>9</w:t>
      </w:r>
      <w:r>
        <w:fldChar w:fldCharType="end"/>
      </w:r>
      <w:r>
        <w:fldChar w:fldCharType="end"/>
      </w:r>
    </w:p>
    <w:p>
      <w:pPr>
        <w:pStyle w:val="15"/>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"_Toc131409466" </w:instrText>
      </w:r>
      <w:r>
        <w:fldChar w:fldCharType="separate"/>
      </w:r>
      <w:r>
        <w:rPr>
          <w:rStyle w:val="33"/>
          <w:rFonts w:hint="eastAsia"/>
        </w:rPr>
        <w:t>5</w:t>
      </w:r>
      <w:r>
        <w:rPr>
          <w:rStyle w:val="33"/>
        </w:rPr>
        <w:t>.3.4 现场试验考核</w:t>
      </w:r>
      <w:r>
        <w:tab/>
      </w:r>
      <w:r>
        <w:fldChar w:fldCharType="begin"/>
      </w:r>
      <w:r>
        <w:instrText xml:space="preserve"> PAGEREF _Toc131409466 \h </w:instrText>
      </w:r>
      <w:r>
        <w:fldChar w:fldCharType="separate"/>
      </w:r>
      <w:r>
        <w:t>10</w:t>
      </w:r>
      <w:r>
        <w:fldChar w:fldCharType="end"/>
      </w:r>
      <w:r>
        <w:fldChar w:fldCharType="end"/>
      </w:r>
    </w:p>
    <w:p>
      <w:pPr>
        <w:pStyle w:val="15"/>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"_Toc131409467" </w:instrText>
      </w:r>
      <w:r>
        <w:fldChar w:fldCharType="separate"/>
      </w:r>
      <w:r>
        <w:rPr>
          <w:rStyle w:val="33"/>
          <w:rFonts w:hint="eastAsia"/>
        </w:rPr>
        <w:t>5</w:t>
      </w:r>
      <w:r>
        <w:rPr>
          <w:rStyle w:val="33"/>
        </w:rPr>
        <w:t>.3.5 现场提问</w:t>
      </w:r>
      <w:r>
        <w:tab/>
      </w:r>
      <w:r>
        <w:fldChar w:fldCharType="begin"/>
      </w:r>
      <w:r>
        <w:instrText xml:space="preserve"> PAGEREF _Toc131409467 \h </w:instrText>
      </w:r>
      <w:r>
        <w:fldChar w:fldCharType="separate"/>
      </w:r>
      <w:r>
        <w:t>10</w:t>
      </w:r>
      <w:r>
        <w:fldChar w:fldCharType="end"/>
      </w:r>
      <w:r>
        <w:fldChar w:fldCharType="end"/>
      </w:r>
    </w:p>
    <w:p>
      <w:pPr>
        <w:pStyle w:val="15"/>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"_Toc131409468" </w:instrText>
      </w:r>
      <w:r>
        <w:fldChar w:fldCharType="separate"/>
      </w:r>
      <w:r>
        <w:rPr>
          <w:rStyle w:val="33"/>
          <w:rFonts w:hint="eastAsia"/>
        </w:rPr>
        <w:t>5</w:t>
      </w:r>
      <w:r>
        <w:rPr>
          <w:rStyle w:val="33"/>
        </w:rPr>
        <w:t>.3.6 查阅文件记录</w:t>
      </w:r>
      <w:r>
        <w:tab/>
      </w:r>
      <w:r>
        <w:fldChar w:fldCharType="begin"/>
      </w:r>
      <w:r>
        <w:instrText xml:space="preserve"> PAGEREF _Toc131409468 \h </w:instrText>
      </w:r>
      <w:r>
        <w:fldChar w:fldCharType="separate"/>
      </w:r>
      <w:r>
        <w:t>10</w:t>
      </w:r>
      <w:r>
        <w:fldChar w:fldCharType="end"/>
      </w:r>
      <w:r>
        <w:fldChar w:fldCharType="end"/>
      </w:r>
    </w:p>
    <w:p>
      <w:pPr>
        <w:pStyle w:val="15"/>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"_Toc131409469" </w:instrText>
      </w:r>
      <w:r>
        <w:fldChar w:fldCharType="separate"/>
      </w:r>
      <w:r>
        <w:rPr>
          <w:rStyle w:val="33"/>
          <w:rFonts w:hint="eastAsia"/>
        </w:rPr>
        <w:t>5</w:t>
      </w:r>
      <w:r>
        <w:rPr>
          <w:rStyle w:val="33"/>
        </w:rPr>
        <w:t>.3.7 现场座谈会</w:t>
      </w:r>
      <w:r>
        <w:tab/>
      </w:r>
      <w:r>
        <w:fldChar w:fldCharType="begin"/>
      </w:r>
      <w:r>
        <w:instrText xml:space="preserve"> PAGEREF _Toc131409469 \h </w:instrText>
      </w:r>
      <w:r>
        <w:fldChar w:fldCharType="separate"/>
      </w:r>
      <w:r>
        <w:t>11</w:t>
      </w:r>
      <w:r>
        <w:fldChar w:fldCharType="end"/>
      </w:r>
      <w:r>
        <w:fldChar w:fldCharType="end"/>
      </w:r>
    </w:p>
    <w:p>
      <w:pPr>
        <w:pStyle w:val="15"/>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"_Toc131409470" </w:instrText>
      </w:r>
      <w:r>
        <w:fldChar w:fldCharType="separate"/>
      </w:r>
      <w:r>
        <w:rPr>
          <w:rStyle w:val="33"/>
          <w:rFonts w:hint="eastAsia"/>
        </w:rPr>
        <w:t>5</w:t>
      </w:r>
      <w:r>
        <w:rPr>
          <w:rStyle w:val="33"/>
        </w:rPr>
        <w:t>.3.8 授权签字人考核</w:t>
      </w:r>
      <w:r>
        <w:tab/>
      </w:r>
      <w:r>
        <w:fldChar w:fldCharType="begin"/>
      </w:r>
      <w:r>
        <w:instrText xml:space="preserve"> PAGEREF _Toc131409470 \h </w:instrText>
      </w:r>
      <w:r>
        <w:fldChar w:fldCharType="separate"/>
      </w:r>
      <w:r>
        <w:t>11</w:t>
      </w:r>
      <w:r>
        <w:fldChar w:fldCharType="end"/>
      </w:r>
      <w:r>
        <w:fldChar w:fldCharType="end"/>
      </w:r>
    </w:p>
    <w:p>
      <w:pPr>
        <w:pStyle w:val="15"/>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"_Toc131409471" </w:instrText>
      </w:r>
      <w:r>
        <w:fldChar w:fldCharType="separate"/>
      </w:r>
      <w:r>
        <w:rPr>
          <w:rStyle w:val="33"/>
          <w:rFonts w:hint="eastAsia"/>
        </w:rPr>
        <w:t>5</w:t>
      </w:r>
      <w:r>
        <w:rPr>
          <w:rStyle w:val="33"/>
        </w:rPr>
        <w:t>.3.9 评审组内部会</w:t>
      </w:r>
      <w:r>
        <w:tab/>
      </w:r>
      <w:r>
        <w:fldChar w:fldCharType="begin"/>
      </w:r>
      <w:r>
        <w:instrText xml:space="preserve"> PAGEREF _Toc131409471 \h </w:instrText>
      </w:r>
      <w:r>
        <w:fldChar w:fldCharType="separate"/>
      </w:r>
      <w:r>
        <w:t>12</w:t>
      </w:r>
      <w:r>
        <w:fldChar w:fldCharType="end"/>
      </w:r>
      <w:r>
        <w:fldChar w:fldCharType="end"/>
      </w:r>
    </w:p>
    <w:p>
      <w:pPr>
        <w:pStyle w:val="15"/>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"_Toc131409472" </w:instrText>
      </w:r>
      <w:r>
        <w:fldChar w:fldCharType="separate"/>
      </w:r>
      <w:r>
        <w:rPr>
          <w:rStyle w:val="33"/>
          <w:rFonts w:hint="eastAsia"/>
        </w:rPr>
        <w:t>5</w:t>
      </w:r>
      <w:r>
        <w:rPr>
          <w:rStyle w:val="33"/>
        </w:rPr>
        <w:t>.3.10 确定检验检测能力</w:t>
      </w:r>
      <w:r>
        <w:tab/>
      </w:r>
      <w:r>
        <w:fldChar w:fldCharType="begin"/>
      </w:r>
      <w:r>
        <w:instrText xml:space="preserve"> PAGEREF _Toc131409472 \h </w:instrText>
      </w:r>
      <w:r>
        <w:fldChar w:fldCharType="separate"/>
      </w:r>
      <w:r>
        <w:t>11</w:t>
      </w:r>
      <w:r>
        <w:fldChar w:fldCharType="end"/>
      </w:r>
      <w:r>
        <w:fldChar w:fldCharType="end"/>
      </w:r>
    </w:p>
    <w:p>
      <w:pPr>
        <w:pStyle w:val="15"/>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"_Toc131409473" </w:instrText>
      </w:r>
      <w:r>
        <w:fldChar w:fldCharType="separate"/>
      </w:r>
      <w:r>
        <w:rPr>
          <w:rStyle w:val="33"/>
          <w:rFonts w:hint="eastAsia"/>
        </w:rPr>
        <w:t>5</w:t>
      </w:r>
      <w:r>
        <w:rPr>
          <w:rStyle w:val="33"/>
        </w:rPr>
        <w:t>.3.11 确定基本符合项/不符合项</w:t>
      </w:r>
      <w:r>
        <w:tab/>
      </w:r>
      <w:r>
        <w:fldChar w:fldCharType="begin"/>
      </w:r>
      <w:r>
        <w:instrText xml:space="preserve"> PAGEREF _Toc131409473 \h </w:instrText>
      </w:r>
      <w:r>
        <w:fldChar w:fldCharType="separate"/>
      </w:r>
      <w:r>
        <w:t>12</w:t>
      </w:r>
      <w:r>
        <w:fldChar w:fldCharType="end"/>
      </w:r>
      <w:r>
        <w:fldChar w:fldCharType="end"/>
      </w:r>
    </w:p>
    <w:p>
      <w:pPr>
        <w:pStyle w:val="15"/>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"_Toc131409474" </w:instrText>
      </w:r>
      <w:r>
        <w:fldChar w:fldCharType="separate"/>
      </w:r>
      <w:r>
        <w:rPr>
          <w:rStyle w:val="33"/>
          <w:rFonts w:hint="eastAsia"/>
        </w:rPr>
        <w:t>5</w:t>
      </w:r>
      <w:r>
        <w:rPr>
          <w:rStyle w:val="33"/>
        </w:rPr>
        <w:t>.3.12 评审结论</w:t>
      </w:r>
      <w:r>
        <w:tab/>
      </w:r>
      <w:r>
        <w:fldChar w:fldCharType="begin"/>
      </w:r>
      <w:r>
        <w:instrText xml:space="preserve"> PAGEREF _Toc131409474 \h </w:instrText>
      </w:r>
      <w:r>
        <w:fldChar w:fldCharType="separate"/>
      </w:r>
      <w:r>
        <w:t>12</w:t>
      </w:r>
      <w:r>
        <w:fldChar w:fldCharType="end"/>
      </w:r>
      <w:r>
        <w:fldChar w:fldCharType="end"/>
      </w:r>
    </w:p>
    <w:p>
      <w:pPr>
        <w:pStyle w:val="15"/>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"_Toc131409475" </w:instrText>
      </w:r>
      <w:r>
        <w:fldChar w:fldCharType="separate"/>
      </w:r>
      <w:r>
        <w:rPr>
          <w:rStyle w:val="33"/>
          <w:rFonts w:hint="eastAsia"/>
        </w:rPr>
        <w:t>5</w:t>
      </w:r>
      <w:r>
        <w:rPr>
          <w:rStyle w:val="33"/>
        </w:rPr>
        <w:t>.3.13 检验检测机构沟通会</w:t>
      </w:r>
      <w:r>
        <w:tab/>
      </w:r>
      <w:r>
        <w:fldChar w:fldCharType="begin"/>
      </w:r>
      <w:r>
        <w:instrText xml:space="preserve"> PAGEREF _Toc131409475 \h </w:instrText>
      </w:r>
      <w:r>
        <w:fldChar w:fldCharType="separate"/>
      </w:r>
      <w:r>
        <w:t>13</w:t>
      </w:r>
      <w:r>
        <w:fldChar w:fldCharType="end"/>
      </w:r>
      <w:r>
        <w:fldChar w:fldCharType="end"/>
      </w:r>
    </w:p>
    <w:p>
      <w:pPr>
        <w:pStyle w:val="15"/>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"_Toc131409476" </w:instrText>
      </w:r>
      <w:r>
        <w:fldChar w:fldCharType="separate"/>
      </w:r>
      <w:r>
        <w:rPr>
          <w:rStyle w:val="33"/>
          <w:rFonts w:hint="eastAsia"/>
        </w:rPr>
        <w:t>5</w:t>
      </w:r>
      <w:r>
        <w:rPr>
          <w:rStyle w:val="33"/>
        </w:rPr>
        <w:t>.3.14 评审报告</w:t>
      </w:r>
      <w:r>
        <w:tab/>
      </w:r>
      <w:r>
        <w:fldChar w:fldCharType="begin"/>
      </w:r>
      <w:r>
        <w:instrText xml:space="preserve"> PAGEREF _Toc131409476 \h </w:instrText>
      </w:r>
      <w:r>
        <w:fldChar w:fldCharType="separate"/>
      </w:r>
      <w:r>
        <w:t>13</w:t>
      </w:r>
      <w:r>
        <w:fldChar w:fldCharType="end"/>
      </w:r>
      <w:r>
        <w:fldChar w:fldCharType="end"/>
      </w:r>
    </w:p>
    <w:p>
      <w:pPr>
        <w:pStyle w:val="15"/>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"_Toc131409477" </w:instrText>
      </w:r>
      <w:r>
        <w:fldChar w:fldCharType="separate"/>
      </w:r>
      <w:r>
        <w:rPr>
          <w:rStyle w:val="33"/>
          <w:rFonts w:hint="eastAsia"/>
        </w:rPr>
        <w:t>5</w:t>
      </w:r>
      <w:r>
        <w:rPr>
          <w:rStyle w:val="33"/>
        </w:rPr>
        <w:t>.3.15 末次会议</w:t>
      </w:r>
      <w:r>
        <w:tab/>
      </w:r>
      <w:r>
        <w:fldChar w:fldCharType="begin"/>
      </w:r>
      <w:r>
        <w:instrText xml:space="preserve"> PAGEREF _Toc131409477 \h </w:instrText>
      </w:r>
      <w:r>
        <w:fldChar w:fldCharType="separate"/>
      </w:r>
      <w:r>
        <w:t>14</w:t>
      </w:r>
      <w:r>
        <w:fldChar w:fldCharType="end"/>
      </w:r>
      <w:r>
        <w:fldChar w:fldCharType="end"/>
      </w:r>
    </w:p>
    <w:p>
      <w:pPr>
        <w:pStyle w:val="24"/>
        <w:spacing w:line="360" w:lineRule="auto"/>
        <w:rPr>
          <w:rFonts w:asciiTheme="minorHAnsi" w:hAnsiTheme="minorHAnsi" w:eastAsiaTheme="minorEastAsia" w:cstheme="minorBidi"/>
          <w:szCs w:val="22"/>
        </w:rPr>
      </w:pPr>
      <w:r>
        <w:fldChar w:fldCharType="begin"/>
      </w:r>
      <w:r>
        <w:instrText xml:space="preserve"> HYPERLINK \l "_Toc131409478" </w:instrText>
      </w:r>
      <w:r>
        <w:fldChar w:fldCharType="separate"/>
      </w:r>
      <w:r>
        <w:rPr>
          <w:rStyle w:val="33"/>
          <w:rFonts w:hint="eastAsia"/>
        </w:rPr>
        <w:t>5</w:t>
      </w:r>
      <w:r>
        <w:rPr>
          <w:rStyle w:val="33"/>
        </w:rPr>
        <w:t>.4 评审资料封存</w:t>
      </w:r>
      <w:r>
        <w:tab/>
      </w:r>
      <w:r>
        <w:fldChar w:fldCharType="begin"/>
      </w:r>
      <w:r>
        <w:instrText xml:space="preserve"> PAGEREF _Toc131409478 \h </w:instrText>
      </w:r>
      <w:r>
        <w:fldChar w:fldCharType="separate"/>
      </w:r>
      <w:r>
        <w:t>14</w:t>
      </w:r>
      <w:r>
        <w:fldChar w:fldCharType="end"/>
      </w:r>
      <w:r>
        <w:fldChar w:fldCharType="end"/>
      </w:r>
    </w:p>
    <w:p>
      <w:pPr>
        <w:pStyle w:val="24"/>
        <w:spacing w:line="360" w:lineRule="auto"/>
        <w:rPr>
          <w:rFonts w:asciiTheme="minorHAnsi" w:hAnsiTheme="minorHAnsi" w:eastAsiaTheme="minorEastAsia" w:cstheme="minorBidi"/>
          <w:szCs w:val="22"/>
        </w:rPr>
      </w:pPr>
      <w:r>
        <w:fldChar w:fldCharType="begin"/>
      </w:r>
      <w:r>
        <w:instrText xml:space="preserve"> HYPERLINK \l "_Toc131409479" </w:instrText>
      </w:r>
      <w:r>
        <w:fldChar w:fldCharType="separate"/>
      </w:r>
      <w:r>
        <w:rPr>
          <w:rStyle w:val="33"/>
          <w:rFonts w:hint="eastAsia"/>
        </w:rPr>
        <w:t>5</w:t>
      </w:r>
      <w:r>
        <w:rPr>
          <w:rStyle w:val="33"/>
        </w:rPr>
        <w:t>.5 整改跟踪验证</w:t>
      </w:r>
      <w:r>
        <w:tab/>
      </w:r>
      <w:r>
        <w:fldChar w:fldCharType="begin"/>
      </w:r>
      <w:r>
        <w:instrText xml:space="preserve"> PAGEREF _Toc131409479 \h </w:instrText>
      </w:r>
      <w:r>
        <w:fldChar w:fldCharType="separate"/>
      </w:r>
      <w:r>
        <w:t>14</w:t>
      </w:r>
      <w:r>
        <w:fldChar w:fldCharType="end"/>
      </w:r>
      <w:r>
        <w:fldChar w:fldCharType="end"/>
      </w:r>
    </w:p>
    <w:p>
      <w:pPr>
        <w:pStyle w:val="24"/>
        <w:spacing w:line="360" w:lineRule="auto"/>
        <w:rPr>
          <w:rFonts w:asciiTheme="minorHAnsi" w:hAnsiTheme="minorHAnsi" w:eastAsiaTheme="minorEastAsia" w:cstheme="minorBidi"/>
          <w:szCs w:val="22"/>
        </w:rPr>
      </w:pPr>
      <w:r>
        <w:fldChar w:fldCharType="begin"/>
      </w:r>
      <w:r>
        <w:instrText xml:space="preserve"> HYPERLINK \l "_Toc131409480" </w:instrText>
      </w:r>
      <w:r>
        <w:fldChar w:fldCharType="separate"/>
      </w:r>
      <w:r>
        <w:rPr>
          <w:rStyle w:val="33"/>
          <w:rFonts w:hint="eastAsia"/>
        </w:rPr>
        <w:t>5</w:t>
      </w:r>
      <w:r>
        <w:rPr>
          <w:rStyle w:val="33"/>
        </w:rPr>
        <w:t>.6 评审资料上报</w:t>
      </w:r>
      <w:r>
        <w:tab/>
      </w:r>
      <w:r>
        <w:fldChar w:fldCharType="begin"/>
      </w:r>
      <w:r>
        <w:instrText xml:space="preserve"> PAGEREF _Toc131409480 \h </w:instrText>
      </w:r>
      <w:r>
        <w:fldChar w:fldCharType="separate"/>
      </w:r>
      <w:r>
        <w:t>14</w:t>
      </w:r>
      <w:r>
        <w:fldChar w:fldCharType="end"/>
      </w:r>
      <w:r>
        <w:fldChar w:fldCharType="end"/>
      </w:r>
    </w:p>
    <w:p>
      <w:pPr>
        <w:pStyle w:val="24"/>
        <w:spacing w:line="360" w:lineRule="auto"/>
        <w:rPr>
          <w:rFonts w:asciiTheme="minorHAnsi" w:hAnsiTheme="minorHAnsi" w:eastAsiaTheme="minorEastAsia" w:cstheme="minorBidi"/>
          <w:szCs w:val="22"/>
        </w:rPr>
      </w:pPr>
      <w:r>
        <w:fldChar w:fldCharType="begin"/>
      </w:r>
      <w:r>
        <w:instrText xml:space="preserve"> HYPERLINK \l "_Toc131409481" </w:instrText>
      </w:r>
      <w:r>
        <w:fldChar w:fldCharType="separate"/>
      </w:r>
      <w:r>
        <w:rPr>
          <w:rStyle w:val="33"/>
          <w:rFonts w:hint="eastAsia"/>
        </w:rPr>
        <w:t>5</w:t>
      </w:r>
      <w:r>
        <w:rPr>
          <w:rStyle w:val="33"/>
        </w:rPr>
        <w:t>.7 终止评审</w:t>
      </w:r>
      <w:r>
        <w:tab/>
      </w:r>
      <w:r>
        <w:fldChar w:fldCharType="begin"/>
      </w:r>
      <w:r>
        <w:instrText xml:space="preserve"> PAGEREF _Toc131409481 \h </w:instrText>
      </w:r>
      <w:r>
        <w:fldChar w:fldCharType="separate"/>
      </w:r>
      <w:r>
        <w:t>15</w:t>
      </w:r>
      <w:r>
        <w:fldChar w:fldCharType="end"/>
      </w:r>
      <w:r>
        <w:fldChar w:fldCharType="end"/>
      </w:r>
    </w:p>
    <w:p>
      <w:pPr>
        <w:pStyle w:val="19"/>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"_Toc131409482" </w:instrText>
      </w:r>
      <w:r>
        <w:fldChar w:fldCharType="separate"/>
      </w:r>
      <w:r>
        <w:rPr>
          <w:rStyle w:val="33"/>
          <w:rFonts w:hint="eastAsia"/>
        </w:rPr>
        <w:t>6</w:t>
      </w:r>
      <w:r>
        <w:rPr>
          <w:rStyle w:val="33"/>
        </w:rPr>
        <w:t xml:space="preserve"> 不同评审类型的特殊要求</w:t>
      </w:r>
      <w:r>
        <w:tab/>
      </w:r>
      <w:r>
        <w:fldChar w:fldCharType="begin"/>
      </w:r>
      <w:r>
        <w:instrText xml:space="preserve"> PAGEREF _Toc131409482 \h </w:instrText>
      </w:r>
      <w:r>
        <w:fldChar w:fldCharType="separate"/>
      </w:r>
      <w:r>
        <w:t>15</w:t>
      </w:r>
      <w:r>
        <w:fldChar w:fldCharType="end"/>
      </w:r>
      <w:r>
        <w:fldChar w:fldCharType="end"/>
      </w:r>
    </w:p>
    <w:p>
      <w:pPr>
        <w:pStyle w:val="24"/>
        <w:spacing w:line="360" w:lineRule="auto"/>
        <w:rPr>
          <w:rFonts w:asciiTheme="minorHAnsi" w:hAnsiTheme="minorHAnsi" w:eastAsiaTheme="minorEastAsia" w:cstheme="minorBidi"/>
          <w:szCs w:val="22"/>
        </w:rPr>
      </w:pPr>
      <w:r>
        <w:fldChar w:fldCharType="begin"/>
      </w:r>
      <w:r>
        <w:instrText xml:space="preserve"> HYPERLINK \l "_Toc131409483" </w:instrText>
      </w:r>
      <w:r>
        <w:fldChar w:fldCharType="separate"/>
      </w:r>
      <w:r>
        <w:rPr>
          <w:rStyle w:val="33"/>
          <w:rFonts w:hint="eastAsia"/>
        </w:rPr>
        <w:t>6</w:t>
      </w:r>
      <w:r>
        <w:rPr>
          <w:rStyle w:val="33"/>
        </w:rPr>
        <w:t>.1 首次评审</w:t>
      </w:r>
      <w:r>
        <w:tab/>
      </w:r>
      <w:r>
        <w:fldChar w:fldCharType="begin"/>
      </w:r>
      <w:r>
        <w:instrText xml:space="preserve"> PAGEREF _Toc131409483 \h </w:instrText>
      </w:r>
      <w:r>
        <w:fldChar w:fldCharType="separate"/>
      </w:r>
      <w:r>
        <w:t>15</w:t>
      </w:r>
      <w:r>
        <w:fldChar w:fldCharType="end"/>
      </w:r>
      <w:r>
        <w:fldChar w:fldCharType="end"/>
      </w:r>
    </w:p>
    <w:p>
      <w:pPr>
        <w:pStyle w:val="24"/>
        <w:spacing w:line="360" w:lineRule="auto"/>
        <w:rPr>
          <w:rFonts w:asciiTheme="minorHAnsi" w:hAnsiTheme="minorHAnsi" w:eastAsiaTheme="minorEastAsia" w:cstheme="minorBidi"/>
          <w:szCs w:val="22"/>
        </w:rPr>
      </w:pPr>
      <w:r>
        <w:fldChar w:fldCharType="begin"/>
      </w:r>
      <w:r>
        <w:instrText xml:space="preserve"> HYPERLINK \l "_Toc131409484" </w:instrText>
      </w:r>
      <w:r>
        <w:fldChar w:fldCharType="separate"/>
      </w:r>
      <w:r>
        <w:rPr>
          <w:rStyle w:val="33"/>
          <w:rFonts w:hint="eastAsia"/>
        </w:rPr>
        <w:t>6</w:t>
      </w:r>
      <w:r>
        <w:rPr>
          <w:rStyle w:val="33"/>
        </w:rPr>
        <w:t>.2 复查评审</w:t>
      </w:r>
      <w:r>
        <w:tab/>
      </w:r>
      <w:r>
        <w:fldChar w:fldCharType="begin"/>
      </w:r>
      <w:r>
        <w:instrText xml:space="preserve"> PAGEREF _Toc131409484 \h </w:instrText>
      </w:r>
      <w:r>
        <w:fldChar w:fldCharType="separate"/>
      </w:r>
      <w:r>
        <w:t>15</w:t>
      </w:r>
      <w:r>
        <w:fldChar w:fldCharType="end"/>
      </w:r>
      <w:r>
        <w:fldChar w:fldCharType="end"/>
      </w:r>
    </w:p>
    <w:p>
      <w:pPr>
        <w:pStyle w:val="24"/>
        <w:spacing w:line="360" w:lineRule="auto"/>
        <w:rPr>
          <w:rFonts w:asciiTheme="minorHAnsi" w:hAnsiTheme="minorHAnsi" w:eastAsiaTheme="minorEastAsia" w:cstheme="minorBidi"/>
          <w:szCs w:val="22"/>
        </w:rPr>
      </w:pPr>
      <w:r>
        <w:fldChar w:fldCharType="begin"/>
      </w:r>
      <w:r>
        <w:instrText xml:space="preserve"> HYPERLINK \l "_Toc131409485" </w:instrText>
      </w:r>
      <w:r>
        <w:fldChar w:fldCharType="separate"/>
      </w:r>
      <w:r>
        <w:rPr>
          <w:rStyle w:val="33"/>
          <w:rFonts w:hint="eastAsia"/>
        </w:rPr>
        <w:t>6</w:t>
      </w:r>
      <w:r>
        <w:rPr>
          <w:rStyle w:val="33"/>
        </w:rPr>
        <w:t>.3 扩项评审</w:t>
      </w:r>
      <w:r>
        <w:tab/>
      </w:r>
      <w:r>
        <w:fldChar w:fldCharType="begin"/>
      </w:r>
      <w:r>
        <w:instrText xml:space="preserve"> PAGEREF _Toc131409485 \h </w:instrText>
      </w:r>
      <w:r>
        <w:fldChar w:fldCharType="separate"/>
      </w:r>
      <w:r>
        <w:t>16</w:t>
      </w:r>
      <w:r>
        <w:fldChar w:fldCharType="end"/>
      </w:r>
      <w:r>
        <w:fldChar w:fldCharType="end"/>
      </w:r>
    </w:p>
    <w:p>
      <w:pPr>
        <w:pStyle w:val="24"/>
        <w:spacing w:line="360" w:lineRule="auto"/>
      </w:pPr>
      <w:r>
        <w:fldChar w:fldCharType="begin"/>
      </w:r>
      <w:r>
        <w:instrText xml:space="preserve"> HYPERLINK \l "_Toc131409486" </w:instrText>
      </w:r>
      <w:r>
        <w:fldChar w:fldCharType="separate"/>
      </w:r>
      <w:r>
        <w:rPr>
          <w:rStyle w:val="33"/>
          <w:rFonts w:hint="eastAsia"/>
        </w:rPr>
        <w:t>6</w:t>
      </w:r>
      <w:r>
        <w:rPr>
          <w:rStyle w:val="33"/>
        </w:rPr>
        <w:t>.4 变更评审</w:t>
      </w:r>
      <w:r>
        <w:tab/>
      </w:r>
      <w:r>
        <w:fldChar w:fldCharType="begin"/>
      </w:r>
      <w:r>
        <w:instrText xml:space="preserve"> PAGEREF _Toc131409486 \h </w:instrText>
      </w:r>
      <w:r>
        <w:fldChar w:fldCharType="separate"/>
      </w:r>
      <w:r>
        <w:t>16</w:t>
      </w:r>
      <w:r>
        <w:fldChar w:fldCharType="end"/>
      </w:r>
      <w:r>
        <w:fldChar w:fldCharType="end"/>
      </w:r>
    </w:p>
    <w:p>
      <w:pPr>
        <w:pStyle w:val="24"/>
        <w:spacing w:line="360" w:lineRule="auto"/>
        <w:ind w:left="0"/>
      </w:pPr>
      <w:r>
        <w:fldChar w:fldCharType="begin"/>
      </w:r>
      <w:r>
        <w:instrText xml:space="preserve"> HYPERLINK \l "_Toc131409486" </w:instrText>
      </w:r>
      <w:r>
        <w:fldChar w:fldCharType="separate"/>
      </w:r>
      <w:r>
        <w:rPr>
          <w:rStyle w:val="33"/>
          <w:rFonts w:hint="eastAsia"/>
        </w:rPr>
        <w:t xml:space="preserve">7 </w:t>
      </w:r>
      <w:r>
        <w:t>现场评审廉政纪律要求</w:t>
      </w:r>
      <w:r>
        <w:tab/>
      </w:r>
      <w:r>
        <w:fldChar w:fldCharType="begin"/>
      </w:r>
      <w:r>
        <w:instrText xml:space="preserve"> PAGEREF _Toc131409486 \h </w:instrText>
      </w:r>
      <w:r>
        <w:fldChar w:fldCharType="separate"/>
      </w:r>
      <w:r>
        <w:t>16</w:t>
      </w:r>
      <w:r>
        <w:fldChar w:fldCharType="end"/>
      </w:r>
      <w:r>
        <w:fldChar w:fldCharType="end"/>
      </w:r>
    </w:p>
    <w:p>
      <w:pPr>
        <w:pStyle w:val="19"/>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"_Toc131409488" </w:instrText>
      </w:r>
      <w:r>
        <w:fldChar w:fldCharType="separate"/>
      </w:r>
      <w:r>
        <w:rPr>
          <w:rStyle w:val="33"/>
          <w:spacing w:val="100"/>
        </w:rPr>
        <w:t>附录</w:t>
      </w:r>
      <w:r>
        <w:rPr>
          <w:rStyle w:val="33"/>
          <w:rFonts w:hint="eastAsia"/>
          <w:spacing w:val="100"/>
        </w:rPr>
        <w:t>A</w:t>
      </w:r>
      <w:r>
        <w:rPr>
          <w:rStyle w:val="33"/>
        </w:rPr>
        <w:t xml:space="preserve"> （资料性） 检验检测机构资质认定文件资料审查表</w:t>
      </w:r>
      <w:r>
        <w:tab/>
      </w:r>
      <w:r>
        <w:fldChar w:fldCharType="begin"/>
      </w:r>
      <w:r>
        <w:instrText xml:space="preserve"> PAGEREF _Toc131409488 \h </w:instrText>
      </w:r>
      <w:r>
        <w:fldChar w:fldCharType="separate"/>
      </w:r>
      <w:r>
        <w:t>17</w:t>
      </w:r>
      <w:r>
        <w:fldChar w:fldCharType="end"/>
      </w:r>
      <w:r>
        <w:fldChar w:fldCharType="end"/>
      </w:r>
    </w:p>
    <w:p>
      <w:pPr>
        <w:pStyle w:val="19"/>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"_Toc131409489" </w:instrText>
      </w:r>
      <w:r>
        <w:fldChar w:fldCharType="separate"/>
      </w:r>
      <w:r>
        <w:rPr>
          <w:rStyle w:val="33"/>
          <w:spacing w:val="100"/>
        </w:rPr>
        <w:t>附录</w:t>
      </w:r>
      <w:r>
        <w:rPr>
          <w:rStyle w:val="33"/>
          <w:rFonts w:hint="eastAsia"/>
          <w:spacing w:val="100"/>
        </w:rPr>
        <w:t>B</w:t>
      </w:r>
      <w:r>
        <w:rPr>
          <w:rStyle w:val="33"/>
        </w:rPr>
        <w:t xml:space="preserve"> （资料性） 现场评审日程表</w:t>
      </w:r>
      <w:r>
        <w:tab/>
      </w:r>
      <w:r>
        <w:fldChar w:fldCharType="begin"/>
      </w:r>
      <w:r>
        <w:instrText xml:space="preserve"> PAGEREF _Toc131409489 \h </w:instrText>
      </w:r>
      <w:r>
        <w:fldChar w:fldCharType="separate"/>
      </w:r>
      <w:r>
        <w:t>20</w:t>
      </w:r>
      <w:r>
        <w:fldChar w:fldCharType="end"/>
      </w:r>
      <w:r>
        <w:fldChar w:fldCharType="end"/>
      </w:r>
    </w:p>
    <w:p>
      <w:pPr>
        <w:pStyle w:val="19"/>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"_Toc131409490" </w:instrText>
      </w:r>
      <w:r>
        <w:fldChar w:fldCharType="separate"/>
      </w:r>
      <w:r>
        <w:rPr>
          <w:rStyle w:val="33"/>
          <w:spacing w:val="100"/>
        </w:rPr>
        <w:t>附录</w:t>
      </w:r>
      <w:r>
        <w:rPr>
          <w:rStyle w:val="33"/>
          <w:rFonts w:hint="eastAsia"/>
          <w:spacing w:val="100"/>
        </w:rPr>
        <w:t>C</w:t>
      </w:r>
      <w:r>
        <w:rPr>
          <w:rStyle w:val="33"/>
        </w:rPr>
        <w:t xml:space="preserve"> （资料性） 检验检测机构资质认定现场评审签到表</w:t>
      </w:r>
      <w:r>
        <w:tab/>
      </w:r>
      <w:r>
        <w:fldChar w:fldCharType="begin"/>
      </w:r>
      <w:r>
        <w:instrText xml:space="preserve"> PAGEREF _Toc131409490 \h </w:instrText>
      </w:r>
      <w:r>
        <w:fldChar w:fldCharType="separate"/>
      </w:r>
      <w:r>
        <w:t>21</w:t>
      </w:r>
      <w:r>
        <w:fldChar w:fldCharType="end"/>
      </w:r>
      <w:r>
        <w:fldChar w:fldCharType="end"/>
      </w:r>
    </w:p>
    <w:p>
      <w:pPr>
        <w:pStyle w:val="19"/>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"_Toc131409491" </w:instrText>
      </w:r>
      <w:r>
        <w:fldChar w:fldCharType="separate"/>
      </w:r>
      <w:r>
        <w:rPr>
          <w:rStyle w:val="33"/>
          <w:spacing w:val="100"/>
        </w:rPr>
        <w:t>附录</w:t>
      </w:r>
      <w:r>
        <w:rPr>
          <w:rStyle w:val="33"/>
          <w:rFonts w:hint="eastAsia"/>
          <w:spacing w:val="100"/>
        </w:rPr>
        <w:t>D</w:t>
      </w:r>
      <w:r>
        <w:rPr>
          <w:rStyle w:val="33"/>
        </w:rPr>
        <w:t xml:space="preserve"> （资料性） 授权签字人评价记录表</w:t>
      </w:r>
      <w:r>
        <w:tab/>
      </w:r>
      <w:r>
        <w:fldChar w:fldCharType="begin"/>
      </w:r>
      <w:r>
        <w:instrText xml:space="preserve"> PAGEREF _Toc131409491 \h </w:instrText>
      </w:r>
      <w:r>
        <w:fldChar w:fldCharType="separate"/>
      </w:r>
      <w:r>
        <w:t>22</w:t>
      </w:r>
      <w:r>
        <w:fldChar w:fldCharType="end"/>
      </w:r>
      <w:r>
        <w:fldChar w:fldCharType="end"/>
      </w:r>
    </w:p>
    <w:p>
      <w:pPr>
        <w:pStyle w:val="19"/>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"_Toc131409492" </w:instrText>
      </w:r>
      <w:r>
        <w:fldChar w:fldCharType="separate"/>
      </w:r>
      <w:r>
        <w:rPr>
          <w:rStyle w:val="33"/>
          <w:spacing w:val="100"/>
        </w:rPr>
        <w:t>附录</w:t>
      </w:r>
      <w:r>
        <w:rPr>
          <w:rStyle w:val="33"/>
          <w:rFonts w:hint="eastAsia"/>
          <w:spacing w:val="100"/>
        </w:rPr>
        <w:t>E</w:t>
      </w:r>
      <w:r>
        <w:rPr>
          <w:rStyle w:val="33"/>
        </w:rPr>
        <w:t xml:space="preserve"> （资料性） 基本符合项和不符合项汇总表</w:t>
      </w:r>
      <w:r>
        <w:tab/>
      </w:r>
      <w:r>
        <w:fldChar w:fldCharType="begin"/>
      </w:r>
      <w:r>
        <w:instrText xml:space="preserve"> PAGEREF _Toc131409492 \h </w:instrText>
      </w:r>
      <w:r>
        <w:fldChar w:fldCharType="separate"/>
      </w:r>
      <w:r>
        <w:t>23</w:t>
      </w:r>
      <w:r>
        <w:fldChar w:fldCharType="end"/>
      </w:r>
      <w:r>
        <w:fldChar w:fldCharType="end"/>
      </w:r>
    </w:p>
    <w:p>
      <w:pPr>
        <w:pStyle w:val="19"/>
        <w:tabs>
          <w:tab w:val="right" w:leader="dot" w:pos="9344"/>
        </w:tabs>
        <w:spacing w:line="360" w:lineRule="auto"/>
      </w:pPr>
      <w:r>
        <w:fldChar w:fldCharType="begin"/>
      </w:r>
      <w:r>
        <w:instrText xml:space="preserve"> HYPERLINK \l "_Toc131409493" </w:instrText>
      </w:r>
      <w:r>
        <w:fldChar w:fldCharType="separate"/>
      </w:r>
      <w:r>
        <w:rPr>
          <w:rStyle w:val="33"/>
          <w:spacing w:val="100"/>
        </w:rPr>
        <w:t>附录</w:t>
      </w:r>
      <w:r>
        <w:rPr>
          <w:rStyle w:val="33"/>
          <w:rFonts w:hint="eastAsia"/>
          <w:spacing w:val="100"/>
        </w:rPr>
        <w:t>F</w:t>
      </w:r>
      <w:r>
        <w:rPr>
          <w:rStyle w:val="33"/>
        </w:rPr>
        <w:t xml:space="preserve"> （资料性） 整改完成记录、评审组长确认意见表</w:t>
      </w:r>
      <w:r>
        <w:tab/>
      </w:r>
      <w:r>
        <w:fldChar w:fldCharType="begin"/>
      </w:r>
      <w:r>
        <w:instrText xml:space="preserve"> PAGEREF _Toc131409493 \h </w:instrText>
      </w:r>
      <w:r>
        <w:fldChar w:fldCharType="separate"/>
      </w:r>
      <w:r>
        <w:t>24</w:t>
      </w:r>
      <w:r>
        <w:fldChar w:fldCharType="end"/>
      </w:r>
      <w:r>
        <w:fldChar w:fldCharType="end"/>
      </w:r>
    </w:p>
    <w:p>
      <w:pPr>
        <w:pStyle w:val="19"/>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"_Toc131409487" </w:instrText>
      </w:r>
      <w:r>
        <w:fldChar w:fldCharType="separate"/>
      </w:r>
      <w:r>
        <w:rPr>
          <w:rStyle w:val="33"/>
          <w:spacing w:val="100"/>
        </w:rPr>
        <w:t>附录</w:t>
      </w:r>
      <w:r>
        <w:rPr>
          <w:rStyle w:val="33"/>
          <w:rFonts w:hint="eastAsia"/>
          <w:spacing w:val="100"/>
        </w:rPr>
        <w:t>G</w:t>
      </w:r>
      <w:r>
        <w:rPr>
          <w:rStyle w:val="33"/>
        </w:rPr>
        <w:t xml:space="preserve"> （资料性） 检验检测机构对资质认定评审组的工作评价反馈表</w:t>
      </w:r>
      <w:r>
        <w:tab/>
      </w:r>
      <w:r>
        <w:fldChar w:fldCharType="begin"/>
      </w:r>
      <w:r>
        <w:instrText xml:space="preserve"> PAGEREF _Toc131409487 \h </w:instrText>
      </w:r>
      <w:r>
        <w:fldChar w:fldCharType="separate"/>
      </w:r>
      <w:r>
        <w:t>25</w:t>
      </w:r>
      <w:r>
        <w:fldChar w:fldCharType="end"/>
      </w:r>
      <w:r>
        <w:fldChar w:fldCharType="end"/>
      </w:r>
    </w:p>
    <w:p>
      <w:pPr>
        <w:pStyle w:val="19"/>
        <w:tabs>
          <w:tab w:val="right" w:leader="dot" w:pos="9344"/>
        </w:tabs>
        <w:spacing w:line="360" w:lineRule="auto"/>
        <w:rPr>
          <w:rFonts w:asciiTheme="minorHAnsi" w:hAnsiTheme="minorHAnsi" w:eastAsiaTheme="minorEastAsia" w:cstheme="minorBidi"/>
          <w:szCs w:val="22"/>
        </w:rPr>
      </w:pPr>
      <w:r>
        <w:fldChar w:fldCharType="begin"/>
      </w:r>
      <w:r>
        <w:instrText xml:space="preserve"> HYPERLINK \l "_Toc131409494" </w:instrText>
      </w:r>
      <w:r>
        <w:fldChar w:fldCharType="separate"/>
      </w:r>
      <w:r>
        <w:rPr>
          <w:rStyle w:val="33"/>
          <w:spacing w:val="105"/>
        </w:rPr>
        <w:t>参考文</w:t>
      </w:r>
      <w:r>
        <w:rPr>
          <w:rStyle w:val="33"/>
        </w:rPr>
        <w:t>献</w:t>
      </w:r>
      <w:r>
        <w:tab/>
      </w:r>
      <w:r>
        <w:fldChar w:fldCharType="begin"/>
      </w:r>
      <w:r>
        <w:instrText xml:space="preserve"> PAGEREF _Toc131409494 \h </w:instrText>
      </w:r>
      <w:r>
        <w:fldChar w:fldCharType="separate"/>
      </w:r>
      <w:r>
        <w:t>27</w:t>
      </w:r>
      <w:r>
        <w:fldChar w:fldCharType="end"/>
      </w:r>
      <w:r>
        <w:fldChar w:fldCharType="end"/>
      </w:r>
    </w:p>
    <w:p>
      <w:pPr>
        <w:pStyle w:val="92"/>
        <w:spacing w:after="468" w:line="360" w:lineRule="auto"/>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90"/>
        <w:spacing w:before="900" w:after="468"/>
      </w:pPr>
      <w:bookmarkStart w:id="22" w:name="BookMark2"/>
      <w:r>
        <w:rPr>
          <w:spacing w:val="320"/>
        </w:rPr>
        <w:t>前</w:t>
      </w:r>
      <w:r>
        <w:t>言</w:t>
      </w:r>
    </w:p>
    <w:p>
      <w:pPr>
        <w:pStyle w:val="231"/>
        <w:rPr>
          <w:rFonts w:hint="eastAsia" w:ascii="Times New Roman"/>
        </w:rPr>
      </w:pPr>
      <w:r>
        <w:rPr>
          <w:rFonts w:hint="eastAsia" w:ascii="Times New Roman"/>
          <w:lang w:eastAsia="zh-CN"/>
        </w:rPr>
        <w:t>湖南省检验检测机构资质认定评审</w:t>
      </w:r>
      <w:r>
        <w:rPr>
          <w:rFonts w:hint="eastAsia" w:ascii="Times New Roman"/>
        </w:rPr>
        <w:t>系列地方标准由以下标准共同构成：</w:t>
      </w:r>
    </w:p>
    <w:p>
      <w:pPr>
        <w:pStyle w:val="231"/>
        <w:rPr>
          <w:rFonts w:hint="eastAsia" w:ascii="Times New Roman"/>
        </w:rPr>
      </w:pPr>
      <w:r>
        <w:rPr>
          <w:color w:val="000000"/>
        </w:rPr>
        <w:t>——</w:t>
      </w:r>
      <w:r>
        <w:rPr>
          <w:rFonts w:hint="eastAsia"/>
        </w:rPr>
        <w:t>第1部分</w:t>
      </w:r>
      <w:r>
        <w:rPr>
          <w:rFonts w:hint="eastAsia" w:ascii="Times New Roman"/>
        </w:rPr>
        <w:t>：</w:t>
      </w:r>
      <w:r>
        <w:rPr>
          <w:rFonts w:hint="eastAsia" w:ascii="Times New Roman"/>
          <w:lang w:eastAsia="zh-CN"/>
        </w:rPr>
        <w:t>现场评审工作规范</w:t>
      </w:r>
      <w:r>
        <w:rPr>
          <w:rFonts w:hint="eastAsia" w:ascii="Times New Roman"/>
        </w:rPr>
        <w:t>；</w:t>
      </w:r>
    </w:p>
    <w:p>
      <w:pPr>
        <w:pStyle w:val="231"/>
        <w:rPr>
          <w:rFonts w:hint="eastAsia" w:ascii="Times New Roman" w:eastAsia="宋体"/>
          <w:lang w:eastAsia="zh-CN"/>
        </w:rPr>
      </w:pPr>
      <w:r>
        <w:rPr>
          <w:color w:val="000000"/>
        </w:rPr>
        <w:t>——</w:t>
      </w:r>
      <w:r>
        <w:rPr>
          <w:rFonts w:hint="eastAsia"/>
        </w:rPr>
        <w:t>第2部分</w:t>
      </w:r>
      <w:r>
        <w:rPr>
          <w:rFonts w:hint="eastAsia" w:ascii="Times New Roman"/>
        </w:rPr>
        <w:t>：现场试验考核</w:t>
      </w:r>
      <w:r>
        <w:rPr>
          <w:rFonts w:hint="eastAsia" w:ascii="Times New Roman"/>
          <w:lang w:eastAsia="zh-CN"/>
        </w:rPr>
        <w:t>工作规范</w:t>
      </w:r>
      <w:r>
        <w:rPr>
          <w:rFonts w:hint="eastAsia" w:ascii="Times New Roman"/>
        </w:rPr>
        <w:t>；</w:t>
      </w:r>
      <w:r>
        <w:rPr>
          <w:rFonts w:hint="eastAsia" w:ascii="Times New Roman"/>
          <w:lang w:eastAsia="zh-CN"/>
        </w:rPr>
        <w:t>　</w:t>
      </w:r>
    </w:p>
    <w:p>
      <w:pPr>
        <w:pStyle w:val="231"/>
        <w:rPr>
          <w:rFonts w:hint="eastAsia" w:ascii="Times New Roman"/>
          <w:lang w:eastAsia="zh-CN"/>
        </w:rPr>
      </w:pPr>
      <w:r>
        <w:rPr>
          <w:color w:val="000000"/>
        </w:rPr>
        <w:t>——</w:t>
      </w:r>
      <w:r>
        <w:rPr>
          <w:rFonts w:hint="eastAsia"/>
        </w:rPr>
        <w:t>第3部分</w:t>
      </w:r>
      <w:r>
        <w:rPr>
          <w:rFonts w:hint="eastAsia" w:ascii="Times New Roman"/>
        </w:rPr>
        <w:t>：</w:t>
      </w:r>
      <w:r>
        <w:rPr>
          <w:rFonts w:hint="eastAsia" w:ascii="Times New Roman"/>
          <w:lang w:eastAsia="zh-CN"/>
        </w:rPr>
        <w:t>检验检测能力表述规范；</w:t>
      </w:r>
    </w:p>
    <w:p>
      <w:pPr>
        <w:pStyle w:val="231"/>
        <w:rPr>
          <w:rFonts w:hint="eastAsia" w:ascii="Times New Roman"/>
        </w:rPr>
      </w:pPr>
      <w:r>
        <w:rPr>
          <w:color w:val="000000"/>
        </w:rPr>
        <w:t>——</w:t>
      </w:r>
      <w:r>
        <w:rPr>
          <w:rFonts w:hint="eastAsia"/>
        </w:rPr>
        <w:t>第</w:t>
      </w:r>
      <w:r>
        <w:rPr>
          <w:rFonts w:hint="eastAsia"/>
          <w:lang w:val="en-US" w:eastAsia="zh-CN"/>
        </w:rPr>
        <w:t>4</w:t>
      </w:r>
      <w:r>
        <w:rPr>
          <w:rFonts w:hint="eastAsia"/>
        </w:rPr>
        <w:t>部分</w:t>
      </w:r>
      <w:r>
        <w:rPr>
          <w:rFonts w:hint="eastAsia" w:ascii="Times New Roman"/>
        </w:rPr>
        <w:t>：</w:t>
      </w:r>
      <w:r>
        <w:rPr>
          <w:rFonts w:hint="eastAsia" w:ascii="Times New Roman"/>
          <w:lang w:eastAsia="zh-CN"/>
        </w:rPr>
        <w:t>授权签字人考核工作规范</w:t>
      </w:r>
      <w:r>
        <w:rPr>
          <w:rFonts w:hint="eastAsia" w:ascii="Times New Roman"/>
        </w:rPr>
        <w:t>；</w:t>
      </w:r>
    </w:p>
    <w:p>
      <w:pPr>
        <w:pStyle w:val="231"/>
        <w:rPr>
          <w:rFonts w:hint="eastAsia" w:ascii="Times New Roman" w:eastAsia="宋体"/>
          <w:lang w:eastAsia="zh-CN"/>
        </w:rPr>
      </w:pPr>
      <w:r>
        <w:rPr>
          <w:color w:val="000000"/>
        </w:rPr>
        <w:t>——</w:t>
      </w:r>
      <w:r>
        <w:rPr>
          <w:rFonts w:hint="eastAsia"/>
        </w:rPr>
        <w:t>第</w:t>
      </w:r>
      <w:r>
        <w:rPr>
          <w:rFonts w:hint="eastAsia"/>
          <w:lang w:val="en-US" w:eastAsia="zh-CN"/>
        </w:rPr>
        <w:t>5</w:t>
      </w:r>
      <w:r>
        <w:rPr>
          <w:rFonts w:hint="eastAsia"/>
        </w:rPr>
        <w:t>部分</w:t>
      </w:r>
      <w:r>
        <w:rPr>
          <w:rFonts w:hint="eastAsia" w:ascii="Times New Roman"/>
        </w:rPr>
        <w:t>：</w:t>
      </w:r>
      <w:r>
        <w:rPr>
          <w:rFonts w:hint="eastAsia" w:ascii="Times New Roman"/>
          <w:lang w:eastAsia="zh-CN"/>
        </w:rPr>
        <w:t>评审人员管理规范</w:t>
      </w:r>
      <w:r>
        <w:rPr>
          <w:rFonts w:hint="eastAsia" w:ascii="Times New Roman"/>
        </w:rPr>
        <w:t>；</w:t>
      </w:r>
      <w:r>
        <w:rPr>
          <w:rFonts w:hint="eastAsia" w:ascii="Times New Roman"/>
          <w:lang w:eastAsia="zh-CN"/>
        </w:rPr>
        <w:t>　</w:t>
      </w:r>
    </w:p>
    <w:p>
      <w:pPr>
        <w:pStyle w:val="231"/>
        <w:rPr>
          <w:rFonts w:hint="eastAsia" w:ascii="Times New Roman"/>
          <w:lang w:val="en-US" w:eastAsia="zh-CN"/>
        </w:rPr>
      </w:pPr>
      <w:r>
        <w:rPr>
          <w:color w:val="000000"/>
        </w:rPr>
        <w:t>——</w:t>
      </w:r>
      <w:r>
        <w:rPr>
          <w:rFonts w:hint="eastAsia"/>
        </w:rPr>
        <w:t>第</w:t>
      </w:r>
      <w:r>
        <w:rPr>
          <w:rFonts w:hint="eastAsia"/>
          <w:lang w:val="en-US" w:eastAsia="zh-CN"/>
        </w:rPr>
        <w:t>6</w:t>
      </w:r>
      <w:r>
        <w:rPr>
          <w:rFonts w:hint="eastAsia"/>
        </w:rPr>
        <w:t>部分</w:t>
      </w:r>
      <w:r>
        <w:rPr>
          <w:rFonts w:hint="eastAsia" w:ascii="Times New Roman"/>
          <w:color w:val="auto"/>
        </w:rPr>
        <w:t>：</w:t>
      </w:r>
      <w:r>
        <w:rPr>
          <w:rFonts w:hint="eastAsia"/>
          <w:color w:val="auto"/>
          <w:highlight w:val="none"/>
        </w:rPr>
        <w:t>告知承诺制证后核查</w:t>
      </w:r>
      <w:r>
        <w:rPr>
          <w:rFonts w:hint="eastAsia" w:ascii="Times New Roman"/>
          <w:color w:val="auto"/>
          <w:lang w:eastAsia="zh-CN"/>
        </w:rPr>
        <w:t>工作规范</w:t>
      </w:r>
      <w:r>
        <w:rPr>
          <w:rFonts w:hint="eastAsia" w:ascii="Times New Roman"/>
          <w:color w:val="auto"/>
          <w:lang w:val="en-US" w:eastAsia="zh-CN"/>
        </w:rPr>
        <w:t>。</w:t>
      </w:r>
    </w:p>
    <w:p>
      <w:pPr>
        <w:pStyle w:val="57"/>
        <w:ind w:firstLine="420"/>
        <w:rPr>
          <w:rFonts w:hint="eastAsia" w:hAnsi="Times New Roman" w:eastAsia="宋体" w:cs="Times New Roman"/>
          <w:color w:val="FF0000"/>
          <w:lang w:val="en-US" w:eastAsia="zh-CN"/>
        </w:rPr>
      </w:pPr>
      <w:r>
        <w:rPr>
          <w:rFonts w:hint="eastAsia" w:hAnsi="Times New Roman" w:cs="Times New Roman"/>
        </w:rPr>
        <w:t>本</w:t>
      </w:r>
      <w:r>
        <w:rPr>
          <w:rFonts w:hint="eastAsia" w:hAnsi="Times New Roman" w:cs="Times New Roman"/>
          <w:lang w:eastAsia="zh-CN"/>
        </w:rPr>
        <w:t>文件</w:t>
      </w:r>
      <w:r>
        <w:rPr>
          <w:rFonts w:hint="eastAsia" w:hAnsi="Times New Roman" w:cs="Times New Roman"/>
        </w:rPr>
        <w:t>为</w:t>
      </w:r>
      <w:r>
        <w:rPr>
          <w:rFonts w:hint="eastAsia" w:hAnsi="Times New Roman" w:cs="Times New Roman"/>
          <w:lang w:eastAsia="zh-CN"/>
        </w:rPr>
        <w:t>湖南省检验检测机构资质认定评审</w:t>
      </w:r>
      <w:r>
        <w:rPr>
          <w:rFonts w:hint="eastAsia" w:hAnsi="Times New Roman" w:cs="Times New Roman"/>
        </w:rPr>
        <w:t>系列地方标准</w:t>
      </w:r>
      <w:r>
        <w:rPr>
          <w:rFonts w:hint="eastAsia" w:hAnsi="Times New Roman" w:cs="Times New Roman"/>
          <w:color w:val="000000" w:themeColor="text1"/>
        </w:rPr>
        <w:t>的第1</w:t>
      </w:r>
      <w:r>
        <w:rPr>
          <w:rFonts w:hint="eastAsia" w:hAnsi="Times New Roman" w:cs="Times New Roman"/>
          <w:color w:val="000000" w:themeColor="text1"/>
          <w:lang w:eastAsia="zh-CN"/>
        </w:rPr>
        <w:t>部分</w:t>
      </w:r>
      <w:r>
        <w:rPr>
          <w:rFonts w:hint="eastAsia" w:hAnsi="Times New Roman" w:cs="Times New Roman"/>
          <w:color w:val="000000" w:themeColor="text1"/>
        </w:rPr>
        <w:t>。</w:t>
      </w:r>
      <w:r>
        <w:rPr>
          <w:rFonts w:hint="eastAsia" w:hAnsi="Times New Roman" w:cs="Times New Roman"/>
          <w:color w:val="000000" w:themeColor="text1"/>
          <w:lang w:val="en-US" w:eastAsia="zh-CN"/>
        </w:rPr>
        <w:t xml:space="preserve"> </w:t>
      </w:r>
    </w:p>
    <w:p>
      <w:pPr>
        <w:pStyle w:val="57"/>
        <w:ind w:left="0" w:leftChars="0" w:firstLine="420" w:firstLineChars="200"/>
        <w:rPr>
          <w:rFonts w:hint="eastAsia" w:hAnsi="Times New Roman" w:cs="Times New Roman"/>
        </w:rPr>
      </w:pPr>
      <w:r>
        <w:rPr>
          <w:rFonts w:hint="eastAsia" w:hAnsi="Times New Roman" w:cs="Times New Roman"/>
          <w:lang w:eastAsia="zh-CN"/>
        </w:rPr>
        <w:t>本文件</w:t>
      </w:r>
      <w:r>
        <w:rPr>
          <w:rFonts w:hint="eastAsia" w:hAnsi="Times New Roman" w:cs="Times New Roman"/>
        </w:rPr>
        <w:t>按照</w:t>
      </w:r>
      <w:r>
        <w:rPr>
          <w:rFonts w:hint="eastAsia" w:hAnsi="Times New Roman" w:cs="Times New Roman"/>
          <w:lang w:eastAsia="zh-CN"/>
        </w:rPr>
        <w:t>GB/T 1.1—2020</w:t>
      </w:r>
      <w:r>
        <w:rPr>
          <w:rFonts w:hint="eastAsia" w:hAnsi="Times New Roman" w:cs="Times New Roman"/>
          <w:lang w:val="en-US" w:eastAsia="zh-CN"/>
        </w:rPr>
        <w:t>《标准化工作导则 第 1 部分：标准化文件的结构和起草规则》</w:t>
      </w:r>
      <w:r>
        <w:rPr>
          <w:rFonts w:hint="eastAsia" w:hAnsi="Times New Roman" w:cs="Times New Roman"/>
        </w:rPr>
        <w:t>的</w:t>
      </w:r>
      <w:r>
        <w:rPr>
          <w:rFonts w:hint="eastAsia" w:hAnsi="Times New Roman" w:cs="Times New Roman"/>
          <w:lang w:eastAsia="zh-CN"/>
        </w:rPr>
        <w:t>规定</w:t>
      </w:r>
      <w:r>
        <w:rPr>
          <w:rFonts w:hint="eastAsia" w:hAnsi="Times New Roman" w:cs="Times New Roman"/>
        </w:rPr>
        <w:t>起草。</w:t>
      </w:r>
    </w:p>
    <w:p>
      <w:pPr>
        <w:pStyle w:val="57"/>
        <w:ind w:firstLine="420"/>
        <w:rPr>
          <w:rFonts w:hint="eastAsia" w:hAnsi="Times New Roman" w:cs="Times New Roman"/>
        </w:rPr>
      </w:pPr>
      <w:r>
        <w:rPr>
          <w:rFonts w:hint="eastAsia" w:hAnsi="Times New Roman" w:cs="Times New Roman"/>
          <w:lang w:val="en-US" w:eastAsia="zh-CN"/>
        </w:rPr>
        <w:t>请注意本文件的某些内容可能涉及专利。本文件的发布机构不承担识别专利的责任。</w:t>
      </w:r>
    </w:p>
    <w:p>
      <w:pPr>
        <w:pStyle w:val="57"/>
        <w:ind w:firstLine="420"/>
        <w:rPr>
          <w:rFonts w:hint="eastAsia" w:hAnsi="Times New Roman" w:cs="Times New Roman"/>
        </w:rPr>
      </w:pPr>
      <w:r>
        <w:rPr>
          <w:rFonts w:hint="eastAsia" w:hAnsi="Times New Roman" w:cs="Times New Roman"/>
          <w:lang w:eastAsia="zh-CN"/>
        </w:rPr>
        <w:t>本文件</w:t>
      </w:r>
      <w:r>
        <w:rPr>
          <w:rFonts w:hint="eastAsia" w:hAnsi="Times New Roman" w:cs="Times New Roman"/>
        </w:rPr>
        <w:t>由湖南省市场监督管理局提出并归口。</w:t>
      </w:r>
    </w:p>
    <w:p>
      <w:pPr>
        <w:pStyle w:val="57"/>
        <w:ind w:firstLine="420"/>
        <w:rPr>
          <w:rFonts w:hint="eastAsia" w:hAnsi="Times New Roman" w:cs="Times New Roman"/>
        </w:rPr>
      </w:pPr>
      <w:r>
        <w:rPr>
          <w:rFonts w:hint="eastAsia" w:hAnsi="Times New Roman" w:cs="Times New Roman"/>
          <w:lang w:val="en-US" w:eastAsia="zh-CN"/>
        </w:rPr>
        <w:t xml:space="preserve">本文件起草单位：     </w:t>
      </w:r>
      <w:r>
        <w:rPr>
          <w:rFonts w:hint="default" w:hAnsi="Times New Roman" w:cs="Times New Roman"/>
          <w:lang w:val="en-US" w:eastAsia="zh-CN"/>
        </w:rPr>
        <w:t xml:space="preserve">。 </w:t>
      </w:r>
    </w:p>
    <w:p>
      <w:pPr>
        <w:pStyle w:val="57"/>
        <w:ind w:firstLine="420"/>
        <w:rPr>
          <w:rFonts w:hint="default" w:hAnsi="Times New Roman" w:cs="Times New Roman"/>
          <w:lang w:val="en-US"/>
        </w:rPr>
      </w:pPr>
      <w:r>
        <w:rPr>
          <w:rFonts w:hint="default" w:hAnsi="Times New Roman" w:cs="Times New Roman"/>
          <w:lang w:val="en-US" w:eastAsia="zh-CN"/>
        </w:rPr>
        <w:t>本文件主要起草人：</w:t>
      </w:r>
      <w:r>
        <w:rPr>
          <w:rFonts w:hint="eastAsia" w:hAnsi="Times New Roman" w:cs="Times New Roman"/>
          <w:lang w:val="en-US" w:eastAsia="zh-CN"/>
        </w:rPr>
        <w:t xml:space="preserve">    。</w:t>
      </w:r>
    </w:p>
    <w:p>
      <w:pPr>
        <w:pStyle w:val="57"/>
        <w:ind w:firstLine="420"/>
      </w:pPr>
    </w:p>
    <w:p>
      <w:pPr>
        <w:pStyle w:val="57"/>
        <w:ind w:firstLine="420"/>
      </w:pPr>
    </w:p>
    <w:p>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22"/>
    <w:p>
      <w:pPr>
        <w:spacing w:line="20" w:lineRule="exact"/>
        <w:jc w:val="center"/>
        <w:rPr>
          <w:rFonts w:ascii="黑体" w:hAnsi="黑体" w:eastAsia="黑体"/>
          <w:sz w:val="32"/>
          <w:szCs w:val="32"/>
        </w:rPr>
      </w:pPr>
      <w:bookmarkStart w:id="23" w:name="BookMark4"/>
    </w:p>
    <w:p>
      <w:pPr>
        <w:spacing w:line="20" w:lineRule="exact"/>
        <w:jc w:val="center"/>
        <w:rPr>
          <w:rFonts w:ascii="黑体" w:hAnsi="黑体" w:eastAsia="黑体"/>
          <w:sz w:val="32"/>
          <w:szCs w:val="32"/>
        </w:rPr>
      </w:pPr>
    </w:p>
    <w:sdt>
      <w:sdtPr>
        <w:tag w:val="NEW_STAND_NAME"/>
        <w:id w:val="595910757"/>
        <w:lock w:val="sdtLocked"/>
        <w:placeholder>
          <w:docPart w:val="E815A2F7DA7143A48EDF79F9742301B1"/>
        </w:placeholder>
      </w:sdtPr>
      <w:sdtContent>
        <w:p>
          <w:pPr>
            <w:pStyle w:val="178"/>
            <w:spacing w:beforeLines="1" w:afterLines="1"/>
            <w:rPr>
              <w:rFonts w:hint="eastAsia" w:eastAsia="黑体"/>
              <w:lang w:eastAsia="zh-CN"/>
            </w:rPr>
          </w:pPr>
          <w:bookmarkStart w:id="24" w:name="NEW_STAND_NAME"/>
          <w:r>
            <w:rPr>
              <w:rFonts w:hint="eastAsia"/>
            </w:rPr>
            <w:t>检验检测机构资质认定</w:t>
          </w:r>
          <w:r>
            <w:rPr>
              <w:rFonts w:hint="eastAsia"/>
              <w:lang w:eastAsia="zh-CN"/>
            </w:rPr>
            <w:t>评审</w:t>
          </w:r>
        </w:p>
        <w:p>
          <w:pPr>
            <w:pStyle w:val="178"/>
            <w:spacing w:beforeLines="1" w:after="680"/>
          </w:pPr>
          <w:r>
            <w:rPr>
              <w:rFonts w:hint="eastAsia"/>
              <w:lang w:eastAsia="zh-CN"/>
            </w:rPr>
            <w:t>第</w:t>
          </w:r>
          <w:r>
            <w:rPr>
              <w:rFonts w:hint="eastAsia"/>
              <w:lang w:val="en-US" w:eastAsia="zh-CN"/>
            </w:rPr>
            <w:t>1</w:t>
          </w:r>
          <w:r>
            <w:rPr>
              <w:rFonts w:hint="eastAsia"/>
              <w:lang w:eastAsia="zh-CN"/>
            </w:rPr>
            <w:t>部分</w:t>
          </w:r>
          <w:r>
            <w:t>--现场评审工作规范</w:t>
          </w:r>
        </w:p>
      </w:sdtContent>
    </w:sdt>
    <w:bookmarkEnd w:id="24"/>
    <w:p>
      <w:pPr>
        <w:pStyle w:val="105"/>
        <w:spacing w:before="312" w:after="312"/>
      </w:pPr>
      <w:bookmarkStart w:id="25" w:name="_Toc26648465"/>
      <w:bookmarkStart w:id="26" w:name="_Toc97191423"/>
      <w:bookmarkStart w:id="27" w:name="_Toc17233325"/>
      <w:bookmarkStart w:id="28" w:name="_Toc26986771"/>
      <w:bookmarkStart w:id="29" w:name="_Toc24884211"/>
      <w:bookmarkStart w:id="30" w:name="_Toc17233333"/>
      <w:bookmarkStart w:id="31" w:name="_Toc24884218"/>
      <w:bookmarkStart w:id="32" w:name="_Toc26986530"/>
      <w:bookmarkStart w:id="33" w:name="_Toc26718930"/>
      <w:bookmarkStart w:id="34" w:name="_Toc131409449"/>
      <w:r>
        <w:rPr>
          <w:rFonts w:hint="eastAsia"/>
        </w:rPr>
        <w:t>范围</w:t>
      </w:r>
      <w:bookmarkEnd w:id="25"/>
      <w:bookmarkEnd w:id="26"/>
      <w:bookmarkEnd w:id="27"/>
      <w:bookmarkEnd w:id="28"/>
      <w:bookmarkEnd w:id="29"/>
      <w:bookmarkEnd w:id="30"/>
      <w:bookmarkEnd w:id="31"/>
      <w:bookmarkEnd w:id="32"/>
      <w:bookmarkEnd w:id="33"/>
      <w:bookmarkEnd w:id="34"/>
    </w:p>
    <w:p>
      <w:pPr>
        <w:pStyle w:val="57"/>
        <w:ind w:firstLine="420"/>
      </w:pPr>
      <w:bookmarkStart w:id="35" w:name="_Toc24884212"/>
      <w:bookmarkStart w:id="36" w:name="_Toc26648466"/>
      <w:bookmarkStart w:id="37" w:name="_Toc17233334"/>
      <w:bookmarkStart w:id="38" w:name="_Toc24884219"/>
      <w:bookmarkStart w:id="39" w:name="_Toc17233326"/>
      <w:r>
        <w:rPr>
          <w:rFonts w:hint="eastAsia"/>
        </w:rPr>
        <w:t>本文件规定了湖南省检验检测机构资质认定现场评审工作的人员职责、现场评审流程、不同评审类型的特殊要求。</w:t>
      </w:r>
    </w:p>
    <w:p>
      <w:pPr>
        <w:pStyle w:val="57"/>
        <w:ind w:firstLine="420"/>
      </w:pPr>
      <w:r>
        <w:rPr>
          <w:rFonts w:hint="eastAsia"/>
        </w:rPr>
        <w:t>本文件适用于湖南省检验检测机构资质认定一般程序中的现场评审工作，包括首次评审、扩项评审、复查评审和变更评审。</w:t>
      </w:r>
      <w:r>
        <w:rPr>
          <w:rFonts w:hint="eastAsia"/>
          <w:highlight w:val="none"/>
        </w:rPr>
        <w:t>不适用于告知承诺制的证后核查及特殊情况下的远程评审。</w:t>
      </w:r>
    </w:p>
    <w:p>
      <w:pPr>
        <w:pStyle w:val="105"/>
        <w:spacing w:before="312" w:after="312"/>
      </w:pPr>
      <w:bookmarkStart w:id="40" w:name="_Toc26718931"/>
      <w:bookmarkStart w:id="41" w:name="_Toc26986531"/>
      <w:bookmarkStart w:id="42" w:name="_Toc97191424"/>
      <w:bookmarkStart w:id="43" w:name="_Toc131409450"/>
      <w:bookmarkStart w:id="44" w:name="_Toc26986772"/>
      <w:r>
        <w:rPr>
          <w:rFonts w:hint="eastAsia"/>
        </w:rPr>
        <w:t>规范性引用文件</w:t>
      </w:r>
      <w:bookmarkEnd w:id="35"/>
      <w:bookmarkEnd w:id="36"/>
      <w:bookmarkEnd w:id="37"/>
      <w:bookmarkEnd w:id="38"/>
      <w:bookmarkEnd w:id="39"/>
      <w:bookmarkEnd w:id="40"/>
      <w:bookmarkEnd w:id="41"/>
      <w:bookmarkEnd w:id="42"/>
      <w:bookmarkEnd w:id="43"/>
      <w:bookmarkEnd w:id="44"/>
    </w:p>
    <w:sdt>
      <w:sdtPr>
        <w:rPr>
          <w:rFonts w:hint="eastAsia"/>
        </w:rPr>
        <w:id w:val="715848253"/>
        <w:placeholder>
          <w:docPart w:val="6BD85B8270404E5F92E828CE85C319A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pPr>
      <w:r>
        <w:rPr>
          <w:rFonts w:hint="eastAsia"/>
        </w:rPr>
        <w:t>RB/T 041  检验检测机构管理和技术能力评价 生态环境监测要求</w:t>
      </w:r>
    </w:p>
    <w:p>
      <w:pPr>
        <w:pStyle w:val="57"/>
        <w:ind w:firstLine="420"/>
      </w:pPr>
      <w:r>
        <w:rPr>
          <w:rFonts w:hint="eastAsia"/>
        </w:rPr>
        <w:t>RB/T 046  检验检测机构管理和技术能力评价 授权签字人要求</w:t>
      </w:r>
    </w:p>
    <w:p>
      <w:pPr>
        <w:pStyle w:val="57"/>
        <w:ind w:firstLine="420"/>
      </w:pPr>
      <w:r>
        <w:rPr>
          <w:rFonts w:hint="eastAsia"/>
        </w:rPr>
        <w:t>RB/T 213  检验检测机构资质认定能力评价 评审员管理要求</w:t>
      </w:r>
    </w:p>
    <w:p>
      <w:pPr>
        <w:pStyle w:val="57"/>
        <w:ind w:firstLine="420"/>
      </w:pPr>
      <w:r>
        <w:rPr>
          <w:rFonts w:hint="eastAsia"/>
        </w:rPr>
        <w:t>RB/T 214　检验检测机构资质认定能力评价 检验检测机构通用要求</w:t>
      </w:r>
    </w:p>
    <w:p>
      <w:pPr>
        <w:pStyle w:val="57"/>
        <w:ind w:firstLine="420"/>
      </w:pPr>
      <w:r>
        <w:rPr>
          <w:rFonts w:hint="eastAsia"/>
        </w:rPr>
        <w:t>RB/T 215  检验检测机构资质认定能力评价 食品检验机构要求</w:t>
      </w:r>
    </w:p>
    <w:p>
      <w:pPr>
        <w:pStyle w:val="57"/>
        <w:ind w:firstLine="420"/>
      </w:pPr>
      <w:r>
        <w:rPr>
          <w:rFonts w:hint="eastAsia"/>
        </w:rPr>
        <w:t>RB/T 217  检验检测机构资质认定能力评价 医疗器械检验机构要求</w:t>
      </w:r>
    </w:p>
    <w:p>
      <w:pPr>
        <w:pStyle w:val="57"/>
        <w:ind w:firstLine="420"/>
      </w:pPr>
      <w:r>
        <w:rPr>
          <w:rFonts w:hint="eastAsia"/>
        </w:rPr>
        <w:t>RB/T 218  检验检测机构资质认定能力评价 机动车检验机构要求</w:t>
      </w:r>
    </w:p>
    <w:p>
      <w:pPr>
        <w:pStyle w:val="57"/>
        <w:ind w:firstLine="420"/>
      </w:pPr>
      <w:r>
        <w:rPr>
          <w:rFonts w:hint="eastAsia"/>
        </w:rPr>
        <w:t>RB/T 219  检验检测机构资质认定能力评价 司法鉴定机构要求</w:t>
      </w:r>
    </w:p>
    <w:p>
      <w:pPr>
        <w:pStyle w:val="105"/>
        <w:spacing w:before="312" w:after="312"/>
      </w:pPr>
      <w:bookmarkStart w:id="45" w:name="_Toc97191425"/>
      <w:bookmarkStart w:id="46" w:name="_Toc131409451"/>
      <w:r>
        <w:rPr>
          <w:rFonts w:hint="eastAsia"/>
          <w:szCs w:val="21"/>
        </w:rPr>
        <w:t>术语和定义</w:t>
      </w:r>
      <w:bookmarkEnd w:id="45"/>
      <w:bookmarkEnd w:id="46"/>
    </w:p>
    <w:sdt>
      <w:sdtPr>
        <w:id w:val="-1909835108"/>
        <w:placeholder>
          <w:docPart w:val="4188035E201E4444A9C9DBD31E25C08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47" w:name="_Toc26986532"/>
          <w:bookmarkEnd w:id="47"/>
          <w:r>
            <w:t>下列术语和定义适用于本文件。</w:t>
          </w:r>
        </w:p>
      </w:sdtContent>
    </w:sdt>
    <w:p>
      <w:pPr>
        <w:pStyle w:val="224"/>
        <w:numPr>
          <w:numId w:val="0"/>
        </w:numPr>
        <w:ind w:leftChars="-200"/>
        <w:rPr>
          <w:rFonts w:ascii="黑体" w:hAnsi="黑体" w:eastAsia="黑体"/>
        </w:rPr>
      </w:pPr>
    </w:p>
    <w:p>
      <w:pPr>
        <w:pStyle w:val="224"/>
        <w:ind w:left="420" w:hanging="420" w:hangingChars="200"/>
        <w:rPr>
          <w:rFonts w:ascii="黑体" w:hAnsi="黑体" w:eastAsia="黑体"/>
        </w:rPr>
      </w:pPr>
      <w:r>
        <w:rPr>
          <w:rFonts w:hint="eastAsia" w:ascii="黑体" w:hAnsi="黑体" w:eastAsia="黑体"/>
        </w:rPr>
        <w:t>专业技术评价机构p</w:t>
      </w:r>
      <w:r>
        <w:rPr>
          <w:rFonts w:ascii="黑体" w:hAnsi="黑体" w:eastAsia="黑体"/>
        </w:rPr>
        <w:t xml:space="preserve">rofessional </w:t>
      </w:r>
      <w:r>
        <w:rPr>
          <w:rFonts w:ascii="黑体" w:eastAsia="黑体"/>
          <w:color w:val="000000"/>
        </w:rPr>
        <w:t>technologyevaluationinstitutions</w:t>
      </w:r>
    </w:p>
    <w:p>
      <w:pPr>
        <w:pStyle w:val="57"/>
        <w:ind w:firstLine="420"/>
      </w:pPr>
      <w:r>
        <w:rPr>
          <w:color w:val="000000"/>
        </w:rPr>
        <w:t>接受检验检测机构资质认定部门委托，组织</w:t>
      </w:r>
      <w:r>
        <w:rPr>
          <w:rFonts w:hint="eastAsia"/>
          <w:color w:val="000000"/>
        </w:rPr>
        <w:t>实施</w:t>
      </w:r>
      <w:r>
        <w:rPr>
          <w:color w:val="000000"/>
        </w:rPr>
        <w:t>检验检测机构资质认定技术评审工作的机构。</w:t>
      </w:r>
    </w:p>
    <w:p>
      <w:pPr>
        <w:pStyle w:val="224"/>
        <w:numPr>
          <w:numId w:val="0"/>
        </w:numPr>
        <w:ind w:leftChars="-200"/>
        <w:rPr>
          <w:rFonts w:ascii="黑体" w:hAnsi="黑体" w:eastAsia="黑体"/>
        </w:rPr>
      </w:pPr>
    </w:p>
    <w:p>
      <w:pPr>
        <w:pStyle w:val="224"/>
        <w:ind w:left="420" w:hanging="420" w:hangingChars="200"/>
        <w:rPr>
          <w:rFonts w:ascii="黑体" w:hAnsi="黑体" w:eastAsia="黑体"/>
        </w:rPr>
      </w:pPr>
      <w:r>
        <w:rPr>
          <w:rFonts w:hint="eastAsia" w:ascii="黑体" w:hAnsi="黑体" w:eastAsia="黑体"/>
        </w:rPr>
        <w:t xml:space="preserve">检验检测机构 </w:t>
      </w:r>
      <w:r>
        <w:rPr>
          <w:rFonts w:ascii="黑体" w:hAnsi="黑体" w:eastAsia="黑体"/>
        </w:rPr>
        <w:t xml:space="preserve">inspection </w:t>
      </w:r>
      <w:r>
        <w:rPr>
          <w:rFonts w:hint="eastAsia" w:ascii="黑体" w:hAnsi="黑体" w:eastAsia="黑体"/>
        </w:rPr>
        <w:t>body and laboratory</w:t>
      </w:r>
    </w:p>
    <w:p>
      <w:pPr>
        <w:pStyle w:val="57"/>
        <w:ind w:firstLine="420"/>
      </w:pPr>
      <w:r>
        <w:rPr>
          <w:rFonts w:hint="eastAsia"/>
        </w:rPr>
        <w:t>按照《检验检测机构资质认定管理办法》等法律法规的相关规定成立，依据相关标准或者技术规范，利用仪器设备、环境设施等技术条件和专业技能，对产品或者法律法规规定的特定对象进行检验检测的专业技术组织。</w:t>
      </w:r>
    </w:p>
    <w:p>
      <w:pPr>
        <w:pStyle w:val="224"/>
        <w:numPr>
          <w:numId w:val="0"/>
        </w:numPr>
        <w:ind w:leftChars="-200"/>
        <w:rPr>
          <w:rFonts w:ascii="黑体" w:hAnsi="黑体" w:eastAsia="黑体"/>
        </w:rPr>
      </w:pPr>
      <w:bookmarkStart w:id="93" w:name="_GoBack"/>
      <w:bookmarkEnd w:id="93"/>
    </w:p>
    <w:p>
      <w:pPr>
        <w:pStyle w:val="224"/>
        <w:ind w:left="420" w:hanging="420" w:hangingChars="200"/>
        <w:rPr>
          <w:rFonts w:ascii="黑体" w:hAnsi="黑体" w:eastAsia="黑体"/>
        </w:rPr>
      </w:pPr>
      <w:r>
        <w:rPr>
          <w:rFonts w:hint="eastAsia" w:ascii="黑体" w:hAnsi="黑体" w:eastAsia="黑体"/>
        </w:rPr>
        <w:t xml:space="preserve">资质认定 </w:t>
      </w:r>
      <w:r>
        <w:rPr>
          <w:rFonts w:ascii="黑体" w:hAnsi="黑体" w:eastAsia="黑体"/>
        </w:rPr>
        <w:t xml:space="preserve">mandatory </w:t>
      </w:r>
      <w:r>
        <w:rPr>
          <w:rFonts w:hint="eastAsia" w:ascii="黑体" w:hAnsi="黑体" w:eastAsia="黑体"/>
        </w:rPr>
        <w:t>approval</w:t>
      </w:r>
    </w:p>
    <w:p>
      <w:pPr>
        <w:pStyle w:val="57"/>
        <w:ind w:firstLine="420"/>
      </w:pPr>
      <w:r>
        <w:rPr>
          <w:rFonts w:hint="eastAsia"/>
        </w:rPr>
        <w:t>依照《检验检测机构资质认定管理办法》的相关规定，由市场监督管理部门依照法律、行政法规规定，对向社会出具具有证明作用的数据、结果的检验检测机构的基本条件和技术能力是否符合法定要求实施的评价许可。</w:t>
      </w:r>
    </w:p>
    <w:p>
      <w:pPr>
        <w:pStyle w:val="224"/>
        <w:numPr>
          <w:numId w:val="0"/>
        </w:numPr>
        <w:ind w:leftChars="-200"/>
        <w:rPr>
          <w:rFonts w:ascii="黑体" w:hAnsi="黑体" w:eastAsia="黑体"/>
        </w:rPr>
      </w:pPr>
    </w:p>
    <w:p>
      <w:pPr>
        <w:pStyle w:val="224"/>
        <w:ind w:left="420" w:hanging="420" w:hangingChars="200"/>
        <w:rPr>
          <w:rFonts w:ascii="黑体" w:hAnsi="黑体" w:eastAsia="黑体"/>
        </w:rPr>
      </w:pPr>
      <w:r>
        <w:rPr>
          <w:rFonts w:hint="eastAsia" w:ascii="黑体" w:hAnsi="黑体" w:eastAsia="黑体"/>
        </w:rPr>
        <w:t>现场评审</w:t>
      </w:r>
      <w:r>
        <w:rPr>
          <w:rFonts w:ascii="黑体" w:hAnsi="黑体" w:eastAsia="黑体"/>
        </w:rPr>
        <w:t>inspection and test competence specification</w:t>
      </w:r>
    </w:p>
    <w:p>
      <w:pPr>
        <w:pStyle w:val="57"/>
        <w:ind w:firstLine="420"/>
      </w:pPr>
      <w:r>
        <w:rPr>
          <w:rFonts w:hint="eastAsia"/>
        </w:rPr>
        <w:t>依照《检验检测机构资质认定管理办法》的相关规定，由资质认定部门自行或者委托专业技术评价机构组织相关专业评审人员，对检验检测机构申请的资质认定事项是否符合资质认定条件以及相关要求所进行的现场技术审查。</w:t>
      </w:r>
    </w:p>
    <w:p>
      <w:pPr>
        <w:pStyle w:val="224"/>
        <w:numPr>
          <w:numId w:val="0"/>
        </w:numPr>
        <w:ind w:leftChars="-200"/>
        <w:rPr>
          <w:rFonts w:ascii="黑体" w:eastAsia="黑体"/>
          <w:color w:val="000000"/>
        </w:rPr>
      </w:pPr>
    </w:p>
    <w:p>
      <w:pPr>
        <w:pStyle w:val="224"/>
        <w:ind w:left="420" w:hanging="420" w:hangingChars="200"/>
        <w:rPr>
          <w:rFonts w:ascii="黑体" w:eastAsia="黑体"/>
          <w:color w:val="000000"/>
        </w:rPr>
      </w:pPr>
      <w:r>
        <w:rPr>
          <w:rFonts w:hint="eastAsia" w:ascii="黑体" w:hAnsi="黑体" w:eastAsia="黑体"/>
        </w:rPr>
        <w:t xml:space="preserve">资质认定评审组 </w:t>
      </w:r>
      <w:r>
        <w:rPr>
          <w:rFonts w:ascii="黑体" w:hAnsi="黑体" w:eastAsia="黑体"/>
        </w:rPr>
        <w:t xml:space="preserve">qualification </w:t>
      </w:r>
      <w:r>
        <w:rPr>
          <w:rFonts w:ascii="黑体" w:eastAsia="黑体"/>
          <w:color w:val="000000"/>
        </w:rPr>
        <w:t>assessmentpanel</w:t>
      </w:r>
    </w:p>
    <w:p>
      <w:pPr>
        <w:pStyle w:val="57"/>
        <w:ind w:firstLine="420"/>
      </w:pPr>
      <w:r>
        <w:rPr>
          <w:rFonts w:hint="eastAsia"/>
        </w:rPr>
        <w:t>由检验检测机构资质认定部门或专业技术评价机构指定，对检验检测机构是否符合资质认定条件进行评审的一组人员。</w:t>
      </w:r>
    </w:p>
    <w:p>
      <w:pPr>
        <w:pStyle w:val="224"/>
        <w:numPr>
          <w:numId w:val="0"/>
        </w:numPr>
        <w:ind w:leftChars="-200"/>
        <w:rPr>
          <w:rFonts w:ascii="黑体" w:eastAsia="黑体"/>
          <w:color w:val="000000"/>
        </w:rPr>
      </w:pPr>
    </w:p>
    <w:p>
      <w:pPr>
        <w:pStyle w:val="224"/>
        <w:ind w:left="420" w:hanging="420" w:hangingChars="200"/>
        <w:rPr>
          <w:rFonts w:ascii="黑体" w:eastAsia="黑体"/>
          <w:color w:val="000000"/>
        </w:rPr>
      </w:pPr>
      <w:r>
        <w:rPr>
          <w:rFonts w:hint="eastAsia" w:ascii="黑体" w:hAnsi="黑体" w:eastAsia="黑体"/>
        </w:rPr>
        <w:t xml:space="preserve">资质认定评审员 </w:t>
      </w:r>
      <w:r>
        <w:rPr>
          <w:rFonts w:ascii="黑体" w:hAnsi="黑体" w:eastAsia="黑体"/>
        </w:rPr>
        <w:t xml:space="preserve">assessor </w:t>
      </w:r>
      <w:r>
        <w:rPr>
          <w:rFonts w:hint="eastAsia" w:ascii="黑体" w:eastAsia="黑体"/>
          <w:color w:val="000000"/>
        </w:rPr>
        <w:t>for mandatory approval</w:t>
      </w:r>
    </w:p>
    <w:p>
      <w:pPr>
        <w:pStyle w:val="57"/>
        <w:ind w:firstLine="420"/>
      </w:pPr>
      <w:r>
        <w:rPr>
          <w:rFonts w:hint="eastAsia"/>
        </w:rPr>
        <w:t>经检验检测机构资质认定部门考核、确认、纳入检验检测机构资质认定部门管理，从事检验检测机构资质认定评审工作的人员。</w:t>
      </w:r>
    </w:p>
    <w:p>
      <w:pPr>
        <w:pStyle w:val="224"/>
        <w:numPr>
          <w:numId w:val="0"/>
        </w:numPr>
        <w:ind w:leftChars="-200"/>
        <w:rPr>
          <w:rFonts w:ascii="黑体" w:hAnsi="黑体" w:eastAsia="黑体"/>
        </w:rPr>
      </w:pPr>
    </w:p>
    <w:p>
      <w:pPr>
        <w:pStyle w:val="224"/>
        <w:ind w:left="420" w:hanging="420" w:hangingChars="200"/>
        <w:rPr>
          <w:rFonts w:ascii="黑体" w:hAnsi="黑体" w:eastAsia="黑体"/>
        </w:rPr>
      </w:pPr>
      <w:r>
        <w:rPr>
          <w:rFonts w:hint="eastAsia" w:ascii="黑体" w:hAnsi="黑体" w:eastAsia="黑体"/>
        </w:rPr>
        <w:t xml:space="preserve">技术专家 </w:t>
      </w:r>
      <w:r>
        <w:rPr>
          <w:rFonts w:ascii="黑体" w:hAnsi="黑体" w:eastAsia="黑体"/>
        </w:rPr>
        <w:t xml:space="preserve">technical </w:t>
      </w:r>
      <w:r>
        <w:rPr>
          <w:rFonts w:hint="eastAsia" w:ascii="黑体" w:hAnsi="黑体" w:eastAsia="黑体"/>
        </w:rPr>
        <w:t>expert</w:t>
      </w:r>
    </w:p>
    <w:p>
      <w:pPr>
        <w:pStyle w:val="57"/>
        <w:ind w:firstLine="420"/>
      </w:pPr>
      <w:r>
        <w:rPr>
          <w:rFonts w:hint="eastAsia"/>
        </w:rPr>
        <w:t>向评审组提供与被评审的组织、过程、活动、文化有关的知识或技术的人员。</w:t>
      </w:r>
    </w:p>
    <w:p>
      <w:pPr>
        <w:pStyle w:val="224"/>
        <w:numPr>
          <w:numId w:val="0"/>
        </w:numPr>
        <w:ind w:leftChars="-200"/>
        <w:rPr>
          <w:rFonts w:ascii="黑体" w:hAnsi="黑体" w:eastAsia="黑体"/>
        </w:rPr>
      </w:pPr>
    </w:p>
    <w:p>
      <w:pPr>
        <w:pStyle w:val="224"/>
        <w:ind w:left="420" w:hanging="420" w:hangingChars="200"/>
        <w:rPr>
          <w:rFonts w:ascii="黑体" w:hAnsi="黑体" w:eastAsia="黑体"/>
        </w:rPr>
      </w:pPr>
      <w:r>
        <w:rPr>
          <w:rFonts w:hint="eastAsia" w:ascii="黑体" w:hAnsi="黑体" w:eastAsia="黑体"/>
        </w:rPr>
        <w:t xml:space="preserve">首次评审 </w:t>
      </w:r>
      <w:r>
        <w:rPr>
          <w:rFonts w:ascii="黑体" w:hAnsi="黑体" w:eastAsia="黑体"/>
        </w:rPr>
        <w:t xml:space="preserve">first </w:t>
      </w:r>
      <w:r>
        <w:rPr>
          <w:rFonts w:hint="eastAsia" w:ascii="黑体" w:hAnsi="黑体" w:eastAsia="黑体"/>
        </w:rPr>
        <w:t>assessment</w:t>
      </w:r>
    </w:p>
    <w:p>
      <w:pPr>
        <w:pStyle w:val="57"/>
        <w:ind w:firstLine="420"/>
      </w:pPr>
      <w:r>
        <w:rPr>
          <w:rFonts w:hint="eastAsia"/>
        </w:rPr>
        <w:t>对未获得资质认定的检验检测机构，在其建立和运行管理体系后提出申请，资质认定部门对其人员、检验检测技术能力、场所环境、设备设施、管理体系以及机构主体等方面是否符合资质认定要求的评审。</w:t>
      </w:r>
    </w:p>
    <w:p>
      <w:pPr>
        <w:pStyle w:val="224"/>
        <w:numPr>
          <w:numId w:val="0"/>
        </w:numPr>
        <w:ind w:leftChars="-200"/>
        <w:rPr>
          <w:rFonts w:ascii="黑体" w:hAnsi="黑体" w:eastAsia="黑体"/>
        </w:rPr>
      </w:pPr>
    </w:p>
    <w:p>
      <w:pPr>
        <w:pStyle w:val="224"/>
        <w:ind w:left="420" w:hanging="420" w:hangingChars="200"/>
        <w:rPr>
          <w:rFonts w:ascii="黑体" w:hAnsi="黑体" w:eastAsia="黑体"/>
        </w:rPr>
      </w:pPr>
      <w:r>
        <w:rPr>
          <w:rFonts w:hint="eastAsia" w:ascii="黑体" w:hAnsi="黑体" w:eastAsia="黑体"/>
        </w:rPr>
        <w:t xml:space="preserve">扩项评审 </w:t>
      </w:r>
      <w:r>
        <w:rPr>
          <w:rFonts w:ascii="黑体" w:hAnsi="黑体" w:eastAsia="黑体"/>
        </w:rPr>
        <w:t xml:space="preserve">expanded </w:t>
      </w:r>
      <w:r>
        <w:rPr>
          <w:rFonts w:hint="eastAsia" w:ascii="黑体" w:hAnsi="黑体" w:eastAsia="黑体"/>
        </w:rPr>
        <w:t>assessment</w:t>
      </w:r>
    </w:p>
    <w:p>
      <w:pPr>
        <w:pStyle w:val="57"/>
        <w:ind w:firstLine="420"/>
      </w:pPr>
      <w:r>
        <w:rPr>
          <w:rFonts w:hint="eastAsia"/>
        </w:rPr>
        <w:t>对已获得资质认定的检验检测机构，申请增加资质认定检验检测项目，资质认定部门对其人员、检验检测技术能力、场所环境、设备设施、管理体系以及机构主体等方面是否符合资质认定要求的评审。</w:t>
      </w:r>
    </w:p>
    <w:p>
      <w:pPr>
        <w:pStyle w:val="224"/>
        <w:numPr>
          <w:numId w:val="0"/>
        </w:numPr>
        <w:ind w:leftChars="-200"/>
        <w:rPr>
          <w:rFonts w:ascii="黑体" w:hAnsi="黑体" w:eastAsia="黑体"/>
        </w:rPr>
      </w:pPr>
    </w:p>
    <w:p>
      <w:pPr>
        <w:pStyle w:val="224"/>
        <w:ind w:left="420" w:hanging="420" w:hangingChars="200"/>
        <w:rPr>
          <w:rFonts w:ascii="黑体" w:hAnsi="黑体" w:eastAsia="黑体"/>
        </w:rPr>
      </w:pPr>
      <w:r>
        <w:rPr>
          <w:rFonts w:hint="eastAsia" w:ascii="黑体" w:hAnsi="黑体" w:eastAsia="黑体"/>
        </w:rPr>
        <w:t xml:space="preserve">复查评审 </w:t>
      </w:r>
      <w:r>
        <w:rPr>
          <w:rFonts w:ascii="黑体" w:hAnsi="黑体" w:eastAsia="黑体"/>
        </w:rPr>
        <w:t xml:space="preserve">review </w:t>
      </w:r>
      <w:r>
        <w:rPr>
          <w:rFonts w:hint="eastAsia" w:ascii="黑体" w:hAnsi="黑体" w:eastAsia="黑体"/>
        </w:rPr>
        <w:t>assessment</w:t>
      </w:r>
    </w:p>
    <w:p>
      <w:pPr>
        <w:pStyle w:val="57"/>
        <w:ind w:firstLine="420"/>
      </w:pPr>
      <w:r>
        <w:rPr>
          <w:rFonts w:hint="eastAsia"/>
        </w:rPr>
        <w:t>对已获得资质认定的检验检测机构，在资质认定证书有效期届满前三个月申请办理证书延续，资质认定部门对其人员、检验检测技术能力、场所环境、设备设施、管理体系以及机构主体等方面是否符合资质认定要求的评审。</w:t>
      </w:r>
    </w:p>
    <w:p>
      <w:pPr>
        <w:pStyle w:val="224"/>
        <w:numPr>
          <w:numId w:val="0"/>
        </w:numPr>
        <w:ind w:leftChars="-200"/>
        <w:rPr>
          <w:rFonts w:ascii="黑体" w:hAnsi="黑体" w:eastAsia="黑体"/>
        </w:rPr>
      </w:pPr>
    </w:p>
    <w:p>
      <w:pPr>
        <w:pStyle w:val="224"/>
        <w:ind w:left="420" w:hanging="420" w:hangingChars="200"/>
        <w:rPr>
          <w:rFonts w:ascii="黑体" w:hAnsi="黑体" w:eastAsia="黑体"/>
        </w:rPr>
      </w:pPr>
      <w:r>
        <w:rPr>
          <w:rFonts w:hint="eastAsia" w:ascii="黑体" w:hAnsi="黑体" w:eastAsia="黑体"/>
        </w:rPr>
        <w:t xml:space="preserve">变更评审 </w:t>
      </w:r>
      <w:r>
        <w:rPr>
          <w:rFonts w:ascii="黑体" w:hAnsi="黑体" w:eastAsia="黑体"/>
        </w:rPr>
        <w:t xml:space="preserve">change </w:t>
      </w:r>
      <w:r>
        <w:rPr>
          <w:rFonts w:hint="eastAsia" w:ascii="黑体" w:hAnsi="黑体" w:eastAsia="黑体"/>
        </w:rPr>
        <w:t>assessment</w:t>
      </w:r>
    </w:p>
    <w:p>
      <w:pPr>
        <w:pStyle w:val="57"/>
        <w:ind w:firstLine="420"/>
      </w:pPr>
      <w:r>
        <w:rPr>
          <w:rFonts w:hint="eastAsia"/>
        </w:rPr>
        <w:t>对已获得资质认定的检验检测机构，其组织机构、工作场所、关键人员、技术能力等依法需要办理变更的事项发生变化，资质认定部门对其人员、检验检测技术能力、场所环境、设备设施、管理体系以及机构主体等方面是否符合资质认定要求所进行的评审。</w:t>
      </w:r>
    </w:p>
    <w:p>
      <w:pPr>
        <w:pStyle w:val="224"/>
        <w:numPr>
          <w:numId w:val="0"/>
        </w:numPr>
        <w:ind w:leftChars="-200"/>
        <w:rPr>
          <w:rFonts w:ascii="黑体" w:hAnsi="黑体" w:eastAsia="黑体"/>
        </w:rPr>
      </w:pPr>
    </w:p>
    <w:p>
      <w:pPr>
        <w:pStyle w:val="224"/>
        <w:ind w:left="420" w:hanging="420" w:hangingChars="200"/>
        <w:rPr>
          <w:rFonts w:ascii="黑体" w:hAnsi="黑体" w:eastAsia="黑体"/>
        </w:rPr>
      </w:pPr>
      <w:r>
        <w:rPr>
          <w:rFonts w:hint="eastAsia" w:ascii="黑体" w:hAnsi="黑体" w:eastAsia="黑体"/>
        </w:rPr>
        <w:t xml:space="preserve">授权签字人 </w:t>
      </w:r>
      <w:r>
        <w:rPr>
          <w:rFonts w:ascii="黑体" w:hAnsi="黑体" w:eastAsia="黑体"/>
        </w:rPr>
        <w:t xml:space="preserve">authorized </w:t>
      </w:r>
      <w:r>
        <w:rPr>
          <w:rFonts w:hint="eastAsia" w:ascii="黑体" w:hAnsi="黑体" w:eastAsia="黑体"/>
        </w:rPr>
        <w:t>signer</w:t>
      </w:r>
    </w:p>
    <w:p>
      <w:pPr>
        <w:pStyle w:val="57"/>
        <w:ind w:firstLine="420"/>
      </w:pPr>
      <w:r>
        <w:rPr>
          <w:rFonts w:hint="eastAsia"/>
        </w:rPr>
        <w:t>由检验检测机构提名，经过资质认定部门考核合格后，在其资质认定授权的能力范围内签发检验检测报告和证书的人员。</w:t>
      </w:r>
    </w:p>
    <w:p>
      <w:pPr>
        <w:pStyle w:val="105"/>
        <w:spacing w:before="312" w:after="312"/>
      </w:pPr>
      <w:bookmarkStart w:id="48" w:name="_Toc131409452"/>
      <w:r>
        <w:rPr>
          <w:rFonts w:hint="eastAsia"/>
        </w:rPr>
        <w:t>职责</w:t>
      </w:r>
      <w:bookmarkEnd w:id="48"/>
    </w:p>
    <w:p>
      <w:pPr>
        <w:pStyle w:val="106"/>
        <w:spacing w:before="156" w:after="156"/>
      </w:pPr>
      <w:bookmarkStart w:id="49" w:name="_Toc131409453"/>
      <w:r>
        <w:rPr>
          <w:rFonts w:hint="eastAsia"/>
        </w:rPr>
        <w:t>专业技术评价机构</w:t>
      </w:r>
      <w:bookmarkEnd w:id="49"/>
    </w:p>
    <w:p>
      <w:pPr>
        <w:pStyle w:val="166"/>
      </w:pPr>
      <w:r>
        <w:rPr>
          <w:rFonts w:hint="eastAsia"/>
        </w:rPr>
        <w:t>负责对检验检测机构提交的资质认定申请材料进行技术审核；</w:t>
      </w:r>
    </w:p>
    <w:p>
      <w:pPr>
        <w:pStyle w:val="166"/>
        <w:rPr>
          <w:strike/>
          <w:highlight w:val="none"/>
        </w:rPr>
      </w:pPr>
      <w:r>
        <w:rPr>
          <w:rFonts w:hint="eastAsia"/>
          <w:highlight w:val="none"/>
        </w:rPr>
        <w:t>负责组建资质认定评审组，编制及发布评审计划；</w:t>
      </w:r>
    </w:p>
    <w:p>
      <w:pPr>
        <w:pStyle w:val="166"/>
      </w:pPr>
      <w:r>
        <w:rPr>
          <w:rFonts w:hint="eastAsia"/>
        </w:rPr>
        <w:t>负责在规定时限内组织完成资质认定技术评审工作；</w:t>
      </w:r>
    </w:p>
    <w:p>
      <w:pPr>
        <w:pStyle w:val="166"/>
      </w:pPr>
      <w:r>
        <w:rPr>
          <w:rFonts w:hint="eastAsia"/>
        </w:rPr>
        <w:t>负责对资质认定评审组提交的《检验检测机构资质认定评审报告》和相关评审材料进行审核和上报；</w:t>
      </w:r>
    </w:p>
    <w:p>
      <w:pPr>
        <w:pStyle w:val="166"/>
        <w:rPr>
          <w:highlight w:val="none"/>
        </w:rPr>
      </w:pPr>
      <w:r>
        <w:rPr>
          <w:rFonts w:hint="eastAsia"/>
          <w:highlight w:val="none"/>
        </w:rPr>
        <w:t>协同资质认定部门对资质认定评审活动进行监督。</w:t>
      </w:r>
    </w:p>
    <w:p>
      <w:pPr>
        <w:pStyle w:val="106"/>
        <w:spacing w:before="156" w:after="156"/>
      </w:pPr>
      <w:bookmarkStart w:id="50" w:name="_Toc131409454"/>
      <w:r>
        <w:rPr>
          <w:rFonts w:hint="eastAsia"/>
        </w:rPr>
        <w:t>检验检测机构</w:t>
      </w:r>
      <w:bookmarkEnd w:id="50"/>
    </w:p>
    <w:p>
      <w:pPr>
        <w:pStyle w:val="166"/>
      </w:pPr>
      <w:r>
        <w:rPr>
          <w:rFonts w:hint="eastAsia"/>
        </w:rPr>
        <w:t>对</w:t>
      </w:r>
      <w:r>
        <w:rPr>
          <w:rFonts w:hint="eastAsia"/>
          <w:highlight w:val="none"/>
        </w:rPr>
        <w:t>提供材料</w:t>
      </w:r>
      <w:r>
        <w:rPr>
          <w:rFonts w:hint="eastAsia"/>
        </w:rPr>
        <w:t>的真实性、完整性、准确性、符合性负责；</w:t>
      </w:r>
      <w:r>
        <w:t xml:space="preserve"> </w:t>
      </w:r>
    </w:p>
    <w:p>
      <w:pPr>
        <w:pStyle w:val="166"/>
      </w:pPr>
      <w:r>
        <w:rPr>
          <w:rFonts w:hint="eastAsia"/>
        </w:rPr>
        <w:t>配合资质认定现场评审工作，以保证现场评审的有效进行。</w:t>
      </w:r>
    </w:p>
    <w:p>
      <w:pPr>
        <w:pStyle w:val="106"/>
        <w:spacing w:before="156" w:after="156"/>
      </w:pPr>
      <w:bookmarkStart w:id="51" w:name="_Toc131409455"/>
      <w:r>
        <w:rPr>
          <w:rFonts w:hint="eastAsia"/>
        </w:rPr>
        <w:t>评审组长</w:t>
      </w:r>
      <w:bookmarkEnd w:id="51"/>
    </w:p>
    <w:p>
      <w:pPr>
        <w:pStyle w:val="166"/>
      </w:pPr>
      <w:r>
        <w:rPr>
          <w:rFonts w:hint="eastAsia"/>
        </w:rPr>
        <w:t>负责与专业技术评价机构、被评审机构之间的联络；</w:t>
      </w:r>
    </w:p>
    <w:p>
      <w:pPr>
        <w:pStyle w:val="166"/>
        <w:numPr>
          <w:ilvl w:val="3"/>
          <w:numId w:val="0"/>
        </w:numPr>
        <w:ind w:leftChars="0"/>
        <w:rPr>
          <w:highlight w:val="yellow"/>
        </w:rPr>
      </w:pPr>
      <w:r>
        <w:rPr>
          <w:rFonts w:hint="eastAsia"/>
          <w:highlight w:val="none"/>
          <w:lang w:val="en-US" w:eastAsia="zh-CN"/>
        </w:rPr>
        <w:t xml:space="preserve">4.3.2  </w:t>
      </w:r>
      <w:r>
        <w:rPr>
          <w:rFonts w:hint="eastAsia"/>
          <w:highlight w:val="none"/>
        </w:rPr>
        <w:t>负责组织现场评审前申请资料的文审工作；</w:t>
      </w:r>
    </w:p>
    <w:p>
      <w:pPr>
        <w:pStyle w:val="166"/>
      </w:pPr>
      <w:r>
        <w:rPr>
          <w:rFonts w:hint="eastAsia"/>
        </w:rPr>
        <w:t>负责评审策划，编制评审日程安排及分工，主持现场评审工作；</w:t>
      </w:r>
    </w:p>
    <w:p>
      <w:pPr>
        <w:pStyle w:val="166"/>
      </w:pPr>
      <w:r>
        <w:rPr>
          <w:rFonts w:hint="eastAsia"/>
        </w:rPr>
        <w:t>负责协调和监督评审组成员的评审活动，对评审组成员进行必要的指导和现场评审表现评价；</w:t>
      </w:r>
    </w:p>
    <w:p>
      <w:pPr>
        <w:pStyle w:val="166"/>
      </w:pPr>
      <w:r>
        <w:rPr>
          <w:rFonts w:hint="eastAsia"/>
        </w:rPr>
        <w:t>负责组织</w:t>
      </w:r>
      <w:r>
        <w:rPr>
          <w:rFonts w:hint="eastAsia"/>
          <w:highlight w:val="none"/>
        </w:rPr>
        <w:t>对</w:t>
      </w:r>
      <w:r>
        <w:rPr>
          <w:rFonts w:hint="eastAsia"/>
        </w:rPr>
        <w:t>被评审机构评审整改情况的验证；</w:t>
      </w:r>
    </w:p>
    <w:p>
      <w:pPr>
        <w:pStyle w:val="166"/>
      </w:pPr>
      <w:r>
        <w:rPr>
          <w:rFonts w:hint="eastAsia"/>
        </w:rPr>
        <w:t>负责向专业技术评价机构提交完整的评审报告，并对评审结果的准确性、真实性、客观性、完整性负责。</w:t>
      </w:r>
    </w:p>
    <w:p>
      <w:pPr>
        <w:pStyle w:val="106"/>
        <w:spacing w:before="156" w:after="156"/>
      </w:pPr>
      <w:bookmarkStart w:id="52" w:name="_Toc131409456"/>
      <w:r>
        <w:rPr>
          <w:rFonts w:hint="eastAsia"/>
        </w:rPr>
        <w:t>评审员</w:t>
      </w:r>
      <w:bookmarkEnd w:id="52"/>
    </w:p>
    <w:p>
      <w:pPr>
        <w:pStyle w:val="166"/>
      </w:pPr>
      <w:r>
        <w:rPr>
          <w:rFonts w:hint="eastAsia"/>
        </w:rPr>
        <w:t>按照评审日程安排及分工，完成或协助评审组长完成对被评审机构管理体系文件、管理体系运作、技术能力和授权签字人的评审，对相应评审结果的准确性、真实性、客观性、完整性负直接责任；</w:t>
      </w:r>
    </w:p>
    <w:p>
      <w:pPr>
        <w:pStyle w:val="166"/>
      </w:pPr>
      <w:r>
        <w:rPr>
          <w:rFonts w:hint="eastAsia"/>
        </w:rPr>
        <w:t>按照评审日程安排及分工，做好现场评审文件资料审查工作，拟制现场考核项目表，确认检验检测能力，及时记录并反馈评审活动信息，</w:t>
      </w:r>
    </w:p>
    <w:p>
      <w:pPr>
        <w:pStyle w:val="166"/>
      </w:pPr>
      <w:r>
        <w:rPr>
          <w:rFonts w:hint="eastAsia"/>
        </w:rPr>
        <w:t>协助评审组长对被评审机构评审整改情况的验证；</w:t>
      </w:r>
    </w:p>
    <w:p>
      <w:pPr>
        <w:pStyle w:val="166"/>
        <w:rPr>
          <w:highlight w:val="none"/>
        </w:rPr>
      </w:pPr>
      <w:r>
        <w:rPr>
          <w:rFonts w:hint="eastAsia"/>
          <w:highlight w:val="none"/>
        </w:rPr>
        <w:t>协助评审组长解决评审中发现的疑难问题；</w:t>
      </w:r>
    </w:p>
    <w:p>
      <w:pPr>
        <w:pStyle w:val="166"/>
      </w:pPr>
      <w:r>
        <w:rPr>
          <w:rFonts w:hint="eastAsia"/>
        </w:rPr>
        <w:t>协助评审组长完成其他现场评审相关工作。</w:t>
      </w:r>
    </w:p>
    <w:p>
      <w:pPr>
        <w:pStyle w:val="106"/>
        <w:spacing w:before="156" w:after="156"/>
      </w:pPr>
      <w:bookmarkStart w:id="53" w:name="_Toc131409457"/>
      <w:r>
        <w:rPr>
          <w:rFonts w:hint="eastAsia"/>
        </w:rPr>
        <w:t>技术专家</w:t>
      </w:r>
      <w:bookmarkEnd w:id="53"/>
    </w:p>
    <w:p>
      <w:pPr>
        <w:pStyle w:val="166"/>
      </w:pPr>
      <w:r>
        <w:rPr>
          <w:rFonts w:hint="eastAsia"/>
        </w:rPr>
        <w:t>技术专家作为评审专业能力的补充和支持，协助评审组完成对检验检测机构的检验检测能力确认和现场评审相关工作；</w:t>
      </w:r>
    </w:p>
    <w:p>
      <w:pPr>
        <w:pStyle w:val="166"/>
      </w:pPr>
      <w:r>
        <w:rPr>
          <w:rFonts w:hint="eastAsia"/>
        </w:rPr>
        <w:t>协助评审组长对被评审机构评审整改情况的验证；</w:t>
      </w:r>
    </w:p>
    <w:p>
      <w:pPr>
        <w:pStyle w:val="166"/>
      </w:pPr>
      <w:r>
        <w:rPr>
          <w:rFonts w:hint="eastAsia"/>
        </w:rPr>
        <w:t>协助评审组长完成其他现场评审相关工作。</w:t>
      </w:r>
    </w:p>
    <w:p>
      <w:pPr>
        <w:pStyle w:val="105"/>
        <w:spacing w:before="312" w:after="312"/>
      </w:pPr>
      <w:bookmarkStart w:id="54" w:name="_Toc131409459"/>
      <w:r>
        <w:rPr>
          <w:rFonts w:hint="eastAsia"/>
        </w:rPr>
        <w:t>现场评审流程</w:t>
      </w:r>
      <w:bookmarkEnd w:id="54"/>
    </w:p>
    <w:p>
      <w:pPr>
        <w:pStyle w:val="106"/>
        <w:spacing w:before="156" w:after="156"/>
      </w:pPr>
      <w:bookmarkStart w:id="55" w:name="_Toc131409460"/>
      <w:r>
        <w:rPr>
          <w:rFonts w:hint="eastAsia"/>
        </w:rPr>
        <w:t>文件资料审查</w:t>
      </w:r>
      <w:bookmarkEnd w:id="55"/>
    </w:p>
    <w:p>
      <w:pPr>
        <w:pStyle w:val="57"/>
        <w:ind w:firstLine="420"/>
      </w:pPr>
      <w:r>
        <w:rPr>
          <w:rFonts w:hint="eastAsia"/>
        </w:rPr>
        <w:t>文件资料审查实行评审组长负责制。接收资质认定部门的评审任务后，评审组长应组织评审组成员依据检验检测机构资质认定评审准则及相应的标准/规范，对检验检测机构申请材料及管理体系文件的完整性、符合性、规范性进行审查。</w:t>
      </w:r>
    </w:p>
    <w:p>
      <w:pPr>
        <w:pStyle w:val="166"/>
      </w:pPr>
      <w:r>
        <w:rPr>
          <w:rFonts w:hint="eastAsia"/>
        </w:rPr>
        <w:t>对《检验检测机构资质认定申请书》及附件的审查要点：</w:t>
      </w:r>
    </w:p>
    <w:p>
      <w:pPr>
        <w:pStyle w:val="175"/>
      </w:pPr>
      <w:r>
        <w:rPr>
          <w:rFonts w:hint="eastAsia"/>
        </w:rPr>
        <w:t>检验检测机构法人地位证明材料中经营范围是否包含检验检测，经营范围是否满足检验检测公正性的要求；非独立法人检验检测机构是否提供了</w:t>
      </w:r>
      <w:r>
        <w:rPr>
          <w:rFonts w:hint="eastAsia"/>
          <w:highlight w:val="none"/>
        </w:rPr>
        <w:t>上级</w:t>
      </w:r>
      <w:r>
        <w:rPr>
          <w:rFonts w:hint="eastAsia"/>
        </w:rPr>
        <w:t>法人单位的授权文件；</w:t>
      </w:r>
    </w:p>
    <w:p>
      <w:pPr>
        <w:pStyle w:val="180"/>
      </w:pPr>
      <w:r>
        <w:rPr>
          <w:rFonts w:hint="eastAsia"/>
        </w:rPr>
        <w:t>若检验检测机构是机关或者事业单位的内设机构，不具备法人资格，可由其法人授权，申请检验检测机构资质认定。</w:t>
      </w:r>
    </w:p>
    <w:p>
      <w:pPr>
        <w:pStyle w:val="175"/>
      </w:pPr>
      <w:r>
        <w:rPr>
          <w:rFonts w:hint="eastAsia"/>
        </w:rPr>
        <w:t>检验检测机构是否有固定的工作场所,包括产权证明</w:t>
      </w:r>
      <w:r>
        <w:rPr>
          <w:rFonts w:hint="eastAsia"/>
          <w:highlight w:val="none"/>
        </w:rPr>
        <w:t>、</w:t>
      </w:r>
      <w:r>
        <w:rPr>
          <w:rFonts w:hint="eastAsia"/>
        </w:rPr>
        <w:t>租赁合同等；</w:t>
      </w:r>
    </w:p>
    <w:p>
      <w:pPr>
        <w:pStyle w:val="175"/>
        <w:numPr>
          <w:ilvl w:val="0"/>
          <w:numId w:val="0"/>
        </w:numPr>
        <w:ind w:left="851"/>
        <w:rPr>
          <w:highlight w:val="none"/>
        </w:rPr>
      </w:pPr>
      <w:r>
        <w:rPr>
          <w:highlight w:val="none"/>
        </w:rPr>
        <w:t>注：租赁合同有效期应</w:t>
      </w:r>
      <w:r>
        <w:rPr>
          <w:rFonts w:hint="eastAsia"/>
          <w:highlight w:val="none"/>
        </w:rPr>
        <w:t>满足一个发证周期，该房屋应满足湖南省住房和城乡建设厅印发的第湘建房〔2022〕122号文《湖南省房屋安全鉴定暂行管理办法》的相关规定要求。</w:t>
      </w:r>
    </w:p>
    <w:p>
      <w:pPr>
        <w:pStyle w:val="175"/>
      </w:pPr>
      <w:r>
        <w:rPr>
          <w:rFonts w:hint="eastAsia"/>
        </w:rPr>
        <w:t>检验检测能力申请表中的相关产品/项目/参数的填写是否清晰、准确，是否属于资质认定评审的范围；</w:t>
      </w:r>
    </w:p>
    <w:p>
      <w:pPr>
        <w:pStyle w:val="175"/>
      </w:pPr>
      <w:r>
        <w:rPr>
          <w:rFonts w:hint="eastAsia"/>
        </w:rPr>
        <w:t>申请认定的检验检测标准/规范是否为国家、行业、湖南省地方标准、国际标准（限特定委托方）的现行有效版本；</w:t>
      </w:r>
    </w:p>
    <w:p>
      <w:pPr>
        <w:pStyle w:val="175"/>
      </w:pPr>
      <w:r>
        <w:rPr>
          <w:rFonts w:hint="eastAsia"/>
        </w:rPr>
        <w:t>仪器设备（标准物质）配置的填写是否正确，所列仪器设备（标准物质）是否满足被评审机构的申请产品/项目/参数检验检测能力的要求，并可独立支配使用；</w:t>
      </w:r>
    </w:p>
    <w:p>
      <w:pPr>
        <w:pStyle w:val="175"/>
      </w:pPr>
      <w:r>
        <w:rPr>
          <w:rFonts w:hint="eastAsia"/>
        </w:rPr>
        <w:t>授权签字人的专业背景、教育培训经历、专业技术职称、工作经历、</w:t>
      </w:r>
      <w:r>
        <w:rPr>
          <w:rFonts w:hint="eastAsia"/>
          <w:highlight w:val="none"/>
        </w:rPr>
        <w:t>资质认定部门认可的考核合格证据</w:t>
      </w:r>
      <w:r>
        <w:rPr>
          <w:rFonts w:hint="eastAsia"/>
        </w:rPr>
        <w:t>等是否符合相关规定的要求；</w:t>
      </w:r>
    </w:p>
    <w:p>
      <w:pPr>
        <w:pStyle w:val="175"/>
      </w:pPr>
      <w:r>
        <w:rPr>
          <w:rFonts w:hint="eastAsia"/>
        </w:rPr>
        <w:t>申请类别（产品/项目/参数)的相关典型报告是否满足评审准则和标准/规范的要求，是否覆盖被评审机构的主要检验检测能力范围，是否能体现被评审机构申请范围的检验检测能力。</w:t>
      </w:r>
    </w:p>
    <w:p>
      <w:pPr>
        <w:pStyle w:val="166"/>
      </w:pPr>
      <w:r>
        <w:rPr>
          <w:rFonts w:hint="eastAsia"/>
        </w:rPr>
        <w:t>对管理体系文件的审查要点：</w:t>
      </w:r>
    </w:p>
    <w:p>
      <w:pPr>
        <w:pStyle w:val="175"/>
        <w:numPr>
          <w:ilvl w:val="0"/>
          <w:numId w:val="32"/>
        </w:numPr>
      </w:pPr>
      <w:r>
        <w:rPr>
          <w:rFonts w:hint="eastAsia"/>
        </w:rPr>
        <w:t>最高管理者的任命文件是否齐全，质量方针、质量目标是否明确，组织机构、职责分配是否明确；</w:t>
      </w:r>
    </w:p>
    <w:p>
      <w:pPr>
        <w:pStyle w:val="175"/>
        <w:numPr>
          <w:ilvl w:val="0"/>
          <w:numId w:val="32"/>
        </w:numPr>
      </w:pPr>
      <w:r>
        <w:rPr>
          <w:rFonts w:hint="eastAsia"/>
        </w:rPr>
        <w:t>管理体系文件是否包括《检验检测机构资质认定管理办法》、检验检测机构资质认定评审准则及相关行业特殊要求等相关规定，内容是否完整；</w:t>
      </w:r>
    </w:p>
    <w:p>
      <w:pPr>
        <w:pStyle w:val="175"/>
        <w:numPr>
          <w:ilvl w:val="0"/>
          <w:numId w:val="32"/>
        </w:numPr>
      </w:pPr>
      <w:r>
        <w:rPr>
          <w:rFonts w:hint="eastAsia"/>
        </w:rPr>
        <w:t>多场所检验检测机构的管理体系文件是否覆盖申请资质认定的所有场所，各场所与总部的隶属关系及工作接口是否描述清晰，各场所内部的组织机构及职责分配是否明确；</w:t>
      </w:r>
    </w:p>
    <w:p>
      <w:pPr>
        <w:pStyle w:val="175"/>
        <w:numPr>
          <w:ilvl w:val="0"/>
          <w:numId w:val="32"/>
        </w:numPr>
      </w:pPr>
      <w:r>
        <w:rPr>
          <w:rFonts w:hint="eastAsia"/>
        </w:rPr>
        <w:t>首次申请资质认定的机构，管理体系运行时间是否满足要求（申请食品检验检测能力的检验检测机构不少于6个月，</w:t>
      </w:r>
      <w:r>
        <w:rPr>
          <w:rFonts w:hint="eastAsia"/>
          <w:highlight w:val="none"/>
        </w:rPr>
        <w:t>其他检验检测机构应满足其行业的相关要求</w:t>
      </w:r>
      <w:r>
        <w:rPr>
          <w:rFonts w:hint="eastAsia"/>
        </w:rPr>
        <w:t>；</w:t>
      </w:r>
    </w:p>
    <w:p>
      <w:pPr>
        <w:pStyle w:val="175"/>
        <w:numPr>
          <w:ilvl w:val="0"/>
          <w:numId w:val="32"/>
        </w:numPr>
      </w:pPr>
      <w:r>
        <w:rPr>
          <w:rFonts w:hint="eastAsia"/>
        </w:rPr>
        <w:t>管理体系文件是否具有被评审机构的特点，是否具有可操作性。</w:t>
      </w:r>
    </w:p>
    <w:p>
      <w:pPr>
        <w:pStyle w:val="166"/>
      </w:pPr>
      <w:r>
        <w:rPr>
          <w:rFonts w:hint="eastAsia"/>
        </w:rPr>
        <w:t>评审组应当在</w:t>
      </w:r>
      <w:r>
        <w:rPr>
          <w:rFonts w:hint="eastAsia"/>
          <w:highlight w:val="none"/>
        </w:rPr>
        <w:t>接受评审任务</w:t>
      </w:r>
      <w:r>
        <w:rPr>
          <w:rFonts w:hint="eastAsia"/>
        </w:rPr>
        <w:t>后3个工作日内完成文件资料审查，形成《文件资料审查表》（附录A</w:t>
      </w:r>
      <w:r>
        <w:rPr>
          <w:rFonts w:hint="eastAsia"/>
          <w:highlight w:val="none"/>
        </w:rPr>
        <w:t>)，</w:t>
      </w:r>
      <w:r>
        <w:rPr>
          <w:rFonts w:hint="eastAsia"/>
        </w:rPr>
        <w:t>并反馈至被评审机构。</w:t>
      </w:r>
    </w:p>
    <w:p>
      <w:pPr>
        <w:pStyle w:val="166"/>
      </w:pPr>
      <w:r>
        <w:rPr>
          <w:rFonts w:hint="eastAsia"/>
        </w:rPr>
        <w:t>评审组应将《文件资料审查表》（附录A)作为评审策划的输入，并在现场评审时重点关注文件资料审查中发现的问题及相关整改情况。</w:t>
      </w:r>
    </w:p>
    <w:p>
      <w:pPr>
        <w:pStyle w:val="106"/>
        <w:spacing w:before="156" w:after="156"/>
      </w:pPr>
      <w:bookmarkStart w:id="56" w:name="_Toc131409461"/>
      <w:r>
        <w:rPr>
          <w:rFonts w:hint="eastAsia"/>
        </w:rPr>
        <w:t>评审策划</w:t>
      </w:r>
      <w:bookmarkEnd w:id="56"/>
    </w:p>
    <w:p>
      <w:pPr>
        <w:pStyle w:val="166"/>
      </w:pPr>
      <w:r>
        <w:rPr>
          <w:rFonts w:hint="eastAsia"/>
        </w:rPr>
        <w:t>文件资料审查后，评审组长应编写《现场评审日程表》（附录B)，明确现场评审的日期、时间、评审范围（要素、技术能力)、评审组分工等。现场评审日程表内容应至少包括：</w:t>
      </w:r>
    </w:p>
    <w:p>
      <w:pPr>
        <w:pStyle w:val="175"/>
        <w:numPr>
          <w:ilvl w:val="0"/>
          <w:numId w:val="33"/>
        </w:numPr>
      </w:pPr>
      <w:r>
        <w:rPr>
          <w:rFonts w:hint="eastAsia"/>
        </w:rPr>
        <w:t>检验检测机构名称；</w:t>
      </w:r>
    </w:p>
    <w:p>
      <w:pPr>
        <w:pStyle w:val="175"/>
        <w:numPr>
          <w:ilvl w:val="0"/>
          <w:numId w:val="33"/>
        </w:numPr>
      </w:pPr>
      <w:r>
        <w:rPr>
          <w:rFonts w:hint="eastAsia"/>
        </w:rPr>
        <w:t>评审组分工及工作任务和要求；</w:t>
      </w:r>
    </w:p>
    <w:p>
      <w:pPr>
        <w:pStyle w:val="175"/>
        <w:numPr>
          <w:ilvl w:val="0"/>
          <w:numId w:val="33"/>
        </w:numPr>
        <w:rPr>
          <w:highlight w:val="none"/>
        </w:rPr>
      </w:pPr>
      <w:r>
        <w:rPr>
          <w:rFonts w:hint="eastAsia"/>
          <w:highlight w:val="none"/>
        </w:rPr>
        <w:t>评审组预备会议、首次会议、授权签字人考核、座谈会、内部会议、末次会议的时间和地点安排；</w:t>
      </w:r>
    </w:p>
    <w:p>
      <w:pPr>
        <w:pStyle w:val="175"/>
        <w:numPr>
          <w:ilvl w:val="0"/>
          <w:numId w:val="33"/>
        </w:numPr>
      </w:pPr>
      <w:r>
        <w:rPr>
          <w:rFonts w:hint="eastAsia"/>
        </w:rPr>
        <w:t>评审活动的时间、要素和区域安排；</w:t>
      </w:r>
    </w:p>
    <w:p>
      <w:pPr>
        <w:pStyle w:val="175"/>
        <w:numPr>
          <w:ilvl w:val="0"/>
          <w:numId w:val="0"/>
        </w:numPr>
        <w:ind w:left="851" w:hanging="426"/>
      </w:pPr>
    </w:p>
    <w:p>
      <w:pPr>
        <w:pStyle w:val="166"/>
      </w:pPr>
      <w:r>
        <w:rPr>
          <w:rFonts w:hint="eastAsia"/>
        </w:rPr>
        <w:t>拟定现场评审日程表时应注意以下事项：</w:t>
      </w:r>
    </w:p>
    <w:p>
      <w:pPr>
        <w:pStyle w:val="175"/>
        <w:numPr>
          <w:ilvl w:val="0"/>
          <w:numId w:val="34"/>
        </w:numPr>
      </w:pPr>
      <w:r>
        <w:rPr>
          <w:rFonts w:hint="eastAsia"/>
        </w:rPr>
        <w:t>严格按资质认定部门下达任务时规定的时间进行策划，现场评审时长应视被评审机构规模、申请的产品/项目/参数以及现场试验考核的复杂程度确定；</w:t>
      </w:r>
    </w:p>
    <w:p>
      <w:pPr>
        <w:pStyle w:val="175"/>
        <w:numPr>
          <w:ilvl w:val="0"/>
          <w:numId w:val="34"/>
        </w:numPr>
      </w:pPr>
      <w:r>
        <w:rPr>
          <w:rFonts w:hint="eastAsia"/>
        </w:rPr>
        <w:t>详细规定现场评审过程中各个环节的评审时间、评审内容；</w:t>
      </w:r>
    </w:p>
    <w:p>
      <w:pPr>
        <w:pStyle w:val="175"/>
        <w:numPr>
          <w:ilvl w:val="0"/>
          <w:numId w:val="34"/>
        </w:numPr>
      </w:pPr>
      <w:r>
        <w:rPr>
          <w:rFonts w:hint="eastAsia"/>
        </w:rPr>
        <w:t>当涉及多场所评审时，日程表应按不同场所分别编制；评审组长应提前与检验检测机构确认各地点间的距离、路程用时、交通方式等；</w:t>
      </w:r>
    </w:p>
    <w:p>
      <w:pPr>
        <w:pStyle w:val="175"/>
        <w:numPr>
          <w:ilvl w:val="0"/>
          <w:numId w:val="34"/>
        </w:numPr>
      </w:pPr>
      <w:r>
        <w:rPr>
          <w:rFonts w:hint="eastAsia"/>
        </w:rPr>
        <w:t>评审组成员的分工应提前沟通和确认；</w:t>
      </w:r>
    </w:p>
    <w:p>
      <w:pPr>
        <w:pStyle w:val="175"/>
        <w:numPr>
          <w:ilvl w:val="0"/>
          <w:numId w:val="34"/>
        </w:numPr>
      </w:pPr>
      <w:r>
        <w:rPr>
          <w:rFonts w:hint="eastAsia"/>
        </w:rPr>
        <w:t>现场评审前，评审组长应至少提前3个工作日将评审日程表提交给被评审机构和评审组成员，并征求被评审机构和评审组成员的意见。</w:t>
      </w:r>
    </w:p>
    <w:p>
      <w:pPr>
        <w:pStyle w:val="166"/>
      </w:pPr>
      <w:r>
        <w:rPr>
          <w:rFonts w:hint="eastAsia"/>
        </w:rPr>
        <w:t>评审组成员应就自己所负责的评审范围，进行详细的评审策划，包括:</w:t>
      </w:r>
    </w:p>
    <w:p>
      <w:pPr>
        <w:pStyle w:val="175"/>
        <w:numPr>
          <w:ilvl w:val="0"/>
          <w:numId w:val="35"/>
        </w:numPr>
      </w:pPr>
      <w:r>
        <w:rPr>
          <w:rFonts w:hint="eastAsia"/>
        </w:rPr>
        <w:t>列出现场评审时要关注的问题；</w:t>
      </w:r>
    </w:p>
    <w:p>
      <w:pPr>
        <w:pStyle w:val="175"/>
        <w:numPr>
          <w:ilvl w:val="0"/>
          <w:numId w:val="35"/>
        </w:numPr>
      </w:pPr>
      <w:r>
        <w:rPr>
          <w:rFonts w:hint="eastAsia"/>
        </w:rPr>
        <w:t>列出现场评审时拟查阅的记录清单；</w:t>
      </w:r>
    </w:p>
    <w:p>
      <w:pPr>
        <w:pStyle w:val="175"/>
        <w:numPr>
          <w:ilvl w:val="0"/>
          <w:numId w:val="35"/>
        </w:numPr>
      </w:pPr>
      <w:r>
        <w:rPr>
          <w:rFonts w:hint="eastAsia"/>
        </w:rPr>
        <w:t>对申请资质认定的项目，现场要关注的内容（如标准名称、编号的准确性和现行有效性等）和关键过程；</w:t>
      </w:r>
    </w:p>
    <w:p>
      <w:pPr>
        <w:pStyle w:val="175"/>
        <w:numPr>
          <w:ilvl w:val="0"/>
          <w:numId w:val="35"/>
        </w:numPr>
      </w:pPr>
      <w:r>
        <w:rPr>
          <w:rFonts w:hint="eastAsia"/>
        </w:rPr>
        <w:t>拟定现场试验项目、考核形式及试验人员；</w:t>
      </w:r>
    </w:p>
    <w:p>
      <w:pPr>
        <w:pStyle w:val="175"/>
        <w:numPr>
          <w:ilvl w:val="0"/>
          <w:numId w:val="35"/>
        </w:numPr>
      </w:pPr>
      <w:r>
        <w:rPr>
          <w:rFonts w:hint="eastAsia"/>
        </w:rPr>
        <w:t>对检验检测能力申请表的表述规范性进行初步审核；</w:t>
      </w:r>
    </w:p>
    <w:p>
      <w:pPr>
        <w:pStyle w:val="175"/>
        <w:numPr>
          <w:ilvl w:val="0"/>
          <w:numId w:val="35"/>
        </w:numPr>
      </w:pPr>
      <w:r>
        <w:rPr>
          <w:rFonts w:hint="eastAsia"/>
        </w:rPr>
        <w:t>准备现场评审用的文件和表格。</w:t>
      </w:r>
    </w:p>
    <w:p>
      <w:pPr>
        <w:pStyle w:val="166"/>
      </w:pPr>
      <w:r>
        <w:rPr>
          <w:rFonts w:hint="eastAsia"/>
        </w:rPr>
        <w:t>评审组根据被评审机构申请认定的技术能力范围安排现场试验，并记录现场考核的情况。安排现场试验时应充分考虑风险因素，并结合申请认定的所有类别（产品/项目/参数)、检验检测方法、仪器设备、试验人员、试验材料等，覆盖被评审机构申请认定的检验检测场所、检验检测方法的主要类型、主要检验检测人员、仪器设备、产品类型。应关注以下情形：</w:t>
      </w:r>
    </w:p>
    <w:p>
      <w:pPr>
        <w:pStyle w:val="175"/>
        <w:numPr>
          <w:ilvl w:val="0"/>
          <w:numId w:val="36"/>
        </w:numPr>
      </w:pPr>
      <w:r>
        <w:rPr>
          <w:rFonts w:hint="eastAsia"/>
        </w:rPr>
        <w:t>检验检测人员主观判断较多的项目；</w:t>
      </w:r>
    </w:p>
    <w:p>
      <w:pPr>
        <w:pStyle w:val="175"/>
        <w:numPr>
          <w:ilvl w:val="0"/>
          <w:numId w:val="36"/>
        </w:numPr>
      </w:pPr>
      <w:r>
        <w:rPr>
          <w:rFonts w:hint="eastAsia"/>
        </w:rPr>
        <w:t>难度较大、操作复杂的项目；</w:t>
      </w:r>
    </w:p>
    <w:p>
      <w:pPr>
        <w:pStyle w:val="175"/>
        <w:numPr>
          <w:ilvl w:val="0"/>
          <w:numId w:val="36"/>
        </w:numPr>
      </w:pPr>
      <w:r>
        <w:rPr>
          <w:rFonts w:hint="eastAsia"/>
        </w:rPr>
        <w:t>能力验证结果为有问题或不满意的项目；</w:t>
      </w:r>
    </w:p>
    <w:p>
      <w:pPr>
        <w:pStyle w:val="175"/>
        <w:numPr>
          <w:ilvl w:val="0"/>
          <w:numId w:val="36"/>
        </w:numPr>
      </w:pPr>
      <w:r>
        <w:rPr>
          <w:rFonts w:hint="eastAsia"/>
        </w:rPr>
        <w:t>很少进行检验检测的项目；</w:t>
      </w:r>
    </w:p>
    <w:p>
      <w:pPr>
        <w:pStyle w:val="175"/>
        <w:numPr>
          <w:ilvl w:val="0"/>
          <w:numId w:val="36"/>
        </w:numPr>
      </w:pPr>
      <w:r>
        <w:rPr>
          <w:rFonts w:hint="eastAsia"/>
        </w:rPr>
        <w:t>新上岗人员进行操作的项目；</w:t>
      </w:r>
    </w:p>
    <w:p>
      <w:pPr>
        <w:pStyle w:val="175"/>
        <w:numPr>
          <w:ilvl w:val="0"/>
          <w:numId w:val="36"/>
        </w:numPr>
      </w:pPr>
      <w:r>
        <w:rPr>
          <w:rFonts w:hint="eastAsia"/>
        </w:rPr>
        <w:t>被考核的、进行现场试验的人员应具有代表性；</w:t>
      </w:r>
    </w:p>
    <w:p>
      <w:pPr>
        <w:pStyle w:val="175"/>
        <w:numPr>
          <w:ilvl w:val="0"/>
          <w:numId w:val="36"/>
        </w:numPr>
      </w:pPr>
      <w:r>
        <w:rPr>
          <w:rFonts w:hint="eastAsia"/>
        </w:rPr>
        <w:t>复查评审时，上次不符合项整改验证的项目；</w:t>
      </w:r>
    </w:p>
    <w:p>
      <w:pPr>
        <w:pStyle w:val="175"/>
        <w:numPr>
          <w:ilvl w:val="0"/>
          <w:numId w:val="36"/>
        </w:numPr>
      </w:pPr>
      <w:r>
        <w:rPr>
          <w:rFonts w:hint="eastAsia"/>
        </w:rPr>
        <w:t>复查评审时，被评审机构技术能力发生变化的项目，包括变更备案的项目；</w:t>
      </w:r>
    </w:p>
    <w:p>
      <w:pPr>
        <w:pStyle w:val="175"/>
        <w:numPr>
          <w:ilvl w:val="0"/>
          <w:numId w:val="36"/>
        </w:numPr>
      </w:pPr>
      <w:r>
        <w:rPr>
          <w:rFonts w:hint="eastAsia"/>
        </w:rPr>
        <w:t>复查评审时，同一项现场考核试验可选择与此前评审时不同的试验人员、检验检测方法、设备等进行操作。</w:t>
      </w:r>
    </w:p>
    <w:p>
      <w:pPr>
        <w:pStyle w:val="166"/>
      </w:pPr>
      <w:r>
        <w:rPr>
          <w:rFonts w:hint="eastAsia"/>
        </w:rPr>
        <w:t>评审员或技术专家应按照《现场评审日程表》（附录B)和评审策划开展现场评审工作，如因特殊情况不能参加现场评审的，应</w:t>
      </w:r>
      <w:r>
        <w:rPr>
          <w:rFonts w:hint="eastAsia"/>
          <w:highlight w:val="none"/>
        </w:rPr>
        <w:t>及时</w:t>
      </w:r>
      <w:r>
        <w:rPr>
          <w:rFonts w:hint="eastAsia"/>
        </w:rPr>
        <w:t>通知评审组长。评审组长及时向</w:t>
      </w:r>
      <w:r>
        <w:rPr>
          <w:rFonts w:hint="eastAsia"/>
          <w:highlight w:val="none"/>
        </w:rPr>
        <w:t>专业技术评审机构</w:t>
      </w:r>
      <w:r>
        <w:rPr>
          <w:rFonts w:hint="eastAsia"/>
        </w:rPr>
        <w:t>提出变更评审员或技术专家申请。</w:t>
      </w:r>
    </w:p>
    <w:p>
      <w:pPr>
        <w:pStyle w:val="106"/>
        <w:spacing w:before="156" w:after="156"/>
      </w:pPr>
      <w:bookmarkStart w:id="57" w:name="_Toc131409462"/>
      <w:r>
        <w:rPr>
          <w:rFonts w:hint="eastAsia"/>
        </w:rPr>
        <w:t>实施现场评审</w:t>
      </w:r>
      <w:bookmarkEnd w:id="57"/>
    </w:p>
    <w:p>
      <w:pPr>
        <w:pStyle w:val="66"/>
        <w:spacing w:before="156" w:after="156"/>
      </w:pPr>
      <w:bookmarkStart w:id="58" w:name="_Toc131409463"/>
      <w:r>
        <w:rPr>
          <w:rFonts w:hint="eastAsia"/>
        </w:rPr>
        <w:t>预备会议</w:t>
      </w:r>
      <w:bookmarkEnd w:id="58"/>
    </w:p>
    <w:p>
      <w:pPr>
        <w:pStyle w:val="57"/>
        <w:ind w:firstLine="420"/>
      </w:pPr>
      <w:r>
        <w:rPr>
          <w:rFonts w:hint="eastAsia"/>
        </w:rPr>
        <w:t>评审组长在现场评审前应召开预备会，全体评审组成员参加，需要时可邀请被评审机构代表参加。对于多场所检验检测机构，可根据情况采用不同的方式召开，如：集中召开、视频会议等。预备会议内容包括：</w:t>
      </w:r>
    </w:p>
    <w:p>
      <w:pPr>
        <w:pStyle w:val="175"/>
        <w:numPr>
          <w:ilvl w:val="0"/>
          <w:numId w:val="37"/>
        </w:numPr>
      </w:pPr>
      <w:r>
        <w:rPr>
          <w:rFonts w:hint="eastAsia"/>
        </w:rPr>
        <w:t>声明评审工作的公正、客观、保密、廉洁要求；</w:t>
      </w:r>
    </w:p>
    <w:p>
      <w:pPr>
        <w:pStyle w:val="175"/>
        <w:numPr>
          <w:ilvl w:val="0"/>
          <w:numId w:val="37"/>
        </w:numPr>
      </w:pPr>
      <w:r>
        <w:rPr>
          <w:rFonts w:hint="eastAsia"/>
        </w:rPr>
        <w:t>说明本次评审的目的、范围和依据；</w:t>
      </w:r>
    </w:p>
    <w:p>
      <w:pPr>
        <w:pStyle w:val="175"/>
        <w:numPr>
          <w:ilvl w:val="0"/>
          <w:numId w:val="37"/>
        </w:numPr>
      </w:pPr>
      <w:r>
        <w:rPr>
          <w:rFonts w:hint="eastAsia"/>
        </w:rPr>
        <w:t>介绍检验检测机构文件资料审查情况；</w:t>
      </w:r>
    </w:p>
    <w:p>
      <w:pPr>
        <w:pStyle w:val="175"/>
        <w:numPr>
          <w:ilvl w:val="0"/>
          <w:numId w:val="37"/>
        </w:numPr>
      </w:pPr>
      <w:r>
        <w:rPr>
          <w:rFonts w:hint="eastAsia"/>
        </w:rPr>
        <w:t>明确现场评审要求，统一有关判定原则；</w:t>
      </w:r>
    </w:p>
    <w:p>
      <w:pPr>
        <w:pStyle w:val="175"/>
        <w:numPr>
          <w:ilvl w:val="0"/>
          <w:numId w:val="37"/>
        </w:numPr>
      </w:pPr>
      <w:r>
        <w:rPr>
          <w:rFonts w:hint="eastAsia"/>
        </w:rPr>
        <w:t>确定评审组成员分工，明确评审组成员职责，并向评审组成员提供相应评审文件及现场评审表格；</w:t>
      </w:r>
    </w:p>
    <w:p>
      <w:pPr>
        <w:pStyle w:val="175"/>
        <w:numPr>
          <w:ilvl w:val="0"/>
          <w:numId w:val="37"/>
        </w:numPr>
      </w:pPr>
      <w:r>
        <w:rPr>
          <w:rFonts w:hint="eastAsia"/>
        </w:rPr>
        <w:t>确定现场评审日程安排，明确评审工作进度和每个评审员现场评审需完成的任务以及任务提交的具体时间；</w:t>
      </w:r>
    </w:p>
    <w:p>
      <w:pPr>
        <w:pStyle w:val="175"/>
        <w:numPr>
          <w:ilvl w:val="0"/>
          <w:numId w:val="37"/>
        </w:numPr>
      </w:pPr>
      <w:r>
        <w:rPr>
          <w:rFonts w:hint="eastAsia"/>
        </w:rPr>
        <w:t>听取评审组成员有关工作建议、解答评审组成员提出的疑问；</w:t>
      </w:r>
    </w:p>
    <w:p>
      <w:pPr>
        <w:pStyle w:val="175"/>
        <w:numPr>
          <w:ilvl w:val="0"/>
          <w:numId w:val="37"/>
        </w:numPr>
      </w:pPr>
      <w:r>
        <w:rPr>
          <w:rFonts w:hint="eastAsia"/>
        </w:rPr>
        <w:t>需要时，要求检验检测机构提供与评审相关的补充材料；</w:t>
      </w:r>
    </w:p>
    <w:p>
      <w:pPr>
        <w:pStyle w:val="175"/>
        <w:numPr>
          <w:ilvl w:val="0"/>
          <w:numId w:val="37"/>
        </w:numPr>
      </w:pPr>
      <w:r>
        <w:rPr>
          <w:rFonts w:hint="eastAsia"/>
        </w:rPr>
        <w:t>需要时，组长对新获证评审员和技术专家进行必要的培训及评审经验交流。</w:t>
      </w:r>
    </w:p>
    <w:p>
      <w:pPr>
        <w:pStyle w:val="66"/>
        <w:spacing w:before="156" w:after="156"/>
      </w:pPr>
      <w:bookmarkStart w:id="59" w:name="_Toc131409464"/>
      <w:r>
        <w:rPr>
          <w:rFonts w:hint="eastAsia"/>
        </w:rPr>
        <w:t>首次会议</w:t>
      </w:r>
      <w:bookmarkEnd w:id="59"/>
    </w:p>
    <w:p>
      <w:pPr>
        <w:pStyle w:val="57"/>
        <w:ind w:firstLine="420"/>
      </w:pPr>
      <w:r>
        <w:rPr>
          <w:rFonts w:hint="eastAsia"/>
        </w:rPr>
        <w:t>首次会议由评审组长主持召开，评审组全体成员、被评审机构管理层（包括最高管理者、技术负责人、质量负责人等）、授权签字人、各部门负责人等应参加首次会议。参会人员应在《检验检测机构资质认定现场评审签到表》（附录C)上签名。对于多场所检验检测机构，可根据情况采用不同的方式召开，如集中召开、视频会议等。首次会议内容包括：</w:t>
      </w:r>
    </w:p>
    <w:p>
      <w:pPr>
        <w:pStyle w:val="175"/>
        <w:numPr>
          <w:ilvl w:val="0"/>
          <w:numId w:val="38"/>
        </w:numPr>
      </w:pPr>
      <w:r>
        <w:rPr>
          <w:rFonts w:hint="eastAsia"/>
        </w:rPr>
        <w:t>评审组长介绍评审组成员及</w:t>
      </w:r>
      <w:r>
        <w:rPr>
          <w:rFonts w:hint="eastAsia"/>
          <w:highlight w:val="none"/>
        </w:rPr>
        <w:t>观察员</w:t>
      </w:r>
      <w:r>
        <w:rPr>
          <w:rFonts w:hint="eastAsia"/>
        </w:rPr>
        <w:t>；被评审机构介绍与会人员；</w:t>
      </w:r>
    </w:p>
    <w:p>
      <w:pPr>
        <w:pStyle w:val="175"/>
        <w:numPr>
          <w:ilvl w:val="0"/>
          <w:numId w:val="38"/>
        </w:numPr>
      </w:pPr>
      <w:r>
        <w:rPr>
          <w:rFonts w:hint="eastAsia"/>
        </w:rPr>
        <w:t>评审组长宣读资质认定部门的评审通知，说明评审的目的、依据、范围、原则，明确评审将涉及的部门、人员；</w:t>
      </w:r>
    </w:p>
    <w:p>
      <w:pPr>
        <w:pStyle w:val="175"/>
        <w:numPr>
          <w:ilvl w:val="0"/>
          <w:numId w:val="38"/>
        </w:numPr>
      </w:pPr>
      <w:r>
        <w:rPr>
          <w:rFonts w:hint="eastAsia"/>
        </w:rPr>
        <w:t>被评审机构负责人介绍机构基本情况、主要工作人员及管理体系运行情况；</w:t>
      </w:r>
    </w:p>
    <w:p>
      <w:pPr>
        <w:pStyle w:val="175"/>
        <w:numPr>
          <w:ilvl w:val="0"/>
          <w:numId w:val="38"/>
        </w:numPr>
      </w:pPr>
      <w:r>
        <w:rPr>
          <w:rFonts w:hint="eastAsia"/>
        </w:rPr>
        <w:t>确认评审日程表；</w:t>
      </w:r>
    </w:p>
    <w:p>
      <w:pPr>
        <w:pStyle w:val="175"/>
        <w:numPr>
          <w:ilvl w:val="0"/>
          <w:numId w:val="38"/>
        </w:numPr>
      </w:pPr>
      <w:r>
        <w:rPr>
          <w:rFonts w:hint="eastAsia"/>
        </w:rPr>
        <w:t>宣布评审组成员分工，明确提交现场试验结果的时间；</w:t>
      </w:r>
    </w:p>
    <w:p>
      <w:pPr>
        <w:pStyle w:val="175"/>
        <w:numPr>
          <w:ilvl w:val="0"/>
          <w:numId w:val="38"/>
        </w:numPr>
      </w:pPr>
      <w:r>
        <w:rPr>
          <w:rFonts w:hint="eastAsia"/>
        </w:rPr>
        <w:t>介绍评审的方法和程序要求，强调评审的客观公正性原则，向被评审机构做出保密承诺，明确廉洁自律要求；</w:t>
      </w:r>
    </w:p>
    <w:p>
      <w:pPr>
        <w:pStyle w:val="175"/>
        <w:numPr>
          <w:ilvl w:val="0"/>
          <w:numId w:val="38"/>
        </w:numPr>
      </w:pPr>
      <w:r>
        <w:rPr>
          <w:rFonts w:hint="eastAsia"/>
        </w:rPr>
        <w:t>澄清有关问题，明确限制条件和安全防护措施（如洁净区、危险区、限制交谈人员等）；</w:t>
      </w:r>
    </w:p>
    <w:p>
      <w:pPr>
        <w:pStyle w:val="175"/>
        <w:numPr>
          <w:ilvl w:val="0"/>
          <w:numId w:val="38"/>
        </w:numPr>
      </w:pPr>
      <w:r>
        <w:rPr>
          <w:rFonts w:hint="eastAsia"/>
        </w:rPr>
        <w:t>被评审机构为评审组配备陪同人员，确定评审组的工作场所及评审工作所需资源；</w:t>
      </w:r>
    </w:p>
    <w:p>
      <w:pPr>
        <w:pStyle w:val="175"/>
        <w:numPr>
          <w:ilvl w:val="0"/>
          <w:numId w:val="38"/>
        </w:numPr>
      </w:pPr>
      <w:r>
        <w:rPr>
          <w:rFonts w:hint="eastAsia"/>
        </w:rPr>
        <w:t>强调评审组成员不收取任何费用，被评审机构也不应支付评审组成员任何费用，且应共同遵守相关规定。</w:t>
      </w:r>
    </w:p>
    <w:p>
      <w:pPr>
        <w:pStyle w:val="66"/>
        <w:spacing w:before="156" w:after="156"/>
      </w:pPr>
      <w:bookmarkStart w:id="60" w:name="_Toc131409465"/>
      <w:r>
        <w:rPr>
          <w:rFonts w:hint="eastAsia"/>
        </w:rPr>
        <w:t>现场观察</w:t>
      </w:r>
      <w:bookmarkEnd w:id="60"/>
    </w:p>
    <w:p>
      <w:pPr>
        <w:pStyle w:val="165"/>
      </w:pPr>
      <w:r>
        <w:rPr>
          <w:rFonts w:hint="eastAsia"/>
        </w:rPr>
        <w:t>首次会议结束后，评审组对被评审机构的关键场所及相关检验检测场所进行现场观察，初步了解被评审机构的环境、设备设施、人员及管理体系运行情况。</w:t>
      </w:r>
    </w:p>
    <w:p>
      <w:pPr>
        <w:pStyle w:val="165"/>
      </w:pPr>
      <w:r>
        <w:rPr>
          <w:rFonts w:hint="eastAsia"/>
        </w:rPr>
        <w:t>在遵守保密规定的情况下，现场观察的同时应对与本次评审有关的检验检测区域整体环境、关键仪器设备和设施进行拍照保存。</w:t>
      </w:r>
    </w:p>
    <w:p>
      <w:pPr>
        <w:pStyle w:val="165"/>
      </w:pPr>
      <w:r>
        <w:rPr>
          <w:rFonts w:hint="eastAsia"/>
        </w:rPr>
        <w:t>现场观察可根据被评审机构的规模，采用不同形式。对小型的、专业单一的检验检测机构可统一进行；对大型的、综合类检验检测机构可分组或分专业领域进行。</w:t>
      </w:r>
    </w:p>
    <w:p>
      <w:pPr>
        <w:pStyle w:val="165"/>
      </w:pPr>
      <w:r>
        <w:rPr>
          <w:rFonts w:hint="eastAsia"/>
        </w:rPr>
        <w:t>对于多场所检验检测机构，评审组</w:t>
      </w:r>
      <w:r>
        <w:rPr>
          <w:rFonts w:hint="eastAsia"/>
          <w:highlight w:val="none"/>
        </w:rPr>
        <w:t>长宜到各场所进行现场观察。</w:t>
      </w:r>
    </w:p>
    <w:p>
      <w:pPr>
        <w:pStyle w:val="165"/>
      </w:pPr>
      <w:r>
        <w:rPr>
          <w:rFonts w:hint="eastAsia"/>
        </w:rPr>
        <w:t>评审人员根据分工，重点观察以下方面并做好记录：</w:t>
      </w:r>
    </w:p>
    <w:p>
      <w:pPr>
        <w:pStyle w:val="175"/>
        <w:numPr>
          <w:ilvl w:val="0"/>
          <w:numId w:val="39"/>
        </w:numPr>
      </w:pPr>
      <w:r>
        <w:rPr>
          <w:rFonts w:hint="eastAsia"/>
        </w:rPr>
        <w:t>被评审机构公示的内容是否符合要求；</w:t>
      </w:r>
    </w:p>
    <w:p>
      <w:pPr>
        <w:pStyle w:val="175"/>
        <w:numPr>
          <w:ilvl w:val="0"/>
          <w:numId w:val="39"/>
        </w:numPr>
      </w:pPr>
      <w:r>
        <w:rPr>
          <w:rFonts w:hint="eastAsia"/>
        </w:rPr>
        <w:t>查看样品接收台帐/记录、检验检测委托单/合同、样品标识、样品的存储及流转是否可全流程追溯；</w:t>
      </w:r>
    </w:p>
    <w:p>
      <w:pPr>
        <w:pStyle w:val="175"/>
        <w:numPr>
          <w:ilvl w:val="0"/>
          <w:numId w:val="39"/>
        </w:numPr>
      </w:pPr>
      <w:r>
        <w:rPr>
          <w:rFonts w:hint="eastAsia"/>
        </w:rPr>
        <w:t>检验检测区域布局是否合理，是否存在造成相互影响的可能；检验检测标准/规范等如对环境条件有要求，被评审机构是否监控并记录，环境条件是否满足检验检测的要求；危险化学品、易制毒、易制爆</w:t>
      </w:r>
      <w:r>
        <w:rPr>
          <w:rFonts w:hint="eastAsia"/>
          <w:highlight w:val="none"/>
        </w:rPr>
        <w:t>等化学品</w:t>
      </w:r>
      <w:r>
        <w:rPr>
          <w:rFonts w:hint="eastAsia"/>
        </w:rPr>
        <w:t>是否安全管控；安全防护和环境保护措施、设施是否具备，并有效运行；</w:t>
      </w:r>
    </w:p>
    <w:p>
      <w:pPr>
        <w:pStyle w:val="175"/>
        <w:numPr>
          <w:ilvl w:val="0"/>
          <w:numId w:val="39"/>
        </w:numPr>
      </w:pPr>
      <w:r>
        <w:rPr>
          <w:rFonts w:hint="eastAsia"/>
        </w:rPr>
        <w:t>仪器设备的配备、标识、使用记录、环境条件是否满足相关要求；</w:t>
      </w:r>
    </w:p>
    <w:p>
      <w:pPr>
        <w:pStyle w:val="175"/>
        <w:numPr>
          <w:ilvl w:val="0"/>
          <w:numId w:val="39"/>
        </w:numPr>
      </w:pPr>
      <w:r>
        <w:rPr>
          <w:rFonts w:hint="eastAsia"/>
        </w:rPr>
        <w:t>检验检测现场使用的有关文件是否现行有效并受控。</w:t>
      </w:r>
    </w:p>
    <w:p>
      <w:pPr>
        <w:pStyle w:val="66"/>
        <w:spacing w:before="156" w:after="156"/>
      </w:pPr>
      <w:bookmarkStart w:id="61" w:name="_Toc131409466"/>
      <w:r>
        <w:rPr>
          <w:rFonts w:hint="eastAsia"/>
        </w:rPr>
        <w:t>现场试验考核</w:t>
      </w:r>
      <w:bookmarkEnd w:id="61"/>
    </w:p>
    <w:p>
      <w:pPr>
        <w:pStyle w:val="165"/>
        <w:rPr>
          <w:strike/>
          <w:highlight w:val="none"/>
        </w:rPr>
      </w:pPr>
      <w:r>
        <w:rPr>
          <w:rFonts w:hint="eastAsia"/>
          <w:highlight w:val="none"/>
        </w:rPr>
        <w:t>参考文件DB43/TXXX-2023 《检验检测机构资质认定</w:t>
      </w:r>
      <w:r>
        <w:rPr>
          <w:rFonts w:hint="eastAsia"/>
          <w:highlight w:val="none"/>
          <w:lang w:eastAsia="zh-CN"/>
        </w:rPr>
        <w:t>评审</w:t>
      </w:r>
      <w:r>
        <w:rPr>
          <w:rFonts w:hint="eastAsia"/>
          <w:highlight w:val="none"/>
        </w:rPr>
        <w:t xml:space="preserve"> --</w:t>
      </w:r>
      <w:r>
        <w:rPr>
          <w:rFonts w:hint="eastAsia"/>
          <w:highlight w:val="none"/>
          <w:lang w:eastAsia="zh-CN"/>
        </w:rPr>
        <w:t>第二部分</w:t>
      </w:r>
      <w:r>
        <w:rPr>
          <w:rFonts w:hint="eastAsia"/>
          <w:highlight w:val="none"/>
          <w:lang w:val="en-US" w:eastAsia="zh-CN"/>
        </w:rPr>
        <w:t xml:space="preserve"> </w:t>
      </w:r>
      <w:r>
        <w:rPr>
          <w:rFonts w:hint="eastAsia"/>
          <w:highlight w:val="none"/>
        </w:rPr>
        <w:t>现场试验考核实施规范》。</w:t>
      </w:r>
    </w:p>
    <w:p>
      <w:pPr>
        <w:pStyle w:val="165"/>
        <w:numPr>
          <w:ilvl w:val="0"/>
          <w:numId w:val="0"/>
        </w:numPr>
        <w:rPr>
          <w:strike/>
          <w:highlight w:val="yellow"/>
        </w:rPr>
      </w:pPr>
    </w:p>
    <w:p>
      <w:pPr>
        <w:pStyle w:val="66"/>
        <w:spacing w:before="156" w:after="156"/>
      </w:pPr>
      <w:bookmarkStart w:id="62" w:name="_Toc131409467"/>
      <w:r>
        <w:rPr>
          <w:rFonts w:hint="eastAsia"/>
        </w:rPr>
        <w:t>现场提问</w:t>
      </w:r>
      <w:bookmarkEnd w:id="62"/>
    </w:p>
    <w:p>
      <w:pPr>
        <w:pStyle w:val="165"/>
      </w:pPr>
      <w:r>
        <w:rPr>
          <w:rFonts w:hint="eastAsia"/>
        </w:rPr>
        <w:t>现场提问对象</w:t>
      </w:r>
      <w:r>
        <w:rPr>
          <w:rFonts w:hint="eastAsia"/>
          <w:highlight w:val="none"/>
        </w:rPr>
        <w:t>应包括被评审机构管理层（最高管理者、技术负责人、质量负责人）、</w:t>
      </w:r>
      <w:r>
        <w:rPr>
          <w:rFonts w:hint="eastAsia"/>
        </w:rPr>
        <w:t>授权签字人、各管理岗位人员以及与申请项目相关的检验检测人员。</w:t>
      </w:r>
    </w:p>
    <w:p>
      <w:pPr>
        <w:pStyle w:val="165"/>
      </w:pPr>
      <w:r>
        <w:rPr>
          <w:rFonts w:hint="eastAsia"/>
        </w:rPr>
        <w:t>现场提问的内容可包括检验检测机构资质认定评审相关法律法规、评审准则、体系文件、标准规范、行业特殊要求等；对现场评审中发现的问题、尚不清楚的问题可做跟踪性或澄清性提问。</w:t>
      </w:r>
    </w:p>
    <w:p>
      <w:pPr>
        <w:pStyle w:val="165"/>
      </w:pPr>
      <w:r>
        <w:rPr>
          <w:rFonts w:hint="eastAsia"/>
        </w:rPr>
        <w:t>现场提问可与现场观察、现场试验考核、查阅文件记录等活动结合进行，也可以通过座谈等方式进行。</w:t>
      </w:r>
    </w:p>
    <w:p>
      <w:pPr>
        <w:pStyle w:val="66"/>
        <w:spacing w:before="156" w:after="156"/>
      </w:pPr>
      <w:bookmarkStart w:id="63" w:name="_Toc131409468"/>
      <w:r>
        <w:rPr>
          <w:rFonts w:hint="eastAsia"/>
        </w:rPr>
        <w:t>查阅文件记录</w:t>
      </w:r>
      <w:bookmarkEnd w:id="63"/>
    </w:p>
    <w:p>
      <w:pPr>
        <w:pStyle w:val="165"/>
      </w:pPr>
      <w:r>
        <w:rPr>
          <w:rFonts w:hint="eastAsia"/>
        </w:rPr>
        <w:t>评审组应通过对被评审机构文件记录的查证，评价管理体系运行的有效性，以及检验检测技术活动的正确性。文件记录查阅包括但不限于以下内容：</w:t>
      </w:r>
    </w:p>
    <w:p>
      <w:pPr>
        <w:pStyle w:val="175"/>
        <w:numPr>
          <w:ilvl w:val="0"/>
          <w:numId w:val="40"/>
        </w:numPr>
      </w:pPr>
      <w:r>
        <w:rPr>
          <w:rFonts w:hint="eastAsia"/>
        </w:rPr>
        <w:t>文件：法律地位文件、相关任命文件、管理体系文件、相关法律法规和标准/规范等；</w:t>
      </w:r>
    </w:p>
    <w:p>
      <w:pPr>
        <w:pStyle w:val="175"/>
        <w:numPr>
          <w:ilvl w:val="0"/>
          <w:numId w:val="40"/>
        </w:numPr>
      </w:pPr>
      <w:r>
        <w:rPr>
          <w:rFonts w:hint="eastAsia"/>
        </w:rPr>
        <w:t>记录：人员档案、仪器设备档案、管理体系运行过程中产生的质量记录和技术记录等。</w:t>
      </w:r>
    </w:p>
    <w:p>
      <w:pPr>
        <w:pStyle w:val="165"/>
      </w:pPr>
      <w:r>
        <w:rPr>
          <w:rFonts w:hint="eastAsia"/>
        </w:rPr>
        <w:t>查阅记录过程中重点关注以下内容：</w:t>
      </w:r>
    </w:p>
    <w:p>
      <w:pPr>
        <w:pStyle w:val="175"/>
        <w:numPr>
          <w:ilvl w:val="0"/>
          <w:numId w:val="41"/>
        </w:numPr>
      </w:pPr>
      <w:r>
        <w:rPr>
          <w:rFonts w:hint="eastAsia"/>
        </w:rPr>
        <w:t>法律地位以及能否独立、公正运作的情况，关注经营范围是否与《检验检测机构资质认定管理办法》的相关要求冲突；</w:t>
      </w:r>
    </w:p>
    <w:p>
      <w:pPr>
        <w:pStyle w:val="175"/>
        <w:numPr>
          <w:ilvl w:val="0"/>
          <w:numId w:val="41"/>
        </w:numPr>
      </w:pPr>
      <w:r>
        <w:rPr>
          <w:rFonts w:hint="eastAsia"/>
        </w:rPr>
        <w:t>文件资料的控制，以及档案管理是否适用、有效、符合受控的要求，并有相应的资源保证；</w:t>
      </w:r>
    </w:p>
    <w:p>
      <w:pPr>
        <w:pStyle w:val="175"/>
        <w:numPr>
          <w:ilvl w:val="0"/>
          <w:numId w:val="41"/>
        </w:numPr>
      </w:pPr>
      <w:r>
        <w:rPr>
          <w:rFonts w:hint="eastAsia"/>
        </w:rPr>
        <w:t>管理体系运行记录是否齐全、科学，能否有效反映管理体系运行状况；</w:t>
      </w:r>
    </w:p>
    <w:p>
      <w:pPr>
        <w:pStyle w:val="175"/>
        <w:numPr>
          <w:ilvl w:val="0"/>
          <w:numId w:val="41"/>
        </w:numPr>
      </w:pPr>
      <w:r>
        <w:rPr>
          <w:rFonts w:hint="eastAsia"/>
        </w:rPr>
        <w:t>原始记录、报告格式内容是否合理，并包含足够的信息；</w:t>
      </w:r>
    </w:p>
    <w:p>
      <w:pPr>
        <w:pStyle w:val="175"/>
        <w:numPr>
          <w:ilvl w:val="0"/>
          <w:numId w:val="41"/>
        </w:numPr>
      </w:pPr>
      <w:r>
        <w:rPr>
          <w:rFonts w:hint="eastAsia"/>
        </w:rPr>
        <w:t>技术记录是否做到清晰、准确、明确，是否包括从样品的接收到出具检验检测报告过程中观察到的全部信息和原始数据，具有可追溯性；</w:t>
      </w:r>
    </w:p>
    <w:p>
      <w:pPr>
        <w:pStyle w:val="175"/>
        <w:numPr>
          <w:ilvl w:val="0"/>
          <w:numId w:val="41"/>
        </w:numPr>
      </w:pPr>
      <w:r>
        <w:rPr>
          <w:rFonts w:hint="eastAsia"/>
        </w:rPr>
        <w:t>记录的形成、修改、保管等控制是否符合管理体系文件的有关规定；</w:t>
      </w:r>
    </w:p>
    <w:p>
      <w:pPr>
        <w:pStyle w:val="175"/>
        <w:numPr>
          <w:ilvl w:val="0"/>
          <w:numId w:val="0"/>
        </w:numPr>
        <w:ind w:left="851"/>
      </w:pPr>
      <w:r>
        <w:rPr>
          <w:rFonts w:hint="eastAsia"/>
        </w:rPr>
        <w:t>人员是否满足独立性要求（检验检测人员不得在两个及以上机构从业），重点关注人员社保证明和劳动合同；</w:t>
      </w:r>
    </w:p>
    <w:p>
      <w:pPr>
        <w:pStyle w:val="175"/>
        <w:numPr>
          <w:ilvl w:val="0"/>
          <w:numId w:val="41"/>
        </w:numPr>
        <w:rPr>
          <w:highlight w:val="none"/>
        </w:rPr>
      </w:pPr>
      <w:r>
        <w:rPr>
          <w:rFonts w:hint="eastAsia"/>
        </w:rPr>
        <w:t>场地的使用权情况，检验检测场地若为租赁时，是否产权清晰且签</w:t>
      </w:r>
      <w:r>
        <w:rPr>
          <w:rFonts w:hint="eastAsia"/>
          <w:highlight w:val="none"/>
        </w:rPr>
        <w:t>订一个发证周期内的租赁合同，该房屋应满足湖南省住房和城乡建设厅印发的湘建房</w:t>
      </w:r>
      <w:r>
        <w:rPr>
          <w:rFonts w:hint="eastAsia"/>
          <w:highlight w:val="none"/>
          <w:lang w:eastAsia="zh-CN"/>
        </w:rPr>
        <w:t>第</w:t>
      </w:r>
      <w:r>
        <w:rPr>
          <w:rFonts w:hint="eastAsia"/>
          <w:highlight w:val="none"/>
        </w:rPr>
        <w:t>〔2022〕122号文《湖南省房屋安全鉴定暂行管理办法》的相关规定要求；</w:t>
      </w:r>
      <w:r>
        <w:rPr>
          <w:highlight w:val="none"/>
        </w:rPr>
        <w:t xml:space="preserve"> </w:t>
      </w:r>
    </w:p>
    <w:p>
      <w:pPr>
        <w:pStyle w:val="175"/>
        <w:numPr>
          <w:ilvl w:val="0"/>
          <w:numId w:val="41"/>
        </w:numPr>
      </w:pPr>
      <w:r>
        <w:rPr>
          <w:rFonts w:hint="eastAsia"/>
        </w:rPr>
        <w:t>检验检测机构的环境设施是否满足相关要求；</w:t>
      </w:r>
    </w:p>
    <w:p>
      <w:pPr>
        <w:pStyle w:val="175"/>
        <w:numPr>
          <w:ilvl w:val="0"/>
          <w:numId w:val="41"/>
        </w:numPr>
      </w:pPr>
      <w:r>
        <w:rPr>
          <w:rFonts w:hint="eastAsia"/>
        </w:rPr>
        <w:t>仪器设备是否满足相关要求；租用设备是否满足评审准则的相关要求；</w:t>
      </w:r>
    </w:p>
    <w:p>
      <w:pPr>
        <w:pStyle w:val="175"/>
        <w:numPr>
          <w:ilvl w:val="0"/>
          <w:numId w:val="41"/>
        </w:numPr>
      </w:pPr>
      <w:r>
        <w:rPr>
          <w:rFonts w:hint="eastAsia"/>
        </w:rPr>
        <w:t>仪器设备是否满足量值溯源的要求，校准/检定证书的信息是否充分并经过确认；</w:t>
      </w:r>
    </w:p>
    <w:p>
      <w:pPr>
        <w:pStyle w:val="175"/>
        <w:numPr>
          <w:ilvl w:val="0"/>
          <w:numId w:val="41"/>
        </w:numPr>
      </w:pPr>
      <w:r>
        <w:rPr>
          <w:rFonts w:hint="eastAsia"/>
        </w:rPr>
        <w:t>是否按照要求参加能力验证或检验检测机构间比对，是否对能力验证或检验检测机构间比对的结果进行了合适的处置；</w:t>
      </w:r>
    </w:p>
    <w:p>
      <w:pPr>
        <w:pStyle w:val="175"/>
        <w:numPr>
          <w:ilvl w:val="0"/>
          <w:numId w:val="41"/>
        </w:numPr>
      </w:pPr>
      <w:r>
        <w:rPr>
          <w:rFonts w:hint="eastAsia"/>
        </w:rPr>
        <w:t>内审和管理评审形成的纠正措施和改进措施的实施和验证，是否取得预期的效果；</w:t>
      </w:r>
    </w:p>
    <w:p>
      <w:pPr>
        <w:pStyle w:val="175"/>
        <w:numPr>
          <w:ilvl w:val="0"/>
          <w:numId w:val="41"/>
        </w:numPr>
      </w:pPr>
      <w:r>
        <w:rPr>
          <w:rFonts w:hint="eastAsia"/>
        </w:rPr>
        <w:t>检验检测机构是否进行了培训有效性的评价；</w:t>
      </w:r>
    </w:p>
    <w:p>
      <w:pPr>
        <w:pStyle w:val="175"/>
        <w:numPr>
          <w:ilvl w:val="0"/>
          <w:numId w:val="41"/>
        </w:numPr>
      </w:pPr>
      <w:r>
        <w:rPr>
          <w:rFonts w:hint="eastAsia"/>
        </w:rPr>
        <w:t>质量控制是否全面、充分和有效；</w:t>
      </w:r>
    </w:p>
    <w:p>
      <w:pPr>
        <w:pStyle w:val="175"/>
        <w:numPr>
          <w:ilvl w:val="0"/>
          <w:numId w:val="41"/>
        </w:numPr>
      </w:pPr>
      <w:r>
        <w:rPr>
          <w:rFonts w:hint="eastAsia"/>
        </w:rPr>
        <w:t>人员监督是否有效；</w:t>
      </w:r>
    </w:p>
    <w:p>
      <w:pPr>
        <w:pStyle w:val="175"/>
        <w:numPr>
          <w:ilvl w:val="0"/>
          <w:numId w:val="41"/>
        </w:numPr>
        <w:rPr>
          <w:highlight w:val="none"/>
        </w:rPr>
      </w:pPr>
      <w:r>
        <w:rPr>
          <w:rFonts w:hint="eastAsia"/>
          <w:highlight w:val="none"/>
        </w:rPr>
        <w:t>需要时，是否进行</w:t>
      </w:r>
      <w:r>
        <w:rPr>
          <w:rFonts w:hint="eastAsia"/>
          <w:highlight w:val="none"/>
          <w:lang w:eastAsia="zh-CN"/>
        </w:rPr>
        <w:t>了</w:t>
      </w:r>
      <w:r>
        <w:rPr>
          <w:rFonts w:hint="eastAsia"/>
          <w:highlight w:val="none"/>
        </w:rPr>
        <w:t>测量不确定度的评定。</w:t>
      </w:r>
    </w:p>
    <w:p>
      <w:pPr>
        <w:pStyle w:val="66"/>
        <w:spacing w:before="156" w:after="156"/>
      </w:pPr>
      <w:bookmarkStart w:id="64" w:name="_Toc131409469"/>
      <w:r>
        <w:rPr>
          <w:rFonts w:hint="eastAsia"/>
        </w:rPr>
        <w:t>现场座谈会</w:t>
      </w:r>
      <w:bookmarkEnd w:id="64"/>
    </w:p>
    <w:p>
      <w:pPr>
        <w:pStyle w:val="165"/>
      </w:pPr>
      <w:r>
        <w:rPr>
          <w:rFonts w:hint="eastAsia"/>
        </w:rPr>
        <w:t>通过现场座谈考查检验检测机构技术人员和管理人员基础知识，了解检验检测机构人员对体系文件的理解，</w:t>
      </w:r>
      <w:r>
        <w:rPr>
          <w:rFonts w:hint="eastAsia"/>
          <w:highlight w:val="none"/>
        </w:rPr>
        <w:t>交流评审中相关问题。</w:t>
      </w:r>
    </w:p>
    <w:p>
      <w:pPr>
        <w:pStyle w:val="165"/>
      </w:pPr>
      <w:r>
        <w:rPr>
          <w:rFonts w:hint="eastAsia"/>
        </w:rPr>
        <w:t>座谈会由评审组长主持，评审组成员和被评审机构各级管理人员、内审员、观察员、样品管理员、文件管理员、仪器设备管理员、主要检验检测人员等参加。参会人员在《检验检测机构资质认定现场评审签到表》</w:t>
      </w:r>
      <w:r>
        <w:rPr>
          <w:rFonts w:hint="eastAsia"/>
          <w:highlight w:val="none"/>
        </w:rPr>
        <w:t>（附录C)上签名。</w:t>
      </w:r>
    </w:p>
    <w:p>
      <w:pPr>
        <w:pStyle w:val="165"/>
      </w:pPr>
      <w:r>
        <w:rPr>
          <w:rFonts w:hint="eastAsia"/>
        </w:rPr>
        <w:t>座谈会上进行提问和讨论的问题包括但不限于以下内容：</w:t>
      </w:r>
    </w:p>
    <w:p>
      <w:pPr>
        <w:pStyle w:val="175"/>
        <w:numPr>
          <w:ilvl w:val="0"/>
          <w:numId w:val="42"/>
        </w:numPr>
      </w:pPr>
      <w:r>
        <w:rPr>
          <w:rFonts w:hint="eastAsia"/>
        </w:rPr>
        <w:t>对相关法律法规、评审准则及相关专业领域特殊要求的理解；</w:t>
      </w:r>
    </w:p>
    <w:p>
      <w:pPr>
        <w:pStyle w:val="175"/>
        <w:numPr>
          <w:ilvl w:val="0"/>
          <w:numId w:val="42"/>
        </w:numPr>
      </w:pPr>
      <w:r>
        <w:rPr>
          <w:rFonts w:hint="eastAsia"/>
        </w:rPr>
        <w:t>对检验检测机构管理体系文件的理解；</w:t>
      </w:r>
    </w:p>
    <w:p>
      <w:pPr>
        <w:pStyle w:val="175"/>
        <w:numPr>
          <w:ilvl w:val="0"/>
          <w:numId w:val="42"/>
        </w:numPr>
      </w:pPr>
      <w:r>
        <w:rPr>
          <w:rFonts w:hint="eastAsia"/>
        </w:rPr>
        <w:t>评审准则、相关专业领域补充要求和体系文件在实际工作中的应用情况；</w:t>
      </w:r>
    </w:p>
    <w:p>
      <w:pPr>
        <w:pStyle w:val="175"/>
        <w:numPr>
          <w:ilvl w:val="0"/>
          <w:numId w:val="42"/>
        </w:numPr>
      </w:pPr>
      <w:r>
        <w:rPr>
          <w:rFonts w:hint="eastAsia"/>
        </w:rPr>
        <w:t>各岗位人员对其职责的理解；</w:t>
      </w:r>
    </w:p>
    <w:p>
      <w:pPr>
        <w:pStyle w:val="175"/>
        <w:numPr>
          <w:ilvl w:val="0"/>
          <w:numId w:val="42"/>
        </w:numPr>
      </w:pPr>
      <w:r>
        <w:rPr>
          <w:rFonts w:hint="eastAsia"/>
        </w:rPr>
        <w:t>各类检验检测人员应具备的专业知识；</w:t>
      </w:r>
    </w:p>
    <w:p>
      <w:pPr>
        <w:pStyle w:val="175"/>
        <w:numPr>
          <w:ilvl w:val="0"/>
          <w:numId w:val="42"/>
        </w:numPr>
      </w:pPr>
      <w:r>
        <w:rPr>
          <w:rFonts w:hint="eastAsia"/>
        </w:rPr>
        <w:t>评审过程中发现的问题，以及需要与被评审机构澄清的问题。</w:t>
      </w:r>
    </w:p>
    <w:p>
      <w:pPr>
        <w:pStyle w:val="165"/>
      </w:pPr>
      <w:r>
        <w:rPr>
          <w:rFonts w:hint="eastAsia"/>
        </w:rPr>
        <w:t>对于多场所检验检测机构，可根据情况采用不同的方式召开，如：集中召开、视频会议等。</w:t>
      </w:r>
    </w:p>
    <w:p>
      <w:pPr>
        <w:pStyle w:val="66"/>
        <w:spacing w:before="156" w:after="156"/>
      </w:pPr>
      <w:bookmarkStart w:id="65" w:name="_Toc131409470"/>
      <w:r>
        <w:rPr>
          <w:rFonts w:hint="eastAsia"/>
        </w:rPr>
        <w:t>授权签字人考核</w:t>
      </w:r>
      <w:bookmarkEnd w:id="65"/>
    </w:p>
    <w:p>
      <w:pPr>
        <w:pStyle w:val="165"/>
      </w:pPr>
      <w:r>
        <w:rPr>
          <w:rFonts w:hint="eastAsia"/>
        </w:rPr>
        <w:t>授权签字人考核由</w:t>
      </w:r>
      <w:r>
        <w:rPr>
          <w:rFonts w:hint="eastAsia"/>
          <w:highlight w:val="none"/>
        </w:rPr>
        <w:t>评审</w:t>
      </w:r>
      <w:r>
        <w:rPr>
          <w:rFonts w:hint="eastAsia"/>
        </w:rPr>
        <w:t>组长主持，评审组成员参加，评审组长和相关评审组成员对申请的授权签字人逐一考核。</w:t>
      </w:r>
    </w:p>
    <w:p>
      <w:pPr>
        <w:pStyle w:val="165"/>
      </w:pPr>
      <w:r>
        <w:rPr>
          <w:rFonts w:hint="eastAsia"/>
        </w:rPr>
        <w:t>授权签字人考核的内容应包括授权签字人具备的条件、申请授权领域范围的技术经历和技术能力，应检查授权签字人的学历证书、技术职称证书、相关培训证书原件。</w:t>
      </w:r>
    </w:p>
    <w:p>
      <w:pPr>
        <w:pStyle w:val="165"/>
      </w:pPr>
      <w:r>
        <w:rPr>
          <w:rFonts w:hint="eastAsia"/>
        </w:rPr>
        <w:t>应对每个授权签字人做出评价意见，确定授权签字领域，应将评价过程有关信息记录在《授权签字人评价记录表》（附录D）中。</w:t>
      </w:r>
    </w:p>
    <w:p>
      <w:pPr>
        <w:pStyle w:val="165"/>
      </w:pPr>
      <w:r>
        <w:rPr>
          <w:rFonts w:hint="eastAsia"/>
        </w:rPr>
        <w:t>授权签字人具体要求如下：</w:t>
      </w:r>
    </w:p>
    <w:p>
      <w:pPr>
        <w:pStyle w:val="175"/>
        <w:numPr>
          <w:ilvl w:val="0"/>
          <w:numId w:val="43"/>
        </w:numPr>
      </w:pPr>
      <w:r>
        <w:rPr>
          <w:rFonts w:hint="eastAsia"/>
        </w:rPr>
        <w:t>具备评审准则及相关专业领域补充要求规定的中级以上（含中级）专业技术职称或同等能力；</w:t>
      </w:r>
    </w:p>
    <w:p>
      <w:pPr>
        <w:pStyle w:val="175"/>
        <w:numPr>
          <w:ilvl w:val="0"/>
          <w:numId w:val="43"/>
        </w:numPr>
        <w:rPr>
          <w:highlight w:val="none"/>
        </w:rPr>
      </w:pPr>
      <w:r>
        <w:rPr>
          <w:rFonts w:hint="eastAsia"/>
          <w:highlight w:val="none"/>
        </w:rPr>
        <w:t>提供资质认定部门认可的考核合格证据；</w:t>
      </w:r>
    </w:p>
    <w:p>
      <w:pPr>
        <w:pStyle w:val="175"/>
        <w:numPr>
          <w:ilvl w:val="0"/>
          <w:numId w:val="43"/>
        </w:numPr>
        <w:rPr>
          <w:strike/>
          <w:highlight w:val="none"/>
        </w:rPr>
      </w:pPr>
      <w:r>
        <w:rPr>
          <w:rFonts w:hint="eastAsia"/>
          <w:highlight w:val="none"/>
        </w:rPr>
        <w:t>具备与授权领域相关的检验检测工作经历和教育背景；</w:t>
      </w:r>
    </w:p>
    <w:p>
      <w:pPr>
        <w:pStyle w:val="175"/>
        <w:numPr>
          <w:ilvl w:val="0"/>
          <w:numId w:val="0"/>
        </w:numPr>
        <w:ind w:left="851"/>
        <w:rPr>
          <w:highlight w:val="none"/>
        </w:rPr>
      </w:pPr>
      <w:r>
        <w:rPr>
          <w:rFonts w:hint="eastAsia"/>
          <w:highlight w:val="none"/>
        </w:rPr>
        <w:t>注：应具有三年以上授权领域相关检验检测工作经历，特殊领域按相关行业要求执行；</w:t>
      </w:r>
    </w:p>
    <w:p>
      <w:pPr>
        <w:pStyle w:val="175"/>
        <w:numPr>
          <w:ilvl w:val="0"/>
          <w:numId w:val="43"/>
        </w:numPr>
      </w:pPr>
      <w:r>
        <w:rPr>
          <w:rFonts w:hint="eastAsia"/>
        </w:rPr>
        <w:t>熟悉有关仪器设备的检定/校准要求；</w:t>
      </w:r>
    </w:p>
    <w:p>
      <w:pPr>
        <w:pStyle w:val="175"/>
        <w:numPr>
          <w:ilvl w:val="0"/>
          <w:numId w:val="43"/>
        </w:numPr>
      </w:pPr>
      <w:r>
        <w:rPr>
          <w:rFonts w:hint="eastAsia"/>
        </w:rPr>
        <w:t>熟悉</w:t>
      </w:r>
      <w:r>
        <w:rPr>
          <w:rFonts w:hint="eastAsia"/>
          <w:highlight w:val="none"/>
        </w:rPr>
        <w:t>并</w:t>
      </w:r>
      <w:r>
        <w:rPr>
          <w:rFonts w:hint="eastAsia"/>
        </w:rPr>
        <w:t>掌握申请授权签字领域的相应技术标准/规范；</w:t>
      </w:r>
    </w:p>
    <w:p>
      <w:pPr>
        <w:pStyle w:val="175"/>
        <w:numPr>
          <w:ilvl w:val="0"/>
          <w:numId w:val="43"/>
        </w:numPr>
      </w:pPr>
      <w:r>
        <w:rPr>
          <w:rFonts w:hint="eastAsia"/>
          <w:highlight w:val="none"/>
        </w:rPr>
        <w:t>掌握</w:t>
      </w:r>
      <w:r>
        <w:rPr>
          <w:rFonts w:hint="eastAsia"/>
        </w:rPr>
        <w:t>检验检测机构管理和检验检测报告或证书审核签发程序；</w:t>
      </w:r>
    </w:p>
    <w:p>
      <w:pPr>
        <w:pStyle w:val="175"/>
        <w:numPr>
          <w:ilvl w:val="0"/>
          <w:numId w:val="43"/>
        </w:numPr>
      </w:pPr>
      <w:r>
        <w:rPr>
          <w:rFonts w:hint="eastAsia"/>
        </w:rPr>
        <w:t>具备对检验检测结果做出相应评价的判断能力；</w:t>
      </w:r>
    </w:p>
    <w:p>
      <w:pPr>
        <w:pStyle w:val="175"/>
        <w:numPr>
          <w:ilvl w:val="0"/>
          <w:numId w:val="43"/>
        </w:numPr>
      </w:pPr>
      <w:r>
        <w:rPr>
          <w:rFonts w:hint="eastAsia"/>
        </w:rPr>
        <w:t>熟悉评审准则、相关专业领域补充要求以及相关的法律法规、技术文件的要求。</w:t>
      </w:r>
    </w:p>
    <w:p>
      <w:pPr>
        <w:pStyle w:val="175"/>
        <w:numPr>
          <w:ilvl w:val="0"/>
          <w:numId w:val="0"/>
        </w:numPr>
        <w:ind w:left="851"/>
      </w:pPr>
    </w:p>
    <w:p>
      <w:pPr>
        <w:pStyle w:val="66"/>
        <w:spacing w:before="156" w:after="156"/>
      </w:pPr>
      <w:bookmarkStart w:id="66" w:name="_Toc131409472"/>
      <w:r>
        <w:rPr>
          <w:rFonts w:hint="eastAsia"/>
        </w:rPr>
        <w:t>确定检验检测能力</w:t>
      </w:r>
      <w:bookmarkEnd w:id="66"/>
    </w:p>
    <w:p>
      <w:pPr>
        <w:pStyle w:val="165"/>
      </w:pPr>
      <w:r>
        <w:rPr>
          <w:rFonts w:hint="eastAsia"/>
        </w:rPr>
        <w:t>确定被评审机构的检验检测能力是现场评审的核心环节，必须客观、真实、准确，应按</w:t>
      </w:r>
      <w:r>
        <w:rPr>
          <w:rFonts w:hint="eastAsia"/>
          <w:highlight w:val="none"/>
        </w:rPr>
        <w:t xml:space="preserve">DB/T43 </w:t>
      </w:r>
      <w:r>
        <w:rPr>
          <w:rFonts w:hint="eastAsia"/>
        </w:rPr>
        <w:t xml:space="preserve"> 执行。</w:t>
      </w:r>
    </w:p>
    <w:p>
      <w:pPr>
        <w:pStyle w:val="165"/>
      </w:pPr>
      <w:r>
        <w:rPr>
          <w:rFonts w:hint="eastAsia"/>
        </w:rPr>
        <w:t>被评审机构</w:t>
      </w:r>
      <w:r>
        <w:rPr>
          <w:rFonts w:hint="eastAsia"/>
          <w:highlight w:val="none"/>
        </w:rPr>
        <w:t>检验检测</w:t>
      </w:r>
      <w:r>
        <w:rPr>
          <w:rFonts w:hint="eastAsia"/>
        </w:rPr>
        <w:t>能力的确定，应基于现场试验考核等技术能力考核的结果和评审组成员的专业判断。</w:t>
      </w:r>
    </w:p>
    <w:p>
      <w:pPr>
        <w:pStyle w:val="165"/>
      </w:pPr>
      <w:r>
        <w:rPr>
          <w:rFonts w:hint="eastAsia"/>
        </w:rPr>
        <w:t>确定检验检测能力时应注意以下问题：</w:t>
      </w:r>
    </w:p>
    <w:p>
      <w:pPr>
        <w:pStyle w:val="175"/>
        <w:numPr>
          <w:ilvl w:val="0"/>
          <w:numId w:val="44"/>
        </w:numPr>
      </w:pPr>
      <w:r>
        <w:rPr>
          <w:rFonts w:hint="eastAsia"/>
        </w:rPr>
        <w:t>检验检测能力应以被评审机构现有条件为依据，不能主观臆断；</w:t>
      </w:r>
    </w:p>
    <w:p>
      <w:pPr>
        <w:pStyle w:val="175"/>
        <w:numPr>
          <w:ilvl w:val="0"/>
          <w:numId w:val="44"/>
        </w:numPr>
      </w:pPr>
      <w:r>
        <w:rPr>
          <w:rFonts w:hint="eastAsia"/>
        </w:rPr>
        <w:t>检验检测项目应按申请的范围进行确认，评审组不得擅自增加类别（产品/项目/参数),特殊情况需报资质认定部门同意后，方可调整；</w:t>
      </w:r>
    </w:p>
    <w:p>
      <w:pPr>
        <w:pStyle w:val="175"/>
        <w:numPr>
          <w:ilvl w:val="0"/>
          <w:numId w:val="44"/>
        </w:numPr>
      </w:pPr>
      <w:r>
        <w:rPr>
          <w:rFonts w:hint="eastAsia"/>
        </w:rPr>
        <w:t>被评审机构不能提供检验检测标准/规范，检验检测人员不具备相应的技能，无检验检测设备或检验检测设备配置不正确，环境条件不满足检验检测要求的，均按不具备检验检测能力处理；</w:t>
      </w:r>
    </w:p>
    <w:p>
      <w:pPr>
        <w:pStyle w:val="66"/>
        <w:spacing w:before="156" w:after="156"/>
      </w:pPr>
      <w:bookmarkStart w:id="67" w:name="_Toc131409473"/>
      <w:r>
        <w:rPr>
          <w:rFonts w:hint="eastAsia"/>
        </w:rPr>
        <w:t>确定基本符合项/不符合项</w:t>
      </w:r>
      <w:bookmarkEnd w:id="67"/>
    </w:p>
    <w:p>
      <w:pPr>
        <w:pStyle w:val="165"/>
      </w:pPr>
      <w:r>
        <w:rPr>
          <w:rFonts w:hint="eastAsia"/>
        </w:rPr>
        <w:t>基本符合项和不符合项应事实确凿，其描述应严格引用客观证据，如具体的检验检测记录、检验检测报告、检验检测标准/方法及具体活动等，在保证可追溯的前提下，应尽可能简洁，不加修饰。</w:t>
      </w:r>
    </w:p>
    <w:p>
      <w:pPr>
        <w:pStyle w:val="165"/>
      </w:pPr>
      <w:r>
        <w:rPr>
          <w:rFonts w:hint="eastAsia"/>
        </w:rPr>
        <w:t>基本符合项和不符合项的判定依据：</w:t>
      </w:r>
    </w:p>
    <w:p>
      <w:pPr>
        <w:pStyle w:val="175"/>
        <w:numPr>
          <w:ilvl w:val="0"/>
          <w:numId w:val="45"/>
        </w:numPr>
      </w:pPr>
      <w:r>
        <w:rPr>
          <w:rFonts w:hint="eastAsia"/>
        </w:rPr>
        <w:t>管理体系文件的判定依据是</w:t>
      </w:r>
      <w:r>
        <w:rPr>
          <w:rFonts w:hint="eastAsia"/>
          <w:highlight w:val="none"/>
        </w:rPr>
        <w:t>检验检测机构资质认定评审准则、</w:t>
      </w:r>
      <w:r>
        <w:rPr>
          <w:rFonts w:hint="eastAsia"/>
        </w:rPr>
        <w:t>相关专业领域补充要求等；</w:t>
      </w:r>
    </w:p>
    <w:p>
      <w:pPr>
        <w:pStyle w:val="175"/>
      </w:pPr>
      <w:r>
        <w:rPr>
          <w:rFonts w:hint="eastAsia"/>
        </w:rPr>
        <w:t>管理体系运行过程、运行记录、人员操作的判定依据，除评审准则、RB/T214、相关专业领域补充要求、检验检测标准/规范外，还可能是管理体系文件（包括质量手册、程序文件、作业指导书等）等。</w:t>
      </w:r>
    </w:p>
    <w:p>
      <w:pPr>
        <w:pStyle w:val="165"/>
      </w:pPr>
      <w:r>
        <w:rPr>
          <w:rFonts w:hint="eastAsia"/>
        </w:rPr>
        <w:t>对于多个同类型的基本符合项/不符合项，评审组内部会议时，可汇总成一个典型的基本符合项/不符合项。</w:t>
      </w:r>
    </w:p>
    <w:p>
      <w:pPr>
        <w:pStyle w:val="165"/>
      </w:pPr>
      <w:r>
        <w:rPr>
          <w:rFonts w:hint="eastAsia"/>
        </w:rPr>
        <w:t>评审组对有确凿证据表明不符合事实或不满足标准/规范要求的问题及缺陷，均应开具基本符合项或不符合项。</w:t>
      </w:r>
    </w:p>
    <w:p>
      <w:pPr>
        <w:pStyle w:val="165"/>
      </w:pPr>
      <w:r>
        <w:rPr>
          <w:rFonts w:hint="eastAsia"/>
        </w:rPr>
        <w:t>对于涉及技术能力的不符合，如涉及人员能力、设备、环境设施等，而被评审机构又不能在短期内完成整改的类别（产品/项目/参数)，评审组不应确定相关的检验检测能力。</w:t>
      </w:r>
    </w:p>
    <w:p>
      <w:pPr>
        <w:pStyle w:val="66"/>
        <w:spacing w:before="156" w:after="156"/>
      </w:pPr>
      <w:bookmarkStart w:id="68" w:name="_Toc131409474"/>
      <w:r>
        <w:rPr>
          <w:rFonts w:hint="eastAsia"/>
        </w:rPr>
        <w:t>评审结论</w:t>
      </w:r>
      <w:bookmarkEnd w:id="68"/>
    </w:p>
    <w:p>
      <w:pPr>
        <w:pStyle w:val="57"/>
        <w:ind w:firstLine="420"/>
      </w:pPr>
      <w:r>
        <w:rPr>
          <w:rFonts w:hint="eastAsia"/>
        </w:rPr>
        <w:t>评审结论分为符合、基本符合、基本符合（需现场复核）、不符合四种，具体情况如下：</w:t>
      </w:r>
    </w:p>
    <w:p>
      <w:pPr>
        <w:pStyle w:val="175"/>
        <w:numPr>
          <w:ilvl w:val="0"/>
          <w:numId w:val="46"/>
        </w:numPr>
      </w:pPr>
      <w:r>
        <w:rPr>
          <w:rFonts w:hint="eastAsia"/>
        </w:rPr>
        <w:t>符合，是指检验检测机构管理体系符合评审准则、相关专业领域补充要求并有效运行，具备申报项目或参数的检验检测能力且能出具正确可靠的结果；</w:t>
      </w:r>
    </w:p>
    <w:p>
      <w:pPr>
        <w:pStyle w:val="175"/>
        <w:numPr>
          <w:ilvl w:val="0"/>
          <w:numId w:val="46"/>
        </w:numPr>
      </w:pPr>
      <w:r>
        <w:rPr>
          <w:rFonts w:hint="eastAsia"/>
        </w:rPr>
        <w:t>基本符合，是指检验检测机构管理体系基本符合评审准则、相关专业领域补充要求且运行基本有效，但评审中发现不符合项，待完成整改跟踪验证后，报送资质认定部门；</w:t>
      </w:r>
    </w:p>
    <w:p>
      <w:pPr>
        <w:pStyle w:val="175"/>
        <w:numPr>
          <w:ilvl w:val="0"/>
          <w:numId w:val="46"/>
        </w:numPr>
      </w:pPr>
      <w:r>
        <w:rPr>
          <w:rFonts w:hint="eastAsia"/>
        </w:rPr>
        <w:t>基本符合（需现场复核），是指在评审中发现的不符合项完成整改并进行现场复核后才能报送资质认定部门，以下情况应进行现场复核：</w:t>
      </w:r>
    </w:p>
    <w:p>
      <w:pPr>
        <w:pStyle w:val="110"/>
      </w:pPr>
      <w:r>
        <w:rPr>
          <w:rFonts w:hint="eastAsia"/>
        </w:rPr>
        <w:t>涉及影响检验检测结果有效性和机构诚信度的不符合项；</w:t>
      </w:r>
    </w:p>
    <w:p>
      <w:pPr>
        <w:pStyle w:val="110"/>
      </w:pPr>
      <w:r>
        <w:rPr>
          <w:rFonts w:hint="eastAsia"/>
        </w:rPr>
        <w:t>涉及环境设施不符合要求；</w:t>
      </w:r>
    </w:p>
    <w:p>
      <w:pPr>
        <w:pStyle w:val="110"/>
      </w:pPr>
      <w:r>
        <w:rPr>
          <w:rFonts w:hint="eastAsia"/>
        </w:rPr>
        <w:t>涉及仪器设备故障，部分能力欠缺的；</w:t>
      </w:r>
    </w:p>
    <w:p>
      <w:pPr>
        <w:pStyle w:val="110"/>
      </w:pPr>
      <w:r>
        <w:rPr>
          <w:rFonts w:hint="eastAsia"/>
        </w:rPr>
        <w:t>对整改材料仅进行书面审查不能确认其整改是否有效的。</w:t>
      </w:r>
    </w:p>
    <w:p>
      <w:pPr>
        <w:pStyle w:val="175"/>
        <w:numPr>
          <w:ilvl w:val="0"/>
          <w:numId w:val="46"/>
        </w:numPr>
      </w:pPr>
      <w:r>
        <w:rPr>
          <w:rFonts w:hint="eastAsia"/>
        </w:rPr>
        <w:t>不符合，是指检验检测机构管理体系不符合评审准则、相关专业领域补充要求或不能有效运行，或申报的检验检测能力与实际情况存在较大差距，不能推荐资质认定。对于不符合应在评审报告中充分说明理由，并与检验检测机构进行沟通后给出结论。</w:t>
      </w:r>
    </w:p>
    <w:p>
      <w:pPr>
        <w:pStyle w:val="66"/>
        <w:spacing w:before="156" w:after="156"/>
      </w:pPr>
      <w:bookmarkStart w:id="69" w:name="_Toc131409471"/>
      <w:r>
        <w:rPr>
          <w:rFonts w:hint="eastAsia"/>
        </w:rPr>
        <w:t>评审组内部会</w:t>
      </w:r>
      <w:bookmarkEnd w:id="69"/>
    </w:p>
    <w:p>
      <w:pPr>
        <w:pStyle w:val="57"/>
        <w:ind w:firstLine="420"/>
      </w:pPr>
      <w:r>
        <w:rPr>
          <w:rFonts w:hint="eastAsia"/>
        </w:rPr>
        <w:t>评审组内部会由评审组长主持，主要内容包括：</w:t>
      </w:r>
    </w:p>
    <w:p>
      <w:pPr>
        <w:pStyle w:val="175"/>
        <w:numPr>
          <w:ilvl w:val="0"/>
          <w:numId w:val="47"/>
        </w:numPr>
      </w:pPr>
      <w:r>
        <w:rPr>
          <w:rFonts w:hint="eastAsia"/>
        </w:rPr>
        <w:t>交流评审情况，讨论评审发现的问题，确定是否构成基本符合项或不符合项；</w:t>
      </w:r>
    </w:p>
    <w:p>
      <w:pPr>
        <w:pStyle w:val="175"/>
        <w:numPr>
          <w:ilvl w:val="0"/>
          <w:numId w:val="47"/>
        </w:numPr>
      </w:pPr>
      <w:r>
        <w:rPr>
          <w:rFonts w:hint="eastAsia"/>
        </w:rPr>
        <w:t>了解评审工作进度，及时调整评审人员的工作任务，组织、调控评审过程,对评审人员遇到的疑难问题提出处理意见；</w:t>
      </w:r>
    </w:p>
    <w:p>
      <w:pPr>
        <w:pStyle w:val="175"/>
        <w:numPr>
          <w:ilvl w:val="0"/>
          <w:numId w:val="47"/>
        </w:numPr>
      </w:pPr>
      <w:r>
        <w:rPr>
          <w:rFonts w:hint="eastAsia"/>
        </w:rPr>
        <w:t>对评审情况进行汇总，确定评审通过的检验检测能力和授权签字人；</w:t>
      </w:r>
    </w:p>
    <w:p>
      <w:pPr>
        <w:pStyle w:val="175"/>
        <w:numPr>
          <w:ilvl w:val="0"/>
          <w:numId w:val="47"/>
        </w:numPr>
      </w:pPr>
      <w:r>
        <w:rPr>
          <w:rFonts w:hint="eastAsia"/>
        </w:rPr>
        <w:t>提出基本符合项和不符合项及整改要求，填写《基本符合项和不符合项汇总表》（附录E）；</w:t>
      </w:r>
    </w:p>
    <w:p>
      <w:pPr>
        <w:pStyle w:val="175"/>
        <w:numPr>
          <w:ilvl w:val="0"/>
          <w:numId w:val="47"/>
        </w:numPr>
      </w:pPr>
      <w:r>
        <w:rPr>
          <w:rFonts w:hint="eastAsia"/>
        </w:rPr>
        <w:t>形成评审组意见及评审结论并做好评审记录。</w:t>
      </w:r>
    </w:p>
    <w:p>
      <w:pPr>
        <w:pStyle w:val="175"/>
        <w:numPr>
          <w:ilvl w:val="0"/>
          <w:numId w:val="0"/>
        </w:numPr>
        <w:ind w:left="425"/>
      </w:pPr>
    </w:p>
    <w:p>
      <w:pPr>
        <w:pStyle w:val="66"/>
        <w:spacing w:before="156" w:after="156"/>
      </w:pPr>
      <w:bookmarkStart w:id="70" w:name="_Toc131409475"/>
      <w:r>
        <w:rPr>
          <w:rFonts w:hint="eastAsia"/>
        </w:rPr>
        <w:t>检验检测机构沟通会</w:t>
      </w:r>
      <w:bookmarkEnd w:id="70"/>
    </w:p>
    <w:p>
      <w:pPr>
        <w:pStyle w:val="57"/>
        <w:ind w:firstLine="420"/>
      </w:pPr>
      <w:r>
        <w:rPr>
          <w:rFonts w:hint="eastAsia"/>
        </w:rPr>
        <w:t>形成评审组意见后，评审组长应与被评审机构管理层进行沟通，通报评审中发现的问题和评审结论，听取被评审机构的意见。</w:t>
      </w:r>
    </w:p>
    <w:p>
      <w:pPr>
        <w:pStyle w:val="66"/>
        <w:spacing w:before="156" w:after="156"/>
      </w:pPr>
      <w:bookmarkStart w:id="71" w:name="_Toc131409476"/>
      <w:r>
        <w:rPr>
          <w:rFonts w:hint="eastAsia"/>
        </w:rPr>
        <w:t>评审报告</w:t>
      </w:r>
      <w:bookmarkEnd w:id="71"/>
    </w:p>
    <w:p>
      <w:pPr>
        <w:pStyle w:val="165"/>
      </w:pPr>
      <w:r>
        <w:rPr>
          <w:rFonts w:hint="eastAsia"/>
        </w:rPr>
        <w:t>评审组长负责汇总并撰写评审意见，评审组成员协助组长完成评审报告。评审意见主要内容包括：</w:t>
      </w:r>
    </w:p>
    <w:p>
      <w:pPr>
        <w:pStyle w:val="175"/>
        <w:numPr>
          <w:ilvl w:val="0"/>
          <w:numId w:val="48"/>
        </w:numPr>
      </w:pPr>
      <w:r>
        <w:rPr>
          <w:rFonts w:hint="eastAsia"/>
        </w:rPr>
        <w:t>评审的依据、评审类型、评审组人数、现场评审时间、评审范围、评审过程、评审结论等；</w:t>
      </w:r>
    </w:p>
    <w:p>
      <w:pPr>
        <w:pStyle w:val="175"/>
        <w:numPr>
          <w:ilvl w:val="0"/>
          <w:numId w:val="48"/>
        </w:numPr>
      </w:pPr>
      <w:r>
        <w:rPr>
          <w:rFonts w:hint="eastAsia"/>
        </w:rPr>
        <w:t>对被评审机构法律地位及组织机构的评价；</w:t>
      </w:r>
    </w:p>
    <w:p>
      <w:pPr>
        <w:pStyle w:val="175"/>
        <w:numPr>
          <w:ilvl w:val="0"/>
          <w:numId w:val="48"/>
        </w:numPr>
      </w:pPr>
      <w:r>
        <w:rPr>
          <w:rFonts w:hint="eastAsia"/>
        </w:rPr>
        <w:t>对被评审机构所有工作场所、环境设施的评价；</w:t>
      </w:r>
    </w:p>
    <w:p>
      <w:pPr>
        <w:pStyle w:val="175"/>
        <w:numPr>
          <w:ilvl w:val="0"/>
          <w:numId w:val="48"/>
        </w:numPr>
      </w:pPr>
      <w:r>
        <w:rPr>
          <w:rFonts w:hint="eastAsia"/>
        </w:rPr>
        <w:t>对被评审机构检验检测仪器设备的评价；</w:t>
      </w:r>
    </w:p>
    <w:p>
      <w:pPr>
        <w:pStyle w:val="175"/>
        <w:numPr>
          <w:ilvl w:val="0"/>
          <w:numId w:val="48"/>
        </w:numPr>
      </w:pPr>
      <w:r>
        <w:rPr>
          <w:rFonts w:hint="eastAsia"/>
        </w:rPr>
        <w:t>对被评审机构管理、技术人员的评价；</w:t>
      </w:r>
    </w:p>
    <w:p>
      <w:pPr>
        <w:pStyle w:val="175"/>
        <w:numPr>
          <w:ilvl w:val="0"/>
          <w:numId w:val="48"/>
        </w:numPr>
      </w:pPr>
      <w:r>
        <w:rPr>
          <w:rFonts w:hint="eastAsia"/>
        </w:rPr>
        <w:t>对被评审机构管理体系运行情况的评价；</w:t>
      </w:r>
    </w:p>
    <w:p>
      <w:pPr>
        <w:pStyle w:val="175"/>
        <w:numPr>
          <w:ilvl w:val="0"/>
          <w:numId w:val="48"/>
        </w:numPr>
      </w:pPr>
      <w:r>
        <w:rPr>
          <w:rFonts w:hint="eastAsia"/>
        </w:rPr>
        <w:t>对现场试验考核方式及考核结果的描述；</w:t>
      </w:r>
    </w:p>
    <w:p>
      <w:pPr>
        <w:pStyle w:val="175"/>
        <w:numPr>
          <w:ilvl w:val="0"/>
          <w:numId w:val="48"/>
        </w:numPr>
      </w:pPr>
      <w:r>
        <w:rPr>
          <w:rFonts w:hint="eastAsia"/>
        </w:rPr>
        <w:t>建议批准的检验检测能力情况；</w:t>
      </w:r>
    </w:p>
    <w:p>
      <w:pPr>
        <w:pStyle w:val="175"/>
        <w:numPr>
          <w:ilvl w:val="0"/>
          <w:numId w:val="48"/>
        </w:numPr>
      </w:pPr>
      <w:r>
        <w:rPr>
          <w:rFonts w:hint="eastAsia"/>
        </w:rPr>
        <w:t>授权签字人考核情况和建议批准的授权签字人；</w:t>
      </w:r>
    </w:p>
    <w:p>
      <w:pPr>
        <w:pStyle w:val="175"/>
        <w:numPr>
          <w:ilvl w:val="0"/>
          <w:numId w:val="48"/>
        </w:numPr>
      </w:pPr>
      <w:r>
        <w:rPr>
          <w:rFonts w:hint="eastAsia"/>
        </w:rPr>
        <w:t>基本符合项和不符合项及整改要求、整改时间；</w:t>
      </w:r>
    </w:p>
    <w:p>
      <w:pPr>
        <w:pStyle w:val="175"/>
        <w:numPr>
          <w:ilvl w:val="0"/>
          <w:numId w:val="48"/>
        </w:numPr>
      </w:pPr>
      <w:r>
        <w:rPr>
          <w:rFonts w:hint="eastAsia"/>
        </w:rPr>
        <w:t>对于多场所、多机构名称，应分别描述建议批准情况和不符合项情况；</w:t>
      </w:r>
    </w:p>
    <w:p>
      <w:pPr>
        <w:pStyle w:val="175"/>
        <w:numPr>
          <w:ilvl w:val="0"/>
          <w:numId w:val="48"/>
        </w:numPr>
      </w:pPr>
      <w:r>
        <w:rPr>
          <w:rFonts w:hint="eastAsia"/>
        </w:rPr>
        <w:t>其他需要说明的情况。</w:t>
      </w:r>
    </w:p>
    <w:p>
      <w:pPr>
        <w:pStyle w:val="165"/>
      </w:pPr>
      <w:r>
        <w:rPr>
          <w:rFonts w:hint="eastAsia"/>
        </w:rPr>
        <w:t>评审组长应在审批系统中根据要求完成《检验检测机构资质认定评审报告》中的以下内容：</w:t>
      </w:r>
    </w:p>
    <w:p>
      <w:pPr>
        <w:pStyle w:val="175"/>
        <w:numPr>
          <w:ilvl w:val="0"/>
          <w:numId w:val="49"/>
        </w:numPr>
      </w:pPr>
      <w:r>
        <w:rPr>
          <w:rFonts w:hint="eastAsia"/>
        </w:rPr>
        <w:t>评审报告；</w:t>
      </w:r>
    </w:p>
    <w:p>
      <w:pPr>
        <w:pStyle w:val="175"/>
        <w:numPr>
          <w:ilvl w:val="0"/>
          <w:numId w:val="49"/>
        </w:numPr>
      </w:pPr>
      <w:r>
        <w:rPr>
          <w:rFonts w:hint="eastAsia"/>
        </w:rPr>
        <w:t>建议批准的检验检测能力表；</w:t>
      </w:r>
    </w:p>
    <w:p>
      <w:pPr>
        <w:pStyle w:val="175"/>
        <w:numPr>
          <w:ilvl w:val="0"/>
          <w:numId w:val="49"/>
        </w:numPr>
      </w:pPr>
      <w:r>
        <w:rPr>
          <w:rFonts w:hint="eastAsia"/>
        </w:rPr>
        <w:t>建议批准的授权签字人；</w:t>
      </w:r>
    </w:p>
    <w:p>
      <w:pPr>
        <w:pStyle w:val="175"/>
        <w:numPr>
          <w:ilvl w:val="0"/>
          <w:numId w:val="49"/>
        </w:numPr>
      </w:pPr>
      <w:r>
        <w:rPr>
          <w:rFonts w:hint="eastAsia"/>
        </w:rPr>
        <w:t>授权签字人评价记录表；</w:t>
      </w:r>
    </w:p>
    <w:p>
      <w:pPr>
        <w:pStyle w:val="175"/>
        <w:numPr>
          <w:ilvl w:val="0"/>
          <w:numId w:val="49"/>
        </w:numPr>
      </w:pPr>
      <w:r>
        <w:rPr>
          <w:rFonts w:hint="eastAsia"/>
        </w:rPr>
        <w:t>基本符合和不符合项汇总表；</w:t>
      </w:r>
    </w:p>
    <w:p>
      <w:pPr>
        <w:pStyle w:val="175"/>
        <w:numPr>
          <w:ilvl w:val="0"/>
          <w:numId w:val="49"/>
        </w:numPr>
      </w:pPr>
      <w:r>
        <w:rPr>
          <w:rFonts w:hint="eastAsia"/>
        </w:rPr>
        <w:t>现场考核项目表；</w:t>
      </w:r>
    </w:p>
    <w:p>
      <w:pPr>
        <w:pStyle w:val="175"/>
        <w:numPr>
          <w:ilvl w:val="0"/>
          <w:numId w:val="49"/>
        </w:numPr>
      </w:pPr>
      <w:r>
        <w:rPr>
          <w:rFonts w:hint="eastAsia"/>
        </w:rPr>
        <w:t>评审组人员名单；</w:t>
      </w:r>
    </w:p>
    <w:p>
      <w:pPr>
        <w:pStyle w:val="175"/>
        <w:numPr>
          <w:ilvl w:val="0"/>
          <w:numId w:val="49"/>
        </w:numPr>
      </w:pPr>
      <w:r>
        <w:rPr>
          <w:rFonts w:hint="eastAsia"/>
        </w:rPr>
        <w:t>提请资质认定部门关注的事项；</w:t>
      </w:r>
    </w:p>
    <w:p>
      <w:pPr>
        <w:pStyle w:val="175"/>
        <w:numPr>
          <w:ilvl w:val="0"/>
          <w:numId w:val="49"/>
        </w:numPr>
      </w:pPr>
      <w:r>
        <w:rPr>
          <w:rFonts w:hint="eastAsia"/>
        </w:rPr>
        <w:t>检验检测机构资质认定现场评审日程表；</w:t>
      </w:r>
    </w:p>
    <w:p>
      <w:pPr>
        <w:pStyle w:val="175"/>
        <w:numPr>
          <w:ilvl w:val="0"/>
          <w:numId w:val="49"/>
        </w:numPr>
      </w:pPr>
      <w:r>
        <w:rPr>
          <w:rFonts w:hint="eastAsia"/>
        </w:rPr>
        <w:t>检验检测机构资质认定现场评审签到表（含首末次会议照片）；</w:t>
      </w:r>
    </w:p>
    <w:p>
      <w:pPr>
        <w:pStyle w:val="175"/>
        <w:numPr>
          <w:ilvl w:val="0"/>
          <w:numId w:val="49"/>
        </w:numPr>
      </w:pPr>
      <w:r>
        <w:rPr>
          <w:rFonts w:hint="eastAsia"/>
        </w:rPr>
        <w:t>其他需要提交的材料。</w:t>
      </w:r>
    </w:p>
    <w:p>
      <w:pPr>
        <w:pStyle w:val="165"/>
      </w:pPr>
      <w:r>
        <w:rPr>
          <w:rFonts w:hint="eastAsia"/>
        </w:rPr>
        <w:t>以上评审内容完成后形成评审报告，《检验检测机构资质认定评审报告》应使用国家市场监督管理总局统一编制的格式，评审组成员和被评审机构有关人员分别在评审报告相应栏目内签字确认后上传到审批系统，评审员签名应清晰、工整、易于识别。</w:t>
      </w:r>
    </w:p>
    <w:p>
      <w:pPr>
        <w:pStyle w:val="66"/>
        <w:spacing w:before="156" w:after="156"/>
      </w:pPr>
      <w:bookmarkStart w:id="72" w:name="_Toc131409477"/>
      <w:r>
        <w:rPr>
          <w:rFonts w:hint="eastAsia"/>
        </w:rPr>
        <w:t>末次会议</w:t>
      </w:r>
      <w:bookmarkEnd w:id="72"/>
    </w:p>
    <w:p>
      <w:pPr>
        <w:pStyle w:val="165"/>
      </w:pPr>
      <w:r>
        <w:rPr>
          <w:rFonts w:hint="eastAsia"/>
        </w:rPr>
        <w:t>末次会议由评审组长主持召开，参会人员在《检验检测机构资质认定现场评审签到表》（附录C)上签名。</w:t>
      </w:r>
    </w:p>
    <w:p>
      <w:pPr>
        <w:pStyle w:val="165"/>
      </w:pPr>
      <w:r>
        <w:rPr>
          <w:rFonts w:hint="eastAsia"/>
        </w:rPr>
        <w:t>末次会议内容如下：</w:t>
      </w:r>
    </w:p>
    <w:p>
      <w:pPr>
        <w:pStyle w:val="175"/>
        <w:numPr>
          <w:ilvl w:val="0"/>
          <w:numId w:val="50"/>
        </w:numPr>
      </w:pPr>
      <w:r>
        <w:rPr>
          <w:rFonts w:hint="eastAsia"/>
        </w:rPr>
        <w:t>通报评审情况，宣读评审意见和评审结论；</w:t>
      </w:r>
    </w:p>
    <w:p>
      <w:pPr>
        <w:pStyle w:val="175"/>
        <w:numPr>
          <w:ilvl w:val="0"/>
          <w:numId w:val="50"/>
        </w:numPr>
      </w:pPr>
      <w:r>
        <w:rPr>
          <w:rFonts w:hint="eastAsia"/>
        </w:rPr>
        <w:t>对基本符合和不符合项提出整改要求，并明确具体的整改完成时间和验证方式；</w:t>
      </w:r>
    </w:p>
    <w:p>
      <w:pPr>
        <w:pStyle w:val="175"/>
        <w:numPr>
          <w:ilvl w:val="0"/>
          <w:numId w:val="0"/>
        </w:numPr>
        <w:ind w:left="425" w:leftChars="0"/>
        <w:rPr>
          <w:strike/>
          <w:highlight w:val="yellow"/>
        </w:rPr>
      </w:pPr>
      <w:r>
        <w:rPr>
          <w:rFonts w:hint="eastAsia"/>
          <w:lang w:val="en-US" w:eastAsia="zh-CN"/>
        </w:rPr>
        <w:t xml:space="preserve">C)  </w:t>
      </w:r>
      <w:r>
        <w:rPr>
          <w:rFonts w:hint="eastAsia"/>
        </w:rPr>
        <w:t>说明评审的局限性、时限性、抽样评审的风险性；</w:t>
      </w:r>
    </w:p>
    <w:p>
      <w:pPr>
        <w:pStyle w:val="175"/>
        <w:numPr>
          <w:ilvl w:val="0"/>
          <w:numId w:val="0"/>
        </w:numPr>
        <w:ind w:left="425" w:leftChars="0"/>
      </w:pPr>
      <w:r>
        <w:rPr>
          <w:rFonts w:hint="eastAsia"/>
          <w:lang w:val="en-US" w:eastAsia="zh-CN"/>
        </w:rPr>
        <w:t xml:space="preserve">d)  </w:t>
      </w:r>
      <w:r>
        <w:rPr>
          <w:rFonts w:hint="eastAsia"/>
        </w:rPr>
        <w:t>被评审机构管理层构对评审结论发表意见，并在评审报告上签字；</w:t>
      </w:r>
    </w:p>
    <w:p>
      <w:pPr>
        <w:pStyle w:val="175"/>
        <w:numPr>
          <w:ilvl w:val="0"/>
          <w:numId w:val="0"/>
        </w:numPr>
        <w:ind w:left="425" w:leftChars="0"/>
      </w:pPr>
      <w:r>
        <w:rPr>
          <w:rFonts w:hint="eastAsia"/>
          <w:lang w:val="en-US" w:eastAsia="zh-CN"/>
        </w:rPr>
        <w:t xml:space="preserve">e)  </w:t>
      </w:r>
      <w:r>
        <w:rPr>
          <w:rFonts w:hint="eastAsia"/>
        </w:rPr>
        <w:t>说明对评审组的表现不满意和/或对评审结论有异议时的申投诉方式和途径；</w:t>
      </w:r>
    </w:p>
    <w:p>
      <w:pPr>
        <w:pStyle w:val="175"/>
        <w:numPr>
          <w:ilvl w:val="0"/>
          <w:numId w:val="0"/>
        </w:numPr>
        <w:ind w:left="425" w:leftChars="0"/>
      </w:pPr>
      <w:r>
        <w:rPr>
          <w:rFonts w:hint="eastAsia"/>
          <w:lang w:val="en-US" w:eastAsia="zh-CN"/>
        </w:rPr>
        <w:t xml:space="preserve">f)  </w:t>
      </w:r>
      <w:r>
        <w:rPr>
          <w:rFonts w:hint="eastAsia"/>
        </w:rPr>
        <w:t>观察员对本次现场评审发表意见；</w:t>
      </w:r>
    </w:p>
    <w:p>
      <w:pPr>
        <w:pStyle w:val="175"/>
        <w:numPr>
          <w:ilvl w:val="0"/>
          <w:numId w:val="0"/>
        </w:numPr>
        <w:ind w:left="425" w:leftChars="0"/>
      </w:pPr>
      <w:r>
        <w:rPr>
          <w:rFonts w:hint="eastAsia"/>
          <w:lang w:val="en-US" w:eastAsia="zh-CN"/>
        </w:rPr>
        <w:t xml:space="preserve">g)  </w:t>
      </w:r>
      <w:r>
        <w:rPr>
          <w:rFonts w:hint="eastAsia"/>
        </w:rPr>
        <w:t>宣布现场评审工作结束。</w:t>
      </w:r>
    </w:p>
    <w:p>
      <w:pPr>
        <w:pStyle w:val="165"/>
      </w:pPr>
      <w:r>
        <w:rPr>
          <w:rFonts w:hint="eastAsia"/>
        </w:rPr>
        <w:t>对于多场所检验检测机构，只要条件许可应尽可能回到主场所统一召开末次会议，条件不允许的情况下可通过视频会议的方式。</w:t>
      </w:r>
    </w:p>
    <w:p>
      <w:pPr>
        <w:pStyle w:val="106"/>
        <w:spacing w:before="156" w:after="156"/>
      </w:pPr>
      <w:bookmarkStart w:id="73" w:name="_Toc131409478"/>
      <w:r>
        <w:rPr>
          <w:rFonts w:hint="eastAsia"/>
        </w:rPr>
        <w:t>评审资料封存</w:t>
      </w:r>
      <w:bookmarkEnd w:id="73"/>
    </w:p>
    <w:p>
      <w:pPr>
        <w:pStyle w:val="166"/>
      </w:pPr>
      <w:r>
        <w:rPr>
          <w:rFonts w:hint="eastAsia"/>
        </w:rPr>
        <w:t>被评审机构在现场评审之前，对提供的现场评审资料应该进行自查，并保留自查的过程资料。</w:t>
      </w:r>
    </w:p>
    <w:p>
      <w:pPr>
        <w:pStyle w:val="166"/>
      </w:pPr>
      <w:r>
        <w:rPr>
          <w:rFonts w:hint="eastAsia"/>
        </w:rPr>
        <w:t>评审组应将所有现场试验的原始记录、检测报告以及评审组确认的仪器设备（标准物质）配置表，签名确认并封存在被评审机构。评审组应告知被评审机构将封存资料列入档案管理，并要求被评审机构妥善保管。</w:t>
      </w:r>
    </w:p>
    <w:p>
      <w:pPr>
        <w:pStyle w:val="166"/>
      </w:pPr>
      <w:r>
        <w:rPr>
          <w:rFonts w:hint="eastAsia"/>
        </w:rPr>
        <w:t>评审组应归还现场评审时被评审机构提供的全部文件和资料。</w:t>
      </w:r>
    </w:p>
    <w:p>
      <w:pPr>
        <w:pStyle w:val="106"/>
        <w:spacing w:before="156" w:after="156"/>
      </w:pPr>
      <w:bookmarkStart w:id="74" w:name="_Toc131409479"/>
      <w:r>
        <w:rPr>
          <w:rFonts w:hint="eastAsia"/>
        </w:rPr>
        <w:t>整改跟踪验证</w:t>
      </w:r>
      <w:bookmarkEnd w:id="74"/>
    </w:p>
    <w:p>
      <w:pPr>
        <w:pStyle w:val="166"/>
      </w:pPr>
      <w:r>
        <w:rPr>
          <w:rFonts w:hint="eastAsia"/>
        </w:rPr>
        <w:t>现场评审后，被评审机构应在商定的时间内对基本符合项/不符合项进行整改，整改完成时间不超过30个工作日（含评审组跟踪验证时间）；</w:t>
      </w:r>
    </w:p>
    <w:p>
      <w:pPr>
        <w:pStyle w:val="166"/>
      </w:pPr>
      <w:r>
        <w:rPr>
          <w:rFonts w:hint="eastAsia"/>
        </w:rPr>
        <w:t>被评审机构应将整改完成后的书面整改报告及支撑材料报评审组确认，整改完成情况应包括原因分析、采取的纠正/纠正措施、验证情况等内容。</w:t>
      </w:r>
    </w:p>
    <w:p>
      <w:pPr>
        <w:pStyle w:val="166"/>
      </w:pPr>
      <w:r>
        <w:rPr>
          <w:rFonts w:hint="eastAsia"/>
        </w:rPr>
        <w:t>评审组长在收到被评审机构的整改材料后，应在5个工作日内组织评审员完成跟踪验证，并确认其整改是否有效，并填写《整改完成记录、评审组长确认意见表》（附录F）。</w:t>
      </w:r>
    </w:p>
    <w:p>
      <w:pPr>
        <w:pStyle w:val="166"/>
      </w:pPr>
      <w:r>
        <w:rPr>
          <w:rFonts w:hint="eastAsia"/>
        </w:rPr>
        <w:t>评审组应对被评审机构提交的整改材料进行验证，包括但不限于：</w:t>
      </w:r>
    </w:p>
    <w:p>
      <w:pPr>
        <w:pStyle w:val="175"/>
        <w:numPr>
          <w:ilvl w:val="0"/>
          <w:numId w:val="51"/>
        </w:numPr>
      </w:pPr>
      <w:r>
        <w:rPr>
          <w:rFonts w:hint="eastAsia"/>
        </w:rPr>
        <w:t>是否对不符合项进行了原因分析；</w:t>
      </w:r>
    </w:p>
    <w:p>
      <w:pPr>
        <w:pStyle w:val="175"/>
      </w:pPr>
      <w:r>
        <w:rPr>
          <w:rFonts w:hint="eastAsia"/>
        </w:rPr>
        <w:t>纠正措施是否具有针对性，并有防止类似问题再度发生的措施；</w:t>
      </w:r>
    </w:p>
    <w:p>
      <w:pPr>
        <w:pStyle w:val="175"/>
      </w:pPr>
      <w:r>
        <w:rPr>
          <w:rFonts w:hint="eastAsia"/>
        </w:rPr>
        <w:t>不符合项是否已得到有效纠正（适用时）；</w:t>
      </w:r>
    </w:p>
    <w:p>
      <w:pPr>
        <w:pStyle w:val="175"/>
      </w:pPr>
      <w:r>
        <w:rPr>
          <w:rFonts w:hint="eastAsia"/>
        </w:rPr>
        <w:t>整改材料中有关不符合项纠正和纠正措施的证据材料（文件、照片、声像等资料）是否完整。</w:t>
      </w:r>
    </w:p>
    <w:p>
      <w:pPr>
        <w:pStyle w:val="166"/>
      </w:pPr>
      <w:r>
        <w:rPr>
          <w:rFonts w:hint="eastAsia"/>
        </w:rPr>
        <w:t>逾期未完成整改或者整改后仍不符合要求的，相应类别（产品/项目/参数)应判定为不合格。</w:t>
      </w:r>
    </w:p>
    <w:p>
      <w:pPr>
        <w:pStyle w:val="166"/>
      </w:pPr>
      <w:r>
        <w:rPr>
          <w:rFonts w:hint="eastAsia"/>
        </w:rPr>
        <w:t>对整改后全部类别（产品/项目/参数)技术能力都不符合的，应将评审结论改为“不符合”，上报资质认定部门。</w:t>
      </w:r>
    </w:p>
    <w:p>
      <w:pPr>
        <w:pStyle w:val="166"/>
        <w:rPr>
          <w:strike/>
        </w:rPr>
      </w:pPr>
      <w:r>
        <w:rPr>
          <w:rFonts w:hint="eastAsia"/>
        </w:rPr>
        <w:t>基于被评审机构的整改结果，导致现场评审结论和推荐资质认定能力的任何变化，评审组均应及时通知被评审机构。</w:t>
      </w:r>
    </w:p>
    <w:p>
      <w:pPr>
        <w:pStyle w:val="106"/>
        <w:spacing w:before="156" w:after="156"/>
      </w:pPr>
      <w:bookmarkStart w:id="75" w:name="_Toc131409480"/>
      <w:r>
        <w:rPr>
          <w:rFonts w:hint="eastAsia"/>
        </w:rPr>
        <w:t>评审资料上报</w:t>
      </w:r>
      <w:bookmarkEnd w:id="75"/>
    </w:p>
    <w:p>
      <w:pPr>
        <w:pStyle w:val="57"/>
        <w:ind w:firstLine="420"/>
      </w:pPr>
      <w:r>
        <w:rPr>
          <w:rFonts w:hint="eastAsia"/>
        </w:rPr>
        <w:t>评审结束且整改材料验证完成后，评审组长应填写《整改完成记录、评审组长确认意见表》（附录F），并在审批系统中根据要求完成《检验检测机构资质认定评审报告》中相关材料的上传，包括但不限于：</w:t>
      </w:r>
    </w:p>
    <w:p>
      <w:pPr>
        <w:pStyle w:val="175"/>
        <w:numPr>
          <w:ilvl w:val="0"/>
          <w:numId w:val="52"/>
        </w:numPr>
      </w:pPr>
      <w:r>
        <w:rPr>
          <w:rFonts w:hint="eastAsia"/>
        </w:rPr>
        <w:t>评审组确认的检测能力表；</w:t>
      </w:r>
    </w:p>
    <w:p>
      <w:pPr>
        <w:pStyle w:val="175"/>
      </w:pPr>
      <w:r>
        <w:rPr>
          <w:rFonts w:hint="eastAsia"/>
        </w:rPr>
        <w:t>建议批准的授权签字人；</w:t>
      </w:r>
    </w:p>
    <w:p>
      <w:pPr>
        <w:pStyle w:val="175"/>
      </w:pPr>
      <w:r>
        <w:rPr>
          <w:rFonts w:hint="eastAsia"/>
        </w:rPr>
        <w:t>授权签字人评价记录表（附录D）；</w:t>
      </w:r>
    </w:p>
    <w:p>
      <w:pPr>
        <w:pStyle w:val="175"/>
      </w:pPr>
      <w:r>
        <w:rPr>
          <w:rFonts w:hint="eastAsia"/>
        </w:rPr>
        <w:t>基本符合和不符合汇总表（附录E）；</w:t>
      </w:r>
    </w:p>
    <w:p>
      <w:pPr>
        <w:pStyle w:val="175"/>
      </w:pPr>
      <w:r>
        <w:rPr>
          <w:rFonts w:hint="eastAsia"/>
        </w:rPr>
        <w:t>现场考核项目表；</w:t>
      </w:r>
    </w:p>
    <w:p>
      <w:pPr>
        <w:pStyle w:val="175"/>
      </w:pPr>
      <w:r>
        <w:rPr>
          <w:rFonts w:hint="eastAsia"/>
        </w:rPr>
        <w:t>评审组人员名单；</w:t>
      </w:r>
    </w:p>
    <w:p>
      <w:pPr>
        <w:pStyle w:val="175"/>
      </w:pPr>
      <w:r>
        <w:rPr>
          <w:rFonts w:hint="eastAsia"/>
        </w:rPr>
        <w:t>整改完成记录、评审组长确认意见表（附录F）；</w:t>
      </w:r>
    </w:p>
    <w:p>
      <w:pPr>
        <w:pStyle w:val="175"/>
      </w:pPr>
      <w:r>
        <w:rPr>
          <w:rFonts w:hint="eastAsia"/>
        </w:rPr>
        <w:t>现场评审日程表（附录B）。</w:t>
      </w:r>
    </w:p>
    <w:p>
      <w:pPr>
        <w:pStyle w:val="106"/>
        <w:spacing w:before="156" w:after="156"/>
      </w:pPr>
      <w:bookmarkStart w:id="76" w:name="_Toc131409481"/>
      <w:r>
        <w:rPr>
          <w:rFonts w:hint="eastAsia"/>
        </w:rPr>
        <w:t>终止评审</w:t>
      </w:r>
      <w:bookmarkEnd w:id="76"/>
    </w:p>
    <w:p>
      <w:pPr>
        <w:pStyle w:val="166"/>
        <w:rPr>
          <w:highlight w:val="none"/>
        </w:rPr>
      </w:pPr>
      <w:r>
        <w:rPr>
          <w:rFonts w:hint="eastAsia"/>
        </w:rPr>
        <w:t>如遇下列情况，评审组长应保留证据，立即请示下达评审任务的资质认定部门和</w:t>
      </w:r>
      <w:r>
        <w:rPr>
          <w:rFonts w:hint="eastAsia"/>
          <w:highlight w:val="none"/>
        </w:rPr>
        <w:t>专业技术评价机构，经同意后终止评审，并提交上报相关记录和证据：</w:t>
      </w:r>
    </w:p>
    <w:p>
      <w:pPr>
        <w:pStyle w:val="175"/>
        <w:numPr>
          <w:ilvl w:val="0"/>
          <w:numId w:val="53"/>
        </w:numPr>
      </w:pPr>
      <w:r>
        <w:rPr>
          <w:rFonts w:hint="eastAsia"/>
        </w:rPr>
        <w:t>检验检测机构存在弄虚作假、隐瞒信息等不诚信行为，或违反资质认定相关要求的行为；</w:t>
      </w:r>
    </w:p>
    <w:p>
      <w:pPr>
        <w:pStyle w:val="175"/>
      </w:pPr>
      <w:r>
        <w:rPr>
          <w:rFonts w:hint="eastAsia"/>
        </w:rPr>
        <w:t>检验检测机构人员严重不足；</w:t>
      </w:r>
    </w:p>
    <w:p>
      <w:pPr>
        <w:pStyle w:val="175"/>
      </w:pPr>
      <w:r>
        <w:rPr>
          <w:rFonts w:hint="eastAsia"/>
        </w:rPr>
        <w:t>检验检测机构场所严重不满足检验检测活动的要求；</w:t>
      </w:r>
    </w:p>
    <w:p>
      <w:pPr>
        <w:pStyle w:val="175"/>
      </w:pPr>
      <w:r>
        <w:rPr>
          <w:rFonts w:hint="eastAsia"/>
        </w:rPr>
        <w:t>检验检测机构管理体系不能有效运行；</w:t>
      </w:r>
    </w:p>
    <w:p>
      <w:pPr>
        <w:pStyle w:val="175"/>
      </w:pPr>
      <w:r>
        <w:rPr>
          <w:rFonts w:hint="eastAsia"/>
        </w:rPr>
        <w:t>检验检测机构不配合致使评审无法进行；</w:t>
      </w:r>
    </w:p>
    <w:p>
      <w:pPr>
        <w:pStyle w:val="175"/>
      </w:pPr>
      <w:r>
        <w:rPr>
          <w:rFonts w:hint="eastAsia"/>
        </w:rPr>
        <w:t>检验检测机构申请材料与实际情况严重不符；</w:t>
      </w:r>
    </w:p>
    <w:p>
      <w:pPr>
        <w:pStyle w:val="175"/>
        <w:rPr>
          <w:highlight w:val="none"/>
        </w:rPr>
      </w:pPr>
      <w:r>
        <w:rPr>
          <w:rFonts w:hint="eastAsia"/>
          <w:highlight w:val="none"/>
        </w:rPr>
        <w:t>其它导致无法继续评审的情况。</w:t>
      </w:r>
    </w:p>
    <w:p>
      <w:pPr>
        <w:pStyle w:val="175"/>
        <w:numPr>
          <w:ilvl w:val="0"/>
          <w:numId w:val="0"/>
        </w:numPr>
        <w:ind w:firstLine="420" w:firstLineChars="200"/>
        <w:rPr>
          <w:rFonts w:hint="eastAsia"/>
          <w:lang w:eastAsia="zh-CN"/>
        </w:rPr>
      </w:pPr>
      <w:r>
        <w:rPr>
          <w:rFonts w:hint="eastAsia"/>
          <w:color w:val="0000FF"/>
          <w:highlight w:val="none"/>
          <w:lang w:eastAsia="zh-CN"/>
        </w:rPr>
        <w:t>注：管理体系不能有效运行：</w:t>
      </w:r>
      <w:r>
        <w:rPr>
          <w:rFonts w:hint="eastAsia"/>
          <w:color w:val="0000FF"/>
          <w:highlight w:val="none"/>
          <w:lang w:val="en-US" w:eastAsia="zh-CN"/>
        </w:rPr>
        <w:t>1）</w:t>
      </w:r>
      <w:r>
        <w:rPr>
          <w:rFonts w:hint="eastAsia"/>
          <w:color w:val="0000FF"/>
          <w:highlight w:val="none"/>
          <w:lang w:eastAsia="zh-CN"/>
        </w:rPr>
        <w:t>体系</w:t>
      </w:r>
      <w:r>
        <w:rPr>
          <w:rFonts w:hint="eastAsia"/>
          <w:color w:val="0000FF"/>
        </w:rPr>
        <w:t>编写动机存在偏差</w:t>
      </w:r>
      <w:r>
        <w:rPr>
          <w:rFonts w:hint="eastAsia"/>
          <w:color w:val="0000FF"/>
          <w:lang w:eastAsia="zh-CN"/>
        </w:rPr>
        <w:t>，</w:t>
      </w:r>
      <w:r>
        <w:rPr>
          <w:rFonts w:hint="eastAsia"/>
          <w:color w:val="0000FF"/>
        </w:rPr>
        <w:t>具体工作没有流程化、程序化，实际运行无</w:t>
      </w:r>
      <w:r>
        <w:rPr>
          <w:rFonts w:hint="eastAsia"/>
          <w:color w:val="0000FF"/>
          <w:lang w:eastAsia="zh-CN"/>
        </w:rPr>
        <w:t>可操作性；</w:t>
      </w:r>
      <w:r>
        <w:rPr>
          <w:rFonts w:hint="eastAsia"/>
          <w:color w:val="0000FF"/>
          <w:lang w:val="en-US" w:eastAsia="zh-CN"/>
        </w:rPr>
        <w:t>2</w:t>
      </w:r>
      <w:r>
        <w:rPr>
          <w:rFonts w:hint="eastAsia"/>
          <w:color w:val="0000FF"/>
          <w:lang w:eastAsia="zh-CN"/>
        </w:rPr>
        <w:t>）</w:t>
      </w:r>
      <w:r>
        <w:rPr>
          <w:rFonts w:hint="eastAsia"/>
          <w:color w:val="0000FF"/>
        </w:rPr>
        <w:t>质量手册的发布、修改、管理比较混乱不能保证最新有效版本</w:t>
      </w:r>
      <w:r>
        <w:rPr>
          <w:rFonts w:hint="eastAsia"/>
          <w:color w:val="0000FF"/>
          <w:lang w:eastAsia="zh-CN"/>
        </w:rPr>
        <w:t>；</w:t>
      </w:r>
      <w:r>
        <w:rPr>
          <w:rFonts w:hint="eastAsia"/>
          <w:color w:val="0000FF"/>
          <w:lang w:val="en-US" w:eastAsia="zh-CN"/>
        </w:rPr>
        <w:t>3）程序文件中规定的控制和操作方法与实际的运用不一致；4）未进行内审及管理评审；</w:t>
      </w:r>
    </w:p>
    <w:p>
      <w:pPr>
        <w:pStyle w:val="166"/>
      </w:pPr>
      <w:r>
        <w:rPr>
          <w:rFonts w:hint="eastAsia"/>
        </w:rPr>
        <w:t>终止评审时，评审组长应与被评审机构法定代表人或被授权人（适用时）有效沟通，由评审组提供书面情况说明，被评审机构法定代表人或被授权人（适用时）及观察员签字，并加盖检验检测机构公章。若被评审机构拒绝签字盖章，则应向下达评审任务的资质认定部门和技术评价机构报告，评审组签字确认后，连同被评审机构申请材料一并上报资质认定部门和技术评价机构报告。</w:t>
      </w:r>
    </w:p>
    <w:p>
      <w:pPr>
        <w:pStyle w:val="106"/>
        <w:numPr>
          <w:ilvl w:val="2"/>
          <w:numId w:val="0"/>
        </w:numPr>
        <w:spacing w:before="156" w:after="156"/>
        <w:ind w:leftChars="0"/>
        <w:rPr>
          <w:rFonts w:hint="eastAsia" w:hAnsi="Times New Roman" w:cs="Times New Roman"/>
          <w:color w:val="0000FF"/>
          <w:lang w:val="en-US" w:eastAsia="zh-CN"/>
        </w:rPr>
      </w:pPr>
      <w:r>
        <w:rPr>
          <w:rFonts w:hint="eastAsia" w:hAnsi="Times New Roman" w:cs="Times New Roman"/>
          <w:color w:val="0000FF"/>
          <w:lang w:val="en-US" w:eastAsia="zh-CN"/>
        </w:rPr>
        <w:t>5.8 技术审定</w:t>
      </w:r>
    </w:p>
    <w:p>
      <w:pPr>
        <w:pStyle w:val="106"/>
        <w:numPr>
          <w:ilvl w:val="2"/>
          <w:numId w:val="0"/>
        </w:numPr>
        <w:spacing w:before="156" w:after="156"/>
        <w:ind w:leftChars="0" w:firstLine="420" w:firstLineChars="200"/>
        <w:rPr>
          <w:rFonts w:hint="eastAsia"/>
          <w:color w:val="0000FF"/>
          <w:lang w:val="en-US" w:eastAsia="zh-CN"/>
        </w:rPr>
      </w:pPr>
      <w:r>
        <w:rPr>
          <w:rFonts w:hint="eastAsia"/>
          <w:color w:val="0000FF"/>
          <w:lang w:val="en-US" w:eastAsia="zh-CN"/>
        </w:rPr>
        <w:t>专业技术评价机构对评审组提交的评审材料进行审定的过程。</w:t>
      </w:r>
    </w:p>
    <w:p>
      <w:pPr>
        <w:pStyle w:val="57"/>
        <w:ind w:left="0" w:leftChars="0" w:firstLine="0" w:firstLineChars="0"/>
        <w:rPr>
          <w:rFonts w:hint="eastAsia"/>
          <w:color w:val="0000FF"/>
          <w:lang w:val="en-US" w:eastAsia="zh-CN"/>
        </w:rPr>
      </w:pPr>
      <w:r>
        <w:rPr>
          <w:rFonts w:hint="eastAsia"/>
          <w:color w:val="0000FF"/>
          <w:lang w:val="en-US" w:eastAsia="zh-CN"/>
        </w:rPr>
        <w:t>5.8.1 完整性。对评审组在网上提交的现场评审材料和原始纸质材料的完整性进行审核，包括：</w:t>
      </w:r>
    </w:p>
    <w:p>
      <w:pPr>
        <w:pStyle w:val="57"/>
        <w:ind w:left="0" w:leftChars="0" w:firstLine="0" w:firstLineChars="0"/>
        <w:rPr>
          <w:rFonts w:hint="default"/>
          <w:color w:val="0000FF"/>
          <w:lang w:val="en-US" w:eastAsia="zh-CN"/>
        </w:rPr>
      </w:pPr>
      <w:r>
        <w:rPr>
          <w:rFonts w:hint="eastAsia"/>
          <w:color w:val="0000FF"/>
          <w:lang w:val="en-US" w:eastAsia="zh-CN"/>
        </w:rPr>
        <w:t xml:space="preserve">      a）申请书</w:t>
      </w:r>
    </w:p>
    <w:p>
      <w:pPr>
        <w:pStyle w:val="57"/>
        <w:ind w:firstLine="630" w:firstLineChars="300"/>
        <w:rPr>
          <w:rFonts w:hint="default"/>
          <w:color w:val="0000FF"/>
          <w:lang w:val="en-US" w:eastAsia="zh-CN"/>
        </w:rPr>
      </w:pPr>
      <w:r>
        <w:rPr>
          <w:rFonts w:hint="eastAsia"/>
          <w:color w:val="0000FF"/>
          <w:lang w:val="en-US" w:eastAsia="zh-CN"/>
        </w:rPr>
        <w:t>b）评审报告</w:t>
      </w:r>
    </w:p>
    <w:p>
      <w:pPr>
        <w:pStyle w:val="57"/>
        <w:ind w:left="0" w:leftChars="0" w:firstLine="0" w:firstLineChars="0"/>
        <w:rPr>
          <w:rFonts w:hint="eastAsia"/>
          <w:color w:val="0000FF"/>
          <w:lang w:val="en-US" w:eastAsia="zh-CN"/>
        </w:rPr>
      </w:pPr>
      <w:r>
        <w:rPr>
          <w:rFonts w:hint="eastAsia"/>
          <w:color w:val="0000FF"/>
          <w:lang w:val="en-US" w:eastAsia="zh-CN"/>
        </w:rPr>
        <w:t xml:space="preserve">      c）整改报告</w:t>
      </w:r>
    </w:p>
    <w:p>
      <w:pPr>
        <w:pStyle w:val="57"/>
        <w:ind w:left="0" w:leftChars="0" w:firstLine="0" w:firstLineChars="0"/>
        <w:rPr>
          <w:rFonts w:hint="eastAsia"/>
          <w:color w:val="0000FF"/>
          <w:lang w:val="en-US" w:eastAsia="zh-CN"/>
        </w:rPr>
      </w:pPr>
      <w:r>
        <w:rPr>
          <w:rFonts w:hint="eastAsia"/>
          <w:color w:val="0000FF"/>
          <w:lang w:val="en-US" w:eastAsia="zh-CN"/>
        </w:rPr>
        <w:t xml:space="preserve">      d）其他见证材料</w:t>
      </w:r>
    </w:p>
    <w:p>
      <w:pPr>
        <w:pStyle w:val="57"/>
        <w:ind w:left="0" w:leftChars="0" w:firstLine="0" w:firstLineChars="0"/>
        <w:rPr>
          <w:rFonts w:hint="default"/>
          <w:color w:val="0000FF"/>
          <w:lang w:val="en-US" w:eastAsia="zh-CN"/>
        </w:rPr>
      </w:pPr>
      <w:r>
        <w:rPr>
          <w:rFonts w:hint="default"/>
          <w:color w:val="0000FF"/>
          <w:lang w:val="en-US" w:eastAsia="zh-CN"/>
        </w:rPr>
        <w:t>5.8.2 规范性。对评审组提交的现场评审材料的规范性进行审核，包括</w:t>
      </w:r>
    </w:p>
    <w:p>
      <w:pPr>
        <w:pStyle w:val="57"/>
        <w:ind w:left="0" w:leftChars="0" w:firstLine="630" w:firstLineChars="300"/>
        <w:rPr>
          <w:rFonts w:hint="eastAsia"/>
          <w:color w:val="0000FF"/>
          <w:lang w:val="en-US" w:eastAsia="zh-CN"/>
        </w:rPr>
      </w:pPr>
      <w:r>
        <w:rPr>
          <w:rFonts w:hint="eastAsia"/>
          <w:color w:val="0000FF"/>
          <w:lang w:val="en-US" w:eastAsia="zh-CN"/>
        </w:rPr>
        <w:t>a）评审组意见：①开展现场评审文件依据（如技术评价机构的评审通知书、特殊领域要求等）②评审组人数；③现场评审时间；④检验检测机构是否符合资质认定的基本条件的评价及概况描述；⑤重要变化情况（如新增实验地点、新增能力、新增授权签字人、其他重要变更等）；⑥建议批准的授权签字人数量；⑦建议批准的资质认定项目及数量；⑧不符合项及整改要求；⑨需要说明的其他事项。</w:t>
      </w:r>
    </w:p>
    <w:p>
      <w:pPr>
        <w:pStyle w:val="57"/>
        <w:rPr>
          <w:rFonts w:hint="default"/>
          <w:color w:val="0000FF"/>
          <w:lang w:val="en-US" w:eastAsia="zh-CN"/>
        </w:rPr>
      </w:pPr>
      <w:r>
        <w:rPr>
          <w:rFonts w:hint="eastAsia"/>
          <w:color w:val="0000FF"/>
          <w:lang w:val="en-US" w:eastAsia="zh-CN"/>
        </w:rPr>
        <w:t xml:space="preserve"> b）建议批准的检验检测能力表:(</w:t>
      </w:r>
      <w:r>
        <w:rPr>
          <w:rFonts w:hint="eastAsia"/>
          <w:color w:val="0000FF"/>
          <w:highlight w:val="none"/>
        </w:rPr>
        <w:t>参考文件DB43/TXXX-2023 《检验检测机构资质认定</w:t>
      </w:r>
      <w:r>
        <w:rPr>
          <w:rFonts w:hint="eastAsia"/>
          <w:color w:val="0000FF"/>
          <w:highlight w:val="none"/>
          <w:lang w:eastAsia="zh-CN"/>
        </w:rPr>
        <w:t>评审</w:t>
      </w:r>
      <w:r>
        <w:rPr>
          <w:rFonts w:hint="eastAsia"/>
          <w:color w:val="0000FF"/>
          <w:highlight w:val="none"/>
        </w:rPr>
        <w:t xml:space="preserve"> --</w:t>
      </w:r>
      <w:r>
        <w:rPr>
          <w:rFonts w:hint="eastAsia"/>
          <w:color w:val="0000FF"/>
          <w:highlight w:val="none"/>
          <w:lang w:eastAsia="zh-CN"/>
        </w:rPr>
        <w:t>第</w:t>
      </w:r>
      <w:r>
        <w:rPr>
          <w:rFonts w:hint="eastAsia"/>
          <w:color w:val="0000FF"/>
          <w:highlight w:val="none"/>
          <w:lang w:val="en-US" w:eastAsia="zh-CN"/>
        </w:rPr>
        <w:t>三</w:t>
      </w:r>
      <w:r>
        <w:rPr>
          <w:rFonts w:hint="eastAsia"/>
          <w:color w:val="0000FF"/>
          <w:highlight w:val="none"/>
          <w:lang w:eastAsia="zh-CN"/>
        </w:rPr>
        <w:t>部分</w:t>
      </w:r>
      <w:r>
        <w:rPr>
          <w:rFonts w:hint="eastAsia"/>
          <w:color w:val="0000FF"/>
          <w:highlight w:val="none"/>
          <w:lang w:val="en-US" w:eastAsia="zh-CN"/>
        </w:rPr>
        <w:t xml:space="preserve"> </w:t>
      </w:r>
      <w:r>
        <w:rPr>
          <w:rFonts w:hint="eastAsia" w:ascii="Times New Roman"/>
          <w:color w:val="0000FF"/>
          <w:lang w:eastAsia="zh-CN"/>
        </w:rPr>
        <w:t>检验检测能力表述规范</w:t>
      </w:r>
      <w:r>
        <w:rPr>
          <w:rFonts w:hint="eastAsia"/>
          <w:color w:val="0000FF"/>
          <w:highlight w:val="none"/>
        </w:rPr>
        <w:t>》。</w:t>
      </w:r>
    </w:p>
    <w:p>
      <w:pPr>
        <w:pStyle w:val="57"/>
        <w:ind w:left="0" w:leftChars="0" w:firstLine="0" w:firstLineChars="0"/>
        <w:rPr>
          <w:rFonts w:hint="eastAsia"/>
          <w:color w:val="0000FF"/>
          <w:lang w:val="en-US" w:eastAsia="zh-CN"/>
        </w:rPr>
      </w:pPr>
      <w:r>
        <w:rPr>
          <w:rFonts w:hint="eastAsia"/>
          <w:color w:val="0000FF"/>
          <w:lang w:val="en-US" w:eastAsia="zh-CN"/>
        </w:rPr>
        <w:t xml:space="preserve">      c）建议批准的授权签字人:①多场所的检验检测机构，是否按照不同场所分别填写；②对于具备食品检验检测能力的综合性检验检测机构，食品授权签字人和非食品授权签字人是否分开填写；</w:t>
      </w:r>
    </w:p>
    <w:p>
      <w:pPr>
        <w:pStyle w:val="57"/>
        <w:ind w:left="0" w:leftChars="0" w:firstLine="0" w:firstLineChars="0"/>
        <w:rPr>
          <w:rFonts w:hint="eastAsia"/>
          <w:color w:val="0000FF"/>
          <w:lang w:val="en-US" w:eastAsia="zh-CN"/>
        </w:rPr>
      </w:pPr>
      <w:r>
        <w:rPr>
          <w:rFonts w:hint="eastAsia"/>
          <w:color w:val="0000FF"/>
          <w:lang w:val="en-US" w:eastAsia="zh-CN"/>
        </w:rPr>
        <w:t xml:space="preserve">      d)授权签字人评价记录表:①是否对授权签字的领域的学习教育、工作情况进行描述；②是否对特殊要求人员资质要求进行描述；</w:t>
      </w:r>
    </w:p>
    <w:p>
      <w:pPr>
        <w:pStyle w:val="57"/>
        <w:ind w:left="0" w:leftChars="0" w:firstLine="420" w:firstLineChars="0"/>
        <w:rPr>
          <w:rFonts w:hint="eastAsia"/>
          <w:color w:val="0000FF"/>
          <w:lang w:val="en-US" w:eastAsia="zh-CN"/>
        </w:rPr>
      </w:pPr>
      <w:r>
        <w:rPr>
          <w:rFonts w:hint="eastAsia"/>
          <w:color w:val="0000FF"/>
          <w:lang w:val="en-US" w:eastAsia="zh-CN"/>
        </w:rPr>
        <w:t>e）基本符合和不符合项汇总表:①是否在相应判定栏内划√；②“观察发现”是否对基本符合和不符合的具体事实予以说明。</w:t>
      </w:r>
    </w:p>
    <w:p>
      <w:pPr>
        <w:pStyle w:val="57"/>
        <w:ind w:left="0" w:leftChars="0" w:firstLine="420" w:firstLineChars="0"/>
        <w:rPr>
          <w:rFonts w:hint="eastAsia"/>
          <w:color w:val="0000FF"/>
          <w:lang w:val="en-US" w:eastAsia="zh-CN"/>
        </w:rPr>
      </w:pPr>
      <w:r>
        <w:rPr>
          <w:rFonts w:hint="eastAsia" w:ascii="宋体" w:hAnsi="Times New Roman" w:eastAsia="宋体" w:cs="Times New Roman"/>
          <w:color w:val="0000FF"/>
          <w:kern w:val="0"/>
          <w:sz w:val="21"/>
          <w:szCs w:val="20"/>
          <w:lang w:val="en-US" w:eastAsia="zh-CN" w:bidi="ar-SA"/>
        </w:rPr>
        <w:t>f）现场考核项目表</w:t>
      </w:r>
      <w:r>
        <w:rPr>
          <w:rFonts w:hint="eastAsia" w:ascii="宋体" w:hAnsi="Times New Roman" w:cs="Times New Roman"/>
          <w:color w:val="0000FF"/>
          <w:kern w:val="0"/>
          <w:sz w:val="21"/>
          <w:szCs w:val="20"/>
          <w:lang w:val="en-US" w:eastAsia="zh-CN" w:bidi="ar-SA"/>
        </w:rPr>
        <w:t>:</w:t>
      </w:r>
      <w:r>
        <w:rPr>
          <w:rFonts w:hint="eastAsia"/>
          <w:color w:val="0000FF"/>
          <w:lang w:val="en-US" w:eastAsia="zh-CN"/>
        </w:rPr>
        <w:t>①</w:t>
      </w:r>
      <w:r>
        <w:rPr>
          <w:rFonts w:hint="eastAsia" w:ascii="宋体" w:hAnsi="宋体"/>
          <w:color w:val="0000FF"/>
          <w:kern w:val="0"/>
          <w:sz w:val="18"/>
          <w:szCs w:val="18"/>
        </w:rPr>
        <w:t>多实验</w:t>
      </w:r>
      <w:r>
        <w:rPr>
          <w:rFonts w:hint="eastAsia" w:hAnsi="宋体"/>
          <w:color w:val="0000FF"/>
          <w:kern w:val="0"/>
          <w:sz w:val="18"/>
          <w:szCs w:val="18"/>
          <w:lang w:val="en-US" w:eastAsia="zh-CN"/>
        </w:rPr>
        <w:t>场</w:t>
      </w:r>
      <w:r>
        <w:rPr>
          <w:rFonts w:hint="eastAsia" w:ascii="宋体" w:hAnsi="宋体"/>
          <w:color w:val="0000FF"/>
          <w:kern w:val="0"/>
          <w:sz w:val="18"/>
          <w:szCs w:val="18"/>
        </w:rPr>
        <w:t>所评审的，</w:t>
      </w:r>
      <w:r>
        <w:rPr>
          <w:rFonts w:hint="eastAsia" w:hAnsi="宋体"/>
          <w:color w:val="0000FF"/>
          <w:kern w:val="0"/>
          <w:sz w:val="18"/>
          <w:szCs w:val="18"/>
          <w:lang w:val="en-US" w:eastAsia="zh-CN"/>
        </w:rPr>
        <w:t>是否</w:t>
      </w:r>
      <w:r>
        <w:rPr>
          <w:rFonts w:hint="eastAsia" w:ascii="宋体" w:hAnsi="宋体"/>
          <w:color w:val="0000FF"/>
          <w:kern w:val="0"/>
          <w:sz w:val="18"/>
          <w:szCs w:val="18"/>
        </w:rPr>
        <w:t>分别填写</w:t>
      </w:r>
      <w:r>
        <w:rPr>
          <w:rFonts w:hint="eastAsia"/>
          <w:color w:val="0000FF"/>
          <w:lang w:val="en-US" w:eastAsia="zh-CN"/>
        </w:rPr>
        <w:t>；②是否</w:t>
      </w:r>
      <w:r>
        <w:rPr>
          <w:rFonts w:hint="eastAsia"/>
          <w:color w:val="0000FF"/>
          <w:sz w:val="18"/>
          <w:szCs w:val="28"/>
        </w:rPr>
        <w:t>按流水号填写，</w:t>
      </w:r>
      <w:r>
        <w:rPr>
          <w:rFonts w:hint="eastAsia"/>
          <w:color w:val="0000FF"/>
          <w:sz w:val="18"/>
          <w:szCs w:val="28"/>
          <w:lang w:val="en-US" w:eastAsia="zh-CN"/>
        </w:rPr>
        <w:t>并对应</w:t>
      </w:r>
      <w:r>
        <w:rPr>
          <w:rFonts w:hint="eastAsia"/>
          <w:color w:val="0000FF"/>
          <w:sz w:val="18"/>
          <w:szCs w:val="28"/>
        </w:rPr>
        <w:t>对应的</w:t>
      </w:r>
      <w:r>
        <w:rPr>
          <w:rFonts w:hint="eastAsia"/>
          <w:color w:val="0000FF"/>
          <w:sz w:val="18"/>
          <w:szCs w:val="28"/>
          <w:lang w:val="en-US" w:eastAsia="zh-CN"/>
        </w:rPr>
        <w:t>能力表中</w:t>
      </w:r>
      <w:r>
        <w:rPr>
          <w:rFonts w:hint="eastAsia"/>
          <w:color w:val="0000FF"/>
          <w:sz w:val="18"/>
          <w:szCs w:val="28"/>
        </w:rPr>
        <w:t>项目</w:t>
      </w:r>
      <w:r>
        <w:rPr>
          <w:rFonts w:hint="eastAsia"/>
          <w:color w:val="0000FF"/>
          <w:sz w:val="18"/>
          <w:szCs w:val="28"/>
          <w:lang w:val="en-US" w:eastAsia="zh-CN"/>
        </w:rPr>
        <w:t>的</w:t>
      </w:r>
      <w:r>
        <w:rPr>
          <w:rFonts w:hint="eastAsia"/>
          <w:color w:val="0000FF"/>
          <w:sz w:val="18"/>
          <w:szCs w:val="28"/>
        </w:rPr>
        <w:t>序号</w:t>
      </w:r>
      <w:r>
        <w:rPr>
          <w:rFonts w:hint="eastAsia"/>
          <w:color w:val="0000FF"/>
          <w:lang w:val="en-US" w:eastAsia="zh-CN"/>
        </w:rPr>
        <w:t>；</w:t>
      </w:r>
    </w:p>
    <w:p>
      <w:pPr>
        <w:pStyle w:val="57"/>
        <w:ind w:left="0" w:leftChars="0" w:firstLine="420" w:firstLineChars="200"/>
        <w:rPr>
          <w:rFonts w:hint="eastAsia"/>
          <w:color w:val="0000FF"/>
          <w:lang w:val="en-US" w:eastAsia="zh-CN"/>
        </w:rPr>
      </w:pPr>
      <w:r>
        <w:rPr>
          <w:rFonts w:hint="eastAsia"/>
          <w:color w:val="0000FF"/>
          <w:lang w:val="en-US" w:eastAsia="zh-CN"/>
        </w:rPr>
        <w:t>5.8.3 准确性。对评审组提交的现场评审材料的准确性进行审核，包括：</w:t>
      </w:r>
    </w:p>
    <w:p>
      <w:pPr>
        <w:pStyle w:val="57"/>
        <w:ind w:left="0" w:leftChars="0" w:firstLine="630" w:firstLineChars="300"/>
        <w:rPr>
          <w:rFonts w:hint="eastAsia"/>
          <w:color w:val="0000FF"/>
          <w:lang w:val="en-US" w:eastAsia="zh-CN"/>
        </w:rPr>
      </w:pPr>
      <w:r>
        <w:rPr>
          <w:rFonts w:hint="eastAsia"/>
          <w:color w:val="0000FF"/>
          <w:lang w:val="en-US" w:eastAsia="zh-CN"/>
        </w:rPr>
        <w:t>a）</w:t>
      </w:r>
      <w:r>
        <w:rPr>
          <w:rFonts w:hint="eastAsia"/>
          <w:color w:val="0000FF"/>
        </w:rPr>
        <w:t>序号、类别(产品/项目/参数)，产品/项目/参数序号、产品/项目/参数名称以及</w:t>
      </w:r>
      <w:r>
        <w:rPr>
          <w:rFonts w:hint="eastAsia"/>
          <w:color w:val="0000FF"/>
          <w:szCs w:val="21"/>
        </w:rPr>
        <w:t>依据的标准（方法）名称及编号（含年号）</w:t>
      </w:r>
      <w:r>
        <w:rPr>
          <w:rFonts w:hint="eastAsia"/>
          <w:color w:val="0000FF"/>
        </w:rPr>
        <w:t>、限制范围、说明等</w:t>
      </w:r>
      <w:r>
        <w:rPr>
          <w:rFonts w:hint="eastAsia"/>
          <w:color w:val="0000FF"/>
          <w:lang w:val="en-US" w:eastAsia="zh-CN"/>
        </w:rPr>
        <w:t>描述是否准确；</w:t>
      </w:r>
    </w:p>
    <w:p>
      <w:pPr>
        <w:pStyle w:val="57"/>
        <w:rPr>
          <w:rFonts w:hint="default"/>
          <w:color w:val="0000FF"/>
          <w:lang w:val="en-US" w:eastAsia="zh-CN"/>
        </w:rPr>
      </w:pPr>
      <w:r>
        <w:rPr>
          <w:rFonts w:hint="eastAsia"/>
          <w:color w:val="0000FF"/>
          <w:lang w:val="en-US" w:eastAsia="zh-CN"/>
        </w:rPr>
        <w:t xml:space="preserve"> b）</w:t>
      </w:r>
      <w:r>
        <w:rPr>
          <w:rFonts w:hint="eastAsia" w:ascii="宋体" w:eastAsia="宋体"/>
          <w:color w:val="0000FF"/>
        </w:rPr>
        <w:t>行业领域的大类名称</w:t>
      </w:r>
      <w:r>
        <w:rPr>
          <w:rFonts w:hint="eastAsia"/>
          <w:color w:val="0000FF"/>
          <w:lang w:val="en-US" w:eastAsia="zh-CN"/>
        </w:rPr>
        <w:t>是否满足</w:t>
      </w:r>
      <w:r>
        <w:rPr>
          <w:rFonts w:hint="eastAsia"/>
          <w:color w:val="0000FF"/>
          <w:highlight w:val="none"/>
        </w:rPr>
        <w:t>DB43/TXXX-2023 《检验检测机构资质认定</w:t>
      </w:r>
      <w:r>
        <w:rPr>
          <w:rFonts w:hint="eastAsia"/>
          <w:color w:val="0000FF"/>
          <w:highlight w:val="none"/>
          <w:lang w:eastAsia="zh-CN"/>
        </w:rPr>
        <w:t>评审</w:t>
      </w:r>
      <w:r>
        <w:rPr>
          <w:rFonts w:hint="eastAsia"/>
          <w:color w:val="0000FF"/>
          <w:highlight w:val="none"/>
        </w:rPr>
        <w:t xml:space="preserve"> --</w:t>
      </w:r>
      <w:r>
        <w:rPr>
          <w:rFonts w:hint="eastAsia"/>
          <w:color w:val="0000FF"/>
          <w:highlight w:val="none"/>
          <w:lang w:eastAsia="zh-CN"/>
        </w:rPr>
        <w:t>第</w:t>
      </w:r>
      <w:r>
        <w:rPr>
          <w:rFonts w:hint="eastAsia"/>
          <w:color w:val="0000FF"/>
          <w:highlight w:val="none"/>
          <w:lang w:val="en-US" w:eastAsia="zh-CN"/>
        </w:rPr>
        <w:t>三</w:t>
      </w:r>
      <w:r>
        <w:rPr>
          <w:rFonts w:hint="eastAsia"/>
          <w:color w:val="0000FF"/>
          <w:highlight w:val="none"/>
          <w:lang w:eastAsia="zh-CN"/>
        </w:rPr>
        <w:t>部分</w:t>
      </w:r>
      <w:r>
        <w:rPr>
          <w:rFonts w:hint="eastAsia"/>
          <w:color w:val="0000FF"/>
          <w:highlight w:val="none"/>
          <w:lang w:val="en-US" w:eastAsia="zh-CN"/>
        </w:rPr>
        <w:t xml:space="preserve"> </w:t>
      </w:r>
      <w:r>
        <w:rPr>
          <w:rFonts w:hint="eastAsia" w:ascii="Times New Roman"/>
          <w:color w:val="0000FF"/>
          <w:lang w:eastAsia="zh-CN"/>
        </w:rPr>
        <w:t>检验检测能力表述规范</w:t>
      </w:r>
      <w:r>
        <w:rPr>
          <w:rFonts w:hint="eastAsia"/>
          <w:color w:val="0000FF"/>
          <w:highlight w:val="none"/>
        </w:rPr>
        <w:t>》</w:t>
      </w:r>
      <w:r>
        <w:rPr>
          <w:rFonts w:hint="eastAsia"/>
          <w:color w:val="0000FF"/>
          <w:lang w:val="en-US" w:eastAsia="zh-CN"/>
        </w:rPr>
        <w:t>；</w:t>
      </w:r>
    </w:p>
    <w:p>
      <w:pPr>
        <w:pStyle w:val="57"/>
        <w:ind w:left="0" w:leftChars="0" w:firstLine="0" w:firstLineChars="0"/>
        <w:rPr>
          <w:rFonts w:hint="eastAsia"/>
          <w:color w:val="0000FF"/>
          <w:lang w:val="en-US" w:eastAsia="zh-CN"/>
        </w:rPr>
      </w:pPr>
      <w:r>
        <w:rPr>
          <w:rFonts w:hint="eastAsia"/>
          <w:color w:val="0000FF"/>
          <w:lang w:val="en-US" w:eastAsia="zh-CN"/>
        </w:rPr>
        <w:t xml:space="preserve">      c）</w:t>
      </w:r>
      <w:r>
        <w:rPr>
          <w:rFonts w:hint="eastAsia"/>
          <w:color w:val="0000FF"/>
        </w:rPr>
        <w:t>依据的标准（方法）名称及编号（含年号）</w:t>
      </w:r>
      <w:r>
        <w:rPr>
          <w:rFonts w:hint="eastAsia"/>
          <w:color w:val="0000FF"/>
          <w:lang w:val="en-US" w:eastAsia="zh-CN"/>
        </w:rPr>
        <w:t>是否现行有效、是否包含对应的检测方法；；</w:t>
      </w:r>
    </w:p>
    <w:p>
      <w:pPr>
        <w:pStyle w:val="57"/>
        <w:ind w:left="0" w:leftChars="0" w:firstLine="630" w:firstLineChars="300"/>
        <w:rPr>
          <w:rFonts w:hint="eastAsia"/>
          <w:color w:val="0000FF"/>
          <w:lang w:val="en-US" w:eastAsia="zh-CN"/>
        </w:rPr>
      </w:pPr>
      <w:r>
        <w:rPr>
          <w:rFonts w:hint="eastAsia"/>
          <w:color w:val="0000FF"/>
          <w:lang w:val="en-US" w:eastAsia="zh-CN"/>
        </w:rPr>
        <w:t>d)检测方法</w:t>
      </w:r>
      <w:r>
        <w:rPr>
          <w:rFonts w:hint="eastAsia"/>
          <w:color w:val="0000FF"/>
        </w:rPr>
        <w:t>有明确的检测任务适用范围</w:t>
      </w:r>
      <w:r>
        <w:rPr>
          <w:rFonts w:hint="eastAsia"/>
          <w:color w:val="0000FF"/>
          <w:lang w:val="en-US" w:eastAsia="zh-CN"/>
        </w:rPr>
        <w:t>时</w:t>
      </w:r>
      <w:r>
        <w:rPr>
          <w:rFonts w:hint="eastAsia"/>
          <w:color w:val="0000FF"/>
        </w:rPr>
        <w:t>“限制范围”栏中说明</w:t>
      </w:r>
      <w:r>
        <w:rPr>
          <w:rFonts w:hint="eastAsia"/>
          <w:color w:val="0000FF"/>
          <w:lang w:val="en-US" w:eastAsia="zh-CN"/>
        </w:rPr>
        <w:t>填写是否满足标准方法或许可要求；</w:t>
      </w:r>
    </w:p>
    <w:p>
      <w:pPr>
        <w:pStyle w:val="57"/>
        <w:ind w:left="0" w:leftChars="0" w:firstLine="630" w:firstLineChars="300"/>
        <w:rPr>
          <w:rFonts w:hint="default"/>
          <w:color w:val="0000FF"/>
          <w:lang w:val="en-US" w:eastAsia="zh-CN"/>
        </w:rPr>
      </w:pPr>
      <w:r>
        <w:rPr>
          <w:rFonts w:hint="eastAsia"/>
          <w:color w:val="0000FF"/>
          <w:lang w:val="en-US" w:eastAsia="zh-CN"/>
        </w:rPr>
        <w:t>e）现场考核实验比例、实验方法是否满足不同评审类型的要求；</w:t>
      </w:r>
    </w:p>
    <w:p>
      <w:pPr>
        <w:pStyle w:val="57"/>
        <w:ind w:left="0" w:leftChars="0" w:firstLine="630" w:firstLineChars="300"/>
        <w:rPr>
          <w:rFonts w:hint="default"/>
          <w:color w:val="0000FF"/>
          <w:lang w:val="en-US" w:eastAsia="zh-CN"/>
        </w:rPr>
      </w:pPr>
      <w:r>
        <w:rPr>
          <w:rFonts w:hint="eastAsia"/>
          <w:color w:val="0000FF"/>
          <w:lang w:val="en-US" w:eastAsia="zh-CN"/>
        </w:rPr>
        <w:t>注：技术审定环节是指在湖南省市场监督管理局业务综合管理平台中进行网上提交的评审材料的审定。</w:t>
      </w:r>
    </w:p>
    <w:p>
      <w:pPr>
        <w:pStyle w:val="57"/>
        <w:rPr>
          <w:rFonts w:hint="default"/>
          <w:lang w:val="en-US" w:eastAsia="zh-CN"/>
        </w:rPr>
      </w:pPr>
    </w:p>
    <w:p>
      <w:pPr>
        <w:pStyle w:val="105"/>
        <w:spacing w:before="312" w:after="312"/>
      </w:pPr>
      <w:bookmarkStart w:id="77" w:name="_Toc131409482"/>
      <w:r>
        <w:rPr>
          <w:rFonts w:hint="eastAsia"/>
        </w:rPr>
        <w:t>不同评审类型的特殊要求</w:t>
      </w:r>
      <w:bookmarkEnd w:id="77"/>
    </w:p>
    <w:p>
      <w:pPr>
        <w:pStyle w:val="106"/>
        <w:spacing w:before="156" w:after="156"/>
      </w:pPr>
      <w:bookmarkStart w:id="78" w:name="_Toc131409483"/>
      <w:r>
        <w:rPr>
          <w:rFonts w:hint="eastAsia"/>
        </w:rPr>
        <w:t>首次评审</w:t>
      </w:r>
      <w:bookmarkEnd w:id="78"/>
    </w:p>
    <w:p>
      <w:pPr>
        <w:pStyle w:val="166"/>
      </w:pPr>
      <w:r>
        <w:rPr>
          <w:rFonts w:hint="eastAsia"/>
        </w:rPr>
        <w:t>现场评审时，当被评审机构提交的有效版本体系文件不是第一版，且运行时间不足</w:t>
      </w:r>
      <w:r>
        <w:rPr>
          <w:rFonts w:hint="eastAsia"/>
          <w:highlight w:val="none"/>
        </w:rPr>
        <w:t>3</w:t>
      </w:r>
      <w:r>
        <w:rPr>
          <w:rFonts w:hint="eastAsia"/>
        </w:rPr>
        <w:t>个月时，评审组需从被评审机构第一版体系文件运行的时间开始审查体系运行记录。</w:t>
      </w:r>
    </w:p>
    <w:p>
      <w:pPr>
        <w:pStyle w:val="166"/>
      </w:pPr>
      <w:r>
        <w:rPr>
          <w:rFonts w:hint="eastAsia"/>
        </w:rPr>
        <w:t>现场评审时，被评审机构的管理体系运行12个月以上的，可审查12个月内体系运行的记录。</w:t>
      </w:r>
    </w:p>
    <w:p>
      <w:pPr>
        <w:pStyle w:val="166"/>
      </w:pPr>
      <w:r>
        <w:rPr>
          <w:rFonts w:hint="eastAsia"/>
        </w:rPr>
        <w:t>当被评审机构的管理体系运行记录证明被评审机构管理体系运行的时间距提交申请不足3个月的，评审组应保留证据，立即请示下达评审任务的资质认定部门和技术评价机构，经同意后出具“不符合”评审结论并终止评审，并提交相关证据和记录。</w:t>
      </w:r>
    </w:p>
    <w:p>
      <w:pPr>
        <w:pStyle w:val="106"/>
        <w:spacing w:before="156" w:after="156"/>
      </w:pPr>
      <w:bookmarkStart w:id="79" w:name="_Toc131409484"/>
      <w:r>
        <w:rPr>
          <w:rFonts w:hint="eastAsia"/>
        </w:rPr>
        <w:t>复查评审</w:t>
      </w:r>
      <w:bookmarkEnd w:id="79"/>
    </w:p>
    <w:p>
      <w:pPr>
        <w:pStyle w:val="166"/>
        <w:rPr>
          <w:highlight w:val="none"/>
        </w:rPr>
      </w:pPr>
      <w:r>
        <w:rPr>
          <w:rFonts w:hint="eastAsia"/>
          <w:highlight w:val="none"/>
        </w:rPr>
        <w:t>检验检测机构资质认定复查评审应在证书有效期届满前三个月提出申请，不足三个月按首次评审。</w:t>
      </w:r>
    </w:p>
    <w:p>
      <w:pPr>
        <w:pStyle w:val="166"/>
      </w:pPr>
      <w:r>
        <w:rPr>
          <w:rFonts w:hint="eastAsia"/>
        </w:rPr>
        <w:t>评审组应特别关注检验检测机构获证周期内管理体系及检验检测能力的维持情况，包括：</w:t>
      </w:r>
    </w:p>
    <w:p>
      <w:pPr>
        <w:pStyle w:val="175"/>
        <w:numPr>
          <w:ilvl w:val="0"/>
          <w:numId w:val="54"/>
        </w:numPr>
      </w:pPr>
      <w:r>
        <w:rPr>
          <w:rFonts w:hint="eastAsia"/>
        </w:rPr>
        <w:t>获证周期内各次评审的相关资料，不符合项/基本符合项的整改效果及持续改进情况；</w:t>
      </w:r>
    </w:p>
    <w:p>
      <w:pPr>
        <w:pStyle w:val="175"/>
      </w:pPr>
      <w:r>
        <w:rPr>
          <w:rFonts w:hint="eastAsia"/>
        </w:rPr>
        <w:t>资质认定标志、检验检测专用章是否规范使用；</w:t>
      </w:r>
    </w:p>
    <w:p>
      <w:pPr>
        <w:pStyle w:val="175"/>
      </w:pPr>
      <w:r>
        <w:rPr>
          <w:rFonts w:hint="eastAsia"/>
        </w:rPr>
        <w:t>被评审机构的技术能力、跟踪最新标准/规范的能力，是否持续符合评审准则及相关专业领域补充要求；</w:t>
      </w:r>
    </w:p>
    <w:p>
      <w:pPr>
        <w:pStyle w:val="175"/>
      </w:pPr>
      <w:r>
        <w:rPr>
          <w:rFonts w:hint="eastAsia"/>
        </w:rPr>
        <w:t>授权签字人、关键岗位人员、关键设备、标准/规范等是否变化以及是否按规定办理相关手续；</w:t>
      </w:r>
    </w:p>
    <w:p>
      <w:pPr>
        <w:pStyle w:val="175"/>
      </w:pPr>
      <w:r>
        <w:rPr>
          <w:rFonts w:hint="eastAsia"/>
        </w:rPr>
        <w:t>新上岗人员的技术能力是否满足相关要求。</w:t>
      </w:r>
    </w:p>
    <w:p>
      <w:pPr>
        <w:pStyle w:val="175"/>
        <w:rPr>
          <w:color w:val="0000FF"/>
        </w:rPr>
      </w:pPr>
      <w:r>
        <w:rPr>
          <w:rFonts w:hint="eastAsia"/>
          <w:color w:val="0000FF"/>
          <w:lang w:eastAsia="zh-CN"/>
        </w:rPr>
        <w:t>应覆盖获证周期内的体系运行、人员能力、仪器设备、场所环境及出具报告的情况；</w:t>
      </w:r>
    </w:p>
    <w:p>
      <w:pPr>
        <w:pStyle w:val="166"/>
        <w:rPr>
          <w:highlight w:val="none"/>
        </w:rPr>
      </w:pPr>
      <w:r>
        <w:rPr>
          <w:rFonts w:hint="eastAsia"/>
          <w:highlight w:val="none"/>
        </w:rPr>
        <w:t>现场试验宜选择上次评审未经现场试验考核的产品/项目/参数和人员。</w:t>
      </w:r>
    </w:p>
    <w:p>
      <w:pPr>
        <w:pStyle w:val="106"/>
        <w:spacing w:before="156" w:after="156"/>
      </w:pPr>
      <w:bookmarkStart w:id="80" w:name="_Toc131409485"/>
      <w:r>
        <w:rPr>
          <w:rFonts w:hint="eastAsia"/>
        </w:rPr>
        <w:t>扩项评审</w:t>
      </w:r>
      <w:bookmarkEnd w:id="80"/>
    </w:p>
    <w:p>
      <w:pPr>
        <w:pStyle w:val="166"/>
      </w:pPr>
      <w:r>
        <w:rPr>
          <w:rFonts w:hint="eastAsia"/>
        </w:rPr>
        <w:t>检验检测机构资质认定扩项包括：</w:t>
      </w:r>
    </w:p>
    <w:p>
      <w:pPr>
        <w:pStyle w:val="175"/>
        <w:numPr>
          <w:ilvl w:val="0"/>
          <w:numId w:val="55"/>
        </w:numPr>
      </w:pPr>
      <w:r>
        <w:rPr>
          <w:rFonts w:hint="eastAsia"/>
        </w:rPr>
        <w:t>增加检验检测类别（产品/项目/参数) ；</w:t>
      </w:r>
    </w:p>
    <w:p>
      <w:pPr>
        <w:pStyle w:val="175"/>
        <w:numPr>
          <w:ilvl w:val="0"/>
          <w:numId w:val="55"/>
        </w:numPr>
      </w:pPr>
      <w:r>
        <w:rPr>
          <w:rFonts w:hint="eastAsia"/>
        </w:rPr>
        <w:t>增加检验检测标准方法；</w:t>
      </w:r>
    </w:p>
    <w:p>
      <w:pPr>
        <w:pStyle w:val="175"/>
        <w:numPr>
          <w:ilvl w:val="0"/>
          <w:numId w:val="55"/>
        </w:numPr>
      </w:pPr>
      <w:r>
        <w:rPr>
          <w:rFonts w:hint="eastAsia"/>
        </w:rPr>
        <w:t>改变原限制范围；</w:t>
      </w:r>
    </w:p>
    <w:p>
      <w:pPr>
        <w:pStyle w:val="175"/>
      </w:pPr>
      <w:r>
        <w:rPr>
          <w:rFonts w:hint="eastAsia"/>
        </w:rPr>
        <w:t>新增检验检测场所。</w:t>
      </w:r>
    </w:p>
    <w:p>
      <w:pPr>
        <w:pStyle w:val="106"/>
        <w:spacing w:before="156" w:after="156"/>
      </w:pPr>
      <w:bookmarkStart w:id="81" w:name="_Toc131409486"/>
      <w:r>
        <w:rPr>
          <w:rFonts w:hint="eastAsia"/>
        </w:rPr>
        <w:t>变更评审</w:t>
      </w:r>
      <w:bookmarkEnd w:id="81"/>
    </w:p>
    <w:p>
      <w:pPr>
        <w:pStyle w:val="166"/>
      </w:pPr>
      <w:r>
        <w:rPr>
          <w:rFonts w:hint="eastAsia"/>
        </w:rPr>
        <w:t>检验检测机构资质认定变更包括：</w:t>
      </w:r>
    </w:p>
    <w:p>
      <w:pPr>
        <w:pStyle w:val="175"/>
        <w:numPr>
          <w:ilvl w:val="0"/>
          <w:numId w:val="0"/>
        </w:numPr>
        <w:ind w:firstLine="420" w:firstLineChars="200"/>
        <w:rPr>
          <w:strike/>
          <w:highlight w:val="yellow"/>
        </w:rPr>
      </w:pPr>
      <w:r>
        <w:rPr>
          <w:rFonts w:hint="eastAsia"/>
          <w:lang w:val="en-US" w:eastAsia="zh-CN"/>
        </w:rPr>
        <w:t xml:space="preserve">a ) </w:t>
      </w:r>
      <w:r>
        <w:rPr>
          <w:rFonts w:hint="eastAsia"/>
        </w:rPr>
        <w:t>已获认定的授权签字人拟扩大授权范围或新增授权签字人；</w:t>
      </w:r>
    </w:p>
    <w:p>
      <w:pPr>
        <w:pStyle w:val="175"/>
        <w:numPr>
          <w:ilvl w:val="0"/>
          <w:numId w:val="0"/>
        </w:numPr>
        <w:ind w:left="425" w:leftChars="0"/>
      </w:pPr>
      <w:r>
        <w:rPr>
          <w:rFonts w:hint="eastAsia"/>
          <w:lang w:val="en-US" w:eastAsia="zh-CN"/>
        </w:rPr>
        <w:t xml:space="preserve">b)  </w:t>
      </w:r>
      <w:r>
        <w:rPr>
          <w:rFonts w:hint="eastAsia"/>
        </w:rPr>
        <w:t>已获认定的地址搬迁到另一个地址。</w:t>
      </w:r>
    </w:p>
    <w:p>
      <w:pPr>
        <w:pStyle w:val="105"/>
        <w:spacing w:before="312" w:after="312"/>
        <w:rPr>
          <w:highlight w:val="none"/>
        </w:rPr>
      </w:pPr>
      <w:r>
        <w:rPr>
          <w:rFonts w:hint="eastAsia"/>
          <w:highlight w:val="none"/>
        </w:rPr>
        <w:t>现场评审廉政纪律要求</w:t>
      </w:r>
    </w:p>
    <w:p>
      <w:pPr>
        <w:pStyle w:val="166"/>
        <w:rPr>
          <w:highlight w:val="none"/>
        </w:rPr>
      </w:pPr>
      <w:r>
        <w:rPr>
          <w:rFonts w:hint="eastAsia"/>
          <w:highlight w:val="none"/>
        </w:rPr>
        <w:t>评审组应严格遵守国家有关法律法规、廉政纪律要求，不做有损市场监管部门声誉的行为；</w:t>
      </w:r>
    </w:p>
    <w:p>
      <w:pPr>
        <w:pStyle w:val="166"/>
        <w:rPr>
          <w:highlight w:val="none"/>
        </w:rPr>
      </w:pPr>
      <w:r>
        <w:rPr>
          <w:rFonts w:hint="eastAsia"/>
          <w:highlight w:val="none"/>
        </w:rPr>
        <w:t>评审组应严格遵守评审人员行为规范，不得向被评审机构推销生产设备、检测设备以及计量校准服务，不得向被评审机构提供与资质认定评审有关的咨询服务，不得谋取其他不当利益；</w:t>
      </w:r>
    </w:p>
    <w:p>
      <w:pPr>
        <w:pStyle w:val="166"/>
      </w:pPr>
      <w:r>
        <w:rPr>
          <w:rFonts w:hint="eastAsia"/>
        </w:rPr>
        <w:t>评审组不</w:t>
      </w:r>
      <w:r>
        <w:rPr>
          <w:rFonts w:hint="eastAsia"/>
          <w:highlight w:val="none"/>
        </w:rPr>
        <w:t>得</w:t>
      </w:r>
      <w:r>
        <w:rPr>
          <w:rFonts w:hint="eastAsia"/>
        </w:rPr>
        <w:t>介入与检验检测机构资质认定评审有关的冲突和违规利益，不利用工作之便吃、拿、卡、要，不接受企业馈赠，不收受和谋取检验检测机构任何形式的不当利益；不参加企业安排的娱乐活动；</w:t>
      </w:r>
    </w:p>
    <w:p>
      <w:pPr>
        <w:pStyle w:val="166"/>
      </w:pPr>
      <w:r>
        <w:rPr>
          <w:rFonts w:hint="eastAsia"/>
        </w:rPr>
        <w:t>被评审机构均有权利对评审组现场评审的廉政纪律情况、评审工作情况等进行监督，并填写《检验检测机构对资质认定评审组的工作评价反馈表》（附录G）反馈至下达评审任务的资质认定部门和技术评价机构。</w:t>
      </w:r>
    </w:p>
    <w:p>
      <w:pPr>
        <w:pStyle w:val="57"/>
        <w:ind w:firstLine="420"/>
      </w:pPr>
    </w:p>
    <w:bookmarkEnd w:id="23"/>
    <w:p>
      <w:pPr>
        <w:pStyle w:val="200"/>
        <w:rPr>
          <w:vanish w:val="0"/>
        </w:rPr>
      </w:pPr>
      <w:bookmarkStart w:id="82" w:name="BookMark5"/>
    </w:p>
    <w:p>
      <w:pPr>
        <w:pStyle w:val="57"/>
        <w:sectPr>
          <w:pgSz w:w="11906" w:h="16838"/>
          <w:pgMar w:top="1928" w:right="1134" w:bottom="1134" w:left="1134" w:header="1418" w:footer="1134" w:gutter="284"/>
          <w:cols w:space="425" w:num="1"/>
          <w:formProt w:val="0"/>
          <w:docGrid w:type="lines" w:linePitch="312" w:charSpace="0"/>
        </w:sectPr>
      </w:pPr>
    </w:p>
    <w:p>
      <w:pPr>
        <w:pStyle w:val="77"/>
        <w:spacing w:after="156"/>
      </w:pPr>
      <w:bookmarkStart w:id="83" w:name="_Toc131409488"/>
    </w:p>
    <w:p>
      <w:pPr>
        <w:pStyle w:val="77"/>
        <w:numPr>
          <w:ilvl w:val="0"/>
          <w:numId w:val="0"/>
        </w:numPr>
        <w:spacing w:after="156"/>
        <w:ind w:leftChars="0"/>
        <w:jc w:val="center"/>
      </w:pPr>
      <w:r>
        <w:rPr>
          <w:rFonts w:hint="eastAsia"/>
        </w:rPr>
        <w:t>检验检测机构资质认定文件资料审查表</w:t>
      </w:r>
      <w:bookmarkEnd w:id="83"/>
    </w:p>
    <w:p>
      <w:pPr>
        <w:widowControl/>
        <w:adjustRightInd/>
        <w:spacing w:line="240" w:lineRule="auto"/>
        <w:ind w:firstLine="420" w:firstLineChars="200"/>
        <w:jc w:val="left"/>
        <w:rPr>
          <w:rFonts w:ascii="宋体" w:hAnsi="Times New Roman"/>
          <w:kern w:val="0"/>
          <w:szCs w:val="20"/>
        </w:rPr>
      </w:pPr>
      <w:r>
        <w:rPr>
          <w:rFonts w:hint="eastAsia" w:ascii="宋体" w:hAnsi="Times New Roman"/>
          <w:kern w:val="0"/>
          <w:szCs w:val="20"/>
        </w:rPr>
        <w:t>机构名称：</w:t>
      </w:r>
    </w:p>
    <w:tbl>
      <w:tblPr>
        <w:tblStyle w:val="28"/>
        <w:tblW w:w="138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1134"/>
        <w:gridCol w:w="2552"/>
        <w:gridCol w:w="4819"/>
        <w:gridCol w:w="2693"/>
        <w:gridCol w:w="19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99" w:type="dxa"/>
            <w:tcBorders>
              <w:top w:val="single" w:color="auto" w:sz="8" w:space="0"/>
              <w:bottom w:val="single" w:color="auto" w:sz="8" w:space="0"/>
            </w:tcBorders>
            <w:vAlign w:val="center"/>
          </w:tcPr>
          <w:p>
            <w:pPr>
              <w:spacing w:line="320" w:lineRule="exact"/>
              <w:jc w:val="center"/>
              <w:rPr>
                <w:rFonts w:ascii="Times New Roman" w:eastAsia="方正仿宋简体"/>
                <w:b/>
                <w:color w:val="000000"/>
              </w:rPr>
            </w:pPr>
            <w:r>
              <w:rPr>
                <w:rFonts w:ascii="Times New Roman" w:eastAsia="方正仿宋简体"/>
                <w:b/>
                <w:color w:val="000000"/>
              </w:rPr>
              <w:t>序号</w:t>
            </w:r>
          </w:p>
        </w:tc>
        <w:tc>
          <w:tcPr>
            <w:tcW w:w="1134" w:type="dxa"/>
            <w:tcBorders>
              <w:top w:val="single" w:color="auto" w:sz="8" w:space="0"/>
              <w:bottom w:val="single" w:color="auto" w:sz="8" w:space="0"/>
            </w:tcBorders>
            <w:shd w:val="clear" w:color="auto" w:fill="auto"/>
            <w:vAlign w:val="center"/>
          </w:tcPr>
          <w:p>
            <w:pPr>
              <w:spacing w:line="320" w:lineRule="exact"/>
              <w:jc w:val="center"/>
              <w:rPr>
                <w:rFonts w:ascii="Times New Roman" w:eastAsia="方正仿宋简体"/>
                <w:b/>
                <w:color w:val="000000"/>
              </w:rPr>
            </w:pPr>
            <w:r>
              <w:rPr>
                <w:rFonts w:ascii="Times New Roman" w:eastAsia="方正仿宋简体"/>
                <w:b/>
                <w:color w:val="000000"/>
              </w:rPr>
              <w:t>文件/资料名称</w:t>
            </w:r>
          </w:p>
        </w:tc>
        <w:tc>
          <w:tcPr>
            <w:tcW w:w="2552" w:type="dxa"/>
            <w:tcBorders>
              <w:top w:val="single" w:color="auto" w:sz="8" w:space="0"/>
              <w:bottom w:val="single" w:color="auto" w:sz="8" w:space="0"/>
            </w:tcBorders>
            <w:shd w:val="clear" w:color="auto" w:fill="auto"/>
            <w:vAlign w:val="center"/>
          </w:tcPr>
          <w:p>
            <w:pPr>
              <w:spacing w:line="320" w:lineRule="exact"/>
              <w:jc w:val="center"/>
              <w:rPr>
                <w:rFonts w:ascii="Times New Roman" w:eastAsia="方正仿宋简体"/>
                <w:b/>
                <w:color w:val="000000"/>
              </w:rPr>
            </w:pPr>
            <w:r>
              <w:rPr>
                <w:rFonts w:ascii="Times New Roman" w:eastAsia="方正仿宋简体"/>
                <w:b/>
                <w:color w:val="000000"/>
              </w:rPr>
              <w:t>审核项目</w:t>
            </w:r>
          </w:p>
        </w:tc>
        <w:tc>
          <w:tcPr>
            <w:tcW w:w="4819" w:type="dxa"/>
            <w:tcBorders>
              <w:top w:val="single" w:color="auto" w:sz="8" w:space="0"/>
              <w:bottom w:val="single" w:color="auto" w:sz="8" w:space="0"/>
            </w:tcBorders>
            <w:shd w:val="clear" w:color="auto" w:fill="auto"/>
            <w:vAlign w:val="center"/>
          </w:tcPr>
          <w:p>
            <w:pPr>
              <w:spacing w:line="320" w:lineRule="exact"/>
              <w:jc w:val="center"/>
              <w:rPr>
                <w:rFonts w:ascii="Times New Roman" w:eastAsia="方正仿宋简体"/>
                <w:b/>
                <w:color w:val="000000"/>
              </w:rPr>
            </w:pPr>
            <w:r>
              <w:rPr>
                <w:rFonts w:ascii="Times New Roman" w:eastAsia="方正仿宋简体"/>
                <w:b/>
                <w:color w:val="000000"/>
              </w:rPr>
              <w:t>审核要点</w:t>
            </w:r>
          </w:p>
        </w:tc>
        <w:tc>
          <w:tcPr>
            <w:tcW w:w="2693" w:type="dxa"/>
            <w:tcBorders>
              <w:top w:val="single" w:color="auto" w:sz="8" w:space="0"/>
              <w:bottom w:val="single" w:color="auto" w:sz="8" w:space="0"/>
            </w:tcBorders>
            <w:shd w:val="clear" w:color="auto" w:fill="auto"/>
            <w:vAlign w:val="center"/>
          </w:tcPr>
          <w:p>
            <w:pPr>
              <w:spacing w:line="320" w:lineRule="exact"/>
              <w:jc w:val="center"/>
              <w:rPr>
                <w:rFonts w:ascii="Times New Roman" w:eastAsia="方正仿宋简体"/>
                <w:b/>
                <w:color w:val="000000"/>
              </w:rPr>
            </w:pPr>
            <w:r>
              <w:rPr>
                <w:rFonts w:ascii="Times New Roman" w:eastAsia="方正仿宋简体"/>
                <w:b/>
                <w:color w:val="000000"/>
              </w:rPr>
              <w:t>审查方法</w:t>
            </w:r>
          </w:p>
        </w:tc>
        <w:tc>
          <w:tcPr>
            <w:tcW w:w="1985" w:type="dxa"/>
            <w:tcBorders>
              <w:top w:val="single" w:color="auto" w:sz="8" w:space="0"/>
              <w:bottom w:val="single" w:color="auto" w:sz="8" w:space="0"/>
            </w:tcBorders>
            <w:shd w:val="clear" w:color="auto" w:fill="auto"/>
            <w:vAlign w:val="center"/>
          </w:tcPr>
          <w:p>
            <w:pPr>
              <w:spacing w:line="320" w:lineRule="exact"/>
              <w:jc w:val="center"/>
              <w:rPr>
                <w:rFonts w:ascii="Times New Roman" w:eastAsia="方正仿宋简体"/>
                <w:b/>
                <w:color w:val="000000"/>
              </w:rPr>
            </w:pPr>
            <w:r>
              <w:rPr>
                <w:rFonts w:ascii="Times New Roman" w:eastAsia="方正仿宋简体"/>
                <w:b/>
                <w:color w:val="000000"/>
              </w:rPr>
              <w:t>不符合情况记录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restart"/>
            <w:tcBorders>
              <w:top w:val="single" w:color="auto" w:sz="8" w:space="0"/>
            </w:tcBorders>
          </w:tcPr>
          <w:p>
            <w:pPr>
              <w:pStyle w:val="179"/>
              <w:rPr>
                <w:rFonts w:ascii="Times New Roman" w:hAnsi="Calibri" w:eastAsia="方正仿宋简体"/>
                <w:color w:val="000000"/>
                <w:kern w:val="2"/>
                <w:szCs w:val="18"/>
              </w:rPr>
            </w:pPr>
            <w:r>
              <w:rPr>
                <w:rFonts w:hint="eastAsia" w:ascii="Times New Roman" w:hAnsi="Calibri" w:eastAsia="方正仿宋简体"/>
                <w:color w:val="000000"/>
                <w:kern w:val="2"/>
                <w:szCs w:val="18"/>
              </w:rPr>
              <w:t>一</w:t>
            </w:r>
          </w:p>
        </w:tc>
        <w:tc>
          <w:tcPr>
            <w:tcW w:w="1134" w:type="dxa"/>
            <w:vMerge w:val="restart"/>
            <w:tcBorders>
              <w:top w:val="single" w:color="auto" w:sz="8" w:space="0"/>
            </w:tcBorders>
            <w:shd w:val="clear" w:color="auto" w:fill="auto"/>
            <w:vAlign w:val="center"/>
          </w:tcPr>
          <w:p>
            <w:pPr>
              <w:pStyle w:val="179"/>
              <w:rPr>
                <w:rFonts w:ascii="Times New Roman" w:hAnsi="Calibri" w:eastAsia="方正仿宋简体"/>
                <w:color w:val="000000"/>
                <w:kern w:val="2"/>
                <w:szCs w:val="18"/>
              </w:rPr>
            </w:pPr>
            <w:r>
              <w:rPr>
                <w:rFonts w:hint="eastAsia" w:ascii="Times New Roman" w:hAnsi="Calibri" w:eastAsia="方正仿宋简体"/>
                <w:color w:val="000000"/>
                <w:kern w:val="2"/>
                <w:szCs w:val="18"/>
              </w:rPr>
              <w:t>申请书</w:t>
            </w:r>
          </w:p>
        </w:tc>
        <w:tc>
          <w:tcPr>
            <w:tcW w:w="2552" w:type="dxa"/>
            <w:vMerge w:val="restart"/>
            <w:tcBorders>
              <w:top w:val="single" w:color="auto" w:sz="8" w:space="0"/>
            </w:tcBorders>
            <w:shd w:val="clear" w:color="auto" w:fill="auto"/>
            <w:vAlign w:val="center"/>
          </w:tcPr>
          <w:p>
            <w:pPr>
              <w:spacing w:line="320" w:lineRule="exact"/>
              <w:jc w:val="center"/>
              <w:rPr>
                <w:rFonts w:ascii="Times New Roman" w:eastAsia="方正仿宋简体"/>
                <w:color w:val="000000"/>
                <w:sz w:val="18"/>
                <w:szCs w:val="18"/>
              </w:rPr>
            </w:pPr>
            <w:r>
              <w:rPr>
                <w:rFonts w:ascii="Times New Roman" w:eastAsia="方正仿宋简体"/>
                <w:color w:val="000000"/>
                <w:sz w:val="18"/>
                <w:szCs w:val="18"/>
              </w:rPr>
              <w:t>1、申请资质认定检测能力表和仪器设备（</w:t>
            </w:r>
            <w:r>
              <w:rPr>
                <w:rFonts w:hint="eastAsia" w:ascii="Times New Roman" w:eastAsia="方正仿宋简体"/>
                <w:color w:val="000000"/>
                <w:sz w:val="18"/>
                <w:szCs w:val="18"/>
              </w:rPr>
              <w:t>标</w:t>
            </w:r>
            <w:r>
              <w:rPr>
                <w:rFonts w:ascii="Times New Roman" w:eastAsia="方正仿宋简体"/>
                <w:color w:val="000000"/>
                <w:sz w:val="18"/>
                <w:szCs w:val="18"/>
              </w:rPr>
              <w:t>准物质）配置一览表</w:t>
            </w:r>
          </w:p>
        </w:tc>
        <w:tc>
          <w:tcPr>
            <w:tcW w:w="4819" w:type="dxa"/>
            <w:tcBorders>
              <w:top w:val="single" w:color="auto" w:sz="8" w:space="0"/>
            </w:tcBorders>
            <w:shd w:val="clear" w:color="auto" w:fill="auto"/>
            <w:vAlign w:val="center"/>
          </w:tcPr>
          <w:p>
            <w:pPr>
              <w:spacing w:line="320" w:lineRule="exact"/>
              <w:jc w:val="left"/>
              <w:rPr>
                <w:rFonts w:ascii="Times New Roman" w:eastAsia="方正仿宋简体"/>
                <w:color w:val="000000"/>
                <w:sz w:val="18"/>
                <w:szCs w:val="18"/>
              </w:rPr>
            </w:pPr>
            <w:r>
              <w:rPr>
                <w:rFonts w:hint="eastAsia" w:ascii="Times New Roman" w:eastAsia="方正仿宋简体"/>
                <w:color w:val="000000"/>
                <w:sz w:val="18"/>
                <w:szCs w:val="18"/>
              </w:rPr>
              <w:t>1.</w:t>
            </w:r>
            <w:r>
              <w:rPr>
                <w:rFonts w:ascii="Times New Roman" w:eastAsia="方正仿宋简体"/>
                <w:color w:val="000000"/>
                <w:sz w:val="18"/>
                <w:szCs w:val="18"/>
              </w:rPr>
              <w:t>应按要求填写</w:t>
            </w:r>
            <w:r>
              <w:rPr>
                <w:rFonts w:hint="eastAsia" w:ascii="Times New Roman" w:eastAsia="方正仿宋简体"/>
                <w:color w:val="000000"/>
                <w:sz w:val="18"/>
                <w:szCs w:val="18"/>
              </w:rPr>
              <w:t>类别</w:t>
            </w:r>
            <w:r>
              <w:rPr>
                <w:rFonts w:ascii="Times New Roman" w:eastAsia="方正仿宋简体"/>
                <w:color w:val="000000"/>
                <w:sz w:val="18"/>
                <w:szCs w:val="18"/>
              </w:rPr>
              <w:t>、产品/</w:t>
            </w:r>
            <w:r>
              <w:rPr>
                <w:rFonts w:hint="eastAsia" w:ascii="Times New Roman" w:eastAsia="方正仿宋简体"/>
                <w:color w:val="000000"/>
                <w:sz w:val="18"/>
                <w:szCs w:val="18"/>
              </w:rPr>
              <w:t>项目/</w:t>
            </w:r>
            <w:r>
              <w:rPr>
                <w:rFonts w:ascii="Times New Roman" w:eastAsia="方正仿宋简体"/>
                <w:color w:val="000000"/>
                <w:sz w:val="18"/>
                <w:szCs w:val="18"/>
              </w:rPr>
              <w:t>参数</w:t>
            </w:r>
            <w:r>
              <w:rPr>
                <w:rFonts w:hint="eastAsia" w:ascii="Times New Roman" w:eastAsia="方正仿宋简体"/>
                <w:color w:val="000000"/>
                <w:sz w:val="18"/>
                <w:szCs w:val="18"/>
              </w:rPr>
              <w:t>；</w:t>
            </w:r>
          </w:p>
        </w:tc>
        <w:tc>
          <w:tcPr>
            <w:tcW w:w="2693" w:type="dxa"/>
            <w:tcBorders>
              <w:top w:val="single" w:color="auto" w:sz="8" w:space="0"/>
            </w:tcBorders>
            <w:shd w:val="clear" w:color="auto" w:fill="auto"/>
            <w:vAlign w:val="center"/>
          </w:tcPr>
          <w:p>
            <w:pPr>
              <w:spacing w:line="320" w:lineRule="exact"/>
              <w:jc w:val="center"/>
              <w:rPr>
                <w:rFonts w:ascii="Times New Roman" w:eastAsia="方正仿宋简体"/>
                <w:color w:val="000000"/>
                <w:sz w:val="18"/>
                <w:szCs w:val="18"/>
              </w:rPr>
            </w:pPr>
            <w:r>
              <w:rPr>
                <w:rFonts w:ascii="Times New Roman" w:eastAsia="方正仿宋简体"/>
                <w:color w:val="000000"/>
                <w:sz w:val="18"/>
                <w:szCs w:val="18"/>
              </w:rPr>
              <w:t>逐项检查核对</w:t>
            </w:r>
          </w:p>
        </w:tc>
        <w:tc>
          <w:tcPr>
            <w:tcW w:w="1985" w:type="dxa"/>
            <w:tcBorders>
              <w:top w:val="single" w:color="auto" w:sz="8" w:space="0"/>
            </w:tcBorders>
            <w:shd w:val="clear" w:color="auto" w:fill="auto"/>
            <w:vAlign w:val="center"/>
          </w:tcPr>
          <w:p>
            <w:pPr>
              <w:spacing w:line="320" w:lineRule="exact"/>
              <w:jc w:val="left"/>
              <w:rPr>
                <w:rFonts w:ascii="楷体" w:hAnsi="楷体" w:eastAsia="楷体"/>
                <w:b/>
                <w:bCs/>
                <w:color w:val="000000"/>
                <w:sz w:val="30"/>
                <w:szCs w:val="3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Pr>
          <w:p>
            <w:pPr>
              <w:pStyle w:val="179"/>
            </w:pPr>
          </w:p>
        </w:tc>
        <w:tc>
          <w:tcPr>
            <w:tcW w:w="1134" w:type="dxa"/>
            <w:vMerge w:val="continue"/>
            <w:shd w:val="clear" w:color="auto" w:fill="auto"/>
            <w:vAlign w:val="center"/>
          </w:tcPr>
          <w:p>
            <w:pPr>
              <w:pStyle w:val="179"/>
            </w:pPr>
          </w:p>
        </w:tc>
        <w:tc>
          <w:tcPr>
            <w:tcW w:w="2552" w:type="dxa"/>
            <w:vMerge w:val="continue"/>
            <w:shd w:val="clear" w:color="auto" w:fill="auto"/>
            <w:vAlign w:val="center"/>
          </w:tcPr>
          <w:p>
            <w:pPr>
              <w:pStyle w:val="179"/>
            </w:pPr>
          </w:p>
        </w:tc>
        <w:tc>
          <w:tcPr>
            <w:tcW w:w="4819" w:type="dxa"/>
            <w:shd w:val="clear" w:color="auto" w:fill="auto"/>
            <w:vAlign w:val="center"/>
          </w:tcPr>
          <w:p>
            <w:pPr>
              <w:spacing w:line="320" w:lineRule="exact"/>
              <w:jc w:val="left"/>
              <w:rPr>
                <w:rFonts w:ascii="Times New Roman" w:eastAsia="方正仿宋简体"/>
                <w:color w:val="000000"/>
                <w:sz w:val="18"/>
                <w:szCs w:val="18"/>
              </w:rPr>
            </w:pPr>
            <w:r>
              <w:rPr>
                <w:rFonts w:hint="eastAsia" w:ascii="Times New Roman" w:eastAsia="方正仿宋简体"/>
                <w:color w:val="000000"/>
                <w:sz w:val="18"/>
                <w:szCs w:val="18"/>
              </w:rPr>
              <w:t>2.</w:t>
            </w:r>
            <w:r>
              <w:rPr>
                <w:rFonts w:ascii="Times New Roman" w:eastAsia="方正仿宋简体"/>
                <w:color w:val="000000"/>
                <w:sz w:val="18"/>
                <w:szCs w:val="18"/>
              </w:rPr>
              <w:t>对应产品或参数应填报</w:t>
            </w:r>
            <w:r>
              <w:rPr>
                <w:rFonts w:hint="eastAsia" w:ascii="Times New Roman" w:eastAsia="方正仿宋简体"/>
                <w:color w:val="000000"/>
                <w:sz w:val="18"/>
                <w:szCs w:val="18"/>
              </w:rPr>
              <w:t>依据的标准（方法）名称及编号（含年号）</w:t>
            </w:r>
            <w:r>
              <w:rPr>
                <w:rFonts w:ascii="Times New Roman" w:eastAsia="方正仿宋简体"/>
                <w:color w:val="000000"/>
                <w:sz w:val="18"/>
                <w:szCs w:val="18"/>
              </w:rPr>
              <w:t>；</w:t>
            </w:r>
          </w:p>
        </w:tc>
        <w:tc>
          <w:tcPr>
            <w:tcW w:w="2693" w:type="dxa"/>
            <w:shd w:val="clear" w:color="auto" w:fill="auto"/>
            <w:vAlign w:val="center"/>
          </w:tcPr>
          <w:p>
            <w:pPr>
              <w:spacing w:line="320" w:lineRule="exact"/>
              <w:jc w:val="center"/>
              <w:rPr>
                <w:rFonts w:ascii="Times New Roman" w:eastAsia="方正仿宋简体"/>
                <w:color w:val="000000"/>
                <w:sz w:val="18"/>
                <w:szCs w:val="18"/>
              </w:rPr>
            </w:pPr>
            <w:r>
              <w:rPr>
                <w:rFonts w:ascii="Times New Roman" w:eastAsia="方正仿宋简体"/>
                <w:color w:val="000000"/>
                <w:sz w:val="18"/>
                <w:szCs w:val="18"/>
              </w:rPr>
              <w:t>逐项</w:t>
            </w:r>
            <w:r>
              <w:rPr>
                <w:rFonts w:hint="eastAsia" w:ascii="Times New Roman" w:eastAsia="方正仿宋简体"/>
                <w:color w:val="000000"/>
                <w:sz w:val="18"/>
                <w:szCs w:val="18"/>
              </w:rPr>
              <w:t>检查</w:t>
            </w:r>
            <w:r>
              <w:rPr>
                <w:rFonts w:ascii="Times New Roman" w:eastAsia="方正仿宋简体"/>
                <w:color w:val="000000"/>
                <w:sz w:val="18"/>
                <w:szCs w:val="18"/>
              </w:rPr>
              <w:t>核对</w:t>
            </w:r>
          </w:p>
        </w:tc>
        <w:tc>
          <w:tcPr>
            <w:tcW w:w="1985" w:type="dxa"/>
            <w:shd w:val="clear" w:color="auto" w:fill="auto"/>
            <w:vAlign w:val="center"/>
          </w:tcPr>
          <w:p>
            <w:pPr>
              <w:spacing w:line="320" w:lineRule="exact"/>
              <w:jc w:val="left"/>
              <w:rPr>
                <w:rFonts w:ascii="Times New Roman" w:eastAsia="方正仿宋简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Pr>
          <w:p>
            <w:pPr>
              <w:pStyle w:val="179"/>
            </w:pPr>
          </w:p>
        </w:tc>
        <w:tc>
          <w:tcPr>
            <w:tcW w:w="1134" w:type="dxa"/>
            <w:vMerge w:val="continue"/>
            <w:shd w:val="clear" w:color="auto" w:fill="auto"/>
            <w:vAlign w:val="center"/>
          </w:tcPr>
          <w:p>
            <w:pPr>
              <w:pStyle w:val="179"/>
            </w:pPr>
          </w:p>
        </w:tc>
        <w:tc>
          <w:tcPr>
            <w:tcW w:w="2552" w:type="dxa"/>
            <w:vMerge w:val="continue"/>
            <w:shd w:val="clear" w:color="auto" w:fill="auto"/>
            <w:vAlign w:val="center"/>
          </w:tcPr>
          <w:p>
            <w:pPr>
              <w:pStyle w:val="179"/>
            </w:pPr>
          </w:p>
        </w:tc>
        <w:tc>
          <w:tcPr>
            <w:tcW w:w="4819" w:type="dxa"/>
            <w:shd w:val="clear" w:color="auto" w:fill="auto"/>
            <w:vAlign w:val="center"/>
          </w:tcPr>
          <w:p>
            <w:pPr>
              <w:spacing w:line="320" w:lineRule="exact"/>
              <w:jc w:val="left"/>
              <w:rPr>
                <w:rFonts w:ascii="Times New Roman" w:eastAsia="方正仿宋简体"/>
                <w:color w:val="000000"/>
                <w:sz w:val="18"/>
                <w:szCs w:val="18"/>
              </w:rPr>
            </w:pPr>
            <w:r>
              <w:rPr>
                <w:rFonts w:hint="eastAsia" w:ascii="Times New Roman" w:eastAsia="方正仿宋简体"/>
                <w:color w:val="000000"/>
                <w:sz w:val="18"/>
                <w:szCs w:val="18"/>
              </w:rPr>
              <w:t>3.</w:t>
            </w:r>
            <w:r>
              <w:rPr>
                <w:rFonts w:ascii="Times New Roman" w:eastAsia="方正仿宋简体"/>
                <w:color w:val="000000"/>
                <w:sz w:val="18"/>
                <w:szCs w:val="18"/>
              </w:rPr>
              <w:t>应配备适用的检测设备；</w:t>
            </w:r>
          </w:p>
        </w:tc>
        <w:tc>
          <w:tcPr>
            <w:tcW w:w="2693" w:type="dxa"/>
            <w:shd w:val="clear" w:color="auto" w:fill="auto"/>
            <w:vAlign w:val="center"/>
          </w:tcPr>
          <w:p>
            <w:pPr>
              <w:spacing w:line="320" w:lineRule="exact"/>
              <w:jc w:val="center"/>
              <w:rPr>
                <w:rFonts w:ascii="Times New Roman" w:eastAsia="方正仿宋简体"/>
                <w:color w:val="000000"/>
                <w:sz w:val="18"/>
                <w:szCs w:val="18"/>
              </w:rPr>
            </w:pPr>
            <w:r>
              <w:rPr>
                <w:rFonts w:ascii="Times New Roman" w:eastAsia="方正仿宋简体"/>
                <w:color w:val="000000"/>
                <w:sz w:val="18"/>
                <w:szCs w:val="18"/>
              </w:rPr>
              <w:t>根据</w:t>
            </w:r>
            <w:r>
              <w:rPr>
                <w:rFonts w:hint="eastAsia" w:ascii="Times New Roman" w:eastAsia="方正仿宋简体"/>
                <w:color w:val="000000"/>
                <w:sz w:val="18"/>
                <w:szCs w:val="18"/>
              </w:rPr>
              <w:t>《</w:t>
            </w:r>
            <w:r>
              <w:rPr>
                <w:rFonts w:ascii="Times New Roman" w:eastAsia="方正仿宋简体"/>
                <w:color w:val="000000"/>
                <w:sz w:val="18"/>
                <w:szCs w:val="18"/>
              </w:rPr>
              <w:t>仪器设备（</w:t>
            </w:r>
            <w:r>
              <w:rPr>
                <w:rFonts w:hint="eastAsia" w:ascii="Times New Roman" w:eastAsia="方正仿宋简体"/>
                <w:color w:val="000000"/>
                <w:sz w:val="18"/>
                <w:szCs w:val="18"/>
              </w:rPr>
              <w:t>标</w:t>
            </w:r>
            <w:r>
              <w:rPr>
                <w:rFonts w:ascii="Times New Roman" w:eastAsia="方正仿宋简体"/>
                <w:color w:val="000000"/>
                <w:sz w:val="18"/>
                <w:szCs w:val="18"/>
              </w:rPr>
              <w:t>准物质）配置一览表</w:t>
            </w:r>
            <w:r>
              <w:rPr>
                <w:rFonts w:hint="eastAsia" w:ascii="Times New Roman" w:eastAsia="方正仿宋简体"/>
                <w:color w:val="000000"/>
                <w:sz w:val="18"/>
                <w:szCs w:val="18"/>
              </w:rPr>
              <w:t>》</w:t>
            </w:r>
            <w:r>
              <w:rPr>
                <w:rFonts w:ascii="Times New Roman" w:eastAsia="方正仿宋简体"/>
                <w:color w:val="000000"/>
                <w:sz w:val="18"/>
                <w:szCs w:val="18"/>
              </w:rPr>
              <w:t>进行核实</w:t>
            </w:r>
          </w:p>
        </w:tc>
        <w:tc>
          <w:tcPr>
            <w:tcW w:w="1985" w:type="dxa"/>
            <w:shd w:val="clear" w:color="auto" w:fill="auto"/>
            <w:vAlign w:val="center"/>
          </w:tcPr>
          <w:p>
            <w:pPr>
              <w:spacing w:line="320" w:lineRule="exact"/>
              <w:jc w:val="center"/>
              <w:rPr>
                <w:rFonts w:ascii="楷体" w:hAnsi="楷体" w:eastAsia="楷体"/>
                <w:b/>
                <w:bCs/>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Pr>
          <w:p>
            <w:pPr>
              <w:pStyle w:val="179"/>
            </w:pPr>
          </w:p>
        </w:tc>
        <w:tc>
          <w:tcPr>
            <w:tcW w:w="1134" w:type="dxa"/>
            <w:vMerge w:val="continue"/>
            <w:shd w:val="clear" w:color="auto" w:fill="auto"/>
            <w:vAlign w:val="center"/>
          </w:tcPr>
          <w:p>
            <w:pPr>
              <w:pStyle w:val="179"/>
            </w:pPr>
          </w:p>
        </w:tc>
        <w:tc>
          <w:tcPr>
            <w:tcW w:w="2552" w:type="dxa"/>
            <w:vMerge w:val="continue"/>
            <w:shd w:val="clear" w:color="auto" w:fill="auto"/>
            <w:vAlign w:val="center"/>
          </w:tcPr>
          <w:p>
            <w:pPr>
              <w:pStyle w:val="179"/>
            </w:pPr>
          </w:p>
        </w:tc>
        <w:tc>
          <w:tcPr>
            <w:tcW w:w="4819" w:type="dxa"/>
            <w:shd w:val="clear" w:color="auto" w:fill="auto"/>
            <w:vAlign w:val="center"/>
          </w:tcPr>
          <w:p>
            <w:pPr>
              <w:spacing w:line="320" w:lineRule="exact"/>
              <w:jc w:val="left"/>
              <w:rPr>
                <w:rFonts w:ascii="Times New Roman" w:eastAsia="方正仿宋简体"/>
                <w:color w:val="000000"/>
                <w:sz w:val="18"/>
                <w:szCs w:val="18"/>
              </w:rPr>
            </w:pPr>
            <w:r>
              <w:rPr>
                <w:rFonts w:hint="eastAsia" w:ascii="Times New Roman" w:eastAsia="方正仿宋简体"/>
                <w:color w:val="000000"/>
                <w:sz w:val="18"/>
                <w:szCs w:val="18"/>
              </w:rPr>
              <w:t>4.</w:t>
            </w:r>
            <w:r>
              <w:rPr>
                <w:rFonts w:ascii="Times New Roman" w:eastAsia="方正仿宋简体"/>
                <w:color w:val="000000"/>
                <w:sz w:val="18"/>
                <w:szCs w:val="18"/>
              </w:rPr>
              <w:t>对使用国标、行标、地标等以外的其他标准进行确认</w:t>
            </w:r>
            <w:r>
              <w:rPr>
                <w:rFonts w:hint="eastAsia" w:ascii="Times New Roman" w:eastAsia="方正仿宋简体"/>
                <w:color w:val="000000"/>
                <w:sz w:val="18"/>
                <w:szCs w:val="18"/>
              </w:rPr>
              <w:t>；</w:t>
            </w:r>
          </w:p>
        </w:tc>
        <w:tc>
          <w:tcPr>
            <w:tcW w:w="2693" w:type="dxa"/>
            <w:shd w:val="clear" w:color="auto" w:fill="auto"/>
            <w:vAlign w:val="center"/>
          </w:tcPr>
          <w:p>
            <w:pPr>
              <w:spacing w:line="320" w:lineRule="exact"/>
              <w:jc w:val="center"/>
              <w:rPr>
                <w:rFonts w:ascii="Times New Roman" w:eastAsia="方正仿宋简体"/>
                <w:color w:val="000000"/>
                <w:sz w:val="18"/>
                <w:szCs w:val="18"/>
              </w:rPr>
            </w:pPr>
            <w:r>
              <w:rPr>
                <w:rFonts w:ascii="Times New Roman" w:eastAsia="方正仿宋简体"/>
                <w:color w:val="000000"/>
                <w:sz w:val="18"/>
                <w:szCs w:val="18"/>
              </w:rPr>
              <w:t>要求检验检测机构提供验证材料，对提供材料进行审核</w:t>
            </w:r>
          </w:p>
        </w:tc>
        <w:tc>
          <w:tcPr>
            <w:tcW w:w="1985" w:type="dxa"/>
            <w:shd w:val="clear" w:color="auto" w:fill="auto"/>
            <w:vAlign w:val="center"/>
          </w:tcPr>
          <w:p>
            <w:pPr>
              <w:spacing w:line="320" w:lineRule="exact"/>
              <w:jc w:val="center"/>
              <w:rPr>
                <w:rFonts w:ascii="Times New Roman" w:eastAsia="方正仿宋简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Pr>
          <w:p>
            <w:pPr>
              <w:pStyle w:val="179"/>
            </w:pPr>
          </w:p>
        </w:tc>
        <w:tc>
          <w:tcPr>
            <w:tcW w:w="1134" w:type="dxa"/>
            <w:vMerge w:val="continue"/>
            <w:shd w:val="clear" w:color="auto" w:fill="auto"/>
            <w:vAlign w:val="center"/>
          </w:tcPr>
          <w:p>
            <w:pPr>
              <w:pStyle w:val="179"/>
            </w:pPr>
          </w:p>
        </w:tc>
        <w:tc>
          <w:tcPr>
            <w:tcW w:w="2552" w:type="dxa"/>
            <w:vMerge w:val="continue"/>
            <w:shd w:val="clear" w:color="auto" w:fill="auto"/>
            <w:vAlign w:val="center"/>
          </w:tcPr>
          <w:p>
            <w:pPr>
              <w:pStyle w:val="179"/>
              <w:rPr>
                <w:highlight w:val="none"/>
              </w:rPr>
            </w:pPr>
          </w:p>
        </w:tc>
        <w:tc>
          <w:tcPr>
            <w:tcW w:w="4819" w:type="dxa"/>
            <w:shd w:val="clear" w:color="auto" w:fill="auto"/>
            <w:vAlign w:val="center"/>
          </w:tcPr>
          <w:p>
            <w:pPr>
              <w:spacing w:line="320" w:lineRule="exact"/>
              <w:jc w:val="left"/>
              <w:rPr>
                <w:rFonts w:ascii="Times New Roman" w:eastAsia="方正仿宋简体"/>
                <w:color w:val="000000"/>
                <w:sz w:val="18"/>
                <w:szCs w:val="18"/>
                <w:highlight w:val="none"/>
              </w:rPr>
            </w:pPr>
            <w:r>
              <w:rPr>
                <w:rFonts w:hint="eastAsia" w:ascii="Times New Roman" w:eastAsia="方正仿宋简体"/>
                <w:color w:val="000000"/>
                <w:sz w:val="18"/>
                <w:szCs w:val="18"/>
                <w:highlight w:val="none"/>
              </w:rPr>
              <w:t>5.</w:t>
            </w:r>
            <w:r>
              <w:rPr>
                <w:rFonts w:ascii="Times New Roman" w:eastAsia="方正仿宋简体"/>
                <w:color w:val="000000"/>
                <w:sz w:val="18"/>
                <w:szCs w:val="18"/>
                <w:highlight w:val="none"/>
              </w:rPr>
              <w:t>所列仪器设备应经过检定或校准</w:t>
            </w:r>
            <w:r>
              <w:rPr>
                <w:rFonts w:hint="eastAsia" w:ascii="Times New Roman" w:eastAsia="方正仿宋简体"/>
                <w:color w:val="000000"/>
                <w:sz w:val="18"/>
                <w:szCs w:val="18"/>
                <w:highlight w:val="none"/>
              </w:rPr>
              <w:t>;</w:t>
            </w:r>
          </w:p>
        </w:tc>
        <w:tc>
          <w:tcPr>
            <w:tcW w:w="2693" w:type="dxa"/>
            <w:shd w:val="clear" w:color="auto" w:fill="auto"/>
            <w:vAlign w:val="center"/>
          </w:tcPr>
          <w:p>
            <w:pPr>
              <w:spacing w:line="320" w:lineRule="exact"/>
              <w:jc w:val="center"/>
              <w:rPr>
                <w:rFonts w:ascii="Times New Roman" w:eastAsia="方正仿宋简体"/>
                <w:color w:val="000000"/>
                <w:sz w:val="18"/>
                <w:szCs w:val="18"/>
              </w:rPr>
            </w:pPr>
            <w:r>
              <w:rPr>
                <w:rFonts w:ascii="Times New Roman" w:eastAsia="方正仿宋简体"/>
                <w:color w:val="000000"/>
                <w:sz w:val="18"/>
                <w:szCs w:val="18"/>
              </w:rPr>
              <w:t>根据</w:t>
            </w:r>
            <w:r>
              <w:rPr>
                <w:rFonts w:hint="eastAsia" w:ascii="Times New Roman" w:eastAsia="方正仿宋简体"/>
                <w:color w:val="000000"/>
                <w:sz w:val="18"/>
                <w:szCs w:val="18"/>
              </w:rPr>
              <w:t>《</w:t>
            </w:r>
            <w:r>
              <w:rPr>
                <w:rFonts w:ascii="Times New Roman" w:eastAsia="方正仿宋简体"/>
                <w:color w:val="000000"/>
                <w:sz w:val="18"/>
                <w:szCs w:val="18"/>
              </w:rPr>
              <w:t>仪器设备（</w:t>
            </w:r>
            <w:r>
              <w:rPr>
                <w:rFonts w:hint="eastAsia" w:ascii="Times New Roman" w:eastAsia="方正仿宋简体"/>
                <w:color w:val="000000"/>
                <w:sz w:val="18"/>
                <w:szCs w:val="18"/>
              </w:rPr>
              <w:t>标</w:t>
            </w:r>
            <w:r>
              <w:rPr>
                <w:rFonts w:ascii="Times New Roman" w:eastAsia="方正仿宋简体"/>
                <w:color w:val="000000"/>
                <w:sz w:val="18"/>
                <w:szCs w:val="18"/>
              </w:rPr>
              <w:t>准物质）配置一览表</w:t>
            </w:r>
            <w:r>
              <w:rPr>
                <w:rFonts w:hint="eastAsia" w:ascii="Times New Roman" w:eastAsia="方正仿宋简体"/>
                <w:color w:val="000000"/>
                <w:sz w:val="18"/>
                <w:szCs w:val="18"/>
              </w:rPr>
              <w:t>》</w:t>
            </w:r>
            <w:r>
              <w:rPr>
                <w:rFonts w:ascii="Times New Roman" w:eastAsia="方正仿宋简体"/>
                <w:color w:val="000000"/>
                <w:sz w:val="18"/>
                <w:szCs w:val="18"/>
              </w:rPr>
              <w:t>进行核实</w:t>
            </w:r>
            <w:r>
              <w:rPr>
                <w:rFonts w:hint="eastAsia" w:ascii="Times New Roman" w:eastAsia="方正仿宋简体"/>
                <w:color w:val="000000"/>
                <w:sz w:val="18"/>
                <w:szCs w:val="18"/>
              </w:rPr>
              <w:t>，</w:t>
            </w:r>
            <w:r>
              <w:rPr>
                <w:rFonts w:ascii="Times New Roman" w:eastAsia="方正仿宋简体"/>
                <w:color w:val="000000"/>
                <w:sz w:val="18"/>
                <w:szCs w:val="18"/>
              </w:rPr>
              <w:t>必要时，可向检验检测机构了解</w:t>
            </w:r>
          </w:p>
        </w:tc>
        <w:tc>
          <w:tcPr>
            <w:tcW w:w="1985" w:type="dxa"/>
            <w:shd w:val="clear" w:color="auto" w:fill="auto"/>
            <w:vAlign w:val="center"/>
          </w:tcPr>
          <w:p>
            <w:pPr>
              <w:spacing w:line="320" w:lineRule="exact"/>
              <w:jc w:val="center"/>
              <w:rPr>
                <w:rFonts w:ascii="Times New Roman" w:eastAsia="方正仿宋简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Pr>
          <w:p>
            <w:pPr>
              <w:pStyle w:val="179"/>
            </w:pPr>
          </w:p>
        </w:tc>
        <w:tc>
          <w:tcPr>
            <w:tcW w:w="1134" w:type="dxa"/>
            <w:vMerge w:val="continue"/>
            <w:shd w:val="clear" w:color="auto" w:fill="auto"/>
            <w:vAlign w:val="center"/>
          </w:tcPr>
          <w:p>
            <w:pPr>
              <w:pStyle w:val="179"/>
            </w:pPr>
          </w:p>
        </w:tc>
        <w:tc>
          <w:tcPr>
            <w:tcW w:w="2552" w:type="dxa"/>
            <w:vMerge w:val="restart"/>
            <w:shd w:val="clear" w:color="auto" w:fill="auto"/>
            <w:vAlign w:val="center"/>
          </w:tcPr>
          <w:p>
            <w:pPr>
              <w:spacing w:line="320" w:lineRule="exact"/>
              <w:jc w:val="center"/>
              <w:rPr>
                <w:rFonts w:ascii="Times New Roman" w:eastAsia="方正仿宋简体"/>
                <w:color w:val="000000"/>
                <w:sz w:val="18"/>
                <w:szCs w:val="18"/>
              </w:rPr>
            </w:pPr>
            <w:r>
              <w:rPr>
                <w:rFonts w:ascii="Times New Roman" w:eastAsia="方正仿宋简体"/>
                <w:color w:val="000000"/>
                <w:sz w:val="18"/>
                <w:szCs w:val="18"/>
              </w:rPr>
              <w:t>2、授权签字人申请一览表和授权签字人申请表</w:t>
            </w:r>
          </w:p>
        </w:tc>
        <w:tc>
          <w:tcPr>
            <w:tcW w:w="4819" w:type="dxa"/>
            <w:shd w:val="clear" w:color="auto" w:fill="auto"/>
            <w:vAlign w:val="center"/>
          </w:tcPr>
          <w:p>
            <w:pPr>
              <w:spacing w:line="320" w:lineRule="exact"/>
              <w:jc w:val="left"/>
              <w:rPr>
                <w:rFonts w:ascii="Times New Roman" w:eastAsia="方正仿宋简体"/>
                <w:color w:val="000000"/>
                <w:sz w:val="18"/>
                <w:szCs w:val="18"/>
              </w:rPr>
            </w:pPr>
            <w:r>
              <w:rPr>
                <w:rFonts w:ascii="Times New Roman" w:eastAsia="方正仿宋简体"/>
                <w:color w:val="000000"/>
                <w:sz w:val="18"/>
                <w:szCs w:val="18"/>
              </w:rPr>
              <w:t>1、应有正体和手写的签名；</w:t>
            </w:r>
          </w:p>
        </w:tc>
        <w:tc>
          <w:tcPr>
            <w:tcW w:w="2693" w:type="dxa"/>
            <w:shd w:val="clear" w:color="auto" w:fill="auto"/>
            <w:vAlign w:val="center"/>
          </w:tcPr>
          <w:p>
            <w:pPr>
              <w:spacing w:line="320" w:lineRule="exact"/>
              <w:jc w:val="center"/>
              <w:rPr>
                <w:rFonts w:ascii="Times New Roman" w:eastAsia="方正仿宋简体"/>
                <w:color w:val="000000"/>
                <w:sz w:val="18"/>
                <w:szCs w:val="18"/>
              </w:rPr>
            </w:pPr>
            <w:r>
              <w:rPr>
                <w:rFonts w:ascii="Times New Roman" w:eastAsia="方正仿宋简体"/>
                <w:color w:val="000000"/>
                <w:sz w:val="18"/>
                <w:szCs w:val="18"/>
              </w:rPr>
              <w:t>对照申请表审查</w:t>
            </w:r>
          </w:p>
        </w:tc>
        <w:tc>
          <w:tcPr>
            <w:tcW w:w="1985" w:type="dxa"/>
            <w:shd w:val="clear" w:color="auto" w:fill="auto"/>
            <w:vAlign w:val="center"/>
          </w:tcPr>
          <w:p>
            <w:pPr>
              <w:spacing w:line="320" w:lineRule="exact"/>
              <w:jc w:val="center"/>
              <w:rPr>
                <w:rFonts w:ascii="Times New Roman" w:eastAsia="方正仿宋简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Pr>
          <w:p>
            <w:pPr>
              <w:pStyle w:val="179"/>
            </w:pPr>
          </w:p>
        </w:tc>
        <w:tc>
          <w:tcPr>
            <w:tcW w:w="1134" w:type="dxa"/>
            <w:vMerge w:val="continue"/>
            <w:shd w:val="clear" w:color="auto" w:fill="auto"/>
            <w:vAlign w:val="center"/>
          </w:tcPr>
          <w:p>
            <w:pPr>
              <w:pStyle w:val="179"/>
            </w:pPr>
          </w:p>
        </w:tc>
        <w:tc>
          <w:tcPr>
            <w:tcW w:w="2552" w:type="dxa"/>
            <w:vMerge w:val="continue"/>
            <w:shd w:val="clear" w:color="auto" w:fill="auto"/>
            <w:vAlign w:val="center"/>
          </w:tcPr>
          <w:p>
            <w:pPr>
              <w:pStyle w:val="179"/>
            </w:pPr>
          </w:p>
        </w:tc>
        <w:tc>
          <w:tcPr>
            <w:tcW w:w="4819" w:type="dxa"/>
            <w:shd w:val="clear" w:color="auto" w:fill="auto"/>
            <w:vAlign w:val="center"/>
          </w:tcPr>
          <w:p>
            <w:pPr>
              <w:spacing w:line="320" w:lineRule="exact"/>
              <w:jc w:val="left"/>
              <w:rPr>
                <w:rFonts w:ascii="Times New Roman" w:eastAsia="方正仿宋简体"/>
                <w:color w:val="000000"/>
                <w:sz w:val="18"/>
                <w:szCs w:val="18"/>
              </w:rPr>
            </w:pPr>
            <w:r>
              <w:rPr>
                <w:rFonts w:ascii="Times New Roman" w:eastAsia="方正仿宋简体"/>
                <w:color w:val="000000"/>
                <w:sz w:val="18"/>
                <w:szCs w:val="18"/>
              </w:rPr>
              <w:t>2、应按专业领域申请授权签字领域；</w:t>
            </w:r>
          </w:p>
        </w:tc>
        <w:tc>
          <w:tcPr>
            <w:tcW w:w="2693" w:type="dxa"/>
            <w:shd w:val="clear" w:color="auto" w:fill="auto"/>
            <w:vAlign w:val="center"/>
          </w:tcPr>
          <w:p>
            <w:pPr>
              <w:spacing w:line="320" w:lineRule="exact"/>
              <w:jc w:val="center"/>
              <w:rPr>
                <w:rFonts w:ascii="Times New Roman" w:eastAsia="方正仿宋简体"/>
                <w:color w:val="000000"/>
                <w:sz w:val="18"/>
                <w:szCs w:val="18"/>
              </w:rPr>
            </w:pPr>
            <w:r>
              <w:rPr>
                <w:rFonts w:ascii="Times New Roman" w:eastAsia="方正仿宋简体"/>
                <w:color w:val="000000"/>
                <w:sz w:val="18"/>
                <w:szCs w:val="18"/>
              </w:rPr>
              <w:t>对照申请表审查</w:t>
            </w:r>
          </w:p>
        </w:tc>
        <w:tc>
          <w:tcPr>
            <w:tcW w:w="1985" w:type="dxa"/>
            <w:shd w:val="clear" w:color="auto" w:fill="auto"/>
            <w:vAlign w:val="center"/>
          </w:tcPr>
          <w:p>
            <w:pPr>
              <w:spacing w:line="320" w:lineRule="exact"/>
              <w:jc w:val="center"/>
              <w:rPr>
                <w:rFonts w:ascii="Times New Roman" w:eastAsia="方正仿宋简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Pr>
          <w:p>
            <w:pPr>
              <w:pStyle w:val="179"/>
            </w:pPr>
          </w:p>
        </w:tc>
        <w:tc>
          <w:tcPr>
            <w:tcW w:w="1134" w:type="dxa"/>
            <w:vMerge w:val="continue"/>
            <w:shd w:val="clear" w:color="auto" w:fill="auto"/>
            <w:vAlign w:val="center"/>
          </w:tcPr>
          <w:p>
            <w:pPr>
              <w:pStyle w:val="179"/>
            </w:pPr>
          </w:p>
        </w:tc>
        <w:tc>
          <w:tcPr>
            <w:tcW w:w="2552" w:type="dxa"/>
            <w:vMerge w:val="continue"/>
            <w:shd w:val="clear" w:color="auto" w:fill="auto"/>
            <w:vAlign w:val="center"/>
          </w:tcPr>
          <w:p>
            <w:pPr>
              <w:pStyle w:val="179"/>
            </w:pPr>
          </w:p>
        </w:tc>
        <w:tc>
          <w:tcPr>
            <w:tcW w:w="4819" w:type="dxa"/>
            <w:shd w:val="clear" w:color="auto" w:fill="auto"/>
            <w:vAlign w:val="center"/>
          </w:tcPr>
          <w:p>
            <w:pPr>
              <w:spacing w:line="320" w:lineRule="exact"/>
              <w:jc w:val="left"/>
              <w:rPr>
                <w:rFonts w:ascii="Times New Roman" w:eastAsia="方正仿宋简体"/>
                <w:color w:val="000000"/>
                <w:spacing w:val="-10"/>
                <w:sz w:val="18"/>
                <w:szCs w:val="18"/>
              </w:rPr>
            </w:pPr>
            <w:r>
              <w:rPr>
                <w:rFonts w:ascii="Times New Roman" w:eastAsia="方正仿宋简体"/>
                <w:color w:val="000000"/>
                <w:spacing w:val="-10"/>
                <w:sz w:val="18"/>
                <w:szCs w:val="18"/>
              </w:rPr>
              <w:t>3、申请授权签字人授权签字领域之和</w:t>
            </w:r>
            <w:r>
              <w:rPr>
                <w:rFonts w:hint="eastAsia" w:ascii="Times New Roman" w:eastAsia="方正仿宋简体"/>
                <w:color w:val="000000"/>
                <w:spacing w:val="-10"/>
                <w:sz w:val="18"/>
                <w:szCs w:val="18"/>
              </w:rPr>
              <w:t>（多个授权签字人）</w:t>
            </w:r>
            <w:r>
              <w:rPr>
                <w:rFonts w:ascii="Times New Roman" w:eastAsia="方正仿宋简体"/>
                <w:color w:val="000000"/>
                <w:spacing w:val="-10"/>
                <w:sz w:val="18"/>
                <w:szCs w:val="18"/>
              </w:rPr>
              <w:t>应覆盖申请资质认定的所有领域；</w:t>
            </w:r>
          </w:p>
        </w:tc>
        <w:tc>
          <w:tcPr>
            <w:tcW w:w="2693" w:type="dxa"/>
            <w:shd w:val="clear" w:color="auto" w:fill="auto"/>
            <w:vAlign w:val="center"/>
          </w:tcPr>
          <w:p>
            <w:pPr>
              <w:spacing w:line="320" w:lineRule="exact"/>
              <w:jc w:val="center"/>
              <w:rPr>
                <w:rFonts w:ascii="Times New Roman" w:eastAsia="方正仿宋简体"/>
                <w:color w:val="000000"/>
                <w:sz w:val="18"/>
                <w:szCs w:val="18"/>
              </w:rPr>
            </w:pPr>
            <w:r>
              <w:rPr>
                <w:rFonts w:ascii="Times New Roman" w:eastAsia="方正仿宋简体"/>
                <w:color w:val="000000"/>
                <w:sz w:val="18"/>
                <w:szCs w:val="18"/>
              </w:rPr>
              <w:t>对应能力表进行确认</w:t>
            </w:r>
          </w:p>
        </w:tc>
        <w:tc>
          <w:tcPr>
            <w:tcW w:w="1985" w:type="dxa"/>
            <w:shd w:val="clear" w:color="auto" w:fill="auto"/>
            <w:vAlign w:val="center"/>
          </w:tcPr>
          <w:p>
            <w:pPr>
              <w:spacing w:line="320" w:lineRule="exact"/>
              <w:jc w:val="center"/>
              <w:rPr>
                <w:rFonts w:ascii="Times New Roman" w:eastAsia="方正仿宋简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Pr>
          <w:p>
            <w:pPr>
              <w:pStyle w:val="179"/>
            </w:pPr>
          </w:p>
        </w:tc>
        <w:tc>
          <w:tcPr>
            <w:tcW w:w="1134" w:type="dxa"/>
            <w:vMerge w:val="continue"/>
            <w:shd w:val="clear" w:color="auto" w:fill="auto"/>
            <w:vAlign w:val="center"/>
          </w:tcPr>
          <w:p>
            <w:pPr>
              <w:pStyle w:val="179"/>
            </w:pPr>
          </w:p>
        </w:tc>
        <w:tc>
          <w:tcPr>
            <w:tcW w:w="2552" w:type="dxa"/>
            <w:vMerge w:val="continue"/>
            <w:shd w:val="clear" w:color="auto" w:fill="auto"/>
            <w:vAlign w:val="center"/>
          </w:tcPr>
          <w:p>
            <w:pPr>
              <w:pStyle w:val="179"/>
            </w:pPr>
          </w:p>
        </w:tc>
        <w:tc>
          <w:tcPr>
            <w:tcW w:w="4819" w:type="dxa"/>
            <w:shd w:val="clear" w:color="auto" w:fill="auto"/>
            <w:vAlign w:val="center"/>
          </w:tcPr>
          <w:p>
            <w:pPr>
              <w:spacing w:line="320" w:lineRule="exact"/>
              <w:jc w:val="left"/>
              <w:rPr>
                <w:rFonts w:ascii="Times New Roman" w:eastAsia="方正仿宋简体"/>
                <w:color w:val="000000"/>
                <w:sz w:val="18"/>
                <w:szCs w:val="18"/>
              </w:rPr>
            </w:pPr>
            <w:r>
              <w:rPr>
                <w:rFonts w:ascii="Times New Roman" w:eastAsia="方正仿宋简体"/>
                <w:color w:val="000000"/>
                <w:sz w:val="18"/>
                <w:szCs w:val="18"/>
              </w:rPr>
              <w:t>4、应按一人一表填写申请；</w:t>
            </w:r>
          </w:p>
        </w:tc>
        <w:tc>
          <w:tcPr>
            <w:tcW w:w="2693" w:type="dxa"/>
            <w:shd w:val="clear" w:color="auto" w:fill="auto"/>
            <w:vAlign w:val="center"/>
          </w:tcPr>
          <w:p>
            <w:pPr>
              <w:spacing w:line="320" w:lineRule="exact"/>
              <w:jc w:val="center"/>
              <w:rPr>
                <w:rFonts w:ascii="Times New Roman" w:eastAsia="方正仿宋简体"/>
                <w:color w:val="000000"/>
                <w:sz w:val="18"/>
                <w:szCs w:val="18"/>
              </w:rPr>
            </w:pPr>
            <w:r>
              <w:rPr>
                <w:rFonts w:ascii="Times New Roman" w:eastAsia="方正仿宋简体"/>
                <w:color w:val="000000"/>
                <w:sz w:val="18"/>
                <w:szCs w:val="18"/>
              </w:rPr>
              <w:t>申请人数与申请表对应确认</w:t>
            </w:r>
          </w:p>
        </w:tc>
        <w:tc>
          <w:tcPr>
            <w:tcW w:w="1985" w:type="dxa"/>
            <w:shd w:val="clear" w:color="auto" w:fill="auto"/>
            <w:vAlign w:val="center"/>
          </w:tcPr>
          <w:p>
            <w:pPr>
              <w:spacing w:line="320" w:lineRule="exact"/>
              <w:jc w:val="center"/>
              <w:rPr>
                <w:rFonts w:ascii="Times New Roman" w:eastAsia="方正仿宋简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Pr>
          <w:p>
            <w:pPr>
              <w:pStyle w:val="179"/>
            </w:pPr>
          </w:p>
        </w:tc>
        <w:tc>
          <w:tcPr>
            <w:tcW w:w="1134" w:type="dxa"/>
            <w:vMerge w:val="continue"/>
            <w:shd w:val="clear" w:color="auto" w:fill="auto"/>
            <w:vAlign w:val="center"/>
          </w:tcPr>
          <w:p>
            <w:pPr>
              <w:pStyle w:val="179"/>
            </w:pPr>
          </w:p>
        </w:tc>
        <w:tc>
          <w:tcPr>
            <w:tcW w:w="2552" w:type="dxa"/>
            <w:vMerge w:val="continue"/>
            <w:shd w:val="clear" w:color="auto" w:fill="auto"/>
            <w:vAlign w:val="center"/>
          </w:tcPr>
          <w:p>
            <w:pPr>
              <w:pStyle w:val="179"/>
            </w:pPr>
          </w:p>
        </w:tc>
        <w:tc>
          <w:tcPr>
            <w:tcW w:w="4819" w:type="dxa"/>
            <w:shd w:val="clear" w:color="auto" w:fill="auto"/>
            <w:vAlign w:val="center"/>
          </w:tcPr>
          <w:p>
            <w:pPr>
              <w:spacing w:line="320" w:lineRule="exact"/>
              <w:jc w:val="left"/>
              <w:rPr>
                <w:rFonts w:ascii="Times New Roman" w:eastAsia="方正仿宋简体"/>
                <w:color w:val="000000"/>
                <w:sz w:val="18"/>
                <w:szCs w:val="18"/>
              </w:rPr>
            </w:pPr>
            <w:r>
              <w:rPr>
                <w:rFonts w:ascii="Times New Roman" w:eastAsia="方正仿宋简体"/>
                <w:color w:val="000000"/>
                <w:sz w:val="18"/>
                <w:szCs w:val="18"/>
              </w:rPr>
              <w:t>5、所申请的授权签字人应符合要求；</w:t>
            </w:r>
          </w:p>
        </w:tc>
        <w:tc>
          <w:tcPr>
            <w:tcW w:w="2693" w:type="dxa"/>
            <w:shd w:val="clear" w:color="auto" w:fill="auto"/>
            <w:vAlign w:val="center"/>
          </w:tcPr>
          <w:p>
            <w:pPr>
              <w:spacing w:line="320" w:lineRule="exact"/>
              <w:jc w:val="center"/>
              <w:rPr>
                <w:rFonts w:ascii="Times New Roman" w:eastAsia="方正仿宋简体"/>
                <w:color w:val="000000"/>
                <w:sz w:val="18"/>
                <w:szCs w:val="18"/>
              </w:rPr>
            </w:pPr>
            <w:r>
              <w:rPr>
                <w:rFonts w:ascii="Times New Roman" w:eastAsia="方正仿宋简体"/>
                <w:color w:val="000000"/>
                <w:sz w:val="18"/>
                <w:szCs w:val="18"/>
              </w:rPr>
              <w:t>根据有关专业、</w:t>
            </w:r>
            <w:r>
              <w:rPr>
                <w:rFonts w:hint="eastAsia" w:ascii="Times New Roman" w:eastAsia="方正仿宋简体"/>
                <w:color w:val="000000"/>
                <w:sz w:val="18"/>
                <w:szCs w:val="18"/>
              </w:rPr>
              <w:t>职称、</w:t>
            </w:r>
            <w:r>
              <w:rPr>
                <w:rFonts w:ascii="Times New Roman" w:eastAsia="方正仿宋简体"/>
                <w:color w:val="000000"/>
                <w:sz w:val="18"/>
                <w:szCs w:val="18"/>
              </w:rPr>
              <w:t>培训、工作经历确定授权签字人资格。</w:t>
            </w:r>
          </w:p>
        </w:tc>
        <w:tc>
          <w:tcPr>
            <w:tcW w:w="1985" w:type="dxa"/>
            <w:shd w:val="clear" w:color="auto" w:fill="auto"/>
            <w:vAlign w:val="center"/>
          </w:tcPr>
          <w:p>
            <w:pPr>
              <w:spacing w:line="320" w:lineRule="exact"/>
              <w:jc w:val="left"/>
              <w:rPr>
                <w:rFonts w:ascii="楷体" w:hAnsi="楷体" w:eastAsia="楷体"/>
                <w:b/>
                <w:bCs/>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Pr>
          <w:p>
            <w:pPr>
              <w:pStyle w:val="179"/>
            </w:pPr>
          </w:p>
        </w:tc>
        <w:tc>
          <w:tcPr>
            <w:tcW w:w="1134" w:type="dxa"/>
            <w:vMerge w:val="continue"/>
            <w:shd w:val="clear" w:color="auto" w:fill="auto"/>
            <w:vAlign w:val="center"/>
          </w:tcPr>
          <w:p>
            <w:pPr>
              <w:pStyle w:val="179"/>
            </w:pPr>
          </w:p>
        </w:tc>
        <w:tc>
          <w:tcPr>
            <w:tcW w:w="2552" w:type="dxa"/>
            <w:shd w:val="clear" w:color="auto" w:fill="auto"/>
            <w:vAlign w:val="center"/>
          </w:tcPr>
          <w:p>
            <w:pPr>
              <w:spacing w:line="320" w:lineRule="exact"/>
              <w:rPr>
                <w:rFonts w:ascii="Times New Roman" w:eastAsia="方正仿宋简体"/>
                <w:color w:val="000000"/>
                <w:sz w:val="18"/>
                <w:szCs w:val="18"/>
              </w:rPr>
            </w:pPr>
            <w:r>
              <w:rPr>
                <w:rFonts w:ascii="Times New Roman" w:eastAsia="方正仿宋简体"/>
                <w:color w:val="000000"/>
                <w:sz w:val="18"/>
                <w:szCs w:val="18"/>
              </w:rPr>
              <w:t>3、组织机构</w:t>
            </w:r>
            <w:r>
              <w:rPr>
                <w:rFonts w:hint="eastAsia" w:ascii="Times New Roman" w:eastAsia="方正仿宋简体"/>
                <w:color w:val="000000"/>
                <w:sz w:val="18"/>
                <w:szCs w:val="18"/>
              </w:rPr>
              <w:t>框图</w:t>
            </w:r>
          </w:p>
        </w:tc>
        <w:tc>
          <w:tcPr>
            <w:tcW w:w="4819" w:type="dxa"/>
            <w:shd w:val="clear" w:color="auto" w:fill="auto"/>
            <w:vAlign w:val="center"/>
          </w:tcPr>
          <w:p>
            <w:pPr>
              <w:spacing w:line="320" w:lineRule="exact"/>
              <w:jc w:val="left"/>
              <w:rPr>
                <w:rFonts w:ascii="Times New Roman" w:eastAsia="方正仿宋简体"/>
                <w:color w:val="000000"/>
                <w:sz w:val="18"/>
                <w:szCs w:val="18"/>
              </w:rPr>
            </w:pPr>
            <w:r>
              <w:rPr>
                <w:rFonts w:ascii="Times New Roman" w:eastAsia="方正仿宋简体"/>
                <w:color w:val="000000"/>
                <w:sz w:val="18"/>
                <w:szCs w:val="18"/>
              </w:rPr>
              <w:t>1、</w:t>
            </w:r>
            <w:r>
              <w:rPr>
                <w:rFonts w:hint="eastAsia" w:ascii="Times New Roman" w:eastAsia="方正仿宋简体"/>
                <w:color w:val="000000"/>
                <w:sz w:val="18"/>
                <w:szCs w:val="18"/>
              </w:rPr>
              <w:t>组织机构图应正确明示其内部和外部的组织结构和管理结构，非独立法人应明确其与所属法人的相互关系；</w:t>
            </w:r>
          </w:p>
          <w:p>
            <w:pPr>
              <w:spacing w:line="320" w:lineRule="exact"/>
              <w:jc w:val="left"/>
              <w:rPr>
                <w:rFonts w:ascii="Times New Roman" w:eastAsia="方正仿宋简体"/>
                <w:color w:val="000000"/>
                <w:sz w:val="18"/>
                <w:szCs w:val="18"/>
              </w:rPr>
            </w:pPr>
            <w:r>
              <w:rPr>
                <w:rFonts w:ascii="Times New Roman" w:eastAsia="方正仿宋简体"/>
                <w:color w:val="000000"/>
              </w:rPr>
              <w:t>2、内部组织结构应与岗位职责的设定一致</w:t>
            </w:r>
            <w:r>
              <w:rPr>
                <w:rFonts w:hint="eastAsia" w:ascii="Times New Roman" w:eastAsia="方正仿宋简体"/>
                <w:color w:val="000000"/>
              </w:rPr>
              <w:t>；</w:t>
            </w:r>
          </w:p>
        </w:tc>
        <w:tc>
          <w:tcPr>
            <w:tcW w:w="2693" w:type="dxa"/>
            <w:shd w:val="clear" w:color="auto" w:fill="auto"/>
            <w:vAlign w:val="center"/>
          </w:tcPr>
          <w:p>
            <w:pPr>
              <w:spacing w:line="320" w:lineRule="exact"/>
              <w:jc w:val="left"/>
              <w:rPr>
                <w:rFonts w:ascii="Times New Roman" w:eastAsia="方正仿宋简体"/>
                <w:color w:val="000000"/>
                <w:sz w:val="18"/>
                <w:szCs w:val="18"/>
              </w:rPr>
            </w:pPr>
            <w:r>
              <w:rPr>
                <w:rFonts w:hint="eastAsia" w:ascii="Times New Roman" w:eastAsia="方正仿宋简体"/>
                <w:color w:val="000000"/>
                <w:sz w:val="18"/>
                <w:szCs w:val="18"/>
              </w:rPr>
              <w:t>1.查看</w:t>
            </w:r>
            <w:r>
              <w:rPr>
                <w:rFonts w:ascii="Times New Roman" w:eastAsia="方正仿宋简体"/>
                <w:color w:val="000000"/>
                <w:sz w:val="18"/>
                <w:szCs w:val="18"/>
              </w:rPr>
              <w:t>《</w:t>
            </w:r>
            <w:r>
              <w:rPr>
                <w:rFonts w:hint="eastAsia" w:ascii="Times New Roman" w:eastAsia="方正仿宋简体"/>
                <w:color w:val="000000"/>
                <w:sz w:val="18"/>
                <w:szCs w:val="18"/>
              </w:rPr>
              <w:t>质量</w:t>
            </w:r>
            <w:r>
              <w:rPr>
                <w:rFonts w:ascii="Times New Roman" w:eastAsia="方正仿宋简体"/>
                <w:color w:val="000000"/>
                <w:sz w:val="18"/>
                <w:szCs w:val="18"/>
              </w:rPr>
              <w:t>手册》、《程序文件》</w:t>
            </w:r>
          </w:p>
          <w:p>
            <w:pPr>
              <w:spacing w:line="320" w:lineRule="exact"/>
              <w:rPr>
                <w:rFonts w:ascii="Times New Roman" w:eastAsia="方正仿宋简体"/>
                <w:color w:val="000000"/>
                <w:sz w:val="18"/>
                <w:szCs w:val="18"/>
              </w:rPr>
            </w:pPr>
            <w:r>
              <w:rPr>
                <w:rFonts w:hint="eastAsia" w:ascii="Times New Roman" w:eastAsia="方正仿宋简体"/>
                <w:color w:val="000000"/>
                <w:sz w:val="18"/>
                <w:szCs w:val="18"/>
              </w:rPr>
              <w:t>2.</w:t>
            </w:r>
            <w:r>
              <w:rPr>
                <w:rFonts w:ascii="Times New Roman" w:eastAsia="方正仿宋简体"/>
                <w:color w:val="000000"/>
                <w:sz w:val="18"/>
                <w:szCs w:val="18"/>
              </w:rPr>
              <w:t>对</w:t>
            </w:r>
            <w:r>
              <w:rPr>
                <w:rFonts w:hint="eastAsia" w:ascii="Times New Roman" w:eastAsia="方正仿宋简体"/>
                <w:color w:val="000000"/>
                <w:sz w:val="18"/>
                <w:szCs w:val="18"/>
              </w:rPr>
              <w:t>组织机构</w:t>
            </w:r>
            <w:r>
              <w:rPr>
                <w:rFonts w:ascii="Times New Roman" w:eastAsia="方正仿宋简体"/>
                <w:color w:val="000000"/>
                <w:sz w:val="18"/>
                <w:szCs w:val="18"/>
              </w:rPr>
              <w:t>框图进行检查</w:t>
            </w:r>
            <w:r>
              <w:rPr>
                <w:rFonts w:hint="eastAsia" w:ascii="Times New Roman" w:eastAsia="方正仿宋简体"/>
                <w:color w:val="000000"/>
                <w:sz w:val="18"/>
                <w:szCs w:val="18"/>
              </w:rPr>
              <w:t>；</w:t>
            </w:r>
          </w:p>
        </w:tc>
        <w:tc>
          <w:tcPr>
            <w:tcW w:w="1985" w:type="dxa"/>
            <w:shd w:val="clear" w:color="auto" w:fill="auto"/>
            <w:vAlign w:val="center"/>
          </w:tcPr>
          <w:p>
            <w:pPr>
              <w:spacing w:line="320" w:lineRule="exact"/>
              <w:jc w:val="center"/>
              <w:rPr>
                <w:rFonts w:ascii="Times New Roman" w:eastAsia="方正仿宋简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Pr>
          <w:p>
            <w:pPr>
              <w:pStyle w:val="179"/>
            </w:pPr>
          </w:p>
        </w:tc>
        <w:tc>
          <w:tcPr>
            <w:tcW w:w="1134" w:type="dxa"/>
            <w:vMerge w:val="continue"/>
            <w:shd w:val="clear" w:color="auto" w:fill="auto"/>
            <w:vAlign w:val="center"/>
          </w:tcPr>
          <w:p>
            <w:pPr>
              <w:pStyle w:val="179"/>
            </w:pPr>
          </w:p>
        </w:tc>
        <w:tc>
          <w:tcPr>
            <w:tcW w:w="2552" w:type="dxa"/>
            <w:vMerge w:val="restart"/>
            <w:shd w:val="clear" w:color="auto" w:fill="auto"/>
            <w:vAlign w:val="center"/>
          </w:tcPr>
          <w:p>
            <w:pPr>
              <w:pStyle w:val="179"/>
              <w:jc w:val="both"/>
            </w:pPr>
            <w:r>
              <w:rPr>
                <w:rFonts w:hint="eastAsia" w:ascii="Times New Roman" w:eastAsia="方正仿宋简体"/>
                <w:color w:val="000000"/>
                <w:szCs w:val="18"/>
              </w:rPr>
              <w:t>4.检验检测人员一览表</w:t>
            </w:r>
          </w:p>
        </w:tc>
        <w:tc>
          <w:tcPr>
            <w:tcW w:w="4819" w:type="dxa"/>
            <w:shd w:val="clear" w:color="auto" w:fill="auto"/>
            <w:vAlign w:val="center"/>
          </w:tcPr>
          <w:p>
            <w:pPr>
              <w:spacing w:line="320" w:lineRule="exact"/>
              <w:jc w:val="left"/>
              <w:rPr>
                <w:rFonts w:ascii="Times New Roman" w:eastAsia="方正仿宋简体"/>
                <w:color w:val="000000"/>
                <w:sz w:val="18"/>
                <w:szCs w:val="18"/>
              </w:rPr>
            </w:pPr>
            <w:r>
              <w:rPr>
                <w:rFonts w:hint="eastAsia" w:ascii="Times New Roman" w:eastAsia="方正仿宋简体"/>
                <w:color w:val="000000"/>
                <w:sz w:val="18"/>
                <w:szCs w:val="18"/>
              </w:rPr>
              <w:t>1、表中人员应是在编人员或有固定合同期的聘用制员工;</w:t>
            </w:r>
          </w:p>
        </w:tc>
        <w:tc>
          <w:tcPr>
            <w:tcW w:w="2693" w:type="dxa"/>
            <w:vMerge w:val="restart"/>
            <w:shd w:val="clear" w:color="auto" w:fill="auto"/>
            <w:vAlign w:val="center"/>
          </w:tcPr>
          <w:p>
            <w:pPr>
              <w:spacing w:line="320" w:lineRule="exact"/>
              <w:jc w:val="center"/>
              <w:rPr>
                <w:rFonts w:ascii="Times New Roman" w:eastAsia="方正仿宋简体"/>
                <w:color w:val="000000"/>
                <w:sz w:val="18"/>
                <w:szCs w:val="18"/>
              </w:rPr>
            </w:pPr>
            <w:r>
              <w:rPr>
                <w:rFonts w:hint="eastAsia" w:ascii="Times New Roman" w:eastAsia="方正仿宋简体"/>
                <w:color w:val="000000"/>
                <w:sz w:val="18"/>
                <w:szCs w:val="18"/>
              </w:rPr>
              <w:t>核对相关附件，必要时，可向检验检测机构了解。</w:t>
            </w:r>
          </w:p>
        </w:tc>
        <w:tc>
          <w:tcPr>
            <w:tcW w:w="1985" w:type="dxa"/>
            <w:shd w:val="clear" w:color="auto" w:fill="auto"/>
            <w:vAlign w:val="center"/>
          </w:tcPr>
          <w:p>
            <w:pPr>
              <w:spacing w:line="320" w:lineRule="exact"/>
              <w:jc w:val="center"/>
              <w:rPr>
                <w:rFonts w:ascii="Times New Roman" w:eastAsia="方正仿宋简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Pr>
          <w:p>
            <w:pPr>
              <w:pStyle w:val="179"/>
            </w:pPr>
          </w:p>
        </w:tc>
        <w:tc>
          <w:tcPr>
            <w:tcW w:w="1134" w:type="dxa"/>
            <w:vMerge w:val="continue"/>
            <w:shd w:val="clear" w:color="auto" w:fill="auto"/>
            <w:vAlign w:val="center"/>
          </w:tcPr>
          <w:p>
            <w:pPr>
              <w:pStyle w:val="179"/>
            </w:pPr>
          </w:p>
        </w:tc>
        <w:tc>
          <w:tcPr>
            <w:tcW w:w="2552" w:type="dxa"/>
            <w:vMerge w:val="continue"/>
            <w:shd w:val="clear" w:color="auto" w:fill="auto"/>
            <w:vAlign w:val="center"/>
          </w:tcPr>
          <w:p>
            <w:pPr>
              <w:pStyle w:val="179"/>
            </w:pPr>
          </w:p>
        </w:tc>
        <w:tc>
          <w:tcPr>
            <w:tcW w:w="4819" w:type="dxa"/>
            <w:shd w:val="clear" w:color="auto" w:fill="auto"/>
            <w:vAlign w:val="center"/>
          </w:tcPr>
          <w:p>
            <w:pPr>
              <w:spacing w:line="320" w:lineRule="exact"/>
              <w:rPr>
                <w:rFonts w:ascii="Times New Roman" w:eastAsia="方正仿宋简体"/>
                <w:color w:val="000000"/>
                <w:sz w:val="18"/>
                <w:szCs w:val="18"/>
              </w:rPr>
            </w:pPr>
            <w:r>
              <w:rPr>
                <w:rFonts w:hint="eastAsia" w:ascii="Times New Roman" w:eastAsia="方正仿宋简体"/>
                <w:color w:val="000000"/>
                <w:sz w:val="18"/>
                <w:szCs w:val="18"/>
              </w:rPr>
              <w:t>2、技术负责人、质量负责人、质量观察员、内审员应符合《检验检测机构资质认定能力评价检验检测机构通用要求》（RB/T214-2017）的相关要求;</w:t>
            </w:r>
          </w:p>
        </w:tc>
        <w:tc>
          <w:tcPr>
            <w:tcW w:w="2693" w:type="dxa"/>
            <w:vMerge w:val="continue"/>
            <w:shd w:val="clear" w:color="auto" w:fill="auto"/>
            <w:vAlign w:val="center"/>
          </w:tcPr>
          <w:p>
            <w:pPr>
              <w:spacing w:line="320" w:lineRule="exact"/>
              <w:ind w:firstLine="360" w:firstLineChars="200"/>
              <w:jc w:val="center"/>
              <w:rPr>
                <w:rFonts w:ascii="Times New Roman" w:eastAsia="方正仿宋简体"/>
                <w:color w:val="000000"/>
                <w:sz w:val="18"/>
                <w:szCs w:val="18"/>
              </w:rPr>
            </w:pPr>
          </w:p>
        </w:tc>
        <w:tc>
          <w:tcPr>
            <w:tcW w:w="1985" w:type="dxa"/>
            <w:shd w:val="clear" w:color="auto" w:fill="auto"/>
            <w:vAlign w:val="center"/>
          </w:tcPr>
          <w:p>
            <w:pPr>
              <w:spacing w:line="320" w:lineRule="exact"/>
              <w:jc w:val="center"/>
              <w:rPr>
                <w:rFonts w:ascii="楷体" w:hAnsi="楷体" w:eastAsia="楷体"/>
                <w:color w:val="000000"/>
                <w:sz w:val="30"/>
                <w:szCs w:val="3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restart"/>
            <w:vAlign w:val="center"/>
          </w:tcPr>
          <w:p>
            <w:pPr>
              <w:spacing w:line="320" w:lineRule="exact"/>
              <w:jc w:val="center"/>
              <w:rPr>
                <w:rFonts w:ascii="Times New Roman" w:eastAsia="方正仿宋简体"/>
                <w:color w:val="000000"/>
                <w:sz w:val="18"/>
                <w:szCs w:val="18"/>
              </w:rPr>
            </w:pPr>
            <w:r>
              <w:rPr>
                <w:rFonts w:hint="eastAsia" w:ascii="Times New Roman" w:eastAsia="方正仿宋简体"/>
                <w:color w:val="000000"/>
                <w:sz w:val="18"/>
                <w:szCs w:val="18"/>
              </w:rPr>
              <w:t>二</w:t>
            </w:r>
          </w:p>
        </w:tc>
        <w:tc>
          <w:tcPr>
            <w:tcW w:w="1134" w:type="dxa"/>
            <w:vMerge w:val="restart"/>
            <w:shd w:val="clear" w:color="auto" w:fill="auto"/>
            <w:vAlign w:val="center"/>
          </w:tcPr>
          <w:p>
            <w:pPr>
              <w:spacing w:line="320" w:lineRule="exact"/>
              <w:jc w:val="center"/>
              <w:rPr>
                <w:rFonts w:ascii="Times New Roman" w:eastAsia="方正仿宋简体"/>
                <w:color w:val="000000"/>
                <w:sz w:val="18"/>
                <w:szCs w:val="18"/>
              </w:rPr>
            </w:pPr>
            <w:r>
              <w:rPr>
                <w:rFonts w:hint="eastAsia" w:ascii="Times New Roman" w:eastAsia="方正仿宋简体"/>
                <w:color w:val="000000"/>
                <w:sz w:val="18"/>
                <w:szCs w:val="18"/>
              </w:rPr>
              <w:t>典型检测报告</w:t>
            </w:r>
          </w:p>
        </w:tc>
        <w:tc>
          <w:tcPr>
            <w:tcW w:w="2552" w:type="dxa"/>
            <w:vMerge w:val="restart"/>
            <w:shd w:val="clear" w:color="auto" w:fill="auto"/>
            <w:vAlign w:val="center"/>
          </w:tcPr>
          <w:p>
            <w:pPr>
              <w:spacing w:line="320" w:lineRule="exact"/>
              <w:rPr>
                <w:rFonts w:ascii="Times New Roman" w:eastAsia="方正仿宋简体"/>
                <w:color w:val="000000"/>
                <w:sz w:val="18"/>
                <w:szCs w:val="18"/>
              </w:rPr>
            </w:pPr>
            <w:r>
              <w:rPr>
                <w:rFonts w:hint="eastAsia" w:ascii="Times New Roman" w:eastAsia="方正仿宋简体"/>
                <w:color w:val="000000"/>
                <w:sz w:val="18"/>
                <w:szCs w:val="18"/>
              </w:rPr>
              <w:t>适用性、准确性</w:t>
            </w:r>
          </w:p>
        </w:tc>
        <w:tc>
          <w:tcPr>
            <w:tcW w:w="4819" w:type="dxa"/>
            <w:shd w:val="clear" w:color="auto" w:fill="auto"/>
            <w:vAlign w:val="center"/>
          </w:tcPr>
          <w:p>
            <w:pPr>
              <w:spacing w:line="320" w:lineRule="exact"/>
              <w:rPr>
                <w:rFonts w:ascii="Times New Roman" w:eastAsia="方正仿宋简体"/>
                <w:color w:val="000000"/>
                <w:sz w:val="18"/>
                <w:szCs w:val="18"/>
              </w:rPr>
            </w:pPr>
            <w:r>
              <w:rPr>
                <w:rFonts w:hint="eastAsia" w:ascii="Times New Roman" w:eastAsia="方正仿宋简体"/>
                <w:color w:val="000000"/>
                <w:sz w:val="18"/>
                <w:szCs w:val="18"/>
              </w:rPr>
              <w:t>1、应使用法定计量单位;</w:t>
            </w:r>
          </w:p>
        </w:tc>
        <w:tc>
          <w:tcPr>
            <w:tcW w:w="2693" w:type="dxa"/>
            <w:vMerge w:val="restart"/>
            <w:shd w:val="clear" w:color="auto" w:fill="auto"/>
            <w:vAlign w:val="center"/>
          </w:tcPr>
          <w:p>
            <w:pPr>
              <w:spacing w:line="320" w:lineRule="exact"/>
              <w:jc w:val="center"/>
              <w:rPr>
                <w:rFonts w:ascii="Times New Roman" w:eastAsia="方正仿宋简体"/>
                <w:color w:val="000000"/>
                <w:sz w:val="18"/>
                <w:szCs w:val="18"/>
              </w:rPr>
            </w:pPr>
            <w:r>
              <w:rPr>
                <w:rFonts w:hint="eastAsia" w:ascii="Times New Roman" w:eastAsia="方正仿宋简体"/>
                <w:color w:val="000000"/>
                <w:sz w:val="18"/>
                <w:szCs w:val="18"/>
              </w:rPr>
              <w:t>对提交报告进行审核</w:t>
            </w:r>
          </w:p>
        </w:tc>
        <w:tc>
          <w:tcPr>
            <w:tcW w:w="1985" w:type="dxa"/>
            <w:shd w:val="clear" w:color="auto" w:fill="auto"/>
            <w:vAlign w:val="center"/>
          </w:tcPr>
          <w:p>
            <w:pPr>
              <w:spacing w:line="320" w:lineRule="exact"/>
              <w:jc w:val="center"/>
              <w:rPr>
                <w:rFonts w:ascii="Times New Roman" w:eastAsia="方正仿宋简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Pr>
          <w:p>
            <w:pPr>
              <w:pStyle w:val="179"/>
            </w:pPr>
          </w:p>
        </w:tc>
        <w:tc>
          <w:tcPr>
            <w:tcW w:w="1134" w:type="dxa"/>
            <w:vMerge w:val="continue"/>
            <w:shd w:val="clear" w:color="auto" w:fill="auto"/>
            <w:vAlign w:val="center"/>
          </w:tcPr>
          <w:p>
            <w:pPr>
              <w:pStyle w:val="179"/>
            </w:pPr>
          </w:p>
        </w:tc>
        <w:tc>
          <w:tcPr>
            <w:tcW w:w="2552" w:type="dxa"/>
            <w:vMerge w:val="continue"/>
            <w:shd w:val="clear" w:color="auto" w:fill="auto"/>
            <w:vAlign w:val="center"/>
          </w:tcPr>
          <w:p>
            <w:pPr>
              <w:spacing w:line="320" w:lineRule="exact"/>
              <w:rPr>
                <w:rFonts w:ascii="Times New Roman" w:eastAsia="方正仿宋简体"/>
                <w:color w:val="000000"/>
                <w:sz w:val="18"/>
                <w:szCs w:val="18"/>
              </w:rPr>
            </w:pPr>
          </w:p>
        </w:tc>
        <w:tc>
          <w:tcPr>
            <w:tcW w:w="4819" w:type="dxa"/>
            <w:shd w:val="clear" w:color="auto" w:fill="auto"/>
            <w:vAlign w:val="center"/>
          </w:tcPr>
          <w:p>
            <w:pPr>
              <w:spacing w:line="320" w:lineRule="exact"/>
              <w:rPr>
                <w:rFonts w:ascii="Times New Roman" w:eastAsia="方正仿宋简体"/>
                <w:color w:val="000000"/>
                <w:sz w:val="18"/>
                <w:szCs w:val="18"/>
              </w:rPr>
            </w:pPr>
            <w:r>
              <w:rPr>
                <w:rFonts w:hint="eastAsia" w:ascii="Times New Roman" w:eastAsia="方正仿宋简体"/>
                <w:color w:val="000000"/>
                <w:sz w:val="18"/>
                <w:szCs w:val="18"/>
              </w:rPr>
              <w:t>2、报告所包括的信息应满足《检验检测机构资质认定能力评价检验检测机构通用要求》（RB/T214-2017）要素要求;</w:t>
            </w:r>
          </w:p>
        </w:tc>
        <w:tc>
          <w:tcPr>
            <w:tcW w:w="2693" w:type="dxa"/>
            <w:vMerge w:val="continue"/>
            <w:shd w:val="clear" w:color="auto" w:fill="auto"/>
            <w:vAlign w:val="center"/>
          </w:tcPr>
          <w:p>
            <w:pPr>
              <w:spacing w:line="320" w:lineRule="exact"/>
              <w:ind w:firstLine="360" w:firstLineChars="200"/>
              <w:jc w:val="center"/>
              <w:rPr>
                <w:rFonts w:ascii="Times New Roman" w:eastAsia="方正仿宋简体"/>
                <w:color w:val="000000"/>
                <w:sz w:val="18"/>
                <w:szCs w:val="18"/>
              </w:rPr>
            </w:pPr>
          </w:p>
        </w:tc>
        <w:tc>
          <w:tcPr>
            <w:tcW w:w="1985" w:type="dxa"/>
            <w:shd w:val="clear" w:color="auto" w:fill="auto"/>
            <w:vAlign w:val="center"/>
          </w:tcPr>
          <w:p>
            <w:pPr>
              <w:spacing w:line="320" w:lineRule="exact"/>
              <w:jc w:val="center"/>
              <w:rPr>
                <w:rFonts w:ascii="Times New Roman" w:eastAsia="方正仿宋简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restart"/>
            <w:vAlign w:val="center"/>
          </w:tcPr>
          <w:p>
            <w:pPr>
              <w:spacing w:line="320" w:lineRule="exact"/>
              <w:jc w:val="center"/>
              <w:rPr>
                <w:rFonts w:ascii="Times New Roman" w:eastAsia="方正仿宋简体"/>
                <w:color w:val="000000"/>
                <w:sz w:val="18"/>
                <w:szCs w:val="18"/>
              </w:rPr>
            </w:pPr>
            <w:r>
              <w:rPr>
                <w:rFonts w:hint="eastAsia" w:ascii="Times New Roman" w:eastAsia="方正仿宋简体"/>
                <w:color w:val="000000"/>
                <w:sz w:val="18"/>
                <w:szCs w:val="18"/>
              </w:rPr>
              <w:t>三</w:t>
            </w:r>
          </w:p>
        </w:tc>
        <w:tc>
          <w:tcPr>
            <w:tcW w:w="1134" w:type="dxa"/>
            <w:vMerge w:val="restart"/>
            <w:shd w:val="clear" w:color="auto" w:fill="auto"/>
            <w:vAlign w:val="center"/>
          </w:tcPr>
          <w:p>
            <w:pPr>
              <w:spacing w:line="320" w:lineRule="exact"/>
              <w:jc w:val="center"/>
              <w:rPr>
                <w:rFonts w:ascii="Times New Roman" w:eastAsia="方正仿宋简体"/>
                <w:color w:val="000000"/>
                <w:sz w:val="18"/>
                <w:szCs w:val="18"/>
              </w:rPr>
            </w:pPr>
            <w:r>
              <w:rPr>
                <w:rFonts w:hint="eastAsia" w:ascii="Times New Roman" w:eastAsia="方正仿宋简体"/>
                <w:color w:val="000000"/>
                <w:sz w:val="18"/>
                <w:szCs w:val="18"/>
              </w:rPr>
              <w:t>其他证明文件</w:t>
            </w:r>
          </w:p>
        </w:tc>
        <w:tc>
          <w:tcPr>
            <w:tcW w:w="2552" w:type="dxa"/>
            <w:shd w:val="clear" w:color="auto" w:fill="auto"/>
            <w:vAlign w:val="center"/>
          </w:tcPr>
          <w:p>
            <w:pPr>
              <w:spacing w:line="320" w:lineRule="exact"/>
              <w:rPr>
                <w:rFonts w:ascii="Times New Roman" w:eastAsia="方正仿宋简体"/>
                <w:color w:val="000000"/>
                <w:sz w:val="18"/>
                <w:szCs w:val="18"/>
              </w:rPr>
            </w:pPr>
            <w:r>
              <w:rPr>
                <w:rFonts w:hint="eastAsia" w:ascii="Times New Roman" w:eastAsia="方正仿宋简体"/>
                <w:color w:val="000000"/>
                <w:sz w:val="18"/>
                <w:szCs w:val="18"/>
              </w:rPr>
              <w:t>1、法人地位证明文件</w:t>
            </w:r>
          </w:p>
        </w:tc>
        <w:tc>
          <w:tcPr>
            <w:tcW w:w="4819" w:type="dxa"/>
            <w:shd w:val="clear" w:color="auto" w:fill="auto"/>
            <w:vAlign w:val="center"/>
          </w:tcPr>
          <w:p>
            <w:pPr>
              <w:spacing w:line="320" w:lineRule="exact"/>
              <w:rPr>
                <w:rFonts w:ascii="Times New Roman" w:eastAsia="方正仿宋简体"/>
                <w:color w:val="000000"/>
                <w:sz w:val="18"/>
                <w:szCs w:val="18"/>
              </w:rPr>
            </w:pPr>
            <w:r>
              <w:rPr>
                <w:rFonts w:hint="eastAsia" w:ascii="Times New Roman" w:eastAsia="方正仿宋简体"/>
                <w:color w:val="000000"/>
                <w:sz w:val="18"/>
                <w:szCs w:val="18"/>
              </w:rPr>
              <w:t>1.应有符合《检验检测机构资质认定能力评价检验检测机构通用要求》（RB/T214-2017）要求的证明文件;</w:t>
            </w:r>
          </w:p>
        </w:tc>
        <w:tc>
          <w:tcPr>
            <w:tcW w:w="2693" w:type="dxa"/>
            <w:shd w:val="clear" w:color="auto" w:fill="auto"/>
            <w:vAlign w:val="center"/>
          </w:tcPr>
          <w:p>
            <w:pPr>
              <w:spacing w:line="320" w:lineRule="exact"/>
              <w:jc w:val="center"/>
              <w:rPr>
                <w:rFonts w:ascii="Times New Roman" w:eastAsia="方正仿宋简体"/>
                <w:color w:val="000000"/>
                <w:sz w:val="18"/>
                <w:szCs w:val="18"/>
              </w:rPr>
            </w:pPr>
            <w:r>
              <w:rPr>
                <w:rFonts w:hint="eastAsia" w:ascii="Times New Roman" w:eastAsia="方正仿宋简体"/>
                <w:color w:val="000000"/>
                <w:sz w:val="18"/>
                <w:szCs w:val="18"/>
              </w:rPr>
              <w:t>审查相关文件</w:t>
            </w:r>
          </w:p>
        </w:tc>
        <w:tc>
          <w:tcPr>
            <w:tcW w:w="1985" w:type="dxa"/>
            <w:shd w:val="clear" w:color="auto" w:fill="auto"/>
            <w:vAlign w:val="center"/>
          </w:tcPr>
          <w:p>
            <w:pPr>
              <w:spacing w:line="320" w:lineRule="exact"/>
              <w:jc w:val="center"/>
              <w:rPr>
                <w:rFonts w:ascii="Times New Roman" w:eastAsia="方正仿宋简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Pr>
          <w:p>
            <w:pPr>
              <w:pStyle w:val="179"/>
            </w:pPr>
          </w:p>
        </w:tc>
        <w:tc>
          <w:tcPr>
            <w:tcW w:w="1134" w:type="dxa"/>
            <w:vMerge w:val="continue"/>
            <w:shd w:val="clear" w:color="auto" w:fill="auto"/>
            <w:vAlign w:val="center"/>
          </w:tcPr>
          <w:p>
            <w:pPr>
              <w:pStyle w:val="179"/>
            </w:pPr>
          </w:p>
        </w:tc>
        <w:tc>
          <w:tcPr>
            <w:tcW w:w="2552" w:type="dxa"/>
            <w:shd w:val="clear" w:color="auto" w:fill="auto"/>
            <w:vAlign w:val="center"/>
          </w:tcPr>
          <w:p>
            <w:pPr>
              <w:spacing w:line="320" w:lineRule="exact"/>
              <w:rPr>
                <w:rFonts w:ascii="Times New Roman" w:eastAsia="方正仿宋简体"/>
                <w:color w:val="000000"/>
                <w:sz w:val="18"/>
                <w:szCs w:val="18"/>
              </w:rPr>
            </w:pPr>
            <w:r>
              <w:rPr>
                <w:rFonts w:hint="eastAsia" w:ascii="Times New Roman" w:eastAsia="方正仿宋简体"/>
                <w:color w:val="000000"/>
                <w:sz w:val="18"/>
                <w:szCs w:val="18"/>
              </w:rPr>
              <w:t>2、法人授权文件</w:t>
            </w:r>
          </w:p>
        </w:tc>
        <w:tc>
          <w:tcPr>
            <w:tcW w:w="4819" w:type="dxa"/>
            <w:shd w:val="clear" w:color="auto" w:fill="auto"/>
            <w:vAlign w:val="center"/>
          </w:tcPr>
          <w:p>
            <w:pPr>
              <w:spacing w:line="320" w:lineRule="exact"/>
              <w:rPr>
                <w:rFonts w:ascii="Times New Roman" w:eastAsia="方正仿宋简体"/>
                <w:color w:val="000000"/>
                <w:sz w:val="18"/>
                <w:szCs w:val="18"/>
              </w:rPr>
            </w:pPr>
            <w:r>
              <w:rPr>
                <w:rFonts w:hint="eastAsia" w:ascii="Times New Roman" w:eastAsia="方正仿宋简体"/>
                <w:color w:val="000000"/>
                <w:sz w:val="18"/>
                <w:szCs w:val="18"/>
              </w:rPr>
              <w:t>1.应明确承担法律责任的主体且可行;</w:t>
            </w:r>
          </w:p>
        </w:tc>
        <w:tc>
          <w:tcPr>
            <w:tcW w:w="2693" w:type="dxa"/>
            <w:shd w:val="clear" w:color="auto" w:fill="auto"/>
            <w:vAlign w:val="center"/>
          </w:tcPr>
          <w:p>
            <w:pPr>
              <w:spacing w:line="320" w:lineRule="exact"/>
              <w:jc w:val="center"/>
              <w:rPr>
                <w:rFonts w:ascii="Times New Roman" w:eastAsia="方正仿宋简体"/>
                <w:color w:val="000000"/>
                <w:sz w:val="18"/>
                <w:szCs w:val="18"/>
              </w:rPr>
            </w:pPr>
            <w:r>
              <w:rPr>
                <w:rFonts w:hint="eastAsia" w:ascii="Times New Roman" w:eastAsia="方正仿宋简体"/>
                <w:color w:val="000000"/>
                <w:sz w:val="18"/>
                <w:szCs w:val="18"/>
              </w:rPr>
              <w:t>查授权书</w:t>
            </w:r>
          </w:p>
        </w:tc>
        <w:tc>
          <w:tcPr>
            <w:tcW w:w="1985" w:type="dxa"/>
            <w:shd w:val="clear" w:color="auto" w:fill="auto"/>
            <w:vAlign w:val="center"/>
          </w:tcPr>
          <w:p>
            <w:pPr>
              <w:spacing w:line="320" w:lineRule="exact"/>
              <w:jc w:val="center"/>
              <w:rPr>
                <w:rFonts w:ascii="Times New Roman" w:eastAsia="方正仿宋简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Pr>
          <w:p>
            <w:pPr>
              <w:pStyle w:val="179"/>
            </w:pPr>
          </w:p>
        </w:tc>
        <w:tc>
          <w:tcPr>
            <w:tcW w:w="1134" w:type="dxa"/>
            <w:vMerge w:val="continue"/>
            <w:shd w:val="clear" w:color="auto" w:fill="auto"/>
            <w:vAlign w:val="center"/>
          </w:tcPr>
          <w:p>
            <w:pPr>
              <w:pStyle w:val="179"/>
            </w:pPr>
          </w:p>
        </w:tc>
        <w:tc>
          <w:tcPr>
            <w:tcW w:w="2552" w:type="dxa"/>
            <w:shd w:val="clear" w:color="auto" w:fill="auto"/>
            <w:vAlign w:val="center"/>
          </w:tcPr>
          <w:p>
            <w:pPr>
              <w:spacing w:line="320" w:lineRule="exact"/>
              <w:rPr>
                <w:rFonts w:ascii="Times New Roman" w:eastAsia="方正仿宋简体"/>
                <w:color w:val="000000"/>
                <w:sz w:val="18"/>
                <w:szCs w:val="18"/>
              </w:rPr>
            </w:pPr>
            <w:r>
              <w:rPr>
                <w:rFonts w:hint="eastAsia" w:ascii="Times New Roman" w:eastAsia="方正仿宋简体"/>
                <w:color w:val="000000"/>
                <w:sz w:val="18"/>
                <w:szCs w:val="18"/>
              </w:rPr>
              <w:t>3、最高管理者任命文件</w:t>
            </w:r>
          </w:p>
        </w:tc>
        <w:tc>
          <w:tcPr>
            <w:tcW w:w="4819" w:type="dxa"/>
            <w:shd w:val="clear" w:color="auto" w:fill="auto"/>
            <w:vAlign w:val="center"/>
          </w:tcPr>
          <w:p>
            <w:pPr>
              <w:spacing w:line="320" w:lineRule="exact"/>
              <w:rPr>
                <w:rFonts w:ascii="Times New Roman" w:eastAsia="方正仿宋简体"/>
                <w:color w:val="000000"/>
                <w:sz w:val="18"/>
                <w:szCs w:val="18"/>
              </w:rPr>
            </w:pPr>
            <w:r>
              <w:rPr>
                <w:rFonts w:hint="eastAsia" w:ascii="Times New Roman" w:eastAsia="方正仿宋简体"/>
                <w:color w:val="000000"/>
                <w:sz w:val="18"/>
                <w:szCs w:val="18"/>
              </w:rPr>
              <w:t>依法设立且隶属于某部门的检验检测机构最高管理者应由其主管部门任命；非独立法人检验检测机构最高管理者应由其母体任命；依法注册、无主管部门的独立法人检验检测机构最高管理者应是其法人担任。</w:t>
            </w:r>
          </w:p>
        </w:tc>
        <w:tc>
          <w:tcPr>
            <w:tcW w:w="2693" w:type="dxa"/>
            <w:shd w:val="clear" w:color="auto" w:fill="auto"/>
            <w:vAlign w:val="center"/>
          </w:tcPr>
          <w:p>
            <w:pPr>
              <w:spacing w:line="320" w:lineRule="exact"/>
              <w:jc w:val="center"/>
              <w:rPr>
                <w:rFonts w:ascii="Times New Roman" w:eastAsia="方正仿宋简体"/>
                <w:color w:val="000000"/>
                <w:sz w:val="18"/>
                <w:szCs w:val="18"/>
              </w:rPr>
            </w:pPr>
            <w:r>
              <w:rPr>
                <w:rFonts w:hint="eastAsia" w:ascii="Times New Roman" w:eastAsia="方正仿宋简体"/>
                <w:color w:val="000000"/>
                <w:sz w:val="18"/>
                <w:szCs w:val="18"/>
              </w:rPr>
              <w:t>对任命文件进行审查</w:t>
            </w:r>
          </w:p>
        </w:tc>
        <w:tc>
          <w:tcPr>
            <w:tcW w:w="1985" w:type="dxa"/>
            <w:shd w:val="clear" w:color="auto" w:fill="auto"/>
            <w:vAlign w:val="center"/>
          </w:tcPr>
          <w:p>
            <w:pPr>
              <w:spacing w:line="320" w:lineRule="exact"/>
              <w:jc w:val="center"/>
              <w:rPr>
                <w:rFonts w:ascii="Times New Roman" w:eastAsia="方正仿宋简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Align w:val="center"/>
          </w:tcPr>
          <w:p>
            <w:pPr>
              <w:spacing w:line="320" w:lineRule="exact"/>
              <w:jc w:val="center"/>
              <w:rPr>
                <w:rFonts w:ascii="Times New Roman" w:eastAsia="方正仿宋简体"/>
                <w:color w:val="000000"/>
                <w:sz w:val="18"/>
                <w:szCs w:val="18"/>
              </w:rPr>
            </w:pPr>
            <w:r>
              <w:rPr>
                <w:rFonts w:hint="eastAsia" w:ascii="Times New Roman" w:eastAsia="方正仿宋简体"/>
                <w:color w:val="000000"/>
                <w:sz w:val="18"/>
                <w:szCs w:val="18"/>
              </w:rPr>
              <w:t>四</w:t>
            </w:r>
          </w:p>
        </w:tc>
        <w:tc>
          <w:tcPr>
            <w:tcW w:w="1134" w:type="dxa"/>
            <w:shd w:val="clear" w:color="auto" w:fill="auto"/>
            <w:vAlign w:val="center"/>
          </w:tcPr>
          <w:p>
            <w:pPr>
              <w:spacing w:line="320" w:lineRule="exact"/>
              <w:jc w:val="center"/>
              <w:rPr>
                <w:rFonts w:ascii="Times New Roman" w:eastAsia="方正仿宋简体"/>
                <w:color w:val="000000"/>
                <w:sz w:val="18"/>
                <w:szCs w:val="18"/>
              </w:rPr>
            </w:pPr>
            <w:r>
              <w:rPr>
                <w:rFonts w:hint="eastAsia" w:ascii="Times New Roman" w:eastAsia="方正仿宋简体"/>
                <w:color w:val="000000"/>
                <w:sz w:val="18"/>
                <w:szCs w:val="18"/>
              </w:rPr>
              <w:t>质量手册和程序文件</w:t>
            </w:r>
          </w:p>
        </w:tc>
        <w:tc>
          <w:tcPr>
            <w:tcW w:w="2552" w:type="dxa"/>
            <w:shd w:val="clear" w:color="auto" w:fill="auto"/>
            <w:vAlign w:val="center"/>
          </w:tcPr>
          <w:p>
            <w:pPr>
              <w:spacing w:line="320" w:lineRule="exact"/>
              <w:rPr>
                <w:rFonts w:ascii="Times New Roman" w:eastAsia="方正仿宋简体"/>
                <w:color w:val="000000"/>
                <w:sz w:val="18"/>
                <w:szCs w:val="18"/>
              </w:rPr>
            </w:pPr>
            <w:r>
              <w:rPr>
                <w:rFonts w:hint="eastAsia" w:ascii="Times New Roman" w:eastAsia="方正仿宋简体"/>
                <w:color w:val="000000"/>
                <w:sz w:val="18"/>
                <w:szCs w:val="18"/>
              </w:rPr>
              <w:t>符合性、一致性、适用性、完整性。</w:t>
            </w:r>
          </w:p>
        </w:tc>
        <w:tc>
          <w:tcPr>
            <w:tcW w:w="4819" w:type="dxa"/>
            <w:shd w:val="clear" w:color="auto" w:fill="auto"/>
            <w:vAlign w:val="center"/>
          </w:tcPr>
          <w:p>
            <w:pPr>
              <w:spacing w:line="320" w:lineRule="exact"/>
              <w:jc w:val="left"/>
              <w:rPr>
                <w:rFonts w:ascii="Times New Roman" w:eastAsia="方正仿宋简体"/>
                <w:color w:val="000000"/>
                <w:sz w:val="18"/>
                <w:szCs w:val="18"/>
              </w:rPr>
            </w:pPr>
            <w:r>
              <w:rPr>
                <w:rFonts w:hint="eastAsia" w:ascii="Times New Roman" w:eastAsia="方正仿宋简体"/>
                <w:color w:val="000000"/>
                <w:sz w:val="18"/>
                <w:szCs w:val="18"/>
              </w:rPr>
              <w:t>1、质量手册、程序文件应得到批准；</w:t>
            </w:r>
          </w:p>
          <w:p>
            <w:pPr>
              <w:spacing w:line="320" w:lineRule="exact"/>
              <w:jc w:val="left"/>
              <w:rPr>
                <w:rFonts w:ascii="Times New Roman" w:eastAsia="方正仿宋简体"/>
                <w:color w:val="000000"/>
                <w:sz w:val="18"/>
                <w:szCs w:val="18"/>
              </w:rPr>
            </w:pPr>
            <w:r>
              <w:rPr>
                <w:rFonts w:hint="eastAsia" w:ascii="Times New Roman" w:eastAsia="方正仿宋简体"/>
                <w:color w:val="000000"/>
                <w:sz w:val="18"/>
                <w:szCs w:val="18"/>
              </w:rPr>
              <w:t>2、质量方针应明确具体，经管理层授权发布；</w:t>
            </w:r>
          </w:p>
          <w:p>
            <w:pPr>
              <w:spacing w:line="320" w:lineRule="exact"/>
              <w:jc w:val="left"/>
              <w:rPr>
                <w:rFonts w:ascii="Times New Roman" w:eastAsia="方正仿宋简体"/>
                <w:color w:val="000000"/>
                <w:sz w:val="18"/>
                <w:szCs w:val="18"/>
              </w:rPr>
            </w:pPr>
            <w:r>
              <w:rPr>
                <w:rFonts w:hint="eastAsia" w:ascii="Times New Roman" w:eastAsia="方正仿宋简体"/>
                <w:color w:val="000000"/>
                <w:sz w:val="18"/>
                <w:szCs w:val="18"/>
              </w:rPr>
              <w:t>3、岗位职责应涉及所有部门和岗位；</w:t>
            </w:r>
          </w:p>
          <w:p>
            <w:pPr>
              <w:spacing w:line="320" w:lineRule="exact"/>
              <w:jc w:val="left"/>
              <w:rPr>
                <w:rFonts w:ascii="Times New Roman" w:eastAsia="方正仿宋简体"/>
                <w:color w:val="000000"/>
                <w:sz w:val="18"/>
                <w:szCs w:val="18"/>
              </w:rPr>
            </w:pPr>
            <w:r>
              <w:rPr>
                <w:rFonts w:hint="eastAsia" w:ascii="Times New Roman" w:eastAsia="方正仿宋简体"/>
                <w:color w:val="000000"/>
                <w:sz w:val="18"/>
                <w:szCs w:val="18"/>
              </w:rPr>
              <w:t>4、应对《检验检测机构资质认定能力评价检验检测机构通用要求》（RB/T214-2017）的各要素都有描述，有程序要求的，应制定成程序文件且切合检验检测机构的实际需要。</w:t>
            </w:r>
          </w:p>
          <w:p>
            <w:pPr>
              <w:spacing w:line="320" w:lineRule="exact"/>
              <w:jc w:val="left"/>
              <w:rPr>
                <w:rFonts w:ascii="Times New Roman" w:eastAsia="方正仿宋简体"/>
                <w:color w:val="000000"/>
                <w:sz w:val="18"/>
                <w:szCs w:val="18"/>
              </w:rPr>
            </w:pPr>
            <w:r>
              <w:rPr>
                <w:rFonts w:hint="eastAsia" w:ascii="Times New Roman" w:eastAsia="方正仿宋简体"/>
                <w:color w:val="000000"/>
                <w:sz w:val="18"/>
                <w:szCs w:val="18"/>
              </w:rPr>
              <w:t>5、程序文件应与质量手册描述相吻合；</w:t>
            </w:r>
          </w:p>
          <w:p>
            <w:pPr>
              <w:spacing w:line="320" w:lineRule="exact"/>
              <w:jc w:val="left"/>
              <w:rPr>
                <w:rFonts w:ascii="Times New Roman" w:eastAsia="方正仿宋简体"/>
                <w:color w:val="000000"/>
                <w:sz w:val="18"/>
                <w:szCs w:val="18"/>
              </w:rPr>
            </w:pPr>
            <w:r>
              <w:rPr>
                <w:rFonts w:hint="eastAsia" w:ascii="Times New Roman" w:eastAsia="方正仿宋简体"/>
                <w:color w:val="000000"/>
                <w:sz w:val="18"/>
                <w:szCs w:val="18"/>
              </w:rPr>
              <w:t>6、应有“封面；批准页；目次；修订页；发放控制页；定义；检验检测机构概况；质量方针和目标；机构、职责和权限；管理体系要素的描述（《检验检测机构资质认定能力评价检验检测机构通用要求》（RB/T214-2017）；支持性文件附录等内容。</w:t>
            </w:r>
          </w:p>
        </w:tc>
        <w:tc>
          <w:tcPr>
            <w:tcW w:w="2693" w:type="dxa"/>
            <w:shd w:val="clear" w:color="auto" w:fill="auto"/>
            <w:vAlign w:val="center"/>
          </w:tcPr>
          <w:p>
            <w:pPr>
              <w:spacing w:line="320" w:lineRule="exact"/>
              <w:rPr>
                <w:rFonts w:ascii="Times New Roman" w:eastAsia="方正仿宋简体"/>
                <w:color w:val="000000"/>
                <w:sz w:val="18"/>
                <w:szCs w:val="18"/>
              </w:rPr>
            </w:pPr>
            <w:r>
              <w:rPr>
                <w:rFonts w:hint="eastAsia" w:ascii="Times New Roman" w:eastAsia="方正仿宋简体"/>
                <w:color w:val="000000"/>
                <w:sz w:val="18"/>
                <w:szCs w:val="18"/>
              </w:rPr>
              <w:t>对照《检验检测机构资质认定能力评价检验检测机构通用要求》（RB/T214-2017）审查符合性，对照手册、程序文件检查其内容的一致性、完整性，结合检验检测机构工作实际检查适用性。</w:t>
            </w:r>
          </w:p>
        </w:tc>
        <w:tc>
          <w:tcPr>
            <w:tcW w:w="1985" w:type="dxa"/>
            <w:shd w:val="clear" w:color="auto" w:fill="auto"/>
            <w:vAlign w:val="center"/>
          </w:tcPr>
          <w:p>
            <w:pPr>
              <w:spacing w:line="320" w:lineRule="exact"/>
              <w:jc w:val="center"/>
              <w:rPr>
                <w:rFonts w:ascii="Times New Roman" w:eastAsia="方正仿宋简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Align w:val="center"/>
          </w:tcPr>
          <w:p>
            <w:pPr>
              <w:spacing w:line="320" w:lineRule="exact"/>
              <w:jc w:val="center"/>
              <w:rPr>
                <w:rFonts w:ascii="Times New Roman" w:eastAsia="方正仿宋简体"/>
                <w:color w:val="000000"/>
                <w:sz w:val="18"/>
                <w:szCs w:val="18"/>
              </w:rPr>
            </w:pPr>
            <w:r>
              <w:rPr>
                <w:rFonts w:hint="eastAsia" w:ascii="Times New Roman" w:eastAsia="方正仿宋简体"/>
                <w:color w:val="000000"/>
                <w:sz w:val="18"/>
                <w:szCs w:val="18"/>
              </w:rPr>
              <w:t>五</w:t>
            </w:r>
          </w:p>
        </w:tc>
        <w:tc>
          <w:tcPr>
            <w:tcW w:w="1134" w:type="dxa"/>
            <w:shd w:val="clear" w:color="auto" w:fill="auto"/>
            <w:vAlign w:val="center"/>
          </w:tcPr>
          <w:p>
            <w:pPr>
              <w:spacing w:line="320" w:lineRule="exact"/>
              <w:jc w:val="center"/>
              <w:rPr>
                <w:rFonts w:ascii="Times New Roman" w:eastAsia="方正仿宋简体"/>
                <w:color w:val="000000"/>
                <w:sz w:val="18"/>
                <w:szCs w:val="18"/>
              </w:rPr>
            </w:pPr>
            <w:r>
              <w:rPr>
                <w:rFonts w:hint="eastAsia" w:ascii="Times New Roman" w:eastAsia="方正仿宋简体"/>
                <w:color w:val="000000"/>
                <w:sz w:val="18"/>
                <w:szCs w:val="18"/>
              </w:rPr>
              <w:t>内审和管理评审记录</w:t>
            </w:r>
          </w:p>
        </w:tc>
        <w:tc>
          <w:tcPr>
            <w:tcW w:w="2552" w:type="dxa"/>
            <w:shd w:val="clear" w:color="auto" w:fill="auto"/>
            <w:vAlign w:val="center"/>
          </w:tcPr>
          <w:p>
            <w:pPr>
              <w:spacing w:line="320" w:lineRule="exact"/>
              <w:rPr>
                <w:rFonts w:ascii="Times New Roman" w:eastAsia="方正仿宋简体"/>
                <w:color w:val="000000"/>
                <w:sz w:val="18"/>
                <w:szCs w:val="18"/>
              </w:rPr>
            </w:pPr>
            <w:r>
              <w:rPr>
                <w:rFonts w:hint="eastAsia" w:ascii="Times New Roman" w:eastAsia="方正仿宋简体"/>
                <w:color w:val="000000"/>
                <w:sz w:val="18"/>
                <w:szCs w:val="18"/>
              </w:rPr>
              <w:t>1、内审计划、检查表、不符合报告、内审报告、纠正措施验证报告；</w:t>
            </w:r>
          </w:p>
          <w:p>
            <w:pPr>
              <w:spacing w:line="320" w:lineRule="exact"/>
              <w:rPr>
                <w:rFonts w:ascii="Times New Roman" w:eastAsia="方正仿宋简体"/>
                <w:color w:val="000000"/>
                <w:sz w:val="18"/>
                <w:szCs w:val="18"/>
              </w:rPr>
            </w:pPr>
            <w:r>
              <w:rPr>
                <w:rFonts w:hint="eastAsia" w:ascii="Times New Roman" w:eastAsia="方正仿宋简体"/>
                <w:color w:val="000000"/>
                <w:sz w:val="18"/>
                <w:szCs w:val="18"/>
              </w:rPr>
              <w:t>2、管理评审计划和管理评审报告；</w:t>
            </w:r>
          </w:p>
        </w:tc>
        <w:tc>
          <w:tcPr>
            <w:tcW w:w="4819" w:type="dxa"/>
            <w:shd w:val="clear" w:color="auto" w:fill="auto"/>
            <w:vAlign w:val="center"/>
          </w:tcPr>
          <w:p>
            <w:pPr>
              <w:spacing w:line="320" w:lineRule="exact"/>
              <w:jc w:val="left"/>
              <w:rPr>
                <w:rFonts w:ascii="Times New Roman" w:eastAsia="方正仿宋简体"/>
                <w:color w:val="000000"/>
                <w:sz w:val="18"/>
                <w:szCs w:val="18"/>
              </w:rPr>
            </w:pPr>
            <w:r>
              <w:rPr>
                <w:rFonts w:hint="eastAsia" w:ascii="Times New Roman" w:eastAsia="方正仿宋简体"/>
                <w:color w:val="000000"/>
                <w:sz w:val="18"/>
                <w:szCs w:val="18"/>
              </w:rPr>
              <w:t>1、记录应齐全；</w:t>
            </w:r>
          </w:p>
          <w:p>
            <w:pPr>
              <w:spacing w:line="320" w:lineRule="exact"/>
              <w:jc w:val="left"/>
              <w:rPr>
                <w:rFonts w:ascii="Times New Roman" w:eastAsia="方正仿宋简体"/>
                <w:color w:val="000000"/>
                <w:sz w:val="18"/>
                <w:szCs w:val="18"/>
              </w:rPr>
            </w:pPr>
            <w:r>
              <w:rPr>
                <w:rFonts w:hint="eastAsia" w:ascii="Times New Roman" w:eastAsia="方正仿宋简体"/>
                <w:color w:val="000000"/>
                <w:sz w:val="18"/>
                <w:szCs w:val="18"/>
              </w:rPr>
              <w:t>2、输入、输出应前后呼应；</w:t>
            </w:r>
          </w:p>
          <w:p>
            <w:pPr>
              <w:spacing w:line="320" w:lineRule="exact"/>
              <w:jc w:val="left"/>
              <w:rPr>
                <w:rFonts w:ascii="Times New Roman" w:eastAsia="方正仿宋简体"/>
                <w:color w:val="000000"/>
                <w:sz w:val="18"/>
                <w:szCs w:val="18"/>
              </w:rPr>
            </w:pPr>
            <w:r>
              <w:rPr>
                <w:rFonts w:hint="eastAsia" w:ascii="Times New Roman" w:eastAsia="方正仿宋简体"/>
                <w:color w:val="000000"/>
                <w:sz w:val="18"/>
                <w:szCs w:val="18"/>
              </w:rPr>
              <w:t>3、内审报告的输出应用于管理评审的输入，管理评审的输出应用于管理体系的改进；</w:t>
            </w:r>
          </w:p>
          <w:p>
            <w:pPr>
              <w:spacing w:line="320" w:lineRule="exact"/>
              <w:jc w:val="left"/>
              <w:rPr>
                <w:rFonts w:ascii="Times New Roman" w:eastAsia="方正仿宋简体"/>
                <w:color w:val="000000"/>
                <w:sz w:val="18"/>
                <w:szCs w:val="18"/>
              </w:rPr>
            </w:pPr>
            <w:r>
              <w:rPr>
                <w:rFonts w:hint="eastAsia" w:ascii="Times New Roman" w:eastAsia="方正仿宋简体"/>
                <w:color w:val="000000"/>
                <w:sz w:val="18"/>
                <w:szCs w:val="18"/>
              </w:rPr>
              <w:t>4、内审缺陷项应进行了关闭。</w:t>
            </w:r>
          </w:p>
        </w:tc>
        <w:tc>
          <w:tcPr>
            <w:tcW w:w="2693" w:type="dxa"/>
            <w:shd w:val="clear" w:color="auto" w:fill="auto"/>
            <w:vAlign w:val="center"/>
          </w:tcPr>
          <w:p>
            <w:pPr>
              <w:spacing w:line="320" w:lineRule="exact"/>
              <w:rPr>
                <w:rFonts w:ascii="Times New Roman" w:eastAsia="方正仿宋简体"/>
                <w:color w:val="000000"/>
                <w:sz w:val="18"/>
                <w:szCs w:val="18"/>
              </w:rPr>
            </w:pPr>
            <w:r>
              <w:rPr>
                <w:rFonts w:hint="eastAsia" w:ascii="Times New Roman" w:eastAsia="方正仿宋简体"/>
                <w:color w:val="000000"/>
                <w:sz w:val="18"/>
                <w:szCs w:val="18"/>
              </w:rPr>
              <w:t>查阅内审、管理评审的计划、记录及报告。</w:t>
            </w:r>
          </w:p>
        </w:tc>
        <w:tc>
          <w:tcPr>
            <w:tcW w:w="1985" w:type="dxa"/>
            <w:shd w:val="clear" w:color="auto" w:fill="auto"/>
            <w:vAlign w:val="center"/>
          </w:tcPr>
          <w:p>
            <w:pPr>
              <w:spacing w:line="320" w:lineRule="exact"/>
              <w:jc w:val="center"/>
              <w:rPr>
                <w:rFonts w:ascii="Times New Roman" w:eastAsia="方正仿宋简体"/>
                <w:color w:val="000000"/>
              </w:rPr>
            </w:pPr>
          </w:p>
        </w:tc>
      </w:tr>
    </w:tbl>
    <w:p>
      <w:pPr>
        <w:widowControl/>
        <w:adjustRightInd/>
        <w:spacing w:line="240" w:lineRule="auto"/>
        <w:jc w:val="left"/>
        <w:rPr>
          <w:rFonts w:ascii="宋体" w:hAnsi="Times New Roman"/>
          <w:kern w:val="0"/>
          <w:szCs w:val="20"/>
        </w:rPr>
      </w:pPr>
    </w:p>
    <w:p>
      <w:pPr>
        <w:pStyle w:val="180"/>
      </w:pPr>
    </w:p>
    <w:p>
      <w:pPr>
        <w:pStyle w:val="57"/>
        <w:ind w:firstLine="420"/>
      </w:pPr>
      <w:r>
        <w:rPr>
          <w:rFonts w:hint="eastAsia"/>
        </w:rPr>
        <w:t>1、此表由评审组组长负责填写，在进入现场评审前提交被评审检验检测机构。</w:t>
      </w:r>
    </w:p>
    <w:p>
      <w:pPr>
        <w:pStyle w:val="57"/>
        <w:ind w:firstLine="420"/>
      </w:pPr>
      <w:r>
        <w:rPr>
          <w:rFonts w:hint="eastAsia"/>
        </w:rPr>
        <w:t>2、此表应作为评审材料网上提交认可检测处。</w:t>
      </w:r>
    </w:p>
    <w:p>
      <w:pPr>
        <w:pStyle w:val="57"/>
        <w:ind w:firstLine="420"/>
      </w:pPr>
    </w:p>
    <w:p>
      <w:pPr>
        <w:pStyle w:val="57"/>
        <w:ind w:firstLine="420"/>
      </w:pPr>
    </w:p>
    <w:p>
      <w:pPr>
        <w:pStyle w:val="57"/>
        <w:ind w:firstLine="420"/>
      </w:pPr>
      <w:r>
        <w:rPr>
          <w:rFonts w:hint="eastAsia"/>
        </w:rPr>
        <w:t>审查时间：年月日                           评审组组长：</w:t>
      </w:r>
    </w:p>
    <w:p>
      <w:pPr>
        <w:pStyle w:val="57"/>
        <w:ind w:firstLine="420"/>
      </w:pPr>
      <w:r>
        <w:rPr>
          <w:rFonts w:hint="eastAsia"/>
        </w:rPr>
        <w:t xml:space="preserve">被审查机构名称：      </w:t>
      </w:r>
      <w:r>
        <w:rPr>
          <w:rFonts w:hint="eastAsia"/>
          <w:lang w:val="en-US" w:eastAsia="zh-CN"/>
        </w:rPr>
        <w:t xml:space="preserve">                         </w:t>
      </w:r>
      <w:r>
        <w:rPr>
          <w:rFonts w:hint="eastAsia"/>
        </w:rPr>
        <w:t>审核人：</w:t>
      </w:r>
    </w:p>
    <w:p>
      <w:pPr>
        <w:widowControl/>
        <w:adjustRightInd/>
        <w:spacing w:line="240" w:lineRule="auto"/>
        <w:jc w:val="left"/>
        <w:rPr>
          <w:rFonts w:ascii="宋体" w:hAnsi="Times New Roman"/>
          <w:kern w:val="0"/>
          <w:szCs w:val="20"/>
        </w:rPr>
      </w:pPr>
    </w:p>
    <w:p>
      <w:pPr>
        <w:pStyle w:val="57"/>
        <w:ind w:firstLine="420"/>
        <w:sectPr>
          <w:headerReference r:id="rId15" w:type="default"/>
          <w:footerReference r:id="rId17" w:type="default"/>
          <w:headerReference r:id="rId16" w:type="even"/>
          <w:footerReference r:id="rId18" w:type="even"/>
          <w:pgSz w:w="16838" w:h="11906" w:orient="landscape"/>
          <w:pgMar w:top="1134" w:right="1871" w:bottom="1134" w:left="1134" w:header="1418" w:footer="1247" w:gutter="284"/>
          <w:cols w:space="425" w:num="1"/>
          <w:formProt w:val="0"/>
          <w:docGrid w:type="lines" w:linePitch="312" w:charSpace="0"/>
        </w:sectPr>
      </w:pPr>
    </w:p>
    <w:p>
      <w:pPr>
        <w:pStyle w:val="199"/>
        <w:rPr>
          <w:vanish w:val="0"/>
        </w:rPr>
      </w:pPr>
    </w:p>
    <w:p>
      <w:pPr>
        <w:pStyle w:val="200"/>
        <w:rPr>
          <w:vanish w:val="0"/>
        </w:rPr>
      </w:pPr>
    </w:p>
    <w:p>
      <w:pPr>
        <w:pStyle w:val="199"/>
        <w:rPr>
          <w:vanish w:val="0"/>
        </w:rPr>
      </w:pPr>
    </w:p>
    <w:p>
      <w:pPr>
        <w:pStyle w:val="200"/>
        <w:rPr>
          <w:vanish w:val="0"/>
        </w:rPr>
      </w:pPr>
    </w:p>
    <w:p>
      <w:pPr>
        <w:pStyle w:val="77"/>
        <w:spacing w:after="156"/>
      </w:pPr>
      <w:bookmarkStart w:id="84" w:name="_Toc131409489"/>
    </w:p>
    <w:p>
      <w:pPr>
        <w:pStyle w:val="77"/>
        <w:numPr>
          <w:ilvl w:val="0"/>
          <w:numId w:val="0"/>
        </w:numPr>
        <w:spacing w:after="156"/>
        <w:ind w:leftChars="0"/>
        <w:jc w:val="center"/>
      </w:pPr>
      <w:r>
        <w:rPr>
          <w:rFonts w:hint="eastAsia"/>
        </w:rPr>
        <w:t>现场评审日程表</w:t>
      </w:r>
      <w:bookmarkEnd w:id="84"/>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6"/>
        <w:gridCol w:w="1556"/>
        <w:gridCol w:w="1555"/>
        <w:gridCol w:w="1555"/>
        <w:gridCol w:w="1556"/>
        <w:gridCol w:w="15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6" w:type="dxa"/>
            <w:tcBorders>
              <w:top w:val="single" w:color="auto" w:sz="8" w:space="0"/>
              <w:bottom w:val="single" w:color="auto" w:sz="8" w:space="0"/>
            </w:tcBorders>
            <w:shd w:val="clear" w:color="auto" w:fill="auto"/>
            <w:vAlign w:val="center"/>
          </w:tcPr>
          <w:p>
            <w:pPr>
              <w:pStyle w:val="179"/>
            </w:pPr>
            <w:r>
              <w:rPr>
                <w:rFonts w:hint="eastAsia"/>
              </w:rPr>
              <w:t>开始时间</w:t>
            </w:r>
          </w:p>
        </w:tc>
        <w:tc>
          <w:tcPr>
            <w:tcW w:w="1556" w:type="dxa"/>
            <w:tcBorders>
              <w:top w:val="single" w:color="auto" w:sz="8" w:space="0"/>
              <w:bottom w:val="single" w:color="auto" w:sz="8" w:space="0"/>
            </w:tcBorders>
            <w:shd w:val="clear" w:color="auto" w:fill="auto"/>
            <w:vAlign w:val="center"/>
          </w:tcPr>
          <w:p>
            <w:pPr>
              <w:pStyle w:val="179"/>
            </w:pPr>
            <w:r>
              <w:rPr>
                <w:rFonts w:hint="eastAsia"/>
              </w:rPr>
              <w:t>结束时间</w:t>
            </w:r>
          </w:p>
        </w:tc>
        <w:tc>
          <w:tcPr>
            <w:tcW w:w="1555" w:type="dxa"/>
            <w:tcBorders>
              <w:top w:val="single" w:color="auto" w:sz="8" w:space="0"/>
              <w:bottom w:val="single" w:color="auto" w:sz="8" w:space="0"/>
            </w:tcBorders>
            <w:shd w:val="clear" w:color="auto" w:fill="auto"/>
            <w:vAlign w:val="center"/>
          </w:tcPr>
          <w:p>
            <w:pPr>
              <w:pStyle w:val="179"/>
            </w:pPr>
            <w:r>
              <w:rPr>
                <w:rFonts w:hint="eastAsia"/>
              </w:rPr>
              <w:t>工作环节</w:t>
            </w:r>
          </w:p>
        </w:tc>
        <w:tc>
          <w:tcPr>
            <w:tcW w:w="1555" w:type="dxa"/>
            <w:tcBorders>
              <w:top w:val="single" w:color="auto" w:sz="8" w:space="0"/>
              <w:bottom w:val="single" w:color="auto" w:sz="8" w:space="0"/>
            </w:tcBorders>
            <w:shd w:val="clear" w:color="auto" w:fill="auto"/>
            <w:vAlign w:val="center"/>
          </w:tcPr>
          <w:p>
            <w:pPr>
              <w:pStyle w:val="179"/>
            </w:pPr>
            <w:r>
              <w:rPr>
                <w:rFonts w:hint="eastAsia"/>
              </w:rPr>
              <w:t>内容</w:t>
            </w:r>
          </w:p>
        </w:tc>
        <w:tc>
          <w:tcPr>
            <w:tcW w:w="1556" w:type="dxa"/>
            <w:tcBorders>
              <w:top w:val="single" w:color="auto" w:sz="8" w:space="0"/>
              <w:bottom w:val="single" w:color="auto" w:sz="8" w:space="0"/>
            </w:tcBorders>
            <w:shd w:val="clear" w:color="auto" w:fill="auto"/>
            <w:vAlign w:val="center"/>
          </w:tcPr>
          <w:p>
            <w:pPr>
              <w:pStyle w:val="179"/>
            </w:pPr>
            <w:r>
              <w:rPr>
                <w:rFonts w:hint="eastAsia"/>
              </w:rPr>
              <w:t>分工</w:t>
            </w:r>
          </w:p>
        </w:tc>
        <w:tc>
          <w:tcPr>
            <w:tcW w:w="1556" w:type="dxa"/>
            <w:tcBorders>
              <w:top w:val="single" w:color="auto" w:sz="8" w:space="0"/>
              <w:bottom w:val="single" w:color="auto" w:sz="8" w:space="0"/>
            </w:tcBorders>
            <w:shd w:val="clear" w:color="auto" w:fill="auto"/>
            <w:vAlign w:val="center"/>
          </w:tcPr>
          <w:p>
            <w:pPr>
              <w:pStyle w:val="179"/>
            </w:pPr>
            <w:r>
              <w:rPr>
                <w:rFonts w:hint="eastAsia"/>
              </w:rPr>
              <w:t>机构联系人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tcBorders>
              <w:top w:val="single" w:color="auto" w:sz="8" w:space="0"/>
            </w:tcBorders>
            <w:shd w:val="clear" w:color="auto" w:fill="auto"/>
            <w:vAlign w:val="center"/>
          </w:tcPr>
          <w:p>
            <w:pPr>
              <w:pStyle w:val="179"/>
            </w:pPr>
          </w:p>
        </w:tc>
        <w:tc>
          <w:tcPr>
            <w:tcW w:w="1556" w:type="dxa"/>
            <w:tcBorders>
              <w:top w:val="single" w:color="auto" w:sz="8" w:space="0"/>
            </w:tcBorders>
            <w:shd w:val="clear" w:color="auto" w:fill="auto"/>
            <w:vAlign w:val="center"/>
          </w:tcPr>
          <w:p>
            <w:pPr>
              <w:pStyle w:val="179"/>
            </w:pPr>
          </w:p>
        </w:tc>
        <w:tc>
          <w:tcPr>
            <w:tcW w:w="1555" w:type="dxa"/>
            <w:tcBorders>
              <w:top w:val="single" w:color="auto" w:sz="8" w:space="0"/>
            </w:tcBorders>
            <w:shd w:val="clear" w:color="auto" w:fill="auto"/>
            <w:vAlign w:val="center"/>
          </w:tcPr>
          <w:p>
            <w:pPr>
              <w:pStyle w:val="179"/>
            </w:pPr>
          </w:p>
        </w:tc>
        <w:tc>
          <w:tcPr>
            <w:tcW w:w="1555" w:type="dxa"/>
            <w:tcBorders>
              <w:top w:val="single" w:color="auto" w:sz="8" w:space="0"/>
            </w:tcBorders>
            <w:shd w:val="clear" w:color="auto" w:fill="auto"/>
            <w:vAlign w:val="center"/>
          </w:tcPr>
          <w:p>
            <w:pPr>
              <w:pStyle w:val="179"/>
            </w:pPr>
          </w:p>
        </w:tc>
        <w:tc>
          <w:tcPr>
            <w:tcW w:w="1556" w:type="dxa"/>
            <w:tcBorders>
              <w:top w:val="single" w:color="auto" w:sz="8" w:space="0"/>
            </w:tcBorders>
            <w:shd w:val="clear" w:color="auto" w:fill="auto"/>
            <w:vAlign w:val="center"/>
          </w:tcPr>
          <w:p>
            <w:pPr>
              <w:pStyle w:val="179"/>
            </w:pPr>
          </w:p>
        </w:tc>
        <w:tc>
          <w:tcPr>
            <w:tcW w:w="1556" w:type="dxa"/>
            <w:tcBorders>
              <w:top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pPr>
          </w:p>
        </w:tc>
        <w:tc>
          <w:tcPr>
            <w:tcW w:w="1556" w:type="dxa"/>
            <w:shd w:val="clear" w:color="auto" w:fill="auto"/>
            <w:vAlign w:val="center"/>
          </w:tcPr>
          <w:p>
            <w:pPr>
              <w:pStyle w:val="179"/>
            </w:pPr>
          </w:p>
        </w:tc>
        <w:tc>
          <w:tcPr>
            <w:tcW w:w="1555" w:type="dxa"/>
            <w:shd w:val="clear" w:color="auto" w:fill="auto"/>
            <w:vAlign w:val="center"/>
          </w:tcPr>
          <w:p>
            <w:pPr>
              <w:pStyle w:val="179"/>
            </w:pPr>
          </w:p>
        </w:tc>
        <w:tc>
          <w:tcPr>
            <w:tcW w:w="1555" w:type="dxa"/>
            <w:shd w:val="clear" w:color="auto" w:fill="auto"/>
            <w:vAlign w:val="center"/>
          </w:tcPr>
          <w:p>
            <w:pPr>
              <w:pStyle w:val="179"/>
            </w:pPr>
          </w:p>
        </w:tc>
        <w:tc>
          <w:tcPr>
            <w:tcW w:w="1556" w:type="dxa"/>
            <w:shd w:val="clear" w:color="auto" w:fill="auto"/>
            <w:vAlign w:val="center"/>
          </w:tcPr>
          <w:p>
            <w:pPr>
              <w:pStyle w:val="179"/>
            </w:pPr>
          </w:p>
        </w:tc>
        <w:tc>
          <w:tcPr>
            <w:tcW w:w="1556"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tcBorders>
              <w:bottom w:val="single" w:color="auto" w:sz="8" w:space="0"/>
            </w:tcBorders>
            <w:shd w:val="clear" w:color="auto" w:fill="auto"/>
            <w:vAlign w:val="center"/>
          </w:tcPr>
          <w:p>
            <w:pPr>
              <w:pStyle w:val="179"/>
            </w:pPr>
          </w:p>
        </w:tc>
        <w:tc>
          <w:tcPr>
            <w:tcW w:w="1556" w:type="dxa"/>
            <w:tcBorders>
              <w:bottom w:val="single" w:color="auto" w:sz="8" w:space="0"/>
            </w:tcBorders>
            <w:shd w:val="clear" w:color="auto" w:fill="auto"/>
            <w:vAlign w:val="center"/>
          </w:tcPr>
          <w:p>
            <w:pPr>
              <w:pStyle w:val="179"/>
            </w:pPr>
          </w:p>
        </w:tc>
        <w:tc>
          <w:tcPr>
            <w:tcW w:w="1555" w:type="dxa"/>
            <w:tcBorders>
              <w:bottom w:val="single" w:color="auto" w:sz="8" w:space="0"/>
            </w:tcBorders>
            <w:shd w:val="clear" w:color="auto" w:fill="auto"/>
            <w:vAlign w:val="center"/>
          </w:tcPr>
          <w:p>
            <w:pPr>
              <w:pStyle w:val="179"/>
            </w:pPr>
          </w:p>
        </w:tc>
        <w:tc>
          <w:tcPr>
            <w:tcW w:w="1555" w:type="dxa"/>
            <w:tcBorders>
              <w:bottom w:val="single" w:color="auto" w:sz="8" w:space="0"/>
            </w:tcBorders>
            <w:shd w:val="clear" w:color="auto" w:fill="auto"/>
            <w:vAlign w:val="center"/>
          </w:tcPr>
          <w:p>
            <w:pPr>
              <w:pStyle w:val="179"/>
            </w:pPr>
          </w:p>
        </w:tc>
        <w:tc>
          <w:tcPr>
            <w:tcW w:w="1556" w:type="dxa"/>
            <w:tcBorders>
              <w:bottom w:val="single" w:color="auto" w:sz="8" w:space="0"/>
            </w:tcBorders>
            <w:shd w:val="clear" w:color="auto" w:fill="auto"/>
            <w:vAlign w:val="center"/>
          </w:tcPr>
          <w:p>
            <w:pPr>
              <w:pStyle w:val="179"/>
            </w:pPr>
          </w:p>
        </w:tc>
        <w:tc>
          <w:tcPr>
            <w:tcW w:w="1556" w:type="dxa"/>
            <w:tcBorders>
              <w:bottom w:val="single" w:color="auto" w:sz="8" w:space="0"/>
            </w:tcBorders>
            <w:shd w:val="clear" w:color="auto" w:fill="auto"/>
            <w:vAlign w:val="center"/>
          </w:tcPr>
          <w:p>
            <w:pPr>
              <w:pStyle w:val="179"/>
            </w:pPr>
          </w:p>
        </w:tc>
      </w:tr>
    </w:tbl>
    <w:p>
      <w:pPr>
        <w:pStyle w:val="180"/>
      </w:pPr>
      <w:r>
        <w:rPr>
          <w:rFonts w:hint="eastAsia"/>
        </w:rPr>
        <w:t>时间格式：</w:t>
      </w:r>
      <w:r>
        <w:t>2023-11-11 08:30</w:t>
      </w:r>
    </w:p>
    <w:p>
      <w:pPr>
        <w:pStyle w:val="57"/>
        <w:ind w:firstLine="420"/>
      </w:pPr>
    </w:p>
    <w:p>
      <w:pPr>
        <w:pStyle w:val="57"/>
        <w:ind w:firstLine="420"/>
      </w:pPr>
    </w:p>
    <w:p>
      <w:pPr>
        <w:pStyle w:val="57"/>
        <w:ind w:firstLine="420"/>
      </w:pPr>
    </w:p>
    <w:p>
      <w:pPr>
        <w:pStyle w:val="57"/>
        <w:ind w:firstLine="420"/>
      </w:pPr>
    </w:p>
    <w:p>
      <w:pPr>
        <w:pStyle w:val="57"/>
        <w:ind w:firstLine="420"/>
        <w:sectPr>
          <w:headerReference r:id="rId19" w:type="default"/>
          <w:footerReference r:id="rId21" w:type="default"/>
          <w:headerReference r:id="rId20" w:type="even"/>
          <w:footerReference r:id="rId22" w:type="even"/>
          <w:pgSz w:w="11906" w:h="16838"/>
          <w:pgMar w:top="1928"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77"/>
        <w:spacing w:after="156"/>
      </w:pPr>
      <w:bookmarkStart w:id="85" w:name="_Toc131409490"/>
    </w:p>
    <w:p>
      <w:pPr>
        <w:pStyle w:val="77"/>
        <w:numPr>
          <w:ilvl w:val="0"/>
          <w:numId w:val="0"/>
        </w:numPr>
        <w:spacing w:after="156"/>
        <w:ind w:leftChars="0"/>
        <w:jc w:val="center"/>
      </w:pPr>
      <w:r>
        <w:rPr>
          <w:rFonts w:hint="eastAsia"/>
        </w:rPr>
        <w:t>检验检测机构资质认定现场评审签到表</w:t>
      </w:r>
      <w:bookmarkEnd w:id="85"/>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6"/>
        <w:gridCol w:w="1556"/>
        <w:gridCol w:w="1555"/>
        <w:gridCol w:w="1555"/>
        <w:gridCol w:w="1556"/>
        <w:gridCol w:w="15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12" w:type="dxa"/>
            <w:gridSpan w:val="2"/>
            <w:tcBorders>
              <w:top w:val="single" w:color="auto" w:sz="8" w:space="0"/>
              <w:bottom w:val="single" w:color="auto" w:sz="8" w:space="0"/>
            </w:tcBorders>
            <w:shd w:val="clear" w:color="auto" w:fill="auto"/>
            <w:vAlign w:val="center"/>
          </w:tcPr>
          <w:p>
            <w:pPr>
              <w:pStyle w:val="179"/>
              <w:spacing w:line="360" w:lineRule="auto"/>
            </w:pPr>
            <w:r>
              <w:rPr>
                <w:rFonts w:hint="eastAsia"/>
                <w:sz w:val="24"/>
              </w:rPr>
              <w:t>检验检测机构名称</w:t>
            </w:r>
          </w:p>
        </w:tc>
        <w:tc>
          <w:tcPr>
            <w:tcW w:w="6222" w:type="dxa"/>
            <w:gridSpan w:val="4"/>
            <w:tcBorders>
              <w:top w:val="single" w:color="auto" w:sz="8" w:space="0"/>
              <w:bottom w:val="single" w:color="auto" w:sz="8" w:space="0"/>
            </w:tcBorders>
            <w:shd w:val="clear" w:color="auto" w:fill="auto"/>
            <w:vAlign w:val="center"/>
          </w:tcPr>
          <w:p>
            <w:pPr>
              <w:pStyle w:val="179"/>
              <w:spacing w:line="36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2" w:type="dxa"/>
            <w:gridSpan w:val="2"/>
            <w:tcBorders>
              <w:top w:val="single" w:color="auto" w:sz="8" w:space="0"/>
            </w:tcBorders>
            <w:shd w:val="clear" w:color="auto" w:fill="auto"/>
            <w:vAlign w:val="center"/>
          </w:tcPr>
          <w:p>
            <w:pPr>
              <w:spacing w:line="360" w:lineRule="auto"/>
              <w:jc w:val="center"/>
              <w:rPr>
                <w:sz w:val="24"/>
              </w:rPr>
            </w:pPr>
            <w:r>
              <w:rPr>
                <w:rFonts w:hint="eastAsia"/>
                <w:sz w:val="24"/>
              </w:rPr>
              <w:t>会议名称</w:t>
            </w:r>
          </w:p>
        </w:tc>
        <w:tc>
          <w:tcPr>
            <w:tcW w:w="6222" w:type="dxa"/>
            <w:gridSpan w:val="4"/>
            <w:tcBorders>
              <w:top w:val="single" w:color="auto" w:sz="8" w:space="0"/>
            </w:tcBorders>
            <w:shd w:val="clear" w:color="auto" w:fill="auto"/>
            <w:vAlign w:val="center"/>
          </w:tcPr>
          <w:p>
            <w:pPr>
              <w:spacing w:line="360" w:lineRule="auto"/>
              <w:ind w:firstLine="840" w:firstLineChars="350"/>
              <w:rPr>
                <w:sz w:val="24"/>
              </w:rPr>
            </w:pPr>
            <w:r>
              <w:rPr>
                <w:rFonts w:hint="eastAsia"/>
                <w:sz w:val="24"/>
              </w:rPr>
              <w:t>□首次会议□座谈会□末次会议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360" w:lineRule="auto"/>
            </w:pPr>
            <w:r>
              <w:rPr>
                <w:rFonts w:hint="eastAsia"/>
                <w:sz w:val="24"/>
              </w:rPr>
              <w:t>会议时间</w:t>
            </w:r>
          </w:p>
        </w:tc>
        <w:tc>
          <w:tcPr>
            <w:tcW w:w="3111" w:type="dxa"/>
            <w:gridSpan w:val="2"/>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r>
              <w:rPr>
                <w:rFonts w:hint="eastAsia"/>
                <w:sz w:val="24"/>
              </w:rPr>
              <w:t>会议地点</w:t>
            </w:r>
          </w:p>
        </w:tc>
        <w:tc>
          <w:tcPr>
            <w:tcW w:w="3112" w:type="dxa"/>
            <w:gridSpan w:val="2"/>
            <w:shd w:val="clear" w:color="auto" w:fill="auto"/>
            <w:vAlign w:val="center"/>
          </w:tcPr>
          <w:p>
            <w:pPr>
              <w:pStyle w:val="179"/>
              <w:spacing w:line="36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6"/>
            <w:shd w:val="clear" w:color="auto" w:fill="auto"/>
            <w:vAlign w:val="center"/>
          </w:tcPr>
          <w:p>
            <w:pPr>
              <w:pStyle w:val="179"/>
              <w:spacing w:line="360" w:lineRule="auto"/>
            </w:pPr>
            <w:r>
              <w:rPr>
                <w:rFonts w:hint="eastAsia"/>
                <w:sz w:val="24"/>
              </w:rPr>
              <w:t>被评审方人员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360" w:lineRule="auto"/>
            </w:pPr>
            <w:r>
              <w:rPr>
                <w:rFonts w:hint="eastAsia"/>
                <w:sz w:val="24"/>
              </w:rPr>
              <w:t>签名</w:t>
            </w:r>
          </w:p>
        </w:tc>
        <w:tc>
          <w:tcPr>
            <w:tcW w:w="1556" w:type="dxa"/>
            <w:shd w:val="clear" w:color="auto" w:fill="auto"/>
            <w:vAlign w:val="center"/>
          </w:tcPr>
          <w:p>
            <w:pPr>
              <w:pStyle w:val="179"/>
              <w:spacing w:line="360" w:lineRule="auto"/>
            </w:pPr>
            <w:r>
              <w:rPr>
                <w:rFonts w:hint="eastAsia"/>
                <w:sz w:val="24"/>
              </w:rPr>
              <w:t>职务</w:t>
            </w:r>
          </w:p>
        </w:tc>
        <w:tc>
          <w:tcPr>
            <w:tcW w:w="1555" w:type="dxa"/>
            <w:shd w:val="clear" w:color="auto" w:fill="auto"/>
            <w:vAlign w:val="center"/>
          </w:tcPr>
          <w:p>
            <w:pPr>
              <w:pStyle w:val="179"/>
              <w:spacing w:line="360" w:lineRule="auto"/>
            </w:pPr>
            <w:r>
              <w:rPr>
                <w:rFonts w:hint="eastAsia"/>
                <w:sz w:val="24"/>
              </w:rPr>
              <w:t>签名</w:t>
            </w:r>
          </w:p>
        </w:tc>
        <w:tc>
          <w:tcPr>
            <w:tcW w:w="1555" w:type="dxa"/>
            <w:shd w:val="clear" w:color="auto" w:fill="auto"/>
            <w:vAlign w:val="center"/>
          </w:tcPr>
          <w:p>
            <w:pPr>
              <w:pStyle w:val="179"/>
              <w:spacing w:line="360" w:lineRule="auto"/>
            </w:pPr>
            <w:r>
              <w:rPr>
                <w:rFonts w:hint="eastAsia"/>
                <w:sz w:val="24"/>
              </w:rPr>
              <w:t>职务</w:t>
            </w:r>
          </w:p>
        </w:tc>
        <w:tc>
          <w:tcPr>
            <w:tcW w:w="1556" w:type="dxa"/>
            <w:shd w:val="clear" w:color="auto" w:fill="auto"/>
            <w:vAlign w:val="center"/>
          </w:tcPr>
          <w:p>
            <w:pPr>
              <w:pStyle w:val="179"/>
              <w:spacing w:line="360" w:lineRule="auto"/>
            </w:pPr>
            <w:r>
              <w:rPr>
                <w:rFonts w:hint="eastAsia"/>
                <w:sz w:val="24"/>
              </w:rPr>
              <w:t>签名</w:t>
            </w:r>
          </w:p>
        </w:tc>
        <w:tc>
          <w:tcPr>
            <w:tcW w:w="1556" w:type="dxa"/>
            <w:shd w:val="clear" w:color="auto" w:fill="auto"/>
            <w:vAlign w:val="center"/>
          </w:tcPr>
          <w:p>
            <w:pPr>
              <w:pStyle w:val="179"/>
              <w:spacing w:line="360" w:lineRule="auto"/>
            </w:pPr>
            <w:r>
              <w:rPr>
                <w:rFonts w:hint="eastAsia"/>
                <w:sz w:val="24"/>
              </w:rPr>
              <w:t>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6"/>
            <w:shd w:val="clear" w:color="auto" w:fill="auto"/>
            <w:vAlign w:val="center"/>
          </w:tcPr>
          <w:p>
            <w:pPr>
              <w:pStyle w:val="179"/>
              <w:spacing w:line="360" w:lineRule="auto"/>
            </w:pPr>
            <w:r>
              <w:rPr>
                <w:rFonts w:hint="eastAsia"/>
                <w:sz w:val="24"/>
              </w:rPr>
              <w:t>评审组人员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360" w:lineRule="auto"/>
            </w:pPr>
            <w:r>
              <w:rPr>
                <w:rFonts w:hint="eastAsia"/>
                <w:sz w:val="24"/>
              </w:rPr>
              <w:t>签名</w:t>
            </w:r>
          </w:p>
        </w:tc>
        <w:tc>
          <w:tcPr>
            <w:tcW w:w="1556" w:type="dxa"/>
            <w:shd w:val="clear" w:color="auto" w:fill="auto"/>
            <w:vAlign w:val="center"/>
          </w:tcPr>
          <w:p>
            <w:pPr>
              <w:pStyle w:val="179"/>
              <w:spacing w:line="360" w:lineRule="auto"/>
            </w:pPr>
            <w:r>
              <w:rPr>
                <w:rFonts w:hint="eastAsia"/>
                <w:sz w:val="24"/>
              </w:rPr>
              <w:t>评审职务</w:t>
            </w:r>
          </w:p>
        </w:tc>
        <w:tc>
          <w:tcPr>
            <w:tcW w:w="1555" w:type="dxa"/>
            <w:shd w:val="clear" w:color="auto" w:fill="auto"/>
            <w:vAlign w:val="center"/>
          </w:tcPr>
          <w:p>
            <w:pPr>
              <w:pStyle w:val="179"/>
              <w:spacing w:line="360" w:lineRule="auto"/>
            </w:pPr>
            <w:r>
              <w:rPr>
                <w:rFonts w:hint="eastAsia"/>
                <w:sz w:val="24"/>
              </w:rPr>
              <w:t>签名</w:t>
            </w:r>
          </w:p>
        </w:tc>
        <w:tc>
          <w:tcPr>
            <w:tcW w:w="1555" w:type="dxa"/>
            <w:shd w:val="clear" w:color="auto" w:fill="auto"/>
            <w:vAlign w:val="center"/>
          </w:tcPr>
          <w:p>
            <w:pPr>
              <w:pStyle w:val="179"/>
              <w:spacing w:line="360" w:lineRule="auto"/>
            </w:pPr>
            <w:r>
              <w:rPr>
                <w:rFonts w:hint="eastAsia"/>
                <w:sz w:val="24"/>
              </w:rPr>
              <w:t>评审职务</w:t>
            </w:r>
          </w:p>
        </w:tc>
        <w:tc>
          <w:tcPr>
            <w:tcW w:w="1556" w:type="dxa"/>
            <w:shd w:val="clear" w:color="auto" w:fill="auto"/>
            <w:vAlign w:val="center"/>
          </w:tcPr>
          <w:p>
            <w:pPr>
              <w:pStyle w:val="179"/>
              <w:spacing w:line="360" w:lineRule="auto"/>
            </w:pPr>
            <w:r>
              <w:rPr>
                <w:rFonts w:hint="eastAsia"/>
                <w:sz w:val="24"/>
              </w:rPr>
              <w:t>签名</w:t>
            </w:r>
          </w:p>
        </w:tc>
        <w:tc>
          <w:tcPr>
            <w:tcW w:w="1556" w:type="dxa"/>
            <w:shd w:val="clear" w:color="auto" w:fill="auto"/>
            <w:vAlign w:val="center"/>
          </w:tcPr>
          <w:p>
            <w:pPr>
              <w:pStyle w:val="179"/>
              <w:spacing w:line="360" w:lineRule="auto"/>
            </w:pPr>
            <w:r>
              <w:rPr>
                <w:rFonts w:hint="eastAsia"/>
                <w:sz w:val="24"/>
              </w:rPr>
              <w:t>评审职务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5"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c>
          <w:tcPr>
            <w:tcW w:w="1556" w:type="dxa"/>
            <w:shd w:val="clear" w:color="auto" w:fill="auto"/>
            <w:vAlign w:val="center"/>
          </w:tcPr>
          <w:p>
            <w:pPr>
              <w:pStyle w:val="179"/>
              <w:spacing w:line="36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6"/>
            <w:shd w:val="clear" w:color="auto" w:fill="auto"/>
            <w:vAlign w:val="center"/>
          </w:tcPr>
          <w:p>
            <w:pPr>
              <w:pStyle w:val="179"/>
              <w:spacing w:line="360" w:lineRule="auto"/>
            </w:pPr>
            <w:r>
              <w:rPr>
                <w:rFonts w:hint="eastAsia"/>
                <w:sz w:val="24"/>
              </w:rPr>
              <w:t>列席人员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360" w:lineRule="auto"/>
            </w:pPr>
            <w:r>
              <w:rPr>
                <w:rFonts w:hint="eastAsia"/>
                <w:sz w:val="24"/>
              </w:rPr>
              <w:t>签名</w:t>
            </w:r>
          </w:p>
        </w:tc>
        <w:tc>
          <w:tcPr>
            <w:tcW w:w="4666" w:type="dxa"/>
            <w:gridSpan w:val="3"/>
            <w:shd w:val="clear" w:color="auto" w:fill="auto"/>
            <w:vAlign w:val="center"/>
          </w:tcPr>
          <w:p>
            <w:pPr>
              <w:pStyle w:val="179"/>
              <w:spacing w:line="360" w:lineRule="auto"/>
            </w:pPr>
            <w:r>
              <w:rPr>
                <w:rFonts w:hint="eastAsia"/>
                <w:sz w:val="24"/>
              </w:rPr>
              <w:t>单位</w:t>
            </w:r>
          </w:p>
        </w:tc>
        <w:tc>
          <w:tcPr>
            <w:tcW w:w="3112" w:type="dxa"/>
            <w:gridSpan w:val="2"/>
            <w:shd w:val="clear" w:color="auto" w:fill="auto"/>
            <w:vAlign w:val="center"/>
          </w:tcPr>
          <w:p>
            <w:pPr>
              <w:pStyle w:val="179"/>
              <w:spacing w:line="360" w:lineRule="auto"/>
            </w:pPr>
            <w:r>
              <w:rPr>
                <w:rFonts w:hint="eastAsia"/>
                <w:sz w:val="24"/>
              </w:rPr>
              <w:t>职务/职称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360" w:lineRule="auto"/>
            </w:pPr>
          </w:p>
        </w:tc>
        <w:tc>
          <w:tcPr>
            <w:tcW w:w="4666" w:type="dxa"/>
            <w:gridSpan w:val="3"/>
            <w:shd w:val="clear" w:color="auto" w:fill="auto"/>
            <w:vAlign w:val="center"/>
          </w:tcPr>
          <w:p>
            <w:pPr>
              <w:pStyle w:val="179"/>
              <w:spacing w:line="360" w:lineRule="auto"/>
            </w:pPr>
          </w:p>
        </w:tc>
        <w:tc>
          <w:tcPr>
            <w:tcW w:w="3112" w:type="dxa"/>
            <w:gridSpan w:val="2"/>
            <w:shd w:val="clear" w:color="auto" w:fill="auto"/>
            <w:vAlign w:val="center"/>
          </w:tcPr>
          <w:p>
            <w:pPr>
              <w:pStyle w:val="179"/>
              <w:spacing w:line="36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360" w:lineRule="auto"/>
            </w:pPr>
          </w:p>
        </w:tc>
        <w:tc>
          <w:tcPr>
            <w:tcW w:w="4666" w:type="dxa"/>
            <w:gridSpan w:val="3"/>
            <w:shd w:val="clear" w:color="auto" w:fill="auto"/>
            <w:vAlign w:val="center"/>
          </w:tcPr>
          <w:p>
            <w:pPr>
              <w:pStyle w:val="179"/>
              <w:spacing w:line="360" w:lineRule="auto"/>
            </w:pPr>
          </w:p>
        </w:tc>
        <w:tc>
          <w:tcPr>
            <w:tcW w:w="3112" w:type="dxa"/>
            <w:gridSpan w:val="2"/>
            <w:shd w:val="clear" w:color="auto" w:fill="auto"/>
            <w:vAlign w:val="center"/>
          </w:tcPr>
          <w:p>
            <w:pPr>
              <w:pStyle w:val="179"/>
              <w:spacing w:line="36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360" w:lineRule="auto"/>
            </w:pPr>
          </w:p>
        </w:tc>
        <w:tc>
          <w:tcPr>
            <w:tcW w:w="4666" w:type="dxa"/>
            <w:gridSpan w:val="3"/>
            <w:shd w:val="clear" w:color="auto" w:fill="auto"/>
            <w:vAlign w:val="center"/>
          </w:tcPr>
          <w:p>
            <w:pPr>
              <w:pStyle w:val="179"/>
              <w:spacing w:line="360" w:lineRule="auto"/>
            </w:pPr>
          </w:p>
        </w:tc>
        <w:tc>
          <w:tcPr>
            <w:tcW w:w="3112" w:type="dxa"/>
            <w:gridSpan w:val="2"/>
            <w:shd w:val="clear" w:color="auto" w:fill="auto"/>
            <w:vAlign w:val="center"/>
          </w:tcPr>
          <w:p>
            <w:pPr>
              <w:pStyle w:val="179"/>
              <w:spacing w:line="360" w:lineRule="auto"/>
            </w:pPr>
          </w:p>
        </w:tc>
      </w:tr>
    </w:tbl>
    <w:p>
      <w:pPr>
        <w:pStyle w:val="57"/>
        <w:ind w:firstLine="420"/>
      </w:pPr>
    </w:p>
    <w:p>
      <w:pPr>
        <w:pStyle w:val="57"/>
        <w:ind w:firstLine="420"/>
        <w:sectPr>
          <w:pgSz w:w="11906" w:h="16838"/>
          <w:pgMar w:top="1928"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77"/>
        <w:spacing w:after="156"/>
      </w:pPr>
      <w:bookmarkStart w:id="86" w:name="_Toc131409491"/>
    </w:p>
    <w:p>
      <w:pPr>
        <w:pStyle w:val="77"/>
        <w:numPr>
          <w:ilvl w:val="0"/>
          <w:numId w:val="0"/>
        </w:numPr>
        <w:spacing w:after="156"/>
        <w:ind w:leftChars="0"/>
        <w:jc w:val="center"/>
      </w:pPr>
      <w:r>
        <w:rPr>
          <w:rFonts w:hint="eastAsia"/>
        </w:rPr>
        <w:t>授权签字人评价记录表</w:t>
      </w:r>
      <w:bookmarkEnd w:id="86"/>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6"/>
        <w:gridCol w:w="1392"/>
        <w:gridCol w:w="2089"/>
        <w:gridCol w:w="417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693" w:hRule="atLeast"/>
          <w:tblHeader/>
          <w:jc w:val="center"/>
        </w:trPr>
        <w:tc>
          <w:tcPr>
            <w:tcW w:w="8354" w:type="dxa"/>
            <w:gridSpan w:val="4"/>
            <w:tcBorders>
              <w:top w:val="single" w:color="auto" w:sz="8" w:space="0"/>
              <w:bottom w:val="single" w:color="auto" w:sz="8" w:space="0"/>
            </w:tcBorders>
            <w:shd w:val="clear" w:color="auto" w:fill="auto"/>
            <w:vAlign w:val="center"/>
          </w:tcPr>
          <w:p>
            <w:pPr>
              <w:pStyle w:val="179"/>
              <w:jc w:val="left"/>
            </w:pPr>
            <w:r>
              <w:rPr>
                <w:rFonts w:hint="eastAsia"/>
              </w:rPr>
              <w:t>考</w:t>
            </w:r>
            <w:r>
              <w:t xml:space="preserve">核的主要内容： </w:t>
            </w:r>
          </w:p>
          <w:p>
            <w:pPr>
              <w:pStyle w:val="179"/>
              <w:jc w:val="left"/>
            </w:pPr>
            <w:r>
              <w:t>1.工作经历；2.职责权限；3.检验检测技术及管理； 4 熟承担签字领域的技术标准方法；5.检验检测报告或证书审核签发程序；6.评价检验检测结果的能力；7.《检验检测资质认定评审准则》及其相关的法 律法规技术文件。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6" w:type="dxa"/>
            <w:tcBorders>
              <w:top w:val="single" w:color="auto" w:sz="8" w:space="0"/>
            </w:tcBorders>
            <w:shd w:val="clear" w:color="auto" w:fill="auto"/>
            <w:vAlign w:val="center"/>
          </w:tcPr>
          <w:p>
            <w:pPr>
              <w:pStyle w:val="179"/>
              <w:spacing w:line="360" w:lineRule="auto"/>
            </w:pPr>
            <w:r>
              <w:rPr>
                <w:rFonts w:hint="eastAsia"/>
              </w:rPr>
              <w:t>序号</w:t>
            </w:r>
          </w:p>
        </w:tc>
        <w:tc>
          <w:tcPr>
            <w:tcW w:w="1392" w:type="dxa"/>
            <w:tcBorders>
              <w:top w:val="single" w:color="auto" w:sz="8" w:space="0"/>
            </w:tcBorders>
            <w:shd w:val="clear" w:color="auto" w:fill="auto"/>
            <w:vAlign w:val="center"/>
          </w:tcPr>
          <w:p>
            <w:pPr>
              <w:pStyle w:val="179"/>
              <w:spacing w:line="360" w:lineRule="auto"/>
            </w:pPr>
            <w:r>
              <w:rPr>
                <w:rFonts w:hint="eastAsia"/>
              </w:rPr>
              <w:t>被考核人姓名</w:t>
            </w:r>
          </w:p>
        </w:tc>
        <w:tc>
          <w:tcPr>
            <w:tcW w:w="2089" w:type="dxa"/>
            <w:tcBorders>
              <w:top w:val="single" w:color="auto" w:sz="8" w:space="0"/>
            </w:tcBorders>
            <w:shd w:val="clear" w:color="auto" w:fill="auto"/>
            <w:vAlign w:val="center"/>
          </w:tcPr>
          <w:p>
            <w:pPr>
              <w:pStyle w:val="179"/>
              <w:spacing w:line="360" w:lineRule="auto"/>
            </w:pPr>
            <w:r>
              <w:t>职务及职称</w:t>
            </w:r>
          </w:p>
        </w:tc>
        <w:tc>
          <w:tcPr>
            <w:tcW w:w="4177" w:type="dxa"/>
            <w:tcBorders>
              <w:top w:val="single" w:color="auto" w:sz="8" w:space="0"/>
            </w:tcBorders>
            <w:shd w:val="clear" w:color="auto" w:fill="auto"/>
            <w:vAlign w:val="center"/>
          </w:tcPr>
          <w:p>
            <w:pPr>
              <w:pStyle w:val="179"/>
              <w:spacing w:line="360" w:lineRule="auto"/>
            </w:pPr>
            <w:r>
              <w:t>经考核后所确认的签字领域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6" w:type="dxa"/>
            <w:tcBorders>
              <w:top w:val="single" w:color="auto" w:sz="8" w:space="0"/>
            </w:tcBorders>
            <w:shd w:val="clear" w:color="auto" w:fill="auto"/>
            <w:vAlign w:val="center"/>
          </w:tcPr>
          <w:p>
            <w:pPr>
              <w:pStyle w:val="179"/>
              <w:spacing w:line="360" w:lineRule="auto"/>
            </w:pPr>
          </w:p>
        </w:tc>
        <w:tc>
          <w:tcPr>
            <w:tcW w:w="1392" w:type="dxa"/>
            <w:tcBorders>
              <w:top w:val="single" w:color="auto" w:sz="8" w:space="0"/>
            </w:tcBorders>
            <w:shd w:val="clear" w:color="auto" w:fill="auto"/>
            <w:vAlign w:val="center"/>
          </w:tcPr>
          <w:p>
            <w:pPr>
              <w:pStyle w:val="179"/>
              <w:spacing w:line="360" w:lineRule="auto"/>
            </w:pPr>
          </w:p>
        </w:tc>
        <w:tc>
          <w:tcPr>
            <w:tcW w:w="2089" w:type="dxa"/>
            <w:tcBorders>
              <w:top w:val="single" w:color="auto" w:sz="8" w:space="0"/>
            </w:tcBorders>
            <w:shd w:val="clear" w:color="auto" w:fill="auto"/>
            <w:vAlign w:val="center"/>
          </w:tcPr>
          <w:p>
            <w:pPr>
              <w:pStyle w:val="179"/>
              <w:spacing w:line="360" w:lineRule="auto"/>
            </w:pPr>
          </w:p>
        </w:tc>
        <w:tc>
          <w:tcPr>
            <w:tcW w:w="4177" w:type="dxa"/>
            <w:tcBorders>
              <w:top w:val="single" w:color="auto" w:sz="8" w:space="0"/>
            </w:tcBorders>
            <w:shd w:val="clear" w:color="auto" w:fill="auto"/>
            <w:vAlign w:val="center"/>
          </w:tcPr>
          <w:p>
            <w:pPr>
              <w:pStyle w:val="179"/>
              <w:spacing w:line="36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354" w:type="dxa"/>
            <w:gridSpan w:val="4"/>
            <w:shd w:val="clear" w:color="auto" w:fill="auto"/>
            <w:vAlign w:val="center"/>
          </w:tcPr>
          <w:p>
            <w:pPr>
              <w:pStyle w:val="179"/>
              <w:spacing w:line="360" w:lineRule="auto"/>
              <w:jc w:val="left"/>
            </w:pPr>
            <w:r>
              <w:t>给予评价意见：</w:t>
            </w:r>
          </w:p>
          <w:p>
            <w:pPr>
              <w:pStyle w:val="179"/>
              <w:spacing w:line="360" w:lineRule="auto"/>
              <w:jc w:val="left"/>
            </w:pPr>
          </w:p>
          <w:p>
            <w:pPr>
              <w:pStyle w:val="179"/>
              <w:spacing w:line="360" w:lineRule="auto"/>
              <w:jc w:val="left"/>
            </w:pPr>
          </w:p>
          <w:p>
            <w:pPr>
              <w:pStyle w:val="179"/>
              <w:spacing w:line="360" w:lineRule="auto"/>
              <w:jc w:val="left"/>
            </w:pPr>
          </w:p>
          <w:p>
            <w:pPr>
              <w:pStyle w:val="179"/>
              <w:spacing w:line="360" w:lineRule="auto"/>
              <w:jc w:val="left"/>
            </w:pPr>
          </w:p>
          <w:p>
            <w:pPr>
              <w:pStyle w:val="179"/>
              <w:spacing w:line="360" w:lineRule="auto"/>
              <w:jc w:val="left"/>
            </w:pPr>
          </w:p>
          <w:p>
            <w:pPr>
              <w:pStyle w:val="179"/>
              <w:spacing w:line="360" w:lineRule="auto"/>
              <w:jc w:val="left"/>
            </w:pPr>
          </w:p>
          <w:p>
            <w:pPr>
              <w:pStyle w:val="179"/>
              <w:spacing w:line="360" w:lineRule="auto"/>
              <w:jc w:val="left"/>
            </w:pPr>
          </w:p>
          <w:p>
            <w:pPr>
              <w:pStyle w:val="179"/>
              <w:spacing w:line="360" w:lineRule="auto"/>
              <w:jc w:val="left"/>
            </w:pPr>
          </w:p>
          <w:p>
            <w:pPr>
              <w:pStyle w:val="179"/>
              <w:spacing w:line="360" w:lineRule="auto"/>
              <w:jc w:val="left"/>
            </w:pPr>
          </w:p>
          <w:p>
            <w:pPr>
              <w:pStyle w:val="179"/>
              <w:spacing w:line="360" w:lineRule="auto"/>
              <w:jc w:val="left"/>
            </w:pPr>
          </w:p>
          <w:p>
            <w:pPr>
              <w:pStyle w:val="179"/>
              <w:spacing w:line="360" w:lineRule="auto"/>
              <w:jc w:val="left"/>
            </w:pPr>
          </w:p>
          <w:p>
            <w:pPr>
              <w:pStyle w:val="179"/>
              <w:spacing w:line="360" w:lineRule="auto"/>
              <w:jc w:val="left"/>
            </w:pPr>
          </w:p>
          <w:p>
            <w:pPr>
              <w:pStyle w:val="179"/>
              <w:spacing w:line="360" w:lineRule="auto"/>
              <w:jc w:val="left"/>
            </w:pPr>
          </w:p>
          <w:p>
            <w:pPr>
              <w:pStyle w:val="179"/>
              <w:spacing w:line="360" w:lineRule="auto"/>
              <w:jc w:val="left"/>
            </w:pPr>
          </w:p>
          <w:p>
            <w:pPr>
              <w:pStyle w:val="179"/>
              <w:spacing w:line="360" w:lineRule="auto"/>
              <w:jc w:val="left"/>
            </w:pPr>
            <w:r>
              <w:rPr>
                <w:rFonts w:hint="eastAsia"/>
              </w:rPr>
              <w:t>评审人员签名：</w:t>
            </w:r>
          </w:p>
          <w:p>
            <w:pPr>
              <w:pStyle w:val="179"/>
              <w:spacing w:line="360" w:lineRule="auto"/>
              <w:ind w:right="540"/>
              <w:jc w:val="right"/>
            </w:pPr>
            <w:r>
              <w:rPr>
                <w:rFonts w:hint="eastAsia"/>
              </w:rPr>
              <w:t>日期：XXXX-XX-XX</w:t>
            </w:r>
          </w:p>
          <w:p>
            <w:pPr>
              <w:pStyle w:val="179"/>
              <w:spacing w:line="360" w:lineRule="auto"/>
              <w:jc w:val="left"/>
            </w:pPr>
          </w:p>
        </w:tc>
      </w:tr>
    </w:tbl>
    <w:p>
      <w:pPr>
        <w:pStyle w:val="180"/>
      </w:pPr>
      <w:r>
        <w:t>被考核的授权签字人每人一张</w:t>
      </w:r>
    </w:p>
    <w:p>
      <w:pPr>
        <w:pStyle w:val="57"/>
        <w:ind w:firstLine="420"/>
      </w:pPr>
    </w:p>
    <w:p>
      <w:pPr>
        <w:pStyle w:val="57"/>
        <w:ind w:firstLine="420"/>
        <w:sectPr>
          <w:pgSz w:w="11906" w:h="16838"/>
          <w:pgMar w:top="1928"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77"/>
        <w:spacing w:after="156"/>
      </w:pPr>
      <w:bookmarkStart w:id="87" w:name="_Toc131409492"/>
    </w:p>
    <w:p>
      <w:pPr>
        <w:pStyle w:val="77"/>
        <w:numPr>
          <w:ilvl w:val="0"/>
          <w:numId w:val="0"/>
        </w:numPr>
        <w:spacing w:after="156"/>
        <w:ind w:leftChars="0"/>
        <w:jc w:val="center"/>
      </w:pPr>
      <w:r>
        <w:rPr>
          <w:rFonts w:hint="eastAsia"/>
        </w:rPr>
        <w:t>基本符合项和不符合项汇总表</w:t>
      </w:r>
      <w:bookmarkEnd w:id="87"/>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6"/>
        <w:gridCol w:w="1556"/>
        <w:gridCol w:w="1555"/>
        <w:gridCol w:w="1555"/>
        <w:gridCol w:w="1556"/>
        <w:gridCol w:w="15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556" w:type="dxa"/>
            <w:tcBorders>
              <w:top w:val="single" w:color="auto" w:sz="8" w:space="0"/>
              <w:bottom w:val="single" w:color="auto" w:sz="8" w:space="0"/>
            </w:tcBorders>
            <w:shd w:val="clear" w:color="auto" w:fill="auto"/>
            <w:vAlign w:val="center"/>
          </w:tcPr>
          <w:p>
            <w:pPr>
              <w:pStyle w:val="179"/>
              <w:spacing w:line="480" w:lineRule="auto"/>
            </w:pPr>
            <w:r>
              <w:rPr>
                <w:rFonts w:hint="eastAsia"/>
              </w:rPr>
              <w:t>序号</w:t>
            </w:r>
          </w:p>
        </w:tc>
        <w:tc>
          <w:tcPr>
            <w:tcW w:w="1556" w:type="dxa"/>
            <w:tcBorders>
              <w:top w:val="single" w:color="auto" w:sz="8" w:space="0"/>
              <w:bottom w:val="single" w:color="auto" w:sz="8" w:space="0"/>
            </w:tcBorders>
            <w:shd w:val="clear" w:color="auto" w:fill="auto"/>
            <w:vAlign w:val="center"/>
          </w:tcPr>
          <w:p>
            <w:pPr>
              <w:pStyle w:val="179"/>
              <w:spacing w:line="480" w:lineRule="auto"/>
            </w:pPr>
            <w:r>
              <w:rPr>
                <w:rFonts w:hint="eastAsia"/>
              </w:rPr>
              <w:t>条款号</w:t>
            </w:r>
          </w:p>
        </w:tc>
        <w:tc>
          <w:tcPr>
            <w:tcW w:w="1555" w:type="dxa"/>
            <w:tcBorders>
              <w:top w:val="single" w:color="auto" w:sz="8" w:space="0"/>
              <w:bottom w:val="single" w:color="auto" w:sz="8" w:space="0"/>
            </w:tcBorders>
            <w:shd w:val="clear" w:color="auto" w:fill="auto"/>
            <w:vAlign w:val="center"/>
          </w:tcPr>
          <w:p>
            <w:pPr>
              <w:pStyle w:val="179"/>
              <w:spacing w:line="480" w:lineRule="auto"/>
            </w:pPr>
            <w:r>
              <w:rPr>
                <w:rFonts w:hint="eastAsia"/>
              </w:rPr>
              <w:t>观察发现</w:t>
            </w:r>
          </w:p>
        </w:tc>
        <w:tc>
          <w:tcPr>
            <w:tcW w:w="1555" w:type="dxa"/>
            <w:tcBorders>
              <w:top w:val="single" w:color="auto" w:sz="8" w:space="0"/>
              <w:bottom w:val="single" w:color="auto" w:sz="8" w:space="0"/>
            </w:tcBorders>
            <w:shd w:val="clear" w:color="auto" w:fill="auto"/>
            <w:vAlign w:val="center"/>
          </w:tcPr>
          <w:p>
            <w:pPr>
              <w:pStyle w:val="179"/>
              <w:spacing w:line="480" w:lineRule="auto"/>
            </w:pPr>
            <w:r>
              <w:rPr>
                <w:rFonts w:hint="eastAsia"/>
              </w:rPr>
              <w:t>基本符合</w:t>
            </w:r>
          </w:p>
        </w:tc>
        <w:tc>
          <w:tcPr>
            <w:tcW w:w="1556" w:type="dxa"/>
            <w:tcBorders>
              <w:top w:val="single" w:color="auto" w:sz="8" w:space="0"/>
              <w:bottom w:val="single" w:color="auto" w:sz="8" w:space="0"/>
            </w:tcBorders>
            <w:shd w:val="clear" w:color="auto" w:fill="auto"/>
            <w:vAlign w:val="center"/>
          </w:tcPr>
          <w:p>
            <w:pPr>
              <w:pStyle w:val="179"/>
              <w:spacing w:line="480" w:lineRule="auto"/>
            </w:pPr>
            <w:r>
              <w:rPr>
                <w:rFonts w:hint="eastAsia"/>
              </w:rPr>
              <w:t>不符合</w:t>
            </w:r>
          </w:p>
        </w:tc>
        <w:tc>
          <w:tcPr>
            <w:tcW w:w="1556" w:type="dxa"/>
            <w:tcBorders>
              <w:top w:val="single" w:color="auto" w:sz="8" w:space="0"/>
              <w:bottom w:val="single" w:color="auto" w:sz="8" w:space="0"/>
            </w:tcBorders>
            <w:shd w:val="clear" w:color="auto" w:fill="auto"/>
            <w:vAlign w:val="center"/>
          </w:tcPr>
          <w:p>
            <w:pPr>
              <w:pStyle w:val="179"/>
              <w:spacing w:line="480" w:lineRule="auto"/>
            </w:pPr>
            <w:r>
              <w:rPr>
                <w:rFonts w:hint="eastAsia"/>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tcBorders>
              <w:top w:val="single" w:color="auto" w:sz="8" w:space="0"/>
            </w:tcBorders>
            <w:shd w:val="clear" w:color="auto" w:fill="auto"/>
            <w:vAlign w:val="center"/>
          </w:tcPr>
          <w:p>
            <w:pPr>
              <w:pStyle w:val="179"/>
              <w:spacing w:line="480" w:lineRule="auto"/>
            </w:pPr>
          </w:p>
        </w:tc>
        <w:tc>
          <w:tcPr>
            <w:tcW w:w="1556" w:type="dxa"/>
            <w:tcBorders>
              <w:top w:val="single" w:color="auto" w:sz="8" w:space="0"/>
            </w:tcBorders>
            <w:shd w:val="clear" w:color="auto" w:fill="auto"/>
            <w:vAlign w:val="center"/>
          </w:tcPr>
          <w:p>
            <w:pPr>
              <w:pStyle w:val="179"/>
              <w:spacing w:line="480" w:lineRule="auto"/>
            </w:pPr>
          </w:p>
        </w:tc>
        <w:tc>
          <w:tcPr>
            <w:tcW w:w="1555" w:type="dxa"/>
            <w:tcBorders>
              <w:top w:val="single" w:color="auto" w:sz="8" w:space="0"/>
            </w:tcBorders>
            <w:shd w:val="clear" w:color="auto" w:fill="auto"/>
            <w:vAlign w:val="center"/>
          </w:tcPr>
          <w:p>
            <w:pPr>
              <w:pStyle w:val="179"/>
              <w:spacing w:line="480" w:lineRule="auto"/>
            </w:pPr>
          </w:p>
        </w:tc>
        <w:tc>
          <w:tcPr>
            <w:tcW w:w="1555" w:type="dxa"/>
            <w:tcBorders>
              <w:top w:val="single" w:color="auto" w:sz="8" w:space="0"/>
            </w:tcBorders>
            <w:shd w:val="clear" w:color="auto" w:fill="auto"/>
            <w:vAlign w:val="center"/>
          </w:tcPr>
          <w:p>
            <w:pPr>
              <w:pStyle w:val="179"/>
              <w:spacing w:line="480" w:lineRule="auto"/>
            </w:pPr>
          </w:p>
        </w:tc>
        <w:tc>
          <w:tcPr>
            <w:tcW w:w="1556" w:type="dxa"/>
            <w:tcBorders>
              <w:top w:val="single" w:color="auto" w:sz="8" w:space="0"/>
            </w:tcBorders>
            <w:shd w:val="clear" w:color="auto" w:fill="auto"/>
            <w:vAlign w:val="center"/>
          </w:tcPr>
          <w:p>
            <w:pPr>
              <w:pStyle w:val="179"/>
              <w:spacing w:line="480" w:lineRule="auto"/>
            </w:pPr>
          </w:p>
        </w:tc>
        <w:tc>
          <w:tcPr>
            <w:tcW w:w="1556" w:type="dxa"/>
            <w:tcBorders>
              <w:top w:val="single" w:color="auto" w:sz="8" w:space="0"/>
            </w:tcBorders>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c>
          <w:tcPr>
            <w:tcW w:w="1555" w:type="dxa"/>
            <w:shd w:val="clear" w:color="auto" w:fill="auto"/>
            <w:vAlign w:val="center"/>
          </w:tcPr>
          <w:p>
            <w:pPr>
              <w:pStyle w:val="179"/>
              <w:spacing w:line="480" w:lineRule="auto"/>
            </w:pPr>
          </w:p>
        </w:tc>
        <w:tc>
          <w:tcPr>
            <w:tcW w:w="1555"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c>
          <w:tcPr>
            <w:tcW w:w="1555" w:type="dxa"/>
            <w:shd w:val="clear" w:color="auto" w:fill="auto"/>
            <w:vAlign w:val="center"/>
          </w:tcPr>
          <w:p>
            <w:pPr>
              <w:pStyle w:val="179"/>
              <w:spacing w:line="480" w:lineRule="auto"/>
            </w:pPr>
          </w:p>
        </w:tc>
        <w:tc>
          <w:tcPr>
            <w:tcW w:w="1555"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c>
          <w:tcPr>
            <w:tcW w:w="1555" w:type="dxa"/>
            <w:shd w:val="clear" w:color="auto" w:fill="auto"/>
            <w:vAlign w:val="center"/>
          </w:tcPr>
          <w:p>
            <w:pPr>
              <w:pStyle w:val="179"/>
              <w:spacing w:line="480" w:lineRule="auto"/>
            </w:pPr>
          </w:p>
        </w:tc>
        <w:tc>
          <w:tcPr>
            <w:tcW w:w="1555"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c>
          <w:tcPr>
            <w:tcW w:w="1555" w:type="dxa"/>
            <w:shd w:val="clear" w:color="auto" w:fill="auto"/>
            <w:vAlign w:val="center"/>
          </w:tcPr>
          <w:p>
            <w:pPr>
              <w:pStyle w:val="179"/>
              <w:spacing w:line="480" w:lineRule="auto"/>
            </w:pPr>
          </w:p>
        </w:tc>
        <w:tc>
          <w:tcPr>
            <w:tcW w:w="1555"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c>
          <w:tcPr>
            <w:tcW w:w="1555" w:type="dxa"/>
            <w:shd w:val="clear" w:color="auto" w:fill="auto"/>
            <w:vAlign w:val="center"/>
          </w:tcPr>
          <w:p>
            <w:pPr>
              <w:pStyle w:val="179"/>
              <w:spacing w:line="480" w:lineRule="auto"/>
            </w:pPr>
          </w:p>
        </w:tc>
        <w:tc>
          <w:tcPr>
            <w:tcW w:w="1555"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c>
          <w:tcPr>
            <w:tcW w:w="1555" w:type="dxa"/>
            <w:shd w:val="clear" w:color="auto" w:fill="auto"/>
            <w:vAlign w:val="center"/>
          </w:tcPr>
          <w:p>
            <w:pPr>
              <w:pStyle w:val="179"/>
              <w:spacing w:line="480" w:lineRule="auto"/>
            </w:pPr>
          </w:p>
        </w:tc>
        <w:tc>
          <w:tcPr>
            <w:tcW w:w="1555"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c>
          <w:tcPr>
            <w:tcW w:w="1555" w:type="dxa"/>
            <w:shd w:val="clear" w:color="auto" w:fill="auto"/>
            <w:vAlign w:val="center"/>
          </w:tcPr>
          <w:p>
            <w:pPr>
              <w:pStyle w:val="179"/>
              <w:spacing w:line="480" w:lineRule="auto"/>
            </w:pPr>
          </w:p>
        </w:tc>
        <w:tc>
          <w:tcPr>
            <w:tcW w:w="1555"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c>
          <w:tcPr>
            <w:tcW w:w="1555" w:type="dxa"/>
            <w:shd w:val="clear" w:color="auto" w:fill="auto"/>
            <w:vAlign w:val="center"/>
          </w:tcPr>
          <w:p>
            <w:pPr>
              <w:pStyle w:val="179"/>
              <w:spacing w:line="480" w:lineRule="auto"/>
            </w:pPr>
          </w:p>
        </w:tc>
        <w:tc>
          <w:tcPr>
            <w:tcW w:w="1555"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556"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c>
          <w:tcPr>
            <w:tcW w:w="1555" w:type="dxa"/>
            <w:shd w:val="clear" w:color="auto" w:fill="auto"/>
            <w:vAlign w:val="center"/>
          </w:tcPr>
          <w:p>
            <w:pPr>
              <w:pStyle w:val="179"/>
              <w:spacing w:line="480" w:lineRule="auto"/>
            </w:pPr>
          </w:p>
        </w:tc>
        <w:tc>
          <w:tcPr>
            <w:tcW w:w="1555"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c>
          <w:tcPr>
            <w:tcW w:w="1556" w:type="dxa"/>
            <w:shd w:val="clear" w:color="auto" w:fill="auto"/>
            <w:vAlign w:val="center"/>
          </w:tcPr>
          <w:p>
            <w:pPr>
              <w:pStyle w:val="179"/>
              <w:spacing w:line="480" w:lineRule="auto"/>
            </w:pPr>
          </w:p>
        </w:tc>
      </w:tr>
    </w:tbl>
    <w:p>
      <w:pPr>
        <w:pStyle w:val="57"/>
        <w:ind w:firstLine="420"/>
      </w:pPr>
    </w:p>
    <w:p>
      <w:pPr>
        <w:pStyle w:val="57"/>
        <w:ind w:firstLine="420"/>
      </w:pPr>
      <w:r>
        <w:t>检验检测机构法定代表人或被授权人（适用时）签名：</w:t>
      </w:r>
    </w:p>
    <w:p>
      <w:pPr>
        <w:pStyle w:val="57"/>
        <w:ind w:firstLine="420"/>
      </w:pPr>
    </w:p>
    <w:p>
      <w:pPr>
        <w:pStyle w:val="57"/>
        <w:ind w:firstLine="420"/>
      </w:pPr>
      <w:r>
        <w:t>评审组长签名：</w:t>
      </w:r>
    </w:p>
    <w:p>
      <w:pPr>
        <w:pStyle w:val="57"/>
        <w:ind w:firstLine="420"/>
      </w:pPr>
    </w:p>
    <w:p>
      <w:pPr>
        <w:pStyle w:val="180"/>
      </w:pPr>
    </w:p>
    <w:p>
      <w:pPr>
        <w:pStyle w:val="180"/>
        <w:numPr>
          <w:ilvl w:val="0"/>
          <w:numId w:val="56"/>
        </w:numPr>
      </w:pPr>
      <w:r>
        <w:rPr>
          <w:rFonts w:hint="eastAsia"/>
        </w:rPr>
        <w:t>在相应判定栏内划√；</w:t>
      </w:r>
    </w:p>
    <w:p>
      <w:pPr>
        <w:pStyle w:val="180"/>
        <w:numPr>
          <w:ilvl w:val="0"/>
          <w:numId w:val="0"/>
        </w:numPr>
        <w:ind w:left="737"/>
      </w:pPr>
      <w:r>
        <w:rPr>
          <w:rFonts w:hint="eastAsia"/>
        </w:rPr>
        <w:t>②体系文件中有描述但实施不规范的，为基本符合；体系文件无规定或有规定未实施的，为不符合。</w:t>
      </w:r>
    </w:p>
    <w:p>
      <w:pPr>
        <w:pStyle w:val="180"/>
        <w:numPr>
          <w:ilvl w:val="0"/>
          <w:numId w:val="0"/>
        </w:numPr>
        <w:ind w:left="737"/>
      </w:pPr>
      <w:r>
        <w:rPr>
          <w:rFonts w:hint="eastAsia"/>
        </w:rPr>
        <w:t>③“观察发现”应对基本符合和不符合的具体事实予以说明。</w:t>
      </w:r>
    </w:p>
    <w:p>
      <w:pPr>
        <w:pStyle w:val="57"/>
        <w:ind w:firstLine="420"/>
      </w:pPr>
    </w:p>
    <w:p>
      <w:pPr>
        <w:pStyle w:val="57"/>
        <w:ind w:firstLine="420"/>
      </w:pPr>
    </w:p>
    <w:p>
      <w:pPr>
        <w:pStyle w:val="57"/>
        <w:ind w:firstLine="420"/>
        <w:sectPr>
          <w:pgSz w:w="11906" w:h="16838"/>
          <w:pgMar w:top="1928"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77"/>
        <w:spacing w:after="156"/>
      </w:pPr>
      <w:bookmarkStart w:id="88" w:name="_Toc131409493"/>
    </w:p>
    <w:p>
      <w:pPr>
        <w:pStyle w:val="77"/>
        <w:numPr>
          <w:ilvl w:val="0"/>
          <w:numId w:val="0"/>
        </w:numPr>
        <w:spacing w:after="156"/>
        <w:ind w:leftChars="0"/>
        <w:jc w:val="center"/>
      </w:pPr>
      <w:r>
        <w:rPr>
          <w:rFonts w:hint="eastAsia"/>
        </w:rPr>
        <w:t>整改完成记录、评审组长确认意见表</w:t>
      </w:r>
      <w:bookmarkEnd w:id="88"/>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33"/>
        <w:gridCol w:w="75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33" w:type="dxa"/>
            <w:tcBorders>
              <w:top w:val="single" w:color="auto" w:sz="8" w:space="0"/>
              <w:bottom w:val="single" w:color="auto" w:sz="8" w:space="0"/>
            </w:tcBorders>
            <w:shd w:val="clear" w:color="auto" w:fill="auto"/>
            <w:vAlign w:val="center"/>
          </w:tcPr>
          <w:p>
            <w:pPr>
              <w:pStyle w:val="179"/>
            </w:pPr>
            <w:r>
              <w:t>需整改</w:t>
            </w:r>
          </w:p>
          <w:p>
            <w:pPr>
              <w:pStyle w:val="179"/>
            </w:pPr>
            <w:r>
              <w:t>条款号</w:t>
            </w:r>
          </w:p>
        </w:tc>
        <w:tc>
          <w:tcPr>
            <w:tcW w:w="7501" w:type="dxa"/>
            <w:tcBorders>
              <w:top w:val="single" w:color="auto" w:sz="8" w:space="0"/>
              <w:bottom w:val="single" w:color="auto" w:sz="8" w:space="0"/>
            </w:tcBorders>
            <w:shd w:val="clear" w:color="auto" w:fill="auto"/>
            <w:vAlign w:val="center"/>
          </w:tcPr>
          <w:p>
            <w:pPr>
              <w:pStyle w:val="179"/>
            </w:pPr>
            <w:r>
              <w:t>完成整改情况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tcBorders>
              <w:top w:val="single" w:color="auto" w:sz="8" w:space="0"/>
            </w:tcBorders>
            <w:shd w:val="clear" w:color="auto" w:fill="auto"/>
            <w:vAlign w:val="center"/>
          </w:tcPr>
          <w:p>
            <w:pPr>
              <w:pStyle w:val="179"/>
              <w:spacing w:line="480" w:lineRule="auto"/>
            </w:pPr>
          </w:p>
        </w:tc>
        <w:tc>
          <w:tcPr>
            <w:tcW w:w="7501" w:type="dxa"/>
            <w:tcBorders>
              <w:top w:val="single" w:color="auto" w:sz="8" w:space="0"/>
            </w:tcBorders>
            <w:shd w:val="clear" w:color="auto" w:fill="auto"/>
            <w:vAlign w:val="center"/>
          </w:tcPr>
          <w:p>
            <w:pPr>
              <w:pStyle w:val="179"/>
              <w:spacing w:line="36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pPr>
              <w:pStyle w:val="179"/>
              <w:spacing w:line="480" w:lineRule="auto"/>
            </w:pPr>
          </w:p>
        </w:tc>
        <w:tc>
          <w:tcPr>
            <w:tcW w:w="7501" w:type="dxa"/>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pPr>
              <w:pStyle w:val="179"/>
              <w:spacing w:line="480" w:lineRule="auto"/>
            </w:pPr>
          </w:p>
        </w:tc>
        <w:tc>
          <w:tcPr>
            <w:tcW w:w="7501" w:type="dxa"/>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pPr>
              <w:pStyle w:val="179"/>
              <w:spacing w:line="480" w:lineRule="auto"/>
            </w:pPr>
          </w:p>
        </w:tc>
        <w:tc>
          <w:tcPr>
            <w:tcW w:w="7501" w:type="dxa"/>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pPr>
              <w:pStyle w:val="179"/>
              <w:spacing w:line="480" w:lineRule="auto"/>
            </w:pPr>
          </w:p>
        </w:tc>
        <w:tc>
          <w:tcPr>
            <w:tcW w:w="7501" w:type="dxa"/>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pPr>
              <w:pStyle w:val="179"/>
              <w:spacing w:line="480" w:lineRule="auto"/>
            </w:pPr>
          </w:p>
        </w:tc>
        <w:tc>
          <w:tcPr>
            <w:tcW w:w="7501" w:type="dxa"/>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pPr>
              <w:pStyle w:val="179"/>
              <w:spacing w:line="480" w:lineRule="auto"/>
            </w:pPr>
          </w:p>
        </w:tc>
        <w:tc>
          <w:tcPr>
            <w:tcW w:w="7501" w:type="dxa"/>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pPr>
              <w:pStyle w:val="179"/>
              <w:spacing w:line="480" w:lineRule="auto"/>
            </w:pPr>
          </w:p>
        </w:tc>
        <w:tc>
          <w:tcPr>
            <w:tcW w:w="7501" w:type="dxa"/>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pPr>
              <w:pStyle w:val="179"/>
              <w:spacing w:line="480" w:lineRule="auto"/>
            </w:pPr>
          </w:p>
        </w:tc>
        <w:tc>
          <w:tcPr>
            <w:tcW w:w="7501" w:type="dxa"/>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pPr>
              <w:pStyle w:val="179"/>
              <w:spacing w:line="480" w:lineRule="auto"/>
            </w:pPr>
          </w:p>
        </w:tc>
        <w:tc>
          <w:tcPr>
            <w:tcW w:w="7501" w:type="dxa"/>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pPr>
              <w:pStyle w:val="179"/>
              <w:spacing w:line="480" w:lineRule="auto"/>
            </w:pPr>
          </w:p>
        </w:tc>
        <w:tc>
          <w:tcPr>
            <w:tcW w:w="7501" w:type="dxa"/>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pPr>
              <w:pStyle w:val="179"/>
              <w:spacing w:line="480" w:lineRule="auto"/>
            </w:pPr>
          </w:p>
        </w:tc>
        <w:tc>
          <w:tcPr>
            <w:tcW w:w="7501" w:type="dxa"/>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2"/>
            <w:shd w:val="clear" w:color="auto" w:fill="auto"/>
            <w:vAlign w:val="center"/>
          </w:tcPr>
          <w:p>
            <w:pPr>
              <w:pStyle w:val="179"/>
              <w:spacing w:line="480" w:lineRule="auto"/>
              <w:jc w:val="both"/>
            </w:pPr>
            <w:r>
              <w:t>评审组长对整改完成情况的确认意见：</w:t>
            </w:r>
          </w:p>
          <w:p>
            <w:pPr>
              <w:pStyle w:val="179"/>
              <w:spacing w:line="480" w:lineRule="auto"/>
              <w:jc w:val="both"/>
            </w:pPr>
          </w:p>
          <w:p>
            <w:pPr>
              <w:pStyle w:val="179"/>
              <w:spacing w:line="480" w:lineRule="auto"/>
              <w:jc w:val="both"/>
            </w:pPr>
          </w:p>
          <w:p>
            <w:pPr>
              <w:pStyle w:val="179"/>
              <w:spacing w:line="480" w:lineRule="auto"/>
              <w:jc w:val="both"/>
            </w:pPr>
          </w:p>
          <w:p>
            <w:pPr>
              <w:pStyle w:val="179"/>
              <w:spacing w:line="480" w:lineRule="auto"/>
              <w:jc w:val="both"/>
            </w:pPr>
            <w:r>
              <w:t>评审组长签字：                                                               日期：</w:t>
            </w:r>
          </w:p>
        </w:tc>
      </w:tr>
      <w:bookmarkEnd w:id="82"/>
    </w:tbl>
    <w:p>
      <w:pPr>
        <w:pStyle w:val="77"/>
        <w:numPr>
          <w:ilvl w:val="0"/>
          <w:numId w:val="0"/>
        </w:numPr>
        <w:spacing w:after="156"/>
        <w:ind w:leftChars="0"/>
        <w:jc w:val="center"/>
        <w:rPr>
          <w:rFonts w:hint="default" w:eastAsia="黑体"/>
          <w:lang w:val="en-US" w:eastAsia="zh-CN"/>
        </w:rPr>
      </w:pPr>
      <w:bookmarkStart w:id="89" w:name="_Toc131409487"/>
      <w:bookmarkStart w:id="90" w:name="BookMark6"/>
      <w:r>
        <w:rPr>
          <w:rFonts w:hint="eastAsia"/>
          <w:lang w:val="en-US" w:eastAsia="zh-CN"/>
        </w:rPr>
        <w:t>附录G</w:t>
      </w:r>
    </w:p>
    <w:p>
      <w:pPr>
        <w:pStyle w:val="77"/>
        <w:numPr>
          <w:ilvl w:val="0"/>
          <w:numId w:val="0"/>
        </w:numPr>
        <w:spacing w:after="156"/>
        <w:ind w:leftChars="0"/>
        <w:jc w:val="center"/>
      </w:pPr>
      <w:r>
        <w:rPr>
          <w:rFonts w:hint="eastAsia"/>
        </w:rPr>
        <w:t>检验检测机构对资质认定评审组的工作评价反馈表</w:t>
      </w:r>
      <w:bookmarkEnd w:id="89"/>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2925"/>
        <w:gridCol w:w="2359"/>
        <w:gridCol w:w="23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26" w:hRule="atLeast"/>
          <w:tblHeader/>
          <w:jc w:val="center"/>
        </w:trPr>
        <w:tc>
          <w:tcPr>
            <w:tcW w:w="1691" w:type="dxa"/>
            <w:tcBorders>
              <w:top w:val="single" w:color="auto" w:sz="8" w:space="0"/>
              <w:bottom w:val="single" w:color="auto" w:sz="8" w:space="0"/>
            </w:tcBorders>
            <w:shd w:val="clear" w:color="auto" w:fill="auto"/>
            <w:vAlign w:val="center"/>
          </w:tcPr>
          <w:p>
            <w:pPr>
              <w:pStyle w:val="179"/>
            </w:pPr>
            <w:r>
              <w:rPr>
                <w:rFonts w:hint="eastAsia"/>
              </w:rPr>
              <w:t>检验检测</w:t>
            </w:r>
          </w:p>
          <w:p>
            <w:pPr>
              <w:pStyle w:val="179"/>
            </w:pPr>
            <w:r>
              <w:rPr>
                <w:rFonts w:hint="eastAsia"/>
              </w:rPr>
              <w:t>机构名称</w:t>
            </w:r>
          </w:p>
        </w:tc>
        <w:tc>
          <w:tcPr>
            <w:tcW w:w="7643" w:type="dxa"/>
            <w:gridSpan w:val="3"/>
            <w:tcBorders>
              <w:top w:val="single" w:color="auto" w:sz="8" w:space="0"/>
              <w:bottom w:val="single" w:color="auto" w:sz="8" w:space="0"/>
            </w:tcBorders>
            <w:shd w:val="clear" w:color="auto" w:fill="auto"/>
            <w:vAlign w:val="center"/>
          </w:tcPr>
          <w:p>
            <w:pPr>
              <w:pStyle w:val="179"/>
              <w:jc w:val="both"/>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71" w:hRule="atLeast"/>
          <w:jc w:val="center"/>
        </w:trPr>
        <w:tc>
          <w:tcPr>
            <w:tcW w:w="1691" w:type="dxa"/>
            <w:tcBorders>
              <w:top w:val="single" w:color="auto" w:sz="8" w:space="0"/>
            </w:tcBorders>
            <w:shd w:val="clear" w:color="auto" w:fill="auto"/>
            <w:vAlign w:val="center"/>
          </w:tcPr>
          <w:p>
            <w:pPr>
              <w:pStyle w:val="179"/>
              <w:spacing w:line="480" w:lineRule="auto"/>
            </w:pPr>
            <w:r>
              <w:rPr>
                <w:rFonts w:hint="eastAsia"/>
              </w:rPr>
              <w:t>评审组长姓名</w:t>
            </w:r>
          </w:p>
        </w:tc>
        <w:tc>
          <w:tcPr>
            <w:tcW w:w="2925" w:type="dxa"/>
            <w:tcBorders>
              <w:top w:val="single" w:color="auto" w:sz="8" w:space="0"/>
            </w:tcBorders>
            <w:shd w:val="clear" w:color="auto" w:fill="auto"/>
            <w:vAlign w:val="center"/>
          </w:tcPr>
          <w:p>
            <w:pPr>
              <w:pStyle w:val="179"/>
              <w:spacing w:line="480" w:lineRule="auto"/>
            </w:pPr>
          </w:p>
        </w:tc>
        <w:tc>
          <w:tcPr>
            <w:tcW w:w="2359" w:type="dxa"/>
            <w:tcBorders>
              <w:top w:val="single" w:color="auto" w:sz="8" w:space="0"/>
            </w:tcBorders>
            <w:shd w:val="clear" w:color="auto" w:fill="auto"/>
            <w:vAlign w:val="center"/>
          </w:tcPr>
          <w:p>
            <w:pPr>
              <w:pStyle w:val="179"/>
              <w:spacing w:line="480" w:lineRule="auto"/>
            </w:pPr>
            <w:r>
              <w:rPr>
                <w:rFonts w:hint="eastAsia"/>
              </w:rPr>
              <w:t>评审日期</w:t>
            </w:r>
          </w:p>
        </w:tc>
        <w:tc>
          <w:tcPr>
            <w:tcW w:w="2359" w:type="dxa"/>
            <w:tcBorders>
              <w:top w:val="single" w:color="auto" w:sz="8" w:space="0"/>
            </w:tcBorders>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82" w:hRule="atLeast"/>
          <w:jc w:val="center"/>
        </w:trPr>
        <w:tc>
          <w:tcPr>
            <w:tcW w:w="1691" w:type="dxa"/>
            <w:shd w:val="clear" w:color="auto" w:fill="auto"/>
            <w:vAlign w:val="center"/>
          </w:tcPr>
          <w:p>
            <w:pPr>
              <w:pStyle w:val="179"/>
              <w:spacing w:line="480" w:lineRule="auto"/>
            </w:pPr>
            <w:r>
              <w:rPr>
                <w:rFonts w:hint="eastAsia" w:hAnsi="宋体"/>
              </w:rPr>
              <w:t>评审员姓名</w:t>
            </w:r>
          </w:p>
        </w:tc>
        <w:tc>
          <w:tcPr>
            <w:tcW w:w="7643" w:type="dxa"/>
            <w:gridSpan w:val="3"/>
            <w:shd w:val="clear" w:color="auto" w:fill="auto"/>
            <w:vAlign w:val="center"/>
          </w:tcPr>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318" w:hRule="atLeast"/>
          <w:jc w:val="center"/>
        </w:trPr>
        <w:tc>
          <w:tcPr>
            <w:tcW w:w="1691" w:type="dxa"/>
            <w:shd w:val="clear" w:color="auto" w:fill="auto"/>
            <w:vAlign w:val="center"/>
          </w:tcPr>
          <w:p>
            <w:pPr>
              <w:spacing w:before="120" w:after="120"/>
              <w:jc w:val="center"/>
              <w:rPr>
                <w:rFonts w:ascii="宋体" w:hAnsi="宋体"/>
              </w:rPr>
            </w:pPr>
            <w:r>
              <w:rPr>
                <w:rFonts w:hint="eastAsia" w:ascii="宋体" w:hAnsi="宋体"/>
              </w:rPr>
              <w:t>对评审组工作</w:t>
            </w:r>
          </w:p>
          <w:p>
            <w:pPr>
              <w:spacing w:before="120" w:after="120"/>
              <w:jc w:val="center"/>
            </w:pPr>
            <w:r>
              <w:rPr>
                <w:rFonts w:hint="eastAsia" w:ascii="宋体" w:hAnsi="宋体"/>
              </w:rPr>
              <w:t>表现满意程度</w:t>
            </w:r>
          </w:p>
        </w:tc>
        <w:tc>
          <w:tcPr>
            <w:tcW w:w="7643" w:type="dxa"/>
            <w:gridSpan w:val="3"/>
            <w:shd w:val="clear" w:color="auto" w:fill="auto"/>
            <w:vAlign w:val="center"/>
          </w:tcPr>
          <w:p>
            <w:pPr>
              <w:spacing w:before="120"/>
              <w:rPr>
                <w:rFonts w:ascii="宋体" w:hAnsi="宋体"/>
              </w:rPr>
            </w:pPr>
            <w:r>
              <w:rPr>
                <w:rFonts w:hint="eastAsia" w:ascii="宋体" w:hAnsi="宋体"/>
              </w:rPr>
              <w:t>（请在□中划“√”）</w:t>
            </w:r>
          </w:p>
          <w:p>
            <w:pPr>
              <w:rPr>
                <w:rFonts w:ascii="宋体" w:hAnsi="宋体"/>
              </w:rPr>
            </w:pPr>
          </w:p>
          <w:p>
            <w:pPr>
              <w:rPr>
                <w:rFonts w:ascii="宋体" w:hAnsi="宋体"/>
              </w:rPr>
            </w:pPr>
            <w:r>
              <w:rPr>
                <w:rFonts w:hint="eastAsia" w:ascii="宋体" w:hAnsi="宋体"/>
              </w:rPr>
              <w:t>1.对评审组长工作表现是否满意？    □满意     □基本满意     □不满意</w:t>
            </w:r>
          </w:p>
          <w:p>
            <w:pPr>
              <w:rPr>
                <w:rFonts w:ascii="宋体" w:hAnsi="宋体"/>
              </w:rPr>
            </w:pPr>
          </w:p>
          <w:p>
            <w:pPr>
              <w:rPr>
                <w:rFonts w:ascii="宋体" w:hAnsi="宋体"/>
              </w:rPr>
            </w:pPr>
            <w:r>
              <w:rPr>
                <w:rFonts w:hint="eastAsia" w:ascii="宋体" w:hAnsi="宋体"/>
              </w:rPr>
              <w:t>2.对评审员工作表现是否满意？      □满意     □基本满意     □不满意</w:t>
            </w:r>
          </w:p>
          <w:p>
            <w:pPr>
              <w:rPr>
                <w:rFonts w:ascii="宋体" w:hAnsi="宋体"/>
              </w:rPr>
            </w:pPr>
            <w:r>
              <w:rPr>
                <w:rFonts w:hint="eastAsia" w:ascii="宋体" w:hAnsi="宋体"/>
              </w:rPr>
              <w:t>不满意评审员姓名：</w:t>
            </w:r>
          </w:p>
          <w:p>
            <w:pPr>
              <w:rPr>
                <w:rFonts w:ascii="宋体" w:hAnsi="宋体"/>
              </w:rPr>
            </w:pPr>
          </w:p>
          <w:p>
            <w:pPr>
              <w:rPr>
                <w:rFonts w:ascii="宋体" w:hAnsi="宋体"/>
              </w:rPr>
            </w:pPr>
            <w:r>
              <w:rPr>
                <w:rFonts w:hint="eastAsia" w:ascii="宋体" w:hAnsi="宋体"/>
              </w:rPr>
              <w:t>3.对技术专家工作表现是否满意？    □满意     □基本满意     □不满意</w:t>
            </w:r>
          </w:p>
          <w:p>
            <w:pPr>
              <w:rPr>
                <w:rFonts w:ascii="宋体" w:hAnsi="宋体"/>
              </w:rPr>
            </w:pPr>
            <w:r>
              <w:rPr>
                <w:rFonts w:hint="eastAsia" w:ascii="宋体" w:hAnsi="宋体"/>
              </w:rPr>
              <w:t xml:space="preserve">不满意技术专家姓名： </w:t>
            </w:r>
          </w:p>
          <w:p>
            <w:pPr>
              <w:rPr>
                <w:rFonts w:ascii="宋体" w:hAnsi="宋体"/>
              </w:rPr>
            </w:pPr>
          </w:p>
          <w:p>
            <w:pPr>
              <w:rPr>
                <w:rFonts w:ascii="宋体" w:hAnsi="宋体"/>
                <w:highlight w:val="none"/>
              </w:rPr>
            </w:pPr>
            <w:r>
              <w:rPr>
                <w:rFonts w:hint="eastAsia" w:ascii="宋体" w:hAnsi="宋体"/>
                <w:highlight w:val="none"/>
              </w:rPr>
              <w:t>4.对评审组廉政情况是否满意？      □满意     □不满意</w:t>
            </w:r>
          </w:p>
          <w:p>
            <w:pPr>
              <w:rPr>
                <w:rFonts w:ascii="宋体" w:hAnsi="宋体"/>
              </w:rPr>
            </w:pPr>
            <w:r>
              <w:rPr>
                <w:rFonts w:hint="eastAsia" w:ascii="宋体" w:hAnsi="宋体"/>
                <w:highlight w:val="none"/>
              </w:rPr>
              <w:t>不满意原因：</w:t>
            </w:r>
          </w:p>
          <w:p>
            <w:pPr>
              <w:rPr>
                <w:rFonts w:ascii="宋体" w:hAnsi="宋体"/>
              </w:rPr>
            </w:pPr>
          </w:p>
          <w:p>
            <w:pPr>
              <w:rPr>
                <w:rFonts w:ascii="宋体" w:hAnsi="宋体"/>
              </w:rPr>
            </w:pPr>
            <w:r>
              <w:rPr>
                <w:rFonts w:hint="eastAsia" w:ascii="宋体" w:hAnsi="宋体"/>
                <w:lang w:val="en-US" w:eastAsia="zh-CN"/>
              </w:rPr>
              <w:t>5</w:t>
            </w:r>
            <w:r>
              <w:rPr>
                <w:rFonts w:hint="eastAsia" w:ascii="宋体" w:hAnsi="宋体"/>
              </w:rPr>
              <w:t>.对评审组成员工作的具体表现满意或不满意程度可用文字叙述（纸不够可加页）：</w:t>
            </w:r>
          </w:p>
          <w:p>
            <w:pPr>
              <w:pStyle w:val="179"/>
              <w:spacing w:line="480" w:lineRule="auto"/>
            </w:pPr>
          </w:p>
          <w:p>
            <w:pPr>
              <w:pStyle w:val="179"/>
              <w:spacing w:line="480" w:lineRule="auto"/>
            </w:pPr>
          </w:p>
          <w:p>
            <w:pPr>
              <w:pStyle w:val="179"/>
              <w:spacing w:line="480" w:lineRule="auto"/>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691" w:type="dxa"/>
            <w:shd w:val="clear" w:color="auto" w:fill="auto"/>
            <w:vAlign w:val="center"/>
          </w:tcPr>
          <w:p>
            <w:pPr>
              <w:pStyle w:val="179"/>
              <w:spacing w:line="480" w:lineRule="auto"/>
            </w:pPr>
            <w:r>
              <w:rPr>
                <w:rFonts w:hint="eastAsia" w:hAnsi="宋体"/>
                <w:sz w:val="21"/>
              </w:rPr>
              <w:t>建议与意见</w:t>
            </w:r>
          </w:p>
        </w:tc>
        <w:tc>
          <w:tcPr>
            <w:tcW w:w="7643" w:type="dxa"/>
            <w:gridSpan w:val="3"/>
            <w:shd w:val="clear" w:color="auto" w:fill="auto"/>
            <w:vAlign w:val="center"/>
          </w:tcPr>
          <w:p>
            <w:pPr>
              <w:spacing w:after="120"/>
              <w:rPr>
                <w:rFonts w:ascii="宋体" w:hAnsi="宋体"/>
              </w:rPr>
            </w:pPr>
          </w:p>
          <w:p>
            <w:pPr>
              <w:spacing w:after="120"/>
              <w:ind w:firstLine="5642"/>
              <w:rPr>
                <w:rFonts w:hint="eastAsia" w:ascii="宋体" w:hAnsi="宋体" w:eastAsia="宋体"/>
                <w:lang w:val="en-US" w:eastAsia="zh-CN"/>
              </w:rPr>
            </w:pPr>
            <w:r>
              <w:rPr>
                <w:rFonts w:ascii="宋体" w:hAnsi="宋体"/>
              </w:rPr>
              <w:t>(</w:t>
            </w:r>
            <w:r>
              <w:rPr>
                <w:rFonts w:hint="eastAsia" w:ascii="宋体" w:hAnsi="宋体"/>
              </w:rPr>
              <w:t>公章</w:t>
            </w:r>
            <w:r>
              <w:rPr>
                <w:rFonts w:hint="eastAsia" w:ascii="宋体" w:hAnsi="宋体"/>
                <w:lang w:val="en-US" w:eastAsia="zh-CN"/>
              </w:rPr>
              <w:t>)</w:t>
            </w:r>
          </w:p>
          <w:p>
            <w:pPr>
              <w:pStyle w:val="179"/>
              <w:spacing w:line="480" w:lineRule="auto"/>
            </w:pPr>
            <w:r>
              <w:rPr>
                <w:rFonts w:hint="eastAsia" w:hAnsi="宋体"/>
              </w:rPr>
              <w:t>年月日</w:t>
            </w:r>
          </w:p>
        </w:tc>
      </w:tr>
    </w:tbl>
    <w:p>
      <w:pPr>
        <w:pStyle w:val="57"/>
        <w:ind w:left="0" w:leftChars="0" w:firstLine="0" w:firstLineChars="0"/>
      </w:pPr>
    </w:p>
    <w:p>
      <w:pPr>
        <w:pStyle w:val="57"/>
        <w:ind w:left="0" w:leftChars="0" w:firstLine="0" w:firstLineChars="0"/>
      </w:pPr>
    </w:p>
    <w:p>
      <w:pPr>
        <w:pStyle w:val="64"/>
        <w:spacing w:after="156"/>
        <w:jc w:val="center"/>
      </w:pPr>
      <w:bookmarkStart w:id="91" w:name="_Toc131409494"/>
      <w:r>
        <w:rPr>
          <w:rFonts w:hint="eastAsia"/>
          <w:spacing w:val="105"/>
        </w:rPr>
        <w:t>参考文</w:t>
      </w:r>
      <w:r>
        <w:rPr>
          <w:rFonts w:hint="eastAsia"/>
        </w:rPr>
        <w:t>献</w:t>
      </w:r>
      <w:bookmarkEnd w:id="91"/>
    </w:p>
    <w:p>
      <w:pPr>
        <w:ind w:right="420"/>
        <w:jc w:val="right"/>
        <w:rPr>
          <w:rFonts w:ascii="宋体" w:hAnsi="宋体"/>
          <w:color w:val="000000"/>
        </w:rPr>
      </w:pPr>
    </w:p>
    <w:p>
      <w:pPr>
        <w:widowControl/>
        <w:numPr>
          <w:ilvl w:val="0"/>
          <w:numId w:val="57"/>
        </w:numPr>
        <w:adjustRightInd/>
        <w:spacing w:line="240" w:lineRule="auto"/>
        <w:jc w:val="left"/>
        <w:rPr>
          <w:rFonts w:ascii="宋体" w:hAnsi="宋体" w:cs="宋体"/>
          <w:color w:val="000000"/>
          <w:kern w:val="0"/>
        </w:rPr>
      </w:pPr>
      <w:r>
        <w:rPr>
          <w:rFonts w:hint="eastAsia" w:ascii="宋体" w:hAnsi="宋体" w:cs="宋体"/>
          <w:color w:val="000000"/>
          <w:kern w:val="0"/>
        </w:rPr>
        <w:t xml:space="preserve">检验检测机构资质认定管理办法(2015年4月9日国家质量监督检验检疫总局第163号修正案，国家市场监督管理总局令第38号) </w:t>
      </w:r>
    </w:p>
    <w:p>
      <w:pPr>
        <w:widowControl/>
        <w:numPr>
          <w:ilvl w:val="0"/>
          <w:numId w:val="57"/>
        </w:numPr>
        <w:adjustRightInd/>
        <w:spacing w:line="240" w:lineRule="auto"/>
        <w:jc w:val="left"/>
        <w:rPr>
          <w:rFonts w:ascii="宋体" w:hAnsi="宋体" w:cs="宋体"/>
          <w:color w:val="000000"/>
          <w:kern w:val="0"/>
        </w:rPr>
      </w:pPr>
      <w:r>
        <w:rPr>
          <w:rFonts w:hint="eastAsia" w:ascii="宋体" w:hAnsi="宋体" w:cs="宋体"/>
          <w:color w:val="000000"/>
          <w:kern w:val="0"/>
        </w:rPr>
        <w:t>检验检测机构监督管理办法（国家市场监督管理总局令第39号）</w:t>
      </w:r>
    </w:p>
    <w:p>
      <w:pPr>
        <w:widowControl/>
        <w:numPr>
          <w:ilvl w:val="0"/>
          <w:numId w:val="57"/>
        </w:numPr>
        <w:adjustRightInd/>
        <w:spacing w:line="240" w:lineRule="auto"/>
        <w:jc w:val="left"/>
        <w:rPr>
          <w:rFonts w:ascii="宋体" w:hAnsi="宋体" w:cs="宋体"/>
          <w:color w:val="000000"/>
          <w:kern w:val="0"/>
        </w:rPr>
      </w:pPr>
      <w:r>
        <w:rPr>
          <w:rFonts w:hint="eastAsia" w:ascii="宋体" w:hAnsi="宋体" w:cs="宋体"/>
          <w:color w:val="000000"/>
          <w:kern w:val="0"/>
        </w:rPr>
        <w:t>检验检测机构资质认定 标志及其使用要求（国认实〔2015〕50号附件4）</w:t>
      </w:r>
    </w:p>
    <w:p>
      <w:pPr>
        <w:widowControl/>
        <w:numPr>
          <w:ilvl w:val="0"/>
          <w:numId w:val="57"/>
        </w:numPr>
        <w:adjustRightInd/>
        <w:spacing w:line="240" w:lineRule="auto"/>
        <w:jc w:val="left"/>
        <w:rPr>
          <w:rFonts w:ascii="宋体" w:hAnsi="宋体" w:cs="宋体"/>
          <w:color w:val="000000"/>
          <w:kern w:val="0"/>
        </w:rPr>
      </w:pPr>
      <w:r>
        <w:rPr>
          <w:rFonts w:hint="eastAsia" w:ascii="宋体" w:hAnsi="宋体" w:cs="宋体"/>
          <w:color w:val="000000"/>
          <w:kern w:val="0"/>
        </w:rPr>
        <w:t>国家认监委关于进一步明确检验检测机构资质认定工作有关问题的通知（国认实〔2017〕2号）</w:t>
      </w:r>
    </w:p>
    <w:p>
      <w:pPr>
        <w:widowControl/>
        <w:numPr>
          <w:ilvl w:val="0"/>
          <w:numId w:val="57"/>
        </w:numPr>
        <w:adjustRightInd/>
        <w:spacing w:line="240" w:lineRule="auto"/>
        <w:jc w:val="left"/>
        <w:rPr>
          <w:rFonts w:ascii="宋体" w:hAnsi="宋体" w:cs="宋体"/>
          <w:color w:val="000000"/>
          <w:kern w:val="0"/>
        </w:rPr>
      </w:pPr>
      <w:r>
        <w:rPr>
          <w:rFonts w:hint="eastAsia" w:ascii="宋体" w:hAnsi="宋体" w:cs="宋体"/>
          <w:color w:val="000000"/>
          <w:kern w:val="0"/>
        </w:rPr>
        <w:t>国家认监委关于印发检验检测机构资质认定相关配套文件的通知（国认实〔2017〕10号）</w:t>
      </w:r>
    </w:p>
    <w:p>
      <w:pPr>
        <w:widowControl/>
        <w:numPr>
          <w:ilvl w:val="0"/>
          <w:numId w:val="57"/>
        </w:numPr>
        <w:adjustRightInd/>
        <w:spacing w:line="240" w:lineRule="auto"/>
        <w:jc w:val="left"/>
        <w:rPr>
          <w:rFonts w:ascii="宋体" w:hAnsi="宋体" w:cs="宋体"/>
          <w:color w:val="000000"/>
          <w:kern w:val="0"/>
        </w:rPr>
      </w:pPr>
      <w:r>
        <w:rPr>
          <w:rFonts w:hint="eastAsia" w:ascii="宋体" w:hAnsi="宋体" w:cs="宋体"/>
          <w:color w:val="000000"/>
          <w:kern w:val="0"/>
        </w:rPr>
        <w:t>关于规范人防工程防护设备检测机构资质认定工作的通知（国人防〔2017〕271号）</w:t>
      </w:r>
    </w:p>
    <w:p>
      <w:pPr>
        <w:widowControl/>
        <w:numPr>
          <w:ilvl w:val="0"/>
          <w:numId w:val="57"/>
        </w:numPr>
        <w:adjustRightInd/>
        <w:spacing w:line="240" w:lineRule="auto"/>
        <w:jc w:val="left"/>
        <w:rPr>
          <w:rFonts w:ascii="宋体" w:hAnsi="宋体" w:cs="宋体"/>
          <w:color w:val="000000"/>
          <w:kern w:val="0"/>
        </w:rPr>
      </w:pPr>
      <w:r>
        <w:rPr>
          <w:rFonts w:hint="eastAsia" w:ascii="宋体" w:hAnsi="宋体" w:cs="宋体"/>
          <w:color w:val="000000"/>
          <w:kern w:val="0"/>
        </w:rPr>
        <w:t>国家认监委关于推进检验检测机构资质认定统一实施的通知（国认实〔2018〕12号）</w:t>
      </w:r>
    </w:p>
    <w:p>
      <w:pPr>
        <w:widowControl/>
        <w:numPr>
          <w:ilvl w:val="0"/>
          <w:numId w:val="57"/>
        </w:numPr>
        <w:adjustRightInd/>
        <w:spacing w:line="240" w:lineRule="auto"/>
        <w:jc w:val="left"/>
        <w:rPr>
          <w:rFonts w:ascii="宋体" w:hAnsi="宋体" w:cs="宋体"/>
          <w:color w:val="000000"/>
          <w:kern w:val="0"/>
        </w:rPr>
      </w:pPr>
      <w:r>
        <w:rPr>
          <w:rFonts w:hint="eastAsia" w:ascii="宋体" w:hAnsi="宋体" w:cs="宋体"/>
          <w:color w:val="000000"/>
          <w:kern w:val="0"/>
        </w:rPr>
        <w:t>国家认监委关于检验检测机构资质认定工作采用相关认证认可行业标准的通知（国认实〔2018〕28号）</w:t>
      </w:r>
    </w:p>
    <w:p>
      <w:pPr>
        <w:widowControl/>
        <w:numPr>
          <w:ilvl w:val="0"/>
          <w:numId w:val="57"/>
        </w:numPr>
        <w:adjustRightInd/>
        <w:spacing w:line="240" w:lineRule="auto"/>
        <w:jc w:val="left"/>
        <w:rPr>
          <w:rFonts w:ascii="宋体" w:hAnsi="宋体" w:cs="宋体"/>
          <w:color w:val="000000"/>
          <w:kern w:val="0"/>
        </w:rPr>
      </w:pPr>
      <w:r>
        <w:rPr>
          <w:rFonts w:hint="eastAsia" w:ascii="宋体" w:hAnsi="宋体" w:cs="宋体"/>
          <w:color w:val="000000"/>
          <w:kern w:val="0"/>
        </w:rPr>
        <w:t xml:space="preserve">司法部 国家市场监督管理总局关于加快推进司法鉴定资质认定工作的指导意见（司规〔2019〕4号） </w:t>
      </w:r>
    </w:p>
    <w:p>
      <w:pPr>
        <w:widowControl/>
        <w:numPr>
          <w:ilvl w:val="0"/>
          <w:numId w:val="57"/>
        </w:numPr>
        <w:adjustRightInd/>
        <w:spacing w:line="240" w:lineRule="auto"/>
        <w:jc w:val="left"/>
        <w:rPr>
          <w:rFonts w:ascii="宋体" w:hAnsi="宋体" w:cs="宋体"/>
          <w:color w:val="000000"/>
          <w:kern w:val="0"/>
        </w:rPr>
      </w:pPr>
      <w:r>
        <w:rPr>
          <w:rFonts w:hint="eastAsia" w:ascii="宋体" w:hAnsi="宋体" w:cs="宋体"/>
          <w:color w:val="000000"/>
          <w:kern w:val="0"/>
        </w:rPr>
        <w:t xml:space="preserve">市场监管总局认可检测司关于推荐使用司法鉴定领域3类鉴定资质认定能力申请表模板的函 (认检函〔2019〕61号) </w:t>
      </w:r>
    </w:p>
    <w:p>
      <w:pPr>
        <w:widowControl/>
        <w:numPr>
          <w:ilvl w:val="0"/>
          <w:numId w:val="57"/>
        </w:numPr>
        <w:adjustRightInd/>
        <w:spacing w:line="240" w:lineRule="auto"/>
        <w:jc w:val="left"/>
        <w:rPr>
          <w:rFonts w:ascii="宋体" w:hAnsi="宋体" w:cs="宋体"/>
          <w:color w:val="000000"/>
          <w:kern w:val="0"/>
        </w:rPr>
      </w:pPr>
      <w:r>
        <w:rPr>
          <w:rFonts w:hint="eastAsia" w:ascii="宋体" w:hAnsi="宋体" w:cs="宋体"/>
          <w:color w:val="000000"/>
          <w:kern w:val="0"/>
        </w:rPr>
        <w:t xml:space="preserve">市场监管总局关于进一步推进检验检测机构资质认定改革工作的意见(国市监检测〔2019〕206号) </w:t>
      </w:r>
    </w:p>
    <w:p>
      <w:pPr>
        <w:widowControl/>
        <w:numPr>
          <w:ilvl w:val="0"/>
          <w:numId w:val="57"/>
        </w:numPr>
        <w:adjustRightInd/>
        <w:spacing w:line="240" w:lineRule="auto"/>
        <w:jc w:val="left"/>
        <w:rPr>
          <w:rFonts w:ascii="宋体" w:hAnsi="宋体" w:cs="宋体"/>
          <w:color w:val="000000"/>
          <w:kern w:val="0"/>
        </w:rPr>
      </w:pPr>
      <w:r>
        <w:rPr>
          <w:rFonts w:hint="eastAsia" w:ascii="宋体" w:hAnsi="宋体" w:cs="宋体"/>
          <w:color w:val="000000"/>
          <w:kern w:val="0"/>
        </w:rPr>
        <w:t xml:space="preserve">市场监管总局认可检测司关于新旧标准换版保留旧标准检验检测机构资质认定有关问题的复函（市场监管总局认可检测司2020年3月11日） </w:t>
      </w:r>
    </w:p>
    <w:p>
      <w:pPr>
        <w:widowControl/>
        <w:numPr>
          <w:ilvl w:val="0"/>
          <w:numId w:val="57"/>
        </w:numPr>
        <w:adjustRightInd/>
        <w:spacing w:line="240" w:lineRule="auto"/>
        <w:jc w:val="left"/>
        <w:rPr>
          <w:rFonts w:ascii="宋体" w:hAnsi="宋体" w:cs="宋体"/>
          <w:color w:val="000000"/>
          <w:kern w:val="0"/>
        </w:rPr>
      </w:pPr>
      <w:r>
        <w:rPr>
          <w:rFonts w:hint="eastAsia" w:ascii="宋体" w:hAnsi="宋体" w:cs="宋体"/>
          <w:color w:val="000000"/>
          <w:kern w:val="0"/>
        </w:rPr>
        <w:t>食品检验机构资质认定条件（食药监科〔2016〕106号）</w:t>
      </w:r>
    </w:p>
    <w:p>
      <w:pPr>
        <w:widowControl/>
        <w:numPr>
          <w:ilvl w:val="0"/>
          <w:numId w:val="57"/>
        </w:numPr>
        <w:adjustRightInd/>
        <w:spacing w:line="240" w:lineRule="auto"/>
        <w:jc w:val="left"/>
        <w:rPr>
          <w:rFonts w:ascii="宋体" w:hAnsi="宋体" w:cs="宋体"/>
          <w:color w:val="000000"/>
          <w:kern w:val="0"/>
        </w:rPr>
      </w:pPr>
      <w:r>
        <w:rPr>
          <w:rFonts w:hint="eastAsia" w:ascii="宋体" w:hAnsi="宋体" w:cs="宋体"/>
          <w:color w:val="000000"/>
          <w:kern w:val="0"/>
        </w:rPr>
        <w:t>检验检测机构资质认定能力评价机动车检验机构要求（RB/T218-2017）</w:t>
      </w:r>
    </w:p>
    <w:p>
      <w:pPr>
        <w:widowControl/>
        <w:numPr>
          <w:ilvl w:val="0"/>
          <w:numId w:val="57"/>
        </w:numPr>
        <w:adjustRightInd/>
        <w:spacing w:line="240" w:lineRule="auto"/>
        <w:jc w:val="left"/>
        <w:rPr>
          <w:rFonts w:ascii="宋体" w:hAnsi="宋体" w:cs="宋体"/>
          <w:color w:val="000000"/>
          <w:kern w:val="0"/>
        </w:rPr>
      </w:pPr>
      <w:r>
        <w:rPr>
          <w:rFonts w:hint="eastAsia" w:ascii="宋体" w:hAnsi="宋体" w:cs="宋体"/>
          <w:color w:val="000000"/>
          <w:kern w:val="0"/>
        </w:rPr>
        <w:t>检验检测机构资质认定生态环境监测机构评审补充要求（国市监检测〔2018〕245号）</w:t>
      </w:r>
    </w:p>
    <w:p>
      <w:pPr>
        <w:widowControl/>
        <w:numPr>
          <w:ilvl w:val="0"/>
          <w:numId w:val="57"/>
        </w:numPr>
        <w:adjustRightInd/>
        <w:spacing w:line="240" w:lineRule="auto"/>
        <w:jc w:val="left"/>
        <w:rPr>
          <w:rFonts w:ascii="宋体" w:hAnsi="宋体" w:cs="宋体"/>
          <w:color w:val="000000"/>
          <w:kern w:val="0"/>
        </w:rPr>
      </w:pPr>
      <w:r>
        <w:rPr>
          <w:rFonts w:hint="eastAsia" w:ascii="宋体" w:hAnsi="宋体" w:cs="宋体"/>
          <w:color w:val="000000"/>
          <w:kern w:val="0"/>
        </w:rPr>
        <w:t>司法部 国家市场监督管理总局关于规范和推进司法鉴定认证认可工作的通知（司发通〔2018〕89号）</w:t>
      </w:r>
    </w:p>
    <w:p>
      <w:pPr>
        <w:widowControl/>
        <w:numPr>
          <w:ilvl w:val="0"/>
          <w:numId w:val="57"/>
        </w:numPr>
        <w:adjustRightInd/>
        <w:spacing w:line="240" w:lineRule="auto"/>
        <w:jc w:val="left"/>
        <w:rPr>
          <w:rFonts w:ascii="宋体" w:hAnsi="宋体" w:cs="宋体"/>
          <w:color w:val="000000"/>
          <w:kern w:val="0"/>
        </w:rPr>
      </w:pPr>
      <w:r>
        <w:rPr>
          <w:rFonts w:ascii="Arial" w:hAnsi="Arial" w:cs="Arial"/>
          <w:color w:val="333333"/>
          <w:shd w:val="clear" w:color="auto" w:fill="FFFFFF"/>
        </w:rPr>
        <w:t>卫生部</w:t>
      </w:r>
      <w:r>
        <w:rPr>
          <w:rFonts w:hint="eastAsia" w:ascii="宋体" w:hAnsi="宋体" w:cs="宋体"/>
          <w:color w:val="000000"/>
          <w:kern w:val="0"/>
        </w:rPr>
        <w:t>食品检验机构资质认定条件（</w:t>
      </w:r>
      <w:r>
        <w:rPr>
          <w:rFonts w:ascii="Arial" w:hAnsi="Arial" w:cs="Arial"/>
          <w:color w:val="333333"/>
          <w:shd w:val="clear" w:color="auto" w:fill="FFFFFF"/>
        </w:rPr>
        <w:t>卫监督发[2010]29号</w:t>
      </w:r>
      <w:r>
        <w:rPr>
          <w:rFonts w:hint="eastAsia" w:ascii="宋体" w:hAnsi="宋体" w:cs="宋体"/>
          <w:color w:val="000000"/>
          <w:kern w:val="0"/>
        </w:rPr>
        <w:t>）</w:t>
      </w:r>
    </w:p>
    <w:p>
      <w:pPr>
        <w:pStyle w:val="57"/>
        <w:ind w:firstLine="420"/>
      </w:pPr>
    </w:p>
    <w:p>
      <w:pPr>
        <w:pStyle w:val="57"/>
        <w:ind w:firstLine="420"/>
      </w:pPr>
    </w:p>
    <w:p>
      <w:pPr>
        <w:pStyle w:val="57"/>
        <w:ind w:firstLine="420"/>
      </w:pPr>
    </w:p>
    <w:p>
      <w:pPr>
        <w:pStyle w:val="57"/>
        <w:ind w:firstLine="420"/>
      </w:pPr>
    </w:p>
    <w:bookmarkEnd w:id="90"/>
    <w:p>
      <w:pPr>
        <w:pStyle w:val="57"/>
        <w:ind w:firstLine="0" w:firstLineChars="0"/>
        <w:jc w:val="center"/>
      </w:pPr>
      <w:bookmarkStart w:id="92" w:name="BookMark8"/>
      <w:r>
        <w:rPr>
          <w:rFonts w:hint="eastAsia"/>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2"/>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133CEDB6-E5F2-4996-B0D1-83444310A7B7}"/>
  </w:font>
  <w:font w:name="黑体">
    <w:panose1 w:val="02010609060101010101"/>
    <w:charset w:val="86"/>
    <w:family w:val="auto"/>
    <w:pitch w:val="default"/>
    <w:sig w:usb0="800002BF" w:usb1="38CF7CFA" w:usb2="00000016" w:usb3="00000000" w:csb0="00040001" w:csb1="00000000"/>
    <w:embedRegular r:id="rId2" w:fontKey="{E31BFEFB-F6E6-4628-871F-6E5C590372C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D1E65D91-E1C5-4EA6-9D5E-6F77D6292E97}"/>
  </w:font>
  <w:font w:name="等线">
    <w:panose1 w:val="02010600030101010101"/>
    <w:charset w:val="86"/>
    <w:family w:val="auto"/>
    <w:pitch w:val="default"/>
    <w:sig w:usb0="A00002BF" w:usb1="38CF7CFA" w:usb2="00000016" w:usb3="00000000" w:csb0="0004000F" w:csb1="00000000"/>
    <w:embedRegular r:id="rId4" w:fontKey="{623F8927-AD85-43B4-BA1B-64DC5CF9EC68}"/>
  </w:font>
  <w:font w:name="等线 Light">
    <w:panose1 w:val="02010600030101010101"/>
    <w:charset w:val="86"/>
    <w:family w:val="auto"/>
    <w:pitch w:val="default"/>
    <w:sig w:usb0="A00002BF" w:usb1="38CF7CFA" w:usb2="00000016" w:usb3="00000000" w:csb0="0004000F" w:csb1="00000000"/>
  </w:font>
  <w:font w:name="方正仿宋简体">
    <w:panose1 w:val="03000509000000000000"/>
    <w:charset w:val="86"/>
    <w:family w:val="auto"/>
    <w:pitch w:val="default"/>
    <w:sig w:usb0="00000001" w:usb1="080E0000" w:usb2="00000000" w:usb3="00000000" w:csb0="00040000" w:csb1="00000000"/>
    <w:embedRegular r:id="rId5" w:fontKey="{0F0050BF-2C50-48FC-AB2A-F1FC8F5A00A9}"/>
  </w:font>
  <w:font w:name="楷体">
    <w:panose1 w:val="02010609060101010101"/>
    <w:charset w:val="86"/>
    <w:family w:val="modern"/>
    <w:pitch w:val="default"/>
    <w:sig w:usb0="800002BF" w:usb1="38CF7CFA" w:usb2="00000016" w:usb3="00000000" w:csb0="00040001" w:csb1="00000000"/>
    <w:embedRegular r:id="rId6" w:fontKey="{90472986-BEF2-4844-A1B2-461932901ED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14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16</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pict>
        <v:shape id="文本框 7" o:spid="_x0000_s4097" o:spt="202" type="#_x0000_t202" style="position:absolute;left:0pt;margin-left:56.65pt;margin-top:510.4pt;height:144pt;width:144pt;mso-position-horizontal-relative:page;mso-position-vertical-relative:page;mso-wrap-style:none;z-index:251661312;v-text-anchor:bottom;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">
          <v:path/>
          <v:fill on="f" focussize="0,0"/>
          <v:stroke on="f" weight="0.5pt" joinstyle="miter"/>
          <v:imagedata o:title=""/>
          <o:lock v:ext="edit"/>
          <v:textbox style="layout-flow:vertical-ideographic;mso-fit-shape-to-text:t;">
            <w:txbxContent>
              <w:p>
                <w:pPr>
                  <w:pStyle w:val="53"/>
                </w:pPr>
                <w:r>
                  <w:fldChar w:fldCharType="begin"/>
                </w:r>
                <w:r>
                  <w:instrText xml:space="preserve">PAGE   \* MERGEFORMAT</w:instrText>
                </w:r>
                <w:r>
                  <w:fldChar w:fldCharType="separate"/>
                </w:r>
                <w:r>
                  <w:rPr>
                    <w:lang w:val="zh-CN"/>
                  </w:rPr>
                  <w:t>19</w:t>
                </w:r>
                <w: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文本框 9" o:spid="_x0000_s4098" o:spt="202" type="#_x0000_t202" style="position:absolute;left:0pt;margin-left:56.65pt;margin-top:68pt;height:144pt;width:144pt;mso-position-horizontal-relative:page;mso-position-vertical-relative:page;mso-wrap-style:none;z-index:251663360;v-text-anchor:bottom;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">
          <v:path/>
          <v:fill on="f" focussize="0,0"/>
          <v:stroke on="f" weight="0.5pt" joinstyle="miter"/>
          <v:imagedata o:title=""/>
          <o:lock v:ext="edit"/>
          <v:textbox inset="0mm,0mm,0mm,0mm" style="layout-flow:vertical-ideographic;mso-fit-shape-to-text:t;">
            <w:txbxContent>
              <w:p>
                <w:pPr>
                  <w:pStyle w:val="16"/>
                </w:pPr>
                <w:r>
                  <w:fldChar w:fldCharType="begin"/>
                </w:r>
                <w:r>
                  <w:instrText xml:space="preserve">PAGE   \* MERGEFORMAT</w:instrText>
                </w:r>
                <w:r>
                  <w:fldChar w:fldCharType="separate"/>
                </w:r>
                <w:r>
                  <w:rPr>
                    <w:lang w:val="zh-CN"/>
                  </w:rPr>
                  <w:t>18</w:t>
                </w:r>
                <w:r>
                  <w:rPr>
                    <w:lang w:val="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27</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DB43/TXXXX—2023(系列标准号)</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t>DB43/TXXXX—2023(系列标准号)</w:t>
    </w:r>
    <w:r>
      <w:rPr>
        <w:rFonts w:hint="eastAsia"/>
        <w:lang w:val="fr-F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pict>
        <v:shape id="文本框 1" o:spid="_x0000_s4099" o:spt="202" type="#_x0000_t202" style="position:absolute;left:0pt;margin-left:751.15pt;margin-top:412pt;height:144pt;width:144pt;mso-position-horizontal-relative:page;mso-position-vertical-relative:page;mso-wrap-style:none;z-index:251659264;v-text-anchor:bottom;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">
          <v:path/>
          <v:fill on="f" focussize="0,0"/>
          <v:stroke on="f" weight="0.5pt" joinstyle="miter"/>
          <v:imagedata o:title=""/>
          <o:lock v:ext="edit"/>
          <v:textbox style="layout-flow:vertical-ideographic;mso-fit-shape-to-text:t;">
            <w:txbxContent>
              <w:p>
                <w:pPr>
                  <w:pStyle w:val="62"/>
                </w:pPr>
                <w:r>
                  <w:fldChar w:fldCharType="begin"/>
                </w:r>
                <w:r>
                  <w:instrText xml:space="preserve"> STYLEREF  标准文件_文件编号  \* MERGEFORMAT </w:instrText>
                </w:r>
                <w:r>
                  <w:fldChar w:fldCharType="separate"/>
                </w:r>
                <w:r>
                  <w:t>DB43/TXXXX—2023(系列标准号)</w:t>
                </w:r>
                <w:r>
                  <w:fldChar w:fldCharType="end"/>
                </w:r>
              </w:p>
            </w:txbxContent>
          </v:textbox>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pict>
        <v:shape id="文本框 8" o:spid="_x0000_s4100" o:spt="202" type="#_x0000_t202" style="position:absolute;left:0pt;margin-left:765.35pt;margin-top:70.85pt;height:144pt;width:144pt;mso-position-horizontal-relative:page;mso-position-vertical-relative:page;mso-wrap-style:none;z-index:251662336;v-text-anchor:bottom;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">
          <v:path/>
          <v:fill on="f" focussize="0,0"/>
          <v:stroke on="f" weight="0.5pt" joinstyle="miter"/>
          <v:imagedata o:title=""/>
          <o:lock v:ext="edit"/>
          <v:textbox inset="0mm,0mm,0mm,0mm" style="layout-flow:vertical-ideographic;mso-fit-shape-to-text:t;">
            <w:txbxContent>
              <w:p>
                <w:pPr>
                  <w:pStyle w:val="63"/>
                </w:pPr>
                <w:r>
                  <w:fldChar w:fldCharType="begin"/>
                </w:r>
                <w:r>
                  <w:instrText xml:space="preserve"> STYLEREF  标准文件_文件编号 \* MERGEFORMAT </w:instrText>
                </w:r>
                <w:r>
                  <w:fldChar w:fldCharType="separate"/>
                </w:r>
                <w:r>
                  <w:t>DB43/TXXXX—2023(系列标准号)</w:t>
                </w:r>
                <w:r>
                  <w:fldChar w:fldCharType="end"/>
                </w:r>
              </w:p>
            </w:txbxContent>
          </v:textbox>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DB43/TXXXX—2023(系列标准号)</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t>DB43/TXXXX—2023(系列标准号)</w:t>
    </w:r>
    <w:r>
      <w:rPr>
        <w:rFonts w:hint="eastAsia"/>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3FF962BF"/>
    <w:multiLevelType w:val="multilevel"/>
    <w:tmpl w:val="3FF962BF"/>
    <w:lvl w:ilvl="0" w:tentative="0">
      <w:start w:val="2"/>
      <w:numFmt w:val="decimalEnclosedCircle"/>
      <w:lvlText w:val="%1"/>
      <w:lvlJc w:val="left"/>
      <w:pPr>
        <w:ind w:left="1097" w:hanging="360"/>
      </w:pPr>
      <w:rPr>
        <w:rFonts w:hint="default"/>
      </w:rPr>
    </w:lvl>
    <w:lvl w:ilvl="1" w:tentative="0">
      <w:start w:val="1"/>
      <w:numFmt w:val="lowerLetter"/>
      <w:lvlText w:val="%2)"/>
      <w:lvlJc w:val="left"/>
      <w:pPr>
        <w:ind w:left="1577" w:hanging="420"/>
      </w:pPr>
    </w:lvl>
    <w:lvl w:ilvl="2" w:tentative="0">
      <w:start w:val="1"/>
      <w:numFmt w:val="lowerRoman"/>
      <w:lvlText w:val="%3."/>
      <w:lvlJc w:val="right"/>
      <w:pPr>
        <w:ind w:left="1997" w:hanging="420"/>
      </w:pPr>
    </w:lvl>
    <w:lvl w:ilvl="3" w:tentative="0">
      <w:start w:val="1"/>
      <w:numFmt w:val="decimal"/>
      <w:lvlText w:val="%4."/>
      <w:lvlJc w:val="left"/>
      <w:pPr>
        <w:ind w:left="2417" w:hanging="420"/>
      </w:pPr>
    </w:lvl>
    <w:lvl w:ilvl="4" w:tentative="0">
      <w:start w:val="1"/>
      <w:numFmt w:val="lowerLetter"/>
      <w:lvlText w:val="%5)"/>
      <w:lvlJc w:val="left"/>
      <w:pPr>
        <w:ind w:left="2837" w:hanging="420"/>
      </w:pPr>
    </w:lvl>
    <w:lvl w:ilvl="5" w:tentative="0">
      <w:start w:val="1"/>
      <w:numFmt w:val="lowerRoman"/>
      <w:lvlText w:val="%6."/>
      <w:lvlJc w:val="right"/>
      <w:pPr>
        <w:ind w:left="3257" w:hanging="420"/>
      </w:pPr>
    </w:lvl>
    <w:lvl w:ilvl="6" w:tentative="0">
      <w:start w:val="1"/>
      <w:numFmt w:val="decimal"/>
      <w:lvlText w:val="%7."/>
      <w:lvlJc w:val="left"/>
      <w:pPr>
        <w:ind w:left="3677" w:hanging="420"/>
      </w:pPr>
    </w:lvl>
    <w:lvl w:ilvl="7" w:tentative="0">
      <w:start w:val="1"/>
      <w:numFmt w:val="lowerLetter"/>
      <w:lvlText w:val="%8)"/>
      <w:lvlJc w:val="left"/>
      <w:pPr>
        <w:ind w:left="4097" w:hanging="420"/>
      </w:pPr>
    </w:lvl>
    <w:lvl w:ilvl="8" w:tentative="0">
      <w:start w:val="1"/>
      <w:numFmt w:val="lowerRoman"/>
      <w:lvlText w:val="%9."/>
      <w:lvlJc w:val="right"/>
      <w:pPr>
        <w:ind w:left="4517" w:hanging="420"/>
      </w:p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trike w:val="0"/>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5AE1B428"/>
    <w:multiLevelType w:val="singleLevel"/>
    <w:tmpl w:val="5AE1B428"/>
    <w:lvl w:ilvl="0" w:tentative="0">
      <w:start w:val="1"/>
      <w:numFmt w:val="decimal"/>
      <w:suff w:val="space"/>
      <w:lvlText w:val="[%1]"/>
      <w:lvlJc w:val="left"/>
    </w:lvl>
  </w:abstractNum>
  <w:abstractNum w:abstractNumId="22">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568" w:firstLine="0"/>
      </w:pPr>
      <w:rPr>
        <w:rFonts w:hint="eastAsia" w:ascii="黑体" w:eastAsia="黑体"/>
        <w:b w:val="0"/>
        <w:i w:val="0"/>
        <w:strike w:val="0"/>
        <w:sz w:val="21"/>
      </w:rPr>
    </w:lvl>
    <w:lvl w:ilvl="4" w:tentative="0">
      <w:start w:val="1"/>
      <w:numFmt w:val="decimal"/>
      <w:pStyle w:val="95"/>
      <w:suff w:val="nothing"/>
      <w:lvlText w:val="%1%2.%3.%4.%5　"/>
      <w:lvlJc w:val="left"/>
      <w:pPr>
        <w:ind w:left="1418" w:firstLine="0"/>
      </w:pPr>
      <w:rPr>
        <w:rFonts w:hint="eastAsia" w:ascii="黑体" w:eastAsia="黑体"/>
        <w:b w:val="0"/>
        <w:i w:val="0"/>
        <w:strike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8"/>
  </w:num>
  <w:num w:numId="8">
    <w:abstractNumId w:val="3"/>
  </w:num>
  <w:num w:numId="9">
    <w:abstractNumId w:val="9"/>
  </w:num>
  <w:num w:numId="10">
    <w:abstractNumId w:val="17"/>
  </w:num>
  <w:num w:numId="11">
    <w:abstractNumId w:val="27"/>
  </w:num>
  <w:num w:numId="12">
    <w:abstractNumId w:val="11"/>
  </w:num>
  <w:num w:numId="13">
    <w:abstractNumId w:val="13"/>
  </w:num>
  <w:num w:numId="14">
    <w:abstractNumId w:val="7"/>
  </w:num>
  <w:num w:numId="15">
    <w:abstractNumId w:val="20"/>
  </w:num>
  <w:num w:numId="16">
    <w:abstractNumId w:val="23"/>
  </w:num>
  <w:num w:numId="17">
    <w:abstractNumId w:val="18"/>
  </w:num>
  <w:num w:numId="18">
    <w:abstractNumId w:val="31"/>
  </w:num>
  <w:num w:numId="19">
    <w:abstractNumId w:val="16"/>
  </w:num>
  <w:num w:numId="20">
    <w:abstractNumId w:val="1"/>
  </w:num>
  <w:num w:numId="21">
    <w:abstractNumId w:val="10"/>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5"/>
  </w:num>
  <w:num w:numId="30">
    <w:abstractNumId w:val="26"/>
  </w:num>
  <w:num w:numId="31">
    <w:abstractNumId w:val="24"/>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num>
  <w:num w:numId="5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TrueTypeFonts/>
  <w:saveSubsetFonts/>
  <w:bordersDoNotSurroundHeader w:val="0"/>
  <w:bordersDoNotSurroundFooter w:val="0"/>
  <w:attachedTemplate r:id="rId1"/>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dlOTcyN2ZhYTMzMGQ0OTAzMzUzNGQ5ZDdkMGNjNzMifQ=="/>
  </w:docVars>
  <w:rsids>
    <w:rsidRoot w:val="006F6E4F"/>
    <w:rsid w:val="0000040A"/>
    <w:rsid w:val="00000A94"/>
    <w:rsid w:val="00001972"/>
    <w:rsid w:val="00001D9A"/>
    <w:rsid w:val="0000656B"/>
    <w:rsid w:val="00007B3A"/>
    <w:rsid w:val="000107E0"/>
    <w:rsid w:val="00011FDE"/>
    <w:rsid w:val="0001255C"/>
    <w:rsid w:val="00012BE1"/>
    <w:rsid w:val="00012FFD"/>
    <w:rsid w:val="00014162"/>
    <w:rsid w:val="00014340"/>
    <w:rsid w:val="00016A9C"/>
    <w:rsid w:val="00022184"/>
    <w:rsid w:val="00022762"/>
    <w:rsid w:val="000238E0"/>
    <w:rsid w:val="000249DB"/>
    <w:rsid w:val="0002555C"/>
    <w:rsid w:val="0002595E"/>
    <w:rsid w:val="000303C3"/>
    <w:rsid w:val="000331D3"/>
    <w:rsid w:val="000346A5"/>
    <w:rsid w:val="000359C3"/>
    <w:rsid w:val="00035A7D"/>
    <w:rsid w:val="000365ED"/>
    <w:rsid w:val="000419B7"/>
    <w:rsid w:val="00041CCA"/>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4CE"/>
    <w:rsid w:val="0006357D"/>
    <w:rsid w:val="00065DFC"/>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5D0"/>
    <w:rsid w:val="000B6A0B"/>
    <w:rsid w:val="000C0F6C"/>
    <w:rsid w:val="000C11DB"/>
    <w:rsid w:val="000C1492"/>
    <w:rsid w:val="000C1FAF"/>
    <w:rsid w:val="000C2FBD"/>
    <w:rsid w:val="000C4A11"/>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57C"/>
    <w:rsid w:val="000F4AEA"/>
    <w:rsid w:val="000F633F"/>
    <w:rsid w:val="000F67E9"/>
    <w:rsid w:val="00104926"/>
    <w:rsid w:val="001117C6"/>
    <w:rsid w:val="00113B1E"/>
    <w:rsid w:val="0011711C"/>
    <w:rsid w:val="0012059C"/>
    <w:rsid w:val="00124E4F"/>
    <w:rsid w:val="001260B7"/>
    <w:rsid w:val="001265CB"/>
    <w:rsid w:val="00127CAD"/>
    <w:rsid w:val="001300C8"/>
    <w:rsid w:val="001311CF"/>
    <w:rsid w:val="001321C6"/>
    <w:rsid w:val="001325C4"/>
    <w:rsid w:val="00133010"/>
    <w:rsid w:val="001338EE"/>
    <w:rsid w:val="00133AAE"/>
    <w:rsid w:val="00135323"/>
    <w:rsid w:val="001356C4"/>
    <w:rsid w:val="00135E46"/>
    <w:rsid w:val="00141114"/>
    <w:rsid w:val="00142969"/>
    <w:rsid w:val="001446C2"/>
    <w:rsid w:val="001457E7"/>
    <w:rsid w:val="00145D9D"/>
    <w:rsid w:val="00146388"/>
    <w:rsid w:val="00151E7D"/>
    <w:rsid w:val="001529E5"/>
    <w:rsid w:val="00153C7E"/>
    <w:rsid w:val="00155AC5"/>
    <w:rsid w:val="00156B25"/>
    <w:rsid w:val="00156E1A"/>
    <w:rsid w:val="00157894"/>
    <w:rsid w:val="00157B55"/>
    <w:rsid w:val="001642FA"/>
    <w:rsid w:val="001649EB"/>
    <w:rsid w:val="00164BAF"/>
    <w:rsid w:val="00164FA8"/>
    <w:rsid w:val="00165065"/>
    <w:rsid w:val="00165434"/>
    <w:rsid w:val="00165783"/>
    <w:rsid w:val="0016580B"/>
    <w:rsid w:val="00165F49"/>
    <w:rsid w:val="00166B88"/>
    <w:rsid w:val="0016770A"/>
    <w:rsid w:val="00170804"/>
    <w:rsid w:val="001708E9"/>
    <w:rsid w:val="0017340B"/>
    <w:rsid w:val="00173FB1"/>
    <w:rsid w:val="00176DFD"/>
    <w:rsid w:val="001852C9"/>
    <w:rsid w:val="00190087"/>
    <w:rsid w:val="001913C4"/>
    <w:rsid w:val="00192DF8"/>
    <w:rsid w:val="0019348F"/>
    <w:rsid w:val="00193A07"/>
    <w:rsid w:val="00194C95"/>
    <w:rsid w:val="00195C34"/>
    <w:rsid w:val="00196EF5"/>
    <w:rsid w:val="001A1A53"/>
    <w:rsid w:val="001A234A"/>
    <w:rsid w:val="001A4CF3"/>
    <w:rsid w:val="001B06E8"/>
    <w:rsid w:val="001B71D0"/>
    <w:rsid w:val="001B71EE"/>
    <w:rsid w:val="001C04A8"/>
    <w:rsid w:val="001C2C03"/>
    <w:rsid w:val="001C4013"/>
    <w:rsid w:val="001C42F7"/>
    <w:rsid w:val="001C49E5"/>
    <w:rsid w:val="001C680C"/>
    <w:rsid w:val="001C7FEA"/>
    <w:rsid w:val="001D0499"/>
    <w:rsid w:val="001D0BBE"/>
    <w:rsid w:val="001D0ED4"/>
    <w:rsid w:val="001D212F"/>
    <w:rsid w:val="001D29D7"/>
    <w:rsid w:val="001D2DE7"/>
    <w:rsid w:val="001D3CFD"/>
    <w:rsid w:val="001D411C"/>
    <w:rsid w:val="001E1B6A"/>
    <w:rsid w:val="001E2484"/>
    <w:rsid w:val="001E28DA"/>
    <w:rsid w:val="001E3CC4"/>
    <w:rsid w:val="001E4882"/>
    <w:rsid w:val="001E5823"/>
    <w:rsid w:val="001E5D94"/>
    <w:rsid w:val="001E73AB"/>
    <w:rsid w:val="001F092D"/>
    <w:rsid w:val="001F143A"/>
    <w:rsid w:val="001F1605"/>
    <w:rsid w:val="001F2508"/>
    <w:rsid w:val="001F4816"/>
    <w:rsid w:val="001F4AFB"/>
    <w:rsid w:val="001F4EE9"/>
    <w:rsid w:val="001F69B4"/>
    <w:rsid w:val="001F77C7"/>
    <w:rsid w:val="00200183"/>
    <w:rsid w:val="00200333"/>
    <w:rsid w:val="0020107D"/>
    <w:rsid w:val="00202AA4"/>
    <w:rsid w:val="002031F7"/>
    <w:rsid w:val="002040E6"/>
    <w:rsid w:val="0020527B"/>
    <w:rsid w:val="00205F2C"/>
    <w:rsid w:val="00210B15"/>
    <w:rsid w:val="0021191E"/>
    <w:rsid w:val="0021264B"/>
    <w:rsid w:val="002142EA"/>
    <w:rsid w:val="002204BB"/>
    <w:rsid w:val="00221B79"/>
    <w:rsid w:val="00221C6B"/>
    <w:rsid w:val="002245B1"/>
    <w:rsid w:val="002253A1"/>
    <w:rsid w:val="00225CF8"/>
    <w:rsid w:val="0022633D"/>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048"/>
    <w:rsid w:val="00262696"/>
    <w:rsid w:val="00263D25"/>
    <w:rsid w:val="002643C3"/>
    <w:rsid w:val="00264A0C"/>
    <w:rsid w:val="00266EEB"/>
    <w:rsid w:val="00267EF4"/>
    <w:rsid w:val="002709D9"/>
    <w:rsid w:val="00270CB8"/>
    <w:rsid w:val="00272B08"/>
    <w:rsid w:val="002771AC"/>
    <w:rsid w:val="00280051"/>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669"/>
    <w:rsid w:val="002A3AAB"/>
    <w:rsid w:val="002A4CEA"/>
    <w:rsid w:val="002A5977"/>
    <w:rsid w:val="002A5A13"/>
    <w:rsid w:val="002A757F"/>
    <w:rsid w:val="002A7B53"/>
    <w:rsid w:val="002A7F44"/>
    <w:rsid w:val="002B0C40"/>
    <w:rsid w:val="002B1966"/>
    <w:rsid w:val="002B4508"/>
    <w:rsid w:val="002B5779"/>
    <w:rsid w:val="002B7332"/>
    <w:rsid w:val="002B73E8"/>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5DB"/>
    <w:rsid w:val="00300E63"/>
    <w:rsid w:val="00302F5F"/>
    <w:rsid w:val="0030441D"/>
    <w:rsid w:val="00306063"/>
    <w:rsid w:val="00313B85"/>
    <w:rsid w:val="00317988"/>
    <w:rsid w:val="003221B4"/>
    <w:rsid w:val="0032258D"/>
    <w:rsid w:val="00322E62"/>
    <w:rsid w:val="00324D13"/>
    <w:rsid w:val="00324D2A"/>
    <w:rsid w:val="00324EDD"/>
    <w:rsid w:val="003331E4"/>
    <w:rsid w:val="00333384"/>
    <w:rsid w:val="00336C64"/>
    <w:rsid w:val="00337162"/>
    <w:rsid w:val="00337D52"/>
    <w:rsid w:val="0034194F"/>
    <w:rsid w:val="00342262"/>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DF2"/>
    <w:rsid w:val="00390EE6"/>
    <w:rsid w:val="0039118F"/>
    <w:rsid w:val="00392AD7"/>
    <w:rsid w:val="003938D9"/>
    <w:rsid w:val="00394376"/>
    <w:rsid w:val="003943FF"/>
    <w:rsid w:val="00395543"/>
    <w:rsid w:val="00395700"/>
    <w:rsid w:val="003974EB"/>
    <w:rsid w:val="00397CC5"/>
    <w:rsid w:val="003A02F6"/>
    <w:rsid w:val="003A1582"/>
    <w:rsid w:val="003A4077"/>
    <w:rsid w:val="003B09AD"/>
    <w:rsid w:val="003B1F18"/>
    <w:rsid w:val="003B5BF0"/>
    <w:rsid w:val="003B60BF"/>
    <w:rsid w:val="003B6BE3"/>
    <w:rsid w:val="003B7095"/>
    <w:rsid w:val="003C010C"/>
    <w:rsid w:val="003C0A6C"/>
    <w:rsid w:val="003C14F8"/>
    <w:rsid w:val="003C5A43"/>
    <w:rsid w:val="003D0519"/>
    <w:rsid w:val="003D0FF6"/>
    <w:rsid w:val="003D262C"/>
    <w:rsid w:val="003D6D61"/>
    <w:rsid w:val="003D79C6"/>
    <w:rsid w:val="003E04AA"/>
    <w:rsid w:val="003E091D"/>
    <w:rsid w:val="003E1C53"/>
    <w:rsid w:val="003E2A69"/>
    <w:rsid w:val="003E2D49"/>
    <w:rsid w:val="003E2FD4"/>
    <w:rsid w:val="003E49F6"/>
    <w:rsid w:val="003E5BE9"/>
    <w:rsid w:val="003E660F"/>
    <w:rsid w:val="003F0841"/>
    <w:rsid w:val="003F23D3"/>
    <w:rsid w:val="003F3F08"/>
    <w:rsid w:val="003F49F1"/>
    <w:rsid w:val="003F6272"/>
    <w:rsid w:val="00400E72"/>
    <w:rsid w:val="00401400"/>
    <w:rsid w:val="00404869"/>
    <w:rsid w:val="00405884"/>
    <w:rsid w:val="00407D39"/>
    <w:rsid w:val="00413901"/>
    <w:rsid w:val="0041477A"/>
    <w:rsid w:val="004167A3"/>
    <w:rsid w:val="00430C5B"/>
    <w:rsid w:val="00432DAA"/>
    <w:rsid w:val="00433598"/>
    <w:rsid w:val="00434305"/>
    <w:rsid w:val="00435DF7"/>
    <w:rsid w:val="004405A6"/>
    <w:rsid w:val="0044083F"/>
    <w:rsid w:val="00441AE7"/>
    <w:rsid w:val="00444CA8"/>
    <w:rsid w:val="00445574"/>
    <w:rsid w:val="004467FB"/>
    <w:rsid w:val="00452D6B"/>
    <w:rsid w:val="00454484"/>
    <w:rsid w:val="0045517B"/>
    <w:rsid w:val="00463B77"/>
    <w:rsid w:val="00463C7B"/>
    <w:rsid w:val="004644A6"/>
    <w:rsid w:val="004659BD"/>
    <w:rsid w:val="00470775"/>
    <w:rsid w:val="004733ED"/>
    <w:rsid w:val="004740C7"/>
    <w:rsid w:val="004746B1"/>
    <w:rsid w:val="0047583F"/>
    <w:rsid w:val="00475DE8"/>
    <w:rsid w:val="00481C44"/>
    <w:rsid w:val="00484930"/>
    <w:rsid w:val="00484936"/>
    <w:rsid w:val="00485C89"/>
    <w:rsid w:val="00486BE3"/>
    <w:rsid w:val="004905E4"/>
    <w:rsid w:val="00490A89"/>
    <w:rsid w:val="00490AB4"/>
    <w:rsid w:val="00492F02"/>
    <w:rsid w:val="004939AE"/>
    <w:rsid w:val="004A12DF"/>
    <w:rsid w:val="004A17E6"/>
    <w:rsid w:val="004A180E"/>
    <w:rsid w:val="004A1BA8"/>
    <w:rsid w:val="004A4B57"/>
    <w:rsid w:val="004A63FA"/>
    <w:rsid w:val="004A6651"/>
    <w:rsid w:val="004B0272"/>
    <w:rsid w:val="004B2701"/>
    <w:rsid w:val="004B2E1B"/>
    <w:rsid w:val="004B3AA8"/>
    <w:rsid w:val="004B3E93"/>
    <w:rsid w:val="004C10A5"/>
    <w:rsid w:val="004C1FBC"/>
    <w:rsid w:val="004C3F1D"/>
    <w:rsid w:val="004C458D"/>
    <w:rsid w:val="004C7556"/>
    <w:rsid w:val="004C7E8B"/>
    <w:rsid w:val="004C7E9D"/>
    <w:rsid w:val="004C7F67"/>
    <w:rsid w:val="004D01F2"/>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3E04"/>
    <w:rsid w:val="005043BB"/>
    <w:rsid w:val="00504A3D"/>
    <w:rsid w:val="00505767"/>
    <w:rsid w:val="005073F0"/>
    <w:rsid w:val="00510A7B"/>
    <w:rsid w:val="00511B05"/>
    <w:rsid w:val="00512F6E"/>
    <w:rsid w:val="00513038"/>
    <w:rsid w:val="00514174"/>
    <w:rsid w:val="00516088"/>
    <w:rsid w:val="00516B0B"/>
    <w:rsid w:val="005220EC"/>
    <w:rsid w:val="00523F95"/>
    <w:rsid w:val="00524D65"/>
    <w:rsid w:val="00525B16"/>
    <w:rsid w:val="00526BB6"/>
    <w:rsid w:val="0053221C"/>
    <w:rsid w:val="00533D04"/>
    <w:rsid w:val="00534804"/>
    <w:rsid w:val="00534884"/>
    <w:rsid w:val="00534BDF"/>
    <w:rsid w:val="00534F48"/>
    <w:rsid w:val="005354EA"/>
    <w:rsid w:val="0053585F"/>
    <w:rsid w:val="00535EC4"/>
    <w:rsid w:val="00535ED9"/>
    <w:rsid w:val="0053692B"/>
    <w:rsid w:val="00541853"/>
    <w:rsid w:val="00542456"/>
    <w:rsid w:val="00543BDA"/>
    <w:rsid w:val="005441CC"/>
    <w:rsid w:val="005479DA"/>
    <w:rsid w:val="00547BCC"/>
    <w:rsid w:val="0055013B"/>
    <w:rsid w:val="00551F6F"/>
    <w:rsid w:val="00555044"/>
    <w:rsid w:val="00557B16"/>
    <w:rsid w:val="00561475"/>
    <w:rsid w:val="0056288B"/>
    <w:rsid w:val="0056487B"/>
    <w:rsid w:val="00564FB9"/>
    <w:rsid w:val="00573D9E"/>
    <w:rsid w:val="00577A05"/>
    <w:rsid w:val="005801E3"/>
    <w:rsid w:val="00581802"/>
    <w:rsid w:val="00582433"/>
    <w:rsid w:val="005836A8"/>
    <w:rsid w:val="0058409C"/>
    <w:rsid w:val="00584262"/>
    <w:rsid w:val="00586630"/>
    <w:rsid w:val="00587ADD"/>
    <w:rsid w:val="00591E27"/>
    <w:rsid w:val="00592EEC"/>
    <w:rsid w:val="00596160"/>
    <w:rsid w:val="005966E2"/>
    <w:rsid w:val="00597007"/>
    <w:rsid w:val="005A0966"/>
    <w:rsid w:val="005A11B7"/>
    <w:rsid w:val="005A260B"/>
    <w:rsid w:val="005A4A1B"/>
    <w:rsid w:val="005A7830"/>
    <w:rsid w:val="005A7FCE"/>
    <w:rsid w:val="005B0F3F"/>
    <w:rsid w:val="005B4903"/>
    <w:rsid w:val="005B51AF"/>
    <w:rsid w:val="005B51CE"/>
    <w:rsid w:val="005B5885"/>
    <w:rsid w:val="005B5CD7"/>
    <w:rsid w:val="005B5E2F"/>
    <w:rsid w:val="005B6CF6"/>
    <w:rsid w:val="005B7422"/>
    <w:rsid w:val="005C29B8"/>
    <w:rsid w:val="005C5F21"/>
    <w:rsid w:val="005C7156"/>
    <w:rsid w:val="005D01C0"/>
    <w:rsid w:val="005D0C75"/>
    <w:rsid w:val="005D4171"/>
    <w:rsid w:val="005D4569"/>
    <w:rsid w:val="005D6A95"/>
    <w:rsid w:val="005D6B2C"/>
    <w:rsid w:val="005D6D9C"/>
    <w:rsid w:val="005E2335"/>
    <w:rsid w:val="005E34CA"/>
    <w:rsid w:val="005E3C18"/>
    <w:rsid w:val="005E6812"/>
    <w:rsid w:val="005E7881"/>
    <w:rsid w:val="005E78E0"/>
    <w:rsid w:val="005F0D9C"/>
    <w:rsid w:val="005F1B25"/>
    <w:rsid w:val="005F284E"/>
    <w:rsid w:val="005F4712"/>
    <w:rsid w:val="006015CE"/>
    <w:rsid w:val="00604784"/>
    <w:rsid w:val="00605049"/>
    <w:rsid w:val="006059BC"/>
    <w:rsid w:val="00606419"/>
    <w:rsid w:val="00607D29"/>
    <w:rsid w:val="00612952"/>
    <w:rsid w:val="00613A48"/>
    <w:rsid w:val="00614CC1"/>
    <w:rsid w:val="00615A9D"/>
    <w:rsid w:val="00617387"/>
    <w:rsid w:val="006205D6"/>
    <w:rsid w:val="006252D8"/>
    <w:rsid w:val="006259BC"/>
    <w:rsid w:val="0062636B"/>
    <w:rsid w:val="00632182"/>
    <w:rsid w:val="00632AE0"/>
    <w:rsid w:val="00633C17"/>
    <w:rsid w:val="00634D9E"/>
    <w:rsid w:val="00636C02"/>
    <w:rsid w:val="00636E3E"/>
    <w:rsid w:val="006379F7"/>
    <w:rsid w:val="00637E4D"/>
    <w:rsid w:val="00640620"/>
    <w:rsid w:val="00641A1F"/>
    <w:rsid w:val="00645904"/>
    <w:rsid w:val="006460DA"/>
    <w:rsid w:val="00650BBB"/>
    <w:rsid w:val="00651ACB"/>
    <w:rsid w:val="00651C47"/>
    <w:rsid w:val="00652AB2"/>
    <w:rsid w:val="00653FED"/>
    <w:rsid w:val="00654EC0"/>
    <w:rsid w:val="0065525B"/>
    <w:rsid w:val="00655D4F"/>
    <w:rsid w:val="00656D29"/>
    <w:rsid w:val="006640E5"/>
    <w:rsid w:val="006646F1"/>
    <w:rsid w:val="00664929"/>
    <w:rsid w:val="00664F62"/>
    <w:rsid w:val="006655E1"/>
    <w:rsid w:val="0066687B"/>
    <w:rsid w:val="006711BA"/>
    <w:rsid w:val="00672060"/>
    <w:rsid w:val="00672BFD"/>
    <w:rsid w:val="006770F4"/>
    <w:rsid w:val="00677A84"/>
    <w:rsid w:val="0068026D"/>
    <w:rsid w:val="00680A27"/>
    <w:rsid w:val="006816A4"/>
    <w:rsid w:val="006819B8"/>
    <w:rsid w:val="00681FC4"/>
    <w:rsid w:val="006840A6"/>
    <w:rsid w:val="006850CD"/>
    <w:rsid w:val="00685AAB"/>
    <w:rsid w:val="00694FC4"/>
    <w:rsid w:val="00695D22"/>
    <w:rsid w:val="006A07AA"/>
    <w:rsid w:val="006A25E5"/>
    <w:rsid w:val="006A2B46"/>
    <w:rsid w:val="006A336D"/>
    <w:rsid w:val="006A37B9"/>
    <w:rsid w:val="006B2580"/>
    <w:rsid w:val="006B2672"/>
    <w:rsid w:val="006B54BF"/>
    <w:rsid w:val="006B5F44"/>
    <w:rsid w:val="006B5F90"/>
    <w:rsid w:val="006B62E4"/>
    <w:rsid w:val="006C1BBA"/>
    <w:rsid w:val="006C2079"/>
    <w:rsid w:val="006C5A62"/>
    <w:rsid w:val="006C5D68"/>
    <w:rsid w:val="006C6976"/>
    <w:rsid w:val="006C6DD0"/>
    <w:rsid w:val="006D04EA"/>
    <w:rsid w:val="006D0AB7"/>
    <w:rsid w:val="006D0F4D"/>
    <w:rsid w:val="006D16C4"/>
    <w:rsid w:val="006D3E96"/>
    <w:rsid w:val="006D4515"/>
    <w:rsid w:val="006D4BB1"/>
    <w:rsid w:val="006D6593"/>
    <w:rsid w:val="006E23EA"/>
    <w:rsid w:val="006F03A8"/>
    <w:rsid w:val="006F2ACA"/>
    <w:rsid w:val="006F2ADC"/>
    <w:rsid w:val="006F2BFE"/>
    <w:rsid w:val="006F31E9"/>
    <w:rsid w:val="006F3DC3"/>
    <w:rsid w:val="006F400C"/>
    <w:rsid w:val="006F6284"/>
    <w:rsid w:val="006F6E4F"/>
    <w:rsid w:val="006F7286"/>
    <w:rsid w:val="006F7CDE"/>
    <w:rsid w:val="007002C5"/>
    <w:rsid w:val="00701AC7"/>
    <w:rsid w:val="00704387"/>
    <w:rsid w:val="00707669"/>
    <w:rsid w:val="00711CBA"/>
    <w:rsid w:val="00711FB5"/>
    <w:rsid w:val="007127B4"/>
    <w:rsid w:val="00712A01"/>
    <w:rsid w:val="00714F58"/>
    <w:rsid w:val="00722FBF"/>
    <w:rsid w:val="00722FC2"/>
    <w:rsid w:val="00724879"/>
    <w:rsid w:val="00724E1B"/>
    <w:rsid w:val="00725949"/>
    <w:rsid w:val="007269E2"/>
    <w:rsid w:val="00727FA2"/>
    <w:rsid w:val="007322D9"/>
    <w:rsid w:val="00732BC0"/>
    <w:rsid w:val="0073720F"/>
    <w:rsid w:val="00737796"/>
    <w:rsid w:val="0074076A"/>
    <w:rsid w:val="0074165C"/>
    <w:rsid w:val="00742C35"/>
    <w:rsid w:val="007432CA"/>
    <w:rsid w:val="007439EB"/>
    <w:rsid w:val="00743CB4"/>
    <w:rsid w:val="00743F0A"/>
    <w:rsid w:val="007444E8"/>
    <w:rsid w:val="0074548E"/>
    <w:rsid w:val="00745773"/>
    <w:rsid w:val="00746800"/>
    <w:rsid w:val="00747C75"/>
    <w:rsid w:val="00747C9C"/>
    <w:rsid w:val="007501A8"/>
    <w:rsid w:val="00750D61"/>
    <w:rsid w:val="00750EE1"/>
    <w:rsid w:val="00752B4D"/>
    <w:rsid w:val="00754741"/>
    <w:rsid w:val="00755402"/>
    <w:rsid w:val="007560B9"/>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14BB"/>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30FB"/>
    <w:rsid w:val="007E3337"/>
    <w:rsid w:val="007F0ED8"/>
    <w:rsid w:val="007F0F63"/>
    <w:rsid w:val="007F5EDD"/>
    <w:rsid w:val="007F75CE"/>
    <w:rsid w:val="008007C4"/>
    <w:rsid w:val="008013A4"/>
    <w:rsid w:val="008027CE"/>
    <w:rsid w:val="00802F42"/>
    <w:rsid w:val="00804383"/>
    <w:rsid w:val="00804BB7"/>
    <w:rsid w:val="00804D41"/>
    <w:rsid w:val="00810257"/>
    <w:rsid w:val="008104F5"/>
    <w:rsid w:val="00811072"/>
    <w:rsid w:val="00811369"/>
    <w:rsid w:val="00813871"/>
    <w:rsid w:val="00815419"/>
    <w:rsid w:val="008163C8"/>
    <w:rsid w:val="008164A1"/>
    <w:rsid w:val="00817325"/>
    <w:rsid w:val="008209E6"/>
    <w:rsid w:val="00823303"/>
    <w:rsid w:val="008233B2"/>
    <w:rsid w:val="00823A9F"/>
    <w:rsid w:val="00823C85"/>
    <w:rsid w:val="00825138"/>
    <w:rsid w:val="008269DD"/>
    <w:rsid w:val="00830621"/>
    <w:rsid w:val="0083172A"/>
    <w:rsid w:val="0083348C"/>
    <w:rsid w:val="008373D3"/>
    <w:rsid w:val="00840617"/>
    <w:rsid w:val="00840988"/>
    <w:rsid w:val="00840F84"/>
    <w:rsid w:val="00841EF8"/>
    <w:rsid w:val="00842A47"/>
    <w:rsid w:val="00843C13"/>
    <w:rsid w:val="008454F8"/>
    <w:rsid w:val="0085173A"/>
    <w:rsid w:val="00856316"/>
    <w:rsid w:val="008603CE"/>
    <w:rsid w:val="00861770"/>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7CD"/>
    <w:rsid w:val="008A1893"/>
    <w:rsid w:val="008A3215"/>
    <w:rsid w:val="008A434D"/>
    <w:rsid w:val="008A57B8"/>
    <w:rsid w:val="008A57E6"/>
    <w:rsid w:val="008A6F81"/>
    <w:rsid w:val="008A769A"/>
    <w:rsid w:val="008B0C9C"/>
    <w:rsid w:val="008B166D"/>
    <w:rsid w:val="008B17F4"/>
    <w:rsid w:val="008B3615"/>
    <w:rsid w:val="008B4AC4"/>
    <w:rsid w:val="008B50C8"/>
    <w:rsid w:val="008B5281"/>
    <w:rsid w:val="008B7E05"/>
    <w:rsid w:val="008C10E8"/>
    <w:rsid w:val="008C1797"/>
    <w:rsid w:val="008C219C"/>
    <w:rsid w:val="008C475E"/>
    <w:rsid w:val="008C619A"/>
    <w:rsid w:val="008D0CE8"/>
    <w:rsid w:val="008D2D1D"/>
    <w:rsid w:val="008D453D"/>
    <w:rsid w:val="008D53AD"/>
    <w:rsid w:val="008D562B"/>
    <w:rsid w:val="008D5733"/>
    <w:rsid w:val="008D622B"/>
    <w:rsid w:val="008D666C"/>
    <w:rsid w:val="008D7B54"/>
    <w:rsid w:val="008E03DF"/>
    <w:rsid w:val="008E0C9D"/>
    <w:rsid w:val="008E1648"/>
    <w:rsid w:val="008E1B3E"/>
    <w:rsid w:val="008E2319"/>
    <w:rsid w:val="008E2909"/>
    <w:rsid w:val="008E4BB6"/>
    <w:rsid w:val="008E5518"/>
    <w:rsid w:val="008E6A84"/>
    <w:rsid w:val="008F0CDC"/>
    <w:rsid w:val="008F17A3"/>
    <w:rsid w:val="008F1ED3"/>
    <w:rsid w:val="008F23A5"/>
    <w:rsid w:val="008F4C29"/>
    <w:rsid w:val="008F6B80"/>
    <w:rsid w:val="008F70BD"/>
    <w:rsid w:val="008F788F"/>
    <w:rsid w:val="008F7EA2"/>
    <w:rsid w:val="00902722"/>
    <w:rsid w:val="009027BC"/>
    <w:rsid w:val="009062E6"/>
    <w:rsid w:val="009070C7"/>
    <w:rsid w:val="00911BE5"/>
    <w:rsid w:val="00913CA9"/>
    <w:rsid w:val="009145AE"/>
    <w:rsid w:val="009146CE"/>
    <w:rsid w:val="00914CA7"/>
    <w:rsid w:val="00915C3E"/>
    <w:rsid w:val="009161A8"/>
    <w:rsid w:val="0092159C"/>
    <w:rsid w:val="009215F2"/>
    <w:rsid w:val="009245F5"/>
    <w:rsid w:val="009249EC"/>
    <w:rsid w:val="009273B3"/>
    <w:rsid w:val="009305B5"/>
    <w:rsid w:val="009429D5"/>
    <w:rsid w:val="00942BF1"/>
    <w:rsid w:val="00945180"/>
    <w:rsid w:val="00945428"/>
    <w:rsid w:val="0094607B"/>
    <w:rsid w:val="009509A5"/>
    <w:rsid w:val="00953604"/>
    <w:rsid w:val="0095496B"/>
    <w:rsid w:val="009610DC"/>
    <w:rsid w:val="00961490"/>
    <w:rsid w:val="0096381A"/>
    <w:rsid w:val="00965E04"/>
    <w:rsid w:val="009674AD"/>
    <w:rsid w:val="00970CDC"/>
    <w:rsid w:val="00977010"/>
    <w:rsid w:val="00977D02"/>
    <w:rsid w:val="009809BB"/>
    <w:rsid w:val="00983333"/>
    <w:rsid w:val="0098364B"/>
    <w:rsid w:val="00986EE9"/>
    <w:rsid w:val="009911AF"/>
    <w:rsid w:val="00991875"/>
    <w:rsid w:val="00991F92"/>
    <w:rsid w:val="00992985"/>
    <w:rsid w:val="00993889"/>
    <w:rsid w:val="0099551B"/>
    <w:rsid w:val="00997BF1"/>
    <w:rsid w:val="009A089C"/>
    <w:rsid w:val="009A118E"/>
    <w:rsid w:val="009A1C13"/>
    <w:rsid w:val="009A21CD"/>
    <w:rsid w:val="009A278C"/>
    <w:rsid w:val="009A2BC2"/>
    <w:rsid w:val="009A42C1"/>
    <w:rsid w:val="009A5429"/>
    <w:rsid w:val="009A63F8"/>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3F7A"/>
    <w:rsid w:val="009E496D"/>
    <w:rsid w:val="009E4A58"/>
    <w:rsid w:val="009E5A2D"/>
    <w:rsid w:val="009E5AB2"/>
    <w:rsid w:val="009E6219"/>
    <w:rsid w:val="009F03B3"/>
    <w:rsid w:val="009F5AAC"/>
    <w:rsid w:val="00A0096C"/>
    <w:rsid w:val="00A01757"/>
    <w:rsid w:val="00A028C0"/>
    <w:rsid w:val="00A02BAE"/>
    <w:rsid w:val="00A06A6B"/>
    <w:rsid w:val="00A06F5D"/>
    <w:rsid w:val="00A07E47"/>
    <w:rsid w:val="00A1084F"/>
    <w:rsid w:val="00A129D0"/>
    <w:rsid w:val="00A12C33"/>
    <w:rsid w:val="00A138BA"/>
    <w:rsid w:val="00A14C8E"/>
    <w:rsid w:val="00A153D9"/>
    <w:rsid w:val="00A15F09"/>
    <w:rsid w:val="00A1687D"/>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C7B"/>
    <w:rsid w:val="00A541C8"/>
    <w:rsid w:val="00A55BD6"/>
    <w:rsid w:val="00A55D50"/>
    <w:rsid w:val="00A57142"/>
    <w:rsid w:val="00A648CD"/>
    <w:rsid w:val="00A6537A"/>
    <w:rsid w:val="00A67866"/>
    <w:rsid w:val="00A70B07"/>
    <w:rsid w:val="00A723F8"/>
    <w:rsid w:val="00A77CCB"/>
    <w:rsid w:val="00A82FB9"/>
    <w:rsid w:val="00A83D8D"/>
    <w:rsid w:val="00A8446B"/>
    <w:rsid w:val="00A8473F"/>
    <w:rsid w:val="00A85AE5"/>
    <w:rsid w:val="00A862D6"/>
    <w:rsid w:val="00A8715E"/>
    <w:rsid w:val="00A9295B"/>
    <w:rsid w:val="00A9373F"/>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5D3"/>
    <w:rsid w:val="00AB6C5F"/>
    <w:rsid w:val="00AB7129"/>
    <w:rsid w:val="00AB77CC"/>
    <w:rsid w:val="00AC157B"/>
    <w:rsid w:val="00AC1EAC"/>
    <w:rsid w:val="00AC27A6"/>
    <w:rsid w:val="00AC30F7"/>
    <w:rsid w:val="00AC3A5A"/>
    <w:rsid w:val="00AC4D95"/>
    <w:rsid w:val="00AC5DF4"/>
    <w:rsid w:val="00AC69C1"/>
    <w:rsid w:val="00AD0AEF"/>
    <w:rsid w:val="00AD11B7"/>
    <w:rsid w:val="00AD1A94"/>
    <w:rsid w:val="00AD1C05"/>
    <w:rsid w:val="00AD4126"/>
    <w:rsid w:val="00AD421C"/>
    <w:rsid w:val="00AD44FA"/>
    <w:rsid w:val="00AE009E"/>
    <w:rsid w:val="00AE070A"/>
    <w:rsid w:val="00AE101C"/>
    <w:rsid w:val="00AE37E5"/>
    <w:rsid w:val="00AE5EB4"/>
    <w:rsid w:val="00AF0C18"/>
    <w:rsid w:val="00AF3A55"/>
    <w:rsid w:val="00AF47C5"/>
    <w:rsid w:val="00AF5398"/>
    <w:rsid w:val="00B049AF"/>
    <w:rsid w:val="00B07242"/>
    <w:rsid w:val="00B07668"/>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5E3C"/>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67A91"/>
    <w:rsid w:val="00B723B7"/>
    <w:rsid w:val="00B72880"/>
    <w:rsid w:val="00B736E1"/>
    <w:rsid w:val="00B758BF"/>
    <w:rsid w:val="00B77EC8"/>
    <w:rsid w:val="00B827A6"/>
    <w:rsid w:val="00B831CE"/>
    <w:rsid w:val="00B8558B"/>
    <w:rsid w:val="00B86677"/>
    <w:rsid w:val="00B87131"/>
    <w:rsid w:val="00B90A61"/>
    <w:rsid w:val="00B939B1"/>
    <w:rsid w:val="00B96D40"/>
    <w:rsid w:val="00B97386"/>
    <w:rsid w:val="00BA22E4"/>
    <w:rsid w:val="00BA263B"/>
    <w:rsid w:val="00BA29F6"/>
    <w:rsid w:val="00BA42B2"/>
    <w:rsid w:val="00BA58D4"/>
    <w:rsid w:val="00BA5B9E"/>
    <w:rsid w:val="00BA69B0"/>
    <w:rsid w:val="00BA7C9A"/>
    <w:rsid w:val="00BB203B"/>
    <w:rsid w:val="00BB46BF"/>
    <w:rsid w:val="00BB5F8F"/>
    <w:rsid w:val="00BB657A"/>
    <w:rsid w:val="00BB7E2F"/>
    <w:rsid w:val="00BC0388"/>
    <w:rsid w:val="00BC1A4E"/>
    <w:rsid w:val="00BC4790"/>
    <w:rsid w:val="00BC5DC7"/>
    <w:rsid w:val="00BC6B8B"/>
    <w:rsid w:val="00BC73D8"/>
    <w:rsid w:val="00BD52D7"/>
    <w:rsid w:val="00BD5513"/>
    <w:rsid w:val="00BD5AD2"/>
    <w:rsid w:val="00BE1BA8"/>
    <w:rsid w:val="00BE22F3"/>
    <w:rsid w:val="00BE5B52"/>
    <w:rsid w:val="00BE712E"/>
    <w:rsid w:val="00BE7B8D"/>
    <w:rsid w:val="00BF0993"/>
    <w:rsid w:val="00BF10A9"/>
    <w:rsid w:val="00BF1703"/>
    <w:rsid w:val="00BF231C"/>
    <w:rsid w:val="00BF51E5"/>
    <w:rsid w:val="00BF74A6"/>
    <w:rsid w:val="00C00892"/>
    <w:rsid w:val="00C01324"/>
    <w:rsid w:val="00C013AD"/>
    <w:rsid w:val="00C04904"/>
    <w:rsid w:val="00C05393"/>
    <w:rsid w:val="00C056B3"/>
    <w:rsid w:val="00C05ED7"/>
    <w:rsid w:val="00C103E5"/>
    <w:rsid w:val="00C13319"/>
    <w:rsid w:val="00C13EE9"/>
    <w:rsid w:val="00C200AE"/>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2279"/>
    <w:rsid w:val="00C5423C"/>
    <w:rsid w:val="00C55232"/>
    <w:rsid w:val="00C553A4"/>
    <w:rsid w:val="00C55A06"/>
    <w:rsid w:val="00C55D03"/>
    <w:rsid w:val="00C601BC"/>
    <w:rsid w:val="00C62233"/>
    <w:rsid w:val="00C6329F"/>
    <w:rsid w:val="00C63340"/>
    <w:rsid w:val="00C643F9"/>
    <w:rsid w:val="00C64E95"/>
    <w:rsid w:val="00C6527C"/>
    <w:rsid w:val="00C71372"/>
    <w:rsid w:val="00C72410"/>
    <w:rsid w:val="00C7287F"/>
    <w:rsid w:val="00C80CB8"/>
    <w:rsid w:val="00C81653"/>
    <w:rsid w:val="00C819F8"/>
    <w:rsid w:val="00C8248C"/>
    <w:rsid w:val="00C84D84"/>
    <w:rsid w:val="00C84E33"/>
    <w:rsid w:val="00C86D6F"/>
    <w:rsid w:val="00C905FC"/>
    <w:rsid w:val="00C92D03"/>
    <w:rsid w:val="00C9319C"/>
    <w:rsid w:val="00C9435D"/>
    <w:rsid w:val="00C949FE"/>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82"/>
    <w:rsid w:val="00CC39FF"/>
    <w:rsid w:val="00CC3C2F"/>
    <w:rsid w:val="00CC47D0"/>
    <w:rsid w:val="00CC4AC8"/>
    <w:rsid w:val="00CC5233"/>
    <w:rsid w:val="00CC5DE6"/>
    <w:rsid w:val="00CC6E4E"/>
    <w:rsid w:val="00CC6FE8"/>
    <w:rsid w:val="00CC7202"/>
    <w:rsid w:val="00CD0CBC"/>
    <w:rsid w:val="00CD2808"/>
    <w:rsid w:val="00CD28BF"/>
    <w:rsid w:val="00CD4092"/>
    <w:rsid w:val="00CD4A20"/>
    <w:rsid w:val="00CD50A1"/>
    <w:rsid w:val="00CD519E"/>
    <w:rsid w:val="00CD561D"/>
    <w:rsid w:val="00CE0C4F"/>
    <w:rsid w:val="00CE30EA"/>
    <w:rsid w:val="00CE3E91"/>
    <w:rsid w:val="00CE7DA8"/>
    <w:rsid w:val="00CF048A"/>
    <w:rsid w:val="00CF155A"/>
    <w:rsid w:val="00CF2947"/>
    <w:rsid w:val="00CF686F"/>
    <w:rsid w:val="00CF6E60"/>
    <w:rsid w:val="00CF7556"/>
    <w:rsid w:val="00CF7BCA"/>
    <w:rsid w:val="00D008FD"/>
    <w:rsid w:val="00D0321C"/>
    <w:rsid w:val="00D0335E"/>
    <w:rsid w:val="00D035EC"/>
    <w:rsid w:val="00D06AB1"/>
    <w:rsid w:val="00D072ED"/>
    <w:rsid w:val="00D07A16"/>
    <w:rsid w:val="00D1067E"/>
    <w:rsid w:val="00D10F50"/>
    <w:rsid w:val="00D11272"/>
    <w:rsid w:val="00D126F5"/>
    <w:rsid w:val="00D1489E"/>
    <w:rsid w:val="00D20737"/>
    <w:rsid w:val="00D21457"/>
    <w:rsid w:val="00D21E81"/>
    <w:rsid w:val="00D223DE"/>
    <w:rsid w:val="00D25E37"/>
    <w:rsid w:val="00D2661A"/>
    <w:rsid w:val="00D27582"/>
    <w:rsid w:val="00D27EC4"/>
    <w:rsid w:val="00D32719"/>
    <w:rsid w:val="00D32AA0"/>
    <w:rsid w:val="00D33333"/>
    <w:rsid w:val="00D33457"/>
    <w:rsid w:val="00D352A2"/>
    <w:rsid w:val="00D4162B"/>
    <w:rsid w:val="00D426CB"/>
    <w:rsid w:val="00D4514F"/>
    <w:rsid w:val="00D451E2"/>
    <w:rsid w:val="00D45E89"/>
    <w:rsid w:val="00D45E8D"/>
    <w:rsid w:val="00D466AE"/>
    <w:rsid w:val="00D4734F"/>
    <w:rsid w:val="00D51BF3"/>
    <w:rsid w:val="00D646A4"/>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3B07"/>
    <w:rsid w:val="00DA5191"/>
    <w:rsid w:val="00DA64F8"/>
    <w:rsid w:val="00DA6C15"/>
    <w:rsid w:val="00DB00A7"/>
    <w:rsid w:val="00DB0258"/>
    <w:rsid w:val="00DB38EE"/>
    <w:rsid w:val="00DB498B"/>
    <w:rsid w:val="00DB66CA"/>
    <w:rsid w:val="00DB6BCA"/>
    <w:rsid w:val="00DB73F7"/>
    <w:rsid w:val="00DC0321"/>
    <w:rsid w:val="00DC17C4"/>
    <w:rsid w:val="00DC26DA"/>
    <w:rsid w:val="00DC3067"/>
    <w:rsid w:val="00DC370B"/>
    <w:rsid w:val="00DC5B90"/>
    <w:rsid w:val="00DC6ECC"/>
    <w:rsid w:val="00DD00FF"/>
    <w:rsid w:val="00DD0619"/>
    <w:rsid w:val="00DD07FB"/>
    <w:rsid w:val="00DD14D4"/>
    <w:rsid w:val="00DD25C6"/>
    <w:rsid w:val="00DD4FE5"/>
    <w:rsid w:val="00DD54B0"/>
    <w:rsid w:val="00DD57EE"/>
    <w:rsid w:val="00DD6BCC"/>
    <w:rsid w:val="00DE0A4B"/>
    <w:rsid w:val="00DE2410"/>
    <w:rsid w:val="00DE2939"/>
    <w:rsid w:val="00DE397A"/>
    <w:rsid w:val="00DE6E81"/>
    <w:rsid w:val="00DE703F"/>
    <w:rsid w:val="00DE7595"/>
    <w:rsid w:val="00DF1961"/>
    <w:rsid w:val="00DF1E91"/>
    <w:rsid w:val="00DF44DE"/>
    <w:rsid w:val="00DF5F11"/>
    <w:rsid w:val="00E01138"/>
    <w:rsid w:val="00E02DFB"/>
    <w:rsid w:val="00E030F9"/>
    <w:rsid w:val="00E0311A"/>
    <w:rsid w:val="00E03138"/>
    <w:rsid w:val="00E06404"/>
    <w:rsid w:val="00E065D2"/>
    <w:rsid w:val="00E109E4"/>
    <w:rsid w:val="00E11A85"/>
    <w:rsid w:val="00E12495"/>
    <w:rsid w:val="00E15CCD"/>
    <w:rsid w:val="00E202EF"/>
    <w:rsid w:val="00E210B5"/>
    <w:rsid w:val="00E23D99"/>
    <w:rsid w:val="00E2552F"/>
    <w:rsid w:val="00E302B2"/>
    <w:rsid w:val="00E3137A"/>
    <w:rsid w:val="00E32CCF"/>
    <w:rsid w:val="00E34A98"/>
    <w:rsid w:val="00E35AFE"/>
    <w:rsid w:val="00E35D1E"/>
    <w:rsid w:val="00E364F9"/>
    <w:rsid w:val="00E365FA"/>
    <w:rsid w:val="00E36789"/>
    <w:rsid w:val="00E37E97"/>
    <w:rsid w:val="00E41B7C"/>
    <w:rsid w:val="00E44A83"/>
    <w:rsid w:val="00E502C1"/>
    <w:rsid w:val="00E502DD"/>
    <w:rsid w:val="00E50D3A"/>
    <w:rsid w:val="00E51387"/>
    <w:rsid w:val="00E51E68"/>
    <w:rsid w:val="00E52EFD"/>
    <w:rsid w:val="00E5408A"/>
    <w:rsid w:val="00E5446B"/>
    <w:rsid w:val="00E56800"/>
    <w:rsid w:val="00E60C63"/>
    <w:rsid w:val="00E60C71"/>
    <w:rsid w:val="00E62FF9"/>
    <w:rsid w:val="00E635D6"/>
    <w:rsid w:val="00E639BC"/>
    <w:rsid w:val="00E664CC"/>
    <w:rsid w:val="00E70388"/>
    <w:rsid w:val="00E70BD1"/>
    <w:rsid w:val="00E70F92"/>
    <w:rsid w:val="00E71C57"/>
    <w:rsid w:val="00E74C54"/>
    <w:rsid w:val="00E77A03"/>
    <w:rsid w:val="00E80753"/>
    <w:rsid w:val="00E822E8"/>
    <w:rsid w:val="00E82554"/>
    <w:rsid w:val="00E82606"/>
    <w:rsid w:val="00E846C8"/>
    <w:rsid w:val="00E84957"/>
    <w:rsid w:val="00E84A55"/>
    <w:rsid w:val="00E85BFF"/>
    <w:rsid w:val="00E85D8A"/>
    <w:rsid w:val="00E9019D"/>
    <w:rsid w:val="00E90391"/>
    <w:rsid w:val="00E906C2"/>
    <w:rsid w:val="00E919C2"/>
    <w:rsid w:val="00E92D5A"/>
    <w:rsid w:val="00E9311F"/>
    <w:rsid w:val="00E934D1"/>
    <w:rsid w:val="00E94AF0"/>
    <w:rsid w:val="00E95D13"/>
    <w:rsid w:val="00E95DD3"/>
    <w:rsid w:val="00E969D5"/>
    <w:rsid w:val="00EA29D0"/>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381"/>
    <w:rsid w:val="00EE54A6"/>
    <w:rsid w:val="00EE613F"/>
    <w:rsid w:val="00EE67A0"/>
    <w:rsid w:val="00EE7295"/>
    <w:rsid w:val="00EE7869"/>
    <w:rsid w:val="00EF054A"/>
    <w:rsid w:val="00EF1F70"/>
    <w:rsid w:val="00EF25CE"/>
    <w:rsid w:val="00EF3235"/>
    <w:rsid w:val="00EF36D9"/>
    <w:rsid w:val="00EF7E72"/>
    <w:rsid w:val="00F06D37"/>
    <w:rsid w:val="00F07B9D"/>
    <w:rsid w:val="00F11586"/>
    <w:rsid w:val="00F1183B"/>
    <w:rsid w:val="00F11C9F"/>
    <w:rsid w:val="00F12263"/>
    <w:rsid w:val="00F1409D"/>
    <w:rsid w:val="00F14214"/>
    <w:rsid w:val="00F157A9"/>
    <w:rsid w:val="00F1691D"/>
    <w:rsid w:val="00F25BB6"/>
    <w:rsid w:val="00F26B7E"/>
    <w:rsid w:val="00F27A3B"/>
    <w:rsid w:val="00F33817"/>
    <w:rsid w:val="00F35CE5"/>
    <w:rsid w:val="00F420D5"/>
    <w:rsid w:val="00F451EA"/>
    <w:rsid w:val="00F45447"/>
    <w:rsid w:val="00F456C6"/>
    <w:rsid w:val="00F4577B"/>
    <w:rsid w:val="00F46496"/>
    <w:rsid w:val="00F46871"/>
    <w:rsid w:val="00F474D0"/>
    <w:rsid w:val="00F50179"/>
    <w:rsid w:val="00F515EE"/>
    <w:rsid w:val="00F54C66"/>
    <w:rsid w:val="00F55795"/>
    <w:rsid w:val="00F56511"/>
    <w:rsid w:val="00F6194E"/>
    <w:rsid w:val="00F623AC"/>
    <w:rsid w:val="00F62E28"/>
    <w:rsid w:val="00F6412A"/>
    <w:rsid w:val="00F65893"/>
    <w:rsid w:val="00F66A4A"/>
    <w:rsid w:val="00F71E22"/>
    <w:rsid w:val="00F72142"/>
    <w:rsid w:val="00F72475"/>
    <w:rsid w:val="00F72AE7"/>
    <w:rsid w:val="00F75920"/>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A74AE"/>
    <w:rsid w:val="00FA755A"/>
    <w:rsid w:val="00FA7BF8"/>
    <w:rsid w:val="00FB0CB9"/>
    <w:rsid w:val="00FB231D"/>
    <w:rsid w:val="00FB45F1"/>
    <w:rsid w:val="00FB4A72"/>
    <w:rsid w:val="00FB54E8"/>
    <w:rsid w:val="00FB7054"/>
    <w:rsid w:val="00FC17B7"/>
    <w:rsid w:val="00FC2CB7"/>
    <w:rsid w:val="00FC4090"/>
    <w:rsid w:val="00FC55B4"/>
    <w:rsid w:val="00FD00E6"/>
    <w:rsid w:val="00FD09A1"/>
    <w:rsid w:val="00FD1023"/>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A3F"/>
    <w:rsid w:val="00FF7CE4"/>
    <w:rsid w:val="00FF7E39"/>
    <w:rsid w:val="087A0447"/>
    <w:rsid w:val="18493992"/>
    <w:rsid w:val="19F33BB6"/>
    <w:rsid w:val="1D864D41"/>
    <w:rsid w:val="1E087E4C"/>
    <w:rsid w:val="20155C97"/>
    <w:rsid w:val="2CBB4924"/>
    <w:rsid w:val="31115F60"/>
    <w:rsid w:val="35441192"/>
    <w:rsid w:val="3A0472C2"/>
    <w:rsid w:val="3B765F9D"/>
    <w:rsid w:val="3CD45671"/>
    <w:rsid w:val="3FC9207B"/>
    <w:rsid w:val="42AC04F6"/>
    <w:rsid w:val="436D5ED7"/>
    <w:rsid w:val="438356FB"/>
    <w:rsid w:val="439E49DE"/>
    <w:rsid w:val="45DE6E7B"/>
    <w:rsid w:val="46603AD2"/>
    <w:rsid w:val="537F0A5F"/>
    <w:rsid w:val="58D47524"/>
    <w:rsid w:val="5D08379C"/>
    <w:rsid w:val="5F70492E"/>
    <w:rsid w:val="616F2480"/>
    <w:rsid w:val="6D556F0F"/>
    <w:rsid w:val="70EF6AC6"/>
    <w:rsid w:val="70FF06FD"/>
    <w:rsid w:val="7C686C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semiHidden/>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8"/>
    <w:qFormat/>
    <w:uiPriority w:val="99"/>
    <w:rPr>
      <w:kern w:val="2"/>
      <w:sz w:val="18"/>
      <w:szCs w:val="18"/>
    </w:rPr>
  </w:style>
  <w:style w:type="character" w:customStyle="1" w:styleId="45">
    <w:name w:val="页脚 Char"/>
    <w:link w:val="17"/>
    <w:qFormat/>
    <w:uiPriority w:val="99"/>
    <w:rPr>
      <w:rFonts w:ascii="宋体"/>
      <w:kern w:val="2"/>
      <w:sz w:val="18"/>
      <w:szCs w:val="18"/>
    </w:rPr>
  </w:style>
  <w:style w:type="character" w:customStyle="1" w:styleId="46">
    <w:name w:val="批注框文本 Char"/>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ind w:left="0"/>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glossaryDocument" Target="glossary/document.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jpeg"/><Relationship Id="rId24" Type="http://schemas.openxmlformats.org/officeDocument/2006/relationships/image" Target="media/image1.tiff"/><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815A2F7DA7143A48EDF79F9742301B1"/>
        <w:style w:val=""/>
        <w:category>
          <w:name w:val="常规"/>
          <w:gallery w:val="placeholder"/>
        </w:category>
        <w:types>
          <w:type w:val="bbPlcHdr"/>
        </w:types>
        <w:behaviors>
          <w:behavior w:val="content"/>
        </w:behaviors>
        <w:description w:val=""/>
        <w:guid w:val="{16ECF6C5-6ED2-43A0-98CE-CA4FCCC28D65}"/>
      </w:docPartPr>
      <w:docPartBody>
        <w:p>
          <w:pPr>
            <w:pStyle w:val="5"/>
          </w:pPr>
          <w:r>
            <w:rPr>
              <w:rStyle w:val="4"/>
              <w:rFonts w:hint="eastAsia"/>
            </w:rPr>
            <w:t>单击或点击此处输入文字。</w:t>
          </w:r>
        </w:p>
      </w:docPartBody>
    </w:docPart>
    <w:docPart>
      <w:docPartPr>
        <w:name w:val="6BD85B8270404E5F92E828CE85C319AF"/>
        <w:style w:val=""/>
        <w:category>
          <w:name w:val="常规"/>
          <w:gallery w:val="placeholder"/>
        </w:category>
        <w:types>
          <w:type w:val="bbPlcHdr"/>
        </w:types>
        <w:behaviors>
          <w:behavior w:val="content"/>
        </w:behaviors>
        <w:description w:val=""/>
        <w:guid w:val="{1112E943-3B4A-4B60-95BA-3554163DD700}"/>
      </w:docPartPr>
      <w:docPartBody>
        <w:p>
          <w:pPr>
            <w:pStyle w:val="6"/>
          </w:pPr>
          <w:r>
            <w:rPr>
              <w:rStyle w:val="4"/>
              <w:rFonts w:hint="eastAsia"/>
            </w:rPr>
            <w:t>选择一项。</w:t>
          </w:r>
        </w:p>
      </w:docPartBody>
    </w:docPart>
    <w:docPart>
      <w:docPartPr>
        <w:name w:val="4188035E201E4444A9C9DBD31E25C08B"/>
        <w:style w:val=""/>
        <w:category>
          <w:name w:val="常规"/>
          <w:gallery w:val="placeholder"/>
        </w:category>
        <w:types>
          <w:type w:val="bbPlcHdr"/>
        </w:types>
        <w:behaviors>
          <w:behavior w:val="content"/>
        </w:behaviors>
        <w:description w:val=""/>
        <w:guid w:val="{EA59A692-3BD6-4F05-AFC8-C6D7EF7191F7}"/>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92DDB"/>
    <w:rsid w:val="00163182"/>
    <w:rsid w:val="001D7CB0"/>
    <w:rsid w:val="002502F0"/>
    <w:rsid w:val="00676BEC"/>
    <w:rsid w:val="00986307"/>
    <w:rsid w:val="00992DDB"/>
    <w:rsid w:val="00BE0265"/>
    <w:rsid w:val="00CC44B7"/>
    <w:rsid w:val="00CD4291"/>
    <w:rsid w:val="00EB0C2C"/>
    <w:rsid w:val="00ED3E49"/>
    <w:rsid w:val="00ED72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815A2F7DA7143A48EDF79F9742301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BD85B8270404E5F92E828CE85C319A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188035E201E4444A9C9DBD31E25C08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4099"/>
    <customShpInfo spid="_x0000_s4100"/>
    <customShpInfo spid="_x0000_s4097"/>
    <customShpInfo spid="_x0000_s4098"/>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B1779D-53E0-4E00-A138-AD56EBA60CB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30</Pages>
  <Words>16771</Words>
  <Characters>17626</Characters>
  <Lines>149</Lines>
  <Paragraphs>42</Paragraphs>
  <TotalTime>7</TotalTime>
  <ScaleCrop>false</ScaleCrop>
  <LinksUpToDate>false</LinksUpToDate>
  <CharactersWithSpaces>18076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2023-04-17T13:44:00Z</dcterms:created>
  <dc:creator>lenovo</dc:creator>
  <dc:description>&lt;config cover="true" show_menu="true" version="1.0.0" doctype="SDKXY"&gt;_x000d_
&lt;/config&gt;</dc:description>
  <cp:lastModifiedBy>陈诚</cp:lastModifiedBy>
  <cp:lastPrinted>2023-04-17T14:10:00Z</cp:lastPrinted>
  <dcterms:modified xsi:type="dcterms:W3CDTF">2023-04-23T18:28:19Z</dcterms:modified>
  <dc:title>地方标准</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2052-11.1.0.14036</vt:lpwstr>
  </property>
  <property fmtid="{D5CDD505-2E9C-101B-9397-08002B2CF9AE}" pid="15" name="ICV">
    <vt:lpwstr>753E3524080D403B88A25F7E10A220C8_12</vt:lpwstr>
  </property>
</Properties>
</file>