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03.120.20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43</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2023</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检验检测机构资质认定</w:t>
      </w:r>
      <w:r>
        <w:cr/>
      </w:r>
      <w:r>
        <w:rPr>
          <w:rFonts w:hint="eastAsia"/>
          <w:lang w:eastAsia="zh-CN"/>
        </w:rPr>
        <w:t>第二部分</w:t>
      </w:r>
      <w:bookmarkStart w:id="59" w:name="_GoBack"/>
      <w:bookmarkEnd w:id="59"/>
      <w:r>
        <w:t>--现场试验考核实施规范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Inspection Body and Laboratory Mandatory Approval</w:t>
      </w:r>
    </w:p>
    <w:p>
      <w:pPr>
        <w:pStyle w:val="125"/>
        <w:framePr w:w="9639" w:h="6974" w:hRule="exact" w:wrap="around" w:vAnchor="page" w:hAnchor="page" w:x="1419" w:y="6408" w:anchorLock="1"/>
        <w:textAlignment w:val="bottom"/>
        <w:rPr>
          <w:rFonts w:eastAsia="黑体"/>
          <w:szCs w:val="28"/>
        </w:rPr>
      </w:pPr>
      <w:r>
        <w:rPr>
          <w:rFonts w:hint="eastAsia" w:eastAsia="黑体"/>
          <w:szCs w:val="28"/>
        </w:rPr>
        <w:t>——</w:t>
      </w:r>
      <w:r>
        <w:rPr>
          <w:rFonts w:eastAsia="黑体"/>
          <w:szCs w:val="28"/>
        </w:rPr>
        <w:t>Implementation specification for field test assessment</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w:t>
      </w:r>
      <w:r>
        <w:rPr>
          <w:sz w:val="21"/>
          <w:szCs w:val="28"/>
        </w:rPr>
        <w:t>023</w:t>
      </w:r>
      <w:r>
        <w:rPr>
          <w:rFonts w:hint="eastAsia"/>
          <w:sz w:val="21"/>
          <w:szCs w:val="28"/>
        </w:rPr>
        <w:t>-</w:t>
      </w:r>
      <w:r>
        <w:rPr>
          <w:sz w:val="21"/>
          <w:szCs w:val="28"/>
        </w:rPr>
        <w:t>04</w:t>
      </w:r>
      <w:r>
        <w:rPr>
          <w:rFonts w:hint="eastAsia"/>
          <w:sz w:val="21"/>
          <w:szCs w:val="28"/>
        </w:rPr>
        <w:t>-</w:t>
      </w:r>
      <w:r>
        <w:rPr>
          <w:sz w:val="21"/>
          <w:szCs w:val="28"/>
        </w:rPr>
        <w:t>02</w:t>
      </w:r>
      <w:r>
        <w:rPr>
          <w:rFonts w:hint="eastAsia"/>
          <w:sz w:val="21"/>
          <w:szCs w:val="28"/>
        </w:rPr>
        <w:t>）</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21" w:name="BookMark1"/>
      <w:r>
        <w:rPr>
          <w:spacing w:val="320"/>
        </w:rPr>
        <w:t>目</w:t>
      </w:r>
      <w: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"_Toc131371618" </w:instrText>
      </w:r>
      <w:r>
        <w:fldChar w:fldCharType="separate"/>
      </w:r>
      <w:r>
        <w:rPr>
          <w:rStyle w:val="32"/>
        </w:rPr>
        <w:t>1  范围</w:t>
      </w:r>
      <w:r>
        <w:tab/>
      </w:r>
      <w:r>
        <w:fldChar w:fldCharType="begin"/>
      </w:r>
      <w:r>
        <w:instrText xml:space="preserve"> PAGEREF _Toc131371618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"_Toc131371619" </w:instrText>
      </w:r>
      <w:r>
        <w:fldChar w:fldCharType="separate"/>
      </w:r>
      <w:r>
        <w:rPr>
          <w:rStyle w:val="32"/>
        </w:rPr>
        <w:t>2  规范性引用文件</w:t>
      </w:r>
      <w:r>
        <w:tab/>
      </w:r>
      <w:r>
        <w:fldChar w:fldCharType="begin"/>
      </w:r>
      <w:r>
        <w:instrText xml:space="preserve"> PAGEREF _Toc131371619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"_Toc131371620" </w:instrText>
      </w:r>
      <w:r>
        <w:fldChar w:fldCharType="separate"/>
      </w:r>
      <w:r>
        <w:rPr>
          <w:rStyle w:val="32"/>
        </w:rPr>
        <w:t>3  术语和定义</w:t>
      </w:r>
      <w:r>
        <w:tab/>
      </w:r>
      <w:r>
        <w:fldChar w:fldCharType="begin"/>
      </w:r>
      <w:r>
        <w:instrText xml:space="preserve"> PAGEREF _Toc131371620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"_Toc131371621" </w:instrText>
      </w:r>
      <w:r>
        <w:fldChar w:fldCharType="separate"/>
      </w:r>
      <w:r>
        <w:rPr>
          <w:rStyle w:val="32"/>
        </w:rPr>
        <w:t>4  职责</w:t>
      </w:r>
      <w:r>
        <w:tab/>
      </w:r>
      <w:r>
        <w:fldChar w:fldCharType="begin"/>
      </w:r>
      <w:r>
        <w:instrText xml:space="preserve"> PAGEREF _Toc131371621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"_Toc131371622" </w:instrText>
      </w:r>
      <w:r>
        <w:fldChar w:fldCharType="separate"/>
      </w:r>
      <w:r>
        <w:rPr>
          <w:rStyle w:val="32"/>
        </w:rPr>
        <w:t>5  基本要求</w:t>
      </w:r>
      <w:r>
        <w:tab/>
      </w:r>
      <w:r>
        <w:fldChar w:fldCharType="begin"/>
      </w:r>
      <w:r>
        <w:instrText xml:space="preserve"> PAGEREF _Toc131371622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"_Toc131371623" </w:instrText>
      </w:r>
      <w:r>
        <w:fldChar w:fldCharType="separate"/>
      </w:r>
      <w:r>
        <w:rPr>
          <w:rStyle w:val="32"/>
        </w:rPr>
        <w:t>6  考核过程</w:t>
      </w:r>
      <w:r>
        <w:tab/>
      </w:r>
      <w:r>
        <w:fldChar w:fldCharType="begin"/>
      </w:r>
      <w:r>
        <w:instrText xml:space="preserve"> PAGEREF _Toc131371623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"_Toc131371624" </w:instrText>
      </w:r>
      <w:r>
        <w:fldChar w:fldCharType="separate"/>
      </w:r>
      <w:r>
        <w:rPr>
          <w:rStyle w:val="32"/>
          <w14:scene3d>
            <w14:lightRig w14:rig="threePt" w14:dir="t">
              <w14:rot w14:lat="0" w14:lon="0" w14:rev="0"/>
            </w14:lightRig>
          </w14:scene3d>
        </w:rPr>
        <w:t xml:space="preserve">6.1 </w:t>
      </w:r>
      <w:r>
        <w:rPr>
          <w:rStyle w:val="32"/>
        </w:rPr>
        <w:t xml:space="preserve"> 考核准备</w:t>
      </w:r>
      <w:r>
        <w:tab/>
      </w:r>
      <w:r>
        <w:fldChar w:fldCharType="begin"/>
      </w:r>
      <w:r>
        <w:instrText xml:space="preserve"> PAGEREF _Toc131371624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"_Toc131371625" </w:instrText>
      </w:r>
      <w:r>
        <w:fldChar w:fldCharType="separate"/>
      </w:r>
      <w:r>
        <w:rPr>
          <w:rStyle w:val="32"/>
          <w14:scene3d>
            <w14:lightRig w14:rig="threePt" w14:dir="t">
              <w14:rot w14:lat="0" w14:lon="0" w14:rev="0"/>
            </w14:lightRig>
          </w14:scene3d>
        </w:rPr>
        <w:t xml:space="preserve">6.2 </w:t>
      </w:r>
      <w:r>
        <w:rPr>
          <w:rStyle w:val="32"/>
        </w:rPr>
        <w:t xml:space="preserve"> 考核实施</w:t>
      </w:r>
      <w:r>
        <w:tab/>
      </w:r>
      <w:r>
        <w:fldChar w:fldCharType="begin"/>
      </w:r>
      <w:r>
        <w:instrText xml:space="preserve"> PAGEREF _Toc131371625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"_Toc131371626" </w:instrText>
      </w:r>
      <w:r>
        <w:fldChar w:fldCharType="separate"/>
      </w:r>
      <w:r>
        <w:rPr>
          <w:rStyle w:val="32"/>
          <w14:scene3d>
            <w14:lightRig w14:rig="threePt" w14:dir="t">
              <w14:rot w14:lat="0" w14:lon="0" w14:rev="0"/>
            </w14:lightRig>
          </w14:scene3d>
        </w:rPr>
        <w:t xml:space="preserve">6.3 </w:t>
      </w:r>
      <w:r>
        <w:rPr>
          <w:rStyle w:val="32"/>
        </w:rPr>
        <w:t xml:space="preserve"> 考核结果评价</w:t>
      </w:r>
      <w:r>
        <w:tab/>
      </w:r>
      <w:r>
        <w:fldChar w:fldCharType="begin"/>
      </w:r>
      <w:r>
        <w:instrText xml:space="preserve"> PAGEREF _Toc131371626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"_Toc131371627" </w:instrText>
      </w:r>
      <w:r>
        <w:fldChar w:fldCharType="separate"/>
      </w:r>
      <w:r>
        <w:rPr>
          <w:rStyle w:val="32"/>
        </w:rPr>
        <w:t>附录A（规范性）  现场考核项目表</w:t>
      </w:r>
      <w:r>
        <w:tab/>
      </w:r>
      <w:r>
        <w:fldChar w:fldCharType="begin"/>
      </w:r>
      <w:r>
        <w:instrText xml:space="preserve"> PAGEREF _Toc131371627 \h </w:instrText>
      </w:r>
      <w:r>
        <w:fldChar w:fldCharType="separate"/>
      </w:r>
      <w:r>
        <w:t>7</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"_Toc131371628" </w:instrText>
      </w:r>
      <w:r>
        <w:fldChar w:fldCharType="separate"/>
      </w:r>
      <w:r>
        <w:rPr>
          <w:rStyle w:val="32"/>
        </w:rPr>
        <w:t>参考文献</w:t>
      </w:r>
      <w:r>
        <w:tab/>
      </w:r>
      <w:r>
        <w:fldChar w:fldCharType="begin"/>
      </w:r>
      <w:r>
        <w:instrText xml:space="preserve"> PAGEREF _Toc131371628 \h </w:instrText>
      </w:r>
      <w:r>
        <w:fldChar w:fldCharType="separate"/>
      </w:r>
      <w:r>
        <w:t>8</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22" w:name="BookMark2"/>
      <w:r>
        <w:rPr>
          <w:spacing w:val="320"/>
        </w:rPr>
        <w:t>前</w:t>
      </w:r>
      <w:r>
        <w:t>言</w:t>
      </w:r>
    </w:p>
    <w:p>
      <w:pPr>
        <w:pStyle w:val="230"/>
        <w:rPr>
          <w:rFonts w:hint="eastAsia" w:ascii="Times New Roman"/>
        </w:rPr>
      </w:pPr>
      <w:r>
        <w:rPr>
          <w:rFonts w:hint="eastAsia" w:ascii="Times New Roman"/>
          <w:lang w:eastAsia="zh-CN"/>
        </w:rPr>
        <w:t>湖南省检验检测机构资质认定评审</w:t>
      </w:r>
      <w:r>
        <w:rPr>
          <w:rFonts w:hint="eastAsia" w:ascii="Times New Roman"/>
        </w:rPr>
        <w:t>系列地方标准由以下标准共同构成：</w:t>
      </w:r>
    </w:p>
    <w:p>
      <w:pPr>
        <w:pStyle w:val="230"/>
        <w:rPr>
          <w:rFonts w:hint="eastAsia" w:ascii="Times New Roman"/>
        </w:rPr>
      </w:pPr>
      <w:r>
        <w:rPr>
          <w:color w:val="000000"/>
        </w:rPr>
        <w:t>——</w:t>
      </w:r>
      <w:r>
        <w:rPr>
          <w:rFonts w:hint="eastAsia"/>
        </w:rPr>
        <w:t>第1部分</w:t>
      </w:r>
      <w:r>
        <w:rPr>
          <w:rFonts w:hint="eastAsia" w:ascii="Times New Roman"/>
        </w:rPr>
        <w:t>：</w:t>
      </w:r>
      <w:r>
        <w:rPr>
          <w:rFonts w:hint="eastAsia" w:ascii="Times New Roman"/>
          <w:lang w:eastAsia="zh-CN"/>
        </w:rPr>
        <w:t>现场评审工作规范</w:t>
      </w:r>
      <w:r>
        <w:rPr>
          <w:rFonts w:hint="eastAsia" w:ascii="Times New Roman"/>
        </w:rPr>
        <w:t>；</w:t>
      </w:r>
    </w:p>
    <w:p>
      <w:pPr>
        <w:pStyle w:val="230"/>
        <w:rPr>
          <w:rFonts w:hint="eastAsia" w:ascii="Times New Roman" w:eastAsia="宋体"/>
          <w:lang w:eastAsia="zh-CN"/>
        </w:rPr>
      </w:pPr>
      <w:r>
        <w:rPr>
          <w:color w:val="000000"/>
        </w:rPr>
        <w:t>——</w:t>
      </w:r>
      <w:r>
        <w:rPr>
          <w:rFonts w:hint="eastAsia"/>
        </w:rPr>
        <w:t>第2部分</w:t>
      </w:r>
      <w:r>
        <w:rPr>
          <w:rFonts w:hint="eastAsia" w:ascii="Times New Roman"/>
        </w:rPr>
        <w:t>：现场试验考核</w:t>
      </w:r>
      <w:r>
        <w:rPr>
          <w:rFonts w:hint="eastAsia" w:ascii="Times New Roman"/>
          <w:lang w:eastAsia="zh-CN"/>
        </w:rPr>
        <w:t>实施规范</w:t>
      </w:r>
      <w:r>
        <w:rPr>
          <w:rFonts w:hint="eastAsia" w:ascii="Times New Roman"/>
        </w:rPr>
        <w:t>；</w:t>
      </w:r>
      <w:r>
        <w:rPr>
          <w:rFonts w:hint="eastAsia" w:ascii="Times New Roman"/>
          <w:lang w:eastAsia="zh-CN"/>
        </w:rPr>
        <w:t>　</w:t>
      </w:r>
    </w:p>
    <w:p>
      <w:pPr>
        <w:pStyle w:val="230"/>
        <w:rPr>
          <w:rFonts w:hint="eastAsia" w:ascii="Times New Roman"/>
          <w:lang w:eastAsia="zh-CN"/>
        </w:rPr>
      </w:pPr>
      <w:r>
        <w:rPr>
          <w:color w:val="000000"/>
        </w:rPr>
        <w:t>——</w:t>
      </w:r>
      <w:r>
        <w:rPr>
          <w:rFonts w:hint="eastAsia"/>
        </w:rPr>
        <w:t>第3部分</w:t>
      </w:r>
      <w:r>
        <w:rPr>
          <w:rFonts w:hint="eastAsia" w:ascii="Times New Roman"/>
        </w:rPr>
        <w:t>：</w:t>
      </w:r>
      <w:r>
        <w:rPr>
          <w:rFonts w:hint="eastAsia" w:ascii="Times New Roman"/>
          <w:lang w:eastAsia="zh-CN"/>
        </w:rPr>
        <w:t>检验检测能力表述规范；</w:t>
      </w:r>
    </w:p>
    <w:p>
      <w:pPr>
        <w:pStyle w:val="230"/>
        <w:rPr>
          <w:rFonts w:hint="eastAsia" w:ascii="Times New Roman"/>
        </w:rPr>
      </w:pPr>
      <w:r>
        <w:rPr>
          <w:color w:val="000000"/>
        </w:rPr>
        <w:t>——</w:t>
      </w:r>
      <w:r>
        <w:rPr>
          <w:rFonts w:hint="eastAsia"/>
        </w:rPr>
        <w:t>第</w:t>
      </w:r>
      <w:r>
        <w:rPr>
          <w:rFonts w:hint="eastAsia"/>
          <w:lang w:val="en-US" w:eastAsia="zh-CN"/>
        </w:rPr>
        <w:t>4</w:t>
      </w:r>
      <w:r>
        <w:rPr>
          <w:rFonts w:hint="eastAsia"/>
        </w:rPr>
        <w:t>部分</w:t>
      </w:r>
      <w:r>
        <w:rPr>
          <w:rFonts w:hint="eastAsia" w:ascii="Times New Roman"/>
        </w:rPr>
        <w:t>：</w:t>
      </w:r>
      <w:r>
        <w:rPr>
          <w:rFonts w:hint="eastAsia" w:ascii="Times New Roman"/>
          <w:lang w:eastAsia="zh-CN"/>
        </w:rPr>
        <w:t>授权签字人考核工作规范</w:t>
      </w:r>
      <w:r>
        <w:rPr>
          <w:rFonts w:hint="eastAsia" w:ascii="Times New Roman"/>
        </w:rPr>
        <w:t>；</w:t>
      </w:r>
    </w:p>
    <w:p>
      <w:pPr>
        <w:pStyle w:val="230"/>
        <w:rPr>
          <w:rFonts w:hint="eastAsia" w:ascii="Times New Roman" w:eastAsia="宋体"/>
          <w:lang w:eastAsia="zh-CN"/>
        </w:rPr>
      </w:pPr>
      <w:r>
        <w:rPr>
          <w:color w:val="000000"/>
        </w:rPr>
        <w:t>——</w:t>
      </w:r>
      <w:r>
        <w:rPr>
          <w:rFonts w:hint="eastAsia"/>
        </w:rPr>
        <w:t>第</w:t>
      </w:r>
      <w:r>
        <w:rPr>
          <w:rFonts w:hint="eastAsia"/>
          <w:lang w:val="en-US" w:eastAsia="zh-CN"/>
        </w:rPr>
        <w:t>5</w:t>
      </w:r>
      <w:r>
        <w:rPr>
          <w:rFonts w:hint="eastAsia"/>
        </w:rPr>
        <w:t>部分</w:t>
      </w:r>
      <w:r>
        <w:rPr>
          <w:rFonts w:hint="eastAsia" w:ascii="Times New Roman"/>
        </w:rPr>
        <w:t>：</w:t>
      </w:r>
      <w:r>
        <w:rPr>
          <w:rFonts w:hint="eastAsia" w:ascii="Times New Roman"/>
          <w:lang w:eastAsia="zh-CN"/>
        </w:rPr>
        <w:t>评审人员管理规范</w:t>
      </w:r>
      <w:r>
        <w:rPr>
          <w:rFonts w:hint="eastAsia" w:ascii="Times New Roman"/>
        </w:rPr>
        <w:t>；</w:t>
      </w:r>
      <w:r>
        <w:rPr>
          <w:rFonts w:hint="eastAsia" w:ascii="Times New Roman"/>
          <w:lang w:eastAsia="zh-CN"/>
        </w:rPr>
        <w:t>　</w:t>
      </w:r>
    </w:p>
    <w:p>
      <w:pPr>
        <w:pStyle w:val="230"/>
        <w:rPr>
          <w:rFonts w:hint="eastAsia" w:ascii="Times New Roman"/>
          <w:lang w:val="en-US" w:eastAsia="zh-CN"/>
        </w:rPr>
      </w:pPr>
      <w:r>
        <w:rPr>
          <w:color w:val="000000"/>
        </w:rPr>
        <w:t>——</w:t>
      </w:r>
      <w:r>
        <w:rPr>
          <w:rFonts w:hint="eastAsia"/>
        </w:rPr>
        <w:t>第</w:t>
      </w:r>
      <w:r>
        <w:rPr>
          <w:rFonts w:hint="eastAsia"/>
          <w:lang w:val="en-US" w:eastAsia="zh-CN"/>
        </w:rPr>
        <w:t>6</w:t>
      </w:r>
      <w:r>
        <w:rPr>
          <w:rFonts w:hint="eastAsia"/>
        </w:rPr>
        <w:t>部分</w:t>
      </w:r>
      <w:r>
        <w:rPr>
          <w:rFonts w:hint="eastAsia" w:ascii="Times New Roman"/>
          <w:color w:val="auto"/>
        </w:rPr>
        <w:t>：</w:t>
      </w:r>
      <w:r>
        <w:rPr>
          <w:rFonts w:hint="eastAsia"/>
          <w:color w:val="auto"/>
          <w:highlight w:val="none"/>
        </w:rPr>
        <w:t>告知承诺制证后核查</w:t>
      </w:r>
      <w:r>
        <w:rPr>
          <w:rFonts w:hint="eastAsia" w:ascii="Times New Roman"/>
          <w:color w:val="auto"/>
          <w:lang w:eastAsia="zh-CN"/>
        </w:rPr>
        <w:t>工作规范</w:t>
      </w:r>
      <w:r>
        <w:rPr>
          <w:rFonts w:hint="eastAsia" w:ascii="Times New Roman"/>
          <w:color w:val="auto"/>
          <w:lang w:val="en-US" w:eastAsia="zh-CN"/>
        </w:rPr>
        <w:t>。</w:t>
      </w:r>
    </w:p>
    <w:p>
      <w:pPr>
        <w:pStyle w:val="56"/>
        <w:ind w:firstLine="420"/>
        <w:rPr>
          <w:rFonts w:hint="eastAsia" w:hAnsi="Times New Roman" w:eastAsia="宋体" w:cs="Times New Roman"/>
          <w:color w:val="FF0000"/>
          <w:lang w:val="en-US" w:eastAsia="zh-CN"/>
        </w:rPr>
      </w:pPr>
      <w:r>
        <w:rPr>
          <w:rFonts w:hint="eastAsia" w:hAnsi="Times New Roman" w:cs="Times New Roman"/>
        </w:rPr>
        <w:t>本</w:t>
      </w:r>
      <w:r>
        <w:rPr>
          <w:rFonts w:hint="eastAsia" w:hAnsi="Times New Roman" w:cs="Times New Roman"/>
          <w:lang w:eastAsia="zh-CN"/>
        </w:rPr>
        <w:t>文件</w:t>
      </w:r>
      <w:r>
        <w:rPr>
          <w:rFonts w:hint="eastAsia" w:hAnsi="Times New Roman" w:cs="Times New Roman"/>
        </w:rPr>
        <w:t>为</w:t>
      </w:r>
      <w:r>
        <w:rPr>
          <w:rFonts w:hint="eastAsia" w:hAnsi="Times New Roman" w:cs="Times New Roman"/>
          <w:lang w:eastAsia="zh-CN"/>
        </w:rPr>
        <w:t>湖南省检验检测机构资质认定评审</w:t>
      </w:r>
      <w:r>
        <w:rPr>
          <w:rFonts w:hint="eastAsia" w:hAnsi="Times New Roman" w:cs="Times New Roman"/>
        </w:rPr>
        <w:t>系列地方标准</w:t>
      </w:r>
      <w:r>
        <w:rPr>
          <w:rFonts w:hint="eastAsia" w:hAnsi="Times New Roman" w:cs="Times New Roman"/>
          <w:color w:val="000000" w:themeColor="text1"/>
          <w14:textFill>
            <w14:solidFill>
              <w14:schemeClr w14:val="tx1"/>
            </w14:solidFill>
          </w14:textFill>
        </w:rPr>
        <w:t>的第1</w:t>
      </w:r>
      <w:r>
        <w:rPr>
          <w:rFonts w:hint="eastAsia" w:hAnsi="Times New Roman" w:cs="Times New Roman"/>
          <w:color w:val="000000" w:themeColor="text1"/>
          <w:lang w:eastAsia="zh-CN"/>
          <w14:textFill>
            <w14:solidFill>
              <w14:schemeClr w14:val="tx1"/>
            </w14:solidFill>
          </w14:textFill>
        </w:rPr>
        <w:t>部分</w:t>
      </w:r>
      <w:r>
        <w:rPr>
          <w:rFonts w:hint="eastAsia" w:hAnsi="Times New Roman" w:cs="Times New Roman"/>
          <w:color w:val="000000" w:themeColor="text1"/>
          <w14:textFill>
            <w14:solidFill>
              <w14:schemeClr w14:val="tx1"/>
            </w14:solidFill>
          </w14:textFill>
        </w:rPr>
        <w:t>。</w:t>
      </w:r>
      <w:r>
        <w:rPr>
          <w:rFonts w:hint="eastAsia" w:hAnsi="Times New Roman" w:cs="Times New Roman"/>
          <w:color w:val="000000" w:themeColor="text1"/>
          <w:lang w:val="en-US" w:eastAsia="zh-CN"/>
          <w14:textFill>
            <w14:solidFill>
              <w14:schemeClr w14:val="tx1"/>
            </w14:solidFill>
          </w14:textFill>
        </w:rPr>
        <w:t xml:space="preserve"> </w:t>
      </w:r>
    </w:p>
    <w:p>
      <w:pPr>
        <w:pStyle w:val="56"/>
        <w:ind w:left="0" w:leftChars="0" w:firstLine="420" w:firstLineChars="200"/>
        <w:rPr>
          <w:rFonts w:hint="eastAsia" w:hAnsi="Times New Roman" w:cs="Times New Roman"/>
        </w:rPr>
      </w:pPr>
      <w:r>
        <w:rPr>
          <w:rFonts w:hint="eastAsia" w:hAnsi="Times New Roman" w:cs="Times New Roman"/>
          <w:lang w:eastAsia="zh-CN"/>
        </w:rPr>
        <w:t>本文件</w:t>
      </w:r>
      <w:r>
        <w:rPr>
          <w:rFonts w:hint="eastAsia" w:hAnsi="Times New Roman" w:cs="Times New Roman"/>
        </w:rPr>
        <w:t>按照</w:t>
      </w:r>
      <w:r>
        <w:rPr>
          <w:rFonts w:hint="eastAsia" w:hAnsi="Times New Roman" w:cs="Times New Roman"/>
          <w:lang w:eastAsia="zh-CN"/>
        </w:rPr>
        <w:t>GB/T 1.1—2020</w:t>
      </w:r>
      <w:r>
        <w:rPr>
          <w:rFonts w:hint="eastAsia" w:hAnsi="Times New Roman" w:cs="Times New Roman"/>
          <w:lang w:val="en-US" w:eastAsia="zh-CN"/>
        </w:rPr>
        <w:t>《标准化工作导则 第 1 部分：标准化文件的结构和起草规则》</w:t>
      </w:r>
      <w:r>
        <w:rPr>
          <w:rFonts w:hint="eastAsia" w:hAnsi="Times New Roman" w:cs="Times New Roman"/>
        </w:rPr>
        <w:t>的</w:t>
      </w:r>
      <w:r>
        <w:rPr>
          <w:rFonts w:hint="eastAsia" w:hAnsi="Times New Roman" w:cs="Times New Roman"/>
          <w:lang w:eastAsia="zh-CN"/>
        </w:rPr>
        <w:t>规定</w:t>
      </w:r>
      <w:r>
        <w:rPr>
          <w:rFonts w:hint="eastAsia" w:hAnsi="Times New Roman" w:cs="Times New Roman"/>
        </w:rPr>
        <w:t>起草。</w:t>
      </w:r>
    </w:p>
    <w:p>
      <w:pPr>
        <w:pStyle w:val="56"/>
        <w:ind w:firstLine="420"/>
        <w:rPr>
          <w:rFonts w:hint="eastAsia" w:hAnsi="Times New Roman" w:cs="Times New Roman"/>
        </w:rPr>
      </w:pPr>
      <w:r>
        <w:rPr>
          <w:rFonts w:hint="eastAsia" w:hAnsi="Times New Roman" w:cs="Times New Roman"/>
          <w:lang w:val="en-US" w:eastAsia="zh-CN"/>
        </w:rPr>
        <w:t>请注意本文件的某些内容可能涉及专利。本文件的发布机构不承担识别专利的责任。</w:t>
      </w:r>
    </w:p>
    <w:p>
      <w:pPr>
        <w:pStyle w:val="56"/>
        <w:ind w:firstLine="420"/>
        <w:rPr>
          <w:rFonts w:hint="eastAsia" w:hAnsi="Times New Roman" w:cs="Times New Roman"/>
        </w:rPr>
      </w:pPr>
      <w:r>
        <w:rPr>
          <w:rFonts w:hint="eastAsia" w:hAnsi="Times New Roman" w:cs="Times New Roman"/>
          <w:lang w:eastAsia="zh-CN"/>
        </w:rPr>
        <w:t>本文件</w:t>
      </w:r>
      <w:r>
        <w:rPr>
          <w:rFonts w:hint="eastAsia" w:hAnsi="Times New Roman" w:cs="Times New Roman"/>
        </w:rPr>
        <w:t>由湖南省市场监督管理局提出并归口。</w:t>
      </w:r>
    </w:p>
    <w:p>
      <w:pPr>
        <w:pStyle w:val="56"/>
        <w:ind w:firstLine="420"/>
        <w:rPr>
          <w:rFonts w:hint="eastAsia" w:hAnsi="Times New Roman" w:cs="Times New Roman"/>
        </w:rPr>
      </w:pPr>
      <w:r>
        <w:rPr>
          <w:rFonts w:hint="eastAsia" w:hAnsi="Times New Roman" w:cs="Times New Roman"/>
          <w:lang w:val="en-US" w:eastAsia="zh-CN"/>
        </w:rPr>
        <w:t xml:space="preserve">本文件起草单位：     </w:t>
      </w:r>
      <w:r>
        <w:rPr>
          <w:rFonts w:hint="default" w:hAnsi="Times New Roman" w:cs="Times New Roman"/>
          <w:lang w:val="en-US" w:eastAsia="zh-CN"/>
        </w:rPr>
        <w:t xml:space="preserve">。 </w:t>
      </w:r>
    </w:p>
    <w:p>
      <w:pPr>
        <w:pStyle w:val="56"/>
        <w:ind w:firstLine="420"/>
        <w:rPr>
          <w:rFonts w:hint="default" w:hAnsi="Times New Roman" w:cs="Times New Roman"/>
          <w:lang w:val="en-US"/>
        </w:rPr>
      </w:pPr>
      <w:r>
        <w:rPr>
          <w:rFonts w:hint="default" w:hAnsi="Times New Roman" w:cs="Times New Roman"/>
          <w:lang w:val="en-US" w:eastAsia="zh-CN"/>
        </w:rPr>
        <w:t>本文件主要起草人：</w:t>
      </w:r>
      <w:r>
        <w:rPr>
          <w:rFonts w:hint="eastAsia" w:hAnsi="Times New Roman" w:cs="Times New Roman"/>
          <w:lang w:val="en-US" w:eastAsia="zh-CN"/>
        </w:rPr>
        <w:t xml:space="preserve">    。</w:t>
      </w:r>
    </w:p>
    <w:p>
      <w:pPr>
        <w:pStyle w:val="56"/>
        <w:ind w:firstLine="420"/>
      </w:pP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2"/>
    <w:p>
      <w:pPr>
        <w:spacing w:line="20" w:lineRule="exact"/>
        <w:jc w:val="center"/>
        <w:rPr>
          <w:rFonts w:ascii="黑体" w:hAnsi="黑体" w:eastAsia="黑体"/>
          <w:sz w:val="32"/>
          <w:szCs w:val="32"/>
        </w:rPr>
      </w:pPr>
      <w:bookmarkStart w:id="23" w:name="BookMark4"/>
    </w:p>
    <w:p>
      <w:pPr>
        <w:spacing w:line="20" w:lineRule="exact"/>
        <w:jc w:val="center"/>
        <w:rPr>
          <w:rFonts w:ascii="黑体" w:hAnsi="黑体" w:eastAsia="黑体"/>
          <w:sz w:val="32"/>
          <w:szCs w:val="32"/>
        </w:rPr>
      </w:pPr>
    </w:p>
    <w:sdt>
      <w:sdtPr>
        <w:tag w:val="NEW_STAND_NAME"/>
        <w:id w:val="595910757"/>
        <w:lock w:val="sdtLocked"/>
        <w:placeholder>
          <w:docPart w:val="1928A127F98E48E7801FE146F199458D"/>
        </w:placeholder>
      </w:sdtPr>
      <w:sdtContent>
        <w:p>
          <w:pPr>
            <w:pStyle w:val="177"/>
            <w:spacing w:before="3" w:beforeLines="1" w:after="3" w:afterLines="1"/>
          </w:pPr>
          <w:bookmarkStart w:id="24" w:name="NEW_STAND_NAME"/>
          <w:r>
            <w:rPr>
              <w:rFonts w:hint="eastAsia"/>
            </w:rPr>
            <w:t>检验检测机构资质认定</w:t>
          </w:r>
        </w:p>
        <w:p>
          <w:pPr>
            <w:pStyle w:val="177"/>
            <w:spacing w:before="3" w:beforeLines="1" w:after="680"/>
          </w:pPr>
          <w:r>
            <w:rPr>
              <w:rFonts w:hint="eastAsia"/>
              <w:lang w:eastAsia="zh-CN"/>
            </w:rPr>
            <w:t>第二部分</w:t>
          </w:r>
          <w:r>
            <w:t>--现场试验考核实施规范</w:t>
          </w:r>
        </w:p>
      </w:sdtContent>
    </w:sdt>
    <w:bookmarkEnd w:id="24"/>
    <w:p>
      <w:pPr>
        <w:pStyle w:val="104"/>
        <w:spacing w:before="312" w:after="312"/>
      </w:pPr>
      <w:bookmarkStart w:id="25" w:name="_Toc97191423"/>
      <w:bookmarkStart w:id="26" w:name="_Toc24884211"/>
      <w:bookmarkStart w:id="27" w:name="_Toc24884218"/>
      <w:bookmarkStart w:id="28" w:name="_Toc131371618"/>
      <w:bookmarkStart w:id="29" w:name="_Toc26986771"/>
      <w:bookmarkStart w:id="30" w:name="_Toc17233333"/>
      <w:bookmarkStart w:id="31" w:name="_Toc26648465"/>
      <w:bookmarkStart w:id="32" w:name="_Toc26986530"/>
      <w:bookmarkStart w:id="33" w:name="_Toc17233325"/>
      <w:bookmarkStart w:id="34" w:name="_Toc26718930"/>
      <w:r>
        <w:rPr>
          <w:rFonts w:hint="eastAsia"/>
        </w:rPr>
        <w:t>范围</w:t>
      </w:r>
      <w:bookmarkEnd w:id="25"/>
      <w:bookmarkEnd w:id="26"/>
      <w:bookmarkEnd w:id="27"/>
      <w:bookmarkEnd w:id="28"/>
      <w:bookmarkEnd w:id="29"/>
      <w:bookmarkEnd w:id="30"/>
      <w:bookmarkEnd w:id="31"/>
      <w:bookmarkEnd w:id="32"/>
      <w:bookmarkEnd w:id="33"/>
      <w:bookmarkEnd w:id="34"/>
    </w:p>
    <w:p>
      <w:pPr>
        <w:pStyle w:val="56"/>
        <w:ind w:firstLine="420"/>
      </w:pPr>
      <w:bookmarkStart w:id="35" w:name="_Toc24884212"/>
      <w:bookmarkStart w:id="36" w:name="_Toc24884219"/>
      <w:bookmarkStart w:id="37" w:name="_Toc26648466"/>
      <w:bookmarkStart w:id="38" w:name="_Toc17233326"/>
      <w:bookmarkStart w:id="39" w:name="_Toc17233334"/>
      <w:r>
        <w:rPr>
          <w:rFonts w:hint="eastAsia"/>
        </w:rPr>
        <w:t>本文件规定了湖南省检验检测机构资质认定评审现场试验考核中评审组及职责、现场试验考核原则、考核要求、考核程序、考核结果评价。</w:t>
      </w:r>
    </w:p>
    <w:p>
      <w:pPr>
        <w:pStyle w:val="56"/>
        <w:ind w:firstLine="420"/>
      </w:pPr>
      <w:r>
        <w:rPr>
          <w:rFonts w:hint="eastAsia"/>
        </w:rPr>
        <w:t>本文件适用于湖南省检验检测机构资质认定评审的现场试验考核。</w:t>
      </w:r>
    </w:p>
    <w:p>
      <w:pPr>
        <w:pStyle w:val="104"/>
        <w:spacing w:before="312" w:after="312"/>
      </w:pPr>
      <w:bookmarkStart w:id="40" w:name="_Toc26718931"/>
      <w:bookmarkStart w:id="41" w:name="_Toc26986531"/>
      <w:bookmarkStart w:id="42" w:name="_Toc97191424"/>
      <w:bookmarkStart w:id="43" w:name="_Toc131371619"/>
      <w:bookmarkStart w:id="44" w:name="_Toc26986772"/>
      <w:r>
        <w:rPr>
          <w:rFonts w:hint="eastAsia"/>
        </w:rPr>
        <w:t>规范性引用文件</w:t>
      </w:r>
      <w:bookmarkEnd w:id="35"/>
      <w:bookmarkEnd w:id="36"/>
      <w:bookmarkEnd w:id="37"/>
      <w:bookmarkEnd w:id="38"/>
      <w:bookmarkEnd w:id="39"/>
      <w:bookmarkEnd w:id="40"/>
      <w:bookmarkEnd w:id="41"/>
      <w:bookmarkEnd w:id="42"/>
      <w:bookmarkEnd w:id="43"/>
      <w:bookmarkEnd w:id="44"/>
    </w:p>
    <w:sdt>
      <w:sdtPr>
        <w:rPr>
          <w:rFonts w:hint="eastAsia"/>
        </w:rPr>
        <w:id w:val="715848253"/>
        <w:placeholder>
          <w:docPart w:val="D40E6080E6DD402D817CAA569F11532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RB/T 214  检验检测机构资质认定能力评价 检验检测机构通用要求</w:t>
      </w:r>
    </w:p>
    <w:p>
      <w:pPr>
        <w:pStyle w:val="104"/>
        <w:spacing w:before="312" w:after="312"/>
      </w:pPr>
      <w:bookmarkStart w:id="45" w:name="_Toc97191425"/>
      <w:bookmarkStart w:id="46" w:name="_Toc131371620"/>
      <w:r>
        <w:rPr>
          <w:rFonts w:hint="eastAsia"/>
          <w:szCs w:val="21"/>
        </w:rPr>
        <w:t>术语和定义</w:t>
      </w:r>
      <w:bookmarkEnd w:id="45"/>
      <w:bookmarkEnd w:id="46"/>
    </w:p>
    <w:sdt>
      <w:sdtPr>
        <w:id w:val="-1909835108"/>
        <w:placeholder>
          <w:docPart w:val="E6CCB4E03B644D28A04BBABAFF6438E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7" w:name="_Toc26986532"/>
          <w:bookmarkEnd w:id="47"/>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盲样考核b</w:t>
      </w:r>
      <w:r>
        <w:rPr>
          <w:rFonts w:ascii="黑体" w:hAnsi="黑体" w:eastAsia="黑体"/>
        </w:rPr>
        <w:t>lind sample test</w:t>
      </w:r>
    </w:p>
    <w:p>
      <w:pPr>
        <w:pStyle w:val="56"/>
        <w:ind w:firstLine="420"/>
      </w:pPr>
      <w:r>
        <w:rPr>
          <w:rFonts w:hint="eastAsia"/>
        </w:rPr>
        <w:t>评审组成员提供有数据的盲样或现场进行加标回收，交检验检测机构进行检测和赋值，其误差、加标回收率或不确定度应在允许范围之内。盲样的特征量值或参数包含物理特性、化学特性及定性鉴别等。其结果可以是数值（定量测量），也可以是描述性的（定性检测）或需要解释说明的检测结果、一套数据或一组信息。</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人员比对p</w:t>
      </w:r>
      <w:r>
        <w:rPr>
          <w:rFonts w:ascii="黑体" w:hAnsi="黑体" w:eastAsia="黑体"/>
        </w:rPr>
        <w:t>ersonnel comparison test</w:t>
      </w:r>
    </w:p>
    <w:p>
      <w:pPr>
        <w:pStyle w:val="56"/>
        <w:ind w:firstLine="420"/>
      </w:pPr>
      <w:r>
        <w:rPr>
          <w:rFonts w:hint="eastAsia"/>
        </w:rPr>
        <w:t>在重复性条件下，不同的人员依据同一标准、使用同一设备、对同一样品实施检验检测，比对结果应达到相应的质量控制要求。</w:t>
      </w:r>
    </w:p>
    <w:p>
      <w:pPr>
        <w:pStyle w:val="223"/>
        <w:ind w:left="420" w:hanging="420" w:hangingChars="200"/>
        <w:rPr>
          <w:rFonts w:ascii="黑体" w:hAnsi="黑体" w:eastAsia="黑体"/>
        </w:rPr>
      </w:pPr>
      <w:r>
        <w:rPr>
          <w:rFonts w:ascii="黑体" w:hAnsi="黑体" w:eastAsia="黑体"/>
        </w:rPr>
        <w:br w:type="textWrapping"/>
      </w:r>
      <w:r>
        <w:rPr>
          <w:rFonts w:ascii="黑体" w:hAnsi="黑体" w:eastAsia="黑体"/>
        </w:rPr>
        <w:t>仪器比对</w:t>
      </w:r>
      <w:r>
        <w:rPr>
          <w:rFonts w:hint="eastAsia" w:ascii="黑体" w:hAnsi="黑体" w:eastAsia="黑体"/>
        </w:rPr>
        <w:t xml:space="preserve">instrument </w:t>
      </w:r>
      <w:r>
        <w:rPr>
          <w:rFonts w:ascii="黑体" w:hAnsi="黑体" w:eastAsia="黑体"/>
        </w:rPr>
        <w:t>comparison</w:t>
      </w:r>
      <w:r>
        <w:rPr>
          <w:rFonts w:hint="eastAsia" w:ascii="黑体" w:hAnsi="黑体" w:eastAsia="黑体"/>
        </w:rPr>
        <w:t xml:space="preserve"> test</w:t>
      </w:r>
    </w:p>
    <w:p>
      <w:pPr>
        <w:pStyle w:val="56"/>
        <w:ind w:firstLine="420"/>
      </w:pPr>
      <w:r>
        <w:rPr>
          <w:rFonts w:hint="eastAsia"/>
        </w:rPr>
        <w:t>同一人员依据同一标准、使用不同设备、对同一样品实施检验检测，比对结果的一致性应达到相应的质量控制要求。</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样品复测sample </w:t>
      </w:r>
      <w:r>
        <w:rPr>
          <w:rFonts w:ascii="黑体" w:hAnsi="黑体" w:eastAsia="黑体"/>
        </w:rPr>
        <w:t>retest</w:t>
      </w:r>
      <w:r>
        <w:rPr>
          <w:rFonts w:hint="eastAsia" w:ascii="黑体" w:hAnsi="黑体" w:eastAsia="黑体"/>
        </w:rPr>
        <w:t xml:space="preserve"> test</w:t>
      </w:r>
    </w:p>
    <w:p>
      <w:pPr>
        <w:pStyle w:val="56"/>
        <w:ind w:firstLine="420"/>
      </w:pPr>
      <w:r>
        <w:rPr>
          <w:rFonts w:hint="eastAsia"/>
        </w:rPr>
        <w:t>由评审员指定，检验检测机构对机构留存的样品实施再次检验检测，其误差或不确定度应在允许范围之内。</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加标回收spiked recovery</w:t>
      </w:r>
    </w:p>
    <w:p>
      <w:pPr>
        <w:spacing w:line="324" w:lineRule="exact"/>
        <w:ind w:firstLine="420" w:firstLineChars="200"/>
      </w:pPr>
      <w:r>
        <w:rPr>
          <w:rFonts w:hint="eastAsia" w:ascii="宋体"/>
        </w:rPr>
        <w:t>在空白样品或已知含量的某种背景下添加已知含量的标准品（被测成分），用建立的方法检测其含量（实测值）与添加值的比。</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报告验证report </w:t>
      </w:r>
      <w:r>
        <w:rPr>
          <w:rFonts w:ascii="黑体" w:hAnsi="黑体" w:eastAsia="黑体"/>
        </w:rPr>
        <w:t>validation</w:t>
      </w:r>
    </w:p>
    <w:p>
      <w:pPr>
        <w:pStyle w:val="56"/>
        <w:ind w:firstLine="420"/>
      </w:pPr>
      <w:r>
        <w:rPr>
          <w:rFonts w:hint="eastAsia"/>
        </w:rPr>
        <w:t>通过核查已经出具的有效检验检测报告（包括能力验证结果报告）及原始记录，对报告及相关记录的完整性、规范性和准确性进行的验证，证明机构具备相应的检验检测能力。</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见证试验（操作演示）experiment w</w:t>
      </w:r>
      <w:r>
        <w:rPr>
          <w:rFonts w:ascii="黑体" w:hAnsi="黑体" w:eastAsia="黑体"/>
        </w:rPr>
        <w:t>itness</w:t>
      </w:r>
      <w:r>
        <w:rPr>
          <w:rFonts w:hint="eastAsia" w:ascii="黑体" w:hAnsi="黑体" w:eastAsia="黑体"/>
        </w:rPr>
        <w:t xml:space="preserve"> and</w:t>
      </w:r>
      <w:r>
        <w:t xml:space="preserve"> </w:t>
      </w:r>
      <w:r>
        <w:rPr>
          <w:rFonts w:ascii="黑体" w:hAnsi="黑体" w:eastAsia="黑体"/>
        </w:rPr>
        <w:t>operation</w:t>
      </w:r>
    </w:p>
    <w:p>
      <w:pPr>
        <w:pStyle w:val="56"/>
        <w:ind w:firstLine="420"/>
      </w:pPr>
      <w:r>
        <w:rPr>
          <w:rFonts w:hint="eastAsia"/>
        </w:rPr>
        <w:t>在评审组成员的观察下，检验检测人员对试验方法规定的步骤进行演示、说明和试验。该种考核方式重点考察检验检测人员对试验方法的原理、所用试剂材料、仪器设备、试验步骤、试验数据的处理等环节的熟练掌握程度，适用于不宜实施盲样考核、人员比对、仪器比对的检验检测项目。</w:t>
      </w:r>
    </w:p>
    <w:p>
      <w:pPr>
        <w:pStyle w:val="104"/>
        <w:spacing w:before="312" w:after="312"/>
      </w:pPr>
      <w:bookmarkStart w:id="48" w:name="_Toc131371621"/>
      <w:r>
        <w:rPr>
          <w:rFonts w:hint="eastAsia"/>
        </w:rPr>
        <w:t>职责</w:t>
      </w:r>
      <w:bookmarkEnd w:id="48"/>
    </w:p>
    <w:p>
      <w:pPr>
        <w:pStyle w:val="162"/>
      </w:pPr>
      <w:r>
        <w:rPr>
          <w:rFonts w:hint="eastAsia"/>
        </w:rPr>
        <w:t>评审组组长负责现场试验考核计划和考核结果的确认。</w:t>
      </w:r>
    </w:p>
    <w:p>
      <w:pPr>
        <w:pStyle w:val="162"/>
      </w:pPr>
      <w:r>
        <w:rPr>
          <w:rFonts w:hint="eastAsia"/>
        </w:rPr>
        <w:t>评审组成员负责分工领域现场试验考核计划的编制、考核的实施、考核结果的评价。</w:t>
      </w:r>
    </w:p>
    <w:p>
      <w:pPr>
        <w:pStyle w:val="162"/>
      </w:pPr>
      <w:r>
        <w:rPr>
          <w:rFonts w:hint="eastAsia"/>
        </w:rPr>
        <w:t>被评审机构按要求做好考核准备，提供所需的工作条件。</w:t>
      </w:r>
    </w:p>
    <w:p>
      <w:pPr>
        <w:pStyle w:val="104"/>
        <w:spacing w:before="312" w:after="312"/>
      </w:pPr>
      <w:bookmarkStart w:id="49" w:name="_Toc131371622"/>
      <w:r>
        <w:rPr>
          <w:rFonts w:hint="eastAsia"/>
        </w:rPr>
        <w:t>基本要求</w:t>
      </w:r>
      <w:bookmarkEnd w:id="49"/>
    </w:p>
    <w:p>
      <w:pPr>
        <w:pStyle w:val="162"/>
      </w:pPr>
      <w:r>
        <w:rPr>
          <w:rFonts w:hint="eastAsia"/>
        </w:rPr>
        <w:t>评审组根据被评审机构申请认定的技术能力范围安排现场试验，并记录现场考核的情况。安排现场试验时应充分考虑风险因素，并结合申请认定的所有类别（产品/项目/参数)、检验检测方法、仪器设备、试验人员、试验材料等，覆盖被评审机构申请认定的检验检测场所、检验检测方法的主要类型、主要检验检测人员、仪器设备、产品类型。应关注以下情形：</w:t>
      </w:r>
    </w:p>
    <w:p>
      <w:pPr>
        <w:pStyle w:val="174"/>
      </w:pPr>
      <w:r>
        <w:rPr>
          <w:rFonts w:hint="eastAsia"/>
        </w:rPr>
        <w:t>检验检测人员主观判断较多的项目；</w:t>
      </w:r>
    </w:p>
    <w:p>
      <w:pPr>
        <w:pStyle w:val="174"/>
      </w:pPr>
      <w:r>
        <w:rPr>
          <w:rFonts w:hint="eastAsia"/>
        </w:rPr>
        <w:t>难度较大、操作复杂的项目；</w:t>
      </w:r>
    </w:p>
    <w:p>
      <w:pPr>
        <w:pStyle w:val="174"/>
      </w:pPr>
      <w:r>
        <w:rPr>
          <w:rFonts w:hint="eastAsia"/>
        </w:rPr>
        <w:t>能力验证结果为有问题或不满意的项目；</w:t>
      </w:r>
    </w:p>
    <w:p>
      <w:pPr>
        <w:pStyle w:val="174"/>
      </w:pPr>
      <w:r>
        <w:rPr>
          <w:rFonts w:hint="eastAsia"/>
        </w:rPr>
        <w:t>很少进行检验检测的项目；</w:t>
      </w:r>
    </w:p>
    <w:p>
      <w:pPr>
        <w:pStyle w:val="174"/>
      </w:pPr>
      <w:r>
        <w:rPr>
          <w:rFonts w:hint="eastAsia"/>
        </w:rPr>
        <w:t>新上岗人员进行操作的项目；</w:t>
      </w:r>
    </w:p>
    <w:p>
      <w:pPr>
        <w:pStyle w:val="174"/>
      </w:pPr>
      <w:r>
        <w:rPr>
          <w:rFonts w:hint="eastAsia"/>
        </w:rPr>
        <w:t>被考核的、进行现场试验的人员应具有代表性；</w:t>
      </w:r>
    </w:p>
    <w:p>
      <w:pPr>
        <w:pStyle w:val="174"/>
      </w:pPr>
      <w:r>
        <w:rPr>
          <w:rFonts w:hint="eastAsia"/>
        </w:rPr>
        <w:t>复查评审时，上次不符合项整改验证的项目；</w:t>
      </w:r>
    </w:p>
    <w:p>
      <w:pPr>
        <w:pStyle w:val="174"/>
      </w:pPr>
      <w:r>
        <w:rPr>
          <w:rFonts w:hint="eastAsia"/>
        </w:rPr>
        <w:t>复查评审时，被评审机构技术能力发生变化的项目，包括变更备案的项目；</w:t>
      </w:r>
    </w:p>
    <w:p>
      <w:pPr>
        <w:pStyle w:val="174"/>
      </w:pPr>
      <w:r>
        <w:rPr>
          <w:rFonts w:hint="eastAsia"/>
        </w:rPr>
        <w:t>复查评审时，同一项现场考核试验可选择与此前评审时不同的试验人员、检验检测方法、设备等进行操作。</w:t>
      </w:r>
    </w:p>
    <w:p>
      <w:pPr>
        <w:pStyle w:val="162"/>
      </w:pPr>
      <w:r>
        <w:rPr>
          <w:rFonts w:hint="eastAsia"/>
        </w:rPr>
        <w:t>对于特殊试验项目的，宜按如下方式处理：</w:t>
      </w:r>
    </w:p>
    <w:p>
      <w:pPr>
        <w:pStyle w:val="174"/>
        <w:numPr>
          <w:ilvl w:val="0"/>
          <w:numId w:val="32"/>
        </w:numPr>
      </w:pPr>
      <w:r>
        <w:rPr>
          <w:rFonts w:hint="eastAsia"/>
        </w:rPr>
        <w:t>耐久性寿命或性能测试等耗时较长的试验，评审组可以采用缩短现场试验时长进行模拟操作、对仪器设备查验、人员操作、细节提问等方式进行考核；</w:t>
      </w:r>
    </w:p>
    <w:p>
      <w:pPr>
        <w:pStyle w:val="174"/>
        <w:numPr>
          <w:ilvl w:val="0"/>
          <w:numId w:val="32"/>
        </w:numPr>
      </w:pPr>
      <w:r>
        <w:rPr>
          <w:rFonts w:hint="eastAsia"/>
        </w:rPr>
        <w:t>对试验费用昂贵的项目（如某些贵重样品的损坏性试验），评审组可以适当考虑采用等效或变通的方式进行核验；</w:t>
      </w:r>
    </w:p>
    <w:p>
      <w:pPr>
        <w:pStyle w:val="174"/>
        <w:numPr>
          <w:ilvl w:val="0"/>
          <w:numId w:val="32"/>
        </w:numPr>
      </w:pPr>
      <w:r>
        <w:rPr>
          <w:rFonts w:hint="eastAsia"/>
        </w:rPr>
        <w:t>对环境场所条件要求高、组织安排现场试验难度大的项目，评审组在现场评审前应与被评审机构充分沟通，被评审机构在现场评审过程中能提供相应的场所进行现场试验。</w:t>
      </w:r>
    </w:p>
    <w:p>
      <w:pPr>
        <w:pStyle w:val="162"/>
      </w:pPr>
      <w:r>
        <w:rPr>
          <w:rFonts w:hint="eastAsia"/>
        </w:rPr>
        <w:t>现场试验考核产品/项目/参数的选择比例应满足下列要求：</w:t>
      </w:r>
    </w:p>
    <w:p>
      <w:pPr>
        <w:pStyle w:val="174"/>
        <w:numPr>
          <w:ilvl w:val="0"/>
          <w:numId w:val="33"/>
        </w:numPr>
      </w:pPr>
      <w:r>
        <w:rPr>
          <w:rFonts w:hint="eastAsia"/>
        </w:rPr>
        <w:t>首次评审、扩项评审的现场试验考核产品/项目/参数，每个类别应不少于申请产品/项目/参数的30%，并尽可能采用盲样考核的方式；</w:t>
      </w:r>
    </w:p>
    <w:p>
      <w:pPr>
        <w:pStyle w:val="174"/>
        <w:numPr>
          <w:ilvl w:val="0"/>
          <w:numId w:val="33"/>
        </w:numPr>
      </w:pPr>
      <w:r>
        <w:rPr>
          <w:rFonts w:hint="eastAsia"/>
        </w:rPr>
        <w:t>复查评审的现场试验考核产品/项目/参数，每个类别应不少于申请产品/项目/参数的15%；</w:t>
      </w:r>
    </w:p>
    <w:p>
      <w:pPr>
        <w:pStyle w:val="174"/>
        <w:numPr>
          <w:ilvl w:val="0"/>
          <w:numId w:val="33"/>
        </w:numPr>
      </w:pPr>
      <w:r>
        <w:rPr>
          <w:rFonts w:hint="eastAsia"/>
        </w:rPr>
        <w:t>地址变更的现场试验考核产品/项目/参数，每个类别应不少于申请产品/项目/参数的5%；</w:t>
      </w:r>
    </w:p>
    <w:p>
      <w:pPr>
        <w:pStyle w:val="174"/>
        <w:numPr>
          <w:ilvl w:val="0"/>
          <w:numId w:val="33"/>
        </w:numPr>
      </w:pPr>
      <w:r>
        <w:rPr>
          <w:rFonts w:hint="eastAsia"/>
        </w:rPr>
        <w:t>报告验证、见证试验（操作演示）的总数比例，应不大于现场试验考核产品/项目/参数总数的30%；</w:t>
      </w:r>
    </w:p>
    <w:p>
      <w:pPr>
        <w:pStyle w:val="174"/>
        <w:numPr>
          <w:ilvl w:val="0"/>
          <w:numId w:val="33"/>
        </w:numPr>
      </w:pPr>
      <w:r>
        <w:rPr>
          <w:rFonts w:hint="eastAsia"/>
        </w:rPr>
        <w:t>符合免考条件的产品/项目/参数计入抽考比例，现场实验考核需至少抽考一项非免考产品/项目/参数；</w:t>
      </w:r>
    </w:p>
    <w:p>
      <w:pPr>
        <w:pStyle w:val="174"/>
        <w:numPr>
          <w:ilvl w:val="0"/>
          <w:numId w:val="33"/>
        </w:numPr>
        <w:spacing w:line="324" w:lineRule="exact"/>
        <w:rPr>
          <w:color w:val="000000"/>
        </w:rPr>
      </w:pPr>
      <w:r>
        <w:rPr>
          <w:rFonts w:hint="eastAsia"/>
          <w:color w:val="000000"/>
        </w:rPr>
        <w:t>多检验检测场所评审的机构，应按评审场所分别填写现场考核项目表。</w:t>
      </w:r>
    </w:p>
    <w:p>
      <w:pPr>
        <w:pStyle w:val="162"/>
      </w:pPr>
      <w:r>
        <w:rPr>
          <w:rFonts w:hint="eastAsia"/>
        </w:rPr>
        <w:t>被评审机构在最近两个自然年内（包含本自然年）参加以下活动并符合要求的，且该产品/项目/参数的试验人员、环境、仪器设备、检验检测标准/方法、样本基质等均没有变化，仪器设备在校准周期内并持续确认有效的，可申请免除相应产品/项目/参数的现场试验考核。</w:t>
      </w:r>
    </w:p>
    <w:p>
      <w:pPr>
        <w:pStyle w:val="174"/>
        <w:numPr>
          <w:ilvl w:val="0"/>
          <w:numId w:val="34"/>
        </w:numPr>
      </w:pPr>
      <w:r>
        <w:rPr>
          <w:rFonts w:hint="eastAsia"/>
        </w:rPr>
        <w:t>参加国家级、省级机构或其他权威机构组织（如：国际组织、被授权的能力验证提供者等）的能力验证（比对、考核）取得满意结果的；</w:t>
      </w:r>
    </w:p>
    <w:p>
      <w:pPr>
        <w:pStyle w:val="174"/>
        <w:numPr>
          <w:ilvl w:val="0"/>
          <w:numId w:val="34"/>
        </w:numPr>
      </w:pPr>
      <w:r>
        <w:rPr>
          <w:rFonts w:hint="eastAsia"/>
        </w:rPr>
        <w:t>参加标准样品协作定值被采纳的；</w:t>
      </w:r>
    </w:p>
    <w:p>
      <w:pPr>
        <w:pStyle w:val="174"/>
        <w:numPr>
          <w:ilvl w:val="0"/>
          <w:numId w:val="34"/>
        </w:numPr>
      </w:pPr>
      <w:r>
        <w:rPr>
          <w:rFonts w:hint="eastAsia"/>
        </w:rPr>
        <w:t>参加检验检测机构资质认定或实验室认可评审盲样测试考核合格的。</w:t>
      </w:r>
    </w:p>
    <w:p>
      <w:pPr>
        <w:pStyle w:val="162"/>
      </w:pPr>
      <w:r>
        <w:rPr>
          <w:rFonts w:hint="eastAsia"/>
        </w:rPr>
        <w:t>评审组应根据被评审机构情况，结合使用盲样考核、人员比对、仪器比对、样品复测、加标回收、报告验证、见证试验（操作演示）等考核方式，在条件允许的情况下宜涵盖上述考核方式。</w:t>
      </w:r>
    </w:p>
    <w:p>
      <w:pPr>
        <w:pStyle w:val="104"/>
        <w:spacing w:before="312" w:after="312"/>
      </w:pPr>
      <w:bookmarkStart w:id="50" w:name="_Toc131371623"/>
      <w:r>
        <w:rPr>
          <w:rFonts w:hint="eastAsia"/>
        </w:rPr>
        <w:t>考核过程</w:t>
      </w:r>
      <w:bookmarkEnd w:id="50"/>
    </w:p>
    <w:p>
      <w:pPr>
        <w:pStyle w:val="105"/>
        <w:spacing w:before="156" w:after="156"/>
      </w:pPr>
      <w:bookmarkStart w:id="51" w:name="_Toc131371624"/>
      <w:r>
        <w:rPr>
          <w:rFonts w:hint="eastAsia"/>
        </w:rPr>
        <w:t>考核准备</w:t>
      </w:r>
      <w:bookmarkEnd w:id="51"/>
    </w:p>
    <w:p>
      <w:pPr>
        <w:pStyle w:val="165"/>
      </w:pPr>
      <w:r>
        <w:rPr>
          <w:rFonts w:hint="eastAsia"/>
        </w:rPr>
        <w:t>评审组成员应按评审分工，就所负责的评审范围拟定相应类别（产品/项目/参数）的现场试验考核产品/项目/参数、考核形式、拟考核的试验人员等，编制《现场考核项目表》（附录A），并在现场评审前5～7个工作日提交被评审机构和评审组长。</w:t>
      </w:r>
    </w:p>
    <w:p>
      <w:pPr>
        <w:pStyle w:val="165"/>
      </w:pPr>
      <w:r>
        <w:rPr>
          <w:rFonts w:hint="eastAsia"/>
        </w:rPr>
        <w:t>需要时，评审组成员应提前准备现场试验考核用盲样和/或标准样品，并确保样品的赋值、不确定度以及相关重要性能（例如稳定性）是准确和可靠的。</w:t>
      </w:r>
    </w:p>
    <w:p>
      <w:pPr>
        <w:pStyle w:val="165"/>
      </w:pPr>
      <w:r>
        <w:rPr>
          <w:rFonts w:hint="eastAsia"/>
        </w:rPr>
        <w:t>评审组成员应在现场评审前2～3个工作日，与被评审机构做好现场试验考核盲样的交接工作，确认加标回收具体操作方式和操作时间，明确提交现场试验考核结果的时间。</w:t>
      </w:r>
    </w:p>
    <w:p>
      <w:pPr>
        <w:pStyle w:val="165"/>
      </w:pPr>
      <w:r>
        <w:rPr>
          <w:rFonts w:hint="eastAsia"/>
        </w:rPr>
        <w:t>评审组长应对评审组成员提交的《现场考核项目表》进行审查，并有权要求评审员按要求对《现场考核项目表》进行完善。</w:t>
      </w:r>
    </w:p>
    <w:p>
      <w:pPr>
        <w:pStyle w:val="165"/>
      </w:pPr>
      <w:r>
        <w:rPr>
          <w:rFonts w:hint="eastAsia"/>
        </w:rPr>
        <w:t>被评审机构应按要求做好现场试验考核准备工作，提供现场试验考核所需的工作条件，保证场所环境、设备设施、标准物质、检验检测人员等条件满足检验检测标准/规范的要求。</w:t>
      </w:r>
    </w:p>
    <w:p>
      <w:pPr>
        <w:pStyle w:val="105"/>
        <w:spacing w:before="156" w:after="156"/>
      </w:pPr>
      <w:bookmarkStart w:id="52" w:name="_Toc131371625"/>
      <w:r>
        <w:rPr>
          <w:rFonts w:hint="eastAsia"/>
        </w:rPr>
        <w:t>考核实施</w:t>
      </w:r>
      <w:bookmarkEnd w:id="52"/>
    </w:p>
    <w:p>
      <w:pPr>
        <w:pStyle w:val="165"/>
      </w:pPr>
      <w:r>
        <w:rPr>
          <w:rFonts w:hint="eastAsia"/>
        </w:rPr>
        <w:t>检验检测机构技术能力的确认，原则上应基于现场试验考核等技术能力考核的结果和评审组成员的专业判断，尽量减小认定风险。</w:t>
      </w:r>
    </w:p>
    <w:p>
      <w:pPr>
        <w:pStyle w:val="165"/>
      </w:pPr>
      <w:r>
        <w:rPr>
          <w:rFonts w:hint="eastAsia"/>
        </w:rPr>
        <w:t>现场评审时，评审组成员应根据评审分工，关注相关产品/项目/参数的检验检测场所、环境设施、仪器设备、标准物质、检验检测人员、检验检测标准/规范等的有效性。</w:t>
      </w:r>
    </w:p>
    <w:p>
      <w:pPr>
        <w:pStyle w:val="165"/>
      </w:pPr>
      <w:r>
        <w:rPr>
          <w:rFonts w:hint="eastAsia"/>
        </w:rPr>
        <w:t>评审组成员发现相关产品/项目/参数的检验检测场所、环境设施、仪器设备、标准物质、检验检测人员不满足所申请技术能力的要求时，可终止相关产品/项目/参数的现场试验考核，并不予确认相关技术能力。</w:t>
      </w:r>
    </w:p>
    <w:p>
      <w:pPr>
        <w:pStyle w:val="165"/>
      </w:pPr>
      <w:r>
        <w:rPr>
          <w:rFonts w:hint="eastAsia"/>
        </w:rPr>
        <w:t>一般情况下，现场试验考核地点为被评审机构自有实验室；实验室以外的现场检验检测项目（包括携带设备在现场开展的、利用临时设施开展的、利用移动设施开展的检验检测活动等），需由被评审机构提供考核现场（场所），并在现场实施现场试验考核。</w:t>
      </w:r>
    </w:p>
    <w:p>
      <w:pPr>
        <w:pStyle w:val="165"/>
      </w:pPr>
      <w:r>
        <w:rPr>
          <w:rFonts w:hint="eastAsia"/>
        </w:rPr>
        <w:t>对于耗时较长的现场试验，评审组可结合试验关键点的操作，采取见证试验（操作演示）的方式进行现场试验考核。例如某项试验样品前处理过程难度较大，操作复杂，样品处理完成后进行常规仪器测试，或仪器测试已在其他项目中进行了考核，则评审组应主要见证其前处理过程。</w:t>
      </w:r>
    </w:p>
    <w:p>
      <w:pPr>
        <w:pStyle w:val="165"/>
      </w:pPr>
      <w:r>
        <w:rPr>
          <w:rFonts w:hint="eastAsia"/>
        </w:rPr>
        <w:t>现场试验应尽可能利用被评审机构正在进行的检验检测活动，也可以采用留样样品进行重复检验检测。</w:t>
      </w:r>
    </w:p>
    <w:p>
      <w:pPr>
        <w:pStyle w:val="165"/>
      </w:pPr>
      <w:r>
        <w:rPr>
          <w:rFonts w:hint="eastAsia"/>
        </w:rPr>
        <w:t>评审组成员在实施现场考核时应做到：</w:t>
      </w:r>
    </w:p>
    <w:p>
      <w:pPr>
        <w:pStyle w:val="174"/>
        <w:numPr>
          <w:ilvl w:val="0"/>
          <w:numId w:val="35"/>
        </w:numPr>
      </w:pPr>
      <w:r>
        <w:rPr>
          <w:rFonts w:hint="eastAsia"/>
          <w:color w:val="000000"/>
        </w:rPr>
        <w:t>见证关键试验过程；</w:t>
      </w:r>
    </w:p>
    <w:p>
      <w:pPr>
        <w:pStyle w:val="174"/>
        <w:numPr>
          <w:ilvl w:val="0"/>
          <w:numId w:val="35"/>
        </w:numPr>
      </w:pPr>
      <w:r>
        <w:rPr>
          <w:rFonts w:hint="eastAsia"/>
          <w:color w:val="000000"/>
        </w:rPr>
        <w:t>注意观察试验设备、试验环境和人员操作与检验检测标准/规范的一致性；</w:t>
      </w:r>
    </w:p>
    <w:p>
      <w:pPr>
        <w:pStyle w:val="174"/>
        <w:numPr>
          <w:ilvl w:val="0"/>
          <w:numId w:val="35"/>
        </w:numPr>
      </w:pPr>
      <w:r>
        <w:rPr>
          <w:rFonts w:hint="eastAsia"/>
          <w:color w:val="000000"/>
        </w:rPr>
        <w:t>对照现场试验核查检验检测标准/规范；</w:t>
      </w:r>
    </w:p>
    <w:p>
      <w:pPr>
        <w:pStyle w:val="174"/>
        <w:numPr>
          <w:ilvl w:val="0"/>
          <w:numId w:val="35"/>
        </w:numPr>
      </w:pPr>
      <w:r>
        <w:rPr>
          <w:rFonts w:hint="eastAsia"/>
        </w:rPr>
        <w:t>见证试验（操作演示）时应就相关技术问题对试验人员进行提问。</w:t>
      </w:r>
    </w:p>
    <w:p>
      <w:pPr>
        <w:pStyle w:val="165"/>
      </w:pPr>
      <w:r>
        <w:rPr>
          <w:rFonts w:hint="eastAsia"/>
        </w:rPr>
        <w:t>评审组应根据被评审机构情况，结合使用不同现场试验考核方式。</w:t>
      </w:r>
    </w:p>
    <w:p>
      <w:pPr>
        <w:pStyle w:val="164"/>
      </w:pPr>
      <w:r>
        <w:rPr>
          <w:rFonts w:hint="eastAsia"/>
        </w:rPr>
        <w:t>盲样考核时，应重点关注：</w:t>
      </w:r>
    </w:p>
    <w:p>
      <w:pPr>
        <w:pStyle w:val="174"/>
        <w:numPr>
          <w:ilvl w:val="0"/>
          <w:numId w:val="36"/>
        </w:numPr>
      </w:pPr>
      <w:r>
        <w:rPr>
          <w:rFonts w:hint="eastAsia"/>
        </w:rPr>
        <w:t>应确保提供盲样的赋值、不确定度以及相关重要性能（例如稳定性）的准确性和可靠性；</w:t>
      </w:r>
    </w:p>
    <w:p>
      <w:pPr>
        <w:pStyle w:val="174"/>
        <w:numPr>
          <w:ilvl w:val="0"/>
          <w:numId w:val="36"/>
        </w:numPr>
      </w:pPr>
      <w:r>
        <w:rPr>
          <w:rFonts w:hint="eastAsia"/>
        </w:rPr>
        <w:t>应尽可能见证重要的现场试验过程，而非仅提供盲样后在其他非试验场所等待被评审机构出结果。</w:t>
      </w:r>
    </w:p>
    <w:p>
      <w:pPr>
        <w:pStyle w:val="164"/>
      </w:pPr>
      <w:r>
        <w:rPr>
          <w:rFonts w:hint="eastAsia"/>
        </w:rPr>
        <w:t>人员比对时，应重点关注：</w:t>
      </w:r>
    </w:p>
    <w:p>
      <w:pPr>
        <w:pStyle w:val="174"/>
        <w:numPr>
          <w:ilvl w:val="0"/>
          <w:numId w:val="37"/>
        </w:numPr>
      </w:pPr>
      <w:r>
        <w:rPr>
          <w:rFonts w:hint="eastAsia"/>
        </w:rPr>
        <w:t>试验人员是否具有代表性；</w:t>
      </w:r>
    </w:p>
    <w:p>
      <w:pPr>
        <w:pStyle w:val="174"/>
        <w:numPr>
          <w:ilvl w:val="0"/>
          <w:numId w:val="37"/>
        </w:numPr>
      </w:pPr>
      <w:r>
        <w:rPr>
          <w:rFonts w:hint="eastAsia"/>
        </w:rPr>
        <w:t>试验设备、检验项目、环境和设施的一致性。</w:t>
      </w:r>
    </w:p>
    <w:p>
      <w:pPr>
        <w:pStyle w:val="179"/>
      </w:pPr>
      <w:r>
        <w:rPr>
          <w:rFonts w:hint="eastAsia"/>
        </w:rPr>
        <w:t>试验人员不应由被评审机构指定试验操作人员，而是从机构授权开展相应试验项目的人员中进行抽取。</w:t>
      </w:r>
    </w:p>
    <w:p>
      <w:pPr>
        <w:pStyle w:val="164"/>
      </w:pPr>
      <w:r>
        <w:rPr>
          <w:rFonts w:hint="eastAsia"/>
        </w:rPr>
        <w:t>仪器比对时，应重点关注：</w:t>
      </w:r>
    </w:p>
    <w:p>
      <w:pPr>
        <w:pStyle w:val="174"/>
        <w:numPr>
          <w:ilvl w:val="0"/>
          <w:numId w:val="38"/>
        </w:numPr>
      </w:pPr>
      <w:r>
        <w:rPr>
          <w:rFonts w:hint="eastAsia"/>
        </w:rPr>
        <w:t>被评审机构是否配备齐全开展申请项目所必需的检测设备；</w:t>
      </w:r>
    </w:p>
    <w:p>
      <w:pPr>
        <w:pStyle w:val="174"/>
        <w:numPr>
          <w:ilvl w:val="0"/>
          <w:numId w:val="38"/>
        </w:numPr>
      </w:pPr>
      <w:r>
        <w:rPr>
          <w:rFonts w:hint="eastAsia"/>
        </w:rPr>
        <w:t>仪器设备是否能满足量程和准确度要求，是否在检定/校准周期内并持续确认有效，是否运转正常；</w:t>
      </w:r>
    </w:p>
    <w:p>
      <w:pPr>
        <w:pStyle w:val="174"/>
        <w:numPr>
          <w:ilvl w:val="0"/>
          <w:numId w:val="38"/>
        </w:numPr>
      </w:pPr>
      <w:r>
        <w:rPr>
          <w:rFonts w:hint="eastAsia"/>
        </w:rPr>
        <w:t>试验人员是否熟悉相应仪器的检验检测方法标准；</w:t>
      </w:r>
    </w:p>
    <w:p>
      <w:pPr>
        <w:pStyle w:val="174"/>
        <w:numPr>
          <w:ilvl w:val="0"/>
          <w:numId w:val="38"/>
        </w:numPr>
      </w:pPr>
      <w:r>
        <w:rPr>
          <w:rFonts w:hint="eastAsia"/>
        </w:rPr>
        <w:t>是否具有完备的作业指导书。</w:t>
      </w:r>
    </w:p>
    <w:p>
      <w:pPr>
        <w:pStyle w:val="164"/>
      </w:pPr>
      <w:r>
        <w:rPr>
          <w:rFonts w:hint="eastAsia"/>
        </w:rPr>
        <w:t>样品复测时，应重点关注：</w:t>
      </w:r>
    </w:p>
    <w:p>
      <w:pPr>
        <w:pStyle w:val="174"/>
        <w:numPr>
          <w:ilvl w:val="0"/>
          <w:numId w:val="39"/>
        </w:numPr>
      </w:pPr>
      <w:r>
        <w:rPr>
          <w:rFonts w:hint="eastAsia"/>
        </w:rPr>
        <w:t>被评审机构是否有符合标准/规定要求的样品管理程序；</w:t>
      </w:r>
    </w:p>
    <w:p>
      <w:pPr>
        <w:pStyle w:val="174"/>
        <w:numPr>
          <w:ilvl w:val="0"/>
          <w:numId w:val="39"/>
        </w:numPr>
      </w:pPr>
      <w:r>
        <w:rPr>
          <w:rFonts w:hint="eastAsia"/>
        </w:rPr>
        <w:t>被评审机构是否按照样品管理程序对样品进行管理；</w:t>
      </w:r>
    </w:p>
    <w:p>
      <w:pPr>
        <w:pStyle w:val="174"/>
        <w:numPr>
          <w:ilvl w:val="0"/>
          <w:numId w:val="39"/>
        </w:numPr>
      </w:pPr>
      <w:r>
        <w:rPr>
          <w:rFonts w:hint="eastAsia"/>
        </w:rPr>
        <w:t>复测条件的一致性。</w:t>
      </w:r>
    </w:p>
    <w:p>
      <w:pPr>
        <w:pStyle w:val="164"/>
      </w:pPr>
      <w:r>
        <w:rPr>
          <w:rFonts w:hint="eastAsia"/>
        </w:rPr>
        <w:t>加标回收时，应重点关注：</w:t>
      </w:r>
    </w:p>
    <w:p>
      <w:pPr>
        <w:pStyle w:val="174"/>
        <w:numPr>
          <w:ilvl w:val="0"/>
          <w:numId w:val="40"/>
        </w:numPr>
      </w:pPr>
      <w:r>
        <w:rPr>
          <w:rFonts w:hint="eastAsia"/>
        </w:rPr>
        <w:t>加标回收率应满足相应检验检测标准/规范方法或相关质量控制标准/规范的要求；</w:t>
      </w:r>
    </w:p>
    <w:p>
      <w:pPr>
        <w:pStyle w:val="174"/>
        <w:numPr>
          <w:ilvl w:val="0"/>
          <w:numId w:val="40"/>
        </w:numPr>
      </w:pPr>
      <w:r>
        <w:rPr>
          <w:rFonts w:hint="eastAsia"/>
        </w:rPr>
        <w:t>加标物的基体/形态应该与待测物的基体/形态相同；</w:t>
      </w:r>
    </w:p>
    <w:p>
      <w:pPr>
        <w:pStyle w:val="174"/>
        <w:numPr>
          <w:ilvl w:val="0"/>
          <w:numId w:val="40"/>
        </w:numPr>
      </w:pPr>
      <w:r>
        <w:rPr>
          <w:rFonts w:hint="eastAsia"/>
        </w:rPr>
        <w:t>加标量应和样品中所含待测物的测量精密度控制在相同的范围内。</w:t>
      </w:r>
    </w:p>
    <w:p>
      <w:pPr>
        <w:pStyle w:val="164"/>
      </w:pPr>
      <w:r>
        <w:rPr>
          <w:rFonts w:hint="eastAsia"/>
        </w:rPr>
        <w:t>报告验证时，应重点关注：</w:t>
      </w:r>
    </w:p>
    <w:p>
      <w:pPr>
        <w:pStyle w:val="174"/>
        <w:numPr>
          <w:ilvl w:val="0"/>
          <w:numId w:val="41"/>
        </w:numPr>
      </w:pPr>
      <w:r>
        <w:rPr>
          <w:rFonts w:hint="eastAsia"/>
        </w:rPr>
        <w:t>检验检测报告内容的完整性；</w:t>
      </w:r>
    </w:p>
    <w:p>
      <w:pPr>
        <w:pStyle w:val="174"/>
        <w:numPr>
          <w:ilvl w:val="0"/>
          <w:numId w:val="41"/>
        </w:numPr>
      </w:pPr>
      <w:r>
        <w:rPr>
          <w:rFonts w:hint="eastAsia"/>
        </w:rPr>
        <w:t>检验检测报告的规范性，包括报告格式、法定计量单位的使用、数据的处理、语言表达等；</w:t>
      </w:r>
    </w:p>
    <w:p>
      <w:pPr>
        <w:pStyle w:val="174"/>
        <w:numPr>
          <w:ilvl w:val="0"/>
          <w:numId w:val="41"/>
        </w:numPr>
      </w:pPr>
      <w:r>
        <w:rPr>
          <w:rFonts w:hint="eastAsia"/>
        </w:rPr>
        <w:t>检验检测报告的准确性，包括检验检测标准引用、检验检测数据、结果判定等；</w:t>
      </w:r>
    </w:p>
    <w:p>
      <w:pPr>
        <w:pStyle w:val="174"/>
        <w:numPr>
          <w:ilvl w:val="0"/>
          <w:numId w:val="41"/>
        </w:numPr>
      </w:pPr>
      <w:r>
        <w:rPr>
          <w:rFonts w:hint="eastAsia"/>
        </w:rPr>
        <w:t>报告验证不适用于首次及扩项评审。</w:t>
      </w:r>
    </w:p>
    <w:p>
      <w:pPr>
        <w:pStyle w:val="164"/>
      </w:pPr>
      <w:r>
        <w:rPr>
          <w:rFonts w:hint="eastAsia"/>
        </w:rPr>
        <w:t>见证试验（操作演示）时，应重点关注：</w:t>
      </w:r>
    </w:p>
    <w:p>
      <w:pPr>
        <w:pStyle w:val="174"/>
        <w:numPr>
          <w:ilvl w:val="0"/>
          <w:numId w:val="42"/>
        </w:numPr>
      </w:pPr>
      <w:r>
        <w:rPr>
          <w:rFonts w:hint="eastAsia"/>
        </w:rPr>
        <w:t>影响检验检测结果的人、机、料、法、环、测等各个要素是否受控；</w:t>
      </w:r>
    </w:p>
    <w:p>
      <w:pPr>
        <w:pStyle w:val="174"/>
        <w:numPr>
          <w:ilvl w:val="0"/>
          <w:numId w:val="42"/>
        </w:numPr>
      </w:pPr>
      <w:r>
        <w:rPr>
          <w:rFonts w:hint="eastAsia"/>
        </w:rPr>
        <w:t>现场试验操作是否符合规定要求；</w:t>
      </w:r>
    </w:p>
    <w:p>
      <w:pPr>
        <w:pStyle w:val="174"/>
        <w:numPr>
          <w:ilvl w:val="0"/>
          <w:numId w:val="42"/>
        </w:numPr>
      </w:pPr>
      <w:r>
        <w:rPr>
          <w:rFonts w:hint="eastAsia"/>
        </w:rPr>
        <w:t>读数方式是否正确；</w:t>
      </w:r>
    </w:p>
    <w:p>
      <w:pPr>
        <w:pStyle w:val="174"/>
        <w:numPr>
          <w:ilvl w:val="0"/>
          <w:numId w:val="42"/>
        </w:numPr>
      </w:pPr>
      <w:r>
        <w:rPr>
          <w:rFonts w:hint="eastAsia"/>
        </w:rPr>
        <w:t>引用的外来参数是否受控，数据计算和结果换算是否正确。</w:t>
      </w:r>
    </w:p>
    <w:p>
      <w:pPr>
        <w:pStyle w:val="165"/>
      </w:pPr>
      <w:r>
        <w:rPr>
          <w:rFonts w:hint="eastAsia"/>
        </w:rPr>
        <w:t>对未安排现场试验考核的产品/项目/参数，评审组成员应通过对人员、场所环境、设备设施、方法确认或验证、样品处置、原始记录、结果报告等是否满足所申请技术能力的要求进行确认。</w:t>
      </w:r>
    </w:p>
    <w:p>
      <w:pPr>
        <w:pStyle w:val="165"/>
      </w:pPr>
      <w:r>
        <w:rPr>
          <w:rFonts w:hint="eastAsia"/>
        </w:rPr>
        <w:t>现场评审期间，被评审机构应按事先确定的时间提交现场试验考核结果及对应的现场试验原始记录。现场试验原始记录至少应包括：</w:t>
      </w:r>
    </w:p>
    <w:p>
      <w:pPr>
        <w:pStyle w:val="174"/>
        <w:numPr>
          <w:ilvl w:val="0"/>
          <w:numId w:val="43"/>
        </w:numPr>
      </w:pPr>
      <w:r>
        <w:rPr>
          <w:rFonts w:hint="eastAsia"/>
        </w:rPr>
        <w:t>检验检测委托单；</w:t>
      </w:r>
    </w:p>
    <w:p>
      <w:pPr>
        <w:pStyle w:val="174"/>
        <w:numPr>
          <w:ilvl w:val="0"/>
          <w:numId w:val="43"/>
        </w:numPr>
      </w:pPr>
      <w:r>
        <w:rPr>
          <w:rFonts w:hint="eastAsia"/>
        </w:rPr>
        <w:t>样品流转单；</w:t>
      </w:r>
    </w:p>
    <w:p>
      <w:pPr>
        <w:pStyle w:val="174"/>
        <w:numPr>
          <w:ilvl w:val="0"/>
          <w:numId w:val="43"/>
        </w:numPr>
      </w:pPr>
      <w:r>
        <w:rPr>
          <w:rFonts w:hint="eastAsia"/>
        </w:rPr>
        <w:t>样品采集原始记录(如适用)；</w:t>
      </w:r>
    </w:p>
    <w:p>
      <w:pPr>
        <w:pStyle w:val="174"/>
        <w:numPr>
          <w:ilvl w:val="0"/>
          <w:numId w:val="43"/>
        </w:numPr>
      </w:pPr>
      <w:r>
        <w:rPr>
          <w:rFonts w:hint="eastAsia"/>
        </w:rPr>
        <w:t>检验检测原始记录；</w:t>
      </w:r>
    </w:p>
    <w:p>
      <w:pPr>
        <w:pStyle w:val="174"/>
        <w:numPr>
          <w:ilvl w:val="0"/>
          <w:numId w:val="43"/>
        </w:numPr>
      </w:pPr>
      <w:r>
        <w:rPr>
          <w:rFonts w:hint="eastAsia"/>
          <w:color w:val="000000"/>
        </w:rPr>
        <w:t>质量控制记录(如适用)。</w:t>
      </w:r>
    </w:p>
    <w:p>
      <w:pPr>
        <w:pStyle w:val="179"/>
      </w:pPr>
      <w:r>
        <w:rPr>
          <w:rFonts w:hint="eastAsia"/>
        </w:rPr>
        <w:t>报告验证、见证试验（操作演示）不需要提交现场试验原始记录。</w:t>
      </w:r>
    </w:p>
    <w:p>
      <w:pPr>
        <w:pStyle w:val="165"/>
      </w:pPr>
      <w:r>
        <w:rPr>
          <w:rFonts w:hint="eastAsia"/>
        </w:rPr>
        <w:t>评审组不必要求被评审机构对所有的现场试验出具试验报告，但应要求被评审机构保留全部试验记录备查。</w:t>
      </w:r>
    </w:p>
    <w:p>
      <w:pPr>
        <w:pStyle w:val="165"/>
      </w:pPr>
      <w:r>
        <w:rPr>
          <w:rFonts w:hint="eastAsia"/>
        </w:rPr>
        <w:t>评审组在现场评审过程中，如发现被评审机构存在弄虚作假、隐瞒信息等不诚信行为，或违反资质认定相关要求的行为，应保留证据，并立即与检验检测机构资质认定部门或其委托的专业技术评价机构联系，提交相关证据和记录。</w:t>
      </w:r>
    </w:p>
    <w:p>
      <w:pPr>
        <w:pStyle w:val="165"/>
      </w:pPr>
      <w:r>
        <w:rPr>
          <w:rFonts w:hint="eastAsia"/>
        </w:rPr>
        <w:t>被评审机构应确保现场考核的原始记录、检测报告等相关文字资料和电子资料的存档保存满足相关要求。</w:t>
      </w:r>
    </w:p>
    <w:p>
      <w:pPr>
        <w:pStyle w:val="105"/>
        <w:spacing w:before="156" w:after="156"/>
      </w:pPr>
      <w:bookmarkStart w:id="53" w:name="_Toc131371626"/>
      <w:r>
        <w:rPr>
          <w:rFonts w:hint="eastAsia"/>
        </w:rPr>
        <w:t>考核结果评价</w:t>
      </w:r>
      <w:bookmarkEnd w:id="53"/>
    </w:p>
    <w:p>
      <w:pPr>
        <w:pStyle w:val="165"/>
      </w:pPr>
      <w:r>
        <w:rPr>
          <w:rFonts w:hint="eastAsia"/>
        </w:rPr>
        <w:t>采用有证标准物质/标准样品实施盲样考核的产品/项目/参数，盲样考核结果的精密度、准确度等方法性能应符合有证标准物质/标准样品标准值及不确定度的要求。</w:t>
      </w:r>
    </w:p>
    <w:p>
      <w:pPr>
        <w:pStyle w:val="165"/>
      </w:pPr>
      <w:r>
        <w:rPr>
          <w:rFonts w:hint="eastAsia"/>
        </w:rPr>
        <w:t>定性特征产品/项目/参数的现场试验考核结果（如合格/不合格，阴性/阳性，或基于视觉和触觉等的定性检测），应与指定结果或事实发生结果一致。</w:t>
      </w:r>
    </w:p>
    <w:p>
      <w:pPr>
        <w:pStyle w:val="165"/>
      </w:pPr>
      <w:r>
        <w:rPr>
          <w:rFonts w:hint="eastAsia"/>
        </w:rPr>
        <w:t>采用人员比对、仪器比对、样品复测实施现场试验考核的产品/项目/参数，其考核结果的复现性应符合相关检验检测标准方法/规范或相关行业领域通用要求。</w:t>
      </w:r>
    </w:p>
    <w:p>
      <w:pPr>
        <w:pStyle w:val="165"/>
      </w:pPr>
      <w:r>
        <w:rPr>
          <w:rFonts w:hint="eastAsia"/>
        </w:rPr>
        <w:t>采用加标回收实施现场试验考核的产品/项目/参数，其考核结果的回收率应符合相关检验检测标准方法/规范或相关行业领域通用要求。</w:t>
      </w:r>
    </w:p>
    <w:p>
      <w:pPr>
        <w:pStyle w:val="165"/>
      </w:pPr>
      <w:r>
        <w:rPr>
          <w:rFonts w:hint="eastAsia"/>
        </w:rPr>
        <w:t>采用报告验证实施现场试验考核的产品/项目/参数，检验检测报告结果应与样品实际情况、原始记录数值、原始记录载体数值、设备使用记录、环境条件记录等形成合理逻辑关系，且满足相关检验检测标准/规范要求。</w:t>
      </w:r>
    </w:p>
    <w:p>
      <w:pPr>
        <w:pStyle w:val="165"/>
      </w:pPr>
      <w:r>
        <w:rPr>
          <w:rFonts w:hint="eastAsia"/>
        </w:rPr>
        <w:t>采用见证试验（操作演示）实施现场试验考核的产品/项目/参数，被评审机构应满足且不限于以下要求：</w:t>
      </w:r>
    </w:p>
    <w:p>
      <w:pPr>
        <w:pStyle w:val="174"/>
        <w:numPr>
          <w:ilvl w:val="0"/>
          <w:numId w:val="44"/>
        </w:numPr>
      </w:pPr>
      <w:r>
        <w:rPr>
          <w:rFonts w:hint="eastAsia"/>
        </w:rPr>
        <w:t>相关仪器设备正常运行，在检定/校准周期内并持续确认有效；</w:t>
      </w:r>
    </w:p>
    <w:p>
      <w:pPr>
        <w:pStyle w:val="174"/>
        <w:numPr>
          <w:ilvl w:val="0"/>
          <w:numId w:val="44"/>
        </w:numPr>
      </w:pPr>
      <w:r>
        <w:rPr>
          <w:rFonts w:hint="eastAsia"/>
        </w:rPr>
        <w:t>相关设施环境满足相关检验检测标准/规范要求；</w:t>
      </w:r>
    </w:p>
    <w:p>
      <w:pPr>
        <w:pStyle w:val="174"/>
        <w:numPr>
          <w:ilvl w:val="0"/>
          <w:numId w:val="44"/>
        </w:numPr>
      </w:pPr>
      <w:r>
        <w:rPr>
          <w:rFonts w:hint="eastAsia"/>
        </w:rPr>
        <w:t>试验人员按标准/规范的试验步骤，正确试验/演示；</w:t>
      </w:r>
    </w:p>
    <w:p>
      <w:pPr>
        <w:pStyle w:val="174"/>
        <w:numPr>
          <w:ilvl w:val="0"/>
          <w:numId w:val="44"/>
        </w:numPr>
      </w:pPr>
      <w:r>
        <w:rPr>
          <w:rFonts w:hint="eastAsia"/>
        </w:rPr>
        <w:t>试验人员正确回答被考核的产品/项目/参数的相关技术问题。</w:t>
      </w:r>
    </w:p>
    <w:p>
      <w:pPr>
        <w:pStyle w:val="165"/>
      </w:pPr>
      <w:r>
        <w:rPr>
          <w:rFonts w:hint="eastAsia"/>
          <w:color w:val="000000"/>
        </w:rPr>
        <w:t>现场试验考核结束后，评审组成员应根据现场试验考核结果，正确评价考核结论，并填写《现场考核项目表》中的结论信息。考核结论分为“合格”和“不合格”，考核结论为 “不合格”的应说明原因。</w:t>
      </w:r>
    </w:p>
    <w:p>
      <w:pPr>
        <w:pStyle w:val="165"/>
      </w:pPr>
      <w:r>
        <w:rPr>
          <w:rFonts w:hint="eastAsia"/>
        </w:rPr>
        <w:t>被评审机构出现以下情况之一时，相应的产品/项目/参数可以认定为不具备检验检测能力，考核结论为 “不合格”：</w:t>
      </w:r>
    </w:p>
    <w:p>
      <w:pPr>
        <w:pStyle w:val="174"/>
        <w:numPr>
          <w:ilvl w:val="0"/>
          <w:numId w:val="45"/>
        </w:numPr>
      </w:pPr>
      <w:r>
        <w:rPr>
          <w:rFonts w:hint="eastAsia"/>
        </w:rPr>
        <w:t>首次（扩项）评审，未进行方法验证/确认的项目；</w:t>
      </w:r>
    </w:p>
    <w:p>
      <w:pPr>
        <w:pStyle w:val="174"/>
        <w:numPr>
          <w:ilvl w:val="0"/>
          <w:numId w:val="45"/>
        </w:numPr>
      </w:pPr>
      <w:r>
        <w:rPr>
          <w:rFonts w:hint="eastAsia"/>
        </w:rPr>
        <w:t>盲样考核、人员比对、仪器比对、样品复测的检验检测数据结果的误差或测量不确定度不在规定允许范围之内的；量值的测量溯源无法保证，或者没有测量溯源的依据；</w:t>
      </w:r>
    </w:p>
    <w:p>
      <w:pPr>
        <w:pStyle w:val="174"/>
        <w:numPr>
          <w:ilvl w:val="0"/>
          <w:numId w:val="45"/>
        </w:numPr>
      </w:pPr>
      <w:r>
        <w:rPr>
          <w:rFonts w:hint="eastAsia"/>
        </w:rPr>
        <w:t>见证试验（操作演示）的检验检测数据结果失实的，或试验人员不理解相关标准/规范条款内容或不能正确操作仪器设备的；</w:t>
      </w:r>
    </w:p>
    <w:p>
      <w:pPr>
        <w:pStyle w:val="174"/>
        <w:numPr>
          <w:ilvl w:val="0"/>
          <w:numId w:val="45"/>
        </w:numPr>
      </w:pPr>
      <w:r>
        <w:rPr>
          <w:rFonts w:hint="eastAsia"/>
        </w:rPr>
        <w:t>参加权威机构组织的能力验证或检验检测机构间比对结果“离群”，并未经有效整改的；</w:t>
      </w:r>
    </w:p>
    <w:p>
      <w:pPr>
        <w:pStyle w:val="174"/>
        <w:numPr>
          <w:ilvl w:val="0"/>
          <w:numId w:val="45"/>
        </w:numPr>
      </w:pPr>
      <w:r>
        <w:rPr>
          <w:rFonts w:hint="eastAsia"/>
        </w:rPr>
        <w:t>报告验证证明检验检测数据结果失实的，如出具的数据或者结果与样品的实际情况明显出现偏差；报告中出具的检测结果数值，与对应检验检测原始记录和计算无法形成合理逻辑关系；出具结果的判定结论，与测量数据的准确度以及参数的覆盖度不能形成合理逻辑关系等情况；</w:t>
      </w:r>
    </w:p>
    <w:p>
      <w:pPr>
        <w:pStyle w:val="174"/>
        <w:numPr>
          <w:ilvl w:val="0"/>
          <w:numId w:val="45"/>
        </w:numPr>
      </w:pPr>
      <w:r>
        <w:rPr>
          <w:rFonts w:hint="eastAsia"/>
        </w:rPr>
        <w:t>被评审机构所申请检验检测方法不是现行有效的，或未经验证/确认，以及被评审机构对检验检测方法的验证/确认存在技术上的错误；</w:t>
      </w:r>
    </w:p>
    <w:p>
      <w:pPr>
        <w:pStyle w:val="174"/>
        <w:numPr>
          <w:ilvl w:val="0"/>
          <w:numId w:val="45"/>
        </w:numPr>
      </w:pPr>
      <w:r>
        <w:rPr>
          <w:rFonts w:hint="eastAsia"/>
        </w:rPr>
        <w:t>被评审机构未配齐必要的仪器设备（包括辅助设备），测量量程和测量不确定度等技术特性不符合检验检测标准/规范要求；</w:t>
      </w:r>
    </w:p>
    <w:p>
      <w:pPr>
        <w:pStyle w:val="174"/>
        <w:numPr>
          <w:ilvl w:val="0"/>
          <w:numId w:val="45"/>
        </w:numPr>
      </w:pPr>
      <w:r>
        <w:rPr>
          <w:rFonts w:hint="eastAsia"/>
        </w:rPr>
        <w:t>相应岗位的人员未经有效培训，经评审组考核发现明显缺乏应有的知识和技能，不具备相关岗位上岗资格和能力，无法确保检验检测工作质量；或者相应产品/项目/参数需要的检验检测人员不足的；</w:t>
      </w:r>
    </w:p>
    <w:p>
      <w:pPr>
        <w:pStyle w:val="174"/>
        <w:numPr>
          <w:ilvl w:val="0"/>
          <w:numId w:val="45"/>
        </w:numPr>
      </w:pPr>
      <w:r>
        <w:rPr>
          <w:rFonts w:hint="eastAsia"/>
        </w:rPr>
        <w:t>授权签字人推荐授权的技术范围不能覆盖推荐批准的检验检测能力的；</w:t>
      </w:r>
    </w:p>
    <w:p>
      <w:pPr>
        <w:pStyle w:val="174"/>
        <w:numPr>
          <w:ilvl w:val="0"/>
          <w:numId w:val="45"/>
        </w:numPr>
      </w:pPr>
      <w:r>
        <w:rPr>
          <w:rFonts w:hint="eastAsia"/>
        </w:rPr>
        <w:t>环境条件和设施不满足相应产品/项目/参数检验检测标准/规范要求，对检验检测结果会产生严重影响且无法在规定时间内完成整改的。</w:t>
      </w:r>
    </w:p>
    <w:p>
      <w:pPr>
        <w:pStyle w:val="165"/>
      </w:pPr>
      <w:r>
        <w:rPr>
          <w:rFonts w:hint="eastAsia"/>
        </w:rPr>
        <w:t>对于现场试验考核中的不合格产品/项目/参数，评审组成员应对相同原理/设备的未考核产品/项目/参数进行核查，必要时进行现场试验考核确认。若考核确认不合格，则同类原理/设备的产品/项目/参数均判定为不合格。</w:t>
      </w:r>
    </w:p>
    <w:p>
      <w:pPr>
        <w:pStyle w:val="56"/>
        <w:ind w:firstLine="420"/>
      </w:pPr>
    </w:p>
    <w:bookmarkEnd w:id="23"/>
    <w:p>
      <w:pPr>
        <w:pStyle w:val="198"/>
        <w:rPr>
          <w:vanish w:val="0"/>
        </w:rPr>
      </w:pPr>
      <w:bookmarkStart w:id="54" w:name="BookMark5"/>
    </w:p>
    <w:p>
      <w:pPr>
        <w:pStyle w:val="199"/>
        <w:rPr>
          <w:vanish w:val="0"/>
        </w:rPr>
      </w:pPr>
    </w:p>
    <w:p>
      <w:pPr>
        <w:pStyle w:val="76"/>
        <w:spacing w:after="156"/>
        <w:sectPr>
          <w:pgSz w:w="11906" w:h="16838"/>
          <w:pgMar w:top="1928" w:right="1134" w:bottom="1134" w:left="1134" w:header="1418" w:footer="1134" w:gutter="284"/>
          <w:pgNumType w:start="1"/>
          <w:cols w:space="425" w:num="1"/>
          <w:formProt w:val="0"/>
          <w:docGrid w:type="lines" w:linePitch="312" w:charSpace="0"/>
        </w:sectPr>
      </w:pPr>
    </w:p>
    <w:p>
      <w:pPr>
        <w:pStyle w:val="76"/>
        <w:spacing w:after="156"/>
      </w:pPr>
      <w:r>
        <w:br w:type="textWrapping"/>
      </w:r>
      <w:bookmarkStart w:id="55" w:name="_Toc131371627"/>
      <w:r>
        <w:rPr>
          <w:rFonts w:hint="eastAsia"/>
        </w:rPr>
        <w:t>（规范性）</w:t>
      </w:r>
      <w:r>
        <w:br w:type="textWrapping"/>
      </w:r>
      <w:r>
        <w:rPr>
          <w:rFonts w:hint="eastAsia"/>
        </w:rPr>
        <w:t>现场考核项目表</w:t>
      </w:r>
      <w:bookmarkEnd w:id="55"/>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1427"/>
        <w:gridCol w:w="699"/>
        <w:gridCol w:w="851"/>
        <w:gridCol w:w="1843"/>
        <w:gridCol w:w="1134"/>
        <w:gridCol w:w="1134"/>
        <w:gridCol w:w="1275"/>
        <w:gridCol w:w="993"/>
        <w:gridCol w:w="992"/>
        <w:gridCol w:w="1134"/>
        <w:gridCol w:w="850"/>
        <w:gridCol w:w="78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6" w:hRule="atLeast"/>
          <w:tblHeader/>
          <w:jc w:val="center"/>
        </w:trPr>
        <w:tc>
          <w:tcPr>
            <w:tcW w:w="699" w:type="dxa"/>
            <w:vMerge w:val="restart"/>
            <w:tcBorders>
              <w:top w:val="single" w:color="auto" w:sz="8" w:space="0"/>
            </w:tcBorders>
            <w:shd w:val="clear" w:color="auto" w:fill="auto"/>
            <w:vAlign w:val="center"/>
          </w:tcPr>
          <w:p>
            <w:pPr>
              <w:pStyle w:val="178"/>
            </w:pPr>
            <w:r>
              <w:rPr>
                <w:rFonts w:hint="eastAsia"/>
              </w:rPr>
              <w:t>产品</w:t>
            </w:r>
          </w:p>
          <w:p>
            <w:pPr>
              <w:pStyle w:val="178"/>
            </w:pPr>
            <w:r>
              <w:rPr>
                <w:rFonts w:hint="eastAsia"/>
              </w:rPr>
              <w:t>序号</w:t>
            </w:r>
          </w:p>
        </w:tc>
        <w:tc>
          <w:tcPr>
            <w:tcW w:w="1427" w:type="dxa"/>
            <w:vMerge w:val="restart"/>
            <w:tcBorders>
              <w:top w:val="single" w:color="auto" w:sz="8" w:space="0"/>
            </w:tcBorders>
            <w:shd w:val="clear" w:color="auto" w:fill="auto"/>
            <w:vAlign w:val="center"/>
          </w:tcPr>
          <w:p>
            <w:pPr>
              <w:pStyle w:val="178"/>
            </w:pPr>
            <w:r>
              <w:rPr>
                <w:rFonts w:hint="eastAsia"/>
              </w:rPr>
              <w:t>类别(产品/项目/参数)</w:t>
            </w:r>
          </w:p>
        </w:tc>
        <w:tc>
          <w:tcPr>
            <w:tcW w:w="1550" w:type="dxa"/>
            <w:gridSpan w:val="2"/>
            <w:tcBorders>
              <w:top w:val="single" w:color="auto" w:sz="8" w:space="0"/>
            </w:tcBorders>
            <w:shd w:val="clear" w:color="auto" w:fill="auto"/>
            <w:vAlign w:val="center"/>
          </w:tcPr>
          <w:p>
            <w:pPr>
              <w:pStyle w:val="178"/>
            </w:pPr>
            <w:r>
              <w:rPr>
                <w:rFonts w:hint="eastAsia"/>
              </w:rPr>
              <w:t>产品/项目/参数</w:t>
            </w:r>
          </w:p>
        </w:tc>
        <w:tc>
          <w:tcPr>
            <w:tcW w:w="1843" w:type="dxa"/>
            <w:vMerge w:val="restart"/>
            <w:tcBorders>
              <w:top w:val="single" w:color="auto" w:sz="8" w:space="0"/>
            </w:tcBorders>
            <w:shd w:val="clear" w:color="auto" w:fill="auto"/>
            <w:vAlign w:val="center"/>
          </w:tcPr>
          <w:p>
            <w:pPr>
              <w:pStyle w:val="178"/>
            </w:pPr>
            <w:r>
              <w:rPr>
                <w:rFonts w:hint="eastAsia"/>
              </w:rPr>
              <w:t>依据的标准(方法)名称及编号（含年号）</w:t>
            </w:r>
          </w:p>
        </w:tc>
        <w:tc>
          <w:tcPr>
            <w:tcW w:w="1134" w:type="dxa"/>
            <w:vMerge w:val="restart"/>
            <w:tcBorders>
              <w:top w:val="single" w:color="auto" w:sz="8" w:space="0"/>
            </w:tcBorders>
            <w:shd w:val="clear" w:color="auto" w:fill="auto"/>
            <w:vAlign w:val="center"/>
          </w:tcPr>
          <w:p>
            <w:pPr>
              <w:pStyle w:val="178"/>
            </w:pPr>
            <w:r>
              <w:rPr>
                <w:rFonts w:hint="eastAsia"/>
              </w:rPr>
              <w:t>所用仪器名称</w:t>
            </w:r>
          </w:p>
        </w:tc>
        <w:tc>
          <w:tcPr>
            <w:tcW w:w="1134" w:type="dxa"/>
            <w:vMerge w:val="restart"/>
            <w:tcBorders>
              <w:top w:val="single" w:color="auto" w:sz="8" w:space="0"/>
            </w:tcBorders>
            <w:shd w:val="clear" w:color="auto" w:fill="auto"/>
            <w:vAlign w:val="center"/>
          </w:tcPr>
          <w:p>
            <w:pPr>
              <w:pStyle w:val="178"/>
            </w:pPr>
            <w:r>
              <w:rPr>
                <w:rFonts w:hint="eastAsia"/>
              </w:rPr>
              <w:t>所用仪器型号</w:t>
            </w:r>
          </w:p>
        </w:tc>
        <w:tc>
          <w:tcPr>
            <w:tcW w:w="1275" w:type="dxa"/>
            <w:vMerge w:val="restart"/>
            <w:tcBorders>
              <w:top w:val="single" w:color="auto" w:sz="8" w:space="0"/>
            </w:tcBorders>
            <w:shd w:val="clear" w:color="auto" w:fill="auto"/>
            <w:vAlign w:val="center"/>
          </w:tcPr>
          <w:p>
            <w:pPr>
              <w:pStyle w:val="178"/>
            </w:pPr>
            <w:r>
              <w:rPr>
                <w:rFonts w:hint="eastAsia"/>
              </w:rPr>
              <w:t>所用仪器准确度</w:t>
            </w:r>
          </w:p>
        </w:tc>
        <w:tc>
          <w:tcPr>
            <w:tcW w:w="993" w:type="dxa"/>
            <w:vMerge w:val="restart"/>
            <w:tcBorders>
              <w:top w:val="single" w:color="auto" w:sz="8" w:space="0"/>
            </w:tcBorders>
            <w:shd w:val="clear" w:color="auto" w:fill="auto"/>
            <w:vAlign w:val="center"/>
          </w:tcPr>
          <w:p>
            <w:pPr>
              <w:pStyle w:val="178"/>
            </w:pPr>
            <w:r>
              <w:rPr>
                <w:rFonts w:hint="eastAsia"/>
              </w:rPr>
              <w:t>考核形式</w:t>
            </w:r>
            <w:r>
              <w:rPr>
                <w:vertAlign w:val="superscript"/>
              </w:rPr>
              <w:t>a</w:t>
            </w:r>
          </w:p>
        </w:tc>
        <w:tc>
          <w:tcPr>
            <w:tcW w:w="992" w:type="dxa"/>
            <w:vMerge w:val="restart"/>
            <w:tcBorders>
              <w:top w:val="single" w:color="auto" w:sz="8" w:space="0"/>
            </w:tcBorders>
            <w:shd w:val="clear" w:color="auto" w:fill="auto"/>
            <w:vAlign w:val="center"/>
          </w:tcPr>
          <w:p>
            <w:pPr>
              <w:pStyle w:val="178"/>
            </w:pPr>
            <w:r>
              <w:rPr>
                <w:rFonts w:hint="eastAsia"/>
              </w:rPr>
              <w:t>样品来源</w:t>
            </w:r>
            <w:r>
              <w:rPr>
                <w:vertAlign w:val="superscript"/>
              </w:rPr>
              <w:t>b</w:t>
            </w:r>
          </w:p>
        </w:tc>
        <w:tc>
          <w:tcPr>
            <w:tcW w:w="1134" w:type="dxa"/>
            <w:vMerge w:val="restart"/>
            <w:tcBorders>
              <w:top w:val="single" w:color="auto" w:sz="8" w:space="0"/>
            </w:tcBorders>
            <w:shd w:val="clear" w:color="auto" w:fill="auto"/>
            <w:vAlign w:val="center"/>
          </w:tcPr>
          <w:p>
            <w:pPr>
              <w:pStyle w:val="178"/>
            </w:pPr>
            <w:r>
              <w:rPr>
                <w:rFonts w:hint="eastAsia"/>
              </w:rPr>
              <w:t>检验检测人员</w:t>
            </w:r>
          </w:p>
        </w:tc>
        <w:tc>
          <w:tcPr>
            <w:tcW w:w="850" w:type="dxa"/>
            <w:vMerge w:val="restart"/>
            <w:tcBorders>
              <w:top w:val="single" w:color="auto" w:sz="8" w:space="0"/>
            </w:tcBorders>
            <w:shd w:val="clear" w:color="auto" w:fill="auto"/>
            <w:vAlign w:val="center"/>
          </w:tcPr>
          <w:p>
            <w:pPr>
              <w:pStyle w:val="178"/>
            </w:pPr>
            <w:r>
              <w:rPr>
                <w:rFonts w:hint="eastAsia"/>
              </w:rPr>
              <w:t>结论</w:t>
            </w:r>
            <w:r>
              <w:rPr>
                <w:vertAlign w:val="superscript"/>
              </w:rPr>
              <w:t>c</w:t>
            </w:r>
          </w:p>
        </w:tc>
        <w:tc>
          <w:tcPr>
            <w:tcW w:w="782" w:type="dxa"/>
            <w:vMerge w:val="restart"/>
            <w:tcBorders>
              <w:top w:val="single" w:color="auto" w:sz="8" w:space="0"/>
            </w:tcBorders>
            <w:shd w:val="clear" w:color="auto" w:fill="auto"/>
            <w:vAlign w:val="center"/>
          </w:tcPr>
          <w:p>
            <w:pPr>
              <w:pStyle w:val="178"/>
            </w:pPr>
            <w:r>
              <w:rPr>
                <w:rFonts w:hint="eastAsia"/>
              </w:rPr>
              <w:t>备注</w:t>
            </w:r>
            <w:r>
              <w:rPr>
                <w:vertAlign w:val="superscript"/>
              </w:rPr>
              <w:t>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5" w:hRule="atLeast"/>
          <w:tblHeader/>
          <w:jc w:val="center"/>
        </w:trPr>
        <w:tc>
          <w:tcPr>
            <w:tcW w:w="699" w:type="dxa"/>
            <w:vMerge w:val="continue"/>
            <w:shd w:val="clear" w:color="auto" w:fill="auto"/>
            <w:vAlign w:val="center"/>
          </w:tcPr>
          <w:p>
            <w:pPr>
              <w:pStyle w:val="178"/>
            </w:pPr>
          </w:p>
        </w:tc>
        <w:tc>
          <w:tcPr>
            <w:tcW w:w="1427" w:type="dxa"/>
            <w:vMerge w:val="continue"/>
            <w:shd w:val="clear" w:color="auto" w:fill="auto"/>
            <w:vAlign w:val="center"/>
          </w:tcPr>
          <w:p>
            <w:pPr>
              <w:pStyle w:val="178"/>
            </w:pPr>
          </w:p>
        </w:tc>
        <w:tc>
          <w:tcPr>
            <w:tcW w:w="699" w:type="dxa"/>
            <w:tcBorders>
              <w:top w:val="single" w:color="auto" w:sz="8" w:space="0"/>
            </w:tcBorders>
            <w:shd w:val="clear" w:color="auto" w:fill="auto"/>
            <w:vAlign w:val="center"/>
          </w:tcPr>
          <w:p>
            <w:pPr>
              <w:pStyle w:val="178"/>
            </w:pPr>
            <w:r>
              <w:rPr>
                <w:rFonts w:hint="eastAsia"/>
              </w:rPr>
              <w:t>序号</w:t>
            </w:r>
          </w:p>
        </w:tc>
        <w:tc>
          <w:tcPr>
            <w:tcW w:w="851" w:type="dxa"/>
            <w:shd w:val="clear" w:color="auto" w:fill="auto"/>
            <w:vAlign w:val="center"/>
          </w:tcPr>
          <w:p>
            <w:pPr>
              <w:pStyle w:val="178"/>
            </w:pPr>
            <w:r>
              <w:rPr>
                <w:rFonts w:hint="eastAsia"/>
              </w:rPr>
              <w:t>名称</w:t>
            </w:r>
          </w:p>
        </w:tc>
        <w:tc>
          <w:tcPr>
            <w:tcW w:w="1843"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1275" w:type="dxa"/>
            <w:vMerge w:val="continue"/>
            <w:shd w:val="clear" w:color="auto" w:fill="auto"/>
            <w:vAlign w:val="center"/>
          </w:tcPr>
          <w:p>
            <w:pPr>
              <w:pStyle w:val="178"/>
            </w:pPr>
          </w:p>
        </w:tc>
        <w:tc>
          <w:tcPr>
            <w:tcW w:w="993" w:type="dxa"/>
            <w:vMerge w:val="continue"/>
            <w:shd w:val="clear" w:color="auto" w:fill="auto"/>
            <w:vAlign w:val="center"/>
          </w:tcPr>
          <w:p>
            <w:pPr>
              <w:pStyle w:val="178"/>
            </w:pPr>
          </w:p>
        </w:tc>
        <w:tc>
          <w:tcPr>
            <w:tcW w:w="992"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850" w:type="dxa"/>
            <w:vMerge w:val="continue"/>
            <w:shd w:val="clear" w:color="auto" w:fill="auto"/>
            <w:vAlign w:val="center"/>
          </w:tcPr>
          <w:p>
            <w:pPr>
              <w:pStyle w:val="178"/>
            </w:pPr>
          </w:p>
        </w:tc>
        <w:tc>
          <w:tcPr>
            <w:tcW w:w="782"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tcBorders>
              <w:top w:val="single" w:color="auto" w:sz="8" w:space="0"/>
            </w:tcBorders>
            <w:shd w:val="clear" w:color="auto" w:fill="auto"/>
            <w:vAlign w:val="center"/>
          </w:tcPr>
          <w:p>
            <w:pPr>
              <w:pStyle w:val="178"/>
            </w:pPr>
          </w:p>
        </w:tc>
        <w:tc>
          <w:tcPr>
            <w:tcW w:w="1427" w:type="dxa"/>
            <w:tcBorders>
              <w:top w:val="single" w:color="auto" w:sz="8" w:space="0"/>
            </w:tcBorders>
            <w:shd w:val="clear" w:color="auto" w:fill="auto"/>
            <w:vAlign w:val="center"/>
          </w:tcPr>
          <w:p>
            <w:pPr>
              <w:pStyle w:val="178"/>
            </w:pPr>
          </w:p>
        </w:tc>
        <w:tc>
          <w:tcPr>
            <w:tcW w:w="699" w:type="dxa"/>
            <w:tcBorders>
              <w:top w:val="single" w:color="auto" w:sz="8" w:space="0"/>
            </w:tcBorders>
            <w:shd w:val="clear" w:color="auto" w:fill="auto"/>
            <w:vAlign w:val="center"/>
          </w:tcPr>
          <w:p>
            <w:pPr>
              <w:pStyle w:val="178"/>
            </w:pPr>
          </w:p>
        </w:tc>
        <w:tc>
          <w:tcPr>
            <w:tcW w:w="851" w:type="dxa"/>
            <w:tcBorders>
              <w:top w:val="single" w:color="auto" w:sz="8" w:space="0"/>
            </w:tcBorders>
            <w:shd w:val="clear" w:color="auto" w:fill="auto"/>
            <w:vAlign w:val="center"/>
          </w:tcPr>
          <w:p>
            <w:pPr>
              <w:pStyle w:val="178"/>
            </w:pPr>
          </w:p>
        </w:tc>
        <w:tc>
          <w:tcPr>
            <w:tcW w:w="1843" w:type="dxa"/>
            <w:tcBorders>
              <w:top w:val="single" w:color="auto" w:sz="8" w:space="0"/>
            </w:tcBorders>
            <w:shd w:val="clear" w:color="auto" w:fill="auto"/>
            <w:vAlign w:val="center"/>
          </w:tcPr>
          <w:p>
            <w:pPr>
              <w:pStyle w:val="178"/>
            </w:pPr>
          </w:p>
        </w:tc>
        <w:tc>
          <w:tcPr>
            <w:tcW w:w="1134" w:type="dxa"/>
            <w:tcBorders>
              <w:top w:val="single" w:color="auto" w:sz="8" w:space="0"/>
            </w:tcBorders>
            <w:shd w:val="clear" w:color="auto" w:fill="auto"/>
            <w:vAlign w:val="center"/>
          </w:tcPr>
          <w:p>
            <w:pPr>
              <w:pStyle w:val="178"/>
            </w:pPr>
          </w:p>
        </w:tc>
        <w:tc>
          <w:tcPr>
            <w:tcW w:w="1134" w:type="dxa"/>
            <w:tcBorders>
              <w:top w:val="single" w:color="auto" w:sz="8" w:space="0"/>
            </w:tcBorders>
            <w:shd w:val="clear" w:color="auto" w:fill="auto"/>
            <w:vAlign w:val="center"/>
          </w:tcPr>
          <w:p>
            <w:pPr>
              <w:pStyle w:val="178"/>
            </w:pPr>
          </w:p>
        </w:tc>
        <w:tc>
          <w:tcPr>
            <w:tcW w:w="1275" w:type="dxa"/>
            <w:tcBorders>
              <w:top w:val="single" w:color="auto" w:sz="8" w:space="0"/>
            </w:tcBorders>
            <w:shd w:val="clear" w:color="auto" w:fill="auto"/>
            <w:vAlign w:val="center"/>
          </w:tcPr>
          <w:p>
            <w:pPr>
              <w:pStyle w:val="178"/>
            </w:pPr>
          </w:p>
        </w:tc>
        <w:tc>
          <w:tcPr>
            <w:tcW w:w="993" w:type="dxa"/>
            <w:tcBorders>
              <w:top w:val="single" w:color="auto" w:sz="8" w:space="0"/>
            </w:tcBorders>
            <w:shd w:val="clear" w:color="auto" w:fill="auto"/>
            <w:vAlign w:val="center"/>
          </w:tcPr>
          <w:p>
            <w:pPr>
              <w:pStyle w:val="178"/>
            </w:pPr>
          </w:p>
        </w:tc>
        <w:tc>
          <w:tcPr>
            <w:tcW w:w="992" w:type="dxa"/>
            <w:tcBorders>
              <w:top w:val="single" w:color="auto" w:sz="8" w:space="0"/>
            </w:tcBorders>
            <w:shd w:val="clear" w:color="auto" w:fill="auto"/>
            <w:vAlign w:val="center"/>
          </w:tcPr>
          <w:p>
            <w:pPr>
              <w:pStyle w:val="178"/>
            </w:pPr>
          </w:p>
        </w:tc>
        <w:tc>
          <w:tcPr>
            <w:tcW w:w="1134" w:type="dxa"/>
            <w:tcBorders>
              <w:top w:val="single" w:color="auto" w:sz="8" w:space="0"/>
            </w:tcBorders>
            <w:shd w:val="clear" w:color="auto" w:fill="auto"/>
            <w:vAlign w:val="center"/>
          </w:tcPr>
          <w:p>
            <w:pPr>
              <w:pStyle w:val="178"/>
            </w:pPr>
          </w:p>
        </w:tc>
        <w:tc>
          <w:tcPr>
            <w:tcW w:w="850" w:type="dxa"/>
            <w:tcBorders>
              <w:top w:val="single" w:color="auto" w:sz="8" w:space="0"/>
            </w:tcBorders>
            <w:shd w:val="clear" w:color="auto" w:fill="auto"/>
            <w:vAlign w:val="center"/>
          </w:tcPr>
          <w:p>
            <w:pPr>
              <w:pStyle w:val="178"/>
            </w:pPr>
          </w:p>
        </w:tc>
        <w:tc>
          <w:tcPr>
            <w:tcW w:w="782" w:type="dxa"/>
            <w:tcBorders>
              <w:top w:val="single" w:color="auto" w:sz="8"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p>
        </w:tc>
        <w:tc>
          <w:tcPr>
            <w:tcW w:w="1427" w:type="dxa"/>
            <w:shd w:val="clear" w:color="auto" w:fill="auto"/>
            <w:vAlign w:val="center"/>
          </w:tcPr>
          <w:p>
            <w:pPr>
              <w:pStyle w:val="178"/>
            </w:pPr>
          </w:p>
        </w:tc>
        <w:tc>
          <w:tcPr>
            <w:tcW w:w="699" w:type="dxa"/>
            <w:shd w:val="clear" w:color="auto" w:fill="auto"/>
            <w:vAlign w:val="center"/>
          </w:tcPr>
          <w:p>
            <w:pPr>
              <w:pStyle w:val="178"/>
            </w:pPr>
          </w:p>
        </w:tc>
        <w:tc>
          <w:tcPr>
            <w:tcW w:w="851" w:type="dxa"/>
            <w:shd w:val="clear" w:color="auto" w:fill="auto"/>
            <w:vAlign w:val="center"/>
          </w:tcPr>
          <w:p>
            <w:pPr>
              <w:pStyle w:val="178"/>
            </w:pPr>
          </w:p>
        </w:tc>
        <w:tc>
          <w:tcPr>
            <w:tcW w:w="1843" w:type="dxa"/>
            <w:shd w:val="clear" w:color="auto" w:fill="auto"/>
            <w:vAlign w:val="center"/>
          </w:tcPr>
          <w:p>
            <w:pPr>
              <w:pStyle w:val="178"/>
            </w:pPr>
          </w:p>
        </w:tc>
        <w:tc>
          <w:tcPr>
            <w:tcW w:w="1134" w:type="dxa"/>
            <w:shd w:val="clear" w:color="auto" w:fill="auto"/>
            <w:vAlign w:val="center"/>
          </w:tcPr>
          <w:p>
            <w:pPr>
              <w:pStyle w:val="178"/>
            </w:pPr>
          </w:p>
        </w:tc>
        <w:tc>
          <w:tcPr>
            <w:tcW w:w="1134" w:type="dxa"/>
            <w:shd w:val="clear" w:color="auto" w:fill="auto"/>
            <w:vAlign w:val="center"/>
          </w:tcPr>
          <w:p>
            <w:pPr>
              <w:pStyle w:val="178"/>
            </w:pPr>
          </w:p>
        </w:tc>
        <w:tc>
          <w:tcPr>
            <w:tcW w:w="1275" w:type="dxa"/>
            <w:shd w:val="clear" w:color="auto" w:fill="auto"/>
            <w:vAlign w:val="center"/>
          </w:tcPr>
          <w:p>
            <w:pPr>
              <w:pStyle w:val="178"/>
            </w:pPr>
          </w:p>
        </w:tc>
        <w:tc>
          <w:tcPr>
            <w:tcW w:w="993" w:type="dxa"/>
            <w:shd w:val="clear" w:color="auto" w:fill="auto"/>
            <w:vAlign w:val="center"/>
          </w:tcPr>
          <w:p>
            <w:pPr>
              <w:pStyle w:val="178"/>
            </w:pPr>
          </w:p>
        </w:tc>
        <w:tc>
          <w:tcPr>
            <w:tcW w:w="992" w:type="dxa"/>
            <w:shd w:val="clear" w:color="auto" w:fill="auto"/>
            <w:vAlign w:val="center"/>
          </w:tcPr>
          <w:p>
            <w:pPr>
              <w:pStyle w:val="178"/>
            </w:pPr>
          </w:p>
        </w:tc>
        <w:tc>
          <w:tcPr>
            <w:tcW w:w="1134" w:type="dxa"/>
            <w:shd w:val="clear" w:color="auto" w:fill="auto"/>
            <w:vAlign w:val="center"/>
          </w:tcPr>
          <w:p>
            <w:pPr>
              <w:pStyle w:val="178"/>
            </w:pPr>
          </w:p>
        </w:tc>
        <w:tc>
          <w:tcPr>
            <w:tcW w:w="850" w:type="dxa"/>
            <w:shd w:val="clear" w:color="auto" w:fill="auto"/>
            <w:vAlign w:val="center"/>
          </w:tcPr>
          <w:p>
            <w:pPr>
              <w:pStyle w:val="178"/>
            </w:pPr>
          </w:p>
        </w:tc>
        <w:tc>
          <w:tcPr>
            <w:tcW w:w="78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p>
        </w:tc>
        <w:tc>
          <w:tcPr>
            <w:tcW w:w="1427" w:type="dxa"/>
            <w:shd w:val="clear" w:color="auto" w:fill="auto"/>
            <w:vAlign w:val="center"/>
          </w:tcPr>
          <w:p>
            <w:pPr>
              <w:pStyle w:val="178"/>
            </w:pPr>
          </w:p>
        </w:tc>
        <w:tc>
          <w:tcPr>
            <w:tcW w:w="699" w:type="dxa"/>
            <w:shd w:val="clear" w:color="auto" w:fill="auto"/>
            <w:vAlign w:val="center"/>
          </w:tcPr>
          <w:p>
            <w:pPr>
              <w:pStyle w:val="178"/>
            </w:pPr>
          </w:p>
        </w:tc>
        <w:tc>
          <w:tcPr>
            <w:tcW w:w="851" w:type="dxa"/>
            <w:shd w:val="clear" w:color="auto" w:fill="auto"/>
            <w:vAlign w:val="center"/>
          </w:tcPr>
          <w:p>
            <w:pPr>
              <w:pStyle w:val="178"/>
            </w:pPr>
          </w:p>
        </w:tc>
        <w:tc>
          <w:tcPr>
            <w:tcW w:w="1843" w:type="dxa"/>
            <w:shd w:val="clear" w:color="auto" w:fill="auto"/>
            <w:vAlign w:val="center"/>
          </w:tcPr>
          <w:p>
            <w:pPr>
              <w:pStyle w:val="178"/>
            </w:pPr>
          </w:p>
        </w:tc>
        <w:tc>
          <w:tcPr>
            <w:tcW w:w="1134" w:type="dxa"/>
            <w:shd w:val="clear" w:color="auto" w:fill="auto"/>
            <w:vAlign w:val="center"/>
          </w:tcPr>
          <w:p>
            <w:pPr>
              <w:pStyle w:val="178"/>
            </w:pPr>
          </w:p>
        </w:tc>
        <w:tc>
          <w:tcPr>
            <w:tcW w:w="1134" w:type="dxa"/>
            <w:shd w:val="clear" w:color="auto" w:fill="auto"/>
            <w:vAlign w:val="center"/>
          </w:tcPr>
          <w:p>
            <w:pPr>
              <w:pStyle w:val="178"/>
            </w:pPr>
          </w:p>
        </w:tc>
        <w:tc>
          <w:tcPr>
            <w:tcW w:w="1275" w:type="dxa"/>
            <w:shd w:val="clear" w:color="auto" w:fill="auto"/>
            <w:vAlign w:val="center"/>
          </w:tcPr>
          <w:p>
            <w:pPr>
              <w:pStyle w:val="178"/>
            </w:pPr>
          </w:p>
        </w:tc>
        <w:tc>
          <w:tcPr>
            <w:tcW w:w="993" w:type="dxa"/>
            <w:shd w:val="clear" w:color="auto" w:fill="auto"/>
            <w:vAlign w:val="center"/>
          </w:tcPr>
          <w:p>
            <w:pPr>
              <w:pStyle w:val="178"/>
            </w:pPr>
          </w:p>
        </w:tc>
        <w:tc>
          <w:tcPr>
            <w:tcW w:w="992" w:type="dxa"/>
            <w:shd w:val="clear" w:color="auto" w:fill="auto"/>
            <w:vAlign w:val="center"/>
          </w:tcPr>
          <w:p>
            <w:pPr>
              <w:pStyle w:val="178"/>
            </w:pPr>
          </w:p>
        </w:tc>
        <w:tc>
          <w:tcPr>
            <w:tcW w:w="1134" w:type="dxa"/>
            <w:shd w:val="clear" w:color="auto" w:fill="auto"/>
            <w:vAlign w:val="center"/>
          </w:tcPr>
          <w:p>
            <w:pPr>
              <w:pStyle w:val="178"/>
            </w:pPr>
          </w:p>
        </w:tc>
        <w:tc>
          <w:tcPr>
            <w:tcW w:w="850" w:type="dxa"/>
            <w:shd w:val="clear" w:color="auto" w:fill="auto"/>
            <w:vAlign w:val="center"/>
          </w:tcPr>
          <w:p>
            <w:pPr>
              <w:pStyle w:val="178"/>
            </w:pPr>
          </w:p>
        </w:tc>
        <w:tc>
          <w:tcPr>
            <w:tcW w:w="78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p>
        </w:tc>
        <w:tc>
          <w:tcPr>
            <w:tcW w:w="1427" w:type="dxa"/>
            <w:shd w:val="clear" w:color="auto" w:fill="auto"/>
            <w:vAlign w:val="center"/>
          </w:tcPr>
          <w:p>
            <w:pPr>
              <w:pStyle w:val="178"/>
            </w:pPr>
          </w:p>
        </w:tc>
        <w:tc>
          <w:tcPr>
            <w:tcW w:w="699" w:type="dxa"/>
            <w:shd w:val="clear" w:color="auto" w:fill="auto"/>
            <w:vAlign w:val="center"/>
          </w:tcPr>
          <w:p>
            <w:pPr>
              <w:pStyle w:val="178"/>
            </w:pPr>
          </w:p>
        </w:tc>
        <w:tc>
          <w:tcPr>
            <w:tcW w:w="851" w:type="dxa"/>
            <w:shd w:val="clear" w:color="auto" w:fill="auto"/>
            <w:vAlign w:val="center"/>
          </w:tcPr>
          <w:p>
            <w:pPr>
              <w:pStyle w:val="178"/>
            </w:pPr>
          </w:p>
        </w:tc>
        <w:tc>
          <w:tcPr>
            <w:tcW w:w="1843" w:type="dxa"/>
            <w:shd w:val="clear" w:color="auto" w:fill="auto"/>
            <w:vAlign w:val="center"/>
          </w:tcPr>
          <w:p>
            <w:pPr>
              <w:pStyle w:val="178"/>
            </w:pPr>
          </w:p>
        </w:tc>
        <w:tc>
          <w:tcPr>
            <w:tcW w:w="1134" w:type="dxa"/>
            <w:shd w:val="clear" w:color="auto" w:fill="auto"/>
            <w:vAlign w:val="center"/>
          </w:tcPr>
          <w:p>
            <w:pPr>
              <w:pStyle w:val="178"/>
            </w:pPr>
          </w:p>
        </w:tc>
        <w:tc>
          <w:tcPr>
            <w:tcW w:w="1134" w:type="dxa"/>
            <w:shd w:val="clear" w:color="auto" w:fill="auto"/>
            <w:vAlign w:val="center"/>
          </w:tcPr>
          <w:p>
            <w:pPr>
              <w:pStyle w:val="178"/>
            </w:pPr>
          </w:p>
        </w:tc>
        <w:tc>
          <w:tcPr>
            <w:tcW w:w="1275" w:type="dxa"/>
            <w:shd w:val="clear" w:color="auto" w:fill="auto"/>
            <w:vAlign w:val="center"/>
          </w:tcPr>
          <w:p>
            <w:pPr>
              <w:pStyle w:val="178"/>
            </w:pPr>
          </w:p>
        </w:tc>
        <w:tc>
          <w:tcPr>
            <w:tcW w:w="993" w:type="dxa"/>
            <w:shd w:val="clear" w:color="auto" w:fill="auto"/>
            <w:vAlign w:val="center"/>
          </w:tcPr>
          <w:p>
            <w:pPr>
              <w:pStyle w:val="178"/>
            </w:pPr>
          </w:p>
        </w:tc>
        <w:tc>
          <w:tcPr>
            <w:tcW w:w="992" w:type="dxa"/>
            <w:shd w:val="clear" w:color="auto" w:fill="auto"/>
            <w:vAlign w:val="center"/>
          </w:tcPr>
          <w:p>
            <w:pPr>
              <w:pStyle w:val="178"/>
            </w:pPr>
          </w:p>
        </w:tc>
        <w:tc>
          <w:tcPr>
            <w:tcW w:w="1134" w:type="dxa"/>
            <w:shd w:val="clear" w:color="auto" w:fill="auto"/>
            <w:vAlign w:val="center"/>
          </w:tcPr>
          <w:p>
            <w:pPr>
              <w:pStyle w:val="178"/>
            </w:pPr>
          </w:p>
        </w:tc>
        <w:tc>
          <w:tcPr>
            <w:tcW w:w="850" w:type="dxa"/>
            <w:shd w:val="clear" w:color="auto" w:fill="auto"/>
            <w:vAlign w:val="center"/>
          </w:tcPr>
          <w:p>
            <w:pPr>
              <w:pStyle w:val="178"/>
            </w:pPr>
          </w:p>
        </w:tc>
        <w:tc>
          <w:tcPr>
            <w:tcW w:w="78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p>
        </w:tc>
        <w:tc>
          <w:tcPr>
            <w:tcW w:w="1427" w:type="dxa"/>
            <w:shd w:val="clear" w:color="auto" w:fill="auto"/>
            <w:vAlign w:val="center"/>
          </w:tcPr>
          <w:p>
            <w:pPr>
              <w:pStyle w:val="178"/>
            </w:pPr>
          </w:p>
        </w:tc>
        <w:tc>
          <w:tcPr>
            <w:tcW w:w="699" w:type="dxa"/>
            <w:shd w:val="clear" w:color="auto" w:fill="auto"/>
            <w:vAlign w:val="center"/>
          </w:tcPr>
          <w:p>
            <w:pPr>
              <w:pStyle w:val="178"/>
            </w:pPr>
          </w:p>
        </w:tc>
        <w:tc>
          <w:tcPr>
            <w:tcW w:w="851" w:type="dxa"/>
            <w:shd w:val="clear" w:color="auto" w:fill="auto"/>
            <w:vAlign w:val="center"/>
          </w:tcPr>
          <w:p>
            <w:pPr>
              <w:pStyle w:val="178"/>
            </w:pPr>
          </w:p>
        </w:tc>
        <w:tc>
          <w:tcPr>
            <w:tcW w:w="1843" w:type="dxa"/>
            <w:shd w:val="clear" w:color="auto" w:fill="auto"/>
            <w:vAlign w:val="center"/>
          </w:tcPr>
          <w:p>
            <w:pPr>
              <w:pStyle w:val="178"/>
            </w:pPr>
          </w:p>
        </w:tc>
        <w:tc>
          <w:tcPr>
            <w:tcW w:w="1134" w:type="dxa"/>
            <w:shd w:val="clear" w:color="auto" w:fill="auto"/>
            <w:vAlign w:val="center"/>
          </w:tcPr>
          <w:p>
            <w:pPr>
              <w:pStyle w:val="178"/>
            </w:pPr>
          </w:p>
        </w:tc>
        <w:tc>
          <w:tcPr>
            <w:tcW w:w="1134" w:type="dxa"/>
            <w:shd w:val="clear" w:color="auto" w:fill="auto"/>
            <w:vAlign w:val="center"/>
          </w:tcPr>
          <w:p>
            <w:pPr>
              <w:pStyle w:val="178"/>
            </w:pPr>
          </w:p>
        </w:tc>
        <w:tc>
          <w:tcPr>
            <w:tcW w:w="1275" w:type="dxa"/>
            <w:shd w:val="clear" w:color="auto" w:fill="auto"/>
            <w:vAlign w:val="center"/>
          </w:tcPr>
          <w:p>
            <w:pPr>
              <w:pStyle w:val="178"/>
            </w:pPr>
          </w:p>
        </w:tc>
        <w:tc>
          <w:tcPr>
            <w:tcW w:w="993" w:type="dxa"/>
            <w:shd w:val="clear" w:color="auto" w:fill="auto"/>
            <w:vAlign w:val="center"/>
          </w:tcPr>
          <w:p>
            <w:pPr>
              <w:pStyle w:val="178"/>
            </w:pPr>
          </w:p>
        </w:tc>
        <w:tc>
          <w:tcPr>
            <w:tcW w:w="992" w:type="dxa"/>
            <w:shd w:val="clear" w:color="auto" w:fill="auto"/>
            <w:vAlign w:val="center"/>
          </w:tcPr>
          <w:p>
            <w:pPr>
              <w:pStyle w:val="178"/>
            </w:pPr>
          </w:p>
        </w:tc>
        <w:tc>
          <w:tcPr>
            <w:tcW w:w="1134" w:type="dxa"/>
            <w:shd w:val="clear" w:color="auto" w:fill="auto"/>
            <w:vAlign w:val="center"/>
          </w:tcPr>
          <w:p>
            <w:pPr>
              <w:pStyle w:val="178"/>
            </w:pPr>
          </w:p>
        </w:tc>
        <w:tc>
          <w:tcPr>
            <w:tcW w:w="850" w:type="dxa"/>
            <w:shd w:val="clear" w:color="auto" w:fill="auto"/>
            <w:vAlign w:val="center"/>
          </w:tcPr>
          <w:p>
            <w:pPr>
              <w:pStyle w:val="178"/>
            </w:pPr>
          </w:p>
        </w:tc>
        <w:tc>
          <w:tcPr>
            <w:tcW w:w="78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p>
        </w:tc>
        <w:tc>
          <w:tcPr>
            <w:tcW w:w="1427" w:type="dxa"/>
            <w:shd w:val="clear" w:color="auto" w:fill="auto"/>
            <w:vAlign w:val="center"/>
          </w:tcPr>
          <w:p>
            <w:pPr>
              <w:pStyle w:val="178"/>
            </w:pPr>
          </w:p>
        </w:tc>
        <w:tc>
          <w:tcPr>
            <w:tcW w:w="699" w:type="dxa"/>
            <w:shd w:val="clear" w:color="auto" w:fill="auto"/>
            <w:vAlign w:val="center"/>
          </w:tcPr>
          <w:p>
            <w:pPr>
              <w:pStyle w:val="178"/>
            </w:pPr>
          </w:p>
        </w:tc>
        <w:tc>
          <w:tcPr>
            <w:tcW w:w="851" w:type="dxa"/>
            <w:shd w:val="clear" w:color="auto" w:fill="auto"/>
            <w:vAlign w:val="center"/>
          </w:tcPr>
          <w:p>
            <w:pPr>
              <w:pStyle w:val="178"/>
            </w:pPr>
          </w:p>
        </w:tc>
        <w:tc>
          <w:tcPr>
            <w:tcW w:w="1843" w:type="dxa"/>
            <w:shd w:val="clear" w:color="auto" w:fill="auto"/>
            <w:vAlign w:val="center"/>
          </w:tcPr>
          <w:p>
            <w:pPr>
              <w:pStyle w:val="178"/>
            </w:pPr>
          </w:p>
        </w:tc>
        <w:tc>
          <w:tcPr>
            <w:tcW w:w="1134" w:type="dxa"/>
            <w:shd w:val="clear" w:color="auto" w:fill="auto"/>
            <w:vAlign w:val="center"/>
          </w:tcPr>
          <w:p>
            <w:pPr>
              <w:pStyle w:val="178"/>
            </w:pPr>
          </w:p>
        </w:tc>
        <w:tc>
          <w:tcPr>
            <w:tcW w:w="1134" w:type="dxa"/>
            <w:shd w:val="clear" w:color="auto" w:fill="auto"/>
            <w:vAlign w:val="center"/>
          </w:tcPr>
          <w:p>
            <w:pPr>
              <w:pStyle w:val="178"/>
            </w:pPr>
          </w:p>
        </w:tc>
        <w:tc>
          <w:tcPr>
            <w:tcW w:w="1275" w:type="dxa"/>
            <w:shd w:val="clear" w:color="auto" w:fill="auto"/>
            <w:vAlign w:val="center"/>
          </w:tcPr>
          <w:p>
            <w:pPr>
              <w:pStyle w:val="178"/>
            </w:pPr>
          </w:p>
        </w:tc>
        <w:tc>
          <w:tcPr>
            <w:tcW w:w="993" w:type="dxa"/>
            <w:shd w:val="clear" w:color="auto" w:fill="auto"/>
            <w:vAlign w:val="center"/>
          </w:tcPr>
          <w:p>
            <w:pPr>
              <w:pStyle w:val="178"/>
            </w:pPr>
          </w:p>
        </w:tc>
        <w:tc>
          <w:tcPr>
            <w:tcW w:w="992" w:type="dxa"/>
            <w:shd w:val="clear" w:color="auto" w:fill="auto"/>
            <w:vAlign w:val="center"/>
          </w:tcPr>
          <w:p>
            <w:pPr>
              <w:pStyle w:val="178"/>
            </w:pPr>
          </w:p>
        </w:tc>
        <w:tc>
          <w:tcPr>
            <w:tcW w:w="1134" w:type="dxa"/>
            <w:shd w:val="clear" w:color="auto" w:fill="auto"/>
            <w:vAlign w:val="center"/>
          </w:tcPr>
          <w:p>
            <w:pPr>
              <w:pStyle w:val="178"/>
            </w:pPr>
          </w:p>
        </w:tc>
        <w:tc>
          <w:tcPr>
            <w:tcW w:w="850" w:type="dxa"/>
            <w:shd w:val="clear" w:color="auto" w:fill="auto"/>
            <w:vAlign w:val="center"/>
          </w:tcPr>
          <w:p>
            <w:pPr>
              <w:pStyle w:val="178"/>
            </w:pPr>
          </w:p>
        </w:tc>
        <w:tc>
          <w:tcPr>
            <w:tcW w:w="78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p>
        </w:tc>
        <w:tc>
          <w:tcPr>
            <w:tcW w:w="1427" w:type="dxa"/>
            <w:shd w:val="clear" w:color="auto" w:fill="auto"/>
            <w:vAlign w:val="center"/>
          </w:tcPr>
          <w:p>
            <w:pPr>
              <w:pStyle w:val="178"/>
            </w:pPr>
          </w:p>
        </w:tc>
        <w:tc>
          <w:tcPr>
            <w:tcW w:w="699" w:type="dxa"/>
            <w:shd w:val="clear" w:color="auto" w:fill="auto"/>
            <w:vAlign w:val="center"/>
          </w:tcPr>
          <w:p>
            <w:pPr>
              <w:pStyle w:val="178"/>
            </w:pPr>
          </w:p>
        </w:tc>
        <w:tc>
          <w:tcPr>
            <w:tcW w:w="851" w:type="dxa"/>
            <w:shd w:val="clear" w:color="auto" w:fill="auto"/>
            <w:vAlign w:val="center"/>
          </w:tcPr>
          <w:p>
            <w:pPr>
              <w:pStyle w:val="178"/>
            </w:pPr>
          </w:p>
        </w:tc>
        <w:tc>
          <w:tcPr>
            <w:tcW w:w="1843" w:type="dxa"/>
            <w:shd w:val="clear" w:color="auto" w:fill="auto"/>
            <w:vAlign w:val="center"/>
          </w:tcPr>
          <w:p>
            <w:pPr>
              <w:pStyle w:val="178"/>
            </w:pPr>
          </w:p>
        </w:tc>
        <w:tc>
          <w:tcPr>
            <w:tcW w:w="1134" w:type="dxa"/>
            <w:shd w:val="clear" w:color="auto" w:fill="auto"/>
            <w:vAlign w:val="center"/>
          </w:tcPr>
          <w:p>
            <w:pPr>
              <w:pStyle w:val="178"/>
            </w:pPr>
          </w:p>
        </w:tc>
        <w:tc>
          <w:tcPr>
            <w:tcW w:w="1134" w:type="dxa"/>
            <w:shd w:val="clear" w:color="auto" w:fill="auto"/>
            <w:vAlign w:val="center"/>
          </w:tcPr>
          <w:p>
            <w:pPr>
              <w:pStyle w:val="178"/>
            </w:pPr>
          </w:p>
        </w:tc>
        <w:tc>
          <w:tcPr>
            <w:tcW w:w="1275" w:type="dxa"/>
            <w:shd w:val="clear" w:color="auto" w:fill="auto"/>
            <w:vAlign w:val="center"/>
          </w:tcPr>
          <w:p>
            <w:pPr>
              <w:pStyle w:val="178"/>
            </w:pPr>
          </w:p>
        </w:tc>
        <w:tc>
          <w:tcPr>
            <w:tcW w:w="993" w:type="dxa"/>
            <w:shd w:val="clear" w:color="auto" w:fill="auto"/>
            <w:vAlign w:val="center"/>
          </w:tcPr>
          <w:p>
            <w:pPr>
              <w:pStyle w:val="178"/>
            </w:pPr>
          </w:p>
        </w:tc>
        <w:tc>
          <w:tcPr>
            <w:tcW w:w="992" w:type="dxa"/>
            <w:shd w:val="clear" w:color="auto" w:fill="auto"/>
            <w:vAlign w:val="center"/>
          </w:tcPr>
          <w:p>
            <w:pPr>
              <w:pStyle w:val="178"/>
            </w:pPr>
          </w:p>
        </w:tc>
        <w:tc>
          <w:tcPr>
            <w:tcW w:w="1134" w:type="dxa"/>
            <w:shd w:val="clear" w:color="auto" w:fill="auto"/>
            <w:vAlign w:val="center"/>
          </w:tcPr>
          <w:p>
            <w:pPr>
              <w:pStyle w:val="178"/>
            </w:pPr>
          </w:p>
        </w:tc>
        <w:tc>
          <w:tcPr>
            <w:tcW w:w="850" w:type="dxa"/>
            <w:shd w:val="clear" w:color="auto" w:fill="auto"/>
            <w:vAlign w:val="center"/>
          </w:tcPr>
          <w:p>
            <w:pPr>
              <w:pStyle w:val="178"/>
            </w:pPr>
          </w:p>
        </w:tc>
        <w:tc>
          <w:tcPr>
            <w:tcW w:w="78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p>
        </w:tc>
        <w:tc>
          <w:tcPr>
            <w:tcW w:w="1427" w:type="dxa"/>
            <w:shd w:val="clear" w:color="auto" w:fill="auto"/>
            <w:vAlign w:val="center"/>
          </w:tcPr>
          <w:p>
            <w:pPr>
              <w:pStyle w:val="178"/>
            </w:pPr>
          </w:p>
        </w:tc>
        <w:tc>
          <w:tcPr>
            <w:tcW w:w="699" w:type="dxa"/>
            <w:shd w:val="clear" w:color="auto" w:fill="auto"/>
            <w:vAlign w:val="center"/>
          </w:tcPr>
          <w:p>
            <w:pPr>
              <w:pStyle w:val="178"/>
            </w:pPr>
          </w:p>
        </w:tc>
        <w:tc>
          <w:tcPr>
            <w:tcW w:w="851" w:type="dxa"/>
            <w:shd w:val="clear" w:color="auto" w:fill="auto"/>
            <w:vAlign w:val="center"/>
          </w:tcPr>
          <w:p>
            <w:pPr>
              <w:pStyle w:val="178"/>
            </w:pPr>
          </w:p>
        </w:tc>
        <w:tc>
          <w:tcPr>
            <w:tcW w:w="1843" w:type="dxa"/>
            <w:shd w:val="clear" w:color="auto" w:fill="auto"/>
            <w:vAlign w:val="center"/>
          </w:tcPr>
          <w:p>
            <w:pPr>
              <w:pStyle w:val="178"/>
            </w:pPr>
          </w:p>
        </w:tc>
        <w:tc>
          <w:tcPr>
            <w:tcW w:w="1134" w:type="dxa"/>
            <w:shd w:val="clear" w:color="auto" w:fill="auto"/>
            <w:vAlign w:val="center"/>
          </w:tcPr>
          <w:p>
            <w:pPr>
              <w:pStyle w:val="178"/>
            </w:pPr>
          </w:p>
        </w:tc>
        <w:tc>
          <w:tcPr>
            <w:tcW w:w="1134" w:type="dxa"/>
            <w:shd w:val="clear" w:color="auto" w:fill="auto"/>
            <w:vAlign w:val="center"/>
          </w:tcPr>
          <w:p>
            <w:pPr>
              <w:pStyle w:val="178"/>
            </w:pPr>
          </w:p>
        </w:tc>
        <w:tc>
          <w:tcPr>
            <w:tcW w:w="1275" w:type="dxa"/>
            <w:shd w:val="clear" w:color="auto" w:fill="auto"/>
            <w:vAlign w:val="center"/>
          </w:tcPr>
          <w:p>
            <w:pPr>
              <w:pStyle w:val="178"/>
            </w:pPr>
          </w:p>
        </w:tc>
        <w:tc>
          <w:tcPr>
            <w:tcW w:w="993" w:type="dxa"/>
            <w:shd w:val="clear" w:color="auto" w:fill="auto"/>
            <w:vAlign w:val="center"/>
          </w:tcPr>
          <w:p>
            <w:pPr>
              <w:pStyle w:val="178"/>
            </w:pPr>
          </w:p>
        </w:tc>
        <w:tc>
          <w:tcPr>
            <w:tcW w:w="992" w:type="dxa"/>
            <w:shd w:val="clear" w:color="auto" w:fill="auto"/>
            <w:vAlign w:val="center"/>
          </w:tcPr>
          <w:p>
            <w:pPr>
              <w:pStyle w:val="178"/>
            </w:pPr>
          </w:p>
        </w:tc>
        <w:tc>
          <w:tcPr>
            <w:tcW w:w="1134" w:type="dxa"/>
            <w:shd w:val="clear" w:color="auto" w:fill="auto"/>
            <w:vAlign w:val="center"/>
          </w:tcPr>
          <w:p>
            <w:pPr>
              <w:pStyle w:val="178"/>
            </w:pPr>
          </w:p>
        </w:tc>
        <w:tc>
          <w:tcPr>
            <w:tcW w:w="850" w:type="dxa"/>
            <w:shd w:val="clear" w:color="auto" w:fill="auto"/>
            <w:vAlign w:val="center"/>
          </w:tcPr>
          <w:p>
            <w:pPr>
              <w:pStyle w:val="178"/>
            </w:pPr>
          </w:p>
        </w:tc>
        <w:tc>
          <w:tcPr>
            <w:tcW w:w="78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tcBorders>
              <w:bottom w:val="single" w:color="auto" w:sz="8" w:space="0"/>
            </w:tcBorders>
            <w:shd w:val="clear" w:color="auto" w:fill="auto"/>
            <w:vAlign w:val="center"/>
          </w:tcPr>
          <w:p>
            <w:pPr>
              <w:pStyle w:val="178"/>
            </w:pPr>
          </w:p>
        </w:tc>
        <w:tc>
          <w:tcPr>
            <w:tcW w:w="1427" w:type="dxa"/>
            <w:tcBorders>
              <w:bottom w:val="single" w:color="auto" w:sz="8" w:space="0"/>
            </w:tcBorders>
            <w:shd w:val="clear" w:color="auto" w:fill="auto"/>
            <w:vAlign w:val="center"/>
          </w:tcPr>
          <w:p>
            <w:pPr>
              <w:pStyle w:val="178"/>
            </w:pPr>
          </w:p>
        </w:tc>
        <w:tc>
          <w:tcPr>
            <w:tcW w:w="699" w:type="dxa"/>
            <w:tcBorders>
              <w:bottom w:val="single" w:color="auto" w:sz="8" w:space="0"/>
            </w:tcBorders>
            <w:shd w:val="clear" w:color="auto" w:fill="auto"/>
            <w:vAlign w:val="center"/>
          </w:tcPr>
          <w:p>
            <w:pPr>
              <w:pStyle w:val="178"/>
            </w:pPr>
          </w:p>
        </w:tc>
        <w:tc>
          <w:tcPr>
            <w:tcW w:w="851" w:type="dxa"/>
            <w:tcBorders>
              <w:bottom w:val="single" w:color="auto" w:sz="8" w:space="0"/>
            </w:tcBorders>
            <w:shd w:val="clear" w:color="auto" w:fill="auto"/>
            <w:vAlign w:val="center"/>
          </w:tcPr>
          <w:p>
            <w:pPr>
              <w:pStyle w:val="178"/>
            </w:pPr>
          </w:p>
        </w:tc>
        <w:tc>
          <w:tcPr>
            <w:tcW w:w="1843" w:type="dxa"/>
            <w:tcBorders>
              <w:bottom w:val="single" w:color="auto" w:sz="8" w:space="0"/>
            </w:tcBorders>
            <w:shd w:val="clear" w:color="auto" w:fill="auto"/>
            <w:vAlign w:val="center"/>
          </w:tcPr>
          <w:p>
            <w:pPr>
              <w:pStyle w:val="178"/>
            </w:pPr>
          </w:p>
        </w:tc>
        <w:tc>
          <w:tcPr>
            <w:tcW w:w="1134" w:type="dxa"/>
            <w:tcBorders>
              <w:bottom w:val="single" w:color="auto" w:sz="8" w:space="0"/>
            </w:tcBorders>
            <w:shd w:val="clear" w:color="auto" w:fill="auto"/>
            <w:vAlign w:val="center"/>
          </w:tcPr>
          <w:p>
            <w:pPr>
              <w:pStyle w:val="178"/>
            </w:pPr>
          </w:p>
        </w:tc>
        <w:tc>
          <w:tcPr>
            <w:tcW w:w="1134" w:type="dxa"/>
            <w:tcBorders>
              <w:bottom w:val="single" w:color="auto" w:sz="8" w:space="0"/>
            </w:tcBorders>
            <w:shd w:val="clear" w:color="auto" w:fill="auto"/>
            <w:vAlign w:val="center"/>
          </w:tcPr>
          <w:p>
            <w:pPr>
              <w:pStyle w:val="178"/>
            </w:pPr>
          </w:p>
        </w:tc>
        <w:tc>
          <w:tcPr>
            <w:tcW w:w="1275" w:type="dxa"/>
            <w:tcBorders>
              <w:bottom w:val="single" w:color="auto" w:sz="8" w:space="0"/>
            </w:tcBorders>
            <w:shd w:val="clear" w:color="auto" w:fill="auto"/>
            <w:vAlign w:val="center"/>
          </w:tcPr>
          <w:p>
            <w:pPr>
              <w:pStyle w:val="178"/>
            </w:pPr>
          </w:p>
        </w:tc>
        <w:tc>
          <w:tcPr>
            <w:tcW w:w="993" w:type="dxa"/>
            <w:tcBorders>
              <w:bottom w:val="single" w:color="auto" w:sz="8" w:space="0"/>
            </w:tcBorders>
            <w:shd w:val="clear" w:color="auto" w:fill="auto"/>
            <w:vAlign w:val="center"/>
          </w:tcPr>
          <w:p>
            <w:pPr>
              <w:pStyle w:val="178"/>
            </w:pPr>
          </w:p>
        </w:tc>
        <w:tc>
          <w:tcPr>
            <w:tcW w:w="992" w:type="dxa"/>
            <w:tcBorders>
              <w:bottom w:val="single" w:color="auto" w:sz="8" w:space="0"/>
            </w:tcBorders>
            <w:shd w:val="clear" w:color="auto" w:fill="auto"/>
            <w:vAlign w:val="center"/>
          </w:tcPr>
          <w:p>
            <w:pPr>
              <w:pStyle w:val="178"/>
            </w:pPr>
          </w:p>
        </w:tc>
        <w:tc>
          <w:tcPr>
            <w:tcW w:w="1134" w:type="dxa"/>
            <w:tcBorders>
              <w:bottom w:val="single" w:color="auto" w:sz="8" w:space="0"/>
            </w:tcBorders>
            <w:shd w:val="clear" w:color="auto" w:fill="auto"/>
            <w:vAlign w:val="center"/>
          </w:tcPr>
          <w:p>
            <w:pPr>
              <w:pStyle w:val="178"/>
            </w:pPr>
          </w:p>
        </w:tc>
        <w:tc>
          <w:tcPr>
            <w:tcW w:w="850" w:type="dxa"/>
            <w:tcBorders>
              <w:bottom w:val="single" w:color="auto" w:sz="8" w:space="0"/>
            </w:tcBorders>
            <w:shd w:val="clear" w:color="auto" w:fill="auto"/>
            <w:vAlign w:val="center"/>
          </w:tcPr>
          <w:p>
            <w:pPr>
              <w:pStyle w:val="178"/>
            </w:pPr>
          </w:p>
        </w:tc>
        <w:tc>
          <w:tcPr>
            <w:tcW w:w="782" w:type="dxa"/>
            <w:tcBorders>
              <w:bottom w:val="single" w:color="auto" w:sz="8"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813" w:type="dxa"/>
            <w:gridSpan w:val="13"/>
            <w:tcBorders>
              <w:top w:val="single" w:color="auto" w:sz="8" w:space="0"/>
              <w:bottom w:val="single" w:color="auto" w:sz="8" w:space="0"/>
            </w:tcBorders>
            <w:shd w:val="clear" w:color="auto" w:fill="auto"/>
            <w:vAlign w:val="center"/>
          </w:tcPr>
          <w:p>
            <w:pPr>
              <w:pStyle w:val="101"/>
            </w:pPr>
            <w:r>
              <w:rPr>
                <w:rFonts w:hint="eastAsia"/>
              </w:rPr>
              <w:t>“考核形式”应填写:“盲样考核”、“人员比对”、“仪器比对”、“样品复测”、“加标回收”、“报告验证”、“见证试验（操作演示）”等内容。</w:t>
            </w:r>
          </w:p>
          <w:p>
            <w:pPr>
              <w:pStyle w:val="101"/>
            </w:pPr>
            <w:r>
              <w:rPr>
                <w:rFonts w:hint="eastAsia"/>
              </w:rPr>
              <w:t>“样品来源”应填写:“评审组提供”或“自备”。</w:t>
            </w:r>
          </w:p>
          <w:p>
            <w:pPr>
              <w:pStyle w:val="101"/>
            </w:pPr>
            <w:r>
              <w:rPr>
                <w:rFonts w:hint="eastAsia"/>
              </w:rPr>
              <w:t>“考核结论”应填写:“合格”或“不合格”。</w:t>
            </w:r>
          </w:p>
          <w:p>
            <w:pPr>
              <w:pStyle w:val="101"/>
            </w:pPr>
            <w:r>
              <w:rPr>
                <w:rFonts w:hint="eastAsia"/>
              </w:rPr>
              <w:t>评审组成员应分别就各自的评审分工范围填写本表，评审组长将各个评审员的表格合并后上传系统。</w:t>
            </w:r>
          </w:p>
        </w:tc>
      </w:tr>
    </w:tbl>
    <w:p>
      <w:pPr>
        <w:pStyle w:val="56"/>
        <w:ind w:firstLine="420"/>
      </w:pPr>
    </w:p>
    <w:p>
      <w:pPr>
        <w:pStyle w:val="76"/>
        <w:numPr>
          <w:ilvl w:val="0"/>
          <w:numId w:val="0"/>
        </w:numPr>
        <w:spacing w:after="156"/>
      </w:pPr>
    </w:p>
    <w:p>
      <w:pPr>
        <w:pStyle w:val="56"/>
        <w:ind w:firstLine="0" w:firstLineChars="0"/>
        <w:sectPr>
          <w:headerReference r:id="rId14" w:type="default"/>
          <w:footerReference r:id="rId16" w:type="default"/>
          <w:headerReference r:id="rId15" w:type="even"/>
          <w:footerReference r:id="rId17" w:type="even"/>
          <w:pgSz w:w="16838" w:h="11906" w:orient="landscape"/>
          <w:pgMar w:top="1134" w:right="1871" w:bottom="1134" w:left="1134" w:header="1418" w:footer="1247" w:gutter="284"/>
          <w:cols w:space="425" w:num="1"/>
          <w:formProt w:val="0"/>
          <w:docGrid w:type="lines" w:linePitch="312" w:charSpace="0"/>
        </w:sectPr>
      </w:pPr>
    </w:p>
    <w:bookmarkEnd w:id="54"/>
    <w:p>
      <w:pPr>
        <w:pStyle w:val="63"/>
        <w:spacing w:after="156"/>
      </w:pPr>
      <w:bookmarkStart w:id="56" w:name="_Toc131371628"/>
      <w:bookmarkStart w:id="57" w:name="BookMark6"/>
      <w:r>
        <w:rPr>
          <w:rFonts w:hint="eastAsia"/>
          <w:spacing w:val="105"/>
        </w:rPr>
        <w:t>参考文</w:t>
      </w:r>
      <w:r>
        <w:rPr>
          <w:rFonts w:hint="eastAsia"/>
        </w:rPr>
        <w:t>献</w:t>
      </w:r>
      <w:bookmarkEnd w:id="56"/>
    </w:p>
    <w:p>
      <w:pPr>
        <w:pStyle w:val="56"/>
        <w:ind w:firstLine="420"/>
      </w:pPr>
      <w:r>
        <w:rPr>
          <w:rFonts w:hint="eastAsia"/>
        </w:rPr>
        <w:t xml:space="preserve">[1] 检验检测机构资质认定管理办法(2015年4月9日国家质量监督检验检疫总局第163号修正案，国家市场监督管理总局令第38号) </w:t>
      </w:r>
    </w:p>
    <w:p>
      <w:pPr>
        <w:pStyle w:val="56"/>
        <w:ind w:firstLine="420"/>
      </w:pPr>
      <w:r>
        <w:rPr>
          <w:rFonts w:hint="eastAsia"/>
        </w:rPr>
        <w:t>[2] 检验检测机构资质认定 标志及其使用要求（国认实〔2015〕50号附件4）</w:t>
      </w:r>
    </w:p>
    <w:p>
      <w:pPr>
        <w:pStyle w:val="56"/>
        <w:ind w:firstLine="420"/>
      </w:pPr>
      <w:r>
        <w:rPr>
          <w:rFonts w:hint="eastAsia"/>
        </w:rPr>
        <w:t>[3] 国家认监委关于实施《检验检测机构资质认定管理办法》的若干意见（国认实〔2015〕49号）</w:t>
      </w:r>
    </w:p>
    <w:p>
      <w:pPr>
        <w:pStyle w:val="56"/>
        <w:ind w:firstLine="420"/>
      </w:pPr>
      <w:r>
        <w:rPr>
          <w:rFonts w:hint="eastAsia"/>
        </w:rPr>
        <w:t>[4] 国家认监委关于进一步明确检验检测机构资质认定工作有关问题的通知（国认实〔2017〕2号）</w:t>
      </w:r>
    </w:p>
    <w:p>
      <w:pPr>
        <w:pStyle w:val="56"/>
        <w:ind w:firstLine="420"/>
      </w:pPr>
      <w:r>
        <w:rPr>
          <w:rFonts w:hint="eastAsia"/>
        </w:rPr>
        <w:t>[5] 国家认监委关于印发检验检测机构资质认定相关配套文件的通知（国认实〔2017〕10号）</w:t>
      </w:r>
    </w:p>
    <w:p>
      <w:pPr>
        <w:pStyle w:val="56"/>
        <w:ind w:firstLine="420"/>
      </w:pPr>
      <w:r>
        <w:rPr>
          <w:rFonts w:hint="eastAsia"/>
        </w:rPr>
        <w:t>[6] 关于规范人防工程防护设备检测机构资质认定工作的通知（国人防〔2017〕271号）</w:t>
      </w:r>
    </w:p>
    <w:p>
      <w:pPr>
        <w:pStyle w:val="56"/>
        <w:ind w:firstLine="420"/>
      </w:pPr>
      <w:r>
        <w:rPr>
          <w:rFonts w:hint="eastAsia"/>
        </w:rPr>
        <w:t>[7] 国家认监委关于推进检验检测机构资质认定统一实施的通知（国认实〔2018〕12号）</w:t>
      </w:r>
    </w:p>
    <w:p>
      <w:pPr>
        <w:pStyle w:val="56"/>
        <w:ind w:firstLine="420"/>
      </w:pPr>
      <w:r>
        <w:rPr>
          <w:rFonts w:hint="eastAsia"/>
        </w:rPr>
        <w:t>[8] 国家认监委关于检验检测机构资质认定工作采用相关认证认可行业标准的通知（国认实〔2018〕28号）</w:t>
      </w:r>
    </w:p>
    <w:p>
      <w:pPr>
        <w:pStyle w:val="56"/>
        <w:ind w:firstLine="420"/>
      </w:pPr>
      <w:r>
        <w:rPr>
          <w:rFonts w:hint="eastAsia"/>
        </w:rPr>
        <w:t>[9] 司法部 国家市场监督管理总局关于加快推进司法鉴定资质认定工作的指导意见（司规〔2019〕4号）</w:t>
      </w:r>
    </w:p>
    <w:p>
      <w:pPr>
        <w:pStyle w:val="56"/>
        <w:ind w:firstLine="420"/>
      </w:pPr>
      <w:r>
        <w:rPr>
          <w:rFonts w:hint="eastAsia"/>
        </w:rPr>
        <w:t xml:space="preserve">[10] 市场监管总局认可检测司关于推荐使用司法鉴定领域3类鉴定资质认定能力申请表模板的函 (认检函〔2019〕61号) </w:t>
      </w:r>
    </w:p>
    <w:p>
      <w:pPr>
        <w:pStyle w:val="56"/>
        <w:ind w:firstLine="420"/>
      </w:pPr>
      <w:r>
        <w:rPr>
          <w:rFonts w:hint="eastAsia"/>
        </w:rPr>
        <w:t>[11] 市场监管总局关于进一步推进检验检测机构资质认定改革工作的意见(国市监检测〔2019〕206号)</w:t>
      </w:r>
    </w:p>
    <w:p>
      <w:pPr>
        <w:pStyle w:val="56"/>
        <w:ind w:firstLine="420"/>
      </w:pPr>
    </w:p>
    <w:p>
      <w:pPr>
        <w:pStyle w:val="56"/>
        <w:ind w:firstLine="420"/>
      </w:pPr>
    </w:p>
    <w:p>
      <w:pPr>
        <w:pStyle w:val="56"/>
        <w:ind w:firstLine="420"/>
      </w:pPr>
    </w:p>
    <w:bookmarkEnd w:id="57"/>
    <w:p>
      <w:pPr>
        <w:pStyle w:val="56"/>
        <w:ind w:firstLine="0" w:firstLineChars="0"/>
        <w:jc w:val="center"/>
      </w:pPr>
      <w:bookmarkStart w:id="58" w:name="BookMark8"/>
      <w:r>
        <w:drawing>
          <wp:inline distT="0" distB="0" distL="0" distR="0">
            <wp:extent cx="1485900" cy="317500"/>
            <wp:effectExtent l="0" t="0" r="0" b="6350"/>
            <wp:docPr id="11" name="图片 11"/>
            <wp:cNvGraphicFramePr/>
            <a:graphic xmlns:a="http://schemas.openxmlformats.org/drawingml/2006/main">
              <a:graphicData uri="http://schemas.openxmlformats.org/drawingml/2006/picture">
                <pic:pic xmlns:pic="http://schemas.openxmlformats.org/drawingml/2006/picture">
                  <pic:nvPicPr>
                    <pic:cNvPr id="11" name="图片 11"/>
                    <pic:cNvPicPr/>
                  </pic:nvPicPr>
                  <pic:blipFill>
                    <a:blip r:embed="rId2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8"/>
    </w:p>
    <w:sectPr>
      <w:headerReference r:id="rId18" w:type="default"/>
      <w:footerReference r:id="rId20" w:type="default"/>
      <w:headerReference r:id="rId19" w:type="even"/>
      <w:footerReference r:id="rId21"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8</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6</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mc:AlternateContent>
        <mc:Choice Requires="wps">
          <w:drawing>
            <wp:anchor distT="0" distB="0" distL="114300" distR="114300" simplePos="0" relativeHeight="251662336" behindDoc="0" locked="0" layoutInCell="1" allowOverlap="1">
              <wp:simplePos x="0" y="0"/>
              <wp:positionH relativeFrom="page">
                <wp:posOffset>719455</wp:posOffset>
              </wp:positionH>
              <wp:positionV relativeFrom="page">
                <wp:posOffset>6553835</wp:posOffset>
              </wp:positionV>
              <wp:extent cx="1828800" cy="1828800"/>
              <wp:effectExtent l="0" t="0" r="0" b="508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52"/>
                          </w:pPr>
                          <w:r>
                            <w:fldChar w:fldCharType="begin"/>
                          </w:r>
                          <w:r>
                            <w:instrText xml:space="preserve">PAGE   \* MERGEFORMAT</w:instrText>
                          </w:r>
                          <w:r>
                            <w:fldChar w:fldCharType="separate"/>
                          </w:r>
                          <w:r>
                            <w:rPr>
                              <w:lang w:val="zh-CN"/>
                            </w:rPr>
                            <w:t>7</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 id="_x0000_s1026" o:spid="_x0000_s1026" o:spt="202" type="#_x0000_t202" style="position:absolute;left:0pt;margin-left:56.65pt;margin-top:516.05pt;height:144pt;width:144pt;mso-position-horizontal-relative:page;mso-position-vertical-relative:page;mso-wrap-style:none;z-index:251662336;v-text-anchor:bottom;mso-width-relative:page;mso-height-relative:page;" filled="f" stroked="f" coordsize="21600,21600" o:gfxdata="UEsDBAoAAAAAAIdO4kAAAAAAAAAAAAAAAAAEAAAAZHJzL1BLAwQUAAAACACHTuJAs91PAdsAAAAN&#10;AQAADwAAAGRycy9kb3ducmV2LnhtbE2PzU7DMBCE70i8g7VI3KjtBCiEOBVC4gaUtgiJmxu7TiBe&#10;R7b7Q5+e5QS3ndnR7Lf17OAHtrMx9QEVyIkAZrENpken4G31eHEDLGWNRg8BrYJvm2DWnJ7UujJh&#10;jwu7W2bHqARTpRV0OY8V56ntrNdpEkaLtNuE6HUmGR03Ue+p3A+8EOKae90jXej0aB86234tt17B&#10;1fHz/TWZl9vn6eLpGOcf99ltnFLnZ1LcAcv2kP/C8ItP6NAQ0zps0SQ2kJZlSVEaRFlIYBS5FJKs&#10;NVllISTwpub/v2h+AFBLAwQUAAAACACHTuJAAuG5ADgCAABnBAAADgAAAGRycy9lMm9Eb2MueG1s&#10;rVRLbtswEN0X6B0I7hvJrpO6huXATeCiQNAEcD9rmqIsAfyBpC2lB2hvkFU33fdcPkcfKdsx0i6y&#10;6Iaa4QzfzLyZ0fSyU5JshfON0QUdnOWUCM1N2eh1QT9/WrwaU+ID0yWTRouC3gtPL2cvX0xbOxFD&#10;UxtZCkcAov2ktQWtQ7CTLPO8For5M2OFhrEyTrEA1a2z0rEW6Epmwzy/yFrjSusMF97j9ro30j2i&#10;ew6gqaqGi2vDN0ro0KM6IVlASb5urKezlG1VCR5uq8qLQGRBUWlIJ4JAXsUzm03ZZO2YrRu+T4E9&#10;J4UnNSnWaAQ9Ql2zwMjGNX9BqYY7400VzrhRWV9IYgRVDPIn3CxrZkWqBVR7eyTd/z9Y/nF750hT&#10;FhRt10yh4buHH7ufv3e/vpNxpKe1fgKvpYVf6N6ZDkNzuPe4jFV3lVPxi3oI7CD3/kiu6ALh8dF4&#10;OB7nMHHYDgrws8fn1vnwXhhFolBQh+4lUtn2xofe9eASo2mzaKRMHZSatAW9eH2epwdHC8ClRoxY&#10;RJ9slEK36vaVrUx5j8Kc6SfDW75oEPyG+XDHHEYBCWNZwi2OShoEMXuJktq4b/+6j/4FFewLvpS0&#10;GK6CauwSJfKDRu/eDkYjwIakjM7fDKG4U8vq1KI36spgegdYS8uTGP2DPIiVM+ordmoeo8LENEdm&#10;BV0dxKvQDzx2kov5PDlh+iwLN3ppeYSOdHo73wRQmpiONPXc7NnD/KVe7XclDvipnrwe/w+z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LPdTwHbAAAADQEAAA8AAAAAAAAAAQAgAAAAIgAAAGRycy9k&#10;b3ducmV2LnhtbFBLAQIUABQAAAAIAIdO4kAC4bkAOAIAAGcEAAAOAAAAAAAAAAEAIAAAACoBAABk&#10;cnMvZTJvRG9jLnhtbFBLBQYAAAAABgAGAFkBAADUBQAAAAA=&#10;">
              <v:fill on="f" focussize="0,0"/>
              <v:stroke on="f" weight="0.5pt"/>
              <v:imagedata o:title=""/>
              <o:lock v:ext="edit" aspectratio="f"/>
              <v:textbox style="layout-flow:vertical-ideographic;mso-fit-shape-to-text:t;">
                <w:txbxContent>
                  <w:p>
                    <w:pPr>
                      <w:pStyle w:val="52"/>
                    </w:pPr>
                    <w:r>
                      <w:fldChar w:fldCharType="begin"/>
                    </w:r>
                    <w:r>
                      <w:instrText xml:space="preserve">PAGE   \* MERGEFORMAT</w:instrText>
                    </w:r>
                    <w:r>
                      <w:fldChar w:fldCharType="separate"/>
                    </w:r>
                    <w:r>
                      <w:rPr>
                        <w:lang w:val="zh-CN"/>
                      </w:rPr>
                      <w:t>7</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64384" behindDoc="0" locked="0" layoutInCell="1" allowOverlap="1">
              <wp:simplePos x="0" y="0"/>
              <wp:positionH relativeFrom="page">
                <wp:posOffset>719455</wp:posOffset>
              </wp:positionH>
              <wp:positionV relativeFrom="page">
                <wp:posOffset>863600</wp:posOffset>
              </wp:positionV>
              <wp:extent cx="1828800" cy="1828800"/>
              <wp:effectExtent l="0" t="0" r="11430" b="12065"/>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17"/>
                          </w:pPr>
                          <w:r>
                            <w:fldChar w:fldCharType="begin"/>
                          </w:r>
                          <w:r>
                            <w:instrText xml:space="preserve">PAGE   \* MERGEFORMAT</w:instrText>
                          </w:r>
                          <w:r>
                            <w:fldChar w:fldCharType="separate"/>
                          </w:r>
                          <w:r>
                            <w:rPr>
                              <w:lang w:val="zh-CN"/>
                            </w:rPr>
                            <w:t>8</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w:pict>
            <v:shape id="_x0000_s1026" o:spid="_x0000_s1026" o:spt="202" type="#_x0000_t202" style="position:absolute;left:0pt;margin-left:56.65pt;margin-top:68pt;height:144pt;width:144pt;mso-position-horizontal-relative:page;mso-position-vertical-relative:page;mso-wrap-style:none;z-index:251664384;v-text-anchor:bottom;mso-width-relative:page;mso-height-relative:page;" filled="f" stroked="f" coordsize="21600,21600" o:gfxdata="UEsDBAoAAAAAAIdO4kAAAAAAAAAAAAAAAAAEAAAAZHJzL1BLAwQUAAAACACHTuJASBiE5dYAAAAL&#10;AQAADwAAAGRycy9kb3ducmV2LnhtbE1Py07DMBC8I/EP1iJxo3aSqqpCnEpFcAEutDyuTrzEUf2I&#10;bLcNf89yoreZndHsTLOZnWUnjGkMXkKxEMDQ90GPfpDwvn+6WwNLWXmtbPAo4QcTbNrrq0bVOpz9&#10;G552eWAU4lOtJJicp5rz1Bt0Ki3ChJ607xCdykTjwHVUZwp3lpdCrLhTo6cPRk34YLA/7I6OUuZ1&#10;t90ePr8GEx9t+Tx9vL7srZS3N4W4B5Zxzv9m+KtP1aGlTl04ep2YJV5UFVkJVCsaRY6lKOjSESiX&#10;Anjb8MsN7S9QSwMEFAAAAAgAh07iQHWt02cuAgAAWQQAAA4AAABkcnMvZTJvRG9jLnhtbK1US27b&#10;MBDdF+gdCO5ryS4aGIblwI3hooDRBEg/a5qiLAH8gaQtuQdob9BVN93nXD5HHynLKdIusuiGGnKG&#10;b+Y9zmh+3SlJDsL5xuiCjkc5JUJzUzZ6V9BPH9evppT4wHTJpNGioEfh6fXi5Yt5a2diYmojS+EI&#10;QLSftbagdQh2lmWe10IxPzJWaDgr4xQL2LpdVjrWAl3JbJLnV1lrXGmd4cJ7nK56Jz0juucAmqpq&#10;uFgZvldChx7VCckCKPm6sZ4uUrVVJXi4rSovApEFBdOQViSBvY1rtpiz2c4xWzf8XAJ7TglPOCnW&#10;aCS9QK1YYGTvmr+gVMOd8aYKI25U1hNJioDFOH+izX3NrEhcILW3F9H9/4PlHw53jjQlOgGSaKbw&#10;4qcf308/H06/vhGcQaDW+hni7i0iQ/fWdAgezj0OI++ucip+wYjAD6zjRV7RBcLjpelkOs3h4vAN&#10;G+Bnj9et8+GdMIpEo6AO75dkZYeND33oEBKzabNupExvKDVpC3r1+k2eLlw8AJcaOSKJvthohW7b&#10;nZltTXkEMWf63vCWrxsk3zAf7phDM6BgjEu4xVJJgyTmbFFSG/f1X+cxvqCCfcaXkhbtVVCNaaJE&#10;vtd4PUCGwXCDsR0MvVc3Bv06xiBankxccEEOZuWM+oIpWsYscDHNUUlBt4N5E/oWxxRysVymIPSb&#10;ZWGj7y2P0FE+b5f7AAmTslGWXouzWui49Dbn6Ygt/ec+RT3+E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EgYhOXWAAAACwEAAA8AAAAAAAAAAQAgAAAAIgAAAGRycy9kb3ducmV2LnhtbFBLAQIU&#10;ABQAAAAIAIdO4kB1rdNnLgIAAFkEAAAOAAAAAAAAAAEAIAAAACUBAABkcnMvZTJvRG9jLnhtbFBL&#10;BQYAAAAABgAGAFkBAADFBQAAAAA=&#10;">
              <v:fill on="f" focussize="0,0"/>
              <v:stroke on="f" weight="0.5pt"/>
              <v:imagedata o:title=""/>
              <o:lock v:ext="edit" aspectratio="f"/>
              <v:textbox inset="0mm,0mm,0mm,0mm" style="layout-flow:vertical-ideographic;mso-fit-shape-to-text:t;">
                <w:txbxContent>
                  <w:p>
                    <w:pPr>
                      <w:pStyle w:val="17"/>
                    </w:pPr>
                    <w:r>
                      <w:fldChar w:fldCharType="begin"/>
                    </w:r>
                    <w:r>
                      <w:instrText xml:space="preserve">PAGE   \* MERGEFORMAT</w:instrText>
                    </w:r>
                    <w:r>
                      <w:fldChar w:fldCharType="separate"/>
                    </w:r>
                    <w:r>
                      <w:rPr>
                        <w:lang w:val="zh-CN"/>
                      </w:rPr>
                      <w:t>8</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8</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XXXX—2023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43/T XXXX—2023</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mc:AlternateContent>
        <mc:Choice Requires="wps">
          <w:drawing>
            <wp:anchor distT="0" distB="0" distL="114300" distR="114300" simplePos="0" relativeHeight="251661312" behindDoc="0" locked="0" layoutInCell="1" allowOverlap="1">
              <wp:simplePos x="0" y="0"/>
              <wp:positionH relativeFrom="page">
                <wp:posOffset>9539605</wp:posOffset>
              </wp:positionH>
              <wp:positionV relativeFrom="page">
                <wp:posOffset>5233035</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1"/>
                          </w:pPr>
                          <w:r>
                            <w:fldChar w:fldCharType="begin"/>
                          </w:r>
                          <w:r>
                            <w:instrText xml:space="preserve"> STYLEREF  标准文件_文件编号  \* MERGEFORMAT </w:instrText>
                          </w:r>
                          <w:r>
                            <w:fldChar w:fldCharType="separate"/>
                          </w:r>
                          <w:r>
                            <w:t>DB 43/T XXXX—2023</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 id="_x0000_s1026" o:spid="_x0000_s1026" o:spt="202" type="#_x0000_t202" style="position:absolute;left:0pt;margin-left:751.15pt;margin-top:412.05pt;height:144pt;width:144pt;mso-position-horizontal-relative:page;mso-position-vertical-relative:page;mso-wrap-style:none;z-index:251661312;v-text-anchor:bottom;mso-width-relative:page;mso-height-relative:page;" filled="f" stroked="f" coordsize="21600,21600" o:gfxdata="UEsDBAoAAAAAAIdO4kAAAAAAAAAAAAAAAAAEAAAAZHJzL1BLAwQUAAAACACHTuJAXAJvvdwAAAAO&#10;AQAADwAAAGRycy9kb3ducmV2LnhtbE2PzU7DMBCE70i8g7VI3KjtQGkb4lQIiRtQWhASNzfeOoHY&#10;jmz3hz492xPcdnZHs99U84Pr2Q5j6oJXIEcCGPommM5bBe9vj1dTYClrb3QfPCr4wQTz+vys0qUJ&#10;e7/E3SpbRiE+lVpBm/NQcp6aFp1OozCgp9smRKczyWi5iXpP4a7nhRC33OnO04dWD/jQYvO92joF&#10;4+PXx2syL7PnyfLpGBef99lurFKXF1LcAct4yH9mOOETOtTEtA5bbxLrSY9FcU1eBdPiRgI7WSYz&#10;Qas1TVIWEnhd8f816l9QSwMEFAAAAAgAh07iQLvV1mI5AgAAZwQAAA4AAABkcnMvZTJvRG9jLnht&#10;bK1US27bMBDdF+gdCO5r2a6TuIblwI3hooDRBEg/a5qiLAH8gaQtuQdob9BVN933XDlHHynbMdIu&#10;suiGGnKGb+Y9zmh63SpJdsL52uicDnp9SoTmpqj1JqefPi5fjSnxgemCSaNFTvfC0+vZyxfTxk7E&#10;0FRGFsIRgGg/aWxOqxDsJMs8r4Rivmes0HCWxikWsHWbrHCsAbqS2bDfv8wa4wrrDBfe43TROekB&#10;0T0H0JRlzcXC8K0SOnSoTkgWQMlXtfV0lqotS8HDbVl6EYjMKZiGtCIJ7HVcs9mUTTaO2armhxLY&#10;c0p4wkmxWiPpCWrBAiNbV/8FpWrujDdl6HGjso5IUgQsBv0n2txXzIrEBVJ7exLd/z9Y/mF350hd&#10;5PSKEs0UHvzhx/eHn78ffn0jV1GexvoJou4t4kL71rRomuO5x2Fk3ZZOxS/4EPgh7v4krmgD4fHS&#10;eDge9+Hi8B03wM8er1vnwzthFIlGTh1eL4nKdisfutBjSMymzbKWMr2g1KTJ6eXri366cPIAXGrk&#10;iCS6YqMV2nV7YLY2xR7EnOk6w1u+rJF8xXy4Yw6tgIIxLOEWSykNkpiDRUll3Nd/ncf4nAr2GV9K&#10;GjRXTjVmiRL5XuPt3gxGI8CGtBldXA2xceee9blHb9WNQfcOMJaWJzPGB3k0S2fUF8zUPGaFi2mO&#10;ynK6Ppo3oWt4zCQX83kKQvdZFlb63vIIHeX0dr4NkDQpHWXqtDmoh/5Lb3WYldjg5/sU9fh/mP0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XAJvvdwAAAAOAQAADwAAAAAAAAABACAAAAAiAAAAZHJz&#10;L2Rvd25yZXYueG1sUEsBAhQAFAAAAAgAh07iQLvV1mI5AgAAZwQAAA4AAAAAAAAAAQAgAAAAKwEA&#10;AGRycy9lMm9Eb2MueG1sUEsFBgAAAAAGAAYAWQEAANYFAAAAAA==&#10;">
              <v:fill on="f" focussize="0,0"/>
              <v:stroke on="f" weight="0.5pt"/>
              <v:imagedata o:title=""/>
              <o:lock v:ext="edit" aspectratio="f"/>
              <v:textbox style="layout-flow:vertical-ideographic;mso-fit-shape-to-text:t;">
                <w:txbxContent>
                  <w:p>
                    <w:pPr>
                      <w:pStyle w:val="61"/>
                    </w:pPr>
                    <w:r>
                      <w:fldChar w:fldCharType="begin"/>
                    </w:r>
                    <w:r>
                      <w:instrText xml:space="preserve"> STYLEREF  标准文件_文件编号  \* MERGEFORMAT </w:instrText>
                    </w:r>
                    <w:r>
                      <w:fldChar w:fldCharType="separate"/>
                    </w:r>
                    <w:r>
                      <w:t>DB 43/T XXXX—2023</w:t>
                    </w:r>
                    <w:r>
                      <w:fldChar w:fldCharType="end"/>
                    </w:r>
                  </w:p>
                </w:txbxContent>
              </v:textbox>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mc:AlternateContent>
        <mc:Choice Requires="wps">
          <w:drawing>
            <wp:anchor distT="0" distB="0" distL="114300" distR="114300" simplePos="0" relativeHeight="251663360" behindDoc="0" locked="0" layoutInCell="1" allowOverlap="1">
              <wp:simplePos x="0" y="0"/>
              <wp:positionH relativeFrom="page">
                <wp:posOffset>9719945</wp:posOffset>
              </wp:positionH>
              <wp:positionV relativeFrom="page">
                <wp:posOffset>899795</wp:posOffset>
              </wp:positionV>
              <wp:extent cx="1828800" cy="1828800"/>
              <wp:effectExtent l="0" t="0" r="5080" b="12065"/>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2"/>
                          </w:pPr>
                          <w:r>
                            <w:fldChar w:fldCharType="begin"/>
                          </w:r>
                          <w:r>
                            <w:instrText xml:space="preserve"> STYLEREF  标准文件_文件编号 \* MERGEFORMAT </w:instrText>
                          </w:r>
                          <w:r>
                            <w:fldChar w:fldCharType="separate"/>
                          </w:r>
                          <w:r>
                            <w:t>DB 43/T XXXX—2023</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w:pict>
            <v:shape id="_x0000_s1026" o:spid="_x0000_s1026" o:spt="202" type="#_x0000_t202" style="position:absolute;left:0pt;margin-left:765.35pt;margin-top:70.85pt;height:144pt;width:144pt;mso-position-horizontal-relative:page;mso-position-vertical-relative:page;mso-wrap-style:none;z-index:251663360;v-text-anchor:bottom;mso-width-relative:page;mso-height-relative:page;" filled="f" stroked="f" coordsize="21600,21600" o:gfxdata="UEsDBAoAAAAAAIdO4kAAAAAAAAAAAAAAAAAEAAAAZHJzL1BLAwQUAAAACACHTuJAEsi7HNkAAAAN&#10;AQAADwAAAGRycy9kb3ducmV2LnhtbE2PzU7DMBCE70i8g7VI3KidUGgIcSoVwQW40EJ7deIlieqf&#10;yHbb8PZsT3Cb0Y5mv6mWkzXsiCEO3knIZgIYutbrwXUSPjcvNwWwmJTTyniHEn4wwrK+vKhUqf3J&#10;feBxnTpGJS6WSkKf0lhyHtserYozP6Kj27cPViWyoeM6qBOVW8NzIe65VYOjD70a8anHdr8+WGqZ&#10;ima12m93XR+eTf46fr2/bYyU11eZeASWcEp/YTjjEzrUxNT4g9ORGfJ3t2JBWVLzjMQ5UmQFqUbC&#10;PH9YAK8r/n9F/QtQSwMEFAAAAAgAh07iQHVEb8QuAgAAVwQAAA4AAABkcnMvZTJvRG9jLnhtbK1U&#10;S27bMBDdF+gdCO5ryS4aOIblwI3hooDRBHA/a5qiLAH8gaQtuQdob9BVN9n3XD5HH/VxirSLLLqh&#10;hpzhm3mPM5rfNEqSo3C+Mjqj41FKidDc5JXeZ/TTx/WrKSU+MJ0zabTI6El4erN4+WJe25mYmNLI&#10;XDgCEO1ntc1oGYKdJYnnpVDMj4wVGs7COMUCtm6f5I7VQFcymaTpVVIbl1tnuPAep6vOSXtE9xxA&#10;UxQVFyvDD0ro0KE6IVkAJV9W1tNFW21RCB7uisKLQGRGwTS0K5LA3sU1WczZbO+YLSvel8CeU8IT&#10;TopVGkkvUCsWGDm46i8oVXFnvCnCiBuVdERaRcBinD7RZlsyK1oukNrbi+j+/8HyD8d7R6o8o9eU&#10;aKbw4Ocf388/f50fvpHrKE9t/QxRW4u40Lw1DZpmOPc4jKybwqn4BR8CP8Q9XcQVTSA8XppOptMU&#10;Lg7fsAF+8njdOh/eCaNINDLq8HqtqOy48aELHUJiNm3WlZTtC0pN6oxevX6TthcuHoBLjRyRRFds&#10;tEKza3pmO5OfQMyZrjO85esKyTfMh3vm0AooGMMS7rAU0iCJ6S1KSuO+/us8xmdUsM/4UlKjuTKq&#10;MUuUyPcabwfIMBhuMHaDoQ/q1qBbxxhDy1sTF1yQg1k4o75ghpYxC1xMc1SS0d1g3oauwTGDXCyX&#10;bRC6zbKw0VvLI3SUz9vlIUDCVtkoS6dFrxb6rX2bfjZiQ/+5b6Me/weL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BLIuxzZAAAADQEAAA8AAAAAAAAAAQAgAAAAIgAAAGRycy9kb3ducmV2LnhtbFBL&#10;AQIUABQAAAAIAIdO4kB1RG/ELgIAAFcEAAAOAAAAAAAAAAEAIAAAACgBAABkcnMvZTJvRG9jLnht&#10;bFBLBQYAAAAABgAGAFkBAADIBQAAAAA=&#10;">
              <v:fill on="f" focussize="0,0"/>
              <v:stroke on="f" weight="0.5pt"/>
              <v:imagedata o:title=""/>
              <o:lock v:ext="edit" aspectratio="f"/>
              <v:textbox inset="0mm,0mm,0mm,0mm" style="layout-flow:vertical-ideographic;mso-fit-shape-to-text:t;">
                <w:txbxContent>
                  <w:p>
                    <w:pPr>
                      <w:pStyle w:val="62"/>
                    </w:pPr>
                    <w:r>
                      <w:fldChar w:fldCharType="begin"/>
                    </w:r>
                    <w:r>
                      <w:instrText xml:space="preserve"> STYLEREF  标准文件_文件编号 \* MERGEFORMAT </w:instrText>
                    </w:r>
                    <w:r>
                      <w:fldChar w:fldCharType="separate"/>
                    </w:r>
                    <w:r>
                      <w:t>DB 43/T XXXX—2023</w:t>
                    </w:r>
                    <w:r>
                      <w:fldChar w:fldCharType="end"/>
                    </w:r>
                  </w:p>
                </w:txbxContent>
              </v:textbox>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XXXX—2023</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43/T XXXX—2023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1" w:cryptProviderType="rsaAES" w:cryptAlgorithmClass="hash" w:cryptAlgorithmType="typeAny" w:cryptAlgorithmSid="14" w:cryptSpinCount="100000" w:hash="mC6fEK/z/IHS0BlTg53Bq+syv043E/gYauNPs1+sVPYZBWz3QYjr+emTO5FuTrLiEe4Fs1fJ6P/rDq2HZGYWZQ==" w:salt="NERfy1VILNI6ZMCFpMbcL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mOGZlMWFlYzcwOGQyYzllMzk3NmQwN2U2MDE2NGEifQ=="/>
  </w:docVars>
  <w:rsids>
    <w:rsidRoot w:val="00663865"/>
    <w:rsid w:val="0000040A"/>
    <w:rsid w:val="00000A94"/>
    <w:rsid w:val="00001972"/>
    <w:rsid w:val="00001D9A"/>
    <w:rsid w:val="00007B3A"/>
    <w:rsid w:val="000107E0"/>
    <w:rsid w:val="00011FDE"/>
    <w:rsid w:val="00012FFD"/>
    <w:rsid w:val="00014162"/>
    <w:rsid w:val="00014340"/>
    <w:rsid w:val="00016A9C"/>
    <w:rsid w:val="00022184"/>
    <w:rsid w:val="00022700"/>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D76A5"/>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2FEA"/>
    <w:rsid w:val="001B71D0"/>
    <w:rsid w:val="001B71EE"/>
    <w:rsid w:val="001C04A8"/>
    <w:rsid w:val="001C2C03"/>
    <w:rsid w:val="001C42F7"/>
    <w:rsid w:val="001C49E5"/>
    <w:rsid w:val="001C680C"/>
    <w:rsid w:val="001C7B30"/>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411C"/>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76CFA"/>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7BC0"/>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4B88"/>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0F7C"/>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3865"/>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B7F0E"/>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671D"/>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41BC"/>
    <w:rsid w:val="00865ACA"/>
    <w:rsid w:val="00865D28"/>
    <w:rsid w:val="00865F85"/>
    <w:rsid w:val="00867C10"/>
    <w:rsid w:val="00870439"/>
    <w:rsid w:val="00870DA1"/>
    <w:rsid w:val="00883F93"/>
    <w:rsid w:val="00884DB3"/>
    <w:rsid w:val="00885A9D"/>
    <w:rsid w:val="008864F6"/>
    <w:rsid w:val="0089049D"/>
    <w:rsid w:val="008914FB"/>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57EE"/>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5FDC"/>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478A"/>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002"/>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4A9E"/>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E8F"/>
    <w:rsid w:val="00C25FE2"/>
    <w:rsid w:val="00C26B53"/>
    <w:rsid w:val="00C279B2"/>
    <w:rsid w:val="00C33E50"/>
    <w:rsid w:val="00C34C20"/>
    <w:rsid w:val="00C35A3E"/>
    <w:rsid w:val="00C42130"/>
    <w:rsid w:val="00C423A4"/>
    <w:rsid w:val="00C44BF5"/>
    <w:rsid w:val="00C45694"/>
    <w:rsid w:val="00C521D6"/>
    <w:rsid w:val="00C55232"/>
    <w:rsid w:val="00C553A4"/>
    <w:rsid w:val="00C55A06"/>
    <w:rsid w:val="00C55D03"/>
    <w:rsid w:val="00C601BC"/>
    <w:rsid w:val="00C6329F"/>
    <w:rsid w:val="00C63340"/>
    <w:rsid w:val="00C643F9"/>
    <w:rsid w:val="00C64E95"/>
    <w:rsid w:val="00C71372"/>
    <w:rsid w:val="00C72410"/>
    <w:rsid w:val="00C7287F"/>
    <w:rsid w:val="00C734E5"/>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0ED1"/>
    <w:rsid w:val="00CB15B4"/>
    <w:rsid w:val="00CB1A42"/>
    <w:rsid w:val="00CB1B0C"/>
    <w:rsid w:val="00CB2C0B"/>
    <w:rsid w:val="00CB517D"/>
    <w:rsid w:val="00CB5838"/>
    <w:rsid w:val="00CB73D9"/>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B7EEE"/>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0EF1"/>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3AF"/>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96A10D4"/>
    <w:rsid w:val="24525B8A"/>
    <w:rsid w:val="378F6E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glossaryDocument" Target="glossary/document.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2.jpeg"/><Relationship Id="rId23" Type="http://schemas.openxmlformats.org/officeDocument/2006/relationships/image" Target="media/image1.tiff"/><Relationship Id="rId22" Type="http://schemas.openxmlformats.org/officeDocument/2006/relationships/theme" Target="theme/theme1.xml"/><Relationship Id="rId21" Type="http://schemas.openxmlformats.org/officeDocument/2006/relationships/footer" Target="footer8.xml"/><Relationship Id="rId20" Type="http://schemas.openxmlformats.org/officeDocument/2006/relationships/footer" Target="footer7.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header" Target="header8.xml"/><Relationship Id="rId17" Type="http://schemas.openxmlformats.org/officeDocument/2006/relationships/footer" Target="footer6.xml"/><Relationship Id="rId16" Type="http://schemas.openxmlformats.org/officeDocument/2006/relationships/footer" Target="footer5.xml"/><Relationship Id="rId15" Type="http://schemas.openxmlformats.org/officeDocument/2006/relationships/header" Target="header7.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928A127F98E48E7801FE146F199458D"/>
        <w:style w:val=""/>
        <w:category>
          <w:name w:val="常规"/>
          <w:gallery w:val="placeholder"/>
        </w:category>
        <w:types>
          <w:type w:val="bbPlcHdr"/>
        </w:types>
        <w:behaviors>
          <w:behavior w:val="content"/>
        </w:behaviors>
        <w:description w:val=""/>
        <w:guid w:val="{C2708D67-9FE8-4152-B4E0-764D502541A3}"/>
      </w:docPartPr>
      <w:docPartBody>
        <w:p>
          <w:pPr>
            <w:pStyle w:val="5"/>
          </w:pPr>
          <w:r>
            <w:rPr>
              <w:rStyle w:val="4"/>
              <w:rFonts w:hint="eastAsia"/>
            </w:rPr>
            <w:t>单击或点击此处输入文字。</w:t>
          </w:r>
        </w:p>
      </w:docPartBody>
    </w:docPart>
    <w:docPart>
      <w:docPartPr>
        <w:name w:val="D40E6080E6DD402D817CAA569F115328"/>
        <w:style w:val=""/>
        <w:category>
          <w:name w:val="常规"/>
          <w:gallery w:val="placeholder"/>
        </w:category>
        <w:types>
          <w:type w:val="bbPlcHdr"/>
        </w:types>
        <w:behaviors>
          <w:behavior w:val="content"/>
        </w:behaviors>
        <w:description w:val=""/>
        <w:guid w:val="{03B11926-B3EF-43D7-BBDD-568A3B0F9DB4}"/>
      </w:docPartPr>
      <w:docPartBody>
        <w:p>
          <w:pPr>
            <w:pStyle w:val="6"/>
          </w:pPr>
          <w:r>
            <w:rPr>
              <w:rStyle w:val="4"/>
              <w:rFonts w:hint="eastAsia"/>
            </w:rPr>
            <w:t>选择一项。</w:t>
          </w:r>
        </w:p>
      </w:docPartBody>
    </w:docPart>
    <w:docPart>
      <w:docPartPr>
        <w:name w:val="E6CCB4E03B644D28A04BBABAFF6438E6"/>
        <w:style w:val=""/>
        <w:category>
          <w:name w:val="常规"/>
          <w:gallery w:val="placeholder"/>
        </w:category>
        <w:types>
          <w:type w:val="bbPlcHdr"/>
        </w:types>
        <w:behaviors>
          <w:behavior w:val="content"/>
        </w:behaviors>
        <w:description w:val=""/>
        <w:guid w:val="{FD1741D5-5C39-4001-9D73-9BF93431E7C5}"/>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8F7"/>
    <w:rsid w:val="006B53AF"/>
    <w:rsid w:val="009D28F7"/>
    <w:rsid w:val="00C852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1928A127F98E48E7801FE146F199458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40E6080E6DD402D817CAA569F115328"/>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6CCB4E03B644D28A04BBABAFF6438E6"/>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15ED1D-D9D8-44E1-AFD6-30256199EBD0}">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11</Pages>
  <Words>6831</Words>
  <Characters>7183</Characters>
  <Lines>61</Lines>
  <Paragraphs>17</Paragraphs>
  <TotalTime>0</TotalTime>
  <ScaleCrop>false</ScaleCrop>
  <LinksUpToDate>false</LinksUpToDate>
  <CharactersWithSpaces>7291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2023-04-02T14:48:00Z</dcterms:created>
  <dc:creator>lenovo</dc:creator>
  <dc:description>&lt;config cover="true" show_menu="true" version="1.0.0" doctype="SDKXY"&gt;_x000d_
&lt;/config&gt;</dc:description>
  <cp:lastModifiedBy>陈诚</cp:lastModifiedBy>
  <cp:lastPrinted>2023-04-02T15:34:00Z</cp:lastPrinted>
  <dcterms:modified xsi:type="dcterms:W3CDTF">2023-04-25T03:22:21Z</dcterms:modified>
  <dc:title>地方标准</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2052-11.1.0.14036</vt:lpwstr>
  </property>
  <property fmtid="{D5CDD505-2E9C-101B-9397-08002B2CF9AE}" pid="15" name="ICV">
    <vt:lpwstr>78E9588FCF6C4CA8BE60BC2026C88F61_12</vt:lpwstr>
  </property>
</Properties>
</file>