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framePr w:wrap="around"/>
        <w:rPr>
          <w:rFonts w:ascii="Times New Roman"/>
        </w:rPr>
      </w:pPr>
      <w:r>
        <w:rPr>
          <w:rFonts w:ascii="Times New Roman"/>
        </w:rPr>
        <w:t>ICS</w:t>
      </w:r>
    </w:p>
    <w:tbl>
      <w:tblPr>
        <w:tblStyle w:val="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40"/>
              <w:framePr w:wrap="around"/>
              <w:rPr>
                <w:rFonts w:ascii="Times New Roman"/>
              </w:rPr>
            </w:pPr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6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6192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iuL+zVAAAABwEAAA8AAAAAAAAAAQAg&#10;AAAAIgAAAGRycy9kb3ducmV2LnhtbFBLAQIUABQAAAAIAIdO4kAXp8OdEQIAAC4EAAAOAAAAAAAA&#10;AAEAIAAAACQBAABkcnMvZTJvRG9jLnhtbFBLBQYAAAAABgAGAFkBAACn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0" w:name="BAH"/>
            <w:r>
              <w:rPr>
                <w:rFonts w:ascii="Times New Roman"/>
              </w:rPr>
              <w:instrText xml:space="preserve"> FORMTEXT </w:instrText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     </w:t>
            </w:r>
            <w:r>
              <w:rPr>
                <w:rFonts w:ascii="Times New Roman"/>
              </w:rPr>
              <w:fldChar w:fldCharType="end"/>
            </w:r>
            <w:bookmarkEnd w:id="0"/>
          </w:p>
        </w:tc>
      </w:tr>
    </w:tbl>
    <w:p>
      <w:pPr>
        <w:pStyle w:val="36"/>
        <w:framePr w:wrap="around"/>
      </w:pPr>
      <w:bookmarkStart w:id="1" w:name="c6"/>
      <w:r>
        <w:t>DB43</w:t>
      </w:r>
    </w:p>
    <w:bookmarkEnd w:id="1"/>
    <w:p>
      <w:pPr>
        <w:pStyle w:val="37"/>
        <w:framePr w:w="9562" w:wrap="around" w:x="1459" w:y="2265"/>
        <w:rPr>
          <w:rFonts w:ascii="Times New Roman" w:hAnsi="Times New Roman"/>
        </w:rPr>
      </w:pPr>
      <w:r>
        <w:rPr>
          <w:rFonts w:ascii="Times New Roman" w:hAnsi="Times New Roman"/>
        </w:rPr>
        <w:t>湖南省地方标准</w:t>
      </w:r>
    </w:p>
    <w:p>
      <w:pPr>
        <w:pStyle w:val="22"/>
        <w:framePr w:wrap="around"/>
        <w:rPr>
          <w:rFonts w:hint="eastAsia" w:ascii="Times New Roman" w:eastAsia="黑体"/>
          <w:lang w:eastAsia="zh-CN"/>
        </w:rPr>
      </w:pPr>
      <w:r>
        <w:rPr>
          <w:rFonts w:ascii="Times New Roman"/>
        </w:rPr>
        <w:t>DB43/T—202</w:t>
      </w:r>
      <w:r>
        <w:rPr>
          <w:rFonts w:hint="eastAsia" w:ascii="Times New Roman"/>
          <w:lang w:val="en-US" w:eastAsia="zh-CN"/>
        </w:rPr>
        <w:t>3</w:t>
      </w:r>
    </w:p>
    <w:tbl>
      <w:tblPr>
        <w:tblStyle w:val="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30"/>
              <w:framePr w:wrap="around"/>
              <w:rPr>
                <w:rFonts w:ascii="Times New Roman"/>
              </w:rPr>
            </w:pPr>
            <w:bookmarkStart w:id="2" w:name="DT"/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5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T" o:spid="_x0000_s1026" o:spt="1" style="position:absolute;left:0pt;margin-left:372.8pt;margin-top:2.7pt;height:18pt;width:90pt;z-index:-251657216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5g8svWAAAACAEAAA8AAAAAAAAAAQAgAAAA&#10;IgAAAGRycy9kb3ducmV2LnhtbFBLAQIUABQAAAAIAIdO4kCPY76WDQIAAC4EAAAOAAAAAAAAAAEA&#10;IAAAACUBAABkcnMvZTJvRG9jLnhtbFBLBQYAAAAABgAGAFkBAACk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/>
              </w:rP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</w:rPr>
              <w:instrText xml:space="preserve"> FORMTEXT </w:instrText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     </w:t>
            </w:r>
            <w:r>
              <w:rPr>
                <w:rFonts w:ascii="Times New Roman"/>
              </w:rPr>
              <w:fldChar w:fldCharType="end"/>
            </w:r>
            <w:bookmarkEnd w:id="2"/>
          </w:p>
        </w:tc>
      </w:tr>
    </w:tbl>
    <w:p>
      <w:pPr>
        <w:pStyle w:val="22"/>
        <w:framePr w:wrap="around"/>
        <w:rPr>
          <w:rFonts w:ascii="Times New Roman"/>
        </w:rPr>
      </w:pPr>
    </w:p>
    <w:p>
      <w:pPr>
        <w:pStyle w:val="22"/>
        <w:framePr w:wrap="around"/>
        <w:rPr>
          <w:rFonts w:ascii="Times New Roman"/>
        </w:rPr>
      </w:pPr>
    </w:p>
    <w:p>
      <w:pPr>
        <w:pStyle w:val="31"/>
        <w:framePr w:wrap="around"/>
        <w:ind w:firstLine="240" w:firstLineChars="50"/>
        <w:rPr>
          <w:rFonts w:ascii="Times New Roman" w:cstheme="minorBidi"/>
          <w:color w:val="000000"/>
          <w:sz w:val="48"/>
          <w:szCs w:val="21"/>
        </w:rPr>
      </w:pPr>
      <w:r>
        <w:rPr>
          <w:rFonts w:hint="eastAsia" w:ascii="Times New Roman" w:cstheme="minorBidi"/>
          <w:color w:val="000000"/>
          <w:sz w:val="48"/>
          <w:szCs w:val="21"/>
        </w:rPr>
        <w:t>藤蕹大棚越冬留种繁育技术规程</w:t>
      </w:r>
    </w:p>
    <w:tbl>
      <w:tblPr>
        <w:tblStyle w:val="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34"/>
              <w:framePr w:wrap="around"/>
              <w:rPr>
                <w:rFonts w:ascii="Times New Roman"/>
                <w:sz w:val="36"/>
                <w:szCs w:val="36"/>
              </w:rPr>
            </w:pPr>
            <w:bookmarkStart w:id="3" w:name="YZBS"/>
            <w:r>
              <w:rPr>
                <w:rFonts w:ascii="Times New Roman"/>
              </w:rPr>
              <w:t>Technical regulations for Ipomoea squatica Forsk  overwintering  seed  reservation and breeding  in  plastic  house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35"/>
              <w:framePr w:wrap="around"/>
              <w:rPr>
                <w:rFonts w:ascii="Times New Roman"/>
                <w:b/>
                <w:sz w:val="28"/>
              </w:rPr>
            </w:pPr>
          </w:p>
        </w:tc>
      </w:tr>
    </w:tbl>
    <w:p>
      <w:pPr>
        <w:pStyle w:val="33"/>
        <w:framePr w:wrap="around"/>
        <w:rPr>
          <w:rFonts w:ascii="Times New Roman"/>
        </w:rPr>
      </w:pPr>
      <w:r>
        <w:rPr>
          <w:rFonts w:ascii="Times New Roman"/>
        </w:rP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     </w:t>
      </w:r>
      <w:r>
        <w:rPr>
          <w:rFonts w:ascii="Times New Roman"/>
        </w:rPr>
        <w:fldChar w:fldCharType="end"/>
      </w:r>
      <w:bookmarkEnd w:id="3"/>
    </w:p>
    <w:tbl>
      <w:tblPr>
        <w:tblStyle w:val="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34"/>
              <w:framePr w:wrap="around"/>
              <w:rPr>
                <w:rFonts w:ascii="Times New Roman"/>
              </w:rPr>
            </w:pPr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12700"/>
                      <wp:wrapNone/>
                      <wp:docPr id="4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45.15pt;height:20pt;width:150pt;z-index:-251653120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Fia6S1QAAAAoBAAAPAAAAAAAAAAEAIAAAACIA&#10;AABkcnMvZG93bnJldi54bWxQSwECFAAUAAAACACHTuJAQa7otwwCAAAuBAAADgAAAAAAAAABACAA&#10;AAAkAQAAZHJzL2Uyb0RvYy54bWxQSwUGAAAAAAYABgBZAQAAog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3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LB" o:spid="_x0000_s1026" o:spt="1" style="position:absolute;left:0pt;margin-left:193.3pt;margin-top:20.15pt;height:24pt;width:100pt;z-index:-251654144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+GL5dYAAAAJAQAADwAAAAAAAAABACAAAAAi&#10;AAAAZHJzL2Rvd25yZXYueG1sUEsBAhQAFAAAAAgAh07iQHWGbS4MAgAALgQAAA4AAAAAAAAAAQAg&#10;AAAAJQEAAGRycy9lMm9Eb2MueG1sUEsFBgAAAAAGAAYAWQEAAKM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Times New Roman"/>
              </w:rPr>
              <w:t>（征求意见稿）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35"/>
              <w:framePr w:wrap="around"/>
              <w:rPr>
                <w:rFonts w:ascii="Times New Roman"/>
              </w:rPr>
            </w:pPr>
            <w:bookmarkStart w:id="4" w:name="WCRQ"/>
            <w:r>
              <w:rPr>
                <w:rFonts w:ascii="Times New Roman"/>
              </w:rP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</w:rPr>
              <w:instrText xml:space="preserve"> FORMTEXT </w:instrText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     </w:t>
            </w:r>
            <w:r>
              <w:rPr>
                <w:rFonts w:ascii="Times New Roman"/>
              </w:rPr>
              <w:fldChar w:fldCharType="end"/>
            </w:r>
            <w:bookmarkEnd w:id="4"/>
          </w:p>
        </w:tc>
      </w:tr>
    </w:tbl>
    <w:p>
      <w:pPr>
        <w:pStyle w:val="41"/>
        <w:framePr w:wrap="around" w:hAnchor="page" w:x="1365" w:y="14108"/>
      </w:pPr>
      <w:r>
        <w:rPr>
          <w:rFonts w:hint="eastAsia"/>
        </w:rPr>
        <w:t>2023</w:t>
      </w:r>
      <w:r>
        <w:t xml:space="preserve">- </w:t>
      </w:r>
      <w: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r>
        <w:t xml:space="preserve"> - </w:t>
      </w:r>
      <w:bookmarkStart w:id="5" w:name="FD"/>
      <w: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5"/>
      <w:r>
        <w:t>发布</w:t>
      </w:r>
      <w: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0" b="0"/>
                <wp:wrapNone/>
                <wp:docPr id="2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0.05pt;margin-top:728.5pt;height:0pt;width:481.9pt;mso-position-vertical-relative:page;z-index:251661312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JYdrPNYAAAALAQAADwAAAAAAAAABACAAAAAiAAAAZHJz&#10;L2Rvd25yZXYueG1sUEsBAhQAFAAAAAgAh07iQAgpY7rNAQAArQMAAA4AAAAAAAAAAQAgAAAAJQ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42"/>
        <w:framePr w:wrap="around" w:hAnchor="page" w:x="6851" w:y="14070"/>
      </w:pPr>
      <w:r>
        <w:rPr>
          <w:rFonts w:hint="eastAsia"/>
        </w:rPr>
        <w:t>2023</w:t>
      </w:r>
      <w:r>
        <w:t xml:space="preserve">- </w:t>
      </w:r>
      <w:bookmarkStart w:id="6" w:name="SM"/>
      <w: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6"/>
      <w:r>
        <w:t xml:space="preserve"> - </w:t>
      </w:r>
      <w:bookmarkStart w:id="7" w:name="SD"/>
      <w: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7"/>
      <w:r>
        <w:t>实施</w:t>
      </w:r>
    </w:p>
    <w:p>
      <w:pPr>
        <w:pStyle w:val="38"/>
        <w:framePr w:wrap="around"/>
        <w:rPr>
          <w:rFonts w:ascii="Times New Roman"/>
        </w:rPr>
      </w:pPr>
      <w:r>
        <w:rPr>
          <w:rFonts w:ascii="Times New Roman"/>
        </w:rPr>
        <w:t>湖南省市场监督管理局   </w:t>
      </w:r>
      <w:r>
        <w:rPr>
          <w:rStyle w:val="29"/>
          <w:rFonts w:ascii="Times New Roman"/>
        </w:rPr>
        <w:t>发布</w:t>
      </w:r>
    </w:p>
    <w:p>
      <w:pPr>
        <w:pStyle w:val="15"/>
        <w:rPr>
          <w:rFonts w:ascii="Times New Roman"/>
        </w:rPr>
        <w:sectPr>
          <w:headerReference r:id="rId3" w:type="even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0" r="0" b="0"/>
                <wp:wrapNone/>
                <wp:docPr id="1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-0.05pt;margin-top:184.25pt;height:0pt;width:481.9pt;z-index:251661312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EJB4l/XAAAACQEAAA8AAAAAAAAAAQAgAAAAIgAAAGRy&#10;cy9kb3ducmV2LnhtbFBLAQIUABQAAAAIAIdO4kB/TaiWzQEAAK0DAAAOAAAAAAAAAAEAIAAAACY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/>
        </w:rPr>
      </w:pPr>
      <w:bookmarkStart w:id="8" w:name="_Toc67478932"/>
    </w:p>
    <w:sdt>
      <w:sdtPr>
        <w:rPr>
          <w:rFonts w:ascii="宋体" w:hAnsi="宋体" w:eastAsia="宋体" w:cstheme="minorBidi"/>
          <w:kern w:val="2"/>
          <w:sz w:val="28"/>
          <w:szCs w:val="32"/>
          <w:lang w:val="en-US" w:eastAsia="zh-CN" w:bidi="ar-SA"/>
        </w:rPr>
        <w:id w:val="147451173"/>
        <w15:color w:val="DBDBDB"/>
        <w:docPartObj>
          <w:docPartGallery w:val="Table of Contents"/>
          <w:docPartUnique/>
        </w:docPartObj>
      </w:sdtPr>
      <w:sdtEndPr>
        <w:rPr>
          <w:rFonts w:ascii="Times New Roman" w:hAnsiTheme="minorHAnsi" w:eastAsiaTheme="minorEastAsia" w:cstheme="minorBidi"/>
          <w:kern w:val="2"/>
          <w:sz w:val="21"/>
          <w:szCs w:val="22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eastAsia="宋体"/>
              <w:sz w:val="28"/>
              <w:szCs w:val="32"/>
              <w:lang w:eastAsia="zh-CN"/>
            </w:rPr>
          </w:pPr>
          <w:r>
            <w:rPr>
              <w:rFonts w:ascii="宋体" w:hAnsi="宋体" w:eastAsia="宋体"/>
              <w:sz w:val="28"/>
              <w:szCs w:val="32"/>
            </w:rPr>
            <w:t>目</w:t>
          </w:r>
          <w:r>
            <w:rPr>
              <w:rFonts w:hint="eastAsia" w:ascii="宋体" w:hAnsi="宋体" w:eastAsia="宋体"/>
              <w:sz w:val="28"/>
              <w:szCs w:val="32"/>
              <w:lang w:val="en-US" w:eastAsia="zh-CN"/>
            </w:rPr>
            <w:t xml:space="preserve">   次</w:t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TOC \o "1-1" \h \u </w:instrText>
          </w:r>
          <w:r>
            <w:rPr>
              <w:rFonts w:ascii="Times New Roman"/>
            </w:rPr>
            <w:fldChar w:fldCharType="separate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_Toc24638 </w:instrText>
          </w:r>
          <w:r>
            <w:rPr>
              <w:rFonts w:ascii="Times New Roman"/>
            </w:rPr>
            <w:fldChar w:fldCharType="separate"/>
          </w:r>
          <w:r>
            <w:rPr>
              <w:rFonts w:ascii="Times New Roman"/>
            </w:rPr>
            <w:t>前  言</w:t>
          </w:r>
          <w:r>
            <w:tab/>
          </w:r>
          <w:r>
            <w:fldChar w:fldCharType="begin"/>
          </w:r>
          <w:r>
            <w:instrText xml:space="preserve"> PAGEREF _Toc24638 \h </w:instrText>
          </w:r>
          <w:r>
            <w:fldChar w:fldCharType="separate"/>
          </w:r>
          <w:r>
            <w:t>III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_Toc2633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 w:ascii="黑体" w:hAnsi="Times New Roman" w:eastAsia="黑体"/>
              <w:i w:val="0"/>
              <w:szCs w:val="21"/>
            </w:rPr>
            <w:t xml:space="preserve">1 </w:t>
          </w:r>
          <w:r>
            <w:rPr>
              <w:rFonts w:ascii="Times New Roman"/>
            </w:rPr>
            <w:t>范围</w:t>
          </w:r>
          <w:r>
            <w:tab/>
          </w:r>
          <w:r>
            <w:fldChar w:fldCharType="begin"/>
          </w:r>
          <w:r>
            <w:instrText xml:space="preserve"> PAGEREF _Toc2633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_Toc19341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 w:ascii="黑体" w:hAnsi="Times New Roman" w:eastAsia="黑体"/>
              <w:bCs/>
              <w:i w:val="0"/>
              <w:szCs w:val="21"/>
            </w:rPr>
            <w:t xml:space="preserve">2 </w:t>
          </w:r>
          <w:r>
            <w:rPr>
              <w:rFonts w:ascii="Times New Roman"/>
            </w:rPr>
            <w:t>规范性引用文件</w:t>
          </w:r>
          <w:r>
            <w:tab/>
          </w:r>
          <w:r>
            <w:fldChar w:fldCharType="begin"/>
          </w:r>
          <w:r>
            <w:instrText xml:space="preserve"> PAGEREF _Toc19341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_Toc20729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 w:ascii="黑体" w:hAnsi="Times New Roman" w:eastAsia="黑体"/>
              <w:bCs/>
              <w:i w:val="0"/>
              <w:szCs w:val="21"/>
            </w:rPr>
            <w:t xml:space="preserve">3 </w:t>
          </w:r>
          <w:r>
            <w:rPr>
              <w:rFonts w:hint="eastAsia"/>
            </w:rPr>
            <w:t>术语和定义</w:t>
          </w:r>
          <w:r>
            <w:tab/>
          </w:r>
          <w:r>
            <w:fldChar w:fldCharType="begin"/>
          </w:r>
          <w:r>
            <w:instrText xml:space="preserve"> PAGEREF _Toc20729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_Toc16376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 w:ascii="黑体" w:hAnsi="Times New Roman" w:eastAsia="黑体"/>
              <w:i w:val="0"/>
              <w:szCs w:val="21"/>
            </w:rPr>
            <w:t xml:space="preserve">4 </w:t>
          </w:r>
          <w:r>
            <w:rPr>
              <w:rFonts w:hint="eastAsia"/>
            </w:rPr>
            <w:t>品种的选择</w:t>
          </w:r>
          <w:r>
            <w:tab/>
          </w:r>
          <w:r>
            <w:fldChar w:fldCharType="begin"/>
          </w:r>
          <w:r>
            <w:instrText xml:space="preserve"> PAGEREF _Toc16376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_Toc9319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 w:ascii="黑体" w:hAnsi="Times New Roman" w:eastAsia="黑体"/>
              <w:i w:val="0"/>
              <w:szCs w:val="21"/>
            </w:rPr>
            <w:t xml:space="preserve">5 </w:t>
          </w:r>
          <w:r>
            <w:rPr>
              <w:rFonts w:hint="eastAsia"/>
            </w:rPr>
            <w:t>留种棚的</w:t>
          </w:r>
          <w:r>
            <w:rPr>
              <w:rFonts w:hint="eastAsia" w:ascii="Times New Roman"/>
            </w:rPr>
            <w:t>准备</w:t>
          </w:r>
          <w:r>
            <w:tab/>
          </w:r>
          <w:r>
            <w:fldChar w:fldCharType="begin"/>
          </w:r>
          <w:r>
            <w:instrText xml:space="preserve"> PAGEREF _Toc9319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_Toc5452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 w:ascii="黑体" w:hAnsi="Times New Roman" w:eastAsia="黑体"/>
              <w:i w:val="0"/>
              <w:szCs w:val="21"/>
            </w:rPr>
            <w:t xml:space="preserve">6 </w:t>
          </w:r>
          <w:r>
            <w:rPr>
              <w:rFonts w:hint="eastAsia"/>
            </w:rPr>
            <w:t>种藤留护</w:t>
          </w:r>
          <w:r>
            <w:tab/>
          </w:r>
          <w:r>
            <w:fldChar w:fldCharType="begin"/>
          </w:r>
          <w:r>
            <w:instrText xml:space="preserve"> PAGEREF _Toc5452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_Toc4278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/>
            </w:rPr>
            <w:t>7越冬管理</w:t>
          </w:r>
          <w:r>
            <w:tab/>
          </w:r>
          <w:r>
            <w:fldChar w:fldCharType="begin"/>
          </w:r>
          <w:r>
            <w:instrText xml:space="preserve"> PAGEREF _Toc4278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_Toc31261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 w:ascii="Times New Roman"/>
            </w:rPr>
            <w:t>8返青期管理</w:t>
          </w:r>
          <w:r>
            <w:tab/>
          </w:r>
          <w:r>
            <w:fldChar w:fldCharType="begin"/>
          </w:r>
          <w:r>
            <w:instrText xml:space="preserve"> PAGEREF _Toc31261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_Toc6438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 w:ascii="Times New Roman"/>
            </w:rPr>
            <w:t>9种藤扦插</w:t>
          </w:r>
          <w:r>
            <w:tab/>
          </w:r>
          <w:r>
            <w:fldChar w:fldCharType="begin"/>
          </w:r>
          <w:r>
            <w:instrText xml:space="preserve"> PAGEREF _Toc6438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_Toc8127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 w:ascii="Times New Roman"/>
            </w:rPr>
            <w:t>10扦插后管理</w:t>
          </w:r>
          <w:r>
            <w:tab/>
          </w:r>
          <w:r>
            <w:fldChar w:fldCharType="begin"/>
          </w:r>
          <w:r>
            <w:instrText xml:space="preserve"> PAGEREF _Toc8127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pStyle w:val="52"/>
            <w:keepNext w:val="0"/>
            <w:keepLines w:val="0"/>
            <w:pageBreakBefore w:val="0"/>
            <w:tabs>
              <w:tab w:val="right" w:leader="dot" w:pos="935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textAlignment w:val="auto"/>
          </w:pPr>
          <w:r>
            <w:rPr>
              <w:rFonts w:ascii="Times New Roman"/>
            </w:rPr>
            <w:fldChar w:fldCharType="begin"/>
          </w:r>
          <w:r>
            <w:rPr>
              <w:rFonts w:ascii="Times New Roman"/>
            </w:rPr>
            <w:instrText xml:space="preserve"> HYPERLINK \l _Toc16520 </w:instrText>
          </w:r>
          <w:r>
            <w:rPr>
              <w:rFonts w:ascii="Times New Roman"/>
            </w:rPr>
            <w:fldChar w:fldCharType="separate"/>
          </w:r>
          <w:r>
            <w:rPr>
              <w:rFonts w:hint="eastAsia" w:ascii="Times New Roman"/>
            </w:rPr>
            <w:t>11</w:t>
          </w:r>
          <w:r>
            <w:rPr>
              <w:rFonts w:ascii="Times New Roman"/>
            </w:rPr>
            <w:t>生产档案</w:t>
          </w:r>
          <w:r>
            <w:tab/>
          </w:r>
          <w:r>
            <w:fldChar w:fldCharType="begin"/>
          </w:r>
          <w:r>
            <w:instrText xml:space="preserve"> PAGEREF _Toc16520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Times New Roman"/>
            </w:rPr>
            <w:fldChar w:fldCharType="end"/>
          </w:r>
        </w:p>
        <w:p>
          <w:pPr>
            <w:keepNext w:val="0"/>
            <w:keepLines w:val="0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80" w:lineRule="exact"/>
            <w:ind w:firstLine="420" w:firstLineChars="200"/>
            <w:textAlignment w:val="auto"/>
            <w:rPr>
              <w:rFonts w:ascii="Times New Roman"/>
            </w:rPr>
          </w:pPr>
          <w:r>
            <w:rPr>
              <w:rFonts w:ascii="Times New Roman"/>
            </w:rPr>
            <w:fldChar w:fldCharType="end"/>
          </w:r>
        </w:p>
      </w:sdtContent>
    </w:sdt>
    <w:p>
      <w:pPr>
        <w:pStyle w:val="6"/>
        <w:spacing w:before="78" w:after="78"/>
        <w:rPr>
          <w:rFonts w:ascii="Times New Roman"/>
        </w:rPr>
      </w:pPr>
    </w:p>
    <w:p>
      <w:pPr>
        <w:pStyle w:val="39"/>
        <w:rPr>
          <w:rFonts w:ascii="Times New Roman"/>
        </w:rPr>
      </w:pPr>
      <w:bookmarkStart w:id="9" w:name="_Toc24638"/>
      <w:bookmarkStart w:id="10" w:name="_Toc90565665"/>
      <w:bookmarkStart w:id="11" w:name="_Toc67562361"/>
      <w:bookmarkStart w:id="12" w:name="_Toc67479548"/>
      <w:r>
        <w:rPr>
          <w:rFonts w:ascii="Times New Roman"/>
        </w:rPr>
        <w:t>前</w:t>
      </w:r>
      <w:bookmarkStart w:id="13" w:name="BKQY"/>
      <w:r>
        <w:rPr>
          <w:rFonts w:ascii="Times New Roman"/>
        </w:rPr>
        <w:t>  言</w:t>
      </w:r>
      <w:bookmarkEnd w:id="8"/>
      <w:bookmarkEnd w:id="9"/>
      <w:bookmarkEnd w:id="10"/>
      <w:bookmarkEnd w:id="11"/>
      <w:bookmarkEnd w:id="12"/>
      <w:bookmarkEnd w:id="13"/>
    </w:p>
    <w:p>
      <w:pPr>
        <w:pStyle w:val="15"/>
        <w:rPr>
          <w:rFonts w:hAnsi="宋体"/>
        </w:rPr>
      </w:pPr>
      <w:bookmarkStart w:id="14" w:name="StandardName"/>
      <w:bookmarkStart w:id="15" w:name="_Toc98236534"/>
      <w:bookmarkStart w:id="16" w:name="_Toc98237188"/>
      <w:bookmarkStart w:id="17" w:name="_Toc54964947"/>
      <w:bookmarkStart w:id="18" w:name="_Toc55483711"/>
      <w:bookmarkStart w:id="19" w:name="_Toc89265023"/>
      <w:bookmarkStart w:id="20" w:name="_Toc27387430"/>
      <w:r>
        <w:rPr>
          <w:rFonts w:hAnsi="宋体"/>
        </w:rPr>
        <w:t>本</w:t>
      </w:r>
      <w:r>
        <w:rPr>
          <w:rFonts w:hint="eastAsia" w:hAnsi="宋体"/>
        </w:rPr>
        <w:t>文件</w:t>
      </w:r>
      <w:r>
        <w:rPr>
          <w:rFonts w:hAnsi="宋体"/>
        </w:rPr>
        <w:t>按照GB/T 1.1</w:t>
      </w:r>
      <w:r>
        <w:rPr>
          <w:rFonts w:ascii="Times New Roman"/>
        </w:rPr>
        <w:t>～</w:t>
      </w:r>
      <w:r>
        <w:rPr>
          <w:rFonts w:hAnsi="宋体"/>
        </w:rPr>
        <w:t>20</w:t>
      </w:r>
      <w:r>
        <w:rPr>
          <w:rFonts w:hint="eastAsia" w:hAnsi="宋体"/>
        </w:rPr>
        <w:t>20《标准化工作导则 第1部分：标准化文件的结构和起草规程》</w:t>
      </w:r>
      <w:r>
        <w:rPr>
          <w:rFonts w:hAnsi="宋体"/>
        </w:rPr>
        <w:t>的规则起草。</w:t>
      </w:r>
    </w:p>
    <w:p>
      <w:pPr>
        <w:pStyle w:val="15"/>
        <w:rPr>
          <w:rFonts w:hAnsi="宋体"/>
        </w:rPr>
      </w:pPr>
      <w:r>
        <w:rPr>
          <w:rFonts w:hint="eastAsia" w:hAnsi="宋体"/>
        </w:rPr>
        <w:t>请注意本文件的某些内容可能涉及专利。本文件的发布机构不承担识别这些专利的责任。</w:t>
      </w:r>
    </w:p>
    <w:p>
      <w:pPr>
        <w:pStyle w:val="15"/>
        <w:rPr>
          <w:rFonts w:hAnsi="宋体"/>
        </w:rPr>
      </w:pPr>
      <w:r>
        <w:rPr>
          <w:rFonts w:hint="eastAsia" w:hAnsi="宋体"/>
        </w:rPr>
        <w:t>本文件</w:t>
      </w:r>
      <w:r>
        <w:rPr>
          <w:rFonts w:hAnsi="宋体"/>
        </w:rPr>
        <w:t>由</w:t>
      </w:r>
      <w:r>
        <w:rPr>
          <w:rFonts w:hint="eastAsia" w:hAnsi="宋体"/>
        </w:rPr>
        <w:t>湖南省农业农村厅</w:t>
      </w:r>
      <w:r>
        <w:rPr>
          <w:rFonts w:hAnsi="宋体"/>
        </w:rPr>
        <w:t>提出</w:t>
      </w:r>
      <w:r>
        <w:rPr>
          <w:rFonts w:hint="eastAsia" w:hAnsi="宋体"/>
        </w:rPr>
        <w:t>。</w:t>
      </w:r>
    </w:p>
    <w:p>
      <w:pPr>
        <w:pStyle w:val="15"/>
        <w:rPr>
          <w:rFonts w:hAnsi="宋体"/>
        </w:rPr>
      </w:pPr>
      <w:r>
        <w:rPr>
          <w:rFonts w:hint="eastAsia" w:hAnsi="宋体"/>
        </w:rPr>
        <w:t>本文件由湖南省农业标准化技术委员会</w:t>
      </w:r>
      <w:r>
        <w:rPr>
          <w:rFonts w:hAnsi="宋体"/>
        </w:rPr>
        <w:t>归口。</w:t>
      </w:r>
    </w:p>
    <w:p>
      <w:pPr>
        <w:pStyle w:val="15"/>
        <w:rPr>
          <w:rFonts w:hAnsi="宋体"/>
        </w:rPr>
      </w:pPr>
      <w:r>
        <w:rPr>
          <w:rFonts w:hAnsi="宋体"/>
        </w:rPr>
        <w:t>本</w:t>
      </w:r>
      <w:r>
        <w:rPr>
          <w:rFonts w:hint="eastAsia" w:hAnsi="宋体"/>
        </w:rPr>
        <w:t>文件主要</w:t>
      </w:r>
      <w:r>
        <w:rPr>
          <w:rFonts w:hAnsi="宋体"/>
        </w:rPr>
        <w:t>起草单位：</w:t>
      </w:r>
      <w:r>
        <w:rPr>
          <w:rFonts w:hint="eastAsia" w:hAnsi="宋体"/>
        </w:rPr>
        <w:t>湖南省蔬菜研究所。</w:t>
      </w:r>
    </w:p>
    <w:p>
      <w:pPr>
        <w:pStyle w:val="15"/>
        <w:sectPr>
          <w:footerReference r:id="rId5" w:type="default"/>
          <w:footerReference r:id="rId6" w:type="even"/>
          <w:pgSz w:w="11906" w:h="16838"/>
          <w:pgMar w:top="567" w:right="1134" w:bottom="1134" w:left="1417" w:header="1418" w:footer="1026" w:gutter="0"/>
          <w:pgNumType w:fmt="upperRoman"/>
          <w:cols w:space="720" w:num="1"/>
          <w:formProt w:val="0"/>
          <w:docGrid w:type="lines" w:linePitch="312" w:charSpace="0"/>
        </w:sectPr>
      </w:pPr>
      <w:r>
        <w:rPr>
          <w:rFonts w:hAnsi="宋体"/>
        </w:rPr>
        <w:t>本</w:t>
      </w:r>
      <w:r>
        <w:rPr>
          <w:rFonts w:hint="eastAsia" w:hAnsi="宋体"/>
        </w:rPr>
        <w:t>文件</w:t>
      </w:r>
      <w:r>
        <w:rPr>
          <w:rFonts w:hAnsi="宋体"/>
        </w:rPr>
        <w:t>起草人：</w:t>
      </w:r>
      <w:r>
        <w:rPr>
          <w:rFonts w:hint="eastAsia" w:hAnsi="宋体"/>
        </w:rPr>
        <w:t>袁祖华、童辉、殷武平、彭莹、杨晓、汪端华。</w:t>
      </w:r>
    </w:p>
    <w:p>
      <w:pPr>
        <w:pStyle w:val="23"/>
        <w:rPr>
          <w:rFonts w:ascii="Times New Roman"/>
          <w:szCs w:val="32"/>
        </w:rPr>
      </w:pPr>
      <w:bookmarkStart w:id="21" w:name="_Toc16609"/>
      <w:r>
        <w:rPr>
          <w:rFonts w:hint="eastAsia" w:ascii="Times New Roman"/>
          <w:szCs w:val="32"/>
        </w:rPr>
        <w:t>藤蕹大棚越冬留种繁育技术规程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Start w:id="82" w:name="_GoBack"/>
      <w:bookmarkEnd w:id="82"/>
    </w:p>
    <w:p>
      <w:pPr>
        <w:pStyle w:val="20"/>
        <w:tabs>
          <w:tab w:val="right" w:pos="1134"/>
        </w:tabs>
        <w:spacing w:before="312" w:after="312" w:line="360" w:lineRule="auto"/>
        <w:outlineLvl w:val="0"/>
        <w:rPr>
          <w:rFonts w:ascii="Times New Roman"/>
        </w:rPr>
      </w:pPr>
      <w:bookmarkStart w:id="22" w:name="_Toc98237189"/>
      <w:bookmarkStart w:id="23" w:name="_Toc26871400"/>
      <w:bookmarkStart w:id="24" w:name="_Toc2633"/>
      <w:bookmarkStart w:id="25" w:name="_Toc18939121"/>
      <w:bookmarkStart w:id="26" w:name="_Toc18605725"/>
      <w:bookmarkStart w:id="27" w:name="_Toc18596187"/>
      <w:bookmarkStart w:id="28" w:name="_Toc18603627"/>
      <w:bookmarkStart w:id="29" w:name="_Toc18595586"/>
      <w:bookmarkStart w:id="30" w:name="_Toc18606092"/>
      <w:bookmarkStart w:id="31" w:name="_Toc26869286"/>
      <w:bookmarkStart w:id="32" w:name="_Toc23523682"/>
      <w:bookmarkStart w:id="33" w:name="_Toc18607184"/>
      <w:bookmarkStart w:id="34" w:name="_Toc23523742"/>
      <w:bookmarkStart w:id="35" w:name="_Toc18606048"/>
      <w:bookmarkStart w:id="36" w:name="_Toc23525260"/>
      <w:r>
        <w:rPr>
          <w:rFonts w:ascii="Times New Roman"/>
        </w:rPr>
        <w:t>范围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spacing w:line="360" w:lineRule="auto"/>
        <w:ind w:firstLine="420" w:firstLineChars="200"/>
        <w:rPr>
          <w:bCs/>
        </w:rPr>
      </w:pPr>
      <w:bookmarkStart w:id="37" w:name="_Toc18603628"/>
      <w:bookmarkStart w:id="38" w:name="_Toc18606049"/>
      <w:bookmarkStart w:id="39" w:name="_Toc18605726"/>
      <w:bookmarkStart w:id="40" w:name="_Toc18606093"/>
      <w:bookmarkStart w:id="41" w:name="_Toc18607185"/>
      <w:bookmarkStart w:id="42" w:name="_Toc18596188"/>
      <w:bookmarkStart w:id="43" w:name="_Toc23525261"/>
      <w:bookmarkStart w:id="44" w:name="_Toc23523743"/>
      <w:bookmarkStart w:id="45" w:name="_Toc18939122"/>
      <w:bookmarkStart w:id="46" w:name="_Toc23523683"/>
      <w:bookmarkStart w:id="47" w:name="_Toc18595587"/>
      <w:r>
        <w:rPr>
          <w:bCs/>
        </w:rPr>
        <w:t>本</w:t>
      </w:r>
      <w:r>
        <w:rPr>
          <w:bCs/>
          <w:szCs w:val="20"/>
        </w:rPr>
        <w:t>文件规定了</w:t>
      </w:r>
      <w:r>
        <w:rPr>
          <w:rFonts w:hint="eastAsia"/>
          <w:bCs/>
          <w:szCs w:val="20"/>
        </w:rPr>
        <w:t>藤蕹大棚越冬留种繁育技术</w:t>
      </w:r>
      <w:r>
        <w:rPr>
          <w:bCs/>
        </w:rPr>
        <w:t>的品种选择、</w:t>
      </w:r>
      <w:r>
        <w:rPr>
          <w:rFonts w:hint="eastAsia"/>
          <w:bCs/>
        </w:rPr>
        <w:t>留种棚准备、种藤留护、越冬期管理、返青期管理、种藤扦插、扦插后管理。</w:t>
      </w:r>
    </w:p>
    <w:p>
      <w:pPr>
        <w:spacing w:line="360" w:lineRule="auto"/>
        <w:ind w:firstLine="315" w:firstLineChars="150"/>
        <w:rPr>
          <w:sz w:val="24"/>
        </w:rPr>
      </w:pPr>
      <w:r>
        <w:rPr>
          <w:bCs/>
        </w:rPr>
        <w:t xml:space="preserve"> 本文件适用于</w:t>
      </w:r>
      <w:r>
        <w:rPr>
          <w:rFonts w:hint="eastAsia"/>
          <w:bCs/>
        </w:rPr>
        <w:t>湖南藤蕹大棚越冬留种繁育</w:t>
      </w:r>
      <w:r>
        <w:rPr>
          <w:bCs/>
        </w:rPr>
        <w:t>。</w:t>
      </w:r>
    </w:p>
    <w:p>
      <w:pPr>
        <w:pStyle w:val="20"/>
        <w:tabs>
          <w:tab w:val="right" w:pos="1134"/>
        </w:tabs>
        <w:spacing w:before="312" w:after="312" w:line="360" w:lineRule="auto"/>
        <w:outlineLvl w:val="0"/>
        <w:rPr>
          <w:rFonts w:ascii="Times New Roman" w:eastAsia="宋体"/>
          <w:bCs/>
        </w:rPr>
      </w:pPr>
      <w:bookmarkStart w:id="48" w:name="_Toc19341"/>
      <w:bookmarkStart w:id="49" w:name="_Toc98237190"/>
      <w:bookmarkStart w:id="50" w:name="_Toc26869287"/>
      <w:bookmarkStart w:id="51" w:name="_Toc26871401"/>
      <w:r>
        <w:rPr>
          <w:rFonts w:ascii="Times New Roman"/>
        </w:rPr>
        <w:t>规范性引用文件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Start w:id="52" w:name="_Toc18939123"/>
      <w:bookmarkStart w:id="53" w:name="_Toc23523744"/>
      <w:bookmarkStart w:id="54" w:name="_Toc18606050"/>
      <w:bookmarkStart w:id="55" w:name="_Toc23523684"/>
      <w:bookmarkStart w:id="56" w:name="_Toc18607186"/>
      <w:bookmarkStart w:id="57" w:name="_Toc18595588"/>
      <w:bookmarkStart w:id="58" w:name="_Toc18603629"/>
      <w:bookmarkStart w:id="59" w:name="_Toc18605727"/>
      <w:bookmarkStart w:id="60" w:name="_Toc18606094"/>
      <w:bookmarkStart w:id="61" w:name="_Toc18596189"/>
      <w:bookmarkStart w:id="62" w:name="_Toc23525262"/>
      <w:r>
        <w:rPr>
          <w:rFonts w:hint="eastAsia" w:ascii="Times New Roman" w:eastAsia="宋体"/>
          <w:bCs/>
        </w:rPr>
        <w:t xml:space="preserve">  </w:t>
      </w:r>
    </w:p>
    <w:p>
      <w:pPr>
        <w:pStyle w:val="20"/>
        <w:numPr>
          <w:ilvl w:val="0"/>
          <w:numId w:val="0"/>
        </w:numPr>
        <w:spacing w:before="312" w:after="312" w:line="360" w:lineRule="auto"/>
        <w:rPr>
          <w:rFonts w:ascii="Times New Roman" w:eastAsia="宋体"/>
          <w:bCs/>
        </w:rPr>
      </w:pPr>
      <w:r>
        <w:rPr>
          <w:rFonts w:hint="eastAsia" w:ascii="Times New Roman" w:eastAsia="宋体"/>
          <w:bCs/>
        </w:rPr>
        <w:t xml:space="preserve"> </w:t>
      </w:r>
      <w:r>
        <w:rPr>
          <w:rFonts w:ascii="Times New Roman" w:eastAsia="宋体"/>
          <w:bCs/>
        </w:rPr>
        <w:t>下列文件</w:t>
      </w:r>
      <w:r>
        <w:rPr>
          <w:rFonts w:hint="eastAsia" w:ascii="Times New Roman" w:eastAsia="宋体"/>
          <w:bCs/>
        </w:rPr>
        <w:t>中的内容通过文中的规范性引用而构成本文件必不可少的条款。其中，</w:t>
      </w:r>
      <w:r>
        <w:rPr>
          <w:rFonts w:ascii="Times New Roman" w:eastAsia="宋体"/>
          <w:bCs/>
        </w:rPr>
        <w:t>注日期的引用文件，仅</w:t>
      </w:r>
      <w:r>
        <w:rPr>
          <w:rFonts w:hint="eastAsia" w:ascii="Times New Roman" w:eastAsia="宋体"/>
          <w:bCs/>
        </w:rPr>
        <w:t>该</w:t>
      </w:r>
      <w:r>
        <w:rPr>
          <w:rFonts w:ascii="Times New Roman" w:eastAsia="宋体"/>
          <w:bCs/>
        </w:rPr>
        <w:t>日期</w:t>
      </w:r>
      <w:r>
        <w:rPr>
          <w:rFonts w:hint="eastAsia" w:ascii="Times New Roman" w:eastAsia="宋体"/>
          <w:bCs/>
        </w:rPr>
        <w:t>对应</w:t>
      </w:r>
      <w:r>
        <w:rPr>
          <w:rFonts w:ascii="Times New Roman" w:eastAsia="宋体"/>
          <w:bCs/>
        </w:rPr>
        <w:t>的版本适用于本文件</w:t>
      </w:r>
      <w:r>
        <w:rPr>
          <w:rFonts w:hint="eastAsia" w:ascii="Times New Roman" w:eastAsia="宋体"/>
          <w:bCs/>
        </w:rPr>
        <w:t>；</w:t>
      </w:r>
      <w:r>
        <w:rPr>
          <w:rFonts w:ascii="Times New Roman" w:eastAsia="宋体"/>
          <w:bCs/>
        </w:rPr>
        <w:t>不注日期的引用文件，其最新版本（包括所有的修改单）适用于本文件。</w:t>
      </w:r>
    </w:p>
    <w:p>
      <w:pPr>
        <w:pStyle w:val="15"/>
        <w:spacing w:before="156" w:after="156"/>
        <w:rPr>
          <w:rFonts w:ascii="Times New Roman"/>
        </w:rPr>
      </w:pPr>
      <w:r>
        <w:rPr>
          <w:rFonts w:ascii="Times New Roman"/>
        </w:rPr>
        <w:t>NY/T 2118 蔬菜育苗基质</w:t>
      </w:r>
    </w:p>
    <w:p>
      <w:pPr>
        <w:pStyle w:val="15"/>
        <w:spacing w:before="156" w:after="156"/>
        <w:rPr>
          <w:rFonts w:ascii="Times New Roman"/>
        </w:rPr>
      </w:pPr>
      <w:r>
        <w:rPr>
          <w:rFonts w:hint="eastAsia" w:ascii="Times New Roman"/>
        </w:rPr>
        <w:t>GB/T 8321(所有部分) 农药合理使用 准则</w:t>
      </w:r>
    </w:p>
    <w:p>
      <w:pPr>
        <w:pStyle w:val="20"/>
        <w:spacing w:before="312" w:after="312"/>
        <w:outlineLvl w:val="0"/>
        <w:rPr>
          <w:rFonts w:eastAsia="宋体"/>
          <w:bCs/>
        </w:rPr>
      </w:pPr>
      <w:bookmarkStart w:id="63" w:name="_Toc20729"/>
      <w:r>
        <w:rPr>
          <w:rFonts w:hint="eastAsia"/>
        </w:rPr>
        <w:t>术语和定义</w:t>
      </w:r>
      <w:bookmarkEnd w:id="63"/>
    </w:p>
    <w:p>
      <w:pPr>
        <w:pStyle w:val="20"/>
        <w:numPr>
          <w:ilvl w:val="0"/>
          <w:numId w:val="0"/>
        </w:numPr>
        <w:spacing w:before="312" w:after="312"/>
        <w:rPr>
          <w:rFonts w:eastAsia="宋体"/>
          <w:bCs/>
        </w:rPr>
      </w:pPr>
      <w:r>
        <w:rPr>
          <w:rFonts w:hint="eastAsia"/>
        </w:rPr>
        <w:t xml:space="preserve">    </w:t>
      </w:r>
      <w:r>
        <w:rPr>
          <w:rFonts w:hint="eastAsia" w:ascii="Times New Roman" w:eastAsia="宋体"/>
          <w:bCs/>
        </w:rPr>
        <w:t>本文件没有术语和定义。</w:t>
      </w:r>
      <w:r>
        <w:rPr>
          <w:rFonts w:hint="eastAsia" w:eastAsia="宋体"/>
          <w:bCs/>
        </w:rPr>
        <w:t xml:space="preserve">  </w:t>
      </w:r>
    </w:p>
    <w:p>
      <w:pPr>
        <w:pStyle w:val="20"/>
        <w:tabs>
          <w:tab w:val="right" w:pos="1134"/>
        </w:tabs>
        <w:spacing w:before="312" w:after="312" w:line="360" w:lineRule="auto"/>
        <w:outlineLvl w:val="0"/>
        <w:rPr>
          <w:rFonts w:ascii="Times New Roman"/>
        </w:rPr>
      </w:pPr>
      <w:bookmarkStart w:id="64" w:name="_Toc16376"/>
      <w:r>
        <w:rPr>
          <w:rFonts w:hint="eastAsia"/>
        </w:rPr>
        <w:t>品种的选择</w:t>
      </w:r>
      <w:bookmarkEnd w:id="64"/>
    </w:p>
    <w:p>
      <w:pPr>
        <w:pStyle w:val="20"/>
        <w:numPr>
          <w:ilvl w:val="0"/>
          <w:numId w:val="0"/>
        </w:numPr>
        <w:tabs>
          <w:tab w:val="right" w:pos="1134"/>
        </w:tabs>
        <w:spacing w:before="312" w:after="312" w:line="360" w:lineRule="auto"/>
        <w:ind w:firstLine="315" w:firstLineChars="150"/>
        <w:rPr>
          <w:rFonts w:ascii="Times New Roman"/>
        </w:rPr>
      </w:pPr>
      <w:r>
        <w:rPr>
          <w:rFonts w:hint="eastAsia" w:ascii="Times New Roman" w:eastAsia="宋体"/>
          <w:bCs/>
        </w:rPr>
        <w:t>选用质地柔嫩，生长期长，可连续采收，产量高的湖南藤蕹或四川藤蕹。</w:t>
      </w:r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>
      <w:pPr>
        <w:pStyle w:val="20"/>
        <w:tabs>
          <w:tab w:val="right" w:pos="1134"/>
        </w:tabs>
        <w:spacing w:before="312" w:after="312" w:line="360" w:lineRule="auto"/>
        <w:outlineLvl w:val="0"/>
        <w:rPr>
          <w:rFonts w:ascii="Times New Roman"/>
        </w:rPr>
      </w:pPr>
      <w:bookmarkStart w:id="65" w:name="_Toc9319"/>
      <w:bookmarkStart w:id="66" w:name="_Toc26175717"/>
      <w:r>
        <w:rPr>
          <w:rFonts w:hint="eastAsia"/>
        </w:rPr>
        <w:t>留种棚的</w:t>
      </w:r>
      <w:r>
        <w:rPr>
          <w:rFonts w:hint="eastAsia" w:ascii="Times New Roman"/>
        </w:rPr>
        <w:t>准备</w:t>
      </w:r>
      <w:bookmarkEnd w:id="65"/>
    </w:p>
    <w:p>
      <w:pPr>
        <w:pStyle w:val="20"/>
        <w:numPr>
          <w:ilvl w:val="0"/>
          <w:numId w:val="0"/>
        </w:numPr>
        <w:tabs>
          <w:tab w:val="right" w:pos="1134"/>
        </w:tabs>
        <w:spacing w:before="312" w:after="312" w:line="360" w:lineRule="auto"/>
        <w:ind w:firstLine="315" w:firstLineChars="150"/>
        <w:rPr>
          <w:rFonts w:ascii="Times New Roman" w:eastAsia="宋体"/>
          <w:bCs/>
        </w:rPr>
      </w:pPr>
      <w:r>
        <w:rPr>
          <w:rFonts w:hint="eastAsia" w:ascii="Times New Roman" w:eastAsia="宋体"/>
          <w:bCs/>
        </w:rPr>
        <w:t>留种棚一般采用竹（钢）架大棚，6～8 m宽， 2.2～2.5 m高、30～40 m长，覆盖厚 6~8丝（ 1 丝 ≈0.01 mm ）的 PE 大棚膜；大棚内搭建中棚和小拱棚，中棚采用竹或钢与大棚四周保持 25 cm，拱间距 1.95 m，肩高 1.5 m；小拱棚用玻璃纤维杆或竹竿搭建。将棚内杂草和作物残株清除干净。</w:t>
      </w:r>
    </w:p>
    <w:bookmarkEnd w:id="66"/>
    <w:p>
      <w:pPr>
        <w:pStyle w:val="20"/>
        <w:spacing w:before="312" w:after="312"/>
        <w:outlineLvl w:val="0"/>
      </w:pPr>
      <w:bookmarkStart w:id="67" w:name="_Toc5452"/>
      <w:bookmarkStart w:id="68" w:name="_Toc54964953"/>
      <w:r>
        <w:rPr>
          <w:rFonts w:hint="eastAsia"/>
        </w:rPr>
        <w:t>种藤留护</w:t>
      </w:r>
      <w:bookmarkEnd w:id="67"/>
      <w:r>
        <w:rPr>
          <w:rFonts w:hint="eastAsia"/>
        </w:rPr>
        <w:t xml:space="preserve">  </w:t>
      </w:r>
    </w:p>
    <w:p>
      <w:pPr>
        <w:pStyle w:val="20"/>
        <w:numPr>
          <w:ilvl w:val="0"/>
          <w:numId w:val="0"/>
        </w:numPr>
        <w:spacing w:before="312" w:after="312"/>
        <w:ind w:left="142"/>
      </w:pPr>
      <w:r>
        <w:rPr>
          <w:rFonts w:hint="eastAsia"/>
        </w:rPr>
        <w:t>6.1选种藤</w:t>
      </w:r>
    </w:p>
    <w:p>
      <w:pPr>
        <w:pStyle w:val="15"/>
        <w:rPr>
          <w:rFonts w:hint="eastAsia" w:ascii="Times New Roman"/>
          <w:bCs/>
        </w:rPr>
      </w:pPr>
      <w:r>
        <w:rPr>
          <w:rFonts w:hint="eastAsia" w:ascii="Times New Roman"/>
          <w:bCs/>
        </w:rPr>
        <w:t>选择节间长、充实、直径0.5cm、生长健壮、无病虫害的茎蔓做</w:t>
      </w:r>
      <w:r>
        <w:rPr>
          <w:rFonts w:hint="eastAsia"/>
        </w:rPr>
        <w:t>留种藤蕹。9月初开始停止施肥，10月初停止采摘</w:t>
      </w:r>
      <w:r>
        <w:rPr>
          <w:rFonts w:hint="eastAsia" w:ascii="Times New Roman"/>
          <w:bCs/>
        </w:rPr>
        <w:t>，11月份割掉藤蕹的嫩茎和叶片，只保留主蔓。采取种藤就地留护，提藤3~4次阻止茎节生根，</w:t>
      </w:r>
      <w:r>
        <w:rPr>
          <w:rFonts w:hint="eastAsia"/>
        </w:rPr>
        <w:t>促使其长成粗壮、老健、耐贮藏的茎蔓。</w:t>
      </w:r>
    </w:p>
    <w:p>
      <w:pPr>
        <w:pStyle w:val="20"/>
        <w:numPr>
          <w:ilvl w:val="0"/>
          <w:numId w:val="0"/>
        </w:numPr>
        <w:spacing w:before="312" w:after="312"/>
        <w:ind w:left="142"/>
      </w:pPr>
      <w:r>
        <w:rPr>
          <w:rFonts w:hint="eastAsia"/>
        </w:rPr>
        <w:t>6.2杀菌</w:t>
      </w:r>
    </w:p>
    <w:p>
      <w:pPr>
        <w:pStyle w:val="15"/>
        <w:rPr>
          <w:rFonts w:hint="eastAsia"/>
        </w:rPr>
      </w:pPr>
      <w:r>
        <w:rPr>
          <w:rFonts w:hint="eastAsia" w:ascii="Times New Roman"/>
          <w:bCs/>
        </w:rPr>
        <w:t>喷施一遍500倍液50% 多菌灵可湿性粉剂。通风晾2~3 d 后撒施一遍2cm厚草木灰，</w:t>
      </w:r>
    </w:p>
    <w:p>
      <w:pPr>
        <w:pStyle w:val="20"/>
        <w:numPr>
          <w:ilvl w:val="0"/>
          <w:numId w:val="0"/>
        </w:numPr>
        <w:spacing w:before="312" w:after="312"/>
        <w:ind w:left="142"/>
      </w:pPr>
      <w:r>
        <w:rPr>
          <w:rFonts w:hint="eastAsia"/>
        </w:rPr>
        <w:t>6.3覆盖</w:t>
      </w:r>
    </w:p>
    <w:p>
      <w:pPr>
        <w:pStyle w:val="15"/>
        <w:rPr>
          <w:rFonts w:hint="eastAsia" w:ascii="Times New Roman"/>
          <w:szCs w:val="22"/>
        </w:rPr>
      </w:pPr>
      <w:r>
        <w:rPr>
          <w:rFonts w:hint="eastAsia" w:ascii="Times New Roman"/>
          <w:bCs/>
        </w:rPr>
        <w:t>随后覆盖一层6cm厚干燥的细土基质混合物（细土 : 基质 =2:1）基质自配或选用商品基质，15d 后再覆盖一次6cm厚干燥的细土基质混合物并盖上无纺布。</w:t>
      </w:r>
      <w:r>
        <w:rPr>
          <w:rFonts w:ascii="Times New Roman"/>
          <w:szCs w:val="22"/>
        </w:rPr>
        <w:t>基质</w:t>
      </w:r>
      <w:r>
        <w:rPr>
          <w:rFonts w:hint="eastAsia" w:ascii="Times New Roman"/>
          <w:szCs w:val="22"/>
        </w:rPr>
        <w:t>应符合</w:t>
      </w:r>
      <w:r>
        <w:rPr>
          <w:rFonts w:ascii="Times New Roman"/>
          <w:szCs w:val="22"/>
        </w:rPr>
        <w:t xml:space="preserve">NY/T 2118 </w:t>
      </w:r>
      <w:r>
        <w:rPr>
          <w:rFonts w:hint="eastAsia" w:ascii="Times New Roman"/>
          <w:szCs w:val="22"/>
        </w:rPr>
        <w:t>规定。</w:t>
      </w:r>
    </w:p>
    <w:p>
      <w:pPr>
        <w:pStyle w:val="20"/>
        <w:numPr>
          <w:ilvl w:val="0"/>
          <w:numId w:val="0"/>
        </w:numPr>
        <w:spacing w:before="312" w:after="312"/>
        <w:outlineLvl w:val="0"/>
      </w:pPr>
      <w:bookmarkStart w:id="69" w:name="_Toc4278"/>
      <w:r>
        <w:rPr>
          <w:rFonts w:hint="eastAsia"/>
        </w:rPr>
        <w:t>7越冬管理</w:t>
      </w:r>
      <w:bookmarkEnd w:id="69"/>
    </w:p>
    <w:p>
      <w:pPr>
        <w:pStyle w:val="20"/>
        <w:numPr>
          <w:ilvl w:val="0"/>
          <w:numId w:val="0"/>
        </w:numPr>
        <w:tabs>
          <w:tab w:val="right" w:pos="1134"/>
        </w:tabs>
        <w:spacing w:before="312" w:after="312" w:line="360" w:lineRule="auto"/>
        <w:rPr>
          <w:rFonts w:ascii="Times New Roman"/>
        </w:rPr>
      </w:pPr>
      <w:r>
        <w:rPr>
          <w:rFonts w:hint="eastAsia" w:ascii="Times New Roman"/>
        </w:rPr>
        <w:t xml:space="preserve">7.1温度管理 </w:t>
      </w:r>
    </w:p>
    <w:p>
      <w:pPr>
        <w:spacing w:line="360" w:lineRule="auto"/>
        <w:ind w:firstLine="315" w:firstLineChars="150"/>
      </w:pPr>
      <w:r>
        <w:rPr>
          <w:rFonts w:hint="eastAsia"/>
        </w:rPr>
        <w:t>种藤越冬温度保持10～15 ℃，越冬期密闭大棚，大棚内悬挂一支温度计，每天观察温度，大于15 ℃揭膜降温，小于10 ℃盖上小拱棚膜和中棚膜保温。</w:t>
      </w:r>
    </w:p>
    <w:p>
      <w:pPr>
        <w:pStyle w:val="20"/>
        <w:numPr>
          <w:ilvl w:val="0"/>
          <w:numId w:val="0"/>
        </w:numPr>
        <w:tabs>
          <w:tab w:val="right" w:pos="1134"/>
        </w:tabs>
        <w:spacing w:before="312" w:after="312" w:line="360" w:lineRule="auto"/>
        <w:rPr>
          <w:rFonts w:ascii="Times New Roman"/>
        </w:rPr>
      </w:pPr>
      <w:r>
        <w:rPr>
          <w:rFonts w:hint="eastAsia" w:ascii="Times New Roman"/>
        </w:rPr>
        <w:t>7.2湿度管理</w:t>
      </w:r>
    </w:p>
    <w:p>
      <w:pPr>
        <w:pStyle w:val="15"/>
        <w:rPr>
          <w:rFonts w:ascii="Times New Roman"/>
        </w:rPr>
      </w:pPr>
      <w:r>
        <w:rPr>
          <w:rFonts w:hint="eastAsia" w:ascii="Times New Roman"/>
        </w:rPr>
        <w:t>大棚四周开好排水沟，沟深10～15cm，四周覆盖一层10cm厚稻草。土壤保持润而不湿，空气相对湿度保持65％～70％。</w:t>
      </w:r>
    </w:p>
    <w:p>
      <w:pPr>
        <w:pStyle w:val="20"/>
        <w:numPr>
          <w:ilvl w:val="0"/>
          <w:numId w:val="0"/>
        </w:numPr>
        <w:tabs>
          <w:tab w:val="right" w:pos="1134"/>
        </w:tabs>
        <w:spacing w:before="312" w:after="312" w:line="360" w:lineRule="auto"/>
        <w:rPr>
          <w:rFonts w:ascii="Times New Roman"/>
        </w:rPr>
      </w:pPr>
      <w:r>
        <w:rPr>
          <w:rFonts w:hint="eastAsia" w:ascii="Times New Roman"/>
        </w:rPr>
        <w:t>7.3水肥管理</w:t>
      </w:r>
    </w:p>
    <w:p>
      <w:pPr>
        <w:pStyle w:val="15"/>
        <w:spacing w:line="360" w:lineRule="auto"/>
        <w:rPr>
          <w:rFonts w:ascii="Times New Roman"/>
        </w:rPr>
      </w:pPr>
      <w:r>
        <w:rPr>
          <w:rFonts w:hint="eastAsia" w:ascii="Times New Roman"/>
        </w:rPr>
        <w:t>越冬留种期间不浇水、追肥，让种藤缓慢生长。</w:t>
      </w:r>
    </w:p>
    <w:p>
      <w:pPr>
        <w:pStyle w:val="20"/>
        <w:numPr>
          <w:ilvl w:val="0"/>
          <w:numId w:val="0"/>
        </w:numPr>
        <w:tabs>
          <w:tab w:val="right" w:pos="1134"/>
        </w:tabs>
        <w:spacing w:before="312" w:after="312" w:line="360" w:lineRule="auto"/>
        <w:rPr>
          <w:rFonts w:ascii="Times New Roman"/>
        </w:rPr>
      </w:pPr>
      <w:r>
        <w:rPr>
          <w:rFonts w:hint="eastAsia" w:ascii="Times New Roman"/>
        </w:rPr>
        <w:t>7.4病虫害防治</w:t>
      </w:r>
    </w:p>
    <w:p>
      <w:pPr>
        <w:pStyle w:val="15"/>
        <w:spacing w:line="360" w:lineRule="auto"/>
        <w:ind w:firstLine="630" w:firstLineChars="300"/>
        <w:rPr>
          <w:rFonts w:ascii="Times New Roman"/>
        </w:rPr>
      </w:pPr>
      <w:r>
        <w:rPr>
          <w:rFonts w:hint="eastAsia" w:ascii="Times New Roman"/>
        </w:rPr>
        <w:t>每667</w:t>
      </w:r>
      <w:r>
        <w:rPr>
          <w:rFonts w:ascii="Times New Roman"/>
        </w:rPr>
        <w:t xml:space="preserve"> m </w:t>
      </w:r>
      <w:r>
        <w:rPr>
          <w:rFonts w:ascii="Times New Roman"/>
          <w:vertAlign w:val="superscript"/>
        </w:rPr>
        <w:t>2</w:t>
      </w:r>
      <w:r>
        <w:rPr>
          <w:rFonts w:hint="eastAsia" w:ascii="Times New Roman"/>
        </w:rPr>
        <w:t xml:space="preserve"> 撒施生石灰30～40kg，并用65%代森锰锌可湿性粉剂500倍液喷雾消毒，7d一次，连喷2～3次。蚜虫用2.5%溴氰菊酯乳油1000～1500倍液，白粉病用45%代森铵水剂500～800倍。农药使用符合GB/T 8321的规定。</w:t>
      </w:r>
    </w:p>
    <w:p>
      <w:pPr>
        <w:pStyle w:val="20"/>
        <w:numPr>
          <w:ilvl w:val="0"/>
          <w:numId w:val="0"/>
        </w:numPr>
        <w:tabs>
          <w:tab w:val="right" w:pos="1134"/>
        </w:tabs>
        <w:spacing w:before="312" w:after="312" w:line="360" w:lineRule="auto"/>
        <w:ind w:left="142"/>
        <w:outlineLvl w:val="0"/>
        <w:rPr>
          <w:rFonts w:ascii="Times New Roman"/>
        </w:rPr>
      </w:pPr>
      <w:bookmarkStart w:id="70" w:name="_Toc31261"/>
      <w:r>
        <w:rPr>
          <w:rFonts w:hint="eastAsia" w:ascii="Times New Roman"/>
        </w:rPr>
        <w:t>8返青期管理</w:t>
      </w:r>
      <w:bookmarkEnd w:id="70"/>
    </w:p>
    <w:p>
      <w:pPr>
        <w:spacing w:line="360" w:lineRule="auto"/>
        <w:ind w:firstLine="315" w:firstLineChars="150"/>
      </w:pPr>
      <w:r>
        <w:rPr>
          <w:rFonts w:hint="eastAsia"/>
          <w:bCs/>
        </w:rPr>
        <w:t>2月份立春后将大棚密闭促进发芽，当种藤发芽后，揭去无纺布，</w:t>
      </w:r>
      <w:r>
        <w:rPr>
          <w:rFonts w:hint="eastAsia"/>
        </w:rPr>
        <w:t>棚内白天保持25</w:t>
      </w:r>
      <w:r>
        <w:rPr>
          <w:rFonts w:hint="eastAsia"/>
          <w:szCs w:val="21"/>
        </w:rPr>
        <w:t>~30℃，夜间15~20℃，晴朗的白天适当通风，棚内湿度保持75%。</w:t>
      </w:r>
    </w:p>
    <w:p>
      <w:pPr>
        <w:pStyle w:val="20"/>
        <w:numPr>
          <w:ilvl w:val="0"/>
          <w:numId w:val="0"/>
        </w:numPr>
        <w:tabs>
          <w:tab w:val="right" w:pos="1134"/>
        </w:tabs>
        <w:spacing w:before="312" w:after="312" w:line="360" w:lineRule="auto"/>
        <w:ind w:left="142"/>
        <w:outlineLvl w:val="0"/>
        <w:rPr>
          <w:rFonts w:ascii="Times New Roman"/>
        </w:rPr>
      </w:pPr>
      <w:bookmarkStart w:id="71" w:name="_Toc6438"/>
      <w:r>
        <w:rPr>
          <w:rFonts w:hint="eastAsia" w:ascii="Times New Roman"/>
        </w:rPr>
        <w:t>9种藤扦插</w:t>
      </w:r>
      <w:bookmarkEnd w:id="71"/>
    </w:p>
    <w:p>
      <w:pPr>
        <w:pStyle w:val="15"/>
        <w:spacing w:line="360" w:lineRule="auto"/>
        <w:ind w:firstLine="525" w:firstLineChars="250"/>
      </w:pPr>
      <w:r>
        <w:rPr>
          <w:rFonts w:hint="eastAsia" w:ascii="Times New Roman"/>
        </w:rPr>
        <w:t>当藤蕹幼芽长到7~10cm时，剪成5~6cm长扦插条，每个侧蔓基部留2个节</w:t>
      </w:r>
      <w:r>
        <w:rPr>
          <w:rFonts w:hint="eastAsia"/>
        </w:rPr>
        <w:t>. 扦插到 78 孔的漂浮盘中进行扩繁。</w:t>
      </w:r>
    </w:p>
    <w:bookmarkEnd w:id="68"/>
    <w:p>
      <w:pPr>
        <w:pStyle w:val="20"/>
        <w:numPr>
          <w:ilvl w:val="0"/>
          <w:numId w:val="0"/>
        </w:numPr>
        <w:tabs>
          <w:tab w:val="right" w:pos="1134"/>
        </w:tabs>
        <w:spacing w:before="312" w:after="312" w:line="360" w:lineRule="auto"/>
        <w:ind w:left="142"/>
        <w:outlineLvl w:val="0"/>
        <w:rPr>
          <w:rFonts w:ascii="Times New Roman"/>
        </w:rPr>
      </w:pPr>
      <w:bookmarkStart w:id="72" w:name="_Toc8127"/>
      <w:bookmarkStart w:id="73" w:name="_Toc18603641"/>
      <w:bookmarkStart w:id="74" w:name="_Toc18596197"/>
      <w:bookmarkStart w:id="75" w:name="_Toc18607192"/>
      <w:bookmarkStart w:id="76" w:name="_Toc18606100"/>
      <w:bookmarkStart w:id="77" w:name="_Toc18605733"/>
      <w:bookmarkStart w:id="78" w:name="_Toc18606056"/>
      <w:r>
        <w:rPr>
          <w:rFonts w:hint="eastAsia" w:ascii="Times New Roman"/>
        </w:rPr>
        <w:t>10扦插后管理</w:t>
      </w:r>
      <w:bookmarkEnd w:id="72"/>
    </w:p>
    <w:p>
      <w:pPr>
        <w:pStyle w:val="20"/>
        <w:numPr>
          <w:ilvl w:val="0"/>
          <w:numId w:val="0"/>
        </w:numPr>
        <w:spacing w:before="312" w:after="312"/>
        <w:ind w:firstLine="315" w:firstLineChars="150"/>
        <w:rPr>
          <w:rFonts w:ascii="Times New Roman" w:eastAsia="宋体"/>
        </w:rPr>
      </w:pPr>
      <w:r>
        <w:rPr>
          <w:rFonts w:hint="eastAsia" w:ascii="Times New Roman" w:eastAsia="宋体"/>
        </w:rPr>
        <w:t>扦插后7d内，覆盖1层薄膜保温保湿；扦插后7~8d，藤蕹种苗已基本成活，可揭去薄膜。白天保持25~30℃、夜间15~20℃，下午棚内温度下降时注意及时盖膜闭棚保温。育苗期间加1次平衡肥（17-17-17），浓度为0.1%～0.15%。15d天左右， 当扦插的藤蕹长出 3～4 片新叶或侧芽、根部发出新根时，即可定植。</w:t>
      </w:r>
    </w:p>
    <w:p>
      <w:pPr>
        <w:pStyle w:val="20"/>
        <w:numPr>
          <w:ilvl w:val="0"/>
          <w:numId w:val="0"/>
        </w:numPr>
        <w:spacing w:before="312" w:after="312"/>
        <w:ind w:left="142"/>
        <w:outlineLvl w:val="0"/>
        <w:rPr>
          <w:rFonts w:ascii="Times New Roman"/>
        </w:rPr>
      </w:pPr>
      <w:bookmarkStart w:id="79" w:name="_Toc24002"/>
      <w:bookmarkStart w:id="80" w:name="_Toc32397"/>
      <w:bookmarkStart w:id="81" w:name="_Toc16520"/>
      <w:r>
        <w:rPr>
          <w:rFonts w:hint="eastAsia" w:ascii="Times New Roman"/>
        </w:rPr>
        <w:t>11</w:t>
      </w:r>
      <w:r>
        <w:rPr>
          <w:rFonts w:ascii="Times New Roman"/>
        </w:rPr>
        <w:t>生产档案</w:t>
      </w:r>
      <w:bookmarkEnd w:id="79"/>
      <w:bookmarkEnd w:id="80"/>
      <w:bookmarkEnd w:id="81"/>
      <w:r>
        <w:rPr>
          <w:rFonts w:ascii="Times New Roman"/>
        </w:rPr>
        <w:t xml:space="preserve"> </w:t>
      </w:r>
    </w:p>
    <w:p>
      <w:pPr>
        <w:pStyle w:val="17"/>
        <w:numPr>
          <w:ilvl w:val="1"/>
          <w:numId w:val="0"/>
        </w:numPr>
        <w:spacing w:before="156" w:after="156"/>
        <w:ind w:firstLine="420" w:firstLineChars="200"/>
        <w:rPr>
          <w:rFonts w:ascii="Times New Roman"/>
        </w:rPr>
      </w:pPr>
      <w:r>
        <w:rPr>
          <w:rFonts w:ascii="Times New Roman" w:eastAsia="宋体"/>
        </w:rPr>
        <w:t>建立生产档案，载明</w:t>
      </w:r>
      <w:r>
        <w:rPr>
          <w:rFonts w:hint="eastAsia" w:ascii="Times New Roman" w:eastAsia="宋体"/>
        </w:rPr>
        <w:t>留种</w:t>
      </w:r>
      <w:r>
        <w:rPr>
          <w:rFonts w:ascii="Times New Roman" w:eastAsia="宋体"/>
        </w:rPr>
        <w:t>的每一步骤和过程，包括生产资料的使用情况、</w:t>
      </w:r>
      <w:r>
        <w:rPr>
          <w:rFonts w:hint="eastAsia" w:ascii="Times New Roman" w:eastAsia="宋体"/>
        </w:rPr>
        <w:t>田间</w:t>
      </w:r>
      <w:r>
        <w:rPr>
          <w:rFonts w:ascii="Times New Roman" w:eastAsia="宋体"/>
        </w:rPr>
        <w:t xml:space="preserve">操作情况等内容，生产档案应当保存三年以上。 </w:t>
      </w:r>
    </w:p>
    <w:p>
      <w:pPr>
        <w:pStyle w:val="15"/>
        <w:ind w:firstLine="0" w:firstLineChars="0"/>
      </w:pPr>
    </w:p>
    <w:p>
      <w:pPr>
        <w:pStyle w:val="15"/>
      </w:pPr>
    </w:p>
    <w:bookmarkEnd w:id="73"/>
    <w:bookmarkEnd w:id="74"/>
    <w:bookmarkEnd w:id="75"/>
    <w:bookmarkEnd w:id="76"/>
    <w:bookmarkEnd w:id="77"/>
    <w:bookmarkEnd w:id="78"/>
    <w:p>
      <w:pPr>
        <w:spacing w:line="220" w:lineRule="atLeast"/>
      </w:pPr>
    </w:p>
    <w:p>
      <w:pPr>
        <w:pStyle w:val="50"/>
        <w:framePr w:wrap="around" w:y="1"/>
      </w:pPr>
      <w:r>
        <w:t>_________________________________</w:t>
      </w:r>
    </w:p>
    <w:p>
      <w:pPr>
        <w:pStyle w:val="15"/>
        <w:jc w:val="center"/>
        <w:rPr>
          <w:rFonts w:ascii="Times New Roman"/>
        </w:rPr>
      </w:pPr>
    </w:p>
    <w:sectPr>
      <w:headerReference r:id="rId7" w:type="default"/>
      <w:footerReference r:id="rId8" w:type="default"/>
      <w:pgSz w:w="11906" w:h="16838"/>
      <w:pgMar w:top="567" w:right="1134" w:bottom="1134" w:left="1417" w:header="1418" w:footer="1134" w:gutter="0"/>
      <w:pgNumType w:start="1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fldChar w:fldCharType="begin"/>
    </w:r>
    <w:r>
      <w:instrText xml:space="preserve"> PAGEREF _Toc24638 \h </w:instrText>
    </w:r>
    <w:r>
      <w:fldChar w:fldCharType="separate"/>
    </w:r>
    <w:r>
      <w:t>III</w:t>
    </w:r>
    <w:r>
      <w:fldChar w:fldCharType="end"/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-635</wp:posOffset>
              </wp:positionH>
              <wp:positionV relativeFrom="paragraph">
                <wp:posOffset>22860</wp:posOffset>
              </wp:positionV>
              <wp:extent cx="133350" cy="306705"/>
              <wp:effectExtent l="0" t="0" r="0" b="0"/>
              <wp:wrapNone/>
              <wp:docPr id="7" name="文本框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350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7" o:spid="_x0000_s1026" o:spt="202" type="#_x0000_t202" style="position:absolute;left:0pt;margin-left:-0.05pt;margin-top:1.8pt;height:24.15pt;width:10.5pt;mso-position-horizontal-relative:margin;mso-wrap-style:none;z-index:251663360;mso-width-relative:page;mso-height-relative:page;" filled="f" stroked="f" coordsize="21600,21600" o:gfxdata="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d16WGtIAAAAFAQAADwAAAAAAAAABACAAAAAiAAAAZHJzL2Rv&#10;d25yZXYueG1sUEsBAhQAFAAAAAgAh07iQGsOjvfOAQAAmAMAAA4AAAAAAAAAAQAgAAAAIQ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  <w:r>
      <w:fldChar w:fldCharType="begin"/>
    </w:r>
    <w:r>
      <w:instrText xml:space="preserve"> PAGE  \* MERGEFORMAT </w:instrText>
    </w:r>
    <w:r>
      <w:fldChar w:fldCharType="separate"/>
    </w:r>
    <w:r>
      <w:t>II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  <w:r>
      <w:t>T/XXX XXXXX—2021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rPr>
        <w:rFonts w:hint="default" w:eastAsia="黑体"/>
        <w:lang w:val="en-US" w:eastAsia="zh-CN"/>
      </w:rPr>
    </w:pPr>
    <w:r>
      <w:t>DB43/ XXXXX—20</w:t>
    </w:r>
    <w:r>
      <w:rPr>
        <w:rFonts w:hint="eastAsia"/>
        <w:lang w:val="en-US" w:eastAsia="zh-CN"/>
      </w:rPr>
      <w:t>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142" w:firstLine="0"/>
      </w:pPr>
      <w:rPr>
        <w:rFonts w:hint="eastAsia" w:ascii="黑体" w:hAnsi="Times New Roman" w:eastAsia="黑体"/>
        <w:b w:val="0"/>
        <w:i w:val="0"/>
        <w:color w:val="000000" w:themeColor="text1"/>
        <w:sz w:val="21"/>
        <w:szCs w:val="21"/>
        <w14:textFill>
          <w14:solidFill>
            <w14:schemeClr w14:val="tx1"/>
          </w14:solidFill>
        </w14:textFill>
      </w:rPr>
    </w:lvl>
    <w:lvl w:ilvl="1" w:tentative="0">
      <w:start w:val="1"/>
      <w:numFmt w:val="decimal"/>
      <w:pStyle w:val="17"/>
      <w:suff w:val="nothing"/>
      <w:lvlText w:val="%1.%2　"/>
      <w:lvlJc w:val="left"/>
      <w:pPr>
        <w:ind w:left="142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 w:themeColor="text1"/>
        <w:spacing w:val="0"/>
        <w:kern w:val="0"/>
        <w:position w:val="0"/>
        <w:sz w:val="21"/>
        <w:szCs w:val="21"/>
        <w:u w:val="none"/>
        <w:vertAlign w:val="baseline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pStyle w:val="21"/>
      <w:suff w:val="nothing"/>
      <w:lvlText w:val="%1.%2.%3　"/>
      <w:lvlJc w:val="left"/>
      <w:pPr>
        <w:ind w:left="567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4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5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6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493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919"/>
        </w:tabs>
        <w:ind w:left="0" w:firstLine="0"/>
      </w:pPr>
      <w:rPr>
        <w:rFonts w:hint="eastAsia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none"/>
      <w:pStyle w:val="47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48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49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4ZDlmNzVjYjFhMmZkOWY2MzVkMjk0YzJlM2Q4NzUifQ=="/>
  </w:docVars>
  <w:rsids>
    <w:rsidRoot w:val="00BE216B"/>
    <w:rsid w:val="000011B4"/>
    <w:rsid w:val="00005A3C"/>
    <w:rsid w:val="00006BFE"/>
    <w:rsid w:val="00016201"/>
    <w:rsid w:val="00026F67"/>
    <w:rsid w:val="00065261"/>
    <w:rsid w:val="000737CC"/>
    <w:rsid w:val="000A0D5E"/>
    <w:rsid w:val="000C40C1"/>
    <w:rsid w:val="000D4C3A"/>
    <w:rsid w:val="000E5846"/>
    <w:rsid w:val="0011293A"/>
    <w:rsid w:val="00115AC7"/>
    <w:rsid w:val="00133A0C"/>
    <w:rsid w:val="00140B99"/>
    <w:rsid w:val="00160811"/>
    <w:rsid w:val="0016175D"/>
    <w:rsid w:val="00166CF8"/>
    <w:rsid w:val="00180F53"/>
    <w:rsid w:val="00182E6D"/>
    <w:rsid w:val="001B4B33"/>
    <w:rsid w:val="001B72D4"/>
    <w:rsid w:val="001D332E"/>
    <w:rsid w:val="001D4252"/>
    <w:rsid w:val="001F5DF9"/>
    <w:rsid w:val="00213A63"/>
    <w:rsid w:val="00217234"/>
    <w:rsid w:val="00274F4F"/>
    <w:rsid w:val="002B6F9D"/>
    <w:rsid w:val="002E21A6"/>
    <w:rsid w:val="002F5152"/>
    <w:rsid w:val="00313665"/>
    <w:rsid w:val="00326D9B"/>
    <w:rsid w:val="00337C8A"/>
    <w:rsid w:val="0034578B"/>
    <w:rsid w:val="003539B9"/>
    <w:rsid w:val="00362FA2"/>
    <w:rsid w:val="003858E2"/>
    <w:rsid w:val="003A3030"/>
    <w:rsid w:val="003C31AA"/>
    <w:rsid w:val="003D0417"/>
    <w:rsid w:val="00401501"/>
    <w:rsid w:val="00425000"/>
    <w:rsid w:val="00470B70"/>
    <w:rsid w:val="00470EDF"/>
    <w:rsid w:val="00496476"/>
    <w:rsid w:val="00497BA8"/>
    <w:rsid w:val="004A1236"/>
    <w:rsid w:val="004A44F2"/>
    <w:rsid w:val="004B6F0A"/>
    <w:rsid w:val="004F57F6"/>
    <w:rsid w:val="004F7EDB"/>
    <w:rsid w:val="00520078"/>
    <w:rsid w:val="005246D0"/>
    <w:rsid w:val="00525F37"/>
    <w:rsid w:val="005659AE"/>
    <w:rsid w:val="005822A4"/>
    <w:rsid w:val="0058292C"/>
    <w:rsid w:val="00582AD8"/>
    <w:rsid w:val="00587C58"/>
    <w:rsid w:val="005C1F80"/>
    <w:rsid w:val="005C78A9"/>
    <w:rsid w:val="005E5F9C"/>
    <w:rsid w:val="005E65E9"/>
    <w:rsid w:val="005F18D6"/>
    <w:rsid w:val="00600090"/>
    <w:rsid w:val="00601053"/>
    <w:rsid w:val="00603BA1"/>
    <w:rsid w:val="00613393"/>
    <w:rsid w:val="00616BB5"/>
    <w:rsid w:val="00636713"/>
    <w:rsid w:val="00641B11"/>
    <w:rsid w:val="006749DE"/>
    <w:rsid w:val="00674AAF"/>
    <w:rsid w:val="00686F42"/>
    <w:rsid w:val="00690DA1"/>
    <w:rsid w:val="00691406"/>
    <w:rsid w:val="006E0F16"/>
    <w:rsid w:val="006F132C"/>
    <w:rsid w:val="0074547D"/>
    <w:rsid w:val="00757C85"/>
    <w:rsid w:val="00763A92"/>
    <w:rsid w:val="0077682B"/>
    <w:rsid w:val="007A2410"/>
    <w:rsid w:val="007B6996"/>
    <w:rsid w:val="007F79A5"/>
    <w:rsid w:val="00803635"/>
    <w:rsid w:val="00823A9C"/>
    <w:rsid w:val="00824EE9"/>
    <w:rsid w:val="00891146"/>
    <w:rsid w:val="00894C82"/>
    <w:rsid w:val="008A19D0"/>
    <w:rsid w:val="008B0AAA"/>
    <w:rsid w:val="008C0ED5"/>
    <w:rsid w:val="008C44E1"/>
    <w:rsid w:val="008C5107"/>
    <w:rsid w:val="008D542F"/>
    <w:rsid w:val="00904AEA"/>
    <w:rsid w:val="00905C35"/>
    <w:rsid w:val="00906D46"/>
    <w:rsid w:val="0092747F"/>
    <w:rsid w:val="00955BFA"/>
    <w:rsid w:val="00957641"/>
    <w:rsid w:val="00981736"/>
    <w:rsid w:val="009B3F52"/>
    <w:rsid w:val="009B415F"/>
    <w:rsid w:val="009B423E"/>
    <w:rsid w:val="009F472C"/>
    <w:rsid w:val="00A20513"/>
    <w:rsid w:val="00A55087"/>
    <w:rsid w:val="00A768BD"/>
    <w:rsid w:val="00A8533B"/>
    <w:rsid w:val="00AF4EB4"/>
    <w:rsid w:val="00B4611E"/>
    <w:rsid w:val="00B65E0B"/>
    <w:rsid w:val="00B947A6"/>
    <w:rsid w:val="00BA0AEE"/>
    <w:rsid w:val="00BA3ECB"/>
    <w:rsid w:val="00BD5292"/>
    <w:rsid w:val="00BE216B"/>
    <w:rsid w:val="00BF627B"/>
    <w:rsid w:val="00C111EC"/>
    <w:rsid w:val="00C22D72"/>
    <w:rsid w:val="00C35B29"/>
    <w:rsid w:val="00C6337A"/>
    <w:rsid w:val="00C763D4"/>
    <w:rsid w:val="00C94D00"/>
    <w:rsid w:val="00CB53CA"/>
    <w:rsid w:val="00CB7460"/>
    <w:rsid w:val="00CF4D87"/>
    <w:rsid w:val="00D274D7"/>
    <w:rsid w:val="00D5771D"/>
    <w:rsid w:val="00D664EE"/>
    <w:rsid w:val="00D9670C"/>
    <w:rsid w:val="00DA066C"/>
    <w:rsid w:val="00DB5B4D"/>
    <w:rsid w:val="00DB77F7"/>
    <w:rsid w:val="00DC58C1"/>
    <w:rsid w:val="00DD4F2F"/>
    <w:rsid w:val="00DF7692"/>
    <w:rsid w:val="00E04D75"/>
    <w:rsid w:val="00E314AA"/>
    <w:rsid w:val="00E46478"/>
    <w:rsid w:val="00E53366"/>
    <w:rsid w:val="00E665E0"/>
    <w:rsid w:val="00E903C7"/>
    <w:rsid w:val="00E97DD2"/>
    <w:rsid w:val="00EF2320"/>
    <w:rsid w:val="00F220E6"/>
    <w:rsid w:val="00F27253"/>
    <w:rsid w:val="00F40976"/>
    <w:rsid w:val="00F4730A"/>
    <w:rsid w:val="00F51A9E"/>
    <w:rsid w:val="00F70681"/>
    <w:rsid w:val="00F81C86"/>
    <w:rsid w:val="00F936F3"/>
    <w:rsid w:val="23787BF4"/>
    <w:rsid w:val="35A1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43"/>
    <w:unhideWhenUsed/>
    <w:qFormat/>
    <w:uiPriority w:val="99"/>
    <w:pPr>
      <w:adjustRightInd w:val="0"/>
      <w:spacing w:line="400" w:lineRule="exact"/>
      <w:jc w:val="left"/>
    </w:pPr>
    <w:rPr>
      <w:rFonts w:ascii="Calibri" w:hAnsi="Calibri" w:eastAsia="宋体" w:cs="Times New Roman"/>
      <w:szCs w:val="21"/>
    </w:rPr>
  </w:style>
  <w:style w:type="paragraph" w:styleId="3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qFormat/>
    <w:uiPriority w:val="39"/>
    <w:pPr>
      <w:tabs>
        <w:tab w:val="right" w:leader="dot" w:pos="9241"/>
      </w:tabs>
      <w:spacing w:beforeLines="25" w:afterLines="25"/>
      <w:jc w:val="left"/>
    </w:pPr>
    <w:rPr>
      <w:rFonts w:ascii="宋体" w:hAnsi="Times New Roman" w:eastAsia="宋体" w:cs="Times New Roman"/>
      <w:szCs w:val="21"/>
    </w:rPr>
  </w:style>
  <w:style w:type="table" w:styleId="8">
    <w:name w:val="Table Grid"/>
    <w:basedOn w:val="7"/>
    <w:qFormat/>
    <w:uiPriority w:val="0"/>
    <w:rPr>
      <w:rFonts w:ascii="宋体" w:hAnsi="Times New Roman" w:eastAsia="宋体" w:cs="Times New Roman"/>
      <w:kern w:val="0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qFormat/>
    <w:uiPriority w:val="0"/>
    <w:rPr>
      <w:rFonts w:ascii="Times New Roman" w:hAnsi="Times New Roman" w:eastAsia="宋体"/>
      <w:sz w:val="18"/>
    </w:rPr>
  </w:style>
  <w:style w:type="character" w:styleId="11">
    <w:name w:val="Hyperlink"/>
    <w:qFormat/>
    <w:uiPriority w:val="99"/>
    <w:rPr>
      <w:color w:val="0000FF"/>
      <w:spacing w:val="0"/>
      <w:w w:val="100"/>
      <w:szCs w:val="21"/>
      <w:u w:val="single"/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basedOn w:val="9"/>
    <w:link w:val="5"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uiPriority w:val="99"/>
    <w:rPr>
      <w:sz w:val="18"/>
      <w:szCs w:val="18"/>
    </w:rPr>
  </w:style>
  <w:style w:type="paragraph" w:customStyle="1" w:styleId="15">
    <w:name w:val="段"/>
    <w:link w:val="16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6">
    <w:name w:val="段 Char"/>
    <w:link w:val="15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17">
    <w:name w:val="一级条标题"/>
    <w:next w:val="15"/>
    <w:link w:val="5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18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1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20">
    <w:name w:val="章标题"/>
    <w:next w:val="15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1">
    <w:name w:val="二级条标题"/>
    <w:basedOn w:val="17"/>
    <w:next w:val="15"/>
    <w:qFormat/>
    <w:uiPriority w:val="0"/>
    <w:pPr>
      <w:numPr>
        <w:ilvl w:val="2"/>
      </w:numPr>
      <w:spacing w:before="50" w:after="50"/>
      <w:ind w:left="0"/>
      <w:outlineLvl w:val="3"/>
    </w:pPr>
  </w:style>
  <w:style w:type="paragraph" w:customStyle="1" w:styleId="22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kern w:val="0"/>
      <w:sz w:val="28"/>
      <w:szCs w:val="28"/>
      <w:lang w:val="en-US" w:eastAsia="zh-CN" w:bidi="ar-SA"/>
    </w:rPr>
  </w:style>
  <w:style w:type="paragraph" w:customStyle="1" w:styleId="23">
    <w:name w:val="目次、标准名称标题"/>
    <w:basedOn w:val="1"/>
    <w:next w:val="15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24">
    <w:name w:val="三级条标题"/>
    <w:basedOn w:val="21"/>
    <w:next w:val="15"/>
    <w:qFormat/>
    <w:uiPriority w:val="0"/>
    <w:pPr>
      <w:numPr>
        <w:ilvl w:val="3"/>
      </w:numPr>
      <w:outlineLvl w:val="4"/>
    </w:pPr>
  </w:style>
  <w:style w:type="paragraph" w:customStyle="1" w:styleId="25">
    <w:name w:val="四级条标题"/>
    <w:basedOn w:val="24"/>
    <w:next w:val="15"/>
    <w:qFormat/>
    <w:uiPriority w:val="0"/>
    <w:pPr>
      <w:numPr>
        <w:ilvl w:val="4"/>
      </w:numPr>
      <w:outlineLvl w:val="5"/>
    </w:pPr>
  </w:style>
  <w:style w:type="paragraph" w:customStyle="1" w:styleId="26">
    <w:name w:val="五级条标题"/>
    <w:basedOn w:val="25"/>
    <w:next w:val="15"/>
    <w:qFormat/>
    <w:uiPriority w:val="0"/>
    <w:pPr>
      <w:numPr>
        <w:ilvl w:val="5"/>
      </w:numPr>
      <w:outlineLvl w:val="6"/>
    </w:pPr>
  </w:style>
  <w:style w:type="paragraph" w:customStyle="1" w:styleId="27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8">
    <w:name w:val="标准书眉_偶数页"/>
    <w:basedOn w:val="19"/>
    <w:next w:val="1"/>
    <w:qFormat/>
    <w:uiPriority w:val="0"/>
    <w:pPr>
      <w:jc w:val="left"/>
    </w:pPr>
  </w:style>
  <w:style w:type="character" w:customStyle="1" w:styleId="29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30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31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paragraph" w:customStyle="1" w:styleId="32">
    <w:name w:val="封面标准英文名称"/>
    <w:basedOn w:val="31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33">
    <w:name w:val="封面一致性程度标识"/>
    <w:basedOn w:val="32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34">
    <w:name w:val="封面标准文稿类别"/>
    <w:basedOn w:val="33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35">
    <w:name w:val="封面标准文稿编辑信息"/>
    <w:basedOn w:val="34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36">
    <w:name w:val="其他标准标志"/>
    <w:basedOn w:val="1"/>
    <w:qFormat/>
    <w:uiPriority w:val="0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kern w:val="0"/>
      <w:sz w:val="96"/>
      <w:szCs w:val="96"/>
    </w:rPr>
  </w:style>
  <w:style w:type="paragraph" w:customStyle="1" w:styleId="37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kern w:val="0"/>
      <w:sz w:val="48"/>
      <w:szCs w:val="52"/>
      <w:lang w:val="en-US" w:eastAsia="zh-CN" w:bidi="ar-SA"/>
    </w:rPr>
  </w:style>
  <w:style w:type="paragraph" w:customStyle="1" w:styleId="38">
    <w:name w:val="其他发布部门"/>
    <w:basedOn w:val="1"/>
    <w:qFormat/>
    <w:uiPriority w:val="0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hAnsi="Times New Roman" w:eastAsia="黑体" w:cs="Times New Roman"/>
      <w:spacing w:val="20"/>
      <w:w w:val="135"/>
      <w:kern w:val="0"/>
      <w:sz w:val="28"/>
      <w:szCs w:val="20"/>
    </w:rPr>
  </w:style>
  <w:style w:type="paragraph" w:customStyle="1" w:styleId="39">
    <w:name w:val="前言、引言标题"/>
    <w:next w:val="15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40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41">
    <w:name w:val="其他发布日期"/>
    <w:basedOn w:val="1"/>
    <w:qFormat/>
    <w:uiPriority w:val="0"/>
    <w:pPr>
      <w:framePr w:w="3997" w:h="471" w:hRule="exact" w:vSpace="181" w:wrap="around" w:vAnchor="page" w:hAnchor="text" w:x="1419" w:y="14097" w:anchorLock="1"/>
      <w:widowControl/>
      <w:jc w:val="lef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42">
    <w:name w:val="其他实施日期"/>
    <w:basedOn w:val="1"/>
    <w:qFormat/>
    <w:uiPriority w:val="0"/>
    <w:pPr>
      <w:framePr w:w="3997" w:h="471" w:hRule="exact" w:vSpace="181" w:wrap="around" w:vAnchor="page" w:hAnchor="text" w:x="7089" w:y="14097" w:anchorLock="1"/>
      <w:widowControl/>
      <w:jc w:val="right"/>
    </w:pPr>
    <w:rPr>
      <w:rFonts w:ascii="Times New Roman" w:hAnsi="Times New Roman" w:eastAsia="黑体" w:cs="Times New Roman"/>
      <w:kern w:val="0"/>
      <w:sz w:val="28"/>
      <w:szCs w:val="20"/>
    </w:rPr>
  </w:style>
  <w:style w:type="character" w:customStyle="1" w:styleId="43">
    <w:name w:val="批注文字 Char"/>
    <w:basedOn w:val="9"/>
    <w:link w:val="2"/>
    <w:qFormat/>
    <w:uiPriority w:val="99"/>
    <w:rPr>
      <w:rFonts w:ascii="Calibri" w:hAnsi="Calibri" w:eastAsia="宋体" w:cs="Times New Roman"/>
      <w:szCs w:val="21"/>
    </w:rPr>
  </w:style>
  <w:style w:type="character" w:customStyle="1" w:styleId="44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45">
    <w:name w:val="正文文本 (2)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9"/>
      <w:szCs w:val="19"/>
      <w:u w:val="none"/>
      <w:lang w:val="zh-CN" w:eastAsia="zh-CN" w:bidi="zh-CN"/>
    </w:rPr>
  </w:style>
  <w:style w:type="paragraph" w:customStyle="1" w:styleId="46">
    <w:name w:val="三级无"/>
    <w:basedOn w:val="1"/>
    <w:qFormat/>
    <w:uiPriority w:val="0"/>
    <w:pPr>
      <w:widowControl/>
      <w:spacing w:before="50" w:after="50"/>
      <w:ind w:right="100" w:rightChars="100"/>
      <w:jc w:val="left"/>
      <w:outlineLvl w:val="4"/>
    </w:pPr>
    <w:rPr>
      <w:rFonts w:ascii="宋体" w:hAnsi="Times New Roman" w:eastAsia="宋体" w:cs="Times New Roman"/>
      <w:kern w:val="0"/>
      <w:szCs w:val="21"/>
    </w:rPr>
  </w:style>
  <w:style w:type="paragraph" w:customStyle="1" w:styleId="47">
    <w:name w:val="列项——（一级）"/>
    <w:qFormat/>
    <w:uiPriority w:val="0"/>
    <w:pPr>
      <w:widowControl w:val="0"/>
      <w:numPr>
        <w:ilvl w:val="0"/>
        <w:numId w:val="2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48">
    <w:name w:val="列项●（二级）"/>
    <w:qFormat/>
    <w:uiPriority w:val="0"/>
    <w:pPr>
      <w:numPr>
        <w:ilvl w:val="1"/>
        <w:numId w:val="2"/>
      </w:numPr>
      <w:tabs>
        <w:tab w:val="left" w:pos="840"/>
      </w:tabs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49">
    <w:name w:val="列项◆（三级）"/>
    <w:basedOn w:val="1"/>
    <w:qFormat/>
    <w:uiPriority w:val="0"/>
    <w:pPr>
      <w:numPr>
        <w:ilvl w:val="2"/>
        <w:numId w:val="2"/>
      </w:numPr>
    </w:pPr>
    <w:rPr>
      <w:rFonts w:ascii="宋体" w:hAnsi="Times New Roman" w:eastAsia="宋体" w:cs="Times New Roman"/>
      <w:szCs w:val="21"/>
    </w:rPr>
  </w:style>
  <w:style w:type="paragraph" w:customStyle="1" w:styleId="50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 w:eastAsia="宋体" w:cs="Times New Roman"/>
      <w:szCs w:val="24"/>
    </w:rPr>
  </w:style>
  <w:style w:type="character" w:customStyle="1" w:styleId="51">
    <w:name w:val="一级条标题 Char"/>
    <w:link w:val="17"/>
    <w:qFormat/>
    <w:uiPriority w:val="0"/>
    <w:rPr>
      <w:rFonts w:ascii="黑体" w:hAnsi="Times New Roman" w:eastAsia="黑体" w:cs="Times New Roman"/>
      <w:kern w:val="0"/>
      <w:szCs w:val="21"/>
    </w:rPr>
  </w:style>
  <w:style w:type="paragraph" w:customStyle="1" w:styleId="52">
    <w:name w:val="WPSOffice手动目录 1"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A5D4DF-8E01-48CE-802E-4828706BFB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1501</Words>
  <Characters>1853</Characters>
  <Lines>20</Lines>
  <Paragraphs>5</Paragraphs>
  <TotalTime>3</TotalTime>
  <ScaleCrop>false</ScaleCrop>
  <LinksUpToDate>false</LinksUpToDate>
  <CharactersWithSpaces>1979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2021-08-11T01:59:00Z</dcterms:created>
  <dc:creator>0</dc:creator>
  <cp:lastModifiedBy>殷武平</cp:lastModifiedBy>
  <cp:lastPrinted>2021-10-04T07:19:00Z</cp:lastPrinted>
  <dcterms:modified xsi:type="dcterms:W3CDTF">2023-03-13T04:03:35Z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9CD64F1613AE4B6FBF710212974119C2</vt:lpwstr>
  </property>
</Properties>
</file>