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framePr w:wrap="around"/>
      </w:pPr>
      <w:r>
        <w:rPr>
          <w:rFonts w:ascii="Times New Roman"/>
        </w:rPr>
        <w:t>ICS</w:t>
      </w:r>
    </w:p>
    <w:p>
      <w:pPr>
        <w:pStyle w:val="102"/>
        <w:framePr w:wrap="around"/>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tcPr>
          <w:p>
            <w:pPr>
              <w:pStyle w:val="102"/>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4445" t="3810" r="0" b="0"/>
                      <wp:wrapNone/>
                      <wp:docPr id="12"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iuL+zVAAAABwEAAA8AAAAAAAAAAQAgAAAA&#10;IgAAAGRycy9kb3ducmV2LnhtbFBLAQIUABQAAAAIAIdO4kAwosvTDgIAACEEAAAOAAAAAAAAAAEA&#10;IAAAACQBAABkcnMvZTJvRG9jLnhtbFBLBQYAAAAABgAGAFkBAACkBQAAAAA=&#10;">
                      <v:fill on="t" focussize="0,0"/>
                      <v:stroke on="f"/>
                      <v:imagedata o:title=""/>
                      <o:lock v:ext="edit" aspectratio="f"/>
                    </v:rect>
                  </w:pict>
                </mc:Fallback>
              </mc:AlternateContent>
            </w:r>
          </w:p>
        </w:tc>
      </w:tr>
    </w:tbl>
    <w:p>
      <w:pPr>
        <w:pStyle w:val="143"/>
        <w:framePr w:wrap="around"/>
      </w:pPr>
      <w:r>
        <w:t>DB</w:t>
      </w:r>
      <w:r>
        <w:fldChar w:fldCharType="begin">
          <w:ffData>
            <w:name w:val="c3"/>
            <w:enabled/>
            <w:calcOnExit w:val="0"/>
            <w:entryMacro w:val="ShowHelp16"/>
            <w:textInput>
              <w:maxLength w:val="2"/>
            </w:textInput>
          </w:ffData>
        </w:fldChar>
      </w:r>
      <w:bookmarkStart w:id="0" w:name="c3"/>
      <w:r>
        <w:instrText xml:space="preserve"> FORMTEXT </w:instrText>
      </w:r>
      <w:r>
        <w:fldChar w:fldCharType="separate"/>
      </w:r>
      <w:r>
        <w:rPr>
          <w:rFonts w:hint="eastAsia"/>
        </w:rPr>
        <w:t>43</w:t>
      </w:r>
      <w:r>
        <w:fldChar w:fldCharType="end"/>
      </w:r>
      <w:bookmarkEnd w:id="0"/>
    </w:p>
    <w:p>
      <w:pPr>
        <w:pStyle w:val="93"/>
        <w:framePr w:wrap="around"/>
      </w:pPr>
      <w:r>
        <w:fldChar w:fldCharType="begin">
          <w:ffData>
            <w:name w:val="c4"/>
            <w:enabled/>
            <w:calcOnExit w:val="0"/>
            <w:entryMacro w:val="showhelp12"/>
            <w:textInput/>
          </w:ffData>
        </w:fldChar>
      </w:r>
      <w:bookmarkStart w:id="1" w:name="c4"/>
      <w:r>
        <w:instrText xml:space="preserve"> FORMTEXT </w:instrText>
      </w:r>
      <w:r>
        <w:fldChar w:fldCharType="separate"/>
      </w:r>
      <w:r>
        <w:rPr>
          <w:rFonts w:hint="eastAsia"/>
        </w:rPr>
        <w:t>湖南省</w:t>
      </w:r>
      <w:r>
        <w:fldChar w:fldCharType="end"/>
      </w:r>
      <w:bookmarkEnd w:id="1"/>
      <w:r>
        <w:rPr>
          <w:rFonts w:hint="eastAsia"/>
        </w:rPr>
        <w:t>地方标准</w:t>
      </w:r>
    </w:p>
    <w:p>
      <w:pPr>
        <w:pStyle w:val="149"/>
        <w:framePr w:wrap="around"/>
      </w:pPr>
      <w:r>
        <w:rPr>
          <w:rFonts w:hint="default" w:ascii="Times New Roman" w:hAnsi="Times New Roman" w:cs="Times New Roman"/>
        </w:rPr>
        <w:t>DB43/T</w:t>
      </w:r>
      <w:r>
        <w:rPr>
          <w:rFonts w:hint="default" w:ascii="Times New Roman" w:hAnsi="Times New Roman" w:cs="Times New Roman"/>
          <w:lang w:val="en-US" w:eastAsia="zh-CN"/>
        </w:rPr>
        <w:t xml:space="preserve"> XXX</w:t>
      </w:r>
      <w:r>
        <w:rPr>
          <w:rFonts w:hint="default" w:ascii="Times New Roman" w:hAnsi="Times New Roman" w:cs="Times New Roman"/>
        </w:rPr>
        <w:t>—2023</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108"/>
              <w:framePr w:wrap="around"/>
            </w:pPr>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11"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5g8svWAAAACAEAAA8AAAAAAAAAAQAgAAAAIgAA&#10;AGRycy9kb3ducmV2LnhtbFBLAQIUABQAAAAIAIdO4kARnrSFCgIAACEEAAAOAAAAAAAAAAEAIAAA&#10;ACUBAABkcnMvZTJvRG9jLnhtbFBLBQYAAAAABgAGAFkBAAChBQAAAAA=&#10;">
                      <v:fill on="t" focussize="0,0"/>
                      <v:stroke on="f"/>
                      <v:imagedata o:title=""/>
                      <o:lock v:ext="edit" aspectratio="f"/>
                    </v:rect>
                  </w:pict>
                </mc:Fallback>
              </mc:AlternateContent>
            </w:r>
          </w:p>
        </w:tc>
      </w:tr>
    </w:tbl>
    <w:p>
      <w:pPr>
        <w:pStyle w:val="149"/>
        <w:framePr w:wrap="around"/>
      </w:pPr>
    </w:p>
    <w:p>
      <w:pPr>
        <w:pStyle w:val="149"/>
        <w:framePr w:wrap="around"/>
      </w:pPr>
    </w:p>
    <w:p>
      <w:pPr>
        <w:pStyle w:val="77"/>
        <w:framePr w:wrap="around"/>
        <w:spacing w:line="240" w:lineRule="auto"/>
        <w:ind w:firstLine="260" w:firstLineChars="50"/>
      </w:pPr>
      <w:bookmarkStart w:id="2" w:name="_Hlk90546484"/>
      <w:r>
        <w:rPr>
          <w:rFonts w:hint="eastAsia"/>
        </w:rPr>
        <w:t>菜薹雄性不育系网室繁育技术规程</w:t>
      </w:r>
    </w:p>
    <w:bookmarkEnd w:id="2"/>
    <w:p>
      <w:pPr>
        <w:pStyle w:val="176"/>
        <w:framePr w:h="6917" w:hRule="exact" w:wrap="around" w:vAnchor="page" w:hAnchor="page" w:y="6408" w:anchorLock="1"/>
        <w:spacing w:line="240" w:lineRule="auto"/>
        <w:textAlignment w:val="baseline"/>
        <w:rPr>
          <w:rStyle w:val="175"/>
          <w:position w:val="6"/>
        </w:rPr>
      </w:pPr>
      <w:r>
        <w:rPr>
          <w:rStyle w:val="175"/>
          <w:position w:val="6"/>
        </w:rPr>
        <w:t>Technical code for net room breeding of Caitai male sterile lines</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132"/>
              <w:framePr w:wrap="around"/>
              <w:rPr>
                <w:b/>
              </w:rPr>
            </w:pPr>
            <w:r>
              <w:rPr>
                <w:rFonts w:hint="eastAsia" w:ascii="Times New Roman"/>
                <w:b/>
              </w:rPr>
              <w:t>（征求意见稿）</w:t>
            </w:r>
            <w:r>
              <w:rPr>
                <w:b/>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10"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&#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lIa1vAkCAAAhBAAADgAAAAAAAAABACAAAAAk&#10;AQAAZHJzL2Uyb0RvYy54bWxQSwUGAAAAAAYABgBZAQAAnwUAAAAA&#10;">
                      <v:fill on="t" focussize="0,0"/>
                      <v:stroke on="f"/>
                      <v:imagedata o:title=""/>
                      <o:lock v:ext="edit" aspectratio="f"/>
                      <w10:anchorlock/>
                    </v:rect>
                  </w:pict>
                </mc:Fallback>
              </mc:AlternateContent>
            </w:r>
            <w:r>
              <w:rPr>
                <w:b/>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9"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Kl8R3cJAgAAIAQAAA4AAAAAAAAAAQAgAAAA&#10;JQEAAGRycy9lMm9Eb2MueG1sUEsFBgAAAAAGAAYAWQEAAKAFAAAAAA==&#10;">
                      <v:fill on="t" focussize="0,0"/>
                      <v:stroke on="f"/>
                      <v:imagedata o:title=""/>
                      <o:lock v:ext="edit" aspectratio="f"/>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131"/>
              <w:framePr w:wrap="around"/>
            </w:pPr>
          </w:p>
        </w:tc>
      </w:tr>
    </w:tbl>
    <w:p>
      <w:pPr>
        <w:pStyle w:val="75"/>
        <w:framePr w:wrap="around" w:hAnchor="page" w:x="1396" w:y="14131"/>
      </w:pPr>
      <w:r>
        <w:rPr>
          <w:rFonts w:hint="eastAsia" w:ascii="黑体"/>
        </w:rPr>
        <w:t>20</w:t>
      </w:r>
      <w:r>
        <w:rPr>
          <w:rFonts w:ascii="黑体"/>
        </w:rPr>
        <w:t>23</w:t>
      </w:r>
      <w:r>
        <w:t xml:space="preserve"> </w:t>
      </w:r>
      <w:r>
        <w:rPr>
          <w:rFonts w:ascii="黑体"/>
        </w:rPr>
        <w:t>–</w:t>
      </w:r>
      <w:r>
        <w:t xml:space="preserve"> </w:t>
      </w:r>
      <w:r>
        <w:rPr>
          <w:rFonts w:ascii="黑体"/>
        </w:rPr>
        <w:t>XX -</w:t>
      </w:r>
      <w:r>
        <w:rPr>
          <w:rFonts w:hint="eastAsia" w:ascii="黑体"/>
        </w:rPr>
        <w:t xml:space="preserve"> </w:t>
      </w:r>
      <w:r>
        <w:rPr>
          <w:rFonts w:ascii="黑体"/>
        </w:rPr>
        <w:t>XX</w:t>
      </w:r>
      <w:r>
        <w:rPr>
          <w:rFonts w:hint="eastAsia" w:ascii="黑体"/>
        </w:rPr>
        <w:t xml:space="preserve"> </w:t>
      </w:r>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8"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lh2s81gAAAAsBAAAPAAAAAAAAAAEAIAAAACIAAABkcnMvZG93&#10;bnJldi54bWxQSwECFAAUAAAACACHTuJADbxzBskBAACgAwAADgAAAAAAAAABACAAAAAlAQAAZHJz&#10;L2Uyb0RvYy54bWxQSwUGAAAAAAYABgBZAQAAYAUAAAAA&#10;">
                <v:fill on="f" focussize="0,0"/>
                <v:stroke color="#000000" joinstyle="round"/>
                <v:imagedata o:title=""/>
                <o:lock v:ext="edit" aspectratio="f"/>
                <w10:anchorlock/>
              </v:line>
            </w:pict>
          </mc:Fallback>
        </mc:AlternateContent>
      </w:r>
    </w:p>
    <w:p>
      <w:pPr>
        <w:pStyle w:val="137"/>
        <w:framePr w:wrap="around" w:hAnchor="page" w:x="7051" w:y="14116"/>
      </w:pPr>
      <w:r>
        <w:rPr>
          <w:rFonts w:hint="eastAsia" w:ascii="黑体"/>
        </w:rPr>
        <w:t>20</w:t>
      </w:r>
      <w:r>
        <w:rPr>
          <w:rFonts w:ascii="黑体"/>
        </w:rPr>
        <w:t>23-</w:t>
      </w:r>
      <w:r>
        <w:rPr>
          <w:rFonts w:hint="eastAsia" w:ascii="黑体"/>
        </w:rPr>
        <w:t xml:space="preserve"> </w:t>
      </w:r>
      <w:r>
        <w:rPr>
          <w:rFonts w:ascii="黑体"/>
        </w:rPr>
        <w:t>XX</w:t>
      </w:r>
      <w:r>
        <w:t xml:space="preserve"> </w:t>
      </w:r>
      <w:r>
        <w:rPr>
          <w:rFonts w:ascii="黑体"/>
        </w:rPr>
        <w:t>-</w:t>
      </w:r>
      <w:r>
        <w:rPr>
          <w:rFonts w:hint="eastAsia" w:ascii="黑体"/>
        </w:rPr>
        <w:t xml:space="preserve"> </w:t>
      </w:r>
      <w:r>
        <w:rPr>
          <w:rFonts w:ascii="黑体"/>
        </w:rPr>
        <w:t>XX</w:t>
      </w:r>
      <w:r>
        <w:rPr>
          <w:rFonts w:hint="eastAsia" w:ascii="黑体"/>
        </w:rPr>
        <w:t xml:space="preserve"> </w:t>
      </w:r>
      <w:r>
        <w:rPr>
          <w:rFonts w:hint="eastAsia"/>
        </w:rPr>
        <w:t>实施</w:t>
      </w:r>
    </w:p>
    <w:p>
      <w:pPr>
        <w:pStyle w:val="84"/>
        <w:framePr w:wrap="around" w:vAnchor="page" w:hAnchor="page"/>
      </w:pPr>
      <w:r>
        <w:rPr>
          <w:rFonts w:hint="eastAsia"/>
        </w:rPr>
        <w:t>湖南省市场监督管理局</w:t>
      </w:r>
      <w:r>
        <w:t>   </w:t>
      </w:r>
      <w:r>
        <w:rPr>
          <w:rStyle w:val="39"/>
          <w:rFonts w:hint="eastAsia"/>
        </w:rPr>
        <w:t>发布</w:t>
      </w:r>
    </w:p>
    <w:p>
      <w:pPr>
        <w:pStyle w:val="21"/>
      </w:pPr>
    </w:p>
    <w:p>
      <w:pPr>
        <w:pStyle w:val="21"/>
        <w:sectPr>
          <w:headerReference r:id="rId3" w:type="default"/>
          <w:headerReference r:id="rId4" w:type="even"/>
          <w:footerReference r:id="rId5" w:type="even"/>
          <w:pgSz w:w="11906" w:h="16838"/>
          <w:pgMar w:top="567" w:right="1134" w:bottom="1134" w:left="1417" w:header="0" w:footer="0" w:gutter="0"/>
          <w:pgNumType w:fmt="upperRoman" w:start="1"/>
          <w:cols w:space="720" w:num="1"/>
          <w:titlePg/>
          <w:docGrid w:type="lines" w:linePitch="312" w:charSpace="0"/>
        </w:sectPr>
      </w:pPr>
      <w:bookmarkStart w:id="78" w:name="_GoBack"/>
      <w:bookmarkEnd w:id="78"/>
      <w:r>
        <w:rPr>
          <w:rFonts w:ascii="Times New Roman"/>
          <w:color w:val="auto"/>
        </w:rPr>
        <mc:AlternateContent>
          <mc:Choice Requires="wps">
            <w:drawing>
              <wp:anchor distT="0" distB="0" distL="114300" distR="114300" simplePos="0" relativeHeight="251666432" behindDoc="0" locked="0" layoutInCell="1" allowOverlap="1">
                <wp:simplePos x="0" y="0"/>
                <wp:positionH relativeFrom="page">
                  <wp:posOffset>786765</wp:posOffset>
                </wp:positionH>
                <wp:positionV relativeFrom="page">
                  <wp:posOffset>2731770</wp:posOffset>
                </wp:positionV>
                <wp:extent cx="612013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61.95pt;margin-top:215.1pt;height:0pt;width:481.9pt;mso-position-horizontal-relative:page;mso-position-vertical-relative:page;z-index:251666432;mso-width-relative:page;mso-height-relative:page;" filled="f" stroked="t" coordsize="21600,21600" o:gfxdata="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5noDtgAAAAMAQAADwAAAAAAAAABACAAAAAiAAAAZHJzL2Rvd25yZXYueG1sUEsBAhQAFAAAAAgA&#10;h07iQI6rg53sAQAA2AMAAA4AAAAAAAAAAQAgAAAAJwEAAGRycy9lMm9Eb2MueG1sUEsFBgAAAAAG&#10;AAYAWQEAAIU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8004175</wp:posOffset>
                </wp:positionV>
                <wp:extent cx="6120130" cy="0"/>
                <wp:effectExtent l="0" t="0" r="0" b="0"/>
                <wp:wrapNone/>
                <wp:docPr id="13"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top:630.25pt;height:0pt;width:481.9pt;mso-position-horizontal:left;mso-position-horizontal-relative:margin;z-index:251665408;mso-width-relative:page;mso-height-relative:page;" filled="f" stroked="t" coordsize="21600,21600" o:gfxdata="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3zimLVAAAACgEAAA8AAAAAAAAAAQAgAAAAIgAAAGRycy9kb3du&#10;cmV2LnhtbFBLAQIUABQAAAAIAIdO4kAhmGHdyQEAAKEDAAAOAAAAAAAAAAEAIAAAACQBAABkcnMv&#10;ZTJvRG9jLnhtbFBLBQYAAAAABgAGAFkBAABfBQAAAAA=&#10;">
                <v:fill on="f" focussize="0,0"/>
                <v:stroke color="#000000" joinstyle="round"/>
                <v:imagedata o:title=""/>
                <o:lock v:ext="edit" aspectratio="f"/>
              </v:line>
            </w:pict>
          </mc:Fallback>
        </mc:AlternateContent>
      </w:r>
    </w:p>
    <w:p>
      <w:pPr>
        <w:pStyle w:val="178"/>
        <w:spacing w:before="312" w:beforeLines="100" w:after="156" w:afterLines="50"/>
        <w:ind w:firstLine="640"/>
        <w:jc w:val="center"/>
        <w:rPr>
          <w:rStyle w:val="175"/>
          <w:rFonts w:ascii="黑体" w:hAnsi="黑体" w:eastAsia="黑体"/>
          <w:sz w:val="32"/>
          <w:szCs w:val="28"/>
        </w:rPr>
      </w:pPr>
      <w:bookmarkStart w:id="3" w:name="PRTVIEWTCS"/>
      <w:bookmarkEnd w:id="3"/>
      <w:bookmarkStart w:id="4" w:name="_Toc385162632"/>
      <w:bookmarkStart w:id="5" w:name="_Toc385162546"/>
      <w:bookmarkStart w:id="6" w:name="_Toc385925184"/>
      <w:bookmarkStart w:id="7" w:name="_Toc385925245"/>
      <w:bookmarkStart w:id="8" w:name="_Toc385162461"/>
      <w:r>
        <w:rPr>
          <w:rStyle w:val="175"/>
          <w:rFonts w:ascii="黑体" w:hAnsi="黑体" w:eastAsia="黑体"/>
          <w:sz w:val="32"/>
          <w:szCs w:val="28"/>
        </w:rPr>
        <w:t>目    次</w:t>
      </w:r>
    </w:p>
    <w:sdt>
      <w:sdtPr>
        <w:rPr>
          <w:rFonts w:ascii="Times New Roman" w:hAnsi="Times New Roman" w:eastAsia="宋体" w:cs="Times New Roman"/>
          <w:color w:val="auto"/>
          <w:kern w:val="2"/>
          <w:sz w:val="21"/>
          <w:szCs w:val="24"/>
          <w:lang w:val="zh-CN"/>
        </w:rPr>
        <w:id w:val="596988945"/>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pPr>
            <w:pStyle w:val="191"/>
            <w:rPr>
              <w:sz w:val="11"/>
              <w:szCs w:val="11"/>
            </w:rPr>
          </w:pPr>
        </w:p>
        <w:p>
          <w:pPr>
            <w:pStyle w:val="18"/>
            <w:rPr>
              <w:rFonts w:asciiTheme="minorHAnsi" w:hAnsiTheme="minorHAnsi" w:eastAsiaTheme="minorEastAsia" w:cstheme="minorBidi"/>
              <w:color w:val="auto"/>
              <w:kern w:val="2"/>
            </w:rPr>
          </w:pPr>
          <w:r>
            <w:fldChar w:fldCharType="begin"/>
          </w:r>
          <w:r>
            <w:instrText xml:space="preserve"> TOC \o "1-3" \h \z \u </w:instrText>
          </w:r>
          <w:r>
            <w:fldChar w:fldCharType="separate"/>
          </w:r>
          <w:r>
            <w:fldChar w:fldCharType="begin"/>
          </w:r>
          <w:r>
            <w:instrText xml:space="preserve"> HYPERLINK \l "_Toc128573509" </w:instrText>
          </w:r>
          <w:r>
            <w:fldChar w:fldCharType="separate"/>
          </w:r>
          <w:r>
            <w:rPr>
              <w:rStyle w:val="35"/>
              <w:rFonts w:hint="eastAsia"/>
            </w:rPr>
            <w:t>前</w:t>
          </w:r>
          <w:r>
            <w:rPr>
              <w:rStyle w:val="35"/>
            </w:rPr>
            <w:t>  </w:t>
          </w:r>
          <w:r>
            <w:rPr>
              <w:rStyle w:val="35"/>
              <w:rFonts w:hint="eastAsia"/>
            </w:rPr>
            <w:t>言</w:t>
          </w:r>
          <w:r>
            <w:tab/>
          </w:r>
          <w:r>
            <w:fldChar w:fldCharType="begin"/>
          </w:r>
          <w:r>
            <w:instrText xml:space="preserve"> PAGEREF _Toc128573509 \h </w:instrText>
          </w:r>
          <w:r>
            <w:fldChar w:fldCharType="separate"/>
          </w:r>
          <w:r>
            <w:t>III</w:t>
          </w:r>
          <w:r>
            <w:fldChar w:fldCharType="end"/>
          </w:r>
          <w:r>
            <w:fldChar w:fldCharType="end"/>
          </w:r>
        </w:p>
        <w:p>
          <w:pPr>
            <w:pStyle w:val="18"/>
            <w:rPr>
              <w:rStyle w:val="35"/>
            </w:rPr>
          </w:pPr>
          <w:r>
            <w:fldChar w:fldCharType="begin"/>
          </w:r>
          <w:r>
            <w:instrText xml:space="preserve"> HYPERLINK \l "_Toc128573510" </w:instrText>
          </w:r>
          <w:r>
            <w:fldChar w:fldCharType="separate"/>
          </w:r>
          <w:r>
            <w:rPr>
              <w:rStyle w:val="35"/>
            </w:rPr>
            <w:t>1</w:t>
          </w:r>
          <w:r>
            <w:rPr>
              <w:rStyle w:val="35"/>
              <w:rFonts w:hint="eastAsia"/>
            </w:rPr>
            <w:t xml:space="preserve"> 范围</w:t>
          </w:r>
          <w:r>
            <w:rPr>
              <w:rStyle w:val="35"/>
            </w:rPr>
            <w:tab/>
          </w:r>
          <w:r>
            <w:rPr>
              <w:rStyle w:val="35"/>
            </w:rPr>
            <w:fldChar w:fldCharType="begin"/>
          </w:r>
          <w:r>
            <w:rPr>
              <w:rStyle w:val="35"/>
            </w:rPr>
            <w:instrText xml:space="preserve"> PAGEREF _Toc128573510 \h </w:instrText>
          </w:r>
          <w:r>
            <w:rPr>
              <w:rStyle w:val="35"/>
            </w:rPr>
            <w:fldChar w:fldCharType="separate"/>
          </w:r>
          <w:r>
            <w:rPr>
              <w:rStyle w:val="35"/>
            </w:rPr>
            <w:t>4</w:t>
          </w:r>
          <w:r>
            <w:rPr>
              <w:rStyle w:val="35"/>
            </w:rPr>
            <w:fldChar w:fldCharType="end"/>
          </w:r>
          <w:r>
            <w:rPr>
              <w:rStyle w:val="35"/>
            </w:rPr>
            <w:fldChar w:fldCharType="end"/>
          </w:r>
        </w:p>
        <w:p>
          <w:pPr>
            <w:pStyle w:val="18"/>
            <w:rPr>
              <w:rStyle w:val="35"/>
            </w:rPr>
          </w:pPr>
          <w:r>
            <w:fldChar w:fldCharType="begin"/>
          </w:r>
          <w:r>
            <w:instrText xml:space="preserve"> HYPERLINK \l "_Toc128573511" </w:instrText>
          </w:r>
          <w:r>
            <w:fldChar w:fldCharType="separate"/>
          </w:r>
          <w:r>
            <w:rPr>
              <w:rStyle w:val="35"/>
            </w:rPr>
            <w:t>2</w:t>
          </w:r>
          <w:r>
            <w:rPr>
              <w:rStyle w:val="35"/>
              <w:rFonts w:hint="eastAsia"/>
            </w:rPr>
            <w:t xml:space="preserve"> 规范性引用文件</w:t>
          </w:r>
          <w:r>
            <w:rPr>
              <w:rStyle w:val="35"/>
            </w:rPr>
            <w:tab/>
          </w:r>
          <w:r>
            <w:rPr>
              <w:rStyle w:val="35"/>
            </w:rPr>
            <w:fldChar w:fldCharType="begin"/>
          </w:r>
          <w:r>
            <w:rPr>
              <w:rStyle w:val="35"/>
            </w:rPr>
            <w:instrText xml:space="preserve"> PAGEREF _Toc128573511 \h </w:instrText>
          </w:r>
          <w:r>
            <w:rPr>
              <w:rStyle w:val="35"/>
            </w:rPr>
            <w:fldChar w:fldCharType="separate"/>
          </w:r>
          <w:r>
            <w:rPr>
              <w:rStyle w:val="35"/>
            </w:rPr>
            <w:t>4</w:t>
          </w:r>
          <w:r>
            <w:rPr>
              <w:rStyle w:val="35"/>
            </w:rPr>
            <w:fldChar w:fldCharType="end"/>
          </w:r>
          <w:r>
            <w:rPr>
              <w:rStyle w:val="35"/>
            </w:rPr>
            <w:fldChar w:fldCharType="end"/>
          </w:r>
        </w:p>
        <w:p>
          <w:pPr>
            <w:pStyle w:val="18"/>
            <w:rPr>
              <w:rStyle w:val="35"/>
            </w:rPr>
          </w:pPr>
          <w:r>
            <w:fldChar w:fldCharType="begin"/>
          </w:r>
          <w:r>
            <w:instrText xml:space="preserve"> HYPERLINK \l "_Toc128573512" </w:instrText>
          </w:r>
          <w:r>
            <w:fldChar w:fldCharType="separate"/>
          </w:r>
          <w:r>
            <w:rPr>
              <w:rStyle w:val="35"/>
            </w:rPr>
            <w:t>3</w:t>
          </w:r>
          <w:r>
            <w:rPr>
              <w:rStyle w:val="35"/>
              <w:rFonts w:hint="eastAsia"/>
            </w:rPr>
            <w:t xml:space="preserve"> 术语和定义</w:t>
          </w:r>
          <w:r>
            <w:rPr>
              <w:rStyle w:val="35"/>
            </w:rPr>
            <w:tab/>
          </w:r>
          <w:r>
            <w:rPr>
              <w:rStyle w:val="35"/>
            </w:rPr>
            <w:fldChar w:fldCharType="begin"/>
          </w:r>
          <w:r>
            <w:rPr>
              <w:rStyle w:val="35"/>
            </w:rPr>
            <w:instrText xml:space="preserve"> PAGEREF _Toc128573512 \h </w:instrText>
          </w:r>
          <w:r>
            <w:rPr>
              <w:rStyle w:val="35"/>
            </w:rPr>
            <w:fldChar w:fldCharType="separate"/>
          </w:r>
          <w:r>
            <w:rPr>
              <w:rStyle w:val="35"/>
            </w:rPr>
            <w:t>4</w:t>
          </w:r>
          <w:r>
            <w:rPr>
              <w:rStyle w:val="35"/>
            </w:rPr>
            <w:fldChar w:fldCharType="end"/>
          </w:r>
          <w:r>
            <w:rPr>
              <w:rStyle w:val="35"/>
            </w:rP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"_Toc128573514" </w:instrText>
          </w:r>
          <w:r>
            <w:fldChar w:fldCharType="separate"/>
          </w:r>
          <w:r>
            <w:rPr>
              <w:rStyle w:val="35"/>
            </w:rPr>
            <w:t>4</w:t>
          </w:r>
          <w:r>
            <w:rPr>
              <w:rStyle w:val="35"/>
              <w:rFonts w:hint="eastAsia"/>
            </w:rPr>
            <w:t xml:space="preserve"> 基地选择</w:t>
          </w:r>
          <w:r>
            <w:tab/>
          </w:r>
          <w:r>
            <w:fldChar w:fldCharType="begin"/>
          </w:r>
          <w:r>
            <w:instrText xml:space="preserve"> PAGEREF _Toc128573514 \h </w:instrText>
          </w:r>
          <w:r>
            <w:fldChar w:fldCharType="separate"/>
          </w:r>
          <w:r>
            <w:t>4</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"_Toc128573517" </w:instrText>
          </w:r>
          <w:r>
            <w:fldChar w:fldCharType="separate"/>
          </w:r>
          <w:r>
            <w:rPr>
              <w:rStyle w:val="35"/>
            </w:rPr>
            <w:t>5</w:t>
          </w:r>
          <w:r>
            <w:rPr>
              <w:rStyle w:val="35"/>
              <w:rFonts w:hint="eastAsia"/>
            </w:rPr>
            <w:t xml:space="preserve"> 网室的搭建</w:t>
          </w:r>
          <w:r>
            <w:tab/>
          </w:r>
          <w:r>
            <w:fldChar w:fldCharType="begin"/>
          </w:r>
          <w:r>
            <w:instrText xml:space="preserve"> PAGEREF _Toc128573517 \h </w:instrText>
          </w:r>
          <w:r>
            <w:fldChar w:fldCharType="separate"/>
          </w:r>
          <w:r>
            <w:t>5</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"_Toc128573518" </w:instrText>
          </w:r>
          <w:r>
            <w:fldChar w:fldCharType="separate"/>
          </w:r>
          <w:r>
            <w:rPr>
              <w:rStyle w:val="35"/>
            </w:rPr>
            <w:t>6</w:t>
          </w:r>
          <w:r>
            <w:rPr>
              <w:rStyle w:val="35"/>
              <w:rFonts w:hint="eastAsia"/>
            </w:rPr>
            <w:t xml:space="preserve"> 育苗</w:t>
          </w:r>
          <w:r>
            <w:tab/>
          </w:r>
          <w:r>
            <w:fldChar w:fldCharType="begin"/>
          </w:r>
          <w:r>
            <w:instrText xml:space="preserve"> PAGEREF _Toc128573518 \h </w:instrText>
          </w:r>
          <w:r>
            <w:fldChar w:fldCharType="separate"/>
          </w:r>
          <w:r>
            <w:t>5</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"_Toc128573521" </w:instrText>
          </w:r>
          <w:r>
            <w:fldChar w:fldCharType="separate"/>
          </w:r>
          <w:r>
            <w:rPr>
              <w:rStyle w:val="35"/>
            </w:rPr>
            <w:t>7</w:t>
          </w:r>
          <w:r>
            <w:rPr>
              <w:rStyle w:val="35"/>
              <w:rFonts w:hint="eastAsia"/>
            </w:rPr>
            <w:t xml:space="preserve"> 整地施基肥</w:t>
          </w:r>
          <w:r>
            <w:tab/>
          </w:r>
          <w:r>
            <w:fldChar w:fldCharType="begin"/>
          </w:r>
          <w:r>
            <w:instrText xml:space="preserve"> PAGEREF _Toc128573521 \h </w:instrText>
          </w:r>
          <w:r>
            <w:fldChar w:fldCharType="separate"/>
          </w:r>
          <w:r>
            <w:t>5</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"_Toc128573524" </w:instrText>
          </w:r>
          <w:r>
            <w:fldChar w:fldCharType="separate"/>
          </w:r>
          <w:r>
            <w:rPr>
              <w:rStyle w:val="35"/>
            </w:rPr>
            <w:t>8</w:t>
          </w:r>
          <w:r>
            <w:rPr>
              <w:rStyle w:val="35"/>
              <w:rFonts w:hint="eastAsia"/>
            </w:rPr>
            <w:t xml:space="preserve"> 定植</w:t>
          </w:r>
          <w:r>
            <w:tab/>
          </w:r>
          <w:r>
            <w:fldChar w:fldCharType="begin"/>
          </w:r>
          <w:r>
            <w:instrText xml:space="preserve"> PAGEREF _Toc128573524 \h </w:instrText>
          </w:r>
          <w:r>
            <w:fldChar w:fldCharType="separate"/>
          </w:r>
          <w:r>
            <w:t>5</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"_Toc128573528" </w:instrText>
          </w:r>
          <w:r>
            <w:fldChar w:fldCharType="separate"/>
          </w:r>
          <w:r>
            <w:rPr>
              <w:rStyle w:val="35"/>
            </w:rPr>
            <w:t>9</w:t>
          </w:r>
          <w:r>
            <w:rPr>
              <w:rStyle w:val="35"/>
              <w:rFonts w:hint="eastAsia"/>
            </w:rPr>
            <w:t xml:space="preserve"> 亲本去杂</w:t>
          </w:r>
          <w:r>
            <w:tab/>
          </w:r>
          <w:r>
            <w:fldChar w:fldCharType="begin"/>
          </w:r>
          <w:r>
            <w:instrText xml:space="preserve"> PAGEREF _Toc128573528 \h </w:instrText>
          </w:r>
          <w:r>
            <w:fldChar w:fldCharType="separate"/>
          </w:r>
          <w:r>
            <w:t>5</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"_Toc128573529" </w:instrText>
          </w:r>
          <w:r>
            <w:fldChar w:fldCharType="separate"/>
          </w:r>
          <w:r>
            <w:rPr>
              <w:rStyle w:val="35"/>
            </w:rPr>
            <w:t>10</w:t>
          </w:r>
          <w:r>
            <w:rPr>
              <w:rStyle w:val="35"/>
              <w:rFonts w:hint="eastAsia"/>
            </w:rPr>
            <w:t xml:space="preserve"> 授粉昆虫的投放</w:t>
          </w:r>
          <w:r>
            <w:tab/>
          </w:r>
          <w:r>
            <w:fldChar w:fldCharType="begin"/>
          </w:r>
          <w:r>
            <w:instrText xml:space="preserve"> PAGEREF _Toc128573529 \h </w:instrText>
          </w:r>
          <w:r>
            <w:fldChar w:fldCharType="separate"/>
          </w:r>
          <w:r>
            <w:t>6</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"_Toc128573533" </w:instrText>
          </w:r>
          <w:r>
            <w:fldChar w:fldCharType="separate"/>
          </w:r>
          <w:r>
            <w:rPr>
              <w:rStyle w:val="35"/>
            </w:rPr>
            <w:t>11</w:t>
          </w:r>
          <w:r>
            <w:rPr>
              <w:rStyle w:val="35"/>
              <w:rFonts w:hint="eastAsia"/>
            </w:rPr>
            <w:t xml:space="preserve"> 辅助授粉</w:t>
          </w:r>
          <w:r>
            <w:tab/>
          </w:r>
          <w:r>
            <w:fldChar w:fldCharType="begin"/>
          </w:r>
          <w:r>
            <w:instrText xml:space="preserve"> PAGEREF _Toc128573533 \h </w:instrText>
          </w:r>
          <w:r>
            <w:fldChar w:fldCharType="separate"/>
          </w:r>
          <w:r>
            <w:t>6</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"_Toc128573536" </w:instrText>
          </w:r>
          <w:r>
            <w:fldChar w:fldCharType="separate"/>
          </w:r>
          <w:r>
            <w:rPr>
              <w:rStyle w:val="35"/>
            </w:rPr>
            <w:t>12</w:t>
          </w:r>
          <w:r>
            <w:rPr>
              <w:rStyle w:val="35"/>
              <w:rFonts w:hint="eastAsia"/>
            </w:rPr>
            <w:t xml:space="preserve"> 田间管理</w:t>
          </w:r>
          <w:r>
            <w:tab/>
          </w:r>
          <w:r>
            <w:fldChar w:fldCharType="begin"/>
          </w:r>
          <w:r>
            <w:instrText xml:space="preserve"> PAGEREF _Toc128573536 \h </w:instrText>
          </w:r>
          <w:r>
            <w:fldChar w:fldCharType="separate"/>
          </w:r>
          <w:r>
            <w:t>6</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"_Toc128573540" </w:instrText>
          </w:r>
          <w:r>
            <w:fldChar w:fldCharType="separate"/>
          </w:r>
          <w:r>
            <w:rPr>
              <w:rStyle w:val="35"/>
            </w:rPr>
            <w:t>13</w:t>
          </w:r>
          <w:r>
            <w:rPr>
              <w:rStyle w:val="35"/>
              <w:rFonts w:hint="eastAsia"/>
            </w:rPr>
            <w:t xml:space="preserve"> 病虫害防治</w:t>
          </w:r>
          <w:r>
            <w:tab/>
          </w:r>
          <w:r>
            <w:fldChar w:fldCharType="begin"/>
          </w:r>
          <w:r>
            <w:instrText xml:space="preserve"> PAGEREF _Toc128573540 \h </w:instrText>
          </w:r>
          <w:r>
            <w:fldChar w:fldCharType="separate"/>
          </w:r>
          <w:r>
            <w:t>6</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"_Toc128573543" </w:instrText>
          </w:r>
          <w:r>
            <w:fldChar w:fldCharType="separate"/>
          </w:r>
          <w:r>
            <w:rPr>
              <w:rStyle w:val="35"/>
            </w:rPr>
            <w:t>14</w:t>
          </w:r>
          <w:r>
            <w:rPr>
              <w:rStyle w:val="35"/>
              <w:rFonts w:hint="eastAsia"/>
            </w:rPr>
            <w:t xml:space="preserve"> 采收及保存</w:t>
          </w:r>
          <w:r>
            <w:tab/>
          </w:r>
          <w:r>
            <w:fldChar w:fldCharType="begin"/>
          </w:r>
          <w:r>
            <w:instrText xml:space="preserve"> PAGEREF _Toc128573543 \h </w:instrText>
          </w:r>
          <w:r>
            <w:fldChar w:fldCharType="separate"/>
          </w:r>
          <w:r>
            <w:t>7</w:t>
          </w:r>
          <w:r>
            <w:fldChar w:fldCharType="end"/>
          </w:r>
          <w:r>
            <w:fldChar w:fldCharType="end"/>
          </w:r>
        </w:p>
        <w:p>
          <w:pPr>
            <w:pStyle w:val="18"/>
            <w:rPr>
              <w:rFonts w:asciiTheme="minorHAnsi" w:hAnsiTheme="minorHAnsi" w:eastAsiaTheme="minorEastAsia" w:cstheme="minorBidi"/>
              <w:color w:val="auto"/>
              <w:kern w:val="2"/>
            </w:rPr>
          </w:pPr>
          <w:r>
            <w:fldChar w:fldCharType="begin"/>
          </w:r>
          <w:r>
            <w:instrText xml:space="preserve"> HYPERLINK \l "_Toc128573546" </w:instrText>
          </w:r>
          <w:r>
            <w:fldChar w:fldCharType="separate"/>
          </w:r>
          <w:r>
            <w:rPr>
              <w:rStyle w:val="35"/>
              <w:rFonts w:hint="eastAsia"/>
            </w:rPr>
            <w:t>附 录 A（资料性）菜薹雄性不育系繁育化学药剂防治表</w:t>
          </w:r>
          <w:r>
            <w:tab/>
          </w:r>
          <w:r>
            <w:fldChar w:fldCharType="begin"/>
          </w:r>
          <w:r>
            <w:instrText xml:space="preserve"> PAGEREF _Toc128573546 \h </w:instrText>
          </w:r>
          <w:r>
            <w:fldChar w:fldCharType="separate"/>
          </w:r>
          <w:r>
            <w:t>8</w:t>
          </w:r>
          <w:r>
            <w:fldChar w:fldCharType="end"/>
          </w:r>
          <w:r>
            <w:fldChar w:fldCharType="end"/>
          </w:r>
        </w:p>
        <w:p>
          <w:pPr>
            <w:pStyle w:val="18"/>
            <w:rPr>
              <w:rStyle w:val="35"/>
            </w:rPr>
          </w:pPr>
          <w:r>
            <w:fldChar w:fldCharType="begin"/>
          </w:r>
          <w:r>
            <w:instrText xml:space="preserve"> HYPERLINK \l "_Toc128573547" </w:instrText>
          </w:r>
          <w:r>
            <w:fldChar w:fldCharType="separate"/>
          </w:r>
          <w:r>
            <w:rPr>
              <w:rStyle w:val="35"/>
              <w:rFonts w:hint="eastAsia"/>
            </w:rPr>
            <w:t>附</w:t>
          </w:r>
          <w:r>
            <w:rPr>
              <w:rStyle w:val="35"/>
            </w:rPr>
            <w:t xml:space="preserve"> </w:t>
          </w:r>
          <w:r>
            <w:rPr>
              <w:rStyle w:val="35"/>
              <w:rFonts w:hint="eastAsia"/>
            </w:rPr>
            <w:t>录</w:t>
          </w:r>
          <w:r>
            <w:rPr>
              <w:rStyle w:val="35"/>
            </w:rPr>
            <w:t xml:space="preserve"> B（资料性）</w:t>
          </w:r>
          <w:r>
            <w:rPr>
              <w:rStyle w:val="35"/>
              <w:rFonts w:hint="eastAsia"/>
            </w:rPr>
            <w:t>菜薹雄性不育系繁育记载档案</w:t>
          </w:r>
          <w:r>
            <w:rPr>
              <w:rStyle w:val="35"/>
            </w:rPr>
            <w:tab/>
          </w:r>
          <w:r>
            <w:rPr>
              <w:rStyle w:val="35"/>
            </w:rPr>
            <w:fldChar w:fldCharType="begin"/>
          </w:r>
          <w:r>
            <w:rPr>
              <w:rStyle w:val="35"/>
            </w:rPr>
            <w:instrText xml:space="preserve"> PAGEREF _Toc128573547 \h </w:instrText>
          </w:r>
          <w:r>
            <w:rPr>
              <w:rStyle w:val="35"/>
            </w:rPr>
            <w:fldChar w:fldCharType="separate"/>
          </w:r>
          <w:r>
            <w:rPr>
              <w:rStyle w:val="35"/>
            </w:rPr>
            <w:t>9</w:t>
          </w:r>
          <w:r>
            <w:rPr>
              <w:rStyle w:val="35"/>
            </w:rPr>
            <w:fldChar w:fldCharType="end"/>
          </w:r>
          <w:r>
            <w:rPr>
              <w:rStyle w:val="35"/>
            </w:rPr>
            <w:fldChar w:fldCharType="end"/>
          </w:r>
        </w:p>
        <w:p>
          <w:pPr>
            <w:pStyle w:val="18"/>
            <w:rPr>
              <w:rFonts w:cstheme="minorBidi"/>
              <w:kern w:val="2"/>
            </w:rPr>
          </w:pPr>
          <w:r>
            <w:rPr>
              <w:lang w:val="zh-CN"/>
            </w:rPr>
            <w:fldChar w:fldCharType="end"/>
          </w:r>
        </w:p>
        <w:p/>
      </w:sdtContent>
    </w:sdt>
    <w:p/>
    <w:p>
      <w:pPr>
        <w:widowControl/>
        <w:jc w:val="left"/>
      </w:pPr>
      <w:r>
        <w:br w:type="page"/>
      </w:r>
    </w:p>
    <w:p>
      <w:pPr>
        <w:pStyle w:val="147"/>
        <w:tabs>
          <w:tab w:val="center" w:pos="4677"/>
          <w:tab w:val="right" w:pos="9355"/>
        </w:tabs>
        <w:jc w:val="left"/>
      </w:pPr>
      <w:r>
        <w:tab/>
      </w:r>
      <w:bookmarkStart w:id="9" w:name="_Toc128573509"/>
      <w:r>
        <w:rPr>
          <w:rFonts w:hint="eastAsia"/>
        </w:rPr>
        <w:t>前</w:t>
      </w:r>
      <w:bookmarkStart w:id="10" w:name="BKQY"/>
      <w:r>
        <w:t>  </w:t>
      </w:r>
      <w:r>
        <w:rPr>
          <w:rFonts w:hint="eastAsia"/>
        </w:rPr>
        <w:t>言</w:t>
      </w:r>
      <w:bookmarkEnd w:id="4"/>
      <w:bookmarkEnd w:id="5"/>
      <w:bookmarkEnd w:id="6"/>
      <w:bookmarkEnd w:id="7"/>
      <w:bookmarkEnd w:id="8"/>
      <w:bookmarkEnd w:id="9"/>
      <w:bookmarkEnd w:id="10"/>
      <w:r>
        <w:tab/>
      </w:r>
    </w:p>
    <w:p>
      <w:pPr>
        <w:pStyle w:val="178"/>
        <w:rPr>
          <w:rStyle w:val="175"/>
          <w:rFonts w:hAnsi="宋体"/>
        </w:rPr>
      </w:pPr>
      <w:r>
        <w:rPr>
          <w:rStyle w:val="175"/>
          <w:rFonts w:hAnsi="宋体"/>
        </w:rPr>
        <w:t>本文件按照GB/T 1.1—2020</w:t>
      </w:r>
      <w:r>
        <w:rPr>
          <w:rStyle w:val="175"/>
        </w:rPr>
        <w:t>《标准化工作导则 第1部分：标准化文件的结构和起草规则》</w:t>
      </w:r>
      <w:r>
        <w:rPr>
          <w:rStyle w:val="175"/>
          <w:rFonts w:hAnsi="宋体"/>
        </w:rPr>
        <w:t>的规则起草。</w:t>
      </w:r>
    </w:p>
    <w:p>
      <w:pPr>
        <w:pStyle w:val="178"/>
        <w:rPr>
          <w:rStyle w:val="175"/>
          <w:rFonts w:hAnsi="宋体"/>
        </w:rPr>
      </w:pPr>
      <w:r>
        <w:rPr>
          <w:rStyle w:val="175"/>
          <w:rFonts w:hAnsi="宋体"/>
        </w:rPr>
        <w:t>请注意本文件的某些内容可能涉及专利。本文件的发布机构不承担识别这些专利的责任。</w:t>
      </w:r>
    </w:p>
    <w:p>
      <w:pPr>
        <w:pStyle w:val="178"/>
        <w:rPr>
          <w:rStyle w:val="175"/>
          <w:rFonts w:hAnsi="宋体"/>
        </w:rPr>
      </w:pPr>
      <w:r>
        <w:rPr>
          <w:rStyle w:val="175"/>
          <w:rFonts w:hAnsi="宋体"/>
        </w:rPr>
        <w:t>本文件由湖南省</w:t>
      </w:r>
      <w:r>
        <w:rPr>
          <w:rStyle w:val="175"/>
          <w:rFonts w:hint="eastAsia" w:hAnsi="宋体"/>
        </w:rPr>
        <w:t>农业农村厅</w:t>
      </w:r>
      <w:r>
        <w:rPr>
          <w:rStyle w:val="175"/>
          <w:rFonts w:hAnsi="宋体"/>
        </w:rPr>
        <w:t>提出。</w:t>
      </w:r>
    </w:p>
    <w:p>
      <w:pPr>
        <w:pStyle w:val="178"/>
        <w:rPr>
          <w:rStyle w:val="175"/>
          <w:rFonts w:hAnsi="宋体"/>
        </w:rPr>
      </w:pPr>
      <w:r>
        <w:rPr>
          <w:rStyle w:val="175"/>
          <w:rFonts w:hAnsi="宋体"/>
        </w:rPr>
        <w:t>本文件由湖南省农业标准化技术委员会归口。</w:t>
      </w:r>
    </w:p>
    <w:p>
      <w:pPr>
        <w:pStyle w:val="178"/>
        <w:rPr>
          <w:rStyle w:val="175"/>
          <w:rFonts w:hAnsi="宋体"/>
        </w:rPr>
      </w:pPr>
      <w:r>
        <w:rPr>
          <w:rStyle w:val="175"/>
          <w:rFonts w:hAnsi="宋体"/>
        </w:rPr>
        <w:t>本文件起草单位：湖南省蔬菜研究所。</w:t>
      </w:r>
    </w:p>
    <w:p>
      <w:pPr>
        <w:pStyle w:val="178"/>
        <w:rPr>
          <w:rStyle w:val="175"/>
          <w:rFonts w:hAnsi="宋体"/>
        </w:rPr>
      </w:pPr>
      <w:r>
        <w:rPr>
          <w:rStyle w:val="175"/>
          <w:rFonts w:hAnsi="宋体"/>
        </w:rPr>
        <w:t>本文件主要起草人：</w:t>
      </w:r>
      <w:r>
        <w:rPr>
          <w:rStyle w:val="175"/>
          <w:rFonts w:ascii="Times New Roman"/>
          <w:color w:val="000000"/>
        </w:rPr>
        <w:t>吴艺飞、丁茁荑、周晓波、刘志全</w:t>
      </w:r>
      <w:r>
        <w:rPr>
          <w:rStyle w:val="175"/>
          <w:rFonts w:hAnsi="宋体"/>
        </w:rPr>
        <w:t>。</w:t>
      </w:r>
    </w:p>
    <w:p>
      <w:pPr>
        <w:pStyle w:val="178"/>
        <w:rPr>
          <w:rStyle w:val="175"/>
          <w:rFonts w:hAnsi="宋体"/>
        </w:rPr>
      </w:pPr>
    </w:p>
    <w:p>
      <w:pPr>
        <w:pStyle w:val="147"/>
        <w:jc w:val="both"/>
        <w:sectPr>
          <w:footerReference r:id="rId6" w:type="default"/>
          <w:footerReference r:id="rId7" w:type="even"/>
          <w:pgSz w:w="11906" w:h="16838"/>
          <w:pgMar w:top="567" w:right="1134" w:bottom="1134" w:left="1417" w:header="1418" w:footer="1134" w:gutter="0"/>
          <w:pgNumType w:fmt="upperRoman" w:start="1"/>
          <w:cols w:space="720" w:num="1"/>
          <w:formProt w:val="0"/>
          <w:docGrid w:type="lines" w:linePitch="312" w:charSpace="0"/>
        </w:sectPr>
      </w:pPr>
    </w:p>
    <w:p>
      <w:pPr>
        <w:pStyle w:val="77"/>
        <w:framePr w:w="0" w:hRule="auto" w:wrap="auto" w:vAnchor="margin" w:hAnchor="text" w:xAlign="left" w:yAlign="inline"/>
        <w:jc w:val="both"/>
        <w:rPr>
          <w:sz w:val="32"/>
        </w:rPr>
      </w:pPr>
      <w:bookmarkStart w:id="11" w:name="_Toc405640928"/>
    </w:p>
    <w:p>
      <w:pPr>
        <w:pStyle w:val="77"/>
        <w:framePr w:w="0" w:hRule="auto" w:wrap="auto" w:vAnchor="margin" w:hAnchor="text" w:xAlign="left" w:yAlign="inline"/>
        <w:spacing w:line="240" w:lineRule="auto"/>
        <w:ind w:firstLine="160" w:firstLineChars="50"/>
        <w:rPr>
          <w:sz w:val="32"/>
        </w:rPr>
      </w:pPr>
      <w:r>
        <w:rPr>
          <w:rFonts w:hint="eastAsia"/>
          <w:sz w:val="32"/>
        </w:rPr>
        <w:t>菜薹雄性不育系的网室繁育技术</w:t>
      </w:r>
      <w:bookmarkEnd w:id="11"/>
      <w:r>
        <w:rPr>
          <w:rFonts w:hint="eastAsia"/>
          <w:sz w:val="32"/>
        </w:rPr>
        <w:t>规程</w:t>
      </w:r>
    </w:p>
    <w:p>
      <w:pPr>
        <w:pStyle w:val="118"/>
        <w:ind w:left="0"/>
        <w:outlineLvl w:val="0"/>
        <w:rPr>
          <w:b/>
        </w:rPr>
      </w:pPr>
      <w:bookmarkStart w:id="12" w:name="_Toc384473981"/>
      <w:bookmarkStart w:id="13" w:name="_Toc385162463"/>
      <w:bookmarkStart w:id="14" w:name="_Toc385925186"/>
      <w:bookmarkStart w:id="15" w:name="_Toc385162634"/>
      <w:bookmarkStart w:id="16" w:name="_Toc54950021"/>
      <w:bookmarkStart w:id="17" w:name="_Toc385162548"/>
      <w:bookmarkStart w:id="18" w:name="_Toc385925247"/>
      <w:bookmarkStart w:id="19" w:name="_Toc128573510"/>
      <w:r>
        <w:rPr>
          <w:rFonts w:hint="eastAsia"/>
          <w:b/>
        </w:rPr>
        <w:t>范围</w:t>
      </w:r>
      <w:bookmarkEnd w:id="12"/>
      <w:bookmarkEnd w:id="13"/>
      <w:bookmarkEnd w:id="14"/>
      <w:bookmarkEnd w:id="15"/>
      <w:bookmarkEnd w:id="16"/>
      <w:bookmarkEnd w:id="17"/>
      <w:bookmarkEnd w:id="18"/>
      <w:bookmarkEnd w:id="19"/>
    </w:p>
    <w:p>
      <w:pPr>
        <w:pStyle w:val="178"/>
        <w:rPr>
          <w:rStyle w:val="175"/>
        </w:rPr>
      </w:pPr>
      <w:bookmarkStart w:id="20" w:name="_Hlk89199453"/>
      <w:r>
        <w:rPr>
          <w:rStyle w:val="175"/>
        </w:rPr>
        <w:t>本</w:t>
      </w:r>
      <w:r>
        <w:rPr>
          <w:rStyle w:val="175"/>
          <w:rFonts w:hint="eastAsia"/>
        </w:rPr>
        <w:t>文件</w:t>
      </w:r>
      <w:r>
        <w:rPr>
          <w:rStyle w:val="175"/>
        </w:rPr>
        <w:t>规定了</w:t>
      </w:r>
      <w:r>
        <w:rPr>
          <w:rStyle w:val="175"/>
          <w:rFonts w:hint="eastAsia"/>
        </w:rPr>
        <w:t>菜薹雄性不育系的网室繁育技术的</w:t>
      </w:r>
      <w:r>
        <w:rPr>
          <w:rStyle w:val="175"/>
        </w:rPr>
        <w:t>术语和定义、基地选择、网室的搭建、育苗、整地施基肥、定植、亲本去杂、授粉昆虫的投放、辅助授粉、田间管理、病虫害防治和采收及保存的基本要求。</w:t>
      </w:r>
    </w:p>
    <w:p>
      <w:pPr>
        <w:spacing w:line="360" w:lineRule="auto"/>
        <w:ind w:firstLine="420" w:firstLineChars="200"/>
        <w:jc w:val="left"/>
        <w:rPr>
          <w:rFonts w:ascii="宋体"/>
          <w:kern w:val="0"/>
          <w:szCs w:val="20"/>
        </w:rPr>
      </w:pPr>
      <w:r>
        <w:rPr>
          <w:rStyle w:val="175"/>
          <w:rFonts w:ascii="宋体"/>
          <w:kern w:val="0"/>
          <w:szCs w:val="20"/>
        </w:rPr>
        <w:t>本</w:t>
      </w:r>
      <w:r>
        <w:rPr>
          <w:rStyle w:val="175"/>
          <w:rFonts w:hint="eastAsia" w:ascii="宋体"/>
          <w:kern w:val="0"/>
          <w:szCs w:val="20"/>
        </w:rPr>
        <w:t>文件</w:t>
      </w:r>
      <w:r>
        <w:rPr>
          <w:rStyle w:val="175"/>
          <w:rFonts w:ascii="宋体"/>
          <w:kern w:val="0"/>
          <w:szCs w:val="20"/>
        </w:rPr>
        <w:t>适用于</w:t>
      </w:r>
      <w:r>
        <w:rPr>
          <w:rStyle w:val="175"/>
          <w:rFonts w:hint="eastAsia" w:ascii="宋体"/>
          <w:kern w:val="0"/>
          <w:szCs w:val="20"/>
        </w:rPr>
        <w:t>湖南地区菜薹</w:t>
      </w:r>
      <w:r>
        <w:rPr>
          <w:rStyle w:val="175"/>
          <w:rFonts w:hint="eastAsia"/>
        </w:rPr>
        <w:t>雄性</w:t>
      </w:r>
      <w:r>
        <w:rPr>
          <w:rStyle w:val="175"/>
          <w:rFonts w:hint="eastAsia" w:ascii="宋体"/>
          <w:kern w:val="0"/>
          <w:szCs w:val="20"/>
        </w:rPr>
        <w:t>不育系的网室繁育</w:t>
      </w:r>
      <w:r>
        <w:rPr>
          <w:rStyle w:val="175"/>
          <w:rFonts w:ascii="宋体"/>
          <w:kern w:val="0"/>
          <w:szCs w:val="20"/>
        </w:rPr>
        <w:t>。</w:t>
      </w:r>
      <w:bookmarkEnd w:id="20"/>
    </w:p>
    <w:p>
      <w:pPr>
        <w:pStyle w:val="118"/>
        <w:ind w:left="0"/>
        <w:outlineLvl w:val="0"/>
        <w:rPr>
          <w:b/>
        </w:rPr>
      </w:pPr>
      <w:bookmarkStart w:id="21" w:name="_Toc385925248"/>
      <w:bookmarkStart w:id="22" w:name="_Toc385162635"/>
      <w:bookmarkStart w:id="23" w:name="_Toc385925187"/>
      <w:bookmarkStart w:id="24" w:name="_Toc54950022"/>
      <w:bookmarkStart w:id="25" w:name="_Toc385162549"/>
      <w:bookmarkStart w:id="26" w:name="_Toc128573511"/>
      <w:bookmarkStart w:id="27" w:name="_Toc385162464"/>
      <w:bookmarkStart w:id="28" w:name="_Toc384473982"/>
      <w:r>
        <w:rPr>
          <w:rFonts w:hint="eastAsia"/>
          <w:b/>
        </w:rPr>
        <w:t>规范性引用文件</w:t>
      </w:r>
      <w:bookmarkEnd w:id="21"/>
      <w:bookmarkEnd w:id="22"/>
      <w:bookmarkEnd w:id="23"/>
      <w:bookmarkEnd w:id="24"/>
      <w:bookmarkEnd w:id="25"/>
      <w:bookmarkEnd w:id="26"/>
      <w:bookmarkEnd w:id="27"/>
      <w:bookmarkEnd w:id="28"/>
    </w:p>
    <w:p>
      <w:pPr>
        <w:pStyle w:val="178"/>
        <w:rPr>
          <w:rStyle w:val="175"/>
        </w:rPr>
      </w:pPr>
      <w:bookmarkStart w:id="29" w:name="_Toc385162465"/>
      <w:bookmarkStart w:id="30" w:name="_Toc385925188"/>
      <w:bookmarkStart w:id="31" w:name="_Toc385925249"/>
      <w:bookmarkStart w:id="32" w:name="_Toc385162636"/>
      <w:bookmarkStart w:id="33" w:name="_Toc385162550"/>
      <w:r>
        <w:rPr>
          <w:rStyle w:val="175"/>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1"/>
        <w:ind w:firstLineChars="0"/>
        <w:rPr>
          <w:rStyle w:val="175"/>
        </w:rPr>
      </w:pPr>
      <w:bookmarkStart w:id="34" w:name="_Hlk89199496"/>
      <w:r>
        <w:rPr>
          <w:rStyle w:val="175"/>
        </w:rPr>
        <w:t>GB/T 8321 农药合理使用准则</w:t>
      </w:r>
    </w:p>
    <w:p>
      <w:pPr>
        <w:pStyle w:val="21"/>
        <w:ind w:firstLineChars="0"/>
        <w:rPr>
          <w:rStyle w:val="175"/>
        </w:rPr>
      </w:pPr>
      <w:r>
        <w:rPr>
          <w:rStyle w:val="175"/>
        </w:rPr>
        <w:t>GB 16715.2-2010 瓜菜作物种子 第2部分：白菜类</w:t>
      </w:r>
    </w:p>
    <w:p>
      <w:pPr>
        <w:pStyle w:val="21"/>
        <w:rPr>
          <w:rStyle w:val="175"/>
        </w:rPr>
      </w:pPr>
      <w:r>
        <w:rPr>
          <w:rFonts w:hint="eastAsia"/>
        </w:rPr>
        <w:t>NY/T 394</w:t>
      </w:r>
      <w:r>
        <w:t xml:space="preserve"> </w:t>
      </w:r>
      <w:r>
        <w:rPr>
          <w:rFonts w:hint="eastAsia"/>
        </w:rPr>
        <w:t>绿色食品 肥料使用准则</w:t>
      </w:r>
    </w:p>
    <w:bookmarkEnd w:id="34"/>
    <w:p>
      <w:pPr>
        <w:pStyle w:val="21"/>
        <w:rPr>
          <w:rStyle w:val="175"/>
        </w:rPr>
      </w:pPr>
      <w:r>
        <w:rPr>
          <w:rStyle w:val="175"/>
        </w:rPr>
        <w:t>NY</w:t>
      </w:r>
      <w:r>
        <w:rPr>
          <w:rStyle w:val="175"/>
          <w:rFonts w:hint="eastAsia"/>
        </w:rPr>
        <w:t>/T</w:t>
      </w:r>
      <w:r>
        <w:rPr>
          <w:rStyle w:val="175"/>
        </w:rPr>
        <w:t xml:space="preserve"> 1276 农药安全使用规范总则</w:t>
      </w:r>
    </w:p>
    <w:p>
      <w:pPr>
        <w:pStyle w:val="21"/>
        <w:rPr>
          <w:rStyle w:val="175"/>
          <w:rFonts w:ascii="Times New Roman"/>
        </w:rPr>
      </w:pPr>
      <w:r>
        <w:t>NY/T 2118 蔬菜育苗基质</w:t>
      </w:r>
    </w:p>
    <w:p>
      <w:pPr>
        <w:pStyle w:val="118"/>
        <w:ind w:left="0"/>
        <w:outlineLvl w:val="0"/>
        <w:rPr>
          <w:b/>
        </w:rPr>
      </w:pPr>
      <w:bookmarkStart w:id="35" w:name="_Toc128573512"/>
      <w:bookmarkStart w:id="36" w:name="_Toc54950023"/>
      <w:r>
        <w:rPr>
          <w:rFonts w:hint="eastAsia"/>
          <w:b/>
        </w:rPr>
        <w:t>术语和定义</w:t>
      </w:r>
      <w:bookmarkEnd w:id="29"/>
      <w:bookmarkEnd w:id="30"/>
      <w:bookmarkEnd w:id="31"/>
      <w:bookmarkEnd w:id="32"/>
      <w:bookmarkEnd w:id="33"/>
      <w:bookmarkEnd w:id="35"/>
      <w:bookmarkEnd w:id="36"/>
    </w:p>
    <w:p>
      <w:pPr>
        <w:pStyle w:val="21"/>
      </w:pPr>
      <w:r>
        <w:t>下列术语和定义适用于本文件。</w:t>
      </w:r>
    </w:p>
    <w:p>
      <w:pPr>
        <w:pStyle w:val="41"/>
      </w:pPr>
      <w:bookmarkStart w:id="37" w:name="_Toc128573513"/>
      <w:bookmarkEnd w:id="37"/>
      <w:bookmarkStart w:id="38" w:name="_Toc385162551"/>
      <w:bookmarkEnd w:id="38"/>
      <w:bookmarkStart w:id="39" w:name="_Toc54950024"/>
      <w:bookmarkEnd w:id="39"/>
      <w:bookmarkStart w:id="40" w:name="_Toc90548688"/>
      <w:bookmarkEnd w:id="40"/>
      <w:bookmarkStart w:id="41" w:name="_Toc385162466"/>
      <w:bookmarkEnd w:id="41"/>
      <w:bookmarkStart w:id="42" w:name="_Toc385162637"/>
      <w:bookmarkEnd w:id="42"/>
    </w:p>
    <w:p>
      <w:pPr>
        <w:pStyle w:val="184"/>
        <w:ind w:firstLine="420" w:firstLineChars="200"/>
        <w:jc w:val="both"/>
      </w:pPr>
      <w:r>
        <w:rPr>
          <w:rStyle w:val="175"/>
          <w:rFonts w:hint="eastAsia"/>
        </w:rPr>
        <w:t>雄性不育系</w:t>
      </w:r>
      <w:r>
        <w:rPr>
          <w:rStyle w:val="175"/>
        </w:rPr>
        <w:t xml:space="preserve"> </w:t>
      </w:r>
      <w:r>
        <w:t>male sterile line</w:t>
      </w:r>
    </w:p>
    <w:p>
      <w:pPr>
        <w:pStyle w:val="178"/>
        <w:rPr>
          <w:rStyle w:val="175"/>
        </w:rPr>
      </w:pPr>
      <w:r>
        <w:rPr>
          <w:rStyle w:val="175"/>
        </w:rPr>
        <w:t>在</w:t>
      </w:r>
      <w:r>
        <w:rPr>
          <w:rStyle w:val="175"/>
        </w:rPr>
        <w:fldChar w:fldCharType="begin"/>
      </w:r>
      <w:r>
        <w:rPr>
          <w:rStyle w:val="175"/>
        </w:rPr>
        <w:instrText xml:space="preserve"> HYPERLINK "https://doc.wiki8.cn/cixiongtongzhu_104494/" \o "医学百科：雌雄同株" </w:instrText>
      </w:r>
      <w:r>
        <w:rPr>
          <w:rStyle w:val="175"/>
        </w:rPr>
        <w:fldChar w:fldCharType="separate"/>
      </w:r>
      <w:r>
        <w:rPr>
          <w:rStyle w:val="175"/>
        </w:rPr>
        <w:t>雌雄同株</w:t>
      </w:r>
      <w:r>
        <w:rPr>
          <w:rStyle w:val="175"/>
        </w:rPr>
        <w:fldChar w:fldCharType="end"/>
      </w:r>
      <w:r>
        <w:rPr>
          <w:rStyle w:val="175"/>
        </w:rPr>
        <w:t>植物中，</w:t>
      </w:r>
      <w:r>
        <w:fldChar w:fldCharType="begin"/>
      </w:r>
      <w:r>
        <w:instrText xml:space="preserve"> HYPERLINK "https://doc.wiki8.cn/xiongrui_105830/" \o "医学百科：雄蕊" </w:instrText>
      </w:r>
      <w:r>
        <w:fldChar w:fldCharType="separate"/>
      </w:r>
      <w:r>
        <w:rPr>
          <w:rStyle w:val="175"/>
        </w:rPr>
        <w:t>雄蕊</w:t>
      </w:r>
      <w:r>
        <w:rPr>
          <w:rStyle w:val="175"/>
        </w:rPr>
        <w:fldChar w:fldCharType="end"/>
      </w:r>
      <w:r>
        <w:fldChar w:fldCharType="begin"/>
      </w:r>
      <w:r>
        <w:instrText xml:space="preserve"> HYPERLINK "https://doc.wiki8.cn/fayu_107306/" \o "医学百科：发育" </w:instrText>
      </w:r>
      <w:r>
        <w:fldChar w:fldCharType="separate"/>
      </w:r>
      <w:r>
        <w:rPr>
          <w:rStyle w:val="175"/>
        </w:rPr>
        <w:t>发育</w:t>
      </w:r>
      <w:r>
        <w:rPr>
          <w:rStyle w:val="175"/>
        </w:rPr>
        <w:fldChar w:fldCharType="end"/>
      </w:r>
      <w:r>
        <w:rPr>
          <w:rStyle w:val="175"/>
        </w:rPr>
        <w:t>不正常，不能产生有活力的</w:t>
      </w:r>
      <w:r>
        <w:fldChar w:fldCharType="begin"/>
      </w:r>
      <w:r>
        <w:instrText xml:space="preserve"> HYPERLINK "https://doc.wiki8.cn/huafen_27784/" \o "医学百科：花粉" </w:instrText>
      </w:r>
      <w:r>
        <w:fldChar w:fldCharType="separate"/>
      </w:r>
      <w:r>
        <w:rPr>
          <w:rStyle w:val="175"/>
        </w:rPr>
        <w:t>花粉</w:t>
      </w:r>
      <w:r>
        <w:rPr>
          <w:rStyle w:val="175"/>
        </w:rPr>
        <w:fldChar w:fldCharType="end"/>
      </w:r>
      <w:r>
        <w:rPr>
          <w:rStyle w:val="175"/>
        </w:rPr>
        <w:t>，但它的</w:t>
      </w:r>
      <w:r>
        <w:fldChar w:fldCharType="begin"/>
      </w:r>
      <w:r>
        <w:instrText xml:space="preserve"> HYPERLINK "https://doc.wiki8.cn/cirui_104527/" \o "医学百科：雌蕊" </w:instrText>
      </w:r>
      <w:r>
        <w:fldChar w:fldCharType="separate"/>
      </w:r>
      <w:r>
        <w:rPr>
          <w:rStyle w:val="175"/>
        </w:rPr>
        <w:t>雌蕊</w:t>
      </w:r>
      <w:r>
        <w:rPr>
          <w:rStyle w:val="175"/>
        </w:rPr>
        <w:fldChar w:fldCharType="end"/>
      </w:r>
      <w:r>
        <w:fldChar w:fldCharType="begin"/>
      </w:r>
      <w:r>
        <w:instrText xml:space="preserve"> HYPERLINK "https://doc.wiki8.cn/fayu_107306/" \o "医学百科：发育" </w:instrText>
      </w:r>
      <w:r>
        <w:fldChar w:fldCharType="separate"/>
      </w:r>
      <w:r>
        <w:rPr>
          <w:rStyle w:val="175"/>
        </w:rPr>
        <w:t>发育</w:t>
      </w:r>
      <w:r>
        <w:rPr>
          <w:rStyle w:val="175"/>
        </w:rPr>
        <w:fldChar w:fldCharType="end"/>
      </w:r>
      <w:r>
        <w:rPr>
          <w:rStyle w:val="175"/>
        </w:rPr>
        <w:t>正常，能接受正常</w:t>
      </w:r>
      <w:r>
        <w:fldChar w:fldCharType="begin"/>
      </w:r>
      <w:r>
        <w:instrText xml:space="preserve"> HYPERLINK "https://doc.wiki8.cn/huafen_27784/" \o "医学百科：花粉" </w:instrText>
      </w:r>
      <w:r>
        <w:fldChar w:fldCharType="separate"/>
      </w:r>
      <w:r>
        <w:rPr>
          <w:rStyle w:val="175"/>
        </w:rPr>
        <w:t>花粉</w:t>
      </w:r>
      <w:r>
        <w:rPr>
          <w:rStyle w:val="175"/>
        </w:rPr>
        <w:fldChar w:fldCharType="end"/>
      </w:r>
      <w:r>
        <w:rPr>
          <w:rStyle w:val="175"/>
        </w:rPr>
        <w:t>而</w:t>
      </w:r>
      <w:r>
        <w:fldChar w:fldCharType="begin"/>
      </w:r>
      <w:r>
        <w:instrText xml:space="preserve"> HYPERLINK "https://doc.wiki8.cn/shoujing_9/" \o "医学百科：受精" </w:instrText>
      </w:r>
      <w:r>
        <w:fldChar w:fldCharType="separate"/>
      </w:r>
      <w:r>
        <w:rPr>
          <w:rStyle w:val="175"/>
        </w:rPr>
        <w:t>受精</w:t>
      </w:r>
      <w:r>
        <w:rPr>
          <w:rStyle w:val="175"/>
        </w:rPr>
        <w:fldChar w:fldCharType="end"/>
      </w:r>
      <w:r>
        <w:rPr>
          <w:rStyle w:val="175"/>
        </w:rPr>
        <w:t>结实，并能将</w:t>
      </w:r>
      <w:r>
        <w:fldChar w:fldCharType="begin"/>
      </w:r>
      <w:r>
        <w:instrText xml:space="preserve"> HYPERLINK "https://doc.wiki8.cn/xiongxingbuyu_105834/" \o "医学百科：雄性不育" </w:instrText>
      </w:r>
      <w:r>
        <w:fldChar w:fldCharType="separate"/>
      </w:r>
      <w:r>
        <w:rPr>
          <w:rStyle w:val="175"/>
        </w:rPr>
        <w:t>雄性不育</w:t>
      </w:r>
      <w:r>
        <w:rPr>
          <w:rStyle w:val="175"/>
        </w:rPr>
        <w:fldChar w:fldCharType="end"/>
      </w:r>
      <w:r>
        <w:rPr>
          <w:rStyle w:val="175"/>
        </w:rPr>
        <w:t>性</w:t>
      </w:r>
      <w:r>
        <w:fldChar w:fldCharType="begin"/>
      </w:r>
      <w:r>
        <w:instrText xml:space="preserve"> HYPERLINK "https://doc.wiki8.cn/yichuan_40770/" \o "医学百科：遗传" </w:instrText>
      </w:r>
      <w:r>
        <w:fldChar w:fldCharType="separate"/>
      </w:r>
      <w:r>
        <w:rPr>
          <w:rStyle w:val="175"/>
        </w:rPr>
        <w:t>遗传</w:t>
      </w:r>
      <w:r>
        <w:rPr>
          <w:rStyle w:val="175"/>
        </w:rPr>
        <w:fldChar w:fldCharType="end"/>
      </w:r>
      <w:r>
        <w:rPr>
          <w:rStyle w:val="175"/>
        </w:rPr>
        <w:t>给后代的植物</w:t>
      </w:r>
      <w:r>
        <w:fldChar w:fldCharType="begin"/>
      </w:r>
      <w:r>
        <w:instrText xml:space="preserve"> HYPERLINK "https://doc.wiki8.cn/pinxi_107836/" \o "医学百科：品系" </w:instrText>
      </w:r>
      <w:r>
        <w:fldChar w:fldCharType="separate"/>
      </w:r>
      <w:r>
        <w:rPr>
          <w:rStyle w:val="175"/>
        </w:rPr>
        <w:t>品系</w:t>
      </w:r>
      <w:r>
        <w:rPr>
          <w:rStyle w:val="175"/>
        </w:rPr>
        <w:fldChar w:fldCharType="end"/>
      </w:r>
      <w:r>
        <w:rPr>
          <w:rStyle w:val="175"/>
        </w:rPr>
        <w:t>。</w:t>
      </w:r>
    </w:p>
    <w:p>
      <w:pPr>
        <w:pStyle w:val="184"/>
        <w:jc w:val="both"/>
        <w:rPr>
          <w:rStyle w:val="175"/>
        </w:rPr>
      </w:pPr>
      <w:r>
        <w:rPr>
          <w:rStyle w:val="175"/>
          <w:rFonts w:hint="eastAsia"/>
        </w:rPr>
        <w:t>3</w:t>
      </w:r>
      <w:r>
        <w:rPr>
          <w:rStyle w:val="175"/>
        </w:rPr>
        <w:t>.2</w:t>
      </w:r>
    </w:p>
    <w:p>
      <w:pPr>
        <w:pStyle w:val="184"/>
        <w:ind w:firstLine="420" w:firstLineChars="200"/>
        <w:jc w:val="both"/>
        <w:rPr>
          <w:rStyle w:val="175"/>
        </w:rPr>
      </w:pPr>
      <w:r>
        <w:rPr>
          <w:rStyle w:val="175"/>
        </w:rPr>
        <w:t>保持系maintainerline</w:t>
      </w:r>
    </w:p>
    <w:p>
      <w:pPr>
        <w:pStyle w:val="178"/>
        <w:rPr>
          <w:rStyle w:val="175"/>
        </w:rPr>
      </w:pPr>
      <w:r>
        <w:rPr>
          <w:rStyle w:val="175"/>
        </w:rPr>
        <w:t>用来给雄性不育系授粉,使F1后代植株继续保持雄性不育特性的品种或品系。</w:t>
      </w:r>
    </w:p>
    <w:p>
      <w:pPr>
        <w:pStyle w:val="189"/>
        <w:numPr>
          <w:ilvl w:val="0"/>
          <w:numId w:val="2"/>
        </w:numPr>
        <w:ind w:left="0"/>
        <w:outlineLvl w:val="0"/>
        <w:rPr>
          <w:rStyle w:val="175"/>
        </w:rPr>
      </w:pPr>
      <w:bookmarkStart w:id="43" w:name="_Toc128573514"/>
      <w:r>
        <w:rPr>
          <w:rStyle w:val="175"/>
        </w:rPr>
        <w:t>基地选择</w:t>
      </w:r>
      <w:bookmarkEnd w:id="43"/>
    </w:p>
    <w:p>
      <w:pPr>
        <w:pStyle w:val="41"/>
      </w:pPr>
      <w:bookmarkStart w:id="44" w:name="_Toc128573515"/>
      <w:r>
        <w:t>气候条件</w:t>
      </w:r>
      <w:bookmarkEnd w:id="44"/>
    </w:p>
    <w:p>
      <w:pPr>
        <w:pStyle w:val="21"/>
      </w:pPr>
      <w:r>
        <w:t>菜薹开花期阳光较充足，气温白天在</w:t>
      </w:r>
      <w:r>
        <w:rPr>
          <w:rFonts w:hint="eastAsia"/>
        </w:rPr>
        <w:t>1</w:t>
      </w:r>
      <w:r>
        <w:t>5</w:t>
      </w:r>
      <w:r>
        <w:rPr>
          <w:rFonts w:hint="eastAsia" w:hAnsi="宋体"/>
        </w:rPr>
        <w:t>︒C</w:t>
      </w:r>
      <w:r>
        <w:rPr>
          <w:rFonts w:hint="eastAsia"/>
        </w:rPr>
        <w:t>～</w:t>
      </w:r>
      <w:r>
        <w:t>25</w:t>
      </w:r>
      <w:r>
        <w:rPr>
          <w:rFonts w:hint="eastAsia" w:hAnsi="宋体"/>
        </w:rPr>
        <w:t>︒C</w:t>
      </w:r>
      <w:r>
        <w:t>，不超过</w:t>
      </w:r>
      <w:r>
        <w:rPr>
          <w:rFonts w:hint="eastAsia"/>
        </w:rPr>
        <w:t>3</w:t>
      </w:r>
      <w:r>
        <w:t>0</w:t>
      </w:r>
      <w:r>
        <w:rPr>
          <w:rFonts w:hint="eastAsia" w:hAnsi="宋体"/>
        </w:rPr>
        <w:t>︒C</w:t>
      </w:r>
      <w:r>
        <w:t>，夜间</w:t>
      </w:r>
      <w:r>
        <w:rPr>
          <w:rFonts w:hint="eastAsia"/>
        </w:rPr>
        <w:t>1</w:t>
      </w:r>
      <w:r>
        <w:t>0</w:t>
      </w:r>
      <w:r>
        <w:rPr>
          <w:rFonts w:hint="eastAsia" w:hAnsi="宋体"/>
        </w:rPr>
        <w:t>︒C</w:t>
      </w:r>
      <w:r>
        <w:rPr>
          <w:rFonts w:hint="eastAsia"/>
        </w:rPr>
        <w:t>～</w:t>
      </w:r>
      <w:r>
        <w:t>15</w:t>
      </w:r>
      <w:r>
        <w:rPr>
          <w:rFonts w:hint="eastAsia" w:hAnsi="宋体"/>
        </w:rPr>
        <w:t>︒C，不低于5︒C</w:t>
      </w:r>
      <w:r>
        <w:t>为宜。</w:t>
      </w:r>
    </w:p>
    <w:p>
      <w:pPr>
        <w:pStyle w:val="41"/>
      </w:pPr>
      <w:bookmarkStart w:id="45" w:name="_Toc128573516"/>
      <w:r>
        <w:t>土壤条件</w:t>
      </w:r>
      <w:bookmarkEnd w:id="45"/>
    </w:p>
    <w:p>
      <w:pPr>
        <w:pStyle w:val="178"/>
        <w:rPr>
          <w:rStyle w:val="175"/>
        </w:rPr>
      </w:pPr>
      <w:r>
        <w:rPr>
          <w:rStyle w:val="175"/>
          <w:rFonts w:hint="eastAsia"/>
        </w:rPr>
        <w:t>选择</w:t>
      </w:r>
      <w:r>
        <w:rPr>
          <w:rStyle w:val="175"/>
        </w:rPr>
        <w:t>地势较平、</w:t>
      </w:r>
      <w:r>
        <w:rPr>
          <w:rFonts w:hint="eastAsia"/>
        </w:rPr>
        <w:t>土层深厚、有机质丰富</w:t>
      </w:r>
      <w:r>
        <w:rPr>
          <w:rStyle w:val="175"/>
        </w:rPr>
        <w:t>、水源充足、排灌方便，两年以上未种植过十字花科蔬菜的</w:t>
      </w:r>
      <w:r>
        <w:rPr>
          <w:rFonts w:hint="eastAsia"/>
        </w:rPr>
        <w:t>沙壤土或壤土</w:t>
      </w:r>
      <w:r>
        <w:rPr>
          <w:rStyle w:val="175"/>
        </w:rPr>
        <w:t>。</w:t>
      </w:r>
      <w:r>
        <w:rPr>
          <w:rStyle w:val="175"/>
          <w:rFonts w:hint="eastAsia"/>
        </w:rPr>
        <w:t xml:space="preserve"> </w:t>
      </w:r>
    </w:p>
    <w:p>
      <w:pPr>
        <w:pStyle w:val="189"/>
        <w:numPr>
          <w:ilvl w:val="0"/>
          <w:numId w:val="2"/>
        </w:numPr>
        <w:ind w:left="0"/>
        <w:outlineLvl w:val="0"/>
        <w:rPr>
          <w:rStyle w:val="175"/>
        </w:rPr>
      </w:pPr>
      <w:bookmarkStart w:id="46" w:name="_Toc128573517"/>
      <w:r>
        <w:rPr>
          <w:rStyle w:val="175"/>
        </w:rPr>
        <w:t>网室的搭建</w:t>
      </w:r>
      <w:bookmarkEnd w:id="46"/>
    </w:p>
    <w:p>
      <w:pPr>
        <w:pStyle w:val="21"/>
      </w:pPr>
      <w:r>
        <w:t>网室为南北走向，主体结构宜采用钢架。跨度</w:t>
      </w:r>
      <w:r>
        <w:rPr>
          <w:rFonts w:hint="eastAsia"/>
        </w:rPr>
        <w:t>8</w:t>
      </w:r>
      <w:r>
        <w:t>m，顶高</w:t>
      </w:r>
      <w:r>
        <w:rPr>
          <w:rFonts w:hint="eastAsia"/>
        </w:rPr>
        <w:t>3</w:t>
      </w:r>
      <w:r>
        <w:t>m、肩高</w:t>
      </w:r>
      <w:r>
        <w:rPr>
          <w:rFonts w:hint="eastAsia"/>
        </w:rPr>
        <w:t>1</w:t>
      </w:r>
      <w:r>
        <w:t>.5m，长度为</w:t>
      </w:r>
      <w:r>
        <w:rPr>
          <w:rFonts w:hint="eastAsia"/>
        </w:rPr>
        <w:t>3</w:t>
      </w:r>
      <w:r>
        <w:t>0m的标准大棚或连栋大棚，顶膜采用无滴膜，四周用</w:t>
      </w:r>
      <w:r>
        <w:rPr>
          <w:rFonts w:hint="eastAsia"/>
        </w:rPr>
        <w:t>4</w:t>
      </w:r>
      <w:r>
        <w:t>0目网纱封严实，防止昆虫进入。</w:t>
      </w:r>
    </w:p>
    <w:p>
      <w:pPr>
        <w:pStyle w:val="189"/>
        <w:numPr>
          <w:ilvl w:val="0"/>
          <w:numId w:val="2"/>
        </w:numPr>
        <w:ind w:left="0"/>
        <w:outlineLvl w:val="0"/>
        <w:rPr>
          <w:rStyle w:val="175"/>
        </w:rPr>
      </w:pPr>
      <w:bookmarkStart w:id="47" w:name="_Toc128573518"/>
      <w:r>
        <w:rPr>
          <w:rStyle w:val="175"/>
        </w:rPr>
        <w:t>育苗</w:t>
      </w:r>
      <w:bookmarkEnd w:id="47"/>
    </w:p>
    <w:p>
      <w:pPr>
        <w:pStyle w:val="41"/>
      </w:pPr>
      <w:bookmarkStart w:id="48" w:name="_Toc128573519"/>
      <w:r>
        <w:t>育苗方式</w:t>
      </w:r>
      <w:bookmarkEnd w:id="48"/>
    </w:p>
    <w:p>
      <w:pPr>
        <w:pStyle w:val="178"/>
      </w:pPr>
      <w:r>
        <w:t>采用</w:t>
      </w:r>
      <w:r>
        <w:rPr>
          <w:rFonts w:hint="eastAsia"/>
        </w:rPr>
        <w:t>集约化育苗方式，</w:t>
      </w:r>
      <w:r>
        <w:t>穴盘宜采用105孔，漂浮盘宜采用</w:t>
      </w:r>
      <w:r>
        <w:rPr>
          <w:rFonts w:hint="eastAsia"/>
        </w:rPr>
        <w:t>1</w:t>
      </w:r>
      <w:r>
        <w:t>62孔</w:t>
      </w:r>
      <w:r>
        <w:rPr>
          <w:rFonts w:hint="eastAsia"/>
        </w:rPr>
        <w:t>。</w:t>
      </w:r>
      <w:r>
        <w:t>商品化育苗基质应符合NY/T 2118的规定。</w:t>
      </w:r>
    </w:p>
    <w:p>
      <w:pPr>
        <w:pStyle w:val="41"/>
      </w:pPr>
      <w:bookmarkStart w:id="49" w:name="_Toc128573520"/>
      <w:r>
        <w:t>播种期的确定</w:t>
      </w:r>
      <w:bookmarkEnd w:id="49"/>
    </w:p>
    <w:p>
      <w:pPr>
        <w:pStyle w:val="178"/>
        <w:ind w:firstLine="0" w:firstLineChars="0"/>
      </w:pPr>
      <w:r>
        <w:rPr>
          <w:rFonts w:hint="eastAsia"/>
        </w:rPr>
        <w:t>6</w:t>
      </w:r>
      <w:r>
        <w:t>.2.1 春季繁种：早熟品种宜2</w:t>
      </w:r>
      <w:r>
        <w:rPr>
          <w:rFonts w:hint="eastAsia"/>
        </w:rPr>
        <w:t>月上中旬播种，中晚熟品种1月上中旬播种；</w:t>
      </w:r>
    </w:p>
    <w:p>
      <w:pPr>
        <w:pStyle w:val="178"/>
        <w:ind w:firstLine="0" w:firstLineChars="0"/>
      </w:pPr>
      <w:r>
        <w:t xml:space="preserve">6.2.2 </w:t>
      </w:r>
      <w:r>
        <w:rPr>
          <w:rFonts w:hint="eastAsia"/>
        </w:rPr>
        <w:t>秋季繁种：早中熟品种（熟性在6</w:t>
      </w:r>
      <w:r>
        <w:t>0d以内）可在秋季繁种，</w:t>
      </w:r>
      <w:r>
        <w:rPr>
          <w:rFonts w:hint="eastAsia"/>
        </w:rPr>
        <w:t>宜8月上中旬播种。</w:t>
      </w:r>
    </w:p>
    <w:p>
      <w:pPr>
        <w:pStyle w:val="189"/>
        <w:numPr>
          <w:ilvl w:val="0"/>
          <w:numId w:val="2"/>
        </w:numPr>
        <w:ind w:left="0"/>
        <w:outlineLvl w:val="0"/>
        <w:rPr>
          <w:rStyle w:val="175"/>
        </w:rPr>
      </w:pPr>
      <w:bookmarkStart w:id="50" w:name="_Toc128573521"/>
      <w:r>
        <w:rPr>
          <w:rStyle w:val="175"/>
        </w:rPr>
        <w:t>整地施基肥</w:t>
      </w:r>
      <w:bookmarkEnd w:id="50"/>
    </w:p>
    <w:p>
      <w:pPr>
        <w:pStyle w:val="41"/>
      </w:pPr>
      <w:bookmarkStart w:id="51" w:name="_Toc128573522"/>
      <w:r>
        <w:rPr>
          <w:rFonts w:hint="eastAsia"/>
        </w:rPr>
        <w:t>施基肥</w:t>
      </w:r>
      <w:bookmarkEnd w:id="51"/>
    </w:p>
    <w:p>
      <w:pPr>
        <w:pStyle w:val="21"/>
      </w:pPr>
      <w:r>
        <w:t>施肥应符合</w:t>
      </w:r>
      <w:r>
        <w:rPr>
          <w:rFonts w:hint="eastAsia"/>
        </w:rPr>
        <w:t>NY/T 394规定。</w:t>
      </w:r>
      <w:r>
        <w:t>每</w:t>
      </w:r>
      <w:r>
        <w:rPr>
          <w:rFonts w:hint="eastAsia"/>
        </w:rPr>
        <w:t>亩均匀撒</w:t>
      </w:r>
      <w:r>
        <w:t>施</w:t>
      </w:r>
      <w:r>
        <w:rPr>
          <w:rFonts w:hint="eastAsia"/>
        </w:rPr>
        <w:t>硫酸钾复合肥（1</w:t>
      </w:r>
      <w:r>
        <w:t>7-17-17</w:t>
      </w:r>
      <w:r>
        <w:rPr>
          <w:rFonts w:hint="eastAsia"/>
        </w:rPr>
        <w:t>）</w:t>
      </w:r>
      <w:r>
        <w:t>25</w:t>
      </w:r>
      <w:r>
        <w:rPr>
          <w:rFonts w:hint="eastAsia"/>
        </w:rPr>
        <w:t>Kg～</w:t>
      </w:r>
      <w:r>
        <w:t>30</w:t>
      </w:r>
      <w:r>
        <w:rPr>
          <w:rFonts w:hint="eastAsia"/>
        </w:rPr>
        <w:t>Kg，优质</w:t>
      </w:r>
      <w:r>
        <w:t>有机肥300</w:t>
      </w:r>
      <w:r>
        <w:rPr>
          <w:rFonts w:hint="eastAsia"/>
        </w:rPr>
        <w:t>Kg～5</w:t>
      </w:r>
      <w:r>
        <w:t>00</w:t>
      </w:r>
      <w:r>
        <w:rPr>
          <w:rFonts w:hint="eastAsia"/>
        </w:rPr>
        <w:t xml:space="preserve"> Kg，撒施后旋耕土壤。</w:t>
      </w:r>
    </w:p>
    <w:p>
      <w:pPr>
        <w:pStyle w:val="41"/>
      </w:pPr>
      <w:bookmarkStart w:id="52" w:name="_Toc128573523"/>
      <w:r>
        <w:rPr>
          <w:rFonts w:hint="eastAsia"/>
        </w:rPr>
        <w:t>整地作畦</w:t>
      </w:r>
      <w:bookmarkEnd w:id="52"/>
    </w:p>
    <w:p>
      <w:pPr>
        <w:pStyle w:val="178"/>
      </w:pPr>
      <w:r>
        <w:t>畦宽0.8</w:t>
      </w:r>
      <w:r>
        <w:rPr>
          <w:rFonts w:hint="eastAsia"/>
        </w:rPr>
        <w:t>m～</w:t>
      </w:r>
      <w:r>
        <w:t>1.0</w:t>
      </w:r>
      <w:r>
        <w:rPr>
          <w:rFonts w:hint="eastAsia"/>
        </w:rPr>
        <w:t>m，</w:t>
      </w:r>
      <w:r>
        <w:t>沟宽0.3</w:t>
      </w:r>
      <w:r>
        <w:rPr>
          <w:rFonts w:hint="eastAsia"/>
        </w:rPr>
        <w:t>m～</w:t>
      </w:r>
      <w:r>
        <w:t>0.4</w:t>
      </w:r>
      <w:r>
        <w:rPr>
          <w:rFonts w:hint="eastAsia"/>
        </w:rPr>
        <w:t>m，沟</w:t>
      </w:r>
      <w:r>
        <w:t>深0.3</w:t>
      </w:r>
      <w:r>
        <w:rPr>
          <w:rFonts w:hint="eastAsia"/>
        </w:rPr>
        <w:t>m，整地后铺喷灌或滴灌,</w:t>
      </w:r>
      <w:r>
        <w:t>盖银灰地膜</w:t>
      </w:r>
      <w:r>
        <w:rPr>
          <w:rFonts w:hint="eastAsia"/>
        </w:rPr>
        <w:t>。</w:t>
      </w:r>
    </w:p>
    <w:p>
      <w:pPr>
        <w:pStyle w:val="118"/>
        <w:ind w:left="0"/>
        <w:outlineLvl w:val="0"/>
      </w:pPr>
      <w:bookmarkStart w:id="53" w:name="_Toc128573524"/>
      <w:r>
        <w:rPr>
          <w:rFonts w:hint="eastAsia"/>
        </w:rPr>
        <w:t>定植</w:t>
      </w:r>
      <w:bookmarkEnd w:id="53"/>
    </w:p>
    <w:p>
      <w:pPr>
        <w:pStyle w:val="41"/>
      </w:pPr>
      <w:bookmarkStart w:id="54" w:name="_Toc128573525"/>
      <w:r>
        <w:t>苗龄大小</w:t>
      </w:r>
      <w:bookmarkEnd w:id="54"/>
    </w:p>
    <w:p>
      <w:pPr>
        <w:pStyle w:val="21"/>
      </w:pPr>
      <w:r>
        <w:t>苗龄</w:t>
      </w:r>
      <w:r>
        <w:rPr>
          <w:rFonts w:hint="eastAsia"/>
        </w:rPr>
        <w:t>2</w:t>
      </w:r>
      <w:r>
        <w:t>0d</w:t>
      </w:r>
      <w:r>
        <w:rPr>
          <w:rFonts w:hint="eastAsia"/>
        </w:rPr>
        <w:t>～</w:t>
      </w:r>
      <w:r>
        <w:t>22d，待幼苗长至</w:t>
      </w:r>
      <w:r>
        <w:rPr>
          <w:rFonts w:hint="eastAsia"/>
        </w:rPr>
        <w:t>3叶～</w:t>
      </w:r>
      <w:r>
        <w:t>4</w:t>
      </w:r>
      <w:r>
        <w:rPr>
          <w:rFonts w:hint="eastAsia"/>
        </w:rPr>
        <w:t>叶1心时，可进行定植。</w:t>
      </w:r>
    </w:p>
    <w:p>
      <w:pPr>
        <w:pStyle w:val="41"/>
      </w:pPr>
      <w:bookmarkStart w:id="55" w:name="_Toc128573526"/>
      <w:r>
        <w:t>种植密度</w:t>
      </w:r>
      <w:bookmarkEnd w:id="55"/>
    </w:p>
    <w:p>
      <w:pPr>
        <w:pStyle w:val="21"/>
      </w:pPr>
      <w:r>
        <w:rPr>
          <w:rFonts w:hint="eastAsia"/>
        </w:rPr>
        <w:t>定植时每畦栽2行，定植密度根据栽培季节略有差异。春季繁种株行距宜2</w:t>
      </w:r>
      <w:r>
        <w:t>5cm</w:t>
      </w:r>
      <w:r>
        <w:rPr>
          <w:rFonts w:hint="eastAsia"/>
        </w:rPr>
        <w:t>×</w:t>
      </w:r>
      <w:r>
        <w:t>25cm</w:t>
      </w:r>
      <w:r>
        <w:rPr>
          <w:rFonts w:hint="eastAsia"/>
        </w:rPr>
        <w:t>，秋季繁种株行距宜</w:t>
      </w:r>
      <w:r>
        <w:t>30cm</w:t>
      </w:r>
      <w:r>
        <w:rPr>
          <w:rFonts w:hint="eastAsia"/>
        </w:rPr>
        <w:t>×</w:t>
      </w:r>
      <w:r>
        <w:t>35cm。</w:t>
      </w:r>
    </w:p>
    <w:p>
      <w:pPr>
        <w:pStyle w:val="41"/>
      </w:pPr>
      <w:bookmarkStart w:id="56" w:name="_Toc128573527"/>
      <w:r>
        <w:t>种植比例</w:t>
      </w:r>
      <w:bookmarkEnd w:id="56"/>
    </w:p>
    <w:p>
      <w:pPr>
        <w:pStyle w:val="21"/>
      </w:pPr>
      <w:r>
        <w:rPr>
          <w:rFonts w:hint="eastAsia"/>
        </w:rPr>
        <w:t>网室内雄性不育系与保持系的种植比例为2：1或3：2</w:t>
      </w:r>
      <w:r>
        <w:t>。保持系种在两行不育系的中间地块，方便昆虫传粉。</w:t>
      </w:r>
    </w:p>
    <w:p>
      <w:pPr>
        <w:pStyle w:val="118"/>
        <w:ind w:left="0"/>
        <w:outlineLvl w:val="0"/>
      </w:pPr>
      <w:bookmarkStart w:id="57" w:name="_Toc128573528"/>
      <w:r>
        <w:t>亲本去杂</w:t>
      </w:r>
      <w:bookmarkEnd w:id="57"/>
    </w:p>
    <w:p>
      <w:pPr>
        <w:pStyle w:val="21"/>
      </w:pPr>
      <w:r>
        <w:rPr>
          <w:rFonts w:hint="eastAsia"/>
        </w:rPr>
        <w:t>菜薹全生育期清除杂株。</w:t>
      </w:r>
    </w:p>
    <w:p>
      <w:pPr>
        <w:pStyle w:val="118"/>
        <w:ind w:left="0"/>
        <w:outlineLvl w:val="0"/>
      </w:pPr>
      <w:bookmarkStart w:id="58" w:name="_Toc128573529"/>
      <w:r>
        <w:t>授粉昆虫的投放</w:t>
      </w:r>
      <w:bookmarkEnd w:id="58"/>
    </w:p>
    <w:p>
      <w:pPr>
        <w:pStyle w:val="41"/>
      </w:pPr>
      <w:bookmarkStart w:id="59" w:name="_Toc128573530"/>
      <w:r>
        <w:t>投放的时间</w:t>
      </w:r>
      <w:bookmarkEnd w:id="59"/>
    </w:p>
    <w:p>
      <w:pPr>
        <w:pStyle w:val="21"/>
      </w:pPr>
      <w:r>
        <w:t>待菜薹开始现蕾时，重施一次杀虫剂，以后整个花期均不再施用杀虫剂，施药后5d</w:t>
      </w:r>
      <w:r>
        <w:rPr>
          <w:rFonts w:hint="eastAsia"/>
        </w:rPr>
        <w:t>～</w:t>
      </w:r>
      <w:r>
        <w:t>7</w:t>
      </w:r>
      <w:r>
        <w:rPr>
          <w:rFonts w:hint="eastAsia"/>
        </w:rPr>
        <w:t>d</w:t>
      </w:r>
      <w:r>
        <w:t>，待</w:t>
      </w:r>
      <w:r>
        <w:rPr>
          <w:rFonts w:hint="eastAsia"/>
        </w:rPr>
        <w:t>1</w:t>
      </w:r>
      <w:r>
        <w:t>0%左右菜薹开花时，选择阴天的下午或晴天的晚上将授粉昆虫投放入网室中。</w:t>
      </w:r>
    </w:p>
    <w:p>
      <w:pPr>
        <w:pStyle w:val="41"/>
      </w:pPr>
      <w:bookmarkStart w:id="60" w:name="_Toc128573531"/>
      <w:r>
        <w:t>投放的授粉昆虫种类</w:t>
      </w:r>
      <w:bookmarkEnd w:id="60"/>
    </w:p>
    <w:p>
      <w:pPr>
        <w:pStyle w:val="21"/>
      </w:pPr>
      <w:r>
        <w:t>根据环境条件不同选择不同种类授粉昆虫：气温在</w:t>
      </w:r>
      <w:r>
        <w:rPr>
          <w:rFonts w:hint="eastAsia"/>
        </w:rPr>
        <w:t>2</w:t>
      </w:r>
      <w:r>
        <w:t>0</w:t>
      </w:r>
      <w:r>
        <w:rPr>
          <w:rFonts w:hint="eastAsia" w:hAnsi="宋体"/>
        </w:rPr>
        <w:t>︒C</w:t>
      </w:r>
      <w:r>
        <w:rPr>
          <w:rFonts w:hint="eastAsia"/>
        </w:rPr>
        <w:t>～</w:t>
      </w:r>
      <w:r>
        <w:t>25</w:t>
      </w:r>
      <w:r>
        <w:rPr>
          <w:rFonts w:hint="eastAsia" w:hAnsi="宋体"/>
        </w:rPr>
        <w:t>︒C</w:t>
      </w:r>
      <w:r>
        <w:t>以上宜用壁蜂</w:t>
      </w:r>
      <w:r>
        <w:rPr>
          <w:rFonts w:hint="eastAsia"/>
        </w:rPr>
        <w:t>或</w:t>
      </w:r>
      <w:r>
        <w:t>意大利蜂等；气温在</w:t>
      </w:r>
      <w:r>
        <w:rPr>
          <w:rFonts w:hint="eastAsia"/>
        </w:rPr>
        <w:t>2</w:t>
      </w:r>
      <w:r>
        <w:t>0</w:t>
      </w:r>
      <w:r>
        <w:rPr>
          <w:rFonts w:hint="eastAsia" w:hAnsi="宋体"/>
        </w:rPr>
        <w:t>︒C</w:t>
      </w:r>
      <w:r>
        <w:t>以下宜用中华蜜蜂或蜂蝇等。</w:t>
      </w:r>
    </w:p>
    <w:p>
      <w:pPr>
        <w:pStyle w:val="41"/>
      </w:pPr>
      <w:bookmarkStart w:id="61" w:name="_Toc128573532"/>
      <w:r>
        <w:t>投放的数量</w:t>
      </w:r>
      <w:bookmarkEnd w:id="61"/>
    </w:p>
    <w:p>
      <w:pPr>
        <w:pStyle w:val="21"/>
      </w:pPr>
      <w:r>
        <w:t>每个标准大棚投放壁蜂150只</w:t>
      </w:r>
      <w:r>
        <w:rPr>
          <w:rFonts w:hint="eastAsia"/>
        </w:rPr>
        <w:t>～</w:t>
      </w:r>
      <w:r>
        <w:t>200只，分两批间隔</w:t>
      </w:r>
      <w:r>
        <w:rPr>
          <w:rFonts w:hint="eastAsia"/>
        </w:rPr>
        <w:t>1</w:t>
      </w:r>
      <w:r>
        <w:t>5</w:t>
      </w:r>
      <w:r>
        <w:rPr>
          <w:rFonts w:hint="eastAsia"/>
        </w:rPr>
        <w:t>d</w:t>
      </w:r>
      <w:r>
        <w:t>投放</w:t>
      </w:r>
      <w:r>
        <w:rPr>
          <w:rFonts w:hint="eastAsia"/>
        </w:rPr>
        <w:t>,</w:t>
      </w:r>
      <w:r>
        <w:t>意大利蜂和中华蜂投放</w:t>
      </w:r>
      <w:r>
        <w:rPr>
          <w:rFonts w:hint="eastAsia"/>
        </w:rPr>
        <w:t>2</w:t>
      </w:r>
      <w:r>
        <w:t>匹</w:t>
      </w:r>
      <w:r>
        <w:rPr>
          <w:rFonts w:hint="eastAsia"/>
        </w:rPr>
        <w:t>～</w:t>
      </w:r>
      <w:r>
        <w:t>3匹。</w:t>
      </w:r>
    </w:p>
    <w:p>
      <w:pPr>
        <w:pStyle w:val="118"/>
        <w:ind w:left="0"/>
        <w:outlineLvl w:val="0"/>
      </w:pPr>
      <w:bookmarkStart w:id="62" w:name="_Toc128573533"/>
      <w:r>
        <w:rPr>
          <w:rFonts w:hint="eastAsia"/>
        </w:rPr>
        <w:t>辅助授粉</w:t>
      </w:r>
      <w:bookmarkEnd w:id="62"/>
    </w:p>
    <w:p>
      <w:pPr>
        <w:pStyle w:val="41"/>
      </w:pPr>
      <w:r>
        <w:t>要求</w:t>
      </w:r>
    </w:p>
    <w:p>
      <w:pPr>
        <w:pStyle w:val="21"/>
      </w:pPr>
      <w:bookmarkStart w:id="63" w:name="_Toc128573534"/>
      <w:r>
        <w:rPr>
          <w:rFonts w:hint="eastAsia"/>
        </w:rPr>
        <w:t>每个网室配有专用工作服和授粉工具，人员进入网室需更换专用工作服，手及授粉器具均需用7</w:t>
      </w:r>
      <w:r>
        <w:t>5%</w:t>
      </w:r>
      <w:r>
        <w:rPr>
          <w:rFonts w:hint="eastAsia"/>
        </w:rPr>
        <w:t>酒精消毒后方可进行授粉作业，防止携带外源花粉。</w:t>
      </w:r>
      <w:bookmarkEnd w:id="63"/>
    </w:p>
    <w:p>
      <w:pPr>
        <w:pStyle w:val="41"/>
      </w:pPr>
      <w:r>
        <w:t>方法</w:t>
      </w:r>
    </w:p>
    <w:p>
      <w:pPr>
        <w:pStyle w:val="21"/>
      </w:pPr>
      <w:bookmarkStart w:id="64" w:name="_Toc128573535"/>
      <w:r>
        <w:t>采集保持系</w:t>
      </w:r>
      <w:r>
        <w:rPr>
          <w:rFonts w:hint="eastAsia"/>
        </w:rPr>
        <w:t>上</w:t>
      </w:r>
      <w:r>
        <w:t>当天开放的花朵，待花药散粉后将花粉授于不育系的柱头上。</w:t>
      </w:r>
      <w:bookmarkEnd w:id="64"/>
    </w:p>
    <w:p>
      <w:pPr>
        <w:pStyle w:val="118"/>
        <w:ind w:left="0"/>
        <w:outlineLvl w:val="0"/>
      </w:pPr>
      <w:bookmarkStart w:id="65" w:name="_Toc128573536"/>
      <w:r>
        <w:t>田间管理</w:t>
      </w:r>
      <w:bookmarkEnd w:id="65"/>
    </w:p>
    <w:p>
      <w:pPr>
        <w:pStyle w:val="41"/>
      </w:pPr>
      <w:bookmarkStart w:id="66" w:name="_Toc128573537"/>
      <w:r>
        <w:t>肥水管理</w:t>
      </w:r>
      <w:bookmarkEnd w:id="66"/>
    </w:p>
    <w:p>
      <w:pPr>
        <w:pStyle w:val="21"/>
      </w:pPr>
      <w:r>
        <w:rPr>
          <w:rFonts w:hint="eastAsia"/>
        </w:rPr>
        <w:t>在菜薹初花期和盛花期每亩分别追施高钾复合肥（2</w:t>
      </w:r>
      <w:r>
        <w:t>0-20-20</w:t>
      </w:r>
      <w:r>
        <w:rPr>
          <w:rFonts w:hint="eastAsia"/>
        </w:rPr>
        <w:t>）5</w:t>
      </w:r>
      <w:r>
        <w:t xml:space="preserve"> Kg</w:t>
      </w:r>
      <w:r>
        <w:rPr>
          <w:rFonts w:hint="eastAsia"/>
        </w:rPr>
        <w:t>～</w:t>
      </w:r>
      <w:r>
        <w:t>10Kg，硼肥和磷酸二氢钾作为叶面肥追施1次</w:t>
      </w:r>
      <w:r>
        <w:rPr>
          <w:rFonts w:hint="eastAsia"/>
        </w:rPr>
        <w:t>～</w:t>
      </w:r>
      <w:r>
        <w:t>2次。根据土壤墒情及时浇水，小水勤浇，忌大水漫灌。</w:t>
      </w:r>
    </w:p>
    <w:p>
      <w:pPr>
        <w:pStyle w:val="41"/>
      </w:pPr>
      <w:bookmarkStart w:id="67" w:name="_Toc128573538"/>
      <w:r>
        <w:t>温湿度管理</w:t>
      </w:r>
      <w:bookmarkEnd w:id="67"/>
    </w:p>
    <w:p>
      <w:pPr>
        <w:pStyle w:val="21"/>
      </w:pPr>
      <w:r>
        <w:t>经常开棚通风，保持网室内湿度在</w:t>
      </w:r>
      <w:r>
        <w:rPr>
          <w:rFonts w:hint="eastAsia"/>
        </w:rPr>
        <w:t>5</w:t>
      </w:r>
      <w:r>
        <w:t>0%</w:t>
      </w:r>
      <w:r>
        <w:rPr>
          <w:rFonts w:hint="eastAsia"/>
        </w:rPr>
        <w:t>～7</w:t>
      </w:r>
      <w:r>
        <w:t>0%，气温在</w:t>
      </w:r>
      <w:r>
        <w:rPr>
          <w:rFonts w:hint="eastAsia"/>
        </w:rPr>
        <w:t>1</w:t>
      </w:r>
      <w:r>
        <w:t>5</w:t>
      </w:r>
      <w:r>
        <w:rPr>
          <w:rFonts w:hint="eastAsia" w:hAnsi="宋体"/>
        </w:rPr>
        <w:t>︒C</w:t>
      </w:r>
      <w:r>
        <w:rPr>
          <w:rFonts w:hint="eastAsia"/>
        </w:rPr>
        <w:t>～</w:t>
      </w:r>
      <w:r>
        <w:t>25</w:t>
      </w:r>
      <w:r>
        <w:rPr>
          <w:rFonts w:hint="eastAsia" w:hAnsi="宋体"/>
        </w:rPr>
        <w:t>︒C</w:t>
      </w:r>
      <w:r>
        <w:t>。当气温超过</w:t>
      </w:r>
      <w:r>
        <w:rPr>
          <w:rFonts w:hint="eastAsia"/>
        </w:rPr>
        <w:t>2</w:t>
      </w:r>
      <w:r>
        <w:t>5</w:t>
      </w:r>
      <w:r>
        <w:rPr>
          <w:rFonts w:hint="eastAsia" w:hAnsi="宋体"/>
        </w:rPr>
        <w:t>︒C</w:t>
      </w:r>
      <w:r>
        <w:t>时，及时开棚通风降温；当气温低于</w:t>
      </w:r>
      <w:r>
        <w:rPr>
          <w:rFonts w:hint="eastAsia"/>
        </w:rPr>
        <w:t>1</w:t>
      </w:r>
      <w:r>
        <w:t>0</w:t>
      </w:r>
      <w:r>
        <w:rPr>
          <w:rFonts w:hint="eastAsia" w:hAnsi="宋体"/>
        </w:rPr>
        <w:t>︒C</w:t>
      </w:r>
      <w:r>
        <w:t>时，四周围上围膜保温。</w:t>
      </w:r>
    </w:p>
    <w:p>
      <w:pPr>
        <w:pStyle w:val="41"/>
      </w:pPr>
      <w:bookmarkStart w:id="68" w:name="_Toc128573539"/>
      <w:r>
        <w:t>保持系拔除</w:t>
      </w:r>
      <w:bookmarkEnd w:id="68"/>
    </w:p>
    <w:p>
      <w:pPr>
        <w:pStyle w:val="21"/>
      </w:pPr>
      <w:r>
        <w:t>待雄性不育系花期结束后，把保持系拔除干净并移出网室。保持系拔除后重施一次杀虫剂。</w:t>
      </w:r>
    </w:p>
    <w:p>
      <w:pPr>
        <w:pStyle w:val="118"/>
        <w:ind w:left="0"/>
        <w:outlineLvl w:val="0"/>
      </w:pPr>
      <w:bookmarkStart w:id="69" w:name="_Toc128573540"/>
      <w:r>
        <w:t>病虫害防治</w:t>
      </w:r>
      <w:bookmarkEnd w:id="69"/>
    </w:p>
    <w:p>
      <w:pPr>
        <w:pStyle w:val="21"/>
      </w:pPr>
      <w:r>
        <w:t>主要病害有菌核病、软腐病、霜霉病，根肿病等。</w:t>
      </w:r>
    </w:p>
    <w:p>
      <w:pPr>
        <w:pStyle w:val="21"/>
      </w:pPr>
      <w:r>
        <w:t>主要虫害有蚜虫、菜青虫、斜纹夜蛾、黄曲条跳甲等。</w:t>
      </w:r>
    </w:p>
    <w:p>
      <w:pPr>
        <w:pStyle w:val="41"/>
      </w:pPr>
      <w:bookmarkStart w:id="70" w:name="_Toc128573541"/>
      <w:r>
        <w:t>物理防治</w:t>
      </w:r>
      <w:bookmarkEnd w:id="70"/>
    </w:p>
    <w:p>
      <w:pPr>
        <w:pStyle w:val="21"/>
      </w:pPr>
      <w:r>
        <w:t>悬挂黄板诱杀蚜虫、黄曲条跳甲等，黄板规格</w:t>
      </w:r>
      <w:r>
        <w:rPr>
          <w:rFonts w:hint="eastAsia"/>
        </w:rPr>
        <w:t>2</w:t>
      </w:r>
      <w:r>
        <w:t>5</w:t>
      </w:r>
      <w:r>
        <w:rPr>
          <w:rFonts w:hint="eastAsia"/>
        </w:rPr>
        <w:t>c</w:t>
      </w:r>
      <w:r>
        <w:t>m</w:t>
      </w:r>
      <w:r>
        <w:rPr>
          <w:rFonts w:hint="eastAsia"/>
        </w:rPr>
        <w:t>×3</w:t>
      </w:r>
      <w:r>
        <w:t>0</w:t>
      </w:r>
      <w:r>
        <w:rPr>
          <w:rFonts w:hint="eastAsia"/>
        </w:rPr>
        <w:t>c</w:t>
      </w:r>
      <w:r>
        <w:t>m，</w:t>
      </w:r>
      <w:r>
        <w:rPr>
          <w:rFonts w:hint="eastAsia"/>
        </w:rPr>
        <w:t>悬挂高度离地面1</w:t>
      </w:r>
      <w:r>
        <w:t>.5</w:t>
      </w:r>
      <w:r>
        <w:rPr>
          <w:rFonts w:hint="eastAsia"/>
        </w:rPr>
        <w:t>m</w:t>
      </w:r>
      <w:r>
        <w:t>，每个标准大棚悬挂20块。</w:t>
      </w:r>
    </w:p>
    <w:p>
      <w:pPr>
        <w:pStyle w:val="41"/>
      </w:pPr>
      <w:bookmarkStart w:id="71" w:name="_Toc128573542"/>
      <w:r>
        <w:rPr>
          <w:rFonts w:hint="eastAsia"/>
        </w:rPr>
        <w:t>化学防治</w:t>
      </w:r>
      <w:bookmarkEnd w:id="71"/>
    </w:p>
    <w:p>
      <w:pPr>
        <w:pStyle w:val="21"/>
      </w:pPr>
      <w:r>
        <w:t>化学防治</w:t>
      </w:r>
      <w:r>
        <w:rPr>
          <w:rFonts w:hint="eastAsia" w:ascii="Times New Roman"/>
        </w:rPr>
        <w:t>应</w:t>
      </w:r>
      <w:r>
        <w:rPr>
          <w:rFonts w:ascii="Times New Roman"/>
        </w:rPr>
        <w:t>符合</w:t>
      </w:r>
      <w:r>
        <w:rPr>
          <w:rFonts w:hint="eastAsia"/>
        </w:rPr>
        <w:t>GB/T 83213的规定，防治</w:t>
      </w:r>
      <w:r>
        <w:t>方法见附录A。</w:t>
      </w:r>
    </w:p>
    <w:p>
      <w:pPr>
        <w:pStyle w:val="118"/>
        <w:ind w:left="0"/>
        <w:outlineLvl w:val="0"/>
      </w:pPr>
      <w:bookmarkStart w:id="72" w:name="_Toc128573543"/>
      <w:r>
        <w:t>采收及保存</w:t>
      </w:r>
      <w:bookmarkEnd w:id="72"/>
    </w:p>
    <w:p>
      <w:pPr>
        <w:pStyle w:val="41"/>
      </w:pPr>
      <w:bookmarkStart w:id="73" w:name="_Toc128573544"/>
      <w:r>
        <w:t>采收</w:t>
      </w:r>
      <w:bookmarkEnd w:id="73"/>
    </w:p>
    <w:p>
      <w:pPr>
        <w:pStyle w:val="21"/>
      </w:pPr>
      <w:r>
        <w:t>花期结束后</w:t>
      </w:r>
      <w:r>
        <w:rPr>
          <w:rFonts w:hint="eastAsia"/>
        </w:rPr>
        <w:t>1个月左右，待种荚发黄，种子变褐时进行采收，将植株从基部割断，平铺于防潮布上，</w:t>
      </w:r>
    </w:p>
    <w:p>
      <w:pPr>
        <w:pStyle w:val="21"/>
        <w:ind w:firstLine="0" w:firstLineChars="0"/>
      </w:pPr>
      <w:r>
        <w:rPr>
          <w:rFonts w:hint="eastAsia"/>
        </w:rPr>
        <w:t>晾晒干燥后脱粒</w:t>
      </w:r>
      <w:r>
        <w:t>，通过风机和螺旋机筛选后，去除杂质及不饱满的种子。</w:t>
      </w:r>
    </w:p>
    <w:p>
      <w:pPr>
        <w:pStyle w:val="41"/>
      </w:pPr>
      <w:bookmarkStart w:id="74" w:name="_Toc128573545"/>
      <w:r>
        <w:t>保存</w:t>
      </w:r>
      <w:bookmarkEnd w:id="74"/>
    </w:p>
    <w:p>
      <w:pPr>
        <w:pStyle w:val="21"/>
        <w:rPr>
          <w:b/>
        </w:rPr>
      </w:pPr>
      <w:r>
        <w:t xml:space="preserve">种子水分和净度须符合GB </w:t>
      </w:r>
      <w:r>
        <w:rPr>
          <w:rStyle w:val="175"/>
        </w:rPr>
        <w:t>16715.2-2010的</w:t>
      </w:r>
      <w:r>
        <w:t>要求，加入适量干燥剂后装入两层塑料包装袋中临时保存，长期保存须经密封后放入</w:t>
      </w:r>
      <w:r>
        <w:rPr>
          <w:rFonts w:hint="eastAsia"/>
        </w:rPr>
        <w:t>2</w:t>
      </w:r>
      <w:r>
        <w:rPr>
          <w:rFonts w:hint="eastAsia" w:hAnsi="宋体"/>
        </w:rPr>
        <w:t>︒C</w:t>
      </w:r>
      <w:r>
        <w:rPr>
          <w:rFonts w:hint="eastAsia"/>
        </w:rPr>
        <w:t>～</w:t>
      </w:r>
      <w:r>
        <w:t>4</w:t>
      </w:r>
      <w:r>
        <w:rPr>
          <w:rFonts w:hint="eastAsia" w:hAnsi="宋体"/>
        </w:rPr>
        <w:t>︒C</w:t>
      </w:r>
      <w:r>
        <w:t>低温种子贮存库中保存，标明品种名称、编号、生产日期、技术负责人、重量、纯度。建立繁育档案，见附录</w:t>
      </w:r>
      <w:r>
        <w:rPr>
          <w:b/>
        </w:rPr>
        <w:t>B。</w:t>
      </w:r>
    </w:p>
    <w:p>
      <w:pPr>
        <w:pStyle w:val="21"/>
        <w:ind w:firstLine="422"/>
        <w:rPr>
          <w:b/>
        </w:rPr>
      </w:pPr>
    </w:p>
    <w:p>
      <w:pPr>
        <w:widowControl/>
        <w:jc w:val="left"/>
        <w:rPr>
          <w:rFonts w:ascii="宋体"/>
          <w:kern w:val="0"/>
          <w:szCs w:val="20"/>
        </w:rPr>
      </w:pPr>
      <w:r>
        <w:br w:type="page"/>
      </w:r>
    </w:p>
    <w:p>
      <w:pPr>
        <w:pStyle w:val="21"/>
        <w:ind w:firstLine="0" w:firstLineChars="0"/>
      </w:pPr>
    </w:p>
    <w:p>
      <w:pPr>
        <w:pStyle w:val="113"/>
        <w:tabs>
          <w:tab w:val="left" w:pos="360"/>
        </w:tabs>
      </w:pPr>
      <w:r>
        <w:br w:type="textWrapping"/>
      </w:r>
      <w:bookmarkStart w:id="75" w:name="_Toc67751521"/>
      <w:bookmarkStart w:id="76" w:name="_Toc128573546"/>
      <w:r>
        <w:rPr>
          <w:rFonts w:hint="eastAsia"/>
        </w:rPr>
        <w:t>（资料性）</w:t>
      </w:r>
      <w:r>
        <w:br w:type="textWrapping"/>
      </w:r>
      <w:r>
        <w:rPr>
          <w:rFonts w:hint="eastAsia"/>
        </w:rPr>
        <w:t>菜薹雄性不育系繁育化学药剂防治</w:t>
      </w:r>
      <w:bookmarkEnd w:id="75"/>
      <w:r>
        <w:rPr>
          <w:rFonts w:hint="eastAsia"/>
        </w:rPr>
        <w:t>表</w:t>
      </w:r>
      <w:bookmarkEnd w:id="76"/>
    </w:p>
    <w:p>
      <w:pPr>
        <w:pStyle w:val="21"/>
      </w:pPr>
      <w:r>
        <w:rPr>
          <w:rFonts w:ascii="Times New Roman"/>
        </w:rPr>
        <w:t>菜薹雄性不育系繁育化学药剂防治表见A.1。</w:t>
      </w:r>
    </w:p>
    <w:p>
      <w:pPr>
        <w:pStyle w:val="124"/>
        <w:numPr>
          <w:ilvl w:val="0"/>
          <w:numId w:val="0"/>
        </w:numPr>
        <w:rPr>
          <w:rFonts w:ascii="Times New Roman"/>
          <w:color w:val="000000"/>
        </w:rPr>
      </w:pPr>
      <w:r>
        <w:rPr>
          <w:rFonts w:hAnsi="黑体"/>
          <w:color w:val="000000"/>
        </w:rPr>
        <w:t xml:space="preserve">表A.1 </w:t>
      </w:r>
      <w:r>
        <w:rPr>
          <w:rFonts w:hint="eastAsia" w:hAnsi="黑体"/>
          <w:color w:val="000000"/>
        </w:rPr>
        <w:t>十字花科蔬菜根</w:t>
      </w:r>
      <w:r>
        <w:rPr>
          <w:rFonts w:hint="eastAsia" w:ascii="Times New Roman"/>
          <w:color w:val="000000"/>
        </w:rPr>
        <w:t>肿病化学药剂防治表</w:t>
      </w:r>
    </w:p>
    <w:tbl>
      <w:tblPr>
        <w:tblStyle w:val="29"/>
        <w:tblW w:w="892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30"/>
        <w:gridCol w:w="2230"/>
        <w:gridCol w:w="2230"/>
        <w:gridCol w:w="22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restart"/>
            <w:tcBorders>
              <w:top w:val="single" w:color="auto" w:sz="8" w:space="0"/>
            </w:tcBorders>
            <w:vAlign w:val="center"/>
          </w:tcPr>
          <w:p>
            <w:pPr>
              <w:jc w:val="center"/>
              <w:rPr>
                <w:rFonts w:ascii="黑体" w:hAnsi="黑体" w:eastAsia="黑体"/>
                <w:sz w:val="18"/>
                <w:szCs w:val="18"/>
              </w:rPr>
            </w:pPr>
            <w:r>
              <w:rPr>
                <w:rFonts w:hint="eastAsia" w:ascii="黑体" w:hAnsi="黑体" w:eastAsia="黑体"/>
                <w:sz w:val="18"/>
                <w:szCs w:val="18"/>
              </w:rPr>
              <w:t>防治对象</w:t>
            </w:r>
          </w:p>
        </w:tc>
        <w:tc>
          <w:tcPr>
            <w:tcW w:w="2230" w:type="dxa"/>
            <w:tcBorders>
              <w:top w:val="single" w:color="auto" w:sz="8" w:space="0"/>
              <w:bottom w:val="single" w:color="auto" w:sz="8" w:space="0"/>
            </w:tcBorders>
            <w:vAlign w:val="center"/>
          </w:tcPr>
          <w:p>
            <w:pPr>
              <w:jc w:val="center"/>
              <w:rPr>
                <w:rFonts w:ascii="黑体" w:hAnsi="黑体" w:eastAsia="黑体"/>
                <w:sz w:val="18"/>
                <w:szCs w:val="18"/>
              </w:rPr>
            </w:pPr>
            <w:r>
              <w:rPr>
                <w:rFonts w:hint="eastAsia" w:ascii="黑体" w:hAnsi="黑体" w:eastAsia="黑体"/>
                <w:sz w:val="18"/>
                <w:szCs w:val="18"/>
              </w:rPr>
              <w:t>农药名称</w:t>
            </w:r>
          </w:p>
        </w:tc>
        <w:tc>
          <w:tcPr>
            <w:tcW w:w="2230" w:type="dxa"/>
            <w:vMerge w:val="restart"/>
            <w:tcBorders>
              <w:top w:val="single" w:color="auto" w:sz="8" w:space="0"/>
            </w:tcBorders>
            <w:vAlign w:val="center"/>
          </w:tcPr>
          <w:p>
            <w:pPr>
              <w:jc w:val="center"/>
              <w:rPr>
                <w:rFonts w:ascii="黑体" w:hAnsi="黑体" w:eastAsia="黑体"/>
                <w:sz w:val="18"/>
                <w:szCs w:val="18"/>
              </w:rPr>
            </w:pPr>
            <w:r>
              <w:rPr>
                <w:rFonts w:hint="eastAsia" w:ascii="黑体" w:hAnsi="黑体" w:eastAsia="黑体"/>
                <w:sz w:val="18"/>
                <w:szCs w:val="18"/>
              </w:rPr>
              <w:t>使用方法</w:t>
            </w:r>
          </w:p>
        </w:tc>
        <w:tc>
          <w:tcPr>
            <w:tcW w:w="2231" w:type="dxa"/>
            <w:vMerge w:val="restart"/>
            <w:tcBorders>
              <w:top w:val="single" w:color="auto" w:sz="8" w:space="0"/>
            </w:tcBorders>
            <w:vAlign w:val="center"/>
          </w:tcPr>
          <w:p>
            <w:pPr>
              <w:jc w:val="center"/>
              <w:rPr>
                <w:rFonts w:ascii="黑体" w:hAnsi="黑体" w:eastAsia="黑体"/>
                <w:sz w:val="18"/>
                <w:szCs w:val="18"/>
              </w:rPr>
            </w:pPr>
            <w:r>
              <w:rPr>
                <w:rFonts w:hint="eastAsia" w:ascii="黑体" w:hAnsi="黑体" w:eastAsia="黑体"/>
                <w:sz w:val="18"/>
                <w:szCs w:val="18"/>
              </w:rPr>
              <w:t>施用时期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continue"/>
            <w:tcBorders>
              <w:bottom w:val="single" w:color="auto" w:sz="8" w:space="0"/>
            </w:tcBorders>
            <w:vAlign w:val="center"/>
          </w:tcPr>
          <w:p>
            <w:pPr>
              <w:jc w:val="center"/>
              <w:rPr>
                <w:rFonts w:ascii="宋体" w:hAnsi="宋体"/>
                <w:sz w:val="18"/>
                <w:szCs w:val="18"/>
              </w:rPr>
            </w:pPr>
          </w:p>
        </w:tc>
        <w:tc>
          <w:tcPr>
            <w:tcW w:w="2230" w:type="dxa"/>
            <w:tcBorders>
              <w:top w:val="single" w:color="auto" w:sz="8" w:space="0"/>
              <w:bottom w:val="single" w:color="auto" w:sz="8" w:space="0"/>
            </w:tcBorders>
            <w:vAlign w:val="center"/>
          </w:tcPr>
          <w:p>
            <w:pPr>
              <w:jc w:val="center"/>
              <w:rPr>
                <w:rFonts w:ascii="黑体" w:hAnsi="黑体" w:eastAsia="黑体"/>
                <w:sz w:val="18"/>
                <w:szCs w:val="18"/>
              </w:rPr>
            </w:pPr>
            <w:r>
              <w:rPr>
                <w:rFonts w:hint="eastAsia" w:ascii="黑体" w:hAnsi="黑体" w:eastAsia="黑体"/>
                <w:sz w:val="18"/>
                <w:szCs w:val="18"/>
              </w:rPr>
              <w:t>药剂含量及有效成分</w:t>
            </w:r>
          </w:p>
        </w:tc>
        <w:tc>
          <w:tcPr>
            <w:tcW w:w="2230" w:type="dxa"/>
            <w:vMerge w:val="continue"/>
            <w:tcBorders>
              <w:bottom w:val="single" w:color="auto" w:sz="8" w:space="0"/>
            </w:tcBorders>
            <w:vAlign w:val="center"/>
          </w:tcPr>
          <w:p>
            <w:pPr>
              <w:jc w:val="center"/>
              <w:rPr>
                <w:rFonts w:ascii="宋体" w:hAnsi="宋体"/>
                <w:sz w:val="18"/>
                <w:szCs w:val="18"/>
              </w:rPr>
            </w:pPr>
          </w:p>
        </w:tc>
        <w:tc>
          <w:tcPr>
            <w:tcW w:w="2231" w:type="dxa"/>
            <w:vMerge w:val="continue"/>
            <w:tcBorders>
              <w:bottom w:val="single" w:color="auto" w:sz="8" w:space="0"/>
            </w:tcBorders>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restart"/>
            <w:vAlign w:val="center"/>
          </w:tcPr>
          <w:p>
            <w:pPr>
              <w:jc w:val="center"/>
              <w:rPr>
                <w:rFonts w:ascii="宋体" w:hAnsi="宋体"/>
                <w:sz w:val="18"/>
                <w:szCs w:val="18"/>
              </w:rPr>
            </w:pPr>
            <w:r>
              <w:rPr>
                <w:rFonts w:ascii="宋体" w:hAnsi="宋体"/>
                <w:sz w:val="18"/>
                <w:szCs w:val="18"/>
              </w:rPr>
              <w:t>菌核病</w:t>
            </w:r>
          </w:p>
        </w:tc>
        <w:tc>
          <w:tcPr>
            <w:tcW w:w="2230" w:type="dxa"/>
            <w:tcBorders>
              <w:top w:val="single" w:color="auto" w:sz="8" w:space="0"/>
              <w:bottom w:val="single" w:color="auto" w:sz="8" w:space="0"/>
            </w:tcBorders>
            <w:vAlign w:val="center"/>
          </w:tcPr>
          <w:p>
            <w:pPr>
              <w:jc w:val="center"/>
              <w:rPr>
                <w:rFonts w:ascii="黑体" w:hAnsi="黑体" w:eastAsia="黑体"/>
                <w:sz w:val="18"/>
                <w:szCs w:val="18"/>
              </w:rPr>
            </w:pPr>
            <w:r>
              <w:rPr>
                <w:rFonts w:hint="eastAsia" w:ascii="黑体" w:hAnsi="黑体" w:eastAsia="黑体"/>
                <w:sz w:val="18"/>
                <w:szCs w:val="18"/>
              </w:rPr>
              <w:t>4</w:t>
            </w:r>
            <w:r>
              <w:rPr>
                <w:rFonts w:ascii="黑体" w:hAnsi="黑体" w:eastAsia="黑体"/>
                <w:sz w:val="18"/>
                <w:szCs w:val="18"/>
              </w:rPr>
              <w:t>0% 菌核净可</w:t>
            </w:r>
            <w:r>
              <w:rPr>
                <w:rFonts w:hint="eastAsia" w:ascii="宋体" w:hAnsi="宋体"/>
                <w:sz w:val="18"/>
                <w:szCs w:val="18"/>
              </w:rPr>
              <w:t>湿性粉剂</w:t>
            </w:r>
          </w:p>
        </w:tc>
        <w:tc>
          <w:tcPr>
            <w:tcW w:w="2230" w:type="dxa"/>
            <w:tcBorders>
              <w:bottom w:val="single" w:color="auto" w:sz="8" w:space="0"/>
            </w:tcBorders>
            <w:vAlign w:val="center"/>
          </w:tcPr>
          <w:p>
            <w:pPr>
              <w:jc w:val="center"/>
              <w:rPr>
                <w:rFonts w:ascii="宋体" w:hAnsi="宋体"/>
                <w:sz w:val="18"/>
                <w:szCs w:val="18"/>
              </w:rPr>
            </w:pPr>
            <w:r>
              <w:rPr>
                <w:rFonts w:ascii="宋体" w:hAnsi="宋体"/>
                <w:sz w:val="18"/>
                <w:szCs w:val="18"/>
              </w:rPr>
              <w:t>80-</w:t>
            </w:r>
            <w:r>
              <w:rPr>
                <w:rFonts w:hint="eastAsia" w:ascii="宋体" w:hAnsi="宋体"/>
                <w:sz w:val="18"/>
                <w:szCs w:val="18"/>
              </w:rPr>
              <w:t>1</w:t>
            </w:r>
            <w:r>
              <w:rPr>
                <w:rFonts w:ascii="宋体" w:hAnsi="宋体"/>
                <w:sz w:val="18"/>
                <w:szCs w:val="18"/>
              </w:rPr>
              <w:t>00</w:t>
            </w:r>
            <w:r>
              <w:rPr>
                <w:rFonts w:hint="eastAsia" w:ascii="宋体" w:hAnsi="宋体"/>
                <w:sz w:val="18"/>
                <w:szCs w:val="18"/>
              </w:rPr>
              <w:t>克</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restart"/>
            <w:vAlign w:val="center"/>
          </w:tcPr>
          <w:p>
            <w:pPr>
              <w:jc w:val="center"/>
              <w:rPr>
                <w:rFonts w:ascii="宋体" w:hAnsi="宋体"/>
                <w:sz w:val="18"/>
                <w:szCs w:val="18"/>
              </w:rPr>
            </w:pPr>
            <w:r>
              <w:rPr>
                <w:rFonts w:ascii="宋体" w:hAnsi="宋体"/>
                <w:sz w:val="18"/>
                <w:szCs w:val="18"/>
              </w:rPr>
              <w:t>开花期、结籽期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continue"/>
            <w:tcBorders>
              <w:bottom w:val="single" w:color="auto" w:sz="8" w:space="0"/>
            </w:tcBorders>
            <w:vAlign w:val="center"/>
          </w:tcPr>
          <w:p>
            <w:pPr>
              <w:jc w:val="center"/>
              <w:rPr>
                <w:rFonts w:ascii="宋体" w:hAnsi="宋体"/>
                <w:sz w:val="18"/>
                <w:szCs w:val="18"/>
              </w:rPr>
            </w:pPr>
          </w:p>
        </w:tc>
        <w:tc>
          <w:tcPr>
            <w:tcW w:w="2230" w:type="dxa"/>
            <w:tcBorders>
              <w:top w:val="single" w:color="auto" w:sz="8" w:space="0"/>
              <w:bottom w:val="single" w:color="auto" w:sz="8" w:space="0"/>
            </w:tcBorders>
            <w:vAlign w:val="center"/>
          </w:tcPr>
          <w:p>
            <w:pPr>
              <w:jc w:val="center"/>
              <w:rPr>
                <w:rFonts w:ascii="黑体" w:hAnsi="黑体" w:eastAsia="黑体"/>
                <w:sz w:val="18"/>
                <w:szCs w:val="18"/>
              </w:rPr>
            </w:pPr>
            <w:r>
              <w:rPr>
                <w:rFonts w:hint="eastAsia" w:ascii="黑体" w:hAnsi="黑体" w:eastAsia="黑体"/>
                <w:sz w:val="18"/>
                <w:szCs w:val="18"/>
              </w:rPr>
              <w:t>5</w:t>
            </w:r>
            <w:r>
              <w:rPr>
                <w:rFonts w:ascii="黑体" w:hAnsi="黑体" w:eastAsia="黑体"/>
                <w:sz w:val="18"/>
                <w:szCs w:val="18"/>
              </w:rPr>
              <w:t>0%甲霜灵可</w:t>
            </w:r>
            <w:r>
              <w:rPr>
                <w:rFonts w:hint="eastAsia" w:ascii="宋体" w:hAnsi="宋体"/>
                <w:sz w:val="18"/>
                <w:szCs w:val="18"/>
              </w:rPr>
              <w:t>湿性粉剂</w:t>
            </w:r>
          </w:p>
        </w:tc>
        <w:tc>
          <w:tcPr>
            <w:tcW w:w="2230" w:type="dxa"/>
            <w:tcBorders>
              <w:bottom w:val="single" w:color="auto" w:sz="8" w:space="0"/>
            </w:tcBorders>
            <w:vAlign w:val="center"/>
          </w:tcPr>
          <w:p>
            <w:pPr>
              <w:jc w:val="center"/>
              <w:rPr>
                <w:rFonts w:ascii="宋体" w:hAnsi="宋体"/>
                <w:sz w:val="18"/>
                <w:szCs w:val="18"/>
              </w:rPr>
            </w:pPr>
            <w:r>
              <w:rPr>
                <w:rFonts w:hint="eastAsia" w:ascii="宋体" w:hAnsi="宋体"/>
                <w:sz w:val="18"/>
                <w:szCs w:val="18"/>
              </w:rPr>
              <w:t>1</w:t>
            </w:r>
            <w:r>
              <w:rPr>
                <w:rFonts w:ascii="宋体" w:hAnsi="宋体"/>
                <w:sz w:val="18"/>
                <w:szCs w:val="18"/>
              </w:rPr>
              <w:t>00-120</w:t>
            </w:r>
            <w:r>
              <w:rPr>
                <w:rFonts w:hint="eastAsia" w:ascii="宋体" w:hAnsi="宋体"/>
                <w:sz w:val="18"/>
                <w:szCs w:val="18"/>
              </w:rPr>
              <w:t>克</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continue"/>
            <w:tcBorders>
              <w:bottom w:val="single" w:color="auto" w:sz="8" w:space="0"/>
            </w:tcBorders>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restart"/>
            <w:vAlign w:val="center"/>
          </w:tcPr>
          <w:p>
            <w:pPr>
              <w:jc w:val="center"/>
              <w:rPr>
                <w:rFonts w:ascii="宋体" w:hAnsi="宋体"/>
                <w:sz w:val="18"/>
                <w:szCs w:val="18"/>
              </w:rPr>
            </w:pPr>
            <w:r>
              <w:rPr>
                <w:rFonts w:hint="eastAsia" w:ascii="宋体" w:hAnsi="宋体"/>
                <w:sz w:val="18"/>
                <w:szCs w:val="18"/>
              </w:rPr>
              <w:t>软腐病</w:t>
            </w:r>
          </w:p>
        </w:tc>
        <w:tc>
          <w:tcPr>
            <w:tcW w:w="2230" w:type="dxa"/>
            <w:vAlign w:val="center"/>
          </w:tcPr>
          <w:p>
            <w:pPr>
              <w:jc w:val="center"/>
              <w:rPr>
                <w:rFonts w:ascii="宋体" w:hAnsi="宋体"/>
                <w:sz w:val="18"/>
                <w:szCs w:val="18"/>
              </w:rPr>
            </w:pPr>
            <w:r>
              <w:rPr>
                <w:rFonts w:ascii="宋体" w:hAnsi="宋体"/>
                <w:sz w:val="18"/>
                <w:szCs w:val="18"/>
              </w:rPr>
              <w:t>50%</w:t>
            </w:r>
            <w:r>
              <w:rPr>
                <w:rFonts w:hint="eastAsia" w:ascii="宋体" w:hAnsi="宋体"/>
                <w:sz w:val="18"/>
                <w:szCs w:val="18"/>
              </w:rPr>
              <w:t>氯溴异氰尿酸可溶粉剂</w:t>
            </w:r>
          </w:p>
        </w:tc>
        <w:tc>
          <w:tcPr>
            <w:tcW w:w="2230" w:type="dxa"/>
            <w:vAlign w:val="center"/>
          </w:tcPr>
          <w:p>
            <w:pPr>
              <w:jc w:val="center"/>
              <w:rPr>
                <w:rFonts w:ascii="宋体" w:hAnsi="宋体"/>
                <w:sz w:val="18"/>
                <w:szCs w:val="18"/>
              </w:rPr>
            </w:pPr>
            <w:r>
              <w:rPr>
                <w:rFonts w:ascii="宋体" w:hAnsi="宋体"/>
                <w:sz w:val="18"/>
                <w:szCs w:val="18"/>
              </w:rPr>
              <w:t>50-60</w:t>
            </w:r>
            <w:r>
              <w:rPr>
                <w:rFonts w:hint="eastAsia" w:ascii="宋体" w:hAnsi="宋体"/>
                <w:sz w:val="18"/>
                <w:szCs w:val="18"/>
              </w:rPr>
              <w:t>克</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restart"/>
            <w:vAlign w:val="center"/>
          </w:tcPr>
          <w:p>
            <w:pPr>
              <w:jc w:val="center"/>
              <w:rPr>
                <w:rFonts w:ascii="宋体" w:hAnsi="宋体"/>
                <w:sz w:val="18"/>
                <w:szCs w:val="18"/>
              </w:rPr>
            </w:pPr>
            <w:r>
              <w:rPr>
                <w:rFonts w:ascii="宋体" w:hAnsi="宋体"/>
                <w:sz w:val="18"/>
                <w:szCs w:val="18"/>
              </w:rPr>
              <w:t>开花前、开花期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continue"/>
            <w:vAlign w:val="center"/>
          </w:tcPr>
          <w:p>
            <w:pPr>
              <w:jc w:val="center"/>
              <w:rPr>
                <w:rFonts w:ascii="宋体" w:hAnsi="宋体"/>
                <w:sz w:val="18"/>
                <w:szCs w:val="18"/>
              </w:rPr>
            </w:pPr>
          </w:p>
        </w:tc>
        <w:tc>
          <w:tcPr>
            <w:tcW w:w="2230" w:type="dxa"/>
            <w:vAlign w:val="center"/>
          </w:tcPr>
          <w:p>
            <w:pPr>
              <w:jc w:val="center"/>
              <w:rPr>
                <w:rFonts w:ascii="宋体" w:hAnsi="宋体"/>
                <w:sz w:val="18"/>
                <w:szCs w:val="18"/>
              </w:rPr>
            </w:pPr>
            <w:r>
              <w:rPr>
                <w:rFonts w:ascii="宋体" w:hAnsi="宋体"/>
                <w:sz w:val="18"/>
                <w:szCs w:val="18"/>
              </w:rPr>
              <w:t>20%</w:t>
            </w:r>
            <w:r>
              <w:rPr>
                <w:rFonts w:hint="eastAsia" w:ascii="宋体" w:hAnsi="宋体"/>
                <w:sz w:val="18"/>
                <w:szCs w:val="18"/>
              </w:rPr>
              <w:t>噻菌铜悬浮剂</w:t>
            </w:r>
          </w:p>
        </w:tc>
        <w:tc>
          <w:tcPr>
            <w:tcW w:w="2230" w:type="dxa"/>
            <w:vAlign w:val="center"/>
          </w:tcPr>
          <w:p>
            <w:pPr>
              <w:jc w:val="center"/>
              <w:rPr>
                <w:rFonts w:ascii="宋体" w:hAnsi="宋体"/>
                <w:sz w:val="18"/>
                <w:szCs w:val="18"/>
              </w:rPr>
            </w:pPr>
            <w:r>
              <w:rPr>
                <w:rFonts w:ascii="宋体" w:hAnsi="宋体"/>
                <w:sz w:val="18"/>
                <w:szCs w:val="18"/>
              </w:rPr>
              <w:t>75-100</w:t>
            </w:r>
            <w:r>
              <w:rPr>
                <w:rFonts w:hint="eastAsia" w:ascii="宋体" w:hAnsi="宋体"/>
                <w:sz w:val="18"/>
                <w:szCs w:val="18"/>
              </w:rPr>
              <w:t>克</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continue"/>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restart"/>
            <w:vAlign w:val="center"/>
          </w:tcPr>
          <w:p>
            <w:pPr>
              <w:jc w:val="center"/>
              <w:rPr>
                <w:rFonts w:ascii="宋体" w:hAnsi="宋体"/>
                <w:sz w:val="18"/>
                <w:szCs w:val="18"/>
              </w:rPr>
            </w:pPr>
            <w:r>
              <w:rPr>
                <w:rFonts w:hint="eastAsia" w:ascii="宋体" w:hAnsi="宋体"/>
                <w:sz w:val="18"/>
                <w:szCs w:val="18"/>
              </w:rPr>
              <w:t>根肿病</w:t>
            </w:r>
          </w:p>
        </w:tc>
        <w:tc>
          <w:tcPr>
            <w:tcW w:w="2230" w:type="dxa"/>
            <w:vAlign w:val="center"/>
          </w:tcPr>
          <w:p>
            <w:pPr>
              <w:jc w:val="center"/>
              <w:rPr>
                <w:rFonts w:ascii="宋体" w:hAnsi="宋体"/>
                <w:sz w:val="18"/>
                <w:szCs w:val="18"/>
              </w:rPr>
            </w:pPr>
            <w:r>
              <w:rPr>
                <w:rFonts w:ascii="宋体" w:hAnsi="宋体"/>
                <w:sz w:val="18"/>
                <w:szCs w:val="18"/>
              </w:rPr>
              <w:t>10%</w:t>
            </w:r>
            <w:r>
              <w:rPr>
                <w:rFonts w:hint="eastAsia" w:ascii="宋体" w:hAnsi="宋体"/>
                <w:sz w:val="18"/>
                <w:szCs w:val="18"/>
              </w:rPr>
              <w:t>氰霜唑悬浮剂</w:t>
            </w:r>
          </w:p>
        </w:tc>
        <w:tc>
          <w:tcPr>
            <w:tcW w:w="2230" w:type="dxa"/>
            <w:vAlign w:val="center"/>
          </w:tcPr>
          <w:p>
            <w:pPr>
              <w:jc w:val="center"/>
              <w:rPr>
                <w:rFonts w:ascii="宋体" w:hAnsi="宋体"/>
                <w:sz w:val="18"/>
                <w:szCs w:val="18"/>
              </w:rPr>
            </w:pPr>
            <w:r>
              <w:rPr>
                <w:rFonts w:ascii="宋体" w:hAnsi="宋体"/>
                <w:sz w:val="18"/>
                <w:szCs w:val="18"/>
              </w:rPr>
              <w:t>150-180</w:t>
            </w:r>
            <w:r>
              <w:rPr>
                <w:rFonts w:hint="eastAsia" w:ascii="宋体" w:hAnsi="宋体"/>
                <w:sz w:val="18"/>
                <w:szCs w:val="18"/>
              </w:rPr>
              <w:t>毫升</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灌根</w:t>
            </w:r>
          </w:p>
        </w:tc>
        <w:tc>
          <w:tcPr>
            <w:tcW w:w="2231" w:type="dxa"/>
            <w:vMerge w:val="restart"/>
            <w:vAlign w:val="center"/>
          </w:tcPr>
          <w:p>
            <w:pPr>
              <w:jc w:val="center"/>
              <w:rPr>
                <w:rFonts w:ascii="宋体" w:hAnsi="宋体"/>
                <w:sz w:val="18"/>
                <w:szCs w:val="18"/>
              </w:rPr>
            </w:pPr>
            <w:r>
              <w:rPr>
                <w:rFonts w:ascii="宋体" w:hAnsi="宋体"/>
                <w:sz w:val="18"/>
                <w:szCs w:val="18"/>
              </w:rPr>
              <w:t>开花期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continue"/>
            <w:vAlign w:val="center"/>
          </w:tcPr>
          <w:p>
            <w:pPr>
              <w:jc w:val="center"/>
              <w:rPr>
                <w:rFonts w:ascii="宋体" w:hAnsi="宋体"/>
                <w:sz w:val="18"/>
                <w:szCs w:val="18"/>
              </w:rPr>
            </w:pPr>
          </w:p>
        </w:tc>
        <w:tc>
          <w:tcPr>
            <w:tcW w:w="2230" w:type="dxa"/>
            <w:vAlign w:val="center"/>
          </w:tcPr>
          <w:p>
            <w:pPr>
              <w:jc w:val="center"/>
              <w:rPr>
                <w:rFonts w:ascii="宋体" w:hAnsi="宋体"/>
                <w:sz w:val="18"/>
                <w:szCs w:val="18"/>
              </w:rPr>
            </w:pPr>
            <w:r>
              <w:rPr>
                <w:rFonts w:ascii="宋体" w:hAnsi="宋体"/>
                <w:sz w:val="18"/>
                <w:szCs w:val="18"/>
              </w:rPr>
              <w:t>50%</w:t>
            </w:r>
            <w:r>
              <w:rPr>
                <w:rFonts w:hint="eastAsia" w:ascii="宋体" w:hAnsi="宋体"/>
                <w:sz w:val="18"/>
                <w:szCs w:val="18"/>
              </w:rPr>
              <w:t>氟啶胺悬浮剂</w:t>
            </w:r>
          </w:p>
        </w:tc>
        <w:tc>
          <w:tcPr>
            <w:tcW w:w="2230" w:type="dxa"/>
            <w:vAlign w:val="center"/>
          </w:tcPr>
          <w:p>
            <w:pPr>
              <w:jc w:val="center"/>
              <w:rPr>
                <w:rFonts w:ascii="宋体" w:hAnsi="宋体"/>
                <w:sz w:val="18"/>
                <w:szCs w:val="18"/>
              </w:rPr>
            </w:pPr>
            <w:r>
              <w:rPr>
                <w:rFonts w:ascii="宋体" w:hAnsi="宋体"/>
                <w:sz w:val="18"/>
                <w:szCs w:val="18"/>
              </w:rPr>
              <w:t>267-333</w:t>
            </w:r>
            <w:r>
              <w:rPr>
                <w:rFonts w:hint="eastAsia" w:ascii="宋体" w:hAnsi="宋体"/>
                <w:sz w:val="18"/>
                <w:szCs w:val="18"/>
              </w:rPr>
              <w:t>克</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土壤喷雾</w:t>
            </w:r>
          </w:p>
        </w:tc>
        <w:tc>
          <w:tcPr>
            <w:tcW w:w="2231" w:type="dxa"/>
            <w:vMerge w:val="continue"/>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restart"/>
            <w:vAlign w:val="center"/>
          </w:tcPr>
          <w:p>
            <w:pPr>
              <w:jc w:val="center"/>
              <w:rPr>
                <w:rFonts w:ascii="宋体" w:hAnsi="宋体"/>
                <w:sz w:val="18"/>
                <w:szCs w:val="18"/>
              </w:rPr>
            </w:pPr>
            <w:r>
              <w:rPr>
                <w:rFonts w:hint="eastAsia" w:ascii="宋体" w:hAnsi="宋体"/>
                <w:sz w:val="18"/>
                <w:szCs w:val="18"/>
              </w:rPr>
              <w:t>霜霉病</w:t>
            </w:r>
          </w:p>
        </w:tc>
        <w:tc>
          <w:tcPr>
            <w:tcW w:w="2230" w:type="dxa"/>
            <w:vAlign w:val="center"/>
          </w:tcPr>
          <w:p>
            <w:pPr>
              <w:jc w:val="center"/>
              <w:rPr>
                <w:rFonts w:ascii="宋体" w:hAnsi="宋体"/>
                <w:sz w:val="18"/>
                <w:szCs w:val="18"/>
              </w:rPr>
            </w:pPr>
            <w:r>
              <w:rPr>
                <w:rFonts w:ascii="宋体" w:hAnsi="宋体"/>
                <w:sz w:val="18"/>
                <w:szCs w:val="18"/>
              </w:rPr>
              <w:t>70%</w:t>
            </w:r>
            <w:r>
              <w:rPr>
                <w:rFonts w:hint="eastAsia" w:ascii="宋体" w:hAnsi="宋体"/>
                <w:sz w:val="18"/>
                <w:szCs w:val="18"/>
              </w:rPr>
              <w:t>丙森锌可湿性粉剂</w:t>
            </w:r>
          </w:p>
        </w:tc>
        <w:tc>
          <w:tcPr>
            <w:tcW w:w="2230" w:type="dxa"/>
            <w:vAlign w:val="center"/>
          </w:tcPr>
          <w:p>
            <w:pPr>
              <w:jc w:val="center"/>
              <w:rPr>
                <w:rFonts w:ascii="宋体" w:hAnsi="宋体"/>
                <w:sz w:val="18"/>
                <w:szCs w:val="18"/>
              </w:rPr>
            </w:pPr>
            <w:r>
              <w:rPr>
                <w:rFonts w:ascii="宋体" w:hAnsi="宋体"/>
                <w:sz w:val="18"/>
                <w:szCs w:val="18"/>
              </w:rPr>
              <w:t>150-214</w:t>
            </w:r>
            <w:r>
              <w:rPr>
                <w:rFonts w:hint="eastAsia" w:ascii="宋体" w:hAnsi="宋体"/>
                <w:sz w:val="18"/>
                <w:szCs w:val="18"/>
              </w:rPr>
              <w:t>克</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restart"/>
            <w:vAlign w:val="center"/>
          </w:tcPr>
          <w:p>
            <w:pPr>
              <w:jc w:val="center"/>
              <w:rPr>
                <w:rFonts w:ascii="宋体" w:hAnsi="宋体"/>
                <w:sz w:val="18"/>
                <w:szCs w:val="18"/>
              </w:rPr>
            </w:pPr>
            <w:r>
              <w:rPr>
                <w:rFonts w:ascii="宋体" w:hAnsi="宋体"/>
                <w:sz w:val="18"/>
                <w:szCs w:val="18"/>
              </w:rPr>
              <w:t>开花期、结籽期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continue"/>
            <w:vAlign w:val="center"/>
          </w:tcPr>
          <w:p>
            <w:pPr>
              <w:jc w:val="center"/>
              <w:rPr>
                <w:rFonts w:ascii="宋体" w:hAnsi="宋体"/>
                <w:sz w:val="18"/>
                <w:szCs w:val="18"/>
              </w:rPr>
            </w:pPr>
          </w:p>
        </w:tc>
        <w:tc>
          <w:tcPr>
            <w:tcW w:w="2230" w:type="dxa"/>
            <w:vAlign w:val="center"/>
          </w:tcPr>
          <w:p>
            <w:pPr>
              <w:jc w:val="center"/>
              <w:rPr>
                <w:rFonts w:ascii="宋体" w:hAnsi="宋体"/>
                <w:sz w:val="18"/>
                <w:szCs w:val="18"/>
              </w:rPr>
            </w:pPr>
            <w:r>
              <w:rPr>
                <w:rFonts w:ascii="宋体" w:hAnsi="宋体"/>
                <w:sz w:val="18"/>
                <w:szCs w:val="18"/>
              </w:rPr>
              <w:t>62</w:t>
            </w:r>
            <w:r>
              <w:rPr>
                <w:rFonts w:hint="eastAsia" w:ascii="宋体" w:hAnsi="宋体"/>
                <w:sz w:val="18"/>
                <w:szCs w:val="18"/>
              </w:rPr>
              <w:t>.5</w:t>
            </w:r>
            <w:r>
              <w:rPr>
                <w:rFonts w:ascii="宋体" w:hAnsi="宋体"/>
                <w:sz w:val="18"/>
                <w:szCs w:val="18"/>
              </w:rPr>
              <w:t>%</w:t>
            </w:r>
            <w:r>
              <w:rPr>
                <w:rFonts w:hint="eastAsia" w:ascii="宋体" w:hAnsi="宋体"/>
                <w:sz w:val="18"/>
                <w:szCs w:val="18"/>
              </w:rPr>
              <w:t>氟菌·霜霉威悬浮剂</w:t>
            </w:r>
          </w:p>
        </w:tc>
        <w:tc>
          <w:tcPr>
            <w:tcW w:w="2230" w:type="dxa"/>
            <w:vAlign w:val="center"/>
          </w:tcPr>
          <w:p>
            <w:pPr>
              <w:jc w:val="center"/>
              <w:rPr>
                <w:rFonts w:ascii="宋体" w:hAnsi="宋体"/>
                <w:sz w:val="18"/>
                <w:szCs w:val="18"/>
              </w:rPr>
            </w:pPr>
            <w:r>
              <w:rPr>
                <w:rFonts w:ascii="宋体" w:hAnsi="宋体"/>
                <w:sz w:val="18"/>
                <w:szCs w:val="18"/>
              </w:rPr>
              <w:t>60-75</w:t>
            </w:r>
            <w:r>
              <w:rPr>
                <w:rFonts w:hint="eastAsia" w:ascii="宋体" w:hAnsi="宋体"/>
                <w:sz w:val="18"/>
                <w:szCs w:val="18"/>
              </w:rPr>
              <w:t>毫升</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continue"/>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continue"/>
            <w:vAlign w:val="center"/>
          </w:tcPr>
          <w:p>
            <w:pPr>
              <w:jc w:val="center"/>
              <w:rPr>
                <w:rFonts w:ascii="宋体" w:hAnsi="宋体"/>
                <w:sz w:val="18"/>
                <w:szCs w:val="18"/>
              </w:rPr>
            </w:pPr>
          </w:p>
        </w:tc>
        <w:tc>
          <w:tcPr>
            <w:tcW w:w="2230" w:type="dxa"/>
            <w:vAlign w:val="center"/>
          </w:tcPr>
          <w:p>
            <w:pPr>
              <w:jc w:val="center"/>
              <w:rPr>
                <w:rFonts w:ascii="宋体" w:hAnsi="宋体"/>
                <w:sz w:val="18"/>
                <w:szCs w:val="18"/>
              </w:rPr>
            </w:pPr>
            <w:r>
              <w:rPr>
                <w:rFonts w:hint="eastAsia" w:ascii="宋体" w:hAnsi="宋体"/>
                <w:sz w:val="18"/>
                <w:szCs w:val="18"/>
              </w:rPr>
              <w:t>7</w:t>
            </w:r>
            <w:r>
              <w:rPr>
                <w:rFonts w:ascii="宋体" w:hAnsi="宋体"/>
                <w:sz w:val="18"/>
                <w:szCs w:val="18"/>
              </w:rPr>
              <w:t>2%</w:t>
            </w:r>
            <w:r>
              <w:rPr>
                <w:rFonts w:hint="eastAsia" w:ascii="宋体" w:hAnsi="宋体"/>
                <w:sz w:val="18"/>
                <w:szCs w:val="18"/>
              </w:rPr>
              <w:t>霜霉威水剂</w:t>
            </w:r>
          </w:p>
        </w:tc>
        <w:tc>
          <w:tcPr>
            <w:tcW w:w="2230" w:type="dxa"/>
            <w:vAlign w:val="center"/>
          </w:tcPr>
          <w:p>
            <w:pPr>
              <w:jc w:val="center"/>
              <w:rPr>
                <w:rFonts w:ascii="宋体" w:hAnsi="宋体"/>
                <w:sz w:val="18"/>
                <w:szCs w:val="18"/>
              </w:rPr>
            </w:pPr>
            <w:r>
              <w:rPr>
                <w:rFonts w:ascii="宋体" w:hAnsi="宋体"/>
                <w:sz w:val="18"/>
                <w:szCs w:val="18"/>
              </w:rPr>
              <w:t>1500</w:t>
            </w:r>
            <w:r>
              <w:rPr>
                <w:rFonts w:hint="eastAsia" w:ascii="宋体" w:hAnsi="宋体"/>
                <w:sz w:val="18"/>
                <w:szCs w:val="18"/>
              </w:rPr>
              <w:t>倍液喷雾</w:t>
            </w:r>
          </w:p>
        </w:tc>
        <w:tc>
          <w:tcPr>
            <w:tcW w:w="2231" w:type="dxa"/>
            <w:vMerge w:val="continue"/>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restart"/>
            <w:vAlign w:val="center"/>
          </w:tcPr>
          <w:p>
            <w:pPr>
              <w:jc w:val="center"/>
              <w:rPr>
                <w:rFonts w:ascii="宋体" w:hAnsi="宋体"/>
                <w:sz w:val="18"/>
                <w:szCs w:val="18"/>
              </w:rPr>
            </w:pPr>
            <w:r>
              <w:rPr>
                <w:rFonts w:hint="eastAsia" w:ascii="宋体" w:hAnsi="宋体"/>
                <w:sz w:val="18"/>
                <w:szCs w:val="18"/>
              </w:rPr>
              <w:t>黄曲条跳甲</w:t>
            </w:r>
          </w:p>
        </w:tc>
        <w:tc>
          <w:tcPr>
            <w:tcW w:w="2230" w:type="dxa"/>
            <w:vAlign w:val="center"/>
          </w:tcPr>
          <w:p>
            <w:pPr>
              <w:jc w:val="center"/>
              <w:rPr>
                <w:rFonts w:ascii="宋体" w:hAnsi="宋体"/>
                <w:sz w:val="18"/>
                <w:szCs w:val="18"/>
              </w:rPr>
            </w:pPr>
            <w:r>
              <w:rPr>
                <w:rFonts w:ascii="宋体" w:hAnsi="宋体"/>
                <w:sz w:val="18"/>
                <w:szCs w:val="18"/>
              </w:rPr>
              <w:t>10%</w:t>
            </w:r>
            <w:r>
              <w:rPr>
                <w:rFonts w:hint="eastAsia" w:ascii="宋体" w:hAnsi="宋体"/>
                <w:sz w:val="18"/>
                <w:szCs w:val="18"/>
              </w:rPr>
              <w:t>溴氰虫酰胺可分散油悬浮剂</w:t>
            </w:r>
          </w:p>
        </w:tc>
        <w:tc>
          <w:tcPr>
            <w:tcW w:w="2230" w:type="dxa"/>
            <w:vAlign w:val="center"/>
          </w:tcPr>
          <w:p>
            <w:pPr>
              <w:jc w:val="center"/>
              <w:rPr>
                <w:rFonts w:ascii="宋体" w:hAnsi="宋体"/>
                <w:sz w:val="18"/>
                <w:szCs w:val="18"/>
              </w:rPr>
            </w:pPr>
            <w:r>
              <w:rPr>
                <w:rFonts w:ascii="宋体" w:hAnsi="宋体"/>
                <w:sz w:val="18"/>
                <w:szCs w:val="18"/>
              </w:rPr>
              <w:t>24-28</w:t>
            </w:r>
            <w:r>
              <w:rPr>
                <w:rFonts w:hint="eastAsia" w:ascii="宋体" w:hAnsi="宋体"/>
                <w:sz w:val="18"/>
                <w:szCs w:val="18"/>
              </w:rPr>
              <w:t>毫升</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restart"/>
            <w:vAlign w:val="center"/>
          </w:tcPr>
          <w:p>
            <w:pPr>
              <w:jc w:val="center"/>
              <w:rPr>
                <w:rFonts w:ascii="宋体" w:hAnsi="宋体"/>
                <w:sz w:val="18"/>
                <w:szCs w:val="18"/>
              </w:rPr>
            </w:pPr>
            <w:r>
              <w:rPr>
                <w:rFonts w:ascii="宋体" w:hAnsi="宋体"/>
                <w:sz w:val="18"/>
                <w:szCs w:val="18"/>
              </w:rPr>
              <w:t>苗期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continue"/>
            <w:vAlign w:val="center"/>
          </w:tcPr>
          <w:p>
            <w:pPr>
              <w:jc w:val="center"/>
              <w:rPr>
                <w:rFonts w:ascii="宋体" w:hAnsi="宋体"/>
                <w:sz w:val="18"/>
                <w:szCs w:val="18"/>
              </w:rPr>
            </w:pPr>
          </w:p>
        </w:tc>
        <w:tc>
          <w:tcPr>
            <w:tcW w:w="2230" w:type="dxa"/>
            <w:vAlign w:val="center"/>
          </w:tcPr>
          <w:p>
            <w:pPr>
              <w:jc w:val="center"/>
              <w:rPr>
                <w:rFonts w:ascii="宋体" w:hAnsi="宋体"/>
                <w:sz w:val="18"/>
                <w:szCs w:val="18"/>
              </w:rPr>
            </w:pPr>
            <w:r>
              <w:rPr>
                <w:rFonts w:ascii="宋体" w:hAnsi="宋体"/>
                <w:sz w:val="18"/>
                <w:szCs w:val="18"/>
              </w:rPr>
              <w:t>30%</w:t>
            </w:r>
            <w:r>
              <w:rPr>
                <w:rFonts w:hint="eastAsia" w:ascii="宋体" w:hAnsi="宋体"/>
                <w:sz w:val="18"/>
                <w:szCs w:val="18"/>
              </w:rPr>
              <w:t>氯虫·噻虫嗪悬浮剂</w:t>
            </w:r>
          </w:p>
        </w:tc>
        <w:tc>
          <w:tcPr>
            <w:tcW w:w="2230" w:type="dxa"/>
            <w:vAlign w:val="center"/>
          </w:tcPr>
          <w:p>
            <w:pPr>
              <w:jc w:val="center"/>
              <w:rPr>
                <w:rFonts w:ascii="宋体" w:hAnsi="宋体"/>
                <w:sz w:val="18"/>
                <w:szCs w:val="18"/>
              </w:rPr>
            </w:pPr>
            <w:r>
              <w:rPr>
                <w:rFonts w:ascii="宋体" w:hAnsi="宋体"/>
                <w:sz w:val="18"/>
                <w:szCs w:val="18"/>
              </w:rPr>
              <w:t>27.8-33.3</w:t>
            </w:r>
            <w:r>
              <w:rPr>
                <w:rFonts w:hint="eastAsia" w:ascii="宋体" w:hAnsi="宋体"/>
                <w:sz w:val="18"/>
                <w:szCs w:val="18"/>
              </w:rPr>
              <w:t>毫升</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喷淋或灌根</w:t>
            </w:r>
          </w:p>
        </w:tc>
        <w:tc>
          <w:tcPr>
            <w:tcW w:w="2231" w:type="dxa"/>
            <w:vMerge w:val="continue"/>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restart"/>
            <w:vAlign w:val="center"/>
          </w:tcPr>
          <w:p>
            <w:pPr>
              <w:jc w:val="center"/>
              <w:rPr>
                <w:rFonts w:ascii="宋体" w:hAnsi="宋体"/>
                <w:sz w:val="18"/>
                <w:szCs w:val="18"/>
              </w:rPr>
            </w:pPr>
            <w:r>
              <w:rPr>
                <w:rFonts w:hint="eastAsia" w:ascii="宋体" w:hAnsi="宋体"/>
                <w:sz w:val="18"/>
                <w:szCs w:val="18"/>
              </w:rPr>
              <w:t>蚜虫</w:t>
            </w:r>
          </w:p>
        </w:tc>
        <w:tc>
          <w:tcPr>
            <w:tcW w:w="2230" w:type="dxa"/>
            <w:vAlign w:val="center"/>
          </w:tcPr>
          <w:p>
            <w:pPr>
              <w:jc w:val="center"/>
              <w:rPr>
                <w:rFonts w:ascii="宋体" w:hAnsi="宋体"/>
                <w:sz w:val="18"/>
                <w:szCs w:val="18"/>
              </w:rPr>
            </w:pPr>
            <w:r>
              <w:rPr>
                <w:rFonts w:ascii="宋体" w:hAnsi="宋体"/>
                <w:sz w:val="18"/>
                <w:szCs w:val="18"/>
              </w:rPr>
              <w:t>10%</w:t>
            </w:r>
            <w:r>
              <w:rPr>
                <w:rFonts w:hint="eastAsia" w:ascii="宋体" w:hAnsi="宋体"/>
                <w:sz w:val="18"/>
                <w:szCs w:val="18"/>
              </w:rPr>
              <w:t>吡虫啉悬浮剂</w:t>
            </w:r>
          </w:p>
        </w:tc>
        <w:tc>
          <w:tcPr>
            <w:tcW w:w="2230" w:type="dxa"/>
            <w:vAlign w:val="center"/>
          </w:tcPr>
          <w:p>
            <w:pPr>
              <w:jc w:val="center"/>
              <w:rPr>
                <w:rFonts w:ascii="宋体" w:hAnsi="宋体"/>
                <w:sz w:val="18"/>
                <w:szCs w:val="18"/>
              </w:rPr>
            </w:pPr>
            <w:r>
              <w:rPr>
                <w:rFonts w:ascii="宋体" w:hAnsi="宋体"/>
                <w:sz w:val="18"/>
                <w:szCs w:val="18"/>
              </w:rPr>
              <w:t>15-20</w:t>
            </w:r>
            <w:r>
              <w:rPr>
                <w:rFonts w:hint="eastAsia" w:ascii="宋体" w:hAnsi="宋体"/>
                <w:sz w:val="18"/>
                <w:szCs w:val="18"/>
              </w:rPr>
              <w:t>克</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restart"/>
            <w:vAlign w:val="center"/>
          </w:tcPr>
          <w:p>
            <w:pPr>
              <w:jc w:val="left"/>
              <w:rPr>
                <w:rFonts w:ascii="宋体" w:hAnsi="宋体"/>
                <w:sz w:val="18"/>
                <w:szCs w:val="18"/>
              </w:rPr>
            </w:pPr>
            <w:r>
              <w:rPr>
                <w:rFonts w:ascii="宋体" w:hAnsi="宋体"/>
                <w:sz w:val="18"/>
                <w:szCs w:val="18"/>
              </w:rPr>
              <w:t>在授粉昆虫投放前</w:t>
            </w:r>
            <w:r>
              <w:rPr>
                <w:rFonts w:hint="eastAsia" w:ascii="宋体" w:hAnsi="宋体"/>
                <w:sz w:val="18"/>
                <w:szCs w:val="18"/>
              </w:rPr>
              <w:t>5d～</w:t>
            </w:r>
            <w:r>
              <w:rPr>
                <w:rFonts w:ascii="宋体" w:hAnsi="宋体"/>
                <w:sz w:val="18"/>
                <w:szCs w:val="18"/>
              </w:rPr>
              <w:t>7d重施一次杀虫剂配合杀菌剂，整个花期一般不再施用杀虫剂；保持系拔除后再重施一次杀虫剂。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continue"/>
            <w:vAlign w:val="center"/>
          </w:tcPr>
          <w:p>
            <w:pPr>
              <w:jc w:val="center"/>
              <w:rPr>
                <w:rFonts w:ascii="宋体" w:hAnsi="宋体"/>
                <w:sz w:val="18"/>
                <w:szCs w:val="18"/>
              </w:rPr>
            </w:pPr>
          </w:p>
        </w:tc>
        <w:tc>
          <w:tcPr>
            <w:tcW w:w="2230" w:type="dxa"/>
            <w:vAlign w:val="center"/>
          </w:tcPr>
          <w:p>
            <w:pPr>
              <w:jc w:val="center"/>
              <w:rPr>
                <w:rFonts w:ascii="宋体" w:hAnsi="宋体"/>
                <w:sz w:val="18"/>
                <w:szCs w:val="18"/>
              </w:rPr>
            </w:pPr>
            <w:r>
              <w:rPr>
                <w:rFonts w:ascii="宋体" w:hAnsi="宋体"/>
                <w:sz w:val="18"/>
                <w:szCs w:val="18"/>
              </w:rPr>
              <w:t>5%</w:t>
            </w:r>
            <w:r>
              <w:rPr>
                <w:rFonts w:hint="eastAsia" w:ascii="宋体" w:hAnsi="宋体"/>
                <w:sz w:val="18"/>
                <w:szCs w:val="18"/>
              </w:rPr>
              <w:t>啶虫脒乳油</w:t>
            </w:r>
          </w:p>
        </w:tc>
        <w:tc>
          <w:tcPr>
            <w:tcW w:w="2230" w:type="dxa"/>
            <w:vAlign w:val="center"/>
          </w:tcPr>
          <w:p>
            <w:pPr>
              <w:jc w:val="center"/>
              <w:rPr>
                <w:rFonts w:ascii="宋体" w:hAnsi="宋体"/>
                <w:sz w:val="18"/>
                <w:szCs w:val="18"/>
              </w:rPr>
            </w:pPr>
            <w:r>
              <w:rPr>
                <w:rFonts w:ascii="宋体" w:hAnsi="宋体"/>
                <w:sz w:val="18"/>
                <w:szCs w:val="18"/>
              </w:rPr>
              <w:t>16-20</w:t>
            </w:r>
            <w:r>
              <w:rPr>
                <w:rFonts w:hint="eastAsia" w:ascii="宋体" w:hAnsi="宋体"/>
                <w:sz w:val="18"/>
                <w:szCs w:val="18"/>
              </w:rPr>
              <w:t>毫升</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continue"/>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2230" w:type="dxa"/>
            <w:vMerge w:val="restart"/>
            <w:vAlign w:val="center"/>
          </w:tcPr>
          <w:p>
            <w:pPr>
              <w:jc w:val="center"/>
              <w:rPr>
                <w:rFonts w:ascii="宋体" w:hAnsi="宋体"/>
                <w:sz w:val="18"/>
                <w:szCs w:val="18"/>
              </w:rPr>
            </w:pPr>
            <w:r>
              <w:rPr>
                <w:rFonts w:hint="eastAsia" w:ascii="宋体" w:hAnsi="宋体"/>
                <w:sz w:val="18"/>
                <w:szCs w:val="18"/>
              </w:rPr>
              <w:t>菜青虫</w:t>
            </w:r>
          </w:p>
        </w:tc>
        <w:tc>
          <w:tcPr>
            <w:tcW w:w="2230" w:type="dxa"/>
            <w:vAlign w:val="center"/>
          </w:tcPr>
          <w:p>
            <w:pPr>
              <w:jc w:val="center"/>
              <w:rPr>
                <w:rFonts w:ascii="宋体" w:hAnsi="宋体"/>
                <w:sz w:val="18"/>
                <w:szCs w:val="18"/>
              </w:rPr>
            </w:pPr>
            <w:r>
              <w:rPr>
                <w:rFonts w:ascii="宋体" w:hAnsi="宋体"/>
                <w:sz w:val="18"/>
                <w:szCs w:val="18"/>
              </w:rPr>
              <w:t>5%</w:t>
            </w:r>
            <w:r>
              <w:rPr>
                <w:rFonts w:hint="eastAsia" w:ascii="宋体" w:hAnsi="宋体"/>
                <w:sz w:val="18"/>
                <w:szCs w:val="18"/>
              </w:rPr>
              <w:t>高效氯氟氰菊酯微乳剂</w:t>
            </w:r>
          </w:p>
        </w:tc>
        <w:tc>
          <w:tcPr>
            <w:tcW w:w="2230" w:type="dxa"/>
            <w:vAlign w:val="center"/>
          </w:tcPr>
          <w:p>
            <w:pPr>
              <w:jc w:val="center"/>
              <w:rPr>
                <w:rFonts w:ascii="宋体" w:hAnsi="宋体"/>
                <w:sz w:val="18"/>
                <w:szCs w:val="18"/>
              </w:rPr>
            </w:pPr>
            <w:r>
              <w:rPr>
                <w:rFonts w:ascii="宋体" w:hAnsi="宋体"/>
                <w:sz w:val="18"/>
                <w:szCs w:val="18"/>
              </w:rPr>
              <w:t>12-18</w:t>
            </w:r>
            <w:r>
              <w:rPr>
                <w:rFonts w:hint="eastAsia" w:ascii="宋体" w:hAnsi="宋体"/>
                <w:sz w:val="18"/>
                <w:szCs w:val="18"/>
              </w:rPr>
              <w:t>克</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continue"/>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continue"/>
            <w:vAlign w:val="center"/>
          </w:tcPr>
          <w:p>
            <w:pPr>
              <w:jc w:val="center"/>
              <w:rPr>
                <w:rFonts w:ascii="宋体" w:hAnsi="宋体"/>
                <w:sz w:val="18"/>
                <w:szCs w:val="18"/>
              </w:rPr>
            </w:pPr>
          </w:p>
        </w:tc>
        <w:tc>
          <w:tcPr>
            <w:tcW w:w="2230" w:type="dxa"/>
            <w:vAlign w:val="center"/>
          </w:tcPr>
          <w:p>
            <w:pPr>
              <w:jc w:val="center"/>
              <w:rPr>
                <w:rFonts w:ascii="宋体" w:hAnsi="宋体"/>
                <w:sz w:val="18"/>
                <w:szCs w:val="18"/>
              </w:rPr>
            </w:pPr>
            <w:r>
              <w:rPr>
                <w:rFonts w:ascii="宋体" w:hAnsi="宋体"/>
                <w:sz w:val="18"/>
                <w:szCs w:val="18"/>
              </w:rPr>
              <w:t>10%</w:t>
            </w:r>
            <w:r>
              <w:rPr>
                <w:rFonts w:hint="eastAsia" w:ascii="宋体" w:hAnsi="宋体"/>
                <w:sz w:val="18"/>
                <w:szCs w:val="18"/>
              </w:rPr>
              <w:t>溴氰虫酰胺可分散油悬浮剂</w:t>
            </w:r>
          </w:p>
        </w:tc>
        <w:tc>
          <w:tcPr>
            <w:tcW w:w="2230" w:type="dxa"/>
            <w:vAlign w:val="center"/>
          </w:tcPr>
          <w:p>
            <w:pPr>
              <w:jc w:val="center"/>
              <w:rPr>
                <w:rFonts w:ascii="宋体" w:hAnsi="宋体"/>
                <w:sz w:val="18"/>
                <w:szCs w:val="18"/>
              </w:rPr>
            </w:pPr>
            <w:r>
              <w:rPr>
                <w:rFonts w:ascii="宋体" w:hAnsi="宋体"/>
                <w:sz w:val="18"/>
                <w:szCs w:val="18"/>
              </w:rPr>
              <w:t>10-14</w:t>
            </w:r>
            <w:r>
              <w:rPr>
                <w:rFonts w:hint="eastAsia" w:ascii="宋体" w:hAnsi="宋体"/>
                <w:sz w:val="18"/>
                <w:szCs w:val="18"/>
              </w:rPr>
              <w:t>毫升</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continue"/>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restart"/>
            <w:vAlign w:val="center"/>
          </w:tcPr>
          <w:p>
            <w:pPr>
              <w:jc w:val="center"/>
              <w:rPr>
                <w:rFonts w:ascii="宋体" w:hAnsi="宋体"/>
                <w:sz w:val="18"/>
                <w:szCs w:val="18"/>
              </w:rPr>
            </w:pPr>
            <w:r>
              <w:rPr>
                <w:rFonts w:hint="eastAsia" w:ascii="宋体" w:hAnsi="宋体"/>
                <w:sz w:val="18"/>
                <w:szCs w:val="18"/>
              </w:rPr>
              <w:t>小菜蛾</w:t>
            </w:r>
          </w:p>
        </w:tc>
        <w:tc>
          <w:tcPr>
            <w:tcW w:w="2230" w:type="dxa"/>
            <w:vAlign w:val="center"/>
          </w:tcPr>
          <w:p>
            <w:pPr>
              <w:jc w:val="center"/>
              <w:rPr>
                <w:rFonts w:ascii="宋体" w:hAnsi="宋体"/>
                <w:sz w:val="18"/>
                <w:szCs w:val="18"/>
              </w:rPr>
            </w:pPr>
            <w:r>
              <w:rPr>
                <w:rFonts w:ascii="宋体" w:hAnsi="宋体"/>
                <w:sz w:val="18"/>
                <w:szCs w:val="18"/>
              </w:rPr>
              <w:t>30%</w:t>
            </w:r>
            <w:r>
              <w:rPr>
                <w:rFonts w:hint="eastAsia" w:ascii="宋体" w:hAnsi="宋体"/>
                <w:sz w:val="18"/>
                <w:szCs w:val="18"/>
              </w:rPr>
              <w:t>茚虫威水分散粒剂</w:t>
            </w:r>
          </w:p>
        </w:tc>
        <w:tc>
          <w:tcPr>
            <w:tcW w:w="2230" w:type="dxa"/>
            <w:vAlign w:val="center"/>
          </w:tcPr>
          <w:p>
            <w:pPr>
              <w:jc w:val="center"/>
              <w:rPr>
                <w:rFonts w:ascii="宋体" w:hAnsi="宋体"/>
                <w:sz w:val="18"/>
                <w:szCs w:val="18"/>
              </w:rPr>
            </w:pPr>
            <w:r>
              <w:rPr>
                <w:rFonts w:ascii="宋体" w:hAnsi="宋体"/>
                <w:sz w:val="18"/>
                <w:szCs w:val="18"/>
              </w:rPr>
              <w:t>5-9</w:t>
            </w:r>
            <w:r>
              <w:rPr>
                <w:rFonts w:hint="eastAsia" w:ascii="宋体" w:hAnsi="宋体"/>
                <w:sz w:val="18"/>
                <w:szCs w:val="18"/>
              </w:rPr>
              <w:t>克</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continue"/>
            <w:vAlign w:val="center"/>
          </w:tcPr>
          <w:p>
            <w:pPr>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30" w:type="dxa"/>
            <w:vMerge w:val="continue"/>
            <w:vAlign w:val="center"/>
          </w:tcPr>
          <w:p>
            <w:pPr>
              <w:jc w:val="center"/>
              <w:rPr>
                <w:rFonts w:ascii="宋体" w:hAnsi="宋体"/>
                <w:sz w:val="18"/>
                <w:szCs w:val="18"/>
              </w:rPr>
            </w:pPr>
          </w:p>
        </w:tc>
        <w:tc>
          <w:tcPr>
            <w:tcW w:w="2230" w:type="dxa"/>
            <w:vAlign w:val="center"/>
          </w:tcPr>
          <w:p>
            <w:pPr>
              <w:jc w:val="center"/>
              <w:rPr>
                <w:rFonts w:ascii="宋体" w:hAnsi="宋体"/>
                <w:sz w:val="18"/>
                <w:szCs w:val="18"/>
              </w:rPr>
            </w:pPr>
            <w:r>
              <w:rPr>
                <w:rFonts w:hint="eastAsia" w:ascii="宋体" w:hAnsi="宋体"/>
                <w:sz w:val="18"/>
                <w:szCs w:val="18"/>
              </w:rPr>
              <w:t>苏云菌杆菌悬浮剂</w:t>
            </w:r>
          </w:p>
        </w:tc>
        <w:tc>
          <w:tcPr>
            <w:tcW w:w="2230" w:type="dxa"/>
            <w:vAlign w:val="center"/>
          </w:tcPr>
          <w:p>
            <w:pPr>
              <w:jc w:val="center"/>
              <w:rPr>
                <w:rFonts w:ascii="宋体" w:hAnsi="宋体"/>
                <w:sz w:val="18"/>
                <w:szCs w:val="18"/>
              </w:rPr>
            </w:pPr>
            <w:r>
              <w:rPr>
                <w:rFonts w:ascii="宋体" w:hAnsi="宋体"/>
                <w:sz w:val="18"/>
                <w:szCs w:val="18"/>
              </w:rPr>
              <w:t>60</w:t>
            </w:r>
            <w:r>
              <w:rPr>
                <w:rFonts w:hint="eastAsia" w:ascii="宋体" w:hAnsi="宋体"/>
                <w:sz w:val="18"/>
                <w:szCs w:val="18"/>
              </w:rPr>
              <w:t>克</w:t>
            </w:r>
            <w:r>
              <w:rPr>
                <w:rFonts w:ascii="宋体" w:hAnsi="宋体"/>
                <w:sz w:val="18"/>
                <w:szCs w:val="18"/>
              </w:rPr>
              <w:t>/</w:t>
            </w:r>
            <w:r>
              <w:rPr>
                <w:rFonts w:hint="eastAsia" w:ascii="宋体" w:hAnsi="宋体"/>
                <w:sz w:val="18"/>
                <w:szCs w:val="18"/>
              </w:rPr>
              <w:t>亩</w:t>
            </w:r>
            <w:r>
              <w:rPr>
                <w:rFonts w:ascii="宋体" w:hAnsi="宋体"/>
                <w:sz w:val="18"/>
                <w:szCs w:val="18"/>
              </w:rPr>
              <w:t>/</w:t>
            </w:r>
            <w:r>
              <w:rPr>
                <w:rFonts w:hint="eastAsia" w:ascii="宋体" w:hAnsi="宋体"/>
                <w:sz w:val="18"/>
                <w:szCs w:val="18"/>
              </w:rPr>
              <w:t>喷雾</w:t>
            </w:r>
          </w:p>
        </w:tc>
        <w:tc>
          <w:tcPr>
            <w:tcW w:w="2231" w:type="dxa"/>
            <w:vMerge w:val="continue"/>
            <w:vAlign w:val="center"/>
          </w:tcPr>
          <w:p>
            <w:pPr>
              <w:jc w:val="center"/>
              <w:rPr>
                <w:rFonts w:ascii="宋体" w:hAnsi="宋体"/>
                <w:sz w:val="18"/>
                <w:szCs w:val="18"/>
              </w:rPr>
            </w:pPr>
          </w:p>
        </w:tc>
      </w:tr>
    </w:tbl>
    <w:p>
      <w:pPr>
        <w:pStyle w:val="21"/>
        <w:ind w:firstLine="0" w:firstLineChars="0"/>
        <w:rPr>
          <w:rFonts w:ascii="Times New Roman"/>
          <w:b/>
        </w:rPr>
        <w:sectPr>
          <w:footerReference r:id="rId8" w:type="default"/>
          <w:footerReference r:id="rId9" w:type="even"/>
          <w:pgSz w:w="11906" w:h="16838"/>
          <w:pgMar w:top="567" w:right="1134" w:bottom="1134" w:left="1417" w:header="1418" w:footer="1134" w:gutter="0"/>
          <w:cols w:space="720" w:num="1"/>
          <w:formProt w:val="0"/>
          <w:docGrid w:type="lines" w:linePitch="312" w:charSpace="0"/>
        </w:sectPr>
      </w:pPr>
    </w:p>
    <w:p>
      <w:pPr>
        <w:pStyle w:val="21"/>
        <w:ind w:firstLine="0" w:firstLineChars="0"/>
        <w:rPr>
          <w:rFonts w:ascii="Times New Roman"/>
          <w:b/>
        </w:rPr>
      </w:pPr>
    </w:p>
    <w:p>
      <w:pPr>
        <w:pStyle w:val="21"/>
        <w:ind w:firstLine="0" w:firstLineChars="0"/>
        <w:jc w:val="center"/>
        <w:outlineLvl w:val="0"/>
        <w:rPr>
          <w:rFonts w:ascii="黑体" w:hAnsi="黑体" w:eastAsia="黑体"/>
        </w:rPr>
      </w:pPr>
      <w:bookmarkStart w:id="77" w:name="_Toc128573547"/>
      <w:r>
        <w:rPr>
          <w:rFonts w:ascii="黑体" w:hAnsi="黑体" w:eastAsia="黑体"/>
        </w:rPr>
        <w:t xml:space="preserve">附 录 </w:t>
      </w:r>
      <w:r>
        <w:rPr>
          <w:rFonts w:hint="eastAsia" w:ascii="黑体" w:hAnsi="黑体" w:eastAsia="黑体"/>
        </w:rPr>
        <w:t>B</w:t>
      </w:r>
      <w:bookmarkEnd w:id="77"/>
    </w:p>
    <w:p>
      <w:pPr>
        <w:pStyle w:val="21"/>
        <w:ind w:firstLine="0" w:firstLineChars="0"/>
        <w:jc w:val="center"/>
        <w:rPr>
          <w:rFonts w:ascii="黑体" w:hAnsi="黑体" w:eastAsia="黑体"/>
        </w:rPr>
      </w:pPr>
      <w:r>
        <w:rPr>
          <w:rFonts w:ascii="黑体" w:hAnsi="黑体" w:eastAsia="黑体"/>
        </w:rPr>
        <w:t>（</w:t>
      </w:r>
      <w:r>
        <w:rPr>
          <w:rFonts w:hint="eastAsia" w:ascii="黑体" w:hAnsi="黑体" w:eastAsia="黑体"/>
        </w:rPr>
        <w:t>资料</w:t>
      </w:r>
      <w:r>
        <w:rPr>
          <w:rFonts w:ascii="黑体" w:hAnsi="黑体" w:eastAsia="黑体"/>
        </w:rPr>
        <w:t>性）</w:t>
      </w:r>
    </w:p>
    <w:p>
      <w:pPr>
        <w:pStyle w:val="21"/>
        <w:ind w:firstLine="0" w:firstLineChars="0"/>
        <w:jc w:val="center"/>
        <w:rPr>
          <w:rFonts w:ascii="黑体" w:hAnsi="黑体" w:eastAsia="黑体"/>
        </w:rPr>
      </w:pPr>
      <w:r>
        <w:rPr>
          <w:rFonts w:hint="eastAsia" w:ascii="黑体" w:hAnsi="黑体" w:eastAsia="黑体"/>
        </w:rPr>
        <w:t>菜薹雄性不育系繁育记载档案</w:t>
      </w:r>
    </w:p>
    <w:p>
      <w:pPr>
        <w:pStyle w:val="21"/>
      </w:pPr>
      <w:r>
        <w:rPr>
          <w:rFonts w:hint="eastAsia" w:ascii="Times New Roman"/>
        </w:rPr>
        <w:t>菜薹雄性不育系繁育记载</w:t>
      </w:r>
      <w:r>
        <w:rPr>
          <w:rFonts w:ascii="Times New Roman"/>
        </w:rPr>
        <w:t>档案见B.1。</w:t>
      </w:r>
    </w:p>
    <w:p>
      <w:pPr>
        <w:pStyle w:val="124"/>
        <w:numPr>
          <w:ilvl w:val="0"/>
          <w:numId w:val="0"/>
        </w:numPr>
        <w:rPr>
          <w:rFonts w:ascii="Times New Roman"/>
          <w:color w:val="000000"/>
        </w:rPr>
      </w:pPr>
      <w:r>
        <w:rPr>
          <w:rFonts w:hint="eastAsia" w:hAnsi="黑体"/>
          <w:color w:val="000000"/>
        </w:rPr>
        <w:t>表B</w:t>
      </w:r>
      <w:r>
        <w:rPr>
          <w:rFonts w:hAnsi="黑体"/>
          <w:color w:val="000000"/>
        </w:rPr>
        <w:t xml:space="preserve">.1 </w:t>
      </w:r>
      <w:r>
        <w:rPr>
          <w:rFonts w:hint="eastAsia" w:hAnsi="黑体"/>
        </w:rPr>
        <w:t>菜薹雄性不育系繁育记载档案</w:t>
      </w:r>
    </w:p>
    <w:tbl>
      <w:tblPr>
        <w:tblStyle w:val="30"/>
        <w:tblW w:w="9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1042"/>
        <w:gridCol w:w="1042"/>
        <w:gridCol w:w="1042"/>
        <w:gridCol w:w="1042"/>
        <w:gridCol w:w="1042"/>
        <w:gridCol w:w="1042"/>
        <w:gridCol w:w="1042"/>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pStyle w:val="21"/>
              <w:widowControl w:val="0"/>
              <w:ind w:firstLine="0" w:firstLineChars="0"/>
              <w:jc w:val="center"/>
            </w:pPr>
            <w:r>
              <w:t>品种</w:t>
            </w:r>
          </w:p>
          <w:p>
            <w:pPr>
              <w:pStyle w:val="21"/>
              <w:widowControl w:val="0"/>
              <w:ind w:firstLine="0" w:firstLineChars="0"/>
              <w:jc w:val="center"/>
            </w:pPr>
            <w:r>
              <w:t>名称</w:t>
            </w:r>
          </w:p>
        </w:tc>
        <w:tc>
          <w:tcPr>
            <w:tcW w:w="1042" w:type="dxa"/>
            <w:vAlign w:val="center"/>
          </w:tcPr>
          <w:p>
            <w:pPr>
              <w:pStyle w:val="21"/>
              <w:widowControl w:val="0"/>
              <w:ind w:firstLine="0" w:firstLineChars="0"/>
              <w:jc w:val="center"/>
            </w:pPr>
            <w:r>
              <w:t>编号</w:t>
            </w:r>
          </w:p>
        </w:tc>
        <w:tc>
          <w:tcPr>
            <w:tcW w:w="1042" w:type="dxa"/>
            <w:vAlign w:val="center"/>
          </w:tcPr>
          <w:p>
            <w:pPr>
              <w:pStyle w:val="21"/>
              <w:widowControl w:val="0"/>
              <w:ind w:firstLine="0" w:firstLineChars="0"/>
              <w:jc w:val="center"/>
            </w:pPr>
            <w:r>
              <w:t>繁育人</w:t>
            </w:r>
          </w:p>
        </w:tc>
        <w:tc>
          <w:tcPr>
            <w:tcW w:w="1042" w:type="dxa"/>
            <w:vAlign w:val="center"/>
          </w:tcPr>
          <w:p>
            <w:pPr>
              <w:pStyle w:val="21"/>
              <w:widowControl w:val="0"/>
              <w:ind w:firstLine="0" w:firstLineChars="0"/>
              <w:jc w:val="center"/>
            </w:pPr>
            <w:r>
              <w:t>负责人</w:t>
            </w:r>
          </w:p>
        </w:tc>
        <w:tc>
          <w:tcPr>
            <w:tcW w:w="1042" w:type="dxa"/>
          </w:tcPr>
          <w:p>
            <w:pPr>
              <w:pStyle w:val="21"/>
              <w:widowControl w:val="0"/>
              <w:ind w:firstLine="0" w:firstLineChars="0"/>
              <w:jc w:val="center"/>
            </w:pPr>
            <w:r>
              <w:t>采收</w:t>
            </w:r>
          </w:p>
          <w:p>
            <w:pPr>
              <w:pStyle w:val="21"/>
              <w:widowControl w:val="0"/>
              <w:ind w:firstLine="0" w:firstLineChars="0"/>
              <w:jc w:val="center"/>
            </w:pPr>
            <w:r>
              <w:t>时间</w:t>
            </w:r>
          </w:p>
        </w:tc>
        <w:tc>
          <w:tcPr>
            <w:tcW w:w="1042" w:type="dxa"/>
            <w:vAlign w:val="center"/>
          </w:tcPr>
          <w:p>
            <w:pPr>
              <w:pStyle w:val="21"/>
              <w:widowControl w:val="0"/>
              <w:ind w:firstLine="0" w:firstLineChars="0"/>
              <w:jc w:val="center"/>
            </w:pPr>
            <w:r>
              <w:t>面积</w:t>
            </w:r>
          </w:p>
        </w:tc>
        <w:tc>
          <w:tcPr>
            <w:tcW w:w="1042" w:type="dxa"/>
            <w:vAlign w:val="center"/>
          </w:tcPr>
          <w:p>
            <w:pPr>
              <w:pStyle w:val="21"/>
              <w:widowControl w:val="0"/>
              <w:ind w:firstLine="0" w:firstLineChars="0"/>
              <w:jc w:val="center"/>
            </w:pPr>
            <w:r>
              <w:t>地块</w:t>
            </w:r>
          </w:p>
        </w:tc>
        <w:tc>
          <w:tcPr>
            <w:tcW w:w="1042" w:type="dxa"/>
            <w:vAlign w:val="center"/>
          </w:tcPr>
          <w:p>
            <w:pPr>
              <w:pStyle w:val="21"/>
              <w:widowControl w:val="0"/>
              <w:ind w:firstLine="0" w:firstLineChars="0"/>
              <w:jc w:val="center"/>
            </w:pPr>
            <w:r>
              <w:t>重量</w:t>
            </w:r>
          </w:p>
        </w:tc>
        <w:tc>
          <w:tcPr>
            <w:tcW w:w="1043" w:type="dxa"/>
            <w:vAlign w:val="center"/>
          </w:tcPr>
          <w:p>
            <w:pPr>
              <w:pStyle w:val="21"/>
              <w:widowControl w:val="0"/>
              <w:ind w:firstLine="0" w:firstLineChars="0"/>
              <w:jc w:val="center"/>
            </w:pPr>
            <w:r>
              <w:t>纯度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Merge w:val="restart"/>
            <w:vAlign w:val="center"/>
          </w:tcPr>
          <w:p>
            <w:pPr>
              <w:pStyle w:val="21"/>
              <w:widowControl w:val="0"/>
              <w:ind w:firstLine="0" w:firstLineChars="0"/>
              <w:jc w:val="center"/>
            </w:pPr>
            <w:r>
              <w:t>P1</w:t>
            </w:r>
          </w:p>
        </w:tc>
        <w:tc>
          <w:tcPr>
            <w:tcW w:w="1042" w:type="dxa"/>
            <w:vAlign w:val="center"/>
          </w:tcPr>
          <w:p>
            <w:pPr>
              <w:pStyle w:val="21"/>
              <w:widowControl w:val="0"/>
              <w:ind w:firstLine="0" w:firstLineChars="0"/>
              <w:jc w:val="center"/>
            </w:pPr>
            <w:r>
              <w:t>L1</w:t>
            </w: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3" w:type="dxa"/>
            <w:vAlign w:val="center"/>
          </w:tcPr>
          <w:p>
            <w:pPr>
              <w:pStyle w:val="21"/>
              <w:widowControl w:val="0"/>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Merge w:val="continue"/>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r>
              <w:t>L2</w:t>
            </w: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3" w:type="dxa"/>
            <w:vAlign w:val="center"/>
          </w:tcPr>
          <w:p>
            <w:pPr>
              <w:pStyle w:val="21"/>
              <w:widowControl w:val="0"/>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Merge w:val="restart"/>
            <w:vAlign w:val="center"/>
          </w:tcPr>
          <w:p>
            <w:pPr>
              <w:pStyle w:val="21"/>
              <w:widowControl w:val="0"/>
              <w:ind w:firstLine="0" w:firstLineChars="0"/>
              <w:jc w:val="center"/>
            </w:pPr>
            <w:r>
              <w:t>P2</w:t>
            </w:r>
          </w:p>
        </w:tc>
        <w:tc>
          <w:tcPr>
            <w:tcW w:w="1042" w:type="dxa"/>
            <w:vAlign w:val="center"/>
          </w:tcPr>
          <w:p>
            <w:pPr>
              <w:pStyle w:val="21"/>
              <w:widowControl w:val="0"/>
              <w:ind w:firstLine="0" w:firstLineChars="0"/>
              <w:jc w:val="center"/>
            </w:pPr>
            <w:r>
              <w:t>L3</w:t>
            </w: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3" w:type="dxa"/>
            <w:vAlign w:val="center"/>
          </w:tcPr>
          <w:p>
            <w:pPr>
              <w:pStyle w:val="21"/>
              <w:widowControl w:val="0"/>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Merge w:val="continue"/>
            <w:vAlign w:val="center"/>
          </w:tcPr>
          <w:p>
            <w:pPr>
              <w:pStyle w:val="21"/>
              <w:widowControl w:val="0"/>
              <w:ind w:firstLine="0" w:firstLineChars="0"/>
            </w:pPr>
          </w:p>
        </w:tc>
        <w:tc>
          <w:tcPr>
            <w:tcW w:w="1042" w:type="dxa"/>
            <w:vAlign w:val="center"/>
          </w:tcPr>
          <w:p>
            <w:pPr>
              <w:pStyle w:val="21"/>
              <w:widowControl w:val="0"/>
              <w:ind w:firstLine="0" w:firstLineChars="0"/>
              <w:jc w:val="center"/>
            </w:pPr>
            <w:r>
              <w:t>L4</w:t>
            </w: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3" w:type="dxa"/>
            <w:vAlign w:val="center"/>
          </w:tcPr>
          <w:p>
            <w:pPr>
              <w:pStyle w:val="21"/>
              <w:widowControl w:val="0"/>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2" w:type="dxa"/>
            <w:vAlign w:val="center"/>
          </w:tcPr>
          <w:p>
            <w:pPr>
              <w:pStyle w:val="21"/>
              <w:widowControl w:val="0"/>
              <w:ind w:firstLine="0" w:firstLineChars="0"/>
              <w:jc w:val="center"/>
            </w:pPr>
            <w:r>
              <w:t>…</w:t>
            </w:r>
          </w:p>
        </w:tc>
        <w:tc>
          <w:tcPr>
            <w:tcW w:w="1042" w:type="dxa"/>
            <w:vAlign w:val="center"/>
          </w:tcPr>
          <w:p>
            <w:pPr>
              <w:pStyle w:val="21"/>
              <w:widowControl w:val="0"/>
              <w:ind w:firstLine="0" w:firstLineChars="0"/>
              <w:jc w:val="center"/>
            </w:pPr>
            <w:r>
              <w:t>…</w:t>
            </w: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2" w:type="dxa"/>
            <w:vAlign w:val="center"/>
          </w:tcPr>
          <w:p>
            <w:pPr>
              <w:pStyle w:val="21"/>
              <w:widowControl w:val="0"/>
              <w:ind w:firstLine="0" w:firstLineChars="0"/>
              <w:jc w:val="center"/>
            </w:pPr>
          </w:p>
        </w:tc>
        <w:tc>
          <w:tcPr>
            <w:tcW w:w="1043" w:type="dxa"/>
            <w:vAlign w:val="center"/>
          </w:tcPr>
          <w:p>
            <w:pPr>
              <w:pStyle w:val="21"/>
              <w:widowControl w:val="0"/>
              <w:ind w:firstLine="0" w:firstLineChars="0"/>
              <w:jc w:val="center"/>
            </w:pPr>
          </w:p>
        </w:tc>
      </w:tr>
    </w:tbl>
    <w:p>
      <w:pPr>
        <w:pStyle w:val="21"/>
        <w:ind w:firstLine="0" w:firstLineChars="0"/>
      </w:pPr>
    </w:p>
    <w:sectPr>
      <w:pgSz w:w="11906" w:h="16838"/>
      <w:pgMar w:top="567" w:right="1134" w:bottom="1134" w:left="1417" w:header="1418" w:footer="1134"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lang w:val="en-US" w:eastAsia="zh-CN"/>
      </w:rPr>
      <mc:AlternateContent>
        <mc:Choice Requires="wps">
          <w:drawing>
            <wp:anchor distT="0" distB="0" distL="114300" distR="114300" simplePos="0" relativeHeight="251660288" behindDoc="0" locked="0" layoutInCell="1" allowOverlap="1">
              <wp:simplePos x="0" y="0"/>
              <wp:positionH relativeFrom="margin">
                <wp:posOffset>5768340</wp:posOffset>
              </wp:positionH>
              <wp:positionV relativeFrom="paragraph">
                <wp:posOffset>-6985</wp:posOffset>
              </wp:positionV>
              <wp:extent cx="114300" cy="131445"/>
              <wp:effectExtent l="4445" t="1270" r="0" b="635"/>
              <wp:wrapNone/>
              <wp:docPr id="5" name="文本框 57"/>
              <wp:cNvGraphicFramePr/>
              <a:graphic xmlns:a="http://schemas.openxmlformats.org/drawingml/2006/main">
                <a:graphicData uri="http://schemas.microsoft.com/office/word/2010/wordprocessingShape">
                  <wps:wsp>
                    <wps:cNvSpPr txBox="1">
                      <a:spLocks noChangeArrowheads="1"/>
                    </wps:cNvSpPr>
                    <wps:spPr bwMode="auto">
                      <a:xfrm>
                        <a:off x="0" y="0"/>
                        <a:ext cx="114300" cy="13144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57" o:spid="_x0000_s1026" o:spt="202" type="#_x0000_t202" style="position:absolute;left:0pt;margin-left:454.2pt;margin-top:-0.55pt;height:10.35pt;width:9pt;mso-position-horizontal-relative:margin;mso-wrap-style:none;z-index:251660288;mso-width-relative:page;mso-height-relative:page;" filled="f" stroked="f" coordsize="21600,21600" o:gfxdata="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FtivdUAAAAJAQAADwAAAAAAAAABACAAAAAiAAAA&#10;ZHJzL2Rvd25yZXYueG1sUEsBAhQAFAAAAAgAh07iQPiu0QAKAgAAAwQAAA4AAAAAAAAAAQAgAAAA&#10;JAEAAGRycy9lMm9Eb2MueG1sUEsFBgAAAAAGAAYAWQEAAKA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6"/>
      <w:ind w:right="360"/>
    </w:pPr>
    <w:r>
      <mc:AlternateContent>
        <mc:Choice Requires="wps">
          <w:drawing>
            <wp:anchor distT="0" distB="0" distL="114300" distR="114300" simplePos="0" relativeHeight="251661312" behindDoc="0" locked="0" layoutInCell="1" allowOverlap="1">
              <wp:simplePos x="0" y="0"/>
              <wp:positionH relativeFrom="margin">
                <wp:posOffset>5819775</wp:posOffset>
              </wp:positionH>
              <wp:positionV relativeFrom="paragraph">
                <wp:posOffset>87630</wp:posOffset>
              </wp:positionV>
              <wp:extent cx="76200" cy="131445"/>
              <wp:effectExtent l="4445" t="3810" r="0" b="0"/>
              <wp:wrapNone/>
              <wp:docPr id="6" name="文本框 58"/>
              <wp:cNvGraphicFramePr/>
              <a:graphic xmlns:a="http://schemas.openxmlformats.org/drawingml/2006/main">
                <a:graphicData uri="http://schemas.microsoft.com/office/word/2010/wordprocessingShape">
                  <wps:wsp>
                    <wps:cNvSpPr txBox="1">
                      <a:spLocks noChangeArrowheads="1"/>
                    </wps:cNvSpPr>
                    <wps:spPr bwMode="auto">
                      <a:xfrm>
                        <a:off x="0" y="0"/>
                        <a:ext cx="76200" cy="131445"/>
                      </a:xfrm>
                      <a:prstGeom prst="rect">
                        <a:avLst/>
                      </a:prstGeom>
                      <a:noFill/>
                      <a:ln>
                        <a:noFill/>
                      </a:ln>
                    </wps:spPr>
                    <wps:txbx>
                      <w:txbxContent>
                        <w:p>
                          <w:pPr>
                            <w:snapToGrid w:val="0"/>
                            <w:jc w:val="left"/>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II</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58" o:spid="_x0000_s1026" o:spt="202" type="#_x0000_t202" style="position:absolute;left:0pt;margin-left:458.25pt;margin-top:6.9pt;height:10.35pt;width:6pt;mso-position-horizontal-relative:margin;mso-wrap-style:none;z-index:251661312;mso-width-relative:page;mso-height-relative:page;" filled="f" stroked="f" coordsize="21600,21600" o:gfxdata="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akY161gAAAAkBAAAPAAAAAAAAAAEAIAAAACIA&#10;AABkcnMvZG93bnJldi54bWxQSwECFAAUAAAACACHTuJAyKbiOAsCAAACBAAADgAAAAAAAAABACAA&#10;AAAlAQAAZHJzL2Uyb0RvYy54bWxQSwUGAAAAAAYABgBZAQAAogUAAAAA&#10;">
              <v:fill on="f" focussize="0,0"/>
              <v:stroke on="f"/>
              <v:imagedata o:title=""/>
              <o:lock v:ext="edit" aspectratio="f"/>
              <v:textbox inset="0mm,0mm,0mm,0mm" style="mso-fit-shape-to-text:t;">
                <w:txbxContent>
                  <w:p>
                    <w:pPr>
                      <w:snapToGrid w:val="0"/>
                      <w:jc w:val="left"/>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II</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9385034"/>
      <w:docPartObj>
        <w:docPartGallery w:val="autotext"/>
      </w:docPartObj>
    </w:sdtPr>
    <w:sdtContent>
      <w:p>
        <w:pPr>
          <w:pStyle w:val="16"/>
        </w:pPr>
        <w:r>
          <w:fldChar w:fldCharType="begin"/>
        </w:r>
        <w:r>
          <w:instrText xml:space="preserve">PAGE   \* MERGEFORMAT</w:instrText>
        </w:r>
        <w:r>
          <w:fldChar w:fldCharType="separate"/>
        </w:r>
        <w:r>
          <w:rPr>
            <w:lang w:val="zh-CN" w:eastAsia="zh-CN"/>
          </w:rPr>
          <w:t>7</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4322930"/>
      <w:docPartObj>
        <w:docPartGallery w:val="autotext"/>
      </w:docPartObj>
    </w:sdtPr>
    <w:sdtContent>
      <w:p>
        <w:pPr>
          <w:pStyle w:val="16"/>
        </w:pPr>
        <w:r>
          <w:fldChar w:fldCharType="begin"/>
        </w:r>
        <w:r>
          <w:instrText xml:space="preserve">PAGE   \* MERGEFORMAT</w:instrText>
        </w:r>
        <w:r>
          <w:fldChar w:fldCharType="separate"/>
        </w:r>
        <w:r>
          <w:rPr>
            <w:lang w:val="zh-CN" w:eastAsia="zh-CN"/>
          </w:rPr>
          <w:t>6</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5"/>
      <w:ind w:right="1200"/>
      <w:jc w:val="both"/>
    </w:pPr>
    <w:r>
      <w:t>DB43/</w:t>
    </w:r>
    <w:r>
      <w:rPr>
        <w:rFonts w:hint="eastAsia"/>
      </w:rPr>
      <w:t>T</w:t>
    </w:r>
    <w:r>
      <w:t>—2023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5"/>
      <w:ind w:right="360"/>
      <w:jc w:val="right"/>
    </w:pPr>
    <w:r>
      <w:t>DB43/</w:t>
    </w:r>
    <w:r>
      <w:rPr>
        <w:rFonts w:hint="eastAsia"/>
      </w:rPr>
      <w:t>T</w:t>
    </w:r>
    <w: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0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4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86"/>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6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15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118"/>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41"/>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90"/>
      <w:suff w:val="nothing"/>
      <w:lvlText w:val="%1.%2.%3　"/>
      <w:lvlJc w:val="left"/>
      <w:pPr>
        <w:ind w:left="0" w:firstLine="0"/>
      </w:pPr>
      <w:rPr>
        <w:rFonts w:hint="eastAsia" w:ascii="黑体" w:hAnsi="Times New Roman" w:eastAsia="黑体"/>
        <w:b w:val="0"/>
        <w:i w:val="0"/>
        <w:sz w:val="21"/>
      </w:rPr>
    </w:lvl>
    <w:lvl w:ilvl="3" w:tentative="0">
      <w:start w:val="1"/>
      <w:numFmt w:val="lowerLetter"/>
      <w:lvlText w:val="%4)"/>
      <w:lvlJc w:val="left"/>
      <w:pPr>
        <w:ind w:left="0" w:firstLine="0"/>
      </w:pPr>
      <w:rPr>
        <w:rFonts w:hint="eastAsia"/>
        <w:b w:val="0"/>
        <w:i w:val="0"/>
        <w:sz w:val="21"/>
      </w:rPr>
    </w:lvl>
    <w:lvl w:ilvl="4" w:tentative="0">
      <w:start w:val="1"/>
      <w:numFmt w:val="lowerLetter"/>
      <w:lvlText w:val="%5)"/>
      <w:lvlJc w:val="left"/>
      <w:pPr>
        <w:ind w:left="0" w:firstLine="0"/>
      </w:pPr>
      <w:rPr>
        <w:rFonts w:hint="eastAsia"/>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45"/>
      <w:suff w:val="space"/>
      <w:lvlText w:val="%1"/>
      <w:lvlJc w:val="left"/>
      <w:pPr>
        <w:ind w:left="623" w:hanging="425"/>
      </w:pPr>
      <w:rPr>
        <w:rFonts w:hint="eastAsia"/>
      </w:rPr>
    </w:lvl>
    <w:lvl w:ilvl="1" w:tentative="0">
      <w:start w:val="1"/>
      <w:numFmt w:val="decimal"/>
      <w:pStyle w:val="12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101"/>
      <w:suff w:val="nothing"/>
      <w:lvlText w:val="%1——"/>
      <w:lvlJc w:val="left"/>
      <w:pPr>
        <w:ind w:left="833" w:hanging="408"/>
      </w:pPr>
      <w:rPr>
        <w:rFonts w:hint="eastAsia"/>
      </w:rPr>
    </w:lvl>
    <w:lvl w:ilvl="1" w:tentative="0">
      <w:start w:val="1"/>
      <w:numFmt w:val="bullet"/>
      <w:pStyle w:val="117"/>
      <w:lvlText w:val=""/>
      <w:lvlJc w:val="left"/>
      <w:pPr>
        <w:tabs>
          <w:tab w:val="left" w:pos="760"/>
        </w:tabs>
        <w:ind w:left="1264" w:hanging="413"/>
      </w:pPr>
      <w:rPr>
        <w:rFonts w:hint="default" w:ascii="Symbol" w:hAnsi="Symbol"/>
        <w:color w:val="auto"/>
      </w:rPr>
    </w:lvl>
    <w:lvl w:ilvl="2" w:tentative="0">
      <w:start w:val="1"/>
      <w:numFmt w:val="bullet"/>
      <w:pStyle w:val="12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95"/>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104"/>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138"/>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0">
    <w:nsid w:val="4B733A5F"/>
    <w:multiLevelType w:val="multilevel"/>
    <w:tmpl w:val="4B733A5F"/>
    <w:lvl w:ilvl="0" w:tentative="0">
      <w:start w:val="1"/>
      <w:numFmt w:val="decimal"/>
      <w:pStyle w:val="12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9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146"/>
      <w:lvlText w:val="%1"/>
      <w:lvlJc w:val="left"/>
      <w:pPr>
        <w:tabs>
          <w:tab w:val="left" w:pos="0"/>
        </w:tabs>
        <w:ind w:left="0" w:hanging="425"/>
      </w:pPr>
      <w:rPr>
        <w:rFonts w:hint="eastAsia"/>
      </w:rPr>
    </w:lvl>
    <w:lvl w:ilvl="1" w:tentative="0">
      <w:start w:val="1"/>
      <w:numFmt w:val="decimal"/>
      <w:pStyle w:val="124"/>
      <w:suff w:val="nothing"/>
      <w:lvlText w:val="表%1.%2　"/>
      <w:lvlJc w:val="left"/>
      <w:pPr>
        <w:ind w:left="3969" w:hanging="567"/>
      </w:pPr>
      <w:rPr>
        <w:rFonts w:hint="eastAsia"/>
        <w:lang w:val="en-US"/>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7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113"/>
      <w:suff w:val="nothing"/>
      <w:lvlText w:val="附　录　%1"/>
      <w:lvlJc w:val="left"/>
      <w:pPr>
        <w:ind w:left="0" w:firstLine="0"/>
      </w:pPr>
      <w:rPr>
        <w:rFonts w:hint="eastAsia" w:ascii="黑体" w:hAnsi="Times New Roman" w:eastAsia="黑体"/>
        <w:b w:val="0"/>
        <w:i w:val="0"/>
        <w:spacing w:val="0"/>
        <w:w w:val="100"/>
        <w:sz w:val="21"/>
        <w:lang w:val="en-US"/>
      </w:rPr>
    </w:lvl>
    <w:lvl w:ilvl="1" w:tentative="0">
      <w:start w:val="1"/>
      <w:numFmt w:val="decimal"/>
      <w:pStyle w:val="11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23"/>
      <w:suff w:val="nothing"/>
      <w:lvlText w:val="%1.%2.%3　"/>
      <w:lvlJc w:val="left"/>
      <w:pPr>
        <w:ind w:left="284" w:firstLine="0"/>
      </w:pPr>
      <w:rPr>
        <w:rFonts w:hint="eastAsia" w:ascii="黑体" w:hAnsi="Times New Roman" w:eastAsia="黑体"/>
        <w:b w:val="0"/>
        <w:i w:val="0"/>
        <w:sz w:val="21"/>
      </w:rPr>
    </w:lvl>
    <w:lvl w:ilvl="3" w:tentative="0">
      <w:start w:val="1"/>
      <w:numFmt w:val="decimal"/>
      <w:pStyle w:val="91"/>
      <w:suff w:val="nothing"/>
      <w:lvlText w:val="%1.%2.%3.%4　"/>
      <w:lvlJc w:val="left"/>
      <w:pPr>
        <w:ind w:left="710"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89"/>
      <w:suff w:val="nothing"/>
      <w:lvlText w:val="%1.%2.%3.%4.%5.%6　"/>
      <w:lvlJc w:val="left"/>
      <w:pPr>
        <w:ind w:left="0" w:firstLine="0"/>
      </w:pPr>
      <w:rPr>
        <w:rFonts w:hint="eastAsia" w:ascii="黑体" w:hAnsi="Times New Roman" w:eastAsia="黑体"/>
        <w:b w:val="0"/>
        <w:i w:val="0"/>
        <w:sz w:val="21"/>
      </w:rPr>
    </w:lvl>
    <w:lvl w:ilvl="6" w:tentative="0">
      <w:start w:val="1"/>
      <w:numFmt w:val="decimal"/>
      <w:pStyle w:val="8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54"/>
      <w:lvlText w:val="%1)"/>
      <w:lvlJc w:val="left"/>
      <w:pPr>
        <w:tabs>
          <w:tab w:val="left" w:pos="839"/>
        </w:tabs>
        <w:ind w:left="839" w:hanging="419"/>
      </w:pPr>
      <w:rPr>
        <w:rFonts w:hint="eastAsia" w:ascii="宋体" w:eastAsia="宋体"/>
        <w:b w:val="0"/>
        <w:i w:val="0"/>
        <w:sz w:val="21"/>
      </w:rPr>
    </w:lvl>
    <w:lvl w:ilvl="1" w:tentative="0">
      <w:start w:val="1"/>
      <w:numFmt w:val="decimal"/>
      <w:pStyle w:val="13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110"/>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1"/>
  </w:num>
  <w:num w:numId="4">
    <w:abstractNumId w:val="13"/>
  </w:num>
  <w:num w:numId="5">
    <w:abstractNumId w:val="2"/>
  </w:num>
  <w:num w:numId="6">
    <w:abstractNumId w:val="14"/>
  </w:num>
  <w:num w:numId="7">
    <w:abstractNumId w:val="9"/>
  </w:num>
  <w:num w:numId="8">
    <w:abstractNumId w:val="11"/>
  </w:num>
  <w:num w:numId="9">
    <w:abstractNumId w:val="7"/>
  </w:num>
  <w:num w:numId="10">
    <w:abstractNumId w:val="0"/>
  </w:num>
  <w:num w:numId="11">
    <w:abstractNumId w:val="16"/>
  </w:num>
  <w:num w:numId="12">
    <w:abstractNumId w:val="12"/>
  </w:num>
  <w:num w:numId="13">
    <w:abstractNumId w:val="6"/>
  </w:num>
  <w:num w:numId="14">
    <w:abstractNumId w:val="10"/>
  </w:num>
  <w:num w:numId="15">
    <w:abstractNumId w:val="15"/>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4ZDlmNzVjYjFhMmZkOWY2MzVkMjk0YzJlM2Q4NzUifQ=="/>
  </w:docVars>
  <w:rsids>
    <w:rsidRoot w:val="00172A27"/>
    <w:rsid w:val="00000844"/>
    <w:rsid w:val="00000CD5"/>
    <w:rsid w:val="00001268"/>
    <w:rsid w:val="00002DF6"/>
    <w:rsid w:val="00003D0C"/>
    <w:rsid w:val="00005BCE"/>
    <w:rsid w:val="00006D03"/>
    <w:rsid w:val="00020363"/>
    <w:rsid w:val="000235B1"/>
    <w:rsid w:val="00025104"/>
    <w:rsid w:val="000300DE"/>
    <w:rsid w:val="000351DA"/>
    <w:rsid w:val="00041B90"/>
    <w:rsid w:val="00043038"/>
    <w:rsid w:val="00044720"/>
    <w:rsid w:val="000462B1"/>
    <w:rsid w:val="00047F26"/>
    <w:rsid w:val="00051C95"/>
    <w:rsid w:val="00053065"/>
    <w:rsid w:val="00053521"/>
    <w:rsid w:val="0005361E"/>
    <w:rsid w:val="000554A7"/>
    <w:rsid w:val="0005578F"/>
    <w:rsid w:val="00057563"/>
    <w:rsid w:val="00062D23"/>
    <w:rsid w:val="00063336"/>
    <w:rsid w:val="00072E98"/>
    <w:rsid w:val="00074702"/>
    <w:rsid w:val="00074E62"/>
    <w:rsid w:val="000751DA"/>
    <w:rsid w:val="00076E8A"/>
    <w:rsid w:val="00077AF8"/>
    <w:rsid w:val="00080AA7"/>
    <w:rsid w:val="00085211"/>
    <w:rsid w:val="00086263"/>
    <w:rsid w:val="00091A8D"/>
    <w:rsid w:val="00092D20"/>
    <w:rsid w:val="00094713"/>
    <w:rsid w:val="00095159"/>
    <w:rsid w:val="00096C98"/>
    <w:rsid w:val="000A1C36"/>
    <w:rsid w:val="000A3682"/>
    <w:rsid w:val="000A3AD7"/>
    <w:rsid w:val="000A6AFA"/>
    <w:rsid w:val="000B0213"/>
    <w:rsid w:val="000B43D5"/>
    <w:rsid w:val="000B4EF3"/>
    <w:rsid w:val="000B507A"/>
    <w:rsid w:val="000B5A3B"/>
    <w:rsid w:val="000B5A4D"/>
    <w:rsid w:val="000C0B8C"/>
    <w:rsid w:val="000C25EC"/>
    <w:rsid w:val="000C33E8"/>
    <w:rsid w:val="000C410E"/>
    <w:rsid w:val="000C4271"/>
    <w:rsid w:val="000C4420"/>
    <w:rsid w:val="000C577F"/>
    <w:rsid w:val="000C68F8"/>
    <w:rsid w:val="000D03C2"/>
    <w:rsid w:val="000D0E3A"/>
    <w:rsid w:val="000D1CA5"/>
    <w:rsid w:val="000D6319"/>
    <w:rsid w:val="000E2B20"/>
    <w:rsid w:val="000E3C3E"/>
    <w:rsid w:val="000E5D44"/>
    <w:rsid w:val="000E69C4"/>
    <w:rsid w:val="000F1F35"/>
    <w:rsid w:val="000F25D5"/>
    <w:rsid w:val="000F3528"/>
    <w:rsid w:val="000F3623"/>
    <w:rsid w:val="000F446A"/>
    <w:rsid w:val="000F4B75"/>
    <w:rsid w:val="000F51F4"/>
    <w:rsid w:val="000F59CE"/>
    <w:rsid w:val="000F7489"/>
    <w:rsid w:val="00100E5C"/>
    <w:rsid w:val="00101133"/>
    <w:rsid w:val="001021B0"/>
    <w:rsid w:val="00105E59"/>
    <w:rsid w:val="001073A7"/>
    <w:rsid w:val="001076DC"/>
    <w:rsid w:val="00107784"/>
    <w:rsid w:val="00107F7D"/>
    <w:rsid w:val="00112B28"/>
    <w:rsid w:val="00115906"/>
    <w:rsid w:val="001227A8"/>
    <w:rsid w:val="001312F1"/>
    <w:rsid w:val="001333F0"/>
    <w:rsid w:val="00134E11"/>
    <w:rsid w:val="001364B2"/>
    <w:rsid w:val="00136E75"/>
    <w:rsid w:val="00140DB8"/>
    <w:rsid w:val="0014273B"/>
    <w:rsid w:val="001452BE"/>
    <w:rsid w:val="00145533"/>
    <w:rsid w:val="001519B8"/>
    <w:rsid w:val="00153423"/>
    <w:rsid w:val="001536A4"/>
    <w:rsid w:val="00153F9E"/>
    <w:rsid w:val="0016114C"/>
    <w:rsid w:val="00163241"/>
    <w:rsid w:val="00164A9C"/>
    <w:rsid w:val="00165434"/>
    <w:rsid w:val="001661B0"/>
    <w:rsid w:val="00170408"/>
    <w:rsid w:val="00172A27"/>
    <w:rsid w:val="00172B44"/>
    <w:rsid w:val="00173D4E"/>
    <w:rsid w:val="00175860"/>
    <w:rsid w:val="00180D3E"/>
    <w:rsid w:val="00183D74"/>
    <w:rsid w:val="00184FBF"/>
    <w:rsid w:val="001868BA"/>
    <w:rsid w:val="00191EFA"/>
    <w:rsid w:val="00192896"/>
    <w:rsid w:val="00196C99"/>
    <w:rsid w:val="001A4122"/>
    <w:rsid w:val="001A4294"/>
    <w:rsid w:val="001A4E95"/>
    <w:rsid w:val="001A6E8C"/>
    <w:rsid w:val="001B1CDF"/>
    <w:rsid w:val="001B3940"/>
    <w:rsid w:val="001B3AA8"/>
    <w:rsid w:val="001C3A04"/>
    <w:rsid w:val="001C3BAF"/>
    <w:rsid w:val="001C486B"/>
    <w:rsid w:val="001C525E"/>
    <w:rsid w:val="001D070C"/>
    <w:rsid w:val="001D0E88"/>
    <w:rsid w:val="001D19DF"/>
    <w:rsid w:val="001D1E21"/>
    <w:rsid w:val="001D2E00"/>
    <w:rsid w:val="001E1F63"/>
    <w:rsid w:val="001E256D"/>
    <w:rsid w:val="001E2899"/>
    <w:rsid w:val="001E5392"/>
    <w:rsid w:val="001E56BB"/>
    <w:rsid w:val="001F57B0"/>
    <w:rsid w:val="001F6C60"/>
    <w:rsid w:val="001F7807"/>
    <w:rsid w:val="00201A8D"/>
    <w:rsid w:val="002045C8"/>
    <w:rsid w:val="002056EF"/>
    <w:rsid w:val="00205D0B"/>
    <w:rsid w:val="0020604E"/>
    <w:rsid w:val="00210999"/>
    <w:rsid w:val="00210E00"/>
    <w:rsid w:val="00211C29"/>
    <w:rsid w:val="00213E4D"/>
    <w:rsid w:val="00214231"/>
    <w:rsid w:val="002144D8"/>
    <w:rsid w:val="00215598"/>
    <w:rsid w:val="00217CC5"/>
    <w:rsid w:val="00220020"/>
    <w:rsid w:val="002218CF"/>
    <w:rsid w:val="002220B5"/>
    <w:rsid w:val="00223454"/>
    <w:rsid w:val="00223787"/>
    <w:rsid w:val="00223F67"/>
    <w:rsid w:val="002242C3"/>
    <w:rsid w:val="00224335"/>
    <w:rsid w:val="0023224F"/>
    <w:rsid w:val="00235D44"/>
    <w:rsid w:val="00237F5E"/>
    <w:rsid w:val="002405A8"/>
    <w:rsid w:val="00241A84"/>
    <w:rsid w:val="00242577"/>
    <w:rsid w:val="00246156"/>
    <w:rsid w:val="00252D54"/>
    <w:rsid w:val="00254E31"/>
    <w:rsid w:val="00256C49"/>
    <w:rsid w:val="00257E42"/>
    <w:rsid w:val="00261F26"/>
    <w:rsid w:val="00263065"/>
    <w:rsid w:val="00263C68"/>
    <w:rsid w:val="00265F03"/>
    <w:rsid w:val="00265FA7"/>
    <w:rsid w:val="00266B47"/>
    <w:rsid w:val="00272895"/>
    <w:rsid w:val="00273DEF"/>
    <w:rsid w:val="00277804"/>
    <w:rsid w:val="00277A68"/>
    <w:rsid w:val="00282382"/>
    <w:rsid w:val="0028481F"/>
    <w:rsid w:val="0028494C"/>
    <w:rsid w:val="0028663B"/>
    <w:rsid w:val="00290AA6"/>
    <w:rsid w:val="0029384D"/>
    <w:rsid w:val="0029464F"/>
    <w:rsid w:val="002A10D7"/>
    <w:rsid w:val="002A1B65"/>
    <w:rsid w:val="002A3B8B"/>
    <w:rsid w:val="002A4107"/>
    <w:rsid w:val="002A4BC7"/>
    <w:rsid w:val="002A75FE"/>
    <w:rsid w:val="002B291B"/>
    <w:rsid w:val="002B535E"/>
    <w:rsid w:val="002C00C0"/>
    <w:rsid w:val="002C05E6"/>
    <w:rsid w:val="002C0724"/>
    <w:rsid w:val="002C0E6D"/>
    <w:rsid w:val="002C1A99"/>
    <w:rsid w:val="002C1E78"/>
    <w:rsid w:val="002C4330"/>
    <w:rsid w:val="002C4560"/>
    <w:rsid w:val="002D29F1"/>
    <w:rsid w:val="002D2EB9"/>
    <w:rsid w:val="002D3442"/>
    <w:rsid w:val="002D49E8"/>
    <w:rsid w:val="002D4D28"/>
    <w:rsid w:val="002D5339"/>
    <w:rsid w:val="002D5AA0"/>
    <w:rsid w:val="002E2B7A"/>
    <w:rsid w:val="002E7229"/>
    <w:rsid w:val="002F0500"/>
    <w:rsid w:val="002F2D02"/>
    <w:rsid w:val="002F31DF"/>
    <w:rsid w:val="002F6DA7"/>
    <w:rsid w:val="003000AD"/>
    <w:rsid w:val="00301C0F"/>
    <w:rsid w:val="00301C14"/>
    <w:rsid w:val="003021F1"/>
    <w:rsid w:val="0030235E"/>
    <w:rsid w:val="003034A1"/>
    <w:rsid w:val="00304A76"/>
    <w:rsid w:val="003074D8"/>
    <w:rsid w:val="00312951"/>
    <w:rsid w:val="00315937"/>
    <w:rsid w:val="003173BA"/>
    <w:rsid w:val="00320194"/>
    <w:rsid w:val="0032218F"/>
    <w:rsid w:val="0032236E"/>
    <w:rsid w:val="00323C89"/>
    <w:rsid w:val="00323D21"/>
    <w:rsid w:val="0032481B"/>
    <w:rsid w:val="00326607"/>
    <w:rsid w:val="003311B4"/>
    <w:rsid w:val="003420DB"/>
    <w:rsid w:val="00343668"/>
    <w:rsid w:val="00343B3E"/>
    <w:rsid w:val="003447AF"/>
    <w:rsid w:val="00347CA0"/>
    <w:rsid w:val="003515A3"/>
    <w:rsid w:val="0035361E"/>
    <w:rsid w:val="00356089"/>
    <w:rsid w:val="00357E29"/>
    <w:rsid w:val="0036080B"/>
    <w:rsid w:val="00362642"/>
    <w:rsid w:val="0036380E"/>
    <w:rsid w:val="00364E31"/>
    <w:rsid w:val="003664A8"/>
    <w:rsid w:val="0036714F"/>
    <w:rsid w:val="0037147B"/>
    <w:rsid w:val="00372DBE"/>
    <w:rsid w:val="00372F2E"/>
    <w:rsid w:val="00374942"/>
    <w:rsid w:val="00380B0B"/>
    <w:rsid w:val="003822BF"/>
    <w:rsid w:val="00385AC6"/>
    <w:rsid w:val="00385D78"/>
    <w:rsid w:val="003906CA"/>
    <w:rsid w:val="003924CD"/>
    <w:rsid w:val="00395492"/>
    <w:rsid w:val="003A05C0"/>
    <w:rsid w:val="003A235F"/>
    <w:rsid w:val="003A2629"/>
    <w:rsid w:val="003A281C"/>
    <w:rsid w:val="003A3A32"/>
    <w:rsid w:val="003A40EB"/>
    <w:rsid w:val="003A4391"/>
    <w:rsid w:val="003B1DE5"/>
    <w:rsid w:val="003B2F40"/>
    <w:rsid w:val="003B79A7"/>
    <w:rsid w:val="003C0421"/>
    <w:rsid w:val="003C1F00"/>
    <w:rsid w:val="003C3EBF"/>
    <w:rsid w:val="003D0E92"/>
    <w:rsid w:val="003D1C74"/>
    <w:rsid w:val="003D3A1A"/>
    <w:rsid w:val="003D5156"/>
    <w:rsid w:val="003D5258"/>
    <w:rsid w:val="003D63D2"/>
    <w:rsid w:val="003E0A55"/>
    <w:rsid w:val="003E3884"/>
    <w:rsid w:val="003E5805"/>
    <w:rsid w:val="003E7548"/>
    <w:rsid w:val="003F2496"/>
    <w:rsid w:val="003F2B8A"/>
    <w:rsid w:val="003F351D"/>
    <w:rsid w:val="003F4817"/>
    <w:rsid w:val="003F5273"/>
    <w:rsid w:val="003F75A5"/>
    <w:rsid w:val="004004E6"/>
    <w:rsid w:val="00400772"/>
    <w:rsid w:val="00400A6D"/>
    <w:rsid w:val="00401FB4"/>
    <w:rsid w:val="00403646"/>
    <w:rsid w:val="00410E14"/>
    <w:rsid w:val="00412F1C"/>
    <w:rsid w:val="00415976"/>
    <w:rsid w:val="004207B4"/>
    <w:rsid w:val="00422AA9"/>
    <w:rsid w:val="00425BD0"/>
    <w:rsid w:val="00425F3E"/>
    <w:rsid w:val="0042747A"/>
    <w:rsid w:val="004305B7"/>
    <w:rsid w:val="00434778"/>
    <w:rsid w:val="00435931"/>
    <w:rsid w:val="00436FAD"/>
    <w:rsid w:val="004405BF"/>
    <w:rsid w:val="0044249A"/>
    <w:rsid w:val="0044348C"/>
    <w:rsid w:val="00443BBA"/>
    <w:rsid w:val="00446436"/>
    <w:rsid w:val="00450E73"/>
    <w:rsid w:val="00453F9F"/>
    <w:rsid w:val="00454F4D"/>
    <w:rsid w:val="00455A6A"/>
    <w:rsid w:val="00455FA5"/>
    <w:rsid w:val="0046429A"/>
    <w:rsid w:val="0046531D"/>
    <w:rsid w:val="00465C9E"/>
    <w:rsid w:val="00466E73"/>
    <w:rsid w:val="004725EF"/>
    <w:rsid w:val="00475987"/>
    <w:rsid w:val="0048054E"/>
    <w:rsid w:val="004832D8"/>
    <w:rsid w:val="004835FA"/>
    <w:rsid w:val="0048626B"/>
    <w:rsid w:val="00490DA2"/>
    <w:rsid w:val="004911A4"/>
    <w:rsid w:val="00492874"/>
    <w:rsid w:val="00492996"/>
    <w:rsid w:val="00493DE6"/>
    <w:rsid w:val="0049432F"/>
    <w:rsid w:val="004955BF"/>
    <w:rsid w:val="004961F5"/>
    <w:rsid w:val="00496402"/>
    <w:rsid w:val="00496B9F"/>
    <w:rsid w:val="004A2098"/>
    <w:rsid w:val="004A23BA"/>
    <w:rsid w:val="004A5EEF"/>
    <w:rsid w:val="004A7222"/>
    <w:rsid w:val="004B0E67"/>
    <w:rsid w:val="004B18DE"/>
    <w:rsid w:val="004B1B89"/>
    <w:rsid w:val="004B1CED"/>
    <w:rsid w:val="004B2E8B"/>
    <w:rsid w:val="004B5749"/>
    <w:rsid w:val="004B5B23"/>
    <w:rsid w:val="004B7026"/>
    <w:rsid w:val="004B7165"/>
    <w:rsid w:val="004B74BB"/>
    <w:rsid w:val="004B753E"/>
    <w:rsid w:val="004C1D10"/>
    <w:rsid w:val="004C26D3"/>
    <w:rsid w:val="004C365A"/>
    <w:rsid w:val="004C3947"/>
    <w:rsid w:val="004C6E34"/>
    <w:rsid w:val="004D091F"/>
    <w:rsid w:val="004D0E8F"/>
    <w:rsid w:val="004D1F36"/>
    <w:rsid w:val="004D5EEA"/>
    <w:rsid w:val="004D79F9"/>
    <w:rsid w:val="004F13FB"/>
    <w:rsid w:val="004F32E4"/>
    <w:rsid w:val="004F76CA"/>
    <w:rsid w:val="004F7ACC"/>
    <w:rsid w:val="00500BB0"/>
    <w:rsid w:val="005014E3"/>
    <w:rsid w:val="00505D99"/>
    <w:rsid w:val="00506517"/>
    <w:rsid w:val="00507CE7"/>
    <w:rsid w:val="0051345F"/>
    <w:rsid w:val="00516242"/>
    <w:rsid w:val="00516C89"/>
    <w:rsid w:val="0051705E"/>
    <w:rsid w:val="00522C17"/>
    <w:rsid w:val="00523DDD"/>
    <w:rsid w:val="00527C3F"/>
    <w:rsid w:val="00531002"/>
    <w:rsid w:val="00531F23"/>
    <w:rsid w:val="005331E2"/>
    <w:rsid w:val="005429CC"/>
    <w:rsid w:val="0054374F"/>
    <w:rsid w:val="00543B0A"/>
    <w:rsid w:val="00544A35"/>
    <w:rsid w:val="005458A0"/>
    <w:rsid w:val="00545A8B"/>
    <w:rsid w:val="00545F5D"/>
    <w:rsid w:val="005471B7"/>
    <w:rsid w:val="00547F01"/>
    <w:rsid w:val="005506EE"/>
    <w:rsid w:val="00553E15"/>
    <w:rsid w:val="00554111"/>
    <w:rsid w:val="00556A67"/>
    <w:rsid w:val="00557590"/>
    <w:rsid w:val="00560BB1"/>
    <w:rsid w:val="005616B1"/>
    <w:rsid w:val="00565610"/>
    <w:rsid w:val="005666CA"/>
    <w:rsid w:val="005678FF"/>
    <w:rsid w:val="0057372B"/>
    <w:rsid w:val="00574275"/>
    <w:rsid w:val="00575FE2"/>
    <w:rsid w:val="00580F37"/>
    <w:rsid w:val="005842C1"/>
    <w:rsid w:val="00585AD6"/>
    <w:rsid w:val="0058689D"/>
    <w:rsid w:val="005905B4"/>
    <w:rsid w:val="00591D9E"/>
    <w:rsid w:val="00592817"/>
    <w:rsid w:val="0059470A"/>
    <w:rsid w:val="005976C7"/>
    <w:rsid w:val="005976ED"/>
    <w:rsid w:val="005A0B35"/>
    <w:rsid w:val="005A3117"/>
    <w:rsid w:val="005A7ED1"/>
    <w:rsid w:val="005B2EA6"/>
    <w:rsid w:val="005C21F6"/>
    <w:rsid w:val="005C4537"/>
    <w:rsid w:val="005C5BE4"/>
    <w:rsid w:val="005D2F3E"/>
    <w:rsid w:val="005E1568"/>
    <w:rsid w:val="005E2F07"/>
    <w:rsid w:val="005E3725"/>
    <w:rsid w:val="005E3E1A"/>
    <w:rsid w:val="005E452B"/>
    <w:rsid w:val="005E4EE0"/>
    <w:rsid w:val="005E6B38"/>
    <w:rsid w:val="005F0F58"/>
    <w:rsid w:val="005F1B9C"/>
    <w:rsid w:val="005F2D9E"/>
    <w:rsid w:val="005F56A5"/>
    <w:rsid w:val="005F5EE1"/>
    <w:rsid w:val="006005C8"/>
    <w:rsid w:val="00600AF8"/>
    <w:rsid w:val="006023CC"/>
    <w:rsid w:val="00605CDF"/>
    <w:rsid w:val="00610078"/>
    <w:rsid w:val="00610834"/>
    <w:rsid w:val="00611567"/>
    <w:rsid w:val="00613773"/>
    <w:rsid w:val="00616642"/>
    <w:rsid w:val="00617E7B"/>
    <w:rsid w:val="00617FC3"/>
    <w:rsid w:val="0062049B"/>
    <w:rsid w:val="00620C79"/>
    <w:rsid w:val="00623468"/>
    <w:rsid w:val="00625315"/>
    <w:rsid w:val="006254AE"/>
    <w:rsid w:val="00627A67"/>
    <w:rsid w:val="0063328F"/>
    <w:rsid w:val="00634DA7"/>
    <w:rsid w:val="006369CB"/>
    <w:rsid w:val="00636E25"/>
    <w:rsid w:val="00637DA0"/>
    <w:rsid w:val="006408B3"/>
    <w:rsid w:val="00641466"/>
    <w:rsid w:val="006517AD"/>
    <w:rsid w:val="0065201B"/>
    <w:rsid w:val="00652032"/>
    <w:rsid w:val="00662D9E"/>
    <w:rsid w:val="0066401F"/>
    <w:rsid w:val="006652CF"/>
    <w:rsid w:val="0066761A"/>
    <w:rsid w:val="00670A2A"/>
    <w:rsid w:val="006747BF"/>
    <w:rsid w:val="00676E50"/>
    <w:rsid w:val="00677045"/>
    <w:rsid w:val="00680664"/>
    <w:rsid w:val="00681137"/>
    <w:rsid w:val="00682303"/>
    <w:rsid w:val="0068295F"/>
    <w:rsid w:val="0068369B"/>
    <w:rsid w:val="006862DA"/>
    <w:rsid w:val="00687155"/>
    <w:rsid w:val="00691CCC"/>
    <w:rsid w:val="00691EF5"/>
    <w:rsid w:val="00695771"/>
    <w:rsid w:val="00696EF2"/>
    <w:rsid w:val="006A3BA9"/>
    <w:rsid w:val="006A7A04"/>
    <w:rsid w:val="006A7CAB"/>
    <w:rsid w:val="006B23AA"/>
    <w:rsid w:val="006B6F9D"/>
    <w:rsid w:val="006C043D"/>
    <w:rsid w:val="006C1226"/>
    <w:rsid w:val="006C1FC5"/>
    <w:rsid w:val="006C2625"/>
    <w:rsid w:val="006C379A"/>
    <w:rsid w:val="006C57E3"/>
    <w:rsid w:val="006C5CC5"/>
    <w:rsid w:val="006C6AA6"/>
    <w:rsid w:val="006D0CE4"/>
    <w:rsid w:val="006D5F3F"/>
    <w:rsid w:val="006D63F2"/>
    <w:rsid w:val="006E3C17"/>
    <w:rsid w:val="006E481D"/>
    <w:rsid w:val="006E565D"/>
    <w:rsid w:val="006F06E9"/>
    <w:rsid w:val="006F20AE"/>
    <w:rsid w:val="006F3960"/>
    <w:rsid w:val="006F3B77"/>
    <w:rsid w:val="006F3C1F"/>
    <w:rsid w:val="007012A7"/>
    <w:rsid w:val="00705D21"/>
    <w:rsid w:val="0070657C"/>
    <w:rsid w:val="00707774"/>
    <w:rsid w:val="00710662"/>
    <w:rsid w:val="007117C6"/>
    <w:rsid w:val="0071340C"/>
    <w:rsid w:val="007135E3"/>
    <w:rsid w:val="007146D8"/>
    <w:rsid w:val="00716196"/>
    <w:rsid w:val="007163B5"/>
    <w:rsid w:val="00716DB2"/>
    <w:rsid w:val="0071769D"/>
    <w:rsid w:val="00722C0C"/>
    <w:rsid w:val="007238F5"/>
    <w:rsid w:val="00724E8F"/>
    <w:rsid w:val="00725924"/>
    <w:rsid w:val="00726DF6"/>
    <w:rsid w:val="007305ED"/>
    <w:rsid w:val="007309B0"/>
    <w:rsid w:val="00731013"/>
    <w:rsid w:val="00731FEA"/>
    <w:rsid w:val="0073369C"/>
    <w:rsid w:val="007342DD"/>
    <w:rsid w:val="007358ED"/>
    <w:rsid w:val="00735D49"/>
    <w:rsid w:val="0074148C"/>
    <w:rsid w:val="007417A2"/>
    <w:rsid w:val="00741D58"/>
    <w:rsid w:val="007433A1"/>
    <w:rsid w:val="007456CE"/>
    <w:rsid w:val="00751B3B"/>
    <w:rsid w:val="00752AAE"/>
    <w:rsid w:val="00753B18"/>
    <w:rsid w:val="00767AF6"/>
    <w:rsid w:val="00767E28"/>
    <w:rsid w:val="0077090D"/>
    <w:rsid w:val="00770FC1"/>
    <w:rsid w:val="007756E6"/>
    <w:rsid w:val="0077580C"/>
    <w:rsid w:val="007776F8"/>
    <w:rsid w:val="00780930"/>
    <w:rsid w:val="00782331"/>
    <w:rsid w:val="007857D3"/>
    <w:rsid w:val="0078733F"/>
    <w:rsid w:val="00787E69"/>
    <w:rsid w:val="0079098D"/>
    <w:rsid w:val="00790B59"/>
    <w:rsid w:val="00793527"/>
    <w:rsid w:val="007940CF"/>
    <w:rsid w:val="00795882"/>
    <w:rsid w:val="007A09B3"/>
    <w:rsid w:val="007A1D34"/>
    <w:rsid w:val="007A2FCC"/>
    <w:rsid w:val="007A7767"/>
    <w:rsid w:val="007B2286"/>
    <w:rsid w:val="007B7324"/>
    <w:rsid w:val="007C17A5"/>
    <w:rsid w:val="007C22EC"/>
    <w:rsid w:val="007C2651"/>
    <w:rsid w:val="007C269D"/>
    <w:rsid w:val="007C2D7B"/>
    <w:rsid w:val="007C6069"/>
    <w:rsid w:val="007C76EA"/>
    <w:rsid w:val="007D03A3"/>
    <w:rsid w:val="007D3A84"/>
    <w:rsid w:val="007D3D4C"/>
    <w:rsid w:val="007D6079"/>
    <w:rsid w:val="007D7C28"/>
    <w:rsid w:val="007E0219"/>
    <w:rsid w:val="007E1A02"/>
    <w:rsid w:val="007E2DA7"/>
    <w:rsid w:val="007E30D2"/>
    <w:rsid w:val="007E4E72"/>
    <w:rsid w:val="007F573C"/>
    <w:rsid w:val="007F7455"/>
    <w:rsid w:val="00802198"/>
    <w:rsid w:val="00807432"/>
    <w:rsid w:val="008120F5"/>
    <w:rsid w:val="0082043E"/>
    <w:rsid w:val="0082071D"/>
    <w:rsid w:val="00824C9B"/>
    <w:rsid w:val="00826021"/>
    <w:rsid w:val="0082627B"/>
    <w:rsid w:val="00826798"/>
    <w:rsid w:val="00826EE3"/>
    <w:rsid w:val="008274E2"/>
    <w:rsid w:val="0083082F"/>
    <w:rsid w:val="00831CCF"/>
    <w:rsid w:val="00832FA7"/>
    <w:rsid w:val="0083447B"/>
    <w:rsid w:val="00834B03"/>
    <w:rsid w:val="008377ED"/>
    <w:rsid w:val="00840C26"/>
    <w:rsid w:val="00841BF6"/>
    <w:rsid w:val="0084201B"/>
    <w:rsid w:val="008429BF"/>
    <w:rsid w:val="00843989"/>
    <w:rsid w:val="00844331"/>
    <w:rsid w:val="00845317"/>
    <w:rsid w:val="008453CA"/>
    <w:rsid w:val="00846C32"/>
    <w:rsid w:val="00847E49"/>
    <w:rsid w:val="008508A4"/>
    <w:rsid w:val="00851258"/>
    <w:rsid w:val="00852B32"/>
    <w:rsid w:val="00852B85"/>
    <w:rsid w:val="0085554E"/>
    <w:rsid w:val="00857FCD"/>
    <w:rsid w:val="00863F74"/>
    <w:rsid w:val="00866CB5"/>
    <w:rsid w:val="00866E12"/>
    <w:rsid w:val="008675EB"/>
    <w:rsid w:val="00867B8F"/>
    <w:rsid w:val="00871110"/>
    <w:rsid w:val="008734A5"/>
    <w:rsid w:val="0087434C"/>
    <w:rsid w:val="008752AC"/>
    <w:rsid w:val="008753F4"/>
    <w:rsid w:val="00875E85"/>
    <w:rsid w:val="008763FF"/>
    <w:rsid w:val="00876E0A"/>
    <w:rsid w:val="008801F9"/>
    <w:rsid w:val="00880231"/>
    <w:rsid w:val="00880ABF"/>
    <w:rsid w:val="00880D5D"/>
    <w:rsid w:val="00881A5A"/>
    <w:rsid w:val="0088354D"/>
    <w:rsid w:val="00885574"/>
    <w:rsid w:val="00887E37"/>
    <w:rsid w:val="00890EC3"/>
    <w:rsid w:val="00893CE0"/>
    <w:rsid w:val="0089701B"/>
    <w:rsid w:val="008A07A6"/>
    <w:rsid w:val="008A2FDF"/>
    <w:rsid w:val="008A5875"/>
    <w:rsid w:val="008A7EFC"/>
    <w:rsid w:val="008B0BFF"/>
    <w:rsid w:val="008B2DF8"/>
    <w:rsid w:val="008B332A"/>
    <w:rsid w:val="008B63A9"/>
    <w:rsid w:val="008C01B4"/>
    <w:rsid w:val="008C1A45"/>
    <w:rsid w:val="008C640C"/>
    <w:rsid w:val="008C72D7"/>
    <w:rsid w:val="008D05E6"/>
    <w:rsid w:val="008D70BF"/>
    <w:rsid w:val="008D7D8B"/>
    <w:rsid w:val="008E2CD1"/>
    <w:rsid w:val="008E3834"/>
    <w:rsid w:val="008E6349"/>
    <w:rsid w:val="008E658D"/>
    <w:rsid w:val="008E734E"/>
    <w:rsid w:val="008F2277"/>
    <w:rsid w:val="008F22C3"/>
    <w:rsid w:val="008F66E7"/>
    <w:rsid w:val="0090138D"/>
    <w:rsid w:val="0090603F"/>
    <w:rsid w:val="009060F3"/>
    <w:rsid w:val="009118E6"/>
    <w:rsid w:val="00913299"/>
    <w:rsid w:val="00914361"/>
    <w:rsid w:val="0091558C"/>
    <w:rsid w:val="00915F83"/>
    <w:rsid w:val="00917186"/>
    <w:rsid w:val="00917CCC"/>
    <w:rsid w:val="00921CDE"/>
    <w:rsid w:val="00922C71"/>
    <w:rsid w:val="00922F77"/>
    <w:rsid w:val="00926370"/>
    <w:rsid w:val="009268F2"/>
    <w:rsid w:val="009304FE"/>
    <w:rsid w:val="00934894"/>
    <w:rsid w:val="00937334"/>
    <w:rsid w:val="00940CF8"/>
    <w:rsid w:val="009418B9"/>
    <w:rsid w:val="009433D4"/>
    <w:rsid w:val="00943941"/>
    <w:rsid w:val="00944992"/>
    <w:rsid w:val="009454DD"/>
    <w:rsid w:val="00951E00"/>
    <w:rsid w:val="00953769"/>
    <w:rsid w:val="0095407D"/>
    <w:rsid w:val="00954E9D"/>
    <w:rsid w:val="009573F2"/>
    <w:rsid w:val="0095759D"/>
    <w:rsid w:val="00960123"/>
    <w:rsid w:val="00963D00"/>
    <w:rsid w:val="00965B03"/>
    <w:rsid w:val="00966714"/>
    <w:rsid w:val="00970859"/>
    <w:rsid w:val="00970AF1"/>
    <w:rsid w:val="00970EA4"/>
    <w:rsid w:val="00972F85"/>
    <w:rsid w:val="00973156"/>
    <w:rsid w:val="0097327B"/>
    <w:rsid w:val="00975E84"/>
    <w:rsid w:val="00977E0C"/>
    <w:rsid w:val="00980DD0"/>
    <w:rsid w:val="00981CBB"/>
    <w:rsid w:val="009827E5"/>
    <w:rsid w:val="00983A98"/>
    <w:rsid w:val="0098762A"/>
    <w:rsid w:val="009915D8"/>
    <w:rsid w:val="0099186D"/>
    <w:rsid w:val="0099319B"/>
    <w:rsid w:val="009A04A5"/>
    <w:rsid w:val="009A08FD"/>
    <w:rsid w:val="009A1D38"/>
    <w:rsid w:val="009A29B1"/>
    <w:rsid w:val="009A37B4"/>
    <w:rsid w:val="009A421C"/>
    <w:rsid w:val="009A5E0C"/>
    <w:rsid w:val="009A5ED5"/>
    <w:rsid w:val="009A6C06"/>
    <w:rsid w:val="009A78DA"/>
    <w:rsid w:val="009B0CF1"/>
    <w:rsid w:val="009B1CE5"/>
    <w:rsid w:val="009B2B1A"/>
    <w:rsid w:val="009B3EAF"/>
    <w:rsid w:val="009C12C7"/>
    <w:rsid w:val="009C23B0"/>
    <w:rsid w:val="009C2B3D"/>
    <w:rsid w:val="009C2BF5"/>
    <w:rsid w:val="009D03F7"/>
    <w:rsid w:val="009D1276"/>
    <w:rsid w:val="009D18B2"/>
    <w:rsid w:val="009D4734"/>
    <w:rsid w:val="009D4E8F"/>
    <w:rsid w:val="009E0647"/>
    <w:rsid w:val="009E0A63"/>
    <w:rsid w:val="009E24C2"/>
    <w:rsid w:val="009E3DF7"/>
    <w:rsid w:val="009E42C9"/>
    <w:rsid w:val="009E6826"/>
    <w:rsid w:val="009E6F77"/>
    <w:rsid w:val="009F07A5"/>
    <w:rsid w:val="009F7B16"/>
    <w:rsid w:val="00A04847"/>
    <w:rsid w:val="00A05B7C"/>
    <w:rsid w:val="00A07C7E"/>
    <w:rsid w:val="00A12A6C"/>
    <w:rsid w:val="00A13572"/>
    <w:rsid w:val="00A1423A"/>
    <w:rsid w:val="00A1526B"/>
    <w:rsid w:val="00A16F7F"/>
    <w:rsid w:val="00A222A5"/>
    <w:rsid w:val="00A23A19"/>
    <w:rsid w:val="00A26317"/>
    <w:rsid w:val="00A26474"/>
    <w:rsid w:val="00A2744F"/>
    <w:rsid w:val="00A2749C"/>
    <w:rsid w:val="00A30BA0"/>
    <w:rsid w:val="00A31FAB"/>
    <w:rsid w:val="00A367BE"/>
    <w:rsid w:val="00A37CAC"/>
    <w:rsid w:val="00A402E1"/>
    <w:rsid w:val="00A4172F"/>
    <w:rsid w:val="00A45434"/>
    <w:rsid w:val="00A46D85"/>
    <w:rsid w:val="00A4722A"/>
    <w:rsid w:val="00A508D0"/>
    <w:rsid w:val="00A5777E"/>
    <w:rsid w:val="00A606DB"/>
    <w:rsid w:val="00A629D3"/>
    <w:rsid w:val="00A6328F"/>
    <w:rsid w:val="00A65218"/>
    <w:rsid w:val="00A6594D"/>
    <w:rsid w:val="00A65D5C"/>
    <w:rsid w:val="00A66AE5"/>
    <w:rsid w:val="00A674EA"/>
    <w:rsid w:val="00A74887"/>
    <w:rsid w:val="00A75386"/>
    <w:rsid w:val="00A75B64"/>
    <w:rsid w:val="00A825F8"/>
    <w:rsid w:val="00A83511"/>
    <w:rsid w:val="00A84BD0"/>
    <w:rsid w:val="00A92B65"/>
    <w:rsid w:val="00A94709"/>
    <w:rsid w:val="00A96F14"/>
    <w:rsid w:val="00AA14F6"/>
    <w:rsid w:val="00AA2383"/>
    <w:rsid w:val="00AA25DC"/>
    <w:rsid w:val="00AA2714"/>
    <w:rsid w:val="00AA47B9"/>
    <w:rsid w:val="00AA5209"/>
    <w:rsid w:val="00AA7DE8"/>
    <w:rsid w:val="00AB1216"/>
    <w:rsid w:val="00AB1652"/>
    <w:rsid w:val="00AB1D00"/>
    <w:rsid w:val="00AB36D1"/>
    <w:rsid w:val="00AB4E83"/>
    <w:rsid w:val="00AB6DC9"/>
    <w:rsid w:val="00AC15A0"/>
    <w:rsid w:val="00AC2035"/>
    <w:rsid w:val="00AC74EE"/>
    <w:rsid w:val="00AC76AF"/>
    <w:rsid w:val="00AC777B"/>
    <w:rsid w:val="00AD0BD8"/>
    <w:rsid w:val="00AD2508"/>
    <w:rsid w:val="00AD29A5"/>
    <w:rsid w:val="00AD31B9"/>
    <w:rsid w:val="00AD58F6"/>
    <w:rsid w:val="00AD7657"/>
    <w:rsid w:val="00AE3E69"/>
    <w:rsid w:val="00AE4030"/>
    <w:rsid w:val="00AE4918"/>
    <w:rsid w:val="00AE50CD"/>
    <w:rsid w:val="00AE5157"/>
    <w:rsid w:val="00AE6CA3"/>
    <w:rsid w:val="00AE6E70"/>
    <w:rsid w:val="00AE704E"/>
    <w:rsid w:val="00AF2004"/>
    <w:rsid w:val="00AF5725"/>
    <w:rsid w:val="00AF64D3"/>
    <w:rsid w:val="00AF7B1D"/>
    <w:rsid w:val="00B000EF"/>
    <w:rsid w:val="00B00BEB"/>
    <w:rsid w:val="00B0196B"/>
    <w:rsid w:val="00B0608E"/>
    <w:rsid w:val="00B0715C"/>
    <w:rsid w:val="00B10579"/>
    <w:rsid w:val="00B14492"/>
    <w:rsid w:val="00B178AF"/>
    <w:rsid w:val="00B218B6"/>
    <w:rsid w:val="00B21E3A"/>
    <w:rsid w:val="00B24722"/>
    <w:rsid w:val="00B24BE4"/>
    <w:rsid w:val="00B2673C"/>
    <w:rsid w:val="00B2798C"/>
    <w:rsid w:val="00B30254"/>
    <w:rsid w:val="00B30282"/>
    <w:rsid w:val="00B30B18"/>
    <w:rsid w:val="00B30C99"/>
    <w:rsid w:val="00B3489F"/>
    <w:rsid w:val="00B34C33"/>
    <w:rsid w:val="00B35170"/>
    <w:rsid w:val="00B37CDF"/>
    <w:rsid w:val="00B37FFD"/>
    <w:rsid w:val="00B41677"/>
    <w:rsid w:val="00B41C28"/>
    <w:rsid w:val="00B428D0"/>
    <w:rsid w:val="00B465D0"/>
    <w:rsid w:val="00B60342"/>
    <w:rsid w:val="00B67A83"/>
    <w:rsid w:val="00B67CC0"/>
    <w:rsid w:val="00B70676"/>
    <w:rsid w:val="00B727BD"/>
    <w:rsid w:val="00B73556"/>
    <w:rsid w:val="00B73CAA"/>
    <w:rsid w:val="00B74899"/>
    <w:rsid w:val="00B75892"/>
    <w:rsid w:val="00B75CFA"/>
    <w:rsid w:val="00B75E26"/>
    <w:rsid w:val="00B80319"/>
    <w:rsid w:val="00B83F70"/>
    <w:rsid w:val="00B85651"/>
    <w:rsid w:val="00B87B0B"/>
    <w:rsid w:val="00B90734"/>
    <w:rsid w:val="00B93505"/>
    <w:rsid w:val="00B96558"/>
    <w:rsid w:val="00B96D30"/>
    <w:rsid w:val="00BA5505"/>
    <w:rsid w:val="00BA6BC3"/>
    <w:rsid w:val="00BA6C9F"/>
    <w:rsid w:val="00BA7B33"/>
    <w:rsid w:val="00BB2E38"/>
    <w:rsid w:val="00BB335F"/>
    <w:rsid w:val="00BB73F3"/>
    <w:rsid w:val="00BB7C57"/>
    <w:rsid w:val="00BC3906"/>
    <w:rsid w:val="00BC6200"/>
    <w:rsid w:val="00BC78F7"/>
    <w:rsid w:val="00BC7D0B"/>
    <w:rsid w:val="00BD3CE6"/>
    <w:rsid w:val="00BD703C"/>
    <w:rsid w:val="00BE0547"/>
    <w:rsid w:val="00BE0B29"/>
    <w:rsid w:val="00BE7AA1"/>
    <w:rsid w:val="00BF2694"/>
    <w:rsid w:val="00BF4250"/>
    <w:rsid w:val="00BF42B8"/>
    <w:rsid w:val="00BF50FD"/>
    <w:rsid w:val="00BF60F5"/>
    <w:rsid w:val="00BF64CB"/>
    <w:rsid w:val="00C02F00"/>
    <w:rsid w:val="00C03C66"/>
    <w:rsid w:val="00C05C4E"/>
    <w:rsid w:val="00C05D77"/>
    <w:rsid w:val="00C11AA2"/>
    <w:rsid w:val="00C127BC"/>
    <w:rsid w:val="00C13A59"/>
    <w:rsid w:val="00C15602"/>
    <w:rsid w:val="00C1627B"/>
    <w:rsid w:val="00C2463C"/>
    <w:rsid w:val="00C26C00"/>
    <w:rsid w:val="00C2718E"/>
    <w:rsid w:val="00C27E7B"/>
    <w:rsid w:val="00C30941"/>
    <w:rsid w:val="00C32276"/>
    <w:rsid w:val="00C36AE7"/>
    <w:rsid w:val="00C37424"/>
    <w:rsid w:val="00C37968"/>
    <w:rsid w:val="00C40778"/>
    <w:rsid w:val="00C42906"/>
    <w:rsid w:val="00C42F3C"/>
    <w:rsid w:val="00C454FC"/>
    <w:rsid w:val="00C50387"/>
    <w:rsid w:val="00C515D8"/>
    <w:rsid w:val="00C52829"/>
    <w:rsid w:val="00C53CA8"/>
    <w:rsid w:val="00C571BF"/>
    <w:rsid w:val="00C6435B"/>
    <w:rsid w:val="00C64B5B"/>
    <w:rsid w:val="00C67298"/>
    <w:rsid w:val="00C71035"/>
    <w:rsid w:val="00C72BA4"/>
    <w:rsid w:val="00C72C8D"/>
    <w:rsid w:val="00C76E9F"/>
    <w:rsid w:val="00C77F02"/>
    <w:rsid w:val="00C818C0"/>
    <w:rsid w:val="00C82C0F"/>
    <w:rsid w:val="00C85EAF"/>
    <w:rsid w:val="00C860D3"/>
    <w:rsid w:val="00C90C89"/>
    <w:rsid w:val="00C90D2F"/>
    <w:rsid w:val="00C94C28"/>
    <w:rsid w:val="00C952E2"/>
    <w:rsid w:val="00C96091"/>
    <w:rsid w:val="00CA1847"/>
    <w:rsid w:val="00CA6FF3"/>
    <w:rsid w:val="00CB0917"/>
    <w:rsid w:val="00CB14BB"/>
    <w:rsid w:val="00CB3681"/>
    <w:rsid w:val="00CB47B4"/>
    <w:rsid w:val="00CB4CE3"/>
    <w:rsid w:val="00CB791F"/>
    <w:rsid w:val="00CC1F57"/>
    <w:rsid w:val="00CC2E4D"/>
    <w:rsid w:val="00CC32F8"/>
    <w:rsid w:val="00CC463E"/>
    <w:rsid w:val="00CC506B"/>
    <w:rsid w:val="00CC5420"/>
    <w:rsid w:val="00CC5BC3"/>
    <w:rsid w:val="00CC5F00"/>
    <w:rsid w:val="00CC6DB7"/>
    <w:rsid w:val="00CD2554"/>
    <w:rsid w:val="00CD29A2"/>
    <w:rsid w:val="00CE1227"/>
    <w:rsid w:val="00CE40CD"/>
    <w:rsid w:val="00CE615F"/>
    <w:rsid w:val="00CF0047"/>
    <w:rsid w:val="00CF0105"/>
    <w:rsid w:val="00CF02D6"/>
    <w:rsid w:val="00CF07F4"/>
    <w:rsid w:val="00CF1AC7"/>
    <w:rsid w:val="00CF20BC"/>
    <w:rsid w:val="00CF550F"/>
    <w:rsid w:val="00CF70C6"/>
    <w:rsid w:val="00CF73F6"/>
    <w:rsid w:val="00CF79FA"/>
    <w:rsid w:val="00CF7E90"/>
    <w:rsid w:val="00D00448"/>
    <w:rsid w:val="00D00AAF"/>
    <w:rsid w:val="00D00E6D"/>
    <w:rsid w:val="00D01108"/>
    <w:rsid w:val="00D01ECB"/>
    <w:rsid w:val="00D02273"/>
    <w:rsid w:val="00D0347E"/>
    <w:rsid w:val="00D045D6"/>
    <w:rsid w:val="00D04F6E"/>
    <w:rsid w:val="00D05430"/>
    <w:rsid w:val="00D103D4"/>
    <w:rsid w:val="00D114A4"/>
    <w:rsid w:val="00D11D42"/>
    <w:rsid w:val="00D122BE"/>
    <w:rsid w:val="00D16987"/>
    <w:rsid w:val="00D21AD7"/>
    <w:rsid w:val="00D22407"/>
    <w:rsid w:val="00D252F8"/>
    <w:rsid w:val="00D27112"/>
    <w:rsid w:val="00D30D8C"/>
    <w:rsid w:val="00D3297A"/>
    <w:rsid w:val="00D350FD"/>
    <w:rsid w:val="00D4192C"/>
    <w:rsid w:val="00D43255"/>
    <w:rsid w:val="00D4565F"/>
    <w:rsid w:val="00D5114C"/>
    <w:rsid w:val="00D52379"/>
    <w:rsid w:val="00D52A76"/>
    <w:rsid w:val="00D550F1"/>
    <w:rsid w:val="00D5667A"/>
    <w:rsid w:val="00D56EA0"/>
    <w:rsid w:val="00D637F6"/>
    <w:rsid w:val="00D716AC"/>
    <w:rsid w:val="00D71989"/>
    <w:rsid w:val="00D73616"/>
    <w:rsid w:val="00D744F2"/>
    <w:rsid w:val="00D756C5"/>
    <w:rsid w:val="00D81BB2"/>
    <w:rsid w:val="00D83834"/>
    <w:rsid w:val="00D8779D"/>
    <w:rsid w:val="00D911F7"/>
    <w:rsid w:val="00D95939"/>
    <w:rsid w:val="00D964F4"/>
    <w:rsid w:val="00D975FD"/>
    <w:rsid w:val="00DA0455"/>
    <w:rsid w:val="00DA0489"/>
    <w:rsid w:val="00DA2A62"/>
    <w:rsid w:val="00DA364E"/>
    <w:rsid w:val="00DA3F82"/>
    <w:rsid w:val="00DA4363"/>
    <w:rsid w:val="00DB07D0"/>
    <w:rsid w:val="00DB48AF"/>
    <w:rsid w:val="00DB563F"/>
    <w:rsid w:val="00DC18CD"/>
    <w:rsid w:val="00DC22A1"/>
    <w:rsid w:val="00DC74C0"/>
    <w:rsid w:val="00DD042E"/>
    <w:rsid w:val="00DD04FC"/>
    <w:rsid w:val="00DD6A5D"/>
    <w:rsid w:val="00DE0EB6"/>
    <w:rsid w:val="00DE351E"/>
    <w:rsid w:val="00DE3552"/>
    <w:rsid w:val="00DE47EC"/>
    <w:rsid w:val="00DE6418"/>
    <w:rsid w:val="00DF7816"/>
    <w:rsid w:val="00DF7DFC"/>
    <w:rsid w:val="00E006A4"/>
    <w:rsid w:val="00E01E51"/>
    <w:rsid w:val="00E04BF4"/>
    <w:rsid w:val="00E11412"/>
    <w:rsid w:val="00E11F2E"/>
    <w:rsid w:val="00E128A1"/>
    <w:rsid w:val="00E1325B"/>
    <w:rsid w:val="00E136E9"/>
    <w:rsid w:val="00E137E9"/>
    <w:rsid w:val="00E15AFA"/>
    <w:rsid w:val="00E16039"/>
    <w:rsid w:val="00E175A8"/>
    <w:rsid w:val="00E21C86"/>
    <w:rsid w:val="00E25040"/>
    <w:rsid w:val="00E2607F"/>
    <w:rsid w:val="00E267F3"/>
    <w:rsid w:val="00E2690D"/>
    <w:rsid w:val="00E27DBF"/>
    <w:rsid w:val="00E31921"/>
    <w:rsid w:val="00E32762"/>
    <w:rsid w:val="00E35E61"/>
    <w:rsid w:val="00E36E8D"/>
    <w:rsid w:val="00E40743"/>
    <w:rsid w:val="00E41DF0"/>
    <w:rsid w:val="00E453C6"/>
    <w:rsid w:val="00E45DC7"/>
    <w:rsid w:val="00E51505"/>
    <w:rsid w:val="00E53B6F"/>
    <w:rsid w:val="00E54812"/>
    <w:rsid w:val="00E56BD8"/>
    <w:rsid w:val="00E61C89"/>
    <w:rsid w:val="00E644BA"/>
    <w:rsid w:val="00E64BA1"/>
    <w:rsid w:val="00E66121"/>
    <w:rsid w:val="00E67765"/>
    <w:rsid w:val="00E7093A"/>
    <w:rsid w:val="00E711A2"/>
    <w:rsid w:val="00E714B7"/>
    <w:rsid w:val="00E72677"/>
    <w:rsid w:val="00E735EC"/>
    <w:rsid w:val="00E76220"/>
    <w:rsid w:val="00E76CFC"/>
    <w:rsid w:val="00E92577"/>
    <w:rsid w:val="00E92A4E"/>
    <w:rsid w:val="00E930F8"/>
    <w:rsid w:val="00E9721B"/>
    <w:rsid w:val="00EA0FC0"/>
    <w:rsid w:val="00EA35E3"/>
    <w:rsid w:val="00EA47B5"/>
    <w:rsid w:val="00EA63DC"/>
    <w:rsid w:val="00EA65D9"/>
    <w:rsid w:val="00EA68EF"/>
    <w:rsid w:val="00EA7207"/>
    <w:rsid w:val="00EA750A"/>
    <w:rsid w:val="00EA7534"/>
    <w:rsid w:val="00EB2FEF"/>
    <w:rsid w:val="00EB3210"/>
    <w:rsid w:val="00EB407F"/>
    <w:rsid w:val="00EB568D"/>
    <w:rsid w:val="00EB69FF"/>
    <w:rsid w:val="00EC340D"/>
    <w:rsid w:val="00EC4F9E"/>
    <w:rsid w:val="00EC602E"/>
    <w:rsid w:val="00EC798D"/>
    <w:rsid w:val="00ED2D39"/>
    <w:rsid w:val="00ED3C93"/>
    <w:rsid w:val="00ED3E2C"/>
    <w:rsid w:val="00ED5471"/>
    <w:rsid w:val="00ED565C"/>
    <w:rsid w:val="00ED6454"/>
    <w:rsid w:val="00EE38B6"/>
    <w:rsid w:val="00EE3D3D"/>
    <w:rsid w:val="00EE5373"/>
    <w:rsid w:val="00EE5766"/>
    <w:rsid w:val="00EE7EAD"/>
    <w:rsid w:val="00EF076B"/>
    <w:rsid w:val="00EF223D"/>
    <w:rsid w:val="00EF648F"/>
    <w:rsid w:val="00F03FF7"/>
    <w:rsid w:val="00F0442B"/>
    <w:rsid w:val="00F079F2"/>
    <w:rsid w:val="00F10C9C"/>
    <w:rsid w:val="00F12CB3"/>
    <w:rsid w:val="00F13116"/>
    <w:rsid w:val="00F142F2"/>
    <w:rsid w:val="00F21260"/>
    <w:rsid w:val="00F2271F"/>
    <w:rsid w:val="00F23038"/>
    <w:rsid w:val="00F2355E"/>
    <w:rsid w:val="00F25238"/>
    <w:rsid w:val="00F27D6D"/>
    <w:rsid w:val="00F30FD2"/>
    <w:rsid w:val="00F31FDF"/>
    <w:rsid w:val="00F32362"/>
    <w:rsid w:val="00F35760"/>
    <w:rsid w:val="00F3642F"/>
    <w:rsid w:val="00F37CDE"/>
    <w:rsid w:val="00F40884"/>
    <w:rsid w:val="00F4660E"/>
    <w:rsid w:val="00F46874"/>
    <w:rsid w:val="00F505FB"/>
    <w:rsid w:val="00F50697"/>
    <w:rsid w:val="00F520DA"/>
    <w:rsid w:val="00F52742"/>
    <w:rsid w:val="00F5505E"/>
    <w:rsid w:val="00F56757"/>
    <w:rsid w:val="00F602F9"/>
    <w:rsid w:val="00F61F01"/>
    <w:rsid w:val="00F621B4"/>
    <w:rsid w:val="00F62EB7"/>
    <w:rsid w:val="00F634CD"/>
    <w:rsid w:val="00F635BD"/>
    <w:rsid w:val="00F63853"/>
    <w:rsid w:val="00F64E3C"/>
    <w:rsid w:val="00F654D7"/>
    <w:rsid w:val="00F658EC"/>
    <w:rsid w:val="00F67DB4"/>
    <w:rsid w:val="00F70F0B"/>
    <w:rsid w:val="00F72AEF"/>
    <w:rsid w:val="00F773A4"/>
    <w:rsid w:val="00F80624"/>
    <w:rsid w:val="00F80ABE"/>
    <w:rsid w:val="00F8394F"/>
    <w:rsid w:val="00F84799"/>
    <w:rsid w:val="00F8601D"/>
    <w:rsid w:val="00F86C84"/>
    <w:rsid w:val="00F86CF1"/>
    <w:rsid w:val="00F92EDB"/>
    <w:rsid w:val="00FA0984"/>
    <w:rsid w:val="00FA1598"/>
    <w:rsid w:val="00FA51DC"/>
    <w:rsid w:val="00FA7D0E"/>
    <w:rsid w:val="00FB098A"/>
    <w:rsid w:val="00FB4B9F"/>
    <w:rsid w:val="00FB5D7F"/>
    <w:rsid w:val="00FB5FA1"/>
    <w:rsid w:val="00FC0054"/>
    <w:rsid w:val="00FC0820"/>
    <w:rsid w:val="00FC192B"/>
    <w:rsid w:val="00FC75A8"/>
    <w:rsid w:val="00FC7AF4"/>
    <w:rsid w:val="00FD1476"/>
    <w:rsid w:val="00FD38F9"/>
    <w:rsid w:val="00FD463A"/>
    <w:rsid w:val="00FE0413"/>
    <w:rsid w:val="00FE1CD4"/>
    <w:rsid w:val="00FE2C0F"/>
    <w:rsid w:val="00FE3736"/>
    <w:rsid w:val="00FE4DD6"/>
    <w:rsid w:val="00FF10E1"/>
    <w:rsid w:val="00FF1253"/>
    <w:rsid w:val="00FF2A83"/>
    <w:rsid w:val="00FF5D17"/>
    <w:rsid w:val="00FF7491"/>
    <w:rsid w:val="0A135F93"/>
    <w:rsid w:val="206D3F96"/>
    <w:rsid w:val="5FCA3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43"/>
    <w:qFormat/>
    <w:uiPriority w:val="9"/>
    <w:pPr>
      <w:outlineLvl w:val="0"/>
    </w:pPr>
    <w:rPr>
      <w:rFonts w:eastAsia="黑体"/>
      <w:sz w:val="21"/>
      <w:szCs w:val="21"/>
    </w:rPr>
  </w:style>
  <w:style w:type="paragraph" w:styleId="4">
    <w:name w:val="heading 2"/>
    <w:basedOn w:val="1"/>
    <w:next w:val="1"/>
    <w:link w:val="67"/>
    <w:qFormat/>
    <w:uiPriority w:val="0"/>
    <w:pPr>
      <w:keepNext/>
      <w:keepLines/>
      <w:spacing w:before="260" w:after="260" w:line="416" w:lineRule="auto"/>
      <w:outlineLvl w:val="1"/>
    </w:pPr>
    <w:rPr>
      <w:rFonts w:ascii="Cambria" w:hAnsi="Cambria"/>
      <w:b/>
      <w:bCs/>
      <w:sz w:val="32"/>
      <w:szCs w:val="32"/>
      <w:lang w:val="zh-CN" w:eastAsia="zh-CN"/>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3">
    <w:name w:val="样式4"/>
    <w:basedOn w:val="1"/>
    <w:link w:val="58"/>
    <w:uiPriority w:val="0"/>
    <w:pPr>
      <w:widowControl/>
      <w:shd w:val="clear" w:color="auto" w:fill="FFFFFF"/>
      <w:spacing w:line="240" w:lineRule="atLeast"/>
    </w:pPr>
    <w:rPr>
      <w:rFonts w:eastAsia="仿宋_GB2312"/>
      <w:snapToGrid w:val="0"/>
      <w:color w:val="000000"/>
      <w:kern w:val="0"/>
      <w:sz w:val="32"/>
      <w:szCs w:val="32"/>
      <w:shd w:val="clear" w:color="auto" w:fill="FFFFFF"/>
      <w:lang w:val="zh-CN" w:eastAsia="zh-CN"/>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index 6"/>
    <w:basedOn w:val="1"/>
    <w:next w:val="1"/>
    <w:uiPriority w:val="0"/>
    <w:pPr>
      <w:ind w:left="1260" w:hanging="210"/>
      <w:jc w:val="left"/>
    </w:pPr>
    <w:rPr>
      <w:rFonts w:ascii="Calibri" w:hAnsi="Calibri"/>
      <w:sz w:val="20"/>
      <w:szCs w:val="20"/>
    </w:rPr>
  </w:style>
  <w:style w:type="paragraph" w:styleId="10">
    <w:name w:val="index 4"/>
    <w:basedOn w:val="1"/>
    <w:next w:val="1"/>
    <w:uiPriority w:val="0"/>
    <w:pPr>
      <w:ind w:left="840" w:hanging="210"/>
      <w:jc w:val="left"/>
    </w:pPr>
    <w:rPr>
      <w:rFonts w:ascii="Calibri" w:hAnsi="Calibri"/>
      <w:sz w:val="20"/>
      <w:szCs w:val="20"/>
    </w:rPr>
  </w:style>
  <w:style w:type="paragraph" w:styleId="11">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12">
    <w:name w:val="Plain Text"/>
    <w:basedOn w:val="1"/>
    <w:link w:val="173"/>
    <w:qFormat/>
    <w:uiPriority w:val="0"/>
    <w:rPr>
      <w:rFonts w:ascii="宋体" w:hAnsi="Courier New"/>
      <w:szCs w:val="20"/>
      <w:lang w:val="zh-CN" w:eastAsia="zh-CN"/>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uiPriority w:val="0"/>
    <w:pPr>
      <w:snapToGrid w:val="0"/>
      <w:jc w:val="left"/>
    </w:pPr>
  </w:style>
  <w:style w:type="paragraph" w:styleId="15">
    <w:name w:val="Balloon Text"/>
    <w:basedOn w:val="1"/>
    <w:link w:val="57"/>
    <w:qFormat/>
    <w:uiPriority w:val="0"/>
    <w:rPr>
      <w:sz w:val="18"/>
      <w:szCs w:val="18"/>
      <w:lang w:val="zh-CN" w:eastAsia="zh-CN"/>
    </w:rPr>
  </w:style>
  <w:style w:type="paragraph" w:styleId="16">
    <w:name w:val="footer"/>
    <w:basedOn w:val="1"/>
    <w:link w:val="170"/>
    <w:qFormat/>
    <w:uiPriority w:val="99"/>
    <w:pPr>
      <w:snapToGrid w:val="0"/>
      <w:ind w:right="210" w:rightChars="100"/>
      <w:jc w:val="right"/>
    </w:pPr>
    <w:rPr>
      <w:sz w:val="18"/>
      <w:szCs w:val="18"/>
      <w:lang w:val="zh-CN" w:eastAsia="zh-CN"/>
    </w:rPr>
  </w:style>
  <w:style w:type="paragraph" w:styleId="17">
    <w:name w:val="header"/>
    <w:basedOn w:val="1"/>
    <w:link w:val="59"/>
    <w:qFormat/>
    <w:uiPriority w:val="99"/>
    <w:pPr>
      <w:snapToGrid w:val="0"/>
      <w:jc w:val="left"/>
    </w:pPr>
    <w:rPr>
      <w:sz w:val="18"/>
      <w:szCs w:val="18"/>
      <w:lang w:val="zh-CN" w:eastAsia="zh-CN"/>
    </w:rPr>
  </w:style>
  <w:style w:type="paragraph" w:styleId="18">
    <w:name w:val="toc 1"/>
    <w:basedOn w:val="1"/>
    <w:next w:val="1"/>
    <w:unhideWhenUsed/>
    <w:qFormat/>
    <w:uiPriority w:val="39"/>
    <w:pPr>
      <w:widowControl/>
      <w:tabs>
        <w:tab w:val="right" w:leader="dot" w:pos="9345"/>
      </w:tabs>
      <w:spacing w:after="100" w:line="259" w:lineRule="auto"/>
      <w:jc w:val="left"/>
    </w:pPr>
    <w:rPr>
      <w:rFonts w:ascii="宋体" w:hAnsi="宋体"/>
      <w:color w:val="000000" w:themeColor="text1"/>
      <w:kern w:val="0"/>
      <w:szCs w:val="22"/>
      <w14:textFill>
        <w14:solidFill>
          <w14:schemeClr w14:val="tx1"/>
        </w14:solidFill>
      </w14:textFill>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6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index 7"/>
    <w:basedOn w:val="1"/>
    <w:next w:val="1"/>
    <w:qFormat/>
    <w:uiPriority w:val="0"/>
    <w:pPr>
      <w:ind w:left="1470" w:hanging="210"/>
      <w:jc w:val="left"/>
    </w:pPr>
    <w:rPr>
      <w:rFonts w:ascii="Calibri" w:hAnsi="Calibri"/>
      <w:sz w:val="20"/>
      <w:szCs w:val="20"/>
    </w:rPr>
  </w:style>
  <w:style w:type="paragraph" w:styleId="24">
    <w:name w:val="index 9"/>
    <w:basedOn w:val="1"/>
    <w:next w:val="1"/>
    <w:qFormat/>
    <w:uiPriority w:val="0"/>
    <w:pPr>
      <w:ind w:left="1890" w:hanging="210"/>
      <w:jc w:val="left"/>
    </w:pPr>
    <w:rPr>
      <w:rFonts w:ascii="Calibri" w:hAnsi="Calibri"/>
      <w:sz w:val="20"/>
      <w:szCs w:val="20"/>
    </w:rPr>
  </w:style>
  <w:style w:type="paragraph" w:styleId="2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6">
    <w:name w:val="HTML Preformatted"/>
    <w:basedOn w:val="1"/>
    <w:link w:val="174"/>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8">
    <w:name w:val="index 2"/>
    <w:basedOn w:val="1"/>
    <w:next w:val="1"/>
    <w:qFormat/>
    <w:uiPriority w:val="0"/>
    <w:pPr>
      <w:ind w:left="420" w:hanging="210"/>
      <w:jc w:val="left"/>
    </w:pPr>
    <w:rPr>
      <w:rFonts w:ascii="Calibri" w:hAnsi="Calibri"/>
      <w:sz w:val="20"/>
      <w:szCs w:val="20"/>
    </w:rPr>
  </w:style>
  <w:style w:type="table" w:styleId="30">
    <w:name w:val="Table Grid"/>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0"/>
    <w:rPr>
      <w:b/>
      <w:bCs/>
    </w:rPr>
  </w:style>
  <w:style w:type="character" w:styleId="33">
    <w:name w:val="endnote reference"/>
    <w:semiHidden/>
    <w:qFormat/>
    <w:uiPriority w:val="0"/>
    <w:rPr>
      <w:vertAlign w:val="superscript"/>
    </w:rPr>
  </w:style>
  <w:style w:type="character" w:styleId="34">
    <w:name w:val="page number"/>
    <w:qFormat/>
    <w:uiPriority w:val="0"/>
    <w:rPr>
      <w:rFonts w:ascii="Times New Roman" w:hAnsi="Times New Roman" w:eastAsia="宋体"/>
      <w:sz w:val="18"/>
    </w:rPr>
  </w:style>
  <w:style w:type="character" w:styleId="35">
    <w:name w:val="Hyperlink"/>
    <w:qFormat/>
    <w:uiPriority w:val="99"/>
    <w:rPr>
      <w:color w:val="0000FF"/>
      <w:spacing w:val="0"/>
      <w:w w:val="100"/>
      <w:szCs w:val="21"/>
      <w:u w:val="single"/>
      <w:lang w:val="en-US" w:eastAsia="zh-CN"/>
    </w:rPr>
  </w:style>
  <w:style w:type="character" w:styleId="36">
    <w:name w:val="footnote reference"/>
    <w:semiHidden/>
    <w:qFormat/>
    <w:uiPriority w:val="0"/>
    <w:rPr>
      <w:vertAlign w:val="superscript"/>
    </w:rPr>
  </w:style>
  <w:style w:type="character" w:customStyle="1" w:styleId="37">
    <w:name w:val="已访问的超链接1"/>
    <w:qFormat/>
    <w:uiPriority w:val="0"/>
    <w:rPr>
      <w:color w:val="800080"/>
      <w:u w:val="single"/>
    </w:rPr>
  </w:style>
  <w:style w:type="character" w:customStyle="1" w:styleId="38">
    <w:name w:val="样式 (西文) 宋体 加粗"/>
    <w:qFormat/>
    <w:uiPriority w:val="0"/>
    <w:rPr>
      <w:rFonts w:ascii="宋体" w:hAnsi="宋体"/>
      <w:bCs/>
    </w:rPr>
  </w:style>
  <w:style w:type="character" w:customStyle="1" w:styleId="39">
    <w:name w:val="发布"/>
    <w:qFormat/>
    <w:uiPriority w:val="0"/>
    <w:rPr>
      <w:rFonts w:ascii="黑体" w:eastAsia="黑体"/>
      <w:spacing w:val="85"/>
      <w:w w:val="100"/>
      <w:position w:val="3"/>
      <w:sz w:val="28"/>
      <w:szCs w:val="28"/>
    </w:rPr>
  </w:style>
  <w:style w:type="character" w:customStyle="1" w:styleId="40">
    <w:name w:val="一级条标题 Char"/>
    <w:link w:val="41"/>
    <w:qFormat/>
    <w:uiPriority w:val="0"/>
    <w:rPr>
      <w:rFonts w:ascii="黑体" w:eastAsia="黑体"/>
      <w:sz w:val="21"/>
      <w:szCs w:val="21"/>
    </w:rPr>
  </w:style>
  <w:style w:type="paragraph" w:customStyle="1" w:styleId="41">
    <w:name w:val="一级条标题"/>
    <w:next w:val="21"/>
    <w:link w:val="40"/>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42">
    <w:name w:val="fr"/>
    <w:basedOn w:val="31"/>
    <w:qFormat/>
    <w:uiPriority w:val="0"/>
  </w:style>
  <w:style w:type="character" w:customStyle="1" w:styleId="43">
    <w:name w:val="标题 1 Char"/>
    <w:link w:val="2"/>
    <w:qFormat/>
    <w:uiPriority w:val="9"/>
    <w:rPr>
      <w:rFonts w:eastAsia="黑体"/>
      <w:snapToGrid w:val="0"/>
      <w:color w:val="000000"/>
      <w:sz w:val="21"/>
      <w:szCs w:val="21"/>
      <w:shd w:val="clear" w:color="auto" w:fill="FFFFFF"/>
    </w:rPr>
  </w:style>
  <w:style w:type="character" w:customStyle="1" w:styleId="44">
    <w:name w:val="apple-converted-space"/>
    <w:basedOn w:val="31"/>
    <w:qFormat/>
    <w:uiPriority w:val="0"/>
  </w:style>
  <w:style w:type="character" w:customStyle="1" w:styleId="45">
    <w:name w:val="首示例 Char"/>
    <w:link w:val="46"/>
    <w:qFormat/>
    <w:uiPriority w:val="0"/>
    <w:rPr>
      <w:rFonts w:ascii="宋体" w:hAnsi="宋体"/>
      <w:kern w:val="2"/>
      <w:sz w:val="18"/>
      <w:szCs w:val="18"/>
    </w:rPr>
  </w:style>
  <w:style w:type="paragraph" w:customStyle="1" w:styleId="46">
    <w:name w:val="首示例"/>
    <w:next w:val="21"/>
    <w:link w:val="45"/>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47">
    <w:name w:val="样式1 Char"/>
    <w:link w:val="48"/>
    <w:qFormat/>
    <w:uiPriority w:val="0"/>
    <w:rPr>
      <w:rFonts w:ascii="黑体" w:hAnsi="宋体" w:eastAsia="黑体"/>
      <w:sz w:val="21"/>
      <w:szCs w:val="21"/>
      <w:lang w:val="en-US" w:eastAsia="zh-CN" w:bidi="ar-SA"/>
    </w:rPr>
  </w:style>
  <w:style w:type="paragraph" w:customStyle="1" w:styleId="48">
    <w:name w:val="样式1"/>
    <w:basedOn w:val="49"/>
    <w:link w:val="47"/>
    <w:qFormat/>
    <w:uiPriority w:val="0"/>
    <w:rPr>
      <w:rFonts w:hAnsi="宋体"/>
    </w:rPr>
  </w:style>
  <w:style w:type="paragraph" w:customStyle="1" w:styleId="49">
    <w:name w:val="二级条标题"/>
    <w:basedOn w:val="41"/>
    <w:next w:val="21"/>
    <w:link w:val="50"/>
    <w:qFormat/>
    <w:uiPriority w:val="0"/>
    <w:pPr>
      <w:numPr>
        <w:ilvl w:val="0"/>
        <w:numId w:val="0"/>
      </w:numPr>
      <w:outlineLvl w:val="3"/>
    </w:pPr>
  </w:style>
  <w:style w:type="character" w:customStyle="1" w:styleId="50">
    <w:name w:val="二级条标题 Char"/>
    <w:basedOn w:val="40"/>
    <w:link w:val="49"/>
    <w:qFormat/>
    <w:uiPriority w:val="0"/>
    <w:rPr>
      <w:rFonts w:ascii="黑体" w:eastAsia="黑体"/>
      <w:sz w:val="21"/>
      <w:szCs w:val="21"/>
      <w:lang w:val="en-US" w:eastAsia="zh-CN" w:bidi="ar-SA"/>
    </w:rPr>
  </w:style>
  <w:style w:type="character" w:customStyle="1" w:styleId="51">
    <w:name w:val="样式13 Char"/>
    <w:basedOn w:val="52"/>
    <w:link w:val="55"/>
    <w:uiPriority w:val="0"/>
    <w:rPr>
      <w:rFonts w:eastAsia="黑体"/>
      <w:snapToGrid w:val="0"/>
      <w:color w:val="000000"/>
      <w:sz w:val="21"/>
      <w:szCs w:val="21"/>
      <w:shd w:val="clear" w:color="auto" w:fill="FFFFFF"/>
    </w:rPr>
  </w:style>
  <w:style w:type="character" w:customStyle="1" w:styleId="52">
    <w:name w:val="样式11 Char"/>
    <w:link w:val="53"/>
    <w:uiPriority w:val="0"/>
    <w:rPr>
      <w:rFonts w:eastAsia="黑体"/>
      <w:snapToGrid w:val="0"/>
      <w:color w:val="000000"/>
      <w:sz w:val="21"/>
      <w:szCs w:val="21"/>
      <w:shd w:val="clear" w:color="auto" w:fill="FFFFFF"/>
    </w:rPr>
  </w:style>
  <w:style w:type="paragraph" w:customStyle="1" w:styleId="53">
    <w:name w:val="样式11"/>
    <w:basedOn w:val="54"/>
    <w:link w:val="52"/>
    <w:qFormat/>
    <w:uiPriority w:val="0"/>
    <w:rPr>
      <w:rFonts w:eastAsia="黑体"/>
    </w:rPr>
  </w:style>
  <w:style w:type="paragraph" w:customStyle="1" w:styleId="54">
    <w:name w:val="样式7"/>
    <w:basedOn w:val="1"/>
    <w:link w:val="56"/>
    <w:qFormat/>
    <w:uiPriority w:val="0"/>
    <w:pPr>
      <w:widowControl/>
      <w:shd w:val="clear" w:color="auto" w:fill="FFFFFF"/>
      <w:spacing w:line="240" w:lineRule="atLeast"/>
      <w:ind w:firstLine="420" w:firstLineChars="200"/>
    </w:pPr>
    <w:rPr>
      <w:snapToGrid w:val="0"/>
      <w:color w:val="000000"/>
      <w:kern w:val="0"/>
      <w:szCs w:val="21"/>
      <w:shd w:val="clear" w:color="auto" w:fill="FFFFFF"/>
      <w:lang w:val="zh-CN" w:eastAsia="zh-CN"/>
    </w:rPr>
  </w:style>
  <w:style w:type="paragraph" w:customStyle="1" w:styleId="55">
    <w:name w:val="样式13"/>
    <w:basedOn w:val="53"/>
    <w:link w:val="51"/>
    <w:qFormat/>
    <w:uiPriority w:val="0"/>
  </w:style>
  <w:style w:type="character" w:customStyle="1" w:styleId="56">
    <w:name w:val="样式7 Char"/>
    <w:link w:val="54"/>
    <w:qFormat/>
    <w:uiPriority w:val="0"/>
    <w:rPr>
      <w:snapToGrid w:val="0"/>
      <w:color w:val="000000"/>
      <w:sz w:val="21"/>
      <w:szCs w:val="21"/>
      <w:shd w:val="clear" w:color="auto" w:fill="FFFFFF"/>
    </w:rPr>
  </w:style>
  <w:style w:type="character" w:customStyle="1" w:styleId="57">
    <w:name w:val="批注框文本 Char"/>
    <w:link w:val="15"/>
    <w:qFormat/>
    <w:uiPriority w:val="0"/>
    <w:rPr>
      <w:kern w:val="2"/>
      <w:sz w:val="18"/>
      <w:szCs w:val="18"/>
    </w:rPr>
  </w:style>
  <w:style w:type="character" w:customStyle="1" w:styleId="58">
    <w:name w:val="样式4 Char Char"/>
    <w:link w:val="3"/>
    <w:qFormat/>
    <w:uiPriority w:val="0"/>
    <w:rPr>
      <w:rFonts w:eastAsia="仿宋_GB2312"/>
      <w:snapToGrid w:val="0"/>
      <w:color w:val="000000"/>
      <w:sz w:val="32"/>
      <w:szCs w:val="32"/>
      <w:shd w:val="clear" w:color="auto" w:fill="FFFFFF"/>
    </w:rPr>
  </w:style>
  <w:style w:type="character" w:customStyle="1" w:styleId="59">
    <w:name w:val="页眉 Char"/>
    <w:link w:val="17"/>
    <w:uiPriority w:val="99"/>
    <w:rPr>
      <w:kern w:val="2"/>
      <w:sz w:val="18"/>
      <w:szCs w:val="18"/>
    </w:rPr>
  </w:style>
  <w:style w:type="character" w:customStyle="1" w:styleId="60">
    <w:name w:val="段 Char"/>
    <w:link w:val="21"/>
    <w:qFormat/>
    <w:uiPriority w:val="0"/>
    <w:rPr>
      <w:rFonts w:ascii="宋体"/>
      <w:sz w:val="21"/>
      <w:lang w:val="en-US" w:eastAsia="zh-CN" w:bidi="ar-SA"/>
    </w:rPr>
  </w:style>
  <w:style w:type="character" w:customStyle="1" w:styleId="61">
    <w:name w:val="附录公式 Char"/>
    <w:basedOn w:val="60"/>
    <w:link w:val="62"/>
    <w:qFormat/>
    <w:uiPriority w:val="0"/>
    <w:rPr>
      <w:rFonts w:ascii="宋体"/>
      <w:sz w:val="21"/>
      <w:lang w:val="en-US" w:eastAsia="zh-CN" w:bidi="ar-SA"/>
    </w:rPr>
  </w:style>
  <w:style w:type="paragraph" w:customStyle="1" w:styleId="62">
    <w:name w:val="附录公式"/>
    <w:basedOn w:val="21"/>
    <w:next w:val="21"/>
    <w:link w:val="61"/>
    <w:qFormat/>
    <w:uiPriority w:val="0"/>
  </w:style>
  <w:style w:type="character" w:customStyle="1" w:styleId="63">
    <w:name w:val="样式8 Char"/>
    <w:link w:val="64"/>
    <w:qFormat/>
    <w:uiPriority w:val="0"/>
    <w:rPr>
      <w:rFonts w:eastAsia="仿宋_GB2312"/>
      <w:snapToGrid w:val="0"/>
      <w:color w:val="000000"/>
      <w:sz w:val="21"/>
      <w:szCs w:val="21"/>
      <w:shd w:val="clear" w:color="auto" w:fill="FFFFFF"/>
    </w:rPr>
  </w:style>
  <w:style w:type="paragraph" w:customStyle="1" w:styleId="64">
    <w:name w:val="样式8"/>
    <w:basedOn w:val="1"/>
    <w:link w:val="63"/>
    <w:qFormat/>
    <w:uiPriority w:val="0"/>
    <w:pPr>
      <w:widowControl/>
      <w:shd w:val="clear" w:color="auto" w:fill="FFFFFF"/>
      <w:spacing w:line="240" w:lineRule="atLeast"/>
    </w:pPr>
    <w:rPr>
      <w:rFonts w:eastAsia="仿宋_GB2312"/>
      <w:snapToGrid w:val="0"/>
      <w:color w:val="000000"/>
      <w:kern w:val="0"/>
      <w:szCs w:val="21"/>
      <w:shd w:val="clear" w:color="auto" w:fill="FFFFFF"/>
      <w:lang w:val="zh-CN" w:eastAsia="zh-CN"/>
    </w:rPr>
  </w:style>
  <w:style w:type="character" w:customStyle="1" w:styleId="65">
    <w:name w:val="样式15 Char"/>
    <w:link w:val="66"/>
    <w:qFormat/>
    <w:uiPriority w:val="0"/>
    <w:rPr>
      <w:rFonts w:ascii="Cambria" w:hAnsi="Cambria" w:eastAsia="宋体" w:cs="Times New Roman"/>
      <w:b/>
      <w:bCs/>
      <w:snapToGrid w:val="0"/>
      <w:color w:val="000000"/>
      <w:kern w:val="2"/>
      <w:sz w:val="21"/>
      <w:szCs w:val="21"/>
      <w:shd w:val="clear" w:color="auto" w:fill="FFFFFF"/>
    </w:rPr>
  </w:style>
  <w:style w:type="paragraph" w:customStyle="1" w:styleId="66">
    <w:name w:val="样式15"/>
    <w:basedOn w:val="4"/>
    <w:next w:val="23"/>
    <w:link w:val="65"/>
    <w:qFormat/>
    <w:uiPriority w:val="0"/>
    <w:pPr>
      <w:keepNext w:val="0"/>
      <w:keepLines w:val="0"/>
      <w:widowControl/>
      <w:shd w:val="clear" w:color="auto" w:fill="FFFFFF"/>
      <w:spacing w:before="0" w:after="0" w:line="240" w:lineRule="atLeast"/>
    </w:pPr>
    <w:rPr>
      <w:snapToGrid w:val="0"/>
      <w:color w:val="000000"/>
      <w:sz w:val="21"/>
      <w:szCs w:val="21"/>
      <w:shd w:val="clear" w:color="auto" w:fill="FFFFFF"/>
    </w:rPr>
  </w:style>
  <w:style w:type="character" w:customStyle="1" w:styleId="67">
    <w:name w:val="标题 2 Char"/>
    <w:link w:val="4"/>
    <w:semiHidden/>
    <w:qFormat/>
    <w:uiPriority w:val="0"/>
    <w:rPr>
      <w:rFonts w:ascii="Cambria" w:hAnsi="Cambria" w:eastAsia="宋体" w:cs="Times New Roman"/>
      <w:b/>
      <w:bCs/>
      <w:kern w:val="2"/>
      <w:sz w:val="32"/>
      <w:szCs w:val="32"/>
    </w:rPr>
  </w:style>
  <w:style w:type="character" w:customStyle="1" w:styleId="68">
    <w:name w:val="样式14 Char"/>
    <w:link w:val="69"/>
    <w:qFormat/>
    <w:uiPriority w:val="0"/>
    <w:rPr>
      <w:rFonts w:eastAsia="黑体"/>
      <w:snapToGrid w:val="0"/>
      <w:color w:val="000000"/>
      <w:kern w:val="24"/>
      <w:sz w:val="21"/>
      <w:szCs w:val="21"/>
      <w:shd w:val="clear" w:color="auto" w:fill="FFFFFF"/>
    </w:rPr>
  </w:style>
  <w:style w:type="paragraph" w:customStyle="1" w:styleId="69">
    <w:name w:val="样式14"/>
    <w:basedOn w:val="54"/>
    <w:link w:val="68"/>
    <w:qFormat/>
    <w:uiPriority w:val="0"/>
    <w:pPr>
      <w:ind w:firstLine="0" w:firstLineChars="0"/>
      <w:jc w:val="center"/>
    </w:pPr>
    <w:rPr>
      <w:rFonts w:eastAsia="黑体"/>
      <w:kern w:val="24"/>
    </w:rPr>
  </w:style>
  <w:style w:type="character" w:customStyle="1" w:styleId="70">
    <w:name w:val="样式2 Char Char"/>
    <w:link w:val="71"/>
    <w:qFormat/>
    <w:uiPriority w:val="0"/>
    <w:rPr>
      <w:rFonts w:eastAsia="仿宋_GB2312"/>
      <w:color w:val="000000"/>
      <w:sz w:val="32"/>
      <w:szCs w:val="32"/>
      <w:shd w:val="clear" w:color="auto" w:fill="FFFFFF"/>
    </w:rPr>
  </w:style>
  <w:style w:type="paragraph" w:customStyle="1" w:styleId="71">
    <w:name w:val="样式2"/>
    <w:basedOn w:val="1"/>
    <w:link w:val="70"/>
    <w:uiPriority w:val="0"/>
    <w:pPr>
      <w:widowControl/>
      <w:shd w:val="clear" w:color="auto" w:fill="FFFFFF"/>
      <w:spacing w:line="240" w:lineRule="atLeast"/>
      <w:ind w:firstLine="640" w:firstLineChars="200"/>
    </w:pPr>
    <w:rPr>
      <w:rFonts w:eastAsia="仿宋_GB2312"/>
      <w:color w:val="000000"/>
      <w:kern w:val="0"/>
      <w:sz w:val="32"/>
      <w:szCs w:val="32"/>
      <w:shd w:val="clear" w:color="auto" w:fill="FFFFFF"/>
      <w:lang w:val="zh-CN" w:eastAsia="zh-CN"/>
    </w:rPr>
  </w:style>
  <w:style w:type="paragraph" w:customStyle="1" w:styleId="72">
    <w:name w:val="标准书眉一"/>
    <w:qFormat/>
    <w:uiPriority w:val="0"/>
    <w:pPr>
      <w:jc w:val="both"/>
    </w:pPr>
    <w:rPr>
      <w:rFonts w:ascii="Times New Roman" w:hAnsi="Times New Roman" w:eastAsia="宋体" w:cs="Times New Roman"/>
      <w:lang w:val="en-US" w:eastAsia="zh-CN" w:bidi="ar-SA"/>
    </w:rPr>
  </w:style>
  <w:style w:type="paragraph" w:customStyle="1" w:styleId="7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7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其他发布日期"/>
    <w:basedOn w:val="74"/>
    <w:qFormat/>
    <w:uiPriority w:val="0"/>
    <w:pPr>
      <w:framePr w:wrap="around" w:vAnchor="page" w:hAnchor="text" w:x="1419"/>
    </w:pPr>
  </w:style>
  <w:style w:type="paragraph" w:customStyle="1" w:styleId="76">
    <w:name w:val="正文表标题"/>
    <w:next w:val="21"/>
    <w:qFormat/>
    <w:uiPriority w:val="0"/>
    <w:pPr>
      <w:numPr>
        <w:ilvl w:val="0"/>
        <w:numId w:val="4"/>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77">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8">
    <w:name w:val="五级条标题"/>
    <w:basedOn w:val="79"/>
    <w:next w:val="21"/>
    <w:qFormat/>
    <w:uiPriority w:val="0"/>
    <w:pPr>
      <w:numPr>
        <w:ilvl w:val="5"/>
      </w:numPr>
      <w:outlineLvl w:val="6"/>
    </w:pPr>
  </w:style>
  <w:style w:type="paragraph" w:customStyle="1" w:styleId="79">
    <w:name w:val="四级条标题"/>
    <w:basedOn w:val="80"/>
    <w:next w:val="21"/>
    <w:qFormat/>
    <w:uiPriority w:val="0"/>
    <w:pPr>
      <w:numPr>
        <w:ilvl w:val="4"/>
      </w:numPr>
      <w:outlineLvl w:val="5"/>
    </w:pPr>
  </w:style>
  <w:style w:type="paragraph" w:customStyle="1" w:styleId="80">
    <w:name w:val="三级条标题"/>
    <w:basedOn w:val="49"/>
    <w:next w:val="21"/>
    <w:qFormat/>
    <w:uiPriority w:val="0"/>
    <w:pPr>
      <w:numPr>
        <w:ilvl w:val="3"/>
      </w:numPr>
      <w:outlineLvl w:val="4"/>
    </w:pPr>
  </w:style>
  <w:style w:type="paragraph" w:customStyle="1" w:styleId="81">
    <w:name w:val="图标脚注说明"/>
    <w:basedOn w:val="21"/>
    <w:uiPriority w:val="0"/>
    <w:pPr>
      <w:ind w:left="840" w:hanging="420" w:firstLineChars="0"/>
    </w:pPr>
    <w:rPr>
      <w:sz w:val="18"/>
      <w:szCs w:val="18"/>
    </w:rPr>
  </w:style>
  <w:style w:type="paragraph" w:customStyle="1" w:styleId="82">
    <w:name w:val="目录 61"/>
    <w:basedOn w:val="1"/>
    <w:next w:val="1"/>
    <w:semiHidden/>
    <w:qFormat/>
    <w:uiPriority w:val="0"/>
    <w:pPr>
      <w:tabs>
        <w:tab w:val="right" w:leader="dot" w:pos="9241"/>
      </w:tabs>
      <w:ind w:firstLine="403" w:firstLineChars="400"/>
      <w:jc w:val="left"/>
    </w:pPr>
    <w:rPr>
      <w:rFonts w:ascii="宋体"/>
      <w:szCs w:val="21"/>
    </w:rPr>
  </w:style>
  <w:style w:type="paragraph" w:customStyle="1" w:styleId="83">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4">
    <w:name w:val="其他发布部门"/>
    <w:basedOn w:val="85"/>
    <w:qFormat/>
    <w:uiPriority w:val="0"/>
    <w:pPr>
      <w:framePr w:wrap="around" w:vAnchor="margin" w:hAnchor="text" w:y="15310"/>
      <w:spacing w:line="0" w:lineRule="atLeast"/>
    </w:pPr>
    <w:rPr>
      <w:rFonts w:ascii="黑体" w:eastAsia="黑体"/>
      <w:b w:val="0"/>
    </w:rPr>
  </w:style>
  <w:style w:type="paragraph" w:customStyle="1" w:styleId="85">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6">
    <w:name w:val="示例"/>
    <w:next w:val="87"/>
    <w:qFormat/>
    <w:uiPriority w:val="0"/>
    <w:pPr>
      <w:widowControl w:val="0"/>
      <w:numPr>
        <w:ilvl w:val="0"/>
        <w:numId w:val="5"/>
      </w:numPr>
      <w:jc w:val="both"/>
    </w:pPr>
    <w:rPr>
      <w:rFonts w:ascii="宋体" w:hAnsi="Times New Roman" w:eastAsia="宋体" w:cs="Times New Roman"/>
      <w:sz w:val="18"/>
      <w:szCs w:val="18"/>
      <w:lang w:val="en-US" w:eastAsia="zh-CN" w:bidi="ar-SA"/>
    </w:rPr>
  </w:style>
  <w:style w:type="paragraph" w:customStyle="1" w:styleId="87">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8">
    <w:name w:val="附录五级条标题"/>
    <w:basedOn w:val="89"/>
    <w:next w:val="21"/>
    <w:qFormat/>
    <w:uiPriority w:val="0"/>
    <w:pPr>
      <w:numPr>
        <w:ilvl w:val="6"/>
      </w:numPr>
      <w:tabs>
        <w:tab w:val="left" w:pos="360"/>
      </w:tabs>
      <w:outlineLvl w:val="6"/>
    </w:pPr>
  </w:style>
  <w:style w:type="paragraph" w:customStyle="1" w:styleId="89">
    <w:name w:val="附录四级条标题"/>
    <w:basedOn w:val="90"/>
    <w:next w:val="21"/>
    <w:qFormat/>
    <w:uiPriority w:val="0"/>
    <w:pPr>
      <w:numPr>
        <w:ilvl w:val="5"/>
      </w:numPr>
      <w:tabs>
        <w:tab w:val="left" w:pos="360"/>
      </w:tabs>
      <w:outlineLvl w:val="5"/>
    </w:pPr>
  </w:style>
  <w:style w:type="paragraph" w:customStyle="1" w:styleId="90">
    <w:name w:val="附录三级条标题"/>
    <w:basedOn w:val="91"/>
    <w:next w:val="21"/>
    <w:uiPriority w:val="0"/>
    <w:pPr>
      <w:numPr>
        <w:ilvl w:val="4"/>
      </w:numPr>
      <w:tabs>
        <w:tab w:val="left" w:pos="360"/>
      </w:tabs>
      <w:outlineLvl w:val="4"/>
    </w:pPr>
  </w:style>
  <w:style w:type="paragraph" w:customStyle="1" w:styleId="91">
    <w:name w:val="附录二级条标题"/>
    <w:basedOn w:val="1"/>
    <w:next w:val="21"/>
    <w:qFormat/>
    <w:uiPriority w:val="0"/>
    <w:pPr>
      <w:widowControl/>
      <w:numPr>
        <w:ilvl w:val="3"/>
        <w:numId w:val="6"/>
      </w:numPr>
      <w:tabs>
        <w:tab w:val="left" w:pos="360"/>
      </w:tabs>
      <w:wordWrap w:val="0"/>
      <w:overflowPunct w:val="0"/>
      <w:autoSpaceDE w:val="0"/>
      <w:autoSpaceDN w:val="0"/>
      <w:spacing w:before="156" w:beforeLines="50" w:after="156" w:afterLines="50"/>
      <w:textAlignment w:val="baseline"/>
      <w:outlineLvl w:val="3"/>
    </w:pPr>
    <w:rPr>
      <w:rFonts w:ascii="黑体" w:eastAsia="黑体"/>
      <w:kern w:val="21"/>
      <w:szCs w:val="20"/>
    </w:rPr>
  </w:style>
  <w:style w:type="paragraph" w:customStyle="1" w:styleId="92">
    <w:name w:val="目录 71"/>
    <w:basedOn w:val="1"/>
    <w:next w:val="1"/>
    <w:semiHidden/>
    <w:uiPriority w:val="0"/>
    <w:pPr>
      <w:tabs>
        <w:tab w:val="right" w:leader="dot" w:pos="9241"/>
      </w:tabs>
      <w:ind w:firstLine="505" w:firstLineChars="500"/>
      <w:jc w:val="left"/>
    </w:pPr>
    <w:rPr>
      <w:rFonts w:ascii="宋体"/>
      <w:szCs w:val="21"/>
    </w:rPr>
  </w:style>
  <w:style w:type="paragraph" w:customStyle="1" w:styleId="9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94">
    <w:name w:val="目录 11"/>
    <w:basedOn w:val="1"/>
    <w:next w:val="1"/>
    <w:qFormat/>
    <w:uiPriority w:val="39"/>
    <w:pPr>
      <w:tabs>
        <w:tab w:val="right" w:leader="dot" w:pos="9241"/>
      </w:tabs>
      <w:spacing w:before="78" w:beforeLines="25" w:after="78" w:afterLines="25"/>
      <w:jc w:val="left"/>
    </w:pPr>
    <w:rPr>
      <w:rFonts w:ascii="宋体"/>
      <w:szCs w:val="21"/>
    </w:rPr>
  </w:style>
  <w:style w:type="paragraph" w:customStyle="1" w:styleId="95">
    <w:name w:val="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96">
    <w:name w:val="目录 81"/>
    <w:basedOn w:val="1"/>
    <w:next w:val="1"/>
    <w:semiHidden/>
    <w:uiPriority w:val="0"/>
    <w:pPr>
      <w:tabs>
        <w:tab w:val="right" w:leader="dot" w:pos="9241"/>
      </w:tabs>
      <w:ind w:firstLine="607" w:firstLineChars="600"/>
      <w:jc w:val="left"/>
    </w:pPr>
    <w:rPr>
      <w:rFonts w:ascii="宋体"/>
      <w:szCs w:val="21"/>
    </w:rPr>
  </w:style>
  <w:style w:type="paragraph" w:customStyle="1" w:styleId="97">
    <w:name w:val="正文图标题"/>
    <w:next w:val="21"/>
    <w:qFormat/>
    <w:uiPriority w:val="0"/>
    <w:pPr>
      <w:numPr>
        <w:ilvl w:val="0"/>
        <w:numId w:val="8"/>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98">
    <w:name w:val="附录标题"/>
    <w:basedOn w:val="21"/>
    <w:next w:val="21"/>
    <w:qFormat/>
    <w:uiPriority w:val="0"/>
    <w:pPr>
      <w:ind w:firstLine="0" w:firstLineChars="0"/>
      <w:jc w:val="center"/>
    </w:pPr>
    <w:rPr>
      <w:rFonts w:ascii="黑体" w:eastAsia="黑体"/>
    </w:rPr>
  </w:style>
  <w:style w:type="paragraph" w:customStyle="1" w:styleId="99">
    <w:name w:val="目录 31"/>
    <w:basedOn w:val="1"/>
    <w:next w:val="1"/>
    <w:qFormat/>
    <w:uiPriority w:val="39"/>
    <w:pPr>
      <w:tabs>
        <w:tab w:val="right" w:leader="dot" w:pos="9241"/>
      </w:tabs>
      <w:ind w:firstLine="102" w:firstLineChars="100"/>
      <w:jc w:val="left"/>
    </w:pPr>
    <w:rPr>
      <w:rFonts w:ascii="宋体"/>
      <w:szCs w:val="21"/>
    </w:rPr>
  </w:style>
  <w:style w:type="paragraph" w:customStyle="1" w:styleId="100">
    <w:name w:val="目录 21"/>
    <w:basedOn w:val="1"/>
    <w:next w:val="1"/>
    <w:semiHidden/>
    <w:qFormat/>
    <w:uiPriority w:val="0"/>
    <w:pPr>
      <w:tabs>
        <w:tab w:val="right" w:leader="dot" w:pos="9241"/>
      </w:tabs>
    </w:pPr>
    <w:rPr>
      <w:rFonts w:ascii="宋体"/>
      <w:szCs w:val="21"/>
    </w:rPr>
  </w:style>
  <w:style w:type="paragraph" w:customStyle="1" w:styleId="101">
    <w:name w:val="列项——（一级）"/>
    <w:qFormat/>
    <w:uiPriority w:val="0"/>
    <w:pPr>
      <w:widowControl w:val="0"/>
      <w:numPr>
        <w:ilvl w:val="0"/>
        <w:numId w:val="9"/>
      </w:numPr>
      <w:jc w:val="both"/>
    </w:pPr>
    <w:rPr>
      <w:rFonts w:ascii="宋体" w:hAnsi="Times New Roman" w:eastAsia="宋体" w:cs="Times New Roman"/>
      <w:sz w:val="21"/>
      <w:lang w:val="en-US" w:eastAsia="zh-CN" w:bidi="ar-SA"/>
    </w:rPr>
  </w:style>
  <w:style w:type="paragraph" w:customStyle="1" w:styleId="10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0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4">
    <w:name w:val="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05">
    <w:name w:val="标准书眉_偶数页"/>
    <w:basedOn w:val="83"/>
    <w:next w:val="1"/>
    <w:qFormat/>
    <w:uiPriority w:val="0"/>
    <w:pPr>
      <w:jc w:val="left"/>
    </w:pPr>
  </w:style>
  <w:style w:type="paragraph" w:customStyle="1" w:styleId="106">
    <w:name w:val="目录 41"/>
    <w:basedOn w:val="1"/>
    <w:next w:val="1"/>
    <w:semiHidden/>
    <w:qFormat/>
    <w:uiPriority w:val="0"/>
    <w:pPr>
      <w:tabs>
        <w:tab w:val="right" w:leader="dot" w:pos="9241"/>
      </w:tabs>
      <w:ind w:firstLine="198" w:firstLineChars="200"/>
      <w:jc w:val="left"/>
    </w:pPr>
    <w:rPr>
      <w:rFonts w:ascii="宋体"/>
      <w:szCs w:val="21"/>
    </w:rPr>
  </w:style>
  <w:style w:type="paragraph" w:customStyle="1" w:styleId="107">
    <w:name w:val="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10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09">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0">
    <w:name w:val="注："/>
    <w:next w:val="21"/>
    <w:qFormat/>
    <w:uiPriority w:val="0"/>
    <w:pPr>
      <w:widowControl w:val="0"/>
      <w:numPr>
        <w:ilvl w:val="0"/>
        <w:numId w:val="11"/>
      </w:numPr>
      <w:autoSpaceDE w:val="0"/>
      <w:autoSpaceDN w:val="0"/>
      <w:jc w:val="both"/>
    </w:pPr>
    <w:rPr>
      <w:rFonts w:ascii="宋体" w:hAnsi="Times New Roman" w:eastAsia="宋体" w:cs="Times New Roman"/>
      <w:sz w:val="18"/>
      <w:szCs w:val="18"/>
      <w:lang w:val="en-US" w:eastAsia="zh-CN" w:bidi="ar-SA"/>
    </w:rPr>
  </w:style>
  <w:style w:type="paragraph" w:customStyle="1" w:styleId="111">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3">
    <w:name w:val="附录标识"/>
    <w:basedOn w:val="1"/>
    <w:next w:val="21"/>
    <w:qFormat/>
    <w:uiPriority w:val="0"/>
    <w:pPr>
      <w:keepNext/>
      <w:widowControl/>
      <w:numPr>
        <w:ilvl w:val="0"/>
        <w:numId w:val="6"/>
      </w:numPr>
      <w:shd w:val="clear" w:color="FFFFFF" w:fill="FFFFFF"/>
      <w:tabs>
        <w:tab w:val="left" w:pos="6405"/>
      </w:tabs>
      <w:spacing w:before="640" w:after="280"/>
      <w:jc w:val="center"/>
      <w:outlineLvl w:val="0"/>
    </w:pPr>
    <w:rPr>
      <w:rFonts w:ascii="黑体" w:eastAsia="黑体"/>
      <w:kern w:val="0"/>
      <w:szCs w:val="20"/>
    </w:rPr>
  </w:style>
  <w:style w:type="paragraph" w:customStyle="1" w:styleId="114">
    <w:name w:val="实施日期"/>
    <w:basedOn w:val="74"/>
    <w:qFormat/>
    <w:uiPriority w:val="0"/>
    <w:pPr>
      <w:framePr w:wrap="around" w:vAnchor="page" w:hAnchor="text"/>
      <w:jc w:val="right"/>
    </w:pPr>
  </w:style>
  <w:style w:type="paragraph" w:customStyle="1" w:styleId="115">
    <w:name w:val="附录章标题"/>
    <w:next w:val="21"/>
    <w:qFormat/>
    <w:uiPriority w:val="0"/>
    <w:pPr>
      <w:numPr>
        <w:ilvl w:val="1"/>
        <w:numId w:val="6"/>
      </w:numPr>
      <w:wordWrap w:val="0"/>
      <w:overflowPunct w:val="0"/>
      <w:autoSpaceDE w:val="0"/>
      <w:spacing w:before="312" w:beforeLines="100" w:after="312"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6">
    <w:name w:val="条文脚注"/>
    <w:basedOn w:val="22"/>
    <w:qFormat/>
    <w:uiPriority w:val="0"/>
    <w:pPr>
      <w:numPr>
        <w:numId w:val="0"/>
      </w:numPr>
      <w:jc w:val="both"/>
    </w:pPr>
  </w:style>
  <w:style w:type="paragraph" w:customStyle="1" w:styleId="117">
    <w:name w:val="列项●（二级）"/>
    <w:qFormat/>
    <w:uiPriority w:val="0"/>
    <w:pPr>
      <w:numPr>
        <w:ilvl w:val="1"/>
        <w:numId w:val="9"/>
      </w:numPr>
      <w:tabs>
        <w:tab w:val="left" w:pos="840"/>
        <w:tab w:val="clear" w:pos="760"/>
      </w:tabs>
      <w:jc w:val="both"/>
    </w:pPr>
    <w:rPr>
      <w:rFonts w:ascii="宋体" w:hAnsi="Times New Roman" w:eastAsia="宋体" w:cs="Times New Roman"/>
      <w:sz w:val="21"/>
      <w:lang w:val="en-US" w:eastAsia="zh-CN" w:bidi="ar-SA"/>
    </w:rPr>
  </w:style>
  <w:style w:type="paragraph" w:customStyle="1" w:styleId="118">
    <w:name w:val="章标题"/>
    <w:next w:val="2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19">
    <w:name w:val="正文公式编号制表符"/>
    <w:basedOn w:val="21"/>
    <w:next w:val="21"/>
    <w:qFormat/>
    <w:uiPriority w:val="0"/>
    <w:pPr>
      <w:ind w:firstLine="0" w:firstLineChars="0"/>
    </w:pPr>
  </w:style>
  <w:style w:type="paragraph" w:customStyle="1" w:styleId="120">
    <w:name w:val="目录 51"/>
    <w:basedOn w:val="1"/>
    <w:next w:val="1"/>
    <w:semiHidden/>
    <w:uiPriority w:val="0"/>
    <w:pPr>
      <w:tabs>
        <w:tab w:val="right" w:leader="dot" w:pos="9241"/>
      </w:tabs>
      <w:ind w:firstLine="300" w:firstLineChars="300"/>
      <w:jc w:val="left"/>
    </w:pPr>
    <w:rPr>
      <w:rFonts w:ascii="宋体"/>
      <w:szCs w:val="21"/>
    </w:rPr>
  </w:style>
  <w:style w:type="paragraph" w:customStyle="1" w:styleId="121">
    <w:name w:val="目录 91"/>
    <w:basedOn w:val="1"/>
    <w:next w:val="1"/>
    <w:semiHidden/>
    <w:qFormat/>
    <w:uiPriority w:val="0"/>
    <w:pPr>
      <w:ind w:left="1470"/>
      <w:jc w:val="left"/>
    </w:pPr>
    <w:rPr>
      <w:sz w:val="20"/>
      <w:szCs w:val="20"/>
    </w:rPr>
  </w:style>
  <w:style w:type="paragraph" w:customStyle="1" w:styleId="122">
    <w:name w:val="标准称谓"/>
    <w:next w:val="1"/>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23">
    <w:name w:val="附录一级条标题"/>
    <w:basedOn w:val="115"/>
    <w:next w:val="21"/>
    <w:qFormat/>
    <w:uiPriority w:val="0"/>
    <w:pPr>
      <w:numPr>
        <w:ilvl w:val="2"/>
      </w:numPr>
      <w:autoSpaceDN w:val="0"/>
      <w:spacing w:before="156" w:beforeLines="50" w:after="156" w:afterLines="50"/>
      <w:outlineLvl w:val="2"/>
    </w:pPr>
  </w:style>
  <w:style w:type="paragraph" w:customStyle="1" w:styleId="124">
    <w:name w:val="附录表标题"/>
    <w:basedOn w:val="1"/>
    <w:next w:val="21"/>
    <w:qFormat/>
    <w:uiPriority w:val="0"/>
    <w:pPr>
      <w:numPr>
        <w:ilvl w:val="1"/>
        <w:numId w:val="12"/>
      </w:numPr>
      <w:spacing w:before="156" w:beforeLines="50" w:after="156" w:afterLines="50"/>
      <w:ind w:left="3544"/>
      <w:jc w:val="center"/>
    </w:pPr>
    <w:rPr>
      <w:rFonts w:ascii="黑体" w:eastAsia="黑体"/>
      <w:szCs w:val="21"/>
    </w:rPr>
  </w:style>
  <w:style w:type="paragraph" w:customStyle="1" w:styleId="125">
    <w:name w:val="附录图标题"/>
    <w:basedOn w:val="1"/>
    <w:next w:val="21"/>
    <w:qFormat/>
    <w:uiPriority w:val="0"/>
    <w:pPr>
      <w:numPr>
        <w:ilvl w:val="1"/>
        <w:numId w:val="13"/>
      </w:numPr>
      <w:tabs>
        <w:tab w:val="left" w:pos="363"/>
      </w:tabs>
      <w:spacing w:before="156" w:beforeLines="50" w:after="156" w:afterLines="50"/>
      <w:ind w:left="0" w:firstLine="0"/>
      <w:jc w:val="center"/>
    </w:pPr>
    <w:rPr>
      <w:rFonts w:ascii="黑体" w:eastAsia="黑体"/>
      <w:szCs w:val="21"/>
    </w:rPr>
  </w:style>
  <w:style w:type="paragraph" w:customStyle="1" w:styleId="126">
    <w:name w:val="示例×："/>
    <w:basedOn w:val="118"/>
    <w:qFormat/>
    <w:uiPriority w:val="0"/>
    <w:pPr>
      <w:numPr>
        <w:numId w:val="14"/>
      </w:numPr>
      <w:spacing w:before="0" w:beforeLines="0" w:after="0" w:afterLines="0"/>
      <w:outlineLvl w:val="9"/>
    </w:pPr>
    <w:rPr>
      <w:rFonts w:ascii="宋体" w:eastAsia="宋体"/>
      <w:sz w:val="18"/>
      <w:szCs w:val="18"/>
    </w:rPr>
  </w:style>
  <w:style w:type="paragraph" w:customStyle="1" w:styleId="127">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8">
    <w:name w:val="列项◆（三级）"/>
    <w:basedOn w:val="1"/>
    <w:qFormat/>
    <w:uiPriority w:val="0"/>
    <w:pPr>
      <w:numPr>
        <w:ilvl w:val="2"/>
        <w:numId w:val="9"/>
      </w:numPr>
    </w:pPr>
    <w:rPr>
      <w:rFonts w:ascii="宋体"/>
      <w:szCs w:val="21"/>
    </w:rPr>
  </w:style>
  <w:style w:type="paragraph" w:customStyle="1" w:styleId="129">
    <w:name w:val="附录三级无"/>
    <w:basedOn w:val="90"/>
    <w:qFormat/>
    <w:uiPriority w:val="0"/>
    <w:pPr>
      <w:tabs>
        <w:tab w:val="clear" w:pos="360"/>
      </w:tabs>
      <w:spacing w:before="0" w:beforeLines="0" w:after="0" w:afterLines="0"/>
    </w:pPr>
    <w:rPr>
      <w:rFonts w:ascii="宋体" w:eastAsia="宋体"/>
      <w:szCs w:val="21"/>
    </w:rPr>
  </w:style>
  <w:style w:type="paragraph" w:customStyle="1" w:styleId="130">
    <w:name w:val="封面标准文稿编辑信息2"/>
    <w:basedOn w:val="131"/>
    <w:uiPriority w:val="0"/>
    <w:pPr>
      <w:framePr w:wrap="around" w:vAnchor="margin" w:hAnchor="text" w:y="4469"/>
    </w:pPr>
  </w:style>
  <w:style w:type="paragraph" w:customStyle="1" w:styleId="131">
    <w:name w:val="封面标准文稿编辑信息"/>
    <w:basedOn w:val="132"/>
    <w:uiPriority w:val="0"/>
    <w:pPr>
      <w:framePr w:wrap="around"/>
      <w:spacing w:before="180" w:line="180" w:lineRule="exact"/>
    </w:pPr>
    <w:rPr>
      <w:sz w:val="21"/>
    </w:rPr>
  </w:style>
  <w:style w:type="paragraph" w:customStyle="1" w:styleId="132">
    <w:name w:val="封面标准文稿类别"/>
    <w:basedOn w:val="133"/>
    <w:qFormat/>
    <w:uiPriority w:val="0"/>
    <w:pPr>
      <w:framePr w:wrap="around"/>
      <w:spacing w:after="160" w:line="240" w:lineRule="auto"/>
    </w:pPr>
    <w:rPr>
      <w:sz w:val="24"/>
    </w:rPr>
  </w:style>
  <w:style w:type="paragraph" w:customStyle="1" w:styleId="133">
    <w:name w:val="封面一致性程度标识"/>
    <w:basedOn w:val="134"/>
    <w:qFormat/>
    <w:uiPriority w:val="0"/>
    <w:pPr>
      <w:framePr w:wrap="around"/>
      <w:spacing w:before="440"/>
    </w:pPr>
    <w:rPr>
      <w:rFonts w:ascii="宋体" w:eastAsia="宋体"/>
    </w:rPr>
  </w:style>
  <w:style w:type="paragraph" w:customStyle="1" w:styleId="134">
    <w:name w:val="封面标准英文名称"/>
    <w:basedOn w:val="77"/>
    <w:uiPriority w:val="0"/>
    <w:pPr>
      <w:framePr w:wrap="around"/>
      <w:spacing w:before="370" w:line="400" w:lineRule="exact"/>
    </w:pPr>
    <w:rPr>
      <w:rFonts w:ascii="Times New Roman"/>
      <w:sz w:val="28"/>
      <w:szCs w:val="28"/>
    </w:rPr>
  </w:style>
  <w:style w:type="paragraph" w:customStyle="1" w:styleId="135">
    <w:name w:val="附录数字编号列项（二级）"/>
    <w:qFormat/>
    <w:uiPriority w:val="0"/>
    <w:pPr>
      <w:numPr>
        <w:ilvl w:val="1"/>
        <w:numId w:val="15"/>
      </w:numPr>
    </w:pPr>
    <w:rPr>
      <w:rFonts w:ascii="宋体" w:hAnsi="Times New Roman" w:eastAsia="宋体" w:cs="Times New Roman"/>
      <w:sz w:val="21"/>
      <w:lang w:val="en-US" w:eastAsia="zh-CN" w:bidi="ar-SA"/>
    </w:rPr>
  </w:style>
  <w:style w:type="paragraph" w:customStyle="1" w:styleId="136">
    <w:name w:val="注：（正文）"/>
    <w:basedOn w:val="110"/>
    <w:next w:val="21"/>
    <w:uiPriority w:val="0"/>
  </w:style>
  <w:style w:type="paragraph" w:customStyle="1" w:styleId="137">
    <w:name w:val="其他实施日期"/>
    <w:basedOn w:val="114"/>
    <w:qFormat/>
    <w:uiPriority w:val="0"/>
    <w:pPr>
      <w:framePr w:wrap="around"/>
    </w:pPr>
  </w:style>
  <w:style w:type="paragraph" w:customStyle="1" w:styleId="138">
    <w:name w:val="编号列项（三级）"/>
    <w:uiPriority w:val="0"/>
    <w:pPr>
      <w:numPr>
        <w:ilvl w:val="2"/>
        <w:numId w:val="7"/>
      </w:numPr>
    </w:pPr>
    <w:rPr>
      <w:rFonts w:ascii="宋体" w:hAnsi="Times New Roman" w:eastAsia="宋体" w:cs="Times New Roman"/>
      <w:sz w:val="21"/>
      <w:lang w:val="en-US" w:eastAsia="zh-CN" w:bidi="ar-SA"/>
    </w:rPr>
  </w:style>
  <w:style w:type="paragraph" w:customStyle="1" w:styleId="139">
    <w:name w:val="附录一级无"/>
    <w:basedOn w:val="123"/>
    <w:qFormat/>
    <w:uiPriority w:val="0"/>
    <w:pPr>
      <w:spacing w:before="0" w:beforeLines="0" w:after="0" w:afterLines="0"/>
    </w:pPr>
    <w:rPr>
      <w:rFonts w:ascii="宋体" w:eastAsia="宋体"/>
      <w:szCs w:val="21"/>
    </w:rPr>
  </w:style>
  <w:style w:type="paragraph" w:customStyle="1" w:styleId="14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41">
    <w:name w:val="列项说明数字编号"/>
    <w:uiPriority w:val="0"/>
    <w:pPr>
      <w:ind w:left="600" w:leftChars="400" w:hanging="200" w:hangingChars="200"/>
    </w:pPr>
    <w:rPr>
      <w:rFonts w:ascii="宋体" w:hAnsi="Times New Roman" w:eastAsia="宋体" w:cs="Times New Roman"/>
      <w:sz w:val="21"/>
      <w:lang w:val="en-US" w:eastAsia="zh-CN" w:bidi="ar-SA"/>
    </w:rPr>
  </w:style>
  <w:style w:type="paragraph" w:customStyle="1" w:styleId="142">
    <w:name w:val="终结线"/>
    <w:basedOn w:val="1"/>
    <w:uiPriority w:val="0"/>
    <w:pPr>
      <w:framePr w:hSpace="181" w:vSpace="181" w:wrap="around" w:vAnchor="text" w:hAnchor="margin" w:xAlign="center" w:y="285"/>
    </w:pPr>
  </w:style>
  <w:style w:type="paragraph" w:customStyle="1" w:styleId="143">
    <w:name w:val="其他标准标志"/>
    <w:basedOn w:val="144"/>
    <w:uiPriority w:val="0"/>
    <w:pPr>
      <w:framePr w:w="6101" w:wrap="around" w:vAnchor="page" w:hAnchor="page" w:x="4673" w:y="942"/>
    </w:pPr>
    <w:rPr>
      <w:w w:val="130"/>
    </w:rPr>
  </w:style>
  <w:style w:type="paragraph" w:customStyle="1" w:styleId="14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45">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46">
    <w:name w:val="附录表标号"/>
    <w:basedOn w:val="1"/>
    <w:next w:val="21"/>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147">
    <w:name w:val="目次、标准名称标题"/>
    <w:basedOn w:val="1"/>
    <w:next w:val="21"/>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48">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14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50">
    <w:name w:val="封面一致性程度标识2"/>
    <w:basedOn w:val="133"/>
    <w:qFormat/>
    <w:uiPriority w:val="0"/>
    <w:pPr>
      <w:framePr w:wrap="around" w:vAnchor="margin" w:hAnchor="text" w:y="4469"/>
    </w:pPr>
  </w:style>
  <w:style w:type="paragraph" w:customStyle="1" w:styleId="151">
    <w:name w:val="三级无"/>
    <w:basedOn w:val="80"/>
    <w:uiPriority w:val="0"/>
    <w:pPr>
      <w:spacing w:before="0" w:beforeLines="0" w:after="0" w:afterLines="0"/>
    </w:pPr>
    <w:rPr>
      <w:rFonts w:ascii="宋体" w:eastAsia="宋体"/>
    </w:rPr>
  </w:style>
  <w:style w:type="paragraph" w:customStyle="1" w:styleId="152">
    <w:name w:val="附录五级无"/>
    <w:basedOn w:val="88"/>
    <w:qFormat/>
    <w:uiPriority w:val="0"/>
    <w:pPr>
      <w:tabs>
        <w:tab w:val="clear" w:pos="360"/>
      </w:tabs>
      <w:spacing w:before="0" w:beforeLines="0" w:after="0" w:afterLines="0"/>
    </w:pPr>
    <w:rPr>
      <w:rFonts w:ascii="宋体" w:eastAsia="宋体"/>
      <w:szCs w:val="21"/>
    </w:rPr>
  </w:style>
  <w:style w:type="paragraph" w:customStyle="1" w:styleId="153">
    <w:name w:val="二级无"/>
    <w:basedOn w:val="49"/>
    <w:qFormat/>
    <w:uiPriority w:val="0"/>
    <w:pPr>
      <w:spacing w:before="0" w:beforeLines="0" w:after="0" w:afterLines="0"/>
    </w:pPr>
    <w:rPr>
      <w:rFonts w:ascii="宋体" w:eastAsia="宋体"/>
    </w:rPr>
  </w:style>
  <w:style w:type="paragraph" w:customStyle="1" w:styleId="154">
    <w:name w:val="附录字母编号列项（一级）"/>
    <w:qFormat/>
    <w:uiPriority w:val="0"/>
    <w:pPr>
      <w:numPr>
        <w:ilvl w:val="0"/>
        <w:numId w:val="15"/>
      </w:numPr>
    </w:pPr>
    <w:rPr>
      <w:rFonts w:ascii="宋体" w:hAnsi="Times New Roman" w:eastAsia="宋体" w:cs="Times New Roman"/>
      <w:sz w:val="21"/>
      <w:lang w:val="en-US" w:eastAsia="zh-CN" w:bidi="ar-SA"/>
    </w:rPr>
  </w:style>
  <w:style w:type="paragraph" w:customStyle="1" w:styleId="155">
    <w:name w:val="注×：（正文）"/>
    <w:uiPriority w:val="0"/>
    <w:pPr>
      <w:numPr>
        <w:ilvl w:val="0"/>
        <w:numId w:val="16"/>
      </w:numPr>
      <w:jc w:val="both"/>
    </w:pPr>
    <w:rPr>
      <w:rFonts w:ascii="宋体" w:hAnsi="Times New Roman" w:eastAsia="宋体" w:cs="Times New Roman"/>
      <w:sz w:val="18"/>
      <w:szCs w:val="18"/>
      <w:lang w:val="en-US" w:eastAsia="zh-CN" w:bidi="ar-SA"/>
    </w:rPr>
  </w:style>
  <w:style w:type="paragraph" w:customStyle="1" w:styleId="156">
    <w:name w:val="标准书脚_偶数页"/>
    <w:uiPriority w:val="0"/>
    <w:pPr>
      <w:spacing w:before="120"/>
      <w:ind w:left="221"/>
    </w:pPr>
    <w:rPr>
      <w:rFonts w:ascii="宋体" w:hAnsi="Times New Roman" w:eastAsia="宋体" w:cs="Times New Roman"/>
      <w:sz w:val="18"/>
      <w:szCs w:val="18"/>
      <w:lang w:val="en-US" w:eastAsia="zh-CN" w:bidi="ar-SA"/>
    </w:rPr>
  </w:style>
  <w:style w:type="paragraph" w:customStyle="1" w:styleId="157">
    <w:name w:val="一级无"/>
    <w:basedOn w:val="41"/>
    <w:qFormat/>
    <w:uiPriority w:val="0"/>
    <w:pPr>
      <w:spacing w:before="0" w:beforeLines="0" w:after="0" w:afterLines="0"/>
    </w:pPr>
    <w:rPr>
      <w:rFonts w:ascii="宋体" w:eastAsia="宋体"/>
    </w:rPr>
  </w:style>
  <w:style w:type="paragraph" w:customStyle="1" w:styleId="158">
    <w:name w:val="封面正文"/>
    <w:uiPriority w:val="0"/>
    <w:pPr>
      <w:jc w:val="both"/>
    </w:pPr>
    <w:rPr>
      <w:rFonts w:ascii="Times New Roman" w:hAnsi="Times New Roman" w:eastAsia="宋体" w:cs="Times New Roman"/>
      <w:lang w:val="en-US" w:eastAsia="zh-CN" w:bidi="ar-SA"/>
    </w:rPr>
  </w:style>
  <w:style w:type="paragraph" w:customStyle="1" w:styleId="159">
    <w:name w:val="示例后文字"/>
    <w:basedOn w:val="21"/>
    <w:next w:val="21"/>
    <w:qFormat/>
    <w:uiPriority w:val="0"/>
    <w:pPr>
      <w:ind w:firstLine="360"/>
    </w:pPr>
    <w:rPr>
      <w:sz w:val="18"/>
    </w:rPr>
  </w:style>
  <w:style w:type="paragraph" w:customStyle="1" w:styleId="160">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1">
    <w:name w:val="图表脚注说明"/>
    <w:basedOn w:val="1"/>
    <w:qFormat/>
    <w:uiPriority w:val="0"/>
    <w:pPr>
      <w:numPr>
        <w:ilvl w:val="0"/>
        <w:numId w:val="17"/>
      </w:numPr>
    </w:pPr>
    <w:rPr>
      <w:rFonts w:ascii="宋体"/>
      <w:sz w:val="18"/>
      <w:szCs w:val="18"/>
    </w:rPr>
  </w:style>
  <w:style w:type="paragraph" w:customStyle="1" w:styleId="162">
    <w:name w:val="封面标准名称2"/>
    <w:basedOn w:val="77"/>
    <w:uiPriority w:val="0"/>
    <w:pPr>
      <w:framePr w:wrap="around" w:vAnchor="margin" w:hAnchor="text" w:y="4469"/>
      <w:spacing w:before="1965" w:beforeLines="630"/>
    </w:pPr>
  </w:style>
  <w:style w:type="paragraph" w:customStyle="1" w:styleId="163">
    <w:name w:val="附录二级无"/>
    <w:basedOn w:val="91"/>
    <w:qFormat/>
    <w:uiPriority w:val="0"/>
    <w:pPr>
      <w:tabs>
        <w:tab w:val="clear" w:pos="360"/>
      </w:tabs>
      <w:spacing w:before="0" w:beforeLines="0" w:after="0" w:afterLines="0"/>
    </w:pPr>
    <w:rPr>
      <w:rFonts w:ascii="宋体" w:eastAsia="宋体"/>
      <w:szCs w:val="21"/>
    </w:rPr>
  </w:style>
  <w:style w:type="paragraph" w:customStyle="1" w:styleId="164">
    <w:name w:val="封面标准英文名称2"/>
    <w:basedOn w:val="134"/>
    <w:qFormat/>
    <w:uiPriority w:val="0"/>
    <w:pPr>
      <w:framePr w:wrap="around" w:vAnchor="margin" w:hAnchor="text" w:y="4469"/>
    </w:pPr>
  </w:style>
  <w:style w:type="paragraph" w:customStyle="1" w:styleId="165">
    <w:name w:val="附录四级无"/>
    <w:basedOn w:val="89"/>
    <w:uiPriority w:val="0"/>
    <w:pPr>
      <w:tabs>
        <w:tab w:val="clear" w:pos="360"/>
      </w:tabs>
      <w:spacing w:before="0" w:beforeLines="0" w:after="0" w:afterLines="0"/>
    </w:pPr>
    <w:rPr>
      <w:rFonts w:ascii="宋体" w:eastAsia="宋体"/>
      <w:szCs w:val="21"/>
    </w:rPr>
  </w:style>
  <w:style w:type="paragraph" w:customStyle="1" w:styleId="166">
    <w:name w:val="四级无"/>
    <w:basedOn w:val="79"/>
    <w:uiPriority w:val="0"/>
    <w:pPr>
      <w:spacing w:before="0" w:beforeLines="0" w:after="0" w:afterLines="0"/>
    </w:pPr>
    <w:rPr>
      <w:rFonts w:ascii="宋体" w:eastAsia="宋体"/>
    </w:rPr>
  </w:style>
  <w:style w:type="paragraph" w:customStyle="1" w:styleId="167">
    <w:name w:val="五级无"/>
    <w:basedOn w:val="78"/>
    <w:qFormat/>
    <w:uiPriority w:val="0"/>
    <w:pPr>
      <w:spacing w:before="0" w:beforeLines="0" w:after="0" w:afterLines="0"/>
    </w:pPr>
    <w:rPr>
      <w:rFonts w:ascii="宋体" w:eastAsia="宋体"/>
    </w:rPr>
  </w:style>
  <w:style w:type="paragraph" w:customStyle="1" w:styleId="168">
    <w:name w:val="封面标准文稿类别2"/>
    <w:basedOn w:val="132"/>
    <w:qFormat/>
    <w:uiPriority w:val="0"/>
    <w:pPr>
      <w:framePr w:wrap="around" w:vAnchor="margin" w:hAnchor="text" w:y="4469"/>
    </w:pPr>
  </w:style>
  <w:style w:type="paragraph" w:customStyle="1" w:styleId="169">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0">
    <w:name w:val="页脚 Char"/>
    <w:link w:val="16"/>
    <w:qFormat/>
    <w:uiPriority w:val="99"/>
    <w:rPr>
      <w:kern w:val="2"/>
      <w:sz w:val="18"/>
      <w:szCs w:val="18"/>
    </w:rPr>
  </w:style>
  <w:style w:type="paragraph" w:customStyle="1" w:styleId="171">
    <w:name w:val="Char Char 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172">
    <w:name w:val="正文 New New New New New New New New New New New New New New New New New New New New New New New New"/>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3">
    <w:name w:val="纯文本 Char"/>
    <w:link w:val="12"/>
    <w:qFormat/>
    <w:uiPriority w:val="0"/>
    <w:rPr>
      <w:rFonts w:ascii="宋体" w:hAnsi="Courier New"/>
      <w:kern w:val="2"/>
      <w:sz w:val="21"/>
    </w:rPr>
  </w:style>
  <w:style w:type="character" w:customStyle="1" w:styleId="174">
    <w:name w:val="HTML 预设格式 Char"/>
    <w:link w:val="26"/>
    <w:qFormat/>
    <w:uiPriority w:val="99"/>
    <w:rPr>
      <w:rFonts w:ascii="宋体" w:hAnsi="宋体" w:cs="宋体"/>
      <w:sz w:val="24"/>
      <w:szCs w:val="24"/>
    </w:rPr>
  </w:style>
  <w:style w:type="character" w:customStyle="1" w:styleId="175">
    <w:name w:val="NormalCharacter"/>
    <w:semiHidden/>
    <w:qFormat/>
    <w:uiPriority w:val="0"/>
  </w:style>
  <w:style w:type="paragraph" w:customStyle="1" w:styleId="176">
    <w:name w:val="UserStyle_106"/>
    <w:basedOn w:val="1"/>
    <w:qFormat/>
    <w:uiPriority w:val="0"/>
    <w:pPr>
      <w:framePr w:w="9639" w:h="6917" w:wrap="around" w:vAnchor="margin" w:hAnchor="text" w:xAlign="center" w:y="1"/>
      <w:widowControl/>
      <w:spacing w:before="370" w:line="400" w:lineRule="exact"/>
      <w:jc w:val="center"/>
      <w:textAlignment w:val="center"/>
    </w:pPr>
    <w:rPr>
      <w:rFonts w:eastAsia="黑体"/>
      <w:kern w:val="0"/>
      <w:sz w:val="28"/>
      <w:szCs w:val="28"/>
    </w:rPr>
  </w:style>
  <w:style w:type="character" w:customStyle="1" w:styleId="177">
    <w:name w:val="UserStyle_23"/>
    <w:link w:val="178"/>
    <w:qFormat/>
    <w:uiPriority w:val="0"/>
    <w:rPr>
      <w:rFonts w:ascii="宋体"/>
      <w:sz w:val="21"/>
    </w:rPr>
  </w:style>
  <w:style w:type="paragraph" w:customStyle="1" w:styleId="178">
    <w:name w:val="UserStyle_24"/>
    <w:link w:val="177"/>
    <w:uiPriority w:val="0"/>
    <w:pPr>
      <w:tabs>
        <w:tab w:val="center" w:pos="4201"/>
        <w:tab w:val="right" w:leader="dot" w:pos="9298"/>
      </w:tabs>
      <w:ind w:firstLine="420" w:firstLineChars="200"/>
      <w:jc w:val="both"/>
      <w:textAlignment w:val="baseline"/>
    </w:pPr>
    <w:rPr>
      <w:rFonts w:ascii="宋体" w:hAnsi="Times New Roman" w:eastAsia="宋体" w:cs="Times New Roman"/>
      <w:sz w:val="21"/>
      <w:lang w:val="en-US" w:eastAsia="zh-CN" w:bidi="ar-SA"/>
    </w:rPr>
  </w:style>
  <w:style w:type="paragraph" w:customStyle="1" w:styleId="179">
    <w:name w:val="TOC1"/>
    <w:basedOn w:val="1"/>
    <w:next w:val="1"/>
    <w:qFormat/>
    <w:uiPriority w:val="0"/>
    <w:pPr>
      <w:widowControl/>
      <w:tabs>
        <w:tab w:val="right" w:leader="dot" w:pos="9241"/>
      </w:tabs>
      <w:spacing w:before="78" w:after="78"/>
      <w:jc w:val="left"/>
      <w:textAlignment w:val="baseline"/>
    </w:pPr>
    <w:rPr>
      <w:rFonts w:ascii="宋体"/>
      <w:szCs w:val="21"/>
    </w:rPr>
  </w:style>
  <w:style w:type="paragraph" w:customStyle="1" w:styleId="180">
    <w:name w:val="UserStyle_66"/>
    <w:next w:val="178"/>
    <w:qFormat/>
    <w:uiPriority w:val="0"/>
    <w:pPr>
      <w:ind w:left="726" w:hanging="363"/>
      <w:jc w:val="both"/>
      <w:textAlignment w:val="baseline"/>
    </w:pPr>
    <w:rPr>
      <w:rFonts w:ascii="宋体" w:hAnsi="Times New Roman" w:eastAsia="宋体" w:cs="Times New Roman"/>
      <w:sz w:val="18"/>
      <w:szCs w:val="18"/>
      <w:lang w:val="en-US" w:eastAsia="zh-CN" w:bidi="ar-SA"/>
    </w:rPr>
  </w:style>
  <w:style w:type="character" w:customStyle="1" w:styleId="181">
    <w:name w:val="UserStyle_7"/>
    <w:link w:val="182"/>
    <w:qFormat/>
    <w:uiPriority w:val="0"/>
    <w:rPr>
      <w:rFonts w:ascii="宋体" w:hAnsi="宋体"/>
      <w:kern w:val="2"/>
      <w:sz w:val="18"/>
      <w:szCs w:val="18"/>
    </w:rPr>
  </w:style>
  <w:style w:type="paragraph" w:customStyle="1" w:styleId="182">
    <w:name w:val="UserStyle_8"/>
    <w:next w:val="178"/>
    <w:link w:val="181"/>
    <w:uiPriority w:val="0"/>
    <w:pPr>
      <w:tabs>
        <w:tab w:val="left" w:pos="360"/>
      </w:tabs>
      <w:textAlignment w:val="baseline"/>
    </w:pPr>
    <w:rPr>
      <w:rFonts w:ascii="宋体" w:hAnsi="宋体" w:eastAsia="宋体" w:cs="Times New Roman"/>
      <w:kern w:val="2"/>
      <w:sz w:val="18"/>
      <w:szCs w:val="18"/>
      <w:lang w:val="en-US" w:eastAsia="zh-CN" w:bidi="ar-SA"/>
    </w:rPr>
  </w:style>
  <w:style w:type="character" w:customStyle="1" w:styleId="183">
    <w:name w:val="UserStyle_2"/>
    <w:link w:val="184"/>
    <w:uiPriority w:val="0"/>
    <w:rPr>
      <w:rFonts w:ascii="黑体" w:eastAsia="黑体"/>
      <w:sz w:val="21"/>
      <w:szCs w:val="21"/>
    </w:rPr>
  </w:style>
  <w:style w:type="paragraph" w:customStyle="1" w:styleId="184">
    <w:name w:val="UserStyle_3"/>
    <w:next w:val="178"/>
    <w:link w:val="183"/>
    <w:qFormat/>
    <w:uiPriority w:val="0"/>
    <w:pPr>
      <w:spacing w:before="156" w:after="156"/>
      <w:textAlignment w:val="baseline"/>
    </w:pPr>
    <w:rPr>
      <w:rFonts w:ascii="黑体" w:hAnsi="Times New Roman" w:eastAsia="黑体" w:cs="Times New Roman"/>
      <w:sz w:val="21"/>
      <w:szCs w:val="21"/>
      <w:lang w:val="en-US" w:eastAsia="zh-CN" w:bidi="ar-SA"/>
    </w:rPr>
  </w:style>
  <w:style w:type="paragraph" w:customStyle="1" w:styleId="185">
    <w:name w:val="UserStyle_42"/>
    <w:basedOn w:val="186"/>
    <w:next w:val="178"/>
    <w:uiPriority w:val="0"/>
  </w:style>
  <w:style w:type="paragraph" w:customStyle="1" w:styleId="186">
    <w:name w:val="UserStyle_43"/>
    <w:basedOn w:val="187"/>
    <w:next w:val="178"/>
    <w:uiPriority w:val="0"/>
  </w:style>
  <w:style w:type="paragraph" w:customStyle="1" w:styleId="187">
    <w:name w:val="UserStyle_68"/>
    <w:basedOn w:val="188"/>
    <w:next w:val="178"/>
    <w:qFormat/>
    <w:uiPriority w:val="0"/>
  </w:style>
  <w:style w:type="paragraph" w:customStyle="1" w:styleId="188">
    <w:name w:val="UserStyle_12"/>
    <w:basedOn w:val="184"/>
    <w:next w:val="178"/>
    <w:uiPriority w:val="0"/>
  </w:style>
  <w:style w:type="paragraph" w:customStyle="1" w:styleId="189">
    <w:name w:val="UserStyle_75"/>
    <w:next w:val="178"/>
    <w:qFormat/>
    <w:uiPriority w:val="0"/>
    <w:pPr>
      <w:spacing w:before="312" w:after="312"/>
      <w:ind w:left="426"/>
      <w:jc w:val="both"/>
      <w:textAlignment w:val="baseline"/>
    </w:pPr>
    <w:rPr>
      <w:rFonts w:ascii="黑体" w:hAnsi="Times New Roman" w:eastAsia="黑体" w:cs="Times New Roman"/>
      <w:sz w:val="21"/>
      <w:lang w:val="en-US" w:eastAsia="zh-CN" w:bidi="ar-SA"/>
    </w:rPr>
  </w:style>
  <w:style w:type="paragraph" w:customStyle="1" w:styleId="190">
    <w:name w:val="UserStyle_108"/>
    <w:basedOn w:val="188"/>
    <w:qFormat/>
    <w:uiPriority w:val="0"/>
    <w:pPr>
      <w:numPr>
        <w:ilvl w:val="2"/>
        <w:numId w:val="2"/>
      </w:numPr>
      <w:spacing w:before="0" w:after="0"/>
    </w:pPr>
    <w:rPr>
      <w:rFonts w:ascii="宋体" w:eastAsia="宋体"/>
    </w:rPr>
  </w:style>
  <w:style w:type="paragraph" w:customStyle="1" w:styleId="191">
    <w:name w:val="TOC Heading"/>
    <w:basedOn w:val="2"/>
    <w:next w:val="1"/>
    <w:unhideWhenUsed/>
    <w:qFormat/>
    <w:uiPriority w:val="39"/>
    <w:pPr>
      <w:keepNext/>
      <w:keepLines/>
      <w:shd w:val="clear" w:color="auto" w:fill="auto"/>
      <w:spacing w:before="240" w:line="259" w:lineRule="auto"/>
      <w:jc w:val="left"/>
      <w:outlineLvl w:val="9"/>
    </w:pPr>
    <w:rPr>
      <w:rFonts w:asciiTheme="majorHAnsi" w:hAnsiTheme="majorHAnsi" w:eastAsiaTheme="majorEastAsia" w:cstheme="majorBidi"/>
      <w:snapToGrid/>
      <w:color w:val="2F5597" w:themeColor="accent1" w:themeShade="BF"/>
      <w:sz w:val="32"/>
      <w:szCs w:val="32"/>
      <w:shd w:val="clear" w:color="auto" w:fill="auto"/>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58F7F3-4C66-44CB-A4BC-8D9894FE1685}">
  <ds:schemaRefs/>
</ds:datastoreItem>
</file>

<file path=docProps/app.xml><?xml version="1.0" encoding="utf-8"?>
<Properties xmlns="http://schemas.openxmlformats.org/officeDocument/2006/extended-properties" xmlns:vt="http://schemas.openxmlformats.org/officeDocument/2006/docPropsVTypes">
  <Template>Normal</Template>
  <Pages>10</Pages>
  <Words>2694</Words>
  <Characters>3154</Characters>
  <Lines>38</Lines>
  <Paragraphs>10</Paragraphs>
  <TotalTime>0</TotalTime>
  <ScaleCrop>false</ScaleCrop>
  <LinksUpToDate>false</LinksUpToDate>
  <CharactersWithSpaces>3280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2022-03-25T07:05:00Z</dcterms:created>
  <dc:creator>CNIS</dc:creator>
  <cp:lastModifiedBy>殷武平</cp:lastModifiedBy>
  <cp:lastPrinted>2022-03-02T06:37:00Z</cp:lastPrinted>
  <dcterms:modified xsi:type="dcterms:W3CDTF">2023-03-10T10:03:15Z</dcterms:modified>
  <dc:title>标准名称</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B1056813E6754CEC81453A0F3AFD996D</vt:lpwstr>
  </property>
</Properties>
</file>