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/>
          <w:b/>
          <w:color w:val="000000"/>
          <w:kern w:val="0"/>
          <w:sz w:val="30"/>
          <w:szCs w:val="30"/>
        </w:rPr>
        <w:t>湖南省地方标准《菜薹雄性不育系的网室繁育技术规程》</w:t>
      </w:r>
    </w:p>
    <w:p>
      <w:pPr>
        <w:jc w:val="center"/>
        <w:rPr>
          <w:rFonts w:ascii="宋体" w:hAnsi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/>
          <w:b/>
          <w:color w:val="000000"/>
          <w:kern w:val="0"/>
          <w:sz w:val="30"/>
          <w:szCs w:val="30"/>
        </w:rPr>
        <w:t>编 制 说 明</w:t>
      </w:r>
    </w:p>
    <w:p>
      <w:pPr>
        <w:spacing w:line="360" w:lineRule="auto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一、任务来源</w:t>
      </w:r>
    </w:p>
    <w:p>
      <w:pPr>
        <w:spacing w:line="360" w:lineRule="auto"/>
        <w:ind w:firstLine="700" w:firstLineChars="250"/>
        <w:rPr>
          <w:rFonts w:ascii="仿宋_GB2312" w:hAnsi="宋体" w:eastAsia="仿宋_GB2312"/>
          <w:sz w:val="28"/>
          <w:szCs w:val="28"/>
        </w:rPr>
      </w:pPr>
      <w:bookmarkStart w:id="0" w:name="_Hlk83668878"/>
      <w:r>
        <w:rPr>
          <w:rFonts w:hint="eastAsia" w:ascii="仿宋_GB2312" w:hAnsi="宋体" w:eastAsia="仿宋_GB2312"/>
          <w:sz w:val="28"/>
          <w:szCs w:val="28"/>
        </w:rPr>
        <w:t>根据《湖南省市场监督管理局关于下达2022年第一批地方标准制修订项目计划的通知》文件精神，对湖南省地方标准《菜薹雄性不育系网室繁育技术规程》进行制定。本标准的主要起草单位为</w:t>
      </w:r>
      <w:r>
        <w:rPr>
          <w:rFonts w:hint="eastAsia" w:ascii="仿宋_GB2312" w:eastAsia="仿宋_GB2312"/>
          <w:sz w:val="28"/>
          <w:szCs w:val="28"/>
        </w:rPr>
        <w:t>湖南省蔬菜研究所</w:t>
      </w:r>
      <w:r>
        <w:rPr>
          <w:rFonts w:hint="eastAsia" w:eastAsia="方正仿宋_GB2312"/>
          <w:kern w:val="0"/>
          <w:sz w:val="28"/>
          <w:szCs w:val="28"/>
        </w:rPr>
        <w:t>，由湖南省农业标准化技术委员会归口。</w:t>
      </w:r>
      <w:bookmarkStart w:id="8" w:name="_GoBack"/>
      <w:bookmarkEnd w:id="8"/>
    </w:p>
    <w:bookmarkEnd w:id="0"/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二、制定目的、意义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菜薹（</w:t>
      </w:r>
      <w:r>
        <w:rPr>
          <w:rFonts w:ascii="仿宋_GB2312" w:hAnsi="宋体" w:eastAsia="仿宋_GB2312"/>
          <w:sz w:val="28"/>
          <w:szCs w:val="28"/>
        </w:rPr>
        <w:t>Brassica campestris L. var. tsai-tai Hort.</w:t>
      </w:r>
      <w:r>
        <w:rPr>
          <w:rFonts w:hint="eastAsia" w:ascii="仿宋_GB2312" w:hAnsi="宋体" w:eastAsia="仿宋_GB2312"/>
          <w:sz w:val="28"/>
          <w:szCs w:val="28"/>
        </w:rPr>
        <w:t>）是十字花科（Brassicaceae）芸薹属（Brassica）白菜的变种，是原产于我国的一种地方特色蔬菜，特别适合南方地区冬季种植。上世纪90年代年来，由于我所选育的杂交一代系列菜薹品种及其冬闲田栽培模式的推广，菜薹生产面积发展迅速，目前我省年种植面积达到8</w:t>
      </w:r>
      <w:r>
        <w:rPr>
          <w:rFonts w:ascii="仿宋_GB2312" w:hAnsi="宋体" w:eastAsia="仿宋_GB2312"/>
          <w:sz w:val="28"/>
          <w:szCs w:val="28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万亩左右，其中仅南县就</w:t>
      </w:r>
      <w:r>
        <w:rPr>
          <w:rFonts w:ascii="仿宋_GB2312" w:hAnsi="宋体" w:eastAsia="仿宋_GB2312"/>
          <w:sz w:val="28"/>
          <w:szCs w:val="28"/>
        </w:rPr>
        <w:t>20万亩左右，冬闲田菜薹产业成为我省冬季农业的一个亮点，产品主要销往广州、深圳等地，是我省少有的主要外运蔬菜之一。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菜薹杂种优势非常明显，产量高、品质好、抗病抗逆性强，因此菜薹品种大多实现了杂交化。9</w:t>
      </w:r>
      <w:r>
        <w:rPr>
          <w:rFonts w:ascii="仿宋_GB2312" w:hAnsi="宋体" w:eastAsia="仿宋_GB2312"/>
          <w:sz w:val="28"/>
          <w:szCs w:val="28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年代大多数育种家采用自交不亲和系制种，但是自交不亲和系制种存在商品种纯度难以提高，亲本材料容易流失等诸多问题。为了更好地对菜薹新品种进行保护、提高商品种的纯度、降低制种成本，菜薹不育系制种得到大多数育种家的广泛应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由于菜薹是异花授粉植物，自然异交率达4</w:t>
      </w:r>
      <w:r>
        <w:rPr>
          <w:rFonts w:ascii="仿宋_GB2312" w:hAnsi="宋体" w:eastAsia="仿宋_GB2312"/>
          <w:sz w:val="28"/>
          <w:szCs w:val="28"/>
        </w:rPr>
        <w:t>0%</w:t>
      </w:r>
      <w:r>
        <w:rPr>
          <w:rFonts w:hint="eastAsia" w:ascii="仿宋_GB2312" w:hAnsi="宋体" w:eastAsia="仿宋_GB2312"/>
          <w:sz w:val="28"/>
          <w:szCs w:val="28"/>
        </w:rPr>
        <w:t>以上，露地种植对隔离区的要求非常严格，一般需3Km以内无十字花科蔬菜花粉，生产上局限性较大。因此，为了保证亲本的纯度，降低生产的成本，同时防止品种亲本材料流失，加快菜薹新品种推陈出新，在网室内进行不育系的繁育成为必然。</w:t>
      </w:r>
    </w:p>
    <w:p>
      <w:pPr>
        <w:ind w:firstLine="645"/>
        <w:jc w:val="left"/>
        <w:rPr>
          <w:rFonts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三、制定标准的原则</w:t>
      </w:r>
    </w:p>
    <w:p>
      <w:pPr>
        <w:ind w:firstLine="645"/>
        <w:jc w:val="left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1.合规的原则</w:t>
      </w:r>
    </w:p>
    <w:p>
      <w:pPr>
        <w:ind w:firstLine="645"/>
        <w:jc w:val="left"/>
        <w:rPr>
          <w:rFonts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本文件充分遵照国内相关法律法规，并按照GB/T 1.1-2020《标准化工作导则第1部分：标准化文件的结构和起草规则》的规定起草。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2.安全的原则</w:t>
      </w:r>
    </w:p>
    <w:p>
      <w:pPr>
        <w:pStyle w:val="10"/>
        <w:ind w:firstLineChars="0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制定本文件遵循确保质量安全的原则，标准中有关质量安全控制必须符合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GB/T 8321《农药合理使用准则》和NY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/T</w:t>
      </w:r>
      <w:r>
        <w:rPr>
          <w:rFonts w:ascii="方正仿宋_GB2312" w:hAnsi="方正仿宋_GB2312" w:eastAsia="方正仿宋_GB2312" w:cs="方正仿宋_GB2312"/>
          <w:sz w:val="28"/>
          <w:szCs w:val="28"/>
        </w:rPr>
        <w:t xml:space="preserve"> 1276-2007《农药安全使用规范总则》中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农药安全使用要求。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3.科学的原则</w:t>
      </w:r>
    </w:p>
    <w:p>
      <w:pPr>
        <w:ind w:firstLine="645"/>
        <w:rPr>
          <w:rFonts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制定本文件需要从内在规律出发，充分掌握湖南省气候特征与种植习惯，标准主要内容和各项指标力求科学合理。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4.可操作的原则</w:t>
      </w:r>
    </w:p>
    <w:p>
      <w:pPr>
        <w:spacing w:line="360" w:lineRule="auto"/>
        <w:ind w:firstLine="560" w:firstLineChars="200"/>
        <w:rPr>
          <w:rFonts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本文件所确定的</w:t>
      </w:r>
      <w:r>
        <w:rPr>
          <w:rFonts w:hint="eastAsia" w:ascii="仿宋_GB2312" w:hAnsi="宋体" w:eastAsia="仿宋_GB2312"/>
          <w:sz w:val="28"/>
          <w:szCs w:val="28"/>
        </w:rPr>
        <w:t>菜薹雄性不育系网室繁育技术规程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的各项要求力求准确，有较强的操作性。</w:t>
      </w:r>
    </w:p>
    <w:p>
      <w:pPr>
        <w:spacing w:line="400" w:lineRule="exact"/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五、标准制定的过程 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1.前期准备工作</w:t>
      </w:r>
    </w:p>
    <w:p>
      <w:pPr>
        <w:ind w:firstLine="645"/>
        <w:rPr>
          <w:rFonts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20</w:t>
      </w:r>
      <w:r>
        <w:rPr>
          <w:rFonts w:ascii="方正仿宋_GB2312" w:hAnsi="方正仿宋_GB2312" w:eastAsia="方正仿宋_GB2312" w:cs="方正仿宋_GB2312"/>
          <w:bCs/>
          <w:sz w:val="28"/>
          <w:szCs w:val="28"/>
        </w:rPr>
        <w:t>22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年</w:t>
      </w:r>
      <w:r>
        <w:rPr>
          <w:rFonts w:ascii="方正仿宋_GB2312" w:hAnsi="方正仿宋_GB2312" w:eastAsia="方正仿宋_GB2312" w:cs="方正仿宋_GB2312"/>
          <w:bCs/>
          <w:sz w:val="28"/>
          <w:szCs w:val="28"/>
        </w:rPr>
        <w:t>5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月开始启动标准制订工作，</w:t>
      </w:r>
      <w:r>
        <w:rPr>
          <w:rFonts w:ascii="方正仿宋_GB2312" w:hAnsi="方正仿宋_GB2312" w:eastAsia="方正仿宋_GB2312" w:cs="方正仿宋_GB2312"/>
          <w:bCs/>
          <w:sz w:val="28"/>
          <w:szCs w:val="28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月上旬召开地方标准起草启动会，确定本文件制定由湖南省蔬菜研究所起草，成立编制组，制定了工作计划，起草人员由吴艺飞、丁茁荑、周晓波、刘志全等组成，确定了人员分工，确定了标准制定的方法与思路，明确了各阶段的任务与目标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2.开展调查研究及初试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022年8</w:t>
      </w:r>
      <w:r>
        <w:rPr>
          <w:rFonts w:hint="eastAsia" w:ascii="仿宋_GB2312" w:hAnsi="宋体" w:eastAsia="仿宋_GB2312"/>
          <w:sz w:val="28"/>
          <w:szCs w:val="28"/>
        </w:rPr>
        <w:t>月-</w:t>
      </w:r>
      <w:r>
        <w:rPr>
          <w:rFonts w:ascii="仿宋_GB2312" w:hAnsi="宋体" w:eastAsia="仿宋_GB2312"/>
          <w:sz w:val="28"/>
          <w:szCs w:val="28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月，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编制组成员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收集与起草标准有关的资料，</w:t>
      </w:r>
      <w:r>
        <w:rPr>
          <w:rFonts w:hint="eastAsia" w:ascii="仿宋_GB2312" w:hAnsi="宋体" w:eastAsia="仿宋_GB2312"/>
          <w:sz w:val="28"/>
          <w:szCs w:val="28"/>
        </w:rPr>
        <w:t>查阅了国家和省内的法律、法规，国内外的标准文本，湖南省相关的发展规划与政策性文件等。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期间多次赴株洲农之子有限公司、湖南湘研种业有限公司、永州新田东升农场、江永广发农业有限公司、道县营新蔬菜合作社、南县怡康蔬菜产销合作社等大型菜薹科研生产基地、植保机构进行实地考察，了解我省菜薹雄性不育系网室繁育技术研究现状及进展；主要技术方法和措施等，</w:t>
      </w:r>
      <w:r>
        <w:rPr>
          <w:rFonts w:eastAsia="方正仿宋_GB2312"/>
          <w:sz w:val="28"/>
          <w:szCs w:val="28"/>
        </w:rPr>
        <w:t>这些工作，为文件起草打下了充分的基础。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3.标准的征求意见稿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bookmarkStart w:id="1" w:name="_Hlk83669118"/>
      <w:r>
        <w:rPr>
          <w:rFonts w:eastAsia="方正仿宋_GB2312"/>
          <w:sz w:val="28"/>
          <w:szCs w:val="28"/>
        </w:rPr>
        <w:t>2022年10月-12月，编制组成员将收集到的与标准起草有关的资料和交流意见进行整理，完成了标准文本</w:t>
      </w:r>
      <w:r>
        <w:rPr>
          <w:rFonts w:hint="eastAsia" w:eastAsia="方正仿宋_GB2312"/>
          <w:sz w:val="28"/>
          <w:szCs w:val="28"/>
        </w:rPr>
        <w:t>的</w:t>
      </w:r>
      <w:r>
        <w:rPr>
          <w:rFonts w:eastAsia="方正仿宋_GB2312"/>
          <w:sz w:val="28"/>
          <w:szCs w:val="28"/>
        </w:rPr>
        <w:t>撰写，形成标准征求意见稿，同时撰写了编制说明。</w:t>
      </w:r>
      <w:bookmarkEnd w:id="1"/>
    </w:p>
    <w:p>
      <w:pPr>
        <w:ind w:firstLine="645"/>
        <w:rPr>
          <w:rFonts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4.征求意见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bookmarkStart w:id="2" w:name="_Hlk83669150"/>
      <w:r>
        <w:rPr>
          <w:rFonts w:eastAsia="方正仿宋_GB2312"/>
          <w:sz w:val="28"/>
          <w:szCs w:val="28"/>
        </w:rPr>
        <w:t>202</w:t>
      </w: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>年10月</w:t>
      </w:r>
      <w:r>
        <w:rPr>
          <w:rFonts w:hint="eastAsia" w:eastAsia="方正仿宋_GB2312"/>
          <w:sz w:val="28"/>
          <w:szCs w:val="28"/>
        </w:rPr>
        <w:t>-</w:t>
      </w:r>
      <w:r>
        <w:rPr>
          <w:rFonts w:eastAsia="方正仿宋_GB2312"/>
          <w:sz w:val="28"/>
          <w:szCs w:val="28"/>
        </w:rPr>
        <w:t>11月，编制组进行了网上和函件标准意见征求</w:t>
      </w:r>
      <w:r>
        <w:rPr>
          <w:rFonts w:hint="eastAsia" w:eastAsia="方正仿宋_GB2312"/>
          <w:sz w:val="28"/>
          <w:szCs w:val="28"/>
        </w:rPr>
        <w:t>。征求了广东省农科院蔬菜研究所、江西省农科院蔬菜花卉研究所，湖北省农科院经济作物研究所、湖南农业大学、衡阳市蔬菜研究所、长沙市农业科学研究院、常德市农林科学研究院及湖南彩桥企业管理咨询服务有限公司</w:t>
      </w:r>
      <w:r>
        <w:rPr>
          <w:rFonts w:eastAsia="方正仿宋_GB2312"/>
          <w:sz w:val="28"/>
          <w:szCs w:val="28"/>
        </w:rPr>
        <w:t>等1</w:t>
      </w:r>
      <w:r>
        <w:rPr>
          <w:rFonts w:hint="eastAsia" w:eastAsia="方正仿宋_GB2312"/>
          <w:sz w:val="28"/>
          <w:szCs w:val="28"/>
        </w:rPr>
        <w:t>5</w:t>
      </w:r>
      <w:r>
        <w:rPr>
          <w:rFonts w:eastAsia="方正仿宋_GB2312"/>
          <w:sz w:val="28"/>
          <w:szCs w:val="28"/>
        </w:rPr>
        <w:t>个单位或部门</w:t>
      </w:r>
      <w:r>
        <w:rPr>
          <w:rFonts w:hint="eastAsia" w:eastAsia="方正仿宋_GB2312"/>
          <w:sz w:val="28"/>
          <w:szCs w:val="28"/>
        </w:rPr>
        <w:t>的</w:t>
      </w:r>
      <w:r>
        <w:rPr>
          <w:rFonts w:eastAsia="方正仿宋_GB2312"/>
          <w:sz w:val="28"/>
          <w:szCs w:val="28"/>
        </w:rPr>
        <w:t>意见，</w:t>
      </w:r>
      <w:r>
        <w:rPr>
          <w:rFonts w:hint="eastAsia" w:eastAsia="方正仿宋_GB2312"/>
          <w:sz w:val="28"/>
          <w:szCs w:val="28"/>
        </w:rPr>
        <w:t>其中</w:t>
      </w:r>
      <w:r>
        <w:rPr>
          <w:rFonts w:eastAsia="方正仿宋_GB2312"/>
          <w:sz w:val="28"/>
          <w:szCs w:val="28"/>
        </w:rPr>
        <w:t>种植业单位6家、行业主管部门</w:t>
      </w:r>
      <w:r>
        <w:rPr>
          <w:rFonts w:hint="eastAsia" w:eastAsia="方正仿宋_GB2312"/>
          <w:sz w:val="28"/>
          <w:szCs w:val="28"/>
        </w:rPr>
        <w:t>2</w:t>
      </w:r>
      <w:r>
        <w:rPr>
          <w:rFonts w:eastAsia="方正仿宋_GB2312"/>
          <w:sz w:val="28"/>
          <w:szCs w:val="28"/>
        </w:rPr>
        <w:t>个、专业科研院所6个、蔬菜行业协会1个</w:t>
      </w:r>
      <w:r>
        <w:rPr>
          <w:rFonts w:hint="eastAsia" w:eastAsia="方正仿宋_GB2312"/>
          <w:sz w:val="28"/>
          <w:szCs w:val="28"/>
        </w:rPr>
        <w:t>；并征求了</w:t>
      </w:r>
      <w:r>
        <w:rPr>
          <w:rFonts w:eastAsia="方正仿宋_GB2312"/>
          <w:sz w:val="28"/>
          <w:szCs w:val="28"/>
        </w:rPr>
        <w:t>3</w:t>
      </w:r>
      <w:r>
        <w:rPr>
          <w:rFonts w:hint="eastAsia" w:eastAsia="方正仿宋_GB2312"/>
          <w:sz w:val="28"/>
          <w:szCs w:val="28"/>
        </w:rPr>
        <w:t>位专家的</w:t>
      </w:r>
      <w:r>
        <w:rPr>
          <w:rFonts w:eastAsia="方正仿宋_GB2312"/>
          <w:sz w:val="28"/>
          <w:szCs w:val="28"/>
        </w:rPr>
        <w:t>意见。</w:t>
      </w:r>
      <w:bookmarkEnd w:id="2"/>
    </w:p>
    <w:p>
      <w:pPr>
        <w:ind w:firstLine="645"/>
        <w:rPr>
          <w:rFonts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五、制定标准的依据</w:t>
      </w:r>
    </w:p>
    <w:p>
      <w:pPr>
        <w:pStyle w:val="10"/>
        <w:ind w:firstLine="560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在编制该项标准的过程中，我们依据的标准有GB 16715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-2010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《瓜菜作物种子》、GB/T 8321《农药合理使用准则》、NY/T 394</w:t>
      </w:r>
      <w:r>
        <w:rPr>
          <w:rFonts w:ascii="方正仿宋_GB2312" w:hAnsi="方正仿宋_GB2312" w:eastAsia="方正仿宋_GB2312" w:cs="方正仿宋_GB2312"/>
          <w:sz w:val="28"/>
          <w:szCs w:val="28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绿色食品 肥料使用准则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NY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/T</w:t>
      </w:r>
      <w:r>
        <w:rPr>
          <w:rFonts w:ascii="方正仿宋_GB2312" w:hAnsi="方正仿宋_GB2312" w:eastAsia="方正仿宋_GB2312" w:cs="方正仿宋_GB2312"/>
          <w:sz w:val="28"/>
          <w:szCs w:val="28"/>
        </w:rPr>
        <w:t xml:space="preserve"> 1276《农药安全使用规范总则》、和NY/T 2118 蔬菜育苗基质。</w:t>
      </w:r>
    </w:p>
    <w:p>
      <w:pPr>
        <w:ind w:firstLine="645"/>
        <w:rPr>
          <w:rFonts w:ascii="方正仿宋_GB2312" w:hAnsi="方正仿宋_GB2312" w:eastAsia="方正仿宋_GB2312" w:cs="方正仿宋_GB2312"/>
          <w:b/>
          <w:bCs/>
          <w:sz w:val="28"/>
          <w:szCs w:val="28"/>
        </w:rPr>
      </w:pPr>
      <w:bookmarkStart w:id="3" w:name="_Toc67478933"/>
      <w:bookmarkStart w:id="4" w:name="_Toc67479549"/>
      <w:bookmarkStart w:id="5" w:name="_Toc67751510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六、标准的主要内容说明</w:t>
      </w:r>
    </w:p>
    <w:p>
      <w:pPr>
        <w:ind w:firstLine="645"/>
        <w:rPr>
          <w:rFonts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1.标准的适用范围</w:t>
      </w:r>
    </w:p>
    <w:p>
      <w:pPr>
        <w:ind w:firstLine="645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本文件适用于</w:t>
      </w:r>
      <w:r>
        <w:rPr>
          <w:rFonts w:hint="eastAsia" w:ascii="仿宋_GB2312" w:hAnsi="宋体" w:eastAsia="仿宋_GB2312"/>
          <w:sz w:val="28"/>
          <w:szCs w:val="28"/>
        </w:rPr>
        <w:t>菜薹雄性不育系网室繁育技术规程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。</w:t>
      </w:r>
    </w:p>
    <w:p>
      <w:pPr>
        <w:spacing w:line="680" w:lineRule="exact"/>
        <w:ind w:firstLine="646"/>
        <w:rPr>
          <w:rFonts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2.标准的主要内容</w:t>
      </w:r>
    </w:p>
    <w:p>
      <w:pPr>
        <w:spacing w:line="680" w:lineRule="exact"/>
        <w:ind w:firstLine="646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（1）本文件规定了菜薹雄性不育系的网室繁育技术的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术语和定义、基地选择、网室的搭建、育苗、整地施基肥、定植、亲本去杂、授粉昆虫的投放、辅助授粉、田间管理、病虫害防治和采收及保存的基本要求。</w:t>
      </w:r>
    </w:p>
    <w:p>
      <w:pPr>
        <w:spacing w:line="680" w:lineRule="exact"/>
        <w:ind w:firstLine="646"/>
        <w:rPr>
          <w:rFonts w:ascii="仿宋_GB2312" w:hAnsi="宋体" w:eastAsia="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（2）本文件根据</w:t>
      </w:r>
      <w:r>
        <w:rPr>
          <w:rFonts w:hint="eastAsia" w:ascii="仿宋_GB2312" w:hAnsi="宋体" w:eastAsia="仿宋_GB2312"/>
          <w:sz w:val="28"/>
          <w:szCs w:val="28"/>
        </w:rPr>
        <w:t>按照</w:t>
      </w:r>
      <w:r>
        <w:rPr>
          <w:rFonts w:ascii="仿宋_GB2312" w:hAnsi="宋体" w:eastAsia="仿宋_GB2312"/>
          <w:sz w:val="28"/>
          <w:szCs w:val="28"/>
        </w:rPr>
        <w:t>GB/T1.1-2020</w:t>
      </w:r>
      <w:r>
        <w:rPr>
          <w:rFonts w:hint="eastAsia" w:ascii="仿宋_GB2312" w:hAnsi="宋体" w:eastAsia="仿宋_GB2312"/>
          <w:sz w:val="28"/>
          <w:szCs w:val="28"/>
        </w:rPr>
        <w:t>《标准化工作导则第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部分：标准化文件的结构和起草规则》的规定起草。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bookmarkStart w:id="6" w:name="_Hlk83669276"/>
      <w:r>
        <w:rPr>
          <w:rFonts w:eastAsia="方正仿宋_GB2312"/>
          <w:sz w:val="28"/>
          <w:szCs w:val="28"/>
        </w:rPr>
        <w:t>（3）根据目前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菜薹雄性不育系的网室繁育技术的</w:t>
      </w:r>
      <w:r>
        <w:rPr>
          <w:rFonts w:eastAsia="方正仿宋_GB2312"/>
          <w:sz w:val="28"/>
          <w:szCs w:val="28"/>
        </w:rPr>
        <w:t>成功经验和做法，本文件规定了从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基地选择、网室的搭建、育苗、整地施基肥、定植、亲本去杂、授粉昆虫的投放、辅助授粉、田间管理、病虫害防治和采收及保存</w:t>
      </w:r>
      <w:r>
        <w:rPr>
          <w:rFonts w:eastAsia="方正仿宋_GB2312"/>
          <w:sz w:val="28"/>
          <w:szCs w:val="28"/>
        </w:rPr>
        <w:t>等方面的具体措施。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基地选择章节，由于不育系的繁育对气候及土壤要求很严格，特别是开花期的气候条件直接影响种子产量的高低，因此选择合适的基地非常关键。本文件从气候条件及土壤条件两个方面对基地的选择提出了要求。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网室的搭建章节，采用钢架大棚，选择南北走向，植株的光照时间更长，对植株的生长更为有利；湖南雨水比较多，昆虫也很多，所以须盖顶膜防止雨水影响开花授粉效果，四周围上</w:t>
      </w:r>
      <w:r>
        <w:rPr>
          <w:rFonts w:hint="eastAsia" w:eastAsia="方正仿宋_GB2312"/>
          <w:sz w:val="28"/>
          <w:szCs w:val="28"/>
        </w:rPr>
        <w:t>4</w:t>
      </w:r>
      <w:r>
        <w:rPr>
          <w:rFonts w:eastAsia="方正仿宋_GB2312"/>
          <w:sz w:val="28"/>
          <w:szCs w:val="28"/>
        </w:rPr>
        <w:t>0目的网纱可以有效防止害虫进入。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播种期的选择章节，根据不育系的不同，品种熟性差异，选择不同的播种期，早中熟品种可以在湖南实现一年繁殖两代，但晚熟品种在湖南一般只能繁殖一代。本文件根据品种的熟性不同对播种期提出了要求。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授粉昆虫的投放章节，由于是在网室内进行不育系的繁育，授粉的昆虫需要人工投放，不同种类的昆虫对气候条件的敏感度不同，根据气候条件选择适宜的授粉昆虫。同时，很多授粉昆虫如蜜蜂等对气温较为敏感，要特别注意投放的时间，</w:t>
      </w:r>
      <w:r>
        <w:rPr>
          <w:rFonts w:hint="eastAsia" w:eastAsia="方正仿宋_GB2312"/>
          <w:sz w:val="28"/>
          <w:szCs w:val="28"/>
        </w:rPr>
        <w:t>晴天的白天投放时气温高，容易引起蜂群情绪不安，发生飞逃等现象，因此选择晴天的傍晚或阴天投放，较为适宜。由于一般的杀虫剂施用后对授粉昆虫也同样具有杀伤力，因此在开花期特别是盛花期禁用杀虫剂（杀菌剂可以正常使用），在昆虫投放前重施一次杀虫剂可以大大减少开花期害虫的数量，从而为结籽提供保障。本文件从昆虫的投放时间、投放种类及投放数量作出了规定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辅助授粉章节，当昆虫授粉效果不理想时，需要人工辅助授粉提高产量，授粉时需要注意每个网室配备专用工作服和授粉工具，同时注意工作人员的手和授粉工具操作前需要用酒精消毒，防止携带外源花粉，造成品种的人工混杂。本文件从辅助授粉的要求及方法两个方面作出了规定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田间管理章节，由于菜薹在开花期对磷钾肥及硼肥的要求更高，为了提高菜薹种籽的产量和质量，需要在初花期及盛花期进行多次追肥以保障营养的供给，从而为丰产提供保证。本文件在肥水管理、温湿度管理等方面作出了规定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（4）本文件严禁使用国家限用的高毒、高残留、高生物富集性、致畸、致突变的农药。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（5）本文件提出了建立不育系繁育档案管理的要求。</w:t>
      </w:r>
      <w:bookmarkEnd w:id="6"/>
    </w:p>
    <w:p>
      <w:pPr>
        <w:ind w:firstLine="645"/>
        <w:rPr>
          <w:rFonts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七、标准结构框架</w:t>
      </w:r>
    </w:p>
    <w:p>
      <w:pPr>
        <w:ind w:firstLine="560" w:firstLineChars="200"/>
        <w:rPr>
          <w:rFonts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文本包括的主要章节内容如下：</w:t>
      </w:r>
    </w:p>
    <w:bookmarkEnd w:id="3"/>
    <w:bookmarkEnd w:id="4"/>
    <w:bookmarkEnd w:id="5"/>
    <w:p>
      <w:pPr>
        <w:ind w:firstLine="560" w:firstLineChars="200"/>
        <w:rPr>
          <w:rFonts w:eastAsia="方正仿宋_GB2312"/>
          <w:sz w:val="28"/>
          <w:szCs w:val="28"/>
        </w:rPr>
      </w:pPr>
      <w:bookmarkStart w:id="7" w:name="_Hlk83668764"/>
      <w:r>
        <w:rPr>
          <w:rFonts w:eastAsia="方正仿宋_GB2312"/>
          <w:sz w:val="28"/>
          <w:szCs w:val="28"/>
        </w:rPr>
        <w:t>前 言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1　范围</w:t>
      </w:r>
      <w:r>
        <w:rPr>
          <w:rFonts w:eastAsia="方正仿宋_GB2312"/>
          <w:sz w:val="28"/>
          <w:szCs w:val="28"/>
        </w:rPr>
        <w:tab/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2　规范性引用文件</w:t>
      </w:r>
      <w:r>
        <w:rPr>
          <w:rFonts w:eastAsia="方正仿宋_GB2312"/>
          <w:sz w:val="28"/>
          <w:szCs w:val="28"/>
        </w:rPr>
        <w:tab/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3　术语和定义</w:t>
      </w:r>
      <w:r>
        <w:rPr>
          <w:rFonts w:eastAsia="方正仿宋_GB2312"/>
          <w:sz w:val="28"/>
          <w:szCs w:val="28"/>
        </w:rPr>
        <w:tab/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4　</w:t>
      </w:r>
      <w:r>
        <w:rPr>
          <w:rFonts w:hint="eastAsia" w:eastAsia="方正仿宋_GB2312"/>
          <w:sz w:val="28"/>
          <w:szCs w:val="28"/>
        </w:rPr>
        <w:t>基地选择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5　</w:t>
      </w:r>
      <w:r>
        <w:rPr>
          <w:rFonts w:hint="eastAsia" w:eastAsia="方正仿宋_GB2312"/>
          <w:sz w:val="28"/>
          <w:szCs w:val="28"/>
        </w:rPr>
        <w:t>网室的搭建</w:t>
      </w:r>
      <w:r>
        <w:rPr>
          <w:rFonts w:eastAsia="方正仿宋_GB2312"/>
          <w:sz w:val="28"/>
          <w:szCs w:val="28"/>
        </w:rPr>
        <w:tab/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 xml:space="preserve">6  </w:t>
      </w:r>
      <w:r>
        <w:rPr>
          <w:rFonts w:hint="eastAsia" w:eastAsia="方正仿宋_GB2312"/>
          <w:sz w:val="28"/>
          <w:szCs w:val="28"/>
        </w:rPr>
        <w:t>育苗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7</w:t>
      </w:r>
      <w:r>
        <w:rPr>
          <w:rFonts w:eastAsia="方正仿宋_GB2312"/>
          <w:sz w:val="28"/>
          <w:szCs w:val="28"/>
        </w:rPr>
        <w:t xml:space="preserve">  </w:t>
      </w:r>
      <w:r>
        <w:rPr>
          <w:rFonts w:hint="eastAsia" w:eastAsia="方正仿宋_GB2312"/>
          <w:sz w:val="28"/>
          <w:szCs w:val="28"/>
        </w:rPr>
        <w:t>整地施基肥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8</w:t>
      </w:r>
      <w:r>
        <w:rPr>
          <w:rFonts w:eastAsia="方正仿宋_GB2312"/>
          <w:sz w:val="28"/>
          <w:szCs w:val="28"/>
        </w:rPr>
        <w:t xml:space="preserve">  </w:t>
      </w:r>
      <w:r>
        <w:rPr>
          <w:rFonts w:hint="eastAsia" w:eastAsia="方正仿宋_GB2312"/>
          <w:sz w:val="28"/>
          <w:szCs w:val="28"/>
        </w:rPr>
        <w:t>定植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9</w:t>
      </w:r>
      <w:r>
        <w:rPr>
          <w:rFonts w:eastAsia="方正仿宋_GB2312"/>
          <w:sz w:val="28"/>
          <w:szCs w:val="28"/>
        </w:rPr>
        <w:t xml:space="preserve">  </w:t>
      </w:r>
      <w:r>
        <w:rPr>
          <w:rFonts w:hint="eastAsia" w:eastAsia="方正仿宋_GB2312"/>
          <w:sz w:val="28"/>
          <w:szCs w:val="28"/>
        </w:rPr>
        <w:t>亲本去杂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 xml:space="preserve">0  </w:t>
      </w:r>
      <w:r>
        <w:rPr>
          <w:rFonts w:hint="eastAsia" w:eastAsia="方正仿宋_GB2312"/>
          <w:sz w:val="28"/>
          <w:szCs w:val="28"/>
        </w:rPr>
        <w:t>授粉昆虫的投放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>1</w:t>
      </w:r>
      <w:r>
        <w:rPr>
          <w:rFonts w:hint="eastAsia" w:eastAsia="方正仿宋_GB2312"/>
          <w:sz w:val="28"/>
          <w:szCs w:val="28"/>
        </w:rPr>
        <w:t>辅助授粉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>2</w:t>
      </w:r>
      <w:r>
        <w:rPr>
          <w:rFonts w:hint="eastAsia" w:eastAsia="方正仿宋_GB2312"/>
          <w:sz w:val="28"/>
          <w:szCs w:val="28"/>
        </w:rPr>
        <w:t>田间管理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>3</w:t>
      </w:r>
      <w:r>
        <w:rPr>
          <w:rFonts w:hint="eastAsia" w:eastAsia="方正仿宋_GB2312"/>
          <w:sz w:val="28"/>
          <w:szCs w:val="28"/>
        </w:rPr>
        <w:t>病虫害防治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1</w:t>
      </w:r>
      <w:r>
        <w:rPr>
          <w:rFonts w:eastAsia="方正仿宋_GB2312"/>
          <w:sz w:val="28"/>
          <w:szCs w:val="28"/>
        </w:rPr>
        <w:t>4</w:t>
      </w:r>
      <w:r>
        <w:rPr>
          <w:rFonts w:hint="eastAsia" w:eastAsia="方正仿宋_GB2312"/>
          <w:sz w:val="28"/>
          <w:szCs w:val="28"/>
        </w:rPr>
        <w:t>采收及保存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附录A（资料性）　</w:t>
      </w:r>
      <w:r>
        <w:rPr>
          <w:rFonts w:hint="eastAsia" w:eastAsia="方正仿宋_GB2312"/>
          <w:sz w:val="28"/>
          <w:szCs w:val="28"/>
        </w:rPr>
        <w:t>菜薹雄性不育系繁育化学药剂防治表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r>
        <w:rPr>
          <w:rFonts w:eastAsia="方正仿宋_GB2312"/>
          <w:sz w:val="28"/>
          <w:szCs w:val="28"/>
        </w:rPr>
        <w:t>附录B（资料性）　</w:t>
      </w:r>
      <w:r>
        <w:rPr>
          <w:rFonts w:hint="eastAsia" w:eastAsia="方正仿宋_GB2312"/>
          <w:sz w:val="28"/>
          <w:szCs w:val="28"/>
        </w:rPr>
        <w:t>菜薹雄性不育系繁育记载档案</w:t>
      </w:r>
    </w:p>
    <w:bookmarkEnd w:id="7"/>
    <w:p>
      <w:pPr>
        <w:spacing w:line="360" w:lineRule="auto"/>
        <w:ind w:firstLine="65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八、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标准预计产生的经济、社会效益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eastAsia="方正仿宋_GB2312"/>
          <w:sz w:val="28"/>
          <w:szCs w:val="28"/>
        </w:rPr>
        <w:t>本</w:t>
      </w:r>
      <w:r>
        <w:rPr>
          <w:rFonts w:eastAsia="方正仿宋_GB2312"/>
          <w:sz w:val="28"/>
          <w:szCs w:val="28"/>
        </w:rPr>
        <w:t>标准从</w:t>
      </w:r>
      <w:r>
        <w:rPr>
          <w:rFonts w:ascii="方正仿宋_GB2312" w:hAnsi="方正仿宋_GB2312" w:eastAsia="方正仿宋_GB2312" w:cs="方正仿宋_GB2312"/>
          <w:sz w:val="28"/>
          <w:szCs w:val="28"/>
        </w:rPr>
        <w:t>基地选择、网室的搭建、育苗、整地施基肥、定植、亲本去杂、授粉昆虫的投放、辅助授粉、田间管理、病虫害防治和采收及保存</w:t>
      </w:r>
      <w:r>
        <w:rPr>
          <w:rFonts w:eastAsia="方正仿宋_GB2312"/>
          <w:sz w:val="28"/>
          <w:szCs w:val="28"/>
        </w:rPr>
        <w:t>等方面对菜薹不育系的网室繁育提出了具体措施。通过本标准的实施可以</w:t>
      </w:r>
      <w:r>
        <w:rPr>
          <w:rFonts w:hint="eastAsia" w:ascii="仿宋_GB2312" w:hAnsi="宋体" w:eastAsia="仿宋_GB2312"/>
          <w:sz w:val="28"/>
          <w:szCs w:val="28"/>
        </w:rPr>
        <w:t>更好地实现对菜薹新品种进行保护、有助于提高菜薹商品种的纯度和质量、降低制种成本，对菜薹育种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可持续发展具有良好的促进作用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650"/>
        <w:rPr>
          <w:rFonts w:eastAsia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ZDlmNzVjYjFhMmZkOWY2MzVkMjk0YzJlM2Q4NzUifQ=="/>
  </w:docVars>
  <w:rsids>
    <w:rsidRoot w:val="000E2511"/>
    <w:rsid w:val="0000311F"/>
    <w:rsid w:val="000217DD"/>
    <w:rsid w:val="00033513"/>
    <w:rsid w:val="00051182"/>
    <w:rsid w:val="00060923"/>
    <w:rsid w:val="0007175E"/>
    <w:rsid w:val="000C2A48"/>
    <w:rsid w:val="000E108D"/>
    <w:rsid w:val="000E14A2"/>
    <w:rsid w:val="000E2511"/>
    <w:rsid w:val="001D0517"/>
    <w:rsid w:val="00254FDB"/>
    <w:rsid w:val="002F3453"/>
    <w:rsid w:val="00301F5C"/>
    <w:rsid w:val="00327C30"/>
    <w:rsid w:val="00344AD6"/>
    <w:rsid w:val="00350989"/>
    <w:rsid w:val="003B3E37"/>
    <w:rsid w:val="003E773E"/>
    <w:rsid w:val="004538DC"/>
    <w:rsid w:val="005961CA"/>
    <w:rsid w:val="005C102E"/>
    <w:rsid w:val="00607B38"/>
    <w:rsid w:val="006208DF"/>
    <w:rsid w:val="006245D9"/>
    <w:rsid w:val="006248C5"/>
    <w:rsid w:val="00674287"/>
    <w:rsid w:val="006F53DB"/>
    <w:rsid w:val="00702238"/>
    <w:rsid w:val="00747D51"/>
    <w:rsid w:val="00771249"/>
    <w:rsid w:val="007C0166"/>
    <w:rsid w:val="00846CC5"/>
    <w:rsid w:val="008C7AC7"/>
    <w:rsid w:val="00903786"/>
    <w:rsid w:val="00997328"/>
    <w:rsid w:val="009C5756"/>
    <w:rsid w:val="009C5BB2"/>
    <w:rsid w:val="009C69F8"/>
    <w:rsid w:val="009E760A"/>
    <w:rsid w:val="00A254FC"/>
    <w:rsid w:val="00A272B5"/>
    <w:rsid w:val="00A70489"/>
    <w:rsid w:val="00A91A8B"/>
    <w:rsid w:val="00AE11DE"/>
    <w:rsid w:val="00AE34C8"/>
    <w:rsid w:val="00BD1270"/>
    <w:rsid w:val="00C116EE"/>
    <w:rsid w:val="00C37EB5"/>
    <w:rsid w:val="00D22752"/>
    <w:rsid w:val="00D947BC"/>
    <w:rsid w:val="00E10D7C"/>
    <w:rsid w:val="00E770F3"/>
    <w:rsid w:val="00E83EA1"/>
    <w:rsid w:val="00EA2975"/>
    <w:rsid w:val="00F1081B"/>
    <w:rsid w:val="00F26C02"/>
    <w:rsid w:val="00FB5456"/>
    <w:rsid w:val="00FE2729"/>
    <w:rsid w:val="00FE5B88"/>
    <w:rsid w:val="0AB24544"/>
    <w:rsid w:val="1CDA3910"/>
    <w:rsid w:val="332E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段 Char Char"/>
    <w:link w:val="10"/>
    <w:uiPriority w:val="0"/>
    <w:rPr>
      <w:rFonts w:ascii="宋体"/>
    </w:rPr>
  </w:style>
  <w:style w:type="paragraph" w:customStyle="1" w:styleId="10">
    <w:name w:val="段"/>
    <w:link w:val="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NormalCharacter"/>
    <w:semiHidden/>
    <w:uiPriority w:val="0"/>
  </w:style>
  <w:style w:type="character" w:customStyle="1" w:styleId="12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段 Char"/>
    <w:qFormat/>
    <w:uiPriority w:val="0"/>
    <w:rPr>
      <w:rFonts w:ascii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3029</Words>
  <Characters>3196</Characters>
  <Lines>23</Lines>
  <Paragraphs>6</Paragraphs>
  <TotalTime>241</TotalTime>
  <ScaleCrop>false</ScaleCrop>
  <LinksUpToDate>false</LinksUpToDate>
  <CharactersWithSpaces>3237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2023-03-07T04:40:00Z</dcterms:created>
  <dc:creator>吴 艺飞</dc:creator>
  <cp:lastModifiedBy>殷武平</cp:lastModifiedBy>
  <cp:lastPrinted>2022-05-17T08:39:00Z</cp:lastPrinted>
  <dcterms:modified xsi:type="dcterms:W3CDTF">2023-03-13T03:58:37Z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06C8D49AF2EB46609C0A4B0DED9803B5</vt:lpwstr>
  </property>
</Properties>
</file>