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hint="eastAsia" w:ascii="Arial" w:hAnsi="Arial" w:eastAsia="黑体" w:cs="Arial"/>
          <w:color w:val="auto"/>
          <w:kern w:val="0"/>
          <w:sz w:val="36"/>
          <w:szCs w:val="36"/>
        </w:rPr>
      </w:pPr>
      <w:r>
        <w:rPr>
          <w:rFonts w:hint="eastAsia" w:ascii="Arial" w:hAnsi="Arial" w:eastAsia="黑体" w:cs="Arial"/>
          <w:color w:val="auto"/>
          <w:kern w:val="0"/>
          <w:sz w:val="36"/>
          <w:szCs w:val="36"/>
        </w:rPr>
        <w:t>乡镇（街道）社工站服务指南</w:t>
      </w:r>
    </w:p>
    <w:p>
      <w:pPr>
        <w:adjustRightInd w:val="0"/>
        <w:jc w:val="center"/>
        <w:textAlignment w:val="center"/>
        <w:rPr>
          <w:rFonts w:hint="eastAsia" w:ascii="Arial" w:hAnsi="Arial" w:eastAsia="黑体" w:cs="Arial"/>
          <w:color w:val="auto"/>
          <w:kern w:val="0"/>
          <w:sz w:val="36"/>
          <w:szCs w:val="36"/>
          <w:lang w:eastAsia="zh-CN"/>
        </w:rPr>
      </w:pPr>
      <w:r>
        <w:rPr>
          <w:rFonts w:hint="eastAsia" w:ascii="Arial" w:hAnsi="Arial" w:eastAsia="黑体" w:cs="Arial"/>
          <w:color w:val="auto"/>
          <w:kern w:val="0"/>
          <w:sz w:val="36"/>
          <w:szCs w:val="36"/>
          <w:lang w:eastAsia="zh-CN"/>
        </w:rPr>
        <w:t>（</w:t>
      </w:r>
      <w:r>
        <w:rPr>
          <w:rFonts w:hint="eastAsia" w:ascii="Arial" w:hAnsi="Arial" w:eastAsia="黑体" w:cs="Arial"/>
          <w:color w:val="auto"/>
          <w:kern w:val="0"/>
          <w:sz w:val="36"/>
          <w:szCs w:val="36"/>
          <w:lang w:val="en-US" w:eastAsia="zh-CN"/>
        </w:rPr>
        <w:t>征求意见稿</w:t>
      </w:r>
      <w:r>
        <w:rPr>
          <w:rFonts w:hint="eastAsia" w:ascii="Arial" w:hAnsi="Arial" w:eastAsia="黑体" w:cs="Arial"/>
          <w:color w:val="auto"/>
          <w:kern w:val="0"/>
          <w:sz w:val="36"/>
          <w:szCs w:val="36"/>
          <w:lang w:eastAsia="zh-CN"/>
        </w:rPr>
        <w:t>）</w:t>
      </w:r>
    </w:p>
    <w:p>
      <w:pPr>
        <w:adjustRightInd w:val="0"/>
        <w:jc w:val="center"/>
        <w:textAlignment w:val="center"/>
        <w:rPr>
          <w:rFonts w:ascii="Arial" w:hAnsi="Arial" w:eastAsia="黑体" w:cs="Arial"/>
          <w:color w:val="auto"/>
          <w:kern w:val="0"/>
          <w:sz w:val="36"/>
          <w:szCs w:val="36"/>
        </w:rPr>
      </w:pPr>
      <w:r>
        <w:rPr>
          <w:rFonts w:hint="eastAsia" w:ascii="Arial" w:hAnsi="Arial" w:eastAsia="黑体" w:cs="Arial"/>
          <w:color w:val="auto"/>
          <w:kern w:val="0"/>
          <w:sz w:val="36"/>
          <w:szCs w:val="36"/>
        </w:rPr>
        <w:t>编制说明</w:t>
      </w: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p>
    <w:p>
      <w:pPr>
        <w:adjustRightInd w:val="0"/>
        <w:jc w:val="center"/>
        <w:textAlignment w:val="center"/>
        <w:rPr>
          <w:rFonts w:ascii="Arial" w:hAnsi="Arial" w:eastAsia="黑体" w:cs="Arial"/>
          <w:color w:val="auto"/>
          <w:kern w:val="0"/>
          <w:sz w:val="36"/>
          <w:szCs w:val="36"/>
        </w:rPr>
      </w:pPr>
      <w:r>
        <w:rPr>
          <w:rFonts w:hint="eastAsia" w:ascii="Arial" w:hAnsi="Arial" w:eastAsia="黑体" w:cs="Arial"/>
          <w:color w:val="auto"/>
          <w:kern w:val="0"/>
          <w:sz w:val="36"/>
          <w:szCs w:val="36"/>
        </w:rPr>
        <w:t>湖南省虹雨社工发展中心</w:t>
      </w:r>
    </w:p>
    <w:p>
      <w:pPr>
        <w:adjustRightInd w:val="0"/>
        <w:jc w:val="center"/>
        <w:textAlignment w:val="center"/>
        <w:rPr>
          <w:rFonts w:ascii="Arial" w:hAnsi="Arial" w:eastAsia="黑体" w:cs="Arial"/>
          <w:color w:val="auto"/>
          <w:kern w:val="0"/>
          <w:sz w:val="28"/>
          <w:szCs w:val="28"/>
        </w:rPr>
      </w:pPr>
      <w:r>
        <w:rPr>
          <w:rFonts w:hint="eastAsia" w:ascii="Arial" w:hAnsi="Arial" w:eastAsia="黑体" w:cs="Arial"/>
          <w:color w:val="auto"/>
          <w:kern w:val="0"/>
          <w:sz w:val="28"/>
          <w:szCs w:val="28"/>
        </w:rPr>
        <w:t>2023年</w:t>
      </w:r>
      <w:r>
        <w:rPr>
          <w:rFonts w:hint="eastAsia" w:ascii="Arial" w:hAnsi="Arial" w:eastAsia="黑体" w:cs="Arial"/>
          <w:color w:val="auto"/>
          <w:kern w:val="0"/>
          <w:sz w:val="28"/>
          <w:szCs w:val="28"/>
          <w:lang w:val="en-US" w:eastAsia="zh-CN"/>
        </w:rPr>
        <w:t>3</w:t>
      </w:r>
      <w:r>
        <w:rPr>
          <w:rFonts w:hint="eastAsia" w:ascii="Arial" w:hAnsi="Arial" w:eastAsia="黑体" w:cs="Arial"/>
          <w:color w:val="auto"/>
          <w:kern w:val="0"/>
          <w:sz w:val="28"/>
          <w:szCs w:val="28"/>
        </w:rPr>
        <w:t>月</w:t>
      </w:r>
    </w:p>
    <w:p>
      <w:pPr>
        <w:adjustRightInd w:val="0"/>
        <w:jc w:val="center"/>
        <w:textAlignment w:val="center"/>
        <w:rPr>
          <w:rFonts w:ascii="Arial" w:hAnsi="Arial" w:eastAsia="黑体" w:cs="Arial"/>
          <w:color w:val="auto"/>
          <w:kern w:val="0"/>
          <w:sz w:val="28"/>
          <w:szCs w:val="28"/>
        </w:rPr>
      </w:pPr>
    </w:p>
    <w:p>
      <w:pPr>
        <w:adjustRightInd w:val="0"/>
        <w:jc w:val="center"/>
        <w:textAlignment w:val="center"/>
        <w:rPr>
          <w:rFonts w:ascii="Arial" w:hAnsi="Arial" w:eastAsia="黑体" w:cs="Arial"/>
          <w:color w:val="auto"/>
          <w:kern w:val="0"/>
          <w:sz w:val="28"/>
          <w:szCs w:val="28"/>
        </w:rPr>
      </w:pPr>
    </w:p>
    <w:p>
      <w:pPr>
        <w:adjustRightInd w:val="0"/>
        <w:jc w:val="center"/>
        <w:textAlignment w:val="center"/>
        <w:rPr>
          <w:rFonts w:ascii="Arial" w:hAnsi="Arial" w:eastAsia="黑体" w:cs="Arial"/>
          <w:color w:val="auto"/>
          <w:kern w:val="0"/>
          <w:sz w:val="28"/>
          <w:szCs w:val="28"/>
        </w:rPr>
      </w:pPr>
    </w:p>
    <w:p>
      <w:pPr>
        <w:adjustRightInd w:val="0"/>
        <w:jc w:val="center"/>
        <w:textAlignment w:val="center"/>
        <w:rPr>
          <w:rFonts w:ascii="Arial" w:hAnsi="Arial" w:eastAsia="黑体" w:cs="Arial"/>
          <w:color w:val="auto"/>
          <w:kern w:val="0"/>
          <w:sz w:val="28"/>
          <w:szCs w:val="28"/>
        </w:rPr>
      </w:pPr>
      <w:r>
        <w:rPr>
          <w:rFonts w:ascii="Arial" w:hAnsi="Arial" w:eastAsia="黑体" w:cs="Arial"/>
          <w:color w:val="auto"/>
          <w:kern w:val="0"/>
          <w:sz w:val="28"/>
          <w:szCs w:val="28"/>
        </w:rPr>
        <w:br w:type="page"/>
      </w:r>
    </w:p>
    <w:p>
      <w:pPr>
        <w:pStyle w:val="2"/>
        <w:numPr>
          <w:ilvl w:val="0"/>
          <w:numId w:val="0"/>
        </w:numPr>
        <w:ind w:left="425"/>
        <w:jc w:val="center"/>
        <w:rPr>
          <w:rFonts w:eastAsia="宋体"/>
          <w:bCs w:val="0"/>
          <w:color w:val="auto"/>
          <w:kern w:val="2"/>
          <w:sz w:val="21"/>
          <w:szCs w:val="22"/>
        </w:rPr>
      </w:pPr>
      <w:bookmarkStart w:id="0" w:name="_Toc451952352"/>
      <w:bookmarkStart w:id="1" w:name="_Toc451952385"/>
      <w:bookmarkStart w:id="2" w:name="_Toc451850350"/>
      <w:bookmarkStart w:id="3" w:name="_Toc57709197"/>
      <w:r>
        <w:rPr>
          <w:rFonts w:hint="eastAsia"/>
          <w:color w:val="auto"/>
        </w:rPr>
        <w:t>目    录</w:t>
      </w:r>
      <w:bookmarkEnd w:id="0"/>
      <w:bookmarkEnd w:id="1"/>
      <w:bookmarkEnd w:id="2"/>
      <w:bookmarkEnd w:id="3"/>
    </w:p>
    <w:p>
      <w:pPr>
        <w:pStyle w:val="16"/>
        <w:tabs>
          <w:tab w:val="right" w:leader="dot" w:pos="8296"/>
        </w:tabs>
        <w:rPr>
          <w:color w:val="auto"/>
          <w:sz w:val="28"/>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"_Toc57709197" </w:instrText>
      </w:r>
      <w:r>
        <w:rPr>
          <w:color w:val="auto"/>
        </w:rPr>
        <w:fldChar w:fldCharType="separate"/>
      </w:r>
      <w:r>
        <w:rPr>
          <w:color w:val="auto"/>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"_Toc57709198" </w:instrText>
      </w:r>
      <w:r>
        <w:rPr>
          <w:color w:val="auto"/>
        </w:rPr>
        <w:fldChar w:fldCharType="separate"/>
      </w:r>
      <w:r>
        <w:rPr>
          <w:rStyle w:val="27"/>
          <w:rFonts w:ascii="黑体" w:hAnsi="黑体"/>
          <w:color w:val="auto"/>
          <w:sz w:val="28"/>
        </w:rPr>
        <w:t>1</w:t>
      </w:r>
      <w:r>
        <w:rPr>
          <w:color w:val="auto"/>
          <w:sz w:val="28"/>
        </w:rPr>
        <w:tab/>
      </w:r>
      <w:r>
        <w:rPr>
          <w:rStyle w:val="27"/>
          <w:rFonts w:hint="eastAsia"/>
          <w:color w:val="auto"/>
          <w:sz w:val="28"/>
        </w:rPr>
        <w:t>项目背景</w:t>
      </w:r>
      <w:r>
        <w:rPr>
          <w:color w:val="auto"/>
          <w:sz w:val="28"/>
        </w:rPr>
        <w:tab/>
      </w:r>
      <w:r>
        <w:rPr>
          <w:color w:val="auto"/>
          <w:sz w:val="28"/>
        </w:rPr>
        <w:fldChar w:fldCharType="begin"/>
      </w:r>
      <w:r>
        <w:rPr>
          <w:color w:val="auto"/>
          <w:sz w:val="28"/>
        </w:rPr>
        <w:instrText xml:space="preserve"> PAGEREF _Toc57709198 \h </w:instrText>
      </w:r>
      <w:r>
        <w:rPr>
          <w:color w:val="auto"/>
          <w:sz w:val="28"/>
        </w:rPr>
        <w:fldChar w:fldCharType="separate"/>
      </w:r>
      <w:r>
        <w:rPr>
          <w:color w:val="auto"/>
          <w:sz w:val="28"/>
        </w:rPr>
        <w:t>1</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"_Toc57709199" </w:instrText>
      </w:r>
      <w:r>
        <w:rPr>
          <w:color w:val="auto"/>
        </w:rPr>
        <w:fldChar w:fldCharType="separate"/>
      </w:r>
      <w:r>
        <w:rPr>
          <w:rStyle w:val="27"/>
          <w:rFonts w:ascii="黑体" w:hAnsi="黑体"/>
          <w:color w:val="auto"/>
          <w:sz w:val="28"/>
        </w:rPr>
        <w:t>2</w:t>
      </w:r>
      <w:r>
        <w:rPr>
          <w:color w:val="auto"/>
          <w:sz w:val="28"/>
        </w:rPr>
        <w:tab/>
      </w:r>
      <w:r>
        <w:rPr>
          <w:rStyle w:val="27"/>
          <w:rFonts w:hint="eastAsia"/>
          <w:color w:val="auto"/>
          <w:sz w:val="28"/>
        </w:rPr>
        <w:t>工作简况</w:t>
      </w:r>
      <w:r>
        <w:rPr>
          <w:color w:val="auto"/>
          <w:sz w:val="28"/>
        </w:rPr>
        <w:tab/>
      </w:r>
      <w:r>
        <w:rPr>
          <w:color w:val="auto"/>
          <w:sz w:val="28"/>
        </w:rPr>
        <w:fldChar w:fldCharType="begin"/>
      </w:r>
      <w:r>
        <w:rPr>
          <w:color w:val="auto"/>
          <w:sz w:val="28"/>
        </w:rPr>
        <w:instrText xml:space="preserve"> PAGEREF _Toc57709199 \h </w:instrText>
      </w:r>
      <w:r>
        <w:rPr>
          <w:color w:val="auto"/>
          <w:sz w:val="28"/>
        </w:rPr>
        <w:fldChar w:fldCharType="separate"/>
      </w:r>
      <w:r>
        <w:rPr>
          <w:color w:val="auto"/>
          <w:sz w:val="28"/>
        </w:rPr>
        <w:t>1</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"_Toc57709200" </w:instrText>
      </w:r>
      <w:r>
        <w:rPr>
          <w:color w:val="auto"/>
        </w:rPr>
        <w:fldChar w:fldCharType="separate"/>
      </w:r>
      <w:r>
        <w:rPr>
          <w:rStyle w:val="27"/>
          <w:rFonts w:ascii="黑体" w:hAnsi="黑体"/>
          <w:color w:val="auto"/>
          <w:sz w:val="28"/>
        </w:rPr>
        <w:t>3</w:t>
      </w:r>
      <w:r>
        <w:rPr>
          <w:color w:val="auto"/>
          <w:sz w:val="28"/>
        </w:rPr>
        <w:tab/>
      </w:r>
      <w:r>
        <w:rPr>
          <w:rStyle w:val="27"/>
          <w:rFonts w:hint="eastAsia"/>
          <w:color w:val="auto"/>
          <w:sz w:val="28"/>
        </w:rPr>
        <w:t>编制原则和确定主要内容的依据</w:t>
      </w:r>
      <w:r>
        <w:rPr>
          <w:color w:val="auto"/>
          <w:sz w:val="28"/>
        </w:rPr>
        <w:tab/>
      </w:r>
      <w:r>
        <w:rPr>
          <w:color w:val="auto"/>
          <w:sz w:val="28"/>
        </w:rPr>
        <w:fldChar w:fldCharType="begin"/>
      </w:r>
      <w:r>
        <w:rPr>
          <w:color w:val="auto"/>
          <w:sz w:val="28"/>
        </w:rPr>
        <w:instrText xml:space="preserve"> PAGEREF _Toc57709200 \h </w:instrText>
      </w:r>
      <w:r>
        <w:rPr>
          <w:color w:val="auto"/>
          <w:sz w:val="28"/>
        </w:rPr>
        <w:fldChar w:fldCharType="separate"/>
      </w:r>
      <w:r>
        <w:rPr>
          <w:color w:val="auto"/>
          <w:sz w:val="28"/>
        </w:rPr>
        <w:t>4</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"_Toc57709201" </w:instrText>
      </w:r>
      <w:r>
        <w:rPr>
          <w:color w:val="auto"/>
        </w:rPr>
        <w:fldChar w:fldCharType="separate"/>
      </w:r>
      <w:r>
        <w:rPr>
          <w:rStyle w:val="27"/>
          <w:rFonts w:ascii="黑体" w:hAnsi="黑体"/>
          <w:color w:val="auto"/>
          <w:sz w:val="28"/>
        </w:rPr>
        <w:t>4</w:t>
      </w:r>
      <w:r>
        <w:rPr>
          <w:color w:val="auto"/>
          <w:sz w:val="28"/>
        </w:rPr>
        <w:tab/>
      </w:r>
      <w:r>
        <w:rPr>
          <w:rStyle w:val="27"/>
          <w:rFonts w:hint="eastAsia"/>
          <w:color w:val="auto"/>
          <w:sz w:val="28"/>
        </w:rPr>
        <w:t>与我国有关现行法律、法规和其他强制性标准的关系</w:t>
      </w:r>
      <w:r>
        <w:rPr>
          <w:color w:val="auto"/>
          <w:sz w:val="28"/>
        </w:rPr>
        <w:tab/>
      </w:r>
      <w:r>
        <w:rPr>
          <w:color w:val="auto"/>
          <w:sz w:val="28"/>
        </w:rPr>
        <w:fldChar w:fldCharType="begin"/>
      </w:r>
      <w:r>
        <w:rPr>
          <w:color w:val="auto"/>
          <w:sz w:val="28"/>
        </w:rPr>
        <w:instrText xml:space="preserve"> PAGEREF _Toc57709201 \h </w:instrText>
      </w:r>
      <w:r>
        <w:rPr>
          <w:color w:val="auto"/>
          <w:sz w:val="28"/>
        </w:rPr>
        <w:fldChar w:fldCharType="separate"/>
      </w:r>
      <w:r>
        <w:rPr>
          <w:color w:val="auto"/>
          <w:sz w:val="28"/>
        </w:rPr>
        <w:t>5</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"_Toc57709202" </w:instrText>
      </w:r>
      <w:r>
        <w:rPr>
          <w:color w:val="auto"/>
        </w:rPr>
        <w:fldChar w:fldCharType="separate"/>
      </w:r>
      <w:r>
        <w:rPr>
          <w:rStyle w:val="27"/>
          <w:rFonts w:ascii="黑体" w:hAnsi="黑体"/>
          <w:color w:val="auto"/>
          <w:sz w:val="28"/>
        </w:rPr>
        <w:t>5</w:t>
      </w:r>
      <w:r>
        <w:rPr>
          <w:color w:val="auto"/>
          <w:sz w:val="28"/>
        </w:rPr>
        <w:tab/>
      </w:r>
      <w:r>
        <w:rPr>
          <w:rStyle w:val="27"/>
          <w:rFonts w:hint="eastAsia"/>
          <w:color w:val="auto"/>
          <w:sz w:val="28"/>
        </w:rPr>
        <w:t>标准预期的社会经济效益</w:t>
      </w:r>
      <w:r>
        <w:rPr>
          <w:color w:val="auto"/>
          <w:sz w:val="28"/>
        </w:rPr>
        <w:tab/>
      </w:r>
      <w:r>
        <w:rPr>
          <w:color w:val="auto"/>
          <w:sz w:val="28"/>
        </w:rPr>
        <w:fldChar w:fldCharType="begin"/>
      </w:r>
      <w:r>
        <w:rPr>
          <w:color w:val="auto"/>
          <w:sz w:val="28"/>
        </w:rPr>
        <w:instrText xml:space="preserve"> PAGEREF _Toc57709202 \h </w:instrText>
      </w:r>
      <w:r>
        <w:rPr>
          <w:color w:val="auto"/>
          <w:sz w:val="28"/>
        </w:rPr>
        <w:fldChar w:fldCharType="separate"/>
      </w:r>
      <w:r>
        <w:rPr>
          <w:color w:val="auto"/>
          <w:sz w:val="28"/>
        </w:rPr>
        <w:t>5</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"_Toc57709203" </w:instrText>
      </w:r>
      <w:r>
        <w:rPr>
          <w:color w:val="auto"/>
        </w:rPr>
        <w:fldChar w:fldCharType="separate"/>
      </w:r>
      <w:r>
        <w:rPr>
          <w:rStyle w:val="27"/>
          <w:rFonts w:ascii="黑体" w:hAnsi="黑体"/>
          <w:color w:val="auto"/>
          <w:sz w:val="28"/>
        </w:rPr>
        <w:t>6</w:t>
      </w:r>
      <w:r>
        <w:rPr>
          <w:color w:val="auto"/>
          <w:sz w:val="28"/>
        </w:rPr>
        <w:tab/>
      </w:r>
      <w:r>
        <w:rPr>
          <w:rStyle w:val="27"/>
          <w:rFonts w:hint="eastAsia"/>
          <w:color w:val="auto"/>
          <w:sz w:val="28"/>
        </w:rPr>
        <w:t>重大意见分歧及处理结果</w:t>
      </w:r>
      <w:r>
        <w:rPr>
          <w:color w:val="auto"/>
          <w:sz w:val="28"/>
        </w:rPr>
        <w:tab/>
      </w:r>
      <w:r>
        <w:rPr>
          <w:color w:val="auto"/>
          <w:sz w:val="28"/>
        </w:rPr>
        <w:fldChar w:fldCharType="begin"/>
      </w:r>
      <w:r>
        <w:rPr>
          <w:color w:val="auto"/>
          <w:sz w:val="28"/>
        </w:rPr>
        <w:instrText xml:space="preserve"> PAGEREF _Toc57709203 \h </w:instrText>
      </w:r>
      <w:r>
        <w:rPr>
          <w:color w:val="auto"/>
          <w:sz w:val="28"/>
        </w:rPr>
        <w:fldChar w:fldCharType="separate"/>
      </w:r>
      <w:r>
        <w:rPr>
          <w:color w:val="auto"/>
          <w:sz w:val="28"/>
        </w:rPr>
        <w:t>5</w:t>
      </w:r>
      <w:r>
        <w:rPr>
          <w:color w:val="auto"/>
          <w:sz w:val="28"/>
        </w:rPr>
        <w:fldChar w:fldCharType="end"/>
      </w:r>
      <w:r>
        <w:rPr>
          <w:color w:val="auto"/>
          <w:sz w:val="28"/>
        </w:rPr>
        <w:fldChar w:fldCharType="end"/>
      </w:r>
    </w:p>
    <w:p>
      <w:pPr>
        <w:pStyle w:val="16"/>
        <w:tabs>
          <w:tab w:val="left" w:pos="420"/>
          <w:tab w:val="right" w:leader="dot" w:pos="8296"/>
        </w:tabs>
        <w:rPr>
          <w:color w:val="auto"/>
          <w:sz w:val="28"/>
        </w:rPr>
      </w:pPr>
      <w:r>
        <w:rPr>
          <w:color w:val="auto"/>
        </w:rPr>
        <w:fldChar w:fldCharType="begin"/>
      </w:r>
      <w:r>
        <w:rPr>
          <w:color w:val="auto"/>
        </w:rPr>
        <w:instrText xml:space="preserve"> HYPERLINK \l "_Toc57709204" </w:instrText>
      </w:r>
      <w:r>
        <w:rPr>
          <w:color w:val="auto"/>
        </w:rPr>
        <w:fldChar w:fldCharType="separate"/>
      </w:r>
      <w:r>
        <w:rPr>
          <w:rStyle w:val="27"/>
          <w:rFonts w:ascii="黑体" w:hAnsi="黑体"/>
          <w:color w:val="auto"/>
          <w:sz w:val="28"/>
        </w:rPr>
        <w:t>7</w:t>
      </w:r>
      <w:r>
        <w:rPr>
          <w:color w:val="auto"/>
          <w:sz w:val="28"/>
        </w:rPr>
        <w:tab/>
      </w:r>
      <w:r>
        <w:rPr>
          <w:rStyle w:val="27"/>
          <w:rFonts w:hint="eastAsia"/>
          <w:color w:val="auto"/>
          <w:sz w:val="28"/>
        </w:rPr>
        <w:t>贯彻实施本标准的措施、建议</w:t>
      </w:r>
      <w:r>
        <w:rPr>
          <w:color w:val="auto"/>
          <w:sz w:val="28"/>
        </w:rPr>
        <w:tab/>
      </w:r>
      <w:r>
        <w:rPr>
          <w:color w:val="auto"/>
          <w:sz w:val="28"/>
        </w:rPr>
        <w:fldChar w:fldCharType="begin"/>
      </w:r>
      <w:r>
        <w:rPr>
          <w:color w:val="auto"/>
          <w:sz w:val="28"/>
        </w:rPr>
        <w:instrText xml:space="preserve"> PAGEREF _Toc57709204 \h </w:instrText>
      </w:r>
      <w:r>
        <w:rPr>
          <w:color w:val="auto"/>
          <w:sz w:val="28"/>
        </w:rPr>
        <w:fldChar w:fldCharType="separate"/>
      </w:r>
      <w:r>
        <w:rPr>
          <w:color w:val="auto"/>
          <w:sz w:val="28"/>
        </w:rPr>
        <w:t>5</w:t>
      </w:r>
      <w:r>
        <w:rPr>
          <w:color w:val="auto"/>
          <w:sz w:val="28"/>
        </w:rPr>
        <w:fldChar w:fldCharType="end"/>
      </w:r>
      <w:r>
        <w:rPr>
          <w:color w:val="auto"/>
          <w:sz w:val="28"/>
        </w:rPr>
        <w:fldChar w:fldCharType="end"/>
      </w:r>
    </w:p>
    <w:p>
      <w:pPr>
        <w:rPr>
          <w:color w:val="auto"/>
        </w:rPr>
      </w:pPr>
      <w:r>
        <w:rPr>
          <w:b/>
          <w:bCs/>
          <w:color w:val="auto"/>
          <w:lang w:val="zh-CN"/>
        </w:rPr>
        <w:fldChar w:fldCharType="end"/>
      </w:r>
    </w:p>
    <w:p>
      <w:pPr>
        <w:pStyle w:val="3"/>
        <w:rPr>
          <w:color w:val="auto"/>
        </w:rPr>
      </w:pPr>
    </w:p>
    <w:p>
      <w:pPr>
        <w:pStyle w:val="3"/>
        <w:rPr>
          <w:color w:val="auto"/>
        </w:rPr>
        <w:sectPr>
          <w:footerReference r:id="rId3" w:type="default"/>
          <w:pgSz w:w="11906" w:h="16838"/>
          <w:pgMar w:top="1440" w:right="1800" w:bottom="1440" w:left="1800" w:header="851" w:footer="992" w:gutter="0"/>
          <w:cols w:space="720" w:num="1"/>
          <w:docGrid w:type="lines" w:linePitch="312" w:charSpace="0"/>
        </w:sectPr>
      </w:pPr>
      <w:r>
        <w:rPr>
          <w:color w:val="auto"/>
        </w:rPr>
        <w:br w:type="page"/>
      </w:r>
    </w:p>
    <w:p>
      <w:pPr>
        <w:adjustRightInd w:val="0"/>
        <w:spacing w:before="240" w:after="240" w:line="400" w:lineRule="exact"/>
        <w:jc w:val="center"/>
        <w:textAlignment w:val="center"/>
        <w:rPr>
          <w:color w:val="auto"/>
        </w:rPr>
      </w:pPr>
      <w:bookmarkStart w:id="4" w:name="_Toc451849979"/>
      <w:bookmarkStart w:id="5" w:name="_Toc451952353"/>
      <w:bookmarkStart w:id="6" w:name="_Toc450205624"/>
      <w:bookmarkStart w:id="7" w:name="_Toc17353"/>
      <w:bookmarkStart w:id="8" w:name="_Toc451850351"/>
      <w:r>
        <w:rPr>
          <w:rFonts w:hint="eastAsia" w:ascii="Arial" w:hAnsi="Arial" w:eastAsia="黑体" w:cs="Arial"/>
          <w:color w:val="auto"/>
          <w:kern w:val="0"/>
          <w:sz w:val="36"/>
          <w:szCs w:val="36"/>
        </w:rPr>
        <w:t>湖南省地方标准《乡镇（街道）社工站服务指南》（</w:t>
      </w:r>
      <w:r>
        <w:rPr>
          <w:rFonts w:hint="eastAsia" w:ascii="Arial" w:hAnsi="Arial" w:eastAsia="黑体" w:cs="Arial"/>
          <w:color w:val="auto"/>
          <w:kern w:val="0"/>
          <w:sz w:val="36"/>
          <w:szCs w:val="36"/>
          <w:lang w:val="en-US" w:eastAsia="zh-CN"/>
        </w:rPr>
        <w:t>征求意见</w:t>
      </w:r>
      <w:r>
        <w:rPr>
          <w:rFonts w:hint="eastAsia" w:ascii="Arial" w:hAnsi="Arial" w:eastAsia="黑体" w:cs="Arial"/>
          <w:color w:val="auto"/>
          <w:kern w:val="0"/>
          <w:sz w:val="36"/>
          <w:szCs w:val="36"/>
        </w:rPr>
        <w:t>稿）编制说明</w:t>
      </w:r>
    </w:p>
    <w:p>
      <w:pPr>
        <w:pStyle w:val="2"/>
        <w:rPr>
          <w:color w:val="auto"/>
        </w:rPr>
      </w:pPr>
      <w:bookmarkStart w:id="9" w:name="_Toc57709198"/>
      <w:r>
        <w:rPr>
          <w:rFonts w:hint="eastAsia"/>
          <w:color w:val="auto"/>
        </w:rPr>
        <w:t>项目背景</w:t>
      </w:r>
      <w:bookmarkEnd w:id="4"/>
      <w:bookmarkEnd w:id="5"/>
      <w:bookmarkEnd w:id="6"/>
      <w:bookmarkEnd w:id="7"/>
      <w:bookmarkEnd w:id="8"/>
      <w:bookmarkEnd w:id="9"/>
    </w:p>
    <w:p>
      <w:pPr>
        <w:adjustRightInd w:val="0"/>
        <w:snapToGrid w:val="0"/>
        <w:spacing w:line="580" w:lineRule="exact"/>
        <w:ind w:firstLine="560" w:firstLineChars="200"/>
        <w:rPr>
          <w:rFonts w:hint="default" w:ascii="仿宋_GB2312" w:hAnsi="华文仿宋" w:eastAsia="仿宋_GB2312"/>
          <w:color w:val="auto"/>
          <w:sz w:val="28"/>
          <w:szCs w:val="28"/>
          <w:lang w:val="en-US" w:eastAsia="zh-CN"/>
        </w:rPr>
      </w:pPr>
      <w:r>
        <w:rPr>
          <w:rFonts w:hint="eastAsia" w:ascii="仿宋_GB2312" w:hAnsi="华文仿宋" w:eastAsia="仿宋_GB2312"/>
          <w:color w:val="auto"/>
          <w:sz w:val="28"/>
          <w:szCs w:val="28"/>
        </w:rPr>
        <w:t>根据湖南省民政厅等六部门《关于推进政府购买服务 加强基层民政能力的实施意见》（湘民发〔2018〕10 号）、湖南省民政厅关于印发《湖南省乡镇（街道）社会工作服务站项目实施方案（试行）》的通知（湘民发〔2018〕16 号）</w:t>
      </w:r>
      <w:r>
        <w:rPr>
          <w:rFonts w:hint="eastAsia" w:ascii="仿宋_GB2312" w:hAnsi="华文仿宋" w:eastAsia="仿宋_GB2312"/>
          <w:color w:val="auto"/>
          <w:sz w:val="28"/>
          <w:szCs w:val="28"/>
          <w:lang w:eastAsia="zh-CN"/>
        </w:rPr>
        <w:t>、湖南省民政厅印发</w:t>
      </w:r>
      <w:r>
        <w:rPr>
          <w:rFonts w:hint="eastAsia" w:ascii="仿宋_GB2312" w:hAnsi="华文仿宋" w:eastAsia="仿宋_GB2312"/>
          <w:color w:val="auto"/>
          <w:sz w:val="28"/>
          <w:szCs w:val="28"/>
          <w:lang w:val="en-US" w:eastAsia="zh-CN"/>
        </w:rPr>
        <w:t>的</w:t>
      </w:r>
      <w:r>
        <w:rPr>
          <w:rFonts w:hint="eastAsia" w:ascii="仿宋_GB2312" w:hAnsi="华文仿宋" w:eastAsia="仿宋_GB2312"/>
          <w:color w:val="auto"/>
          <w:sz w:val="28"/>
          <w:szCs w:val="28"/>
          <w:lang w:eastAsia="zh-CN"/>
        </w:rPr>
        <w:t>《湖南省基层社会工作服务站项目三年行动方案（2021-2023年）》（以下简称《方案》）。《方案》围绕基层社工站建设“提质增效”目标，明确提出到2023年末，建成覆盖全省的市级服务指导中心、县级社工总站、乡镇（街道）社工服务站和部分村（居)社工室的四级社会工作服务体系，建立一支包含一线社工、专业督导和领军人才的社工人才队伍，建成一批覆盖各类特殊群体和多项民政业务的星级乡镇（街道）社工站。</w:t>
      </w:r>
      <w:r>
        <w:rPr>
          <w:rFonts w:hint="eastAsia" w:ascii="仿宋_GB2312" w:hAnsi="华文仿宋" w:eastAsia="仿宋_GB2312"/>
          <w:color w:val="auto"/>
          <w:sz w:val="28"/>
          <w:szCs w:val="28"/>
          <w:lang w:val="en-US" w:eastAsia="zh-CN"/>
        </w:rPr>
        <w:t>为了落实国家和省民政厅的文件要求，规范乡镇（街道）社工站建设和服务工作，有必要结合</w:t>
      </w:r>
      <w:r>
        <w:rPr>
          <w:rFonts w:hint="eastAsia" w:ascii="仿宋_GB2312" w:hAnsi="华文仿宋" w:eastAsia="仿宋_GB2312"/>
          <w:color w:val="auto"/>
          <w:sz w:val="28"/>
          <w:szCs w:val="28"/>
        </w:rPr>
        <w:t>乡镇（街道）民政工作实际，</w:t>
      </w:r>
      <w:r>
        <w:rPr>
          <w:rFonts w:hint="eastAsia" w:ascii="仿宋_GB2312" w:hAnsi="华文仿宋" w:eastAsia="仿宋_GB2312"/>
          <w:color w:val="auto"/>
          <w:sz w:val="28"/>
          <w:szCs w:val="28"/>
          <w:lang w:val="en-US" w:eastAsia="zh-CN"/>
        </w:rPr>
        <w:t>制定实施该项地方标准。</w:t>
      </w:r>
    </w:p>
    <w:p>
      <w:pPr>
        <w:pStyle w:val="2"/>
        <w:rPr>
          <w:color w:val="auto"/>
        </w:rPr>
      </w:pPr>
      <w:bookmarkStart w:id="10" w:name="_Toc451849980"/>
      <w:bookmarkStart w:id="11" w:name="_Toc451850352"/>
      <w:bookmarkStart w:id="12" w:name="_Toc450205625"/>
      <w:bookmarkStart w:id="13" w:name="_Toc57709199"/>
      <w:bookmarkStart w:id="14" w:name="_Toc451952354"/>
      <w:bookmarkStart w:id="15" w:name="_Toc28906"/>
      <w:r>
        <w:rPr>
          <w:rFonts w:hint="eastAsia"/>
          <w:color w:val="auto"/>
        </w:rPr>
        <w:t>工作简况</w:t>
      </w:r>
      <w:bookmarkEnd w:id="10"/>
      <w:bookmarkEnd w:id="11"/>
      <w:bookmarkEnd w:id="12"/>
      <w:bookmarkEnd w:id="13"/>
      <w:bookmarkEnd w:id="14"/>
      <w:bookmarkEnd w:id="15"/>
    </w:p>
    <w:p>
      <w:pPr>
        <w:pStyle w:val="6"/>
        <w:spacing w:before="0" w:after="0" w:line="240" w:lineRule="auto"/>
        <w:rPr>
          <w:color w:val="auto"/>
        </w:rPr>
      </w:pPr>
      <w:r>
        <w:rPr>
          <w:rFonts w:hint="eastAsia"/>
          <w:color w:val="auto"/>
        </w:rPr>
        <w:t>2.1 任务来源</w:t>
      </w:r>
    </w:p>
    <w:p>
      <w:pPr>
        <w:pStyle w:val="28"/>
        <w:ind w:firstLineChars="150"/>
        <w:rPr>
          <w:rFonts w:ascii="仿宋_GB2312" w:hAnsi="华文仿宋" w:eastAsia="仿宋_GB2312"/>
          <w:color w:val="auto"/>
          <w:sz w:val="28"/>
          <w:szCs w:val="28"/>
        </w:rPr>
      </w:pPr>
      <w:r>
        <w:rPr>
          <w:rFonts w:hint="eastAsia" w:ascii="仿宋_GB2312" w:hAnsi="华文仿宋" w:eastAsia="仿宋_GB2312"/>
          <w:color w:val="auto"/>
          <w:sz w:val="28"/>
          <w:szCs w:val="28"/>
        </w:rPr>
        <w:t>202</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年，本标准制定任务由省市场监督管理局正式批准列入202</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年度地方标准制修订项目计划。项目承担单位为湖南省虹雨社工发展中心。</w:t>
      </w:r>
    </w:p>
    <w:p>
      <w:pPr>
        <w:pStyle w:val="6"/>
        <w:spacing w:before="0" w:after="0" w:line="240" w:lineRule="auto"/>
        <w:rPr>
          <w:color w:val="auto"/>
        </w:rPr>
      </w:pPr>
      <w:r>
        <w:rPr>
          <w:rFonts w:hint="eastAsia"/>
          <w:color w:val="auto"/>
        </w:rPr>
        <w:t>2.2 制定过程</w:t>
      </w:r>
    </w:p>
    <w:p>
      <w:p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（1）成立标准编制小组</w:t>
      </w:r>
    </w:p>
    <w:p>
      <w:p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202</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年1月，成立标准起草编制小组，拟定了</w:t>
      </w:r>
      <w:r>
        <w:rPr>
          <w:rFonts w:hint="eastAsia" w:ascii="仿宋_GB2312" w:hAnsi="华文仿宋" w:eastAsia="仿宋_GB2312"/>
          <w:color w:val="auto"/>
          <w:sz w:val="28"/>
          <w:szCs w:val="28"/>
          <w:lang w:val="en-US" w:eastAsia="zh-CN"/>
        </w:rPr>
        <w:t>该</w:t>
      </w:r>
      <w:r>
        <w:rPr>
          <w:rFonts w:hint="eastAsia" w:ascii="仿宋_GB2312" w:hAnsi="华文仿宋" w:eastAsia="仿宋_GB2312"/>
          <w:color w:val="auto"/>
          <w:sz w:val="28"/>
          <w:szCs w:val="28"/>
        </w:rPr>
        <w:t>标准</w:t>
      </w:r>
      <w:r>
        <w:rPr>
          <w:rFonts w:hint="eastAsia" w:ascii="仿宋_GB2312" w:hAnsi="华文仿宋" w:eastAsia="仿宋_GB2312"/>
          <w:color w:val="auto"/>
          <w:sz w:val="28"/>
          <w:szCs w:val="28"/>
          <w:lang w:val="en-US" w:eastAsia="zh-CN"/>
        </w:rPr>
        <w:t>制定</w:t>
      </w:r>
      <w:r>
        <w:rPr>
          <w:rFonts w:hint="eastAsia" w:ascii="仿宋_GB2312" w:hAnsi="华文仿宋" w:eastAsia="仿宋_GB2312"/>
          <w:color w:val="auto"/>
          <w:sz w:val="28"/>
          <w:szCs w:val="28"/>
        </w:rPr>
        <w:t>的技术路线、工作方案。</w:t>
      </w:r>
    </w:p>
    <w:p>
      <w:pPr>
        <w:numPr>
          <w:ilvl w:val="0"/>
          <w:numId w:val="4"/>
        </w:num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收集整理资料</w:t>
      </w:r>
    </w:p>
    <w:p>
      <w:pPr>
        <w:adjustRightInd w:val="0"/>
        <w:snapToGrid w:val="0"/>
        <w:spacing w:line="580" w:lineRule="exact"/>
        <w:ind w:firstLine="560" w:firstLineChars="200"/>
        <w:rPr>
          <w:rFonts w:hint="eastAsia" w:ascii="仿宋_GB2312" w:hAnsi="华文仿宋" w:eastAsia="仿宋_GB2312"/>
          <w:color w:val="auto"/>
          <w:sz w:val="28"/>
          <w:szCs w:val="28"/>
        </w:rPr>
      </w:pPr>
      <w:r>
        <w:rPr>
          <w:rFonts w:hint="eastAsia" w:ascii="仿宋_GB2312" w:hAnsi="华文仿宋" w:eastAsia="仿宋_GB2312"/>
          <w:color w:val="auto"/>
          <w:sz w:val="28"/>
          <w:szCs w:val="28"/>
        </w:rPr>
        <w:t>202</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年2月-4月，了解国家及乡镇（街道）社工站服务工作的法律法规和政策文件，</w:t>
      </w:r>
      <w:r>
        <w:rPr>
          <w:rFonts w:hint="eastAsia" w:ascii="仿宋_GB2312" w:hAnsi="华文仿宋" w:eastAsia="仿宋_GB2312"/>
          <w:color w:val="auto"/>
          <w:sz w:val="28"/>
          <w:szCs w:val="28"/>
          <w:lang w:val="en-US" w:eastAsia="zh-CN"/>
        </w:rPr>
        <w:t>相关</w:t>
      </w:r>
      <w:r>
        <w:rPr>
          <w:rFonts w:hint="eastAsia" w:ascii="仿宋_GB2312" w:hAnsi="华文仿宋" w:eastAsia="仿宋_GB2312"/>
          <w:color w:val="auto"/>
          <w:sz w:val="28"/>
          <w:szCs w:val="28"/>
        </w:rPr>
        <w:t>国家标准</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地方标准的制修订情况。收集的资料中，作为本标准的主要编制依据有：</w:t>
      </w:r>
    </w:p>
    <w:p>
      <w:pPr>
        <w:adjustRightInd w:val="0"/>
        <w:snapToGrid w:val="0"/>
        <w:spacing w:line="580" w:lineRule="exact"/>
        <w:ind w:firstLine="560" w:firstLineChars="200"/>
        <w:rPr>
          <w:rFonts w:hint="eastAsia" w:ascii="仿宋_GB2312" w:hAnsi="华文仿宋" w:eastAsia="仿宋_GB2312"/>
          <w:color w:val="auto"/>
          <w:sz w:val="28"/>
          <w:szCs w:val="28"/>
        </w:rPr>
      </w:pPr>
      <w:r>
        <w:rPr>
          <w:rFonts w:hint="eastAsia" w:ascii="仿宋_GB2312" w:hAnsi="华文仿宋" w:eastAsia="仿宋_GB2312"/>
          <w:color w:val="auto"/>
          <w:sz w:val="28"/>
          <w:szCs w:val="28"/>
        </w:rPr>
        <w:t>《关于推进政府购买服务 加强基层民政能力的实施意见》（湘民发〔2018〕10 号）</w:t>
      </w:r>
    </w:p>
    <w:p>
      <w:pPr>
        <w:adjustRightInd w:val="0"/>
        <w:snapToGrid w:val="0"/>
        <w:spacing w:line="580" w:lineRule="exact"/>
        <w:ind w:firstLine="560" w:firstLineChars="200"/>
        <w:rPr>
          <w:rFonts w:hint="eastAsia" w:ascii="仿宋_GB2312" w:hAnsi="华文仿宋" w:eastAsia="仿宋_GB2312"/>
          <w:color w:val="auto"/>
          <w:sz w:val="28"/>
          <w:szCs w:val="28"/>
        </w:rPr>
      </w:pPr>
      <w:r>
        <w:rPr>
          <w:rFonts w:hint="eastAsia" w:ascii="仿宋_GB2312" w:hAnsi="华文仿宋" w:eastAsia="仿宋_GB2312"/>
          <w:color w:val="auto"/>
          <w:sz w:val="28"/>
          <w:szCs w:val="28"/>
        </w:rPr>
        <w:t>《湖南省乡镇（街道）社会工作服务站项目实施方案（试行）》的通知（湘民发〔2018〕16 号）</w:t>
      </w:r>
    </w:p>
    <w:p>
      <w:pPr>
        <w:adjustRightInd w:val="0"/>
        <w:snapToGrid w:val="0"/>
        <w:spacing w:line="580" w:lineRule="exact"/>
        <w:ind w:firstLine="560" w:firstLineChars="200"/>
        <w:rPr>
          <w:rFonts w:hint="eastAsia" w:ascii="仿宋_GB2312" w:hAnsi="华文仿宋" w:eastAsia="仿宋_GB2312"/>
          <w:color w:val="auto"/>
          <w:sz w:val="28"/>
          <w:szCs w:val="28"/>
        </w:rPr>
      </w:pPr>
      <w:r>
        <w:rPr>
          <w:rFonts w:hint="eastAsia" w:ascii="仿宋_GB2312" w:hAnsi="华文仿宋" w:eastAsia="仿宋_GB2312"/>
          <w:color w:val="auto"/>
          <w:sz w:val="28"/>
          <w:szCs w:val="28"/>
          <w:lang w:eastAsia="zh-CN"/>
        </w:rPr>
        <w:t>《湖南省基层社会工作服务站项目三年行动方案（2021-2023年）》</w:t>
      </w:r>
    </w:p>
    <w:p>
      <w:pPr>
        <w:numPr>
          <w:ilvl w:val="0"/>
          <w:numId w:val="4"/>
        </w:num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开展调研和问卷调查</w:t>
      </w:r>
    </w:p>
    <w:p>
      <w:p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202</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年5月-1</w:t>
      </w:r>
      <w:r>
        <w:rPr>
          <w:rFonts w:hint="eastAsia" w:ascii="仿宋_GB2312" w:hAnsi="华文仿宋" w:eastAsia="仿宋_GB2312"/>
          <w:color w:val="auto"/>
          <w:sz w:val="28"/>
          <w:szCs w:val="28"/>
          <w:lang w:val="en-US" w:eastAsia="zh-CN"/>
        </w:rPr>
        <w:t>2</w:t>
      </w:r>
      <w:r>
        <w:rPr>
          <w:rFonts w:hint="eastAsia" w:ascii="仿宋_GB2312" w:hAnsi="华文仿宋" w:eastAsia="仿宋_GB2312"/>
          <w:color w:val="auto"/>
          <w:sz w:val="28"/>
          <w:szCs w:val="28"/>
        </w:rPr>
        <w:t>月，编制小组</w:t>
      </w:r>
      <w:r>
        <w:rPr>
          <w:rFonts w:hint="eastAsia" w:ascii="仿宋_GB2312" w:hAnsi="华文仿宋" w:eastAsia="仿宋_GB2312"/>
          <w:color w:val="auto"/>
          <w:sz w:val="28"/>
          <w:szCs w:val="28"/>
          <w:lang w:val="en-US" w:eastAsia="zh-CN"/>
        </w:rPr>
        <w:t>赴</w:t>
      </w:r>
      <w:r>
        <w:rPr>
          <w:rFonts w:hint="eastAsia" w:ascii="仿宋_GB2312" w:hAnsi="华文仿宋" w:eastAsia="仿宋_GB2312"/>
          <w:color w:val="auto"/>
          <w:sz w:val="28"/>
          <w:szCs w:val="28"/>
        </w:rPr>
        <w:t>多个乡镇（街道）社会工作服务站进行调研，了解社会工作服务站活动开展情况，</w:t>
      </w:r>
      <w:r>
        <w:rPr>
          <w:rFonts w:hint="eastAsia" w:ascii="仿宋_GB2312" w:hAnsi="华文仿宋" w:eastAsia="仿宋_GB2312"/>
          <w:color w:val="auto"/>
          <w:sz w:val="28"/>
          <w:szCs w:val="28"/>
          <w:lang w:val="en-US" w:eastAsia="zh-CN"/>
        </w:rPr>
        <w:t>对</w:t>
      </w:r>
      <w:r>
        <w:rPr>
          <w:rFonts w:hint="eastAsia" w:ascii="仿宋_GB2312" w:hAnsi="华文仿宋" w:eastAsia="仿宋_GB2312"/>
          <w:color w:val="auto"/>
          <w:sz w:val="28"/>
          <w:szCs w:val="28"/>
        </w:rPr>
        <w:t>社会工作服务</w:t>
      </w:r>
      <w:r>
        <w:rPr>
          <w:rFonts w:hint="eastAsia" w:ascii="仿宋_GB2312" w:hAnsi="华文仿宋" w:eastAsia="仿宋_GB2312"/>
          <w:color w:val="auto"/>
          <w:sz w:val="28"/>
          <w:szCs w:val="28"/>
          <w:lang w:val="en-US" w:eastAsia="zh-CN"/>
        </w:rPr>
        <w:t>活动的</w:t>
      </w:r>
      <w:r>
        <w:rPr>
          <w:rFonts w:hint="eastAsia" w:ascii="仿宋_GB2312" w:hAnsi="华文仿宋" w:eastAsia="仿宋_GB2312"/>
          <w:color w:val="auto"/>
          <w:sz w:val="28"/>
          <w:szCs w:val="28"/>
        </w:rPr>
        <w:t>组织实施、主要内容和过程控制等重点有了进一步了解和掌握。</w:t>
      </w:r>
    </w:p>
    <w:p>
      <w:pPr>
        <w:numPr>
          <w:ilvl w:val="0"/>
          <w:numId w:val="4"/>
        </w:num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起草标准文本</w:t>
      </w:r>
    </w:p>
    <w:p>
      <w:p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202</w:t>
      </w:r>
      <w:r>
        <w:rPr>
          <w:rFonts w:hint="eastAsia" w:ascii="仿宋_GB2312" w:hAnsi="华文仿宋" w:eastAsia="仿宋_GB2312"/>
          <w:color w:val="auto"/>
          <w:sz w:val="28"/>
          <w:szCs w:val="28"/>
          <w:lang w:val="en-US" w:eastAsia="zh-CN"/>
        </w:rPr>
        <w:t>2</w:t>
      </w:r>
      <w:r>
        <w:rPr>
          <w:rFonts w:hint="eastAsia" w:ascii="仿宋_GB2312" w:hAnsi="华文仿宋" w:eastAsia="仿宋_GB2312"/>
          <w:color w:val="auto"/>
          <w:sz w:val="28"/>
          <w:szCs w:val="28"/>
        </w:rPr>
        <w:t>年</w:t>
      </w:r>
      <w:r>
        <w:rPr>
          <w:rFonts w:hint="eastAsia" w:ascii="仿宋_GB2312" w:hAnsi="华文仿宋" w:eastAsia="仿宋_GB2312"/>
          <w:color w:val="auto"/>
          <w:sz w:val="28"/>
          <w:szCs w:val="28"/>
          <w:lang w:val="en-US" w:eastAsia="zh-CN"/>
        </w:rPr>
        <w:t>1</w:t>
      </w:r>
      <w:r>
        <w:rPr>
          <w:rFonts w:hint="eastAsia" w:ascii="仿宋_GB2312" w:hAnsi="华文仿宋" w:eastAsia="仿宋_GB2312"/>
          <w:color w:val="auto"/>
          <w:sz w:val="28"/>
          <w:szCs w:val="28"/>
        </w:rPr>
        <w:t>月-10月，在开展调研和问卷调查的基础上，编制</w:t>
      </w:r>
      <w:r>
        <w:rPr>
          <w:rFonts w:hint="eastAsia" w:ascii="仿宋_GB2312" w:hAnsi="华文仿宋" w:eastAsia="仿宋_GB2312"/>
          <w:color w:val="auto"/>
          <w:sz w:val="28"/>
          <w:szCs w:val="28"/>
          <w:lang w:val="en-US" w:eastAsia="zh-CN"/>
        </w:rPr>
        <w:t>小</w:t>
      </w:r>
      <w:r>
        <w:rPr>
          <w:rFonts w:hint="eastAsia" w:ascii="仿宋_GB2312" w:hAnsi="华文仿宋" w:eastAsia="仿宋_GB2312"/>
          <w:color w:val="auto"/>
          <w:sz w:val="28"/>
          <w:szCs w:val="28"/>
        </w:rPr>
        <w:t>组起草形成了《乡镇（街道）社工站服务指南》标准工作组讨论稿。编制</w:t>
      </w:r>
      <w:r>
        <w:rPr>
          <w:rFonts w:hint="eastAsia" w:ascii="仿宋_GB2312" w:hAnsi="华文仿宋" w:eastAsia="仿宋_GB2312"/>
          <w:color w:val="auto"/>
          <w:sz w:val="28"/>
          <w:szCs w:val="28"/>
          <w:lang w:val="en-US" w:eastAsia="zh-CN"/>
        </w:rPr>
        <w:t>小</w:t>
      </w:r>
      <w:r>
        <w:rPr>
          <w:rFonts w:hint="eastAsia" w:ascii="仿宋_GB2312" w:hAnsi="华文仿宋" w:eastAsia="仿宋_GB2312"/>
          <w:color w:val="auto"/>
          <w:sz w:val="28"/>
          <w:szCs w:val="28"/>
        </w:rPr>
        <w:t>组先后多次组织研讨会，多次修改标准文本。</w:t>
      </w:r>
    </w:p>
    <w:p>
      <w:pPr>
        <w:numPr>
          <w:ilvl w:val="0"/>
          <w:numId w:val="4"/>
        </w:num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征求专家意见</w:t>
      </w:r>
    </w:p>
    <w:p>
      <w:pPr>
        <w:adjustRightInd w:val="0"/>
        <w:snapToGrid w:val="0"/>
        <w:spacing w:line="580" w:lineRule="exact"/>
        <w:ind w:firstLine="560" w:firstLineChars="200"/>
        <w:rPr>
          <w:rFonts w:ascii="仿宋_GB2312" w:hAnsi="华文仿宋" w:eastAsia="仿宋_GB2312"/>
          <w:color w:val="auto"/>
          <w:sz w:val="28"/>
          <w:szCs w:val="28"/>
        </w:rPr>
      </w:pPr>
      <w:r>
        <w:rPr>
          <w:rFonts w:hint="eastAsia" w:ascii="仿宋_GB2312" w:hAnsi="华文仿宋" w:eastAsia="仿宋_GB2312"/>
          <w:color w:val="auto"/>
          <w:sz w:val="28"/>
          <w:szCs w:val="28"/>
        </w:rPr>
        <w:t>编制</w:t>
      </w:r>
      <w:r>
        <w:rPr>
          <w:rFonts w:hint="eastAsia" w:ascii="仿宋_GB2312" w:hAnsi="华文仿宋" w:eastAsia="仿宋_GB2312"/>
          <w:color w:val="auto"/>
          <w:sz w:val="28"/>
          <w:szCs w:val="28"/>
          <w:lang w:val="en-US" w:eastAsia="zh-CN"/>
        </w:rPr>
        <w:t>小</w:t>
      </w:r>
      <w:r>
        <w:rPr>
          <w:rFonts w:hint="eastAsia" w:ascii="仿宋_GB2312" w:hAnsi="华文仿宋" w:eastAsia="仿宋_GB2312"/>
          <w:color w:val="auto"/>
          <w:sz w:val="28"/>
          <w:szCs w:val="28"/>
        </w:rPr>
        <w:t>组</w:t>
      </w:r>
      <w:r>
        <w:rPr>
          <w:rFonts w:hint="eastAsia" w:ascii="仿宋_GB2312" w:hAnsi="华文仿宋" w:eastAsia="仿宋_GB2312"/>
          <w:color w:val="auto"/>
          <w:sz w:val="28"/>
          <w:szCs w:val="28"/>
          <w:lang w:val="en-US" w:eastAsia="zh-CN"/>
        </w:rPr>
        <w:t>邀请</w:t>
      </w:r>
      <w:r>
        <w:rPr>
          <w:rFonts w:hint="eastAsia" w:ascii="仿宋_GB2312" w:hAnsi="华文仿宋" w:eastAsia="仿宋_GB2312"/>
          <w:color w:val="auto"/>
          <w:sz w:val="28"/>
          <w:szCs w:val="28"/>
        </w:rPr>
        <w:t>社工服务</w:t>
      </w:r>
      <w:r>
        <w:rPr>
          <w:rFonts w:hint="eastAsia" w:ascii="仿宋_GB2312" w:hAnsi="华文仿宋" w:eastAsia="仿宋_GB2312"/>
          <w:color w:val="auto"/>
          <w:sz w:val="28"/>
          <w:szCs w:val="28"/>
          <w:lang w:val="en-US" w:eastAsia="zh-CN"/>
        </w:rPr>
        <w:t>和标准化专业领域</w:t>
      </w:r>
      <w:r>
        <w:rPr>
          <w:rFonts w:hint="eastAsia" w:ascii="仿宋_GB2312" w:hAnsi="华文仿宋" w:eastAsia="仿宋_GB2312"/>
          <w:color w:val="auto"/>
          <w:sz w:val="28"/>
          <w:szCs w:val="28"/>
        </w:rPr>
        <w:t>的专家</w:t>
      </w:r>
      <w:r>
        <w:rPr>
          <w:rFonts w:hint="eastAsia" w:ascii="仿宋_GB2312" w:hAnsi="华文仿宋" w:eastAsia="仿宋_GB2312"/>
          <w:color w:val="auto"/>
          <w:sz w:val="28"/>
          <w:szCs w:val="28"/>
          <w:lang w:val="en-US" w:eastAsia="zh-CN"/>
        </w:rPr>
        <w:t>多次召开标准讨论会，专家主要来自湖南省民政厅、湖南省质量和标准化研究院、长沙民政学院、湖南女子学院、湖南省委党校等有关单位，</w:t>
      </w:r>
      <w:r>
        <w:rPr>
          <w:rFonts w:hint="eastAsia" w:ascii="仿宋_GB2312" w:hAnsi="华文仿宋" w:eastAsia="仿宋_GB2312"/>
          <w:color w:val="auto"/>
          <w:sz w:val="28"/>
          <w:szCs w:val="28"/>
        </w:rPr>
        <w:t>专家对该标准的框架和主要内容提出了修改意见。</w:t>
      </w:r>
      <w:r>
        <w:rPr>
          <w:rFonts w:hint="eastAsia" w:ascii="仿宋_GB2312" w:hAnsi="华文仿宋" w:eastAsia="仿宋_GB2312"/>
          <w:color w:val="auto"/>
          <w:sz w:val="28"/>
          <w:szCs w:val="28"/>
          <w:lang w:val="en-US" w:eastAsia="zh-CN"/>
        </w:rPr>
        <w:t>编制组</w:t>
      </w:r>
      <w:r>
        <w:rPr>
          <w:rFonts w:hint="eastAsia" w:ascii="仿宋_GB2312" w:hAnsi="华文仿宋" w:eastAsia="仿宋_GB2312"/>
          <w:color w:val="auto"/>
          <w:sz w:val="28"/>
          <w:szCs w:val="28"/>
        </w:rPr>
        <w:t>根据专家意见修改完善标准文本，并于202</w:t>
      </w:r>
      <w:r>
        <w:rPr>
          <w:rFonts w:hint="eastAsia" w:ascii="仿宋_GB2312" w:hAnsi="华文仿宋" w:eastAsia="仿宋_GB2312"/>
          <w:color w:val="auto"/>
          <w:sz w:val="28"/>
          <w:szCs w:val="28"/>
          <w:lang w:val="en-US" w:eastAsia="zh-CN"/>
        </w:rPr>
        <w:t>3</w:t>
      </w:r>
      <w:r>
        <w:rPr>
          <w:rFonts w:hint="eastAsia" w:ascii="仿宋_GB2312" w:hAnsi="华文仿宋" w:eastAsia="仿宋_GB2312"/>
          <w:color w:val="auto"/>
          <w:sz w:val="28"/>
          <w:szCs w:val="28"/>
        </w:rPr>
        <w:t>年</w:t>
      </w:r>
      <w:r>
        <w:rPr>
          <w:rFonts w:hint="eastAsia" w:ascii="仿宋_GB2312" w:hAnsi="华文仿宋" w:eastAsia="仿宋_GB2312"/>
          <w:color w:val="auto"/>
          <w:sz w:val="28"/>
          <w:szCs w:val="28"/>
          <w:lang w:val="en-US" w:eastAsia="zh-CN"/>
        </w:rPr>
        <w:t>3</w:t>
      </w:r>
      <w:r>
        <w:rPr>
          <w:rFonts w:hint="eastAsia" w:ascii="仿宋_GB2312" w:hAnsi="华文仿宋" w:eastAsia="仿宋_GB2312"/>
          <w:color w:val="auto"/>
          <w:sz w:val="28"/>
          <w:szCs w:val="28"/>
        </w:rPr>
        <w:t>月形成了标准征求意见稿。</w:t>
      </w:r>
    </w:p>
    <w:p>
      <w:pPr>
        <w:pStyle w:val="2"/>
        <w:rPr>
          <w:color w:val="auto"/>
        </w:rPr>
      </w:pPr>
      <w:bookmarkStart w:id="16" w:name="_Toc14069"/>
      <w:bookmarkStart w:id="17" w:name="_Toc450205626"/>
      <w:bookmarkStart w:id="18" w:name="_Toc451849981"/>
      <w:bookmarkStart w:id="19" w:name="_Toc451850353"/>
      <w:bookmarkStart w:id="20" w:name="_Toc451952355"/>
      <w:bookmarkStart w:id="21" w:name="_Toc57709200"/>
      <w:r>
        <w:rPr>
          <w:rFonts w:hint="eastAsia"/>
          <w:color w:val="auto"/>
        </w:rPr>
        <w:t>编制原则和确定主要内容</w:t>
      </w:r>
      <w:bookmarkEnd w:id="16"/>
      <w:bookmarkEnd w:id="17"/>
      <w:bookmarkEnd w:id="18"/>
      <w:bookmarkEnd w:id="19"/>
      <w:bookmarkEnd w:id="20"/>
      <w:r>
        <w:rPr>
          <w:rFonts w:hint="eastAsia"/>
          <w:color w:val="auto"/>
        </w:rPr>
        <w:t>的依据</w:t>
      </w:r>
      <w:bookmarkEnd w:id="21"/>
    </w:p>
    <w:p>
      <w:pPr>
        <w:spacing w:line="580" w:lineRule="exact"/>
        <w:ind w:firstLine="573"/>
        <w:rPr>
          <w:rFonts w:ascii="仿宋_GB2312" w:hAnsi="华文仿宋" w:eastAsia="仿宋_GB2312"/>
          <w:color w:val="auto"/>
          <w:sz w:val="28"/>
          <w:szCs w:val="28"/>
        </w:rPr>
      </w:pPr>
      <w:bookmarkStart w:id="22" w:name="_Toc450205627"/>
      <w:bookmarkStart w:id="23" w:name="_Toc451849982"/>
      <w:bookmarkStart w:id="24" w:name="_Toc451850354"/>
      <w:bookmarkStart w:id="25" w:name="_Toc26814"/>
      <w:bookmarkStart w:id="26" w:name="_Toc451952356"/>
      <w:r>
        <w:rPr>
          <w:rFonts w:hint="eastAsia" w:ascii="仿宋_GB2312" w:hAnsi="华文仿宋" w:eastAsia="仿宋_GB2312"/>
          <w:color w:val="auto"/>
          <w:sz w:val="28"/>
          <w:szCs w:val="28"/>
        </w:rPr>
        <w:t>（1）编制原则</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本标准编制遵循</w:t>
      </w:r>
      <w:r>
        <w:rPr>
          <w:rFonts w:hint="eastAsia" w:ascii="仿宋_GB2312" w:hAnsi="华文仿宋" w:eastAsia="仿宋_GB2312"/>
          <w:color w:val="auto"/>
          <w:sz w:val="28"/>
          <w:szCs w:val="28"/>
          <w:lang w:val="en-US" w:eastAsia="zh-CN"/>
        </w:rPr>
        <w:t>较强的</w:t>
      </w:r>
      <w:r>
        <w:rPr>
          <w:rFonts w:hint="eastAsia" w:ascii="仿宋_GB2312" w:hAnsi="华文仿宋" w:eastAsia="仿宋_GB2312"/>
          <w:color w:val="auto"/>
          <w:sz w:val="28"/>
          <w:szCs w:val="28"/>
        </w:rPr>
        <w:t>适用性、充分的可预见性、高效的协调和兼容性、灵活的开放性、较强的可操作性</w:t>
      </w:r>
      <w:r>
        <w:rPr>
          <w:rFonts w:hint="eastAsia" w:ascii="仿宋_GB2312" w:hAnsi="华文仿宋" w:eastAsia="仿宋_GB2312"/>
          <w:color w:val="auto"/>
          <w:sz w:val="28"/>
          <w:szCs w:val="28"/>
          <w:lang w:val="en-US" w:eastAsia="zh-CN"/>
        </w:rPr>
        <w:t>和较高的</w:t>
      </w:r>
      <w:r>
        <w:rPr>
          <w:rFonts w:hint="eastAsia" w:ascii="仿宋_GB2312" w:hAnsi="华文仿宋" w:eastAsia="仿宋_GB2312"/>
          <w:color w:val="auto"/>
          <w:sz w:val="28"/>
          <w:szCs w:val="28"/>
        </w:rPr>
        <w:t>规范性原则。</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（2）主要内容确定</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1）范围：本文件确立了乡镇（街道）社工站服务的总体原则，提供了服务功能、服务保障、服务内容、服务方法、服务流程、服务模式等方面的指导。本文件适用于乡镇（街道）社工站服务工作。</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2）明确了“社会工作者”“</w:t>
      </w:r>
      <w:r>
        <w:rPr>
          <w:rFonts w:hint="eastAsia" w:ascii="仿宋_GB2312" w:hAnsi="华文仿宋" w:eastAsia="仿宋_GB2312"/>
          <w:color w:val="auto"/>
          <w:sz w:val="28"/>
          <w:szCs w:val="28"/>
          <w:lang w:val="en-US" w:eastAsia="zh-CN"/>
        </w:rPr>
        <w:t>社会工作服务</w:t>
      </w:r>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val="en-US" w:eastAsia="zh-CN"/>
        </w:rPr>
        <w:t>乡镇（街道）工作站</w:t>
      </w:r>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个案工作</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小组</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小组工作</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和</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社区社会工作”七</w:t>
      </w:r>
      <w:r>
        <w:rPr>
          <w:rFonts w:hint="eastAsia" w:ascii="仿宋_GB2312" w:hAnsi="华文仿宋" w:eastAsia="仿宋_GB2312"/>
          <w:color w:val="auto"/>
          <w:sz w:val="28"/>
          <w:szCs w:val="28"/>
        </w:rPr>
        <w:t>个术语及其定义。</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3) 提出了</w:t>
      </w:r>
      <w:r>
        <w:rPr>
          <w:rFonts w:hint="eastAsia" w:ascii="仿宋_GB2312" w:hAnsi="华文仿宋" w:eastAsia="仿宋_GB2312"/>
          <w:color w:val="auto"/>
          <w:sz w:val="28"/>
          <w:szCs w:val="28"/>
          <w:lang w:val="en-US" w:eastAsia="zh-CN"/>
        </w:rPr>
        <w:t>总体</w:t>
      </w:r>
      <w:r>
        <w:rPr>
          <w:rFonts w:hint="eastAsia" w:ascii="仿宋_GB2312" w:hAnsi="华文仿宋" w:eastAsia="仿宋_GB2312"/>
          <w:color w:val="auto"/>
          <w:sz w:val="28"/>
          <w:szCs w:val="28"/>
        </w:rPr>
        <w:t>原则：</w:t>
      </w:r>
      <w:r>
        <w:rPr>
          <w:rFonts w:hint="eastAsia" w:ascii="仿宋_GB2312" w:hAnsi="华文仿宋" w:eastAsia="仿宋_GB2312"/>
          <w:color w:val="auto"/>
          <w:sz w:val="28"/>
          <w:szCs w:val="28"/>
          <w:lang w:val="en-US" w:eastAsia="zh-CN"/>
        </w:rPr>
        <w:t>党建引领原则、以人为本</w:t>
      </w:r>
      <w:r>
        <w:rPr>
          <w:rFonts w:hint="eastAsia" w:ascii="仿宋_GB2312" w:hAnsi="华文仿宋" w:eastAsia="仿宋_GB2312"/>
          <w:color w:val="auto"/>
          <w:sz w:val="28"/>
          <w:szCs w:val="28"/>
        </w:rPr>
        <w:t>原则、</w:t>
      </w:r>
      <w:r>
        <w:rPr>
          <w:rFonts w:hint="eastAsia" w:ascii="仿宋_GB2312" w:hAnsi="华文仿宋" w:eastAsia="仿宋_GB2312"/>
          <w:color w:val="auto"/>
          <w:sz w:val="28"/>
          <w:szCs w:val="28"/>
          <w:lang w:val="en-US" w:eastAsia="zh-CN"/>
        </w:rPr>
        <w:t>个别化</w:t>
      </w:r>
      <w:r>
        <w:rPr>
          <w:rFonts w:hint="eastAsia" w:ascii="仿宋_GB2312" w:hAnsi="华文仿宋" w:eastAsia="仿宋_GB2312"/>
          <w:color w:val="auto"/>
          <w:sz w:val="28"/>
          <w:szCs w:val="28"/>
        </w:rPr>
        <w:t>原则、</w:t>
      </w:r>
      <w:r>
        <w:rPr>
          <w:rFonts w:hint="eastAsia" w:ascii="仿宋_GB2312" w:hAnsi="华文仿宋" w:eastAsia="仿宋_GB2312"/>
          <w:color w:val="auto"/>
          <w:sz w:val="28"/>
          <w:szCs w:val="28"/>
          <w:lang w:val="en-US" w:eastAsia="zh-CN"/>
        </w:rPr>
        <w:t>统筹协调</w:t>
      </w:r>
      <w:r>
        <w:rPr>
          <w:rFonts w:hint="eastAsia" w:ascii="仿宋_GB2312" w:hAnsi="华文仿宋" w:eastAsia="仿宋_GB2312"/>
          <w:color w:val="auto"/>
          <w:sz w:val="28"/>
          <w:szCs w:val="28"/>
        </w:rPr>
        <w:t>原则</w:t>
      </w:r>
      <w:r>
        <w:rPr>
          <w:rFonts w:hint="eastAsia" w:ascii="仿宋_GB2312" w:hAnsi="华文仿宋" w:eastAsia="仿宋_GB2312"/>
          <w:color w:val="auto"/>
          <w:sz w:val="28"/>
          <w:szCs w:val="28"/>
          <w:lang w:val="en-US" w:eastAsia="zh-CN"/>
        </w:rPr>
        <w:t>和本土化</w:t>
      </w:r>
      <w:r>
        <w:rPr>
          <w:rFonts w:hint="eastAsia" w:ascii="仿宋_GB2312" w:hAnsi="华文仿宋" w:eastAsia="仿宋_GB2312"/>
          <w:color w:val="auto"/>
          <w:sz w:val="28"/>
          <w:szCs w:val="28"/>
        </w:rPr>
        <w:t>原则。</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4）</w:t>
      </w:r>
      <w:r>
        <w:rPr>
          <w:rFonts w:hint="eastAsia" w:ascii="仿宋_GB2312" w:hAnsi="华文仿宋" w:eastAsia="仿宋_GB2312"/>
          <w:color w:val="auto"/>
          <w:sz w:val="28"/>
          <w:szCs w:val="28"/>
          <w:lang w:val="en-US" w:eastAsia="zh-CN"/>
        </w:rPr>
        <w:t>明确了服务功能</w:t>
      </w:r>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val="en-US" w:eastAsia="zh-CN"/>
        </w:rPr>
        <w:t>主要包括服务困难群众、整合社会资源、构建支持网络和协助基层治理</w:t>
      </w:r>
      <w:r>
        <w:rPr>
          <w:rFonts w:hint="eastAsia" w:ascii="仿宋_GB2312" w:hAnsi="华文仿宋" w:eastAsia="仿宋_GB2312"/>
          <w:color w:val="auto"/>
          <w:sz w:val="28"/>
          <w:szCs w:val="28"/>
        </w:rPr>
        <w:t>。</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lang w:val="en-US" w:eastAsia="zh-CN"/>
        </w:rPr>
        <w:t>5</w:t>
      </w:r>
      <w:r>
        <w:rPr>
          <w:rFonts w:hint="eastAsia" w:ascii="仿宋_GB2312" w:hAnsi="华文仿宋" w:eastAsia="仿宋_GB2312"/>
          <w:color w:val="auto"/>
          <w:sz w:val="28"/>
          <w:szCs w:val="28"/>
        </w:rPr>
        <w:t>）提出了</w:t>
      </w:r>
      <w:r>
        <w:rPr>
          <w:rFonts w:hint="eastAsia" w:ascii="仿宋_GB2312" w:hAnsi="华文仿宋" w:eastAsia="仿宋_GB2312"/>
          <w:color w:val="auto"/>
          <w:sz w:val="28"/>
          <w:szCs w:val="28"/>
          <w:lang w:val="en-US" w:eastAsia="zh-CN"/>
        </w:rPr>
        <w:t>服务保障</w:t>
      </w:r>
      <w:bookmarkStart w:id="46" w:name="_GoBack"/>
      <w:bookmarkEnd w:id="46"/>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val="en-US" w:eastAsia="zh-CN"/>
        </w:rPr>
        <w:t>主要包括：党建工作、</w:t>
      </w:r>
      <w:r>
        <w:rPr>
          <w:rFonts w:hint="eastAsia" w:ascii="仿宋_GB2312" w:hAnsi="华文仿宋" w:eastAsia="仿宋_GB2312"/>
          <w:color w:val="auto"/>
          <w:sz w:val="28"/>
          <w:szCs w:val="28"/>
        </w:rPr>
        <w:t>经费筹集</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服务</w:t>
      </w:r>
      <w:r>
        <w:rPr>
          <w:rFonts w:hint="eastAsia" w:ascii="仿宋_GB2312" w:hAnsi="华文仿宋" w:eastAsia="仿宋_GB2312"/>
          <w:color w:val="auto"/>
          <w:sz w:val="28"/>
          <w:szCs w:val="28"/>
        </w:rPr>
        <w:t>场所</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服务</w:t>
      </w:r>
      <w:r>
        <w:rPr>
          <w:rFonts w:hint="eastAsia" w:ascii="仿宋_GB2312" w:hAnsi="华文仿宋" w:eastAsia="仿宋_GB2312"/>
          <w:color w:val="auto"/>
          <w:sz w:val="28"/>
          <w:szCs w:val="28"/>
        </w:rPr>
        <w:t>队伍</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工作</w:t>
      </w:r>
      <w:r>
        <w:rPr>
          <w:rFonts w:hint="eastAsia" w:ascii="仿宋_GB2312" w:hAnsi="华文仿宋" w:eastAsia="仿宋_GB2312"/>
          <w:color w:val="auto"/>
          <w:sz w:val="28"/>
          <w:szCs w:val="28"/>
        </w:rPr>
        <w:t>制度</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工作机制</w:t>
      </w:r>
      <w:r>
        <w:rPr>
          <w:rFonts w:hint="eastAsia" w:ascii="仿宋_GB2312" w:hAnsi="华文仿宋" w:eastAsia="仿宋_GB2312"/>
          <w:color w:val="auto"/>
          <w:sz w:val="28"/>
          <w:szCs w:val="28"/>
          <w:lang w:val="en-US" w:eastAsia="zh-CN"/>
        </w:rPr>
        <w:t>和信息化的工作内容</w:t>
      </w:r>
      <w:r>
        <w:rPr>
          <w:rFonts w:hint="eastAsia" w:ascii="仿宋_GB2312" w:hAnsi="华文仿宋" w:eastAsia="仿宋_GB2312"/>
          <w:color w:val="auto"/>
          <w:sz w:val="28"/>
          <w:szCs w:val="28"/>
        </w:rPr>
        <w:t>。</w:t>
      </w:r>
    </w:p>
    <w:p>
      <w:pPr>
        <w:spacing w:line="580" w:lineRule="exact"/>
        <w:ind w:firstLine="573"/>
        <w:rPr>
          <w:rFonts w:hint="eastAsia" w:ascii="仿宋_GB2312" w:hAnsi="华文仿宋" w:eastAsia="仿宋_GB2312"/>
          <w:color w:val="auto"/>
          <w:sz w:val="28"/>
          <w:szCs w:val="28"/>
        </w:rPr>
      </w:pPr>
      <w:r>
        <w:rPr>
          <w:rFonts w:hint="eastAsia" w:ascii="仿宋_GB2312" w:hAnsi="华文仿宋" w:eastAsia="仿宋_GB2312"/>
          <w:color w:val="auto"/>
          <w:sz w:val="28"/>
          <w:szCs w:val="28"/>
          <w:lang w:val="en-US" w:eastAsia="zh-CN"/>
        </w:rPr>
        <w:t>6</w:t>
      </w:r>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val="en-US" w:eastAsia="zh-CN"/>
        </w:rPr>
        <w:t>提出了服务内容</w:t>
      </w:r>
      <w:r>
        <w:rPr>
          <w:rFonts w:hint="eastAsia" w:ascii="仿宋_GB2312" w:hAnsi="华文仿宋" w:eastAsia="仿宋_GB2312"/>
          <w:color w:val="auto"/>
          <w:sz w:val="28"/>
          <w:szCs w:val="28"/>
        </w:rPr>
        <w:t>。</w:t>
      </w:r>
      <w:r>
        <w:rPr>
          <w:rFonts w:hint="eastAsia" w:ascii="仿宋_GB2312" w:hAnsi="华文仿宋" w:eastAsia="仿宋_GB2312"/>
          <w:color w:val="auto"/>
          <w:sz w:val="28"/>
          <w:szCs w:val="28"/>
          <w:lang w:val="en-US" w:eastAsia="zh-CN"/>
        </w:rPr>
        <w:t>主要包括：</w:t>
      </w:r>
      <w:r>
        <w:rPr>
          <w:rFonts w:hint="eastAsia" w:ascii="仿宋_GB2312" w:hAnsi="华文仿宋" w:eastAsia="仿宋_GB2312"/>
          <w:color w:val="auto"/>
          <w:sz w:val="28"/>
          <w:szCs w:val="28"/>
        </w:rPr>
        <w:t>社会救助社会工作</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老年社会工作服务</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儿童社会工作服务</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社区治理协助服务</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志愿服务管理</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rPr>
        <w:t>其它服务</w:t>
      </w:r>
      <w:r>
        <w:rPr>
          <w:rFonts w:hint="eastAsia" w:ascii="仿宋_GB2312" w:hAnsi="华文仿宋" w:eastAsia="仿宋_GB2312"/>
          <w:color w:val="auto"/>
          <w:sz w:val="28"/>
          <w:szCs w:val="28"/>
          <w:lang w:val="en-US" w:eastAsia="zh-CN"/>
        </w:rPr>
        <w:t>等</w:t>
      </w:r>
      <w:r>
        <w:rPr>
          <w:rFonts w:hint="eastAsia" w:ascii="仿宋_GB2312" w:hAnsi="华文仿宋" w:eastAsia="仿宋_GB2312"/>
          <w:color w:val="auto"/>
          <w:sz w:val="28"/>
          <w:szCs w:val="28"/>
        </w:rPr>
        <w:t>。</w:t>
      </w:r>
    </w:p>
    <w:p>
      <w:pPr>
        <w:spacing w:line="580" w:lineRule="exact"/>
        <w:ind w:firstLine="573"/>
        <w:rPr>
          <w:rFonts w:hint="eastAsia" w:ascii="仿宋_GB2312" w:hAnsi="华文仿宋" w:eastAsia="仿宋_GB2312"/>
          <w:color w:val="auto"/>
          <w:sz w:val="28"/>
          <w:szCs w:val="28"/>
          <w:lang w:val="en-US" w:eastAsia="zh-CN"/>
        </w:rPr>
      </w:pPr>
      <w:r>
        <w:rPr>
          <w:rFonts w:hint="eastAsia" w:ascii="仿宋_GB2312" w:hAnsi="华文仿宋" w:eastAsia="仿宋_GB2312"/>
          <w:color w:val="auto"/>
          <w:sz w:val="28"/>
          <w:szCs w:val="28"/>
          <w:lang w:val="en-US" w:eastAsia="zh-CN"/>
        </w:rPr>
        <w:t>7）提出了服务方法：主要包括：个案工作、小组工作、社区社会工作方法。</w:t>
      </w:r>
    </w:p>
    <w:p>
      <w:pPr>
        <w:spacing w:line="580" w:lineRule="exact"/>
        <w:ind w:firstLine="573"/>
        <w:rPr>
          <w:rFonts w:hint="eastAsia" w:ascii="仿宋_GB2312" w:hAnsi="华文仿宋" w:eastAsia="仿宋_GB2312"/>
          <w:color w:val="auto"/>
          <w:sz w:val="28"/>
          <w:szCs w:val="28"/>
          <w:lang w:val="en-US" w:eastAsia="zh-CN"/>
        </w:rPr>
      </w:pPr>
      <w:r>
        <w:rPr>
          <w:rFonts w:hint="eastAsia" w:ascii="仿宋_GB2312" w:hAnsi="华文仿宋" w:eastAsia="仿宋_GB2312"/>
          <w:color w:val="auto"/>
          <w:sz w:val="28"/>
          <w:szCs w:val="28"/>
          <w:lang w:val="en-US" w:eastAsia="zh-CN"/>
        </w:rPr>
        <w:t>8）提出了服务模式。服务模式主要包括：内嵌模式、下沉模式、桥接模式，以及模式选择方法。</w:t>
      </w:r>
    </w:p>
    <w:p>
      <w:pPr>
        <w:spacing w:line="580" w:lineRule="exact"/>
        <w:ind w:firstLine="573"/>
        <w:rPr>
          <w:rFonts w:hint="eastAsia" w:ascii="仿宋_GB2312" w:hAnsi="华文仿宋" w:eastAsia="仿宋_GB2312"/>
          <w:color w:val="auto"/>
          <w:sz w:val="28"/>
          <w:szCs w:val="28"/>
          <w:lang w:val="en-US" w:eastAsia="zh-CN"/>
        </w:rPr>
      </w:pPr>
      <w:r>
        <w:rPr>
          <w:rFonts w:hint="eastAsia" w:ascii="仿宋_GB2312" w:hAnsi="华文仿宋" w:eastAsia="仿宋_GB2312"/>
          <w:color w:val="auto"/>
          <w:sz w:val="28"/>
          <w:szCs w:val="28"/>
          <w:lang w:val="en-US" w:eastAsia="zh-CN"/>
        </w:rPr>
        <w:t>9）提出了服务流程。主要包括：需求评估、服务策划、服务执行</w:t>
      </w:r>
      <w:r>
        <w:rPr>
          <w:rFonts w:hint="eastAsia" w:ascii="仿宋_GB2312" w:hAnsi="华文仿宋" w:eastAsia="仿宋_GB2312"/>
          <w:color w:val="auto"/>
          <w:sz w:val="28"/>
          <w:szCs w:val="28"/>
          <w:lang w:val="en-US" w:eastAsia="zh-CN"/>
        </w:rPr>
        <w:tab/>
      </w:r>
      <w:r>
        <w:rPr>
          <w:rFonts w:hint="eastAsia" w:ascii="仿宋_GB2312" w:hAnsi="华文仿宋" w:eastAsia="仿宋_GB2312"/>
          <w:color w:val="auto"/>
          <w:sz w:val="28"/>
          <w:szCs w:val="28"/>
          <w:lang w:val="en-US" w:eastAsia="zh-CN"/>
        </w:rPr>
        <w:t>、服务评价和服务改进。</w:t>
      </w:r>
    </w:p>
    <w:p>
      <w:pPr>
        <w:spacing w:line="58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本文件内容以</w:t>
      </w:r>
      <w:r>
        <w:rPr>
          <w:rFonts w:hint="eastAsia" w:ascii="仿宋_GB2312" w:hAnsi="华文仿宋" w:eastAsia="仿宋_GB2312"/>
          <w:color w:val="auto"/>
          <w:sz w:val="28"/>
          <w:szCs w:val="28"/>
          <w:lang w:val="en-US" w:eastAsia="zh-CN"/>
        </w:rPr>
        <w:t>相关</w:t>
      </w:r>
      <w:r>
        <w:rPr>
          <w:rFonts w:hint="eastAsia" w:ascii="仿宋_GB2312" w:hAnsi="华文仿宋" w:eastAsia="仿宋_GB2312"/>
          <w:color w:val="auto"/>
          <w:sz w:val="28"/>
          <w:szCs w:val="28"/>
        </w:rPr>
        <w:t>政策要求和湖南省</w:t>
      </w:r>
      <w:r>
        <w:rPr>
          <w:rFonts w:hint="eastAsia" w:ascii="仿宋_GB2312" w:hAnsi="华文仿宋" w:eastAsia="仿宋_GB2312"/>
          <w:color w:val="auto"/>
          <w:sz w:val="28"/>
          <w:szCs w:val="28"/>
          <w:lang w:val="en-US" w:eastAsia="zh-CN"/>
        </w:rPr>
        <w:t>乡镇（街道）社会工作服务</w:t>
      </w:r>
      <w:r>
        <w:rPr>
          <w:rFonts w:hint="eastAsia" w:ascii="仿宋_GB2312" w:hAnsi="华文仿宋" w:eastAsia="仿宋_GB2312"/>
          <w:color w:val="auto"/>
          <w:sz w:val="28"/>
          <w:szCs w:val="28"/>
        </w:rPr>
        <w:t>的实际情况和经验</w:t>
      </w:r>
      <w:r>
        <w:rPr>
          <w:rFonts w:hint="eastAsia" w:ascii="仿宋_GB2312" w:hAnsi="华文仿宋" w:eastAsia="仿宋_GB2312"/>
          <w:color w:val="auto"/>
          <w:sz w:val="28"/>
          <w:szCs w:val="28"/>
          <w:lang w:val="en-US" w:eastAsia="zh-CN"/>
        </w:rPr>
        <w:t>总结</w:t>
      </w:r>
      <w:r>
        <w:rPr>
          <w:rFonts w:hint="eastAsia" w:ascii="仿宋_GB2312" w:hAnsi="华文仿宋" w:eastAsia="仿宋_GB2312"/>
          <w:color w:val="auto"/>
          <w:sz w:val="28"/>
          <w:szCs w:val="28"/>
        </w:rPr>
        <w:t>为</w:t>
      </w:r>
      <w:r>
        <w:rPr>
          <w:rFonts w:hint="eastAsia" w:ascii="仿宋_GB2312" w:hAnsi="华文仿宋" w:eastAsia="仿宋_GB2312"/>
          <w:color w:val="auto"/>
          <w:sz w:val="28"/>
          <w:szCs w:val="28"/>
          <w:lang w:val="en-US" w:eastAsia="zh-CN"/>
        </w:rPr>
        <w:t>基础</w:t>
      </w:r>
      <w:r>
        <w:rPr>
          <w:rFonts w:hint="eastAsia" w:ascii="仿宋_GB2312" w:hAnsi="华文仿宋" w:eastAsia="仿宋_GB2312"/>
          <w:color w:val="auto"/>
          <w:sz w:val="28"/>
          <w:szCs w:val="28"/>
        </w:rPr>
        <w:t>，融合其它省份的工作经验、成果进行标准转化，使得</w:t>
      </w:r>
      <w:r>
        <w:rPr>
          <w:rFonts w:hint="eastAsia" w:ascii="仿宋_GB2312" w:hAnsi="华文仿宋" w:eastAsia="仿宋_GB2312"/>
          <w:color w:val="auto"/>
          <w:sz w:val="28"/>
          <w:szCs w:val="28"/>
          <w:lang w:val="en-US" w:eastAsia="zh-CN"/>
        </w:rPr>
        <w:t>乡镇（街道）社会工作服务</w:t>
      </w:r>
      <w:r>
        <w:rPr>
          <w:rFonts w:hint="eastAsia" w:ascii="仿宋_GB2312" w:hAnsi="华文仿宋" w:eastAsia="仿宋_GB2312"/>
          <w:color w:val="auto"/>
          <w:sz w:val="28"/>
          <w:szCs w:val="28"/>
        </w:rPr>
        <w:t>成为可操作的工作</w:t>
      </w:r>
      <w:r>
        <w:rPr>
          <w:rFonts w:hint="eastAsia" w:ascii="仿宋_GB2312" w:hAnsi="华文仿宋" w:eastAsia="仿宋_GB2312"/>
          <w:color w:val="auto"/>
          <w:sz w:val="28"/>
          <w:szCs w:val="28"/>
          <w:lang w:val="en-US" w:eastAsia="zh-CN"/>
        </w:rPr>
        <w:t>指导</w:t>
      </w:r>
      <w:r>
        <w:rPr>
          <w:rFonts w:hint="eastAsia" w:ascii="仿宋_GB2312" w:hAnsi="华文仿宋" w:eastAsia="仿宋_GB2312"/>
          <w:color w:val="auto"/>
          <w:sz w:val="28"/>
          <w:szCs w:val="28"/>
        </w:rPr>
        <w:t>。</w:t>
      </w:r>
    </w:p>
    <w:bookmarkEnd w:id="22"/>
    <w:bookmarkEnd w:id="23"/>
    <w:bookmarkEnd w:id="24"/>
    <w:bookmarkEnd w:id="25"/>
    <w:bookmarkEnd w:id="26"/>
    <w:p>
      <w:pPr>
        <w:pStyle w:val="2"/>
        <w:rPr>
          <w:color w:val="auto"/>
        </w:rPr>
      </w:pPr>
      <w:bookmarkStart w:id="27" w:name="_Toc451849983"/>
      <w:bookmarkStart w:id="28" w:name="_Toc451952357"/>
      <w:bookmarkStart w:id="29" w:name="_Toc450205628"/>
      <w:bookmarkStart w:id="30" w:name="_Toc17178"/>
      <w:bookmarkStart w:id="31" w:name="_Toc57709201"/>
      <w:bookmarkStart w:id="32" w:name="_Toc451850355"/>
      <w:r>
        <w:rPr>
          <w:rFonts w:hint="eastAsia"/>
          <w:color w:val="auto"/>
        </w:rPr>
        <w:t>与我国有关现行法律、法规和其他强制性标准的关系</w:t>
      </w:r>
      <w:bookmarkEnd w:id="27"/>
      <w:bookmarkEnd w:id="28"/>
      <w:bookmarkEnd w:id="29"/>
      <w:bookmarkEnd w:id="30"/>
      <w:bookmarkEnd w:id="31"/>
      <w:bookmarkEnd w:id="32"/>
    </w:p>
    <w:p>
      <w:pPr>
        <w:tabs>
          <w:tab w:val="left" w:pos="360"/>
        </w:tabs>
        <w:spacing w:line="360" w:lineRule="auto"/>
        <w:ind w:firstLine="480"/>
        <w:rPr>
          <w:rFonts w:ascii="仿宋_GB2312" w:hAnsi="华文仿宋" w:eastAsia="仿宋_GB2312"/>
          <w:color w:val="auto"/>
          <w:sz w:val="28"/>
          <w:szCs w:val="28"/>
        </w:rPr>
      </w:pPr>
      <w:r>
        <w:rPr>
          <w:rFonts w:hint="eastAsia" w:ascii="仿宋_GB2312" w:hAnsi="华文仿宋" w:eastAsia="仿宋_GB2312"/>
          <w:color w:val="auto"/>
          <w:sz w:val="28"/>
          <w:szCs w:val="28"/>
        </w:rPr>
        <w:t>目前，在我国现有标准体系中，在国家层面尚未有与</w:t>
      </w:r>
      <w:r>
        <w:rPr>
          <w:rFonts w:hint="eastAsia" w:ascii="仿宋_GB2312" w:hAnsi="华文仿宋" w:eastAsia="仿宋_GB2312"/>
          <w:color w:val="auto"/>
          <w:sz w:val="28"/>
          <w:szCs w:val="28"/>
          <w:lang w:val="en-US" w:eastAsia="zh-CN"/>
        </w:rPr>
        <w:t>乡镇（街道）社会工作服务</w:t>
      </w:r>
      <w:r>
        <w:rPr>
          <w:rFonts w:hint="eastAsia" w:ascii="仿宋_GB2312" w:hAnsi="华文仿宋" w:eastAsia="仿宋_GB2312"/>
          <w:color w:val="auto"/>
          <w:sz w:val="28"/>
          <w:szCs w:val="28"/>
        </w:rPr>
        <w:t>相关的标准，有相关部委、省级地市出台了</w:t>
      </w:r>
      <w:r>
        <w:rPr>
          <w:rFonts w:hint="eastAsia" w:ascii="仿宋_GB2312" w:hAnsi="华文仿宋" w:eastAsia="仿宋_GB2312"/>
          <w:color w:val="auto"/>
          <w:sz w:val="28"/>
          <w:szCs w:val="28"/>
          <w:lang w:val="en-US" w:eastAsia="zh-CN"/>
        </w:rPr>
        <w:t>乡镇（街道）社会工作服务</w:t>
      </w:r>
      <w:r>
        <w:rPr>
          <w:rFonts w:hint="eastAsia" w:ascii="仿宋_GB2312" w:hAnsi="华文仿宋" w:eastAsia="仿宋_GB2312"/>
          <w:color w:val="auto"/>
          <w:sz w:val="28"/>
          <w:szCs w:val="28"/>
        </w:rPr>
        <w:t>相关的政策文件等。本标准在编制过程中尽量直接引用或修改引用其主要观点及内容要求。本标准条款均符合国家现行的法律、法规、条例及相关标准要求。</w:t>
      </w:r>
    </w:p>
    <w:p>
      <w:pPr>
        <w:pStyle w:val="2"/>
        <w:rPr>
          <w:color w:val="auto"/>
        </w:rPr>
      </w:pPr>
      <w:bookmarkStart w:id="33" w:name="_Toc57709202"/>
      <w:bookmarkStart w:id="34" w:name="_Toc450205629"/>
      <w:bookmarkStart w:id="35" w:name="_Toc451850356"/>
      <w:bookmarkStart w:id="36" w:name="_Toc451952358"/>
      <w:bookmarkStart w:id="37" w:name="_Toc451849984"/>
      <w:bookmarkStart w:id="38" w:name="_Toc12944"/>
      <w:r>
        <w:rPr>
          <w:rFonts w:hint="eastAsia"/>
          <w:color w:val="auto"/>
        </w:rPr>
        <w:t>标准预期的社会经济效益</w:t>
      </w:r>
      <w:bookmarkEnd w:id="33"/>
      <w:bookmarkEnd w:id="34"/>
      <w:bookmarkEnd w:id="35"/>
      <w:bookmarkEnd w:id="36"/>
      <w:bookmarkEnd w:id="37"/>
      <w:bookmarkEnd w:id="38"/>
    </w:p>
    <w:p>
      <w:pPr>
        <w:pStyle w:val="28"/>
        <w:ind w:left="0" w:leftChars="0" w:firstLine="560" w:firstLineChars="200"/>
        <w:rPr>
          <w:rFonts w:hint="eastAsia" w:ascii="仿宋_GB2312" w:hAnsi="华文仿宋" w:eastAsia="仿宋_GB2312"/>
          <w:color w:val="auto"/>
          <w:sz w:val="28"/>
          <w:szCs w:val="28"/>
        </w:rPr>
      </w:pPr>
      <w:r>
        <w:rPr>
          <w:rFonts w:hint="eastAsia" w:ascii="仿宋_GB2312" w:hAnsi="华文仿宋" w:eastAsia="仿宋_GB2312"/>
          <w:color w:val="auto"/>
          <w:sz w:val="28"/>
          <w:szCs w:val="28"/>
        </w:rPr>
        <w:t>通过制定实施该地方标准，为乡镇（街道）社工站服务提供</w:t>
      </w:r>
      <w:r>
        <w:rPr>
          <w:rFonts w:hint="eastAsia" w:ascii="仿宋_GB2312" w:hAnsi="华文仿宋" w:eastAsia="仿宋_GB2312"/>
          <w:color w:val="auto"/>
          <w:sz w:val="28"/>
          <w:szCs w:val="28"/>
          <w:lang w:val="en-US" w:eastAsia="zh-CN"/>
        </w:rPr>
        <w:t>引导</w:t>
      </w:r>
      <w:r>
        <w:rPr>
          <w:rFonts w:hint="eastAsia" w:ascii="仿宋_GB2312" w:hAnsi="华文仿宋" w:eastAsia="仿宋_GB2312"/>
          <w:color w:val="auto"/>
          <w:sz w:val="28"/>
          <w:szCs w:val="28"/>
        </w:rPr>
        <w:t>，发挥地方标准的导向作用，</w:t>
      </w:r>
      <w:r>
        <w:rPr>
          <w:rFonts w:hint="eastAsia" w:ascii="仿宋_GB2312" w:hAnsi="华文仿宋" w:eastAsia="仿宋_GB2312"/>
          <w:color w:val="auto"/>
          <w:sz w:val="28"/>
          <w:szCs w:val="28"/>
          <w:lang w:val="en-US" w:eastAsia="zh-CN"/>
        </w:rPr>
        <w:t>有利于</w:t>
      </w:r>
      <w:r>
        <w:rPr>
          <w:rFonts w:hint="eastAsia" w:ascii="仿宋_GB2312" w:hAnsi="华文仿宋" w:eastAsia="仿宋_GB2312"/>
          <w:color w:val="auto"/>
          <w:sz w:val="28"/>
          <w:szCs w:val="28"/>
        </w:rPr>
        <w:t>促进乡镇（街道）社工站服务更加科学有效开展</w:t>
      </w:r>
      <w:r>
        <w:rPr>
          <w:rFonts w:hint="eastAsia" w:ascii="仿宋_GB2312" w:hAnsi="华文仿宋" w:eastAsia="仿宋_GB2312"/>
          <w:color w:val="auto"/>
          <w:sz w:val="28"/>
          <w:szCs w:val="28"/>
          <w:lang w:eastAsia="zh-CN"/>
        </w:rPr>
        <w:t>，</w:t>
      </w:r>
      <w:r>
        <w:rPr>
          <w:rFonts w:hint="eastAsia" w:ascii="仿宋_GB2312" w:hAnsi="华文仿宋" w:eastAsia="仿宋_GB2312"/>
          <w:color w:val="auto"/>
          <w:sz w:val="28"/>
          <w:szCs w:val="28"/>
          <w:lang w:val="en-US" w:eastAsia="zh-CN"/>
        </w:rPr>
        <w:t>进一步</w:t>
      </w:r>
      <w:r>
        <w:rPr>
          <w:rFonts w:hint="eastAsia" w:ascii="仿宋_GB2312" w:hAnsi="华文仿宋" w:eastAsia="仿宋_GB2312"/>
          <w:color w:val="auto"/>
          <w:sz w:val="28"/>
          <w:szCs w:val="28"/>
        </w:rPr>
        <w:t>提升乡镇（街道）社工站服务水平，</w:t>
      </w:r>
      <w:r>
        <w:rPr>
          <w:rFonts w:hint="eastAsia" w:ascii="仿宋_GB2312" w:hAnsi="华文仿宋" w:eastAsia="仿宋_GB2312"/>
          <w:color w:val="auto"/>
          <w:sz w:val="28"/>
          <w:szCs w:val="28"/>
          <w:lang w:val="en-US" w:eastAsia="zh-CN"/>
        </w:rPr>
        <w:t>满足人民群众对社工服务的需求</w:t>
      </w:r>
      <w:r>
        <w:rPr>
          <w:rFonts w:hint="eastAsia" w:ascii="仿宋_GB2312" w:hAnsi="华文仿宋" w:eastAsia="仿宋_GB2312"/>
          <w:color w:val="auto"/>
          <w:sz w:val="28"/>
          <w:szCs w:val="28"/>
        </w:rPr>
        <w:t>。</w:t>
      </w:r>
    </w:p>
    <w:p>
      <w:pPr>
        <w:pStyle w:val="2"/>
        <w:rPr>
          <w:color w:val="auto"/>
        </w:rPr>
      </w:pPr>
      <w:bookmarkStart w:id="39" w:name="_Toc57709203"/>
      <w:r>
        <w:rPr>
          <w:rFonts w:hint="eastAsia"/>
          <w:color w:val="auto"/>
        </w:rPr>
        <w:t>重大意见分歧及处理结果</w:t>
      </w:r>
      <w:bookmarkEnd w:id="39"/>
    </w:p>
    <w:p>
      <w:pPr>
        <w:pStyle w:val="3"/>
        <w:rPr>
          <w:rFonts w:hint="eastAsia"/>
          <w:color w:val="auto"/>
        </w:rPr>
      </w:pPr>
      <w:r>
        <w:rPr>
          <w:rFonts w:hint="eastAsia"/>
          <w:color w:val="auto"/>
        </w:rPr>
        <w:t>无重大意见分歧。</w:t>
      </w:r>
    </w:p>
    <w:p>
      <w:pPr>
        <w:pStyle w:val="3"/>
        <w:rPr>
          <w:rFonts w:hint="eastAsia"/>
          <w:color w:val="auto"/>
        </w:rPr>
      </w:pPr>
    </w:p>
    <w:p>
      <w:pPr>
        <w:pStyle w:val="2"/>
        <w:rPr>
          <w:color w:val="auto"/>
        </w:rPr>
      </w:pPr>
      <w:bookmarkStart w:id="40" w:name="_Toc450205630"/>
      <w:bookmarkStart w:id="41" w:name="_Toc57709204"/>
      <w:bookmarkStart w:id="42" w:name="_Toc451849985"/>
      <w:bookmarkStart w:id="43" w:name="_Toc16259"/>
      <w:bookmarkStart w:id="44" w:name="_Toc451850357"/>
      <w:bookmarkStart w:id="45" w:name="_Toc451952359"/>
      <w:r>
        <w:rPr>
          <w:rFonts w:hint="eastAsia"/>
          <w:color w:val="auto"/>
        </w:rPr>
        <w:t>贯彻实施本标准的措施、建议</w:t>
      </w:r>
      <w:bookmarkEnd w:id="40"/>
      <w:bookmarkEnd w:id="41"/>
      <w:bookmarkEnd w:id="42"/>
      <w:bookmarkEnd w:id="43"/>
      <w:bookmarkEnd w:id="44"/>
      <w:bookmarkEnd w:id="45"/>
    </w:p>
    <w:p>
      <w:pPr>
        <w:widowControl/>
        <w:spacing w:line="560" w:lineRule="exact"/>
        <w:jc w:val="left"/>
        <w:rPr>
          <w:rFonts w:ascii="仿宋_GB2312" w:hAnsi="华文仿宋" w:eastAsia="仿宋_GB2312"/>
          <w:color w:val="auto"/>
          <w:sz w:val="28"/>
          <w:szCs w:val="28"/>
        </w:rPr>
      </w:pPr>
      <w:r>
        <w:rPr>
          <w:rFonts w:hint="eastAsia" w:ascii="仿宋_GB2312" w:hAnsi="华文仿宋" w:eastAsia="仿宋_GB2312"/>
          <w:color w:val="auto"/>
          <w:sz w:val="28"/>
          <w:szCs w:val="28"/>
        </w:rPr>
        <w:t xml:space="preserve">    为更好地贯彻实施本标准，建议在</w:t>
      </w:r>
      <w:r>
        <w:rPr>
          <w:rFonts w:hint="eastAsia" w:ascii="仿宋_GB2312" w:hAnsi="华文仿宋" w:eastAsia="仿宋_GB2312"/>
          <w:color w:val="auto"/>
          <w:sz w:val="28"/>
          <w:szCs w:val="28"/>
          <w:lang w:val="en-US" w:eastAsia="zh-CN"/>
        </w:rPr>
        <w:t>全</w:t>
      </w:r>
      <w:r>
        <w:rPr>
          <w:rFonts w:hint="eastAsia" w:ascii="仿宋_GB2312" w:hAnsi="华文仿宋" w:eastAsia="仿宋_GB2312"/>
          <w:color w:val="auto"/>
          <w:sz w:val="28"/>
          <w:szCs w:val="28"/>
        </w:rPr>
        <w:t>省各级</w:t>
      </w:r>
      <w:r>
        <w:rPr>
          <w:rFonts w:hint="eastAsia" w:ascii="仿宋_GB2312" w:hAnsi="华文仿宋" w:eastAsia="仿宋_GB2312"/>
          <w:color w:val="auto"/>
          <w:sz w:val="28"/>
          <w:szCs w:val="28"/>
          <w:lang w:val="en-US" w:eastAsia="zh-CN"/>
        </w:rPr>
        <w:t>民政部门和</w:t>
      </w:r>
      <w:r>
        <w:rPr>
          <w:rFonts w:hint="eastAsia" w:ascii="仿宋_GB2312" w:hAnsi="华文仿宋" w:eastAsia="仿宋_GB2312"/>
          <w:color w:val="auto"/>
          <w:sz w:val="28"/>
          <w:szCs w:val="28"/>
        </w:rPr>
        <w:t>标准化主管部门的协调推进下，有针对性地开展《乡镇（街道）社工站服务指南》的宣贯和培训，增强实施标准的自觉性。</w:t>
      </w:r>
      <w:r>
        <w:rPr>
          <w:rFonts w:hint="eastAsia" w:ascii="仿宋_GB2312" w:hAnsi="华文仿宋" w:eastAsia="仿宋_GB2312"/>
          <w:color w:val="auto"/>
          <w:sz w:val="28"/>
          <w:szCs w:val="28"/>
          <w:lang w:val="en-US" w:eastAsia="zh-CN"/>
        </w:rPr>
        <w:t>同时，</w:t>
      </w:r>
      <w:r>
        <w:rPr>
          <w:rFonts w:hint="eastAsia" w:ascii="仿宋_GB2312" w:hAnsi="华文仿宋" w:eastAsia="仿宋_GB2312"/>
          <w:color w:val="auto"/>
          <w:sz w:val="28"/>
          <w:szCs w:val="28"/>
        </w:rPr>
        <w:t>还应做好以下几个方面的工作。</w:t>
      </w:r>
    </w:p>
    <w:p>
      <w:pPr>
        <w:numPr>
          <w:ilvl w:val="0"/>
          <w:numId w:val="5"/>
        </w:numPr>
        <w:spacing w:line="56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做好标准宣传。切实做好宣传和引导，不断规范我省乡镇（街道）社工站服务活动开展。</w:t>
      </w:r>
    </w:p>
    <w:p>
      <w:pPr>
        <w:numPr>
          <w:ilvl w:val="0"/>
          <w:numId w:val="5"/>
        </w:numPr>
        <w:spacing w:line="56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加深标准指导。标准归口单位应进行贯标指导，组织标准</w:t>
      </w:r>
      <w:r>
        <w:rPr>
          <w:rFonts w:hint="eastAsia" w:ascii="仿宋_GB2312" w:hAnsi="华文仿宋" w:eastAsia="仿宋_GB2312"/>
          <w:color w:val="auto"/>
          <w:sz w:val="28"/>
          <w:szCs w:val="28"/>
          <w:lang w:val="en-US" w:eastAsia="zh-CN"/>
        </w:rPr>
        <w:t>起草</w:t>
      </w:r>
      <w:r>
        <w:rPr>
          <w:rFonts w:hint="eastAsia" w:ascii="仿宋_GB2312" w:hAnsi="华文仿宋" w:eastAsia="仿宋_GB2312"/>
          <w:color w:val="auto"/>
          <w:sz w:val="28"/>
          <w:szCs w:val="28"/>
        </w:rPr>
        <w:t>人员进行标准宣贯、答疑和咨询。</w:t>
      </w:r>
    </w:p>
    <w:p>
      <w:pPr>
        <w:numPr>
          <w:ilvl w:val="0"/>
          <w:numId w:val="5"/>
        </w:numPr>
        <w:spacing w:line="56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加强监督监察。在标准的实施过程中，加强监督、抽查和指导工作。</w:t>
      </w:r>
    </w:p>
    <w:p>
      <w:pPr>
        <w:numPr>
          <w:ilvl w:val="0"/>
          <w:numId w:val="5"/>
        </w:numPr>
        <w:spacing w:line="560" w:lineRule="exact"/>
        <w:ind w:firstLine="573"/>
        <w:rPr>
          <w:rFonts w:ascii="仿宋_GB2312" w:hAnsi="华文仿宋" w:eastAsia="仿宋_GB2312"/>
          <w:color w:val="auto"/>
          <w:sz w:val="28"/>
          <w:szCs w:val="28"/>
        </w:rPr>
      </w:pPr>
      <w:r>
        <w:rPr>
          <w:rFonts w:hint="eastAsia" w:ascii="仿宋_GB2312" w:hAnsi="华文仿宋" w:eastAsia="仿宋_GB2312"/>
          <w:color w:val="auto"/>
          <w:sz w:val="28"/>
          <w:szCs w:val="28"/>
        </w:rPr>
        <w:t>持续开展评价改进。标准化归口单位应定期开展标准实施评价活动，不断收集整理意见，并适时开展标准修订工作。</w:t>
      </w: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2</w:t>
    </w:r>
    <w:r>
      <w:rPr>
        <w:lang w:val="zh-CN"/>
      </w:rP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96A84"/>
    <w:multiLevelType w:val="multilevel"/>
    <w:tmpl w:val="0D896A84"/>
    <w:lvl w:ilvl="0" w:tentative="0">
      <w:start w:val="1"/>
      <w:numFmt w:val="decimal"/>
      <w:pStyle w:val="2"/>
      <w:lvlText w:val="%1"/>
      <w:lvlJc w:val="left"/>
      <w:pPr>
        <w:tabs>
          <w:tab w:val="left" w:pos="425"/>
        </w:tabs>
        <w:ind w:left="425" w:hanging="425"/>
      </w:pPr>
      <w:rPr>
        <w:rFonts w:hint="eastAsia" w:ascii="黑体" w:hAnsi="黑体" w:eastAsia="黑体"/>
      </w:rPr>
    </w:lvl>
    <w:lvl w:ilvl="1" w:tentative="0">
      <w:start w:val="1"/>
      <w:numFmt w:val="decimal"/>
      <w:lvlText w:val="%1.%2"/>
      <w:lvlJc w:val="left"/>
      <w:pPr>
        <w:tabs>
          <w:tab w:val="left" w:pos="567"/>
        </w:tabs>
        <w:ind w:left="567" w:hanging="567"/>
      </w:pPr>
      <w:rPr>
        <w:rFonts w:hint="eastAsia" w:ascii="黑体" w:hAnsi="黑体" w:eastAsia="黑体"/>
        <w:sz w:val="24"/>
        <w:szCs w:val="24"/>
      </w:rPr>
    </w:lvl>
    <w:lvl w:ilvl="2" w:tentative="0">
      <w:start w:val="1"/>
      <w:numFmt w:val="decimal"/>
      <w:lvlText w:val="%1.%2.%3"/>
      <w:lvlJc w:val="left"/>
      <w:pPr>
        <w:tabs>
          <w:tab w:val="left" w:pos="1069"/>
        </w:tabs>
        <w:ind w:left="1069" w:hanging="709"/>
      </w:pPr>
      <w:rPr>
        <w:rFonts w:hint="eastAsia" w:ascii="黑体" w:hAnsi="黑体" w:eastAsia="黑体"/>
      </w:rPr>
    </w:lvl>
    <w:lvl w:ilvl="3" w:tentative="0">
      <w:start w:val="1"/>
      <w:numFmt w:val="decimal"/>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42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4BCB6DC"/>
    <w:multiLevelType w:val="singleLevel"/>
    <w:tmpl w:val="54BCB6DC"/>
    <w:lvl w:ilvl="0" w:tentative="0">
      <w:start w:val="1"/>
      <w:numFmt w:val="chineseCounting"/>
      <w:suff w:val="nothing"/>
      <w:lvlText w:val="%1、"/>
      <w:lvlJc w:val="left"/>
    </w:lvl>
  </w:abstractNum>
  <w:abstractNum w:abstractNumId="3">
    <w:nsid w:val="646260FA"/>
    <w:multiLevelType w:val="multilevel"/>
    <w:tmpl w:val="646260FA"/>
    <w:lvl w:ilvl="0" w:tentative="0">
      <w:start w:val="1"/>
      <w:numFmt w:val="decimal"/>
      <w:pStyle w:val="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778F6861"/>
    <w:multiLevelType w:val="singleLevel"/>
    <w:tmpl w:val="778F6861"/>
    <w:lvl w:ilvl="0" w:tentative="0">
      <w:start w:val="2"/>
      <w:numFmt w:val="decimal"/>
      <w:suff w:val="nothing"/>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kzMmZiYzNkMjQ0MzQxYWRhNDZmZjMxMDU2NTljMzkifQ=="/>
    <w:docVar w:name="KSO_WPS_MARK_KEY" w:val="fcbad7bd-9361-4d80-a4ed-6e0ebb0481b2"/>
  </w:docVars>
  <w:rsids>
    <w:rsidRoot w:val="00B00D59"/>
    <w:rsid w:val="00000CAE"/>
    <w:rsid w:val="00007041"/>
    <w:rsid w:val="00012D72"/>
    <w:rsid w:val="00017BCC"/>
    <w:rsid w:val="00020274"/>
    <w:rsid w:val="00050253"/>
    <w:rsid w:val="00051769"/>
    <w:rsid w:val="0007477F"/>
    <w:rsid w:val="000872ED"/>
    <w:rsid w:val="000900D4"/>
    <w:rsid w:val="000930F7"/>
    <w:rsid w:val="00096D0B"/>
    <w:rsid w:val="000B3E75"/>
    <w:rsid w:val="000D4DBC"/>
    <w:rsid w:val="000D4F44"/>
    <w:rsid w:val="000E1275"/>
    <w:rsid w:val="000F0962"/>
    <w:rsid w:val="000F1097"/>
    <w:rsid w:val="000F1751"/>
    <w:rsid w:val="000F17B2"/>
    <w:rsid w:val="000F7FDA"/>
    <w:rsid w:val="0010350D"/>
    <w:rsid w:val="00104996"/>
    <w:rsid w:val="00112AFB"/>
    <w:rsid w:val="001166F9"/>
    <w:rsid w:val="0013032D"/>
    <w:rsid w:val="0015199A"/>
    <w:rsid w:val="001709C6"/>
    <w:rsid w:val="0017377F"/>
    <w:rsid w:val="001829B8"/>
    <w:rsid w:val="001834B6"/>
    <w:rsid w:val="00196374"/>
    <w:rsid w:val="001C1523"/>
    <w:rsid w:val="001C62AC"/>
    <w:rsid w:val="001D6186"/>
    <w:rsid w:val="0020727B"/>
    <w:rsid w:val="00210D10"/>
    <w:rsid w:val="00231A79"/>
    <w:rsid w:val="00235A6A"/>
    <w:rsid w:val="00260A63"/>
    <w:rsid w:val="00266F45"/>
    <w:rsid w:val="0028002B"/>
    <w:rsid w:val="0028153F"/>
    <w:rsid w:val="00283903"/>
    <w:rsid w:val="00284A4F"/>
    <w:rsid w:val="002855AC"/>
    <w:rsid w:val="002966E0"/>
    <w:rsid w:val="002D2E82"/>
    <w:rsid w:val="002D444B"/>
    <w:rsid w:val="003016A0"/>
    <w:rsid w:val="00307CBC"/>
    <w:rsid w:val="0031394F"/>
    <w:rsid w:val="00324712"/>
    <w:rsid w:val="003407FE"/>
    <w:rsid w:val="00341303"/>
    <w:rsid w:val="00343214"/>
    <w:rsid w:val="0035151B"/>
    <w:rsid w:val="003541CA"/>
    <w:rsid w:val="00363D29"/>
    <w:rsid w:val="00367B64"/>
    <w:rsid w:val="00393BC2"/>
    <w:rsid w:val="003A1EF3"/>
    <w:rsid w:val="003B1633"/>
    <w:rsid w:val="003B19B8"/>
    <w:rsid w:val="003B19D1"/>
    <w:rsid w:val="003B7465"/>
    <w:rsid w:val="003C15FF"/>
    <w:rsid w:val="003C6A7C"/>
    <w:rsid w:val="003D0C7A"/>
    <w:rsid w:val="003E1C5C"/>
    <w:rsid w:val="003F4674"/>
    <w:rsid w:val="004142B4"/>
    <w:rsid w:val="00451AF7"/>
    <w:rsid w:val="00464BCA"/>
    <w:rsid w:val="0047652D"/>
    <w:rsid w:val="00492E19"/>
    <w:rsid w:val="004A209B"/>
    <w:rsid w:val="004A6C19"/>
    <w:rsid w:val="004B2791"/>
    <w:rsid w:val="004B7B35"/>
    <w:rsid w:val="004D3483"/>
    <w:rsid w:val="004D6592"/>
    <w:rsid w:val="004E7B08"/>
    <w:rsid w:val="004F2B85"/>
    <w:rsid w:val="004F4402"/>
    <w:rsid w:val="004F76A1"/>
    <w:rsid w:val="005114DC"/>
    <w:rsid w:val="0055622F"/>
    <w:rsid w:val="00576162"/>
    <w:rsid w:val="00577571"/>
    <w:rsid w:val="005B1B59"/>
    <w:rsid w:val="005B5BCC"/>
    <w:rsid w:val="005B6DE3"/>
    <w:rsid w:val="005C08D6"/>
    <w:rsid w:val="005C4AB5"/>
    <w:rsid w:val="005D05F4"/>
    <w:rsid w:val="005F5AD5"/>
    <w:rsid w:val="00606D30"/>
    <w:rsid w:val="006243C1"/>
    <w:rsid w:val="00635B10"/>
    <w:rsid w:val="00636A98"/>
    <w:rsid w:val="00636DC5"/>
    <w:rsid w:val="0068183D"/>
    <w:rsid w:val="006901E9"/>
    <w:rsid w:val="00696947"/>
    <w:rsid w:val="00697BB4"/>
    <w:rsid w:val="006B307E"/>
    <w:rsid w:val="006C79C9"/>
    <w:rsid w:val="006E620F"/>
    <w:rsid w:val="006F0347"/>
    <w:rsid w:val="00705ED0"/>
    <w:rsid w:val="00731894"/>
    <w:rsid w:val="0073340C"/>
    <w:rsid w:val="007446E6"/>
    <w:rsid w:val="0074495D"/>
    <w:rsid w:val="00747851"/>
    <w:rsid w:val="00751A02"/>
    <w:rsid w:val="00754130"/>
    <w:rsid w:val="007A6E35"/>
    <w:rsid w:val="007B18EF"/>
    <w:rsid w:val="007C2FCD"/>
    <w:rsid w:val="007C31C9"/>
    <w:rsid w:val="007C7B92"/>
    <w:rsid w:val="0080589E"/>
    <w:rsid w:val="0083201E"/>
    <w:rsid w:val="00843F54"/>
    <w:rsid w:val="008475F1"/>
    <w:rsid w:val="0085013D"/>
    <w:rsid w:val="008651AE"/>
    <w:rsid w:val="00866E9E"/>
    <w:rsid w:val="00872CF4"/>
    <w:rsid w:val="00877A08"/>
    <w:rsid w:val="008A3228"/>
    <w:rsid w:val="008C59D1"/>
    <w:rsid w:val="008D78B9"/>
    <w:rsid w:val="008F0E9F"/>
    <w:rsid w:val="00913116"/>
    <w:rsid w:val="0092434D"/>
    <w:rsid w:val="00945403"/>
    <w:rsid w:val="00994531"/>
    <w:rsid w:val="009A1A7C"/>
    <w:rsid w:val="009A5038"/>
    <w:rsid w:val="009A57C4"/>
    <w:rsid w:val="009A6102"/>
    <w:rsid w:val="009C0D65"/>
    <w:rsid w:val="009E13A8"/>
    <w:rsid w:val="009E62AE"/>
    <w:rsid w:val="00A00F3C"/>
    <w:rsid w:val="00A0355B"/>
    <w:rsid w:val="00A279F6"/>
    <w:rsid w:val="00A42330"/>
    <w:rsid w:val="00A46F4E"/>
    <w:rsid w:val="00A502E4"/>
    <w:rsid w:val="00A77D46"/>
    <w:rsid w:val="00A91295"/>
    <w:rsid w:val="00AB08DB"/>
    <w:rsid w:val="00AB5F42"/>
    <w:rsid w:val="00AB641B"/>
    <w:rsid w:val="00AC2D25"/>
    <w:rsid w:val="00AC688B"/>
    <w:rsid w:val="00AD6417"/>
    <w:rsid w:val="00AE5ADE"/>
    <w:rsid w:val="00AF4E9A"/>
    <w:rsid w:val="00B00D59"/>
    <w:rsid w:val="00B30A13"/>
    <w:rsid w:val="00B5371B"/>
    <w:rsid w:val="00B55F27"/>
    <w:rsid w:val="00B57154"/>
    <w:rsid w:val="00B57B36"/>
    <w:rsid w:val="00B76FCB"/>
    <w:rsid w:val="00B834F8"/>
    <w:rsid w:val="00B93D1F"/>
    <w:rsid w:val="00BA720A"/>
    <w:rsid w:val="00BB3FC4"/>
    <w:rsid w:val="00BB5EE8"/>
    <w:rsid w:val="00BC1525"/>
    <w:rsid w:val="00BC53F4"/>
    <w:rsid w:val="00C209D6"/>
    <w:rsid w:val="00C22006"/>
    <w:rsid w:val="00C5434C"/>
    <w:rsid w:val="00C57B69"/>
    <w:rsid w:val="00C653B9"/>
    <w:rsid w:val="00C875AD"/>
    <w:rsid w:val="00C93C97"/>
    <w:rsid w:val="00CB6578"/>
    <w:rsid w:val="00CC2487"/>
    <w:rsid w:val="00CC383A"/>
    <w:rsid w:val="00CD1193"/>
    <w:rsid w:val="00CD3810"/>
    <w:rsid w:val="00D03DE8"/>
    <w:rsid w:val="00D11002"/>
    <w:rsid w:val="00D11203"/>
    <w:rsid w:val="00D13694"/>
    <w:rsid w:val="00D16448"/>
    <w:rsid w:val="00D361D5"/>
    <w:rsid w:val="00D4693D"/>
    <w:rsid w:val="00D53006"/>
    <w:rsid w:val="00D55D4A"/>
    <w:rsid w:val="00D73444"/>
    <w:rsid w:val="00D83166"/>
    <w:rsid w:val="00D85F9A"/>
    <w:rsid w:val="00D87934"/>
    <w:rsid w:val="00D96686"/>
    <w:rsid w:val="00DB4F0B"/>
    <w:rsid w:val="00DC6FFC"/>
    <w:rsid w:val="00DC781F"/>
    <w:rsid w:val="00DD7EB4"/>
    <w:rsid w:val="00DE35D0"/>
    <w:rsid w:val="00DE57D8"/>
    <w:rsid w:val="00DE5FEB"/>
    <w:rsid w:val="00DF119A"/>
    <w:rsid w:val="00E042F7"/>
    <w:rsid w:val="00E443D5"/>
    <w:rsid w:val="00E514D7"/>
    <w:rsid w:val="00E61AD2"/>
    <w:rsid w:val="00E61F4B"/>
    <w:rsid w:val="00E643DC"/>
    <w:rsid w:val="00E655E0"/>
    <w:rsid w:val="00E80AD6"/>
    <w:rsid w:val="00EB4689"/>
    <w:rsid w:val="00EC1794"/>
    <w:rsid w:val="00EC7EC6"/>
    <w:rsid w:val="00EE0986"/>
    <w:rsid w:val="00EE5D9C"/>
    <w:rsid w:val="00EF472F"/>
    <w:rsid w:val="00F04924"/>
    <w:rsid w:val="00F259D2"/>
    <w:rsid w:val="00F352C1"/>
    <w:rsid w:val="00F36640"/>
    <w:rsid w:val="00F61CC0"/>
    <w:rsid w:val="00F62869"/>
    <w:rsid w:val="00F90EF5"/>
    <w:rsid w:val="00F92925"/>
    <w:rsid w:val="00FA065B"/>
    <w:rsid w:val="00FA20AA"/>
    <w:rsid w:val="00FB2385"/>
    <w:rsid w:val="00FC63C3"/>
    <w:rsid w:val="00FD1E89"/>
    <w:rsid w:val="00FD4C83"/>
    <w:rsid w:val="01846F0A"/>
    <w:rsid w:val="01875ADF"/>
    <w:rsid w:val="02522DDA"/>
    <w:rsid w:val="02672D80"/>
    <w:rsid w:val="029370C7"/>
    <w:rsid w:val="02CF0E89"/>
    <w:rsid w:val="02F45E67"/>
    <w:rsid w:val="030A5E0C"/>
    <w:rsid w:val="038C0CE5"/>
    <w:rsid w:val="03E32325"/>
    <w:rsid w:val="03E37CED"/>
    <w:rsid w:val="044B421A"/>
    <w:rsid w:val="044F06A2"/>
    <w:rsid w:val="045A6A33"/>
    <w:rsid w:val="04B270C1"/>
    <w:rsid w:val="04D253F8"/>
    <w:rsid w:val="05802F92"/>
    <w:rsid w:val="05806815"/>
    <w:rsid w:val="05952F37"/>
    <w:rsid w:val="05F23A3F"/>
    <w:rsid w:val="062D43AF"/>
    <w:rsid w:val="062D7C32"/>
    <w:rsid w:val="06994D63"/>
    <w:rsid w:val="06FC3783"/>
    <w:rsid w:val="07117EA5"/>
    <w:rsid w:val="07BF12C2"/>
    <w:rsid w:val="07EA340B"/>
    <w:rsid w:val="08426019"/>
    <w:rsid w:val="084C43AA"/>
    <w:rsid w:val="08822685"/>
    <w:rsid w:val="08AF79C5"/>
    <w:rsid w:val="08C05347"/>
    <w:rsid w:val="08FA104A"/>
    <w:rsid w:val="08FB0F16"/>
    <w:rsid w:val="093B1AB4"/>
    <w:rsid w:val="09511A59"/>
    <w:rsid w:val="095B7DEA"/>
    <w:rsid w:val="0A095984"/>
    <w:rsid w:val="0A2055A9"/>
    <w:rsid w:val="0A765FB8"/>
    <w:rsid w:val="0AEA4BAD"/>
    <w:rsid w:val="0AF8308E"/>
    <w:rsid w:val="0B9D28C3"/>
    <w:rsid w:val="0BD14F70"/>
    <w:rsid w:val="0BDC6B84"/>
    <w:rsid w:val="0C337593"/>
    <w:rsid w:val="0C3D5924"/>
    <w:rsid w:val="0C5F0057"/>
    <w:rsid w:val="0C7F638D"/>
    <w:rsid w:val="0CA04344"/>
    <w:rsid w:val="0CA602A5"/>
    <w:rsid w:val="0CD56D9C"/>
    <w:rsid w:val="0CF550D2"/>
    <w:rsid w:val="0CF74D52"/>
    <w:rsid w:val="0D1F511A"/>
    <w:rsid w:val="0D6E3A97"/>
    <w:rsid w:val="0D781E29"/>
    <w:rsid w:val="0DD621BA"/>
    <w:rsid w:val="0E0D3F73"/>
    <w:rsid w:val="0E3B7968"/>
    <w:rsid w:val="0E572FD9"/>
    <w:rsid w:val="0E920377"/>
    <w:rsid w:val="0EE80D86"/>
    <w:rsid w:val="0EEA0A05"/>
    <w:rsid w:val="0F1550CD"/>
    <w:rsid w:val="0F971E23"/>
    <w:rsid w:val="0FC264EA"/>
    <w:rsid w:val="0FDA48BC"/>
    <w:rsid w:val="0FEE2832"/>
    <w:rsid w:val="10245D58"/>
    <w:rsid w:val="105A7962"/>
    <w:rsid w:val="10655CF3"/>
    <w:rsid w:val="10863CAA"/>
    <w:rsid w:val="1091203B"/>
    <w:rsid w:val="10D17073"/>
    <w:rsid w:val="10F20DDB"/>
    <w:rsid w:val="11436720"/>
    <w:rsid w:val="115433FE"/>
    <w:rsid w:val="11551A52"/>
    <w:rsid w:val="115E178F"/>
    <w:rsid w:val="11D648D0"/>
    <w:rsid w:val="124F3295"/>
    <w:rsid w:val="12577EF9"/>
    <w:rsid w:val="126F15CC"/>
    <w:rsid w:val="12995C93"/>
    <w:rsid w:val="137333F8"/>
    <w:rsid w:val="14214815"/>
    <w:rsid w:val="147E12BF"/>
    <w:rsid w:val="14A35CE8"/>
    <w:rsid w:val="14CE23B0"/>
    <w:rsid w:val="14EE06E6"/>
    <w:rsid w:val="150F669C"/>
    <w:rsid w:val="155B5497"/>
    <w:rsid w:val="156670AB"/>
    <w:rsid w:val="159D1783"/>
    <w:rsid w:val="15D241DC"/>
    <w:rsid w:val="15E023D7"/>
    <w:rsid w:val="16550F32"/>
    <w:rsid w:val="16DB32E8"/>
    <w:rsid w:val="16F7073B"/>
    <w:rsid w:val="170D06E0"/>
    <w:rsid w:val="176E561B"/>
    <w:rsid w:val="177A5491"/>
    <w:rsid w:val="17A51B58"/>
    <w:rsid w:val="181E2472"/>
    <w:rsid w:val="18873170"/>
    <w:rsid w:val="1889564E"/>
    <w:rsid w:val="18D57CCC"/>
    <w:rsid w:val="18EB43EE"/>
    <w:rsid w:val="19170735"/>
    <w:rsid w:val="192C06DB"/>
    <w:rsid w:val="19420680"/>
    <w:rsid w:val="1A1041D0"/>
    <w:rsid w:val="1A2C2867"/>
    <w:rsid w:val="1A7D4B85"/>
    <w:rsid w:val="1A9D50B9"/>
    <w:rsid w:val="1AB3725D"/>
    <w:rsid w:val="1B4B06D5"/>
    <w:rsid w:val="1B604DF7"/>
    <w:rsid w:val="1B9752D1"/>
    <w:rsid w:val="1BEE7EDE"/>
    <w:rsid w:val="1C656C23"/>
    <w:rsid w:val="1C864BDA"/>
    <w:rsid w:val="1CB2349F"/>
    <w:rsid w:val="1D3E4388"/>
    <w:rsid w:val="1D54432D"/>
    <w:rsid w:val="1DA03128"/>
    <w:rsid w:val="1DE17414"/>
    <w:rsid w:val="1E387E23"/>
    <w:rsid w:val="1E6D287C"/>
    <w:rsid w:val="1E8F0832"/>
    <w:rsid w:val="1E993340"/>
    <w:rsid w:val="1E996BC3"/>
    <w:rsid w:val="1E9B246D"/>
    <w:rsid w:val="1EAF32E5"/>
    <w:rsid w:val="1F3C1C4F"/>
    <w:rsid w:val="1F3C63CC"/>
    <w:rsid w:val="1F516372"/>
    <w:rsid w:val="1F5E4382"/>
    <w:rsid w:val="1FEA77EA"/>
    <w:rsid w:val="20163B31"/>
    <w:rsid w:val="202B0253"/>
    <w:rsid w:val="203A36BF"/>
    <w:rsid w:val="2059673D"/>
    <w:rsid w:val="208244E5"/>
    <w:rsid w:val="20C34F4E"/>
    <w:rsid w:val="210941EA"/>
    <w:rsid w:val="210F3D49"/>
    <w:rsid w:val="211A595D"/>
    <w:rsid w:val="21254871"/>
    <w:rsid w:val="21664758"/>
    <w:rsid w:val="21E914AE"/>
    <w:rsid w:val="21F11323"/>
    <w:rsid w:val="22005046"/>
    <w:rsid w:val="221E7789"/>
    <w:rsid w:val="223460AA"/>
    <w:rsid w:val="22F8166B"/>
    <w:rsid w:val="23225D32"/>
    <w:rsid w:val="234E207A"/>
    <w:rsid w:val="237A63C1"/>
    <w:rsid w:val="23A52A88"/>
    <w:rsid w:val="24683E4B"/>
    <w:rsid w:val="249E2CA0"/>
    <w:rsid w:val="24B42C46"/>
    <w:rsid w:val="24EB0BA1"/>
    <w:rsid w:val="24EB531E"/>
    <w:rsid w:val="254215B0"/>
    <w:rsid w:val="25832019"/>
    <w:rsid w:val="25A34ACC"/>
    <w:rsid w:val="25AE66E1"/>
    <w:rsid w:val="25CF0E14"/>
    <w:rsid w:val="25D000D7"/>
    <w:rsid w:val="25DA2A28"/>
    <w:rsid w:val="25E40DB9"/>
    <w:rsid w:val="26105100"/>
    <w:rsid w:val="26180057"/>
    <w:rsid w:val="26723EA0"/>
    <w:rsid w:val="267D2C7F"/>
    <w:rsid w:val="26BE651E"/>
    <w:rsid w:val="26C848AF"/>
    <w:rsid w:val="26FF4D89"/>
    <w:rsid w:val="27762449"/>
    <w:rsid w:val="27A04C51"/>
    <w:rsid w:val="27B76736"/>
    <w:rsid w:val="27C24AC7"/>
    <w:rsid w:val="27D74A6C"/>
    <w:rsid w:val="28094EEC"/>
    <w:rsid w:val="281832D7"/>
    <w:rsid w:val="28190D59"/>
    <w:rsid w:val="282370EA"/>
    <w:rsid w:val="282E547B"/>
    <w:rsid w:val="28A40771"/>
    <w:rsid w:val="28B1694E"/>
    <w:rsid w:val="28D10507"/>
    <w:rsid w:val="291D7302"/>
    <w:rsid w:val="293272A7"/>
    <w:rsid w:val="296F3889"/>
    <w:rsid w:val="29747D10"/>
    <w:rsid w:val="29A04058"/>
    <w:rsid w:val="29E14AC1"/>
    <w:rsid w:val="2A172D9D"/>
    <w:rsid w:val="2A2D713F"/>
    <w:rsid w:val="2A6D37AC"/>
    <w:rsid w:val="2AE80DE9"/>
    <w:rsid w:val="2B102FB5"/>
    <w:rsid w:val="2B47568D"/>
    <w:rsid w:val="2B513A1E"/>
    <w:rsid w:val="2B8369E2"/>
    <w:rsid w:val="2B937D0B"/>
    <w:rsid w:val="2BA91EAE"/>
    <w:rsid w:val="2BB25548"/>
    <w:rsid w:val="2BF34D08"/>
    <w:rsid w:val="2C144DE1"/>
    <w:rsid w:val="2C164A61"/>
    <w:rsid w:val="2C202DF2"/>
    <w:rsid w:val="2C5544DD"/>
    <w:rsid w:val="2C9978E8"/>
    <w:rsid w:val="2CCF5CDD"/>
    <w:rsid w:val="2CE341B5"/>
    <w:rsid w:val="2CEE2546"/>
    <w:rsid w:val="2D2F2FAF"/>
    <w:rsid w:val="2D526117"/>
    <w:rsid w:val="2D9B3963"/>
    <w:rsid w:val="2E070A94"/>
    <w:rsid w:val="2E09045D"/>
    <w:rsid w:val="2E1E4E36"/>
    <w:rsid w:val="2E3E316C"/>
    <w:rsid w:val="2E8A57EA"/>
    <w:rsid w:val="2E9A5A84"/>
    <w:rsid w:val="2ECC1AD7"/>
    <w:rsid w:val="2F0D6CBD"/>
    <w:rsid w:val="2F386C07"/>
    <w:rsid w:val="2F424F98"/>
    <w:rsid w:val="2F642F4F"/>
    <w:rsid w:val="2F9C1B4A"/>
    <w:rsid w:val="300310AF"/>
    <w:rsid w:val="30336A9F"/>
    <w:rsid w:val="30534DD6"/>
    <w:rsid w:val="30684D7B"/>
    <w:rsid w:val="31350C4C"/>
    <w:rsid w:val="31E41CE9"/>
    <w:rsid w:val="3204001F"/>
    <w:rsid w:val="32127E74"/>
    <w:rsid w:val="32460A89"/>
    <w:rsid w:val="32724DD0"/>
    <w:rsid w:val="32773551"/>
    <w:rsid w:val="32A01FA9"/>
    <w:rsid w:val="32F31EA6"/>
    <w:rsid w:val="33EC20BE"/>
    <w:rsid w:val="34022063"/>
    <w:rsid w:val="34234796"/>
    <w:rsid w:val="342E63AB"/>
    <w:rsid w:val="3439473C"/>
    <w:rsid w:val="34856DB9"/>
    <w:rsid w:val="348F514A"/>
    <w:rsid w:val="351849C1"/>
    <w:rsid w:val="356928AF"/>
    <w:rsid w:val="357801DD"/>
    <w:rsid w:val="35C30488"/>
    <w:rsid w:val="35D579E0"/>
    <w:rsid w:val="35EB19AF"/>
    <w:rsid w:val="36160449"/>
    <w:rsid w:val="3699519F"/>
    <w:rsid w:val="36EC7002"/>
    <w:rsid w:val="37533157"/>
    <w:rsid w:val="375C6562"/>
    <w:rsid w:val="37F039D3"/>
    <w:rsid w:val="382B20B3"/>
    <w:rsid w:val="385507AA"/>
    <w:rsid w:val="3856677A"/>
    <w:rsid w:val="389771E3"/>
    <w:rsid w:val="38AC7189"/>
    <w:rsid w:val="38CE513F"/>
    <w:rsid w:val="38D00B43"/>
    <w:rsid w:val="38FC247C"/>
    <w:rsid w:val="3947093D"/>
    <w:rsid w:val="39D26F6B"/>
    <w:rsid w:val="39F374A0"/>
    <w:rsid w:val="3A273A7E"/>
    <w:rsid w:val="3A335D0B"/>
    <w:rsid w:val="3A756774"/>
    <w:rsid w:val="3A9E14C4"/>
    <w:rsid w:val="3AF834CA"/>
    <w:rsid w:val="3B0637EC"/>
    <w:rsid w:val="3B381D36"/>
    <w:rsid w:val="3B8E0546"/>
    <w:rsid w:val="3BA96B71"/>
    <w:rsid w:val="3BB02C79"/>
    <w:rsid w:val="3BC52C1E"/>
    <w:rsid w:val="3BF072E6"/>
    <w:rsid w:val="3BFA5677"/>
    <w:rsid w:val="3C1C362D"/>
    <w:rsid w:val="3C682428"/>
    <w:rsid w:val="3C88075E"/>
    <w:rsid w:val="3C9F4B00"/>
    <w:rsid w:val="3CA07775"/>
    <w:rsid w:val="3CBF2E36"/>
    <w:rsid w:val="3CC911C7"/>
    <w:rsid w:val="3CCA6C49"/>
    <w:rsid w:val="3D201BD6"/>
    <w:rsid w:val="3D41598E"/>
    <w:rsid w:val="3DED132A"/>
    <w:rsid w:val="3E4619B8"/>
    <w:rsid w:val="3E9C23C7"/>
    <w:rsid w:val="3EB26AE9"/>
    <w:rsid w:val="3EBC06FE"/>
    <w:rsid w:val="3F2A54AE"/>
    <w:rsid w:val="3F4A7F61"/>
    <w:rsid w:val="3F6B3D19"/>
    <w:rsid w:val="3FCD4CB7"/>
    <w:rsid w:val="3FF74C02"/>
    <w:rsid w:val="40022F93"/>
    <w:rsid w:val="401776B5"/>
    <w:rsid w:val="407A60D5"/>
    <w:rsid w:val="4093525B"/>
    <w:rsid w:val="40FA5063"/>
    <w:rsid w:val="41325883"/>
    <w:rsid w:val="41685D5D"/>
    <w:rsid w:val="41947EA6"/>
    <w:rsid w:val="419B050B"/>
    <w:rsid w:val="41AC599C"/>
    <w:rsid w:val="41C0096A"/>
    <w:rsid w:val="41EA5032"/>
    <w:rsid w:val="425659E6"/>
    <w:rsid w:val="43317379"/>
    <w:rsid w:val="4379625F"/>
    <w:rsid w:val="43C845C3"/>
    <w:rsid w:val="43F30C8A"/>
    <w:rsid w:val="440A08B0"/>
    <w:rsid w:val="441F4FD2"/>
    <w:rsid w:val="44F547D2"/>
    <w:rsid w:val="45C66607"/>
    <w:rsid w:val="45C76287"/>
    <w:rsid w:val="46577873"/>
    <w:rsid w:val="469F3D6C"/>
    <w:rsid w:val="46B525ED"/>
    <w:rsid w:val="473E29C3"/>
    <w:rsid w:val="4740402F"/>
    <w:rsid w:val="4757351A"/>
    <w:rsid w:val="47BA1F3A"/>
    <w:rsid w:val="480F1C53"/>
    <w:rsid w:val="48286E05"/>
    <w:rsid w:val="48516FB5"/>
    <w:rsid w:val="487D32FD"/>
    <w:rsid w:val="48B459D5"/>
    <w:rsid w:val="48D40488"/>
    <w:rsid w:val="48FE3445"/>
    <w:rsid w:val="492A0E97"/>
    <w:rsid w:val="494C6E4D"/>
    <w:rsid w:val="495751DE"/>
    <w:rsid w:val="49B87801"/>
    <w:rsid w:val="4A0F0210"/>
    <w:rsid w:val="4A1A65A1"/>
    <w:rsid w:val="4ABC5DAA"/>
    <w:rsid w:val="4AC779BE"/>
    <w:rsid w:val="4AD25D50"/>
    <w:rsid w:val="4B1E03CD"/>
    <w:rsid w:val="4B4A0E91"/>
    <w:rsid w:val="4B547222"/>
    <w:rsid w:val="4B6A71C8"/>
    <w:rsid w:val="4B8C0412"/>
    <w:rsid w:val="4C023EC3"/>
    <w:rsid w:val="4D1B2411"/>
    <w:rsid w:val="4D524AEA"/>
    <w:rsid w:val="4D935553"/>
    <w:rsid w:val="4D940DD6"/>
    <w:rsid w:val="4E195F75"/>
    <w:rsid w:val="4E21063A"/>
    <w:rsid w:val="4E614CA7"/>
    <w:rsid w:val="4E634927"/>
    <w:rsid w:val="4E6B209C"/>
    <w:rsid w:val="4E6D2CB8"/>
    <w:rsid w:val="4EB95335"/>
    <w:rsid w:val="4EC436C7"/>
    <w:rsid w:val="4F7C2E75"/>
    <w:rsid w:val="4FE63299"/>
    <w:rsid w:val="4FFC072E"/>
    <w:rsid w:val="501F267E"/>
    <w:rsid w:val="5054095A"/>
    <w:rsid w:val="5075308D"/>
    <w:rsid w:val="50AB1369"/>
    <w:rsid w:val="50C2570B"/>
    <w:rsid w:val="50CC3A9C"/>
    <w:rsid w:val="50E23A41"/>
    <w:rsid w:val="50EE1A52"/>
    <w:rsid w:val="5139664E"/>
    <w:rsid w:val="517A4EB9"/>
    <w:rsid w:val="519B2E6F"/>
    <w:rsid w:val="52073823"/>
    <w:rsid w:val="523A167B"/>
    <w:rsid w:val="5248208F"/>
    <w:rsid w:val="527E6CE5"/>
    <w:rsid w:val="52F61E27"/>
    <w:rsid w:val="534D60B9"/>
    <w:rsid w:val="53AD7D9F"/>
    <w:rsid w:val="53FA74D7"/>
    <w:rsid w:val="547D09A9"/>
    <w:rsid w:val="54BD5016"/>
    <w:rsid w:val="54FE5A7F"/>
    <w:rsid w:val="553539DB"/>
    <w:rsid w:val="558C0B67"/>
    <w:rsid w:val="558C43EA"/>
    <w:rsid w:val="55B84EAE"/>
    <w:rsid w:val="55C36AC2"/>
    <w:rsid w:val="55C851BF"/>
    <w:rsid w:val="55E31575"/>
    <w:rsid w:val="56443B98"/>
    <w:rsid w:val="565405AF"/>
    <w:rsid w:val="565902BA"/>
    <w:rsid w:val="566470C4"/>
    <w:rsid w:val="56BC6CDA"/>
    <w:rsid w:val="56C708EE"/>
    <w:rsid w:val="56E83021"/>
    <w:rsid w:val="56E8582B"/>
    <w:rsid w:val="56EA18C1"/>
    <w:rsid w:val="571E5A7A"/>
    <w:rsid w:val="5726041F"/>
    <w:rsid w:val="576A00F7"/>
    <w:rsid w:val="577F009D"/>
    <w:rsid w:val="577F481A"/>
    <w:rsid w:val="5785380D"/>
    <w:rsid w:val="57CB6E97"/>
    <w:rsid w:val="57D04F5B"/>
    <w:rsid w:val="58C52932"/>
    <w:rsid w:val="58CF0CC3"/>
    <w:rsid w:val="58F16C7A"/>
    <w:rsid w:val="591B3341"/>
    <w:rsid w:val="59723D50"/>
    <w:rsid w:val="597D20E1"/>
    <w:rsid w:val="597F5C73"/>
    <w:rsid w:val="59A92BA5"/>
    <w:rsid w:val="59E00B01"/>
    <w:rsid w:val="5A153559"/>
    <w:rsid w:val="5A171AC8"/>
    <w:rsid w:val="5A3C31EA"/>
    <w:rsid w:val="5AAC5686"/>
    <w:rsid w:val="5AD90D18"/>
    <w:rsid w:val="5AE470AA"/>
    <w:rsid w:val="5B1B5005"/>
    <w:rsid w:val="5B253396"/>
    <w:rsid w:val="5B5E63DA"/>
    <w:rsid w:val="5B7C3DA5"/>
    <w:rsid w:val="5B913D4A"/>
    <w:rsid w:val="5C112B3B"/>
    <w:rsid w:val="5C202C1E"/>
    <w:rsid w:val="5C54188A"/>
    <w:rsid w:val="5C753FBD"/>
    <w:rsid w:val="5C767840"/>
    <w:rsid w:val="5C9522F3"/>
    <w:rsid w:val="5CAB2299"/>
    <w:rsid w:val="5CB702A9"/>
    <w:rsid w:val="5CCC024F"/>
    <w:rsid w:val="5CD765E0"/>
    <w:rsid w:val="5CE24971"/>
    <w:rsid w:val="5CEC2D02"/>
    <w:rsid w:val="5D2353DA"/>
    <w:rsid w:val="5D3F68A8"/>
    <w:rsid w:val="5DAD7270"/>
    <w:rsid w:val="5DB80105"/>
    <w:rsid w:val="5DC60467"/>
    <w:rsid w:val="5E731884"/>
    <w:rsid w:val="5F4253D5"/>
    <w:rsid w:val="5FD71F4D"/>
    <w:rsid w:val="6093187E"/>
    <w:rsid w:val="60A81824"/>
    <w:rsid w:val="60B37BB5"/>
    <w:rsid w:val="60BD5F46"/>
    <w:rsid w:val="60E96A0A"/>
    <w:rsid w:val="610A2306"/>
    <w:rsid w:val="61402C9C"/>
    <w:rsid w:val="61407419"/>
    <w:rsid w:val="61813705"/>
    <w:rsid w:val="61CE5D83"/>
    <w:rsid w:val="626E7503"/>
    <w:rsid w:val="627B71A0"/>
    <w:rsid w:val="62811C39"/>
    <w:rsid w:val="62B01BF9"/>
    <w:rsid w:val="62E742D1"/>
    <w:rsid w:val="63130619"/>
    <w:rsid w:val="631E69AA"/>
    <w:rsid w:val="633E4CE0"/>
    <w:rsid w:val="636813A7"/>
    <w:rsid w:val="637F0FCD"/>
    <w:rsid w:val="63E17D6C"/>
    <w:rsid w:val="646E2E54"/>
    <w:rsid w:val="653B6D24"/>
    <w:rsid w:val="656365AF"/>
    <w:rsid w:val="65724C80"/>
    <w:rsid w:val="65A97358"/>
    <w:rsid w:val="660A60F8"/>
    <w:rsid w:val="664C6B61"/>
    <w:rsid w:val="66BC5FE0"/>
    <w:rsid w:val="66E47FD9"/>
    <w:rsid w:val="670E46A1"/>
    <w:rsid w:val="674525FC"/>
    <w:rsid w:val="67456D79"/>
    <w:rsid w:val="67650933"/>
    <w:rsid w:val="676550B0"/>
    <w:rsid w:val="67746F85"/>
    <w:rsid w:val="67B1772D"/>
    <w:rsid w:val="67F33A1A"/>
    <w:rsid w:val="68490BA5"/>
    <w:rsid w:val="686B6B5C"/>
    <w:rsid w:val="68806B01"/>
    <w:rsid w:val="68C2756A"/>
    <w:rsid w:val="68D73C8C"/>
    <w:rsid w:val="696E0D08"/>
    <w:rsid w:val="698450AA"/>
    <w:rsid w:val="698F6CBE"/>
    <w:rsid w:val="69A433E0"/>
    <w:rsid w:val="69DD093F"/>
    <w:rsid w:val="6A3264C7"/>
    <w:rsid w:val="6A53447E"/>
    <w:rsid w:val="6A5E280F"/>
    <w:rsid w:val="6A5E746C"/>
    <w:rsid w:val="6ADF78E5"/>
    <w:rsid w:val="6B3602F4"/>
    <w:rsid w:val="6B62463B"/>
    <w:rsid w:val="6B7845E0"/>
    <w:rsid w:val="6BD93380"/>
    <w:rsid w:val="6C9C0EC0"/>
    <w:rsid w:val="6CBD35F3"/>
    <w:rsid w:val="6CDE15A9"/>
    <w:rsid w:val="6D3256F9"/>
    <w:rsid w:val="6D4B1F5D"/>
    <w:rsid w:val="6D756624"/>
    <w:rsid w:val="6DA170E8"/>
    <w:rsid w:val="6DF87AF7"/>
    <w:rsid w:val="6E2F5A53"/>
    <w:rsid w:val="6E6404AB"/>
    <w:rsid w:val="6EC5724B"/>
    <w:rsid w:val="6F484F7F"/>
    <w:rsid w:val="70221706"/>
    <w:rsid w:val="70CF2B23"/>
    <w:rsid w:val="70E17EC7"/>
    <w:rsid w:val="715D5C0A"/>
    <w:rsid w:val="719D69F4"/>
    <w:rsid w:val="71C7743F"/>
    <w:rsid w:val="71F42537"/>
    <w:rsid w:val="7296248F"/>
    <w:rsid w:val="73193962"/>
    <w:rsid w:val="735B7C4E"/>
    <w:rsid w:val="73655FDF"/>
    <w:rsid w:val="73B1065D"/>
    <w:rsid w:val="73DD49A4"/>
    <w:rsid w:val="741373FD"/>
    <w:rsid w:val="748A0340"/>
    <w:rsid w:val="748B5DC2"/>
    <w:rsid w:val="748B700A"/>
    <w:rsid w:val="74A024E4"/>
    <w:rsid w:val="74C818FE"/>
    <w:rsid w:val="75011284"/>
    <w:rsid w:val="7523723A"/>
    <w:rsid w:val="75845FDA"/>
    <w:rsid w:val="76072D30"/>
    <w:rsid w:val="76271066"/>
    <w:rsid w:val="7647739D"/>
    <w:rsid w:val="76A9613C"/>
    <w:rsid w:val="76CA086F"/>
    <w:rsid w:val="76EA6BA6"/>
    <w:rsid w:val="770B70DA"/>
    <w:rsid w:val="77361223"/>
    <w:rsid w:val="77A26354"/>
    <w:rsid w:val="77A45FD4"/>
    <w:rsid w:val="77B95F79"/>
    <w:rsid w:val="77C4430A"/>
    <w:rsid w:val="78BD4522"/>
    <w:rsid w:val="78C728B3"/>
    <w:rsid w:val="7955121E"/>
    <w:rsid w:val="79652BD2"/>
    <w:rsid w:val="79B77FBE"/>
    <w:rsid w:val="7A4430A5"/>
    <w:rsid w:val="7AD0650C"/>
    <w:rsid w:val="7AD2618C"/>
    <w:rsid w:val="7B070BE4"/>
    <w:rsid w:val="7B484ED1"/>
    <w:rsid w:val="7B642201"/>
    <w:rsid w:val="7B7B035E"/>
    <w:rsid w:val="7BAE260E"/>
    <w:rsid w:val="7BEB46DA"/>
    <w:rsid w:val="7C2823C0"/>
    <w:rsid w:val="7C330F03"/>
    <w:rsid w:val="7C364B59"/>
    <w:rsid w:val="7C62341F"/>
    <w:rsid w:val="7C8B0750"/>
    <w:rsid w:val="7CAD4FBB"/>
    <w:rsid w:val="7CEF6506"/>
    <w:rsid w:val="7D7D15ED"/>
    <w:rsid w:val="7D910439"/>
    <w:rsid w:val="7DCC2528"/>
    <w:rsid w:val="7E1458CC"/>
    <w:rsid w:val="7E1562E9"/>
    <w:rsid w:val="7ECD5A97"/>
    <w:rsid w:val="7F2E4837"/>
    <w:rsid w:val="7F7052A0"/>
    <w:rsid w:val="7F7A3631"/>
    <w:rsid w:val="7F91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3"/>
    <w:qFormat/>
    <w:uiPriority w:val="9"/>
    <w:pPr>
      <w:keepLines/>
      <w:numPr>
        <w:ilvl w:val="0"/>
        <w:numId w:val="1"/>
      </w:numPr>
      <w:spacing w:before="60" w:after="60"/>
      <w:outlineLvl w:val="0"/>
    </w:pPr>
    <w:rPr>
      <w:rFonts w:eastAsia="黑体"/>
      <w:bCs/>
      <w:kern w:val="44"/>
      <w:sz w:val="28"/>
      <w:szCs w:val="44"/>
    </w:rPr>
  </w:style>
  <w:style w:type="paragraph" w:styleId="4">
    <w:name w:val="heading 2"/>
    <w:basedOn w:val="1"/>
    <w:next w:val="1"/>
    <w:link w:val="39"/>
    <w:unhideWhenUsed/>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42"/>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43"/>
    <w:unhideWhenUsed/>
    <w:qFormat/>
    <w:uiPriority w:val="9"/>
    <w:pPr>
      <w:keepNext/>
      <w:keepLines/>
      <w:spacing w:before="280" w:after="290" w:line="376" w:lineRule="auto"/>
      <w:outlineLvl w:val="3"/>
    </w:pPr>
    <w:rPr>
      <w:rFonts w:ascii="Cambria" w:hAnsi="Cambria"/>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Normal Indent"/>
    <w:basedOn w:val="1"/>
    <w:unhideWhenUsed/>
    <w:qFormat/>
    <w:uiPriority w:val="0"/>
    <w:pPr>
      <w:spacing w:line="360" w:lineRule="auto"/>
      <w:ind w:firstLine="560" w:firstLineChars="200"/>
    </w:pPr>
    <w:rPr>
      <w:rFonts w:ascii="仿宋_GB2312" w:hAnsi="宋体" w:eastAsia="仿宋_GB2312"/>
      <w:sz w:val="28"/>
      <w:szCs w:val="28"/>
    </w:rPr>
  </w:style>
  <w:style w:type="paragraph" w:styleId="7">
    <w:name w:val="toc 7"/>
    <w:basedOn w:val="1"/>
    <w:next w:val="1"/>
    <w:unhideWhenUsed/>
    <w:qFormat/>
    <w:uiPriority w:val="39"/>
    <w:pPr>
      <w:ind w:left="2520" w:leftChars="1200"/>
    </w:pPr>
  </w:style>
  <w:style w:type="paragraph" w:styleId="8">
    <w:name w:val="Document Map"/>
    <w:basedOn w:val="1"/>
    <w:link w:val="44"/>
    <w:semiHidden/>
    <w:unhideWhenUsed/>
    <w:qFormat/>
    <w:uiPriority w:val="0"/>
    <w:rPr>
      <w:rFonts w:ascii="宋体"/>
      <w:sz w:val="18"/>
      <w:szCs w:val="18"/>
    </w:r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toc 8"/>
    <w:basedOn w:val="1"/>
    <w:next w:val="1"/>
    <w:unhideWhenUsed/>
    <w:qFormat/>
    <w:uiPriority w:val="39"/>
    <w:pPr>
      <w:ind w:left="2940" w:leftChars="1400"/>
    </w:pPr>
  </w:style>
  <w:style w:type="paragraph" w:styleId="12">
    <w:name w:val="Date"/>
    <w:basedOn w:val="1"/>
    <w:next w:val="1"/>
    <w:link w:val="37"/>
    <w:unhideWhenUsed/>
    <w:qFormat/>
    <w:uiPriority w:val="99"/>
    <w:pPr>
      <w:ind w:left="100" w:leftChars="2500"/>
    </w:pPr>
  </w:style>
  <w:style w:type="paragraph" w:styleId="13">
    <w:name w:val="Balloon Text"/>
    <w:basedOn w:val="1"/>
    <w:link w:val="41"/>
    <w:semiHidden/>
    <w:unhideWhenUsed/>
    <w:qFormat/>
    <w:uiPriority w:val="0"/>
    <w:rPr>
      <w:sz w:val="18"/>
      <w:szCs w:val="18"/>
    </w:rPr>
  </w:style>
  <w:style w:type="paragraph" w:styleId="14">
    <w:name w:val="footer"/>
    <w:basedOn w:val="1"/>
    <w:link w:val="36"/>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35"/>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keepNext w:val="0"/>
      <w:keepLines w:val="0"/>
      <w:widowControl w:val="0"/>
      <w:suppressLineNumbers w:val="0"/>
      <w:tabs>
        <w:tab w:val="right" w:leader="dot" w:pos="9344"/>
      </w:tabs>
      <w:adjustRightInd w:val="0"/>
      <w:spacing w:before="0" w:beforeAutospacing="0" w:after="0" w:afterAutospacing="0" w:line="300" w:lineRule="exact"/>
      <w:ind w:left="210" w:right="0"/>
      <w:jc w:val="both"/>
    </w:pPr>
    <w:rPr>
      <w:rFonts w:hint="eastAsia" w:ascii="宋体" w:hAnsi="Calibri" w:eastAsia="宋体" w:cs="Times New Roman"/>
      <w:kern w:val="2"/>
      <w:sz w:val="21"/>
      <w:szCs w:val="21"/>
      <w:lang w:val="en-US" w:eastAsia="zh-CN" w:bidi="ar"/>
    </w:rPr>
  </w:style>
  <w:style w:type="paragraph" w:styleId="20">
    <w:name w:val="toc 9"/>
    <w:basedOn w:val="1"/>
    <w:next w:val="1"/>
    <w:unhideWhenUsed/>
    <w:qFormat/>
    <w:uiPriority w:val="39"/>
    <w:pPr>
      <w:ind w:left="3360" w:leftChars="1600"/>
    </w:pPr>
  </w:style>
  <w:style w:type="paragraph" w:styleId="21">
    <w:name w:val="Normal (Web)"/>
    <w:basedOn w:val="1"/>
    <w:unhideWhenUsed/>
    <w:qFormat/>
    <w:uiPriority w:val="0"/>
    <w:rPr>
      <w:sz w:val="24"/>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unhideWhenUsed/>
    <w:qFormat/>
    <w:uiPriority w:val="0"/>
  </w:style>
  <w:style w:type="character" w:styleId="26">
    <w:name w:val="FollowedHyperlink"/>
    <w:basedOn w:val="24"/>
    <w:semiHidden/>
    <w:unhideWhenUsed/>
    <w:qFormat/>
    <w:uiPriority w:val="0"/>
    <w:rPr>
      <w:color w:val="954F72"/>
      <w:u w:val="single"/>
    </w:rPr>
  </w:style>
  <w:style w:type="character" w:styleId="27">
    <w:name w:val="Hyperlink"/>
    <w:basedOn w:val="24"/>
    <w:unhideWhenUsed/>
    <w:qFormat/>
    <w:uiPriority w:val="99"/>
    <w:rPr>
      <w:rFonts w:hint="eastAsia" w:ascii="宋体" w:hAnsi="Times New Roman" w:eastAsia="宋体" w:cs="宋体"/>
      <w:color w:val="auto"/>
      <w:spacing w:val="0"/>
      <w:w w:val="100"/>
      <w:position w:val="0"/>
      <w:sz w:val="21"/>
      <w:u w:val="none"/>
      <w:vertAlign w:val="baseline"/>
    </w:rPr>
  </w:style>
  <w:style w:type="paragraph" w:customStyle="1" w:styleId="28">
    <w:name w:val="列出段落1"/>
    <w:basedOn w:val="1"/>
    <w:qFormat/>
    <w:uiPriority w:val="34"/>
    <w:pPr>
      <w:ind w:firstLine="420" w:firstLineChars="200"/>
    </w:pPr>
  </w:style>
  <w:style w:type="paragraph" w:customStyle="1" w:styleId="29">
    <w:name w:val="段"/>
    <w:basedOn w:val="1"/>
    <w:link w:val="38"/>
    <w:qFormat/>
    <w:uiPriority w:val="0"/>
    <w:pPr>
      <w:widowControl/>
      <w:tabs>
        <w:tab w:val="center" w:pos="4201"/>
        <w:tab w:val="right" w:leader="dot" w:pos="9298"/>
      </w:tabs>
      <w:autoSpaceDE w:val="0"/>
      <w:autoSpaceDN w:val="0"/>
      <w:ind w:firstLine="420" w:firstLineChars="200"/>
    </w:pPr>
    <w:rPr>
      <w:rFonts w:hint="eastAsia" w:ascii="宋体" w:hAnsi="宋体"/>
      <w:kern w:val="0"/>
      <w:szCs w:val="20"/>
    </w:rPr>
  </w:style>
  <w:style w:type="paragraph" w:customStyle="1" w:styleId="30">
    <w:name w:val="正文表标题"/>
    <w:next w:val="29"/>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1">
    <w:name w:val="二级条标题"/>
    <w:qFormat/>
    <w:uiPriority w:val="0"/>
    <w:pPr>
      <w:spacing w:beforeLines="50" w:afterLines="50"/>
      <w:outlineLvl w:val="3"/>
    </w:pPr>
    <w:rPr>
      <w:rFonts w:ascii="Times New Roman" w:hAnsi="Times New Roman" w:eastAsia="宋体" w:cs="Times New Roman"/>
      <w:lang w:val="en-US" w:eastAsia="zh-CN" w:bidi="ar-SA"/>
    </w:rPr>
  </w:style>
  <w:style w:type="paragraph" w:customStyle="1" w:styleId="3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4">
    <w:name w:val="一级条标题"/>
    <w:next w:val="29"/>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character" w:customStyle="1" w:styleId="35">
    <w:name w:val="页眉 Char"/>
    <w:link w:val="15"/>
    <w:qFormat/>
    <w:uiPriority w:val="99"/>
    <w:rPr>
      <w:sz w:val="18"/>
      <w:szCs w:val="18"/>
    </w:rPr>
  </w:style>
  <w:style w:type="character" w:customStyle="1" w:styleId="36">
    <w:name w:val="页脚 Char"/>
    <w:link w:val="14"/>
    <w:qFormat/>
    <w:uiPriority w:val="99"/>
    <w:rPr>
      <w:sz w:val="18"/>
      <w:szCs w:val="18"/>
    </w:rPr>
  </w:style>
  <w:style w:type="character" w:customStyle="1" w:styleId="37">
    <w:name w:val="日期 Char"/>
    <w:basedOn w:val="24"/>
    <w:link w:val="12"/>
    <w:semiHidden/>
    <w:qFormat/>
    <w:uiPriority w:val="99"/>
  </w:style>
  <w:style w:type="character" w:customStyle="1" w:styleId="38">
    <w:name w:val="段 Char"/>
    <w:link w:val="29"/>
    <w:qFormat/>
    <w:uiPriority w:val="0"/>
    <w:rPr>
      <w:rFonts w:hint="eastAsia" w:ascii="宋体" w:hAnsi="宋体" w:eastAsia="宋体" w:cs="宋体"/>
      <w:sz w:val="21"/>
    </w:rPr>
  </w:style>
  <w:style w:type="character" w:customStyle="1" w:styleId="39">
    <w:name w:val="标题 2 Char"/>
    <w:link w:val="4"/>
    <w:qFormat/>
    <w:uiPriority w:val="9"/>
    <w:rPr>
      <w:rFonts w:ascii="Cambria" w:hAnsi="Cambria" w:eastAsia="宋体" w:cs="Times New Roman"/>
      <w:b/>
      <w:bCs/>
      <w:kern w:val="2"/>
      <w:sz w:val="32"/>
      <w:szCs w:val="32"/>
    </w:rPr>
  </w:style>
  <w:style w:type="paragraph" w:customStyle="1" w:styleId="40">
    <w:name w:val="TOC 标题1"/>
    <w:basedOn w:val="2"/>
    <w:next w:val="1"/>
    <w:semiHidden/>
    <w:unhideWhenUsed/>
    <w:qFormat/>
    <w:uiPriority w:val="39"/>
    <w:pPr>
      <w:keepNext/>
      <w:widowControl/>
      <w:numPr>
        <w:numId w:val="0"/>
      </w:numPr>
      <w:tabs>
        <w:tab w:val="clear" w:pos="425"/>
      </w:tabs>
      <w:spacing w:before="480" w:after="0" w:line="276" w:lineRule="auto"/>
      <w:jc w:val="left"/>
      <w:outlineLvl w:val="9"/>
    </w:pPr>
    <w:rPr>
      <w:rFonts w:ascii="Cambria" w:hAnsi="Cambria" w:eastAsia="宋体"/>
      <w:b/>
      <w:color w:val="365F91"/>
      <w:kern w:val="0"/>
      <w:szCs w:val="28"/>
    </w:rPr>
  </w:style>
  <w:style w:type="character" w:customStyle="1" w:styleId="41">
    <w:name w:val="批注框文本 Char"/>
    <w:link w:val="13"/>
    <w:semiHidden/>
    <w:qFormat/>
    <w:uiPriority w:val="0"/>
    <w:rPr>
      <w:rFonts w:ascii="Calibri" w:hAnsi="Calibri"/>
      <w:kern w:val="2"/>
      <w:sz w:val="18"/>
      <w:szCs w:val="18"/>
    </w:rPr>
  </w:style>
  <w:style w:type="character" w:customStyle="1" w:styleId="42">
    <w:name w:val="标题 3 Char"/>
    <w:link w:val="5"/>
    <w:qFormat/>
    <w:uiPriority w:val="9"/>
    <w:rPr>
      <w:rFonts w:ascii="Calibri" w:hAnsi="Calibri"/>
      <w:b/>
      <w:bCs/>
      <w:kern w:val="2"/>
      <w:sz w:val="32"/>
      <w:szCs w:val="32"/>
    </w:rPr>
  </w:style>
  <w:style w:type="character" w:customStyle="1" w:styleId="43">
    <w:name w:val="标题 4 Char"/>
    <w:link w:val="6"/>
    <w:qFormat/>
    <w:uiPriority w:val="9"/>
    <w:rPr>
      <w:rFonts w:ascii="Cambria" w:hAnsi="Cambria" w:eastAsia="宋体" w:cs="Times New Roman"/>
      <w:b/>
      <w:bCs/>
      <w:kern w:val="2"/>
      <w:sz w:val="28"/>
      <w:szCs w:val="28"/>
    </w:rPr>
  </w:style>
  <w:style w:type="character" w:customStyle="1" w:styleId="44">
    <w:name w:val="文档结构图 Char"/>
    <w:link w:val="8"/>
    <w:semiHidden/>
    <w:qFormat/>
    <w:uiPriority w:val="0"/>
    <w:rPr>
      <w:rFonts w:ascii="宋体" w:hAnsi="Calibri"/>
      <w:kern w:val="2"/>
      <w:sz w:val="18"/>
      <w:szCs w:val="18"/>
    </w:rPr>
  </w:style>
  <w:style w:type="paragraph" w:customStyle="1" w:styleId="4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6">
    <w:name w:val="标准文件_段 Char"/>
    <w:basedOn w:val="24"/>
    <w:qFormat/>
    <w:uiPriority w:val="0"/>
    <w:rPr>
      <w:rFonts w:hint="eastAsia" w:ascii="宋体" w:hAnsi="Times New Roman" w:eastAsia="宋体" w:cs="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25C46A-BC09-413F-90A9-BC799736C6A7}">
  <ds:schemaRefs/>
</ds:datastoreItem>
</file>

<file path=docProps/app.xml><?xml version="1.0" encoding="utf-8"?>
<Properties xmlns="http://schemas.openxmlformats.org/officeDocument/2006/extended-properties" xmlns:vt="http://schemas.openxmlformats.org/officeDocument/2006/docPropsVTypes">
  <Template>Normal</Template>
  <Pages>9</Pages>
  <Words>2362</Words>
  <Characters>2431</Characters>
  <Lines>23</Lines>
  <Paragraphs>6</Paragraphs>
  <TotalTime>1</TotalTime>
  <ScaleCrop>false</ScaleCrop>
  <LinksUpToDate>false</LinksUpToDate>
  <CharactersWithSpaces>2465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2015-01-14T07:15:00Z</dcterms:created>
  <dc:creator>maofang</dc:creator>
  <cp:lastModifiedBy>HP</cp:lastModifiedBy>
  <cp:lastPrinted>2015-06-02T01:51:00Z</cp:lastPrinted>
  <dcterms:modified xsi:type="dcterms:W3CDTF">2023-03-30T03:40:18Z</dcterms:modified>
  <dc:title>湖南省</dc:title>
  <cp:revision>222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87F4EFB185B84FF39A69A98FCF3B0999</vt:lpwstr>
  </property>
</Properties>
</file>