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exact"/>
        <w:rPr>
          <w:rFonts w:hint="eastAsia" w:eastAsia="黑体"/>
          <w:color w:val="000000"/>
          <w:kern w:val="0"/>
          <w:sz w:val="52"/>
          <w:szCs w:val="52"/>
        </w:rPr>
      </w:pPr>
    </w:p>
    <w:p>
      <w:pPr>
        <w:spacing w:before="240" w:line="700" w:lineRule="exact"/>
        <w:ind w:firstLine="1035" w:firstLineChars="493"/>
        <w:rPr>
          <w:b/>
          <w:bCs/>
          <w:color w:val="000000"/>
          <w:spacing w:val="226"/>
          <w:w w:val="140"/>
          <w:kern w:val="0"/>
          <w:sz w:val="96"/>
          <w:szCs w:val="96"/>
        </w:rPr>
      </w:pPr>
      <w:r>
        <w:pict>
          <v:shape id="艺术字 5" o:spid="_x0000_s2050" o:spt="136" type="#_x0000_t136" style="position:absolute;left:0pt;margin-left:351.65pt;margin-top:-5.25pt;height:39.95pt;width:87.6pt;z-index:251659264;mso-width-relative:page;mso-height-relative:page;" fillcolor="#000000" filled="t" stroked="t" coordsize="21600,21600" o:allowincell="f">
            <v:path/>
            <v:fill on="t" opacity="32768f" focussize="0,0"/>
            <v:stroke weight="0.5pt" color="#808080"/>
            <v:imagedata o:title=""/>
            <o:lock v:ext="edit"/>
            <v:textpath on="t" fitshape="t" fitpath="t" trim="t" xscale="f" string="DB43" style="font-family:Bookman Old Style;font-size:48pt;font-weight:bold;v-text-align:center;"/>
            <v:shadow on="t" color="#990000"/>
          </v:shape>
        </w:pict>
      </w:r>
      <w:r>
        <w:pict>
          <v:shape id="艺术字 6" o:spid="_x0000_s2051" o:spt="136" type="#_x0000_t136" style="position:absolute;left:0pt;margin-left:0.05pt;margin-top:58.35pt;height:27.5pt;width:468pt;z-index:251660288;mso-width-relative:page;mso-height-relative:page;" fillcolor="#000000" filled="t" coordsize="21600,21600" o:allowincell="f">
            <v:path/>
            <v:fill on="t" focussize="0,0"/>
            <v:stroke/>
            <v:imagedata o:title=""/>
            <o:lock v:ext="edit"/>
            <v:textpath on="t" fitshape="t" fitpath="t" trim="t" xscale="f" string="湖  南  省  地  方  标  准" style="font-family:宋体;font-size:36pt;font-weight:bold;v-text-align:center;"/>
          </v:shape>
        </w:pict>
      </w:r>
    </w:p>
    <w:p>
      <w:pPr>
        <w:spacing w:before="240" w:line="700" w:lineRule="exact"/>
        <w:rPr>
          <w:b/>
          <w:bCs/>
          <w:color w:val="000000"/>
          <w:w w:val="140"/>
          <w:kern w:val="32"/>
          <w:sz w:val="64"/>
          <w:szCs w:val="64"/>
        </w:rPr>
      </w:pPr>
    </w:p>
    <w:p>
      <w:pPr>
        <w:wordWrap w:val="0"/>
        <w:spacing w:before="240" w:line="520" w:lineRule="exact"/>
        <w:jc w:val="right"/>
        <w:rPr>
          <w:rFonts w:ascii="宋体" w:hAnsi="宋体"/>
          <w:bCs/>
          <w:color w:val="000000"/>
          <w:szCs w:val="21"/>
        </w:rPr>
      </w:pPr>
      <w:r>
        <w:rPr>
          <w:rFonts w:ascii="宋体" w:hAnsi="宋体"/>
          <w:bCs/>
          <w:color w:val="000000"/>
          <w:szCs w:val="21"/>
        </w:rPr>
        <w:t>DB43/</w:t>
      </w:r>
      <w:r>
        <w:rPr>
          <w:rFonts w:hint="eastAsia" w:ascii="宋体" w:hAnsi="宋体"/>
          <w:bCs/>
          <w:color w:val="000000"/>
          <w:szCs w:val="21"/>
        </w:rPr>
        <w:t>T ×××</w:t>
      </w:r>
      <w:r>
        <w:rPr>
          <w:rFonts w:ascii="宋体" w:hAnsi="宋体"/>
          <w:bCs/>
          <w:color w:val="000000"/>
          <w:szCs w:val="21"/>
        </w:rPr>
        <w:t>-20</w:t>
      </w:r>
      <w:r>
        <w:rPr>
          <w:rFonts w:hint="eastAsia" w:ascii="宋体" w:hAnsi="宋体"/>
          <w:bCs/>
          <w:color w:val="000000"/>
          <w:szCs w:val="21"/>
        </w:rPr>
        <w:t>21</w:t>
      </w:r>
    </w:p>
    <w:p>
      <w:pPr>
        <w:spacing w:line="0" w:lineRule="atLeast"/>
        <w:jc w:val="right"/>
        <w:rPr>
          <w:szCs w:val="21"/>
        </w:rPr>
      </w:pPr>
      <w:r>
        <w:rPr>
          <w:rFonts w:ascii="宋体" w:hAnsi="宋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-252730</wp:posOffset>
                </wp:positionH>
                <wp:positionV relativeFrom="paragraph">
                  <wp:posOffset>106045</wp:posOffset>
                </wp:positionV>
                <wp:extent cx="6391275" cy="0"/>
                <wp:effectExtent l="0" t="0" r="0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12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9.9pt;margin-top:8.35pt;height:0pt;width:503.25pt;z-index:251661312;mso-width-relative:page;mso-height-relative:page;" filled="f" stroked="t" coordsize="21600,21600" o:gfxdata="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XdxQp1gAAAAkBAAAPAAAAAAAAAAEAIAAAACIAAABkcnMvZG93&#10;bnJldi54bWxQSwECFAAUAAAACACHTuJAOUd3YwICAAD6AwAADgAAAAAAAAABACAAAAAlAQAAZHJz&#10;L2Uyb0RvYy54bWxQSwUGAAAAAAYABgBZAQAAm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before="240" w:line="520" w:lineRule="exact"/>
        <w:jc w:val="right"/>
        <w:rPr>
          <w:rFonts w:ascii="宋体" w:hAnsi="宋体"/>
          <w:bCs/>
          <w:color w:val="000000"/>
          <w:szCs w:val="21"/>
        </w:rPr>
      </w:pPr>
    </w:p>
    <w:p>
      <w:pPr>
        <w:spacing w:line="520" w:lineRule="exact"/>
        <w:rPr>
          <w:color w:val="000000"/>
          <w:sz w:val="28"/>
          <w:szCs w:val="28"/>
        </w:rPr>
      </w:pPr>
    </w:p>
    <w:p>
      <w:pPr>
        <w:spacing w:line="520" w:lineRule="exact"/>
        <w:jc w:val="center"/>
        <w:rPr>
          <w:rFonts w:eastAsia="黑体"/>
          <w:color w:val="000000"/>
          <w:sz w:val="42"/>
          <w:szCs w:val="42"/>
        </w:rPr>
      </w:pPr>
    </w:p>
    <w:p>
      <w:pPr>
        <w:spacing w:line="520" w:lineRule="exact"/>
        <w:jc w:val="center"/>
        <w:rPr>
          <w:rFonts w:eastAsia="Gungsuh"/>
          <w:color w:val="000000"/>
          <w:sz w:val="42"/>
          <w:szCs w:val="42"/>
        </w:rPr>
      </w:pPr>
    </w:p>
    <w:p>
      <w:pPr>
        <w:spacing w:line="520" w:lineRule="exact"/>
        <w:jc w:val="center"/>
        <w:rPr>
          <w:color w:val="000000"/>
          <w:sz w:val="42"/>
          <w:szCs w:val="42"/>
        </w:rPr>
      </w:pPr>
    </w:p>
    <w:p>
      <w:pPr>
        <w:spacing w:line="520" w:lineRule="exact"/>
        <w:jc w:val="center"/>
        <w:rPr>
          <w:rFonts w:eastAsia="黑体"/>
          <w:b/>
          <w:bCs/>
          <w:color w:val="000000"/>
          <w:sz w:val="42"/>
          <w:szCs w:val="42"/>
        </w:rPr>
      </w:pPr>
    </w:p>
    <w:p>
      <w:pPr>
        <w:spacing w:line="520" w:lineRule="exact"/>
        <w:ind w:firstLine="3368" w:firstLineChars="699"/>
        <w:rPr>
          <w:rFonts w:eastAsia="黑体"/>
          <w:b/>
          <w:bCs/>
          <w:color w:val="000000"/>
          <w:sz w:val="48"/>
          <w:szCs w:val="48"/>
        </w:rPr>
      </w:pPr>
    </w:p>
    <w:p>
      <w:pPr>
        <w:spacing w:line="520" w:lineRule="exact"/>
        <w:jc w:val="center"/>
        <w:rPr>
          <w:rFonts w:eastAsia="黑体" w:cs="黑体"/>
          <w:color w:val="000000"/>
          <w:sz w:val="52"/>
          <w:szCs w:val="52"/>
        </w:rPr>
      </w:pPr>
      <w:r>
        <w:rPr>
          <w:rFonts w:hint="eastAsia" w:eastAsia="黑体" w:cs="黑体"/>
          <w:color w:val="000000"/>
          <w:sz w:val="52"/>
          <w:szCs w:val="52"/>
        </w:rPr>
        <w:t>莲鳖生态综合种养技术规程</w:t>
      </w:r>
    </w:p>
    <w:p>
      <w:pPr>
        <w:spacing w:line="520" w:lineRule="exact"/>
        <w:jc w:val="center"/>
      </w:pPr>
      <w:r>
        <w:rPr>
          <w:rFonts w:hint="eastAsia"/>
        </w:rPr>
        <w:t>Technical Specification for Ecological Comprehensive Breeding of Lotus and Turtle</w:t>
      </w:r>
      <w:r>
        <w:t>i</w:t>
      </w:r>
    </w:p>
    <w:p>
      <w:pPr>
        <w:spacing w:line="5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eastAsia="zh-CN"/>
        </w:rPr>
        <w:t>征求意见</w:t>
      </w:r>
      <w:r>
        <w:rPr>
          <w:rFonts w:hint="eastAsia"/>
          <w:sz w:val="28"/>
          <w:szCs w:val="28"/>
        </w:rPr>
        <w:t>稿）</w:t>
      </w:r>
    </w:p>
    <w:p>
      <w:pPr>
        <w:spacing w:line="520" w:lineRule="exact"/>
        <w:jc w:val="center"/>
        <w:rPr>
          <w:color w:val="000000"/>
          <w:sz w:val="28"/>
          <w:szCs w:val="28"/>
        </w:rPr>
      </w:pPr>
    </w:p>
    <w:p>
      <w:pPr>
        <w:spacing w:line="520" w:lineRule="exact"/>
        <w:jc w:val="center"/>
        <w:rPr>
          <w:color w:val="000000"/>
          <w:sz w:val="28"/>
          <w:szCs w:val="28"/>
        </w:rPr>
      </w:pPr>
    </w:p>
    <w:p>
      <w:pPr>
        <w:spacing w:line="520" w:lineRule="exact"/>
        <w:jc w:val="center"/>
        <w:rPr>
          <w:color w:val="000000"/>
          <w:sz w:val="28"/>
          <w:szCs w:val="28"/>
        </w:rPr>
      </w:pPr>
    </w:p>
    <w:p>
      <w:pPr>
        <w:spacing w:line="520" w:lineRule="exact"/>
        <w:rPr>
          <w:color w:val="000000"/>
          <w:sz w:val="28"/>
          <w:szCs w:val="28"/>
        </w:rPr>
      </w:pPr>
    </w:p>
    <w:p>
      <w:pPr>
        <w:spacing w:line="520" w:lineRule="exact"/>
        <w:rPr>
          <w:color w:val="000000"/>
          <w:sz w:val="28"/>
          <w:szCs w:val="28"/>
        </w:rPr>
      </w:pPr>
    </w:p>
    <w:p>
      <w:pPr>
        <w:spacing w:line="520" w:lineRule="exact"/>
        <w:rPr>
          <w:color w:val="000000"/>
          <w:sz w:val="28"/>
          <w:szCs w:val="28"/>
        </w:rPr>
      </w:pPr>
    </w:p>
    <w:p>
      <w:pPr>
        <w:spacing w:line="520" w:lineRule="exact"/>
        <w:jc w:val="center"/>
        <w:rPr>
          <w:rFonts w:ascii="黑体" w:hAnsi="黑体" w:eastAsia="黑体"/>
          <w:bCs/>
          <w:color w:val="000000"/>
          <w:sz w:val="28"/>
          <w:szCs w:val="28"/>
        </w:rPr>
      </w:pPr>
      <w:r>
        <w:rPr>
          <w:rFonts w:ascii="黑体" w:hAnsi="黑体" w:eastAsia="黑体"/>
          <w:bCs/>
          <w:color w:val="000000"/>
          <w:sz w:val="28"/>
          <w:szCs w:val="28"/>
        </w:rPr>
        <w:t>20</w:t>
      </w:r>
      <w:r>
        <w:rPr>
          <w:rFonts w:hint="eastAsia" w:ascii="黑体" w:hAnsi="黑体" w:eastAsia="黑体"/>
          <w:bCs/>
          <w:color w:val="000000"/>
          <w:sz w:val="28"/>
          <w:szCs w:val="28"/>
        </w:rPr>
        <w:t>2</w:t>
      </w:r>
      <w:r>
        <w:rPr>
          <w:rFonts w:hint="eastAsia" w:ascii="黑体" w:hAnsi="黑体" w:eastAsia="黑体"/>
          <w:bCs/>
          <w:color w:val="000000"/>
          <w:sz w:val="28"/>
          <w:szCs w:val="28"/>
          <w:lang w:val="en-US" w:eastAsia="zh-CN"/>
        </w:rPr>
        <w:t>3</w:t>
      </w:r>
      <w:r>
        <w:rPr>
          <w:rFonts w:ascii="黑体" w:hAnsi="黑体" w:eastAsia="黑体"/>
          <w:bCs/>
          <w:color w:val="000000"/>
          <w:sz w:val="28"/>
          <w:szCs w:val="28"/>
        </w:rPr>
        <w:t>—</w:t>
      </w:r>
      <w:r>
        <w:rPr>
          <w:rFonts w:hint="eastAsia" w:ascii="黑体" w:hAnsi="黑体" w:eastAsia="黑体"/>
          <w:bCs/>
          <w:color w:val="000000"/>
          <w:sz w:val="28"/>
          <w:szCs w:val="28"/>
        </w:rPr>
        <w:t>×—×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>发布</w:t>
      </w:r>
      <w:r>
        <w:rPr>
          <w:rFonts w:ascii="黑体" w:hAnsi="黑体" w:eastAsia="黑体"/>
          <w:bCs/>
          <w:color w:val="000000"/>
          <w:sz w:val="28"/>
          <w:szCs w:val="28"/>
        </w:rPr>
        <w:t xml:space="preserve">                20</w:t>
      </w:r>
      <w:r>
        <w:rPr>
          <w:rFonts w:hint="eastAsia" w:ascii="黑体" w:hAnsi="黑体" w:eastAsia="黑体"/>
          <w:bCs/>
          <w:color w:val="000000"/>
          <w:sz w:val="28"/>
          <w:szCs w:val="28"/>
        </w:rPr>
        <w:t>2</w:t>
      </w:r>
      <w:r>
        <w:rPr>
          <w:rFonts w:hint="eastAsia" w:ascii="黑体" w:hAnsi="黑体" w:eastAsia="黑体"/>
          <w:bCs/>
          <w:color w:val="000000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/>
          <w:bCs/>
          <w:color w:val="000000"/>
          <w:sz w:val="28"/>
          <w:szCs w:val="28"/>
        </w:rPr>
        <w:t>-×-×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>实施</w:t>
      </w:r>
    </w:p>
    <w:p>
      <w:pPr>
        <w:jc w:val="center"/>
        <w:rPr>
          <w:rFonts w:eastAsia="黑体"/>
          <w:sz w:val="28"/>
          <w:szCs w:val="20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b/>
          <w:sz w:val="44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-290195</wp:posOffset>
                </wp:positionH>
                <wp:positionV relativeFrom="paragraph">
                  <wp:posOffset>22225</wp:posOffset>
                </wp:positionV>
                <wp:extent cx="5779770" cy="6985"/>
                <wp:effectExtent l="0" t="0" r="0" b="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9770" cy="69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22.85pt;margin-top:1.75pt;height:0.55pt;width:455.1pt;z-index:251662336;mso-width-relative:page;mso-height-relative:page;" filled="f" stroked="t" coordsize="21600,21600" o:gfxdata="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Xz/su1gAAAAcBAAAPAAAAAAAAAAEAIAAAACIAAABkcnMv&#10;ZG93bnJldi54bWxQSwECFAAUAAAACACHTuJAjjcnkAUCAAD9AwAADgAAAAAAAAABACAAAAAlAQAA&#10;ZHJzL2Uyb0RvYy54bWxQSwUGAAAAAAYABgBZAQAAn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sz w:val="44"/>
          <w:szCs w:val="20"/>
        </w:rPr>
        <w:t>湖南省市场监督管理局</w:t>
      </w:r>
      <w:r>
        <w:rPr>
          <w:rFonts w:hint="eastAsia" w:eastAsia="黑体"/>
          <w:sz w:val="28"/>
          <w:szCs w:val="20"/>
        </w:rPr>
        <w:t>发布</w:t>
      </w:r>
    </w:p>
    <w:p>
      <w:pPr>
        <w:pStyle w:val="10"/>
      </w:pPr>
      <w:bookmarkStart w:id="0" w:name="_Toc498502450"/>
      <w:bookmarkStart w:id="1" w:name="_Toc498888996"/>
      <w:bookmarkStart w:id="2" w:name="_Toc498937437"/>
      <w:bookmarkStart w:id="3" w:name="_Toc498501121"/>
      <w:bookmarkStart w:id="4" w:name="_Toc498591085"/>
      <w:bookmarkStart w:id="5" w:name="_Toc498509028"/>
      <w:bookmarkStart w:id="6" w:name="_Toc498501067"/>
      <w:bookmarkStart w:id="7" w:name="_Toc498510840"/>
      <w:bookmarkStart w:id="8" w:name="_Toc498500982"/>
      <w:bookmarkStart w:id="9" w:name="_Toc498937420"/>
      <w:r>
        <w:rPr>
          <w:rFonts w:hint="eastAsia"/>
        </w:rPr>
        <w:t>目</w:t>
      </w:r>
      <w:bookmarkStart w:id="10" w:name="BKML"/>
      <w:r>
        <w:rPr>
          <w:rFonts w:hint="eastAsia" w:ascii="MS Mincho" w:hAnsi="MS Mincho" w:eastAsia="MS Mincho" w:cs="MS Mincho"/>
        </w:rPr>
        <w:t>  </w:t>
      </w:r>
      <w:bookmarkEnd w:id="10"/>
      <w:r>
        <w:rPr>
          <w:rFonts w:hint="eastAsia"/>
        </w:rPr>
        <w:t>录</w:t>
      </w:r>
    </w:p>
    <w:p>
      <w:pPr>
        <w:pStyle w:val="5"/>
        <w:spacing w:before="78" w:after="78"/>
        <w:rPr>
          <w:rFonts w:ascii="Calibri" w:hAnsi="Calibri"/>
          <w:szCs w:val="22"/>
        </w:rPr>
      </w:pPr>
      <w:r>
        <w:fldChar w:fldCharType="begin" w:fldLock="1"/>
      </w:r>
      <w:r>
        <w:instrText xml:space="preserve"> </w:instrText>
      </w:r>
      <w:r>
        <w:rPr>
          <w:rFonts w:hint="eastAsia"/>
        </w:rPr>
        <w:instrText xml:space="preserve">TOC \h \z \t"前言、引言标题,1,参考文献、索引标题,1,章标题,1,参考文献,1,附录标识,1,一级条标题, 3" \* MERGEFORMAT</w:instrText>
      </w:r>
      <w:r>
        <w:instrText xml:space="preserve"> </w:instrText>
      </w:r>
      <w:r>
        <w:fldChar w:fldCharType="separate"/>
      </w:r>
      <w:r>
        <w:fldChar w:fldCharType="begin"/>
      </w:r>
      <w:r>
        <w:instrText xml:space="preserve">HYPERLINK \l "_Toc499220724"</w:instrText>
      </w:r>
      <w:r>
        <w:fldChar w:fldCharType="separate"/>
      </w:r>
      <w:r>
        <w:rPr>
          <w:rStyle w:val="9"/>
          <w:rFonts w:hint="eastAsia"/>
        </w:rPr>
        <w:t>前言</w:t>
      </w:r>
      <w:r>
        <w:tab/>
      </w:r>
      <w:r>
        <w:fldChar w:fldCharType="begin" w:fldLock="1"/>
      </w:r>
      <w:r>
        <w:instrText xml:space="preserve"> PAGEREF _Toc499220724 \h </w:instrText>
      </w:r>
      <w:r>
        <w:fldChar w:fldCharType="separate"/>
      </w:r>
      <w:r>
        <w:t>II</w:t>
      </w:r>
      <w:r>
        <w:fldChar w:fldCharType="end"/>
      </w:r>
      <w:r>
        <w:fldChar w:fldCharType="end"/>
      </w:r>
    </w:p>
    <w:p>
      <w:pPr>
        <w:pStyle w:val="5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HYPERLINK \l "_Toc499220725"</w:instrText>
      </w:r>
      <w:r>
        <w:fldChar w:fldCharType="separate"/>
      </w:r>
      <w:r>
        <w:rPr>
          <w:rStyle w:val="9"/>
        </w:rPr>
        <w:t>1</w:t>
      </w:r>
      <w:r>
        <w:rPr>
          <w:rStyle w:val="9"/>
          <w:rFonts w:hint="eastAsia"/>
        </w:rPr>
        <w:t>　范围</w:t>
      </w:r>
      <w:r>
        <w:tab/>
      </w:r>
      <w:r>
        <w:fldChar w:fldCharType="begin" w:fldLock="1"/>
      </w:r>
      <w:r>
        <w:instrText xml:space="preserve"> PAGEREF _Toc499220725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5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HYPERLINK \l "_Toc499220726"</w:instrText>
      </w:r>
      <w:r>
        <w:fldChar w:fldCharType="separate"/>
      </w:r>
      <w:r>
        <w:rPr>
          <w:rStyle w:val="9"/>
        </w:rPr>
        <w:t>2</w:t>
      </w:r>
      <w:r>
        <w:rPr>
          <w:rStyle w:val="9"/>
          <w:rFonts w:hint="eastAsia"/>
        </w:rPr>
        <w:t>　规范性引用文件</w:t>
      </w:r>
      <w:r>
        <w:tab/>
      </w:r>
      <w:r>
        <w:fldChar w:fldCharType="begin" w:fldLock="1"/>
      </w:r>
      <w:r>
        <w:instrText xml:space="preserve"> PAGEREF _Toc499220726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5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HYPERLINK \l "_Toc499220727"</w:instrText>
      </w:r>
      <w:r>
        <w:fldChar w:fldCharType="separate"/>
      </w:r>
      <w:r>
        <w:rPr>
          <w:rStyle w:val="9"/>
        </w:rPr>
        <w:t>3</w:t>
      </w:r>
      <w:r>
        <w:rPr>
          <w:rStyle w:val="9"/>
          <w:rFonts w:hint="eastAsia"/>
        </w:rPr>
        <w:t>　术语和定义</w:t>
      </w:r>
      <w:r>
        <w:tab/>
      </w:r>
      <w:r>
        <w:fldChar w:fldCharType="begin" w:fldLock="1"/>
      </w:r>
      <w:r>
        <w:instrText xml:space="preserve"> PAGEREF _Toc499220727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5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HYPERLINK \l "_Toc499220730"</w:instrText>
      </w:r>
      <w:r>
        <w:fldChar w:fldCharType="separate"/>
      </w:r>
      <w:r>
        <w:rPr>
          <w:rStyle w:val="9"/>
        </w:rPr>
        <w:t>4</w:t>
      </w:r>
      <w:r>
        <w:rPr>
          <w:rStyle w:val="9"/>
          <w:rFonts w:hint="eastAsia"/>
        </w:rPr>
        <w:t>　</w:t>
      </w:r>
      <w:r>
        <w:rPr>
          <w:rStyle w:val="9"/>
          <w:rFonts w:hint="eastAsia"/>
          <w:lang w:eastAsia="zh-CN"/>
        </w:rPr>
        <w:t>产地</w:t>
      </w:r>
      <w:r>
        <w:rPr>
          <w:rStyle w:val="9"/>
          <w:rFonts w:hint="eastAsia"/>
        </w:rPr>
        <w:t>环境</w:t>
      </w:r>
      <w:r>
        <w:tab/>
      </w:r>
      <w:r>
        <w:fldChar w:fldCharType="begin" w:fldLock="1"/>
      </w:r>
      <w:r>
        <w:instrText xml:space="preserve"> PAGEREF _Toc499220730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5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HYPERLINK \l "_Toc499220734"</w:instrText>
      </w:r>
      <w:r>
        <w:fldChar w:fldCharType="separate"/>
      </w:r>
      <w:r>
        <w:rPr>
          <w:rStyle w:val="9"/>
        </w:rPr>
        <w:t>5</w:t>
      </w:r>
      <w:r>
        <w:rPr>
          <w:rStyle w:val="9"/>
          <w:rFonts w:hint="eastAsia"/>
        </w:rPr>
        <w:t>　</w:t>
      </w:r>
      <w:r>
        <w:rPr>
          <w:rStyle w:val="9"/>
          <w:rFonts w:hint="eastAsia"/>
          <w:lang w:eastAsia="zh-CN"/>
        </w:rPr>
        <w:t>莲田改造</w:t>
      </w:r>
      <w:r>
        <w:tab/>
      </w:r>
      <w:r>
        <w:fldChar w:fldCharType="begin" w:fldLock="1"/>
      </w:r>
      <w:r>
        <w:instrText xml:space="preserve"> PAGEREF _Toc499220734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5"/>
        <w:spacing w:before="78" w:after="78"/>
      </w:pPr>
      <w:r>
        <w:fldChar w:fldCharType="begin"/>
      </w:r>
      <w:r>
        <w:instrText xml:space="preserve">HYPERLINK \l "_Toc499220742"</w:instrText>
      </w:r>
      <w:r>
        <w:fldChar w:fldCharType="separate"/>
      </w:r>
      <w:r>
        <w:rPr>
          <w:rStyle w:val="9"/>
        </w:rPr>
        <w:t>6</w:t>
      </w:r>
      <w:r>
        <w:rPr>
          <w:rStyle w:val="9"/>
          <w:rFonts w:hint="eastAsia"/>
        </w:rPr>
        <w:t>　</w:t>
      </w:r>
      <w:r>
        <w:rPr>
          <w:rStyle w:val="9"/>
          <w:rFonts w:hint="eastAsia"/>
          <w:lang w:eastAsia="zh-CN"/>
        </w:rPr>
        <w:t>湘莲种植</w:t>
      </w:r>
      <w:r>
        <w:tab/>
      </w:r>
      <w:r>
        <w:rPr>
          <w:rFonts w:hint="eastAsia"/>
        </w:rPr>
        <w:t>2</w:t>
      </w:r>
      <w:r>
        <w:fldChar w:fldCharType="end"/>
      </w:r>
    </w:p>
    <w:p>
      <w:pPr>
        <w:pStyle w:val="5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HYPERLINK \l "_Toc499220742"</w:instrText>
      </w:r>
      <w:r>
        <w:fldChar w:fldCharType="separate"/>
      </w:r>
      <w:r>
        <w:rPr>
          <w:rFonts w:hint="eastAsia"/>
        </w:rPr>
        <w:t>7</w:t>
      </w:r>
      <w:r>
        <w:rPr>
          <w:rStyle w:val="9"/>
          <w:rFonts w:hint="eastAsia"/>
        </w:rPr>
        <w:t>　</w:t>
      </w:r>
      <w:r>
        <w:rPr>
          <w:rStyle w:val="9"/>
          <w:rFonts w:hint="eastAsia"/>
          <w:lang w:eastAsia="zh-CN"/>
        </w:rPr>
        <w:t>鳖的放养</w:t>
      </w:r>
      <w:r>
        <w:tab/>
      </w:r>
      <w:r>
        <w:rPr>
          <w:rFonts w:hint="eastAsia"/>
        </w:rPr>
        <w:t>2</w:t>
      </w:r>
      <w:r>
        <w:fldChar w:fldCharType="end"/>
      </w:r>
    </w:p>
    <w:p>
      <w:pPr>
        <w:pStyle w:val="5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HYPERLINK \l "_Toc499220742"</w:instrText>
      </w:r>
      <w:r>
        <w:fldChar w:fldCharType="separate"/>
      </w:r>
      <w:r>
        <w:rPr>
          <w:rFonts w:hint="eastAsia"/>
        </w:rPr>
        <w:t>8</w:t>
      </w:r>
      <w:r>
        <w:rPr>
          <w:rStyle w:val="9"/>
          <w:rFonts w:hint="eastAsia"/>
        </w:rPr>
        <w:t>　</w:t>
      </w:r>
      <w:r>
        <w:rPr>
          <w:rStyle w:val="9"/>
          <w:rFonts w:hint="eastAsia"/>
          <w:lang w:eastAsia="zh-CN"/>
        </w:rPr>
        <w:t>日常管理</w:t>
      </w:r>
      <w:r>
        <w:tab/>
      </w:r>
      <w:r>
        <w:rPr>
          <w:rFonts w:hint="eastAsia"/>
        </w:rPr>
        <w:t>3</w:t>
      </w:r>
      <w:r>
        <w:fldChar w:fldCharType="end"/>
      </w:r>
    </w:p>
    <w:p>
      <w:pPr>
        <w:pStyle w:val="5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HYPERLINK \l "_Toc499220742"</w:instrText>
      </w:r>
      <w:r>
        <w:fldChar w:fldCharType="separate"/>
      </w:r>
      <w:r>
        <w:rPr>
          <w:rFonts w:hint="eastAsia"/>
        </w:rPr>
        <w:t>9</w:t>
      </w:r>
      <w:r>
        <w:rPr>
          <w:rStyle w:val="9"/>
          <w:rFonts w:hint="eastAsia"/>
        </w:rPr>
        <w:t>　</w:t>
      </w:r>
      <w:r>
        <w:rPr>
          <w:rStyle w:val="9"/>
          <w:rFonts w:hint="eastAsia"/>
          <w:lang w:eastAsia="zh-CN"/>
        </w:rPr>
        <w:t>病害防控</w:t>
      </w:r>
      <w:r>
        <w:tab/>
      </w:r>
      <w:r>
        <w:rPr>
          <w:rFonts w:hint="eastAsia"/>
        </w:rPr>
        <w:t>3</w:t>
      </w:r>
      <w:r>
        <w:fldChar w:fldCharType="end"/>
      </w:r>
    </w:p>
    <w:p>
      <w:pPr>
        <w:pStyle w:val="5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HYPERLINK \l "_Toc499220742"</w:instrText>
      </w:r>
      <w:r>
        <w:fldChar w:fldCharType="separate"/>
      </w:r>
      <w:r>
        <w:rPr>
          <w:rFonts w:hint="eastAsia"/>
        </w:rPr>
        <w:t>10</w:t>
      </w:r>
      <w:r>
        <w:rPr>
          <w:rStyle w:val="9"/>
          <w:rFonts w:hint="eastAsia"/>
        </w:rPr>
        <w:t>　</w:t>
      </w:r>
      <w:r>
        <w:rPr>
          <w:rStyle w:val="9"/>
          <w:rFonts w:hint="eastAsia"/>
          <w:lang w:eastAsia="zh-CN"/>
        </w:rPr>
        <w:t>莲仔采摘</w:t>
      </w:r>
      <w:r>
        <w:tab/>
      </w:r>
      <w:r>
        <w:rPr>
          <w:rFonts w:hint="eastAsia"/>
        </w:rPr>
        <w:t>4</w:t>
      </w:r>
      <w:r>
        <w:fldChar w:fldCharType="end"/>
      </w:r>
    </w:p>
    <w:p>
      <w:pPr>
        <w:pStyle w:val="5"/>
        <w:spacing w:before="78" w:after="78"/>
      </w:pPr>
      <w:r>
        <w:fldChar w:fldCharType="begin"/>
      </w:r>
      <w:r>
        <w:instrText xml:space="preserve">HYPERLINK \l "_Toc499220742"</w:instrText>
      </w:r>
      <w:r>
        <w:fldChar w:fldCharType="separate"/>
      </w:r>
      <w:r>
        <w:rPr>
          <w:rFonts w:hint="eastAsia"/>
        </w:rPr>
        <w:t>11</w:t>
      </w:r>
      <w:r>
        <w:rPr>
          <w:rStyle w:val="9"/>
          <w:rFonts w:hint="eastAsia"/>
        </w:rPr>
        <w:t>　</w:t>
      </w:r>
      <w:r>
        <w:rPr>
          <w:rStyle w:val="9"/>
          <w:rFonts w:hint="eastAsia"/>
          <w:lang w:eastAsia="zh-CN"/>
        </w:rPr>
        <w:t>鳖的捕捞与越冬</w:t>
      </w:r>
      <w:r>
        <w:tab/>
      </w:r>
      <w:r>
        <w:fldChar w:fldCharType="begin" w:fldLock="1"/>
      </w:r>
      <w:r>
        <w:instrText xml:space="preserve"> PAGEREF _Toc499220742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5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HYPERLINK \l "_Toc499220755"</w:instrText>
      </w:r>
      <w:r>
        <w:fldChar w:fldCharType="separate"/>
      </w:r>
      <w:r>
        <w:rPr>
          <w:rFonts w:hint="eastAsia"/>
        </w:rPr>
        <w:t>12</w:t>
      </w:r>
      <w:r>
        <w:rPr>
          <w:rStyle w:val="9"/>
          <w:rFonts w:hint="eastAsia"/>
        </w:rPr>
        <w:t>　种养记录</w:t>
      </w:r>
      <w:r>
        <w:tab/>
      </w:r>
      <w:r>
        <w:rPr>
          <w:rFonts w:hint="eastAsia"/>
        </w:rPr>
        <w:t>4</w:t>
      </w:r>
      <w:r>
        <w:fldChar w:fldCharType="end"/>
      </w:r>
    </w:p>
    <w:p>
      <w:pPr>
        <w:pStyle w:val="11"/>
        <w:ind w:firstLine="0" w:firstLineChars="0"/>
        <w:rPr>
          <w:u w:val="single"/>
        </w:rPr>
      </w:pPr>
      <w:r>
        <w:fldChar w:fldCharType="end"/>
      </w:r>
    </w:p>
    <w:p>
      <w:pPr>
        <w:pStyle w:val="12"/>
      </w:pPr>
      <w:bookmarkStart w:id="11" w:name="_Toc499220724"/>
      <w:r>
        <w:rPr>
          <w:rFonts w:hint="eastAsia"/>
        </w:rPr>
        <w:t>前</w:t>
      </w:r>
      <w:bookmarkStart w:id="12" w:name="BKQY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1"/>
      <w:bookmarkEnd w:id="12"/>
    </w:p>
    <w:p>
      <w:pPr>
        <w:pStyle w:val="11"/>
        <w:tabs>
          <w:tab w:val="left" w:pos="1260"/>
          <w:tab w:val="clear" w:pos="4201"/>
          <w:tab w:val="clear" w:pos="9298"/>
        </w:tabs>
      </w:pPr>
      <w:r>
        <w:tab/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本文件按GB/T 1.1-2020《标准化工作导则第1部分：标准化文件的结构和起草规则》给出的规则起草。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请注意本文件某些内容可能涉及专利，本文件发布机构不承担识别这些专利的责任。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本文件由湖南省农业农村厅提出。</w:t>
      </w:r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本文件由湖南省农业标准化技术委员会归口。</w:t>
      </w:r>
    </w:p>
    <w:p>
      <w:pPr>
        <w:pStyle w:val="11"/>
        <w:rPr>
          <w:rFonts w:hint="eastAsia"/>
        </w:rPr>
      </w:pPr>
      <w:r>
        <w:rPr>
          <w:rFonts w:hint="eastAsia"/>
        </w:rPr>
        <w:t>本</w:t>
      </w:r>
      <w:r>
        <w:rPr>
          <w:rFonts w:hint="eastAsia"/>
          <w:lang w:eastAsia="zh-CN"/>
        </w:rPr>
        <w:t>文件</w:t>
      </w:r>
      <w:r>
        <w:rPr>
          <w:rFonts w:hint="eastAsia"/>
        </w:rPr>
        <w:t>主要起草单位：湘潭市畜牧水产技术研究和推广中心</w:t>
      </w:r>
    </w:p>
    <w:p>
      <w:pPr>
        <w:pStyle w:val="11"/>
        <w:rPr>
          <w:rFonts w:hint="eastAsia"/>
        </w:rPr>
      </w:pPr>
      <w:r>
        <w:rPr>
          <w:rFonts w:hint="eastAsia"/>
        </w:rPr>
        <w:t>本</w:t>
      </w:r>
      <w:r>
        <w:rPr>
          <w:rFonts w:hint="eastAsia"/>
          <w:lang w:eastAsia="zh-CN"/>
        </w:rPr>
        <w:t>文件</w:t>
      </w:r>
      <w:r>
        <w:rPr>
          <w:rFonts w:hint="eastAsia"/>
        </w:rPr>
        <w:t>主要起草人：</w:t>
      </w:r>
      <w:r>
        <w:t xml:space="preserve"> </w:t>
      </w:r>
      <w:r>
        <w:rPr>
          <w:rFonts w:hint="eastAsia"/>
        </w:rPr>
        <w:t>张兴、左晓红、张勇、粟泽雄、唐卫红、刘骥德、欧朝萍、李勇、谭禹、刘传芳</w:t>
      </w:r>
    </w:p>
    <w:p>
      <w:pPr>
        <w:pStyle w:val="11"/>
        <w:ind w:firstLine="0" w:firstLineChars="0"/>
        <w:rPr>
          <w:rFonts w:hint="eastAsia"/>
        </w:rPr>
      </w:pPr>
    </w:p>
    <w:p>
      <w:pPr>
        <w:pStyle w:val="11"/>
        <w:ind w:firstLine="0" w:firstLineChars="0"/>
        <w:sectPr>
          <w:headerReference r:id="rId6" w:type="default"/>
          <w:footerReference r:id="rId7" w:type="default"/>
          <w:pgSz w:w="11906" w:h="16838"/>
          <w:pgMar w:top="567" w:right="1134" w:bottom="1134" w:left="1418" w:header="1418" w:footer="1134" w:gutter="0"/>
          <w:pgNumType w:fmt="upperRoman" w:start="1"/>
          <w:cols w:space="720" w:num="1"/>
          <w:formProt w:val="0"/>
          <w:docGrid w:type="lines" w:linePitch="312" w:charSpace="0"/>
        </w:sectPr>
      </w:pPr>
    </w:p>
    <w:p>
      <w:pPr>
        <w:pStyle w:val="10"/>
      </w:pPr>
      <w:bookmarkStart w:id="13" w:name="StandardName"/>
      <w:r>
        <w:rPr>
          <w:rFonts w:hint="eastAsia"/>
        </w:rPr>
        <w:t>莲鳖生态综合种养技术规程</w:t>
      </w:r>
      <w:bookmarkEnd w:id="13"/>
    </w:p>
    <w:p>
      <w:pPr>
        <w:pStyle w:val="13"/>
        <w:spacing w:before="312" w:after="312"/>
        <w:outlineLvl w:val="0"/>
      </w:pPr>
      <w:bookmarkStart w:id="14" w:name="_Toc498509029"/>
      <w:bookmarkStart w:id="15" w:name="_Toc498501122"/>
      <w:bookmarkStart w:id="16" w:name="_Toc498510841"/>
      <w:bookmarkStart w:id="17" w:name="_Toc498888997"/>
      <w:bookmarkStart w:id="18" w:name="_Toc498591086"/>
      <w:bookmarkStart w:id="19" w:name="_Toc498937438"/>
      <w:bookmarkStart w:id="20" w:name="_Toc498502451"/>
      <w:bookmarkStart w:id="21" w:name="_Toc499220725"/>
      <w:bookmarkStart w:id="22" w:name="_Toc498500983"/>
      <w:bookmarkStart w:id="23" w:name="_Toc498937421"/>
      <w:bookmarkStart w:id="24" w:name="_Toc498501068"/>
      <w:r>
        <w:rPr>
          <w:rFonts w:hint="eastAsia"/>
        </w:rPr>
        <w:t>范围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>
      <w:pPr>
        <w:pStyle w:val="11"/>
        <w:rPr>
          <w:rFonts w:ascii="Verdana" w:hAnsi="Verdana"/>
          <w:szCs w:val="21"/>
        </w:rPr>
      </w:pPr>
      <w:r>
        <w:rPr>
          <w:rFonts w:hint="eastAsia"/>
        </w:rPr>
        <w:t>本文件规定了</w:t>
      </w:r>
      <w:r>
        <w:rPr>
          <w:rFonts w:hint="eastAsia" w:hAnsi="Times New Roman" w:eastAsia="宋体" w:cs="Times New Roman"/>
        </w:rPr>
        <w:t>莲鳖生态</w:t>
      </w:r>
      <w:r>
        <w:rPr>
          <w:rFonts w:hint="eastAsia" w:hAnsi="Times New Roman" w:eastAsia="宋体" w:cs="Times New Roman"/>
          <w:lang w:eastAsia="zh-CN"/>
        </w:rPr>
        <w:t>综合</w:t>
      </w:r>
      <w:r>
        <w:rPr>
          <w:rFonts w:hint="eastAsia" w:hAnsi="Times New Roman" w:eastAsia="宋体" w:cs="Times New Roman"/>
        </w:rPr>
        <w:t>种养</w:t>
      </w:r>
      <w:r>
        <w:rPr>
          <w:rFonts w:hint="eastAsia" w:hAnsi="Times New Roman" w:eastAsia="宋体" w:cs="Times New Roman"/>
          <w:lang w:eastAsia="zh-CN"/>
        </w:rPr>
        <w:t>的</w:t>
      </w:r>
      <w:r>
        <w:rPr>
          <w:rFonts w:hint="eastAsia"/>
        </w:rPr>
        <w:t>产地环境、莲田改造、湘莲种植、鳖</w:t>
      </w:r>
      <w:r>
        <w:rPr>
          <w:rFonts w:hint="eastAsia"/>
          <w:lang w:eastAsia="zh-CN"/>
        </w:rPr>
        <w:t>的</w:t>
      </w:r>
      <w:r>
        <w:rPr>
          <w:rFonts w:hint="eastAsia"/>
        </w:rPr>
        <w:t>放养、日常管理、病害防控、莲籽采摘、鳖的捕捞与越冬和种养记录。</w:t>
      </w:r>
    </w:p>
    <w:p>
      <w:pPr>
        <w:pStyle w:val="11"/>
        <w:rPr>
          <w:rFonts w:ascii="Verdana" w:hAnsi="Verdana"/>
          <w:szCs w:val="21"/>
        </w:rPr>
      </w:pPr>
      <w:r>
        <w:rPr>
          <w:rFonts w:hint="eastAsia"/>
        </w:rPr>
        <w:t>本文件适用于我省区域内莲鳖生态综合种养。</w:t>
      </w:r>
    </w:p>
    <w:p>
      <w:pPr>
        <w:pStyle w:val="13"/>
        <w:spacing w:before="312" w:after="312"/>
        <w:outlineLvl w:val="0"/>
        <w:rPr>
          <w:rFonts w:hint="eastAsia"/>
        </w:rPr>
      </w:pPr>
      <w:bookmarkStart w:id="25" w:name="_Toc498500984"/>
      <w:bookmarkStart w:id="26" w:name="_Toc498502452"/>
      <w:bookmarkStart w:id="27" w:name="_Toc498510842"/>
      <w:bookmarkStart w:id="28" w:name="_Toc498509030"/>
      <w:bookmarkStart w:id="29" w:name="_Toc498937422"/>
      <w:bookmarkStart w:id="30" w:name="_Toc498888998"/>
      <w:bookmarkStart w:id="31" w:name="_Toc498591087"/>
      <w:bookmarkStart w:id="32" w:name="_Toc498501069"/>
      <w:bookmarkStart w:id="33" w:name="_Toc499220726"/>
      <w:bookmarkStart w:id="34" w:name="_Toc498501123"/>
      <w:bookmarkStart w:id="35" w:name="_Toc498937439"/>
      <w:r>
        <w:rPr>
          <w:rFonts w:hint="eastAsia"/>
        </w:rPr>
        <w:t>规范性引用文件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>
      <w:pPr>
        <w:pStyle w:val="11"/>
      </w:pPr>
      <w:r>
        <w:rPr>
          <w:rFonts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>
      <w:pPr>
        <w:pStyle w:val="11"/>
        <w:rPr>
          <w:rFonts w:hint="eastAsia"/>
        </w:rPr>
      </w:pPr>
      <w:r>
        <w:rPr>
          <w:rFonts w:hint="eastAsia"/>
        </w:rPr>
        <w:t>GB  11607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渔业水质标准</w:t>
      </w:r>
    </w:p>
    <w:p>
      <w:pPr>
        <w:pStyle w:val="11"/>
        <w:rPr>
          <w:rFonts w:hint="eastAsia" w:cs="宋体"/>
          <w:color w:val="000000"/>
          <w:szCs w:val="21"/>
        </w:rPr>
      </w:pPr>
      <w:r>
        <w:rPr>
          <w:rFonts w:hint="eastAsia"/>
        </w:rPr>
        <w:t>GB</w:t>
      </w:r>
      <w:r>
        <w:t xml:space="preserve"> </w:t>
      </w:r>
      <w:r>
        <w:rPr>
          <w:rFonts w:hint="eastAsia"/>
        </w:rPr>
        <w:t>15618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cs="宋体"/>
          <w:color w:val="000000"/>
          <w:szCs w:val="21"/>
        </w:rPr>
        <w:t>土壤环境质量 农用地土壤污染风险管控标准（试行）</w:t>
      </w:r>
    </w:p>
    <w:p>
      <w:pPr>
        <w:pStyle w:val="14"/>
        <w:widowControl w:val="0"/>
        <w:spacing w:line="324" w:lineRule="exact"/>
        <w:ind w:firstLine="420" w:firstLineChars="200"/>
        <w:jc w:val="both"/>
        <w:rPr>
          <w:rFonts w:hint="eastAsia" w:ascii="宋体" w:hAnsi="Times New Roman" w:eastAsia="宋体"/>
          <w:color w:val="000000"/>
          <w:kern w:val="2"/>
          <w:sz w:val="21"/>
          <w:szCs w:val="24"/>
        </w:rPr>
      </w:pPr>
      <w:r>
        <w:rPr>
          <w:rFonts w:hint="eastAsia" w:ascii="宋体" w:hAnsi="Times New Roman" w:eastAsia="宋体"/>
          <w:color w:val="000000"/>
          <w:kern w:val="2"/>
          <w:sz w:val="21"/>
          <w:szCs w:val="24"/>
        </w:rPr>
        <w:t>GB/T 26876  中华鳖池塘养殖技术规范</w:t>
      </w:r>
    </w:p>
    <w:p>
      <w:pPr>
        <w:pStyle w:val="11"/>
        <w:rPr>
          <w:rFonts w:hint="eastAsia" w:ascii="宋体" w:hAnsi="Times New Roman" w:eastAsia="宋体"/>
          <w:color w:val="000000"/>
          <w:kern w:val="2"/>
          <w:sz w:val="21"/>
          <w:szCs w:val="24"/>
        </w:rPr>
      </w:pPr>
      <w:r>
        <w:rPr>
          <w:rFonts w:hint="eastAsia"/>
        </w:rPr>
        <w:t xml:space="preserve">NY/T 391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绿色食品 产地环境技术条件</w:t>
      </w:r>
    </w:p>
    <w:p>
      <w:pPr>
        <w:pStyle w:val="11"/>
        <w:rPr>
          <w:highlight w:val="yellow"/>
        </w:rPr>
      </w:pPr>
      <w:r>
        <w:rPr>
          <w:rFonts w:hint="eastAsia"/>
        </w:rPr>
        <w:t xml:space="preserve">SC/T 9101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hAnsi="宋体"/>
          <w:color w:val="000000"/>
          <w:szCs w:val="21"/>
        </w:rPr>
        <w:t>淡水池塘养殖水排放要求</w:t>
      </w:r>
    </w:p>
    <w:p>
      <w:pPr>
        <w:ind w:firstLine="420" w:firstLineChars="200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SC/T 1047</w:t>
      </w:r>
      <w:r>
        <w:rPr>
          <w:rFonts w:hint="eastAsia" w:ascii="宋体" w:hAnsi="宋体"/>
          <w:color w:val="000000"/>
          <w:kern w:val="0"/>
          <w:szCs w:val="21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kern w:val="0"/>
          <w:szCs w:val="21"/>
        </w:rPr>
        <w:t>中华鳖配台饲料</w:t>
      </w:r>
    </w:p>
    <w:p>
      <w:pPr>
        <w:pStyle w:val="11"/>
        <w:rPr>
          <w:rFonts w:hint="eastAsia" w:hAnsi="宋体"/>
          <w:color w:val="000000"/>
          <w:szCs w:val="21"/>
        </w:rPr>
      </w:pPr>
      <w:r>
        <w:t xml:space="preserve">SC/T 1077 </w:t>
      </w:r>
      <w:r>
        <w:rPr>
          <w:rFonts w:hint="eastAsia"/>
          <w:lang w:val="en-US" w:eastAsia="zh-CN"/>
        </w:rPr>
        <w:t xml:space="preserve"> </w:t>
      </w:r>
      <w:r>
        <w:t>渔用配合饲料通用技术要求</w:t>
      </w:r>
    </w:p>
    <w:p>
      <w:pPr>
        <w:ind w:firstLine="420" w:firstLineChars="200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SC/T 1107</w:t>
      </w:r>
      <w:r>
        <w:rPr>
          <w:rFonts w:hint="eastAsia" w:ascii="宋体" w:hAnsi="宋体"/>
          <w:color w:val="000000"/>
          <w:kern w:val="0"/>
          <w:szCs w:val="21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kern w:val="0"/>
          <w:szCs w:val="21"/>
        </w:rPr>
        <w:t>中华鳖亲鳖和苗种</w:t>
      </w:r>
    </w:p>
    <w:p>
      <w:pPr>
        <w:pStyle w:val="11"/>
        <w:rPr>
          <w:highlight w:val="yellow"/>
        </w:rPr>
      </w:pPr>
      <w:r>
        <w:rPr>
          <w:rFonts w:hint="eastAsia"/>
        </w:rPr>
        <w:t>SC/T 1135.1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稻渔综合种养技术规范 通则</w:t>
      </w:r>
    </w:p>
    <w:p>
      <w:pPr>
        <w:pStyle w:val="11"/>
        <w:rPr>
          <w:rFonts w:hint="eastAsia" w:hAnsi="宋体" w:cs="宋体"/>
          <w:szCs w:val="21"/>
        </w:rPr>
      </w:pPr>
      <w:r>
        <w:rPr>
          <w:rFonts w:hint="eastAsia" w:hAnsi="宋体" w:cs="宋体"/>
          <w:szCs w:val="21"/>
        </w:rPr>
        <w:t>HNZ 185  绿色食品（A）级 湘莲生产技术规程</w:t>
      </w:r>
    </w:p>
    <w:p>
      <w:pPr>
        <w:pStyle w:val="11"/>
        <w:rPr>
          <w:rFonts w:hint="eastAsia" w:hAnsi="宋体" w:cs="宋体"/>
          <w:szCs w:val="21"/>
        </w:rPr>
      </w:pPr>
      <w:r>
        <w:rPr>
          <w:rFonts w:hint="eastAsia" w:hAnsi="宋体" w:cs="宋体"/>
        </w:rPr>
        <w:t xml:space="preserve">DB43/T 634  </w:t>
      </w:r>
      <w:r>
        <w:rPr>
          <w:rFonts w:hint="eastAsia" w:hAnsi="宋体" w:cs="宋体"/>
          <w:szCs w:val="21"/>
          <w:shd w:val="clear" w:color="auto" w:fill="FFFFFF"/>
        </w:rPr>
        <w:t>畜禽水产养殖档案记录规范</w:t>
      </w:r>
    </w:p>
    <w:p>
      <w:pPr>
        <w:ind w:firstLine="420" w:firstLineChars="200"/>
        <w:rPr>
          <w:rFonts w:ascii="宋体"/>
          <w:color w:val="FF0000"/>
          <w:kern w:val="0"/>
          <w:szCs w:val="20"/>
          <w:highlight w:val="yellow"/>
        </w:rPr>
      </w:pPr>
    </w:p>
    <w:p>
      <w:pPr>
        <w:pStyle w:val="13"/>
        <w:spacing w:before="312" w:after="312"/>
        <w:outlineLvl w:val="0"/>
        <w:rPr>
          <w:rFonts w:hint="eastAsia"/>
        </w:rPr>
      </w:pPr>
      <w:bookmarkStart w:id="36" w:name="_Toc499220727"/>
      <w:bookmarkStart w:id="37" w:name="_Toc498937423"/>
      <w:bookmarkStart w:id="38" w:name="_Toc498591088"/>
      <w:bookmarkStart w:id="39" w:name="_Toc498888999"/>
      <w:bookmarkStart w:id="40" w:name="_Toc498937440"/>
      <w:bookmarkStart w:id="41" w:name="_Toc498500985"/>
      <w:bookmarkStart w:id="42" w:name="_Toc498501124"/>
      <w:bookmarkStart w:id="43" w:name="_Toc498502453"/>
      <w:bookmarkStart w:id="44" w:name="_Toc498510843"/>
      <w:bookmarkStart w:id="45" w:name="_Toc498501070"/>
      <w:bookmarkStart w:id="46" w:name="_Toc498509031"/>
      <w:r>
        <w:rPr>
          <w:rFonts w:hint="eastAsia"/>
        </w:rPr>
        <w:t>术语和定义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>
      <w:pPr>
        <w:pStyle w:val="11"/>
      </w:pPr>
      <w:bookmarkStart w:id="47" w:name="_Toc498509032"/>
      <w:bookmarkStart w:id="48" w:name="_Toc498502454"/>
      <w:r>
        <w:rPr>
          <w:rFonts w:hint="eastAsia"/>
        </w:rPr>
        <w:t>下列术语和定义适用于本文件。</w:t>
      </w:r>
      <w:bookmarkEnd w:id="47"/>
      <w:bookmarkEnd w:id="48"/>
      <w:bookmarkStart w:id="49" w:name="_Toc498501072"/>
      <w:bookmarkStart w:id="50" w:name="_Toc498500987"/>
      <w:bookmarkStart w:id="51" w:name="_Toc498501126"/>
    </w:p>
    <w:bookmarkEnd w:id="49"/>
    <w:bookmarkEnd w:id="50"/>
    <w:bookmarkEnd w:id="51"/>
    <w:p>
      <w:pPr>
        <w:pStyle w:val="11"/>
      </w:pPr>
    </w:p>
    <w:p>
      <w:pPr>
        <w:pStyle w:val="15"/>
        <w:numPr>
          <w:ilvl w:val="0"/>
          <w:numId w:val="0"/>
        </w:numPr>
        <w:spacing w:before="156" w:after="156"/>
        <w:ind w:firstLine="420" w:firstLineChars="200"/>
      </w:pPr>
      <w:bookmarkStart w:id="52" w:name="_Toc498591090"/>
      <w:bookmarkStart w:id="53" w:name="_Toc498500986"/>
      <w:bookmarkStart w:id="54" w:name="_Toc498502456"/>
      <w:bookmarkStart w:id="55" w:name="_Toc498889001"/>
      <w:bookmarkStart w:id="56" w:name="_Toc498509034"/>
      <w:bookmarkStart w:id="57" w:name="_Toc498501071"/>
      <w:bookmarkStart w:id="58" w:name="_Toc498501125"/>
      <w:bookmarkStart w:id="59" w:name="_Toc498510845"/>
      <w:bookmarkStart w:id="60" w:name="_Toc498937442"/>
      <w:bookmarkStart w:id="61" w:name="_Toc499220729"/>
      <w:r>
        <w:rPr>
          <w:rFonts w:hint="eastAsia"/>
        </w:rPr>
        <w:t>3.1  莲鳖综合种养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>
        <w:rPr>
          <w:rFonts w:hint="eastAsia"/>
        </w:rPr>
        <w:t xml:space="preserve"> </w:t>
      </w:r>
      <w:bookmarkStart w:id="62" w:name="_Hlk74310389"/>
      <w:bookmarkStart w:id="63" w:name="_Toc498889002"/>
      <w:bookmarkStart w:id="64" w:name="_Toc498502457"/>
      <w:bookmarkStart w:id="65" w:name="_Toc498509035"/>
      <w:bookmarkStart w:id="66" w:name="_Toc498591091"/>
      <w:bookmarkStart w:id="67" w:name="_Toc498500988"/>
      <w:bookmarkStart w:id="68" w:name="_Toc498501073"/>
      <w:bookmarkStart w:id="69" w:name="_Toc498937443"/>
      <w:bookmarkStart w:id="70" w:name="_Toc499220730"/>
      <w:bookmarkStart w:id="71" w:name="_Toc498510846"/>
      <w:bookmarkStart w:id="72" w:name="_Toc498501127"/>
      <w:bookmarkStart w:id="73" w:name="_Toc498937424"/>
      <w:r>
        <w:rPr>
          <w:rFonts w:hint="eastAsia"/>
        </w:rPr>
        <w:t>l</w:t>
      </w:r>
      <w:r>
        <w:t>otus</w:t>
      </w:r>
      <w:bookmarkEnd w:id="62"/>
      <w:r>
        <w:rPr>
          <w:rFonts w:hint="eastAsia"/>
        </w:rPr>
        <w:t xml:space="preserve"> </w:t>
      </w:r>
      <w:r>
        <w:t>and</w:t>
      </w:r>
      <w:r>
        <w:rPr>
          <w:rFonts w:hint="eastAsia"/>
        </w:rPr>
        <w:t xml:space="preserve"> </w:t>
      </w:r>
      <w:r>
        <w:t>Chinese soft shelled turtle  co-cultivation</w:t>
      </w:r>
    </w:p>
    <w:p>
      <w:pPr>
        <w:ind w:firstLine="420" w:firstLineChars="200"/>
      </w:pPr>
      <w:r>
        <w:t>在莲田中种植莲的同时放养鳖，鳖与莲在莲田中同生共长</w:t>
      </w:r>
      <w:r>
        <w:rPr>
          <w:rFonts w:hint="eastAsia"/>
          <w:lang w:eastAsia="zh-CN"/>
        </w:rPr>
        <w:t>、</w:t>
      </w:r>
      <w:r>
        <w:t>互利共生</w:t>
      </w:r>
      <w:r>
        <w:rPr>
          <w:rFonts w:hint="eastAsia"/>
          <w:lang w:eastAsia="zh-CN"/>
        </w:rPr>
        <w:t>、</w:t>
      </w:r>
      <w:r>
        <w:t>莲鳖</w:t>
      </w:r>
      <w:r>
        <w:rPr>
          <w:rFonts w:hint="eastAsia"/>
          <w:lang w:eastAsia="zh-CN"/>
        </w:rPr>
        <w:t>双</w:t>
      </w:r>
      <w:r>
        <w:t>收的一种种养结合模式。</w:t>
      </w:r>
    </w:p>
    <w:p>
      <w:pPr>
        <w:autoSpaceDE w:val="0"/>
        <w:autoSpaceDN w:val="0"/>
        <w:adjustRightInd w:val="0"/>
        <w:ind w:firstLine="420" w:firstLineChars="200"/>
        <w:jc w:val="left"/>
      </w:pPr>
      <w:r>
        <w:t xml:space="preserve">3.2 </w:t>
      </w:r>
      <w:r>
        <w:rPr>
          <w:rFonts w:hint="eastAsia"/>
        </w:rPr>
        <w:t xml:space="preserve"> </w:t>
      </w:r>
      <w:r>
        <w:rPr>
          <w:rFonts w:hint="eastAsia" w:ascii="黑体" w:eastAsia="黑体"/>
          <w:kern w:val="0"/>
          <w:szCs w:val="21"/>
        </w:rPr>
        <w:t>沟坑 ditch and pit</w:t>
      </w:r>
    </w:p>
    <w:p>
      <w:pPr>
        <w:adjustRightInd w:val="0"/>
        <w:snapToGrid w:val="0"/>
        <w:ind w:firstLine="420" w:firstLineChars="200"/>
      </w:pPr>
      <w:r>
        <w:t>在莲</w:t>
      </w:r>
      <w:r>
        <w:rPr>
          <w:rFonts w:hint="eastAsia"/>
        </w:rPr>
        <w:t>田</w:t>
      </w:r>
      <w:r>
        <w:t>中开挖的</w:t>
      </w:r>
      <w:r>
        <w:rPr>
          <w:rFonts w:hint="eastAsia"/>
        </w:rPr>
        <w:t>提供</w:t>
      </w:r>
      <w:r>
        <w:t>鳖</w:t>
      </w:r>
      <w:r>
        <w:rPr>
          <w:rFonts w:hint="eastAsia"/>
        </w:rPr>
        <w:t>生长的</w:t>
      </w:r>
      <w:r>
        <w:t>坑（池）。</w:t>
      </w:r>
    </w:p>
    <w:p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p>
      <w:pPr>
        <w:pStyle w:val="13"/>
        <w:numPr>
          <w:ilvl w:val="0"/>
          <w:numId w:val="0"/>
        </w:numPr>
        <w:spacing w:before="312" w:after="312"/>
        <w:outlineLvl w:val="0"/>
        <w:rPr>
          <w:rFonts w:hint="eastAsia"/>
        </w:rPr>
      </w:pPr>
      <w:r>
        <w:rPr>
          <w:rFonts w:hint="eastAsia"/>
        </w:rPr>
        <w:t>4  产地环境</w:t>
      </w:r>
    </w:p>
    <w:p>
      <w:pPr>
        <w:pStyle w:val="15"/>
        <w:numPr>
          <w:ilvl w:val="0"/>
          <w:numId w:val="0"/>
        </w:numPr>
        <w:spacing w:before="156" w:after="156"/>
        <w:outlineLvl w:val="1"/>
        <w:rPr>
          <w:rFonts w:hint="eastAsia"/>
        </w:rPr>
      </w:pPr>
      <w:bookmarkStart w:id="74" w:name="_Toc498591092"/>
      <w:bookmarkStart w:id="75" w:name="_Toc498501074"/>
      <w:bookmarkStart w:id="76" w:name="_Toc498500989"/>
      <w:bookmarkStart w:id="77" w:name="_Toc498889003"/>
      <w:bookmarkStart w:id="78" w:name="_Toc498502458"/>
      <w:bookmarkStart w:id="79" w:name="_Toc498509036"/>
      <w:bookmarkStart w:id="80" w:name="_Toc499220731"/>
      <w:bookmarkStart w:id="81" w:name="_Toc498510847"/>
      <w:bookmarkStart w:id="82" w:name="_Toc498937444"/>
      <w:bookmarkStart w:id="83" w:name="_Toc498501128"/>
      <w:r>
        <w:rPr>
          <w:rFonts w:hint="eastAsia"/>
        </w:rPr>
        <w:t>4.1  莲田环境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>
      <w:pPr>
        <w:pStyle w:val="11"/>
        <w:spacing w:before="156" w:after="156"/>
        <w:rPr>
          <w:rFonts w:hint="eastAsia"/>
        </w:rPr>
      </w:pPr>
      <w:bookmarkStart w:id="84" w:name="_Toc498509037"/>
      <w:r>
        <w:rPr>
          <w:rFonts w:hint="eastAsia"/>
        </w:rPr>
        <w:t>应选择阳光充足，环境安静，水源充沛无污染的莲田。土质为沙壤土，不渗漏，底部平坦，</w:t>
      </w:r>
      <w:r>
        <w:rPr>
          <w:rFonts w:hint="eastAsia"/>
          <w:lang w:eastAsia="zh-CN"/>
        </w:rPr>
        <w:t>进</w:t>
      </w:r>
      <w:r>
        <w:rPr>
          <w:rFonts w:hint="eastAsia"/>
        </w:rPr>
        <w:t>排水方便，应符合 GB</w:t>
      </w:r>
      <w:r>
        <w:t xml:space="preserve"> </w:t>
      </w:r>
      <w:r>
        <w:rPr>
          <w:rFonts w:hint="eastAsia"/>
        </w:rPr>
        <w:t xml:space="preserve">15618 和 NY/T </w:t>
      </w:r>
      <w:r>
        <w:t>391</w:t>
      </w:r>
      <w:r>
        <w:rPr>
          <w:rFonts w:hint="eastAsia"/>
        </w:rPr>
        <w:t xml:space="preserve"> 的规定。</w:t>
      </w:r>
    </w:p>
    <w:p>
      <w:pPr>
        <w:pStyle w:val="11"/>
        <w:spacing w:before="156" w:after="156"/>
        <w:ind w:firstLine="0" w:firstLineChars="0"/>
        <w:rPr>
          <w:rFonts w:hint="eastAsia"/>
        </w:rPr>
      </w:pPr>
      <w:r>
        <w:rPr>
          <w:rFonts w:hint="eastAsia"/>
        </w:rPr>
        <w:t xml:space="preserve">4.2  </w:t>
      </w:r>
      <w:r>
        <w:rPr>
          <w:rFonts w:hint="eastAsia" w:ascii="黑体" w:eastAsia="黑体"/>
          <w:szCs w:val="21"/>
        </w:rPr>
        <w:t>水质环境</w:t>
      </w:r>
    </w:p>
    <w:p>
      <w:pPr>
        <w:pStyle w:val="16"/>
        <w:numPr>
          <w:ilvl w:val="0"/>
          <w:numId w:val="0"/>
        </w:numPr>
        <w:ind w:firstLine="420" w:firstLineChars="200"/>
        <w:outlineLvl w:val="2"/>
        <w:rPr>
          <w:rFonts w:hint="eastAsia"/>
        </w:rPr>
      </w:pPr>
      <w:r>
        <w:rPr>
          <w:rFonts w:hint="eastAsia"/>
        </w:rPr>
        <w:t>水源要求清新，无污染，水量要充足。水质应符合GB11607的要求，莲田水体排放应符合</w:t>
      </w:r>
      <w:r>
        <w:t>SC/T 9101</w:t>
      </w:r>
      <w:r>
        <w:rPr>
          <w:rFonts w:hint="eastAsia"/>
        </w:rPr>
        <w:t>的规定。</w:t>
      </w:r>
    </w:p>
    <w:bookmarkEnd w:id="84"/>
    <w:p>
      <w:pPr>
        <w:pStyle w:val="13"/>
        <w:numPr>
          <w:ilvl w:val="0"/>
          <w:numId w:val="0"/>
        </w:numPr>
        <w:spacing w:before="312" w:after="312"/>
        <w:outlineLvl w:val="0"/>
        <w:rPr>
          <w:rFonts w:hint="eastAsia"/>
        </w:rPr>
      </w:pPr>
      <w:bookmarkStart w:id="85" w:name="_Toc498501077"/>
      <w:bookmarkStart w:id="86" w:name="_Toc498502461"/>
      <w:bookmarkStart w:id="87" w:name="_Toc498509040"/>
      <w:bookmarkStart w:id="88" w:name="_Toc498500992"/>
      <w:bookmarkStart w:id="89" w:name="_Toc498501131"/>
      <w:bookmarkStart w:id="90" w:name="_Toc498510850"/>
      <w:bookmarkStart w:id="91" w:name="_Toc498591095"/>
      <w:bookmarkStart w:id="92" w:name="_Toc499220733"/>
      <w:bookmarkStart w:id="93" w:name="_Toc498889005"/>
      <w:bookmarkStart w:id="94" w:name="_Toc498937446"/>
      <w:r>
        <w:rPr>
          <w:rFonts w:hint="eastAsia"/>
        </w:rPr>
        <w:t>5  莲田改造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>
      <w:pPr>
        <w:pStyle w:val="16"/>
        <w:numPr>
          <w:ilvl w:val="0"/>
          <w:numId w:val="0"/>
        </w:numPr>
        <w:outlineLvl w:val="2"/>
        <w:rPr>
          <w:rFonts w:hint="eastAsia"/>
        </w:rPr>
      </w:pPr>
      <w:bookmarkStart w:id="95" w:name="_Toc498502462"/>
      <w:bookmarkStart w:id="96" w:name="_Toc498501132"/>
      <w:bookmarkStart w:id="97" w:name="_Toc498509041"/>
      <w:bookmarkStart w:id="98" w:name="_Toc498501078"/>
      <w:bookmarkStart w:id="99" w:name="_Toc498500993"/>
      <w:r>
        <w:rPr>
          <w:rFonts w:hint="eastAsia"/>
        </w:rPr>
        <w:t>5.1  沟</w:t>
      </w:r>
      <w:bookmarkEnd w:id="95"/>
      <w:bookmarkEnd w:id="96"/>
      <w:bookmarkEnd w:id="97"/>
      <w:bookmarkEnd w:id="98"/>
      <w:bookmarkEnd w:id="99"/>
      <w:r>
        <w:rPr>
          <w:rFonts w:hint="eastAsia"/>
        </w:rPr>
        <w:t>坑</w:t>
      </w:r>
    </w:p>
    <w:p>
      <w:pPr>
        <w:pStyle w:val="11"/>
      </w:pPr>
      <w:bookmarkStart w:id="100" w:name="_Toc498500994"/>
      <w:r>
        <w:rPr>
          <w:rFonts w:hint="eastAsia"/>
          <w:szCs w:val="21"/>
        </w:rPr>
        <w:t>莲田面积以3335 m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 w:hAnsi="宋体"/>
          <w:color w:val="000000"/>
          <w:szCs w:val="21"/>
        </w:rPr>
        <w:t>～</w:t>
      </w:r>
      <w:r>
        <w:rPr>
          <w:rFonts w:hint="eastAsia"/>
          <w:szCs w:val="21"/>
        </w:rPr>
        <w:t>6670 m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为宜。</w:t>
      </w:r>
      <w:r>
        <w:rPr>
          <w:rFonts w:hint="eastAsia"/>
        </w:rPr>
        <w:t>根据莲田大小可挖“回”形沟或“田”型沟。沿莲田一侧或中段开挖长方形或正方形沟坑，沟坑长宽为莲田总长宽的5</w:t>
      </w:r>
      <w:r>
        <w:t>%</w:t>
      </w:r>
      <w:r>
        <w:rPr>
          <w:rFonts w:hint="eastAsia"/>
        </w:rPr>
        <w:t>～</w:t>
      </w:r>
      <w:r>
        <w:t>10%</w:t>
      </w:r>
      <w:r>
        <w:rPr>
          <w:rFonts w:hint="eastAsia"/>
        </w:rPr>
        <w:t>，深0.6m～0.8m，沟坑面积小于莲田总面积 10％。</w:t>
      </w:r>
    </w:p>
    <w:p>
      <w:pPr>
        <w:pStyle w:val="15"/>
        <w:numPr>
          <w:ilvl w:val="0"/>
          <w:numId w:val="0"/>
        </w:numPr>
        <w:adjustRightInd w:val="0"/>
        <w:snapToGrid w:val="0"/>
        <w:spacing w:before="156" w:after="156"/>
        <w:rPr>
          <w:rFonts w:ascii="宋体" w:eastAsia="宋体"/>
        </w:rPr>
      </w:pPr>
      <w:r>
        <w:rPr>
          <w:rFonts w:hint="eastAsia" w:ascii="宋体" w:eastAsia="宋体"/>
        </w:rPr>
        <w:t xml:space="preserve"> 5.2</w:t>
      </w:r>
      <w:r>
        <w:rPr>
          <w:rFonts w:ascii="宋体" w:eastAsia="宋体"/>
        </w:rPr>
        <w:t xml:space="preserve"> </w:t>
      </w:r>
      <w:r>
        <w:rPr>
          <w:rFonts w:hint="eastAsia" w:ascii="宋体" w:eastAsia="宋体"/>
        </w:rPr>
        <w:t xml:space="preserve"> 进、排水系统</w:t>
      </w:r>
    </w:p>
    <w:p>
      <w:pPr>
        <w:adjustRightInd w:val="0"/>
        <w:snapToGrid w:val="0"/>
        <w:ind w:firstLine="420" w:firstLineChars="200"/>
      </w:pPr>
      <w:r>
        <w:rPr>
          <w:rFonts w:hint="eastAsia"/>
        </w:rPr>
        <w:t>进、排水口分别设于莲田两端对角处，在莲田一端的田梗上建进水渠道或管道，进水口用40目长型网袋过滤进水，以防止敌害生物随水流进入莲田。排水口建在莲田另一端沟坑的最低处，排水口的防逃网应为60目的网片，用多孔砖</w:t>
      </w:r>
      <w:r>
        <w:rPr>
          <w:rFonts w:hint="eastAsia" w:hAnsi="宋体"/>
          <w:color w:val="000000"/>
          <w:szCs w:val="21"/>
        </w:rPr>
        <w:t>围一个4～5</w:t>
      </w:r>
      <w:r>
        <w:rPr>
          <w:rFonts w:hAnsi="宋体"/>
          <w:color w:val="000000"/>
          <w:szCs w:val="21"/>
        </w:rPr>
        <w:t>m</w:t>
      </w:r>
      <w:r>
        <w:rPr>
          <w:rFonts w:hAnsi="宋体"/>
          <w:color w:val="000000"/>
          <w:szCs w:val="21"/>
          <w:vertAlign w:val="superscript"/>
        </w:rPr>
        <w:t>2</w:t>
      </w:r>
      <w:r>
        <w:rPr>
          <w:rFonts w:hint="eastAsia" w:hAnsi="宋体"/>
          <w:color w:val="000000"/>
          <w:szCs w:val="21"/>
        </w:rPr>
        <w:t>的小池，种养殖尾水入池后排出而鳖不能进入，可</w:t>
      </w:r>
      <w:r>
        <w:rPr>
          <w:rFonts w:hint="eastAsia"/>
        </w:rPr>
        <w:t>由PVC弯管控制水位。</w:t>
      </w:r>
    </w:p>
    <w:p>
      <w:pPr>
        <w:pStyle w:val="15"/>
        <w:numPr>
          <w:ilvl w:val="0"/>
          <w:numId w:val="0"/>
        </w:numPr>
        <w:adjustRightInd w:val="0"/>
        <w:snapToGrid w:val="0"/>
        <w:spacing w:before="156" w:after="156"/>
        <w:rPr>
          <w:rFonts w:ascii="宋体" w:eastAsia="宋体"/>
        </w:rPr>
      </w:pPr>
      <w:r>
        <w:rPr>
          <w:rFonts w:hint="eastAsia" w:ascii="宋体" w:eastAsia="宋体"/>
        </w:rPr>
        <w:t>5.3  鳖的食台与晒台</w:t>
      </w:r>
    </w:p>
    <w:p>
      <w:pPr>
        <w:adjustRightInd w:val="0"/>
        <w:snapToGrid w:val="0"/>
        <w:ind w:firstLine="420" w:firstLineChars="200"/>
        <w:rPr>
          <w:rFonts w:hint="eastAsia" w:hAnsi="宋体"/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t>食台与晒台合为一体。食台宽 0.5 m～0.8 m，长 1.5 m～2.0 m，采用水泥板、木板、竹板或聚乙烯板搭建，应符合</w:t>
      </w:r>
      <w:r>
        <w:rPr>
          <w:rFonts w:hint="eastAsia" w:ascii="宋体"/>
          <w:kern w:val="0"/>
          <w:szCs w:val="20"/>
        </w:rPr>
        <w:t>GB/T 26876的要求</w:t>
      </w:r>
      <w:r>
        <w:rPr>
          <w:rFonts w:hint="eastAsia" w:hAnsi="宋体"/>
          <w:color w:val="000000"/>
          <w:szCs w:val="21"/>
        </w:rPr>
        <w:t>。</w:t>
      </w:r>
      <w:r>
        <w:rPr>
          <w:rFonts w:hint="eastAsia" w:hAnsi="宋体"/>
          <w:color w:val="000000"/>
          <w:szCs w:val="21"/>
        </w:rPr>
        <w:cr/>
      </w:r>
      <w:r>
        <w:rPr>
          <w:rFonts w:hAnsi="宋体"/>
          <w:color w:val="000000"/>
          <w:szCs w:val="21"/>
        </w:rPr>
        <w:t xml:space="preserve">    </w:t>
      </w:r>
      <w:r>
        <w:rPr>
          <w:rFonts w:hint="eastAsia" w:hAnsi="宋体"/>
          <w:color w:val="000000"/>
          <w:szCs w:val="21"/>
        </w:rPr>
        <w:t>搭建方式：</w:t>
      </w:r>
    </w:p>
    <w:p>
      <w:pPr>
        <w:adjustRightInd w:val="0"/>
        <w:snapToGrid w:val="0"/>
        <w:ind w:left="420" w:leftChars="200"/>
        <w:rPr>
          <w:rFonts w:hAnsi="宋体"/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t>（1）漂浮固定于水面；</w:t>
      </w:r>
      <w:r>
        <w:rPr>
          <w:rFonts w:hint="eastAsia" w:hAnsi="宋体"/>
          <w:color w:val="000000"/>
          <w:szCs w:val="21"/>
        </w:rPr>
        <w:cr/>
      </w:r>
      <w:r>
        <w:rPr>
          <w:rFonts w:hint="eastAsia" w:hAnsi="宋体"/>
          <w:color w:val="000000"/>
          <w:szCs w:val="21"/>
        </w:rPr>
        <w:t>（2）设成斜坡固定于沟坑水面，使其一端倾斜淹没于水中 15 cm 左右，另一端露出水面；</w:t>
      </w:r>
      <w:r>
        <w:rPr>
          <w:rFonts w:hint="eastAsia" w:hAnsi="宋体"/>
          <w:color w:val="000000"/>
          <w:szCs w:val="21"/>
        </w:rPr>
        <w:cr/>
      </w:r>
      <w:r>
        <w:rPr>
          <w:rFonts w:hint="eastAsia" w:hAnsi="宋体"/>
          <w:color w:val="000000"/>
          <w:szCs w:val="21"/>
        </w:rPr>
        <w:t>（3）在田埂处倾斜设置，即一端搭在田埂上，另一端没入沟坑水中 10 cm 左右。饵料需投在露出水面的饵料槽中。</w:t>
      </w:r>
    </w:p>
    <w:p>
      <w:pPr>
        <w:pStyle w:val="15"/>
        <w:numPr>
          <w:ilvl w:val="0"/>
          <w:numId w:val="0"/>
        </w:numPr>
        <w:adjustRightInd w:val="0"/>
        <w:snapToGrid w:val="0"/>
        <w:spacing w:before="156" w:after="156"/>
        <w:rPr>
          <w:rFonts w:ascii="宋体" w:eastAsia="宋体"/>
        </w:rPr>
      </w:pPr>
      <w:r>
        <w:rPr>
          <w:rFonts w:hint="eastAsia" w:ascii="宋体" w:eastAsia="宋体"/>
        </w:rPr>
        <w:t>5.4  防逃、防盗设施</w:t>
      </w:r>
    </w:p>
    <w:p>
      <w:pPr>
        <w:adjustRightInd w:val="0"/>
        <w:snapToGrid w:val="0"/>
        <w:ind w:firstLine="420" w:firstLineChars="200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在莲田四周田埂外侧加设防护设施如防护墙或防护网等，以防逃和防敌害。</w:t>
      </w:r>
    </w:p>
    <w:p>
      <w:pPr>
        <w:adjustRightInd w:val="0"/>
        <w:snapToGrid w:val="0"/>
        <w:ind w:firstLine="420" w:firstLineChars="200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 xml:space="preserve">防护墙材料可选用砖砌墙、石棉瓦或彩钢板等，内壁光滑，墙高 </w:t>
      </w:r>
      <w:r>
        <w:rPr>
          <w:rFonts w:ascii="宋体" w:cs="宋体"/>
          <w:kern w:val="0"/>
          <w:szCs w:val="21"/>
        </w:rPr>
        <w:t xml:space="preserve">50 </w:t>
      </w:r>
      <w:r>
        <w:rPr>
          <w:rFonts w:hint="eastAsia" w:ascii="宋体" w:cs="宋体"/>
          <w:kern w:val="0"/>
          <w:szCs w:val="21"/>
        </w:rPr>
        <w:t>cm～</w:t>
      </w:r>
      <w:r>
        <w:rPr>
          <w:rFonts w:ascii="宋体" w:cs="宋体"/>
          <w:kern w:val="0"/>
          <w:szCs w:val="21"/>
        </w:rPr>
        <w:t>70 c</w:t>
      </w:r>
      <w:r>
        <w:rPr>
          <w:rFonts w:hint="eastAsia" w:ascii="宋体" w:cs="宋体"/>
          <w:kern w:val="0"/>
          <w:szCs w:val="21"/>
        </w:rPr>
        <w:t>m ，应深埋入土</w:t>
      </w:r>
      <w:r>
        <w:rPr>
          <w:rFonts w:ascii="宋体" w:cs="宋体"/>
          <w:kern w:val="0"/>
          <w:szCs w:val="21"/>
        </w:rPr>
        <w:t>2</w:t>
      </w:r>
      <w:r>
        <w:rPr>
          <w:rFonts w:hint="eastAsia" w:ascii="宋体" w:cs="宋体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hint="eastAsia" w:ascii="宋体" w:cs="宋体"/>
          <w:kern w:val="0"/>
          <w:szCs w:val="21"/>
        </w:rPr>
        <w:t>cm～</w:t>
      </w:r>
      <w:r>
        <w:rPr>
          <w:rFonts w:ascii="宋体" w:cs="宋体"/>
          <w:kern w:val="0"/>
          <w:szCs w:val="21"/>
        </w:rPr>
        <w:t>3</w:t>
      </w:r>
      <w:r>
        <w:rPr>
          <w:rFonts w:hint="eastAsia" w:ascii="宋体" w:cs="宋体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hint="eastAsia" w:ascii="宋体" w:cs="宋体"/>
          <w:kern w:val="0"/>
          <w:szCs w:val="21"/>
        </w:rPr>
        <w:t>cm，砖砌墙需顶端出檐10cm～15cm，成“Г”形；</w:t>
      </w:r>
    </w:p>
    <w:p>
      <w:pPr>
        <w:adjustRightInd w:val="0"/>
        <w:snapToGrid w:val="0"/>
        <w:ind w:firstLine="420" w:firstLineChars="200"/>
        <w:rPr>
          <w:rFonts w:hint="eastAsia"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防逃网设置在外围，使用聚乙烯网片，顶端向莲田内出檐10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hint="eastAsia" w:ascii="宋体" w:cs="宋体"/>
          <w:kern w:val="0"/>
          <w:szCs w:val="21"/>
        </w:rPr>
        <w:t>cm～15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hint="eastAsia" w:ascii="宋体" w:cs="宋体"/>
          <w:kern w:val="0"/>
          <w:szCs w:val="21"/>
        </w:rPr>
        <w:t>cm ，成“Г”形，高1.5 m～1.8 m，底部埋入土中 10 cm～15 cm，每隔 2 m～3 m，用竹、木或钢筋等材料固定。</w:t>
      </w:r>
    </w:p>
    <w:p>
      <w:pPr>
        <w:adjustRightInd w:val="0"/>
        <w:snapToGrid w:val="0"/>
        <w:ind w:firstLine="420" w:firstLineChars="200"/>
        <w:rPr>
          <w:rFonts w:hint="eastAsia"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如有需要，可在防逃墙外侧约1.5米用铁丝网或篱笆设置围墙，防止人靠近偷盗。有条件的可安装远程互联网监控等防盗措施。</w:t>
      </w:r>
    </w:p>
    <w:bookmarkEnd w:id="100"/>
    <w:p>
      <w:pPr>
        <w:pStyle w:val="13"/>
        <w:numPr>
          <w:ilvl w:val="0"/>
          <w:numId w:val="0"/>
        </w:numPr>
        <w:spacing w:before="312" w:after="312"/>
        <w:outlineLvl w:val="0"/>
        <w:rPr>
          <w:rFonts w:hint="eastAsia"/>
        </w:rPr>
      </w:pPr>
      <w:bookmarkStart w:id="101" w:name="_Toc499220734"/>
      <w:bookmarkStart w:id="102" w:name="_Toc498509045"/>
      <w:bookmarkStart w:id="103" w:name="_Toc498510851"/>
      <w:bookmarkStart w:id="104" w:name="_Toc498937425"/>
      <w:bookmarkStart w:id="105" w:name="_Toc498591096"/>
      <w:bookmarkStart w:id="106" w:name="_Toc498889006"/>
      <w:bookmarkStart w:id="107" w:name="_Toc498501082"/>
      <w:bookmarkStart w:id="108" w:name="_Toc498501136"/>
      <w:bookmarkStart w:id="109" w:name="_Toc498937447"/>
      <w:bookmarkStart w:id="110" w:name="_Toc498500999"/>
      <w:bookmarkStart w:id="111" w:name="_Toc498502466"/>
      <w:r>
        <w:rPr>
          <w:rFonts w:hint="eastAsia"/>
        </w:rPr>
        <w:t>6  湘莲种植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>
      <w:pPr>
        <w:pStyle w:val="11"/>
      </w:pPr>
      <w:r>
        <w:rPr>
          <w:rFonts w:hint="eastAsia"/>
        </w:rPr>
        <w:t>湘莲种植应符合</w:t>
      </w:r>
      <w:r>
        <w:rPr>
          <w:rFonts w:hint="eastAsia" w:hAnsi="宋体"/>
          <w:szCs w:val="21"/>
        </w:rPr>
        <w:t>HNZ185的规定</w:t>
      </w:r>
      <w:r>
        <w:rPr>
          <w:rFonts w:hint="eastAsia"/>
        </w:rPr>
        <w:t>。</w:t>
      </w:r>
    </w:p>
    <w:p>
      <w:pPr>
        <w:pStyle w:val="11"/>
      </w:pPr>
    </w:p>
    <w:p>
      <w:pPr>
        <w:pStyle w:val="13"/>
        <w:numPr>
          <w:ilvl w:val="0"/>
          <w:numId w:val="0"/>
        </w:numPr>
        <w:spacing w:before="312" w:after="312"/>
        <w:rPr>
          <w:rFonts w:hint="eastAsia"/>
        </w:rPr>
      </w:pPr>
      <w:bookmarkStart w:id="112" w:name="_Toc498509051"/>
      <w:bookmarkStart w:id="113" w:name="_Toc498937452"/>
      <w:bookmarkStart w:id="114" w:name="_Toc498510857"/>
      <w:bookmarkStart w:id="115" w:name="_Toc498501005"/>
      <w:bookmarkStart w:id="116" w:name="_Toc498502472"/>
      <w:bookmarkStart w:id="117" w:name="_Toc498591102"/>
      <w:bookmarkStart w:id="118" w:name="_Toc498501088"/>
      <w:bookmarkStart w:id="119" w:name="_Toc499220739"/>
      <w:bookmarkStart w:id="120" w:name="_Toc498501142"/>
      <w:bookmarkStart w:id="121" w:name="_Toc498889011"/>
      <w:r>
        <w:rPr>
          <w:rFonts w:hint="eastAsia"/>
        </w:rPr>
        <w:t>7  鳖</w:t>
      </w:r>
      <w:r>
        <w:rPr>
          <w:rFonts w:hint="eastAsia"/>
          <w:lang w:eastAsia="zh-CN"/>
        </w:rPr>
        <w:t>的</w:t>
      </w:r>
      <w:r>
        <w:rPr>
          <w:rFonts w:hint="eastAsia"/>
        </w:rPr>
        <w:t>放养</w:t>
      </w:r>
    </w:p>
    <w:p>
      <w:pPr>
        <w:pStyle w:val="15"/>
        <w:numPr>
          <w:ilvl w:val="0"/>
          <w:numId w:val="0"/>
        </w:numPr>
        <w:adjustRightInd w:val="0"/>
        <w:snapToGrid w:val="0"/>
        <w:spacing w:before="156" w:after="156"/>
      </w:pPr>
      <w:r>
        <w:rPr>
          <w:rFonts w:hint="eastAsia"/>
        </w:rPr>
        <w:t>7.1 鳖的放养要求</w:t>
      </w:r>
    </w:p>
    <w:p>
      <w:pPr>
        <w:pStyle w:val="11"/>
      </w:pPr>
      <w:r>
        <w:rPr>
          <w:rFonts w:hint="eastAsia"/>
        </w:rPr>
        <w:t>放养的鳖品种为中华鳖。要求中华鳖来源于有苗种生产许可证的苗种场，宜选用良种，要求规格整齐、体色一致、体质健壮、无病害，质量应符合</w:t>
      </w:r>
      <w:r>
        <w:t>SC/T 1107</w:t>
      </w:r>
      <w:r>
        <w:rPr>
          <w:rFonts w:hint="eastAsia"/>
        </w:rPr>
        <w:t>的要求。放养前应使用生石灰对莲田和鳖沟坑进行彻底清整消毒,放养时用浓度为 30 g/m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 xml:space="preserve"> 聚维酮碘溶液浸泡中华鳖 15</w:t>
      </w:r>
      <w:r>
        <w:rPr>
          <w:rFonts w:hint="eastAsia"/>
          <w:lang w:val="en-US" w:eastAsia="zh-CN"/>
        </w:rPr>
        <w:t>min</w:t>
      </w:r>
      <w:r>
        <w:rPr>
          <w:rFonts w:hint="eastAsia"/>
        </w:rPr>
        <w:t>～20</w:t>
      </w:r>
      <w:r>
        <w:rPr>
          <w:rFonts w:hint="eastAsia"/>
          <w:lang w:val="en-US" w:eastAsia="zh-CN"/>
        </w:rPr>
        <w:t>min</w:t>
      </w:r>
      <w:r>
        <w:rPr>
          <w:rFonts w:hint="eastAsia"/>
        </w:rPr>
        <w:t>。</w:t>
      </w:r>
    </w:p>
    <w:p>
      <w:pPr>
        <w:autoSpaceDE w:val="0"/>
        <w:autoSpaceDN w:val="0"/>
        <w:adjustRightInd w:val="0"/>
        <w:ind w:firstLine="315" w:firstLineChars="150"/>
        <w:jc w:val="left"/>
        <w:rPr>
          <w:rFonts w:hint="eastAsia" w:ascii="宋体"/>
          <w:kern w:val="0"/>
          <w:szCs w:val="20"/>
        </w:rPr>
      </w:pPr>
      <w:r>
        <w:rPr>
          <w:rFonts w:hint="eastAsia" w:ascii="宋体"/>
          <w:kern w:val="0"/>
          <w:szCs w:val="20"/>
        </w:rPr>
        <w:t>每</w:t>
      </w:r>
      <w:r>
        <w:rPr>
          <w:rFonts w:ascii="宋体"/>
          <w:kern w:val="0"/>
          <w:szCs w:val="20"/>
        </w:rPr>
        <w:t>667 m</w:t>
      </w:r>
      <w:r>
        <w:rPr>
          <w:rFonts w:ascii="宋体"/>
          <w:kern w:val="0"/>
          <w:szCs w:val="20"/>
          <w:vertAlign w:val="superscript"/>
        </w:rPr>
        <w:t>2</w:t>
      </w:r>
      <w:r>
        <w:rPr>
          <w:rFonts w:hint="eastAsia" w:ascii="宋体"/>
          <w:kern w:val="0"/>
          <w:szCs w:val="20"/>
        </w:rPr>
        <w:t>放养商品鳖（7</w:t>
      </w:r>
      <w:r>
        <w:rPr>
          <w:rFonts w:ascii="宋体"/>
          <w:kern w:val="0"/>
          <w:szCs w:val="20"/>
        </w:rPr>
        <w:t>50g</w:t>
      </w:r>
      <w:r>
        <w:rPr>
          <w:rFonts w:hint="eastAsia" w:ascii="宋体"/>
          <w:kern w:val="0"/>
          <w:szCs w:val="20"/>
        </w:rPr>
        <w:t>以上）3</w:t>
      </w:r>
      <w:r>
        <w:rPr>
          <w:rFonts w:ascii="宋体"/>
          <w:kern w:val="0"/>
          <w:szCs w:val="20"/>
        </w:rPr>
        <w:t>0</w:t>
      </w:r>
      <w:r>
        <w:rPr>
          <w:rFonts w:hint="eastAsia" w:ascii="宋体"/>
          <w:kern w:val="0"/>
          <w:szCs w:val="20"/>
        </w:rPr>
        <w:t>只～40只，或每</w:t>
      </w:r>
      <w:r>
        <w:rPr>
          <w:rFonts w:ascii="宋体"/>
          <w:kern w:val="0"/>
          <w:szCs w:val="20"/>
        </w:rPr>
        <w:t>667 m</w:t>
      </w:r>
      <w:r>
        <w:rPr>
          <w:rFonts w:ascii="宋体"/>
          <w:kern w:val="0"/>
          <w:szCs w:val="20"/>
          <w:vertAlign w:val="superscript"/>
        </w:rPr>
        <w:t>2</w:t>
      </w:r>
      <w:r>
        <w:rPr>
          <w:rFonts w:hint="eastAsia" w:ascii="宋体"/>
          <w:kern w:val="0"/>
          <w:szCs w:val="20"/>
        </w:rPr>
        <w:t>放养商品鳖（2</w:t>
      </w:r>
      <w:r>
        <w:rPr>
          <w:rFonts w:ascii="宋体"/>
          <w:kern w:val="0"/>
          <w:szCs w:val="20"/>
        </w:rPr>
        <w:t>50</w:t>
      </w:r>
      <w:r>
        <w:rPr>
          <w:rFonts w:hint="eastAsia" w:ascii="宋体"/>
          <w:kern w:val="0"/>
          <w:szCs w:val="20"/>
        </w:rPr>
        <w:t>g～5</w:t>
      </w:r>
      <w:r>
        <w:rPr>
          <w:rFonts w:ascii="宋体"/>
          <w:kern w:val="0"/>
          <w:szCs w:val="20"/>
        </w:rPr>
        <w:t>00g</w:t>
      </w:r>
      <w:r>
        <w:rPr>
          <w:rFonts w:hint="eastAsia" w:ascii="宋体"/>
          <w:kern w:val="0"/>
          <w:szCs w:val="20"/>
        </w:rPr>
        <w:t>）6</w:t>
      </w:r>
      <w:r>
        <w:rPr>
          <w:rFonts w:ascii="宋体"/>
          <w:kern w:val="0"/>
          <w:szCs w:val="20"/>
        </w:rPr>
        <w:t>0</w:t>
      </w:r>
      <w:r>
        <w:rPr>
          <w:rFonts w:hint="eastAsia" w:ascii="宋体"/>
          <w:kern w:val="0"/>
          <w:szCs w:val="20"/>
        </w:rPr>
        <w:t>只～8</w:t>
      </w:r>
      <w:r>
        <w:rPr>
          <w:rFonts w:ascii="宋体"/>
          <w:kern w:val="0"/>
          <w:szCs w:val="20"/>
        </w:rPr>
        <w:t>0</w:t>
      </w:r>
      <w:r>
        <w:rPr>
          <w:rFonts w:hint="eastAsia" w:ascii="宋体"/>
          <w:kern w:val="0"/>
          <w:szCs w:val="20"/>
        </w:rPr>
        <w:t>只。</w:t>
      </w:r>
    </w:p>
    <w:p>
      <w:pPr>
        <w:pStyle w:val="15"/>
        <w:numPr>
          <w:ilvl w:val="0"/>
          <w:numId w:val="0"/>
        </w:numPr>
        <w:adjustRightInd w:val="0"/>
        <w:snapToGrid w:val="0"/>
        <w:spacing w:before="156" w:after="156"/>
      </w:pPr>
      <w:r>
        <w:rPr>
          <w:rFonts w:hint="eastAsia"/>
        </w:rPr>
        <w:t>7.2 放养时间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ascii="宋体"/>
          <w:kern w:val="0"/>
          <w:szCs w:val="20"/>
        </w:rPr>
      </w:pPr>
      <w:r>
        <w:rPr>
          <w:rFonts w:hint="eastAsia" w:ascii="宋体"/>
          <w:kern w:val="0"/>
          <w:szCs w:val="20"/>
        </w:rPr>
        <w:t>鳖的放养时间为子莲定植至少30天后，</w:t>
      </w:r>
      <w:r>
        <w:rPr>
          <w:rFonts w:hint="eastAsia" w:ascii="宋体"/>
          <w:kern w:val="0"/>
          <w:szCs w:val="20"/>
          <w:lang w:eastAsia="zh-CN"/>
        </w:rPr>
        <w:t>以</w:t>
      </w:r>
      <w:r>
        <w:rPr>
          <w:rFonts w:hint="eastAsia" w:ascii="宋体"/>
          <w:kern w:val="0"/>
          <w:szCs w:val="20"/>
        </w:rPr>
        <w:t>四月中旬</w:t>
      </w:r>
      <w:r>
        <w:rPr>
          <w:rFonts w:hint="eastAsia" w:ascii="宋体"/>
          <w:kern w:val="0"/>
          <w:szCs w:val="20"/>
          <w:lang w:eastAsia="zh-CN"/>
        </w:rPr>
        <w:t>为宜</w:t>
      </w:r>
      <w:r>
        <w:rPr>
          <w:rFonts w:hint="eastAsia" w:ascii="宋体"/>
          <w:kern w:val="0"/>
          <w:szCs w:val="20"/>
        </w:rPr>
        <w:t>。</w:t>
      </w:r>
    </w:p>
    <w:p>
      <w:pPr>
        <w:pStyle w:val="13"/>
        <w:numPr>
          <w:ilvl w:val="0"/>
          <w:numId w:val="0"/>
        </w:numPr>
        <w:spacing w:before="312" w:after="312"/>
        <w:rPr>
          <w:rFonts w:hint="eastAsia"/>
        </w:rPr>
      </w:pPr>
      <w:r>
        <w:rPr>
          <w:rFonts w:hint="eastAsia"/>
        </w:rPr>
        <w:t>8  日常管理</w:t>
      </w:r>
    </w:p>
    <w:p>
      <w:pPr>
        <w:pStyle w:val="15"/>
        <w:numPr>
          <w:ilvl w:val="0"/>
          <w:numId w:val="0"/>
        </w:numPr>
        <w:adjustRightInd w:val="0"/>
        <w:snapToGrid w:val="0"/>
        <w:spacing w:before="156" w:after="156"/>
      </w:pPr>
      <w:r>
        <w:rPr>
          <w:rFonts w:hint="eastAsia"/>
        </w:rPr>
        <w:t>8.1 共生</w:t>
      </w:r>
    </w:p>
    <w:p>
      <w:pPr>
        <w:pStyle w:val="11"/>
        <w:rPr>
          <w:rFonts w:hint="eastAsia"/>
        </w:rPr>
      </w:pPr>
      <w:r>
        <w:rPr>
          <w:rFonts w:hint="eastAsia"/>
        </w:rPr>
        <w:t>利用鳖杂食性及昼夜不息的活动习性，为莲田除藻、除草、除虫、驱虫、肥田，同时莲田也为鳖鱼提供活动、休息和充足的水与丰富的食物，莲鳖综合种养的技术要求和技术评价应符合SC/T 1135.1的</w:t>
      </w:r>
      <w:r>
        <w:rPr>
          <w:rFonts w:hint="eastAsia"/>
          <w:lang w:eastAsia="zh-CN"/>
        </w:rPr>
        <w:t>规定</w:t>
      </w:r>
      <w:r>
        <w:rPr>
          <w:rFonts w:hint="eastAsia"/>
        </w:rPr>
        <w:t>。</w:t>
      </w:r>
    </w:p>
    <w:p>
      <w:pPr>
        <w:pStyle w:val="15"/>
        <w:numPr>
          <w:ilvl w:val="0"/>
          <w:numId w:val="0"/>
        </w:numPr>
        <w:adjustRightInd w:val="0"/>
        <w:snapToGrid w:val="0"/>
        <w:spacing w:before="156" w:after="156"/>
      </w:pPr>
      <w:r>
        <w:rPr>
          <w:rFonts w:hint="eastAsia"/>
        </w:rPr>
        <w:t>8.</w:t>
      </w:r>
      <w:r>
        <w:t>2</w:t>
      </w:r>
      <w:r>
        <w:rPr>
          <w:rFonts w:hint="eastAsia"/>
        </w:rPr>
        <w:t xml:space="preserve"> 水位管理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ascii="宋体"/>
          <w:kern w:val="0"/>
          <w:szCs w:val="20"/>
        </w:rPr>
      </w:pPr>
      <w:r>
        <w:rPr>
          <w:rFonts w:hint="eastAsia" w:ascii="宋体"/>
          <w:kern w:val="0"/>
          <w:szCs w:val="20"/>
        </w:rPr>
        <w:t>莲田的水位按照浅-深-浅-深的原则进行水位管理，即3月～</w:t>
      </w:r>
      <w:r>
        <w:rPr>
          <w:rFonts w:ascii="宋体"/>
          <w:kern w:val="0"/>
          <w:szCs w:val="20"/>
        </w:rPr>
        <w:t>5</w:t>
      </w:r>
      <w:r>
        <w:rPr>
          <w:rFonts w:hint="eastAsia" w:ascii="宋体"/>
          <w:kern w:val="0"/>
          <w:szCs w:val="20"/>
        </w:rPr>
        <w:t>月浅水位（5cm～</w:t>
      </w:r>
      <w:r>
        <w:rPr>
          <w:rFonts w:ascii="宋体"/>
          <w:kern w:val="0"/>
          <w:szCs w:val="20"/>
        </w:rPr>
        <w:t>10</w:t>
      </w:r>
      <w:r>
        <w:rPr>
          <w:rFonts w:hint="eastAsia" w:ascii="宋体"/>
          <w:kern w:val="0"/>
          <w:szCs w:val="20"/>
        </w:rPr>
        <w:t>cm）,</w:t>
      </w:r>
      <w:r>
        <w:rPr>
          <w:rFonts w:ascii="宋体"/>
          <w:kern w:val="0"/>
          <w:szCs w:val="20"/>
        </w:rPr>
        <w:t>6</w:t>
      </w:r>
      <w:r>
        <w:rPr>
          <w:rFonts w:hint="eastAsia" w:ascii="宋体"/>
          <w:kern w:val="0"/>
          <w:szCs w:val="20"/>
        </w:rPr>
        <w:t>月～</w:t>
      </w:r>
      <w:r>
        <w:rPr>
          <w:rFonts w:ascii="宋体"/>
          <w:kern w:val="0"/>
          <w:szCs w:val="20"/>
        </w:rPr>
        <w:t>8</w:t>
      </w:r>
      <w:r>
        <w:rPr>
          <w:rFonts w:hint="eastAsia" w:ascii="宋体"/>
          <w:kern w:val="0"/>
          <w:szCs w:val="20"/>
        </w:rPr>
        <w:t>月深水位（4</w:t>
      </w:r>
      <w:r>
        <w:rPr>
          <w:rFonts w:ascii="宋体"/>
          <w:kern w:val="0"/>
          <w:szCs w:val="20"/>
        </w:rPr>
        <w:t>0</w:t>
      </w:r>
      <w:r>
        <w:rPr>
          <w:rFonts w:hint="eastAsia" w:ascii="宋体"/>
          <w:kern w:val="0"/>
          <w:szCs w:val="20"/>
        </w:rPr>
        <w:t>c</w:t>
      </w:r>
      <w:r>
        <w:rPr>
          <w:rFonts w:ascii="宋体"/>
          <w:kern w:val="0"/>
          <w:szCs w:val="20"/>
        </w:rPr>
        <w:t>m</w:t>
      </w:r>
      <w:r>
        <w:rPr>
          <w:rFonts w:hint="eastAsia" w:ascii="宋体"/>
          <w:kern w:val="0"/>
          <w:szCs w:val="20"/>
        </w:rPr>
        <w:t>～</w:t>
      </w:r>
      <w:r>
        <w:rPr>
          <w:rFonts w:ascii="宋体"/>
          <w:kern w:val="0"/>
          <w:szCs w:val="20"/>
        </w:rPr>
        <w:t>80cm</w:t>
      </w:r>
      <w:r>
        <w:rPr>
          <w:rFonts w:hint="eastAsia" w:ascii="宋体"/>
          <w:kern w:val="0"/>
          <w:szCs w:val="20"/>
        </w:rPr>
        <w:t>），</w:t>
      </w:r>
      <w:r>
        <w:rPr>
          <w:rFonts w:ascii="宋体"/>
          <w:kern w:val="0"/>
          <w:szCs w:val="20"/>
        </w:rPr>
        <w:t>9</w:t>
      </w:r>
      <w:r>
        <w:rPr>
          <w:rFonts w:hint="eastAsia" w:ascii="宋体"/>
          <w:kern w:val="0"/>
          <w:szCs w:val="20"/>
        </w:rPr>
        <w:t>月～</w:t>
      </w:r>
      <w:r>
        <w:rPr>
          <w:rFonts w:ascii="宋体"/>
          <w:kern w:val="0"/>
          <w:szCs w:val="20"/>
        </w:rPr>
        <w:t>11</w:t>
      </w:r>
      <w:r>
        <w:rPr>
          <w:rFonts w:hint="eastAsia" w:ascii="宋体"/>
          <w:kern w:val="0"/>
          <w:szCs w:val="20"/>
        </w:rPr>
        <w:t>月浅水位（2</w:t>
      </w:r>
      <w:r>
        <w:rPr>
          <w:rFonts w:ascii="宋体"/>
          <w:kern w:val="0"/>
          <w:szCs w:val="20"/>
        </w:rPr>
        <w:t>0</w:t>
      </w:r>
      <w:r>
        <w:rPr>
          <w:rFonts w:hint="eastAsia" w:ascii="宋体"/>
          <w:kern w:val="0"/>
          <w:szCs w:val="20"/>
        </w:rPr>
        <w:t>cm～</w:t>
      </w:r>
      <w:r>
        <w:rPr>
          <w:rFonts w:ascii="宋体"/>
          <w:kern w:val="0"/>
          <w:szCs w:val="20"/>
        </w:rPr>
        <w:t>30</w:t>
      </w:r>
      <w:r>
        <w:rPr>
          <w:rFonts w:hint="eastAsia" w:ascii="宋体"/>
          <w:kern w:val="0"/>
          <w:szCs w:val="20"/>
        </w:rPr>
        <w:t>cm）,</w:t>
      </w:r>
      <w:r>
        <w:rPr>
          <w:rFonts w:ascii="宋体"/>
          <w:kern w:val="0"/>
          <w:szCs w:val="20"/>
        </w:rPr>
        <w:t>12</w:t>
      </w:r>
      <w:r>
        <w:rPr>
          <w:rFonts w:hint="eastAsia" w:ascii="宋体"/>
          <w:kern w:val="0"/>
          <w:szCs w:val="20"/>
        </w:rPr>
        <w:t>月～次年</w:t>
      </w:r>
      <w:r>
        <w:rPr>
          <w:rFonts w:ascii="宋体"/>
          <w:kern w:val="0"/>
          <w:szCs w:val="20"/>
        </w:rPr>
        <w:t>2</w:t>
      </w:r>
      <w:r>
        <w:rPr>
          <w:rFonts w:hint="eastAsia" w:ascii="宋体"/>
          <w:kern w:val="0"/>
          <w:szCs w:val="20"/>
        </w:rPr>
        <w:t>月深水位（4</w:t>
      </w:r>
      <w:r>
        <w:rPr>
          <w:rFonts w:ascii="宋体"/>
          <w:kern w:val="0"/>
          <w:szCs w:val="20"/>
        </w:rPr>
        <w:t>0</w:t>
      </w:r>
      <w:r>
        <w:rPr>
          <w:rFonts w:hint="eastAsia" w:ascii="宋体"/>
          <w:kern w:val="0"/>
          <w:szCs w:val="20"/>
        </w:rPr>
        <w:t>c</w:t>
      </w:r>
      <w:r>
        <w:rPr>
          <w:rFonts w:ascii="宋体"/>
          <w:kern w:val="0"/>
          <w:szCs w:val="20"/>
        </w:rPr>
        <w:t>m</w:t>
      </w:r>
      <w:r>
        <w:rPr>
          <w:rFonts w:hint="eastAsia" w:ascii="宋体"/>
          <w:kern w:val="0"/>
          <w:szCs w:val="20"/>
        </w:rPr>
        <w:t>～</w:t>
      </w:r>
      <w:r>
        <w:rPr>
          <w:rFonts w:ascii="宋体"/>
          <w:kern w:val="0"/>
          <w:szCs w:val="20"/>
        </w:rPr>
        <w:t>60cm</w:t>
      </w:r>
      <w:r>
        <w:rPr>
          <w:rFonts w:hint="eastAsia" w:ascii="宋体"/>
          <w:kern w:val="0"/>
          <w:szCs w:val="20"/>
        </w:rPr>
        <w:t>）。</w:t>
      </w:r>
    </w:p>
    <w:p>
      <w:pPr>
        <w:pStyle w:val="18"/>
        <w:numPr>
          <w:ilvl w:val="0"/>
          <w:numId w:val="0"/>
        </w:numPr>
        <w:ind w:firstLine="420" w:firstLineChars="200"/>
        <w:rPr>
          <w:rFonts w:hint="eastAsia"/>
        </w:rPr>
      </w:pPr>
      <w:r>
        <w:rPr>
          <w:rFonts w:hint="eastAsia"/>
        </w:rPr>
        <w:t>根据天气、水质变化调整水位，定期换水。5-6月份7-10天加换10cm；7-9月份高温季节，每周换水1-2次，每次换水10-15cm；10月份后15-20天换一次水。</w:t>
      </w:r>
    </w:p>
    <w:p>
      <w:pPr>
        <w:pStyle w:val="15"/>
        <w:numPr>
          <w:ilvl w:val="0"/>
          <w:numId w:val="0"/>
        </w:numPr>
        <w:adjustRightInd w:val="0"/>
        <w:snapToGrid w:val="0"/>
        <w:spacing w:before="156" w:after="156"/>
      </w:pPr>
      <w:r>
        <w:rPr>
          <w:rFonts w:hint="eastAsia"/>
        </w:rPr>
        <w:t>8.</w:t>
      </w:r>
      <w:r>
        <w:t>3</w:t>
      </w:r>
      <w:r>
        <w:rPr>
          <w:rFonts w:hint="eastAsia"/>
        </w:rPr>
        <w:t xml:space="preserve"> 追肥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ascii="宋体"/>
          <w:kern w:val="0"/>
          <w:szCs w:val="20"/>
        </w:rPr>
      </w:pPr>
      <w:r>
        <w:rPr>
          <w:rFonts w:hint="eastAsia" w:ascii="宋体"/>
          <w:kern w:val="0"/>
          <w:szCs w:val="20"/>
        </w:rPr>
        <w:t>追肥按照</w:t>
      </w:r>
      <w:r>
        <w:rPr>
          <w:rFonts w:hint="eastAsia" w:hAnsi="宋体"/>
          <w:szCs w:val="21"/>
        </w:rPr>
        <w:t>HNZ185的规定执行。</w:t>
      </w:r>
    </w:p>
    <w:p>
      <w:pPr>
        <w:pStyle w:val="15"/>
        <w:numPr>
          <w:ilvl w:val="0"/>
          <w:numId w:val="0"/>
        </w:numPr>
        <w:adjustRightInd w:val="0"/>
        <w:snapToGrid w:val="0"/>
        <w:spacing w:before="156" w:after="156"/>
      </w:pPr>
      <w:r>
        <w:rPr>
          <w:rFonts w:hint="eastAsia"/>
        </w:rPr>
        <w:t>8.</w:t>
      </w:r>
      <w:r>
        <w:t>4</w:t>
      </w:r>
      <w:r>
        <w:rPr>
          <w:rFonts w:hint="eastAsia"/>
        </w:rPr>
        <w:t xml:space="preserve"> 饲喂</w:t>
      </w:r>
    </w:p>
    <w:p>
      <w:pPr>
        <w:adjustRightInd w:val="0"/>
        <w:snapToGrid w:val="0"/>
        <w:rPr>
          <w:rFonts w:hint="eastAsia" w:ascii="宋体"/>
          <w:kern w:val="0"/>
          <w:szCs w:val="20"/>
        </w:rPr>
      </w:pPr>
      <w:r>
        <w:rPr>
          <w:rFonts w:hint="eastAsia" w:ascii="宋体" w:cs="宋体"/>
        </w:rPr>
        <w:t>8.</w:t>
      </w:r>
      <w:r>
        <w:rPr>
          <w:rFonts w:ascii="宋体" w:cs="宋体"/>
        </w:rPr>
        <w:t>4</w:t>
      </w:r>
      <w:r>
        <w:rPr>
          <w:rFonts w:hint="eastAsia" w:ascii="宋体" w:cs="宋体"/>
        </w:rPr>
        <w:t>.</w:t>
      </w:r>
      <w:r>
        <w:rPr>
          <w:rFonts w:ascii="宋体" w:cs="宋体"/>
        </w:rPr>
        <w:t xml:space="preserve">1 </w:t>
      </w:r>
      <w:r>
        <w:rPr>
          <w:rFonts w:hint="eastAsia" w:ascii="宋体" w:cs="宋体"/>
        </w:rPr>
        <w:t>全价粉状配合饲料，配合饲料质量应符合</w:t>
      </w:r>
      <w:r>
        <w:rPr>
          <w:rFonts w:ascii="宋体" w:cs="宋体"/>
          <w:kern w:val="0"/>
          <w:szCs w:val="21"/>
        </w:rPr>
        <w:t>SC/T 1047</w:t>
      </w:r>
      <w:r>
        <w:rPr>
          <w:rFonts w:hint="eastAsia" w:ascii="宋体" w:cs="宋体"/>
          <w:kern w:val="0"/>
          <w:szCs w:val="21"/>
        </w:rPr>
        <w:t>和</w:t>
      </w:r>
      <w:r>
        <w:rPr>
          <w:rFonts w:ascii="宋体"/>
          <w:kern w:val="0"/>
          <w:szCs w:val="20"/>
        </w:rPr>
        <w:t>SC/T 1077</w:t>
      </w:r>
      <w:r>
        <w:rPr>
          <w:rFonts w:hint="eastAsia" w:ascii="宋体" w:cs="宋体"/>
        </w:rPr>
        <w:t>的规定。</w:t>
      </w:r>
    </w:p>
    <w:p>
      <w:pPr>
        <w:pStyle w:val="15"/>
        <w:numPr>
          <w:ilvl w:val="0"/>
          <w:numId w:val="0"/>
        </w:numPr>
        <w:adjustRightInd w:val="0"/>
        <w:snapToGrid w:val="0"/>
        <w:spacing w:before="156" w:after="156"/>
        <w:rPr>
          <w:rFonts w:ascii="宋体" w:eastAsia="宋体" w:cs="宋体"/>
        </w:rPr>
      </w:pPr>
      <w:r>
        <w:rPr>
          <w:rFonts w:hint="eastAsia" w:ascii="宋体" w:eastAsia="宋体" w:cs="宋体"/>
        </w:rPr>
        <w:t>8.</w:t>
      </w:r>
      <w:r>
        <w:rPr>
          <w:rFonts w:ascii="宋体" w:eastAsia="宋体" w:cs="宋体"/>
        </w:rPr>
        <w:t>4</w:t>
      </w:r>
      <w:r>
        <w:rPr>
          <w:rFonts w:hint="eastAsia" w:ascii="宋体" w:eastAsia="宋体" w:cs="宋体"/>
        </w:rPr>
        <w:t>.2</w:t>
      </w:r>
      <w:r>
        <w:rPr>
          <w:rFonts w:ascii="宋体" w:eastAsia="宋体" w:cs="宋体"/>
        </w:rPr>
        <w:t xml:space="preserve"> </w:t>
      </w:r>
      <w:r>
        <w:rPr>
          <w:rFonts w:hint="eastAsia" w:ascii="宋体" w:eastAsia="宋体" w:cs="宋体"/>
        </w:rPr>
        <w:t>投放增殖螺蛳、蚌，投放量 15 kg/66</w:t>
      </w:r>
      <w:r>
        <w:rPr>
          <w:rFonts w:ascii="宋体" w:eastAsia="宋体" w:cs="宋体"/>
        </w:rPr>
        <w:t>7</w:t>
      </w:r>
      <w:r>
        <w:rPr>
          <w:rFonts w:hint="eastAsia" w:ascii="宋体" w:eastAsia="宋体" w:cs="宋体"/>
        </w:rPr>
        <w:t>m</w:t>
      </w:r>
      <w:r>
        <w:rPr>
          <w:rFonts w:hint="eastAsia" w:ascii="宋体" w:eastAsia="宋体" w:cs="宋体"/>
          <w:vertAlign w:val="superscript"/>
        </w:rPr>
        <w:t>2</w:t>
      </w:r>
      <w:r>
        <w:rPr>
          <w:rFonts w:hint="eastAsia" w:ascii="宋体" w:eastAsia="宋体" w:cs="宋体"/>
        </w:rPr>
        <w:t>，辅以新鲜南瓜、胡萝卜等植物性饲料，投放埂边浅水处。</w:t>
      </w:r>
    </w:p>
    <w:p>
      <w:pPr>
        <w:pStyle w:val="15"/>
        <w:numPr>
          <w:ilvl w:val="0"/>
          <w:numId w:val="0"/>
        </w:numPr>
        <w:adjustRightInd w:val="0"/>
        <w:snapToGrid w:val="0"/>
        <w:spacing w:before="156" w:after="156"/>
      </w:pPr>
      <w:r>
        <w:rPr>
          <w:rFonts w:hint="eastAsia"/>
        </w:rPr>
        <w:t>8.</w:t>
      </w:r>
      <w:r>
        <w:t>5</w:t>
      </w:r>
      <w:r>
        <w:rPr>
          <w:rFonts w:hint="eastAsia"/>
        </w:rPr>
        <w:t xml:space="preserve"> 巡田</w:t>
      </w:r>
    </w:p>
    <w:p>
      <w:pPr>
        <w:pStyle w:val="11"/>
        <w:rPr>
          <w:rFonts w:cs="宋体"/>
          <w:szCs w:val="21"/>
        </w:rPr>
      </w:pPr>
      <w:r>
        <w:rPr>
          <w:rFonts w:hint="eastAsia" w:cs="宋体"/>
          <w:szCs w:val="21"/>
        </w:rPr>
        <w:t>每天早、中、晚巡田，观察鳖活动、摄食及病害情况，消灭蛇、鼠等敌害生物，检查防逃设施是否 完好，发现病鳖及时处理。</w:t>
      </w:r>
    </w:p>
    <w:p>
      <w:pPr>
        <w:pStyle w:val="13"/>
        <w:numPr>
          <w:ilvl w:val="0"/>
          <w:numId w:val="0"/>
        </w:numPr>
        <w:spacing w:before="312" w:after="312"/>
        <w:rPr>
          <w:rFonts w:hint="eastAsia"/>
        </w:rPr>
      </w:pPr>
      <w:r>
        <w:rPr>
          <w:rFonts w:hint="eastAsia"/>
        </w:rPr>
        <w:t>9  病害防控</w:t>
      </w:r>
    </w:p>
    <w:p>
      <w:pPr>
        <w:pStyle w:val="15"/>
        <w:numPr>
          <w:ilvl w:val="0"/>
          <w:numId w:val="0"/>
        </w:numPr>
        <w:adjustRightInd w:val="0"/>
        <w:snapToGrid w:val="0"/>
        <w:spacing w:before="156" w:after="156"/>
      </w:pPr>
      <w:r>
        <w:rPr>
          <w:rFonts w:hint="eastAsia"/>
        </w:rPr>
        <w:t>9.</w:t>
      </w:r>
      <w:r>
        <w:t xml:space="preserve">1 </w:t>
      </w:r>
      <w:r>
        <w:rPr>
          <w:rFonts w:hint="eastAsia"/>
        </w:rPr>
        <w:t>湘莲病虫害防治</w:t>
      </w:r>
    </w:p>
    <w:p>
      <w:pPr>
        <w:pStyle w:val="2"/>
        <w:kinsoku w:val="0"/>
        <w:overflowPunct w:val="0"/>
        <w:spacing w:line="272" w:lineRule="auto"/>
        <w:ind w:left="0" w:firstLine="420" w:firstLineChars="200"/>
      </w:pPr>
      <w:r>
        <w:rPr>
          <w:rFonts w:hint="eastAsia"/>
          <w:szCs w:val="20"/>
          <w:lang w:eastAsia="zh-CN"/>
        </w:rPr>
        <w:t>湘莲病虫害防治应符合</w:t>
      </w:r>
      <w:r>
        <w:rPr>
          <w:rFonts w:hint="eastAsia" w:hAnsi="宋体" w:cs="宋体"/>
        </w:rPr>
        <w:t>HNZ 185</w:t>
      </w:r>
      <w:r>
        <w:rPr>
          <w:rFonts w:hint="eastAsia"/>
          <w:lang w:eastAsia="zh-CN"/>
        </w:rPr>
        <w:t>的规定。</w:t>
      </w:r>
    </w:p>
    <w:p>
      <w:pPr>
        <w:pStyle w:val="15"/>
        <w:numPr>
          <w:ilvl w:val="0"/>
          <w:numId w:val="0"/>
        </w:numPr>
        <w:adjustRightInd w:val="0"/>
        <w:snapToGrid w:val="0"/>
        <w:spacing w:before="156" w:after="156"/>
      </w:pPr>
      <w:r>
        <w:rPr>
          <w:rFonts w:hint="eastAsia"/>
        </w:rPr>
        <w:t>9.</w:t>
      </w:r>
      <w:r>
        <w:t xml:space="preserve">2 </w:t>
      </w:r>
      <w:r>
        <w:rPr>
          <w:rFonts w:hint="eastAsia"/>
        </w:rPr>
        <w:t>鳖病虫害防治</w:t>
      </w:r>
    </w:p>
    <w:p>
      <w:pPr>
        <w:pStyle w:val="2"/>
        <w:kinsoku w:val="0"/>
        <w:overflowPunct w:val="0"/>
        <w:spacing w:line="272" w:lineRule="auto"/>
        <w:ind w:left="0" w:firstLine="420" w:firstLineChars="200"/>
      </w:pPr>
      <w:r>
        <w:rPr>
          <w:rFonts w:hint="eastAsia"/>
        </w:rPr>
        <w:t>鳖</w:t>
      </w:r>
      <w:r>
        <w:rPr>
          <w:rFonts w:hint="eastAsia"/>
          <w:lang w:eastAsia="zh-CN"/>
        </w:rPr>
        <w:t>养殖过程</w:t>
      </w:r>
      <w:r>
        <w:rPr>
          <w:rFonts w:hint="eastAsia"/>
        </w:rPr>
        <w:t>中，</w:t>
      </w:r>
      <w:r>
        <w:rPr>
          <w:rFonts w:hint="eastAsia"/>
          <w:lang w:eastAsia="zh-CN"/>
        </w:rPr>
        <w:t>每个月至少</w:t>
      </w:r>
      <w:r>
        <w:rPr>
          <w:rFonts w:hint="eastAsia"/>
        </w:rPr>
        <w:t>用</w:t>
      </w:r>
      <w:r>
        <w:rPr>
          <w:rFonts w:hint="eastAsia"/>
          <w:lang w:eastAsia="zh-CN"/>
        </w:rPr>
        <w:t>一次</w:t>
      </w:r>
      <w:r>
        <w:rPr>
          <w:rFonts w:hint="eastAsia"/>
        </w:rPr>
        <w:t>生石灰</w:t>
      </w:r>
      <w:r>
        <w:rPr>
          <w:rFonts w:hint="eastAsia"/>
          <w:lang w:eastAsia="zh-CN"/>
        </w:rPr>
        <w:t>按</w:t>
      </w:r>
      <w:r>
        <w:rPr>
          <w:rFonts w:hint="eastAsia"/>
        </w:rPr>
        <w:t xml:space="preserve"> 25</w:t>
      </w:r>
      <w:r>
        <w:t xml:space="preserve"> </w:t>
      </w:r>
      <w:r>
        <w:rPr>
          <w:rFonts w:hint="eastAsia"/>
        </w:rPr>
        <w:t>kg/66</w:t>
      </w:r>
      <w:r>
        <w:t xml:space="preserve">7 </w:t>
      </w:r>
      <w:r>
        <w:rPr>
          <w:rFonts w:hint="eastAsia"/>
        </w:rPr>
        <w:t>m</w:t>
      </w:r>
      <w:r>
        <w:rPr>
          <w:rFonts w:hint="eastAsia"/>
          <w:vertAlign w:val="superscript"/>
        </w:rPr>
        <w:t xml:space="preserve">2 </w:t>
      </w:r>
      <w:r>
        <w:rPr>
          <w:rFonts w:hint="eastAsia"/>
        </w:rPr>
        <w:t>化浆全</w:t>
      </w:r>
      <w:r>
        <w:rPr>
          <w:rFonts w:hint="eastAsia"/>
          <w:lang w:eastAsia="zh-CN"/>
        </w:rPr>
        <w:t>部莲</w:t>
      </w:r>
      <w:r>
        <w:rPr>
          <w:rFonts w:hint="eastAsia"/>
        </w:rPr>
        <w:t>田泼洒，</w:t>
      </w:r>
      <w:r>
        <w:rPr>
          <w:rFonts w:hint="eastAsia"/>
          <w:lang w:eastAsia="zh-CN"/>
        </w:rPr>
        <w:t>每天</w:t>
      </w:r>
      <w:r>
        <w:rPr>
          <w:rFonts w:hint="eastAsia"/>
        </w:rPr>
        <w:t>使用高锰酸钾对工具和食台进行消毒，鳖病防治</w:t>
      </w:r>
      <w:r>
        <w:rPr>
          <w:rFonts w:hint="eastAsia"/>
          <w:lang w:eastAsia="zh-CN"/>
        </w:rPr>
        <w:t xml:space="preserve">应符合 </w:t>
      </w:r>
      <w:r>
        <w:t>GB/T 26876</w:t>
      </w:r>
      <w:r>
        <w:rPr>
          <w:rFonts w:hint="eastAsia"/>
        </w:rPr>
        <w:t>的</w:t>
      </w:r>
      <w:r>
        <w:rPr>
          <w:rFonts w:hint="eastAsia"/>
          <w:lang w:eastAsia="zh-CN"/>
        </w:rPr>
        <w:t>规定</w:t>
      </w:r>
      <w:r>
        <w:rPr>
          <w:rFonts w:hint="eastAsia"/>
        </w:rPr>
        <w:t>。</w:t>
      </w:r>
    </w:p>
    <w:p>
      <w:pPr>
        <w:pStyle w:val="13"/>
        <w:numPr>
          <w:ilvl w:val="0"/>
          <w:numId w:val="0"/>
        </w:numPr>
        <w:spacing w:before="312" w:after="312"/>
        <w:rPr>
          <w:rFonts w:hint="eastAsia"/>
        </w:rPr>
      </w:pPr>
      <w:r>
        <w:rPr>
          <w:rFonts w:hint="eastAsia"/>
        </w:rPr>
        <w:t>10  莲籽采摘</w:t>
      </w:r>
    </w:p>
    <w:p>
      <w:pPr>
        <w:pStyle w:val="11"/>
      </w:pPr>
      <w:r>
        <w:rPr>
          <w:rFonts w:hint="eastAsia"/>
        </w:rPr>
        <w:t>莲籽采摘期主要集中在每年的7月～</w:t>
      </w:r>
      <w:r>
        <w:t>9</w:t>
      </w:r>
      <w:r>
        <w:rPr>
          <w:rFonts w:hint="eastAsia"/>
        </w:rPr>
        <w:t>月，鲜食莲籽</w:t>
      </w:r>
      <w:r>
        <w:rPr>
          <w:rFonts w:hint="eastAsia"/>
          <w:lang w:eastAsia="zh-CN"/>
        </w:rPr>
        <w:t>应在</w:t>
      </w:r>
      <w:r>
        <w:rPr>
          <w:rFonts w:hint="eastAsia"/>
        </w:rPr>
        <w:t>早晨采收上市，准备加工莲芯的子莲</w:t>
      </w:r>
      <w:r>
        <w:rPr>
          <w:rFonts w:hint="eastAsia"/>
          <w:lang w:eastAsia="zh-CN"/>
        </w:rPr>
        <w:t>应</w:t>
      </w:r>
      <w:r>
        <w:rPr>
          <w:rFonts w:hint="eastAsia"/>
        </w:rPr>
        <w:t>在八成熟采收。壳莲要待老熟莲籽和莲蓬间出现孔隙时及时采收，以免遗落田间。</w:t>
      </w:r>
    </w:p>
    <w:p>
      <w:pPr>
        <w:pStyle w:val="13"/>
        <w:numPr>
          <w:ilvl w:val="0"/>
          <w:numId w:val="0"/>
        </w:numPr>
        <w:spacing w:before="312" w:after="312"/>
        <w:rPr>
          <w:rFonts w:hint="eastAsia"/>
        </w:rPr>
      </w:pPr>
      <w:r>
        <w:rPr>
          <w:rFonts w:hint="eastAsia"/>
        </w:rPr>
        <w:t>11  鳖的捕捞与越冬</w:t>
      </w:r>
    </w:p>
    <w:p>
      <w:pPr>
        <w:pStyle w:val="11"/>
        <w:spacing w:before="156" w:after="156"/>
        <w:rPr>
          <w:rFonts w:hint="eastAsia"/>
        </w:rPr>
      </w:pPr>
      <w:r>
        <w:rPr>
          <w:rFonts w:hint="eastAsia"/>
        </w:rPr>
        <w:t>养殖周期为一年的鳖，在 10月份排干沟坑水，捕捞商品鳖上市。养殖周期为 2年～3年的鳖，保持莲田水位4</w:t>
      </w:r>
      <w:r>
        <w:t>0 cm</w:t>
      </w:r>
      <w:r>
        <w:rPr>
          <w:rFonts w:hint="eastAsia"/>
        </w:rPr>
        <w:t>～</w:t>
      </w:r>
      <w:r>
        <w:t xml:space="preserve">60 </w:t>
      </w:r>
      <w:r>
        <w:rPr>
          <w:rFonts w:hint="eastAsia"/>
        </w:rPr>
        <w:t>c</w:t>
      </w:r>
      <w:r>
        <w:t>m</w:t>
      </w:r>
      <w:r>
        <w:rPr>
          <w:rFonts w:hint="eastAsia"/>
        </w:rPr>
        <w:t>，自然越冬。</w:t>
      </w:r>
    </w:p>
    <w:p>
      <w:pPr>
        <w:pStyle w:val="13"/>
        <w:numPr>
          <w:ilvl w:val="0"/>
          <w:numId w:val="0"/>
        </w:numPr>
        <w:spacing w:before="312" w:after="312"/>
      </w:pPr>
      <w:r>
        <w:rPr>
          <w:rFonts w:hint="eastAsia"/>
        </w:rPr>
        <w:t>12  种养记录</w:t>
      </w:r>
    </w:p>
    <w:p>
      <w:pPr>
        <w:pStyle w:val="11"/>
        <w:rPr>
          <w:rFonts w:hint="eastAsia"/>
        </w:rPr>
      </w:pPr>
      <w:r>
        <w:rPr>
          <w:rFonts w:hint="eastAsia"/>
        </w:rPr>
        <w:t>湘莲种植生产记录应符合</w:t>
      </w:r>
      <w:r>
        <w:rPr>
          <w:rFonts w:hint="eastAsia" w:hAnsi="宋体" w:cs="宋体"/>
          <w:szCs w:val="21"/>
        </w:rPr>
        <w:t>HNZ 185的要求。</w:t>
      </w:r>
    </w:p>
    <w:p>
      <w:pPr>
        <w:pStyle w:val="11"/>
      </w:pPr>
      <w:r>
        <w:rPr>
          <w:rFonts w:hint="eastAsia"/>
        </w:rPr>
        <w:t>鳖的</w:t>
      </w:r>
      <w:r>
        <w:rPr>
          <w:rFonts w:hint="eastAsia"/>
          <w:lang w:eastAsia="zh-CN"/>
        </w:rPr>
        <w:t>养殖</w:t>
      </w:r>
      <w:r>
        <w:rPr>
          <w:rFonts w:hint="eastAsia"/>
        </w:rPr>
        <w:t>记录应符合DB43/T 634的</w:t>
      </w:r>
      <w:r>
        <w:rPr>
          <w:rFonts w:hint="eastAsia" w:ascii="Tahoma" w:hAnsi="Tahoma" w:cs="Tahoma"/>
          <w:szCs w:val="21"/>
          <w:shd w:val="clear" w:color="auto" w:fill="FFFFFF"/>
        </w:rPr>
        <w:t>要求</w:t>
      </w:r>
      <w:r>
        <w:rPr>
          <w:rFonts w:hint="eastAsia"/>
        </w:rPr>
        <w:t>。</w:t>
      </w:r>
    </w:p>
    <w:p>
      <w:pPr>
        <w:autoSpaceDE w:val="0"/>
        <w:autoSpaceDN w:val="0"/>
        <w:adjustRightInd w:val="0"/>
        <w:jc w:val="left"/>
        <w:rPr>
          <w:rFonts w:hint="eastAsia" w:ascii="宋体"/>
          <w:kern w:val="0"/>
          <w:szCs w:val="20"/>
        </w:rPr>
      </w:pPr>
    </w:p>
    <w:p>
      <w:pPr>
        <w:autoSpaceDE w:val="0"/>
        <w:autoSpaceDN w:val="0"/>
        <w:adjustRightInd w:val="0"/>
        <w:jc w:val="left"/>
        <w:rPr>
          <w:rFonts w:hint="eastAsia" w:ascii="宋体"/>
          <w:kern w:val="0"/>
          <w:szCs w:val="20"/>
        </w:rPr>
      </w:pPr>
    </w:p>
    <w:p>
      <w:pPr>
        <w:autoSpaceDE w:val="0"/>
        <w:autoSpaceDN w:val="0"/>
        <w:adjustRightInd w:val="0"/>
        <w:jc w:val="left"/>
        <w:rPr>
          <w:rFonts w:hint="eastAsia" w:ascii="宋体"/>
          <w:kern w:val="0"/>
          <w:szCs w:val="20"/>
        </w:rPr>
      </w:pPr>
    </w:p>
    <w:p>
      <w:pPr>
        <w:autoSpaceDE w:val="0"/>
        <w:autoSpaceDN w:val="0"/>
        <w:adjustRightInd w:val="0"/>
        <w:jc w:val="left"/>
        <w:rPr>
          <w:rFonts w:hint="eastAsia" w:ascii="宋体"/>
          <w:kern w:val="0"/>
          <w:szCs w:val="20"/>
        </w:rPr>
      </w:pPr>
    </w:p>
    <w:p>
      <w:pPr>
        <w:autoSpaceDE w:val="0"/>
        <w:autoSpaceDN w:val="0"/>
        <w:adjustRightInd w:val="0"/>
        <w:jc w:val="left"/>
        <w:rPr>
          <w:rFonts w:hint="eastAsia" w:ascii="宋体"/>
          <w:kern w:val="0"/>
          <w:szCs w:val="20"/>
        </w:rPr>
      </w:pPr>
    </w:p>
    <w:p>
      <w:pPr>
        <w:autoSpaceDE w:val="0"/>
        <w:autoSpaceDN w:val="0"/>
        <w:adjustRightInd w:val="0"/>
        <w:jc w:val="left"/>
        <w:rPr>
          <w:rFonts w:hint="eastAsia" w:ascii="宋体"/>
          <w:kern w:val="0"/>
          <w:szCs w:val="20"/>
        </w:rPr>
      </w:pPr>
    </w:p>
    <w:p>
      <w:pPr>
        <w:autoSpaceDE w:val="0"/>
        <w:autoSpaceDN w:val="0"/>
        <w:adjustRightInd w:val="0"/>
        <w:jc w:val="left"/>
        <w:rPr>
          <w:rFonts w:hint="eastAsia" w:ascii="宋体"/>
          <w:kern w:val="0"/>
          <w:szCs w:val="20"/>
        </w:rPr>
      </w:pPr>
    </w:p>
    <w:p>
      <w:pPr>
        <w:autoSpaceDE w:val="0"/>
        <w:autoSpaceDN w:val="0"/>
        <w:adjustRightInd w:val="0"/>
        <w:jc w:val="left"/>
        <w:rPr>
          <w:rFonts w:hint="eastAsia" w:ascii="宋体"/>
          <w:kern w:val="0"/>
          <w:szCs w:val="20"/>
        </w:rPr>
      </w:pPr>
    </w:p>
    <w:p>
      <w:pPr>
        <w:autoSpaceDE w:val="0"/>
        <w:autoSpaceDN w:val="0"/>
        <w:adjustRightInd w:val="0"/>
        <w:jc w:val="left"/>
        <w:rPr>
          <w:rFonts w:hint="eastAsia" w:ascii="宋体"/>
          <w:kern w:val="0"/>
          <w:szCs w:val="20"/>
        </w:rPr>
      </w:pPr>
    </w:p>
    <w:p>
      <w:pPr>
        <w:autoSpaceDE w:val="0"/>
        <w:autoSpaceDN w:val="0"/>
        <w:adjustRightInd w:val="0"/>
        <w:jc w:val="left"/>
        <w:rPr>
          <w:rFonts w:hint="eastAsia" w:ascii="宋体"/>
          <w:kern w:val="0"/>
          <w:szCs w:val="20"/>
        </w:rPr>
      </w:pPr>
      <w:bookmarkStart w:id="122" w:name="_GoBack"/>
      <w:bookmarkEnd w:id="122"/>
    </w:p>
    <w:p>
      <w:pPr>
        <w:autoSpaceDE w:val="0"/>
        <w:autoSpaceDN w:val="0"/>
        <w:adjustRightInd w:val="0"/>
        <w:jc w:val="left"/>
        <w:rPr>
          <w:rFonts w:hint="eastAsia" w:ascii="宋体"/>
          <w:kern w:val="0"/>
          <w:szCs w:val="20"/>
        </w:rPr>
      </w:pPr>
    </w:p>
    <w:p>
      <w:pPr>
        <w:autoSpaceDE w:val="0"/>
        <w:autoSpaceDN w:val="0"/>
        <w:adjustRightInd w:val="0"/>
        <w:jc w:val="left"/>
        <w:rPr>
          <w:rFonts w:hint="eastAsia" w:ascii="宋体"/>
          <w:kern w:val="0"/>
          <w:szCs w:val="20"/>
        </w:rPr>
      </w:pPr>
    </w:p>
    <w:p>
      <w:pPr>
        <w:autoSpaceDE w:val="0"/>
        <w:autoSpaceDN w:val="0"/>
        <w:adjustRightInd w:val="0"/>
        <w:jc w:val="left"/>
        <w:rPr>
          <w:rFonts w:hint="eastAsia" w:ascii="宋体"/>
          <w:kern w:val="0"/>
          <w:szCs w:val="20"/>
        </w:rPr>
      </w:pPr>
    </w:p>
    <w:p>
      <w:pPr>
        <w:autoSpaceDE w:val="0"/>
        <w:autoSpaceDN w:val="0"/>
        <w:adjustRightInd w:val="0"/>
        <w:jc w:val="left"/>
        <w:rPr>
          <w:rFonts w:hint="eastAsia" w:ascii="宋体"/>
          <w:kern w:val="0"/>
          <w:szCs w:val="20"/>
        </w:rPr>
      </w:pPr>
    </w:p>
    <w:p>
      <w:pPr>
        <w:autoSpaceDE w:val="0"/>
        <w:autoSpaceDN w:val="0"/>
        <w:adjustRightInd w:val="0"/>
        <w:jc w:val="left"/>
        <w:rPr>
          <w:rFonts w:hint="eastAsia" w:ascii="宋体"/>
          <w:kern w:val="0"/>
          <w:szCs w:val="20"/>
        </w:rPr>
      </w:pPr>
    </w:p>
    <w:p>
      <w:pPr>
        <w:autoSpaceDE w:val="0"/>
        <w:autoSpaceDN w:val="0"/>
        <w:adjustRightInd w:val="0"/>
        <w:jc w:val="left"/>
        <w:rPr>
          <w:rFonts w:hint="eastAsia" w:ascii="宋体"/>
          <w:kern w:val="0"/>
          <w:szCs w:val="20"/>
        </w:rPr>
      </w:pPr>
    </w:p>
    <w:p>
      <w:pPr>
        <w:pStyle w:val="22"/>
      </w:pPr>
      <w:r>
        <w:t>_________________________________</w:t>
      </w:r>
    </w:p>
    <w:p>
      <w:pPr>
        <w:autoSpaceDE w:val="0"/>
        <w:autoSpaceDN w:val="0"/>
        <w:adjustRightInd w:val="0"/>
        <w:jc w:val="center"/>
        <w:rPr>
          <w:rFonts w:hint="default" w:ascii="宋体" w:eastAsia="宋体"/>
          <w:kern w:val="0"/>
          <w:sz w:val="21"/>
          <w:szCs w:val="20"/>
          <w:u w:val="single"/>
          <w:lang w:val="en-US" w:eastAsia="zh-CN"/>
        </w:rPr>
      </w:pPr>
    </w:p>
    <w:p>
      <w:pPr>
        <w:autoSpaceDE w:val="0"/>
        <w:autoSpaceDN w:val="0"/>
        <w:adjustRightInd w:val="0"/>
        <w:jc w:val="left"/>
        <w:rPr>
          <w:rFonts w:hint="eastAsia" w:ascii="宋体"/>
          <w:kern w:val="0"/>
          <w:szCs w:val="20"/>
        </w:rPr>
      </w:pPr>
    </w:p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p>
      <w:pPr>
        <w:pStyle w:val="11"/>
        <w:ind w:firstLine="0" w:firstLineChars="0"/>
      </w:pPr>
    </w:p>
    <w:p>
      <w:pPr>
        <w:pStyle w:val="11"/>
        <w:ind w:firstLine="0" w:firstLineChars="0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</w:pPr>
    <w:r>
      <w:fldChar w:fldCharType="begin"/>
    </w:r>
    <w:r>
      <w:instrText xml:space="preserve"> PAGE  \* MERGEFORMAT </w:instrText>
    </w:r>
    <w:r>
      <w:fldChar w:fldCharType="separate"/>
    </w:r>
    <w:r>
      <w:t>I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240" w:line="520" w:lineRule="exact"/>
      <w:ind w:right="10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13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5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7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color w:val="auto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568" w:firstLine="0"/>
      </w:pPr>
      <w:rPr>
        <w:rFonts w:hint="eastAsia" w:ascii="黑体" w:hAnsi="Times New Roman" w:eastAsia="黑体"/>
        <w:b w:val="0"/>
        <w:i w:val="0"/>
        <w:color w:val="auto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NTY2ODAwMGI5YjdlNjkxYjAzYTUyNDFlZGVlYWIifQ=="/>
  </w:docVars>
  <w:rsids>
    <w:rsidRoot w:val="00000000"/>
    <w:rsid w:val="10735D45"/>
    <w:rsid w:val="2A356EC5"/>
    <w:rsid w:val="2ABC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ind w:left="1177"/>
      <w:jc w:val="left"/>
    </w:pPr>
    <w:rPr>
      <w:rFonts w:ascii="宋体"/>
      <w:kern w:val="0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99"/>
    <w:rPr>
      <w:color w:val="0000FF"/>
      <w:spacing w:val="0"/>
      <w:w w:val="100"/>
      <w:szCs w:val="21"/>
      <w:u w:val="single"/>
    </w:rPr>
  </w:style>
  <w:style w:type="paragraph" w:customStyle="1" w:styleId="10">
    <w:name w:val="目次、标准名称标题"/>
    <w:basedOn w:val="1"/>
    <w:next w:val="11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11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">
    <w:name w:val="前言、引言标题"/>
    <w:next w:val="11"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3">
    <w:name w:val="章标题"/>
    <w:next w:val="11"/>
    <w:uiPriority w:val="0"/>
    <w:pPr>
      <w:numPr>
        <w:ilvl w:val="0"/>
        <w:numId w:val="1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4">
    <w:name w:val="HTML 预设格式1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/>
      <w:kern w:val="0"/>
      <w:sz w:val="20"/>
      <w:szCs w:val="20"/>
    </w:rPr>
  </w:style>
  <w:style w:type="paragraph" w:customStyle="1" w:styleId="15">
    <w:name w:val="一级条标题"/>
    <w:next w:val="11"/>
    <w:qFormat/>
    <w:uiPriority w:val="0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6">
    <w:name w:val="二级无"/>
    <w:basedOn w:val="17"/>
    <w:qFormat/>
    <w:uiPriority w:val="0"/>
    <w:pPr>
      <w:spacing w:beforeLines="0" w:afterLines="0"/>
      <w:ind w:left="0"/>
    </w:pPr>
    <w:rPr>
      <w:rFonts w:ascii="宋体" w:eastAsia="宋体"/>
    </w:rPr>
  </w:style>
  <w:style w:type="paragraph" w:customStyle="1" w:styleId="17">
    <w:name w:val="二级条标题"/>
    <w:basedOn w:val="15"/>
    <w:next w:val="11"/>
    <w:qFormat/>
    <w:uiPriority w:val="0"/>
    <w:pPr>
      <w:numPr>
        <w:ilvl w:val="2"/>
      </w:numPr>
      <w:spacing w:before="50" w:after="50"/>
      <w:ind w:left="142"/>
      <w:outlineLvl w:val="3"/>
    </w:pPr>
  </w:style>
  <w:style w:type="paragraph" w:customStyle="1" w:styleId="18">
    <w:name w:val="三级无"/>
    <w:basedOn w:val="19"/>
    <w:uiPriority w:val="0"/>
    <w:pPr>
      <w:spacing w:beforeLines="0" w:afterLines="0"/>
    </w:pPr>
    <w:rPr>
      <w:rFonts w:ascii="宋体" w:eastAsia="宋体"/>
    </w:rPr>
  </w:style>
  <w:style w:type="paragraph" w:customStyle="1" w:styleId="19">
    <w:name w:val="三级条标题"/>
    <w:basedOn w:val="17"/>
    <w:next w:val="11"/>
    <w:qFormat/>
    <w:uiPriority w:val="0"/>
    <w:pPr>
      <w:numPr>
        <w:ilvl w:val="3"/>
      </w:numPr>
      <w:outlineLvl w:val="4"/>
    </w:pPr>
  </w:style>
  <w:style w:type="paragraph" w:customStyle="1" w:styleId="20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1">
    <w:name w:val="标准书脚_奇数页"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2">
    <w:name w:val="终结线"/>
    <w:basedOn w:val="1"/>
    <w:qFormat/>
    <w:uiPriority w:val="0"/>
    <w:pPr>
      <w:framePr w:hSpace="181" w:vSpace="181" w:wrap="around" w:vAnchor="text" w:hAnchor="margin" w:xAlign="center" w:y="285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0"/>
    <customShpInfo spid="_x0000_s205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2411</Words>
  <Characters>2914</Characters>
  <Lines>0</Lines>
  <Paragraphs>0</Paragraphs>
  <TotalTime>0</TotalTime>
  <ScaleCrop>false</ScaleCrop>
  <LinksUpToDate>false</LinksUpToDate>
  <CharactersWithSpaces>3133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2023-03-03T01:02:00Z</dcterms:created>
  <dc:creator>Administrator</dc:creator>
  <cp:lastModifiedBy>Administrator</cp:lastModifiedBy>
  <dcterms:modified xsi:type="dcterms:W3CDTF">2023-03-03T02:11:34Z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F607782E088142FDA6DEB739BF3C7C39</vt:lpwstr>
  </property>
</Properties>
</file>