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6"/>
      </w:pPr>
      <w:r>
        <w:rPr>
          <w:rFonts w:ascii="Times New Roman"/>
        </w:rPr>
        <w:t>ICS </w:t>
      </w:r>
      <w:bookmarkStart w:id="0" w:name="ICS"/>
      <w:r>
        <w:fldChar w:fldCharType="begin">
          <w:ffData>
            <w:enabled/>
            <w:calcOnExit w:val="0"/>
            <w:textInput/>
          </w:ffData>
        </w:fldChar>
      </w:r>
      <w:r>
        <w:instrText xml:space="preserve"> FORMTEXT </w:instrText>
      </w:r>
      <w:r>
        <w:fldChar w:fldCharType="separate"/>
      </w:r>
      <w:r>
        <w:t>     </w:t>
      </w:r>
      <w:r>
        <w:fldChar w:fldCharType="end"/>
      </w:r>
      <w:bookmarkEnd w:id="0"/>
    </w:p>
    <w:p>
      <w:pPr>
        <w:pStyle w:val="126"/>
      </w:pPr>
      <w:bookmarkStart w:id="1" w:name="WXFLH"/>
      <w:r>
        <w:fldChar w:fldCharType="begin">
          <w:ffData>
            <w:enabled/>
            <w:calcOnExit w:val="0"/>
            <w:textInput/>
          </w:ffData>
        </w:fldChar>
      </w:r>
      <w:r>
        <w:instrText xml:space="preserve"> FORMTEXT </w:instrText>
      </w:r>
      <w:r>
        <w:fldChar w:fldCharType="separate"/>
      </w:r>
      <w:r>
        <w:rPr>
          <w:rFonts w:hint="eastAsia"/>
        </w:rPr>
        <w:t>点击此处添加中国标准文献分类号</w:t>
      </w:r>
      <w:r>
        <w:fldChar w:fldCharType="end"/>
      </w:r>
      <w:bookmarkEnd w:id="1"/>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6"/>
            </w:pPr>
            <w:r>
              <w:pict>
                <v:rect id="1026" o:spid="_x0000_s1026" o:spt="1" style="position:absolute;left:0pt;margin-left:-5.25pt;margin-top:0pt;height:15.6pt;width:68.25pt;z-index:-251661312;mso-width-relative:page;mso-height-relative:page;" stroked="f" coordsize="21600,21600">
                  <v:path/>
                  <v:fill focussize="0,0"/>
                  <v:stroke on="f"/>
                  <v:imagedata o:title=""/>
                  <o:lock v:ext="edit"/>
                  <v:textbox>
                    <w:txbxContent>
                      <w:p/>
                    </w:txbxContent>
                  </v:textbox>
                </v:rect>
              </w:pict>
            </w:r>
            <w:r>
              <w:fldChar w:fldCharType="begin">
                <w:ffData>
                  <w:enabled/>
                  <w:calcOnExit w:val="0"/>
                  <w:textInput/>
                </w:ffData>
              </w:fldChar>
            </w:r>
            <w:bookmarkStart w:id="2" w:name="BAH"/>
            <w:r>
              <w:instrText xml:space="preserve"> FORMTEXT </w:instrText>
            </w:r>
            <w:r>
              <w:fldChar w:fldCharType="separate"/>
            </w:r>
            <w:r>
              <w:t>     </w:t>
            </w:r>
            <w:r>
              <w:fldChar w:fldCharType="end"/>
            </w:r>
            <w:bookmarkEnd w:id="2"/>
          </w:p>
        </w:tc>
      </w:tr>
    </w:tbl>
    <w:p>
      <w:pPr>
        <w:pStyle w:val="102"/>
      </w:pPr>
      <w:r>
        <w:t>DB</w:t>
      </w:r>
      <w:bookmarkStart w:id="3" w:name="c3"/>
      <w:r>
        <w:fldChar w:fldCharType="begin">
          <w:ffData>
            <w:enabled/>
            <w:calcOnExit w:val="0"/>
            <w:textInput/>
          </w:ffData>
        </w:fldChar>
      </w:r>
      <w:r>
        <w:instrText xml:space="preserve"> FORMTEXT </w:instrText>
      </w:r>
      <w:r>
        <w:fldChar w:fldCharType="separate"/>
      </w:r>
      <w:r>
        <w:rPr>
          <w:rFonts w:hint="eastAsia"/>
        </w:rPr>
        <w:t>43</w:t>
      </w:r>
      <w:r>
        <w:fldChar w:fldCharType="end"/>
      </w:r>
      <w:bookmarkEnd w:id="3"/>
    </w:p>
    <w:p>
      <w:pPr>
        <w:pStyle w:val="49"/>
      </w:pPr>
      <w:bookmarkStart w:id="4" w:name="c4"/>
      <w:r>
        <w:fldChar w:fldCharType="begin">
          <w:ffData>
            <w:enabled/>
            <w:calcOnExit w:val="0"/>
            <w:textInput/>
          </w:ffData>
        </w:fldChar>
      </w:r>
      <w:r>
        <w:instrText xml:space="preserve"> FORMTEXT </w:instrText>
      </w:r>
      <w:r>
        <w:fldChar w:fldCharType="separate"/>
      </w:r>
      <w:r>
        <w:rPr>
          <w:rFonts w:hint="eastAsia"/>
        </w:rPr>
        <w:t>湖南省</w:t>
      </w:r>
      <w:r>
        <w:fldChar w:fldCharType="end"/>
      </w:r>
      <w:bookmarkEnd w:id="4"/>
      <w:r>
        <w:rPr>
          <w:rFonts w:hint="eastAsia"/>
        </w:rPr>
        <w:t>地方标准</w:t>
      </w:r>
    </w:p>
    <w:p>
      <w:pPr>
        <w:pStyle w:val="85"/>
        <w:rPr>
          <w:rFonts w:hAnsi="黑体"/>
        </w:rPr>
      </w:pPr>
      <w:r>
        <w:rPr>
          <w:rFonts w:ascii="Times New Roman"/>
        </w:rPr>
        <w:t xml:space="preserve">DB </w:t>
      </w:r>
      <w:bookmarkStart w:id="5" w:name="StdNo0"/>
      <w:r>
        <w:rPr>
          <w:rFonts w:hAnsi="黑体"/>
        </w:rPr>
        <w:fldChar w:fldCharType="begin">
          <w:ffData>
            <w:enabled/>
            <w:calcOnExit w:val="0"/>
            <w:textInput/>
          </w:ffData>
        </w:fldChar>
      </w:r>
      <w:r>
        <w:rPr>
          <w:rFonts w:hAnsi="黑体"/>
        </w:rPr>
        <w:instrText xml:space="preserve"> FORMTEXT </w:instrText>
      </w:r>
      <w:r>
        <w:rPr>
          <w:rFonts w:hAnsi="黑体"/>
        </w:rPr>
        <w:fldChar w:fldCharType="separate"/>
      </w:r>
      <w:r>
        <w:rPr>
          <w:rFonts w:hint="eastAsia" w:hAnsi="黑体"/>
        </w:rPr>
        <w:t>43</w:t>
      </w:r>
      <w:r>
        <w:rPr>
          <w:rFonts w:hAnsi="黑体"/>
        </w:rPr>
        <w:fldChar w:fldCharType="end"/>
      </w:r>
      <w:bookmarkEnd w:id="5"/>
      <w:r>
        <w:rPr>
          <w:rFonts w:hAnsi="黑体"/>
        </w:rPr>
        <w:t>/</w:t>
      </w:r>
      <w:r>
        <w:rPr>
          <w:rFonts w:hAnsi="黑体"/>
        </w:rPr>
        <w:fldChar w:fldCharType="begin">
          <w:ffData>
            <w:name w:val="Text2"/>
            <w:enabled/>
            <w:calcOnExit w:val="0"/>
            <w:textInput>
              <w:default w:val="T XXXX.7"/>
            </w:textInput>
          </w:ffData>
        </w:fldChar>
      </w:r>
      <w:r>
        <w:rPr>
          <w:rFonts w:hAnsi="黑体"/>
        </w:rPr>
        <w:instrText xml:space="preserve">FORMTEXT</w:instrText>
      </w:r>
      <w:r>
        <w:rPr>
          <w:rFonts w:hAnsi="黑体"/>
        </w:rPr>
        <w:fldChar w:fldCharType="separate"/>
      </w:r>
      <w:r>
        <w:rPr>
          <w:rFonts w:hAnsi="黑体"/>
        </w:rPr>
        <w:t>T XXXX.7</w:t>
      </w:r>
      <w:r>
        <w:rPr>
          <w:rFonts w:hAnsi="黑体"/>
        </w:rPr>
        <w:fldChar w:fldCharType="end"/>
      </w:r>
      <w:r>
        <w:rPr>
          <w:rFonts w:hAnsi="黑体"/>
        </w:rPr>
        <w:t>—</w:t>
      </w:r>
      <w:r>
        <w:rPr>
          <w:rFonts w:hint="eastAsia" w:hAnsi="黑体"/>
        </w:rPr>
        <w:fldChar w:fldCharType="begin">
          <w:ffData>
            <w:name w:val="Text3"/>
            <w:enabled/>
            <w:calcOnExit w:val="0"/>
            <w:textInput>
              <w:default w:val="2022"/>
            </w:textInput>
          </w:ffData>
        </w:fldChar>
      </w:r>
      <w:r>
        <w:rPr>
          <w:rFonts w:hint="eastAsia" w:hAnsi="黑体"/>
        </w:rPr>
        <w:instrText xml:space="preserve">FORMTEXT</w:instrText>
      </w:r>
      <w:r>
        <w:rPr>
          <w:rFonts w:hint="eastAsia" w:hAnsi="黑体"/>
        </w:rPr>
        <w:fldChar w:fldCharType="separate"/>
      </w:r>
      <w:r>
        <w:rPr>
          <w:rFonts w:hint="eastAsia" w:hAnsi="黑体"/>
        </w:rPr>
        <w:t>2022</w:t>
      </w:r>
      <w:r>
        <w:rPr>
          <w:rFonts w:hint="eastAsia" w:hAnsi="黑体"/>
        </w:rPr>
        <w:fldChar w:fldCharType="end"/>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8"/>
            </w:pPr>
            <w:bookmarkStart w:id="6" w:name="DT"/>
            <w:r>
              <w:fldChar w:fldCharType="begin">
                <w:ffData>
                  <w:enabled/>
                  <w:calcOnExit w:val="0"/>
                  <w:textInput/>
                </w:ffData>
              </w:fldChar>
            </w:r>
            <w:r>
              <w:instrText xml:space="preserve"> FORMTEXT </w:instrText>
            </w:r>
            <w:r>
              <w:fldChar w:fldCharType="separate"/>
            </w:r>
            <w:r>
              <w:t>     </w:t>
            </w:r>
            <w:r>
              <w:fldChar w:fldCharType="end"/>
            </w:r>
            <w:bookmarkEnd w:id="6"/>
          </w:p>
        </w:tc>
      </w:tr>
    </w:tbl>
    <w:p>
      <w:pPr>
        <w:pStyle w:val="85"/>
        <w:rPr>
          <w:rFonts w:hAnsi="黑体"/>
        </w:rPr>
      </w:pPr>
    </w:p>
    <w:p>
      <w:pPr>
        <w:pStyle w:val="85"/>
        <w:rPr>
          <w:rFonts w:hAnsi="黑体"/>
        </w:rPr>
      </w:pPr>
    </w:p>
    <w:p>
      <w:pPr>
        <w:pStyle w:val="65"/>
      </w:pPr>
      <w:bookmarkStart w:id="7" w:name="Text1"/>
      <w:r>
        <w:rPr>
          <w:rFonts w:hint="eastAsia"/>
        </w:rPr>
        <w:fldChar w:fldCharType="begin">
          <w:ffData>
            <w:name w:val="Text1"/>
            <w:enabled/>
            <w:calcOnExit w:val="0"/>
            <w:textInput>
              <w:default w:val="在用大型游乐设施安全评估规则第7部分：转马类"/>
            </w:textInput>
          </w:ffData>
        </w:fldChar>
      </w:r>
      <w:r>
        <w:rPr>
          <w:rFonts w:hint="eastAsia"/>
        </w:rPr>
        <w:instrText xml:space="preserve">FORMTEXT</w:instrText>
      </w:r>
      <w:r>
        <w:rPr>
          <w:rFonts w:hint="eastAsia"/>
        </w:rPr>
        <w:fldChar w:fldCharType="separate"/>
      </w:r>
      <w:r>
        <w:rPr>
          <w:rFonts w:hint="eastAsia"/>
        </w:rPr>
        <w:t>在用大型游乐设施安全评估规则</w:t>
      </w:r>
    </w:p>
    <w:p>
      <w:pPr>
        <w:pStyle w:val="65"/>
      </w:pPr>
      <w:r>
        <w:rPr>
          <w:rFonts w:hint="eastAsia"/>
        </w:rPr>
        <w:t>第7部分：转马类</w:t>
      </w:r>
      <w:r>
        <w:rPr>
          <w:rFonts w:hint="eastAsia"/>
        </w:rPr>
        <w:fldChar w:fldCharType="end"/>
      </w:r>
      <w:bookmarkEnd w:id="7"/>
    </w:p>
    <w:p>
      <w:pPr>
        <w:pStyle w:val="64"/>
      </w:pPr>
      <w:bookmarkStart w:id="8" w:name="StdEnglishName"/>
      <w:r>
        <w:fldChar w:fldCharType="begin">
          <w:ffData>
            <w:enabled/>
            <w:calcOnExit w:val="0"/>
            <w:textInput/>
          </w:ffData>
        </w:fldChar>
      </w:r>
      <w:r>
        <w:instrText xml:space="preserve"> FORMTEXT </w:instrText>
      </w:r>
      <w:r>
        <w:fldChar w:fldCharType="separate"/>
      </w:r>
      <w:r>
        <w:t xml:space="preserve">Guidelines for safety assessment of existing large-scale amusement </w:t>
      </w:r>
      <w:r>
        <w:rPr>
          <w:rFonts w:hint="eastAsia"/>
        </w:rPr>
        <w:t>rides</w:t>
      </w:r>
    </w:p>
    <w:p>
      <w:pPr>
        <w:pStyle w:val="64"/>
      </w:pPr>
      <w:r>
        <w:rPr>
          <w:rFonts w:hint="eastAsia"/>
        </w:rPr>
        <w:t>Part 7：Merry-go-round type</w:t>
      </w:r>
      <w:r>
        <w:t> </w:t>
      </w:r>
      <w:r>
        <w:fldChar w:fldCharType="end"/>
      </w:r>
      <w:bookmarkEnd w:id="8"/>
    </w:p>
    <w:p>
      <w:pPr>
        <w:pStyle w:val="63"/>
      </w:pPr>
      <w:bookmarkStart w:id="9" w:name="YZBS"/>
      <w:r>
        <w:fldChar w:fldCharType="begin">
          <w:ffData>
            <w:enabled/>
            <w:calcOnExit w:val="0"/>
            <w:textInput/>
          </w:ffData>
        </w:fldChar>
      </w:r>
      <w:r>
        <w:instrText xml:space="preserve"> FORMTEXT </w:instrText>
      </w:r>
      <w:r>
        <w:fldChar w:fldCharType="separate"/>
      </w:r>
      <w:r>
        <w:rPr>
          <w:rFonts w:hint="eastAsia"/>
        </w:rPr>
        <w:t>点击此处添加与国际标准一致性程度的标识</w:t>
      </w:r>
      <w:r>
        <w:fldChar w:fldCharType="end"/>
      </w:r>
      <w:bookmarkEnd w:id="9"/>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62"/>
            </w:pPr>
            <w:r>
              <w:pict>
                <v:rect id="1027" o:spid="_x0000_s1027" o:spt="1" style="position:absolute;left:0pt;margin-left:173.3pt;margin-top:337.15pt;height:20pt;width:150pt;z-index:-251660288;mso-width-relative:page;mso-height-relative:page;" stroked="f" coordsize="21600,21600">
                  <v:path/>
                  <v:fill focussize="0,0"/>
                  <v:stroke on="f"/>
                  <v:imagedata o:title=""/>
                  <o:lock v:ext="edit"/>
                  <v:textbox>
                    <w:txbxContent>
                      <w:p/>
                    </w:txbxContent>
                  </v:textbox>
                  <w10:anchorlock/>
                </v:rect>
              </w:pict>
            </w:r>
            <w:r>
              <w:fldChar w:fldCharType="begin">
                <w:ffData>
                  <w:name w:val="DropDown1"/>
                  <w:enabled/>
                  <w:calcOnExit w:val="0"/>
                  <w:ddList>
                    <w:listEntry w:val="征求意见稿"/>
                  </w:ddList>
                </w:ffData>
              </w:fldChar>
            </w:r>
            <w:r>
              <w:instrText xml:space="preserve">FORMDROPDOWN</w:instrText>
            </w:r>
            <w:r>
              <w:fldChar w:fldCharType="separate"/>
            </w:r>
            <w: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77"/>
              <w:jc w:val="both"/>
            </w:pPr>
          </w:p>
        </w:tc>
      </w:tr>
    </w:tbl>
    <w:p>
      <w:pPr>
        <w:pStyle w:val="134"/>
      </w:pPr>
      <w:bookmarkStart w:id="10" w:name="F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1" w:name="F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r>
        <w:pict>
          <v:line id="1028" o:spid="_x0000_s1028" o:spt="20" style="position:absolute;left:0pt;margin-left:-0.05pt;margin-top:728.5pt;height:0pt;width:481.9pt;mso-position-vertical-relative:page;z-index:251659264;mso-width-relative:page;mso-height-relative:page;" coordsize="21600,21600">
            <v:path arrowok="t"/>
            <v:fill focussize="0,0"/>
            <v:stroke/>
            <v:imagedata o:title=""/>
            <o:lock v:ext="edit"/>
            <w10:anchorlock/>
          </v:line>
        </w:pict>
      </w:r>
    </w:p>
    <w:p>
      <w:pPr>
        <w:pStyle w:val="136"/>
      </w:pPr>
      <w:bookmarkStart w:id="12" w:name="SY"/>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bookmarkStart w:id="13" w:name="SM"/>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bookmarkStart w:id="14" w:name="SD"/>
      <w:r>
        <w:rPr>
          <w:rFonts w:ascii="黑体"/>
        </w:rPr>
        <w:fldChar w:fldCharType="begin">
          <w:ffData>
            <w:enabled/>
            <w:calcOnExit w:val="0"/>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pStyle w:val="93"/>
      </w:pPr>
      <w:bookmarkStart w:id="15" w:name="fm"/>
      <w:r>
        <w:rPr>
          <w:w w:val="100"/>
        </w:rPr>
        <w:pict>
          <v:rect id="1029" o:spid="_x0000_s1029" o:spt="1" style="position:absolute;left:0pt;margin-left:142.55pt;margin-top:-310.45pt;height:24pt;width:100pt;z-index:-251659264;mso-width-relative:page;mso-height-relative:page;" stroked="f" coordsize="21600,21600">
            <v:path/>
            <v:fill focussize="0,0"/>
            <v:stroke on="f"/>
            <v:imagedata o:title=""/>
            <o:lock v:ext="edit"/>
            <v:textbox>
              <w:txbxContent>
                <w:p/>
              </w:txbxContent>
            </v:textbox>
          </v:rect>
        </w:pict>
      </w:r>
      <w:r>
        <w:rPr>
          <w:w w:val="100"/>
        </w:rPr>
        <w:pict>
          <v:rect id="1030" o:spid="_x0000_s1030" o:spt="1" style="position:absolute;left:0pt;margin-left:347.55pt;margin-top:-585.45pt;height:18pt;width:90pt;z-index:-251658240;mso-width-relative:page;mso-height-relative:page;" stroked="f" coordsize="21600,21600">
            <v:path/>
            <v:fill focussize="0,0"/>
            <v:stroke on="f"/>
            <v:imagedata o:title=""/>
            <o:lock v:ext="edit"/>
            <v:textbox>
              <w:txbxContent>
                <w:p/>
              </w:txbxContent>
            </v:textbox>
          </v:rect>
        </w:pict>
      </w:r>
      <w:r>
        <w:rPr>
          <w:w w:val="100"/>
        </w:rPr>
        <w:pict>
          <v:line id="1031" o:spid="_x0000_s1031" o:spt="20" style="position:absolute;left:0pt;margin-left:-36.6pt;margin-top:-552.85pt;height:0pt;width:481.9pt;z-index:251660288;mso-width-relative:page;mso-height-relative:page;" coordsize="21600,21600">
            <v:path arrowok="t"/>
            <v:fill focussize="0,0"/>
            <v:stroke/>
            <v:imagedata o:title=""/>
            <o:lock v:ext="edit"/>
          </v:line>
        </w:pict>
      </w:r>
      <w:r>
        <w:fldChar w:fldCharType="begin">
          <w:ffData>
            <w:enabled/>
            <w:calcOnExit w:val="0"/>
            <w:textInput/>
          </w:ffData>
        </w:fldChar>
      </w:r>
      <w:r>
        <w:instrText xml:space="preserve"> FORMTEXT </w:instrText>
      </w:r>
      <w:r>
        <w:fldChar w:fldCharType="separate"/>
      </w:r>
      <w:r>
        <w:rPr>
          <w:rFonts w:hint="eastAsia"/>
        </w:rPr>
        <w:t>湖南省市场监督管理局</w:t>
      </w:r>
      <w:r>
        <w:fldChar w:fldCharType="end"/>
      </w:r>
      <w:bookmarkEnd w:id="15"/>
      <w:r>
        <w:rPr>
          <w:rFonts w:hAnsi="黑体"/>
        </w:rPr>
        <w:t>   </w:t>
      </w:r>
      <w:r>
        <w:rPr>
          <w:rStyle w:val="44"/>
          <w:rFonts w:hint="eastAsia"/>
        </w:rPr>
        <w:t>发布</w:t>
      </w:r>
    </w:p>
    <w:p>
      <w:pPr>
        <w:pStyle w:val="24"/>
        <w:sectPr>
          <w:footerReference r:id="rId3" w:type="even"/>
          <w:pgSz w:w="11906" w:h="16838"/>
          <w:pgMar w:top="1440" w:right="1800" w:bottom="1440" w:left="1800" w:header="851" w:footer="992" w:gutter="0"/>
          <w:cols w:space="425" w:num="1"/>
          <w:docGrid w:type="lines" w:linePitch="312" w:charSpace="0"/>
        </w:sectPr>
      </w:pPr>
    </w:p>
    <w:p>
      <w:pPr>
        <w:pStyle w:val="96"/>
        <w:ind w:firstLine="4160" w:firstLineChars="1300"/>
        <w:jc w:val="both"/>
      </w:pPr>
      <w:bookmarkStart w:id="16" w:name="_Toc24043944"/>
      <w:bookmarkStart w:id="17" w:name="_Toc24093580"/>
      <w:bookmarkStart w:id="18" w:name="_Toc24978147"/>
      <w:bookmarkStart w:id="19" w:name="_Toc24981492"/>
      <w:bookmarkStart w:id="20" w:name="_Toc24981576"/>
      <w:bookmarkStart w:id="21" w:name="_Toc24044850"/>
      <w:bookmarkStart w:id="22" w:name="_Toc24981618"/>
      <w:bookmarkStart w:id="23" w:name="_Toc24018281"/>
      <w:r>
        <w:rPr>
          <w:rFonts w:hint="eastAsia"/>
        </w:rPr>
        <w:t>目</w:t>
      </w:r>
      <w:bookmarkStart w:id="24" w:name="BKML"/>
      <w:r>
        <w:rPr>
          <w:rFonts w:hAnsi="黑体"/>
        </w:rPr>
        <w:t>  </w:t>
      </w:r>
      <w:r>
        <w:rPr>
          <w:rFonts w:hint="eastAsia"/>
        </w:rPr>
        <w:t>次</w:t>
      </w:r>
      <w:bookmarkEnd w:id="24"/>
    </w:p>
    <w:p>
      <w:pPr>
        <w:pStyle w:val="20"/>
        <w:spacing w:before="60" w:after="60" w:line="360" w:lineRule="auto"/>
        <w:rPr>
          <w:rStyle w:val="39"/>
          <w:color w:val="auto"/>
        </w:rPr>
      </w:pPr>
      <w:r>
        <w:fldChar w:fldCharType="begin"/>
      </w:r>
      <w:r>
        <w:instrText xml:space="preserve"> </w:instrText>
      </w:r>
      <w:r>
        <w:rPr>
          <w:rFonts w:hint="eastAsia"/>
        </w:rPr>
        <w:instrText xml:space="preserve">TOC \h \z \t"前言、引言标题,1,参考文献、索引标题,1,章标题,1,参考文献,1,附录标识,1,一级条标题, 3,二级条标题, 4" \* MERGEFORMAT</w:instrText>
      </w:r>
      <w:r>
        <w:instrText xml:space="preserve"> </w:instrText>
      </w:r>
      <w:r>
        <w:fldChar w:fldCharType="separate"/>
      </w:r>
      <w:r>
        <w:fldChar w:fldCharType="begin"/>
      </w:r>
      <w:r>
        <w:instrText xml:space="preserve"> HYPERLINK \l "_Toc26359599" </w:instrText>
      </w:r>
      <w:r>
        <w:fldChar w:fldCharType="separate"/>
      </w:r>
      <w:r>
        <w:rPr>
          <w:rStyle w:val="39"/>
          <w:rFonts w:hint="eastAsia"/>
          <w:color w:val="auto"/>
        </w:rPr>
        <w:t>前</w:t>
      </w:r>
      <w:r>
        <w:rPr>
          <w:rStyle w:val="39"/>
          <w:rFonts w:hint="eastAsia" w:ascii="MS Mincho" w:hAnsi="MS Mincho" w:eastAsia="MS Mincho" w:cs="MS Mincho"/>
          <w:color w:val="auto"/>
        </w:rPr>
        <w:t>  </w:t>
      </w:r>
      <w:r>
        <w:rPr>
          <w:rStyle w:val="39"/>
          <w:rFonts w:hint="eastAsia"/>
          <w:color w:val="auto"/>
        </w:rPr>
        <w:t>言</w:t>
      </w:r>
      <w:r>
        <w:tab/>
      </w:r>
      <w:r>
        <w:rPr>
          <w:rFonts w:hint="eastAsia" w:hAnsi="宋体" w:cs="宋体"/>
        </w:rPr>
        <w:t>Ⅰ</w:t>
      </w:r>
      <w:r>
        <w:rPr>
          <w:rFonts w:hint="eastAsia" w:hAnsi="宋体" w:cs="宋体"/>
        </w:rPr>
        <w:fldChar w:fldCharType="end"/>
      </w:r>
    </w:p>
    <w:p>
      <w:pPr>
        <w:spacing w:line="360" w:lineRule="auto"/>
        <w:rPr>
          <w:u w:val="dotted"/>
        </w:rPr>
      </w:pPr>
      <w:r>
        <w:rPr>
          <w:rStyle w:val="39"/>
          <w:rFonts w:hint="eastAsia"/>
          <w:color w:val="auto"/>
        </w:rPr>
        <w:t>引    言</w:t>
      </w:r>
      <w:r>
        <w:rPr>
          <w:rStyle w:val="39"/>
          <w:rFonts w:hint="eastAsia"/>
          <w:color w:val="auto"/>
          <w:u w:val="dotted"/>
        </w:rPr>
        <w:t xml:space="preserve">                                                                              </w:t>
      </w:r>
      <w:r>
        <w:rPr>
          <w:rStyle w:val="39"/>
          <w:rFonts w:hint="eastAsia" w:ascii="宋体" w:hAnsi="宋体" w:cs="宋体"/>
          <w:color w:val="auto"/>
          <w:u w:val="none"/>
        </w:rPr>
        <w:t>Ⅱ</w:t>
      </w:r>
    </w:p>
    <w:p>
      <w:pPr>
        <w:pStyle w:val="20"/>
        <w:spacing w:before="60" w:after="60" w:line="360" w:lineRule="auto"/>
        <w:rPr>
          <w:rFonts w:ascii="Times New Roman"/>
          <w:szCs w:val="24"/>
        </w:rPr>
      </w:pPr>
      <w:r>
        <w:fldChar w:fldCharType="begin"/>
      </w:r>
      <w:r>
        <w:instrText xml:space="preserve"> HYPERLINK \l "_Toc26359600" </w:instrText>
      </w:r>
      <w:r>
        <w:fldChar w:fldCharType="separate"/>
      </w:r>
      <w:r>
        <w:rPr>
          <w:rStyle w:val="39"/>
          <w:color w:val="auto"/>
        </w:rPr>
        <w:t>1</w:t>
      </w:r>
      <w:r>
        <w:rPr>
          <w:rStyle w:val="39"/>
          <w:rFonts w:hint="eastAsia"/>
          <w:color w:val="auto"/>
        </w:rPr>
        <w:t>　范围</w:t>
      </w:r>
      <w:r>
        <w:tab/>
      </w:r>
      <w:r>
        <w:fldChar w:fldCharType="begin"/>
      </w:r>
      <w:r>
        <w:instrText xml:space="preserve"> PAGEREF _Toc26359600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"_Toc26359601" </w:instrText>
      </w:r>
      <w:r>
        <w:fldChar w:fldCharType="separate"/>
      </w:r>
      <w:r>
        <w:rPr>
          <w:rStyle w:val="39"/>
          <w:color w:val="auto"/>
        </w:rPr>
        <w:t>2</w:t>
      </w:r>
      <w:r>
        <w:rPr>
          <w:rStyle w:val="39"/>
          <w:rFonts w:hint="eastAsia"/>
          <w:color w:val="auto"/>
        </w:rPr>
        <w:t>　规范性引用文件</w:t>
      </w:r>
      <w:r>
        <w:tab/>
      </w:r>
      <w:r>
        <w:fldChar w:fldCharType="begin"/>
      </w:r>
      <w:r>
        <w:instrText xml:space="preserve"> PAGEREF _Toc26359601 \h </w:instrText>
      </w:r>
      <w:r>
        <w:fldChar w:fldCharType="separate"/>
      </w:r>
      <w:r>
        <w:t>1</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"_Toc26359602" </w:instrText>
      </w:r>
      <w:r>
        <w:fldChar w:fldCharType="separate"/>
      </w:r>
      <w:r>
        <w:rPr>
          <w:rStyle w:val="39"/>
          <w:color w:val="auto"/>
        </w:rPr>
        <w:t>3</w:t>
      </w:r>
      <w:r>
        <w:rPr>
          <w:rStyle w:val="39"/>
          <w:rFonts w:hint="eastAsia"/>
          <w:color w:val="auto"/>
        </w:rPr>
        <w:t>　术语和定义</w:t>
      </w:r>
      <w:r>
        <w:tab/>
      </w:r>
      <w:r>
        <w:fldChar w:fldCharType="begin"/>
      </w:r>
      <w:r>
        <w:instrText xml:space="preserve"> PAGEREF _Toc26359602 \h </w:instrText>
      </w:r>
      <w:r>
        <w:fldChar w:fldCharType="separate"/>
      </w:r>
      <w:r>
        <w:t>2</w:t>
      </w:r>
      <w:r>
        <w:fldChar w:fldCharType="end"/>
      </w:r>
      <w:r>
        <w:fldChar w:fldCharType="end"/>
      </w:r>
    </w:p>
    <w:p>
      <w:pPr>
        <w:pStyle w:val="20"/>
        <w:spacing w:before="60" w:after="60" w:line="360" w:lineRule="auto"/>
        <w:rPr>
          <w:rFonts w:ascii="Times New Roman"/>
          <w:szCs w:val="24"/>
        </w:rPr>
      </w:pPr>
      <w:r>
        <w:fldChar w:fldCharType="begin"/>
      </w:r>
      <w:r>
        <w:instrText xml:space="preserve"> HYPERLINK \l "_Toc26359613" </w:instrText>
      </w:r>
      <w:r>
        <w:fldChar w:fldCharType="separate"/>
      </w:r>
      <w:r>
        <w:rPr>
          <w:rStyle w:val="39"/>
          <w:color w:val="auto"/>
        </w:rPr>
        <w:t>4</w:t>
      </w:r>
      <w:r>
        <w:rPr>
          <w:rStyle w:val="39"/>
          <w:rFonts w:hint="eastAsia"/>
          <w:color w:val="auto"/>
        </w:rPr>
        <w:t>　一般要求</w:t>
      </w:r>
      <w:r>
        <w:tab/>
      </w:r>
      <w:r>
        <w:fldChar w:fldCharType="begin"/>
      </w:r>
      <w:r>
        <w:instrText xml:space="preserve"> PAGEREF _Toc26359613 \h </w:instrText>
      </w:r>
      <w:r>
        <w:fldChar w:fldCharType="separate"/>
      </w:r>
      <w:r>
        <w:t>2</w:t>
      </w:r>
      <w:r>
        <w:fldChar w:fldCharType="end"/>
      </w:r>
      <w:r>
        <w:fldChar w:fldCharType="end"/>
      </w:r>
    </w:p>
    <w:p>
      <w:pPr>
        <w:pStyle w:val="20"/>
        <w:spacing w:before="60" w:after="60" w:line="360" w:lineRule="auto"/>
        <w:rPr>
          <w:rStyle w:val="39"/>
          <w:color w:val="auto"/>
        </w:rPr>
      </w:pPr>
      <w:r>
        <w:rPr>
          <w:rStyle w:val="39"/>
          <w:color w:val="auto"/>
        </w:rPr>
        <w:fldChar w:fldCharType="begin"/>
      </w:r>
      <w:r>
        <w:rPr>
          <w:rStyle w:val="39"/>
          <w:color w:val="auto"/>
        </w:rPr>
        <w:instrText xml:space="preserve"> </w:instrText>
      </w:r>
      <w:r>
        <w:instrText xml:space="preserve">HYPERLINK \l "_Toc26359619"</w:instrText>
      </w:r>
      <w:r>
        <w:rPr>
          <w:rStyle w:val="39"/>
          <w:color w:val="auto"/>
        </w:rPr>
        <w:instrText xml:space="preserve"> </w:instrText>
      </w:r>
      <w:r>
        <w:rPr>
          <w:rStyle w:val="39"/>
          <w:color w:val="auto"/>
        </w:rPr>
        <w:fldChar w:fldCharType="separate"/>
      </w:r>
      <w:r>
        <w:rPr>
          <w:rStyle w:val="39"/>
          <w:color w:val="auto"/>
        </w:rPr>
        <w:t>5</w:t>
      </w:r>
      <w:r>
        <w:rPr>
          <w:rStyle w:val="39"/>
          <w:rFonts w:hint="eastAsia"/>
          <w:color w:val="auto"/>
        </w:rPr>
        <w:t>　</w:t>
      </w:r>
      <w:r>
        <w:rPr>
          <w:rFonts w:hint="eastAsia" w:hAnsi="宋体" w:cs="宋体"/>
        </w:rPr>
        <w:t>安全评估的项目和要求</w:t>
      </w:r>
      <w:r>
        <w:rPr>
          <w:rFonts w:hint="eastAsia" w:hAnsi="宋体" w:cs="宋体"/>
        </w:rPr>
        <w:tab/>
      </w:r>
      <w:r>
        <w:rPr>
          <w:rFonts w:hint="eastAsia" w:hAnsi="宋体" w:cs="宋体"/>
        </w:rPr>
        <w:t>2</w:t>
      </w:r>
    </w:p>
    <w:p>
      <w:pPr>
        <w:pStyle w:val="20"/>
        <w:spacing w:before="60" w:after="60" w:line="360" w:lineRule="auto"/>
        <w:rPr>
          <w:rStyle w:val="39"/>
          <w:color w:val="auto"/>
        </w:rPr>
      </w:pPr>
      <w:r>
        <w:rPr>
          <w:rStyle w:val="39"/>
          <w:rFonts w:hint="eastAsia"/>
          <w:color w:val="auto"/>
        </w:rPr>
        <w:t>6  现场评估的基本原则</w:t>
      </w:r>
      <w:r>
        <w:tab/>
      </w:r>
      <w:r>
        <w:fldChar w:fldCharType="begin"/>
      </w:r>
      <w:r>
        <w:instrText xml:space="preserve"> PAGEREF _Toc26359619 \h </w:instrText>
      </w:r>
      <w:r>
        <w:fldChar w:fldCharType="separate"/>
      </w:r>
      <w:r>
        <w:t>3</w:t>
      </w:r>
      <w:r>
        <w:fldChar w:fldCharType="end"/>
      </w:r>
      <w:r>
        <w:rPr>
          <w:rStyle w:val="39"/>
          <w:color w:val="auto"/>
        </w:rPr>
        <w:fldChar w:fldCharType="end"/>
      </w:r>
    </w:p>
    <w:p>
      <w:pPr>
        <w:pStyle w:val="20"/>
        <w:spacing w:before="60" w:after="60" w:line="360" w:lineRule="auto"/>
      </w:pPr>
      <w:r>
        <w:rPr>
          <w:rStyle w:val="39"/>
          <w:rFonts w:hint="eastAsia"/>
          <w:color w:val="auto"/>
        </w:rPr>
        <w:t>7  安全评估报告</w:t>
      </w:r>
      <w:r>
        <w:rPr>
          <w:rStyle w:val="39"/>
          <w:rFonts w:hint="eastAsia"/>
          <w:color w:val="auto"/>
          <w:u w:val="dotted"/>
        </w:rPr>
        <w:t xml:space="preserve">                                                                        </w:t>
      </w:r>
      <w:r>
        <w:rPr>
          <w:rFonts w:hint="eastAsia"/>
        </w:rPr>
        <w:t>3</w:t>
      </w:r>
    </w:p>
    <w:p>
      <w:pPr>
        <w:pStyle w:val="20"/>
        <w:spacing w:before="60" w:after="60" w:line="360" w:lineRule="auto"/>
        <w:rPr>
          <w:u w:val="dotted"/>
        </w:rPr>
      </w:pPr>
      <w:r>
        <w:rPr>
          <w:rFonts w:hint="eastAsia"/>
        </w:rPr>
        <w:t xml:space="preserve">附录A（资料性目录） </w:t>
      </w:r>
      <w:r>
        <w:rPr>
          <w:rFonts w:hint="eastAsia" w:hAnsi="宋体"/>
        </w:rPr>
        <w:t>在用转马类大型游乐设施安全评估项目</w:t>
      </w:r>
      <w:r>
        <w:rPr>
          <w:rFonts w:hint="eastAsia"/>
        </w:rPr>
        <w:t>、内容、要求及风险等级</w:t>
      </w:r>
      <w:r>
        <w:rPr>
          <w:rFonts w:hint="eastAsia"/>
          <w:u w:val="dotted"/>
        </w:rPr>
        <w:t xml:space="preserve">           x</w:t>
      </w:r>
    </w:p>
    <w:p>
      <w:pPr>
        <w:pStyle w:val="20"/>
        <w:spacing w:before="60" w:after="60" w:line="360" w:lineRule="auto"/>
        <w:rPr>
          <w:u w:val="dotted"/>
        </w:rPr>
      </w:pPr>
      <w:r>
        <w:rPr>
          <w:rFonts w:hint="eastAsia"/>
        </w:rPr>
        <w:t xml:space="preserve">附录B（资料性目录） </w:t>
      </w:r>
      <w:r>
        <w:rPr>
          <w:rFonts w:hint="eastAsia" w:hAnsi="宋体"/>
        </w:rPr>
        <w:t>在用转马类大型游乐设施</w:t>
      </w:r>
      <w:r>
        <w:rPr>
          <w:rFonts w:hint="eastAsia"/>
        </w:rPr>
        <w:t>安全评估报告（格式）</w:t>
      </w:r>
      <w:r>
        <w:rPr>
          <w:rFonts w:hint="eastAsia"/>
          <w:u w:val="dotted"/>
        </w:rPr>
        <w:t xml:space="preserve">                         x</w:t>
      </w:r>
    </w:p>
    <w:p>
      <w:pPr>
        <w:pStyle w:val="20"/>
        <w:spacing w:before="60" w:after="60" w:line="360" w:lineRule="auto"/>
        <w:rPr>
          <w:u w:val="dotted"/>
        </w:rPr>
      </w:pPr>
      <w:r>
        <w:rPr>
          <w:rFonts w:hint="eastAsia"/>
        </w:rPr>
        <w:t>参考文献</w:t>
      </w:r>
      <w:r>
        <w:rPr>
          <w:rFonts w:hint="eastAsia"/>
          <w:u w:val="dotted"/>
        </w:rPr>
        <w:t xml:space="preserve">                                                                                x</w:t>
      </w:r>
    </w:p>
    <w:p/>
    <w:p>
      <w:pPr>
        <w:pStyle w:val="24"/>
      </w:pPr>
      <w:r>
        <w:fldChar w:fldCharType="end"/>
      </w:r>
    </w:p>
    <w:p>
      <w:pPr>
        <w:pStyle w:val="61"/>
        <w:rPr>
          <w:szCs w:val="32"/>
        </w:rPr>
        <w:sectPr>
          <w:headerReference r:id="rId4" w:type="default"/>
          <w:footerReference r:id="rId5" w:type="default"/>
          <w:pgSz w:w="11906" w:h="16838"/>
          <w:pgMar w:top="567" w:right="1134" w:bottom="1134" w:left="1418" w:header="1418" w:footer="1134" w:gutter="0"/>
          <w:pgNumType w:fmt="upperRoman" w:start="1"/>
          <w:cols w:space="720" w:num="1"/>
          <w:docGrid w:linePitch="312" w:charSpace="0"/>
        </w:sectPr>
      </w:pPr>
      <w:bookmarkStart w:id="25" w:name="_Toc26359599"/>
    </w:p>
    <w:p>
      <w:pPr>
        <w:pStyle w:val="61"/>
        <w:rPr>
          <w:szCs w:val="32"/>
        </w:rPr>
      </w:pPr>
      <w:r>
        <w:rPr>
          <w:rFonts w:hint="eastAsia"/>
          <w:szCs w:val="32"/>
        </w:rPr>
        <w:t>前</w:t>
      </w:r>
      <w:bookmarkStart w:id="26" w:name="BKQY"/>
      <w:r>
        <w:rPr>
          <w:rFonts w:hAnsi="黑体"/>
          <w:szCs w:val="32"/>
        </w:rPr>
        <w:t>  </w:t>
      </w:r>
      <w:r>
        <w:rPr>
          <w:rFonts w:hint="eastAsia"/>
          <w:szCs w:val="32"/>
        </w:rPr>
        <w:t>言</w:t>
      </w:r>
      <w:bookmarkEnd w:id="16"/>
      <w:bookmarkEnd w:id="17"/>
      <w:bookmarkEnd w:id="18"/>
      <w:bookmarkEnd w:id="19"/>
      <w:bookmarkEnd w:id="20"/>
      <w:bookmarkEnd w:id="21"/>
      <w:bookmarkEnd w:id="22"/>
      <w:bookmarkEnd w:id="23"/>
      <w:bookmarkEnd w:id="25"/>
      <w:bookmarkEnd w:id="26"/>
    </w:p>
    <w:p>
      <w:pPr>
        <w:pStyle w:val="24"/>
        <w:widowControl w:val="0"/>
        <w:snapToGrid w:val="0"/>
        <w:spacing w:line="360" w:lineRule="auto"/>
        <w:rPr>
          <w:szCs w:val="21"/>
        </w:rPr>
      </w:pPr>
      <w:r>
        <w:rPr>
          <w:rFonts w:hint="eastAsia"/>
          <w:szCs w:val="21"/>
        </w:rPr>
        <w:t>本文件按照GB/T1.1-2020《标准化工作导则  第1部分：标准化文件的结构和起草规则》的规定起草。</w:t>
      </w:r>
    </w:p>
    <w:p>
      <w:pPr>
        <w:tabs>
          <w:tab w:val="center" w:pos="4201"/>
          <w:tab w:val="right" w:leader="dot" w:pos="9298"/>
        </w:tabs>
        <w:spacing w:line="360" w:lineRule="auto"/>
        <w:ind w:firstLine="420" w:firstLineChars="200"/>
        <w:rPr>
          <w:szCs w:val="21"/>
        </w:rPr>
      </w:pPr>
      <w:r>
        <w:rPr>
          <w:rFonts w:hint="eastAsia"/>
          <w:szCs w:val="21"/>
        </w:rPr>
        <w:t>本文件是DB43/T XXXX-2022《在用大型游乐设施安全评估规则》的第7部分。DB43/T XXXX-2022已经发布了以下部分：</w:t>
      </w:r>
    </w:p>
    <w:p>
      <w:pPr>
        <w:spacing w:line="360" w:lineRule="auto"/>
        <w:ind w:firstLine="420" w:firstLineChars="200"/>
        <w:rPr>
          <w:rFonts w:ascii="宋体"/>
          <w:kern w:val="0"/>
          <w:szCs w:val="21"/>
        </w:rPr>
      </w:pPr>
      <w:r>
        <w:rPr>
          <w:rFonts w:hint="eastAsia" w:ascii="宋体"/>
          <w:kern w:val="0"/>
          <w:szCs w:val="21"/>
        </w:rPr>
        <w:t>——第1部分：总则；</w:t>
      </w:r>
    </w:p>
    <w:p>
      <w:pPr>
        <w:spacing w:line="360" w:lineRule="auto"/>
        <w:ind w:firstLine="420" w:firstLineChars="200"/>
        <w:rPr>
          <w:rFonts w:ascii="宋体"/>
          <w:kern w:val="0"/>
          <w:szCs w:val="21"/>
        </w:rPr>
      </w:pPr>
      <w:r>
        <w:rPr>
          <w:rFonts w:hint="eastAsia" w:ascii="宋体"/>
          <w:kern w:val="0"/>
          <w:szCs w:val="21"/>
        </w:rPr>
        <w:t>——第2部分：滑行车类；</w:t>
      </w:r>
    </w:p>
    <w:p>
      <w:pPr>
        <w:spacing w:line="360" w:lineRule="auto"/>
        <w:ind w:firstLine="420" w:firstLineChars="200"/>
        <w:rPr>
          <w:rFonts w:ascii="宋体"/>
          <w:kern w:val="0"/>
          <w:szCs w:val="21"/>
        </w:rPr>
      </w:pPr>
      <w:r>
        <w:rPr>
          <w:rFonts w:hint="eastAsia" w:ascii="宋体"/>
          <w:kern w:val="0"/>
          <w:szCs w:val="21"/>
        </w:rPr>
        <w:t>——第3部分：飞行塔类；</w:t>
      </w:r>
    </w:p>
    <w:p>
      <w:pPr>
        <w:spacing w:line="360" w:lineRule="auto"/>
        <w:ind w:firstLine="420" w:firstLineChars="200"/>
        <w:rPr>
          <w:rFonts w:ascii="宋体"/>
          <w:kern w:val="0"/>
          <w:szCs w:val="21"/>
        </w:rPr>
      </w:pPr>
      <w:r>
        <w:rPr>
          <w:rFonts w:hint="eastAsia" w:ascii="宋体"/>
          <w:kern w:val="0"/>
          <w:szCs w:val="21"/>
        </w:rPr>
        <w:t>——第4部分：自控飞机类；</w:t>
      </w:r>
    </w:p>
    <w:p>
      <w:pPr>
        <w:spacing w:line="360" w:lineRule="auto"/>
        <w:ind w:firstLine="420" w:firstLineChars="200"/>
        <w:rPr>
          <w:rFonts w:ascii="宋体"/>
          <w:kern w:val="0"/>
          <w:szCs w:val="21"/>
        </w:rPr>
      </w:pPr>
      <w:r>
        <w:rPr>
          <w:rFonts w:hint="eastAsia" w:ascii="宋体"/>
          <w:kern w:val="0"/>
          <w:szCs w:val="21"/>
        </w:rPr>
        <w:t>——第5部分：架空游览车类；</w:t>
      </w:r>
    </w:p>
    <w:p>
      <w:pPr>
        <w:spacing w:line="360" w:lineRule="auto"/>
        <w:ind w:firstLine="420" w:firstLineChars="200"/>
        <w:rPr>
          <w:rFonts w:ascii="宋体"/>
          <w:kern w:val="0"/>
          <w:szCs w:val="21"/>
        </w:rPr>
      </w:pPr>
      <w:r>
        <w:rPr>
          <w:rFonts w:hint="eastAsia" w:ascii="宋体"/>
          <w:kern w:val="0"/>
          <w:szCs w:val="21"/>
        </w:rPr>
        <w:t>——第6部分：陀螺类；</w:t>
      </w:r>
    </w:p>
    <w:p>
      <w:pPr>
        <w:spacing w:line="360" w:lineRule="auto"/>
        <w:ind w:firstLine="420" w:firstLineChars="200"/>
        <w:rPr>
          <w:rFonts w:ascii="宋体"/>
          <w:kern w:val="0"/>
          <w:szCs w:val="21"/>
        </w:rPr>
      </w:pPr>
      <w:r>
        <w:rPr>
          <w:rFonts w:hint="eastAsia" w:ascii="宋体"/>
          <w:kern w:val="0"/>
          <w:szCs w:val="21"/>
        </w:rPr>
        <w:t>——第7部分：转马类；</w:t>
      </w:r>
    </w:p>
    <w:p>
      <w:pPr>
        <w:spacing w:line="360" w:lineRule="auto"/>
        <w:ind w:firstLine="420" w:firstLineChars="200"/>
        <w:rPr>
          <w:szCs w:val="21"/>
        </w:rPr>
      </w:pPr>
      <w:r>
        <w:rPr>
          <w:rFonts w:hint="eastAsia" w:ascii="宋体"/>
          <w:kern w:val="0"/>
          <w:szCs w:val="21"/>
        </w:rPr>
        <w:t>——第8部分：碰碰车类；</w:t>
      </w:r>
    </w:p>
    <w:p>
      <w:pPr>
        <w:pStyle w:val="24"/>
        <w:widowControl w:val="0"/>
        <w:snapToGrid w:val="0"/>
        <w:spacing w:line="360" w:lineRule="auto"/>
        <w:rPr>
          <w:szCs w:val="21"/>
        </w:rPr>
      </w:pPr>
      <w:r>
        <w:rPr>
          <w:rFonts w:hint="eastAsia"/>
          <w:szCs w:val="21"/>
        </w:rPr>
        <w:t>请注意本文件的某些内容可能涉及专利。本文件的发布机构不承担识别专利的责任。</w:t>
      </w:r>
    </w:p>
    <w:p>
      <w:pPr>
        <w:pStyle w:val="24"/>
        <w:widowControl w:val="0"/>
        <w:snapToGrid w:val="0"/>
        <w:spacing w:line="360" w:lineRule="auto"/>
        <w:rPr>
          <w:szCs w:val="21"/>
        </w:rPr>
      </w:pPr>
      <w:r>
        <w:rPr>
          <w:rFonts w:hint="eastAsia"/>
          <w:szCs w:val="21"/>
        </w:rPr>
        <w:t>本文件由湖南省市场监督管理局提出。</w:t>
      </w:r>
    </w:p>
    <w:p>
      <w:pPr>
        <w:pStyle w:val="24"/>
        <w:widowControl w:val="0"/>
        <w:snapToGrid w:val="0"/>
        <w:spacing w:line="360" w:lineRule="auto"/>
        <w:rPr>
          <w:szCs w:val="21"/>
        </w:rPr>
      </w:pPr>
      <w:r>
        <w:rPr>
          <w:rFonts w:hint="eastAsia"/>
          <w:szCs w:val="21"/>
        </w:rPr>
        <w:t>本文件由湖南省特种设备标准化技术委员归口管理。</w:t>
      </w:r>
    </w:p>
    <w:p>
      <w:pPr>
        <w:pStyle w:val="24"/>
        <w:widowControl w:val="0"/>
        <w:snapToGrid w:val="0"/>
        <w:spacing w:line="360" w:lineRule="auto"/>
        <w:rPr>
          <w:szCs w:val="21"/>
        </w:rPr>
      </w:pPr>
      <w:r>
        <w:rPr>
          <w:rFonts w:hint="eastAsia"/>
          <w:szCs w:val="21"/>
        </w:rPr>
        <w:t>本文件起草单位：湖南省特种设备检验检测研究院。</w:t>
      </w:r>
    </w:p>
    <w:p>
      <w:pPr>
        <w:pStyle w:val="24"/>
        <w:widowControl w:val="0"/>
        <w:snapToGrid w:val="0"/>
        <w:spacing w:line="360" w:lineRule="auto"/>
        <w:rPr>
          <w:szCs w:val="21"/>
        </w:rPr>
      </w:pPr>
      <w:r>
        <w:rPr>
          <w:rFonts w:hint="eastAsia"/>
          <w:szCs w:val="21"/>
        </w:rPr>
        <w:t>本文件主要起草人：</w:t>
      </w:r>
      <w:r>
        <w:rPr>
          <w:rFonts w:ascii="Times New Roman"/>
          <w:szCs w:val="21"/>
        </w:rPr>
        <w:t>。</w:t>
      </w: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24"/>
        <w:spacing w:line="360" w:lineRule="auto"/>
      </w:pPr>
    </w:p>
    <w:p>
      <w:pPr>
        <w:pStyle w:val="96"/>
        <w:ind w:firstLine="4160" w:firstLineChars="1300"/>
        <w:jc w:val="both"/>
      </w:pPr>
      <w:r>
        <w:rPr>
          <w:rFonts w:hint="eastAsia"/>
        </w:rPr>
        <w:t xml:space="preserve">引     言 </w:t>
      </w:r>
    </w:p>
    <w:p>
      <w:pPr>
        <w:pStyle w:val="24"/>
      </w:pPr>
    </w:p>
    <w:p>
      <w:pPr>
        <w:pStyle w:val="24"/>
        <w:widowControl w:val="0"/>
        <w:snapToGrid w:val="0"/>
        <w:spacing w:line="360" w:lineRule="auto"/>
        <w:rPr>
          <w:szCs w:val="21"/>
        </w:rPr>
      </w:pPr>
      <w:r>
        <w:rPr>
          <w:rFonts w:hint="eastAsia"/>
          <w:szCs w:val="21"/>
        </w:rPr>
        <w:t>大型游乐设施是人们休闲娱乐的重要载体，随着时代的进步，其安全状况逐步成为社会公共安全的重要组成部分。与正常寿命周期的大型游乐设施相比，对于曾发生损伤性故障、安全事故、自然灾害或故障频率高、不能正常使用的等情况的大型游乐设施，隐患风险指数更高。因此开展有效的安全评估工作为此类大型游乐设施能否达到再次安全运行能力提供了重要的参考依据。目前，我国大型游乐设施安全评估的方法、程序和要求，缺乏标准的指导和规范，总体技术力量薄弱。为此，湖南省市场监督管理局开展大型游乐设施安全评估系列标准的研制。</w:t>
      </w:r>
    </w:p>
    <w:p>
      <w:pPr>
        <w:pStyle w:val="24"/>
        <w:widowControl w:val="0"/>
        <w:snapToGrid w:val="0"/>
        <w:spacing w:line="360" w:lineRule="auto"/>
        <w:rPr>
          <w:szCs w:val="21"/>
        </w:rPr>
      </w:pPr>
      <w:r>
        <w:rPr>
          <w:rFonts w:hint="eastAsia"/>
          <w:szCs w:val="21"/>
        </w:rPr>
        <w:t>本标准从在用大型游乐设施着手，解决了如何全面、科学、系统地评估设备的安全性能，并通过安全评估给出降低其风险隐患的建议措施。这项标准弥补了安全评估行为规范的空白，为特种设备安全与节能工作开辟了新的途径，有着很重要的经济效益和社会效益。</w:t>
      </w:r>
    </w:p>
    <w:p>
      <w:pPr>
        <w:pStyle w:val="24"/>
        <w:widowControl w:val="0"/>
        <w:snapToGrid w:val="0"/>
        <w:spacing w:line="360" w:lineRule="auto"/>
        <w:rPr>
          <w:szCs w:val="21"/>
        </w:rPr>
      </w:pPr>
      <w:r>
        <w:rPr>
          <w:rFonts w:hint="eastAsia"/>
          <w:szCs w:val="21"/>
        </w:rPr>
        <w:t>特种设备目录将大型游乐设施划分为13个类别，不同类别，其结构特点和运动形式差异很大。为了便于标准的使用和实施以及后续的补充完善，按照类别进行标准研制。DB43/T XXXX-2022</w:t>
      </w:r>
      <w:r>
        <w:rPr>
          <w:rFonts w:hint="eastAsia" w:hAnsi="宋体"/>
          <w:szCs w:val="21"/>
        </w:rPr>
        <w:t>由8个部分构成。</w:t>
      </w:r>
    </w:p>
    <w:p>
      <w:pPr>
        <w:pStyle w:val="24"/>
        <w:widowControl w:val="0"/>
        <w:snapToGrid w:val="0"/>
        <w:spacing w:line="360" w:lineRule="auto"/>
        <w:rPr>
          <w:szCs w:val="21"/>
        </w:rPr>
      </w:pPr>
      <w:r>
        <w:rPr>
          <w:rFonts w:hint="eastAsia"/>
          <w:szCs w:val="21"/>
        </w:rPr>
        <w:t>——第1部分：总则。目的在于明确在用大型游乐设施的安全评估机构及人员、安全评估方法、安全评估过程及安全评估报告方面的基本原则和要求。</w:t>
      </w:r>
    </w:p>
    <w:p>
      <w:pPr>
        <w:pStyle w:val="24"/>
        <w:widowControl w:val="0"/>
        <w:snapToGrid w:val="0"/>
        <w:spacing w:line="360" w:lineRule="auto"/>
        <w:rPr>
          <w:szCs w:val="21"/>
        </w:rPr>
      </w:pPr>
      <w:r>
        <w:rPr>
          <w:rFonts w:hint="eastAsia"/>
          <w:szCs w:val="21"/>
        </w:rPr>
        <w:t>——第2部分：滑行车类。目的在于确立在用转马类大型游乐设施安全评估项目和要求。</w:t>
      </w:r>
    </w:p>
    <w:p>
      <w:pPr>
        <w:pStyle w:val="24"/>
        <w:widowControl w:val="0"/>
        <w:snapToGrid w:val="0"/>
        <w:spacing w:line="360" w:lineRule="auto"/>
        <w:rPr>
          <w:szCs w:val="21"/>
        </w:rPr>
      </w:pPr>
      <w:r>
        <w:rPr>
          <w:rFonts w:hint="eastAsia"/>
          <w:szCs w:val="21"/>
        </w:rPr>
        <w:t>——第3部分：飞行塔类。目的在于确立在用飞行塔类大型游乐设施安全评估项目和要求。</w:t>
      </w:r>
    </w:p>
    <w:p>
      <w:pPr>
        <w:pStyle w:val="24"/>
        <w:widowControl w:val="0"/>
        <w:snapToGrid w:val="0"/>
        <w:spacing w:line="360" w:lineRule="auto"/>
        <w:rPr>
          <w:szCs w:val="21"/>
        </w:rPr>
      </w:pPr>
      <w:r>
        <w:rPr>
          <w:rFonts w:hint="eastAsia"/>
          <w:szCs w:val="21"/>
        </w:rPr>
        <w:t>——第4部分：自控飞机类。目的在于确立在用转马类大型游乐设施安全评估项目和要求。</w:t>
      </w:r>
    </w:p>
    <w:p>
      <w:pPr>
        <w:pStyle w:val="24"/>
        <w:widowControl w:val="0"/>
        <w:snapToGrid w:val="0"/>
        <w:spacing w:line="360" w:lineRule="auto"/>
        <w:rPr>
          <w:szCs w:val="21"/>
        </w:rPr>
      </w:pPr>
      <w:r>
        <w:rPr>
          <w:rFonts w:hint="eastAsia"/>
          <w:szCs w:val="21"/>
        </w:rPr>
        <w:t>——第5部分：架空游览车类。目的在于确立在用架空游览车类大型游乐设施安全评估项目和要求。</w:t>
      </w:r>
    </w:p>
    <w:p>
      <w:pPr>
        <w:pStyle w:val="24"/>
        <w:widowControl w:val="0"/>
        <w:snapToGrid w:val="0"/>
        <w:spacing w:line="360" w:lineRule="auto"/>
        <w:rPr>
          <w:szCs w:val="21"/>
        </w:rPr>
      </w:pPr>
      <w:r>
        <w:rPr>
          <w:rFonts w:hint="eastAsia"/>
          <w:szCs w:val="21"/>
        </w:rPr>
        <w:t>——第6部分：陀螺类。目的在于确立在用陀螺类大型游乐设施安全评估项目和要求。</w:t>
      </w:r>
    </w:p>
    <w:p>
      <w:pPr>
        <w:pStyle w:val="24"/>
        <w:widowControl w:val="0"/>
        <w:snapToGrid w:val="0"/>
        <w:spacing w:line="360" w:lineRule="auto"/>
        <w:rPr>
          <w:szCs w:val="21"/>
        </w:rPr>
      </w:pPr>
      <w:r>
        <w:rPr>
          <w:rFonts w:hint="eastAsia"/>
          <w:szCs w:val="21"/>
        </w:rPr>
        <w:t>——第7部分：转马类。目的在于确立在用转马类大型游乐设施安全评估项目和要求。</w:t>
      </w:r>
    </w:p>
    <w:p>
      <w:pPr>
        <w:pStyle w:val="24"/>
        <w:widowControl w:val="0"/>
        <w:snapToGrid w:val="0"/>
        <w:spacing w:line="360" w:lineRule="auto"/>
        <w:rPr>
          <w:szCs w:val="21"/>
        </w:rPr>
      </w:pPr>
      <w:r>
        <w:rPr>
          <w:rFonts w:hint="eastAsia"/>
          <w:szCs w:val="21"/>
        </w:rPr>
        <w:t>——第8部分：碰碰车类。目的在于确立在用碰碰车类大型游乐设施安全评估项目和要求。</w:t>
      </w:r>
    </w:p>
    <w:p>
      <w:pPr>
        <w:pStyle w:val="24"/>
        <w:spacing w:line="360" w:lineRule="auto"/>
      </w:pPr>
    </w:p>
    <w:p>
      <w:pPr>
        <w:pStyle w:val="96"/>
        <w:ind w:firstLine="960" w:firstLineChars="300"/>
        <w:jc w:val="both"/>
        <w:sectPr>
          <w:footerReference r:id="rId6" w:type="default"/>
          <w:pgSz w:w="11906" w:h="16838"/>
          <w:pgMar w:top="567" w:right="1134" w:bottom="1134" w:left="1418" w:header="1418" w:footer="1134" w:gutter="0"/>
          <w:pgNumType w:fmt="upperRoman" w:start="1"/>
          <w:cols w:space="720" w:num="1"/>
          <w:docGrid w:linePitch="312" w:charSpace="0"/>
        </w:sectPr>
      </w:pPr>
    </w:p>
    <w:p>
      <w:pPr>
        <w:pStyle w:val="96"/>
        <w:ind w:firstLine="960" w:firstLineChars="300"/>
        <w:jc w:val="both"/>
      </w:pPr>
      <w:r>
        <w:rPr>
          <w:rFonts w:hint="eastAsia"/>
        </w:rPr>
        <w:t>在用大型游乐设施安全评估规则  第7部分：转马类</w:t>
      </w:r>
    </w:p>
    <w:p>
      <w:pPr>
        <w:pStyle w:val="75"/>
        <w:spacing w:before="240" w:after="240"/>
      </w:pPr>
      <w:r>
        <w:rPr>
          <w:rFonts w:hint="eastAsia"/>
        </w:rPr>
        <w:t>范围</w:t>
      </w:r>
    </w:p>
    <w:p>
      <w:pPr>
        <w:pStyle w:val="24"/>
        <w:widowControl w:val="0"/>
        <w:spacing w:line="360" w:lineRule="auto"/>
        <w:rPr>
          <w:szCs w:val="21"/>
        </w:rPr>
      </w:pPr>
      <w:r>
        <w:rPr>
          <w:rFonts w:hint="eastAsia"/>
          <w:szCs w:val="21"/>
        </w:rPr>
        <w:t>本文件规定了在用转马类大型游乐设施安全评估的基本要求。</w:t>
      </w:r>
    </w:p>
    <w:p>
      <w:pPr>
        <w:pStyle w:val="24"/>
        <w:widowControl w:val="0"/>
        <w:spacing w:line="360" w:lineRule="auto"/>
        <w:rPr>
          <w:szCs w:val="21"/>
        </w:rPr>
      </w:pPr>
      <w:r>
        <w:rPr>
          <w:rFonts w:hint="eastAsia"/>
          <w:szCs w:val="21"/>
        </w:rPr>
        <w:t>本标准适用于具有以下情形之一的在用转马类大型游乐设施：</w:t>
      </w:r>
    </w:p>
    <w:p>
      <w:pPr>
        <w:pStyle w:val="86"/>
        <w:numPr>
          <w:ilvl w:val="0"/>
          <w:numId w:val="0"/>
        </w:numPr>
        <w:spacing w:line="360" w:lineRule="auto"/>
        <w:ind w:firstLine="420" w:firstLineChars="200"/>
      </w:pPr>
      <w:r>
        <w:rPr>
          <w:rFonts w:hint="eastAsia"/>
        </w:rPr>
        <w:t>a）发生一般等级以上事故的；</w:t>
      </w:r>
    </w:p>
    <w:p>
      <w:pPr>
        <w:pStyle w:val="86"/>
        <w:numPr>
          <w:ilvl w:val="0"/>
          <w:numId w:val="0"/>
        </w:numPr>
        <w:spacing w:line="360" w:lineRule="auto"/>
        <w:ind w:firstLine="420" w:firstLineChars="200"/>
      </w:pPr>
      <w:r>
        <w:rPr>
          <w:rFonts w:hint="eastAsia"/>
        </w:rPr>
        <w:t>b）故障频率高，不能正常使用的；</w:t>
      </w:r>
    </w:p>
    <w:p>
      <w:pPr>
        <w:pStyle w:val="86"/>
        <w:numPr>
          <w:ilvl w:val="0"/>
          <w:numId w:val="0"/>
        </w:numPr>
        <w:spacing w:line="360" w:lineRule="auto"/>
        <w:ind w:firstLine="420" w:firstLineChars="200"/>
      </w:pPr>
      <w:r>
        <w:rPr>
          <w:rFonts w:hint="eastAsia"/>
        </w:rPr>
        <w:t>c）曾遭受水浸、火灾、雷击、地震等灾害影响的；</w:t>
      </w:r>
    </w:p>
    <w:p>
      <w:pPr>
        <w:pStyle w:val="86"/>
        <w:numPr>
          <w:ilvl w:val="0"/>
          <w:numId w:val="0"/>
        </w:numPr>
        <w:spacing w:line="360" w:lineRule="auto"/>
        <w:ind w:firstLine="420" w:firstLineChars="200"/>
      </w:pPr>
      <w:r>
        <w:rPr>
          <w:rFonts w:hint="eastAsia"/>
        </w:rPr>
        <w:t>d）政府或者使用单位委托的；</w:t>
      </w:r>
    </w:p>
    <w:p>
      <w:pPr>
        <w:pStyle w:val="86"/>
        <w:numPr>
          <w:ilvl w:val="0"/>
          <w:numId w:val="0"/>
        </w:numPr>
        <w:spacing w:line="360" w:lineRule="auto"/>
        <w:ind w:firstLine="420" w:firstLineChars="200"/>
      </w:pPr>
      <w:r>
        <w:rPr>
          <w:rFonts w:hint="eastAsia"/>
        </w:rPr>
        <w:t>e）其他需要开展安全评估的情形。</w:t>
      </w:r>
    </w:p>
    <w:p>
      <w:pPr>
        <w:pStyle w:val="24"/>
        <w:widowControl w:val="0"/>
        <w:spacing w:line="360" w:lineRule="auto"/>
        <w:rPr>
          <w:szCs w:val="21"/>
        </w:rPr>
      </w:pPr>
      <w:r>
        <w:rPr>
          <w:rFonts w:hint="eastAsia"/>
          <w:szCs w:val="21"/>
        </w:rPr>
        <w:t>本标准所规定的安全评估不涉及在用转马类大型游乐设施的寿命预测。</w:t>
      </w:r>
    </w:p>
    <w:p>
      <w:pPr>
        <w:pStyle w:val="75"/>
        <w:spacing w:before="240" w:after="240" w:line="360" w:lineRule="auto"/>
      </w:pPr>
      <w:r>
        <w:rPr>
          <w:rFonts w:hint="eastAsia"/>
        </w:rPr>
        <w:t>规范性引用文件</w:t>
      </w:r>
    </w:p>
    <w:p>
      <w:pPr>
        <w:pStyle w:val="24"/>
        <w:widowControl w:val="0"/>
        <w:spacing w:line="360" w:lineRule="auto"/>
        <w:rPr>
          <w:rFonts w:hAnsi="宋体"/>
          <w:bCs/>
          <w:szCs w:val="21"/>
        </w:rPr>
      </w:pPr>
      <w:bookmarkStart w:id="27" w:name="_Toc16474"/>
      <w:bookmarkEnd w:id="27"/>
      <w:bookmarkStart w:id="28" w:name="_Toc30250"/>
      <w:bookmarkEnd w:id="28"/>
      <w:bookmarkStart w:id="29" w:name="_Toc367090560"/>
      <w:bookmarkEnd w:id="29"/>
      <w:bookmarkStart w:id="30" w:name="_Toc380592194"/>
      <w:bookmarkEnd w:id="30"/>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4"/>
        <w:widowControl w:val="0"/>
        <w:spacing w:line="360" w:lineRule="auto"/>
        <w:rPr>
          <w:rFonts w:hAnsi="宋体"/>
          <w:bCs/>
          <w:szCs w:val="21"/>
        </w:rPr>
      </w:pPr>
      <w:r>
        <w:rPr>
          <w:rFonts w:hAnsi="宋体"/>
          <w:bCs/>
          <w:szCs w:val="21"/>
        </w:rPr>
        <w:t>GB 755</w:t>
      </w:r>
      <w:r>
        <w:rPr>
          <w:rFonts w:hint="eastAsia" w:hAnsi="宋体"/>
          <w:bCs/>
          <w:szCs w:val="21"/>
        </w:rPr>
        <w:t xml:space="preserve">  旋转电机定额和性能</w:t>
      </w:r>
    </w:p>
    <w:p>
      <w:pPr>
        <w:pStyle w:val="24"/>
        <w:widowControl w:val="0"/>
        <w:spacing w:line="360" w:lineRule="auto"/>
        <w:rPr>
          <w:rFonts w:hAnsi="宋体"/>
          <w:bCs/>
          <w:szCs w:val="21"/>
        </w:rPr>
      </w:pPr>
      <w:r>
        <w:rPr>
          <w:rFonts w:hAnsi="宋体"/>
          <w:bCs/>
          <w:szCs w:val="21"/>
        </w:rPr>
        <w:t>GB 5226.1</w:t>
      </w:r>
      <w:r>
        <w:rPr>
          <w:rFonts w:hint="eastAsia" w:hAnsi="宋体"/>
          <w:bCs/>
          <w:szCs w:val="21"/>
        </w:rPr>
        <w:t xml:space="preserve">  机械电气安全 机械电气设备 第</w:t>
      </w:r>
      <w:r>
        <w:rPr>
          <w:rFonts w:hAnsi="宋体"/>
          <w:bCs/>
          <w:szCs w:val="21"/>
        </w:rPr>
        <w:t>1</w:t>
      </w:r>
      <w:r>
        <w:rPr>
          <w:rFonts w:hint="eastAsia" w:hAnsi="宋体"/>
          <w:bCs/>
          <w:szCs w:val="21"/>
        </w:rPr>
        <w:t>部分:通用技术条件</w:t>
      </w:r>
    </w:p>
    <w:p>
      <w:pPr>
        <w:pStyle w:val="24"/>
        <w:widowControl w:val="0"/>
        <w:spacing w:line="360" w:lineRule="auto"/>
        <w:rPr>
          <w:rFonts w:hAnsi="宋体"/>
          <w:bCs/>
          <w:szCs w:val="21"/>
        </w:rPr>
      </w:pPr>
      <w:r>
        <w:rPr>
          <w:rFonts w:hAnsi="宋体"/>
          <w:bCs/>
          <w:szCs w:val="21"/>
        </w:rPr>
        <w:t>GB 8408</w:t>
      </w:r>
      <w:r>
        <w:rPr>
          <w:rFonts w:hint="eastAsia" w:hAnsi="宋体"/>
          <w:bCs/>
          <w:szCs w:val="21"/>
        </w:rPr>
        <w:t xml:space="preserve">  大型游乐设施安全规范 </w:t>
      </w:r>
    </w:p>
    <w:p>
      <w:pPr>
        <w:pStyle w:val="24"/>
        <w:widowControl w:val="0"/>
        <w:spacing w:line="360" w:lineRule="auto"/>
        <w:rPr>
          <w:rFonts w:hAnsi="宋体"/>
          <w:b/>
          <w:szCs w:val="21"/>
        </w:rPr>
      </w:pPr>
      <w:r>
        <w:rPr>
          <w:rFonts w:hAnsi="宋体"/>
          <w:szCs w:val="21"/>
        </w:rPr>
        <w:t>GB 10068</w:t>
      </w:r>
      <w:r>
        <w:rPr>
          <w:rFonts w:hint="eastAsia" w:hAnsi="宋体"/>
          <w:szCs w:val="21"/>
        </w:rPr>
        <w:t xml:space="preserve">  轴中心高为</w:t>
      </w:r>
      <w:r>
        <w:rPr>
          <w:rFonts w:hAnsi="宋体"/>
          <w:szCs w:val="21"/>
        </w:rPr>
        <w:t>56mm</w:t>
      </w:r>
      <w:r>
        <w:rPr>
          <w:rFonts w:hint="eastAsia" w:hAnsi="宋体"/>
          <w:szCs w:val="21"/>
        </w:rPr>
        <w:t>及以上电机的机械振动 振动的测量、评定及限值</w:t>
      </w:r>
    </w:p>
    <w:p>
      <w:pPr>
        <w:pStyle w:val="24"/>
        <w:widowControl w:val="0"/>
        <w:spacing w:line="360" w:lineRule="auto"/>
        <w:rPr>
          <w:rFonts w:hAnsi="宋体"/>
          <w:szCs w:val="21"/>
        </w:rPr>
      </w:pPr>
      <w:r>
        <w:rPr>
          <w:rFonts w:hAnsi="宋体"/>
          <w:szCs w:val="21"/>
        </w:rPr>
        <w:t>GB/T 18</w:t>
      </w:r>
      <w:r>
        <w:rPr>
          <w:rFonts w:hint="eastAsia" w:hAnsi="宋体"/>
          <w:szCs w:val="21"/>
        </w:rPr>
        <w:t>158  转马类游乐设施通用技术条件</w:t>
      </w:r>
    </w:p>
    <w:p>
      <w:pPr>
        <w:pStyle w:val="24"/>
        <w:widowControl w:val="0"/>
        <w:spacing w:line="360" w:lineRule="auto"/>
        <w:rPr>
          <w:rFonts w:hAnsi="宋体"/>
          <w:szCs w:val="21"/>
        </w:rPr>
      </w:pPr>
      <w:r>
        <w:rPr>
          <w:rFonts w:hint="eastAsia"/>
        </w:rPr>
        <w:t>GB/T 20050  大型游乐设施检验检测 通用要求</w:t>
      </w:r>
    </w:p>
    <w:p>
      <w:pPr>
        <w:pStyle w:val="24"/>
        <w:widowControl w:val="0"/>
        <w:spacing w:line="360" w:lineRule="auto"/>
        <w:rPr>
          <w:rFonts w:hAnsi="宋体"/>
          <w:szCs w:val="21"/>
        </w:rPr>
      </w:pPr>
      <w:r>
        <w:rPr>
          <w:rFonts w:hAnsi="宋体"/>
          <w:szCs w:val="21"/>
        </w:rPr>
        <w:t>GB/T 20306</w:t>
      </w:r>
      <w:r>
        <w:rPr>
          <w:rFonts w:hint="eastAsia" w:hAnsi="宋体"/>
          <w:szCs w:val="21"/>
        </w:rPr>
        <w:t xml:space="preserve">  游乐设施术语</w:t>
      </w:r>
    </w:p>
    <w:p>
      <w:pPr>
        <w:pStyle w:val="24"/>
        <w:widowControl w:val="0"/>
        <w:spacing w:line="360" w:lineRule="auto"/>
        <w:rPr>
          <w:rFonts w:hAnsi="宋体"/>
          <w:szCs w:val="21"/>
        </w:rPr>
      </w:pPr>
      <w:r>
        <w:rPr>
          <w:rFonts w:hAnsi="宋体"/>
          <w:szCs w:val="21"/>
        </w:rPr>
        <w:t>GB 28265</w:t>
      </w:r>
      <w:r>
        <w:rPr>
          <w:rFonts w:hint="eastAsia" w:hAnsi="宋体"/>
          <w:szCs w:val="21"/>
        </w:rPr>
        <w:t xml:space="preserve">  游乐设施安全防护装置通用技术条件</w:t>
      </w:r>
    </w:p>
    <w:p>
      <w:pPr>
        <w:pStyle w:val="24"/>
        <w:widowControl w:val="0"/>
        <w:spacing w:line="360" w:lineRule="auto"/>
        <w:rPr>
          <w:rFonts w:hAnsi="宋体"/>
          <w:szCs w:val="21"/>
        </w:rPr>
      </w:pPr>
      <w:r>
        <w:rPr>
          <w:rFonts w:hAnsi="宋体"/>
          <w:szCs w:val="21"/>
        </w:rPr>
        <w:t>GB/T 30220</w:t>
      </w:r>
      <w:r>
        <w:rPr>
          <w:rFonts w:hint="eastAsia" w:hAnsi="宋体"/>
          <w:szCs w:val="21"/>
        </w:rPr>
        <w:t xml:space="preserve">  游乐设施安全使用管理</w:t>
      </w:r>
    </w:p>
    <w:p>
      <w:pPr>
        <w:pStyle w:val="24"/>
        <w:widowControl w:val="0"/>
        <w:spacing w:line="360" w:lineRule="auto"/>
        <w:rPr>
          <w:rFonts w:hAnsi="宋体"/>
          <w:szCs w:val="21"/>
        </w:rPr>
      </w:pPr>
      <w:r>
        <w:rPr>
          <w:rFonts w:hAnsi="宋体"/>
          <w:szCs w:val="21"/>
        </w:rPr>
        <w:t>GB/T 34370.1</w:t>
      </w:r>
      <w:r>
        <w:rPr>
          <w:rFonts w:hint="eastAsia" w:hAnsi="宋体"/>
          <w:szCs w:val="21"/>
        </w:rPr>
        <w:t xml:space="preserve">  游乐设施无损检测 第</w:t>
      </w:r>
      <w:r>
        <w:rPr>
          <w:rFonts w:hAnsi="宋体"/>
          <w:szCs w:val="21"/>
        </w:rPr>
        <w:t>1</w:t>
      </w:r>
      <w:r>
        <w:rPr>
          <w:rFonts w:hint="eastAsia" w:hAnsi="宋体"/>
          <w:szCs w:val="21"/>
        </w:rPr>
        <w:t>部分：总则</w:t>
      </w:r>
    </w:p>
    <w:p>
      <w:pPr>
        <w:pStyle w:val="24"/>
        <w:widowControl w:val="0"/>
        <w:spacing w:line="360" w:lineRule="auto"/>
        <w:rPr>
          <w:rFonts w:hAnsi="宋体"/>
          <w:szCs w:val="21"/>
        </w:rPr>
      </w:pPr>
      <w:r>
        <w:rPr>
          <w:rFonts w:hAnsi="宋体"/>
          <w:szCs w:val="21"/>
        </w:rPr>
        <w:t>GB/T 34370.2</w:t>
      </w:r>
      <w:r>
        <w:rPr>
          <w:rFonts w:hint="eastAsia" w:hAnsi="宋体"/>
          <w:szCs w:val="21"/>
        </w:rPr>
        <w:t xml:space="preserve">  游乐设施无损检测 第</w:t>
      </w:r>
      <w:r>
        <w:rPr>
          <w:rFonts w:hAnsi="宋体"/>
          <w:szCs w:val="21"/>
        </w:rPr>
        <w:t>2</w:t>
      </w:r>
      <w:r>
        <w:rPr>
          <w:rFonts w:hint="eastAsia" w:hAnsi="宋体"/>
          <w:szCs w:val="21"/>
        </w:rPr>
        <w:t>部分：目视检测</w:t>
      </w:r>
    </w:p>
    <w:p>
      <w:pPr>
        <w:pStyle w:val="24"/>
        <w:widowControl w:val="0"/>
        <w:spacing w:line="360" w:lineRule="auto"/>
        <w:rPr>
          <w:rFonts w:hAnsi="宋体"/>
          <w:szCs w:val="21"/>
        </w:rPr>
      </w:pPr>
      <w:r>
        <w:rPr>
          <w:rFonts w:hAnsi="宋体"/>
          <w:szCs w:val="21"/>
        </w:rPr>
        <w:t>GB/T 34370.3</w:t>
      </w:r>
      <w:r>
        <w:rPr>
          <w:rFonts w:hint="eastAsia" w:hAnsi="宋体"/>
          <w:szCs w:val="21"/>
        </w:rPr>
        <w:t xml:space="preserve">  游乐设施无损检测 第3部分：磁粉检测</w:t>
      </w:r>
    </w:p>
    <w:p>
      <w:pPr>
        <w:pStyle w:val="24"/>
        <w:widowControl w:val="0"/>
        <w:spacing w:line="360" w:lineRule="auto"/>
        <w:rPr>
          <w:rFonts w:hAnsi="宋体"/>
          <w:szCs w:val="21"/>
        </w:rPr>
      </w:pPr>
      <w:r>
        <w:rPr>
          <w:rFonts w:hAnsi="宋体"/>
          <w:szCs w:val="21"/>
        </w:rPr>
        <w:t>GB/T 34370.4</w:t>
      </w:r>
      <w:r>
        <w:rPr>
          <w:rFonts w:hint="eastAsia" w:hAnsi="宋体"/>
          <w:szCs w:val="21"/>
        </w:rPr>
        <w:t xml:space="preserve">  游乐设施无损检测 第</w:t>
      </w:r>
      <w:r>
        <w:rPr>
          <w:rFonts w:hAnsi="宋体"/>
          <w:szCs w:val="21"/>
        </w:rPr>
        <w:t>4</w:t>
      </w:r>
      <w:r>
        <w:rPr>
          <w:rFonts w:hint="eastAsia" w:hAnsi="宋体"/>
          <w:szCs w:val="21"/>
        </w:rPr>
        <w:t>部分：渗透检测</w:t>
      </w:r>
    </w:p>
    <w:p>
      <w:pPr>
        <w:pStyle w:val="24"/>
        <w:widowControl w:val="0"/>
        <w:spacing w:line="360" w:lineRule="auto"/>
        <w:rPr>
          <w:rFonts w:hAnsi="宋体"/>
          <w:szCs w:val="21"/>
        </w:rPr>
      </w:pPr>
      <w:r>
        <w:rPr>
          <w:rFonts w:hAnsi="宋体"/>
          <w:szCs w:val="21"/>
        </w:rPr>
        <w:t>GB/T 34370.5</w:t>
      </w:r>
      <w:r>
        <w:rPr>
          <w:rFonts w:hint="eastAsia" w:hAnsi="宋体"/>
          <w:szCs w:val="21"/>
        </w:rPr>
        <w:t xml:space="preserve">  游乐设施无损检测 第</w:t>
      </w:r>
      <w:r>
        <w:rPr>
          <w:rFonts w:hAnsi="宋体"/>
          <w:szCs w:val="21"/>
        </w:rPr>
        <w:t>5</w:t>
      </w:r>
      <w:r>
        <w:rPr>
          <w:rFonts w:hint="eastAsia" w:hAnsi="宋体"/>
          <w:szCs w:val="21"/>
        </w:rPr>
        <w:t>部分：超声检测</w:t>
      </w:r>
    </w:p>
    <w:p>
      <w:pPr>
        <w:pStyle w:val="24"/>
        <w:widowControl w:val="0"/>
        <w:spacing w:line="360" w:lineRule="auto"/>
        <w:rPr>
          <w:rFonts w:hAnsi="宋体"/>
          <w:szCs w:val="21"/>
        </w:rPr>
      </w:pPr>
      <w:r>
        <w:rPr>
          <w:rFonts w:hAnsi="宋体"/>
          <w:szCs w:val="21"/>
        </w:rPr>
        <w:t>GB/T 34371</w:t>
      </w:r>
      <w:r>
        <w:rPr>
          <w:rFonts w:hint="eastAsia" w:hAnsi="宋体"/>
          <w:szCs w:val="21"/>
        </w:rPr>
        <w:t xml:space="preserve">  游乐设施风险评价 总则</w:t>
      </w:r>
    </w:p>
    <w:p>
      <w:pPr>
        <w:pStyle w:val="24"/>
        <w:widowControl w:val="0"/>
        <w:spacing w:line="360" w:lineRule="auto"/>
        <w:rPr>
          <w:szCs w:val="21"/>
        </w:rPr>
      </w:pPr>
      <w:r>
        <w:rPr>
          <w:rFonts w:hint="eastAsia"/>
          <w:szCs w:val="21"/>
        </w:rPr>
        <w:t>DB43/T XXXX.1</w:t>
      </w:r>
      <w:r>
        <w:rPr>
          <w:rFonts w:hint="eastAsia" w:hAnsi="宋体"/>
          <w:szCs w:val="21"/>
        </w:rPr>
        <w:t xml:space="preserve">  在用大型游乐设施安全评估规则  第1部分：总则</w:t>
      </w:r>
    </w:p>
    <w:p>
      <w:pPr>
        <w:pStyle w:val="75"/>
        <w:spacing w:before="240" w:after="240" w:line="360" w:lineRule="auto"/>
      </w:pPr>
      <w:r>
        <w:rPr>
          <w:rFonts w:hint="eastAsia"/>
        </w:rPr>
        <w:t>术语和定义</w:t>
      </w:r>
    </w:p>
    <w:p>
      <w:pPr>
        <w:pStyle w:val="24"/>
        <w:widowControl w:val="0"/>
        <w:spacing w:line="360" w:lineRule="auto"/>
        <w:rPr>
          <w:rFonts w:hAnsi="宋体"/>
          <w:szCs w:val="21"/>
        </w:rPr>
      </w:pPr>
      <w:r>
        <w:rPr>
          <w:rFonts w:hint="eastAsia" w:hAnsi="宋体"/>
          <w:szCs w:val="21"/>
        </w:rPr>
        <w:t>GB 755、GB 5226.1、GB 10068、GB/T 18158、GB/T 20306、GB 28265、GB/T 30220、GB/T 34370.1、GB/T 34371、</w:t>
      </w:r>
      <w:r>
        <w:rPr>
          <w:rFonts w:hint="eastAsia"/>
          <w:szCs w:val="21"/>
        </w:rPr>
        <w:t>DB43/T XXXX.1</w:t>
      </w:r>
      <w:r>
        <w:rPr>
          <w:rFonts w:hint="eastAsia" w:hAnsi="宋体"/>
          <w:szCs w:val="21"/>
        </w:rPr>
        <w:t>界定的以及下列术语和定义适用于本文件。</w:t>
      </w:r>
      <w:bookmarkStart w:id="31" w:name="_Toc275778509"/>
      <w:bookmarkEnd w:id="31"/>
      <w:bookmarkStart w:id="32" w:name="_Toc350414234"/>
      <w:bookmarkEnd w:id="32"/>
    </w:p>
    <w:p>
      <w:pPr>
        <w:pStyle w:val="56"/>
        <w:numPr>
          <w:ilvl w:val="0"/>
          <w:numId w:val="0"/>
        </w:numPr>
        <w:spacing w:before="120" w:after="120"/>
      </w:pPr>
    </w:p>
    <w:p>
      <w:pPr>
        <w:pStyle w:val="56"/>
        <w:numPr>
          <w:ilvl w:val="0"/>
          <w:numId w:val="0"/>
        </w:numPr>
        <w:spacing w:before="120" w:after="120"/>
      </w:pPr>
      <w:r>
        <w:rPr>
          <w:rFonts w:hint="eastAsia"/>
        </w:rPr>
        <w:t xml:space="preserve">3.1 转马类大型游乐设施   merry-go-round type of large-scale amusement rides </w:t>
      </w:r>
    </w:p>
    <w:p>
      <w:pPr>
        <w:pStyle w:val="24"/>
        <w:widowControl w:val="0"/>
        <w:spacing w:line="360" w:lineRule="auto"/>
        <w:rPr>
          <w:szCs w:val="21"/>
        </w:rPr>
      </w:pPr>
      <w:r>
        <w:rPr>
          <w:rFonts w:hint="eastAsia"/>
          <w:szCs w:val="21"/>
        </w:rPr>
        <w:t>乘人部分绕垂直轴旋转并伴随一定行程的上下起伏及运动形式类似的大型游乐设施。</w:t>
      </w:r>
    </w:p>
    <w:p>
      <w:pPr>
        <w:pStyle w:val="56"/>
        <w:numPr>
          <w:ilvl w:val="0"/>
          <w:numId w:val="0"/>
        </w:numPr>
        <w:spacing w:before="120" w:after="120"/>
      </w:pPr>
      <w:r>
        <w:rPr>
          <w:rFonts w:hint="eastAsia"/>
        </w:rPr>
        <w:t xml:space="preserve">3.2 在用转马类大型游乐设施 existing  merry-go-round type of large-scale amusement rides </w:t>
      </w:r>
    </w:p>
    <w:p>
      <w:pPr>
        <w:pStyle w:val="24"/>
        <w:widowControl w:val="0"/>
        <w:spacing w:line="360" w:lineRule="auto"/>
        <w:rPr>
          <w:szCs w:val="21"/>
        </w:rPr>
      </w:pPr>
      <w:r>
        <w:rPr>
          <w:rFonts w:hint="eastAsia"/>
          <w:szCs w:val="21"/>
        </w:rPr>
        <w:t>已投入使用的转马类大型游乐设施。</w:t>
      </w:r>
    </w:p>
    <w:p>
      <w:pPr>
        <w:pStyle w:val="75"/>
        <w:spacing w:before="240" w:after="240" w:line="360" w:lineRule="auto"/>
      </w:pPr>
      <w:r>
        <w:rPr>
          <w:rFonts w:hint="eastAsia"/>
        </w:rPr>
        <w:t>一般要求</w:t>
      </w:r>
    </w:p>
    <w:p>
      <w:pPr>
        <w:pStyle w:val="24"/>
        <w:spacing w:line="360" w:lineRule="auto"/>
        <w:ind w:firstLine="0" w:firstLineChars="0"/>
        <w:rPr>
          <w:rFonts w:hAnsi="宋体" w:cs="宋体"/>
        </w:rPr>
      </w:pPr>
      <w:r>
        <w:rPr>
          <w:rFonts w:hint="eastAsia" w:hAnsi="宋体" w:cs="宋体"/>
        </w:rPr>
        <w:t>4.1 在用转马类大型游乐设施安全评估的机构设置、评估人员要求及评估仪器设备要求，应符合</w:t>
      </w:r>
      <w:r>
        <w:rPr>
          <w:rFonts w:hint="eastAsia"/>
          <w:szCs w:val="21"/>
        </w:rPr>
        <w:t>DB43/T XXXX.1</w:t>
      </w:r>
      <w:r>
        <w:rPr>
          <w:rFonts w:hint="eastAsia" w:hAnsi="宋体" w:cs="宋体"/>
          <w:szCs w:val="21"/>
        </w:rPr>
        <w:t>的相关要求。</w:t>
      </w:r>
    </w:p>
    <w:p>
      <w:pPr>
        <w:pStyle w:val="24"/>
        <w:spacing w:line="360" w:lineRule="auto"/>
        <w:ind w:firstLine="0" w:firstLineChars="0"/>
        <w:rPr>
          <w:rFonts w:hAnsi="宋体" w:cs="宋体"/>
          <w:szCs w:val="21"/>
        </w:rPr>
      </w:pPr>
      <w:r>
        <w:rPr>
          <w:rFonts w:hint="eastAsia" w:hAnsi="宋体" w:cs="宋体"/>
          <w:szCs w:val="21"/>
        </w:rPr>
        <w:t xml:space="preserve">4.2 </w:t>
      </w:r>
      <w:r>
        <w:rPr>
          <w:rFonts w:hint="eastAsia" w:hAnsi="宋体" w:cs="宋体"/>
        </w:rPr>
        <w:t>在用转马类大型游乐设施的安全评估程序，除应符合本文件外，还应符合</w:t>
      </w:r>
      <w:r>
        <w:rPr>
          <w:rFonts w:hint="eastAsia"/>
          <w:szCs w:val="21"/>
        </w:rPr>
        <w:t>DB43/T XXXX.1</w:t>
      </w:r>
      <w:r>
        <w:rPr>
          <w:rFonts w:hint="eastAsia" w:hAnsi="宋体" w:cs="宋体"/>
          <w:szCs w:val="21"/>
        </w:rPr>
        <w:t>中“安全评估程序”的规定。</w:t>
      </w:r>
    </w:p>
    <w:p>
      <w:pPr>
        <w:pStyle w:val="24"/>
        <w:spacing w:line="360" w:lineRule="auto"/>
        <w:ind w:firstLine="0" w:firstLineChars="0"/>
        <w:rPr>
          <w:rFonts w:hAnsi="宋体"/>
          <w:szCs w:val="21"/>
        </w:rPr>
      </w:pPr>
      <w:r>
        <w:rPr>
          <w:rFonts w:hint="eastAsia" w:hAnsi="宋体" w:cs="宋体"/>
          <w:szCs w:val="21"/>
        </w:rPr>
        <w:t xml:space="preserve">4.3 </w:t>
      </w:r>
      <w:r>
        <w:rPr>
          <w:rFonts w:hint="eastAsia" w:hAnsi="宋体" w:cs="宋体"/>
        </w:rPr>
        <w:t>在用转马类大型游乐设施的安全评估方法和内容应满足</w:t>
      </w:r>
      <w:r>
        <w:rPr>
          <w:rFonts w:hint="eastAsia"/>
          <w:szCs w:val="21"/>
        </w:rPr>
        <w:t>DB43/T XXXX.1</w:t>
      </w:r>
      <w:r>
        <w:rPr>
          <w:rFonts w:hint="eastAsia" w:hAnsi="宋体" w:cs="宋体"/>
          <w:szCs w:val="21"/>
        </w:rPr>
        <w:t>中“</w:t>
      </w:r>
      <w:r>
        <w:rPr>
          <w:rFonts w:hint="eastAsia" w:hAnsi="宋体" w:cs="宋体"/>
        </w:rPr>
        <w:t>安全评估方法和内容</w:t>
      </w:r>
      <w:r>
        <w:rPr>
          <w:rFonts w:hint="eastAsia" w:hAnsi="宋体" w:cs="宋体"/>
          <w:szCs w:val="21"/>
        </w:rPr>
        <w:t>”的规定。</w:t>
      </w:r>
    </w:p>
    <w:p>
      <w:pPr>
        <w:pStyle w:val="75"/>
        <w:spacing w:before="240" w:after="240" w:line="360" w:lineRule="auto"/>
      </w:pPr>
      <w:r>
        <w:rPr>
          <w:rFonts w:hint="eastAsia"/>
        </w:rPr>
        <w:t xml:space="preserve">评估的项目和要求 </w:t>
      </w:r>
    </w:p>
    <w:p>
      <w:pPr>
        <w:pStyle w:val="101"/>
        <w:numPr>
          <w:ilvl w:val="0"/>
          <w:numId w:val="0"/>
        </w:numPr>
        <w:spacing w:line="360" w:lineRule="auto"/>
        <w:rPr>
          <w:rFonts w:hAnsi="宋体"/>
          <w:szCs w:val="21"/>
        </w:rPr>
      </w:pPr>
      <w:r>
        <w:rPr>
          <w:rFonts w:hint="eastAsia"/>
        </w:rPr>
        <w:t xml:space="preserve">5.1 </w:t>
      </w:r>
      <w:r>
        <w:rPr>
          <w:rFonts w:hint="eastAsia" w:hAnsi="宋体" w:cs="宋体"/>
        </w:rPr>
        <w:t>在用转马类大型游乐设施的安全评估项目、内容、要求及风险等级应按照</w:t>
      </w:r>
      <w:r>
        <w:rPr>
          <w:rFonts w:hint="eastAsia"/>
          <w:szCs w:val="21"/>
        </w:rPr>
        <w:t>DB43/T XXXX.1</w:t>
      </w:r>
      <w:r>
        <w:rPr>
          <w:rFonts w:hint="eastAsia" w:hAnsi="宋体"/>
          <w:szCs w:val="21"/>
        </w:rPr>
        <w:t>规定的原则确定。</w:t>
      </w:r>
    </w:p>
    <w:p>
      <w:pPr>
        <w:pStyle w:val="101"/>
        <w:numPr>
          <w:ilvl w:val="0"/>
          <w:numId w:val="0"/>
        </w:numPr>
        <w:spacing w:line="360" w:lineRule="auto"/>
        <w:rPr>
          <w:rFonts w:hAnsi="宋体" w:cs="宋体"/>
        </w:rPr>
      </w:pPr>
      <w:r>
        <w:rPr>
          <w:rFonts w:hint="eastAsia" w:hAnsi="宋体"/>
          <w:szCs w:val="21"/>
        </w:rPr>
        <w:t xml:space="preserve">5.2 </w:t>
      </w:r>
      <w:r>
        <w:rPr>
          <w:rFonts w:hint="eastAsia"/>
        </w:rPr>
        <w:t xml:space="preserve"> </w:t>
      </w:r>
      <w:r>
        <w:rPr>
          <w:rFonts w:hint="eastAsia" w:hAnsi="宋体" w:cs="宋体"/>
        </w:rPr>
        <w:t>在用转马类大型游乐设施的安全评估项目应包括（但不限于）以下内容；</w:t>
      </w:r>
    </w:p>
    <w:p>
      <w:pPr>
        <w:pStyle w:val="101"/>
        <w:numPr>
          <w:ilvl w:val="0"/>
          <w:numId w:val="0"/>
        </w:numPr>
        <w:spacing w:line="360" w:lineRule="auto"/>
        <w:jc w:val="left"/>
        <w:rPr>
          <w:rFonts w:hAnsi="宋体" w:cs="宋体"/>
        </w:rPr>
      </w:pPr>
      <w:r>
        <w:rPr>
          <w:rFonts w:hint="eastAsia" w:hAnsi="宋体" w:cs="宋体"/>
        </w:rPr>
        <w:t>5.2.1设备本体部分</w:t>
      </w:r>
    </w:p>
    <w:p>
      <w:pPr>
        <w:pStyle w:val="101"/>
        <w:numPr>
          <w:ilvl w:val="0"/>
          <w:numId w:val="0"/>
        </w:numPr>
        <w:spacing w:line="360" w:lineRule="auto"/>
        <w:ind w:left="840" w:leftChars="300" w:hanging="210" w:hangingChars="100"/>
        <w:jc w:val="left"/>
        <w:rPr>
          <w:rFonts w:ascii="Times New Roman"/>
        </w:rPr>
      </w:pPr>
      <w:r>
        <w:rPr>
          <w:rFonts w:ascii="Times New Roman"/>
        </w:rPr>
        <w:t>1）设备周边区域警示标识：</w:t>
      </w:r>
      <w:r>
        <w:rPr>
          <w:rFonts w:hint="eastAsia" w:ascii="Times New Roman"/>
        </w:rPr>
        <w:t>安全栅栏及进、出口，安全栅栏尺寸，</w:t>
      </w:r>
      <w:r>
        <w:rPr>
          <w:rFonts w:ascii="Times New Roman"/>
        </w:rPr>
        <w:t>通往设备平台的阶梯，用于检修的爬梯、通道、平台，安全标志，乘客须知，产品铭牌，音响等信号装置，装饰物及设备结构本体以外的设施等情况；</w:t>
      </w:r>
    </w:p>
    <w:p>
      <w:pPr>
        <w:pStyle w:val="101"/>
        <w:numPr>
          <w:ilvl w:val="0"/>
          <w:numId w:val="0"/>
        </w:numPr>
        <w:spacing w:line="360" w:lineRule="auto"/>
        <w:ind w:firstLine="630" w:firstLineChars="300"/>
        <w:jc w:val="left"/>
        <w:rPr>
          <w:rFonts w:ascii="Times New Roman"/>
        </w:rPr>
      </w:pPr>
      <w:r>
        <w:rPr>
          <w:rFonts w:ascii="Times New Roman"/>
        </w:rPr>
        <w:t>2）轴承：轴承运转、轴承温度和温升、轴承润滑的设置等情况；</w:t>
      </w:r>
    </w:p>
    <w:p>
      <w:pPr>
        <w:pStyle w:val="101"/>
        <w:numPr>
          <w:ilvl w:val="0"/>
          <w:numId w:val="0"/>
        </w:numPr>
        <w:spacing w:line="360" w:lineRule="auto"/>
        <w:ind w:left="420" w:leftChars="200" w:firstLine="210" w:firstLineChars="100"/>
        <w:jc w:val="left"/>
        <w:rPr>
          <w:rFonts w:ascii="Times New Roman"/>
        </w:rPr>
      </w:pPr>
      <w:r>
        <w:rPr>
          <w:rFonts w:ascii="Times New Roman"/>
        </w:rPr>
        <w:t>3）电动机：电动机的选型、安装情况、电动机定子绝缘、电机运转状况、电机运转温度、过载（过热）保护、电动机起动时端电压及防止超速的控制装置等情况；</w:t>
      </w:r>
    </w:p>
    <w:p>
      <w:pPr>
        <w:pStyle w:val="101"/>
        <w:numPr>
          <w:ilvl w:val="0"/>
          <w:numId w:val="0"/>
        </w:numPr>
        <w:spacing w:line="360" w:lineRule="auto"/>
        <w:ind w:firstLine="630" w:firstLineChars="300"/>
        <w:jc w:val="left"/>
        <w:rPr>
          <w:rFonts w:ascii="Times New Roman"/>
        </w:rPr>
      </w:pPr>
      <w:r>
        <w:rPr>
          <w:rFonts w:ascii="Times New Roman"/>
        </w:rPr>
        <w:t>4）联轴器：安装情况、两轴的同轴度和端间隙、径向跳动、轴向窜动及联接情况等；</w:t>
      </w:r>
    </w:p>
    <w:p>
      <w:pPr>
        <w:pStyle w:val="101"/>
        <w:numPr>
          <w:ilvl w:val="0"/>
          <w:numId w:val="0"/>
        </w:numPr>
        <w:spacing w:line="360" w:lineRule="auto"/>
        <w:ind w:left="420" w:leftChars="200" w:firstLine="210" w:firstLineChars="100"/>
        <w:jc w:val="left"/>
        <w:rPr>
          <w:rFonts w:ascii="Times New Roman"/>
        </w:rPr>
      </w:pPr>
      <w:r>
        <w:rPr>
          <w:rFonts w:ascii="Times New Roman"/>
        </w:rPr>
        <w:t>5）制动器：制动器设置情况、制动器型式、工作状况、制动器处于安全状态、维持电压</w:t>
      </w:r>
      <w:r>
        <w:rPr>
          <w:rFonts w:hint="eastAsia" w:hAnsi="宋体"/>
          <w:szCs w:val="21"/>
        </w:rPr>
        <w:t>、</w:t>
      </w:r>
      <w:r>
        <w:rPr>
          <w:rFonts w:ascii="Times New Roman"/>
        </w:rPr>
        <w:t>制动力矩及制动器磨损情况等；</w:t>
      </w:r>
    </w:p>
    <w:p>
      <w:pPr>
        <w:pStyle w:val="101"/>
        <w:numPr>
          <w:ilvl w:val="0"/>
          <w:numId w:val="0"/>
        </w:numPr>
        <w:spacing w:line="360" w:lineRule="auto"/>
        <w:ind w:firstLine="630" w:firstLineChars="300"/>
        <w:jc w:val="left"/>
        <w:rPr>
          <w:rFonts w:ascii="Times New Roman"/>
        </w:rPr>
      </w:pPr>
      <w:r>
        <w:rPr>
          <w:rFonts w:ascii="Times New Roman"/>
        </w:rPr>
        <w:t>6）减速箱：减速箱运转，齿轮油及传动轴、键等；</w:t>
      </w:r>
    </w:p>
    <w:p>
      <w:pPr>
        <w:pStyle w:val="101"/>
        <w:numPr>
          <w:ilvl w:val="0"/>
          <w:numId w:val="0"/>
        </w:numPr>
        <w:spacing w:line="360" w:lineRule="auto"/>
        <w:ind w:firstLine="630" w:firstLineChars="300"/>
        <w:jc w:val="left"/>
        <w:rPr>
          <w:rFonts w:ascii="Times New Roman"/>
        </w:rPr>
      </w:pPr>
      <w:r>
        <w:rPr>
          <w:rFonts w:ascii="Times New Roman"/>
        </w:rPr>
        <w:t>7）齿轮（含开式齿轮、减速箱齿轮）：选型情况、润滑情况、啮合面状态及啮合接触斑点等；</w:t>
      </w:r>
    </w:p>
    <w:p>
      <w:pPr>
        <w:pStyle w:val="101"/>
        <w:numPr>
          <w:ilvl w:val="0"/>
          <w:numId w:val="0"/>
        </w:numPr>
        <w:spacing w:line="360" w:lineRule="auto"/>
        <w:ind w:firstLine="630" w:firstLineChars="300"/>
        <w:jc w:val="left"/>
        <w:rPr>
          <w:rFonts w:ascii="Times New Roman"/>
        </w:rPr>
      </w:pPr>
      <w:r>
        <w:rPr>
          <w:rFonts w:ascii="Times New Roman"/>
        </w:rPr>
        <w:t>8）</w:t>
      </w:r>
      <w:r>
        <w:rPr>
          <w:rFonts w:hint="eastAsia" w:ascii="Times New Roman"/>
        </w:rPr>
        <w:t>皮</w:t>
      </w:r>
      <w:r>
        <w:rPr>
          <w:rFonts w:ascii="Times New Roman"/>
        </w:rPr>
        <w:t>带：选型情况、运行情况、</w:t>
      </w:r>
      <w:r>
        <w:rPr>
          <w:rFonts w:hint="eastAsia" w:ascii="Times New Roman"/>
        </w:rPr>
        <w:t>皮</w:t>
      </w:r>
      <w:r>
        <w:rPr>
          <w:rFonts w:ascii="Times New Roman"/>
        </w:rPr>
        <w:t>带磨损情况及可调或设置张紧机构等；</w:t>
      </w:r>
    </w:p>
    <w:p>
      <w:pPr>
        <w:pStyle w:val="101"/>
        <w:numPr>
          <w:ilvl w:val="0"/>
          <w:numId w:val="0"/>
        </w:numPr>
        <w:spacing w:line="360" w:lineRule="auto"/>
        <w:ind w:firstLine="630" w:firstLineChars="300"/>
        <w:jc w:val="left"/>
        <w:rPr>
          <w:rFonts w:ascii="Times New Roman"/>
        </w:rPr>
      </w:pPr>
      <w:r>
        <w:rPr>
          <w:rFonts w:ascii="Times New Roman"/>
        </w:rPr>
        <w:t>9）滚子链：选型情况、运行情况、滚子链磨损及伸长情况及可调或设置张紧机构等；</w:t>
      </w:r>
    </w:p>
    <w:p>
      <w:pPr>
        <w:pStyle w:val="101"/>
        <w:numPr>
          <w:ilvl w:val="0"/>
          <w:numId w:val="0"/>
        </w:numPr>
        <w:spacing w:line="360" w:lineRule="auto"/>
        <w:ind w:firstLine="630" w:firstLineChars="300"/>
        <w:jc w:val="left"/>
        <w:rPr>
          <w:rFonts w:ascii="Times New Roman"/>
        </w:rPr>
      </w:pPr>
      <w:r>
        <w:rPr>
          <w:rFonts w:hint="eastAsia" w:ascii="Times New Roman"/>
        </w:rPr>
        <w:t>10）驱动轮、导轮运行情况、磨损情况、轨道磨损情况等；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1</w:t>
      </w:r>
      <w:r>
        <w:rPr>
          <w:rFonts w:ascii="Times New Roman"/>
        </w:rPr>
        <w:t>）液压、气动系统：液压、气动系统设置，油管、气管，接头，液压油温检查，油质及油箱密封检查，系统过压保护装置，系统渗漏情况，乘人部分液压（气）缸失压或失速保护装置，液压（气）缸</w:t>
      </w:r>
      <w:r>
        <w:rPr>
          <w:rFonts w:hint="eastAsia" w:ascii="Times New Roman"/>
        </w:rPr>
        <w:t>冲击与振动、</w:t>
      </w:r>
      <w:r>
        <w:rPr>
          <w:rFonts w:ascii="Times New Roman"/>
        </w:rPr>
        <w:t>运行状态，纳入监管的压力容器及压力容器的安全附件等；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2</w:t>
      </w:r>
      <w:r>
        <w:rPr>
          <w:rFonts w:ascii="Times New Roman"/>
        </w:rPr>
        <w:t>）重要轴：重要轴、销轴材料及其表面硬度，润滑，重要轴、销轴的无损检测，磨损和锈蚀情况，防松脱措施及运行情况等；</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3</w:t>
      </w:r>
      <w:r>
        <w:rPr>
          <w:rFonts w:ascii="Times New Roman"/>
        </w:rPr>
        <w:t>）金属结构及连接：金属结构宏观情况，重要连接螺栓、销轴（强度、防松、防脱、标识）、焊缝表面质量检验、重要焊缝的无损检测、重要立柱垂直度</w:t>
      </w:r>
      <w:r>
        <w:rPr>
          <w:rFonts w:hint="eastAsia" w:ascii="Times New Roman"/>
        </w:rPr>
        <w:t>、回转支承面倾斜度、进出口门的设置、曲柄机构、</w:t>
      </w:r>
      <w:r>
        <w:rPr>
          <w:rFonts w:ascii="Times New Roman"/>
        </w:rPr>
        <w:t>锈蚀</w:t>
      </w:r>
      <w:r>
        <w:rPr>
          <w:rFonts w:hint="eastAsia" w:ascii="Times New Roman"/>
        </w:rPr>
        <w:t>及排水</w:t>
      </w:r>
      <w:r>
        <w:rPr>
          <w:rFonts w:ascii="Times New Roman"/>
        </w:rPr>
        <w:t>情况等；</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4</w:t>
      </w:r>
      <w:r>
        <w:rPr>
          <w:rFonts w:ascii="Times New Roman"/>
        </w:rPr>
        <w:t>）非金属件：玻璃、橡胶、尼龙、聚氨酯等外观状态；</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5</w:t>
      </w:r>
      <w:r>
        <w:rPr>
          <w:rFonts w:ascii="Times New Roman"/>
        </w:rPr>
        <w:t>）木结构件：外观状态；</w:t>
      </w:r>
    </w:p>
    <w:p>
      <w:pPr>
        <w:pStyle w:val="101"/>
        <w:numPr>
          <w:ilvl w:val="0"/>
          <w:numId w:val="0"/>
        </w:numPr>
        <w:spacing w:line="360" w:lineRule="auto"/>
        <w:ind w:left="420" w:leftChars="200" w:firstLine="210" w:firstLineChars="100"/>
        <w:jc w:val="left"/>
        <w:rPr>
          <w:rFonts w:ascii="Times New Roman"/>
        </w:rPr>
      </w:pPr>
      <w:r>
        <w:rPr>
          <w:rFonts w:ascii="Times New Roman"/>
        </w:rPr>
        <w:t>1</w:t>
      </w:r>
      <w:r>
        <w:rPr>
          <w:rFonts w:hint="eastAsia" w:ascii="Times New Roman"/>
        </w:rPr>
        <w:t>6</w:t>
      </w:r>
      <w:r>
        <w:rPr>
          <w:rFonts w:ascii="Times New Roman"/>
        </w:rPr>
        <w:t>）乘载系统：乘人部分框架材料、玻璃钢件的要求、</w:t>
      </w:r>
      <w:r>
        <w:rPr>
          <w:rFonts w:ascii="Times New Roman"/>
          <w:szCs w:val="21"/>
        </w:rPr>
        <w:t>乘人部分尺寸、</w:t>
      </w:r>
      <w:r>
        <w:rPr>
          <w:rFonts w:hint="eastAsia" w:ascii="Times New Roman"/>
          <w:szCs w:val="21"/>
        </w:rPr>
        <w:t>乘客束缚装置、</w:t>
      </w:r>
      <w:r>
        <w:rPr>
          <w:rFonts w:hint="eastAsia" w:hAnsi="宋体"/>
          <w:szCs w:val="21"/>
        </w:rPr>
        <w:t>安全把手和脚踏装置、安全距离、坐席间距、</w:t>
      </w:r>
      <w:r>
        <w:rPr>
          <w:rFonts w:hint="eastAsia"/>
          <w:szCs w:val="21"/>
        </w:rPr>
        <w:t>转动平台与固定部分间隙、</w:t>
      </w:r>
      <w:r>
        <w:rPr>
          <w:rFonts w:hint="eastAsia" w:hAnsi="宋体"/>
          <w:szCs w:val="21"/>
        </w:rPr>
        <w:t>转动平台</w:t>
      </w:r>
      <w:r>
        <w:rPr>
          <w:rFonts w:ascii="Times New Roman"/>
          <w:szCs w:val="21"/>
        </w:rPr>
        <w:t>等；</w:t>
      </w:r>
    </w:p>
    <w:p>
      <w:pPr>
        <w:pStyle w:val="101"/>
        <w:numPr>
          <w:ilvl w:val="0"/>
          <w:numId w:val="0"/>
        </w:numPr>
        <w:spacing w:line="360" w:lineRule="auto"/>
        <w:ind w:firstLine="630" w:firstLineChars="300"/>
        <w:jc w:val="left"/>
        <w:rPr>
          <w:rFonts w:ascii="Times New Roman"/>
        </w:rPr>
      </w:pPr>
      <w:r>
        <w:rPr>
          <w:rFonts w:ascii="Times New Roman"/>
        </w:rPr>
        <w:t>1</w:t>
      </w:r>
      <w:r>
        <w:rPr>
          <w:rFonts w:hint="eastAsia" w:ascii="Times New Roman"/>
        </w:rPr>
        <w:t>7</w:t>
      </w:r>
      <w:r>
        <w:rPr>
          <w:rFonts w:ascii="Times New Roman"/>
        </w:rPr>
        <w:t>）救援装置：设置、标识及功能有效性等；</w:t>
      </w:r>
    </w:p>
    <w:p>
      <w:pPr>
        <w:pStyle w:val="101"/>
        <w:numPr>
          <w:ilvl w:val="0"/>
          <w:numId w:val="0"/>
        </w:numPr>
        <w:spacing w:line="360" w:lineRule="auto"/>
        <w:ind w:left="420" w:leftChars="200" w:firstLine="210" w:firstLineChars="100"/>
        <w:jc w:val="left"/>
        <w:rPr>
          <w:rFonts w:ascii="Times New Roman"/>
        </w:rPr>
      </w:pPr>
      <w:r>
        <w:rPr>
          <w:rFonts w:hint="eastAsia" w:ascii="Times New Roman"/>
        </w:rPr>
        <w:t>18</w:t>
      </w:r>
      <w:r>
        <w:rPr>
          <w:rFonts w:ascii="Times New Roman"/>
        </w:rPr>
        <w:t>）供电系统：总电源开关设置，总电源开关容量，漏电保护装置外观及状态，电源进线的敷设，电气设备的保护，装饰照明，低压配电系统的接地型式，接地要求和接地电阻，驱动电动机、主回路的绝缘电阻，工作电压不大于50V的电源变压器绝缘情况，变频器工作温度，集电器及备用电源等；</w:t>
      </w:r>
    </w:p>
    <w:p>
      <w:pPr>
        <w:pStyle w:val="101"/>
        <w:numPr>
          <w:ilvl w:val="0"/>
          <w:numId w:val="0"/>
        </w:numPr>
        <w:spacing w:line="360" w:lineRule="auto"/>
        <w:ind w:left="420" w:leftChars="200" w:firstLine="210" w:firstLineChars="100"/>
        <w:jc w:val="left"/>
        <w:rPr>
          <w:rFonts w:ascii="Times New Roman"/>
        </w:rPr>
      </w:pPr>
      <w:r>
        <w:rPr>
          <w:rFonts w:hint="eastAsia" w:ascii="Times New Roman"/>
        </w:rPr>
        <w:t>19</w:t>
      </w:r>
      <w:r>
        <w:rPr>
          <w:rFonts w:ascii="Times New Roman"/>
        </w:rPr>
        <w:t>）控制和操作系统：设置，</w:t>
      </w:r>
      <w:r>
        <w:rPr>
          <w:rFonts w:hint="eastAsia"/>
          <w:szCs w:val="24"/>
        </w:rPr>
        <w:t>自动控制或联锁控制、无线和非机械式传感器等参与控制、</w:t>
      </w:r>
      <w:r>
        <w:rPr>
          <w:rFonts w:hint="eastAsia" w:hAnsi="宋体"/>
          <w:szCs w:val="21"/>
        </w:rPr>
        <w:t>多层转马单独控制、</w:t>
      </w:r>
      <w:r>
        <w:rPr>
          <w:rFonts w:ascii="Times New Roman"/>
        </w:rPr>
        <w:t>操作按钮、信号灯等标志和颜色，启动按钮，紧急停止按钮，乘客操作电器开关</w:t>
      </w:r>
      <w:r>
        <w:rPr>
          <w:rFonts w:hint="eastAsia" w:ascii="Times New Roman"/>
        </w:rPr>
        <w:t>等；</w:t>
      </w:r>
    </w:p>
    <w:p>
      <w:pPr>
        <w:pStyle w:val="101"/>
        <w:numPr>
          <w:ilvl w:val="0"/>
          <w:numId w:val="0"/>
        </w:numPr>
        <w:spacing w:line="360" w:lineRule="auto"/>
        <w:ind w:firstLine="630" w:firstLineChars="300"/>
        <w:jc w:val="left"/>
        <w:rPr>
          <w:rFonts w:ascii="Times New Roman"/>
        </w:rPr>
      </w:pPr>
      <w:r>
        <w:rPr>
          <w:rFonts w:ascii="Times New Roman"/>
        </w:rPr>
        <w:t>2</w:t>
      </w:r>
      <w:r>
        <w:rPr>
          <w:rFonts w:hint="eastAsia" w:ascii="Times New Roman"/>
        </w:rPr>
        <w:t>0</w:t>
      </w:r>
      <w:r>
        <w:rPr>
          <w:rFonts w:ascii="Times New Roman"/>
        </w:rPr>
        <w:t>）基础：基础宏观情况及地脚螺栓等；</w:t>
      </w:r>
    </w:p>
    <w:p>
      <w:pPr>
        <w:pStyle w:val="101"/>
        <w:numPr>
          <w:ilvl w:val="0"/>
          <w:numId w:val="0"/>
        </w:numPr>
        <w:spacing w:line="360" w:lineRule="auto"/>
        <w:ind w:left="420" w:leftChars="200" w:firstLine="210" w:firstLineChars="100"/>
        <w:jc w:val="left"/>
        <w:rPr>
          <w:rFonts w:ascii="Times New Roman"/>
        </w:rPr>
      </w:pPr>
      <w:r>
        <w:rPr>
          <w:rFonts w:ascii="Times New Roman"/>
        </w:rPr>
        <w:t>2</w:t>
      </w:r>
      <w:r>
        <w:rPr>
          <w:rFonts w:hint="eastAsia" w:ascii="Times New Roman"/>
        </w:rPr>
        <w:t>1</w:t>
      </w:r>
      <w:r>
        <w:rPr>
          <w:rFonts w:ascii="Times New Roman"/>
        </w:rPr>
        <w:t>）运行区域的安全防护：乘人部分与障碍物间安全距离、乘客可触及之处的危险突出物、操作室的视野情况、视频监视系统</w:t>
      </w:r>
      <w:r>
        <w:rPr>
          <w:rFonts w:hint="eastAsia" w:ascii="Times New Roman"/>
        </w:rPr>
        <w:t>、</w:t>
      </w:r>
      <w:r>
        <w:rPr>
          <w:rFonts w:ascii="Times New Roman"/>
        </w:rPr>
        <w:t>避雷装置、安全网或其他防坠物措施设置位置及状态等；</w:t>
      </w:r>
    </w:p>
    <w:p>
      <w:pPr>
        <w:pStyle w:val="101"/>
        <w:numPr>
          <w:ilvl w:val="0"/>
          <w:numId w:val="0"/>
        </w:numPr>
        <w:spacing w:line="360" w:lineRule="auto"/>
        <w:ind w:firstLine="630" w:firstLineChars="300"/>
        <w:jc w:val="left"/>
        <w:rPr>
          <w:rFonts w:ascii="Times New Roman"/>
        </w:rPr>
      </w:pPr>
      <w:r>
        <w:rPr>
          <w:rFonts w:hint="eastAsia" w:ascii="Times New Roman"/>
        </w:rPr>
        <w:t>22</w:t>
      </w:r>
      <w:r>
        <w:rPr>
          <w:rFonts w:ascii="Times New Roman"/>
        </w:rPr>
        <w:t>）功能试验：空载运行试验、满载运行试验及偏载运行试验等；</w:t>
      </w:r>
    </w:p>
    <w:p>
      <w:pPr>
        <w:pStyle w:val="101"/>
        <w:numPr>
          <w:ilvl w:val="0"/>
          <w:numId w:val="0"/>
        </w:numPr>
        <w:spacing w:line="360" w:lineRule="auto"/>
        <w:ind w:firstLine="630" w:firstLineChars="300"/>
        <w:jc w:val="left"/>
        <w:rPr>
          <w:rFonts w:ascii="Times New Roman"/>
        </w:rPr>
      </w:pPr>
      <w:r>
        <w:rPr>
          <w:rFonts w:hint="eastAsia" w:ascii="Times New Roman"/>
        </w:rPr>
        <w:t>23</w:t>
      </w:r>
      <w:r>
        <w:rPr>
          <w:rFonts w:ascii="Times New Roman"/>
        </w:rPr>
        <w:t>）运转性能：制动加速度、运行速度及误启动试验等。</w:t>
      </w:r>
    </w:p>
    <w:p>
      <w:pPr>
        <w:pStyle w:val="3"/>
        <w:numPr>
          <w:ilvl w:val="0"/>
          <w:numId w:val="0"/>
        </w:numPr>
      </w:pPr>
      <w:bookmarkStart w:id="33" w:name="_Toc9029"/>
      <w:bookmarkStart w:id="34" w:name="_Toc18460"/>
      <w:bookmarkStart w:id="35" w:name="_Toc26059"/>
      <w:r>
        <w:rPr>
          <w:rFonts w:hint="eastAsia"/>
        </w:rPr>
        <w:t>5.2.2 使用管理部分</w:t>
      </w:r>
      <w:bookmarkEnd w:id="33"/>
      <w:bookmarkEnd w:id="34"/>
      <w:bookmarkEnd w:id="35"/>
    </w:p>
    <w:p>
      <w:pPr>
        <w:pStyle w:val="101"/>
        <w:numPr>
          <w:ilvl w:val="0"/>
          <w:numId w:val="0"/>
        </w:numPr>
        <w:spacing w:line="360" w:lineRule="auto"/>
        <w:ind w:firstLine="630" w:firstLineChars="300"/>
        <w:jc w:val="left"/>
        <w:rPr>
          <w:rFonts w:ascii="Times New Roman"/>
        </w:rPr>
      </w:pPr>
      <w:r>
        <w:rPr>
          <w:rFonts w:ascii="Times New Roman"/>
        </w:rPr>
        <w:t>1）使用登记证有效性；</w:t>
      </w:r>
    </w:p>
    <w:p>
      <w:pPr>
        <w:pStyle w:val="101"/>
        <w:numPr>
          <w:ilvl w:val="0"/>
          <w:numId w:val="0"/>
        </w:numPr>
        <w:spacing w:line="360" w:lineRule="auto"/>
        <w:ind w:firstLine="630" w:firstLineChars="300"/>
        <w:jc w:val="left"/>
        <w:rPr>
          <w:rFonts w:ascii="Times New Roman"/>
        </w:rPr>
      </w:pPr>
      <w:r>
        <w:rPr>
          <w:rFonts w:ascii="Times New Roman"/>
        </w:rPr>
        <w:t>2）制造、安装、改造、修理单位资质合法性；</w:t>
      </w:r>
    </w:p>
    <w:p>
      <w:pPr>
        <w:pStyle w:val="101"/>
        <w:numPr>
          <w:ilvl w:val="0"/>
          <w:numId w:val="0"/>
        </w:numPr>
        <w:spacing w:line="360" w:lineRule="auto"/>
        <w:ind w:firstLine="630" w:firstLineChars="300"/>
        <w:jc w:val="left"/>
        <w:rPr>
          <w:rFonts w:ascii="Times New Roman"/>
        </w:rPr>
      </w:pPr>
      <w:r>
        <w:rPr>
          <w:rFonts w:ascii="Times New Roman"/>
        </w:rPr>
        <w:t>3）建立安全管理制度情况；</w:t>
      </w:r>
    </w:p>
    <w:p>
      <w:pPr>
        <w:pStyle w:val="101"/>
        <w:numPr>
          <w:ilvl w:val="0"/>
          <w:numId w:val="0"/>
        </w:numPr>
        <w:spacing w:line="360" w:lineRule="auto"/>
        <w:ind w:firstLine="630" w:firstLineChars="300"/>
        <w:jc w:val="left"/>
        <w:rPr>
          <w:rFonts w:ascii="Times New Roman"/>
        </w:rPr>
      </w:pPr>
      <w:r>
        <w:rPr>
          <w:rFonts w:ascii="Times New Roman"/>
        </w:rPr>
        <w:t>4）安全管理制度落实情况；</w:t>
      </w:r>
    </w:p>
    <w:p>
      <w:pPr>
        <w:pStyle w:val="101"/>
        <w:numPr>
          <w:ilvl w:val="0"/>
          <w:numId w:val="0"/>
        </w:numPr>
        <w:spacing w:line="360" w:lineRule="auto"/>
        <w:ind w:firstLine="630" w:firstLineChars="300"/>
        <w:jc w:val="left"/>
        <w:rPr>
          <w:rFonts w:ascii="Times New Roman"/>
        </w:rPr>
      </w:pPr>
      <w:r>
        <w:rPr>
          <w:rFonts w:ascii="Times New Roman"/>
        </w:rPr>
        <w:t>5）安全管理人员职责履行情况；</w:t>
      </w:r>
    </w:p>
    <w:p>
      <w:pPr>
        <w:pStyle w:val="101"/>
        <w:numPr>
          <w:ilvl w:val="0"/>
          <w:numId w:val="0"/>
        </w:numPr>
        <w:spacing w:line="360" w:lineRule="auto"/>
        <w:ind w:firstLine="630" w:firstLineChars="300"/>
        <w:jc w:val="left"/>
        <w:rPr>
          <w:rFonts w:ascii="Times New Roman"/>
        </w:rPr>
      </w:pPr>
      <w:r>
        <w:rPr>
          <w:rFonts w:ascii="Times New Roman"/>
        </w:rPr>
        <w:t>6）操作人员的职责履行情况；</w:t>
      </w:r>
    </w:p>
    <w:p>
      <w:pPr>
        <w:pStyle w:val="101"/>
        <w:numPr>
          <w:ilvl w:val="0"/>
          <w:numId w:val="0"/>
        </w:numPr>
        <w:spacing w:line="360" w:lineRule="auto"/>
        <w:ind w:firstLine="630" w:firstLineChars="300"/>
      </w:pPr>
      <w:r>
        <w:rPr>
          <w:rFonts w:ascii="Times New Roman"/>
        </w:rPr>
        <w:t>7）</w:t>
      </w:r>
      <w:r>
        <w:rPr>
          <w:rFonts w:hint="eastAsia" w:hAnsi="宋体" w:cs="宋体"/>
        </w:rPr>
        <w:t>建立安全技术档案情况。</w:t>
      </w:r>
    </w:p>
    <w:p>
      <w:pPr>
        <w:pStyle w:val="101"/>
        <w:numPr>
          <w:ilvl w:val="0"/>
          <w:numId w:val="0"/>
        </w:numPr>
        <w:spacing w:line="360" w:lineRule="auto"/>
        <w:jc w:val="left"/>
      </w:pPr>
      <w:r>
        <w:rPr>
          <w:rFonts w:hint="eastAsia" w:ascii="黑体" w:eastAsia="黑体"/>
          <w:szCs w:val="21"/>
        </w:rPr>
        <w:t xml:space="preserve">5.3 </w:t>
      </w:r>
      <w:r>
        <w:rPr>
          <w:rFonts w:hint="eastAsia" w:hAnsi="宋体"/>
          <w:szCs w:val="21"/>
        </w:rPr>
        <w:t>在用转马类大型游乐设施安全评估项目</w:t>
      </w:r>
      <w:r>
        <w:rPr>
          <w:rFonts w:hint="eastAsia"/>
        </w:rPr>
        <w:t>、内容、要求及</w:t>
      </w:r>
      <w:r>
        <w:rPr>
          <w:rFonts w:hint="eastAsia" w:hAnsi="宋体" w:cs="宋体"/>
        </w:rPr>
        <w:t>风险等级</w:t>
      </w:r>
      <w:r>
        <w:rPr>
          <w:rFonts w:hint="eastAsia"/>
        </w:rPr>
        <w:t>参见附录A。</w:t>
      </w:r>
    </w:p>
    <w:p>
      <w:pPr>
        <w:pStyle w:val="75"/>
        <w:spacing w:before="240" w:after="240" w:line="360" w:lineRule="auto"/>
        <w:rPr>
          <w:rFonts w:hAnsi="宋体"/>
        </w:rPr>
      </w:pPr>
      <w:r>
        <w:rPr>
          <w:rFonts w:hint="eastAsia"/>
        </w:rPr>
        <w:t xml:space="preserve">现场评估的基本原则 </w:t>
      </w:r>
    </w:p>
    <w:p>
      <w:pPr>
        <w:pStyle w:val="101"/>
        <w:numPr>
          <w:ilvl w:val="0"/>
          <w:numId w:val="0"/>
        </w:numPr>
        <w:spacing w:line="360" w:lineRule="auto"/>
        <w:rPr>
          <w:rFonts w:hAnsi="宋体"/>
        </w:rPr>
      </w:pPr>
      <w:r>
        <w:rPr>
          <w:rFonts w:hint="eastAsia" w:hAnsi="宋体"/>
        </w:rPr>
        <w:t>6.1 设备本体</w:t>
      </w:r>
      <w:r>
        <w:rPr>
          <w:rFonts w:hint="eastAsia" w:hAnsi="宋体"/>
          <w:szCs w:val="21"/>
        </w:rPr>
        <w:t>安全评估项目现场评估基本原则</w:t>
      </w:r>
    </w:p>
    <w:p>
      <w:pPr>
        <w:pStyle w:val="101"/>
        <w:numPr>
          <w:ilvl w:val="0"/>
          <w:numId w:val="0"/>
        </w:numPr>
        <w:tabs>
          <w:tab w:val="clear" w:pos="839"/>
        </w:tabs>
        <w:spacing w:line="360" w:lineRule="auto"/>
        <w:ind w:left="420" w:leftChars="200"/>
        <w:rPr>
          <w:rFonts w:hAnsi="宋体"/>
        </w:rPr>
      </w:pPr>
      <w:r>
        <w:rPr>
          <w:rFonts w:hint="eastAsia" w:hAnsi="宋体"/>
        </w:rPr>
        <w:t>a）根据转马类大型游乐设施设备本体的</w:t>
      </w:r>
      <w:r>
        <w:rPr>
          <w:rFonts w:hint="eastAsia" w:hAnsi="宋体"/>
          <w:szCs w:val="21"/>
        </w:rPr>
        <w:t>安全评估项目</w:t>
      </w:r>
      <w:r>
        <w:rPr>
          <w:rFonts w:hint="eastAsia" w:hAnsi="宋体"/>
        </w:rPr>
        <w:t>要求，在现场进行设备评估时，如果该项目满足附录</w:t>
      </w:r>
      <w:r>
        <w:rPr>
          <w:rFonts w:hAnsi="宋体"/>
        </w:rPr>
        <w:t>A</w:t>
      </w:r>
      <w:r>
        <w:rPr>
          <w:rFonts w:hint="eastAsia" w:hAnsi="宋体"/>
        </w:rPr>
        <w:t>中的“评估要求”，则评估组应统一按风险等级</w:t>
      </w:r>
      <w:r>
        <w:rPr>
          <w:rFonts w:hAnsi="宋体"/>
        </w:rPr>
        <w:t>4D</w:t>
      </w:r>
      <w:r>
        <w:rPr>
          <w:rFonts w:hint="eastAsia" w:hAnsi="宋体"/>
        </w:rPr>
        <w:t>（</w:t>
      </w:r>
      <w:r>
        <w:rPr>
          <w:rFonts w:hAnsi="宋体"/>
        </w:rPr>
        <w:t>Ⅰ</w:t>
      </w:r>
      <w:r>
        <w:rPr>
          <w:rFonts w:hint="eastAsia" w:hAnsi="宋体"/>
        </w:rPr>
        <w:t>级）进行风险评定，且附录</w:t>
      </w:r>
      <w:r>
        <w:rPr>
          <w:rFonts w:hint="eastAsia"/>
        </w:rPr>
        <w:t>B</w:t>
      </w:r>
      <w:r>
        <w:rPr>
          <w:rFonts w:hint="eastAsia" w:hAnsi="宋体"/>
        </w:rPr>
        <w:t>中“问题描述”栏填写“符合”，“需采取措施”栏填写如“正常维保，无需采取额外措施”等建议措施；如果该项目未能满足附录</w:t>
      </w:r>
      <w:r>
        <w:rPr>
          <w:rFonts w:hAnsi="宋体"/>
        </w:rPr>
        <w:t>A</w:t>
      </w:r>
      <w:r>
        <w:rPr>
          <w:rFonts w:hint="eastAsia" w:hAnsi="宋体"/>
        </w:rPr>
        <w:t>中的“评估要求”，评估组应在附录</w:t>
      </w:r>
      <w:r>
        <w:rPr>
          <w:rFonts w:hint="eastAsia"/>
        </w:rPr>
        <w:t>B</w:t>
      </w:r>
      <w:r>
        <w:rPr>
          <w:rFonts w:hint="eastAsia" w:hAnsi="宋体"/>
        </w:rPr>
        <w:t>中“问题描述”栏对问题进行清晰、简要的描述，原则上按照附录</w:t>
      </w:r>
      <w:r>
        <w:rPr>
          <w:rFonts w:hAnsi="宋体"/>
        </w:rPr>
        <w:t>A</w:t>
      </w:r>
      <w:r>
        <w:rPr>
          <w:rFonts w:hint="eastAsia" w:hAnsi="宋体"/>
        </w:rPr>
        <w:t>给定的风险等级进行风险评定。评估组也可根据现场设备实际情况，对相关项目的风险等级进行适当的调整，并备注说明理由。</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b）对于附录</w:t>
      </w:r>
      <w:r>
        <w:rPr>
          <w:rFonts w:hAnsi="宋体"/>
        </w:rPr>
        <w:t>A</w:t>
      </w:r>
      <w:r>
        <w:rPr>
          <w:rFonts w:hint="eastAsia" w:hAnsi="宋体"/>
        </w:rPr>
        <w:t>以外的评估项目，按照上述方法进行安全评估。其风险等级由评估组按照</w:t>
      </w:r>
      <w:r>
        <w:rPr>
          <w:rFonts w:hint="eastAsia"/>
          <w:szCs w:val="21"/>
        </w:rPr>
        <w:t>DB43/T XXXX.1</w:t>
      </w:r>
      <w:r>
        <w:rPr>
          <w:rFonts w:hint="eastAsia" w:hAnsi="宋体"/>
          <w:szCs w:val="21"/>
        </w:rPr>
        <w:t>中6.1的规定，</w:t>
      </w:r>
      <w:r>
        <w:rPr>
          <w:rFonts w:hint="eastAsia" w:hAnsi="宋体"/>
        </w:rPr>
        <w:t>根据评估设备实际情况进行评定。</w:t>
      </w:r>
    </w:p>
    <w:p>
      <w:pPr>
        <w:pStyle w:val="101"/>
        <w:numPr>
          <w:ilvl w:val="0"/>
          <w:numId w:val="0"/>
        </w:numPr>
        <w:tabs>
          <w:tab w:val="clear" w:pos="839"/>
        </w:tabs>
        <w:spacing w:line="360" w:lineRule="auto"/>
        <w:ind w:left="735" w:leftChars="200" w:hanging="315" w:hangingChars="150"/>
        <w:rPr>
          <w:rFonts w:hAnsi="宋体"/>
        </w:rPr>
      </w:pPr>
      <w:r>
        <w:rPr>
          <w:rFonts w:hint="eastAsia" w:hAnsi="宋体"/>
        </w:rPr>
        <w:t>c）对于附录</w:t>
      </w:r>
      <w:r>
        <w:rPr>
          <w:rFonts w:hint="eastAsia"/>
        </w:rPr>
        <w:t>B</w:t>
      </w:r>
      <w:r>
        <w:rPr>
          <w:rFonts w:hint="eastAsia" w:hAnsi="宋体"/>
        </w:rPr>
        <w:t>中不适用的项目，在该项目的各栏中填写“无此项”。</w:t>
      </w:r>
    </w:p>
    <w:p>
      <w:pPr>
        <w:pStyle w:val="101"/>
        <w:numPr>
          <w:ilvl w:val="0"/>
          <w:numId w:val="0"/>
        </w:numPr>
        <w:tabs>
          <w:tab w:val="clear" w:pos="839"/>
        </w:tabs>
        <w:spacing w:line="360" w:lineRule="auto"/>
      </w:pPr>
      <w:r>
        <w:rPr>
          <w:rFonts w:hint="eastAsia" w:hAnsi="宋体"/>
        </w:rPr>
        <w:t xml:space="preserve"> 6.2 </w:t>
      </w:r>
      <w:r>
        <w:rPr>
          <w:rFonts w:hint="eastAsia"/>
        </w:rPr>
        <w:t>使用管理各项目</w:t>
      </w:r>
      <w:r>
        <w:rPr>
          <w:rFonts w:hint="eastAsia" w:hAnsi="宋体"/>
          <w:szCs w:val="21"/>
        </w:rPr>
        <w:t>现场评估基本原则</w:t>
      </w:r>
    </w:p>
    <w:p>
      <w:pPr>
        <w:pStyle w:val="101"/>
        <w:numPr>
          <w:ilvl w:val="0"/>
          <w:numId w:val="0"/>
        </w:numPr>
        <w:tabs>
          <w:tab w:val="clear" w:pos="839"/>
        </w:tabs>
        <w:spacing w:line="360" w:lineRule="auto"/>
        <w:ind w:left="735" w:leftChars="200" w:hanging="315" w:hangingChars="150"/>
        <w:rPr>
          <w:rFonts w:hAnsi="宋体"/>
        </w:rPr>
      </w:pPr>
      <w:r>
        <w:rPr>
          <w:rFonts w:hint="eastAsia"/>
        </w:rPr>
        <w:t>a）对于</w:t>
      </w:r>
      <w:r>
        <w:rPr>
          <w:rFonts w:hint="eastAsia" w:hAnsi="宋体"/>
        </w:rPr>
        <w:t>附录</w:t>
      </w:r>
      <w:r>
        <w:rPr>
          <w:rFonts w:hAnsi="宋体"/>
        </w:rPr>
        <w:t>A</w:t>
      </w:r>
      <w:r>
        <w:rPr>
          <w:rFonts w:hint="eastAsia" w:hAnsi="宋体"/>
        </w:rPr>
        <w:t>中使用管理的各评估项目，如果该项目满足附录</w:t>
      </w:r>
      <w:r>
        <w:rPr>
          <w:rFonts w:hAnsi="宋体"/>
        </w:rPr>
        <w:t>A</w:t>
      </w:r>
      <w:r>
        <w:rPr>
          <w:rFonts w:hint="eastAsia" w:hAnsi="宋体"/>
        </w:rPr>
        <w:t>中的“评估要求”，则评估组在附录</w:t>
      </w:r>
      <w:r>
        <w:rPr>
          <w:rFonts w:hint="eastAsia"/>
        </w:rPr>
        <w:t>B</w:t>
      </w:r>
      <w:r>
        <w:rPr>
          <w:rFonts w:hint="eastAsia" w:hAnsi="宋体"/>
        </w:rPr>
        <w:t>中“评估结论”栏填写“符合”，如果该项目不满足附录</w:t>
      </w:r>
      <w:r>
        <w:rPr>
          <w:rFonts w:hAnsi="宋体"/>
        </w:rPr>
        <w:t>A</w:t>
      </w:r>
      <w:r>
        <w:rPr>
          <w:rFonts w:hint="eastAsia" w:hAnsi="宋体"/>
        </w:rPr>
        <w:t>中的“评估要求”，则评估组在附录</w:t>
      </w:r>
      <w:r>
        <w:rPr>
          <w:rFonts w:hint="eastAsia"/>
        </w:rPr>
        <w:t>B</w:t>
      </w:r>
      <w:r>
        <w:rPr>
          <w:rFonts w:hint="eastAsia" w:hAnsi="宋体"/>
        </w:rPr>
        <w:t>中“评估结论”栏填写“不符合”。</w:t>
      </w:r>
    </w:p>
    <w:p>
      <w:pPr>
        <w:pStyle w:val="101"/>
        <w:numPr>
          <w:ilvl w:val="0"/>
          <w:numId w:val="0"/>
        </w:numPr>
        <w:spacing w:line="360" w:lineRule="auto"/>
        <w:ind w:firstLine="420" w:firstLineChars="200"/>
      </w:pPr>
      <w:r>
        <w:rPr>
          <w:rFonts w:hint="eastAsia" w:hAnsi="宋体"/>
        </w:rPr>
        <w:t>b）对于附录</w:t>
      </w:r>
      <w:r>
        <w:rPr>
          <w:rFonts w:hint="eastAsia"/>
        </w:rPr>
        <w:t>B</w:t>
      </w:r>
      <w:r>
        <w:rPr>
          <w:rFonts w:hint="eastAsia" w:hAnsi="宋体"/>
        </w:rPr>
        <w:t>中不适用的项目，在该项目的</w:t>
      </w:r>
      <w:r>
        <w:rPr>
          <w:rFonts w:hint="eastAsia"/>
        </w:rPr>
        <w:t>各栏中填写“无此项”。</w:t>
      </w:r>
    </w:p>
    <w:p>
      <w:pPr>
        <w:pStyle w:val="75"/>
        <w:spacing w:before="240" w:after="240" w:line="360" w:lineRule="auto"/>
      </w:pPr>
      <w:r>
        <w:rPr>
          <w:rFonts w:hint="eastAsia"/>
        </w:rPr>
        <w:t>安全评估报告</w:t>
      </w:r>
    </w:p>
    <w:p>
      <w:pPr>
        <w:pStyle w:val="101"/>
        <w:numPr>
          <w:ilvl w:val="0"/>
          <w:numId w:val="0"/>
        </w:numPr>
        <w:spacing w:line="360" w:lineRule="auto"/>
        <w:rPr>
          <w:rFonts w:ascii="黑体" w:eastAsia="黑体"/>
          <w:szCs w:val="21"/>
        </w:rPr>
      </w:pPr>
      <w:r>
        <w:rPr>
          <w:rFonts w:hint="eastAsia"/>
          <w:szCs w:val="21"/>
        </w:rPr>
        <w:t xml:space="preserve">7.1 </w:t>
      </w:r>
      <w:r>
        <w:rPr>
          <w:rFonts w:hint="eastAsia" w:hAnsi="宋体"/>
          <w:szCs w:val="21"/>
        </w:rPr>
        <w:t>在用</w:t>
      </w:r>
      <w:r>
        <w:rPr>
          <w:rFonts w:hint="eastAsia"/>
        </w:rPr>
        <w:t>转马类大型游乐设施安全评估报告的出具，应符合</w:t>
      </w:r>
      <w:r>
        <w:rPr>
          <w:rFonts w:hint="eastAsia"/>
          <w:szCs w:val="21"/>
        </w:rPr>
        <w:t>DB43/T XXXX.1</w:t>
      </w:r>
      <w:r>
        <w:rPr>
          <w:rFonts w:hint="eastAsia" w:hAnsi="宋体"/>
          <w:szCs w:val="21"/>
        </w:rPr>
        <w:t>的相关要求。</w:t>
      </w:r>
    </w:p>
    <w:p>
      <w:pPr>
        <w:pStyle w:val="101"/>
        <w:numPr>
          <w:ilvl w:val="0"/>
          <w:numId w:val="0"/>
        </w:numPr>
        <w:spacing w:line="360" w:lineRule="auto"/>
        <w:sectPr>
          <w:pgSz w:w="11906" w:h="16838"/>
          <w:pgMar w:top="567" w:right="1134" w:bottom="1134" w:left="1418" w:header="1418" w:footer="1134" w:gutter="0"/>
          <w:cols w:space="720" w:num="1"/>
          <w:formProt w:val="0"/>
          <w:docGrid w:linePitch="312" w:charSpace="0"/>
        </w:sectPr>
      </w:pPr>
      <w:r>
        <w:rPr>
          <w:rFonts w:hint="eastAsia"/>
          <w:szCs w:val="21"/>
        </w:rPr>
        <w:t xml:space="preserve">7.2 </w:t>
      </w:r>
      <w:r>
        <w:rPr>
          <w:rFonts w:hint="eastAsia" w:hAnsi="宋体"/>
          <w:szCs w:val="21"/>
        </w:rPr>
        <w:t>在用转马类大型游乐设施</w:t>
      </w:r>
      <w:r>
        <w:rPr>
          <w:rFonts w:hint="eastAsia"/>
        </w:rPr>
        <w:t>安全评估报告（格式）参见</w:t>
      </w:r>
      <w:r>
        <w:rPr>
          <w:rFonts w:hint="eastAsia" w:hAnsi="宋体"/>
        </w:rPr>
        <w:t>附录</w:t>
      </w:r>
      <w:r>
        <w:rPr>
          <w:rFonts w:hint="eastAsia"/>
        </w:rPr>
        <w:t>B。</w:t>
      </w:r>
    </w:p>
    <w:p>
      <w:pPr>
        <w:pStyle w:val="50"/>
      </w:pPr>
      <w:bookmarkStart w:id="36" w:name="_Toc24044880"/>
      <w:bookmarkStart w:id="37" w:name="_Toc24093612"/>
      <w:bookmarkStart w:id="38" w:name="_Toc24043974"/>
      <w:bookmarkStart w:id="39" w:name="_Toc24981529"/>
      <w:bookmarkStart w:id="40" w:name="_Toc24978179"/>
      <w:bookmarkStart w:id="41" w:name="_Toc24981611"/>
      <w:bookmarkStart w:id="42" w:name="_Toc24981645"/>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在用转马类大型游乐设施安全评估项目、内容、要求及风险等级</w:t>
      </w:r>
    </w:p>
    <w:p>
      <w:pPr>
        <w:tabs>
          <w:tab w:val="center" w:pos="4201"/>
          <w:tab w:val="right" w:leader="dot" w:pos="9298"/>
        </w:tabs>
        <w:spacing w:line="360" w:lineRule="auto"/>
        <w:rPr>
          <w:rFonts w:ascii="宋体" w:hAnsi="宋体" w:cs="宋体"/>
        </w:rPr>
      </w:pPr>
      <w:r>
        <w:rPr>
          <w:rFonts w:hint="eastAsia" w:ascii="黑体" w:hAnsi="黑体" w:eastAsia="黑体" w:cs="黑体"/>
        </w:rPr>
        <w:t>在用转马类</w:t>
      </w:r>
      <w:r>
        <w:rPr>
          <w:rFonts w:hint="eastAsia" w:ascii="宋体" w:hAnsi="宋体" w:cs="宋体"/>
        </w:rPr>
        <w:t>大型游乐设施设备本体安全评估项目、内容、要求及风险等级见表A.1；使用管理评估项目、内容及要求见表A.2。</w:t>
      </w:r>
    </w:p>
    <w:p>
      <w:pPr>
        <w:tabs>
          <w:tab w:val="center" w:pos="4201"/>
          <w:tab w:val="right" w:leader="dot" w:pos="9298"/>
        </w:tabs>
        <w:spacing w:line="360" w:lineRule="auto"/>
        <w:jc w:val="center"/>
      </w:pPr>
      <w:bookmarkStart w:id="43" w:name="_Toc24981644"/>
      <w:bookmarkStart w:id="44" w:name="_Toc24093611"/>
      <w:bookmarkStart w:id="45" w:name="_Toc24043973"/>
      <w:bookmarkStart w:id="46" w:name="_Toc24978178"/>
      <w:bookmarkStart w:id="47" w:name="_Toc24044879"/>
      <w:bookmarkStart w:id="48" w:name="_Toc24981610"/>
      <w:bookmarkStart w:id="49" w:name="_Toc24981528"/>
      <w:r>
        <w:rPr>
          <w:rFonts w:hint="eastAsia" w:ascii="黑体" w:hAnsi="黑体" w:eastAsia="黑体" w:cs="黑体"/>
        </w:rPr>
        <w:t xml:space="preserve">表 A.1 </w:t>
      </w:r>
      <w:bookmarkEnd w:id="43"/>
      <w:bookmarkEnd w:id="44"/>
      <w:bookmarkEnd w:id="45"/>
      <w:bookmarkEnd w:id="46"/>
      <w:bookmarkEnd w:id="47"/>
      <w:bookmarkEnd w:id="48"/>
      <w:bookmarkEnd w:id="49"/>
      <w:r>
        <w:rPr>
          <w:rFonts w:hint="eastAsia" w:ascii="黑体" w:hAnsi="黑体" w:eastAsia="黑体" w:cs="黑体"/>
        </w:rPr>
        <w:t>在用转马类大型游乐设施设备本体安全评估项目、内容、要求及风险等级</w:t>
      </w:r>
    </w:p>
    <w:tbl>
      <w:tblPr>
        <w:tblStyle w:val="33"/>
        <w:tblW w:w="14809" w:type="dxa"/>
        <w:tblInd w:w="0" w:type="dxa"/>
        <w:tblLayout w:type="fixed"/>
        <w:tblCellMar>
          <w:top w:w="0" w:type="dxa"/>
          <w:left w:w="108" w:type="dxa"/>
          <w:bottom w:w="0" w:type="dxa"/>
          <w:right w:w="108" w:type="dxa"/>
        </w:tblCellMar>
      </w:tblPr>
      <w:tblGrid>
        <w:gridCol w:w="881"/>
        <w:gridCol w:w="768"/>
        <w:gridCol w:w="1130"/>
        <w:gridCol w:w="10269"/>
        <w:gridCol w:w="460"/>
        <w:gridCol w:w="367"/>
        <w:gridCol w:w="429"/>
        <w:gridCol w:w="505"/>
      </w:tblGrid>
      <w:tr>
        <w:tblPrEx>
          <w:tblCellMar>
            <w:top w:w="0" w:type="dxa"/>
            <w:left w:w="108" w:type="dxa"/>
            <w:bottom w:w="0" w:type="dxa"/>
            <w:right w:w="108" w:type="dxa"/>
          </w:tblCellMar>
        </w:tblPrEx>
        <w:trPr>
          <w:cantSplit/>
          <w:trHeight w:val="1060" w:hRule="atLeast"/>
          <w:tblHeader/>
        </w:trPr>
        <w:tc>
          <w:tcPr>
            <w:tcW w:w="8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26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46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367"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505"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CellMar>
            <w:top w:w="0" w:type="dxa"/>
            <w:left w:w="108" w:type="dxa"/>
            <w:bottom w:w="0" w:type="dxa"/>
            <w:right w:w="108" w:type="dxa"/>
          </w:tblCellMar>
        </w:tblPrEx>
        <w:trPr>
          <w:cantSplit/>
          <w:trHeight w:val="19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ascii="宋体" w:hAnsi="宋体"/>
                <w:bCs/>
                <w:kern w:val="0"/>
                <w:sz w:val="18"/>
                <w:szCs w:val="18"/>
              </w:rPr>
              <w:t>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设备周边区域警示标识等</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安全栅栏及进、出口</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b）安全栅栏应分别设进、出口，在进口处宜设引导栅栏。站台应有防滑措施；</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c）安全栅栏门开启方向应与乘客行进方向一致（特殊情况除外）。为防止开关门时对人员的手造成伤害，门边框与立柱之间的间隙应适当，或采取其他防护措施。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安全栅栏尺寸</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b）当站台高度超过2m时，安全栅栏高度应不低于1200mm。</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通往设备平台的阶梯</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Ⅰ</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1.10</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2</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轴承</w:t>
            </w:r>
          </w:p>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轴承运转</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b）轴承不应出现碎裂，影响运行的磨损。</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轴承温度和温升</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tabs>
                <w:tab w:val="center" w:pos="4201"/>
                <w:tab w:val="right" w:leader="dot" w:pos="9298"/>
              </w:tabs>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轴承润滑</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3</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电动机</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电动机的选型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a）电动机的选型应符合</w:t>
            </w:r>
            <w:r>
              <w:rPr>
                <w:rFonts w:ascii="宋体" w:hAnsi="宋体"/>
                <w:kern w:val="0"/>
                <w:sz w:val="18"/>
                <w:szCs w:val="18"/>
              </w:rPr>
              <w:t>GB 5226.1-2008</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b）在满载和设计允许偏载的情况下，连续工作的异步电机工作电流应不大于电机的额定电流；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c）对频繁直接起动的异步电机，起动电流应不大于额定电流的4.5倍。</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796"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电动机应安装良好。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9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电动机定子绝缘</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tabs>
                <w:tab w:val="center" w:pos="4201"/>
                <w:tab w:val="right" w:leader="dot" w:pos="9298"/>
              </w:tabs>
              <w:jc w:val="center"/>
              <w:rPr>
                <w:rFonts w:ascii="宋体" w:hAnsi="宋体"/>
                <w:kern w:val="0"/>
                <w:sz w:val="18"/>
                <w:szCs w:val="18"/>
              </w:rPr>
            </w:pPr>
            <w:r>
              <w:rPr>
                <w:rFonts w:ascii="宋体" w:hAnsi="宋体"/>
                <w:kern w:val="0"/>
                <w:position w:val="-30"/>
                <w:sz w:val="18"/>
                <w:szCs w:val="18"/>
              </w:rPr>
              <w:object>
                <v:shape id="_x0000_i1025" o:spt="75" type="#_x0000_t75" style="height:22.95pt;width:63.45pt;" o:ole="t" filled="f" o:preferrelative="t" stroked="f" coordsize="21600,21600">
                  <v:path/>
                  <v:fill on="f" focussize="0,0"/>
                  <v:stroke on="f" joinstyle="miter"/>
                  <v:imagedata r:id="rId11" o:title=""/>
                  <o:lock v:ext="edit" aspectratio="t"/>
                  <w10:wrap type="none"/>
                  <w10:anchorlock/>
                </v:shape>
                <o:OLEObject Type="Embed" ProgID="Equation.3" ShapeID="_x0000_i1025" DrawAspect="Content" ObjectID="_1468075725" r:id="rId10">
                  <o:LockedField>false</o:LockedField>
                </o:OLEObject>
              </w:objec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其中：</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R——电机绕组的绝缘电阻，单位为兆欧（MΩ）；</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U——电机绕组的额定电压，单位为伏（V）；</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P——电机的额定功率，单位为千瓦（kW）或是千伏安（kVA）。</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计算的绝缘电阻低于0.38MΩ，则按0.38MΩ考核。</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82"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电机运转状况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电动机的不得出现下列情况之一：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a）电动机绕组短路、断路、烧毁；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b）电动机定子、转子严重磨损；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c）电动机不应有明显的异常声响，振动；</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d）电动机外壳或机座破裂。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电机运转温度</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过载（过热）保护</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电动机应有过载（过热）保护。</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电动机起动时端电压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防止超速的控制装置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65"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4</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联轴器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联轴器应安装良好。</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两轴的同轴度和端间隙</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径向跳动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轴向窜动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联接情况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5</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制动器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制动器设置情况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a）当动力电源切断后，停机过程时间较长或要求定位准确的游乐设施，应设制动装置。设备在制动停止后，应能使运动部件保持静止状态，必要时应设置辅助锁定装置。</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b）制动系统应保证游乐设施紧急停机时不产生较大冲击。制动停止后，应使运动部件、乘载系统保持静止状态且乘客处于安全状态，必要时应设置辅助锁紧装置或驻车装置。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制动器型式</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工作状况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运行正常，不应有明显的异常声响及振动。</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2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制动器处于安全状态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460"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维持电压</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紧急制动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紧急停机时，减速制动装置应保证设备不产生较大冲击，优先选惯性停车或能耗制动方式。设备停止后，运动部件应保持静止状态;必要时应设置辅助锁紧装置或驻车装置。减速制动过程应平稳，减速制动时间应满足设计要求。</w:t>
            </w:r>
          </w:p>
          <w:p>
            <w:pPr>
              <w:widowControl/>
              <w:tabs>
                <w:tab w:val="center" w:pos="4201"/>
                <w:tab w:val="right" w:leader="dot" w:pos="9298"/>
              </w:tabs>
              <w:jc w:val="left"/>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制动力矩</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制动器磨损情况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a）制动器的制动衬块与制动轮完全脱离；</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b）制动衬块严重磨损或者制动弹簧失效，导致制动力不足；</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c）受力结构件出现裂纹或者严重磨损；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d）制动器电磁线圈铁芯动作异常，出现卡阻现象；</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e）制动器电磁线圈防尘件破损；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f）制动闸衬的磨损量不大于原厚度的50%；                                 </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g）制动轮无划痕。</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6</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减速箱</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减速箱运转</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齿轮油</w:t>
            </w:r>
          </w:p>
        </w:tc>
        <w:tc>
          <w:tcPr>
            <w:tcW w:w="10269" w:type="dxa"/>
            <w:tcBorders>
              <w:top w:val="nil"/>
              <w:left w:val="nil"/>
              <w:bottom w:val="single" w:color="auto" w:sz="4" w:space="0"/>
              <w:right w:val="single" w:color="auto" w:sz="4" w:space="0"/>
            </w:tcBorders>
            <w:vAlign w:val="center"/>
          </w:tcPr>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按照《使用维护保养说明书》要求，选择适合的齿轮油并定期更换；                                                        </w:t>
            </w:r>
          </w:p>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轴伸出处无明显的渗漏油情况。</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传动轴、键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7</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润滑情况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应当有良好的润滑。</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啮合面状态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啮合接触斑点</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齿轮及齿条传动时，接触斑点百分率为：在齿高方向不小于40%，在齿长方向不小于50%。（GB 8408-2018，7.10.6，c）</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0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8</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皮带</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传动摩擦力足够，运行不打滑。</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皮带磨损情况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皮带是否磨损严重、裂纹、老化、扯皮等缺陷。</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1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是否可调或设置张紧机构</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应设置可调整皮带的张紧机构。</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91"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9</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滚子链</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链与链轮正确啮合。</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49"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驱动轮、承载轮及轨道</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 xml:space="preserve"> 采用周边传动的转马类游乐设施，其轨道表面应平整，轨道对接处间隙应不大于 2 mm，高低差应不超过1 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0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轨道晃动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采用周边传动的转马类游乐设施其轨道应过渡平滑，运行过程中不应有异常晃动。车体不应有异常振动。</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12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20"/>
              </w:rPr>
              <w:t>驱动轮、支承轮对轨面位置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采用周边传动的转马类游乐设施，其驱动轮和承载轮对轨道表面压力应适当。驱动轮和承载轮运动轨迹相对于轨道位置无明显偏差，导向轮与轨道的间隙应调整适当。</w:t>
            </w:r>
          </w:p>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液压、气动系统</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液压、气动系统设置</w:t>
            </w:r>
          </w:p>
        </w:tc>
        <w:tc>
          <w:tcPr>
            <w:tcW w:w="10269" w:type="dxa"/>
            <w:tcBorders>
              <w:top w:val="single" w:color="auto" w:sz="4" w:space="0"/>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a）每台（套）应设置单独的液压或气动系统；</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b）液压、气动或电力驱动装置启动和停止时，设备不应有异常的冲击振动；回转接头应转动灵活、密封可靠、维修方便；</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c）液压站或空压站设置位置应适当，且便于维修。</w:t>
            </w:r>
          </w:p>
          <w:p>
            <w:pPr>
              <w:widowControl/>
              <w:tabs>
                <w:tab w:val="center" w:pos="4201"/>
                <w:tab w:val="right" w:leader="dot" w:pos="9298"/>
              </w:tabs>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油管、气管</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管路应排列整齐、布置合理，管卡分布是否合理，弯管处应无过压、过弯现象，软管管长是否适中，捆扎应结实、无摩擦、固定可靠。</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接头</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液压及气动传动的回转接头转动应灵活，密封应可靠，维修应方便。</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液压油温检查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a）当环境温度最高时，油泵进口油的温度不应超过60℃。在环境温度最低时，设备应能正常工作。</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b）当工作环境温度最高时，油箱油温不应超过65℃。设备允许运行的环境温度范围内，设备应能正常工作。</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油质及油箱密封检查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b）使用的液压油应保证清洁无杂质，油箱密封良好。</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系统过压保护装置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系统渗漏情况</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液压系统不应渗漏油。气动系统不应明显漏气。</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乘人部分液压（气）缸失压或失速保护装置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乘人部分由油缸或气缸支撑升降，当压力管道、软管及泵等失效时，乘人部分下降速度不应大于0.5m/s，否则应设有效的缓冲装置或保护装置。（GB 8408-2018，6.6.3.4）</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5"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润滑、液压、气动等辅助系统的工作应正常，无渗漏现象。（GB 8408-2018，6.6.3.4，f）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19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6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Ⅰ-Ⅳ</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13.6</w:t>
            </w:r>
          </w:p>
        </w:tc>
        <w:tc>
          <w:tcPr>
            <w:tcW w:w="1130" w:type="dxa"/>
            <w:tcBorders>
              <w:top w:val="nil"/>
              <w:left w:val="nil"/>
              <w:bottom w:val="single" w:color="auto" w:sz="4" w:space="0"/>
              <w:right w:val="single" w:color="auto" w:sz="4" w:space="0"/>
            </w:tcBorders>
            <w:vAlign w:val="center"/>
          </w:tcPr>
          <w:p>
            <w:pPr>
              <w:rPr>
                <w:rFonts w:ascii="宋体" w:hAnsi="宋体"/>
                <w:kern w:val="0"/>
                <w:sz w:val="15"/>
                <w:szCs w:val="15"/>
              </w:rPr>
            </w:pPr>
            <w:r>
              <w:rPr>
                <w:rFonts w:hint="eastAsia"/>
                <w:sz w:val="18"/>
                <w:szCs w:val="21"/>
              </w:rPr>
              <w:t>回转支承面倾斜度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进出口门设置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对于转马系列游乐设施，二层及以上平台应单独设置进出口，进出口门的开口方向应与乘客进入方向一致。进出口门应设置锁紧装置，在运行过程中乘客不能自行打开，并具备防夹手功能。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曲柄轴结构</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转马系列游乐设施的曲柄轴结构应便于检修和更换。</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装饰物</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转动部分的装饰物等应与转动部分连接可靠。</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14</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Ⅲ</w:t>
            </w: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16</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a)乘人装置框架宜采用金属材料，座席宜采用橡胶、木质或玻璃钢材料。</w:t>
            </w:r>
          </w:p>
          <w:p>
            <w:pPr>
              <w:widowControl/>
              <w:rPr>
                <w:rFonts w:ascii="宋体" w:hAnsi="宋体"/>
                <w:kern w:val="0"/>
                <w:sz w:val="18"/>
                <w:szCs w:val="18"/>
              </w:rPr>
            </w:pPr>
            <w:r>
              <w:rPr>
                <w:rFonts w:hint="eastAsia" w:ascii="宋体" w:hAnsi="宋体"/>
                <w:kern w:val="0"/>
                <w:sz w:val="18"/>
                <w:szCs w:val="18"/>
              </w:rPr>
              <w:t>b)不易拆卸的乘人装置玻璃钢预埋件结构应在安装玻璃钢前进行质量检验，并留存相应的质量证明文件。</w:t>
            </w:r>
          </w:p>
          <w:p>
            <w:pPr>
              <w:widowControl/>
              <w:rPr>
                <w:rFonts w:ascii="宋体" w:hAnsi="宋体"/>
                <w:kern w:val="0"/>
                <w:sz w:val="18"/>
                <w:szCs w:val="18"/>
              </w:rPr>
            </w:pPr>
            <w:r>
              <w:rPr>
                <w:rFonts w:hint="eastAsia" w:ascii="宋体" w:hAnsi="宋体"/>
                <w:kern w:val="0"/>
                <w:sz w:val="18"/>
                <w:szCs w:val="18"/>
              </w:rPr>
              <w:t>c)对于存在乘客甩出风险的转转杯系列、旋转快车系列或其他型式转马系列游乐设施，其座舱宜设置拦挡物，保证乘客不能被甩出或滑出。</w:t>
            </w:r>
          </w:p>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2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6" o:spt="75" type="#_x0000_t75" style="height:15pt;width:6.95pt;" o:ole="t" filled="f" o:preferrelative="t" stroked="f" coordsize="21600,21600">
                        <v:path/>
                        <v:fill on="f" focussize="0,0"/>
                        <v:stroke on="f" joinstyle="miter"/>
                        <v:imagedata r:id="rId13" o:title=""/>
                        <o:lock v:ext="edit" aspectratio="t"/>
                        <w10:wrap type="none"/>
                        <w10:anchorlock/>
                      </v:shape>
                      <o:OLEObject Type="Embed" ProgID="Equation.3" ShapeID="_x0000_i1026" DrawAspect="Content" ObjectID="_1468075726" r:id="rId12">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27" o:spt="75" type="#_x0000_t75" style="height:15pt;width:8pt;" o:ole="t" filled="f" o:preferrelative="t" stroked="f" coordsize="21600,21600">
                        <v:path/>
                        <v:fill on="f" focussize="0,0"/>
                        <v:stroke on="f" joinstyle="miter"/>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0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a)乘客束缚装置应符合</w:t>
            </w:r>
            <w:r>
              <w:rPr>
                <w:rFonts w:ascii="宋体" w:hAnsi="宋体"/>
                <w:kern w:val="0"/>
                <w:sz w:val="18"/>
                <w:szCs w:val="18"/>
              </w:rPr>
              <w:t>GB 8408-2018</w:t>
            </w:r>
            <w:r>
              <w:rPr>
                <w:rFonts w:hint="eastAsia" w:ascii="宋体" w:hAnsi="宋体"/>
                <w:kern w:val="0"/>
                <w:sz w:val="18"/>
                <w:szCs w:val="18"/>
              </w:rPr>
              <w:t>中</w:t>
            </w:r>
            <w:r>
              <w:rPr>
                <w:rFonts w:ascii="宋体" w:hAnsi="宋体"/>
                <w:kern w:val="0"/>
                <w:sz w:val="18"/>
                <w:szCs w:val="18"/>
              </w:rPr>
              <w:t>6.8.2</w:t>
            </w:r>
            <w:r>
              <w:rPr>
                <w:rFonts w:hint="eastAsia" w:ascii="宋体" w:hAnsi="宋体"/>
                <w:kern w:val="0"/>
                <w:sz w:val="18"/>
                <w:szCs w:val="18"/>
              </w:rPr>
              <w:t>、</w:t>
            </w:r>
            <w:r>
              <w:rPr>
                <w:rFonts w:ascii="宋体" w:hAnsi="宋体"/>
                <w:kern w:val="0"/>
                <w:sz w:val="18"/>
                <w:szCs w:val="18"/>
              </w:rPr>
              <w:t>6.8.3</w:t>
            </w:r>
            <w:r>
              <w:rPr>
                <w:rFonts w:hint="eastAsia" w:ascii="宋体" w:hAnsi="宋体"/>
                <w:kern w:val="0"/>
                <w:sz w:val="18"/>
                <w:szCs w:val="18"/>
              </w:rPr>
              <w:t>的规定；</w:t>
            </w:r>
          </w:p>
          <w:p>
            <w:pPr>
              <w:widowControl/>
              <w:rPr>
                <w:rFonts w:ascii="宋体" w:hAnsi="宋体"/>
                <w:kern w:val="0"/>
                <w:sz w:val="18"/>
                <w:szCs w:val="18"/>
              </w:rPr>
            </w:pPr>
            <w:r>
              <w:rPr>
                <w:rFonts w:hint="eastAsia" w:ascii="宋体" w:hAnsi="宋体"/>
                <w:kern w:val="0"/>
                <w:sz w:val="18"/>
                <w:szCs w:val="18"/>
              </w:rPr>
              <w:t>b)满足《市场监管总局办公厅关于开展大型游乐设施乘客束缚装置安全隐患专项排查治理的通知》（市监特[2018]42号）文件的要求。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安全把手和脚踏装置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转马系列游乐设施应设置安全把手和具有防滑功能的脚踏装置，且能保证儿童有效上下和踩踏。骑乘式座席应能保证乘客有效骑跨，双脚能有效蹬踏脚踏装置。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安全距离</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对于有乘客束缚装置的转马类游乐设施，安全距离为座椅外侧内表面向外不小于500 mm;对于转动平台未设置栅栏且无乘客束缚装置的游乐设施，安全距离为转动平台最外侧向外不小于 500 mm。对于转马系列游乐设施，运行过程中，乘骑物座席面上表面与上方障碍物的垂直距离应不小于1 400 mm;下表面与转动平台的垂直距离应不小于90 mm;对转转杯系列游乐设施，外围栏杆与杯体最外侧间距宜大于杯体最大外径尺寸。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坐席间距</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对于转马系列游乐设施，供儿童乘坐的骑乘式座席旁应有足够的空间供成人监护站立，骑乘式座席之间最小间距应不小于400 mm;骑乘式座席各处应圆滑过渡;骑乘装置上下运动、前后运动不应挤伤或夹伤乘客。</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转动平台与固定部分间隙</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sz w:val="18"/>
                <w:szCs w:val="21"/>
              </w:rPr>
              <w:t>转动平台与固定部分之间的间隙，水平方向应不大于</w:t>
            </w:r>
            <w:r>
              <w:rPr>
                <w:rFonts w:hint="eastAsia" w:ascii="宋体" w:hAnsi="宋体" w:cs="宋体"/>
                <w:sz w:val="18"/>
                <w:szCs w:val="21"/>
              </w:rPr>
              <w:t>30mm</w:t>
            </w:r>
            <w:r>
              <w:rPr>
                <w:rFonts w:hint="eastAsia"/>
                <w:sz w:val="18"/>
                <w:szCs w:val="21"/>
              </w:rPr>
              <w:t>。若转动平台高于固定部分，其垂直方向的间隙应适当并设置防护措施。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转动平台</w:t>
            </w:r>
          </w:p>
        </w:tc>
        <w:tc>
          <w:tcPr>
            <w:tcW w:w="10269"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转动平台宜为平面结构，且应设有防滑措施，不宜设置台阶。特殊座椅型式需要台阶时，不应多于2阶。</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乘客操作电器开关</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17</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Cs/>
                <w:kern w:val="0"/>
                <w:sz w:val="18"/>
                <w:szCs w:val="18"/>
              </w:rPr>
              <w:t>18供电设备</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269" w:type="dxa"/>
            <w:tcBorders>
              <w:top w:val="nil"/>
              <w:left w:val="nil"/>
              <w:bottom w:val="single" w:color="auto" w:sz="4" w:space="0"/>
              <w:right w:val="single" w:color="auto" w:sz="4" w:space="0"/>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Ⅰ-Ⅲ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48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8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269" w:type="dxa"/>
            <w:tcBorders>
              <w:top w:val="nil"/>
              <w:left w:val="nil"/>
              <w:bottom w:val="single" w:color="auto" w:sz="4" w:space="0"/>
              <w:right w:val="single" w:color="auto" w:sz="4" w:space="0"/>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3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18.16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19</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778"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05"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A</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7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269" w:type="dxa"/>
            <w:tcBorders>
              <w:top w:val="nil"/>
              <w:left w:val="nil"/>
              <w:bottom w:val="single" w:color="auto" w:sz="4" w:space="0"/>
              <w:right w:val="single" w:color="auto" w:sz="4" w:space="0"/>
            </w:tcBorders>
            <w:vAlign w:val="center"/>
          </w:tcPr>
          <w:p>
            <w:pPr>
              <w:rPr>
                <w:sz w:val="18"/>
                <w:szCs w:val="21"/>
              </w:rPr>
            </w:pPr>
            <w:r>
              <w:rPr>
                <w:rFonts w:hint="eastAsia" w:ascii="宋体" w:hAnsi="宋体"/>
                <w:kern w:val="0"/>
                <w:sz w:val="18"/>
                <w:szCs w:val="20"/>
              </w:rPr>
              <w:t>a)</w:t>
            </w:r>
            <w:bookmarkStart w:id="51" w:name="_GoBack"/>
            <w:bookmarkEnd w:id="51"/>
            <w:r>
              <w:rPr>
                <w:rFonts w:hint="default" w:ascii="宋体"/>
                <w:sz w:val="18"/>
                <w:szCs w:val="21"/>
                <w:lang w:val="e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sz w:val="18"/>
                <w:szCs w:val="21"/>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p>
          <w:p>
            <w:pPr>
              <w:widowControl/>
              <w:rPr>
                <w:rFonts w:ascii="宋体" w:hAnsi="宋体"/>
                <w:kern w:val="0"/>
                <w:sz w:val="18"/>
                <w:szCs w:val="18"/>
              </w:rPr>
            </w:pPr>
            <w:r>
              <w:rPr>
                <w:rFonts w:hint="eastAsia"/>
                <w:sz w:val="18"/>
                <w:szCs w:val="21"/>
              </w:rPr>
              <w:t>d）</w:t>
            </w:r>
            <w:r>
              <w:rPr>
                <w:rFonts w:hint="eastAsia" w:ascii="宋体" w:hAnsi="宋体"/>
                <w:kern w:val="0"/>
                <w:sz w:val="18"/>
                <w:szCs w:val="18"/>
              </w:rPr>
              <w:t>对于转马系列游乐设施，多层转马的转动平台允许独立转动时，应设置单独的控制模式;二层及以上转动平台启动时应设置安全确认按钮，并与设备启动联锁;自动停止时转动平台进出口应能与楼梯进出口自动对齐。</w:t>
            </w:r>
            <w:r>
              <w:rPr>
                <w:rFonts w:hint="eastAsia"/>
                <w:sz w:val="18"/>
                <w:szCs w:val="18"/>
              </w:rPr>
              <w:t xml:space="preserve">  </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20</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21.2</w:t>
            </w:r>
          </w:p>
        </w:tc>
        <w:tc>
          <w:tcPr>
            <w:tcW w:w="1130"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sz w:val="18"/>
                <w:szCs w:val="21"/>
              </w:rPr>
              <w:t>乘人部分与障碍物间的安全距离</w:t>
            </w:r>
          </w:p>
        </w:tc>
        <w:tc>
          <w:tcPr>
            <w:tcW w:w="10269"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269" w:type="dxa"/>
            <w:tcBorders>
              <w:top w:val="nil"/>
              <w:left w:val="nil"/>
              <w:bottom w:val="single" w:color="auto" w:sz="4" w:space="0"/>
              <w:right w:val="single" w:color="auto" w:sz="4" w:space="0"/>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转马类游乐设施应设置视频监控系统，监控系统应处于可用状态，监控显示画面应清晰无干扰，用于观察乘客上下及设备运行的全部情况；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且与启动联锁。</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269"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46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925"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2494"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Ⅳ</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825"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269"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5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C</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Ⅲ</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269"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60"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D</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Ⅱ</w:t>
            </w: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r>
              <w:rPr>
                <w:rFonts w:hint="eastAsia" w:ascii="宋体" w:hAnsi="宋体"/>
                <w:kern w:val="0"/>
                <w:sz w:val="18"/>
                <w:szCs w:val="18"/>
              </w:rPr>
              <w:t>　</w:t>
            </w:r>
          </w:p>
        </w:tc>
      </w:tr>
    </w:tbl>
    <w:p>
      <w:pPr>
        <w:pStyle w:val="24"/>
        <w:ind w:firstLine="0" w:firstLineChars="0"/>
        <w:sectPr>
          <w:pgSz w:w="16838" w:h="11906" w:orient="landscape"/>
          <w:pgMar w:top="1418" w:right="567" w:bottom="1134" w:left="1134" w:header="1418" w:footer="1134" w:gutter="0"/>
          <w:cols w:space="720" w:num="1"/>
          <w:formProt w:val="0"/>
          <w:docGrid w:linePitch="312" w:charSpace="0"/>
        </w:sectPr>
      </w:pPr>
    </w:p>
    <w:bookmarkEnd w:id="36"/>
    <w:bookmarkEnd w:id="37"/>
    <w:bookmarkEnd w:id="38"/>
    <w:bookmarkEnd w:id="39"/>
    <w:bookmarkEnd w:id="40"/>
    <w:bookmarkEnd w:id="41"/>
    <w:bookmarkEnd w:id="42"/>
    <w:p>
      <w:pPr>
        <w:tabs>
          <w:tab w:val="center" w:pos="4201"/>
          <w:tab w:val="right" w:leader="dot" w:pos="9298"/>
        </w:tabs>
        <w:spacing w:line="360" w:lineRule="auto"/>
        <w:jc w:val="center"/>
      </w:pPr>
      <w:r>
        <w:rPr>
          <w:rFonts w:hint="eastAsia" w:ascii="黑体" w:hAnsi="黑体" w:eastAsia="黑体" w:cs="黑体"/>
        </w:rPr>
        <w:t>表 A.2 使用管理评估项目、内容及要求</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68"/>
        <w:gridCol w:w="2100"/>
        <w:gridCol w:w="7770"/>
        <w:gridCol w:w="4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trPr>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序号</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评估内容</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 w:val="18"/>
                <w:szCs w:val="18"/>
              </w:rPr>
            </w:pPr>
            <w:r>
              <w:rPr>
                <w:rFonts w:hint="eastAsia" w:hAnsi="宋体"/>
                <w:b/>
                <w:sz w:val="18"/>
                <w:szCs w:val="18"/>
              </w:rPr>
              <w:t>评估要求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b/>
                <w:szCs w:val="18"/>
              </w:rPr>
            </w:pPr>
            <w:r>
              <w:rPr>
                <w:rFonts w:hint="eastAsia" w:hAnsi="宋体"/>
                <w:b/>
                <w:szCs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1</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使用登记证有效性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设备在投入使用前或投入使用后30日内应办理使用登记证，并且置于显著位置。</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2</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制造、安装、改造、修理单位资质合法性</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从事大型游乐设施制造、安装、修理的单位，必须依据《中华人民共和国特种设备安全法》取得相应的许可资质，并且在许可的范围内从事相应的工作。</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center"/>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3</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建立安全管理制度情况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应当建立健全安全管理制度，并严格执行，安全管理制度至少包括以下内容：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a)安全管理机构及相关人员的岗位职责；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b)技术档案管理制度；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c)设备管理制度（含设备采购、安装、改造、修理、维护保养、使用、报废等制度）；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d)安全操作规程；</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e)经常性维护保养、定期自行检查和有关记录制度；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f)使用登记、法定检验定期报检制度；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g)隐患排查治理制度；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h)作业和服务人员守则；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i)安全管理人员、作业人员及相关运营服务人员安全培训考核制度；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j)应急救援管理制度（含应急救援演练制度）；</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k)意外事件和事故报告及处理制度。</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4</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安全管理制度落实情况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a)是否设置安全管理机构及配备安全管理人员，明确了各级管理机构、安全管理人员、作业人员等相关人员的岗位职责；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b)设备技术档案是否存档良好、齐全；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c)是否明确了设备采购、安装、改造、修理、维护保养、使用、报废等的制度要求，设备的出厂铭牌、改造铭牌、《安全使用标识》、安全注意事项（含乘客须知）、警示标志是否置于显著位置；</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d)操作规程应符合设备运行特点，应包括设备运行参数、操作程序和方法、维护保养要求、安全注意事项、巡回检查和异常情况处置规定及相应记录；</w:t>
            </w:r>
          </w:p>
          <w:p>
            <w:pPr>
              <w:pStyle w:val="24"/>
              <w:widowControl w:val="0"/>
              <w:spacing w:line="360" w:lineRule="auto"/>
              <w:ind w:firstLine="0" w:firstLineChars="0"/>
              <w:jc w:val="left"/>
              <w:outlineLvl w:val="2"/>
              <w:rPr>
                <w:rFonts w:hAnsi="宋体" w:cs="Arial"/>
                <w:sz w:val="18"/>
                <w:szCs w:val="18"/>
                <w:shd w:val="clear" w:color="auto" w:fill="FFFFFF"/>
              </w:rPr>
            </w:pPr>
            <w:r>
              <w:rPr>
                <w:rFonts w:hint="eastAsia" w:hAnsi="宋体"/>
                <w:sz w:val="18"/>
                <w:szCs w:val="18"/>
              </w:rPr>
              <w:t>e)是否按照设备《使用维护保养说明书》制定了维护保养、定期自行检查的制度要求，明确了时间频次、项目、内容要求等，并且记录完善，</w:t>
            </w:r>
            <w:r>
              <w:rPr>
                <w:rFonts w:hint="eastAsia" w:hAnsi="宋体" w:cs="Arial"/>
                <w:sz w:val="18"/>
                <w:szCs w:val="18"/>
                <w:shd w:val="clear" w:color="auto" w:fill="FFFFFF"/>
              </w:rPr>
              <w:t>在国家</w:t>
            </w:r>
            <w:r>
              <w:rPr>
                <w:rFonts w:hAnsi="宋体" w:cs="Arial"/>
                <w:sz w:val="18"/>
                <w:szCs w:val="18"/>
                <w:shd w:val="clear" w:color="auto" w:fill="FFFFFF"/>
              </w:rPr>
              <w:t>法定节假日</w:t>
            </w:r>
            <w:r>
              <w:rPr>
                <w:rFonts w:hint="eastAsia" w:hAnsi="宋体"/>
                <w:sz w:val="18"/>
                <w:szCs w:val="18"/>
              </w:rPr>
              <w:t>或举行大型群众性活动前，运营使用单位应当对</w:t>
            </w:r>
            <w:r>
              <w:rPr>
                <w:rFonts w:hAnsi="宋体" w:cs="Arial"/>
                <w:sz w:val="18"/>
                <w:szCs w:val="18"/>
                <w:shd w:val="clear" w:color="auto" w:fill="FFFFFF"/>
              </w:rPr>
              <w:t>大型游乐设施</w:t>
            </w:r>
            <w:r>
              <w:rPr>
                <w:rFonts w:hint="eastAsia" w:hAnsi="宋体"/>
                <w:sz w:val="18"/>
                <w:szCs w:val="18"/>
              </w:rPr>
              <w:t>进行全面检查维护</w:t>
            </w:r>
            <w:r>
              <w:rPr>
                <w:rFonts w:hint="eastAsia" w:hAnsi="宋体" w:cs="Arial"/>
                <w:sz w:val="18"/>
                <w:szCs w:val="18"/>
                <w:shd w:val="clear" w:color="auto" w:fill="FFFFFF"/>
              </w:rPr>
              <w:t>；</w:t>
            </w:r>
          </w:p>
          <w:p>
            <w:pPr>
              <w:pStyle w:val="24"/>
              <w:widowControl w:val="0"/>
              <w:spacing w:line="360" w:lineRule="auto"/>
              <w:ind w:firstLine="0" w:firstLineChars="0"/>
              <w:jc w:val="left"/>
              <w:outlineLvl w:val="2"/>
              <w:rPr>
                <w:rFonts w:hAnsi="宋体"/>
                <w:sz w:val="18"/>
                <w:szCs w:val="18"/>
              </w:rPr>
            </w:pPr>
            <w:r>
              <w:rPr>
                <w:rFonts w:hint="eastAsia" w:hAnsi="宋体"/>
                <w:sz w:val="18"/>
                <w:szCs w:val="18"/>
                <w:shd w:val="clear" w:color="auto" w:fill="FFFFFF"/>
              </w:rPr>
              <w:t>f</w:t>
            </w:r>
            <w:r>
              <w:rPr>
                <w:rFonts w:hint="eastAsia" w:hAnsi="宋体"/>
                <w:sz w:val="18"/>
                <w:szCs w:val="18"/>
              </w:rPr>
              <w:t>)明确了设备安装、改造、大修后应进行监督检验的要求，设备每年应进行定期检验的要求，并且应提前1个月向检验机构报检；</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g)应明确隐患排查的人员、项目、开展时间，明确发现的隐患需采取的处置措施；</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h)应明确作业和服务人员的职责及权利；</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i)应明确安全管理人员、作业人员、服务人员等的安全培训、考核的计划及内容，并记录；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j)</w:t>
            </w:r>
            <w:r>
              <w:rPr>
                <w:rFonts w:hint="eastAsia" w:hAnsi="宋体" w:cs="Arial"/>
                <w:sz w:val="18"/>
                <w:szCs w:val="18"/>
                <w:shd w:val="clear" w:color="auto" w:fill="FFFFFF"/>
              </w:rPr>
              <w:t>运营使用单位应当制定应急预案，建立应急救援指挥机构，配备相应的救援人员、营救设备和急救物品。每台应有</w:t>
            </w:r>
            <w:r>
              <w:rPr>
                <w:rFonts w:hint="eastAsia" w:hAnsi="宋体"/>
                <w:sz w:val="18"/>
                <w:szCs w:val="18"/>
              </w:rPr>
              <w:t>应急专项预案，每年每台设备至少应进行一次应急救援演练并记录；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k)意外事件和事故的报告及处理应符合《特种设备事故报告和调查处理规定》的要求。</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5</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安全管理人员职责履行情况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shd w:val="clear" w:color="auto" w:fill="FFFFFF"/>
              </w:rPr>
            </w:pPr>
            <w:r>
              <w:rPr>
                <w:rFonts w:hint="eastAsia" w:hAnsi="宋体"/>
                <w:sz w:val="18"/>
                <w:szCs w:val="18"/>
                <w:shd w:val="clear" w:color="auto" w:fill="FFFFFF"/>
              </w:rPr>
              <w:t>安全管理人员应当履行以下职责：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a)负责检查本单位各项安全管理制度的落实情况；</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b)负责制定并落实设备维护保养及安全检查计划；</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c)负责设备使用状况日常检查，排查事故隐患，发现问题应当停止使用设备，并及时报告本单位有关负责人；</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d)负责组织设备自检，申报使用登记和定期检验；</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e)负责组织应急救援演习；</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f)负责组织本单位人员的安全教育和培训；</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g)负责技术档案的管理。</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6</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Ansi="宋体"/>
                <w:sz w:val="18"/>
                <w:szCs w:val="18"/>
              </w:rPr>
              <w:t>操作人员的职责履行情况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操作人员应当履行以下职责：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a)严格执行操作规程和操作人员守则；</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b)每次运行前应当向乘客告知安全注意事项，对保护乘客的安全装置进行检查确认；</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c)运行时应当密切注意乘客动态及设备运行状态，发现不正常情况，应当立即采取有效措施，消除安全隐患；</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d)熟悉应急救援流程。发生故障或突发事件，应当立即停止运行或采取紧急措施保护乘客，并立即向现场安全管理人员报告；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e)如实记录设备的运行情况。</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68" w:type="dxa"/>
            <w:tcBorders>
              <w:top w:val="single" w:color="auto" w:sz="4" w:space="0"/>
              <w:left w:val="single" w:color="auto" w:sz="4" w:space="0"/>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7</w:t>
            </w:r>
          </w:p>
        </w:tc>
        <w:tc>
          <w:tcPr>
            <w:tcW w:w="210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center"/>
              <w:outlineLvl w:val="2"/>
              <w:rPr>
                <w:rFonts w:hAnsi="宋体"/>
                <w:sz w:val="18"/>
                <w:szCs w:val="18"/>
              </w:rPr>
            </w:pPr>
            <w:r>
              <w:rPr>
                <w:rFonts w:hint="eastAsia" w:hAnsi="宋体"/>
                <w:sz w:val="18"/>
                <w:szCs w:val="18"/>
              </w:rPr>
              <w:t>建立安全技术档案情况</w:t>
            </w:r>
          </w:p>
        </w:tc>
        <w:tc>
          <w:tcPr>
            <w:tcW w:w="7770" w:type="dxa"/>
            <w:tcBorders>
              <w:top w:val="single" w:color="auto" w:sz="4" w:space="0"/>
              <w:left w:val="nil"/>
              <w:bottom w:val="single" w:color="auto" w:sz="4" w:space="0"/>
              <w:right w:val="single" w:color="auto" w:sz="4" w:space="0"/>
            </w:tcBorders>
            <w:vAlign w:val="center"/>
          </w:tcPr>
          <w:p>
            <w:pPr>
              <w:pStyle w:val="24"/>
              <w:widowControl w:val="0"/>
              <w:spacing w:line="360" w:lineRule="auto"/>
              <w:ind w:firstLine="0" w:firstLineChars="0"/>
              <w:jc w:val="left"/>
              <w:outlineLvl w:val="2"/>
              <w:rPr>
                <w:rFonts w:hAnsi="宋体"/>
                <w:sz w:val="18"/>
                <w:szCs w:val="18"/>
              </w:rPr>
            </w:pPr>
            <w:r>
              <w:rPr>
                <w:rFonts w:hint="eastAsia" w:hAnsi="宋体"/>
                <w:sz w:val="18"/>
                <w:szCs w:val="18"/>
              </w:rPr>
              <w:t>技术档案应当包括以下主要内容：</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a)施工技术资料（设计文件，产品质量合格证明，安装及使用维护保养说明书，设计文件鉴定报告，型式试验报告，安装、改造或修理的方案，图样，材料质量证明书，施工质量证明文件等）；</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b)监督检验报告、定期检验报告；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c)使用登记证、使用登记表；</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d)定期自行检查的记录、日常运行及状况记录、维护保养记录；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e)安全附录和安全保护装置校验、检修、更换记录和有关报告；</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f)应急救援演练记录；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g)设备故障与事故处理记录；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h)作业人员培训、考核和证书管理记录；</w:t>
            </w:r>
          </w:p>
          <w:p>
            <w:pPr>
              <w:pStyle w:val="24"/>
              <w:widowControl w:val="0"/>
              <w:spacing w:line="360" w:lineRule="auto"/>
              <w:ind w:firstLine="0" w:firstLineChars="0"/>
              <w:jc w:val="left"/>
              <w:outlineLvl w:val="2"/>
              <w:rPr>
                <w:rFonts w:hAnsi="宋体"/>
                <w:sz w:val="18"/>
                <w:szCs w:val="18"/>
              </w:rPr>
            </w:pPr>
            <w:r>
              <w:rPr>
                <w:rFonts w:hint="eastAsia" w:hAnsi="宋体"/>
                <w:sz w:val="18"/>
                <w:szCs w:val="18"/>
              </w:rPr>
              <w:t>i)法律法规规定的其他内容。</w:t>
            </w:r>
          </w:p>
        </w:tc>
        <w:tc>
          <w:tcPr>
            <w:tcW w:w="4095" w:type="dxa"/>
            <w:tcBorders>
              <w:top w:val="single" w:color="auto" w:sz="4" w:space="0"/>
              <w:left w:val="nil"/>
              <w:bottom w:val="single" w:color="auto" w:sz="4" w:space="0"/>
              <w:right w:val="single" w:color="auto" w:sz="4" w:space="0"/>
            </w:tcBorders>
            <w:vAlign w:val="center"/>
          </w:tcPr>
          <w:p>
            <w:pPr>
              <w:pStyle w:val="24"/>
              <w:widowControl w:val="0"/>
              <w:spacing w:line="360" w:lineRule="auto"/>
              <w:jc w:val="left"/>
              <w:outlineLvl w:val="2"/>
              <w:rPr>
                <w:rFonts w:hAnsi="宋体"/>
                <w:szCs w:val="21"/>
              </w:rPr>
            </w:pPr>
          </w:p>
        </w:tc>
      </w:tr>
    </w:tbl>
    <w:p>
      <w:pPr>
        <w:pStyle w:val="24"/>
      </w:pPr>
    </w:p>
    <w:p>
      <w:pPr>
        <w:pStyle w:val="24"/>
        <w:sectPr>
          <w:footerReference r:id="rId7" w:type="default"/>
          <w:pgSz w:w="16838" w:h="11906" w:orient="landscape"/>
          <w:pgMar w:top="1418" w:right="567" w:bottom="1134" w:left="1134" w:header="1418" w:footer="1134" w:gutter="0"/>
          <w:pgNumType w:start="1"/>
          <w:cols w:space="720" w:num="1"/>
          <w:docGrid w:linePitch="312" w:charSpace="0"/>
        </w:sectPr>
      </w:pPr>
    </w:p>
    <w:p>
      <w:pPr>
        <w:pStyle w:val="24"/>
        <w:sectPr>
          <w:type w:val="continuous"/>
          <w:pgSz w:w="16838" w:h="11906" w:orient="landscape"/>
          <w:pgMar w:top="1418" w:right="567" w:bottom="1134" w:left="1134" w:header="1418" w:footer="1134" w:gutter="0"/>
          <w:cols w:space="720" w:num="1"/>
          <w:formProt w:val="0"/>
          <w:docGrid w:linePitch="312" w:charSpace="0"/>
        </w:sectPr>
      </w:pPr>
    </w:p>
    <w:p>
      <w:pPr>
        <w:pStyle w:val="121"/>
        <w:rPr>
          <w:color w:val="auto"/>
        </w:rPr>
      </w:pPr>
    </w:p>
    <w:p>
      <w:pPr>
        <w:pStyle w:val="80"/>
        <w:rPr>
          <w:color w:val="auto"/>
        </w:rPr>
      </w:pPr>
    </w:p>
    <w:p>
      <w:pPr>
        <w:pStyle w:val="50"/>
      </w:pP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（资料性附录）</w:t>
      </w:r>
    </w:p>
    <w:p>
      <w:pPr>
        <w:tabs>
          <w:tab w:val="center" w:pos="4201"/>
          <w:tab w:val="right" w:leader="dot" w:pos="9298"/>
        </w:tabs>
        <w:spacing w:line="360" w:lineRule="auto"/>
        <w:jc w:val="center"/>
        <w:rPr>
          <w:rFonts w:ascii="黑体" w:hAnsi="黑体" w:eastAsia="黑体" w:cs="黑体"/>
        </w:rPr>
      </w:pPr>
      <w:r>
        <w:rPr>
          <w:rFonts w:hint="eastAsia" w:ascii="黑体" w:hAnsi="黑体" w:eastAsia="黑体" w:cs="黑体"/>
        </w:rPr>
        <w:t>在用转马类大型游乐设施安全评估报告格式</w:t>
      </w:r>
    </w:p>
    <w:p>
      <w:pPr>
        <w:tabs>
          <w:tab w:val="center" w:pos="4201"/>
          <w:tab w:val="right" w:leader="dot" w:pos="9298"/>
        </w:tabs>
        <w:spacing w:line="360" w:lineRule="auto"/>
        <w:ind w:firstLine="420" w:firstLineChars="200"/>
        <w:rPr>
          <w:rFonts w:ascii="宋体" w:hAnsi="宋体" w:cs="宋体"/>
        </w:rPr>
      </w:pPr>
      <w:r>
        <w:rPr>
          <w:rFonts w:hint="eastAsia" w:ascii="黑体" w:hAnsi="黑体" w:eastAsia="黑体" w:cs="黑体"/>
        </w:rPr>
        <w:t>在用转马类</w:t>
      </w:r>
      <w:r>
        <w:rPr>
          <w:rFonts w:hint="eastAsia" w:ascii="宋体" w:hAnsi="宋体" w:cs="宋体"/>
        </w:rPr>
        <w:t>大型游乐设施安全评估报告格式见表B。</w:t>
      </w:r>
    </w:p>
    <w:p>
      <w:pPr>
        <w:tabs>
          <w:tab w:val="center" w:pos="4201"/>
          <w:tab w:val="right" w:leader="dot" w:pos="9298"/>
        </w:tabs>
        <w:spacing w:line="360" w:lineRule="auto"/>
        <w:jc w:val="center"/>
      </w:pPr>
      <w:r>
        <w:rPr>
          <w:rFonts w:hint="eastAsia" w:ascii="黑体" w:hAnsi="黑体" w:eastAsia="黑体" w:cs="黑体"/>
        </w:rPr>
        <w:t>表 B 在用转马类大型游乐设施安全评估报告（格式）</w:t>
      </w:r>
    </w:p>
    <w:tbl>
      <w:tblPr>
        <w:tblStyle w:val="33"/>
        <w:tblW w:w="0" w:type="auto"/>
        <w:tblInd w:w="98"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9752"/>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3" w:hRule="atLeast"/>
        </w:trPr>
        <w:tc>
          <w:tcPr>
            <w:tcW w:w="9752" w:type="dxa"/>
            <w:tcBorders>
              <w:top w:val="single" w:color="auto" w:sz="4" w:space="0"/>
              <w:left w:val="single" w:color="auto" w:sz="4" w:space="0"/>
              <w:bottom w:val="nil"/>
              <w:right w:val="single" w:color="auto" w:sz="4" w:space="0"/>
            </w:tcBorders>
            <w:tcMar>
              <w:top w:w="0" w:type="dxa"/>
              <w:left w:w="108" w:type="dxa"/>
              <w:bottom w:w="0" w:type="dxa"/>
              <w:right w:w="108" w:type="dxa"/>
            </w:tcMar>
          </w:tcPr>
          <w:p>
            <w:pPr>
              <w:spacing w:line="360" w:lineRule="auto"/>
              <w:rPr>
                <w:rFonts w:ascii="宋体" w:hAnsi="宋体"/>
              </w:rPr>
            </w:pPr>
          </w:p>
          <w:p>
            <w:pPr>
              <w:spacing w:line="360" w:lineRule="auto"/>
              <w:ind w:right="840"/>
              <w:jc w:val="center"/>
              <w:rPr>
                <w:szCs w:val="21"/>
              </w:rPr>
            </w:pPr>
            <w:r>
              <w:rPr>
                <w:rFonts w:hint="eastAsia" w:ascii="宋体" w:hAnsi="宋体"/>
              </w:rPr>
              <w:t xml:space="preserve">                                                        报告编号</w:t>
            </w:r>
            <w:r>
              <w:rPr>
                <w:rFonts w:hint="eastAsia"/>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1102"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bottom"/>
          </w:tcPr>
          <w:p>
            <w:pPr>
              <w:adjustRightInd w:val="0"/>
              <w:snapToGrid w:val="0"/>
              <w:spacing w:line="360" w:lineRule="auto"/>
              <w:jc w:val="center"/>
              <w:rPr>
                <w:sz w:val="72"/>
                <w:szCs w:val="72"/>
              </w:rPr>
            </w:pPr>
            <w:r>
              <w:rPr>
                <w:rFonts w:hint="eastAsia" w:ascii="黑体" w:hAnsi="黑体" w:eastAsia="黑体"/>
                <w:sz w:val="48"/>
                <w:szCs w:val="48"/>
              </w:rPr>
              <w:t>转马类大型游乐设施安全评估报告</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7427" w:hRule="atLeast"/>
        </w:trPr>
        <w:tc>
          <w:tcPr>
            <w:tcW w:w="9752" w:type="dxa"/>
            <w:tcBorders>
              <w:top w:val="nil"/>
              <w:left w:val="single" w:color="auto" w:sz="4" w:space="0"/>
              <w:bottom w:val="nil"/>
              <w:right w:val="single" w:color="auto" w:sz="4" w:space="0"/>
            </w:tcBorders>
            <w:tcMar>
              <w:top w:w="0" w:type="dxa"/>
              <w:left w:w="108" w:type="dxa"/>
              <w:bottom w:w="0" w:type="dxa"/>
              <w:right w:w="108" w:type="dxa"/>
            </w:tcMar>
            <w:vAlign w:val="center"/>
          </w:tcPr>
          <w:p>
            <w:pPr>
              <w:spacing w:line="360" w:lineRule="auto"/>
            </w:pPr>
          </w:p>
          <w:p>
            <w:pPr>
              <w:spacing w:line="360" w:lineRule="auto"/>
              <w:jc w:val="center"/>
            </w:pPr>
          </w:p>
          <w:tbl>
            <w:tblPr>
              <w:tblStyle w:val="33"/>
              <w:tblW w:w="0" w:type="auto"/>
              <w:jc w:val="center"/>
              <w:tblLayout w:type="fixed"/>
              <w:tblCellMar>
                <w:top w:w="28" w:type="dxa"/>
                <w:left w:w="108" w:type="dxa"/>
                <w:bottom w:w="28" w:type="dxa"/>
                <w:right w:w="108" w:type="dxa"/>
              </w:tblCellMar>
            </w:tblPr>
            <w:tblGrid>
              <w:gridCol w:w="2391"/>
              <w:gridCol w:w="4308"/>
            </w:tblGrid>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使 用 单 位：</w:t>
                  </w:r>
                </w:p>
              </w:tc>
              <w:tc>
                <w:tcPr>
                  <w:tcW w:w="4308" w:type="dxa"/>
                  <w:tcBorders>
                    <w:top w:val="nil"/>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委 托 单 位：</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注 册 代 码：</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设 备 名 称：</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r>
              <w:tblPrEx>
                <w:tblCellMar>
                  <w:top w:w="28" w:type="dxa"/>
                  <w:left w:w="108" w:type="dxa"/>
                  <w:bottom w:w="28" w:type="dxa"/>
                  <w:right w:w="108" w:type="dxa"/>
                </w:tblCellMar>
              </w:tblPrEx>
              <w:trPr>
                <w:trHeight w:val="567" w:hRule="atLeast"/>
                <w:jc w:val="center"/>
              </w:trPr>
              <w:tc>
                <w:tcPr>
                  <w:tcW w:w="2391" w:type="dxa"/>
                  <w:tcBorders>
                    <w:top w:val="nil"/>
                    <w:left w:val="nil"/>
                    <w:bottom w:val="nil"/>
                    <w:right w:val="nil"/>
                  </w:tcBorders>
                  <w:vAlign w:val="bottom"/>
                </w:tcPr>
                <w:p>
                  <w:pPr>
                    <w:adjustRightInd w:val="0"/>
                    <w:snapToGrid w:val="0"/>
                    <w:spacing w:line="360" w:lineRule="auto"/>
                    <w:jc w:val="center"/>
                    <w:rPr>
                      <w:rFonts w:ascii="华文楷体" w:hAnsi="华文楷体"/>
                      <w:sz w:val="28"/>
                      <w:szCs w:val="28"/>
                    </w:rPr>
                  </w:pPr>
                  <w:r>
                    <w:rPr>
                      <w:rFonts w:ascii="华文楷体" w:hAnsi="华文楷体"/>
                      <w:sz w:val="28"/>
                      <w:szCs w:val="28"/>
                    </w:rPr>
                    <w:t>评 估 日 期：</w:t>
                  </w:r>
                </w:p>
              </w:tc>
              <w:tc>
                <w:tcPr>
                  <w:tcW w:w="4308" w:type="dxa"/>
                  <w:tcBorders>
                    <w:top w:val="single" w:color="auto" w:sz="4" w:space="0"/>
                    <w:left w:val="nil"/>
                    <w:bottom w:val="single" w:color="auto" w:sz="4" w:space="0"/>
                    <w:right w:val="nil"/>
                  </w:tcBorders>
                  <w:tcMar>
                    <w:top w:w="28" w:type="dxa"/>
                    <w:left w:w="0" w:type="dxa"/>
                    <w:bottom w:w="28" w:type="dxa"/>
                    <w:right w:w="0" w:type="dxa"/>
                  </w:tcMar>
                  <w:vAlign w:val="bottom"/>
                </w:tcPr>
                <w:p>
                  <w:pPr>
                    <w:adjustRightInd w:val="0"/>
                    <w:snapToGrid w:val="0"/>
                    <w:spacing w:line="360" w:lineRule="auto"/>
                    <w:jc w:val="center"/>
                    <w:rPr>
                      <w:rFonts w:ascii="华文楷体" w:hAnsi="华文楷体"/>
                      <w:b/>
                      <w:bCs/>
                      <w:sz w:val="26"/>
                      <w:szCs w:val="26"/>
                    </w:rPr>
                  </w:pPr>
                </w:p>
              </w:tc>
            </w:tr>
          </w:tbl>
          <w:p>
            <w:pPr>
              <w:spacing w:line="360" w:lineRule="auto"/>
              <w:rPr>
                <w:szCs w:val="21"/>
              </w:rPr>
            </w:pP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CellMar>
            <w:top w:w="0" w:type="dxa"/>
            <w:left w:w="0" w:type="dxa"/>
            <w:bottom w:w="0" w:type="dxa"/>
            <w:right w:w="0" w:type="dxa"/>
          </w:tblCellMar>
        </w:tblPrEx>
        <w:trPr>
          <w:trHeight w:val="80" w:hRule="atLeast"/>
        </w:trPr>
        <w:tc>
          <w:tcPr>
            <w:tcW w:w="9752" w:type="dxa"/>
            <w:tcBorders>
              <w:top w:val="nil"/>
              <w:left w:val="single" w:color="auto" w:sz="4" w:space="0"/>
              <w:bottom w:val="single" w:color="auto" w:sz="4" w:space="0"/>
              <w:right w:val="single" w:color="auto" w:sz="4" w:space="0"/>
            </w:tcBorders>
            <w:tcMar>
              <w:top w:w="0" w:type="dxa"/>
              <w:left w:w="108" w:type="dxa"/>
              <w:bottom w:w="0" w:type="dxa"/>
              <w:right w:w="108" w:type="dxa"/>
            </w:tcMar>
          </w:tcPr>
          <w:p>
            <w:pPr>
              <w:spacing w:line="360" w:lineRule="auto"/>
              <w:rPr>
                <w:szCs w:val="21"/>
              </w:rPr>
            </w:pPr>
          </w:p>
          <w:p>
            <w:pPr>
              <w:spacing w:line="360" w:lineRule="auto"/>
              <w:rPr>
                <w:szCs w:val="21"/>
              </w:rPr>
            </w:pPr>
          </w:p>
        </w:tc>
      </w:tr>
    </w:tbl>
    <w:p>
      <w:pPr>
        <w:topLinePunct/>
        <w:spacing w:line="360" w:lineRule="auto"/>
        <w:jc w:val="center"/>
        <w:rPr>
          <w:rFonts w:ascii="华文新魏" w:eastAsia="华文新魏"/>
          <w:b/>
          <w:bCs/>
          <w:sz w:val="46"/>
          <w:szCs w:val="46"/>
        </w:rPr>
      </w:pPr>
      <w:r>
        <w:rPr>
          <w:rFonts w:hint="eastAsia" w:ascii="华文新魏" w:eastAsia="华文新魏"/>
          <w:b/>
          <w:bCs/>
          <w:sz w:val="46"/>
          <w:szCs w:val="46"/>
        </w:rPr>
        <w:t>声  明</w:t>
      </w:r>
    </w:p>
    <w:p>
      <w:pPr>
        <w:adjustRightInd w:val="0"/>
        <w:snapToGrid w:val="0"/>
        <w:spacing w:line="360" w:lineRule="auto"/>
        <w:jc w:val="center"/>
        <w:rPr>
          <w:sz w:val="32"/>
          <w:szCs w:val="32"/>
        </w:rPr>
      </w:pPr>
      <w:r>
        <w:rPr>
          <w:sz w:val="32"/>
          <w:szCs w:val="32"/>
        </w:rPr>
        <w:t xml:space="preserve"> </w:t>
      </w:r>
    </w:p>
    <w:p>
      <w:pPr>
        <w:adjustRightInd w:val="0"/>
        <w:snapToGrid w:val="0"/>
        <w:spacing w:line="360" w:lineRule="auto"/>
        <w:jc w:val="center"/>
        <w:rPr>
          <w:sz w:val="32"/>
          <w:szCs w:val="32"/>
        </w:rPr>
      </w:pPr>
      <w:r>
        <w:rPr>
          <w:sz w:val="32"/>
          <w:szCs w:val="32"/>
        </w:rPr>
        <w:t xml:space="preserve"> </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1</w:t>
      </w:r>
      <w:r>
        <w:rPr>
          <w:rFonts w:ascii="华文楷体" w:hAnsi="华文楷体"/>
          <w:sz w:val="28"/>
          <w:szCs w:val="28"/>
        </w:rPr>
        <w:t>．</w:t>
      </w:r>
      <w:r>
        <w:rPr>
          <w:rFonts w:ascii="宋体" w:hAnsi="宋体"/>
          <w:kern w:val="0"/>
          <w:sz w:val="28"/>
          <w:szCs w:val="28"/>
        </w:rPr>
        <w:t>XXXXXX</w:t>
      </w:r>
      <w:r>
        <w:rPr>
          <w:rFonts w:ascii="华文楷体" w:hAnsi="华文楷体"/>
          <w:kern w:val="0"/>
          <w:sz w:val="28"/>
          <w:szCs w:val="28"/>
        </w:rPr>
        <w:t>依据国家有关法律法规和相关规范标准实施</w:t>
      </w:r>
      <w:r>
        <w:rPr>
          <w:rFonts w:hint="eastAsia" w:ascii="华文楷体" w:hAnsi="华文楷体"/>
          <w:kern w:val="0"/>
          <w:sz w:val="28"/>
          <w:szCs w:val="28"/>
        </w:rPr>
        <w:t>转马类大型游乐设施</w:t>
      </w:r>
      <w:r>
        <w:rPr>
          <w:rFonts w:ascii="华文楷体" w:hAnsi="华文楷体"/>
          <w:kern w:val="0"/>
          <w:sz w:val="28"/>
          <w:szCs w:val="28"/>
        </w:rPr>
        <w:t>安全评估。</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2．本报告中给出的评估意见仅对被评估</w:t>
      </w:r>
      <w:r>
        <w:rPr>
          <w:rFonts w:hint="eastAsia" w:ascii="华文楷体" w:hAnsi="华文楷体"/>
          <w:kern w:val="0"/>
          <w:sz w:val="28"/>
          <w:szCs w:val="28"/>
        </w:rPr>
        <w:t>转马</w:t>
      </w:r>
      <w:r>
        <w:rPr>
          <w:rFonts w:ascii="华文楷体" w:hAnsi="华文楷体"/>
          <w:kern w:val="0"/>
          <w:sz w:val="28"/>
          <w:szCs w:val="28"/>
        </w:rPr>
        <w:t>类大型游乐设施的当时状况有效，当评估后</w:t>
      </w:r>
      <w:r>
        <w:rPr>
          <w:rFonts w:hint="eastAsia" w:ascii="华文楷体" w:hAnsi="华文楷体"/>
          <w:kern w:val="0"/>
          <w:sz w:val="28"/>
          <w:szCs w:val="28"/>
        </w:rPr>
        <w:t>转马类</w:t>
      </w:r>
      <w:r>
        <w:rPr>
          <w:rFonts w:ascii="华文楷体" w:hAnsi="华文楷体"/>
          <w:kern w:val="0"/>
          <w:sz w:val="28"/>
          <w:szCs w:val="28"/>
        </w:rPr>
        <w:t>大型游乐设施及其环境出现任何变更时，本评估意见中涉及的相关项目和结论都不再适用。</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3</w:t>
      </w:r>
      <w:r>
        <w:rPr>
          <w:rFonts w:ascii="华文楷体" w:hAnsi="华文楷体"/>
          <w:sz w:val="28"/>
          <w:szCs w:val="28"/>
        </w:rPr>
        <w:t>．</w:t>
      </w:r>
      <w:r>
        <w:rPr>
          <w:rFonts w:ascii="华文楷体" w:hAnsi="华文楷体"/>
          <w:kern w:val="0"/>
          <w:sz w:val="28"/>
          <w:szCs w:val="28"/>
        </w:rPr>
        <w:t>在任何情况下，若需引用本报告中的结果或数据都应保持其本来的意义，不得擅自进行增加、修改、伪造或掩盖事实。</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4</w:t>
      </w:r>
      <w:r>
        <w:rPr>
          <w:rFonts w:ascii="华文楷体" w:hAnsi="华文楷体"/>
          <w:sz w:val="28"/>
          <w:szCs w:val="28"/>
        </w:rPr>
        <w:t>．</w:t>
      </w:r>
      <w:r>
        <w:rPr>
          <w:rFonts w:ascii="华文楷体" w:hAnsi="华文楷体"/>
          <w:kern w:val="0"/>
          <w:sz w:val="28"/>
          <w:szCs w:val="28"/>
        </w:rPr>
        <w:t>为保证委托方利益，本报告仅提供给委托方，不向第三方提供，并为其保密。未经本机构</w:t>
      </w:r>
      <w:r>
        <w:rPr>
          <w:rFonts w:hint="eastAsia" w:ascii="华文楷体" w:hAnsi="华文楷体"/>
          <w:kern w:val="0"/>
          <w:sz w:val="28"/>
          <w:szCs w:val="28"/>
        </w:rPr>
        <w:t>受托方</w:t>
      </w:r>
      <w:r>
        <w:rPr>
          <w:rFonts w:ascii="华文楷体" w:hAnsi="华文楷体"/>
          <w:kern w:val="0"/>
          <w:sz w:val="28"/>
          <w:szCs w:val="28"/>
        </w:rPr>
        <w:t>同意，委托方不能将此报告外传，或将报告中的某一部分拷贝。</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5．委托方应当对所提供资料的真实性、有效性负责。</w:t>
      </w:r>
      <w:r>
        <w:rPr>
          <w:rFonts w:hint="eastAsia" w:ascii="华文楷体" w:hAnsi="华文楷体"/>
          <w:kern w:val="0"/>
          <w:sz w:val="28"/>
          <w:szCs w:val="28"/>
        </w:rPr>
        <w:t>受</w:t>
      </w:r>
      <w:r>
        <w:rPr>
          <w:rFonts w:ascii="华文楷体" w:hAnsi="华文楷体"/>
          <w:kern w:val="0"/>
          <w:sz w:val="28"/>
          <w:szCs w:val="28"/>
        </w:rPr>
        <w:t>托方应当对所提供</w:t>
      </w:r>
      <w:r>
        <w:rPr>
          <w:rFonts w:hint="eastAsia" w:ascii="华文楷体" w:hAnsi="华文楷体"/>
          <w:kern w:val="0"/>
          <w:sz w:val="28"/>
          <w:szCs w:val="28"/>
        </w:rPr>
        <w:t>报告</w:t>
      </w:r>
      <w:r>
        <w:rPr>
          <w:rFonts w:ascii="华文楷体" w:hAnsi="华文楷体"/>
          <w:kern w:val="0"/>
          <w:sz w:val="28"/>
          <w:szCs w:val="28"/>
        </w:rPr>
        <w:t>结论的真实性、公正性负责。</w:t>
      </w: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6．</w:t>
      </w:r>
      <w:r>
        <w:rPr>
          <w:rFonts w:hint="eastAsia" w:ascii="华文楷体" w:hAnsi="华文楷体"/>
          <w:kern w:val="0"/>
          <w:sz w:val="28"/>
          <w:szCs w:val="28"/>
        </w:rPr>
        <w:t>转马</w:t>
      </w:r>
      <w:r>
        <w:rPr>
          <w:rFonts w:ascii="华文楷体" w:hAnsi="华文楷体"/>
          <w:kern w:val="0"/>
          <w:sz w:val="28"/>
          <w:szCs w:val="28"/>
        </w:rPr>
        <w:t>类大型游乐设施安全评估是针对本台</w:t>
      </w:r>
      <w:r>
        <w:rPr>
          <w:rFonts w:hint="eastAsia" w:ascii="华文楷体" w:hAnsi="华文楷体"/>
          <w:kern w:val="0"/>
          <w:sz w:val="28"/>
          <w:szCs w:val="28"/>
        </w:rPr>
        <w:t>转马</w:t>
      </w:r>
      <w:r>
        <w:rPr>
          <w:rFonts w:ascii="华文楷体" w:hAnsi="华文楷体"/>
          <w:kern w:val="0"/>
          <w:sz w:val="28"/>
          <w:szCs w:val="28"/>
        </w:rPr>
        <w:t>类大型游乐设施的评估时现状提出可能存在的相关风险和改进建议，不能取代日常的</w:t>
      </w:r>
      <w:r>
        <w:rPr>
          <w:rFonts w:hint="eastAsia" w:ascii="华文楷体" w:hAnsi="华文楷体"/>
          <w:kern w:val="0"/>
          <w:sz w:val="28"/>
          <w:szCs w:val="28"/>
        </w:rPr>
        <w:t>转马类</w:t>
      </w:r>
      <w:r>
        <w:rPr>
          <w:rFonts w:ascii="华文楷体" w:hAnsi="华文楷体"/>
          <w:kern w:val="0"/>
          <w:sz w:val="28"/>
          <w:szCs w:val="28"/>
        </w:rPr>
        <w:t>大型游乐设施安全使用管理、维护保养管理及国家规定的定期检验。建议使用单位对本报告提出的对策与措施予以重视，加强</w:t>
      </w:r>
      <w:r>
        <w:rPr>
          <w:rFonts w:hint="eastAsia" w:ascii="华文楷体" w:hAnsi="华文楷体"/>
          <w:kern w:val="0"/>
          <w:sz w:val="28"/>
          <w:szCs w:val="28"/>
        </w:rPr>
        <w:t>转马</w:t>
      </w:r>
      <w:r>
        <w:rPr>
          <w:rFonts w:ascii="华文楷体" w:hAnsi="华文楷体"/>
          <w:kern w:val="0"/>
          <w:sz w:val="28"/>
          <w:szCs w:val="28"/>
        </w:rPr>
        <w:t>类大型游乐设施日常管理，进行经常性的维修检查，以防患于未然，对措施要求中需改进的技术要求应当落实整改。</w:t>
      </w:r>
    </w:p>
    <w:p>
      <w:pPr>
        <w:topLinePunct/>
        <w:autoSpaceDE w:val="0"/>
        <w:autoSpaceDN w:val="0"/>
        <w:spacing w:line="360" w:lineRule="auto"/>
        <w:rPr>
          <w:rFonts w:ascii="华文楷体" w:hAnsi="华文楷体"/>
          <w:kern w:val="0"/>
          <w:sz w:val="28"/>
          <w:szCs w:val="28"/>
        </w:rPr>
      </w:pPr>
    </w:p>
    <w:p>
      <w:pPr>
        <w:topLinePunct/>
        <w:autoSpaceDE w:val="0"/>
        <w:autoSpaceDN w:val="0"/>
        <w:spacing w:line="360" w:lineRule="auto"/>
        <w:ind w:firstLine="560" w:firstLineChars="200"/>
        <w:rPr>
          <w:rFonts w:ascii="华文楷体" w:hAnsi="华文楷体"/>
          <w:kern w:val="0"/>
          <w:sz w:val="28"/>
          <w:szCs w:val="28"/>
        </w:rPr>
      </w:pPr>
      <w:r>
        <w:rPr>
          <w:rFonts w:ascii="华文楷体" w:hAnsi="华文楷体"/>
          <w:kern w:val="0"/>
          <w:sz w:val="28"/>
          <w:szCs w:val="28"/>
        </w:rPr>
        <w:t xml:space="preserve"> </w:t>
      </w:r>
    </w:p>
    <w:p>
      <w:pPr>
        <w:topLinePunct/>
        <w:autoSpaceDE w:val="0"/>
        <w:autoSpaceDN w:val="0"/>
        <w:spacing w:line="360" w:lineRule="auto"/>
        <w:jc w:val="center"/>
        <w:rPr>
          <w:rFonts w:ascii="黑体" w:hAnsi="黑体" w:eastAsia="黑体"/>
          <w:kern w:val="0"/>
          <w:sz w:val="28"/>
          <w:szCs w:val="28"/>
        </w:rPr>
      </w:pPr>
      <w:r>
        <w:rPr>
          <w:rFonts w:hint="eastAsia" w:ascii="黑体" w:hAnsi="黑体" w:eastAsia="黑体"/>
          <w:kern w:val="0"/>
          <w:sz w:val="28"/>
          <w:szCs w:val="28"/>
        </w:rPr>
        <w:t>转马类大型游乐设施安全评估报告</w:t>
      </w:r>
    </w:p>
    <w:p>
      <w:p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一、设备信息</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29"/>
        <w:gridCol w:w="1450"/>
        <w:gridCol w:w="2870"/>
        <w:gridCol w:w="2220"/>
        <w:gridCol w:w="2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设备名称</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出厂编号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使用地点</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安全管理人员</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设计使用期限</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制造日期</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评估原因</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制造单位</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设备型号</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使用登记证编号</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改造（修理）单位</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改造（修理）日期</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restart"/>
            <w:tcBorders>
              <w:top w:val="nil"/>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设备参数</w:t>
            </w: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座舱数量</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回转直径</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额定乘人</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运行速度</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运行高度</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层数</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转速</w:t>
            </w: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驱动功率</w:t>
            </w: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7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4"/>
              </w:rPr>
            </w:pPr>
          </w:p>
        </w:tc>
        <w:tc>
          <w:tcPr>
            <w:tcW w:w="145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8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22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c>
          <w:tcPr>
            <w:tcW w:w="24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103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仪器设备</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备注</w:t>
            </w:r>
          </w:p>
        </w:tc>
        <w:tc>
          <w:tcPr>
            <w:tcW w:w="7573" w:type="dxa"/>
            <w:gridSpan w:val="3"/>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评估依据</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r>
              <w:rPr>
                <w:rFonts w:hint="eastAsia" w:ascii="宋体" w:hAnsi="宋体"/>
                <w:sz w:val="24"/>
              </w:rPr>
              <w:t>《在用大型游乐设施安全评估规则-转马类》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15"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4"/>
              </w:rPr>
            </w:pPr>
            <w:r>
              <w:rPr>
                <w:rFonts w:hint="eastAsia" w:ascii="宋体" w:hAnsi="宋体"/>
                <w:sz w:val="24"/>
              </w:rPr>
              <w:t>评估结论</w:t>
            </w:r>
          </w:p>
        </w:tc>
        <w:tc>
          <w:tcPr>
            <w:tcW w:w="7573" w:type="dxa"/>
            <w:gridSpan w:val="3"/>
            <w:tcBorders>
              <w:top w:val="single" w:color="auto" w:sz="4" w:space="0"/>
              <w:left w:val="nil"/>
              <w:bottom w:val="single" w:color="auto" w:sz="4" w:space="0"/>
              <w:right w:val="single" w:color="auto" w:sz="4" w:space="0"/>
            </w:tcBorders>
            <w:vAlign w:val="center"/>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bottom"/>
              <w:rPr>
                <w:rFonts w:ascii="宋体" w:hAnsi="宋体"/>
                <w:sz w:val="24"/>
              </w:rPr>
            </w:pPr>
            <w:r>
              <w:rPr>
                <w:rFonts w:hint="eastAsia" w:ascii="宋体" w:hAnsi="宋体"/>
                <w:sz w:val="24"/>
              </w:rPr>
              <w:t>安全评估组长</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restart"/>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sz w:val="22"/>
                <w:szCs w:val="22"/>
              </w:rPr>
            </w:pPr>
            <w:r>
              <w:rPr>
                <w:rFonts w:hint="eastAsia" w:ascii="宋体" w:hAnsi="宋体"/>
                <w:sz w:val="22"/>
                <w:szCs w:val="22"/>
              </w:rPr>
              <w:t>（评估机构签章）</w:t>
            </w:r>
          </w:p>
          <w:p>
            <w:pPr>
              <w:autoSpaceDE w:val="0"/>
              <w:autoSpaceDN w:val="0"/>
              <w:adjustRightInd w:val="0"/>
              <w:spacing w:line="360" w:lineRule="auto"/>
              <w:jc w:val="center"/>
              <w:rPr>
                <w:rFonts w:ascii="宋体" w:hAnsi="宋体"/>
                <w:sz w:val="22"/>
                <w:szCs w:val="22"/>
              </w:rPr>
            </w:pPr>
          </w:p>
          <w:p>
            <w:pPr>
              <w:autoSpaceDE w:val="0"/>
              <w:autoSpaceDN w:val="0"/>
              <w:adjustRightInd w:val="0"/>
              <w:spacing w:line="360" w:lineRule="auto"/>
              <w:jc w:val="right"/>
              <w:rPr>
                <w:sz w:val="22"/>
                <w:szCs w:val="22"/>
              </w:rPr>
            </w:pPr>
            <w:r>
              <w:rPr>
                <w:rFonts w:hint="eastAsia" w:ascii="宋体" w:hAnsi="宋体"/>
                <w:sz w:val="22"/>
                <w:szCs w:val="2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安全评估组员</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审核</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54" w:hRule="atLeast"/>
          <w:jc w:val="center"/>
        </w:trPr>
        <w:tc>
          <w:tcPr>
            <w:tcW w:w="217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60" w:lineRule="auto"/>
              <w:jc w:val="center"/>
              <w:textAlignment w:val="center"/>
              <w:rPr>
                <w:rFonts w:ascii="宋体" w:hAnsi="宋体"/>
                <w:sz w:val="24"/>
              </w:rPr>
            </w:pPr>
            <w:r>
              <w:rPr>
                <w:rFonts w:hint="eastAsia" w:ascii="宋体" w:hAnsi="宋体"/>
                <w:sz w:val="24"/>
              </w:rPr>
              <w:t>批准</w:t>
            </w:r>
          </w:p>
        </w:tc>
        <w:tc>
          <w:tcPr>
            <w:tcW w:w="5090"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right"/>
              <w:rPr>
                <w:rFonts w:ascii="宋体" w:hAnsi="宋体"/>
                <w:sz w:val="24"/>
              </w:rPr>
            </w:pPr>
            <w:r>
              <w:rPr>
                <w:rFonts w:hint="eastAsia" w:ascii="宋体" w:hAnsi="宋体"/>
                <w:sz w:val="24"/>
              </w:rPr>
              <w:t>年    月    日</w:t>
            </w:r>
          </w:p>
        </w:tc>
        <w:tc>
          <w:tcPr>
            <w:tcW w:w="2483" w:type="dxa"/>
            <w:vMerge w:val="continue"/>
            <w:tcBorders>
              <w:top w:val="single" w:color="auto" w:sz="4" w:space="0"/>
              <w:left w:val="nil"/>
              <w:bottom w:val="single" w:color="auto" w:sz="4" w:space="0"/>
              <w:right w:val="single" w:color="auto" w:sz="4" w:space="0"/>
            </w:tcBorders>
            <w:vAlign w:val="center"/>
          </w:tcPr>
          <w:p>
            <w:pPr>
              <w:widowControl/>
              <w:jc w:val="left"/>
              <w:rPr>
                <w:sz w:val="22"/>
                <w:szCs w:val="22"/>
              </w:rPr>
            </w:pPr>
          </w:p>
        </w:tc>
      </w:tr>
    </w:tbl>
    <w:p>
      <w:pPr>
        <w:numPr>
          <w:ilvl w:val="0"/>
          <w:numId w:val="22"/>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设备评估项目、综合分析</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867"/>
        <w:gridCol w:w="2883"/>
        <w:gridCol w:w="1422"/>
        <w:gridCol w:w="2433"/>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序号</w:t>
            </w: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编号</w:t>
            </w: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问题描述</w:t>
            </w: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风险等级</w:t>
            </w: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风险可能产生的后果</w:t>
            </w: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r>
              <w:rPr>
                <w:rFonts w:hint="eastAsia" w:ascii="宋体" w:hAnsi="宋体" w:cs="宋体"/>
                <w:b/>
                <w:szCs w:val="21"/>
              </w:rPr>
              <w:t>对策与措施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2"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867"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88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422"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2433"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c>
          <w:tcPr>
            <w:tcW w:w="153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ascii="宋体" w:hAnsi="宋体" w:cs="宋体"/>
                <w:b/>
                <w:szCs w:val="21"/>
              </w:rPr>
            </w:pPr>
          </w:p>
        </w:tc>
      </w:tr>
    </w:tbl>
    <w:p>
      <w:pPr>
        <w:topLinePunct/>
        <w:autoSpaceDE w:val="0"/>
        <w:autoSpaceDN w:val="0"/>
        <w:spacing w:line="360" w:lineRule="auto"/>
        <w:rPr>
          <w:rFonts w:ascii="黑体" w:hAnsi="黑体" w:eastAsia="黑体"/>
          <w:kern w:val="0"/>
          <w:sz w:val="28"/>
          <w:szCs w:val="28"/>
        </w:rPr>
      </w:pPr>
    </w:p>
    <w:p>
      <w:pPr>
        <w:numPr>
          <w:ilvl w:val="0"/>
          <w:numId w:val="23"/>
        </w:numPr>
        <w:topLinePunct/>
        <w:autoSpaceDE w:val="0"/>
        <w:autoSpaceDN w:val="0"/>
        <w:spacing w:line="360" w:lineRule="auto"/>
        <w:rPr>
          <w:rFonts w:ascii="黑体" w:hAnsi="黑体" w:eastAsia="黑体"/>
          <w:kern w:val="0"/>
          <w:sz w:val="28"/>
          <w:szCs w:val="28"/>
        </w:rPr>
      </w:pPr>
      <w:r>
        <w:rPr>
          <w:rFonts w:hint="eastAsia" w:ascii="黑体" w:hAnsi="黑体" w:eastAsia="黑体"/>
          <w:kern w:val="0"/>
          <w:sz w:val="28"/>
          <w:szCs w:val="28"/>
        </w:rPr>
        <w:t>使用管理等分析建议</w:t>
      </w:r>
    </w:p>
    <w:tbl>
      <w:tblPr>
        <w:tblStyle w:val="34"/>
        <w:tblW w:w="99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6"/>
        <w:gridCol w:w="2865"/>
        <w:gridCol w:w="2970"/>
        <w:gridCol w:w="3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序号</w:t>
            </w: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项目（评估内容）</w:t>
            </w: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问题描述</w:t>
            </w: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r>
              <w:rPr>
                <w:rFonts w:hint="eastAsia" w:hAnsi="宋体"/>
                <w:b/>
                <w:szCs w:val="21"/>
              </w:rPr>
              <w:t>评估建议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86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2970"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c>
          <w:tcPr>
            <w:tcW w:w="3305" w:type="dxa"/>
            <w:tcBorders>
              <w:top w:val="single" w:color="auto" w:sz="4" w:space="0"/>
              <w:left w:val="nil"/>
              <w:bottom w:val="single" w:color="auto" w:sz="4" w:space="0"/>
              <w:right w:val="single" w:color="auto" w:sz="4" w:space="0"/>
            </w:tcBorders>
            <w:vAlign w:val="center"/>
          </w:tcPr>
          <w:p>
            <w:pPr>
              <w:autoSpaceDE w:val="0"/>
              <w:autoSpaceDN w:val="0"/>
              <w:adjustRightInd w:val="0"/>
              <w:spacing w:line="360" w:lineRule="auto"/>
              <w:jc w:val="center"/>
              <w:rPr>
                <w:rFonts w:hAnsi="宋体"/>
                <w:b/>
                <w:szCs w:val="21"/>
              </w:rPr>
            </w:pPr>
          </w:p>
        </w:tc>
      </w:tr>
    </w:tbl>
    <w:p>
      <w:pPr>
        <w:widowControl/>
        <w:rPr>
          <w:rFonts w:ascii="宋体" w:hAnsi="宋体"/>
          <w:b/>
          <w:bCs/>
          <w:kern w:val="0"/>
        </w:rPr>
      </w:pPr>
    </w:p>
    <w:p>
      <w:pPr>
        <w:sectPr>
          <w:type w:val="continuous"/>
          <w:pgSz w:w="11906" w:h="16838"/>
          <w:pgMar w:top="567" w:right="1134" w:bottom="1134" w:left="1418" w:header="1418" w:footer="1134" w:gutter="0"/>
          <w:cols w:space="720" w:num="1"/>
          <w:formProt w:val="0"/>
          <w:docGrid w:linePitch="312" w:charSpace="0"/>
        </w:sectPr>
      </w:pPr>
    </w:p>
    <w:p>
      <w:pPr>
        <w:pStyle w:val="50"/>
        <w:numPr>
          <w:ilvl w:val="0"/>
          <w:numId w:val="0"/>
        </w:numPr>
        <w:spacing w:before="0" w:after="0" w:line="360" w:lineRule="auto"/>
        <w:jc w:val="both"/>
        <w:rPr>
          <w:rFonts w:ascii="宋体" w:hAnsi="宋体" w:eastAsia="宋体"/>
          <w:b/>
          <w:bCs/>
          <w:sz w:val="20"/>
        </w:rPr>
      </w:pPr>
      <w:r>
        <w:rPr>
          <w:rFonts w:hint="eastAsia" w:ascii="宋体" w:hAnsi="宋体" w:eastAsia="宋体"/>
          <w:b/>
          <w:bCs/>
          <w:sz w:val="20"/>
        </w:rPr>
        <w:t xml:space="preserve">附件1                                                           </w:t>
      </w:r>
    </w:p>
    <w:p>
      <w:pPr>
        <w:pStyle w:val="50"/>
        <w:numPr>
          <w:ilvl w:val="0"/>
          <w:numId w:val="0"/>
        </w:numPr>
        <w:spacing w:before="0" w:after="0" w:line="360" w:lineRule="auto"/>
        <w:rPr>
          <w:rFonts w:hAnsi="黑体" w:cs="黑体"/>
          <w:b/>
          <w:bCs/>
          <w:szCs w:val="21"/>
        </w:rPr>
      </w:pPr>
      <w:r>
        <w:rPr>
          <w:rFonts w:hint="eastAsia" w:hAnsi="黑体" w:cs="黑体"/>
          <w:b/>
          <w:bCs/>
          <w:szCs w:val="21"/>
        </w:rPr>
        <w:t>转马类大型游乐设施安全评估表</w:t>
      </w:r>
    </w:p>
    <w:tbl>
      <w:tblPr>
        <w:tblStyle w:val="33"/>
        <w:tblW w:w="15497" w:type="dxa"/>
        <w:tblInd w:w="0" w:type="dxa"/>
        <w:tblLayout w:type="fixed"/>
        <w:tblCellMar>
          <w:top w:w="0" w:type="dxa"/>
          <w:left w:w="108" w:type="dxa"/>
          <w:bottom w:w="0" w:type="dxa"/>
          <w:right w:w="108" w:type="dxa"/>
        </w:tblCellMar>
      </w:tblPr>
      <w:tblGrid>
        <w:gridCol w:w="881"/>
        <w:gridCol w:w="768"/>
        <w:gridCol w:w="1130"/>
        <w:gridCol w:w="10162"/>
        <w:gridCol w:w="429"/>
        <w:gridCol w:w="428"/>
        <w:gridCol w:w="429"/>
        <w:gridCol w:w="367"/>
        <w:gridCol w:w="505"/>
        <w:gridCol w:w="398"/>
      </w:tblGrid>
      <w:tr>
        <w:tblPrEx>
          <w:tblCellMar>
            <w:top w:w="0" w:type="dxa"/>
            <w:left w:w="108" w:type="dxa"/>
            <w:bottom w:w="0" w:type="dxa"/>
            <w:right w:w="108" w:type="dxa"/>
          </w:tblCellMar>
        </w:tblPrEx>
        <w:trPr>
          <w:cantSplit/>
          <w:trHeight w:val="1060" w:hRule="atLeast"/>
          <w:tblHeader/>
        </w:trPr>
        <w:tc>
          <w:tcPr>
            <w:tcW w:w="8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序号</w:t>
            </w:r>
          </w:p>
        </w:tc>
        <w:tc>
          <w:tcPr>
            <w:tcW w:w="76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项目编号</w:t>
            </w:r>
          </w:p>
        </w:tc>
        <w:tc>
          <w:tcPr>
            <w:tcW w:w="1130"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评估内容</w:t>
            </w:r>
          </w:p>
        </w:tc>
        <w:tc>
          <w:tcPr>
            <w:tcW w:w="10162"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评估要求</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问题描述</w:t>
            </w:r>
          </w:p>
        </w:tc>
        <w:tc>
          <w:tcPr>
            <w:tcW w:w="42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严重程度</w:t>
            </w:r>
          </w:p>
        </w:tc>
        <w:tc>
          <w:tcPr>
            <w:tcW w:w="429"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概率等级</w:t>
            </w:r>
          </w:p>
        </w:tc>
        <w:tc>
          <w:tcPr>
            <w:tcW w:w="367"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风险等级</w:t>
            </w:r>
          </w:p>
        </w:tc>
        <w:tc>
          <w:tcPr>
            <w:tcW w:w="505"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需要采取措施</w:t>
            </w:r>
          </w:p>
        </w:tc>
        <w:tc>
          <w:tcPr>
            <w:tcW w:w="39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备注</w:t>
            </w:r>
          </w:p>
        </w:tc>
      </w:tr>
      <w:tr>
        <w:tblPrEx>
          <w:tblCellMar>
            <w:top w:w="0" w:type="dxa"/>
            <w:left w:w="108" w:type="dxa"/>
            <w:bottom w:w="0" w:type="dxa"/>
            <w:right w:w="108" w:type="dxa"/>
          </w:tblCellMar>
        </w:tblPrEx>
        <w:trPr>
          <w:cantSplit/>
          <w:trHeight w:val="19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ascii="宋体" w:hAnsi="宋体"/>
                <w:bCs/>
                <w:kern w:val="0"/>
                <w:sz w:val="18"/>
                <w:szCs w:val="18"/>
              </w:rPr>
              <w:t>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设备周边区域警示标识等</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安全栅栏及进、出口</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a）游乐设施周围及高出地面</w:t>
            </w:r>
            <w:r>
              <w:rPr>
                <w:rFonts w:ascii="宋体" w:hAnsi="宋体"/>
                <w:kern w:val="0"/>
                <w:sz w:val="18"/>
                <w:szCs w:val="18"/>
              </w:rPr>
              <w:t>500mm</w:t>
            </w:r>
            <w:r>
              <w:rPr>
                <w:rFonts w:hint="eastAsia" w:ascii="宋体" w:hAnsi="宋体"/>
                <w:kern w:val="0"/>
                <w:sz w:val="18"/>
                <w:szCs w:val="18"/>
              </w:rPr>
              <w:t>以上的站台，应设置安全栅栏或其他有效的隔离设施，防止人员误入；</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b）安全栅栏应分别设进、出口，在进口处宜设引导栅栏。站台应有防滑措施；</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c）安全栅栏门开启方向应与乘客行进方向一致（特殊情况除外）。为防止开关门时对人员的手造成伤害，门边框与立柱之间的间隙应适当，或采取其他防护措施。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安全栅栏尺寸</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a）室外安全栅栏高度应不低于</w:t>
            </w:r>
            <w:r>
              <w:rPr>
                <w:rFonts w:ascii="宋体" w:hAnsi="宋体"/>
                <w:kern w:val="0"/>
                <w:sz w:val="18"/>
                <w:szCs w:val="18"/>
              </w:rPr>
              <w:t>1100mm</w:t>
            </w:r>
            <w:r>
              <w:rPr>
                <w:rFonts w:hint="eastAsia" w:ascii="宋体" w:hAnsi="宋体"/>
                <w:kern w:val="0"/>
                <w:sz w:val="18"/>
                <w:szCs w:val="18"/>
              </w:rPr>
              <w:t>，室内儿童娱乐项目，安全栅栏高度应不低于</w:t>
            </w:r>
            <w:r>
              <w:rPr>
                <w:rFonts w:ascii="宋体" w:hAnsi="宋体"/>
                <w:kern w:val="0"/>
                <w:sz w:val="18"/>
                <w:szCs w:val="18"/>
              </w:rPr>
              <w:t>650 mm</w:t>
            </w:r>
            <w:r>
              <w:rPr>
                <w:rFonts w:hint="eastAsia" w:ascii="宋体" w:hAnsi="宋体"/>
                <w:kern w:val="0"/>
                <w:sz w:val="18"/>
                <w:szCs w:val="18"/>
              </w:rPr>
              <w:t>。栅栏的间隙和距离地面的间隙应不大于</w:t>
            </w:r>
            <w:r>
              <w:rPr>
                <w:rFonts w:ascii="宋体" w:hAnsi="宋体"/>
                <w:kern w:val="0"/>
                <w:sz w:val="18"/>
                <w:szCs w:val="18"/>
              </w:rPr>
              <w:t>120mm</w:t>
            </w:r>
            <w:r>
              <w:rPr>
                <w:rFonts w:hint="eastAsia" w:ascii="宋体" w:hAnsi="宋体"/>
                <w:kern w:val="0"/>
                <w:sz w:val="18"/>
                <w:szCs w:val="18"/>
              </w:rPr>
              <w:t>。安全栅栏应设置为儿童不易攀爬的结构。工作人员专用通道或平台的栅栏除外。</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b）当站台高度超过2m时，安全栅栏高度应不低于1200mm。</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通往设备平台的阶梯</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游乐设施进出口的台阶宽度应不小于</w:t>
            </w:r>
            <w:r>
              <w:rPr>
                <w:rFonts w:ascii="宋体" w:hAnsi="宋体"/>
                <w:kern w:val="0"/>
                <w:sz w:val="18"/>
                <w:szCs w:val="18"/>
              </w:rPr>
              <w:t>240mm</w:t>
            </w:r>
            <w:r>
              <w:rPr>
                <w:rFonts w:hint="eastAsia" w:ascii="宋体" w:hAnsi="宋体"/>
                <w:kern w:val="0"/>
                <w:sz w:val="18"/>
                <w:szCs w:val="18"/>
              </w:rPr>
              <w:t>，高度为</w:t>
            </w:r>
            <w:r>
              <w:rPr>
                <w:rFonts w:ascii="宋体" w:hAnsi="宋体"/>
                <w:kern w:val="0"/>
                <w:sz w:val="18"/>
                <w:szCs w:val="18"/>
              </w:rPr>
              <w:t>140mm～200mm</w:t>
            </w:r>
            <w:r>
              <w:rPr>
                <w:rFonts w:hint="eastAsia" w:ascii="宋体" w:hAnsi="宋体"/>
                <w:kern w:val="0"/>
                <w:sz w:val="18"/>
                <w:szCs w:val="18"/>
              </w:rPr>
              <w:t>，阶梯的坡度应保持一致。进出口为斜坡时，坡度不大于</w:t>
            </w:r>
            <w:r>
              <w:rPr>
                <w:rFonts w:ascii="宋体" w:hAnsi="宋体"/>
                <w:kern w:val="0"/>
                <w:sz w:val="18"/>
                <w:szCs w:val="18"/>
              </w:rPr>
              <w:t>1：6</w:t>
            </w:r>
            <w:r>
              <w:rPr>
                <w:rFonts w:hint="eastAsia" w:ascii="宋体" w:hAnsi="宋体"/>
                <w:kern w:val="0"/>
                <w:sz w:val="18"/>
                <w:szCs w:val="18"/>
              </w:rPr>
              <w:t>；有防滑花纹的斜坡，坡度不大于</w:t>
            </w:r>
            <w:r>
              <w:rPr>
                <w:rFonts w:ascii="宋体" w:hAnsi="宋体"/>
                <w:kern w:val="0"/>
                <w:sz w:val="18"/>
                <w:szCs w:val="18"/>
              </w:rPr>
              <w:t>1：4</w:t>
            </w:r>
            <w:r>
              <w:rPr>
                <w:rFonts w:hint="eastAsia" w:ascii="宋体" w:hAnsi="宋体"/>
                <w:kern w:val="0"/>
                <w:sz w:val="18"/>
                <w:szCs w:val="18"/>
              </w:rPr>
              <w:t>。</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用于检修的爬梯、通道、平台</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用于检查维修用的爬梯、通道、平台应牢固，其作业空间应能满足工作要求，爬梯宽度宜不低于500mm，爬梯步间距范围为250mm</w:t>
            </w:r>
            <w:r>
              <w:rPr>
                <w:rFonts w:ascii="宋体" w:hAnsi="宋体"/>
                <w:kern w:val="0"/>
                <w:sz w:val="18"/>
                <w:szCs w:val="18"/>
              </w:rPr>
              <w:t>～</w:t>
            </w:r>
            <w:r>
              <w:rPr>
                <w:rFonts w:hint="eastAsia" w:ascii="宋体" w:hAnsi="宋体"/>
                <w:kern w:val="0"/>
                <w:sz w:val="18"/>
                <w:szCs w:val="18"/>
              </w:rPr>
              <w:t>350mm。高于2m的爬梯应设置防护装置或安全带挂接装置。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安全标志</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a）必要时，应在游乐设施明显的位置设置醒目的安全标志。安全标志分为禁止标志（红色）、警告标志（黄色）、指令标志（蓝色）和提示标志（绿色）等四种类型。安全标志的图形式样应符合</w:t>
            </w:r>
            <w:r>
              <w:rPr>
                <w:rFonts w:ascii="宋体" w:hAnsi="宋体"/>
                <w:kern w:val="0"/>
                <w:sz w:val="18"/>
                <w:szCs w:val="18"/>
              </w:rPr>
              <w:t>GB 2894</w:t>
            </w:r>
            <w:r>
              <w:rPr>
                <w:rFonts w:hint="eastAsia" w:ascii="宋体" w:hAnsi="宋体"/>
                <w:kern w:val="0"/>
                <w:sz w:val="18"/>
                <w:szCs w:val="18"/>
              </w:rPr>
              <w:t>、</w:t>
            </w:r>
            <w:r>
              <w:rPr>
                <w:rFonts w:ascii="宋体" w:hAnsi="宋体"/>
                <w:kern w:val="0"/>
                <w:sz w:val="18"/>
                <w:szCs w:val="18"/>
              </w:rPr>
              <w:t>GB 13495.1-2015</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b）乘人装置应明确标识额定乘员数量和承载重量。</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ascii="宋体" w:hAnsi="宋体"/>
                <w:kern w:val="0"/>
                <w:sz w:val="18"/>
                <w:szCs w:val="18"/>
              </w:rPr>
              <w:t>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乘客须知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a）在游乐设施明显处应公布乘客须知。操作服务人员应随时向乘客宣传注意事项，制止乘客的危险行为。（GB 8408-2018，8.3.3.3）</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b）使用单位对非专供儿童乘坐的游乐设施，应根据设备特点等，对乘坐儿童的年龄和身高进行规定。（GB 8408-2018，8.3.3.4）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产品铭牌</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应在显著位置处设置产品铭牌，产品铭牌内容至少包括制造单位名称与制造地址、制造许可证号、设备型号、产品编号、制造日期、主要技术参数。</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音响等信号装置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应设置起动前提示乘客注意安全的音响等信号装置。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装饰物</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游乐设施的假山、艺术造型等附属设施，应与设备保持符合标准的安全距离，防止意外掉落、坍塌或者倾倒之后对设备本身及乘客造成伤害。（GB 8408-2018，7.8.14）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1.10</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设备结构本体以外的设施</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附加载荷应安装牢固，不影响设备运行安全。（GB/T20050-2020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2</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轴承</w:t>
            </w:r>
          </w:p>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轴承运转</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a）设备空载、满载、偏载工况时运行时，轴承不应有异常振动及声响；</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b）轴承不应出现碎裂，影响运行的磨损。</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轴承温度和温升</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ascii="宋体" w:hAnsi="宋体"/>
                <w:kern w:val="0"/>
                <w:sz w:val="18"/>
                <w:szCs w:val="18"/>
              </w:rPr>
              <w:t>a</w:t>
            </w:r>
            <w:r>
              <w:rPr>
                <w:rFonts w:hint="eastAsia" w:ascii="宋体" w:hAnsi="宋体"/>
                <w:kern w:val="0"/>
                <w:sz w:val="18"/>
                <w:szCs w:val="18"/>
              </w:rPr>
              <w:t xml:space="preserve">）滚动轴承端盖处温升不大于30℃，最高温度不大于65℃；                                             </w:t>
            </w:r>
          </w:p>
          <w:p>
            <w:pPr>
              <w:widowControl/>
              <w:tabs>
                <w:tab w:val="center" w:pos="4201"/>
                <w:tab w:val="right" w:leader="dot" w:pos="9298"/>
              </w:tabs>
              <w:jc w:val="left"/>
              <w:rPr>
                <w:rFonts w:ascii="宋体" w:hAnsi="宋体"/>
                <w:kern w:val="0"/>
                <w:sz w:val="18"/>
                <w:szCs w:val="18"/>
              </w:rPr>
            </w:pPr>
            <w:r>
              <w:rPr>
                <w:rFonts w:ascii="宋体" w:hAnsi="宋体"/>
                <w:kern w:val="0"/>
                <w:sz w:val="18"/>
                <w:szCs w:val="18"/>
              </w:rPr>
              <w:t>b</w:t>
            </w:r>
            <w:r>
              <w:rPr>
                <w:rFonts w:hint="eastAsia" w:ascii="宋体" w:hAnsi="宋体"/>
                <w:kern w:val="0"/>
                <w:sz w:val="18"/>
                <w:szCs w:val="18"/>
              </w:rPr>
              <w:t>）滑动轴承进油孔处温升不大于35℃，且最高温度不大于70℃。</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轴承润滑</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3</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电动机</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电动机的选型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a）电动机的选型应符合</w:t>
            </w:r>
            <w:r>
              <w:rPr>
                <w:rFonts w:ascii="宋体" w:hAnsi="宋体"/>
                <w:kern w:val="0"/>
                <w:sz w:val="18"/>
                <w:szCs w:val="18"/>
              </w:rPr>
              <w:t>GB 5226.1-2008</w:t>
            </w:r>
            <w:r>
              <w:rPr>
                <w:rFonts w:hint="eastAsia" w:ascii="宋体" w:hAnsi="宋体"/>
                <w:kern w:val="0"/>
                <w:sz w:val="18"/>
                <w:szCs w:val="18"/>
              </w:rPr>
              <w:t>的规定；</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b）在满载和设计允许偏载的情况下，连续工作的异步电机工作电流应不大于电机的额定电流；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c）对频繁直接起动的异步电机，起动电流应不大于额定电流的4.5倍。</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796"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电动机应安装良好。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9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电动机定子绝缘</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a）电机绕组的绝缘电阻在热状态或热试验后应不低于下面公式计算值：</w:t>
            </w:r>
          </w:p>
          <w:p>
            <w:pPr>
              <w:widowControl/>
              <w:tabs>
                <w:tab w:val="center" w:pos="4201"/>
                <w:tab w:val="right" w:leader="dot" w:pos="9298"/>
              </w:tabs>
              <w:jc w:val="center"/>
              <w:rPr>
                <w:rFonts w:ascii="宋体" w:hAnsi="宋体"/>
                <w:kern w:val="0"/>
                <w:sz w:val="18"/>
                <w:szCs w:val="18"/>
              </w:rPr>
            </w:pPr>
            <w:r>
              <w:rPr>
                <w:rFonts w:ascii="宋体" w:hAnsi="宋体"/>
                <w:kern w:val="0"/>
                <w:position w:val="-30"/>
                <w:sz w:val="18"/>
                <w:szCs w:val="18"/>
              </w:rPr>
              <w:object>
                <v:shape id="_x0000_i1028" o:spt="75" type="#_x0000_t75" style="height:22.95pt;width:63.4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6">
                  <o:LockedField>false</o:LockedField>
                </o:OLEObject>
              </w:objec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其中：</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R——电机绕组的绝缘电阻，单位为兆欧（MΩ）；</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U——电机绕组的额定电压，单位为伏（V）；</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P——电机的额定功率，单位为千瓦（kW）或是千伏安（kVA）。</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计算的绝缘电阻低于0.38MΩ，则按0.38MΩ考核。</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b）对额定电压交流1000V及以下、直流1500V及以下电机，冷态绝缘电阻应不低于5MΩ，对额定电压交流1000V以上、直流1500V以上电机，冷态绝缘电阻应不低于50MΩ。</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82"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电机运转状况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电动机的不得出现下列情况之一：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a）电动机绕组短路、断路、烧毁；</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b）电动机定子、转子严重磨损；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c）电动机不应有明显的异常声响，振动；</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d）电动机外壳或机座破裂。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电机运转温度</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电动机本身因素导致工作温升不应超标，B级(130K）绝缘工作温升不应超过80K，F级(155K）绝缘工作温升不应超过105K。</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过载（过热）保护</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电动机应有过载（过热）保护。</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电动机起动时端电压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电动机频繁起动时端电压不宜低于额定电压的90%，不频繁起动时电压不宜低于额定电压的85%。</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3.8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防止超速的控制装置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有可能超速的游乐设施应设有安全可靠的限速装置或措施。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65"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4</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联轴器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安装情况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联轴器应安装良好。</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两轴的同轴度和端间隙</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联轴器两轴的同轴度和端间隙符合</w:t>
            </w:r>
            <w:r>
              <w:rPr>
                <w:rFonts w:ascii="宋体" w:hAnsi="宋体"/>
                <w:kern w:val="0"/>
                <w:sz w:val="18"/>
                <w:szCs w:val="18"/>
              </w:rPr>
              <w:t>GB50231</w:t>
            </w:r>
            <w:r>
              <w:rPr>
                <w:rFonts w:hint="eastAsia" w:ascii="宋体" w:hAnsi="宋体"/>
                <w:kern w:val="0"/>
                <w:sz w:val="18"/>
                <w:szCs w:val="18"/>
              </w:rPr>
              <w:t>的规定。</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径向跳动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联轴器径向跳动量应符合制造厂设计要求。</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轴向窜动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联轴器轴向窜动量应符合制造厂设计要求。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4.5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联接情况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联轴器与电动机输出轴端、减速机联结处应固定可靠；运转中联轴器不应有振动、冲击和异响。联轴器挡圈、柱销等组件应完好。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9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5</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制动器</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制动器设置情况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a）当动力电源切断后，停机过程时间较长或要求定位准确的游乐设施，应设制动装置。设备在制动停止后，应能使运动部件保持静止状态，必要时应设置辅助锁定装置。</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b）制动系统应保证游乐设施紧急停机时不产生较大冲击。制动停止后，应使运动部件、乘载系统保持静止状态且乘客处于安全状态，必要时应设置辅助锁紧装置或驻车装置。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制动器型式</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游乐设施视其运动形式、速度及其结构的不同，采用不同的制动方式和制动器结构（如机械、电动、液压、气动以及手动等）。制动装置的制动行程应可调节。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工作状况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运行正常，不应有明显的异常声响及振动。</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26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制动器处于安全状态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游乐设施在运行时，若动力源切断或制动装置控制中断，应确保游乐设施能安全停止，或制动器处于安全状态。</w:t>
            </w: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noWrap/>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维持电压</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制动器的维持电压应符合制造厂设计要求。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1"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紧急制动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紧急停机时，减速制动装置应保证设备不产生较大冲击，优先选惯性停车或能耗制动方式。设备停止后，运动部件应保持静止状态;必要时应设置辅助锁紧装置或驻车装置。减速制动过程应平稳，减速制动时间应满足设计要求。</w:t>
            </w:r>
          </w:p>
          <w:p>
            <w:pPr>
              <w:widowControl/>
              <w:tabs>
                <w:tab w:val="center" w:pos="4201"/>
                <w:tab w:val="right" w:leader="dot" w:pos="9298"/>
              </w:tabs>
              <w:jc w:val="left"/>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制动力矩</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制动装置的制动力矩（力）应根据实际情况设置，不应引起安全问题及设备受损。手控制动装置操作手柄的作用力应为100N～200N。</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6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5.8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制动器磨损情况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制动器不得出现下列情况之一：</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a）制动器的制动衬块与制动轮完全脱离；</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b）制动衬块严重磨损或者制动弹簧失效，导致制动力不足；</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c）受力结构件出现裂纹或者严重磨损；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d）制动器电磁线圈铁芯动作异常，出现卡阻现象；</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e）制动器电磁线圈防尘件破损；</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f）制动闸衬的磨损量不大于原厚度的50%；                                 </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g）制动轮无划痕。</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6</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减速箱</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减速箱运转</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设备在空载、满载、偏载工况下运行时，减速箱运行平稳，无异常振动或异响。</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齿轮油</w:t>
            </w:r>
          </w:p>
        </w:tc>
        <w:tc>
          <w:tcPr>
            <w:tcW w:w="10162" w:type="dxa"/>
            <w:tcBorders>
              <w:top w:val="nil"/>
              <w:left w:val="nil"/>
              <w:bottom w:val="single" w:color="auto" w:sz="4" w:space="0"/>
              <w:right w:val="single" w:color="auto" w:sz="4" w:space="0"/>
            </w:tcBorders>
            <w:vAlign w:val="center"/>
          </w:tcPr>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 xml:space="preserve">按照《使用维护保养说明书》要求，选择适合的齿轮油并定期更换；                                                        </w:t>
            </w:r>
          </w:p>
          <w:p>
            <w:pPr>
              <w:widowControl/>
              <w:numPr>
                <w:ilvl w:val="0"/>
                <w:numId w:val="19"/>
              </w:numPr>
              <w:tabs>
                <w:tab w:val="center" w:pos="4201"/>
                <w:tab w:val="right" w:leader="dot" w:pos="9298"/>
              </w:tabs>
              <w:jc w:val="left"/>
              <w:rPr>
                <w:rFonts w:ascii="宋体" w:hAnsi="宋体"/>
                <w:kern w:val="0"/>
                <w:sz w:val="18"/>
                <w:szCs w:val="18"/>
              </w:rPr>
            </w:pPr>
            <w:r>
              <w:rPr>
                <w:rFonts w:hint="eastAsia" w:ascii="宋体" w:hAnsi="宋体"/>
                <w:kern w:val="0"/>
                <w:sz w:val="18"/>
                <w:szCs w:val="18"/>
              </w:rPr>
              <w:t>轴伸出处无明显的渗漏油情况。</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6.3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传动轴、键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传动轴或者键不应出现影响安全运行的损坏。</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7</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齿轮（含开式齿轮、减速箱齿轮）</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齿轮的设计或选型应符合游乐设施的实际工况，并符合相关国家标准的规定。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润滑情况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应当有良好的润滑。</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啮合面状态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无异常偏啮合及偏磨损，轮齿不得出现塑性变形、折断、裂纹、齿面点蚀或胶合等形式的严重失效。</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7.4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啮合接触斑点</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齿轮及齿条传动时，接触斑点百分率为：在齿高方向不小于40%，在齿长方向不小于50%。（GB 8408-2018，7.10.6，c）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60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8</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皮带</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皮带的设计或选型应符合游乐设施的实际工况，并符合相关国家标准的规定。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传动摩擦力足够，运行不打滑。</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皮带磨损情况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皮带是否磨损严重、裂纹、老化、扯皮等缺陷。</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114"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8.4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是否可调或设置张紧机构</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应设置可调整皮带的张紧机构。</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91"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9</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滚子链</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选型情况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传送动力的滚子链，应符合</w:t>
            </w:r>
            <w:r>
              <w:rPr>
                <w:rFonts w:ascii="宋体" w:hAnsi="宋体"/>
                <w:kern w:val="0"/>
                <w:sz w:val="18"/>
                <w:szCs w:val="18"/>
              </w:rPr>
              <w:t>GB/T 1243</w:t>
            </w:r>
            <w:r>
              <w:rPr>
                <w:rFonts w:hint="eastAsia" w:ascii="宋体" w:hAnsi="宋体"/>
                <w:kern w:val="0"/>
                <w:sz w:val="18"/>
                <w:szCs w:val="18"/>
              </w:rPr>
              <w:t>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9.2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链与链轮正确啮合。</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49"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10</w:t>
            </w:r>
          </w:p>
          <w:p>
            <w:pPr>
              <w:widowControl/>
              <w:jc w:val="center"/>
              <w:rPr>
                <w:rFonts w:ascii="宋体" w:hAnsi="宋体"/>
                <w:b/>
                <w:bCs/>
                <w:kern w:val="0"/>
                <w:sz w:val="18"/>
                <w:szCs w:val="18"/>
              </w:rPr>
            </w:pPr>
            <w:r>
              <w:rPr>
                <w:rFonts w:hint="eastAsia" w:ascii="宋体" w:hAnsi="宋体"/>
                <w:bCs/>
                <w:kern w:val="0"/>
                <w:sz w:val="18"/>
                <w:szCs w:val="18"/>
              </w:rPr>
              <w:t>驱动轮、承载轮及轨道</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 xml:space="preserve"> 采用周边传动的转马类游乐设施，其轨道表面应平整，轨道对接处间隙应不大于 2 mm，高低差应不超过1 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轨道晃动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采用周边传动的转马类游乐设施其轨道应过渡平滑，运行过程中不应有异常晃动。车体不应有异常振动。</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12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20"/>
              </w:rPr>
              <w:t>驱动轮、支承轮对轨面位置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采用周边传动的转马类游乐设施，其驱动轮和承载轮对轨道表面压力应适当。驱动轮和承载轮运动轨迹相对于轨道位置无明显偏差，导向轮与轨道的间隙应调整适当。</w:t>
            </w:r>
          </w:p>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液压、气动系统</w:t>
            </w: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p>
          <w:p>
            <w:pPr>
              <w:widowControl/>
              <w:tabs>
                <w:tab w:val="center" w:pos="4201"/>
                <w:tab w:val="right" w:leader="dot" w:pos="9298"/>
              </w:tabs>
              <w:jc w:val="center"/>
              <w:rPr>
                <w:rFonts w:ascii="宋体" w:hAnsi="宋体"/>
                <w:bCs/>
                <w:kern w:val="0"/>
                <w:sz w:val="18"/>
                <w:szCs w:val="18"/>
              </w:rPr>
            </w:pPr>
            <w:r>
              <w:rPr>
                <w:rFonts w:hint="eastAsia" w:ascii="宋体" w:hAnsi="宋体"/>
                <w:bCs/>
                <w:kern w:val="0"/>
                <w:sz w:val="18"/>
                <w:szCs w:val="18"/>
              </w:rPr>
              <w:t>11</w:t>
            </w:r>
          </w:p>
          <w:p>
            <w:pPr>
              <w:widowControl/>
              <w:tabs>
                <w:tab w:val="center" w:pos="4201"/>
                <w:tab w:val="right" w:leader="dot" w:pos="9298"/>
              </w:tabs>
              <w:jc w:val="center"/>
              <w:rPr>
                <w:rFonts w:ascii="宋体" w:hAnsi="宋体"/>
                <w:b/>
                <w:bCs/>
                <w:kern w:val="0"/>
                <w:sz w:val="18"/>
                <w:szCs w:val="18"/>
              </w:rPr>
            </w:pPr>
            <w:r>
              <w:rPr>
                <w:rFonts w:hint="eastAsia" w:ascii="宋体" w:hAnsi="宋体"/>
                <w:bCs/>
                <w:kern w:val="0"/>
                <w:sz w:val="18"/>
                <w:szCs w:val="18"/>
              </w:rPr>
              <w:t>液压、气动系统</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液压、气动系统设置</w:t>
            </w:r>
          </w:p>
        </w:tc>
        <w:tc>
          <w:tcPr>
            <w:tcW w:w="10162" w:type="dxa"/>
            <w:tcBorders>
              <w:top w:val="single" w:color="auto" w:sz="4" w:space="0"/>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a）每台（套）应设置单独的液压或气动系统；</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b）液压、气动或电力驱动装置启动和停止时，设备不应有异常的冲击振动；回转接头应转动灵活、密封可靠、维修方便；</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c）液压站或空压站设置位置应适当，且便于维修。</w:t>
            </w:r>
          </w:p>
          <w:p>
            <w:pPr>
              <w:widowControl/>
              <w:tabs>
                <w:tab w:val="center" w:pos="4201"/>
                <w:tab w:val="right" w:leader="dot" w:pos="9298"/>
              </w:tabs>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油管、气管</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管路应排列整齐、布置合理，管卡分布是否合理，弯管处应无过压、过弯现象，软管管长是否适中，捆扎应结实、无摩擦、固定可靠。</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接头</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液压及气动传动的回转接头转动应灵活，密封应可靠，维修应方便。</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液压油温检查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a）当环境温度最高时，油泵进口油的温度不应超过60℃。在环境温度最低时，设备应能正常工作。</w:t>
            </w:r>
          </w:p>
          <w:p>
            <w:pPr>
              <w:widowControl/>
              <w:tabs>
                <w:tab w:val="center" w:pos="4201"/>
                <w:tab w:val="right" w:leader="dot" w:pos="9298"/>
              </w:tabs>
              <w:jc w:val="left"/>
              <w:rPr>
                <w:rFonts w:ascii="宋体" w:hAnsi="宋体"/>
                <w:kern w:val="0"/>
                <w:sz w:val="18"/>
                <w:szCs w:val="18"/>
              </w:rPr>
            </w:pPr>
            <w:r>
              <w:rPr>
                <w:rFonts w:hint="eastAsia" w:ascii="宋体" w:hAnsi="宋体"/>
                <w:kern w:val="0"/>
                <w:sz w:val="18"/>
                <w:szCs w:val="18"/>
              </w:rPr>
              <w:t>b）当工作环境温度最高时，油箱油温不应超过65℃。设备允许运行的环境温度范围内，设备应能正常工作。</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油质及油箱密封检查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a）液压系统在装配前，接头、管路及油箱内表面应清洗干净，不得有任何污物存在。</w:t>
            </w:r>
          </w:p>
          <w:p>
            <w:pPr>
              <w:widowControl/>
              <w:tabs>
                <w:tab w:val="center" w:pos="4201"/>
                <w:tab w:val="right" w:leader="dot" w:pos="9298"/>
              </w:tabs>
              <w:rPr>
                <w:rFonts w:ascii="宋体" w:hAnsi="宋体"/>
                <w:kern w:val="0"/>
                <w:sz w:val="18"/>
                <w:szCs w:val="18"/>
              </w:rPr>
            </w:pPr>
            <w:r>
              <w:rPr>
                <w:rFonts w:hint="eastAsia" w:ascii="宋体" w:hAnsi="宋体"/>
                <w:kern w:val="0"/>
                <w:sz w:val="18"/>
                <w:szCs w:val="18"/>
              </w:rPr>
              <w:t>b）使用的液压油应保证清洁无杂质，油箱密封良好。</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系统过压保护装置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液压或气动系统中，应设有不超过额定工作压力1.2倍的过压保护装置。</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系统渗漏情况</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液压系统不应渗漏油。气动系统不应明显漏气。</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乘人部分液压（气）缸失压或失速保护装置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乘人部分由油缸或气缸支撑升降，当压力管道、软管及泵等失效时，乘人部分下降速度不应大于0.5m/s，否则应设有效的缓冲装置或保护装置。（GB 8408-2018，6.6.3.4）</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005"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运行状态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润滑、液压、气动等辅助系统的工作应正常，无渗漏现象。（GB 8408-2018，6.6.3.4，f）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11.9</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纳入监管的压力容器</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纳入监检的压力容器应符合TSG 21-2016《固定式压力容器安全技术监察规程》的要求。</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tabs>
                <w:tab w:val="center" w:pos="4201"/>
                <w:tab w:val="right" w:leader="dot" w:pos="9298"/>
              </w:tabs>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12</w:t>
            </w:r>
          </w:p>
          <w:p>
            <w:pPr>
              <w:widowControl/>
              <w:jc w:val="center"/>
              <w:rPr>
                <w:rFonts w:ascii="宋体" w:hAnsi="宋体"/>
                <w:bCs/>
                <w:kern w:val="0"/>
                <w:sz w:val="18"/>
                <w:szCs w:val="18"/>
              </w:rPr>
            </w:pPr>
            <w:r>
              <w:rPr>
                <w:rFonts w:hint="eastAsia" w:ascii="宋体" w:hAnsi="宋体"/>
                <w:bCs/>
                <w:kern w:val="0"/>
                <w:sz w:val="18"/>
                <w:szCs w:val="18"/>
              </w:rPr>
              <w:t>重要轴</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重要轴、销轴材料及其表面硬度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重要的轴和销轴宜进行调质处理，并符合</w:t>
            </w:r>
            <w:r>
              <w:rPr>
                <w:rFonts w:ascii="宋体" w:hAnsi="宋体"/>
                <w:kern w:val="0"/>
                <w:sz w:val="18"/>
                <w:szCs w:val="18"/>
              </w:rPr>
              <w:t>GB/T 699</w:t>
            </w:r>
            <w:r>
              <w:rPr>
                <w:rFonts w:hint="eastAsia" w:ascii="宋体" w:hAnsi="宋体"/>
                <w:kern w:val="0"/>
                <w:sz w:val="18"/>
                <w:szCs w:val="18"/>
              </w:rPr>
              <w:t>和</w:t>
            </w:r>
            <w:r>
              <w:rPr>
                <w:rFonts w:ascii="宋体" w:hAnsi="宋体"/>
                <w:kern w:val="0"/>
                <w:sz w:val="18"/>
                <w:szCs w:val="18"/>
              </w:rPr>
              <w:t>GB/T 3077</w:t>
            </w:r>
            <w:r>
              <w:rPr>
                <w:rFonts w:hint="eastAsia" w:ascii="宋体" w:hAnsi="宋体"/>
                <w:kern w:val="0"/>
                <w:sz w:val="18"/>
                <w:szCs w:val="18"/>
              </w:rPr>
              <w:t>的规定，调质后应进行无损检测。必要时应进行冲击试验。</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润滑</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对于轴承及接触面有相对运动的部位，应有润滑措施，需要添加润滑剂的，应便于操作。</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转动正常无异响。</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219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重要轴、销轴的无损检测</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重要轴应进行超声检测及表面检测：</w:t>
            </w:r>
            <w:r>
              <w:rPr>
                <w:rFonts w:hint="eastAsia" w:ascii="宋体" w:hAnsi="宋体"/>
                <w:kern w:val="0"/>
                <w:sz w:val="18"/>
                <w:szCs w:val="18"/>
              </w:rPr>
              <w:br w:type="textWrapping"/>
            </w:r>
            <w:r>
              <w:rPr>
                <w:rFonts w:hint="eastAsia" w:ascii="宋体" w:hAnsi="宋体"/>
                <w:kern w:val="0"/>
                <w:sz w:val="18"/>
                <w:szCs w:val="18"/>
              </w:rPr>
              <w:t>a</w:t>
            </w:r>
            <w:r>
              <w:rPr>
                <w:rFonts w:ascii="宋体" w:hAnsi="宋体"/>
                <w:kern w:val="0"/>
                <w:sz w:val="18"/>
                <w:szCs w:val="18"/>
              </w:rPr>
              <w:t>)</w:t>
            </w:r>
            <w:r>
              <w:rPr>
                <w:rFonts w:hint="eastAsia" w:ascii="宋体" w:hAnsi="宋体"/>
                <w:kern w:val="0"/>
                <w:sz w:val="18"/>
                <w:szCs w:val="18"/>
              </w:rPr>
              <w:t>超声检测应当按照</w:t>
            </w:r>
            <w:r>
              <w:rPr>
                <w:rFonts w:ascii="宋体" w:hAnsi="宋体"/>
                <w:kern w:val="0"/>
                <w:sz w:val="18"/>
                <w:szCs w:val="18"/>
              </w:rPr>
              <w:t>GB/T 34370.5</w:t>
            </w:r>
            <w:r>
              <w:rPr>
                <w:rFonts w:hint="eastAsia" w:ascii="宋体" w:hAnsi="宋体"/>
                <w:kern w:val="0"/>
                <w:sz w:val="18"/>
                <w:szCs w:val="18"/>
              </w:rPr>
              <w:t>的规定执行,质量要求和合格级别如下：零部件的脉冲反射法超声检测技术等级不低于B级，合格级别为Ⅱ级；</w:t>
            </w:r>
            <w:r>
              <w:rPr>
                <w:rFonts w:hint="eastAsia" w:ascii="宋体" w:hAnsi="宋体"/>
                <w:kern w:val="0"/>
                <w:sz w:val="18"/>
                <w:szCs w:val="18"/>
              </w:rPr>
              <w:br w:type="textWrapping"/>
            </w:r>
            <w:r>
              <w:rPr>
                <w:rFonts w:hint="eastAsia" w:ascii="宋体" w:hAnsi="宋体"/>
                <w:kern w:val="0"/>
                <w:sz w:val="18"/>
                <w:szCs w:val="18"/>
              </w:rPr>
              <w:t>b</w:t>
            </w:r>
            <w:r>
              <w:rPr>
                <w:rFonts w:ascii="宋体" w:hAnsi="宋体"/>
                <w:kern w:val="0"/>
                <w:sz w:val="18"/>
                <w:szCs w:val="18"/>
              </w:rPr>
              <w:t>)</w:t>
            </w:r>
            <w:r>
              <w:rPr>
                <w:rFonts w:hint="eastAsia" w:ascii="宋体" w:hAnsi="宋体"/>
                <w:kern w:val="0"/>
                <w:sz w:val="18"/>
                <w:szCs w:val="18"/>
              </w:rPr>
              <w:t>表面检测：</w:t>
            </w:r>
            <w:r>
              <w:rPr>
                <w:rFonts w:hint="eastAsia" w:ascii="宋体" w:hAnsi="宋体"/>
                <w:kern w:val="0"/>
                <w:sz w:val="18"/>
                <w:szCs w:val="18"/>
              </w:rPr>
              <w:br w:type="textWrapping"/>
            </w:r>
            <w:r>
              <w:rPr>
                <w:rFonts w:hint="eastAsia" w:ascii="宋体" w:hAnsi="宋体"/>
                <w:kern w:val="0"/>
                <w:sz w:val="18"/>
                <w:szCs w:val="18"/>
              </w:rPr>
              <w:t>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restart"/>
            <w:tcBorders>
              <w:top w:val="single" w:color="auto" w:sz="4" w:space="0"/>
              <w:left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13</w:t>
            </w:r>
          </w:p>
          <w:p>
            <w:pPr>
              <w:widowControl/>
              <w:jc w:val="center"/>
              <w:rPr>
                <w:rFonts w:ascii="宋体" w:hAnsi="宋体"/>
                <w:b/>
                <w:bCs/>
                <w:kern w:val="0"/>
                <w:sz w:val="18"/>
                <w:szCs w:val="18"/>
              </w:rPr>
            </w:pPr>
            <w:r>
              <w:rPr>
                <w:rFonts w:hint="eastAsia" w:ascii="宋体" w:hAnsi="宋体"/>
                <w:bCs/>
                <w:kern w:val="0"/>
                <w:sz w:val="18"/>
                <w:szCs w:val="18"/>
              </w:rPr>
              <w:t>金属结构及连接</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金属结构宏观情况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主要受力构件不应整体失稳、严重塑性变形和产生裂纹。金属结构的连接焊缝无明显可见的焊接缺陷。螺栓或铆钉联接不得松动，不应有缺件、损坏等缺陷。高强度螺栓连接应有足够的预紧力矩。</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重要连接螺栓、销轴（强度、防松、防脱、标识</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重要螺栓连接应能满足载荷要求，应采取防止螺栓松动的措施。螺栓安装后应有明显的防松标识。重要零部件间的销轴连接应有防脱落措施。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焊缝表面质量检验</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焊缝不应有影响安全的漏焊、烧穿、裂纹、气孔、严重咬边、焊瘤熔渣及焊高不够等缺陷。</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265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重要焊缝的无损检测</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重要焊缝应进行不低于100%的磁粉（或渗透）探伤：</w:t>
            </w:r>
            <w:r>
              <w:rPr>
                <w:rFonts w:hint="eastAsia" w:ascii="宋体" w:hAnsi="宋体"/>
                <w:kern w:val="0"/>
                <w:sz w:val="18"/>
                <w:szCs w:val="18"/>
              </w:rPr>
              <w:br w:type="textWrapping"/>
            </w:r>
            <w:r>
              <w:rPr>
                <w:rFonts w:hint="eastAsia" w:ascii="宋体" w:hAnsi="宋体"/>
                <w:kern w:val="0"/>
                <w:sz w:val="18"/>
                <w:szCs w:val="18"/>
              </w:rPr>
              <w:t>a)超声检测应当按照</w:t>
            </w:r>
            <w:r>
              <w:rPr>
                <w:rFonts w:ascii="宋体" w:hAnsi="宋体"/>
                <w:kern w:val="0"/>
                <w:sz w:val="18"/>
                <w:szCs w:val="18"/>
              </w:rPr>
              <w:t>GB/T 34370.5</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1)要求进行全部无损检测的对接接头，脉冲反射法鞋检测技术等级不低于B级，合格级别为 I级；</w:t>
            </w:r>
            <w:r>
              <w:rPr>
                <w:rFonts w:hint="eastAsia" w:ascii="宋体" w:hAnsi="宋体"/>
                <w:kern w:val="0"/>
                <w:sz w:val="18"/>
                <w:szCs w:val="18"/>
              </w:rPr>
              <w:br w:type="textWrapping"/>
            </w:r>
            <w:r>
              <w:rPr>
                <w:rFonts w:hint="eastAsia" w:ascii="宋体" w:hAnsi="宋体"/>
                <w:kern w:val="0"/>
                <w:sz w:val="18"/>
                <w:szCs w:val="18"/>
              </w:rPr>
              <w:t xml:space="preserve">  2)要求进行局部无损检测的对接接头，脉冲反射法超声检测技术等级不低于B级，合格级别为 II级；</w:t>
            </w:r>
            <w:r>
              <w:rPr>
                <w:rFonts w:hint="eastAsia" w:ascii="宋体" w:hAnsi="宋体"/>
                <w:kern w:val="0"/>
                <w:sz w:val="18"/>
                <w:szCs w:val="18"/>
              </w:rPr>
              <w:br w:type="textWrapping"/>
            </w:r>
            <w:r>
              <w:rPr>
                <w:rFonts w:hint="eastAsia" w:ascii="宋体" w:hAnsi="宋体"/>
                <w:kern w:val="0"/>
                <w:sz w:val="18"/>
                <w:szCs w:val="18"/>
              </w:rPr>
              <w:t xml:space="preserve">  3)角接接头的对接焊缝和T形接头的对接焊缝，脉冲反射法超声检测技术等级不低于B级,合 格级别为II级；</w:t>
            </w:r>
            <w:r>
              <w:rPr>
                <w:rFonts w:hint="eastAsia" w:ascii="宋体" w:hAnsi="宋体"/>
                <w:kern w:val="0"/>
                <w:sz w:val="18"/>
                <w:szCs w:val="18"/>
              </w:rPr>
              <w:br w:type="textWrapping"/>
            </w:r>
            <w:r>
              <w:rPr>
                <w:rFonts w:hint="eastAsia" w:ascii="宋体" w:hAnsi="宋体"/>
                <w:kern w:val="0"/>
                <w:sz w:val="18"/>
                <w:szCs w:val="18"/>
              </w:rPr>
              <w:t xml:space="preserve">  4)采用衍射时差法和相控阵超声检测的焊接接头，合格级别不低于II级。</w:t>
            </w:r>
            <w:r>
              <w:rPr>
                <w:rFonts w:hint="eastAsia" w:ascii="宋体" w:hAnsi="宋体"/>
                <w:kern w:val="0"/>
                <w:sz w:val="18"/>
                <w:szCs w:val="18"/>
              </w:rPr>
              <w:br w:type="textWrapping"/>
            </w:r>
            <w:r>
              <w:rPr>
                <w:rFonts w:hint="eastAsia" w:ascii="宋体" w:hAnsi="宋体"/>
                <w:kern w:val="0"/>
                <w:sz w:val="18"/>
                <w:szCs w:val="18"/>
              </w:rPr>
              <w:t>b)表面检测应当按照</w:t>
            </w:r>
            <w:r>
              <w:rPr>
                <w:rFonts w:ascii="宋体" w:hAnsi="宋体"/>
                <w:kern w:val="0"/>
                <w:sz w:val="18"/>
                <w:szCs w:val="18"/>
              </w:rPr>
              <w:t>GB/T 34370.3</w:t>
            </w:r>
            <w:r>
              <w:rPr>
                <w:rFonts w:hint="eastAsia" w:ascii="宋体" w:hAnsi="宋体"/>
                <w:kern w:val="0"/>
                <w:sz w:val="18"/>
                <w:szCs w:val="18"/>
              </w:rPr>
              <w:t>和</w:t>
            </w:r>
            <w:r>
              <w:rPr>
                <w:rFonts w:ascii="宋体" w:hAnsi="宋体"/>
                <w:kern w:val="0"/>
                <w:sz w:val="18"/>
                <w:szCs w:val="18"/>
              </w:rPr>
              <w:t>GB/T 34370.4</w:t>
            </w:r>
            <w:r>
              <w:rPr>
                <w:rFonts w:hint="eastAsia" w:ascii="宋体" w:hAnsi="宋体"/>
                <w:kern w:val="0"/>
                <w:sz w:val="18"/>
                <w:szCs w:val="18"/>
              </w:rPr>
              <w:t>的规定执行,质量要求和合格级别如下：</w:t>
            </w:r>
            <w:r>
              <w:rPr>
                <w:rFonts w:hint="eastAsia" w:ascii="宋体" w:hAnsi="宋体"/>
                <w:kern w:val="0"/>
                <w:sz w:val="18"/>
                <w:szCs w:val="18"/>
              </w:rPr>
              <w:br w:type="textWrapping"/>
            </w:r>
            <w:r>
              <w:rPr>
                <w:rFonts w:hint="eastAsia" w:ascii="宋体" w:hAnsi="宋体"/>
                <w:kern w:val="0"/>
                <w:sz w:val="18"/>
                <w:szCs w:val="18"/>
              </w:rPr>
              <w:t xml:space="preserve">  1)采用磁粉或者渗透检测，合格级别为I级；</w:t>
            </w:r>
            <w:r>
              <w:rPr>
                <w:rFonts w:hint="eastAsia" w:ascii="宋体" w:hAnsi="宋体"/>
                <w:kern w:val="0"/>
                <w:sz w:val="18"/>
                <w:szCs w:val="18"/>
              </w:rPr>
              <w:br w:type="textWrapping"/>
            </w:r>
            <w:r>
              <w:rPr>
                <w:rFonts w:hint="eastAsia" w:ascii="宋体" w:hAnsi="宋体"/>
                <w:kern w:val="0"/>
                <w:sz w:val="18"/>
                <w:szCs w:val="18"/>
              </w:rPr>
              <w:t xml:space="preserve">  2)采用涡流检测，合格级别由设计图样或业主协商的当量尺寸确定；</w:t>
            </w:r>
            <w:r>
              <w:rPr>
                <w:rFonts w:hint="eastAsia" w:ascii="宋体" w:hAnsi="宋体"/>
                <w:kern w:val="0"/>
                <w:sz w:val="18"/>
                <w:szCs w:val="18"/>
              </w:rPr>
              <w:br w:type="textWrapping"/>
            </w:r>
            <w:r>
              <w:rPr>
                <w:rFonts w:hint="eastAsia" w:ascii="宋体" w:hAnsi="宋体"/>
                <w:kern w:val="0"/>
                <w:sz w:val="18"/>
                <w:szCs w:val="18"/>
              </w:rPr>
              <w:t xml:space="preserve">  3)带油漆层的磁粉检测，应由经证明具备相应检测能力的专业人员实施。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重要立柱垂直度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重要立柱安装定位后，对水平面的垂直度公差应不大于 1/1000。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13.6</w:t>
            </w:r>
          </w:p>
        </w:tc>
        <w:tc>
          <w:tcPr>
            <w:tcW w:w="1130" w:type="dxa"/>
            <w:tcBorders>
              <w:top w:val="nil"/>
              <w:left w:val="nil"/>
              <w:bottom w:val="single" w:color="auto" w:sz="4" w:space="0"/>
              <w:right w:val="single" w:color="auto" w:sz="4" w:space="0"/>
            </w:tcBorders>
            <w:vAlign w:val="center"/>
          </w:tcPr>
          <w:p>
            <w:pPr>
              <w:rPr>
                <w:rFonts w:ascii="宋体" w:hAnsi="宋体"/>
                <w:kern w:val="0"/>
                <w:sz w:val="15"/>
                <w:szCs w:val="15"/>
              </w:rPr>
            </w:pPr>
            <w:r>
              <w:rPr>
                <w:rFonts w:hint="eastAsia"/>
                <w:sz w:val="18"/>
                <w:szCs w:val="21"/>
              </w:rPr>
              <w:t>回转支承面倾斜度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回转支撑面或轴承端面与水平面的倾斜度公差应不大于1/1000。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锈蚀情况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a)金属结构件的涂装必须达到防锈蚀的要求；</w:t>
            </w:r>
          </w:p>
          <w:p>
            <w:pPr>
              <w:widowControl/>
              <w:rPr>
                <w:rFonts w:ascii="宋体" w:hAnsi="宋体"/>
                <w:kern w:val="0"/>
                <w:sz w:val="18"/>
                <w:szCs w:val="18"/>
              </w:rPr>
            </w:pPr>
            <w:r>
              <w:rPr>
                <w:rFonts w:hint="eastAsia" w:ascii="宋体" w:hAnsi="宋体"/>
                <w:kern w:val="0"/>
                <w:sz w:val="18"/>
                <w:szCs w:val="18"/>
              </w:rPr>
              <w:t>b)受力结构件的最大锈蚀深度应小于原型钢厚度的15%。</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重要结构件排水</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检查重要结构件的排水措施，应符合设计要求，结构件外表面及其内部不应有残留积水。</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进出口门设置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对于转马系列游乐设施，二层及以上平台应单独设置进出口，进出口门的开口方向应与乘客进入方向一致。进出口门应设置锁紧装置，在运行过程中乘客不能自行打开，并具备防夹手功能。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曲柄轴结构</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转马系列游乐设施的曲柄轴结构应便于检修和更换。</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装饰物</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转动部分的装饰物等应与转动部分连接可靠。</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14</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非金属件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14.1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玻璃、橡胶、尼龙、聚氨酯等外观状态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cs="宋体"/>
                <w:kern w:val="0"/>
                <w:sz w:val="18"/>
                <w:szCs w:val="18"/>
                <w:lang w:bidi="ar"/>
              </w:rPr>
              <w:t>不应</w:t>
            </w:r>
            <w:r>
              <w:rPr>
                <w:rStyle w:val="142"/>
                <w:color w:val="auto"/>
                <w:lang w:bidi="ar"/>
              </w:rPr>
              <w:t>存在裂纹、尖角、毛刺、老化、破损、变形、磨损等。（GB/T20050-2020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tcBorders>
              <w:top w:val="single" w:color="auto" w:sz="4" w:space="0"/>
              <w:left w:val="single" w:color="auto" w:sz="4" w:space="0"/>
              <w:bottom w:val="single" w:color="auto" w:sz="4" w:space="0"/>
              <w:right w:val="single" w:color="auto" w:sz="4" w:space="0"/>
            </w:tcBorders>
            <w:vAlign w:val="center"/>
          </w:tcPr>
          <w:p>
            <w:pPr>
              <w:widowControl/>
              <w:tabs>
                <w:tab w:val="center" w:pos="4201"/>
                <w:tab w:val="right" w:leader="dot" w:pos="9298"/>
              </w:tabs>
              <w:jc w:val="center"/>
              <w:rPr>
                <w:rFonts w:ascii="宋体" w:hAnsi="宋体" w:cs="宋体"/>
                <w:kern w:val="0"/>
                <w:sz w:val="18"/>
                <w:szCs w:val="18"/>
                <w:lang w:bidi="ar"/>
              </w:rPr>
            </w:pPr>
            <w:r>
              <w:rPr>
                <w:rFonts w:hint="eastAsia" w:ascii="宋体" w:hAnsi="宋体" w:cs="宋体"/>
                <w:kern w:val="0"/>
                <w:sz w:val="18"/>
                <w:szCs w:val="18"/>
                <w:lang w:bidi="ar"/>
              </w:rPr>
              <w:t>15</w:t>
            </w:r>
          </w:p>
          <w:p>
            <w:pPr>
              <w:widowControl/>
              <w:tabs>
                <w:tab w:val="center" w:pos="4201"/>
                <w:tab w:val="right" w:leader="dot" w:pos="9298"/>
              </w:tabs>
              <w:jc w:val="center"/>
              <w:rPr>
                <w:rFonts w:ascii="宋体" w:hAnsi="宋体"/>
                <w:b/>
                <w:bCs/>
                <w:kern w:val="0"/>
                <w:sz w:val="18"/>
                <w:szCs w:val="18"/>
              </w:rPr>
            </w:pPr>
            <w:r>
              <w:rPr>
                <w:rFonts w:hint="eastAsia" w:ascii="宋体" w:hAnsi="宋体" w:cs="宋体"/>
                <w:kern w:val="0"/>
                <w:sz w:val="18"/>
                <w:szCs w:val="18"/>
                <w:lang w:bidi="ar"/>
              </w:rPr>
              <w:t>木结构件</w:t>
            </w: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15.1</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cs="宋体"/>
                <w:kern w:val="0"/>
                <w:sz w:val="18"/>
                <w:szCs w:val="18"/>
                <w:lang w:bidi="ar"/>
              </w:rPr>
              <w:t>外观状态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Style w:val="143"/>
                <w:color w:val="auto"/>
                <w:lang w:bidi="ar"/>
              </w:rPr>
              <w:t>不</w:t>
            </w:r>
            <w:r>
              <w:rPr>
                <w:rStyle w:val="142"/>
                <w:color w:val="auto"/>
                <w:lang w:bidi="ar"/>
              </w:rPr>
              <w:t>存在腐朽、虫眼、开裂、木节、髓心等现象。（GB/T20050-2020 附录D）</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jc w:val="center"/>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16</w:t>
            </w:r>
          </w:p>
          <w:p>
            <w:pPr>
              <w:widowControl/>
              <w:jc w:val="center"/>
              <w:rPr>
                <w:rFonts w:ascii="宋体" w:hAnsi="宋体"/>
                <w:b/>
                <w:bCs/>
                <w:kern w:val="0"/>
                <w:sz w:val="18"/>
                <w:szCs w:val="18"/>
              </w:rPr>
            </w:pPr>
            <w:r>
              <w:rPr>
                <w:rFonts w:hint="eastAsia" w:ascii="宋体" w:hAnsi="宋体"/>
                <w:bCs/>
                <w:kern w:val="0"/>
                <w:sz w:val="18"/>
                <w:szCs w:val="18"/>
              </w:rPr>
              <w:t>乘载系统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乘人部分框架材料</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a)乘人装置框架宜采用金属材料，座席宜采用橡胶、木质或玻璃钢材料。</w:t>
            </w:r>
          </w:p>
          <w:p>
            <w:pPr>
              <w:widowControl/>
              <w:rPr>
                <w:rFonts w:ascii="宋体" w:hAnsi="宋体"/>
                <w:kern w:val="0"/>
                <w:sz w:val="18"/>
                <w:szCs w:val="18"/>
              </w:rPr>
            </w:pPr>
            <w:r>
              <w:rPr>
                <w:rFonts w:hint="eastAsia" w:ascii="宋体" w:hAnsi="宋体"/>
                <w:kern w:val="0"/>
                <w:sz w:val="18"/>
                <w:szCs w:val="18"/>
              </w:rPr>
              <w:t>b)不易拆卸的乘人装置玻璃钢预埋件结构应在安装玻璃钢前进行质量检验，并留存相应的质量证明文件。</w:t>
            </w:r>
          </w:p>
          <w:p>
            <w:pPr>
              <w:widowControl/>
              <w:rPr>
                <w:rFonts w:ascii="宋体" w:hAnsi="宋体"/>
                <w:kern w:val="0"/>
                <w:sz w:val="18"/>
                <w:szCs w:val="18"/>
              </w:rPr>
            </w:pPr>
            <w:r>
              <w:rPr>
                <w:rFonts w:hint="eastAsia" w:ascii="宋体" w:hAnsi="宋体"/>
                <w:kern w:val="0"/>
                <w:sz w:val="18"/>
                <w:szCs w:val="18"/>
              </w:rPr>
              <w:t>c)对于存在乘客甩出风险的转转杯系列、旋转快车系列或其他型式转马系列游乐设施，其座舱宜设置拦挡物，保证乘客不能被甩出或滑出。</w:t>
            </w:r>
          </w:p>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21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玻璃钢件的要求</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 不准许有浸渍不良、固化不良、气泡、切割面分层、厚度不均等缺陷；</w:t>
            </w:r>
            <w:r>
              <w:rPr>
                <w:rFonts w:hint="eastAsia" w:ascii="宋体" w:hAnsi="宋体"/>
                <w:kern w:val="0"/>
                <w:sz w:val="18"/>
                <w:szCs w:val="18"/>
              </w:rPr>
              <w:br w:type="textWrapping"/>
            </w:r>
            <w:r>
              <w:rPr>
                <w:rFonts w:hint="eastAsia" w:ascii="宋体" w:hAnsi="宋体"/>
                <w:kern w:val="0"/>
                <w:sz w:val="18"/>
                <w:szCs w:val="18"/>
              </w:rPr>
              <w:t>b) 表面不准许有裂纹、破损、明显修补痕迹、布纹显露、皱纹、凸凹不平、色调不一致等缺陷，转角处过渡要圆滑，不得有毛刺；</w:t>
            </w:r>
            <w:r>
              <w:rPr>
                <w:rFonts w:hint="eastAsia" w:ascii="宋体" w:hAnsi="宋体"/>
                <w:kern w:val="0"/>
                <w:sz w:val="18"/>
                <w:szCs w:val="18"/>
              </w:rPr>
              <w:br w:type="textWrapping"/>
            </w:r>
            <w:r>
              <w:rPr>
                <w:rFonts w:hint="eastAsia" w:ascii="宋体" w:hAnsi="宋体"/>
                <w:kern w:val="0"/>
                <w:sz w:val="18"/>
                <w:szCs w:val="18"/>
              </w:rPr>
              <w:t>c) 玻璃钢件与受力件直接连接时应有足够的强度，否则应预埋满足强度要求的金属件；</w:t>
            </w:r>
            <w:r>
              <w:rPr>
                <w:rFonts w:hint="eastAsia" w:ascii="宋体" w:hAnsi="宋体"/>
                <w:kern w:val="0"/>
                <w:sz w:val="18"/>
                <w:szCs w:val="18"/>
              </w:rPr>
              <w:br w:type="textWrapping"/>
            </w:r>
            <w:r>
              <w:rPr>
                <w:rFonts w:hint="eastAsia" w:ascii="宋体" w:hAnsi="宋体"/>
                <w:kern w:val="0"/>
                <w:sz w:val="18"/>
                <w:szCs w:val="18"/>
              </w:rPr>
              <w:t xml:space="preserve">d) 玻璃钢件力学性能应符合下表的规定：   </w:t>
            </w:r>
          </w:p>
          <w:p>
            <w:pPr>
              <w:widowControl/>
              <w:jc w:val="center"/>
              <w:rPr>
                <w:rFonts w:ascii="宋体" w:hAnsi="宋体"/>
                <w:kern w:val="0"/>
                <w:sz w:val="18"/>
                <w:szCs w:val="18"/>
              </w:rPr>
            </w:pPr>
            <w:r>
              <w:rPr>
                <w:rFonts w:hint="eastAsia" w:ascii="宋体" w:hAnsi="宋体"/>
                <w:kern w:val="0"/>
                <w:sz w:val="18"/>
                <w:szCs w:val="18"/>
              </w:rPr>
              <w:t>玻璃钢件力学性能</w:t>
            </w:r>
          </w:p>
          <w:tbl>
            <w:tblPr>
              <w:tblStyle w:val="3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46"/>
              <w:gridCol w:w="3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项目</w:t>
                  </w:r>
                </w:p>
              </w:tc>
              <w:tc>
                <w:tcPr>
                  <w:tcW w:w="3908" w:type="dxa"/>
                  <w:vAlign w:val="center"/>
                </w:tcPr>
                <w:p>
                  <w:pPr>
                    <w:widowControl/>
                    <w:jc w:val="center"/>
                    <w:rPr>
                      <w:rFonts w:hAnsi="宋体"/>
                      <w:kern w:val="0"/>
                      <w:szCs w:val="18"/>
                    </w:rPr>
                  </w:pPr>
                  <w:r>
                    <w:rPr>
                      <w:rFonts w:hint="eastAsia" w:hAnsi="宋体"/>
                      <w:kern w:val="0"/>
                      <w:szCs w:val="18"/>
                    </w:rPr>
                    <w:t>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抗拉强度/MPa</w:t>
                  </w:r>
                </w:p>
              </w:tc>
              <w:tc>
                <w:tcPr>
                  <w:tcW w:w="3908" w:type="dxa"/>
                  <w:vAlign w:val="center"/>
                </w:tcPr>
                <w:p>
                  <w:pPr>
                    <w:widowControl/>
                    <w:jc w:val="center"/>
                    <w:rPr>
                      <w:rFonts w:hAnsi="宋体"/>
                      <w:kern w:val="0"/>
                      <w:szCs w:val="18"/>
                    </w:rPr>
                  </w:pPr>
                  <w:r>
                    <w:rPr>
                      <w:rFonts w:hint="eastAsia" w:hAnsi="宋体"/>
                      <w:kern w:val="0"/>
                      <w:szCs w:val="18"/>
                    </w:rPr>
                    <w:t>≥78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抗弯强度/MPa</w:t>
                  </w:r>
                </w:p>
              </w:tc>
              <w:tc>
                <w:tcPr>
                  <w:tcW w:w="3908" w:type="dxa"/>
                  <w:vAlign w:val="center"/>
                </w:tcPr>
                <w:p>
                  <w:pPr>
                    <w:widowControl/>
                    <w:jc w:val="center"/>
                    <w:rPr>
                      <w:rFonts w:hAnsi="宋体"/>
                      <w:kern w:val="0"/>
                      <w:szCs w:val="18"/>
                    </w:rPr>
                  </w:pPr>
                  <w:r>
                    <w:rPr>
                      <w:rFonts w:hint="eastAsia" w:hAnsi="宋体"/>
                      <w:kern w:val="0"/>
                      <w:szCs w:val="18"/>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弹性模量度/MPa</w:t>
                  </w:r>
                </w:p>
              </w:tc>
              <w:tc>
                <w:tcPr>
                  <w:tcW w:w="3908" w:type="dxa"/>
                  <w:vAlign w:val="center"/>
                </w:tcPr>
                <w:p>
                  <w:pPr>
                    <w:widowControl/>
                    <w:jc w:val="center"/>
                    <w:rPr>
                      <w:rFonts w:hAnsi="宋体"/>
                      <w:kern w:val="0"/>
                      <w:szCs w:val="18"/>
                    </w:rPr>
                  </w:pPr>
                  <w:r>
                    <w:rPr>
                      <w:rFonts w:hint="eastAsia" w:hAnsi="宋体"/>
                      <w:kern w:val="0"/>
                      <w:szCs w:val="18"/>
                    </w:rPr>
                    <w:t>≥7.3*10</w:t>
                  </w:r>
                  <w:r>
                    <w:rPr>
                      <w:rFonts w:hAnsi="宋体"/>
                      <w:kern w:val="0"/>
                      <w:position w:val="-4"/>
                      <w:szCs w:val="18"/>
                    </w:rPr>
                    <w:object>
                      <v:shape id="_x0000_i1029" o:spt="75" type="#_x0000_t75" style="height:15pt;width:6.95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7">
                        <o:LockedField>false</o:LockedField>
                      </o:OLEObject>
                    </w:objec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4146" w:type="dxa"/>
                  <w:vAlign w:val="center"/>
                </w:tcPr>
                <w:p>
                  <w:pPr>
                    <w:widowControl/>
                    <w:jc w:val="center"/>
                    <w:rPr>
                      <w:rFonts w:hAnsi="宋体"/>
                      <w:kern w:val="0"/>
                      <w:szCs w:val="18"/>
                    </w:rPr>
                  </w:pPr>
                  <w:r>
                    <w:rPr>
                      <w:rFonts w:hint="eastAsia" w:hAnsi="宋体"/>
                      <w:kern w:val="0"/>
                      <w:szCs w:val="18"/>
                    </w:rPr>
                    <w:t>冲击韧度/(J ·cm</w:t>
                  </w:r>
                  <w:r>
                    <w:rPr>
                      <w:rFonts w:hAnsi="宋体"/>
                      <w:kern w:val="0"/>
                      <w:position w:val="-4"/>
                      <w:szCs w:val="18"/>
                    </w:rPr>
                    <w:object>
                      <v:shape id="_x0000_i1030" o:spt="75" type="#_x0000_t75" style="height:15pt;width:8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30" r:id="rId18">
                        <o:LockedField>false</o:LockedField>
                      </o:OLEObject>
                    </w:object>
                  </w:r>
                  <w:r>
                    <w:rPr>
                      <w:rFonts w:hint="eastAsia" w:hAnsi="宋体"/>
                      <w:kern w:val="0"/>
                      <w:szCs w:val="18"/>
                    </w:rPr>
                    <w:t>)</w:t>
                  </w:r>
                </w:p>
              </w:tc>
              <w:tc>
                <w:tcPr>
                  <w:tcW w:w="3908" w:type="dxa"/>
                  <w:vAlign w:val="center"/>
                </w:tcPr>
                <w:p>
                  <w:pPr>
                    <w:widowControl/>
                    <w:jc w:val="center"/>
                    <w:rPr>
                      <w:rFonts w:hAnsi="宋体"/>
                      <w:kern w:val="0"/>
                      <w:szCs w:val="18"/>
                    </w:rPr>
                  </w:pPr>
                  <w:r>
                    <w:rPr>
                      <w:rFonts w:hint="eastAsia" w:hAnsi="宋体"/>
                      <w:kern w:val="0"/>
                      <w:szCs w:val="18"/>
                    </w:rPr>
                    <w:t>≥11.7</w:t>
                  </w:r>
                </w:p>
              </w:tc>
            </w:tr>
          </w:tbl>
          <w:p>
            <w:pPr>
              <w:widowControl/>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乘人部分尺寸</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座席距地面最大高度5m以下时，座舱深度不小于550mm，座席靠背高度不小于300mm。座席距地面最大高度5m以上时，座舱深度不小于800mm，座席靠背高度不小于400mm。当设有安全杠和安全带等设施时，可适当减少座舱深度。乘人座席宽度每人应不小于400mm，专供儿童乘坐的每人应不小于250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乘客束缚装置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a)乘客束缚装置应符合</w:t>
            </w:r>
            <w:r>
              <w:rPr>
                <w:rFonts w:ascii="宋体" w:hAnsi="宋体"/>
                <w:kern w:val="0"/>
                <w:sz w:val="18"/>
                <w:szCs w:val="18"/>
              </w:rPr>
              <w:t>GB 8408-2018</w:t>
            </w:r>
            <w:r>
              <w:rPr>
                <w:rFonts w:hint="eastAsia" w:ascii="宋体" w:hAnsi="宋体"/>
                <w:kern w:val="0"/>
                <w:sz w:val="18"/>
                <w:szCs w:val="18"/>
              </w:rPr>
              <w:t>中</w:t>
            </w:r>
            <w:r>
              <w:rPr>
                <w:rFonts w:ascii="宋体" w:hAnsi="宋体"/>
                <w:kern w:val="0"/>
                <w:sz w:val="18"/>
                <w:szCs w:val="18"/>
              </w:rPr>
              <w:t>6.8.2</w:t>
            </w:r>
            <w:r>
              <w:rPr>
                <w:rFonts w:hint="eastAsia" w:ascii="宋体" w:hAnsi="宋体"/>
                <w:kern w:val="0"/>
                <w:sz w:val="18"/>
                <w:szCs w:val="18"/>
              </w:rPr>
              <w:t>、</w:t>
            </w:r>
            <w:r>
              <w:rPr>
                <w:rFonts w:ascii="宋体" w:hAnsi="宋体"/>
                <w:kern w:val="0"/>
                <w:sz w:val="18"/>
                <w:szCs w:val="18"/>
              </w:rPr>
              <w:t>6.8.3</w:t>
            </w:r>
            <w:r>
              <w:rPr>
                <w:rFonts w:hint="eastAsia" w:ascii="宋体" w:hAnsi="宋体"/>
                <w:kern w:val="0"/>
                <w:sz w:val="18"/>
                <w:szCs w:val="18"/>
              </w:rPr>
              <w:t>的规定；</w:t>
            </w:r>
          </w:p>
          <w:p>
            <w:pPr>
              <w:widowControl/>
              <w:rPr>
                <w:rFonts w:ascii="宋体" w:hAnsi="宋体"/>
                <w:kern w:val="0"/>
                <w:sz w:val="18"/>
                <w:szCs w:val="18"/>
              </w:rPr>
            </w:pPr>
            <w:r>
              <w:rPr>
                <w:rFonts w:hint="eastAsia" w:ascii="宋体" w:hAnsi="宋体"/>
                <w:kern w:val="0"/>
                <w:sz w:val="18"/>
                <w:szCs w:val="18"/>
              </w:rPr>
              <w:t>b)满足《市场监管总局办公厅关于开展大型游乐设施乘客束缚装置安全隐患专项排查治理的通知》（市监特[2018]42号）文件的要求。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安全把手和脚踏装置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转马系列游乐设施应设置安全把手和具有防滑功能的脚踏装置，且能保证儿童有效上下和踩踏。骑乘式座席应能保证乘客有效骑跨，双脚能有效蹬踏脚踏装置。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安全距离</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对于有乘客束缚装置的转马类游乐设施，安全距离为座椅外侧内表面向外不小于500 mm;对于转动平台未设置栅栏且无乘客束缚装置的游乐设施，安全距离为转动平台最外侧向外不小于 500 mm。对于转马系列游乐设施，运行过程中，乘骑物座席面上表面与上方障碍物的垂直距离应不小于1 400 mm;下表面与转动平台的垂直距离应不小于90 mm;对转转杯系列游乐设施，外围栏杆与杯体最外侧间距宜大于杯体最大外径尺寸。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坐席间距</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对于转马系列游乐设施，供儿童乘坐的骑乘式座席旁应有足够的空间供成人监护站立，骑乘式座席之间最小间距应不小于400 mm;骑乘式座席各处应圆滑过渡;骑乘装置上下运动、前后运动不应挤伤或夹伤乘客。</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转动平台与固定部分间隙</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sz w:val="18"/>
                <w:szCs w:val="21"/>
              </w:rPr>
              <w:t>转动平台与固定部分之间的间隙，水平方向应不大于</w:t>
            </w:r>
            <w:r>
              <w:rPr>
                <w:rFonts w:hint="eastAsia" w:ascii="宋体" w:hAnsi="宋体" w:cs="宋体"/>
                <w:sz w:val="18"/>
                <w:szCs w:val="21"/>
              </w:rPr>
              <w:t>30mm</w:t>
            </w:r>
            <w:r>
              <w:rPr>
                <w:rFonts w:hint="eastAsia"/>
                <w:sz w:val="18"/>
                <w:szCs w:val="21"/>
              </w:rPr>
              <w:t>。若转动平台高于固定部分，其垂直方向的间隙应适当并设置防护措施。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转动平台</w:t>
            </w:r>
          </w:p>
        </w:tc>
        <w:tc>
          <w:tcPr>
            <w:tcW w:w="10162" w:type="dxa"/>
            <w:tcBorders>
              <w:top w:val="nil"/>
              <w:left w:val="nil"/>
              <w:bottom w:val="single" w:color="auto" w:sz="4" w:space="0"/>
              <w:right w:val="single" w:color="auto" w:sz="4" w:space="0"/>
            </w:tcBorders>
            <w:vAlign w:val="center"/>
          </w:tcPr>
          <w:p>
            <w:pPr>
              <w:rPr>
                <w:rFonts w:ascii="宋体" w:hAnsi="宋体"/>
                <w:kern w:val="0"/>
                <w:sz w:val="18"/>
                <w:szCs w:val="18"/>
              </w:rPr>
            </w:pPr>
            <w:r>
              <w:rPr>
                <w:rFonts w:hint="eastAsia" w:ascii="宋体" w:hAnsi="宋体"/>
                <w:kern w:val="0"/>
                <w:sz w:val="18"/>
                <w:szCs w:val="18"/>
              </w:rPr>
              <w:t>转动平台宜为平面结构，且应设有防滑措施，不宜设置台阶。特殊座椅型式需要台阶时，不应多于2阶。</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乘客操作电器开关</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17</w:t>
            </w:r>
          </w:p>
          <w:p>
            <w:pPr>
              <w:widowControl/>
              <w:jc w:val="center"/>
              <w:rPr>
                <w:rFonts w:ascii="宋体" w:hAnsi="宋体"/>
                <w:b/>
                <w:bCs/>
                <w:kern w:val="0"/>
                <w:sz w:val="18"/>
                <w:szCs w:val="18"/>
              </w:rPr>
            </w:pPr>
            <w:r>
              <w:rPr>
                <w:rFonts w:hint="eastAsia" w:ascii="宋体" w:hAnsi="宋体"/>
                <w:bCs/>
                <w:kern w:val="0"/>
                <w:sz w:val="18"/>
                <w:szCs w:val="18"/>
              </w:rPr>
              <w:t>救援装置</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a)在操作室应设有清晰的应急救援程序；</w:t>
            </w:r>
          </w:p>
          <w:p>
            <w:pPr>
              <w:widowControl/>
              <w:rPr>
                <w:rFonts w:ascii="宋体" w:hAnsi="宋体"/>
                <w:kern w:val="0"/>
                <w:sz w:val="18"/>
                <w:szCs w:val="18"/>
              </w:rPr>
            </w:pPr>
            <w:r>
              <w:rPr>
                <w:rFonts w:hint="eastAsia" w:ascii="宋体" w:hAnsi="宋体"/>
                <w:kern w:val="0"/>
                <w:sz w:val="18"/>
                <w:szCs w:val="18"/>
              </w:rPr>
              <w:t>b)救援通道保持通畅，以便相关人员、救援设备无阻碍地抵达紧急操作的位置等处；</w:t>
            </w:r>
          </w:p>
          <w:p>
            <w:pPr>
              <w:widowControl/>
              <w:rPr>
                <w:rFonts w:ascii="宋体" w:hAnsi="宋体"/>
                <w:kern w:val="0"/>
                <w:sz w:val="18"/>
                <w:szCs w:val="18"/>
              </w:rPr>
            </w:pPr>
            <w:r>
              <w:rPr>
                <w:rFonts w:hint="eastAsia" w:ascii="宋体" w:hAnsi="宋体"/>
                <w:kern w:val="0"/>
                <w:sz w:val="18"/>
                <w:szCs w:val="18"/>
              </w:rPr>
              <w:t>c)根据设备的特点设置有效的救援装置；</w:t>
            </w:r>
          </w:p>
          <w:p>
            <w:pPr>
              <w:widowControl/>
              <w:rPr>
                <w:rFonts w:ascii="宋体" w:hAnsi="宋体"/>
                <w:kern w:val="0"/>
                <w:sz w:val="18"/>
                <w:szCs w:val="18"/>
              </w:rPr>
            </w:pPr>
            <w:r>
              <w:rPr>
                <w:rFonts w:hint="eastAsia" w:ascii="宋体" w:hAnsi="宋体"/>
                <w:kern w:val="0"/>
                <w:sz w:val="18"/>
                <w:szCs w:val="18"/>
              </w:rPr>
              <w:t>d)所有关于设备应急救援所需设备、装置应放置易于接近的明显位置。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标识</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设有清晰的应急救援程序；封闭座舱应有应急救援联系方式。</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功能有效性</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设备在任何故障、各种载荷工况下，通过操作应急救援装置能够安全、及时地解救被困人员。</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Cs/>
                <w:kern w:val="0"/>
                <w:sz w:val="18"/>
                <w:szCs w:val="18"/>
              </w:rPr>
              <w:t>18供电设备</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总电源开关设置</w:t>
            </w:r>
          </w:p>
        </w:tc>
        <w:tc>
          <w:tcPr>
            <w:tcW w:w="10162" w:type="dxa"/>
            <w:tcBorders>
              <w:top w:val="nil"/>
              <w:left w:val="nil"/>
              <w:bottom w:val="single" w:color="auto" w:sz="4" w:space="0"/>
              <w:right w:val="single" w:color="auto" w:sz="4" w:space="0"/>
            </w:tcBorders>
            <w:vAlign w:val="center"/>
          </w:tcPr>
          <w:p>
            <w:pPr>
              <w:widowControl/>
              <w:spacing w:after="240"/>
              <w:rPr>
                <w:rFonts w:ascii="宋体" w:hAnsi="宋体"/>
                <w:kern w:val="0"/>
                <w:sz w:val="18"/>
                <w:szCs w:val="18"/>
              </w:rPr>
            </w:pPr>
            <w:r>
              <w:rPr>
                <w:rFonts w:hint="eastAsia" w:ascii="宋体" w:hAnsi="宋体"/>
                <w:kern w:val="0"/>
                <w:sz w:val="18"/>
                <w:szCs w:val="18"/>
              </w:rPr>
              <w:t>a)每台设备应当单独装设主开关，主开关应当易于接近和操作，如果从控制柜处不容易直接操作主开关，该控制柜应当设置能分断主电源的断路器；</w:t>
            </w:r>
            <w:r>
              <w:rPr>
                <w:rFonts w:hint="eastAsia" w:ascii="宋体" w:hAnsi="宋体"/>
                <w:kern w:val="0"/>
                <w:sz w:val="18"/>
                <w:szCs w:val="18"/>
              </w:rPr>
              <w:br w:type="textWrapping"/>
            </w:r>
            <w:r>
              <w:rPr>
                <w:rFonts w:hint="eastAsia" w:ascii="宋体" w:hAnsi="宋体"/>
                <w:kern w:val="0"/>
                <w:sz w:val="18"/>
                <w:szCs w:val="18"/>
              </w:rPr>
              <w:t>b)主开关应当具有稳定的断开和闭合位置。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总电源开关容量</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应满足制造单位的设计要求。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电源进线的敷设</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供电电源线的敷设应满足GB5226.1的要求。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电气设备的保护</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a)应设短路保护；</w:t>
            </w:r>
            <w:r>
              <w:rPr>
                <w:rFonts w:ascii="宋体" w:hAnsi="宋体"/>
                <w:kern w:val="0"/>
                <w:sz w:val="18"/>
                <w:szCs w:val="18"/>
              </w:rPr>
              <w:t xml:space="preserve">                                                                                                                         </w:t>
            </w:r>
            <w:r>
              <w:rPr>
                <w:rFonts w:hint="eastAsia" w:ascii="宋体" w:hAnsi="宋体"/>
                <w:kern w:val="0"/>
                <w:sz w:val="18"/>
                <w:szCs w:val="18"/>
              </w:rPr>
              <w:t>b)应设过流保护；</w:t>
            </w:r>
          </w:p>
          <w:p>
            <w:pPr>
              <w:widowControl/>
              <w:jc w:val="left"/>
              <w:rPr>
                <w:rFonts w:ascii="宋体" w:hAnsi="宋体"/>
                <w:kern w:val="0"/>
                <w:sz w:val="18"/>
                <w:szCs w:val="18"/>
              </w:rPr>
            </w:pPr>
            <w:r>
              <w:rPr>
                <w:rFonts w:hint="eastAsia" w:ascii="宋体" w:hAnsi="宋体"/>
                <w:kern w:val="0"/>
                <w:sz w:val="18"/>
                <w:szCs w:val="18"/>
              </w:rPr>
              <w:t>c)应设欠压保护。</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绝缘电阻</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电压有效值大于50V的带电回路与接地装置之间的绝缘电阻应不小于1MΩ。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工作电压不大于50V的电源变压器绝缘情况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工作电压不大于50V的电源变压器的初、次级绕组间要采用相当于双重绝缘或加强绝缘水平的绝缘隔离，变压器的初、次级绕组间的绝缘电阻不小于7MΩ。变压器绕组对金属外壳间的绝缘电阻不小于2MΩ。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20.7</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变频器工作温度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变频器输入或输出、制动单元及制动电阻的接线端子和铜排不应出现严重的过热变形、拉弧氧化或腐蚀。</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68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20.8</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相序保护装置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设备运行与相序有关时，宜装设相序保护装置。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继电器、接触器工作情况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接触器不应出现：</w:t>
            </w:r>
          </w:p>
          <w:p>
            <w:pPr>
              <w:widowControl/>
              <w:rPr>
                <w:rFonts w:ascii="宋体" w:hAnsi="宋体"/>
                <w:kern w:val="0"/>
                <w:sz w:val="18"/>
                <w:szCs w:val="18"/>
              </w:rPr>
            </w:pPr>
            <w:r>
              <w:rPr>
                <w:rFonts w:hint="eastAsia" w:ascii="宋体" w:hAnsi="宋体"/>
                <w:kern w:val="0"/>
                <w:sz w:val="18"/>
                <w:szCs w:val="18"/>
              </w:rPr>
              <w:t>a)外壳破损存在触电危险或导致其外壳防护等级不符合要求；</w:t>
            </w:r>
          </w:p>
          <w:p>
            <w:pPr>
              <w:widowControl/>
              <w:rPr>
                <w:rFonts w:ascii="宋体" w:hAnsi="宋体"/>
                <w:kern w:val="0"/>
                <w:sz w:val="18"/>
                <w:szCs w:val="18"/>
              </w:rPr>
            </w:pPr>
            <w:r>
              <w:rPr>
                <w:rFonts w:hint="eastAsia" w:ascii="宋体" w:hAnsi="宋体"/>
                <w:kern w:val="0"/>
                <w:sz w:val="18"/>
                <w:szCs w:val="18"/>
              </w:rPr>
              <w:t>b)当切断或接通线圈电路时，接触器不能可靠的断开或闭合；</w:t>
            </w:r>
          </w:p>
          <w:p>
            <w:pPr>
              <w:widowControl/>
              <w:rPr>
                <w:rFonts w:ascii="宋体" w:hAnsi="宋体"/>
                <w:kern w:val="0"/>
                <w:sz w:val="18"/>
                <w:szCs w:val="18"/>
              </w:rPr>
            </w:pPr>
            <w:r>
              <w:rPr>
                <w:rFonts w:hint="eastAsia" w:ascii="宋体" w:hAnsi="宋体"/>
                <w:kern w:val="0"/>
                <w:sz w:val="18"/>
                <w:szCs w:val="18"/>
              </w:rPr>
              <w:t xml:space="preserve">c)接触器、继电器触电严重磨损或锈蚀，或触点接触不良，或达到最高动作次数，或有不正常噪声。                                                             </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20.10</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装饰照明</w:t>
            </w:r>
          </w:p>
        </w:tc>
        <w:tc>
          <w:tcPr>
            <w:tcW w:w="10162" w:type="dxa"/>
            <w:tcBorders>
              <w:top w:val="nil"/>
              <w:left w:val="nil"/>
              <w:bottom w:val="single" w:color="auto" w:sz="4" w:space="0"/>
              <w:right w:val="single" w:color="auto" w:sz="4" w:space="0"/>
            </w:tcBorders>
            <w:vAlign w:val="center"/>
          </w:tcPr>
          <w:p>
            <w:pPr>
              <w:widowControl/>
              <w:numPr>
                <w:ilvl w:val="0"/>
                <w:numId w:val="20"/>
              </w:numPr>
              <w:rPr>
                <w:rFonts w:ascii="宋体" w:hAnsi="宋体"/>
                <w:kern w:val="0"/>
                <w:sz w:val="18"/>
                <w:szCs w:val="18"/>
              </w:rPr>
            </w:pPr>
            <w:r>
              <w:rPr>
                <w:rFonts w:hint="eastAsia" w:ascii="宋体" w:hAnsi="宋体"/>
                <w:kern w:val="0"/>
                <w:sz w:val="18"/>
                <w:szCs w:val="18"/>
              </w:rPr>
              <w:t>乘客易接触部位（高度小于2.5m或安全距离小于500mm范围内）的装饰照明电压应采用不大于50V的安全电压；</w:t>
            </w:r>
          </w:p>
          <w:p>
            <w:pPr>
              <w:widowControl/>
              <w:numPr>
                <w:ilvl w:val="0"/>
                <w:numId w:val="20"/>
              </w:numPr>
              <w:rPr>
                <w:rFonts w:ascii="宋体" w:hAnsi="宋体"/>
                <w:kern w:val="0"/>
                <w:sz w:val="18"/>
                <w:szCs w:val="18"/>
              </w:rPr>
            </w:pPr>
            <w:r>
              <w:rPr>
                <w:rFonts w:hint="eastAsia" w:ascii="宋体" w:hAnsi="宋体"/>
                <w:kern w:val="0"/>
                <w:sz w:val="18"/>
                <w:szCs w:val="18"/>
              </w:rPr>
              <w:t>装饰照明等附属设施的电气控制系统应独立于设备本体的电气控制系统，应设置独立的电气保护装置，故障时不应影响设备本体电气控制系统的正常工作。(GB/T 18163-2020,5.4.15)</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低压配电系统的接地型式</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游乐设施的低压配电系统的接地型式应采用TN-S系统或TN-C-S系统。</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接地要求和接地电阻</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电气设备中正常情况下不带电的金属外壳、金属管槽、电缆金属保护层、互感器二次回路等应与电源线的地线（PE）可靠连接，低压配电系统保护接地电阻应不大于10Ω。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接地导通性能</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所有电气设备及线管、线槽的外露可以导电部分应当与保护线（PE）可靠连接。</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集电器应符合以下规定：</w:t>
            </w:r>
            <w:r>
              <w:rPr>
                <w:rFonts w:hint="eastAsia" w:ascii="宋体" w:hAnsi="宋体"/>
                <w:kern w:val="0"/>
                <w:sz w:val="18"/>
                <w:szCs w:val="18"/>
              </w:rPr>
              <w:br w:type="textWrapping"/>
            </w:r>
            <w:r>
              <w:rPr>
                <w:rFonts w:hint="eastAsia" w:ascii="宋体" w:hAnsi="宋体"/>
                <w:kern w:val="0"/>
                <w:sz w:val="18"/>
                <w:szCs w:val="18"/>
              </w:rPr>
              <w:t>a)根据结构和功能要求，可采用轴向或端面滑环的结构型式。滑环应选用导电性能良好的材料；</w:t>
            </w:r>
            <w:r>
              <w:rPr>
                <w:rFonts w:hint="eastAsia" w:ascii="宋体" w:hAnsi="宋体"/>
                <w:kern w:val="0"/>
                <w:sz w:val="18"/>
                <w:szCs w:val="18"/>
              </w:rPr>
              <w:br w:type="textWrapping"/>
            </w:r>
            <w:r>
              <w:rPr>
                <w:rFonts w:hint="eastAsia" w:ascii="宋体" w:hAnsi="宋体"/>
                <w:kern w:val="0"/>
                <w:sz w:val="18"/>
                <w:szCs w:val="18"/>
              </w:rPr>
              <w:t>b)电刷和滑环应接触良好，并满足电流容量要求；</w:t>
            </w:r>
            <w:r>
              <w:rPr>
                <w:rFonts w:hint="eastAsia" w:ascii="宋体" w:hAnsi="宋体"/>
                <w:kern w:val="0"/>
                <w:sz w:val="18"/>
                <w:szCs w:val="18"/>
              </w:rPr>
              <w:br w:type="textWrapping"/>
            </w:r>
            <w:r>
              <w:rPr>
                <w:rFonts w:hint="eastAsia" w:ascii="宋体" w:hAnsi="宋体"/>
                <w:kern w:val="0"/>
                <w:sz w:val="18"/>
                <w:szCs w:val="18"/>
              </w:rPr>
              <w:t>c)外露的集电器和滑接线应有防雨设施。</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备用电源的选型应能满足设备满载状态下的稳定运行。</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28" w:hRule="atLeast"/>
        </w:trPr>
        <w:tc>
          <w:tcPr>
            <w:tcW w:w="8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20.16</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闪电浪涌防护</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对有防雷要求的设备应设置闪电浪涌防护装置。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21</w:t>
            </w:r>
          </w:p>
          <w:p>
            <w:pPr>
              <w:widowControl/>
              <w:jc w:val="center"/>
              <w:rPr>
                <w:rFonts w:ascii="宋体" w:hAnsi="宋体"/>
                <w:b/>
                <w:bCs/>
                <w:kern w:val="0"/>
                <w:sz w:val="18"/>
                <w:szCs w:val="18"/>
              </w:rPr>
            </w:pPr>
            <w:r>
              <w:rPr>
                <w:rFonts w:hint="eastAsia" w:ascii="宋体" w:hAnsi="宋体"/>
                <w:bCs/>
                <w:kern w:val="0"/>
                <w:sz w:val="18"/>
                <w:szCs w:val="18"/>
              </w:rPr>
              <w:t>控制及操纵系统</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接线状况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控制柜内线路应满足GB5226.1的要求。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21.2</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控制元件</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断路器、继电器、开关、传感器、执行机构电气元件等电气器件运行状态应良好。（GB/T20050-2020 附录F）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62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21.3</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控制输入</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传感器应安装良好，动作有效（GB/T20050-2020 附录F）</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08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21.4</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控制输岀</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控制逻辑应可靠合理。（GB 8408-2018，6.7.2.2）</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21.5</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操作按钮、信号灯等标志和颜色</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操作按钮、控制手柄和软件操作界面等应有明显的中文标识，按钮、信号灯等颜色标识应符合GB 5226.1-2008的规定。（GB 8408-2018，6.7.1.3，c）</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启动按钮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启动按钮应设置在乘客不易触及的区域，特殊情况应加防护隔离罩。</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21.7</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紧急停止按钮</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操作台上应设置紧急停止按钮（必要时站台上也应设置），按钮型式应采用凸起手动复位式。不允许由于按动紧急停止按钮而造成危险。</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21.8</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乘客操作电器开关</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由乘人操作的电器开关应采用不大于24V的安全电压，对于工作电压难以满足上述要求的设备，其开关的操作杆和操作手柄等类似结构，应符合GB 4706.1-2005中8.1.1、8.1.4、8.1.5、8.2的规定。</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740" w:hRule="atLeast"/>
        </w:trPr>
        <w:tc>
          <w:tcPr>
            <w:tcW w:w="88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21.9</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sz w:val="18"/>
                <w:szCs w:val="21"/>
              </w:rPr>
              <w:t>自动控制或联锁控制、无线和非机械式传感器等参与控制</w:t>
            </w:r>
          </w:p>
        </w:tc>
        <w:tc>
          <w:tcPr>
            <w:tcW w:w="10162" w:type="dxa"/>
            <w:tcBorders>
              <w:top w:val="nil"/>
              <w:left w:val="nil"/>
              <w:bottom w:val="single" w:color="auto" w:sz="4" w:space="0"/>
              <w:right w:val="single" w:color="auto" w:sz="4" w:space="0"/>
            </w:tcBorders>
            <w:vAlign w:val="center"/>
          </w:tcPr>
          <w:p>
            <w:pPr>
              <w:rPr>
                <w:sz w:val="18"/>
                <w:szCs w:val="21"/>
              </w:rPr>
            </w:pPr>
            <w:r>
              <w:rPr>
                <w:rFonts w:hint="eastAsia" w:ascii="宋体" w:hAnsi="宋体"/>
                <w:kern w:val="0"/>
                <w:sz w:val="18"/>
                <w:szCs w:val="20"/>
              </w:rPr>
              <w:t>a)</w:t>
            </w:r>
            <w:r>
              <w:rPr>
                <w:rFonts w:hint="default" w:ascii="宋体"/>
                <w:sz w:val="18"/>
                <w:szCs w:val="21"/>
                <w:lang w:val="en"/>
              </w:rPr>
              <w:t>采</w:t>
            </w:r>
            <w:r>
              <w:rPr>
                <w:rFonts w:hint="eastAsia"/>
                <w:sz w:val="18"/>
                <w:szCs w:val="21"/>
              </w:rPr>
              <w:t>用自动控制或联锁控制时应有维修（维护）模式，每个运动宜能单独控制。</w:t>
            </w:r>
          </w:p>
          <w:p>
            <w:pPr>
              <w:rPr>
                <w:sz w:val="18"/>
                <w:szCs w:val="21"/>
              </w:rPr>
            </w:pPr>
            <w:r>
              <w:rPr>
                <w:rFonts w:hint="eastAsia" w:ascii="宋体" w:hAnsi="宋体"/>
                <w:kern w:val="0"/>
                <w:sz w:val="18"/>
                <w:szCs w:val="20"/>
              </w:rPr>
              <w:t>b)</w:t>
            </w:r>
            <w:r>
              <w:rPr>
                <w:rFonts w:hint="eastAsia"/>
                <w:sz w:val="18"/>
                <w:szCs w:val="21"/>
              </w:rPr>
              <w:t>采用自动控制或联锁控制，当误操作时，设备不允许有危及乘客安全的运动。</w:t>
            </w:r>
          </w:p>
          <w:p>
            <w:pPr>
              <w:widowControl/>
              <w:rPr>
                <w:sz w:val="18"/>
                <w:szCs w:val="21"/>
              </w:rPr>
            </w:pPr>
            <w:r>
              <w:rPr>
                <w:rFonts w:hint="eastAsia" w:ascii="宋体" w:hAnsi="宋体"/>
                <w:kern w:val="0"/>
                <w:sz w:val="18"/>
                <w:szCs w:val="20"/>
              </w:rPr>
              <w:t>c)</w:t>
            </w:r>
            <w:r>
              <w:rPr>
                <w:rFonts w:hint="eastAsia"/>
                <w:sz w:val="18"/>
                <w:szCs w:val="21"/>
              </w:rPr>
              <w:t>采用无线和非机械式传感器等参与控制时，应充分考虑发射和接收感应组件抵抗外界的干扰能力和对工作环境的敏感性，宜设有故障监测及报警系统。当信号传输有误时，不应有人员伤害发生。</w:t>
            </w:r>
          </w:p>
          <w:p>
            <w:pPr>
              <w:widowControl/>
              <w:rPr>
                <w:rFonts w:ascii="宋体" w:hAnsi="宋体"/>
                <w:kern w:val="0"/>
                <w:sz w:val="18"/>
                <w:szCs w:val="18"/>
              </w:rPr>
            </w:pPr>
            <w:r>
              <w:rPr>
                <w:rFonts w:hint="eastAsia"/>
                <w:sz w:val="18"/>
                <w:szCs w:val="21"/>
              </w:rPr>
              <w:t>d）</w:t>
            </w:r>
            <w:r>
              <w:rPr>
                <w:rFonts w:hint="eastAsia" w:ascii="宋体" w:hAnsi="宋体"/>
                <w:kern w:val="0"/>
                <w:sz w:val="18"/>
                <w:szCs w:val="18"/>
              </w:rPr>
              <w:t>对于转马系列游乐设施，多层转马的转动平台允许独立转动时，应设置单独的控制模式;二层及以上转动平台启动时应设置安全确认按钮，并与设备启动联锁;自动停止时转动平台进出口应能与楼梯进出口自动对齐。</w:t>
            </w:r>
            <w:r>
              <w:rPr>
                <w:rFonts w:hint="eastAsia"/>
                <w:sz w:val="18"/>
                <w:szCs w:val="18"/>
              </w:rPr>
              <w:t xml:space="preserve">  </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22</w:t>
            </w:r>
          </w:p>
          <w:p>
            <w:pPr>
              <w:widowControl/>
              <w:jc w:val="center"/>
              <w:rPr>
                <w:rFonts w:ascii="宋体" w:hAnsi="宋体"/>
                <w:b/>
                <w:bCs/>
                <w:kern w:val="0"/>
                <w:sz w:val="18"/>
                <w:szCs w:val="18"/>
              </w:rPr>
            </w:pPr>
            <w:r>
              <w:rPr>
                <w:rFonts w:hint="eastAsia" w:ascii="宋体" w:hAnsi="宋体"/>
                <w:bCs/>
                <w:kern w:val="0"/>
                <w:sz w:val="18"/>
                <w:szCs w:val="18"/>
              </w:rPr>
              <w:t>基础</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基础宏观情况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基础不应有影响游乐设施正常运行的不均匀沉陷、开裂和松动等异常现象。移动式游乐设施的基础，应平整、坚实、符合设备安装要求。</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22.2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地脚螺栓</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a)基础表面和地脚螺栓预留孔中的油污、碎石、泥土、积水应清除干净，地脚螺栓的螺纹和螺母应保护完好，放置垫铁部分的表面应处理平；</w:t>
            </w:r>
            <w:r>
              <w:rPr>
                <w:rFonts w:hint="eastAsia" w:ascii="宋体" w:hAnsi="宋体"/>
                <w:kern w:val="0"/>
                <w:sz w:val="18"/>
                <w:szCs w:val="18"/>
              </w:rPr>
              <w:br w:type="textWrapping"/>
            </w:r>
            <w:r>
              <w:rPr>
                <w:rFonts w:hint="eastAsia" w:ascii="宋体" w:hAnsi="宋体"/>
                <w:kern w:val="0"/>
                <w:sz w:val="18"/>
                <w:szCs w:val="18"/>
              </w:rPr>
              <w:t>b)地脚螺栓安装面应高于周围地面，避免积水造成腐蚀，条件限制的应对螺栓采取有效的防腐措施；</w:t>
            </w:r>
            <w:r>
              <w:rPr>
                <w:rFonts w:hint="eastAsia" w:ascii="宋体" w:hAnsi="宋体"/>
                <w:kern w:val="0"/>
                <w:sz w:val="18"/>
                <w:szCs w:val="18"/>
              </w:rPr>
              <w:br w:type="textWrapping"/>
            </w:r>
            <w:r>
              <w:rPr>
                <w:rFonts w:hint="eastAsia" w:ascii="宋体" w:hAnsi="宋体"/>
                <w:kern w:val="0"/>
                <w:sz w:val="18"/>
                <w:szCs w:val="18"/>
              </w:rPr>
              <w:t>c)地脚螺栓应采取防止松动的措施，并应符合GB 50231—2009中4.1的规定。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p>
          <w:p>
            <w:pPr>
              <w:widowControl/>
              <w:jc w:val="center"/>
              <w:rPr>
                <w:rFonts w:ascii="宋体" w:hAnsi="宋体"/>
                <w:bCs/>
                <w:kern w:val="0"/>
                <w:sz w:val="18"/>
                <w:szCs w:val="18"/>
              </w:rPr>
            </w:pPr>
            <w:r>
              <w:rPr>
                <w:rFonts w:hint="eastAsia" w:ascii="宋体" w:hAnsi="宋体"/>
                <w:bCs/>
                <w:kern w:val="0"/>
                <w:sz w:val="18"/>
                <w:szCs w:val="18"/>
              </w:rPr>
              <w:t>23</w:t>
            </w:r>
          </w:p>
          <w:p>
            <w:pPr>
              <w:widowControl/>
              <w:jc w:val="center"/>
              <w:rPr>
                <w:rFonts w:ascii="宋体" w:hAnsi="宋体"/>
                <w:b/>
                <w:bCs/>
                <w:kern w:val="0"/>
                <w:sz w:val="18"/>
                <w:szCs w:val="18"/>
              </w:rPr>
            </w:pPr>
            <w:r>
              <w:rPr>
                <w:rFonts w:hint="eastAsia" w:ascii="宋体" w:hAnsi="宋体"/>
                <w:bCs/>
                <w:kern w:val="0"/>
                <w:sz w:val="18"/>
                <w:szCs w:val="18"/>
              </w:rPr>
              <w:t>运行区域的安全防护</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乘客可触及之处的危险突出物</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凡乘客可触及之处，不允许有外露的锐边、尖角、毛刺和危险突出物等。</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23.2</w:t>
            </w:r>
          </w:p>
        </w:tc>
        <w:tc>
          <w:tcPr>
            <w:tcW w:w="1130"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sz w:val="18"/>
                <w:szCs w:val="21"/>
              </w:rPr>
              <w:t>乘人部分与障碍物间的安全距离</w:t>
            </w:r>
          </w:p>
        </w:tc>
        <w:tc>
          <w:tcPr>
            <w:tcW w:w="10162" w:type="dxa"/>
            <w:tcBorders>
              <w:top w:val="nil"/>
              <w:left w:val="nil"/>
              <w:bottom w:val="single" w:color="auto" w:sz="4" w:space="0"/>
              <w:right w:val="single" w:color="auto" w:sz="4" w:space="0"/>
            </w:tcBorders>
            <w:vAlign w:val="center"/>
          </w:tcPr>
          <w:p>
            <w:pPr>
              <w:spacing w:line="360" w:lineRule="auto"/>
              <w:rPr>
                <w:rFonts w:ascii="宋体" w:hAnsi="宋体"/>
                <w:kern w:val="0"/>
                <w:sz w:val="18"/>
                <w:szCs w:val="18"/>
              </w:rPr>
            </w:pPr>
            <w:r>
              <w:rPr>
                <w:rFonts w:hint="eastAsia" w:ascii="宋体" w:hAnsi="宋体"/>
                <w:kern w:val="0"/>
                <w:sz w:val="18"/>
                <w:szCs w:val="20"/>
              </w:rPr>
              <w:t>凡乘客身体可伸到座舱以外时，应设有防止乘客在运行中与周围障碍物相碰撞的安全装置，或留出不小于500mm的安全距离。当全程或局部运行速度不大于1m/s处时，其安全距离可适当减少，但不应小于300mm。从座席面至上方障碍物的距离应不小于1400mm。专供儿童乘坐的游乐设施应不小于1100mm。</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视频监控</w:t>
            </w:r>
          </w:p>
        </w:tc>
        <w:tc>
          <w:tcPr>
            <w:tcW w:w="10162" w:type="dxa"/>
            <w:tcBorders>
              <w:top w:val="nil"/>
              <w:left w:val="nil"/>
              <w:bottom w:val="single" w:color="auto" w:sz="4" w:space="0"/>
              <w:right w:val="single" w:color="auto" w:sz="4" w:space="0"/>
            </w:tcBorders>
            <w:vAlign w:val="center"/>
          </w:tcPr>
          <w:p>
            <w:pPr>
              <w:widowControl/>
              <w:numPr>
                <w:ilvl w:val="0"/>
                <w:numId w:val="21"/>
              </w:numPr>
              <w:rPr>
                <w:rFonts w:ascii="宋体" w:hAnsi="宋体"/>
                <w:kern w:val="0"/>
                <w:sz w:val="18"/>
                <w:szCs w:val="18"/>
              </w:rPr>
            </w:pPr>
            <w:r>
              <w:rPr>
                <w:rFonts w:hint="eastAsia" w:ascii="宋体" w:hAnsi="宋体"/>
                <w:kern w:val="0"/>
                <w:sz w:val="18"/>
                <w:szCs w:val="18"/>
              </w:rPr>
              <w:t>转马类游乐设施应设置视频监控系统，监控系统应处于可用状态，监控显示画面应清晰无干扰，用于观察乘客上下及设备运行的全部情况；</w:t>
            </w:r>
          </w:p>
          <w:p>
            <w:pPr>
              <w:widowControl/>
              <w:numPr>
                <w:ilvl w:val="0"/>
                <w:numId w:val="21"/>
              </w:numPr>
              <w:rPr>
                <w:rFonts w:ascii="宋体" w:hAnsi="宋体"/>
                <w:kern w:val="0"/>
                <w:sz w:val="18"/>
                <w:szCs w:val="18"/>
              </w:rPr>
            </w:pPr>
            <w:r>
              <w:rPr>
                <w:rFonts w:hint="eastAsia" w:ascii="宋体" w:hAnsi="宋体"/>
                <w:kern w:val="0"/>
                <w:sz w:val="18"/>
                <w:szCs w:val="18"/>
              </w:rPr>
              <w:t>操作室内应设置视频监控，用于观察操作人员的操作情况</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操作室的视野情况</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游乐设施的操作室应单独设置，视野开阔，有充分的活动空间和照明。对于操作人员无法观察到运转情况的盲区，有可能发生危险时，应有监视系统等安全措施。操作室内不能观察到全部上下客情况且乘客安全束缚装置没有和启动联锁的，应在相应的位置增加安全确认按钮，且与启动联锁。</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23.5</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避雷装置</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高度大于15 m的游乐设施应设防雷装置。高度超过60 m时还应增加防侧向雷击的防雷装置。防雷装置应符合GB 50057的规定。</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135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23.6</w:t>
            </w:r>
          </w:p>
        </w:tc>
        <w:tc>
          <w:tcPr>
            <w:tcW w:w="1130"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r>
              <w:rPr>
                <w:rFonts w:hint="eastAsia" w:ascii="宋体" w:hAnsi="宋体"/>
                <w:kern w:val="0"/>
                <w:sz w:val="18"/>
                <w:szCs w:val="18"/>
              </w:rPr>
              <w:t>安全网或其他防坠物措施设置位置及状态</w:t>
            </w:r>
          </w:p>
        </w:tc>
        <w:tc>
          <w:tcPr>
            <w:tcW w:w="10162" w:type="dxa"/>
            <w:tcBorders>
              <w:top w:val="nil"/>
              <w:left w:val="nil"/>
              <w:bottom w:val="single" w:color="auto" w:sz="4" w:space="0"/>
              <w:right w:val="single" w:color="auto" w:sz="4" w:space="0"/>
            </w:tcBorders>
            <w:vAlign w:val="center"/>
          </w:tcPr>
          <w:p>
            <w:pPr>
              <w:widowControl/>
              <w:tabs>
                <w:tab w:val="center" w:pos="4201"/>
                <w:tab w:val="right" w:leader="dot" w:pos="9298"/>
              </w:tabs>
              <w:rPr>
                <w:rFonts w:ascii="宋体" w:hAnsi="宋体"/>
                <w:kern w:val="0"/>
                <w:sz w:val="18"/>
                <w:szCs w:val="18"/>
              </w:rPr>
            </w:pPr>
            <w:r>
              <w:rPr>
                <w:rFonts w:hint="eastAsia" w:ascii="宋体" w:hAnsi="宋体"/>
                <w:kern w:val="0"/>
                <w:sz w:val="18"/>
                <w:szCs w:val="18"/>
              </w:rPr>
              <w:t>在有可能导致人体、物体坠落而造成伤害的地方，应设置安全网，安全网的联接应可靠，安全网的性能应符合GB 5725的要求。（GB 8408-2018，6.9.9.9）</w:t>
            </w: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tabs>
                <w:tab w:val="center" w:pos="4201"/>
                <w:tab w:val="right" w:leader="dot" w:pos="9298"/>
              </w:tabs>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925"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24</w:t>
            </w:r>
          </w:p>
          <w:p>
            <w:pPr>
              <w:widowControl/>
              <w:jc w:val="center"/>
              <w:rPr>
                <w:rFonts w:ascii="宋体" w:hAnsi="宋体"/>
                <w:b/>
                <w:bCs/>
                <w:kern w:val="0"/>
                <w:sz w:val="18"/>
                <w:szCs w:val="18"/>
              </w:rPr>
            </w:pPr>
            <w:r>
              <w:rPr>
                <w:rFonts w:hint="eastAsia" w:ascii="宋体" w:hAnsi="宋体"/>
                <w:bCs/>
                <w:kern w:val="0"/>
                <w:sz w:val="18"/>
                <w:szCs w:val="18"/>
              </w:rPr>
              <w:t>功能试验</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空载运行试验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a)评估设备在进行空载运行试验前，如前项评估项目明确存在影响空载运行稳定性的问题，则不予进行空载运行试验，该项按存在问题处理；</w:t>
            </w:r>
          </w:p>
          <w:p>
            <w:pPr>
              <w:widowControl/>
              <w:jc w:val="left"/>
              <w:rPr>
                <w:rFonts w:ascii="宋体" w:hAnsi="宋体"/>
                <w:kern w:val="0"/>
                <w:sz w:val="18"/>
                <w:szCs w:val="18"/>
              </w:rPr>
            </w:pPr>
            <w:r>
              <w:rPr>
                <w:rFonts w:hint="eastAsia" w:ascii="宋体" w:hAnsi="宋体"/>
                <w:kern w:val="0"/>
                <w:sz w:val="18"/>
                <w:szCs w:val="18"/>
              </w:rPr>
              <w:t>b)分别进行手动和自动试验，各不少于5次。功能试验应符合以下要求：</w:t>
            </w:r>
          </w:p>
          <w:p>
            <w:pPr>
              <w:widowControl/>
              <w:ind w:left="181" w:leftChars="86"/>
              <w:jc w:val="left"/>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 超过设备规定的最高温度；</w:t>
            </w:r>
            <w:r>
              <w:rPr>
                <w:rFonts w:hint="eastAsia" w:ascii="宋体" w:hAnsi="宋体"/>
                <w:kern w:val="0"/>
                <w:sz w:val="18"/>
                <w:szCs w:val="18"/>
              </w:rPr>
              <w:br w:type="textWrapping"/>
            </w: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2494"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满载运行试验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a)评估设备在进行满载运行试验前，如前项评估项目明确存在影响满载运行稳定性的问题，则不予进行满载运行试验，该项按存在问题处理；</w:t>
            </w:r>
          </w:p>
          <w:p>
            <w:pPr>
              <w:widowControl/>
              <w:rPr>
                <w:rFonts w:ascii="宋体" w:hAnsi="宋体"/>
                <w:kern w:val="0"/>
                <w:sz w:val="18"/>
                <w:szCs w:val="18"/>
              </w:rPr>
            </w:pPr>
            <w:r>
              <w:rPr>
                <w:rFonts w:hint="eastAsia" w:ascii="宋体" w:hAnsi="宋体"/>
                <w:kern w:val="0"/>
                <w:sz w:val="18"/>
                <w:szCs w:val="18"/>
              </w:rPr>
              <w:t>b)各乘人部分按额定载荷均布加载，按实际工况连续运行不少于3个工作循环。功能试验应符合以下要求：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825"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偏载运行试验</w:t>
            </w:r>
          </w:p>
        </w:tc>
        <w:tc>
          <w:tcPr>
            <w:tcW w:w="10162" w:type="dxa"/>
            <w:tcBorders>
              <w:top w:val="nil"/>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kern w:val="0"/>
                <w:sz w:val="18"/>
                <w:szCs w:val="18"/>
              </w:rPr>
              <w:t>a)评估设备在进行偏载运行试验前，如前项评估项目明确存在影响偏载运行稳定性的问题，则不予进行偏载运行试验，该项按存在问题处理；</w:t>
            </w:r>
          </w:p>
          <w:p>
            <w:pPr>
              <w:widowControl/>
              <w:rPr>
                <w:rFonts w:ascii="宋体" w:hAnsi="宋体"/>
                <w:kern w:val="0"/>
                <w:sz w:val="18"/>
                <w:szCs w:val="18"/>
              </w:rPr>
            </w:pPr>
            <w:r>
              <w:rPr>
                <w:rFonts w:hint="eastAsia" w:ascii="宋体" w:hAnsi="宋体"/>
                <w:kern w:val="0"/>
                <w:sz w:val="18"/>
                <w:szCs w:val="18"/>
              </w:rPr>
              <w:t>b)标准要求做偏载试验的，应做偏载试验，偏载量应按照相关标准或设备《使用维护保养说明书》设置。功能试验应符合以下要求：</w:t>
            </w:r>
          </w:p>
          <w:p>
            <w:pPr>
              <w:widowControl/>
              <w:ind w:left="181" w:leftChars="86"/>
              <w:rPr>
                <w:rFonts w:ascii="宋体" w:hAnsi="宋体"/>
                <w:kern w:val="0"/>
                <w:sz w:val="18"/>
                <w:szCs w:val="18"/>
              </w:rPr>
            </w:pPr>
            <w:r>
              <w:rPr>
                <w:rFonts w:hint="eastAsia" w:ascii="宋体" w:hAnsi="宋体"/>
                <w:kern w:val="0"/>
                <w:sz w:val="18"/>
                <w:szCs w:val="18"/>
              </w:rPr>
              <w:t>1)设备的启动、换向、停机、制动和安全联锁等动作，均应正确、灵敏、可靠；</w:t>
            </w:r>
            <w:r>
              <w:rPr>
                <w:rFonts w:hint="eastAsia" w:ascii="宋体" w:hAnsi="宋体"/>
                <w:kern w:val="0"/>
                <w:sz w:val="18"/>
                <w:szCs w:val="18"/>
              </w:rPr>
              <w:br w:type="textWrapping"/>
            </w:r>
            <w:r>
              <w:rPr>
                <w:rFonts w:hint="eastAsia" w:ascii="宋体" w:hAnsi="宋体"/>
                <w:kern w:val="0"/>
                <w:sz w:val="18"/>
                <w:szCs w:val="18"/>
              </w:rPr>
              <w:t>2)整机应运行正常,不准许有爬行和异常的振动、冲击、发热及声响；</w:t>
            </w:r>
            <w:r>
              <w:rPr>
                <w:rFonts w:hint="eastAsia" w:ascii="宋体" w:hAnsi="宋体"/>
                <w:kern w:val="0"/>
                <w:sz w:val="18"/>
                <w:szCs w:val="18"/>
              </w:rPr>
              <w:br w:type="textWrapping"/>
            </w:r>
            <w:r>
              <w:rPr>
                <w:rFonts w:hint="eastAsia" w:ascii="宋体" w:hAnsi="宋体"/>
                <w:kern w:val="0"/>
                <w:sz w:val="18"/>
                <w:szCs w:val="18"/>
              </w:rPr>
              <w:t>3)各传动部件应平稳，无异常振动、窜动、冲击、噪声、永久变形和磨损，油箱油温不得超过设备规定的最高温度；</w:t>
            </w:r>
          </w:p>
          <w:p>
            <w:pPr>
              <w:widowControl/>
              <w:ind w:left="181" w:leftChars="86"/>
              <w:rPr>
                <w:rFonts w:ascii="宋体" w:hAnsi="宋体"/>
                <w:kern w:val="0"/>
                <w:sz w:val="18"/>
                <w:szCs w:val="18"/>
              </w:rPr>
            </w:pPr>
            <w:r>
              <w:rPr>
                <w:rFonts w:hint="eastAsia" w:ascii="宋体" w:hAnsi="宋体"/>
                <w:kern w:val="0"/>
                <w:sz w:val="18"/>
                <w:szCs w:val="18"/>
              </w:rPr>
              <w:t>4)各种仪表应工作正常；</w:t>
            </w:r>
            <w:r>
              <w:rPr>
                <w:rFonts w:hint="eastAsia" w:ascii="宋体" w:hAnsi="宋体"/>
                <w:kern w:val="0"/>
                <w:sz w:val="18"/>
                <w:szCs w:val="18"/>
              </w:rPr>
              <w:br w:type="textWrapping"/>
            </w:r>
            <w:r>
              <w:rPr>
                <w:rFonts w:hint="eastAsia" w:ascii="宋体" w:hAnsi="宋体"/>
                <w:kern w:val="0"/>
                <w:sz w:val="18"/>
                <w:szCs w:val="18"/>
              </w:rPr>
              <w:t>5)润滑、液压、气动等辅助系统的工作应正常,无渗漏现象；</w:t>
            </w:r>
            <w:r>
              <w:rPr>
                <w:rFonts w:hint="eastAsia" w:ascii="宋体" w:hAnsi="宋体"/>
                <w:kern w:val="0"/>
                <w:sz w:val="18"/>
                <w:szCs w:val="18"/>
              </w:rPr>
              <w:br w:type="textWrapping"/>
            </w:r>
            <w:r>
              <w:rPr>
                <w:rFonts w:hint="eastAsia" w:ascii="宋体" w:hAnsi="宋体"/>
                <w:kern w:val="0"/>
                <w:sz w:val="18"/>
                <w:szCs w:val="18"/>
              </w:rPr>
              <w:t>6)零部件及其连接应牢固可靠，不准许有永久变形和损坏现象。</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81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24.4</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转盘径向圆和端面圆跳动</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转盘上吊厢吊挂轴分布圆的径向圆跳动和端面圆跳动偏差不大于分布圆直径的1/1500。</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540" w:hRule="atLeast"/>
        </w:trPr>
        <w:tc>
          <w:tcPr>
            <w:tcW w:w="88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bCs/>
                <w:kern w:val="0"/>
                <w:sz w:val="18"/>
                <w:szCs w:val="18"/>
              </w:rPr>
            </w:pPr>
            <w:r>
              <w:rPr>
                <w:rFonts w:hint="eastAsia" w:ascii="宋体" w:hAnsi="宋体"/>
                <w:bCs/>
                <w:kern w:val="0"/>
                <w:sz w:val="18"/>
                <w:szCs w:val="18"/>
              </w:rPr>
              <w:t>25</w:t>
            </w:r>
          </w:p>
          <w:p>
            <w:pPr>
              <w:widowControl/>
              <w:jc w:val="center"/>
              <w:rPr>
                <w:rFonts w:ascii="宋体" w:hAnsi="宋体"/>
                <w:b/>
                <w:bCs/>
                <w:kern w:val="0"/>
                <w:sz w:val="18"/>
                <w:szCs w:val="18"/>
              </w:rPr>
            </w:pPr>
            <w:r>
              <w:rPr>
                <w:rFonts w:hint="eastAsia" w:ascii="宋体" w:hAnsi="宋体"/>
                <w:bCs/>
                <w:kern w:val="0"/>
                <w:sz w:val="18"/>
                <w:szCs w:val="18"/>
              </w:rPr>
              <w:t>运转性能</w:t>
            </w: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25.1</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制动加速度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制动装置应平稳可靠，不应使乘客感受到明显的冲击或使设备结构有明显的振动、摇晃。无乘客束缚装置时，在正常工况下，制动加速度绝对值一般不大于5.0m/s2。必要时可增设减速制动装置。</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25.2</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运行速度</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r>
        <w:tblPrEx>
          <w:tblCellMar>
            <w:top w:w="0" w:type="dxa"/>
            <w:left w:w="108" w:type="dxa"/>
            <w:bottom w:w="0" w:type="dxa"/>
            <w:right w:w="108" w:type="dxa"/>
          </w:tblCellMar>
        </w:tblPrEx>
        <w:trPr>
          <w:cantSplit/>
          <w:trHeight w:val="300" w:hRule="atLeast"/>
        </w:trPr>
        <w:tc>
          <w:tcPr>
            <w:tcW w:w="8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b/>
                <w:bCs/>
                <w:kern w:val="0"/>
                <w:sz w:val="18"/>
                <w:szCs w:val="18"/>
              </w:rPr>
            </w:pPr>
          </w:p>
        </w:tc>
        <w:tc>
          <w:tcPr>
            <w:tcW w:w="76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25.3</w:t>
            </w:r>
          </w:p>
        </w:tc>
        <w:tc>
          <w:tcPr>
            <w:tcW w:w="1130"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大臂倾角</w:t>
            </w:r>
          </w:p>
        </w:tc>
        <w:tc>
          <w:tcPr>
            <w:tcW w:w="10162" w:type="dxa"/>
            <w:tcBorders>
              <w:top w:val="nil"/>
              <w:left w:val="nil"/>
              <w:bottom w:val="single" w:color="auto" w:sz="4" w:space="0"/>
              <w:right w:val="single" w:color="auto" w:sz="4" w:space="0"/>
            </w:tcBorders>
            <w:vAlign w:val="center"/>
          </w:tcPr>
          <w:p>
            <w:pPr>
              <w:widowControl/>
              <w:rPr>
                <w:rFonts w:ascii="宋体" w:hAnsi="宋体"/>
                <w:kern w:val="0"/>
                <w:sz w:val="18"/>
                <w:szCs w:val="18"/>
              </w:rPr>
            </w:pPr>
            <w:r>
              <w:rPr>
                <w:rFonts w:hint="eastAsia" w:ascii="宋体" w:hAnsi="宋体"/>
                <w:kern w:val="0"/>
                <w:sz w:val="18"/>
                <w:szCs w:val="18"/>
              </w:rPr>
              <w:t>按标准、设计参数校核。</w:t>
            </w: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8"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29"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67"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05" w:type="dxa"/>
            <w:tcBorders>
              <w:top w:val="nil"/>
              <w:left w:val="nil"/>
              <w:bottom w:val="single" w:color="auto" w:sz="4" w:space="0"/>
              <w:right w:val="single" w:color="auto" w:sz="4" w:space="0"/>
            </w:tcBorders>
          </w:tcPr>
          <w:p>
            <w:pPr>
              <w:widowControl/>
              <w:rPr>
                <w:rFonts w:ascii="宋体" w:hAnsi="宋体"/>
                <w:kern w:val="0"/>
                <w:sz w:val="18"/>
                <w:szCs w:val="18"/>
              </w:rPr>
            </w:pPr>
          </w:p>
        </w:tc>
        <w:tc>
          <w:tcPr>
            <w:tcW w:w="398" w:type="dxa"/>
            <w:tcBorders>
              <w:top w:val="nil"/>
              <w:left w:val="nil"/>
              <w:bottom w:val="single" w:color="auto" w:sz="4" w:space="0"/>
              <w:right w:val="single" w:color="auto" w:sz="4" w:space="0"/>
            </w:tcBorders>
          </w:tcPr>
          <w:p>
            <w:pPr>
              <w:widowControl/>
              <w:rPr>
                <w:rFonts w:ascii="宋体" w:hAnsi="宋体"/>
                <w:kern w:val="0"/>
                <w:sz w:val="18"/>
                <w:szCs w:val="18"/>
              </w:rPr>
            </w:pPr>
          </w:p>
        </w:tc>
      </w:tr>
    </w:tbl>
    <w:p>
      <w:pPr>
        <w:pStyle w:val="101"/>
        <w:numPr>
          <w:ilvl w:val="0"/>
          <w:numId w:val="0"/>
        </w:numPr>
        <w:spacing w:line="360" w:lineRule="auto"/>
      </w:pPr>
    </w:p>
    <w:p>
      <w:pPr>
        <w:pStyle w:val="101"/>
        <w:numPr>
          <w:ilvl w:val="0"/>
          <w:numId w:val="0"/>
        </w:numPr>
        <w:spacing w:line="360" w:lineRule="auto"/>
      </w:pPr>
    </w:p>
    <w:p>
      <w:pPr>
        <w:pStyle w:val="101"/>
        <w:numPr>
          <w:ilvl w:val="0"/>
          <w:numId w:val="0"/>
        </w:numPr>
        <w:spacing w:line="360" w:lineRule="auto"/>
      </w:pPr>
    </w:p>
    <w:p>
      <w:pPr>
        <w:pStyle w:val="101"/>
        <w:numPr>
          <w:ilvl w:val="0"/>
          <w:numId w:val="0"/>
        </w:numPr>
        <w:spacing w:line="360" w:lineRule="auto"/>
      </w:pPr>
    </w:p>
    <w:p>
      <w:pPr>
        <w:spacing w:line="360" w:lineRule="auto"/>
        <w:rPr>
          <w:rFonts w:cs="Arial"/>
          <w:b/>
          <w:bCs/>
          <w:kern w:val="0"/>
          <w:sz w:val="22"/>
          <w:szCs w:val="22"/>
        </w:rPr>
      </w:pPr>
      <w:r>
        <w:rPr>
          <w:rFonts w:hint="eastAsia" w:ascii="宋体" w:hAnsi="宋体" w:cs="Arial"/>
          <w:b/>
          <w:bCs/>
          <w:kern w:val="0"/>
          <w:sz w:val="22"/>
          <w:szCs w:val="22"/>
        </w:rPr>
        <w:t>附件</w:t>
      </w:r>
      <w:r>
        <w:rPr>
          <w:rFonts w:cs="Arial"/>
          <w:b/>
          <w:bCs/>
          <w:kern w:val="0"/>
          <w:sz w:val="22"/>
          <w:szCs w:val="22"/>
        </w:rPr>
        <w:t>2</w:t>
      </w:r>
    </w:p>
    <w:p>
      <w:pPr>
        <w:snapToGrid w:val="0"/>
        <w:spacing w:line="360" w:lineRule="auto"/>
        <w:jc w:val="center"/>
        <w:rPr>
          <w:rFonts w:ascii="宋体" w:hAnsi="宋体"/>
          <w:b/>
          <w:bCs/>
          <w:sz w:val="28"/>
          <w:szCs w:val="28"/>
        </w:rPr>
      </w:pPr>
      <w:r>
        <w:rPr>
          <w:rFonts w:hint="eastAsia" w:ascii="宋体" w:hAnsi="宋体"/>
          <w:b/>
          <w:bCs/>
          <w:sz w:val="28"/>
          <w:szCs w:val="28"/>
        </w:rPr>
        <w:t>使用管理情况评估表</w:t>
      </w: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009"/>
        <w:gridCol w:w="2805"/>
        <w:gridCol w:w="3390"/>
        <w:gridCol w:w="2415"/>
        <w:gridCol w:w="1980"/>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34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序号</w:t>
            </w: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评估内容编号</w:t>
            </w: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评估要求</w:t>
            </w: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规范</w:t>
            </w: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评估结论</w:t>
            </w: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b/>
                <w:bCs/>
                <w:sz w:val="24"/>
              </w:rPr>
            </w:pPr>
            <w:r>
              <w:rPr>
                <w:rFonts w:hint="eastAsia" w:ascii="宋体" w:hAnsi="宋体"/>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rPr>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widowControl/>
              <w:snapToGrid w:val="0"/>
              <w:spacing w:line="360" w:lineRule="auto"/>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numPr>
                <w:ilvl w:val="0"/>
                <w:numId w:val="24"/>
              </w:numPr>
              <w:tabs>
                <w:tab w:val="left" w:pos="170"/>
              </w:tabs>
              <w:snapToGrid w:val="0"/>
              <w:spacing w:line="360" w:lineRule="auto"/>
              <w:jc w:val="center"/>
              <w:rPr>
                <w:sz w:val="22"/>
                <w:szCs w:val="22"/>
              </w:rPr>
            </w:pP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810" w:hRule="atLeast"/>
          <w:jc w:val="center"/>
        </w:trPr>
        <w:tc>
          <w:tcPr>
            <w:tcW w:w="100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ind w:left="227"/>
              <w:rPr>
                <w:sz w:val="22"/>
                <w:szCs w:val="22"/>
              </w:rPr>
            </w:pPr>
            <w:r>
              <w:rPr>
                <w:rFonts w:hint="eastAsia" w:ascii="宋体" w:hAnsi="宋体"/>
                <w:sz w:val="22"/>
                <w:szCs w:val="22"/>
              </w:rPr>
              <w:t>…</w:t>
            </w:r>
          </w:p>
        </w:tc>
        <w:tc>
          <w:tcPr>
            <w:tcW w:w="280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3390" w:type="dxa"/>
            <w:tcBorders>
              <w:top w:val="single" w:color="auto" w:sz="4" w:space="0"/>
              <w:left w:val="nil"/>
              <w:bottom w:val="single" w:color="auto" w:sz="4" w:space="0"/>
              <w:right w:val="single" w:color="auto" w:sz="4" w:space="0"/>
            </w:tcBorders>
            <w:vAlign w:val="center"/>
          </w:tcPr>
          <w:p>
            <w:pPr>
              <w:snapToGrid w:val="0"/>
              <w:spacing w:line="360" w:lineRule="auto"/>
              <w:ind w:right="420"/>
              <w:rPr>
                <w:kern w:val="0"/>
                <w:sz w:val="22"/>
                <w:szCs w:val="22"/>
              </w:rPr>
            </w:pPr>
          </w:p>
        </w:tc>
        <w:tc>
          <w:tcPr>
            <w:tcW w:w="2415"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1980"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c>
          <w:tcPr>
            <w:tcW w:w="2193" w:type="dxa"/>
            <w:tcBorders>
              <w:top w:val="single" w:color="auto" w:sz="4" w:space="0"/>
              <w:left w:val="nil"/>
              <w:bottom w:val="single" w:color="auto" w:sz="4" w:space="0"/>
              <w:right w:val="single" w:color="auto" w:sz="4" w:space="0"/>
            </w:tcBorders>
            <w:vAlign w:val="center"/>
          </w:tcPr>
          <w:p>
            <w:pPr>
              <w:snapToGrid w:val="0"/>
              <w:spacing w:line="360" w:lineRule="auto"/>
              <w:jc w:val="center"/>
              <w:rPr>
                <w:sz w:val="22"/>
                <w:szCs w:val="22"/>
              </w:rPr>
            </w:pPr>
          </w:p>
        </w:tc>
      </w:tr>
    </w:tbl>
    <w:p>
      <w:pPr>
        <w:autoSpaceDE w:val="0"/>
        <w:autoSpaceDN w:val="0"/>
        <w:adjustRightInd w:val="0"/>
        <w:spacing w:line="360" w:lineRule="auto"/>
        <w:ind w:firstLine="630" w:firstLineChars="350"/>
        <w:rPr>
          <w:b/>
          <w:bCs/>
          <w:sz w:val="18"/>
          <w:szCs w:val="18"/>
        </w:rPr>
      </w:pPr>
      <w:r>
        <w:rPr>
          <w:rFonts w:hint="eastAsia" w:ascii="宋体" w:hAnsi="宋体"/>
          <w:sz w:val="18"/>
          <w:szCs w:val="18"/>
        </w:rPr>
        <w:t>注：在评估过程中对存在不符合的项目在评估结论中注明不符合。</w:t>
      </w:r>
    </w:p>
    <w:p>
      <w:pPr>
        <w:pStyle w:val="24"/>
        <w:ind w:firstLine="0" w:firstLineChars="0"/>
      </w:pPr>
    </w:p>
    <w:p>
      <w:pPr>
        <w:pStyle w:val="24"/>
        <w:ind w:firstLine="0" w:firstLineChars="0"/>
      </w:pPr>
    </w:p>
    <w:p>
      <w:pPr>
        <w:pStyle w:val="24"/>
        <w:ind w:firstLine="0" w:firstLineChars="0"/>
        <w:sectPr>
          <w:footerReference r:id="rId8" w:type="default"/>
          <w:type w:val="continuous"/>
          <w:pgSz w:w="16838" w:h="11906" w:orient="landscape"/>
          <w:pgMar w:top="1418" w:right="567" w:bottom="1134" w:left="1134" w:header="1418" w:footer="1134" w:gutter="0"/>
          <w:cols w:space="720" w:num="1"/>
          <w:docGrid w:linePitch="312" w:charSpace="0"/>
        </w:sectPr>
      </w:pPr>
    </w:p>
    <w:p>
      <w:pPr>
        <w:pStyle w:val="24"/>
        <w:ind w:firstLine="0" w:firstLineChars="0"/>
        <w:sectPr>
          <w:type w:val="continuous"/>
          <w:pgSz w:w="16838" w:h="11906" w:orient="landscape"/>
          <w:pgMar w:top="1418" w:right="454" w:bottom="1134" w:left="850" w:header="1418" w:footer="1134" w:gutter="0"/>
          <w:pgNumType w:start="1"/>
          <w:cols w:space="720" w:num="1"/>
          <w:docGrid w:linePitch="312" w:charSpace="0"/>
        </w:sectPr>
      </w:pPr>
    </w:p>
    <w:p>
      <w:pPr>
        <w:pStyle w:val="24"/>
        <w:ind w:firstLine="0" w:firstLineChars="0"/>
      </w:pPr>
    </w:p>
    <w:p>
      <w:pPr>
        <w:pStyle w:val="2"/>
        <w:numPr>
          <w:ilvl w:val="0"/>
          <w:numId w:val="0"/>
        </w:numPr>
        <w:jc w:val="center"/>
      </w:pPr>
      <w:bookmarkStart w:id="50" w:name="_Toc8916"/>
      <w:r>
        <w:rPr>
          <w:rFonts w:hint="eastAsia"/>
        </w:rPr>
        <w:t>参  考  文  献</w:t>
      </w:r>
      <w:bookmarkEnd w:id="50"/>
    </w:p>
    <w:p>
      <w:pPr>
        <w:tabs>
          <w:tab w:val="center" w:pos="4201"/>
          <w:tab w:val="right" w:leader="dot" w:pos="9298"/>
        </w:tabs>
        <w:spacing w:line="360" w:lineRule="auto"/>
      </w:pPr>
      <w:r>
        <w:rPr>
          <w:rFonts w:hint="eastAsia"/>
        </w:rPr>
        <w:t xml:space="preserve">[1]  </w:t>
      </w:r>
      <w:r>
        <w:t>GB 755</w:t>
      </w:r>
      <w:r>
        <w:rPr>
          <w:rFonts w:hint="eastAsia"/>
        </w:rPr>
        <w:t xml:space="preserve">  旋转电机定额和性能</w:t>
      </w:r>
    </w:p>
    <w:p>
      <w:pPr>
        <w:tabs>
          <w:tab w:val="center" w:pos="4201"/>
          <w:tab w:val="right" w:leader="dot" w:pos="9298"/>
        </w:tabs>
        <w:spacing w:line="360" w:lineRule="auto"/>
      </w:pPr>
      <w:r>
        <w:rPr>
          <w:rFonts w:hint="eastAsia"/>
        </w:rPr>
        <w:t xml:space="preserve">[2]  </w:t>
      </w:r>
      <w:r>
        <w:t>GB 5226.1</w:t>
      </w:r>
      <w:r>
        <w:rPr>
          <w:rFonts w:hint="eastAsia"/>
        </w:rPr>
        <w:t xml:space="preserve">  机械电气安全 机械电气设备 第</w:t>
      </w:r>
      <w:r>
        <w:t>1</w:t>
      </w:r>
      <w:r>
        <w:rPr>
          <w:rFonts w:hint="eastAsia"/>
        </w:rPr>
        <w:t>部分:通用技术条件</w:t>
      </w:r>
    </w:p>
    <w:p>
      <w:pPr>
        <w:tabs>
          <w:tab w:val="center" w:pos="4201"/>
          <w:tab w:val="right" w:leader="dot" w:pos="9298"/>
        </w:tabs>
        <w:spacing w:line="360" w:lineRule="auto"/>
      </w:pPr>
      <w:r>
        <w:rPr>
          <w:rFonts w:hint="eastAsia"/>
        </w:rPr>
        <w:t xml:space="preserve">[3]  </w:t>
      </w:r>
      <w:r>
        <w:t>GB 8408</w:t>
      </w:r>
      <w:r>
        <w:rPr>
          <w:rFonts w:hint="eastAsia"/>
        </w:rPr>
        <w:t xml:space="preserve">  大型游乐设施安全规范 </w:t>
      </w:r>
    </w:p>
    <w:p>
      <w:pPr>
        <w:tabs>
          <w:tab w:val="center" w:pos="4201"/>
          <w:tab w:val="right" w:leader="dot" w:pos="9298"/>
        </w:tabs>
        <w:spacing w:line="360" w:lineRule="auto"/>
      </w:pPr>
      <w:r>
        <w:rPr>
          <w:rFonts w:hint="eastAsia"/>
        </w:rPr>
        <w:t xml:space="preserve">[4]  </w:t>
      </w:r>
      <w:r>
        <w:t>GB 10068</w:t>
      </w:r>
      <w:r>
        <w:rPr>
          <w:rFonts w:hint="eastAsia"/>
        </w:rPr>
        <w:t xml:space="preserve">  轴中心高为</w:t>
      </w:r>
      <w:r>
        <w:t>56mm</w:t>
      </w:r>
      <w:r>
        <w:rPr>
          <w:rFonts w:hint="eastAsia"/>
        </w:rPr>
        <w:t>及以上电机的机械振动 振动的测量、评定及限值</w:t>
      </w:r>
    </w:p>
    <w:p>
      <w:pPr>
        <w:tabs>
          <w:tab w:val="center" w:pos="4201"/>
          <w:tab w:val="right" w:leader="dot" w:pos="9298"/>
        </w:tabs>
        <w:spacing w:line="360" w:lineRule="auto"/>
      </w:pPr>
      <w:r>
        <w:rPr>
          <w:rFonts w:hint="eastAsia"/>
        </w:rPr>
        <w:t xml:space="preserve">[5]  </w:t>
      </w:r>
      <w:r>
        <w:t>GB/T 18</w:t>
      </w:r>
      <w:r>
        <w:rPr>
          <w:rFonts w:hint="eastAsia"/>
        </w:rPr>
        <w:t>158 转马类游乐设施通用技术条件</w:t>
      </w:r>
    </w:p>
    <w:p>
      <w:pPr>
        <w:tabs>
          <w:tab w:val="center" w:pos="4201"/>
          <w:tab w:val="right" w:leader="dot" w:pos="9298"/>
        </w:tabs>
        <w:spacing w:line="360" w:lineRule="auto"/>
      </w:pPr>
      <w:r>
        <w:rPr>
          <w:rFonts w:hint="eastAsia"/>
        </w:rPr>
        <w:t>[6]  GB/T 20050  大型游乐设施检验检测 通用要求</w:t>
      </w:r>
    </w:p>
    <w:p>
      <w:pPr>
        <w:tabs>
          <w:tab w:val="center" w:pos="4201"/>
          <w:tab w:val="right" w:leader="dot" w:pos="9298"/>
        </w:tabs>
        <w:spacing w:line="360" w:lineRule="auto"/>
      </w:pPr>
      <w:r>
        <w:rPr>
          <w:rFonts w:hint="eastAsia"/>
        </w:rPr>
        <w:t xml:space="preserve">[7]  </w:t>
      </w:r>
      <w:r>
        <w:t>GB/T 20306</w:t>
      </w:r>
      <w:r>
        <w:rPr>
          <w:rFonts w:hint="eastAsia"/>
        </w:rPr>
        <w:t xml:space="preserve">  游乐设施术语</w:t>
      </w:r>
    </w:p>
    <w:p>
      <w:pPr>
        <w:tabs>
          <w:tab w:val="center" w:pos="4201"/>
          <w:tab w:val="right" w:leader="dot" w:pos="9298"/>
        </w:tabs>
        <w:spacing w:line="360" w:lineRule="auto"/>
      </w:pPr>
      <w:r>
        <w:rPr>
          <w:rFonts w:hint="eastAsia"/>
        </w:rPr>
        <w:t xml:space="preserve">[8]  </w:t>
      </w:r>
      <w:r>
        <w:t>GB 28265</w:t>
      </w:r>
      <w:r>
        <w:rPr>
          <w:rFonts w:hint="eastAsia"/>
        </w:rPr>
        <w:t xml:space="preserve">  游乐设施安全防护装置通用技术条件</w:t>
      </w:r>
    </w:p>
    <w:p>
      <w:pPr>
        <w:tabs>
          <w:tab w:val="center" w:pos="4201"/>
          <w:tab w:val="right" w:leader="dot" w:pos="9298"/>
        </w:tabs>
        <w:spacing w:line="360" w:lineRule="auto"/>
      </w:pPr>
      <w:r>
        <w:rPr>
          <w:rFonts w:hint="eastAsia"/>
        </w:rPr>
        <w:t xml:space="preserve">[9]  </w:t>
      </w:r>
      <w:r>
        <w:t>GB/T 30220</w:t>
      </w:r>
      <w:r>
        <w:rPr>
          <w:rFonts w:hint="eastAsia"/>
        </w:rPr>
        <w:t xml:space="preserve">  游乐设施安全使用管理</w:t>
      </w:r>
    </w:p>
    <w:p>
      <w:pPr>
        <w:tabs>
          <w:tab w:val="center" w:pos="4201"/>
          <w:tab w:val="right" w:leader="dot" w:pos="9298"/>
        </w:tabs>
        <w:spacing w:line="360" w:lineRule="auto"/>
      </w:pPr>
      <w:r>
        <w:rPr>
          <w:rFonts w:hint="eastAsia"/>
        </w:rPr>
        <w:t xml:space="preserve">[10]  </w:t>
      </w:r>
      <w:r>
        <w:t>GB/T 34370</w:t>
      </w:r>
      <w:r>
        <w:rPr>
          <w:rFonts w:hint="eastAsia"/>
        </w:rPr>
        <w:t>（所有部分）  游乐设施无损检测</w:t>
      </w:r>
    </w:p>
    <w:p>
      <w:pPr>
        <w:tabs>
          <w:tab w:val="center" w:pos="4201"/>
          <w:tab w:val="right" w:leader="dot" w:pos="9298"/>
        </w:tabs>
        <w:spacing w:line="360" w:lineRule="auto"/>
      </w:pPr>
      <w:r>
        <w:rPr>
          <w:rFonts w:hint="eastAsia"/>
        </w:rPr>
        <w:t xml:space="preserve">[11]  </w:t>
      </w:r>
      <w:r>
        <w:t>GB/T 34371</w:t>
      </w:r>
      <w:r>
        <w:rPr>
          <w:rFonts w:hint="eastAsia"/>
        </w:rPr>
        <w:t xml:space="preserve">  游乐设施风险评价 总则</w:t>
      </w:r>
    </w:p>
    <w:p>
      <w:pPr>
        <w:tabs>
          <w:tab w:val="center" w:pos="4201"/>
          <w:tab w:val="right" w:leader="dot" w:pos="9298"/>
        </w:tabs>
        <w:spacing w:line="360" w:lineRule="auto"/>
      </w:pPr>
      <w:r>
        <w:rPr>
          <w:rFonts w:hint="eastAsia"/>
        </w:rPr>
        <w:t xml:space="preserve">[12] </w:t>
      </w:r>
      <w:r>
        <w:rPr>
          <w:rFonts w:hint="eastAsia"/>
          <w:szCs w:val="21"/>
        </w:rPr>
        <w:t>DB43/T XXXX.1</w:t>
      </w:r>
      <w:r>
        <w:rPr>
          <w:rFonts w:hint="eastAsia"/>
        </w:rPr>
        <w:t xml:space="preserve">  在用大型游乐设施安全评估规则  第1部分：总则</w:t>
      </w:r>
    </w:p>
    <w:p>
      <w:pPr>
        <w:pStyle w:val="24"/>
        <w:ind w:firstLine="0" w:firstLineChars="0"/>
      </w:pPr>
    </w:p>
    <w:p>
      <w:pPr>
        <w:pStyle w:val="24"/>
        <w:ind w:firstLine="0" w:firstLineChars="0"/>
      </w:pPr>
    </w:p>
    <w:p>
      <w:pPr>
        <w:pStyle w:val="24"/>
        <w:ind w:firstLine="0" w:firstLineChars="0"/>
      </w:pPr>
    </w:p>
    <w:p>
      <w:pPr>
        <w:pStyle w:val="24"/>
      </w:pPr>
    </w:p>
    <w:p>
      <w:pPr>
        <w:pStyle w:val="133"/>
        <w:framePr w:hAnchor="page" w:x="3831" w:y="5124"/>
        <w:tabs>
          <w:tab w:val="center" w:pos="4201"/>
          <w:tab w:val="right" w:leader="dot" w:pos="9298"/>
        </w:tabs>
        <w:spacing w:line="360" w:lineRule="auto"/>
      </w:pPr>
      <w:r>
        <w:t>_________________________________</w:t>
      </w:r>
    </w:p>
    <w:p>
      <w:pPr>
        <w:pStyle w:val="101"/>
        <w:numPr>
          <w:ilvl w:val="0"/>
          <w:numId w:val="0"/>
        </w:numPr>
        <w:spacing w:line="360" w:lineRule="auto"/>
      </w:pPr>
    </w:p>
    <w:p>
      <w:pPr>
        <w:pStyle w:val="101"/>
        <w:numPr>
          <w:ilvl w:val="0"/>
          <w:numId w:val="0"/>
        </w:numPr>
        <w:spacing w:line="360" w:lineRule="auto"/>
      </w:pPr>
    </w:p>
    <w:sectPr>
      <w:type w:val="continuous"/>
      <w:pgSz w:w="11906" w:h="16838"/>
      <w:pgMar w:top="454" w:right="1134" w:bottom="850" w:left="1418" w:header="1418" w:footer="1134"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MS Mincho">
    <w:altName w:val="方正书宋_GBK"/>
    <w:panose1 w:val="02020609040205080304"/>
    <w:charset w:val="80"/>
    <w:family w:val="roman"/>
    <w:pitch w:val="default"/>
    <w:sig w:usb0="00000000" w:usb1="00000000" w:usb2="00000010" w:usb3="00000000" w:csb0="00020000"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right" w:y="1"/>
      <w:rPr>
        <w:rStyle w:val="37"/>
      </w:rPr>
    </w:pPr>
    <w:r>
      <w:fldChar w:fldCharType="begin"/>
    </w:r>
    <w:r>
      <w:rPr>
        <w:rStyle w:val="37"/>
      </w:rPr>
      <w:instrText xml:space="preserve">PAGE  </w:instrText>
    </w:r>
    <w:r>
      <w:fldChar w:fldCharType="end"/>
    </w:r>
  </w:p>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26</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right;mso-position-horizontal-relative:margin;mso-wrap-style:none;z-index:25165721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yWDBj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Or&#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yWDBj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26</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409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8"/>
                            <w:rPr>
                              <w:rStyle w:val="37"/>
                            </w:rPr>
                          </w:pPr>
                          <w:r>
                            <w:fldChar w:fldCharType="begin"/>
                          </w:r>
                          <w:r>
                            <w:rPr>
                              <w:rStyle w:val="37"/>
                            </w:rPr>
                            <w:instrText xml:space="preserve">PAGE  </w:instrText>
                          </w:r>
                          <w:r>
                            <w:fldChar w:fldCharType="separate"/>
                          </w:r>
                          <w:r>
                            <w:rPr>
                              <w:rStyle w:val="37"/>
                            </w:rPr>
                            <w:t>7</w:t>
                          </w:r>
                          <w: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DT5x9SrwEAAEQDAAAOAAAAAAAAAAEAIAAAADUBAABkcnMvZTJvRG9jLnht&#10;bFBLBQYAAAAABgAGAFkBAABWBQ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7</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ind w:right="360"/>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wps:txbx>
                    <wps:bodyPr wrap="none" lIns="0" tIns="0" rIns="0" bIns="0" upright="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WAAAAZHJzL1BLAQIU&#10;ABQAAAAIAIdO4kDOqXm5zwAAAAUBAAAPAAAAAAAAAAEAIAAAADgAAABkcnMvZG93bnJldi54bWxQ&#10;SwECFAAUAAAACACHTuJA0WrDzrEBAABRAwAADgAAAAAAAAABACAAAAA0AQAAZHJzL2Uyb0RvYy54&#10;bWxQSwUGAAAAAAYABgBZAQAAVwUAAAAA&#10;">
              <v:fill on="f" focussize="0,0"/>
              <v:stroke on="f"/>
              <v:imagedata o:title=""/>
              <o:lock v:ext="edit" aspectratio="f"/>
              <v:textbox inset="0mm,0mm,0mm,0mm" style="mso-fit-shape-to-text:t;">
                <w:txbxContent>
                  <w:p>
                    <w:pPr>
                      <w:pStyle w:val="18"/>
                      <w:rPr>
                        <w:rStyle w:val="37"/>
                      </w:rPr>
                    </w:pPr>
                    <w:r>
                      <w:fldChar w:fldCharType="begin"/>
                    </w:r>
                    <w:r>
                      <w:rPr>
                        <w:rStyle w:val="37"/>
                      </w:rPr>
                      <w:instrText xml:space="preserve">PAGE  </w:instrText>
                    </w:r>
                    <w:r>
                      <w:fldChar w:fldCharType="separate"/>
                    </w:r>
                    <w:r>
                      <w:rPr>
                        <w:rStyle w:val="37"/>
                      </w:rP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6"/>
    </w:pPr>
    <w:r>
      <w:t>DB43/</w:t>
    </w:r>
    <w:r>
      <w:rPr>
        <w:rFonts w:hint="eastAsia"/>
      </w:rPr>
      <w:t xml:space="preserve">T </w:t>
    </w:r>
    <w:r>
      <w:t>XXXX</w:t>
    </w:r>
    <w:r>
      <w:rPr>
        <w:rFonts w:hint="eastAsia"/>
      </w:rPr>
      <w:t>.7</w:t>
    </w:r>
    <w:r>
      <w:t>—</w:t>
    </w:r>
    <w:r>
      <w:rPr>
        <w:rFonts w:hint="eastAsia"/>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BF691E"/>
    <w:multiLevelType w:val="multilevel"/>
    <w:tmpl w:val="ABBF691E"/>
    <w:lvl w:ilvl="0" w:tentative="0">
      <w:start w:val="1"/>
      <w:numFmt w:val="decimal"/>
      <w:pStyle w:val="6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B35D9516"/>
    <w:multiLevelType w:val="singleLevel"/>
    <w:tmpl w:val="B35D9516"/>
    <w:lvl w:ilvl="0" w:tentative="0">
      <w:start w:val="1"/>
      <w:numFmt w:val="lowerLetter"/>
      <w:suff w:val="nothing"/>
      <w:lvlText w:val="%1）"/>
      <w:lvlJc w:val="left"/>
    </w:lvl>
  </w:abstractNum>
  <w:abstractNum w:abstractNumId="2">
    <w:nsid w:val="B6B670E4"/>
    <w:multiLevelType w:val="singleLevel"/>
    <w:tmpl w:val="B6B670E4"/>
    <w:lvl w:ilvl="0" w:tentative="0">
      <w:start w:val="2"/>
      <w:numFmt w:val="chineseCounting"/>
      <w:suff w:val="nothing"/>
      <w:lvlText w:val="%1、"/>
      <w:lvlJc w:val="left"/>
      <w:rPr>
        <w:rFonts w:hint="eastAsia"/>
      </w:rPr>
    </w:lvl>
  </w:abstractNum>
  <w:abstractNum w:abstractNumId="3">
    <w:nsid w:val="00000001"/>
    <w:multiLevelType w:val="multilevel"/>
    <w:tmpl w:val="00000001"/>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2"/>
    <w:multiLevelType w:val="multilevel"/>
    <w:tmpl w:val="00000002"/>
    <w:lvl w:ilvl="0" w:tentative="0">
      <w:start w:val="1"/>
      <w:numFmt w:val="none"/>
      <w:pStyle w:val="8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0000003"/>
    <w:multiLevelType w:val="multilevel"/>
    <w:tmpl w:val="00000003"/>
    <w:lvl w:ilvl="0" w:tentative="0">
      <w:start w:val="1"/>
      <w:numFmt w:val="lowerLetter"/>
      <w:pStyle w:val="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00000004"/>
    <w:multiLevelType w:val="multilevel"/>
    <w:tmpl w:val="00000004"/>
    <w:lvl w:ilvl="0" w:tentative="0">
      <w:start w:val="1"/>
      <w:numFmt w:val="decimal"/>
      <w:pStyle w:val="7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00000005"/>
    <w:multiLevelType w:val="multilevel"/>
    <w:tmpl w:val="00000005"/>
    <w:lvl w:ilvl="0" w:tentative="0">
      <w:start w:val="1"/>
      <w:numFmt w:val="decimal"/>
      <w:pStyle w:val="7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56"/>
      <w:suff w:val="nothing"/>
      <w:lvlText w:val="%1.%2　"/>
      <w:lvlJc w:val="left"/>
      <w:pPr>
        <w:ind w:left="525" w:firstLine="0"/>
      </w:pPr>
      <w:rPr>
        <w:rFonts w:hint="eastAsia" w:ascii="黑体" w:hAnsi="Times New Roman" w:eastAsia="黑体" w:cs="Times New Roman"/>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tentative="0">
      <w:start w:val="1"/>
      <w:numFmt w:val="decimal"/>
      <w:pStyle w:val="55"/>
      <w:suff w:val="nothing"/>
      <w:lvlText w:val="%1.%2.%3　"/>
      <w:lvlJc w:val="left"/>
      <w:pPr>
        <w:ind w:left="735" w:firstLine="0"/>
      </w:pPr>
      <w:rPr>
        <w:rFonts w:hint="eastAsia" w:ascii="黑体" w:hAnsi="Times New Roman" w:eastAsia="黑体"/>
        <w:b w:val="0"/>
        <w:i w:val="0"/>
        <w:sz w:val="21"/>
      </w:rPr>
    </w:lvl>
    <w:lvl w:ilvl="3" w:tentative="0">
      <w:start w:val="1"/>
      <w:numFmt w:val="decimal"/>
      <w:pStyle w:val="54"/>
      <w:suff w:val="nothing"/>
      <w:lvlText w:val="%1.%2.%3.%4　"/>
      <w:lvlJc w:val="left"/>
      <w:pPr>
        <w:ind w:left="0" w:firstLine="0"/>
      </w:pPr>
      <w:rPr>
        <w:rFonts w:hint="eastAsia" w:ascii="黑体" w:hAnsi="Times New Roman" w:eastAsia="黑体"/>
        <w:b w:val="0"/>
        <w:i w:val="0"/>
        <w:sz w:val="21"/>
      </w:rPr>
    </w:lvl>
    <w:lvl w:ilvl="4" w:tentative="0">
      <w:start w:val="1"/>
      <w:numFmt w:val="decimal"/>
      <w:pStyle w:val="53"/>
      <w:suff w:val="nothing"/>
      <w:lvlText w:val="%1.%2.%3.%4.%5　"/>
      <w:lvlJc w:val="left"/>
      <w:pPr>
        <w:ind w:left="0" w:firstLine="0"/>
      </w:pPr>
      <w:rPr>
        <w:rFonts w:hint="eastAsia" w:ascii="黑体" w:hAnsi="Times New Roman" w:eastAsia="黑体"/>
        <w:b w:val="0"/>
        <w:i w:val="0"/>
        <w:sz w:val="21"/>
      </w:rPr>
    </w:lvl>
    <w:lvl w:ilvl="5" w:tentative="0">
      <w:start w:val="1"/>
      <w:numFmt w:val="decimal"/>
      <w:pStyle w:val="5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00000006"/>
    <w:multiLevelType w:val="multilevel"/>
    <w:tmpl w:val="00000006"/>
    <w:lvl w:ilvl="0" w:tentative="0">
      <w:start w:val="1"/>
      <w:numFmt w:val="upperLetter"/>
      <w:pStyle w:val="121"/>
      <w:suff w:val="space"/>
      <w:lvlText w:val="%1"/>
      <w:lvlJc w:val="left"/>
      <w:pPr>
        <w:ind w:left="623" w:hanging="425"/>
      </w:pPr>
      <w:rPr>
        <w:rFonts w:hint="eastAsia"/>
      </w:rPr>
    </w:lvl>
    <w:lvl w:ilvl="1" w:tentative="0">
      <w:start w:val="1"/>
      <w:numFmt w:val="decimal"/>
      <w:pStyle w:val="6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00000007"/>
    <w:multiLevelType w:val="multilevel"/>
    <w:tmpl w:val="00000007"/>
    <w:lvl w:ilvl="0" w:tentative="0">
      <w:start w:val="1"/>
      <w:numFmt w:val="none"/>
      <w:pStyle w:val="103"/>
      <w:suff w:val="nothing"/>
      <w:lvlText w:val="%1——"/>
      <w:lvlJc w:val="left"/>
      <w:pPr>
        <w:ind w:left="833" w:hanging="408"/>
      </w:pPr>
      <w:rPr>
        <w:rFonts w:hint="eastAsia"/>
        <w:lang w:val="en-US"/>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00000008"/>
    <w:multiLevelType w:val="multilevel"/>
    <w:tmpl w:val="0000000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00000009"/>
    <w:multiLevelType w:val="multilevel"/>
    <w:tmpl w:val="00000009"/>
    <w:lvl w:ilvl="0" w:tentative="0">
      <w:start w:val="1"/>
      <w:numFmt w:val="lowerLetter"/>
      <w:pStyle w:val="10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86"/>
      <w:lvlText w:val="%2）"/>
      <w:lvlJc w:val="left"/>
      <w:pPr>
        <w:tabs>
          <w:tab w:val="left" w:pos="1259"/>
        </w:tabs>
        <w:ind w:left="1259" w:hanging="420"/>
      </w:pPr>
      <w:rPr>
        <w:rFonts w:ascii="宋体" w:hAnsi="Times New Roman" w:eastAsia="宋体" w:cs="Times New Roman"/>
        <w:b w:val="0"/>
        <w:i w:val="0"/>
        <w:sz w:val="20"/>
      </w:rPr>
    </w:lvl>
    <w:lvl w:ilvl="2" w:tentative="0">
      <w:start w:val="1"/>
      <w:numFmt w:val="decimal"/>
      <w:pStyle w:val="79"/>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2">
    <w:nsid w:val="0000000A"/>
    <w:multiLevelType w:val="multilevel"/>
    <w:tmpl w:val="0000000A"/>
    <w:lvl w:ilvl="0" w:tentative="0">
      <w:start w:val="1"/>
      <w:numFmt w:val="decimal"/>
      <w:pStyle w:val="7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0000000B"/>
    <w:multiLevelType w:val="multilevel"/>
    <w:tmpl w:val="0000000B"/>
    <w:lvl w:ilvl="0" w:tentative="0">
      <w:start w:val="1"/>
      <w:numFmt w:val="decimal"/>
      <w:pStyle w:val="132"/>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000000C"/>
    <w:multiLevelType w:val="multilevel"/>
    <w:tmpl w:val="0000000C"/>
    <w:lvl w:ilvl="0" w:tentative="0">
      <w:start w:val="1"/>
      <w:numFmt w:val="upperLetter"/>
      <w:pStyle w:val="80"/>
      <w:lvlText w:val="%1"/>
      <w:lvlJc w:val="left"/>
      <w:pPr>
        <w:tabs>
          <w:tab w:val="left" w:pos="0"/>
        </w:tabs>
        <w:ind w:left="0" w:hanging="425"/>
      </w:pPr>
      <w:rPr>
        <w:rFonts w:hint="eastAsia"/>
      </w:rPr>
    </w:lvl>
    <w:lvl w:ilvl="1" w:tentative="0">
      <w:start w:val="1"/>
      <w:numFmt w:val="decimal"/>
      <w:pStyle w:val="7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0000000D"/>
    <w:multiLevelType w:val="multilevel"/>
    <w:tmpl w:val="0000000D"/>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0000000E"/>
    <w:multiLevelType w:val="multilevel"/>
    <w:tmpl w:val="0000000E"/>
    <w:lvl w:ilvl="0" w:tentative="0">
      <w:start w:val="1"/>
      <w:numFmt w:val="upperLetter"/>
      <w:pStyle w:val="5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7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0"/>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89"/>
      <w:suff w:val="nothing"/>
      <w:lvlText w:val="%1.%2.%3.%4.%5　"/>
      <w:lvlJc w:val="left"/>
      <w:pPr>
        <w:ind w:left="0" w:firstLine="0"/>
      </w:pPr>
      <w:rPr>
        <w:rFonts w:hint="eastAsia" w:ascii="黑体" w:hAnsi="Times New Roman" w:eastAsia="黑体"/>
        <w:b w:val="0"/>
        <w:i w:val="0"/>
        <w:sz w:val="21"/>
      </w:rPr>
    </w:lvl>
    <w:lvl w:ilvl="5" w:tentative="0">
      <w:start w:val="1"/>
      <w:numFmt w:val="decimal"/>
      <w:pStyle w:val="118"/>
      <w:suff w:val="nothing"/>
      <w:lvlText w:val="%1.%2.%3.%4.%5.%6　"/>
      <w:lvlJc w:val="left"/>
      <w:pPr>
        <w:ind w:left="0" w:firstLine="0"/>
      </w:pPr>
      <w:rPr>
        <w:rFonts w:hint="eastAsia" w:ascii="黑体" w:hAnsi="Times New Roman" w:eastAsia="黑体"/>
        <w:b w:val="0"/>
        <w:i w:val="0"/>
        <w:sz w:val="21"/>
      </w:rPr>
    </w:lvl>
    <w:lvl w:ilvl="6" w:tentative="0">
      <w:start w:val="1"/>
      <w:numFmt w:val="decimal"/>
      <w:pStyle w:val="12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0000000F"/>
    <w:multiLevelType w:val="multilevel"/>
    <w:tmpl w:val="0000000F"/>
    <w:lvl w:ilvl="0" w:tentative="0">
      <w:start w:val="1"/>
      <w:numFmt w:val="lowerLetter"/>
      <w:pStyle w:val="59"/>
      <w:lvlText w:val="%1)"/>
      <w:lvlJc w:val="left"/>
      <w:pPr>
        <w:tabs>
          <w:tab w:val="left" w:pos="839"/>
        </w:tabs>
        <w:ind w:left="839" w:hanging="419"/>
      </w:pPr>
      <w:rPr>
        <w:rFonts w:hint="eastAsia" w:ascii="宋体" w:eastAsia="宋体"/>
        <w:b w:val="0"/>
        <w:i w:val="0"/>
        <w:sz w:val="21"/>
      </w:rPr>
    </w:lvl>
    <w:lvl w:ilvl="1" w:tentative="0">
      <w:start w:val="1"/>
      <w:numFmt w:val="decimal"/>
      <w:pStyle w:val="11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00000010"/>
    <w:multiLevelType w:val="multilevel"/>
    <w:tmpl w:val="00000010"/>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9">
    <w:nsid w:val="09C9DC5F"/>
    <w:multiLevelType w:val="multilevel"/>
    <w:tmpl w:val="09C9DC5F"/>
    <w:lvl w:ilvl="0" w:tentative="0">
      <w:start w:val="1"/>
      <w:numFmt w:val="decimal"/>
      <w:suff w:val="space"/>
      <w:lvlText w:val="%1"/>
      <w:lvlJc w:val="left"/>
      <w:pPr>
        <w:tabs>
          <w:tab w:val="left" w:pos="0"/>
        </w:tabs>
        <w:ind w:left="432" w:hanging="432"/>
      </w:pPr>
      <w:rPr>
        <w:rFonts w:hint="default" w:ascii="黑体" w:hAnsi="黑体" w:eastAsia="黑体" w:cs="黑体"/>
      </w:rPr>
    </w:lvl>
    <w:lvl w:ilvl="1" w:tentative="0">
      <w:start w:val="1"/>
      <w:numFmt w:val="decimal"/>
      <w:suff w:val="space"/>
      <w:lvlText w:val="%1.%2"/>
      <w:lvlJc w:val="left"/>
      <w:pPr>
        <w:tabs>
          <w:tab w:val="left" w:pos="0"/>
        </w:tabs>
        <w:ind w:left="575" w:hanging="575"/>
      </w:pPr>
      <w:rPr>
        <w:rFonts w:hint="default" w:ascii="黑体" w:hAnsi="黑体" w:eastAsia="黑体" w:cs="黑体"/>
      </w:rPr>
    </w:lvl>
    <w:lvl w:ilvl="2" w:tentative="0">
      <w:start w:val="1"/>
      <w:numFmt w:val="decimal"/>
      <w:pStyle w:val="3"/>
      <w:suff w:val="space"/>
      <w:lvlText w:val="%1.%2.%3"/>
      <w:lvlJc w:val="left"/>
      <w:pPr>
        <w:tabs>
          <w:tab w:val="left" w:pos="0"/>
        </w:tabs>
        <w:ind w:left="720" w:hanging="720"/>
      </w:pPr>
      <w:rPr>
        <w:rFonts w:hint="default" w:ascii="黑体" w:hAnsi="黑体" w:eastAsia="黑体" w:cs="黑体"/>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20">
    <w:nsid w:val="2EF34D7D"/>
    <w:multiLevelType w:val="singleLevel"/>
    <w:tmpl w:val="2EF34D7D"/>
    <w:lvl w:ilvl="0" w:tentative="0">
      <w:start w:val="1"/>
      <w:numFmt w:val="lowerLetter"/>
      <w:suff w:val="nothing"/>
      <w:lvlText w:val="%1）"/>
      <w:lvlJc w:val="left"/>
    </w:lvl>
  </w:abstractNum>
  <w:abstractNum w:abstractNumId="21">
    <w:nsid w:val="43C17E52"/>
    <w:multiLevelType w:val="multilevel"/>
    <w:tmpl w:val="43C17E52"/>
    <w:lvl w:ilvl="0" w:tentative="0">
      <w:start w:val="3"/>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46EA3EB"/>
    <w:multiLevelType w:val="singleLevel"/>
    <w:tmpl w:val="546EA3EB"/>
    <w:lvl w:ilvl="0" w:tentative="0">
      <w:start w:val="1"/>
      <w:numFmt w:val="lowerLetter"/>
      <w:suff w:val="nothing"/>
      <w:lvlText w:val="%1）"/>
      <w:lvlJc w:val="left"/>
    </w:lvl>
  </w:abstractNum>
  <w:num w:numId="1">
    <w:abstractNumId w:val="5"/>
  </w:num>
  <w:num w:numId="2">
    <w:abstractNumId w:val="19"/>
  </w:num>
  <w:num w:numId="3">
    <w:abstractNumId w:val="10"/>
  </w:num>
  <w:num w:numId="4">
    <w:abstractNumId w:val="3"/>
  </w:num>
  <w:num w:numId="5">
    <w:abstractNumId w:val="16"/>
  </w:num>
  <w:num w:numId="6">
    <w:abstractNumId w:val="9"/>
  </w:num>
  <w:num w:numId="7">
    <w:abstractNumId w:val="7"/>
  </w:num>
  <w:num w:numId="8">
    <w:abstractNumId w:val="18"/>
  </w:num>
  <w:num w:numId="9">
    <w:abstractNumId w:val="17"/>
  </w:num>
  <w:num w:numId="10">
    <w:abstractNumId w:val="8"/>
  </w:num>
  <w:num w:numId="11">
    <w:abstractNumId w:val="0"/>
  </w:num>
  <w:num w:numId="12">
    <w:abstractNumId w:val="14"/>
  </w:num>
  <w:num w:numId="13">
    <w:abstractNumId w:val="12"/>
  </w:num>
  <w:num w:numId="14">
    <w:abstractNumId w:val="6"/>
  </w:num>
  <w:num w:numId="15">
    <w:abstractNumId w:val="11"/>
  </w:num>
  <w:num w:numId="16">
    <w:abstractNumId w:val="4"/>
  </w:num>
  <w:num w:numId="17">
    <w:abstractNumId w:val="15"/>
  </w:num>
  <w:num w:numId="18">
    <w:abstractNumId w:val="13"/>
  </w:num>
  <w:num w:numId="19">
    <w:abstractNumId w:val="1"/>
  </w:num>
  <w:num w:numId="20">
    <w:abstractNumId w:val="22"/>
  </w:num>
  <w:num w:numId="21">
    <w:abstractNumId w:val="20"/>
  </w:num>
  <w:num w:numId="22">
    <w:abstractNumId w:val="2"/>
  </w:num>
  <w:num w:numId="23">
    <w:abstractNumId w:val="21"/>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A7"/>
    <w:rsid w:val="00144DA7"/>
    <w:rsid w:val="001E1630"/>
    <w:rsid w:val="004600E1"/>
    <w:rsid w:val="00C86DC0"/>
    <w:rsid w:val="02936357"/>
    <w:rsid w:val="035A274A"/>
    <w:rsid w:val="063A62D5"/>
    <w:rsid w:val="09A15C0D"/>
    <w:rsid w:val="0B3F33EC"/>
    <w:rsid w:val="10901C7A"/>
    <w:rsid w:val="11460773"/>
    <w:rsid w:val="12062C40"/>
    <w:rsid w:val="144F6888"/>
    <w:rsid w:val="163206AB"/>
    <w:rsid w:val="1795303C"/>
    <w:rsid w:val="1947714C"/>
    <w:rsid w:val="227D75A2"/>
    <w:rsid w:val="279409D3"/>
    <w:rsid w:val="28B15BC4"/>
    <w:rsid w:val="2A814AB0"/>
    <w:rsid w:val="2FC86891"/>
    <w:rsid w:val="303F4554"/>
    <w:rsid w:val="31D21A23"/>
    <w:rsid w:val="34D30629"/>
    <w:rsid w:val="3A410824"/>
    <w:rsid w:val="3BC96C36"/>
    <w:rsid w:val="43D45A03"/>
    <w:rsid w:val="444B2806"/>
    <w:rsid w:val="466E2C29"/>
    <w:rsid w:val="4BBA5A7E"/>
    <w:rsid w:val="4BF076A6"/>
    <w:rsid w:val="4EB84F92"/>
    <w:rsid w:val="4FC82009"/>
    <w:rsid w:val="51876B9D"/>
    <w:rsid w:val="5284683A"/>
    <w:rsid w:val="55B07EC1"/>
    <w:rsid w:val="5A465548"/>
    <w:rsid w:val="5AC471B0"/>
    <w:rsid w:val="5CA20AEB"/>
    <w:rsid w:val="5D2E41BA"/>
    <w:rsid w:val="5D455127"/>
    <w:rsid w:val="66535911"/>
    <w:rsid w:val="6B105E4A"/>
    <w:rsid w:val="6B94408A"/>
    <w:rsid w:val="74326734"/>
    <w:rsid w:val="7BF7286E"/>
    <w:rsid w:val="7BFE2C07"/>
    <w:rsid w:val="7D222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tabs>
        <w:tab w:val="center" w:pos="4201"/>
        <w:tab w:val="right" w:leader="dot" w:pos="9298"/>
      </w:tabs>
      <w:spacing w:before="340" w:after="330" w:line="360" w:lineRule="auto"/>
      <w:ind w:left="432" w:hanging="432"/>
      <w:outlineLvl w:val="0"/>
    </w:pPr>
    <w:rPr>
      <w:rFonts w:ascii="黑体" w:hAnsi="黑体" w:eastAsia="黑体" w:cs="黑体"/>
      <w:kern w:val="44"/>
    </w:rPr>
  </w:style>
  <w:style w:type="paragraph" w:styleId="3">
    <w:name w:val="heading 3"/>
    <w:basedOn w:val="1"/>
    <w:next w:val="1"/>
    <w:unhideWhenUsed/>
    <w:qFormat/>
    <w:uiPriority w:val="0"/>
    <w:pPr>
      <w:keepNext/>
      <w:keepLines/>
      <w:numPr>
        <w:ilvl w:val="2"/>
        <w:numId w:val="2"/>
      </w:numPr>
      <w:tabs>
        <w:tab w:val="center" w:pos="4201"/>
        <w:tab w:val="right" w:leader="dot" w:pos="9298"/>
      </w:tabs>
      <w:spacing w:before="260" w:after="260" w:line="360" w:lineRule="auto"/>
      <w:outlineLvl w:val="2"/>
    </w:pPr>
    <w:rPr>
      <w:rFonts w:ascii="黑体" w:hAnsi="黑体" w:eastAsia="黑体" w:cs="黑体"/>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qFormat/>
    <w:uiPriority w:val="0"/>
    <w:pPr>
      <w:shd w:val="clear" w:color="auto" w:fill="000080"/>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Body Text"/>
    <w:basedOn w:val="1"/>
    <w:qFormat/>
    <w:uiPriority w:val="0"/>
    <w:pPr>
      <w:spacing w:before="100" w:beforeAutospacing="1" w:after="120"/>
    </w:pPr>
    <w:rPr>
      <w:szCs w:val="21"/>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0"/>
    <w:pPr>
      <w:tabs>
        <w:tab w:val="right" w:leader="dot" w:pos="9241"/>
      </w:tabs>
      <w:ind w:firstLine="102" w:firstLineChars="100"/>
      <w:jc w:val="left"/>
    </w:pPr>
    <w:rPr>
      <w:rFonts w:ascii="宋体"/>
      <w:szCs w:val="21"/>
    </w:rPr>
  </w:style>
  <w:style w:type="paragraph" w:styleId="14">
    <w:name w:val="toc 8"/>
    <w:basedOn w:val="1"/>
    <w:next w:val="1"/>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qFormat/>
    <w:uiPriority w:val="0"/>
    <w:pPr>
      <w:snapToGrid w:val="0"/>
      <w:jc w:val="left"/>
    </w:pPr>
  </w:style>
  <w:style w:type="paragraph" w:styleId="17">
    <w:name w:val="Balloon Text"/>
    <w:basedOn w:val="1"/>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0"/>
    <w:pPr>
      <w:tabs>
        <w:tab w:val="right" w:leader="dot" w:pos="9241"/>
      </w:tabs>
      <w:spacing w:before="25" w:beforeLines="25" w:after="25" w:afterLines="25"/>
      <w:jc w:val="left"/>
    </w:pPr>
    <w:rPr>
      <w:rFonts w:ascii="宋体"/>
      <w:szCs w:val="21"/>
    </w:rPr>
  </w:style>
  <w:style w:type="paragraph" w:styleId="21">
    <w:name w:val="toc 4"/>
    <w:basedOn w:val="1"/>
    <w:next w:val="1"/>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3"/>
      </w:numPr>
      <w:snapToGrid w:val="0"/>
      <w:jc w:val="left"/>
    </w:pPr>
    <w:rPr>
      <w:rFonts w:ascii="宋体"/>
      <w:sz w:val="18"/>
      <w:szCs w:val="18"/>
    </w:rPr>
  </w:style>
  <w:style w:type="paragraph" w:styleId="26">
    <w:name w:val="toc 6"/>
    <w:basedOn w:val="1"/>
    <w:next w:val="1"/>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0"/>
    <w:pPr>
      <w:tabs>
        <w:tab w:val="right" w:leader="dot" w:pos="9241"/>
      </w:tabs>
    </w:pPr>
    <w:rPr>
      <w:rFonts w:ascii="宋体"/>
      <w:szCs w:val="21"/>
    </w:rPr>
  </w:style>
  <w:style w:type="paragraph" w:styleId="30">
    <w:name w:val="toc 9"/>
    <w:basedOn w:val="1"/>
    <w:next w:val="1"/>
    <w:qFormat/>
    <w:uiPriority w:val="0"/>
    <w:pPr>
      <w:ind w:left="1470"/>
      <w:jc w:val="left"/>
    </w:pPr>
    <w:rPr>
      <w:sz w:val="20"/>
      <w:szCs w:val="20"/>
    </w:rPr>
  </w:style>
  <w:style w:type="paragraph" w:styleId="3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6">
    <w:name w:val="endnote reference"/>
    <w:basedOn w:val="35"/>
    <w:qFormat/>
    <w:uiPriority w:val="0"/>
    <w:rPr>
      <w:rFonts w:ascii="Times New Roman" w:hAnsi="Times New Roman" w:eastAsia="宋体" w:cs="Times New Roman"/>
      <w:vertAlign w:val="superscript"/>
    </w:rPr>
  </w:style>
  <w:style w:type="character" w:styleId="37">
    <w:name w:val="page number"/>
    <w:basedOn w:val="35"/>
    <w:qFormat/>
    <w:uiPriority w:val="0"/>
    <w:rPr>
      <w:rFonts w:ascii="Times New Roman" w:hAnsi="Times New Roman" w:eastAsia="宋体" w:cs="Times New Roman"/>
      <w:sz w:val="18"/>
    </w:rPr>
  </w:style>
  <w:style w:type="character" w:styleId="38">
    <w:name w:val="FollowedHyperlink"/>
    <w:basedOn w:val="35"/>
    <w:qFormat/>
    <w:uiPriority w:val="0"/>
    <w:rPr>
      <w:rFonts w:ascii="Times New Roman" w:hAnsi="Times New Roman" w:eastAsia="宋体" w:cs="Times New Roman"/>
      <w:color w:val="800080"/>
      <w:u w:val="single"/>
    </w:rPr>
  </w:style>
  <w:style w:type="character" w:styleId="39">
    <w:name w:val="Hyperlink"/>
    <w:basedOn w:val="35"/>
    <w:qFormat/>
    <w:uiPriority w:val="0"/>
    <w:rPr>
      <w:rFonts w:ascii="Times New Roman" w:hAnsi="Times New Roman" w:eastAsia="宋体" w:cs="Times New Roman"/>
      <w:color w:val="0000FF"/>
      <w:spacing w:val="0"/>
      <w:w w:val="100"/>
      <w:szCs w:val="21"/>
      <w:u w:val="single"/>
    </w:rPr>
  </w:style>
  <w:style w:type="character" w:styleId="40">
    <w:name w:val="footnote reference"/>
    <w:basedOn w:val="35"/>
    <w:qFormat/>
    <w:uiPriority w:val="0"/>
    <w:rPr>
      <w:rFonts w:ascii="Times New Roman" w:hAnsi="Times New Roman" w:eastAsia="宋体" w:cs="Times New Roman"/>
      <w:vertAlign w:val="superscript"/>
    </w:rPr>
  </w:style>
  <w:style w:type="character" w:customStyle="1" w:styleId="41">
    <w:name w:val="段 Char"/>
    <w:basedOn w:val="35"/>
    <w:link w:val="24"/>
    <w:qFormat/>
    <w:uiPriority w:val="0"/>
    <w:rPr>
      <w:rFonts w:ascii="宋体" w:hAnsi="Times New Roman" w:eastAsia="宋体" w:cs="Times New Roman"/>
      <w:sz w:val="21"/>
      <w:lang w:val="en-US" w:eastAsia="zh-CN" w:bidi="ar-SA"/>
    </w:rPr>
  </w:style>
  <w:style w:type="character" w:customStyle="1" w:styleId="42">
    <w:name w:val="附录公式 Char"/>
    <w:basedOn w:val="41"/>
    <w:link w:val="43"/>
    <w:qFormat/>
    <w:uiPriority w:val="0"/>
    <w:rPr>
      <w:rFonts w:ascii="宋体" w:hAnsi="Times New Roman" w:eastAsia="宋体" w:cs="Times New Roman"/>
      <w:sz w:val="21"/>
      <w:lang w:val="en-US" w:eastAsia="zh-CN" w:bidi="ar-SA"/>
    </w:rPr>
  </w:style>
  <w:style w:type="paragraph" w:customStyle="1" w:styleId="43">
    <w:name w:val="附录公式"/>
    <w:basedOn w:val="24"/>
    <w:next w:val="24"/>
    <w:link w:val="42"/>
    <w:qFormat/>
    <w:uiPriority w:val="0"/>
  </w:style>
  <w:style w:type="character" w:customStyle="1" w:styleId="44">
    <w:name w:val="发布"/>
    <w:basedOn w:val="35"/>
    <w:qFormat/>
    <w:uiPriority w:val="0"/>
    <w:rPr>
      <w:rFonts w:ascii="黑体" w:hAnsi="Times New Roman" w:eastAsia="黑体" w:cs="Times New Roman"/>
      <w:spacing w:val="85"/>
      <w:w w:val="100"/>
      <w:position w:val="3"/>
      <w:sz w:val="28"/>
      <w:szCs w:val="28"/>
    </w:rPr>
  </w:style>
  <w:style w:type="character" w:customStyle="1" w:styleId="45">
    <w:name w:val="首示例 Char"/>
    <w:basedOn w:val="35"/>
    <w:link w:val="46"/>
    <w:qFormat/>
    <w:uiPriority w:val="0"/>
    <w:rPr>
      <w:rFonts w:ascii="宋体" w:hAnsi="宋体" w:eastAsia="宋体" w:cs="Times New Roman"/>
      <w:kern w:val="2"/>
      <w:sz w:val="18"/>
      <w:szCs w:val="18"/>
      <w:lang w:val="en-US" w:eastAsia="zh-CN" w:bidi="ar-SA"/>
    </w:rPr>
  </w:style>
  <w:style w:type="paragraph" w:customStyle="1" w:styleId="46">
    <w:name w:val="首示例"/>
    <w:next w:val="24"/>
    <w:link w:val="45"/>
    <w:qFormat/>
    <w:uiPriority w:val="0"/>
    <w:pPr>
      <w:numPr>
        <w:ilvl w:val="0"/>
        <w:numId w:val="4"/>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15"/>
    <w:basedOn w:val="35"/>
    <w:qFormat/>
    <w:uiPriority w:val="0"/>
    <w:rPr>
      <w:rFonts w:hint="eastAsia" w:ascii="宋体" w:hAnsi="宋体" w:eastAsia="宋体" w:cs="Times New Roman"/>
      <w:sz w:val="21"/>
      <w:szCs w:val="21"/>
    </w:rPr>
  </w:style>
  <w:style w:type="character" w:customStyle="1" w:styleId="48">
    <w:name w:val="16"/>
    <w:basedOn w:val="35"/>
    <w:qFormat/>
    <w:uiPriority w:val="0"/>
    <w:rPr>
      <w:rFonts w:hint="default" w:ascii="Times New Roman" w:hAnsi="Times New Roman" w:eastAsia="宋体" w:cs="Times New Roman"/>
      <w:color w:val="134A81"/>
      <w:u w:val="single"/>
    </w:rPr>
  </w:style>
  <w:style w:type="paragraph" w:customStyle="1" w:styleId="4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50">
    <w:name w:val="附录标识"/>
    <w:basedOn w:val="1"/>
    <w:next w:val="24"/>
    <w:qFormat/>
    <w:uiPriority w:val="0"/>
    <w:pPr>
      <w:keepNext/>
      <w:widowControl/>
      <w:numPr>
        <w:ilvl w:val="0"/>
        <w:numId w:val="5"/>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51">
    <w:name w:val="列项●（二级）"/>
    <w:qFormat/>
    <w:uiPriority w:val="0"/>
    <w:pPr>
      <w:numPr>
        <w:ilvl w:val="1"/>
        <w:numId w:val="6"/>
      </w:numPr>
      <w:tabs>
        <w:tab w:val="left" w:pos="840"/>
      </w:tabs>
      <w:jc w:val="both"/>
    </w:pPr>
    <w:rPr>
      <w:rFonts w:ascii="宋体" w:hAnsi="Times New Roman" w:eastAsia="宋体" w:cs="Times New Roman"/>
      <w:sz w:val="21"/>
      <w:lang w:val="en-US" w:eastAsia="zh-CN" w:bidi="ar-SA"/>
    </w:rPr>
  </w:style>
  <w:style w:type="paragraph" w:customStyle="1" w:styleId="52">
    <w:name w:val="五级条标题"/>
    <w:basedOn w:val="53"/>
    <w:next w:val="24"/>
    <w:qFormat/>
    <w:uiPriority w:val="0"/>
    <w:pPr>
      <w:numPr>
        <w:ilvl w:val="5"/>
      </w:numPr>
      <w:outlineLvl w:val="6"/>
    </w:pPr>
  </w:style>
  <w:style w:type="paragraph" w:customStyle="1" w:styleId="53">
    <w:name w:val="四级条标题"/>
    <w:basedOn w:val="54"/>
    <w:next w:val="24"/>
    <w:qFormat/>
    <w:uiPriority w:val="0"/>
    <w:pPr>
      <w:numPr>
        <w:ilvl w:val="4"/>
      </w:numPr>
      <w:outlineLvl w:val="5"/>
    </w:pPr>
  </w:style>
  <w:style w:type="paragraph" w:customStyle="1" w:styleId="54">
    <w:name w:val="三级条标题"/>
    <w:basedOn w:val="55"/>
    <w:next w:val="24"/>
    <w:qFormat/>
    <w:uiPriority w:val="0"/>
    <w:pPr>
      <w:numPr>
        <w:ilvl w:val="3"/>
      </w:numPr>
      <w:outlineLvl w:val="4"/>
    </w:pPr>
  </w:style>
  <w:style w:type="paragraph" w:customStyle="1" w:styleId="55">
    <w:name w:val="二级条标题"/>
    <w:basedOn w:val="56"/>
    <w:next w:val="24"/>
    <w:qFormat/>
    <w:uiPriority w:val="0"/>
    <w:pPr>
      <w:numPr>
        <w:ilvl w:val="2"/>
      </w:numPr>
      <w:spacing w:before="50" w:after="50"/>
      <w:outlineLvl w:val="3"/>
    </w:pPr>
  </w:style>
  <w:style w:type="paragraph" w:customStyle="1" w:styleId="56">
    <w:name w:val="一级条标题"/>
    <w:next w:val="24"/>
    <w:qFormat/>
    <w:uiPriority w:val="0"/>
    <w:pPr>
      <w:numPr>
        <w:ilvl w:val="1"/>
        <w:numId w:val="7"/>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57">
    <w:name w:val="注：（正文）"/>
    <w:basedOn w:val="58"/>
    <w:next w:val="24"/>
    <w:qFormat/>
    <w:uiPriority w:val="0"/>
  </w:style>
  <w:style w:type="paragraph" w:customStyle="1" w:styleId="58">
    <w:name w:val="注："/>
    <w:next w:val="24"/>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59">
    <w:name w:val="附录字母编号列项（一级）"/>
    <w:qFormat/>
    <w:uiPriority w:val="0"/>
    <w:pPr>
      <w:numPr>
        <w:ilvl w:val="0"/>
        <w:numId w:val="9"/>
      </w:numPr>
    </w:pPr>
    <w:rPr>
      <w:rFonts w:ascii="宋体" w:hAnsi="Times New Roman" w:eastAsia="宋体" w:cs="Times New Roman"/>
      <w:sz w:val="21"/>
      <w:lang w:val="en-US" w:eastAsia="zh-CN" w:bidi="ar-SA"/>
    </w:rPr>
  </w:style>
  <w:style w:type="paragraph" w:customStyle="1" w:styleId="60">
    <w:name w:val="附录图标题"/>
    <w:basedOn w:val="1"/>
    <w:next w:val="24"/>
    <w:qFormat/>
    <w:uiPriority w:val="0"/>
    <w:pPr>
      <w:numPr>
        <w:ilvl w:val="1"/>
        <w:numId w:val="10"/>
      </w:numPr>
      <w:tabs>
        <w:tab w:val="left" w:pos="363"/>
      </w:tabs>
      <w:spacing w:before="50" w:beforeLines="50" w:after="50" w:afterLines="50"/>
      <w:ind w:left="0" w:firstLine="0"/>
      <w:jc w:val="center"/>
    </w:pPr>
    <w:rPr>
      <w:rFonts w:ascii="黑体" w:eastAsia="黑体"/>
      <w:szCs w:val="21"/>
    </w:rPr>
  </w:style>
  <w:style w:type="paragraph" w:customStyle="1" w:styleId="61">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2">
    <w:name w:val="封面标准文稿类别"/>
    <w:basedOn w:val="63"/>
    <w:qFormat/>
    <w:uiPriority w:val="0"/>
    <w:pPr>
      <w:spacing w:after="160" w:line="240" w:lineRule="auto"/>
    </w:pPr>
    <w:rPr>
      <w:sz w:val="24"/>
    </w:rPr>
  </w:style>
  <w:style w:type="paragraph" w:customStyle="1" w:styleId="63">
    <w:name w:val="封面一致性程度标识"/>
    <w:basedOn w:val="64"/>
    <w:qFormat/>
    <w:uiPriority w:val="0"/>
    <w:pPr>
      <w:spacing w:before="440"/>
    </w:pPr>
    <w:rPr>
      <w:rFonts w:ascii="宋体" w:eastAsia="宋体"/>
    </w:rPr>
  </w:style>
  <w:style w:type="paragraph" w:customStyle="1" w:styleId="64">
    <w:name w:val="封面标准英文名称"/>
    <w:basedOn w:val="65"/>
    <w:qFormat/>
    <w:uiPriority w:val="0"/>
    <w:pPr>
      <w:spacing w:before="370" w:line="400" w:lineRule="exact"/>
    </w:pPr>
    <w:rPr>
      <w:rFonts w:ascii="Times New Roman"/>
      <w:sz w:val="28"/>
      <w:szCs w:val="28"/>
    </w:rPr>
  </w:style>
  <w:style w:type="paragraph" w:customStyle="1" w:styleId="6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66">
    <w:name w:val="列项◆（三级）"/>
    <w:basedOn w:val="1"/>
    <w:qFormat/>
    <w:uiPriority w:val="0"/>
    <w:pPr>
      <w:numPr>
        <w:ilvl w:val="2"/>
        <w:numId w:val="6"/>
      </w:numPr>
    </w:pPr>
    <w:rPr>
      <w:rFonts w:ascii="宋体"/>
      <w:szCs w:val="21"/>
    </w:rPr>
  </w:style>
  <w:style w:type="paragraph" w:customStyle="1" w:styleId="67">
    <w:name w:val="封面正文"/>
    <w:qFormat/>
    <w:uiPriority w:val="0"/>
    <w:pPr>
      <w:jc w:val="both"/>
    </w:pPr>
    <w:rPr>
      <w:rFonts w:ascii="Times New Roman" w:hAnsi="Times New Roman" w:eastAsia="宋体" w:cs="Times New Roman"/>
      <w:lang w:val="en-US" w:eastAsia="zh-CN" w:bidi="ar-SA"/>
    </w:rPr>
  </w:style>
  <w:style w:type="paragraph" w:customStyle="1" w:styleId="68">
    <w:name w:val="注×："/>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6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70">
    <w:name w:val="附录一级条标题"/>
    <w:basedOn w:val="71"/>
    <w:next w:val="24"/>
    <w:qFormat/>
    <w:uiPriority w:val="0"/>
    <w:pPr>
      <w:numPr>
        <w:ilvl w:val="2"/>
      </w:numPr>
      <w:tabs>
        <w:tab w:val="left" w:pos="360"/>
      </w:tabs>
      <w:autoSpaceDN w:val="0"/>
      <w:spacing w:before="50" w:beforeLines="50" w:after="50" w:afterLines="50"/>
      <w:outlineLvl w:val="2"/>
    </w:pPr>
  </w:style>
  <w:style w:type="paragraph" w:customStyle="1" w:styleId="71">
    <w:name w:val="附录章标题"/>
    <w:next w:val="24"/>
    <w:qFormat/>
    <w:uiPriority w:val="0"/>
    <w:pPr>
      <w:numPr>
        <w:ilvl w:val="1"/>
        <w:numId w:val="5"/>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示例后文字"/>
    <w:basedOn w:val="24"/>
    <w:next w:val="24"/>
    <w:qFormat/>
    <w:uiPriority w:val="0"/>
    <w:pPr>
      <w:ind w:firstLine="360"/>
    </w:pPr>
    <w:rPr>
      <w:sz w:val="18"/>
    </w:rPr>
  </w:style>
  <w:style w:type="paragraph" w:customStyle="1" w:styleId="73">
    <w:name w:val="附录表标题"/>
    <w:basedOn w:val="1"/>
    <w:next w:val="24"/>
    <w:qFormat/>
    <w:uiPriority w:val="0"/>
    <w:pPr>
      <w:numPr>
        <w:ilvl w:val="1"/>
        <w:numId w:val="12"/>
      </w:numPr>
      <w:tabs>
        <w:tab w:val="left" w:pos="180"/>
      </w:tabs>
      <w:spacing w:before="50" w:beforeLines="50" w:after="50" w:afterLines="50"/>
      <w:ind w:left="0" w:firstLine="0"/>
      <w:jc w:val="center"/>
    </w:pPr>
    <w:rPr>
      <w:rFonts w:ascii="黑体" w:eastAsia="黑体"/>
      <w:szCs w:val="21"/>
    </w:rPr>
  </w:style>
  <w:style w:type="paragraph" w:customStyle="1" w:styleId="74">
    <w:name w:val="示例×："/>
    <w:basedOn w:val="75"/>
    <w:qFormat/>
    <w:uiPriority w:val="0"/>
    <w:pPr>
      <w:numPr>
        <w:numId w:val="13"/>
      </w:numPr>
      <w:spacing w:before="0" w:after="0"/>
      <w:outlineLvl w:val="9"/>
    </w:pPr>
    <w:rPr>
      <w:rFonts w:ascii="宋体" w:eastAsia="宋体"/>
      <w:sz w:val="18"/>
      <w:szCs w:val="18"/>
    </w:rPr>
  </w:style>
  <w:style w:type="paragraph" w:customStyle="1" w:styleId="75">
    <w:name w:val="章标题"/>
    <w:next w:val="24"/>
    <w:qFormat/>
    <w:uiPriority w:val="0"/>
    <w:pPr>
      <w:numPr>
        <w:ilvl w:val="0"/>
        <w:numId w:val="7"/>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76">
    <w:name w:val="注×：（正文）"/>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77">
    <w:name w:val="封面标准文稿编辑信息"/>
    <w:basedOn w:val="62"/>
    <w:qFormat/>
    <w:uiPriority w:val="0"/>
    <w:pPr>
      <w:spacing w:before="180" w:line="180" w:lineRule="exact"/>
    </w:pPr>
    <w:rPr>
      <w:sz w:val="21"/>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编号列项（三级）"/>
    <w:qFormat/>
    <w:uiPriority w:val="0"/>
    <w:pPr>
      <w:numPr>
        <w:ilvl w:val="2"/>
        <w:numId w:val="15"/>
      </w:numPr>
    </w:pPr>
    <w:rPr>
      <w:rFonts w:ascii="宋体" w:hAnsi="Times New Roman" w:eastAsia="宋体" w:cs="Times New Roman"/>
      <w:sz w:val="21"/>
      <w:lang w:val="en-US" w:eastAsia="zh-CN" w:bidi="ar-SA"/>
    </w:rPr>
  </w:style>
  <w:style w:type="paragraph" w:customStyle="1" w:styleId="80">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1">
    <w:name w:val="示例"/>
    <w:next w:val="82"/>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8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8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6">
    <w:name w:val="数字编号列项（二级）"/>
    <w:qFormat/>
    <w:uiPriority w:val="0"/>
    <w:pPr>
      <w:numPr>
        <w:ilvl w:val="1"/>
        <w:numId w:val="15"/>
      </w:numPr>
      <w:jc w:val="both"/>
    </w:pPr>
    <w:rPr>
      <w:rFonts w:ascii="宋体" w:hAnsi="Times New Roman" w:eastAsia="宋体" w:cs="Times New Roman"/>
      <w:sz w:val="21"/>
      <w:lang w:val="en-US" w:eastAsia="zh-CN" w:bidi="ar-SA"/>
    </w:rPr>
  </w:style>
  <w:style w:type="paragraph" w:customStyle="1" w:styleId="8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8">
    <w:name w:val="图标脚注说明"/>
    <w:basedOn w:val="24"/>
    <w:qFormat/>
    <w:uiPriority w:val="0"/>
    <w:pPr>
      <w:ind w:left="840" w:hanging="420" w:firstLineChars="0"/>
    </w:pPr>
    <w:rPr>
      <w:sz w:val="18"/>
      <w:szCs w:val="18"/>
    </w:rPr>
  </w:style>
  <w:style w:type="paragraph" w:customStyle="1" w:styleId="89">
    <w:name w:val="附录三级条标题"/>
    <w:basedOn w:val="90"/>
    <w:next w:val="24"/>
    <w:qFormat/>
    <w:uiPriority w:val="0"/>
    <w:pPr>
      <w:numPr>
        <w:ilvl w:val="4"/>
      </w:numPr>
      <w:tabs>
        <w:tab w:val="left" w:pos="360"/>
      </w:tabs>
      <w:outlineLvl w:val="4"/>
    </w:pPr>
  </w:style>
  <w:style w:type="paragraph" w:customStyle="1" w:styleId="90">
    <w:name w:val="附录二级条标题"/>
    <w:basedOn w:val="1"/>
    <w:next w:val="24"/>
    <w:qFormat/>
    <w:uiPriority w:val="0"/>
    <w:pPr>
      <w:widowControl/>
      <w:numPr>
        <w:ilvl w:val="3"/>
        <w:numId w:val="5"/>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二级无"/>
    <w:basedOn w:val="55"/>
    <w:qFormat/>
    <w:uiPriority w:val="0"/>
    <w:pPr>
      <w:spacing w:before="0" w:after="0"/>
    </w:pPr>
    <w:rPr>
      <w:rFonts w:ascii="宋体" w:eastAsia="宋体"/>
    </w:rPr>
  </w:style>
  <w:style w:type="paragraph" w:customStyle="1" w:styleId="92">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3">
    <w:name w:val="其他发布部门"/>
    <w:basedOn w:val="94"/>
    <w:qFormat/>
    <w:uiPriority w:val="0"/>
    <w:pPr>
      <w:framePr w:y="15310"/>
      <w:spacing w:line="0" w:lineRule="atLeast"/>
    </w:pPr>
    <w:rPr>
      <w:rFonts w:ascii="黑体" w:eastAsia="黑体"/>
      <w:b w:val="0"/>
    </w:rPr>
  </w:style>
  <w:style w:type="paragraph" w:customStyle="1" w:styleId="94">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5">
    <w:name w:val="附录标题"/>
    <w:basedOn w:val="24"/>
    <w:next w:val="24"/>
    <w:qFormat/>
    <w:uiPriority w:val="0"/>
    <w:pPr>
      <w:ind w:firstLine="0" w:firstLineChars="0"/>
      <w:jc w:val="center"/>
    </w:pPr>
    <w:rPr>
      <w:rFonts w:ascii="黑体" w:eastAsia="黑体"/>
    </w:rPr>
  </w:style>
  <w:style w:type="paragraph" w:customStyle="1" w:styleId="96">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97">
    <w:name w:val="附录二级无"/>
    <w:basedOn w:val="90"/>
    <w:qFormat/>
    <w:uiPriority w:val="0"/>
    <w:pPr>
      <w:tabs>
        <w:tab w:val="clear" w:pos="360"/>
      </w:tabs>
      <w:spacing w:before="0" w:after="0"/>
    </w:pPr>
    <w:rPr>
      <w:rFonts w:ascii="宋体" w:eastAsia="宋体"/>
      <w:szCs w:val="21"/>
    </w:rPr>
  </w:style>
  <w:style w:type="paragraph" w:customStyle="1" w:styleId="98">
    <w:name w:val="实施日期"/>
    <w:basedOn w:val="99"/>
    <w:qFormat/>
    <w:uiPriority w:val="0"/>
    <w:pPr>
      <w:framePr w:vAnchor="page"/>
      <w:jc w:val="right"/>
    </w:pPr>
  </w:style>
  <w:style w:type="paragraph" w:customStyle="1" w:styleId="99">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00">
    <w:name w:val="三级无"/>
    <w:basedOn w:val="54"/>
    <w:qFormat/>
    <w:uiPriority w:val="0"/>
    <w:pPr>
      <w:spacing w:before="0" w:after="0"/>
    </w:pPr>
    <w:rPr>
      <w:rFonts w:ascii="宋体" w:eastAsia="宋体"/>
    </w:rPr>
  </w:style>
  <w:style w:type="paragraph" w:customStyle="1" w:styleId="101">
    <w:name w:val="字母编号列项（一级）"/>
    <w:qFormat/>
    <w:uiPriority w:val="0"/>
    <w:pPr>
      <w:numPr>
        <w:ilvl w:val="0"/>
        <w:numId w:val="15"/>
      </w:numPr>
      <w:jc w:val="both"/>
    </w:pPr>
    <w:rPr>
      <w:rFonts w:ascii="宋体" w:hAnsi="Times New Roman" w:eastAsia="宋体" w:cs="Times New Roman"/>
      <w:sz w:val="21"/>
      <w:lang w:val="en-US" w:eastAsia="zh-CN" w:bidi="ar-SA"/>
    </w:rPr>
  </w:style>
  <w:style w:type="paragraph" w:customStyle="1" w:styleId="102">
    <w:name w:val="其他标准标志"/>
    <w:basedOn w:val="83"/>
    <w:qFormat/>
    <w:uiPriority w:val="0"/>
    <w:pPr>
      <w:framePr w:w="6101" w:vAnchor="page" w:hAnchor="page" w:x="4673" w:y="942"/>
    </w:pPr>
    <w:rPr>
      <w:w w:val="130"/>
    </w:rPr>
  </w:style>
  <w:style w:type="paragraph" w:customStyle="1" w:styleId="103">
    <w:name w:val="列项——（一级）"/>
    <w:qFormat/>
    <w:uiPriority w:val="0"/>
    <w:pPr>
      <w:widowControl w:val="0"/>
      <w:numPr>
        <w:ilvl w:val="0"/>
        <w:numId w:val="6"/>
      </w:numPr>
      <w:jc w:val="both"/>
    </w:pPr>
    <w:rPr>
      <w:rFonts w:ascii="宋体" w:hAnsi="Times New Roman" w:eastAsia="宋体" w:cs="Times New Roman"/>
      <w:sz w:val="21"/>
      <w:lang w:val="en-US" w:eastAsia="zh-CN" w:bidi="ar-SA"/>
    </w:rPr>
  </w:style>
  <w:style w:type="paragraph" w:customStyle="1" w:styleId="10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5">
    <w:name w:val="标准书眉_偶数页"/>
    <w:basedOn w:val="106"/>
    <w:next w:val="1"/>
    <w:qFormat/>
    <w:uiPriority w:val="0"/>
    <w:pPr>
      <w:tabs>
        <w:tab w:val="center" w:pos="4154"/>
        <w:tab w:val="right" w:pos="8306"/>
      </w:tabs>
      <w:jc w:val="left"/>
    </w:pPr>
  </w:style>
  <w:style w:type="paragraph" w:customStyle="1" w:styleId="10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08">
    <w:name w:val="封面标准文稿类别2"/>
    <w:basedOn w:val="62"/>
    <w:qFormat/>
    <w:uiPriority w:val="0"/>
    <w:pPr>
      <w:framePr w:y="4469"/>
    </w:pPr>
  </w:style>
  <w:style w:type="paragraph" w:customStyle="1" w:styleId="10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1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11">
    <w:name w:val="图表脚注说明"/>
    <w:basedOn w:val="1"/>
    <w:qFormat/>
    <w:uiPriority w:val="0"/>
    <w:pPr>
      <w:ind w:left="544" w:hanging="181"/>
    </w:pPr>
    <w:rPr>
      <w:rFonts w:ascii="宋体"/>
      <w:sz w:val="18"/>
      <w:szCs w:val="18"/>
    </w:rPr>
  </w:style>
  <w:style w:type="paragraph" w:customStyle="1" w:styleId="112">
    <w:name w:val="标准书眉一"/>
    <w:qFormat/>
    <w:uiPriority w:val="0"/>
    <w:pPr>
      <w:jc w:val="both"/>
    </w:pPr>
    <w:rPr>
      <w:rFonts w:ascii="Times New Roman" w:hAnsi="Times New Roman" w:eastAsia="宋体" w:cs="Times New Roman"/>
      <w:lang w:val="en-US" w:eastAsia="zh-CN" w:bidi="ar-SA"/>
    </w:rPr>
  </w:style>
  <w:style w:type="paragraph" w:customStyle="1" w:styleId="11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4">
    <w:name w:val="四级无"/>
    <w:basedOn w:val="53"/>
    <w:qFormat/>
    <w:uiPriority w:val="0"/>
    <w:pPr>
      <w:spacing w:before="0" w:after="0"/>
    </w:pPr>
    <w:rPr>
      <w:rFonts w:ascii="宋体" w:eastAsia="宋体"/>
    </w:rPr>
  </w:style>
  <w:style w:type="paragraph" w:customStyle="1" w:styleId="115">
    <w:name w:val="附录三级无"/>
    <w:basedOn w:val="89"/>
    <w:qFormat/>
    <w:uiPriority w:val="0"/>
    <w:pPr>
      <w:tabs>
        <w:tab w:val="clear" w:pos="360"/>
      </w:tabs>
      <w:spacing w:before="0" w:after="0"/>
    </w:pPr>
    <w:rPr>
      <w:rFonts w:ascii="宋体" w:eastAsia="宋体"/>
      <w:szCs w:val="21"/>
    </w:rPr>
  </w:style>
  <w:style w:type="paragraph" w:customStyle="1" w:styleId="116">
    <w:name w:val="附录数字编号列项（二级）"/>
    <w:qFormat/>
    <w:uiPriority w:val="0"/>
    <w:pPr>
      <w:numPr>
        <w:ilvl w:val="1"/>
        <w:numId w:val="9"/>
      </w:numPr>
    </w:pPr>
    <w:rPr>
      <w:rFonts w:ascii="宋体" w:hAnsi="Times New Roman" w:eastAsia="宋体" w:cs="Times New Roman"/>
      <w:sz w:val="21"/>
      <w:lang w:val="en-US" w:eastAsia="zh-CN" w:bidi="ar-SA"/>
    </w:rPr>
  </w:style>
  <w:style w:type="paragraph" w:customStyle="1" w:styleId="117">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附录四级条标题"/>
    <w:basedOn w:val="89"/>
    <w:next w:val="24"/>
    <w:qFormat/>
    <w:uiPriority w:val="0"/>
    <w:pPr>
      <w:numPr>
        <w:ilvl w:val="5"/>
      </w:numPr>
      <w:outlineLvl w:val="5"/>
    </w:pPr>
  </w:style>
  <w:style w:type="paragraph" w:customStyle="1" w:styleId="11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0">
    <w:name w:val="附录四级无"/>
    <w:basedOn w:val="118"/>
    <w:qFormat/>
    <w:uiPriority w:val="0"/>
    <w:pPr>
      <w:tabs>
        <w:tab w:val="clear" w:pos="360"/>
      </w:tabs>
      <w:spacing w:before="0" w:after="0"/>
    </w:pPr>
    <w:rPr>
      <w:rFonts w:ascii="宋体" w:eastAsia="宋体"/>
      <w:szCs w:val="21"/>
    </w:rPr>
  </w:style>
  <w:style w:type="paragraph" w:customStyle="1" w:styleId="121">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22">
    <w:name w:val="附录五级条标题"/>
    <w:basedOn w:val="118"/>
    <w:next w:val="24"/>
    <w:qFormat/>
    <w:uiPriority w:val="0"/>
    <w:pPr>
      <w:numPr>
        <w:ilvl w:val="6"/>
      </w:numPr>
      <w:outlineLvl w:val="6"/>
    </w:pPr>
  </w:style>
  <w:style w:type="paragraph" w:customStyle="1" w:styleId="123">
    <w:name w:val="附录五级无"/>
    <w:basedOn w:val="122"/>
    <w:qFormat/>
    <w:uiPriority w:val="0"/>
    <w:pPr>
      <w:tabs>
        <w:tab w:val="clear" w:pos="360"/>
      </w:tabs>
      <w:spacing w:before="0" w:after="0"/>
    </w:pPr>
    <w:rPr>
      <w:rFonts w:ascii="宋体" w:eastAsia="宋体"/>
      <w:szCs w:val="21"/>
    </w:rPr>
  </w:style>
  <w:style w:type="paragraph" w:customStyle="1" w:styleId="124">
    <w:name w:val="附录一级无"/>
    <w:basedOn w:val="70"/>
    <w:qFormat/>
    <w:uiPriority w:val="0"/>
    <w:pPr>
      <w:tabs>
        <w:tab w:val="clear" w:pos="360"/>
      </w:tabs>
      <w:spacing w:before="0" w:after="0"/>
    </w:pPr>
    <w:rPr>
      <w:rFonts w:ascii="宋体" w:eastAsia="宋体"/>
      <w:szCs w:val="21"/>
    </w:rPr>
  </w:style>
  <w:style w:type="paragraph" w:customStyle="1" w:styleId="125">
    <w:name w:val="条文脚注"/>
    <w:basedOn w:val="25"/>
    <w:qFormat/>
    <w:uiPriority w:val="0"/>
    <w:pPr>
      <w:numPr>
        <w:numId w:val="0"/>
      </w:numPr>
      <w:jc w:val="both"/>
    </w:p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2"/>
    <w:qFormat/>
    <w:uiPriority w:val="0"/>
    <w:pPr>
      <w:spacing w:before="0" w:after="0"/>
    </w:pPr>
    <w:rPr>
      <w:rFonts w:ascii="宋体" w:eastAsia="宋体"/>
    </w:rPr>
  </w:style>
  <w:style w:type="paragraph" w:customStyle="1" w:styleId="128">
    <w:name w:val="一级无"/>
    <w:basedOn w:val="56"/>
    <w:qFormat/>
    <w:uiPriority w:val="0"/>
    <w:pPr>
      <w:spacing w:before="0" w:after="0"/>
    </w:pPr>
    <w:rPr>
      <w:rFonts w:ascii="宋体" w:eastAsia="宋体"/>
    </w:rPr>
  </w:style>
  <w:style w:type="paragraph" w:customStyle="1" w:styleId="129">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4"/>
    <w:next w:val="24"/>
    <w:qFormat/>
    <w:uiPriority w:val="0"/>
    <w:pPr>
      <w:ind w:firstLine="0" w:firstLineChars="0"/>
    </w:pPr>
  </w:style>
  <w:style w:type="paragraph" w:customStyle="1" w:styleId="131">
    <w:name w:val="封面一致性程度标识2"/>
    <w:basedOn w:val="63"/>
    <w:qFormat/>
    <w:uiPriority w:val="0"/>
    <w:pPr>
      <w:framePr w:y="4469"/>
    </w:pPr>
  </w:style>
  <w:style w:type="paragraph" w:customStyle="1" w:styleId="132">
    <w:name w:val="正文图标题"/>
    <w:next w:val="24"/>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终结线"/>
    <w:basedOn w:val="1"/>
    <w:qFormat/>
    <w:uiPriority w:val="0"/>
    <w:pPr>
      <w:framePr w:hSpace="181" w:vSpace="181" w:wrap="around" w:vAnchor="text" w:hAnchor="margin" w:xAlign="center" w:y="285"/>
    </w:pPr>
  </w:style>
  <w:style w:type="paragraph" w:customStyle="1" w:styleId="134">
    <w:name w:val="其他发布日期"/>
    <w:basedOn w:val="99"/>
    <w:qFormat/>
    <w:uiPriority w:val="0"/>
    <w:pPr>
      <w:framePr w:vAnchor="page" w:x="1419"/>
    </w:pPr>
  </w:style>
  <w:style w:type="paragraph" w:customStyle="1" w:styleId="135">
    <w:name w:val="Table Paragraph"/>
    <w:basedOn w:val="1"/>
    <w:qFormat/>
    <w:uiPriority w:val="0"/>
    <w:pPr>
      <w:spacing w:before="56" w:after="100" w:afterAutospacing="1"/>
      <w:ind w:left="12"/>
      <w:jc w:val="center"/>
    </w:pPr>
    <w:rPr>
      <w:rFonts w:ascii="Arial Unicode MS" w:hAnsi="Arial Unicode MS" w:cs="宋体"/>
      <w:szCs w:val="21"/>
    </w:rPr>
  </w:style>
  <w:style w:type="paragraph" w:customStyle="1" w:styleId="136">
    <w:name w:val="其他实施日期"/>
    <w:basedOn w:val="98"/>
    <w:qFormat/>
    <w:uiPriority w:val="0"/>
  </w:style>
  <w:style w:type="paragraph" w:customStyle="1" w:styleId="137">
    <w:name w:val="封面标准名称2"/>
    <w:basedOn w:val="65"/>
    <w:qFormat/>
    <w:uiPriority w:val="0"/>
    <w:pPr>
      <w:framePr w:y="4469"/>
      <w:spacing w:before="630" w:beforeLines="630"/>
    </w:pPr>
  </w:style>
  <w:style w:type="paragraph" w:customStyle="1" w:styleId="138">
    <w:name w:val="封面标准英文名称2"/>
    <w:basedOn w:val="64"/>
    <w:qFormat/>
    <w:uiPriority w:val="0"/>
    <w:pPr>
      <w:framePr w:y="4469"/>
    </w:pPr>
  </w:style>
  <w:style w:type="paragraph" w:customStyle="1" w:styleId="139">
    <w:name w:val="封面标准文稿编辑信息2"/>
    <w:basedOn w:val="77"/>
    <w:qFormat/>
    <w:uiPriority w:val="0"/>
    <w:pPr>
      <w:framePr w:y="4469"/>
    </w:pPr>
  </w:style>
  <w:style w:type="paragraph" w:customStyle="1" w:styleId="140">
    <w:name w:val="Normal_eff120f7-443f-4b3a-af98-b1356da5b638"/>
    <w:qFormat/>
    <w:uiPriority w:val="0"/>
    <w:pPr>
      <w:jc w:val="both"/>
    </w:pPr>
    <w:rPr>
      <w:rFonts w:ascii="Times New Roman" w:hAnsi="Times New Roman" w:eastAsia="宋体" w:cs="Times New Roman"/>
      <w:kern w:val="2"/>
      <w:sz w:val="21"/>
      <w:szCs w:val="21"/>
      <w:lang w:val="en-US" w:eastAsia="zh-CN" w:bidi="ar-SA"/>
    </w:rPr>
  </w:style>
  <w:style w:type="paragraph" w:customStyle="1" w:styleId="14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42">
    <w:name w:val="font71"/>
    <w:basedOn w:val="35"/>
    <w:qFormat/>
    <w:uiPriority w:val="0"/>
    <w:rPr>
      <w:rFonts w:hint="eastAsia" w:ascii="宋体" w:hAnsi="宋体" w:eastAsia="宋体" w:cs="宋体"/>
      <w:color w:val="000000"/>
      <w:sz w:val="18"/>
      <w:szCs w:val="18"/>
      <w:u w:val="none"/>
    </w:rPr>
  </w:style>
  <w:style w:type="character" w:customStyle="1" w:styleId="143">
    <w:name w:val="font81"/>
    <w:basedOn w:val="3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oleObject" Target="embeddings/oleObject6.bin"/><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5433</Words>
  <Characters>30971</Characters>
  <Lines>258</Lines>
  <Paragraphs>72</Paragraphs>
  <TotalTime>1</TotalTime>
  <ScaleCrop>false</ScaleCrop>
  <LinksUpToDate>false</LinksUpToDate>
  <CharactersWithSpaces>36332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2021-08-12T19:22:00Z</dcterms:created>
  <dc:creator>Administrator</dc:creator>
  <cp:lastModifiedBy>kylin</cp:lastModifiedBy>
  <cp:lastPrinted>2022-04-15T01:04:00Z</cp:lastPrinted>
  <dcterms:modified xsi:type="dcterms:W3CDTF">2024-03-04T09:39:51Z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B94F44093D9E402AA586C5DC3CCEED9C</vt:lpwstr>
  </property>
</Properties>
</file>