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rPr>
      </w:pPr>
    </w:p>
    <w:p>
      <w:pPr>
        <w:jc w:val="center"/>
        <w:rPr>
          <w:sz w:val="28"/>
        </w:rPr>
      </w:pPr>
    </w:p>
    <w:p>
      <w:pPr>
        <w:spacing w:line="480" w:lineRule="auto"/>
        <w:jc w:val="center"/>
        <w:rPr>
          <w:sz w:val="28"/>
        </w:rPr>
      </w:pPr>
    </w:p>
    <w:p>
      <w:pPr>
        <w:spacing w:line="480" w:lineRule="auto"/>
        <w:jc w:val="center"/>
        <w:rPr>
          <w:rFonts w:ascii="仿宋" w:hAnsi="仿宋" w:eastAsia="仿宋"/>
          <w:sz w:val="48"/>
        </w:rPr>
      </w:pPr>
      <w:bookmarkStart w:id="0" w:name="_Hlk119400456"/>
      <w:r>
        <w:rPr>
          <w:rFonts w:hint="eastAsia" w:ascii="微软雅黑" w:hAnsi="微软雅黑" w:eastAsia="微软雅黑"/>
          <w:b/>
          <w:sz w:val="52"/>
        </w:rPr>
        <w:t>基于基因组品种构成的地方猪品种纯度鉴定技术规程</w:t>
      </w:r>
    </w:p>
    <w:bookmarkEnd w:id="0"/>
    <w:p>
      <w:pPr>
        <w:spacing w:line="480" w:lineRule="auto"/>
        <w:jc w:val="center"/>
        <w:rPr>
          <w:rFonts w:ascii="仿宋" w:hAnsi="仿宋" w:eastAsia="仿宋"/>
          <w:sz w:val="48"/>
        </w:rPr>
      </w:pPr>
      <w:r>
        <w:rPr>
          <w:rFonts w:ascii="仿宋" w:hAnsi="仿宋" w:eastAsia="仿宋"/>
          <w:sz w:val="48"/>
        </w:rPr>
        <w:t>（</w:t>
      </w:r>
      <w:r>
        <w:rPr>
          <w:rFonts w:hint="eastAsia" w:ascii="仿宋" w:hAnsi="仿宋" w:eastAsia="仿宋"/>
          <w:sz w:val="48"/>
        </w:rPr>
        <w:t>征求意见稿）</w:t>
      </w:r>
    </w:p>
    <w:p>
      <w:pPr>
        <w:spacing w:line="480" w:lineRule="auto"/>
        <w:jc w:val="center"/>
        <w:rPr>
          <w:rFonts w:ascii="仿宋" w:hAnsi="仿宋" w:eastAsia="仿宋"/>
          <w:sz w:val="40"/>
        </w:rPr>
      </w:pPr>
    </w:p>
    <w:p>
      <w:pPr>
        <w:spacing w:line="480" w:lineRule="auto"/>
        <w:jc w:val="center"/>
        <w:rPr>
          <w:rFonts w:ascii="仿宋" w:hAnsi="仿宋" w:eastAsia="仿宋"/>
          <w:b/>
          <w:sz w:val="40"/>
        </w:rPr>
      </w:pPr>
      <w:r>
        <w:rPr>
          <w:rFonts w:hint="eastAsia" w:ascii="仿宋" w:hAnsi="仿宋" w:eastAsia="仿宋"/>
          <w:b/>
          <w:sz w:val="40"/>
        </w:rPr>
        <w:t>编制说明</w:t>
      </w: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sz w:val="28"/>
        </w:rPr>
      </w:pPr>
    </w:p>
    <w:p>
      <w:pPr>
        <w:rPr>
          <w:sz w:val="28"/>
        </w:rPr>
      </w:pPr>
    </w:p>
    <w:p>
      <w:pPr>
        <w:jc w:val="center"/>
        <w:rPr>
          <w:sz w:val="28"/>
        </w:rPr>
      </w:pPr>
      <w:r>
        <w:rPr>
          <w:rFonts w:hint="eastAsia"/>
          <w:sz w:val="28"/>
        </w:rPr>
        <w:t>《</w:t>
      </w:r>
      <w:bookmarkStart w:id="1" w:name="_Hlk119267182"/>
      <w:r>
        <w:rPr>
          <w:rFonts w:hint="eastAsia"/>
          <w:sz w:val="28"/>
        </w:rPr>
        <w:t>基于基因组品种构成的地方猪品种纯度鉴定技术规程</w:t>
      </w:r>
      <w:bookmarkEnd w:id="1"/>
      <w:r>
        <w:rPr>
          <w:rFonts w:hint="eastAsia"/>
          <w:sz w:val="28"/>
        </w:rPr>
        <w:t>》编制组</w:t>
      </w:r>
    </w:p>
    <w:p>
      <w:pPr>
        <w:widowControl/>
        <w:jc w:val="left"/>
        <w:rPr>
          <w:sz w:val="28"/>
        </w:rPr>
      </w:pPr>
    </w:p>
    <w:p>
      <w:pPr>
        <w:widowControl/>
        <w:jc w:val="left"/>
        <w:rPr>
          <w:sz w:val="28"/>
        </w:rPr>
      </w:pPr>
    </w:p>
    <w:sdt>
      <w:sdtPr>
        <w:rPr>
          <w:rFonts w:asciiTheme="minorHAnsi" w:hAnsiTheme="minorHAnsi" w:eastAsiaTheme="minorEastAsia" w:cstheme="minorBidi"/>
          <w:color w:val="auto"/>
          <w:kern w:val="2"/>
          <w:sz w:val="21"/>
          <w:szCs w:val="22"/>
          <w:lang w:val="zh-CN"/>
        </w:rPr>
        <w:id w:val="850522489"/>
        <w:docPartObj>
          <w:docPartGallery w:val="Table of Contents"/>
          <w:docPartUnique/>
        </w:docPartObj>
      </w:sdtPr>
      <w:sdtEndPr>
        <w:rPr>
          <w:rFonts w:asciiTheme="minorHAnsi" w:hAnsiTheme="minorHAnsi" w:eastAsiaTheme="minorEastAsia" w:cstheme="minorBidi"/>
          <w:color w:val="auto"/>
          <w:kern w:val="2"/>
          <w:sz w:val="21"/>
          <w:szCs w:val="22"/>
          <w:lang w:val="en-US"/>
        </w:rPr>
      </w:sdtEndPr>
      <w:sdtContent>
        <w:p>
          <w:pPr>
            <w:pStyle w:val="20"/>
            <w:spacing w:before="0" w:line="360" w:lineRule="auto"/>
            <w:jc w:val="center"/>
          </w:pPr>
          <w:r>
            <w:rPr>
              <w:b/>
              <w:color w:val="000000" w:themeColor="text1"/>
              <w:sz w:val="44"/>
              <w:szCs w:val="44"/>
              <w:lang w:val="zh-CN"/>
              <w14:textFill>
                <w14:solidFill>
                  <w14:schemeClr w14:val="tx1"/>
                </w14:solidFill>
              </w14:textFill>
            </w:rPr>
            <w:t>目录</w:t>
          </w:r>
        </w:p>
        <w:p>
          <w:pPr>
            <w:pStyle w:val="7"/>
            <w:tabs>
              <w:tab w:val="left" w:pos="440"/>
              <w:tab w:val="right" w:leader="dot" w:pos="8296"/>
            </w:tabs>
            <w:spacing w:after="0" w:line="360" w:lineRule="auto"/>
            <w:jc w:val="both"/>
            <w:rPr>
              <w:rFonts w:ascii="Times New Roman" w:hAnsi="Times New Roman"/>
              <w:kern w:val="2"/>
              <w:sz w:val="24"/>
              <w:szCs w:val="24"/>
            </w:rPr>
          </w:pPr>
          <w:r>
            <w:fldChar w:fldCharType="begin"/>
          </w:r>
          <w:r>
            <w:instrText xml:space="preserve"> TOC \o "1-3" \h \z \u </w:instrText>
          </w:r>
          <w:r>
            <w:fldChar w:fldCharType="separate"/>
          </w:r>
          <w:r>
            <w:fldChar w:fldCharType="begin"/>
          </w:r>
          <w:r>
            <w:instrText xml:space="preserve"> HYPERLINK \l "_Toc118533955" </w:instrText>
          </w:r>
          <w:r>
            <w:fldChar w:fldCharType="separate"/>
          </w:r>
          <w:r>
            <w:rPr>
              <w:rStyle w:val="12"/>
              <w:rFonts w:ascii="Times New Roman" w:hAnsi="Times New Roman"/>
              <w:sz w:val="24"/>
              <w:szCs w:val="24"/>
            </w:rPr>
            <w:t>1.</w:t>
          </w:r>
          <w:r>
            <w:rPr>
              <w:rFonts w:ascii="Times New Roman" w:hAnsi="Times New Roman"/>
              <w:kern w:val="2"/>
              <w:sz w:val="24"/>
              <w:szCs w:val="24"/>
            </w:rPr>
            <w:tab/>
          </w:r>
          <w:r>
            <w:rPr>
              <w:rStyle w:val="12"/>
              <w:rFonts w:ascii="Times New Roman" w:hAnsi="Times New Roman"/>
              <w:sz w:val="24"/>
              <w:szCs w:val="24"/>
            </w:rPr>
            <w:t>工作简况</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_Toc118533955 \h </w:instrText>
          </w:r>
          <w:r>
            <w:rPr>
              <w:rStyle w:val="12"/>
              <w:rFonts w:ascii="Times New Roman" w:hAnsi="Times New Roman"/>
              <w:sz w:val="24"/>
              <w:szCs w:val="24"/>
            </w:rPr>
            <w:fldChar w:fldCharType="separate"/>
          </w:r>
          <w:r>
            <w:rPr>
              <w:rFonts w:ascii="Times New Roman" w:hAnsi="Times New Roman"/>
              <w:sz w:val="24"/>
              <w:szCs w:val="24"/>
            </w:rPr>
            <w:t>1</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8"/>
            <w:tabs>
              <w:tab w:val="right" w:leader="dot" w:pos="8296"/>
            </w:tabs>
            <w:spacing w:after="0" w:line="360" w:lineRule="auto"/>
            <w:ind w:left="0"/>
            <w:jc w:val="both"/>
            <w:rPr>
              <w:rFonts w:ascii="Times New Roman" w:hAnsi="Times New Roman"/>
              <w:kern w:val="2"/>
              <w:sz w:val="24"/>
              <w:szCs w:val="24"/>
            </w:rPr>
          </w:pPr>
          <w:r>
            <w:fldChar w:fldCharType="begin"/>
          </w:r>
          <w:r>
            <w:instrText xml:space="preserve"> HYPERLINK \l "_Toc118533956" </w:instrText>
          </w:r>
          <w:r>
            <w:fldChar w:fldCharType="separate"/>
          </w:r>
          <w:r>
            <w:rPr>
              <w:rStyle w:val="12"/>
              <w:rFonts w:ascii="Times New Roman" w:hAnsi="Times New Roman"/>
              <w:sz w:val="24"/>
              <w:szCs w:val="24"/>
            </w:rPr>
            <w:t>1.1 任务来源</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_Toc118533956 \h </w:instrText>
          </w:r>
          <w:r>
            <w:rPr>
              <w:rStyle w:val="12"/>
              <w:rFonts w:ascii="Times New Roman" w:hAnsi="Times New Roman"/>
              <w:sz w:val="24"/>
              <w:szCs w:val="24"/>
            </w:rPr>
            <w:fldChar w:fldCharType="separate"/>
          </w:r>
          <w:r>
            <w:rPr>
              <w:rFonts w:ascii="Times New Roman" w:hAnsi="Times New Roman"/>
              <w:sz w:val="24"/>
              <w:szCs w:val="24"/>
            </w:rPr>
            <w:t>1</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8"/>
            <w:tabs>
              <w:tab w:val="right" w:leader="dot" w:pos="8296"/>
            </w:tabs>
            <w:spacing w:after="0" w:line="360" w:lineRule="auto"/>
            <w:ind w:left="0"/>
            <w:jc w:val="both"/>
            <w:rPr>
              <w:rFonts w:ascii="Times New Roman" w:hAnsi="Times New Roman"/>
              <w:kern w:val="2"/>
              <w:sz w:val="24"/>
              <w:szCs w:val="24"/>
            </w:rPr>
          </w:pPr>
          <w:r>
            <w:fldChar w:fldCharType="begin"/>
          </w:r>
          <w:r>
            <w:instrText xml:space="preserve"> HYPERLINK \l "_Toc118533957" </w:instrText>
          </w:r>
          <w:r>
            <w:fldChar w:fldCharType="separate"/>
          </w:r>
          <w:r>
            <w:rPr>
              <w:rStyle w:val="12"/>
              <w:rFonts w:ascii="Times New Roman" w:hAnsi="Times New Roman"/>
              <w:sz w:val="24"/>
              <w:szCs w:val="24"/>
            </w:rPr>
            <w:t>1.2 起草单位</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_Toc118533957 \h </w:instrText>
          </w:r>
          <w:r>
            <w:rPr>
              <w:rStyle w:val="12"/>
              <w:rFonts w:ascii="Times New Roman" w:hAnsi="Times New Roman"/>
              <w:sz w:val="24"/>
              <w:szCs w:val="24"/>
            </w:rPr>
            <w:fldChar w:fldCharType="separate"/>
          </w:r>
          <w:r>
            <w:rPr>
              <w:rFonts w:ascii="Times New Roman" w:hAnsi="Times New Roman"/>
              <w:sz w:val="24"/>
              <w:szCs w:val="24"/>
            </w:rPr>
            <w:t>2</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8"/>
            <w:tabs>
              <w:tab w:val="right" w:leader="dot" w:pos="8296"/>
            </w:tabs>
            <w:spacing w:after="0" w:line="360" w:lineRule="auto"/>
            <w:ind w:left="0"/>
            <w:jc w:val="both"/>
            <w:rPr>
              <w:rFonts w:ascii="Times New Roman" w:hAnsi="Times New Roman"/>
              <w:kern w:val="2"/>
              <w:sz w:val="24"/>
              <w:szCs w:val="24"/>
            </w:rPr>
          </w:pPr>
          <w:r>
            <w:fldChar w:fldCharType="begin"/>
          </w:r>
          <w:r>
            <w:instrText xml:space="preserve"> HYPERLINK \l "_Toc118533958" </w:instrText>
          </w:r>
          <w:r>
            <w:fldChar w:fldCharType="separate"/>
          </w:r>
          <w:r>
            <w:rPr>
              <w:rStyle w:val="12"/>
              <w:rFonts w:ascii="Times New Roman" w:hAnsi="Times New Roman"/>
              <w:sz w:val="24"/>
              <w:szCs w:val="24"/>
            </w:rPr>
            <w:t>1.3 主要起草人</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_Toc118533958 \h </w:instrText>
          </w:r>
          <w:r>
            <w:rPr>
              <w:rStyle w:val="12"/>
              <w:rFonts w:ascii="Times New Roman" w:hAnsi="Times New Roman"/>
              <w:sz w:val="24"/>
              <w:szCs w:val="24"/>
            </w:rPr>
            <w:fldChar w:fldCharType="separate"/>
          </w:r>
          <w:r>
            <w:rPr>
              <w:rFonts w:ascii="Times New Roman" w:hAnsi="Times New Roman"/>
              <w:sz w:val="24"/>
              <w:szCs w:val="24"/>
            </w:rPr>
            <w:t>2</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7"/>
            <w:tabs>
              <w:tab w:val="left" w:pos="440"/>
              <w:tab w:val="right" w:leader="dot" w:pos="8296"/>
            </w:tabs>
            <w:spacing w:after="0" w:line="360" w:lineRule="auto"/>
            <w:jc w:val="both"/>
            <w:rPr>
              <w:rFonts w:ascii="Times New Roman" w:hAnsi="Times New Roman"/>
              <w:kern w:val="2"/>
              <w:sz w:val="24"/>
              <w:szCs w:val="24"/>
            </w:rPr>
          </w:pPr>
          <w:r>
            <w:fldChar w:fldCharType="begin"/>
          </w:r>
          <w:r>
            <w:instrText xml:space="preserve"> HYPERLINK \l "_Toc118533959" </w:instrText>
          </w:r>
          <w:r>
            <w:fldChar w:fldCharType="separate"/>
          </w:r>
          <w:r>
            <w:rPr>
              <w:rStyle w:val="12"/>
              <w:rFonts w:ascii="Times New Roman" w:hAnsi="Times New Roman"/>
              <w:sz w:val="24"/>
              <w:szCs w:val="24"/>
            </w:rPr>
            <w:t>2.</w:t>
          </w:r>
          <w:r>
            <w:rPr>
              <w:rFonts w:ascii="Times New Roman" w:hAnsi="Times New Roman"/>
              <w:kern w:val="2"/>
              <w:sz w:val="24"/>
              <w:szCs w:val="24"/>
            </w:rPr>
            <w:tab/>
          </w:r>
          <w:r>
            <w:rPr>
              <w:rStyle w:val="12"/>
              <w:rFonts w:ascii="Times New Roman" w:hAnsi="Times New Roman"/>
              <w:sz w:val="24"/>
              <w:szCs w:val="24"/>
            </w:rPr>
            <w:t>主要起草过程</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_Toc118533959 \h </w:instrText>
          </w:r>
          <w:r>
            <w:rPr>
              <w:rStyle w:val="12"/>
              <w:rFonts w:ascii="Times New Roman" w:hAnsi="Times New Roman"/>
              <w:sz w:val="24"/>
              <w:szCs w:val="24"/>
            </w:rPr>
            <w:fldChar w:fldCharType="separate"/>
          </w:r>
          <w:r>
            <w:rPr>
              <w:rFonts w:ascii="Times New Roman" w:hAnsi="Times New Roman"/>
              <w:sz w:val="24"/>
              <w:szCs w:val="24"/>
            </w:rPr>
            <w:t>3</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7"/>
            <w:tabs>
              <w:tab w:val="left" w:pos="440"/>
              <w:tab w:val="right" w:leader="dot" w:pos="8296"/>
            </w:tabs>
            <w:spacing w:after="0" w:line="360" w:lineRule="auto"/>
            <w:jc w:val="both"/>
            <w:rPr>
              <w:rFonts w:ascii="Times New Roman" w:hAnsi="Times New Roman"/>
              <w:kern w:val="2"/>
              <w:sz w:val="24"/>
              <w:szCs w:val="24"/>
            </w:rPr>
          </w:pPr>
          <w:r>
            <w:fldChar w:fldCharType="begin"/>
          </w:r>
          <w:r>
            <w:instrText xml:space="preserve"> HYPERLINK \l "_Toc118533960" </w:instrText>
          </w:r>
          <w:r>
            <w:fldChar w:fldCharType="separate"/>
          </w:r>
          <w:r>
            <w:rPr>
              <w:rStyle w:val="12"/>
              <w:rFonts w:ascii="Times New Roman" w:hAnsi="Times New Roman"/>
              <w:sz w:val="24"/>
              <w:szCs w:val="24"/>
            </w:rPr>
            <w:t>3.</w:t>
          </w:r>
          <w:r>
            <w:rPr>
              <w:rFonts w:ascii="Times New Roman" w:hAnsi="Times New Roman"/>
              <w:kern w:val="2"/>
              <w:sz w:val="24"/>
              <w:szCs w:val="24"/>
            </w:rPr>
            <w:tab/>
          </w:r>
          <w:r>
            <w:rPr>
              <w:rStyle w:val="12"/>
              <w:rFonts w:ascii="Times New Roman" w:hAnsi="Times New Roman"/>
              <w:sz w:val="24"/>
              <w:szCs w:val="24"/>
            </w:rPr>
            <w:t>编制原则</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_Toc118533960 \h </w:instrText>
          </w:r>
          <w:r>
            <w:rPr>
              <w:rStyle w:val="12"/>
              <w:rFonts w:ascii="Times New Roman" w:hAnsi="Times New Roman"/>
              <w:sz w:val="24"/>
              <w:szCs w:val="24"/>
            </w:rPr>
            <w:fldChar w:fldCharType="separate"/>
          </w:r>
          <w:r>
            <w:rPr>
              <w:rFonts w:ascii="Times New Roman" w:hAnsi="Times New Roman"/>
              <w:sz w:val="24"/>
              <w:szCs w:val="24"/>
            </w:rPr>
            <w:t>3</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7"/>
            <w:tabs>
              <w:tab w:val="left" w:pos="440"/>
              <w:tab w:val="right" w:leader="dot" w:pos="8296"/>
            </w:tabs>
            <w:spacing w:after="0" w:line="360" w:lineRule="auto"/>
            <w:jc w:val="both"/>
            <w:rPr>
              <w:rFonts w:ascii="Times New Roman" w:hAnsi="Times New Roman"/>
              <w:kern w:val="2"/>
              <w:sz w:val="24"/>
              <w:szCs w:val="24"/>
            </w:rPr>
          </w:pPr>
          <w:r>
            <w:fldChar w:fldCharType="begin"/>
          </w:r>
          <w:r>
            <w:instrText xml:space="preserve"> HYPERLINK \l "_Toc118533961" </w:instrText>
          </w:r>
          <w:r>
            <w:fldChar w:fldCharType="separate"/>
          </w:r>
          <w:r>
            <w:rPr>
              <w:rStyle w:val="12"/>
              <w:rFonts w:ascii="Times New Roman" w:hAnsi="Times New Roman"/>
              <w:sz w:val="24"/>
              <w:szCs w:val="24"/>
            </w:rPr>
            <w:t>4.</w:t>
          </w:r>
          <w:r>
            <w:rPr>
              <w:rFonts w:ascii="Times New Roman" w:hAnsi="Times New Roman"/>
              <w:kern w:val="2"/>
              <w:sz w:val="24"/>
              <w:szCs w:val="24"/>
            </w:rPr>
            <w:tab/>
          </w:r>
          <w:r>
            <w:rPr>
              <w:rStyle w:val="12"/>
              <w:rFonts w:ascii="Times New Roman" w:hAnsi="Times New Roman"/>
              <w:sz w:val="24"/>
              <w:szCs w:val="24"/>
            </w:rPr>
            <w:t>主要条款的说明</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_Toc118533961 \h </w:instrText>
          </w:r>
          <w:r>
            <w:rPr>
              <w:rStyle w:val="12"/>
              <w:rFonts w:ascii="Times New Roman" w:hAnsi="Times New Roman"/>
              <w:sz w:val="24"/>
              <w:szCs w:val="24"/>
            </w:rPr>
            <w:fldChar w:fldCharType="separate"/>
          </w:r>
          <w:r>
            <w:rPr>
              <w:rFonts w:ascii="Times New Roman" w:hAnsi="Times New Roman"/>
              <w:sz w:val="24"/>
              <w:szCs w:val="24"/>
            </w:rPr>
            <w:t>3</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pStyle w:val="7"/>
            <w:tabs>
              <w:tab w:val="left" w:pos="440"/>
              <w:tab w:val="right" w:leader="dot" w:pos="8296"/>
            </w:tabs>
            <w:spacing w:after="0" w:line="360" w:lineRule="auto"/>
            <w:jc w:val="both"/>
            <w:rPr>
              <w:rFonts w:ascii="Times New Roman" w:hAnsi="Times New Roman"/>
              <w:kern w:val="2"/>
              <w:sz w:val="24"/>
              <w:szCs w:val="24"/>
            </w:rPr>
          </w:pPr>
          <w:r>
            <w:fldChar w:fldCharType="begin"/>
          </w:r>
          <w:r>
            <w:instrText xml:space="preserve"> HYPERLINK \l "_Toc118533962" </w:instrText>
          </w:r>
          <w:r>
            <w:fldChar w:fldCharType="separate"/>
          </w:r>
          <w:r>
            <w:rPr>
              <w:rStyle w:val="12"/>
              <w:rFonts w:ascii="Times New Roman" w:hAnsi="Times New Roman"/>
              <w:sz w:val="24"/>
              <w:szCs w:val="24"/>
            </w:rPr>
            <w:t>5.</w:t>
          </w:r>
          <w:r>
            <w:rPr>
              <w:rFonts w:ascii="Times New Roman" w:hAnsi="Times New Roman"/>
              <w:kern w:val="2"/>
              <w:sz w:val="24"/>
              <w:szCs w:val="24"/>
            </w:rPr>
            <w:tab/>
          </w:r>
          <w:r>
            <w:rPr>
              <w:rStyle w:val="12"/>
              <w:rFonts w:ascii="Times New Roman" w:hAnsi="Times New Roman"/>
              <w:sz w:val="24"/>
              <w:szCs w:val="24"/>
            </w:rPr>
            <w:t>重大意见分歧的处理依据和结果</w:t>
          </w:r>
          <w:r>
            <w:rPr>
              <w:rFonts w:ascii="Times New Roman" w:hAnsi="Times New Roman"/>
              <w:sz w:val="24"/>
              <w:szCs w:val="24"/>
            </w:rPr>
            <w:tab/>
          </w:r>
          <w:r>
            <w:rPr>
              <w:rStyle w:val="12"/>
              <w:rFonts w:ascii="Times New Roman" w:hAnsi="Times New Roman"/>
              <w:sz w:val="24"/>
              <w:szCs w:val="24"/>
            </w:rPr>
            <w:fldChar w:fldCharType="begin"/>
          </w:r>
          <w:r>
            <w:rPr>
              <w:rFonts w:ascii="Times New Roman" w:hAnsi="Times New Roman"/>
              <w:sz w:val="24"/>
              <w:szCs w:val="24"/>
            </w:rPr>
            <w:instrText xml:space="preserve"> PAGEREF _Toc118533962 \h </w:instrText>
          </w:r>
          <w:r>
            <w:rPr>
              <w:rStyle w:val="12"/>
              <w:rFonts w:ascii="Times New Roman" w:hAnsi="Times New Roman"/>
              <w:sz w:val="24"/>
              <w:szCs w:val="24"/>
            </w:rPr>
            <w:fldChar w:fldCharType="separate"/>
          </w:r>
          <w:r>
            <w:rPr>
              <w:rFonts w:ascii="Times New Roman" w:hAnsi="Times New Roman"/>
              <w:sz w:val="24"/>
              <w:szCs w:val="24"/>
            </w:rPr>
            <w:t>3</w:t>
          </w:r>
          <w:r>
            <w:rPr>
              <w:rStyle w:val="12"/>
              <w:rFonts w:ascii="Times New Roman" w:hAnsi="Times New Roman"/>
              <w:sz w:val="24"/>
              <w:szCs w:val="24"/>
            </w:rPr>
            <w:fldChar w:fldCharType="end"/>
          </w:r>
          <w:r>
            <w:rPr>
              <w:rStyle w:val="12"/>
              <w:rFonts w:ascii="Times New Roman" w:hAnsi="Times New Roman"/>
              <w:sz w:val="24"/>
              <w:szCs w:val="24"/>
            </w:rPr>
            <w:fldChar w:fldCharType="end"/>
          </w:r>
        </w:p>
        <w:p>
          <w:pPr>
            <w:spacing w:line="360" w:lineRule="auto"/>
          </w:pPr>
          <w:r>
            <w:rPr>
              <w:b/>
              <w:bCs/>
              <w:lang w:val="zh-CN"/>
            </w:rPr>
            <w:fldChar w:fldCharType="end"/>
          </w:r>
        </w:p>
      </w:sdtContent>
    </w:sdt>
    <w:p>
      <w:pPr>
        <w:widowControl/>
        <w:jc w:val="left"/>
        <w:rPr>
          <w:rFonts w:hint="eastAsia"/>
          <w:sz w:val="28"/>
        </w:rPr>
        <w:sectPr>
          <w:footerReference r:id="rId3" w:type="default"/>
          <w:pgSz w:w="11906" w:h="16838"/>
          <w:pgMar w:top="1440" w:right="1800" w:bottom="1440" w:left="1800" w:header="851" w:footer="0" w:gutter="0"/>
          <w:pgNumType w:start="1"/>
          <w:cols w:space="425" w:num="1"/>
          <w:docGrid w:type="lines" w:linePitch="312" w:charSpace="0"/>
        </w:sectPr>
      </w:pPr>
    </w:p>
    <w:p>
      <w:pPr>
        <w:pStyle w:val="2"/>
        <w:numPr>
          <w:ilvl w:val="0"/>
          <w:numId w:val="1"/>
        </w:numPr>
        <w:spacing w:before="0" w:after="0" w:line="360" w:lineRule="auto"/>
        <w:ind w:left="0"/>
        <w:rPr>
          <w:rFonts w:ascii="Times New Roman" w:hAnsi="Times New Roman" w:cs="Times New Roman"/>
          <w:bCs w:val="0"/>
          <w:sz w:val="32"/>
        </w:rPr>
      </w:pPr>
      <w:bookmarkStart w:id="2" w:name="_Toc19110236"/>
      <w:bookmarkStart w:id="3" w:name="_Toc118533955"/>
      <w:r>
        <w:rPr>
          <w:rFonts w:ascii="Times New Roman" w:hAnsi="Times New Roman" w:cs="Times New Roman"/>
          <w:bCs w:val="0"/>
          <w:sz w:val="32"/>
        </w:rPr>
        <w:t>工作简况</w:t>
      </w:r>
      <w:bookmarkEnd w:id="2"/>
      <w:bookmarkEnd w:id="3"/>
    </w:p>
    <w:p>
      <w:pPr>
        <w:pStyle w:val="3"/>
        <w:spacing w:before="0" w:after="0" w:line="360" w:lineRule="auto"/>
        <w:rPr>
          <w:rFonts w:ascii="Times New Roman" w:hAnsi="Times New Roman" w:cs="Times New Roman" w:eastAsiaTheme="minorEastAsia"/>
          <w:b w:val="0"/>
          <w:sz w:val="28"/>
          <w:szCs w:val="28"/>
        </w:rPr>
      </w:pPr>
      <w:bookmarkStart w:id="4" w:name="_Toc118533956"/>
      <w:bookmarkStart w:id="5" w:name="_Toc19110237"/>
      <w:r>
        <w:rPr>
          <w:rFonts w:ascii="Times New Roman" w:hAnsi="Times New Roman" w:cs="Times New Roman" w:eastAsiaTheme="minorEastAsia"/>
          <w:b w:val="0"/>
          <w:sz w:val="28"/>
          <w:szCs w:val="28"/>
        </w:rPr>
        <w:t>1.1 任务来源</w:t>
      </w:r>
      <w:bookmarkEnd w:id="4"/>
      <w:bookmarkEnd w:id="5"/>
    </w:p>
    <w:p>
      <w:pPr>
        <w:snapToGrid w:val="0"/>
        <w:spacing w:line="360" w:lineRule="auto"/>
        <w:ind w:firstLine="480" w:firstLineChars="200"/>
        <w:rPr>
          <w:rFonts w:ascii="仿宋" w:hAnsi="仿宋" w:eastAsia="仿宋"/>
          <w:color w:val="000000"/>
          <w:sz w:val="24"/>
        </w:rPr>
      </w:pPr>
      <w:bookmarkStart w:id="20" w:name="_GoBack"/>
      <w:bookmarkEnd w:id="20"/>
      <w:r>
        <w:rPr>
          <w:rFonts w:hint="eastAsia" w:ascii="仿宋" w:hAnsi="仿宋" w:eastAsia="仿宋"/>
          <w:color w:val="000000"/>
          <w:sz w:val="24"/>
        </w:rPr>
        <w:t>农业种质资源是保障国家粮食安全和重要农副产品有效供给的战略性资源，是农业科技原始创新与现代种业发展的物质基础。当前，种业之争本质是科技之争，焦点是资源之争。谁占有了更多种质资源，谁就掌握了选育品种的优势，谁就具备了种业竞争的主动权。因此，要</w:t>
      </w:r>
      <w:r>
        <w:rPr>
          <w:rFonts w:ascii="仿宋" w:hAnsi="仿宋" w:eastAsia="仿宋"/>
          <w:color w:val="000000"/>
          <w:sz w:val="24"/>
        </w:rPr>
        <w:t>打好业翻身仗</w:t>
      </w:r>
      <w:r>
        <w:rPr>
          <w:rFonts w:hint="eastAsia" w:ascii="仿宋" w:hAnsi="仿宋" w:eastAsia="仿宋"/>
          <w:color w:val="000000"/>
          <w:sz w:val="24"/>
        </w:rPr>
        <w:t>，</w:t>
      </w:r>
      <w:r>
        <w:rPr>
          <w:rFonts w:ascii="仿宋" w:hAnsi="仿宋" w:eastAsia="仿宋"/>
          <w:color w:val="000000"/>
          <w:sz w:val="24"/>
        </w:rPr>
        <w:t>实现种源自主可控，必须加强种质资源保护</w:t>
      </w:r>
      <w:r>
        <w:rPr>
          <w:rFonts w:hint="eastAsia" w:ascii="仿宋" w:hAnsi="仿宋" w:eastAsia="仿宋"/>
          <w:color w:val="000000"/>
          <w:sz w:val="24"/>
        </w:rPr>
        <w:t>，而</w:t>
      </w:r>
      <w:r>
        <w:rPr>
          <w:rFonts w:ascii="仿宋" w:hAnsi="仿宋" w:eastAsia="仿宋"/>
          <w:color w:val="000000"/>
          <w:sz w:val="24"/>
        </w:rPr>
        <w:t>种质资源</w:t>
      </w:r>
      <w:r>
        <w:rPr>
          <w:rFonts w:hint="eastAsia" w:ascii="仿宋" w:hAnsi="仿宋" w:eastAsia="仿宋"/>
          <w:color w:val="000000"/>
          <w:sz w:val="24"/>
        </w:rPr>
        <w:t>的鉴定是保护的基础。</w:t>
      </w:r>
    </w:p>
    <w:p>
      <w:pPr>
        <w:snapToGrid w:val="0"/>
        <w:spacing w:line="360" w:lineRule="auto"/>
        <w:ind w:firstLine="480" w:firstLineChars="200"/>
        <w:rPr>
          <w:rFonts w:ascii="仿宋" w:hAnsi="仿宋" w:eastAsia="仿宋"/>
          <w:sz w:val="24"/>
        </w:rPr>
      </w:pPr>
      <w:r>
        <w:rPr>
          <w:rFonts w:hint="eastAsia" w:ascii="仿宋" w:hAnsi="仿宋" w:eastAsia="仿宋"/>
          <w:color w:val="000000"/>
          <w:sz w:val="24"/>
        </w:rPr>
        <w:t>湖南省地方猪种资源丰富，是湖南乃至我国生猪产业可持续发展和种业安全的重要基础和保障。为保护地方猪种资源，政府每年投入大量经费建设保种场，宁乡猪、沙子岭猪等地方猪种的保护取得了显著效果。在保种过程中</w:t>
      </w:r>
      <w:r>
        <w:rPr>
          <w:rFonts w:hint="eastAsia" w:ascii="仿宋" w:hAnsi="仿宋" w:eastAsia="仿宋"/>
          <w:sz w:val="24"/>
        </w:rPr>
        <w:t>，通过建立品种登记制度，可以对个体进行品种和血统划分。但在实际生产中，尤其是分散养殖在农户或非保种场的地方猪，有相当数量的个体未进行品种登记以及祖先品种组成数据没有记录、错误记录或者不完整记录等情况，导致基于系谱信息鉴定品种组成成分的可靠性和准确性降低。</w:t>
      </w:r>
    </w:p>
    <w:p>
      <w:pPr>
        <w:snapToGrid w:val="0"/>
        <w:spacing w:line="360" w:lineRule="auto"/>
        <w:ind w:firstLine="480" w:firstLineChars="200"/>
        <w:rPr>
          <w:rFonts w:ascii="仿宋" w:hAnsi="仿宋" w:eastAsia="仿宋"/>
          <w:sz w:val="24"/>
        </w:rPr>
      </w:pPr>
      <w:r>
        <w:rPr>
          <w:rFonts w:hint="eastAsia" w:ascii="仿宋" w:hAnsi="仿宋" w:eastAsia="仿宋"/>
          <w:sz w:val="24"/>
        </w:rPr>
        <w:t>动物</w:t>
      </w:r>
      <w:bookmarkStart w:id="6" w:name="_Hlk119266584"/>
      <w:r>
        <w:rPr>
          <w:rFonts w:hint="eastAsia" w:ascii="仿宋" w:hAnsi="仿宋" w:eastAsia="仿宋"/>
          <w:sz w:val="24"/>
        </w:rPr>
        <w:t>基因组品种构成</w:t>
      </w:r>
      <w:bookmarkEnd w:id="6"/>
      <w:r>
        <w:rPr>
          <w:rFonts w:ascii="仿宋" w:hAnsi="仿宋" w:eastAsia="仿宋"/>
          <w:sz w:val="24"/>
        </w:rPr>
        <w:t>(genomic breed composition, GBC)是指根据其祖先或祖先品种的基因组信息对其基因组进行划分，从而估计各祖先品种对个体基因组的贡献比例的方法。</w:t>
      </w:r>
      <w:r>
        <w:rPr>
          <w:rFonts w:hint="eastAsia" w:ascii="仿宋" w:hAnsi="仿宋" w:eastAsia="仿宋"/>
          <w:sz w:val="24"/>
        </w:rPr>
        <w:t>通过G</w:t>
      </w:r>
      <w:r>
        <w:rPr>
          <w:rFonts w:ascii="仿宋" w:hAnsi="仿宋" w:eastAsia="仿宋"/>
          <w:sz w:val="24"/>
        </w:rPr>
        <w:t>BC</w:t>
      </w:r>
      <w:r>
        <w:rPr>
          <w:rFonts w:hint="eastAsia" w:ascii="仿宋" w:hAnsi="仿宋" w:eastAsia="仿宋"/>
          <w:sz w:val="24"/>
        </w:rPr>
        <w:t>可以在不依赖系谱记录信息的情况下了解个体与参考群体的遗传组分关系，估计参考群体在个体基因组中所占比例，判断个体的品种纯度。在过去十年，</w:t>
      </w:r>
      <w:r>
        <w:rPr>
          <w:rFonts w:ascii="仿宋" w:hAnsi="仿宋" w:eastAsia="仿宋"/>
          <w:sz w:val="24"/>
        </w:rPr>
        <w:t>GBC</w:t>
      </w:r>
      <w:r>
        <w:rPr>
          <w:rFonts w:hint="eastAsia" w:ascii="仿宋" w:hAnsi="仿宋" w:eastAsia="仿宋"/>
          <w:sz w:val="24"/>
        </w:rPr>
        <w:t>已经被广泛用于不同物种及品种的基因组组分鉴定，如牛、羊、猪等。在美国，使用超过8 000个SNP的全基因组猪DNA芯片数据，通过改进的线性回归方法对已注册的纯种大白猪、杜洛克、长白的GBC进行了分析。Vanraden等和Kuehn-L等研究利用SNP基因型数据估算牛个体GBC的可行性和准确性，结果表明在谱系未知的情况下，SNP数据可用于计算大多数美国肉牛的品种组成。例如，由安格斯牛（Angus）和婆罗门瘤牛（Brahman）杂交所得的混合品种布兰格斯肉牛（Brangus），其GBC结果表明，在遗传上布兰格斯肉牛大致有3/8的婆罗门瘤牛和5/8的安格斯牛血统；与布兰格斯肉牛相似，牛肉王牛（Beefmaster）是由海福特牛（Hereford）母牛和短角牛（shorthorn）母牛与瘤牛公牛杂交培育而成的新型混合品种肉牛，其GBC结果表明，在遗传上牛肉王牛含有25%的海福特牛、25%的短角牛以及50%的婆罗门瘤牛血统。因此，可基于基因组品种构成分析鉴定猪只个体品种构成，为地方猪的保护和利用保驾护航。</w:t>
      </w:r>
    </w:p>
    <w:p>
      <w:pPr>
        <w:spacing w:line="360" w:lineRule="auto"/>
        <w:ind w:firstLine="480" w:firstLineChars="200"/>
        <w:rPr>
          <w:rFonts w:ascii="仿宋" w:hAnsi="仿宋" w:eastAsia="仿宋"/>
          <w:sz w:val="24"/>
        </w:rPr>
      </w:pPr>
      <w:r>
        <w:rPr>
          <w:rFonts w:hint="eastAsia" w:ascii="仿宋" w:hAnsi="仿宋" w:eastAsia="仿宋"/>
          <w:sz w:val="24"/>
        </w:rPr>
        <w:t>为保障</w:t>
      </w:r>
      <w:r>
        <w:rPr>
          <w:rFonts w:ascii="仿宋" w:hAnsi="仿宋" w:eastAsia="仿宋"/>
          <w:sz w:val="24"/>
        </w:rPr>
        <w:t>湖南省</w:t>
      </w:r>
      <w:r>
        <w:rPr>
          <w:rFonts w:hint="eastAsia" w:ascii="仿宋" w:hAnsi="仿宋" w:eastAsia="仿宋"/>
          <w:sz w:val="24"/>
        </w:rPr>
        <w:t>生猪种业高质量发展</w:t>
      </w:r>
      <w:r>
        <w:rPr>
          <w:rFonts w:ascii="仿宋" w:hAnsi="仿宋" w:eastAsia="仿宋"/>
          <w:sz w:val="24"/>
        </w:rPr>
        <w:t>，</w:t>
      </w:r>
      <w:r>
        <w:rPr>
          <w:rFonts w:hint="eastAsia" w:ascii="仿宋" w:hAnsi="仿宋" w:eastAsia="仿宋"/>
          <w:sz w:val="24"/>
        </w:rPr>
        <w:t>提升地方猪保种效果</w:t>
      </w:r>
      <w:r>
        <w:rPr>
          <w:rFonts w:ascii="仿宋" w:hAnsi="仿宋" w:eastAsia="仿宋"/>
          <w:sz w:val="24"/>
        </w:rPr>
        <w:t>，湖南农业大学于2021年8月向湖南省质量技术监督局提出了制定《</w:t>
      </w:r>
      <w:r>
        <w:rPr>
          <w:rFonts w:hint="eastAsia" w:ascii="仿宋" w:hAnsi="仿宋" w:eastAsia="仿宋"/>
          <w:sz w:val="24"/>
        </w:rPr>
        <w:t>基于基因组品种构成的地方猪品种纯度鉴定技术规程</w:t>
      </w:r>
      <w:r>
        <w:rPr>
          <w:rFonts w:ascii="仿宋" w:hAnsi="仿宋" w:eastAsia="仿宋"/>
          <w:sz w:val="24"/>
        </w:rPr>
        <w:t>》地方标准（以下简称“本标准”）的申请。经规定审核程序，湖南省质量技术监督局将本标准列入了2022年度第一批地方标准制修订项目计划。根据《湖南省市场监督管理局关于下达 2022 年第一批地方标准制修订项目计划的通知》（湘市监标函〔2022〕4 号），组成了本标准编制组，负责具体编制。</w:t>
      </w:r>
    </w:p>
    <w:p>
      <w:pPr>
        <w:pStyle w:val="3"/>
        <w:spacing w:before="0" w:after="0" w:line="360" w:lineRule="auto"/>
        <w:rPr>
          <w:rFonts w:ascii="Times New Roman" w:hAnsi="Times New Roman" w:cs="Times New Roman" w:eastAsiaTheme="minorEastAsia"/>
          <w:b w:val="0"/>
          <w:sz w:val="28"/>
          <w:szCs w:val="28"/>
        </w:rPr>
      </w:pPr>
      <w:bookmarkStart w:id="7" w:name="_Toc19110238"/>
      <w:bookmarkStart w:id="8" w:name="_Toc118533957"/>
      <w:r>
        <w:rPr>
          <w:rFonts w:ascii="Times New Roman" w:hAnsi="Times New Roman" w:cs="Times New Roman" w:eastAsiaTheme="minorEastAsia"/>
          <w:b w:val="0"/>
          <w:sz w:val="28"/>
          <w:szCs w:val="28"/>
        </w:rPr>
        <w:t>1.2 起草单位</w:t>
      </w:r>
      <w:bookmarkEnd w:id="7"/>
      <w:bookmarkEnd w:id="8"/>
    </w:p>
    <w:p>
      <w:pPr>
        <w:spacing w:line="360" w:lineRule="auto"/>
        <w:ind w:firstLine="480" w:firstLineChars="200"/>
        <w:rPr>
          <w:rFonts w:ascii="仿宋" w:hAnsi="仿宋" w:eastAsia="仿宋"/>
          <w:sz w:val="24"/>
          <w:szCs w:val="24"/>
        </w:rPr>
      </w:pPr>
      <w:r>
        <w:rPr>
          <w:rFonts w:ascii="仿宋" w:hAnsi="仿宋" w:eastAsia="仿宋" w:cs="Times New Roman"/>
          <w:sz w:val="24"/>
          <w:szCs w:val="24"/>
        </w:rPr>
        <w:t>湖南农业大学、湖南楚沩香农牧股份有限公司</w:t>
      </w:r>
      <w:r>
        <w:rPr>
          <w:rFonts w:hint="eastAsia" w:ascii="仿宋" w:hAnsi="仿宋" w:eastAsia="仿宋" w:cs="Times New Roman"/>
          <w:sz w:val="24"/>
          <w:szCs w:val="24"/>
        </w:rPr>
        <w:t>、</w:t>
      </w:r>
      <w:r>
        <w:rPr>
          <w:rFonts w:hint="eastAsia" w:ascii="仿宋" w:hAnsi="仿宋" w:eastAsia="仿宋"/>
          <w:color w:val="000000" w:themeColor="text1"/>
          <w:sz w:val="24"/>
          <w:szCs w:val="24"/>
          <w14:textFill>
            <w14:solidFill>
              <w14:schemeClr w14:val="tx1"/>
            </w14:solidFill>
          </w14:textFill>
        </w:rPr>
        <w:t>宁乡市畜牧水产事务中心</w:t>
      </w:r>
    </w:p>
    <w:p>
      <w:pPr>
        <w:pStyle w:val="3"/>
        <w:spacing w:before="0" w:after="0" w:line="360" w:lineRule="auto"/>
        <w:rPr>
          <w:rFonts w:ascii="Times New Roman" w:hAnsi="Times New Roman" w:cs="Times New Roman" w:eastAsiaTheme="minorEastAsia"/>
          <w:b w:val="0"/>
          <w:sz w:val="28"/>
          <w:szCs w:val="28"/>
        </w:rPr>
      </w:pPr>
      <w:bookmarkStart w:id="9" w:name="_Toc19110239"/>
      <w:bookmarkStart w:id="10" w:name="_Toc118533958"/>
      <w:r>
        <w:rPr>
          <w:rFonts w:hint="eastAsia" w:ascii="Times New Roman" w:hAnsi="Times New Roman" w:cs="Times New Roman" w:eastAsiaTheme="minorEastAsia"/>
          <w:b w:val="0"/>
          <w:sz w:val="28"/>
          <w:szCs w:val="28"/>
        </w:rPr>
        <w:t>1.3</w:t>
      </w:r>
      <w:r>
        <w:rPr>
          <w:rFonts w:ascii="Times New Roman" w:hAnsi="Times New Roman" w:cs="Times New Roman" w:eastAsiaTheme="minorEastAsia"/>
          <w:b w:val="0"/>
          <w:sz w:val="28"/>
          <w:szCs w:val="28"/>
        </w:rPr>
        <w:t xml:space="preserve"> </w:t>
      </w:r>
      <w:r>
        <w:rPr>
          <w:rFonts w:hint="eastAsia" w:ascii="Times New Roman" w:hAnsi="Times New Roman" w:cs="Times New Roman" w:eastAsiaTheme="minorEastAsia"/>
          <w:b w:val="0"/>
          <w:sz w:val="28"/>
          <w:szCs w:val="28"/>
        </w:rPr>
        <w:t>主要起草人</w:t>
      </w:r>
      <w:bookmarkEnd w:id="9"/>
      <w:bookmarkEnd w:id="10"/>
    </w:p>
    <w:tbl>
      <w:tblPr>
        <w:tblStyle w:val="10"/>
        <w:tblpPr w:leftFromText="180" w:rightFromText="180" w:vertAnchor="text" w:horzAnchor="margin" w:tblpY="120"/>
        <w:tblW w:w="8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891"/>
        <w:gridCol w:w="1487"/>
        <w:gridCol w:w="2250"/>
        <w:gridCol w:w="2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03" w:type="dxa"/>
          </w:tcPr>
          <w:p>
            <w:pPr>
              <w:pStyle w:val="17"/>
              <w:ind w:firstLine="0" w:firstLineChars="0"/>
              <w:jc w:val="center"/>
              <w:rPr>
                <w:szCs w:val="21"/>
              </w:rPr>
            </w:pPr>
            <w:r>
              <w:rPr>
                <w:rFonts w:hint="eastAsia"/>
                <w:szCs w:val="21"/>
              </w:rPr>
              <w:t>姓名</w:t>
            </w:r>
          </w:p>
        </w:tc>
        <w:tc>
          <w:tcPr>
            <w:tcW w:w="891" w:type="dxa"/>
          </w:tcPr>
          <w:p>
            <w:pPr>
              <w:pStyle w:val="17"/>
              <w:ind w:firstLine="0" w:firstLineChars="0"/>
              <w:jc w:val="center"/>
              <w:rPr>
                <w:szCs w:val="21"/>
              </w:rPr>
            </w:pPr>
            <w:r>
              <w:rPr>
                <w:rFonts w:hint="eastAsia"/>
                <w:szCs w:val="21"/>
              </w:rPr>
              <w:t>性别</w:t>
            </w:r>
          </w:p>
        </w:tc>
        <w:tc>
          <w:tcPr>
            <w:tcW w:w="1487" w:type="dxa"/>
          </w:tcPr>
          <w:p>
            <w:pPr>
              <w:pStyle w:val="17"/>
              <w:ind w:firstLine="0" w:firstLineChars="0"/>
              <w:jc w:val="center"/>
              <w:rPr>
                <w:szCs w:val="21"/>
              </w:rPr>
            </w:pPr>
            <w:r>
              <w:rPr>
                <w:rFonts w:hint="eastAsia"/>
                <w:szCs w:val="21"/>
              </w:rPr>
              <w:t>职务/职称</w:t>
            </w:r>
          </w:p>
        </w:tc>
        <w:tc>
          <w:tcPr>
            <w:tcW w:w="2250" w:type="dxa"/>
          </w:tcPr>
          <w:p>
            <w:pPr>
              <w:pStyle w:val="17"/>
              <w:ind w:firstLine="0" w:firstLineChars="0"/>
              <w:jc w:val="center"/>
              <w:rPr>
                <w:szCs w:val="21"/>
              </w:rPr>
            </w:pPr>
            <w:r>
              <w:rPr>
                <w:rFonts w:hint="eastAsia"/>
                <w:szCs w:val="21"/>
              </w:rPr>
              <w:t>工作单位</w:t>
            </w:r>
          </w:p>
        </w:tc>
        <w:tc>
          <w:tcPr>
            <w:tcW w:w="2590" w:type="dxa"/>
          </w:tcPr>
          <w:p>
            <w:pPr>
              <w:pStyle w:val="17"/>
              <w:ind w:firstLine="0" w:firstLineChars="0"/>
              <w:jc w:val="center"/>
              <w:rPr>
                <w:szCs w:val="21"/>
              </w:rPr>
            </w:pPr>
            <w:r>
              <w:rPr>
                <w:rFonts w:hint="eastAsia"/>
                <w:szCs w:val="21"/>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03" w:type="dxa"/>
            <w:vAlign w:val="center"/>
          </w:tcPr>
          <w:p>
            <w:pPr>
              <w:jc w:val="center"/>
              <w:rPr>
                <w:rFonts w:ascii="仿宋" w:hAnsi="仿宋" w:eastAsia="仿宋"/>
                <w:szCs w:val="21"/>
              </w:rPr>
            </w:pPr>
            <w:r>
              <w:rPr>
                <w:rFonts w:hint="eastAsia" w:ascii="仿宋" w:hAnsi="仿宋" w:eastAsia="仿宋"/>
                <w:szCs w:val="21"/>
              </w:rPr>
              <w:t>张跃博</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讲师</w:t>
            </w:r>
          </w:p>
        </w:tc>
        <w:tc>
          <w:tcPr>
            <w:tcW w:w="2250" w:type="dxa"/>
            <w:vAlign w:val="center"/>
          </w:tcPr>
          <w:p>
            <w:pPr>
              <w:jc w:val="center"/>
              <w:rPr>
                <w:rFonts w:ascii="仿宋" w:hAnsi="仿宋" w:eastAsia="仿宋"/>
                <w:szCs w:val="21"/>
              </w:rPr>
            </w:pPr>
            <w:r>
              <w:rPr>
                <w:rFonts w:hint="eastAsia" w:ascii="仿宋" w:hAnsi="仿宋" w:eastAsia="仿宋"/>
                <w:szCs w:val="21"/>
              </w:rPr>
              <w:t>湖南</w:t>
            </w:r>
            <w:r>
              <w:rPr>
                <w:rFonts w:ascii="仿宋" w:hAnsi="仿宋" w:eastAsia="仿宋"/>
                <w:szCs w:val="21"/>
              </w:rPr>
              <w:t>农业大学</w:t>
            </w:r>
          </w:p>
        </w:tc>
        <w:tc>
          <w:tcPr>
            <w:tcW w:w="2590" w:type="dxa"/>
            <w:vAlign w:val="center"/>
          </w:tcPr>
          <w:p>
            <w:pPr>
              <w:jc w:val="center"/>
              <w:rPr>
                <w:rFonts w:ascii="仿宋" w:hAnsi="仿宋" w:eastAsia="仿宋"/>
                <w:szCs w:val="21"/>
              </w:rPr>
            </w:pPr>
            <w:r>
              <w:rPr>
                <w:rFonts w:hint="eastAsia" w:ascii="仿宋" w:hAnsi="仿宋" w:eastAsia="仿宋"/>
                <w:szCs w:val="21"/>
              </w:rPr>
              <w:t>负责项目分工协调，标准编制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103" w:type="dxa"/>
            <w:vAlign w:val="center"/>
          </w:tcPr>
          <w:p>
            <w:pPr>
              <w:jc w:val="center"/>
              <w:rPr>
                <w:rFonts w:ascii="仿宋" w:hAnsi="仿宋" w:eastAsia="仿宋"/>
                <w:szCs w:val="21"/>
              </w:rPr>
            </w:pPr>
            <w:r>
              <w:rPr>
                <w:rFonts w:hint="eastAsia" w:ascii="仿宋" w:hAnsi="仿宋" w:eastAsia="仿宋"/>
                <w:szCs w:val="21"/>
              </w:rPr>
              <w:t xml:space="preserve">何 </w:t>
            </w:r>
            <w:r>
              <w:rPr>
                <w:rFonts w:ascii="仿宋" w:hAnsi="仿宋" w:eastAsia="仿宋"/>
                <w:szCs w:val="21"/>
              </w:rPr>
              <w:t xml:space="preserve"> </w:t>
            </w:r>
            <w:r>
              <w:rPr>
                <w:rFonts w:hint="eastAsia" w:ascii="仿宋" w:hAnsi="仿宋" w:eastAsia="仿宋"/>
                <w:szCs w:val="21"/>
              </w:rPr>
              <w:t>俊</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副教授</w:t>
            </w:r>
          </w:p>
        </w:tc>
        <w:tc>
          <w:tcPr>
            <w:tcW w:w="2250" w:type="dxa"/>
            <w:vAlign w:val="center"/>
          </w:tcPr>
          <w:p>
            <w:pPr>
              <w:jc w:val="center"/>
              <w:rPr>
                <w:rFonts w:ascii="仿宋" w:hAnsi="仿宋" w:eastAsia="仿宋"/>
                <w:szCs w:val="21"/>
              </w:rPr>
            </w:pPr>
            <w:r>
              <w:rPr>
                <w:rFonts w:hint="eastAsia" w:ascii="仿宋" w:hAnsi="仿宋" w:eastAsia="仿宋"/>
                <w:szCs w:val="21"/>
              </w:rPr>
              <w:t>湖南农业大学</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03" w:type="dxa"/>
            <w:vAlign w:val="center"/>
          </w:tcPr>
          <w:p>
            <w:pPr>
              <w:jc w:val="center"/>
              <w:rPr>
                <w:rFonts w:ascii="仿宋" w:hAnsi="仿宋" w:eastAsia="仿宋"/>
                <w:szCs w:val="21"/>
              </w:rPr>
            </w:pPr>
            <w:r>
              <w:rPr>
                <w:rFonts w:hint="eastAsia" w:ascii="仿宋" w:hAnsi="仿宋" w:eastAsia="仿宋"/>
                <w:szCs w:val="21"/>
              </w:rPr>
              <w:t xml:space="preserve">杨 </w:t>
            </w:r>
            <w:r>
              <w:rPr>
                <w:rFonts w:ascii="仿宋" w:hAnsi="仿宋" w:eastAsia="仿宋"/>
                <w:szCs w:val="21"/>
              </w:rPr>
              <w:t xml:space="preserve"> </w:t>
            </w:r>
            <w:r>
              <w:rPr>
                <w:rFonts w:hint="eastAsia" w:ascii="仿宋" w:hAnsi="仿宋" w:eastAsia="仿宋"/>
                <w:szCs w:val="21"/>
              </w:rPr>
              <w:t>芳</w:t>
            </w:r>
          </w:p>
        </w:tc>
        <w:tc>
          <w:tcPr>
            <w:tcW w:w="891" w:type="dxa"/>
            <w:vAlign w:val="center"/>
          </w:tcPr>
          <w:p>
            <w:pPr>
              <w:jc w:val="center"/>
              <w:rPr>
                <w:rFonts w:ascii="仿宋" w:hAnsi="仿宋" w:eastAsia="仿宋"/>
                <w:szCs w:val="21"/>
              </w:rPr>
            </w:pPr>
            <w:r>
              <w:rPr>
                <w:rFonts w:hint="eastAsia" w:ascii="仿宋" w:hAnsi="仿宋" w:eastAsia="仿宋"/>
                <w:szCs w:val="21"/>
              </w:rPr>
              <w:t>女</w:t>
            </w:r>
          </w:p>
        </w:tc>
        <w:tc>
          <w:tcPr>
            <w:tcW w:w="1487" w:type="dxa"/>
            <w:vAlign w:val="center"/>
          </w:tcPr>
          <w:p>
            <w:pPr>
              <w:jc w:val="center"/>
              <w:rPr>
                <w:rFonts w:ascii="仿宋" w:hAnsi="仿宋" w:eastAsia="仿宋"/>
                <w:szCs w:val="21"/>
              </w:rPr>
            </w:pPr>
            <w:r>
              <w:rPr>
                <w:rFonts w:hint="eastAsia" w:ascii="仿宋" w:hAnsi="仿宋" w:eastAsia="仿宋"/>
                <w:szCs w:val="21"/>
              </w:rPr>
              <w:t>无</w:t>
            </w:r>
          </w:p>
        </w:tc>
        <w:tc>
          <w:tcPr>
            <w:tcW w:w="2250" w:type="dxa"/>
            <w:vAlign w:val="center"/>
          </w:tcPr>
          <w:p>
            <w:pPr>
              <w:jc w:val="center"/>
              <w:rPr>
                <w:rFonts w:ascii="仿宋" w:hAnsi="仿宋" w:eastAsia="仿宋"/>
                <w:szCs w:val="21"/>
              </w:rPr>
            </w:pPr>
            <w:r>
              <w:rPr>
                <w:rFonts w:hint="eastAsia" w:ascii="仿宋" w:hAnsi="仿宋" w:eastAsia="仿宋"/>
                <w:szCs w:val="21"/>
              </w:rPr>
              <w:t>湖南农业大学</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103" w:type="dxa"/>
            <w:vAlign w:val="center"/>
          </w:tcPr>
          <w:p>
            <w:pPr>
              <w:jc w:val="center"/>
              <w:rPr>
                <w:rFonts w:ascii="仿宋" w:hAnsi="仿宋" w:eastAsia="仿宋"/>
                <w:szCs w:val="21"/>
              </w:rPr>
            </w:pPr>
            <w:r>
              <w:rPr>
                <w:rFonts w:hint="eastAsia" w:ascii="仿宋" w:hAnsi="仿宋" w:eastAsia="仿宋"/>
                <w:szCs w:val="21"/>
              </w:rPr>
              <w:t>马海明</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教授</w:t>
            </w:r>
          </w:p>
        </w:tc>
        <w:tc>
          <w:tcPr>
            <w:tcW w:w="2250" w:type="dxa"/>
            <w:vAlign w:val="center"/>
          </w:tcPr>
          <w:p>
            <w:pPr>
              <w:jc w:val="center"/>
              <w:rPr>
                <w:rFonts w:ascii="仿宋" w:hAnsi="仿宋" w:eastAsia="仿宋"/>
                <w:szCs w:val="21"/>
              </w:rPr>
            </w:pPr>
            <w:r>
              <w:rPr>
                <w:rFonts w:hint="eastAsia" w:ascii="仿宋" w:hAnsi="仿宋" w:eastAsia="仿宋"/>
                <w:szCs w:val="21"/>
              </w:rPr>
              <w:t>湖南农业大学</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参与标准编制与监督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03" w:type="dxa"/>
            <w:vAlign w:val="center"/>
          </w:tcPr>
          <w:p>
            <w:pPr>
              <w:pStyle w:val="4"/>
              <w:jc w:val="center"/>
              <w:rPr>
                <w:rFonts w:ascii="仿宋" w:hAnsi="仿宋" w:eastAsia="仿宋"/>
                <w:szCs w:val="21"/>
              </w:rPr>
            </w:pPr>
            <w:r>
              <w:rPr>
                <w:rFonts w:hint="eastAsia" w:ascii="仿宋" w:hAnsi="仿宋" w:eastAsia="仿宋"/>
                <w:szCs w:val="21"/>
              </w:rPr>
              <w:t xml:space="preserve">高 </w:t>
            </w:r>
            <w:r>
              <w:rPr>
                <w:rFonts w:ascii="仿宋" w:hAnsi="仿宋" w:eastAsia="仿宋"/>
                <w:szCs w:val="21"/>
              </w:rPr>
              <w:t xml:space="preserve"> </w:t>
            </w:r>
            <w:r>
              <w:rPr>
                <w:rFonts w:hint="eastAsia" w:ascii="仿宋" w:hAnsi="仿宋" w:eastAsia="仿宋"/>
                <w:szCs w:val="21"/>
              </w:rPr>
              <w:t>宁</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助理研究员</w:t>
            </w:r>
          </w:p>
        </w:tc>
        <w:tc>
          <w:tcPr>
            <w:tcW w:w="2250" w:type="dxa"/>
            <w:vAlign w:val="center"/>
          </w:tcPr>
          <w:p>
            <w:pPr>
              <w:jc w:val="center"/>
              <w:rPr>
                <w:rFonts w:ascii="仿宋" w:hAnsi="仿宋" w:eastAsia="仿宋"/>
                <w:szCs w:val="21"/>
              </w:rPr>
            </w:pPr>
            <w:r>
              <w:rPr>
                <w:rFonts w:hint="eastAsia" w:ascii="仿宋" w:hAnsi="仿宋" w:eastAsia="仿宋"/>
                <w:szCs w:val="21"/>
              </w:rPr>
              <w:t>湖南农业大学</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103" w:type="dxa"/>
            <w:vAlign w:val="center"/>
          </w:tcPr>
          <w:p>
            <w:pPr>
              <w:pStyle w:val="4"/>
              <w:jc w:val="center"/>
              <w:rPr>
                <w:rFonts w:ascii="仿宋" w:hAnsi="仿宋" w:eastAsia="仿宋"/>
                <w:szCs w:val="21"/>
              </w:rPr>
            </w:pPr>
            <w:r>
              <w:rPr>
                <w:rFonts w:hint="eastAsia" w:ascii="仿宋" w:hAnsi="仿宋" w:eastAsia="仿宋"/>
                <w:szCs w:val="21"/>
              </w:rPr>
              <w:t>曾青华</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工程师</w:t>
            </w:r>
          </w:p>
        </w:tc>
        <w:tc>
          <w:tcPr>
            <w:tcW w:w="2250" w:type="dxa"/>
            <w:vAlign w:val="center"/>
          </w:tcPr>
          <w:p>
            <w:pPr>
              <w:jc w:val="center"/>
              <w:rPr>
                <w:rFonts w:ascii="仿宋" w:hAnsi="仿宋" w:eastAsia="仿宋"/>
                <w:szCs w:val="21"/>
              </w:rPr>
            </w:pPr>
            <w:r>
              <w:rPr>
                <w:rFonts w:hint="eastAsia" w:ascii="仿宋" w:hAnsi="仿宋" w:eastAsia="仿宋"/>
                <w:szCs w:val="21"/>
              </w:rPr>
              <w:t>湖南楚沩香农牧股份有限公司</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103" w:type="dxa"/>
            <w:vAlign w:val="center"/>
          </w:tcPr>
          <w:p>
            <w:pPr>
              <w:pStyle w:val="4"/>
              <w:jc w:val="center"/>
              <w:rPr>
                <w:rFonts w:ascii="仿宋" w:hAnsi="仿宋" w:eastAsia="仿宋"/>
                <w:szCs w:val="21"/>
              </w:rPr>
            </w:pPr>
            <w:r>
              <w:rPr>
                <w:rFonts w:hint="eastAsia" w:ascii="仿宋" w:hAnsi="仿宋" w:eastAsia="仿宋"/>
                <w:szCs w:val="21"/>
              </w:rPr>
              <w:t xml:space="preserve">李 </w:t>
            </w:r>
            <w:r>
              <w:rPr>
                <w:rFonts w:ascii="仿宋" w:hAnsi="仿宋" w:eastAsia="仿宋"/>
                <w:szCs w:val="21"/>
              </w:rPr>
              <w:t xml:space="preserve"> </w:t>
            </w:r>
            <w:r>
              <w:rPr>
                <w:rFonts w:hint="eastAsia" w:ascii="仿宋" w:hAnsi="仿宋" w:eastAsia="仿宋"/>
                <w:szCs w:val="21"/>
              </w:rPr>
              <w:t>智</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无</w:t>
            </w:r>
          </w:p>
        </w:tc>
        <w:tc>
          <w:tcPr>
            <w:tcW w:w="2250" w:type="dxa"/>
            <w:vAlign w:val="center"/>
          </w:tcPr>
          <w:p>
            <w:pPr>
              <w:jc w:val="center"/>
              <w:rPr>
                <w:rFonts w:ascii="仿宋" w:hAnsi="仿宋" w:eastAsia="仿宋"/>
                <w:szCs w:val="21"/>
              </w:rPr>
            </w:pPr>
            <w:r>
              <w:rPr>
                <w:rFonts w:hint="eastAsia" w:ascii="仿宋" w:hAnsi="仿宋" w:eastAsia="仿宋"/>
                <w:szCs w:val="21"/>
              </w:rPr>
              <w:t>湖南农业大学</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103" w:type="dxa"/>
            <w:vAlign w:val="center"/>
          </w:tcPr>
          <w:p>
            <w:pPr>
              <w:pStyle w:val="4"/>
              <w:jc w:val="center"/>
              <w:rPr>
                <w:rFonts w:ascii="仿宋" w:hAnsi="仿宋" w:eastAsia="仿宋"/>
                <w:szCs w:val="21"/>
              </w:rPr>
            </w:pPr>
            <w:r>
              <w:rPr>
                <w:rFonts w:hint="eastAsia" w:ascii="仿宋" w:hAnsi="仿宋" w:eastAsia="仿宋"/>
                <w:szCs w:val="21"/>
              </w:rPr>
              <w:t>唐志强</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产业发展部部长</w:t>
            </w:r>
          </w:p>
        </w:tc>
        <w:tc>
          <w:tcPr>
            <w:tcW w:w="2250" w:type="dxa"/>
            <w:vAlign w:val="center"/>
          </w:tcPr>
          <w:p>
            <w:pPr>
              <w:jc w:val="center"/>
              <w:rPr>
                <w:rFonts w:ascii="仿宋" w:hAnsi="仿宋" w:eastAsia="仿宋"/>
                <w:szCs w:val="21"/>
              </w:rPr>
            </w:pPr>
            <w:r>
              <w:rPr>
                <w:rFonts w:hint="eastAsia" w:ascii="仿宋" w:hAnsi="仿宋" w:eastAsia="仿宋"/>
                <w:szCs w:val="21"/>
              </w:rPr>
              <w:t>宁乡市畜牧水产事务中心</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参与标准编制、推广与监督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03" w:type="dxa"/>
            <w:vAlign w:val="center"/>
          </w:tcPr>
          <w:p>
            <w:pPr>
              <w:pStyle w:val="4"/>
              <w:jc w:val="center"/>
              <w:rPr>
                <w:rFonts w:ascii="仿宋" w:hAnsi="仿宋" w:eastAsia="仿宋"/>
                <w:szCs w:val="21"/>
              </w:rPr>
            </w:pPr>
            <w:r>
              <w:rPr>
                <w:rFonts w:hint="eastAsia" w:ascii="仿宋" w:hAnsi="仿宋" w:eastAsia="仿宋"/>
                <w:szCs w:val="21"/>
              </w:rPr>
              <w:t xml:space="preserve">陆 </w:t>
            </w:r>
            <w:r>
              <w:rPr>
                <w:rFonts w:ascii="仿宋" w:hAnsi="仿宋" w:eastAsia="仿宋"/>
                <w:szCs w:val="21"/>
              </w:rPr>
              <w:t xml:space="preserve"> </w:t>
            </w:r>
            <w:r>
              <w:rPr>
                <w:rFonts w:hint="eastAsia" w:ascii="仿宋" w:hAnsi="仿宋" w:eastAsia="仿宋"/>
                <w:szCs w:val="21"/>
              </w:rPr>
              <w:t>鹏</w:t>
            </w:r>
          </w:p>
        </w:tc>
        <w:tc>
          <w:tcPr>
            <w:tcW w:w="891" w:type="dxa"/>
            <w:vAlign w:val="center"/>
          </w:tcPr>
          <w:p>
            <w:pPr>
              <w:jc w:val="center"/>
              <w:rPr>
                <w:rFonts w:ascii="仿宋" w:hAnsi="仿宋" w:eastAsia="仿宋"/>
                <w:szCs w:val="21"/>
              </w:rPr>
            </w:pPr>
            <w:r>
              <w:rPr>
                <w:rFonts w:hint="eastAsia" w:ascii="仿宋" w:hAnsi="仿宋" w:eastAsia="仿宋"/>
                <w:szCs w:val="21"/>
              </w:rPr>
              <w:t>男</w:t>
            </w:r>
          </w:p>
        </w:tc>
        <w:tc>
          <w:tcPr>
            <w:tcW w:w="1487" w:type="dxa"/>
            <w:vAlign w:val="center"/>
          </w:tcPr>
          <w:p>
            <w:pPr>
              <w:jc w:val="center"/>
              <w:rPr>
                <w:rFonts w:ascii="仿宋" w:hAnsi="仿宋" w:eastAsia="仿宋"/>
                <w:szCs w:val="21"/>
              </w:rPr>
            </w:pPr>
            <w:r>
              <w:rPr>
                <w:rFonts w:hint="eastAsia" w:ascii="仿宋" w:hAnsi="仿宋" w:eastAsia="仿宋"/>
                <w:szCs w:val="21"/>
              </w:rPr>
              <w:t>产业发展部部科员</w:t>
            </w:r>
          </w:p>
        </w:tc>
        <w:tc>
          <w:tcPr>
            <w:tcW w:w="2250" w:type="dxa"/>
            <w:vAlign w:val="center"/>
          </w:tcPr>
          <w:p>
            <w:pPr>
              <w:jc w:val="center"/>
              <w:rPr>
                <w:rFonts w:ascii="仿宋" w:hAnsi="仿宋" w:eastAsia="仿宋"/>
                <w:szCs w:val="21"/>
              </w:rPr>
            </w:pPr>
            <w:r>
              <w:rPr>
                <w:rFonts w:hint="eastAsia" w:ascii="仿宋" w:hAnsi="仿宋" w:eastAsia="仿宋"/>
                <w:szCs w:val="21"/>
              </w:rPr>
              <w:t>宁乡市畜牧水产事务中心</w:t>
            </w:r>
          </w:p>
        </w:tc>
        <w:tc>
          <w:tcPr>
            <w:tcW w:w="2590" w:type="dxa"/>
            <w:vAlign w:val="center"/>
          </w:tcPr>
          <w:p>
            <w:pPr>
              <w:jc w:val="center"/>
              <w:rPr>
                <w:rFonts w:ascii="仿宋" w:hAnsi="仿宋" w:eastAsia="仿宋"/>
                <w:szCs w:val="21"/>
              </w:rPr>
            </w:pPr>
            <w:r>
              <w:rPr>
                <w:rFonts w:hint="eastAsia" w:ascii="仿宋" w:hAnsi="仿宋" w:eastAsia="仿宋"/>
                <w:szCs w:val="21"/>
              </w:rPr>
              <w:t>参与标准编制、推广与监督</w:t>
            </w:r>
          </w:p>
        </w:tc>
      </w:tr>
    </w:tbl>
    <w:p/>
    <w:p>
      <w:pPr>
        <w:pStyle w:val="2"/>
        <w:numPr>
          <w:ilvl w:val="0"/>
          <w:numId w:val="1"/>
        </w:numPr>
        <w:spacing w:before="0" w:after="0" w:line="360" w:lineRule="auto"/>
        <w:ind w:left="0"/>
        <w:rPr>
          <w:rFonts w:ascii="Times New Roman" w:hAnsi="Times New Roman" w:cs="Times New Roman"/>
          <w:bCs w:val="0"/>
          <w:sz w:val="32"/>
        </w:rPr>
      </w:pPr>
      <w:bookmarkStart w:id="11" w:name="_Toc19110241"/>
      <w:bookmarkStart w:id="12" w:name="_Toc118533959"/>
      <w:r>
        <w:rPr>
          <w:rFonts w:ascii="Times New Roman" w:hAnsi="Times New Roman" w:cs="Times New Roman"/>
          <w:bCs w:val="0"/>
          <w:sz w:val="32"/>
        </w:rPr>
        <w:t>主要起草过程</w:t>
      </w:r>
      <w:bookmarkEnd w:id="11"/>
      <w:bookmarkEnd w:id="12"/>
    </w:p>
    <w:p>
      <w:pPr>
        <w:spacing w:line="360" w:lineRule="auto"/>
        <w:ind w:firstLine="480" w:firstLineChars="200"/>
        <w:rPr>
          <w:rFonts w:ascii="仿宋" w:hAnsi="仿宋" w:eastAsia="仿宋" w:cs="Times New Roman"/>
          <w:sz w:val="24"/>
        </w:rPr>
      </w:pPr>
      <w:r>
        <w:rPr>
          <w:rFonts w:ascii="仿宋" w:hAnsi="仿宋" w:eastAsia="仿宋" w:cs="Times New Roman"/>
          <w:sz w:val="24"/>
        </w:rPr>
        <w:t>本标准编制始于2022年1月18日，结束于2022年12月6日。其间经过了循环往复的调研、文本编制、征询意见、修改文本等过程，不断完善了6个中间稿，最后形成报批稿。</w:t>
      </w:r>
    </w:p>
    <w:p>
      <w:pPr>
        <w:spacing w:line="360" w:lineRule="auto"/>
        <w:ind w:firstLine="480" w:firstLineChars="200"/>
        <w:rPr>
          <w:rFonts w:ascii="仿宋" w:hAnsi="仿宋" w:eastAsia="仿宋" w:cs="Times New Roman"/>
          <w:sz w:val="24"/>
        </w:rPr>
      </w:pPr>
      <w:r>
        <w:rPr>
          <w:rFonts w:ascii="仿宋" w:hAnsi="仿宋" w:eastAsia="仿宋" w:cs="Times New Roman"/>
          <w:sz w:val="24"/>
        </w:rPr>
        <w:t>在本标准编制过程中，</w:t>
      </w:r>
      <w:r>
        <w:rPr>
          <w:rFonts w:hint="eastAsia" w:ascii="仿宋" w:hAnsi="仿宋" w:eastAsia="仿宋" w:cs="Times New Roman"/>
          <w:sz w:val="24"/>
        </w:rPr>
        <w:t>依据</w:t>
      </w:r>
      <w:r>
        <w:rPr>
          <w:rFonts w:ascii="仿宋" w:hAnsi="仿宋" w:eastAsia="仿宋" w:cs="Times New Roman"/>
          <w:sz w:val="24"/>
        </w:rPr>
        <w:t>GB/T 1.1《标准化工作导则  第1部分：标准的结构和编写规则》、GB/T 1.2《标准化工作导则  第2部分：标准中规范性技术要素内容的确定方法》等标准编制要求，编制组深入调研了国内外相关技术规范、技术标准</w:t>
      </w:r>
      <w:r>
        <w:rPr>
          <w:rFonts w:hint="eastAsia" w:ascii="仿宋" w:hAnsi="仿宋" w:eastAsia="仿宋" w:cs="Times New Roman"/>
          <w:sz w:val="24"/>
        </w:rPr>
        <w:t>、畜禽基因组品种构成分析、品种鉴定类文献、文件</w:t>
      </w:r>
      <w:r>
        <w:rPr>
          <w:rFonts w:ascii="仿宋" w:hAnsi="仿宋" w:eastAsia="仿宋" w:cs="Times New Roman"/>
          <w:sz w:val="24"/>
        </w:rPr>
        <w:t>80</w:t>
      </w:r>
      <w:r>
        <w:rPr>
          <w:rFonts w:hint="eastAsia" w:ascii="仿宋" w:hAnsi="仿宋" w:eastAsia="仿宋" w:cs="Times New Roman"/>
          <w:sz w:val="24"/>
        </w:rPr>
        <w:t>余篇。此外，收集整理了当前主要外种猪和湖南主要地方猪的基因组分型数据，开展了相关研究工作</w:t>
      </w:r>
      <w:r>
        <w:rPr>
          <w:rFonts w:ascii="仿宋" w:hAnsi="仿宋" w:eastAsia="仿宋" w:cs="Times New Roman"/>
          <w:sz w:val="24"/>
        </w:rPr>
        <w:t>，进一步明确标准中设定值。</w:t>
      </w:r>
    </w:p>
    <w:p>
      <w:pPr>
        <w:spacing w:line="360" w:lineRule="auto"/>
        <w:ind w:firstLine="480" w:firstLineChars="200"/>
        <w:rPr>
          <w:rFonts w:ascii="仿宋" w:hAnsi="仿宋" w:eastAsia="仿宋" w:cs="Times New Roman"/>
          <w:sz w:val="24"/>
        </w:rPr>
      </w:pPr>
      <w:r>
        <w:rPr>
          <w:rFonts w:hint="eastAsia" w:ascii="仿宋" w:hAnsi="仿宋" w:eastAsia="仿宋" w:cs="Times New Roman"/>
          <w:sz w:val="24"/>
        </w:rPr>
        <w:t>在前期调研及相关研究的基础上，</w:t>
      </w:r>
      <w:r>
        <w:rPr>
          <w:rFonts w:ascii="仿宋" w:hAnsi="仿宋" w:eastAsia="仿宋" w:cs="Times New Roman"/>
          <w:sz w:val="24"/>
        </w:rPr>
        <w:t>通过电话、邮件咨询和书面征询意见等形式对本标准中间稿征询意见，征询对象范围包括：</w:t>
      </w:r>
      <w:r>
        <w:rPr>
          <w:rFonts w:hint="eastAsia" w:ascii="仿宋" w:hAnsi="仿宋" w:eastAsia="仿宋" w:cs="Times New Roman"/>
          <w:sz w:val="24"/>
        </w:rPr>
        <w:t>国内知名育种专家、</w:t>
      </w:r>
      <w:r>
        <w:rPr>
          <w:rFonts w:ascii="仿宋" w:hAnsi="仿宋" w:eastAsia="仿宋" w:cs="Times New Roman"/>
          <w:sz w:val="24"/>
        </w:rPr>
        <w:t>湖南省畜牧兽医研究所研究员、</w:t>
      </w:r>
      <w:r>
        <w:rPr>
          <w:rFonts w:hint="eastAsia" w:ascii="仿宋" w:hAnsi="仿宋" w:eastAsia="仿宋" w:cs="Times New Roman"/>
          <w:sz w:val="24"/>
        </w:rPr>
        <w:t>湖南地方猪主要保种场、</w:t>
      </w:r>
      <w:r>
        <w:rPr>
          <w:rFonts w:ascii="仿宋" w:hAnsi="仿宋" w:eastAsia="仿宋" w:cs="Times New Roman"/>
          <w:sz w:val="24"/>
        </w:rPr>
        <w:t>在湘全国生猪</w:t>
      </w:r>
      <w:r>
        <w:rPr>
          <w:rFonts w:hint="eastAsia" w:ascii="仿宋" w:hAnsi="仿宋" w:eastAsia="仿宋" w:cs="Times New Roman"/>
          <w:sz w:val="24"/>
        </w:rPr>
        <w:t>育种</w:t>
      </w:r>
      <w:r>
        <w:rPr>
          <w:rFonts w:ascii="仿宋" w:hAnsi="仿宋" w:eastAsia="仿宋" w:cs="Times New Roman"/>
          <w:sz w:val="24"/>
        </w:rPr>
        <w:t>业领军人才、企业技术总监等，进一步明确了本标准定位、技术架构和内容、技术难点，取舍修改意见，优化文本表达。</w:t>
      </w:r>
    </w:p>
    <w:p>
      <w:pPr>
        <w:pStyle w:val="2"/>
        <w:numPr>
          <w:ilvl w:val="0"/>
          <w:numId w:val="1"/>
        </w:numPr>
        <w:spacing w:before="0" w:after="0" w:line="360" w:lineRule="auto"/>
        <w:ind w:left="0"/>
        <w:rPr>
          <w:rFonts w:ascii="Times New Roman" w:hAnsi="Times New Roman" w:cs="Times New Roman"/>
          <w:bCs w:val="0"/>
          <w:sz w:val="32"/>
        </w:rPr>
      </w:pPr>
      <w:bookmarkStart w:id="13" w:name="_Toc118533960"/>
      <w:bookmarkStart w:id="14" w:name="_Toc19110242"/>
      <w:r>
        <w:rPr>
          <w:rFonts w:ascii="Times New Roman" w:hAnsi="Times New Roman" w:cs="Times New Roman"/>
          <w:bCs w:val="0"/>
          <w:sz w:val="32"/>
        </w:rPr>
        <w:t>编制原则</w:t>
      </w:r>
      <w:bookmarkEnd w:id="13"/>
      <w:bookmarkEnd w:id="14"/>
    </w:p>
    <w:p>
      <w:pPr>
        <w:spacing w:line="360" w:lineRule="auto"/>
        <w:ind w:firstLine="480" w:firstLineChars="200"/>
        <w:rPr>
          <w:rFonts w:ascii="仿宋" w:hAnsi="仿宋" w:eastAsia="仿宋" w:cs="Times New Roman"/>
          <w:sz w:val="24"/>
        </w:rPr>
      </w:pPr>
      <w:r>
        <w:rPr>
          <w:rFonts w:hint="eastAsia" w:ascii="仿宋" w:hAnsi="仿宋" w:eastAsia="仿宋" w:cs="Times New Roman"/>
          <w:sz w:val="24"/>
        </w:rPr>
        <w:t>本标准编写格式符合《标准化工作导则第</w:t>
      </w:r>
      <w:r>
        <w:rPr>
          <w:rFonts w:ascii="仿宋" w:hAnsi="仿宋" w:eastAsia="仿宋" w:cs="Times New Roman"/>
          <w:sz w:val="24"/>
        </w:rPr>
        <w:t>1部分：标准的结构和编写规则》GB/T1.1-2009的要求</w:t>
      </w:r>
      <w:r>
        <w:rPr>
          <w:rFonts w:hint="eastAsia" w:ascii="仿宋" w:hAnsi="仿宋" w:eastAsia="仿宋" w:cs="Times New Roman"/>
          <w:sz w:val="24"/>
        </w:rPr>
        <w:t>。本标准的编制立足于我国地方猪保种和开发利用的现状，规范与指导保种主体的品种鉴定技术和能力。编制过程中本着“科学、合理、系统、适用”的原则，注重实用性、易读性、可操作性以及开发和评估过程中的技术含量。</w:t>
      </w:r>
    </w:p>
    <w:p>
      <w:pPr>
        <w:pStyle w:val="2"/>
        <w:numPr>
          <w:ilvl w:val="0"/>
          <w:numId w:val="1"/>
        </w:numPr>
        <w:spacing w:before="0" w:after="0" w:line="360" w:lineRule="auto"/>
        <w:ind w:left="0"/>
        <w:rPr>
          <w:rFonts w:ascii="Times New Roman" w:hAnsi="Times New Roman" w:cs="Times New Roman"/>
          <w:bCs w:val="0"/>
          <w:sz w:val="32"/>
        </w:rPr>
      </w:pPr>
      <w:bookmarkStart w:id="15" w:name="_Toc118533961"/>
      <w:bookmarkStart w:id="16" w:name="_Toc19110247"/>
      <w:r>
        <w:rPr>
          <w:rFonts w:ascii="Times New Roman" w:hAnsi="Times New Roman" w:cs="Times New Roman"/>
          <w:bCs w:val="0"/>
          <w:sz w:val="32"/>
        </w:rPr>
        <w:t>主要条款的说明</w:t>
      </w:r>
      <w:bookmarkEnd w:id="15"/>
      <w:bookmarkEnd w:id="16"/>
    </w:p>
    <w:p>
      <w:pPr>
        <w:spacing w:line="360" w:lineRule="auto"/>
        <w:ind w:firstLine="480" w:firstLineChars="200"/>
        <w:rPr>
          <w:rFonts w:ascii="仿宋" w:hAnsi="仿宋" w:eastAsia="仿宋" w:cs="Times New Roman"/>
          <w:sz w:val="24"/>
        </w:rPr>
      </w:pPr>
      <w:r>
        <w:rPr>
          <w:rFonts w:ascii="仿宋" w:hAnsi="仿宋" w:eastAsia="仿宋" w:cs="Times New Roman"/>
          <w:sz w:val="24"/>
        </w:rPr>
        <w:t>本标准在团队近些年研究成果的基础上，根据</w:t>
      </w:r>
      <w:r>
        <w:rPr>
          <w:rFonts w:hint="eastAsia" w:ascii="仿宋" w:hAnsi="仿宋" w:eastAsia="仿宋" w:cs="Times New Roman"/>
          <w:sz w:val="24"/>
        </w:rPr>
        <w:t>地方猪保种需求及开发利用情况</w:t>
      </w:r>
      <w:r>
        <w:rPr>
          <w:rFonts w:ascii="仿宋" w:hAnsi="仿宋" w:eastAsia="仿宋" w:cs="Times New Roman"/>
          <w:sz w:val="24"/>
        </w:rPr>
        <w:t>，规范了适合</w:t>
      </w:r>
      <w:r>
        <w:rPr>
          <w:rFonts w:hint="eastAsia" w:ascii="仿宋" w:hAnsi="仿宋" w:eastAsia="仿宋" w:cs="Times New Roman"/>
          <w:sz w:val="24"/>
        </w:rPr>
        <w:t>湖南地方猪品种纯度鉴定的全基因组技术</w:t>
      </w:r>
      <w:r>
        <w:rPr>
          <w:rFonts w:ascii="仿宋" w:hAnsi="仿宋" w:eastAsia="仿宋" w:cs="Times New Roman"/>
          <w:sz w:val="24"/>
        </w:rPr>
        <w:t>，用于我省</w:t>
      </w:r>
      <w:r>
        <w:rPr>
          <w:rFonts w:hint="eastAsia" w:ascii="仿宋" w:hAnsi="仿宋" w:eastAsia="仿宋" w:cs="Times New Roman"/>
          <w:sz w:val="24"/>
        </w:rPr>
        <w:t>地方猪的保种及市场监督</w:t>
      </w:r>
      <w:r>
        <w:rPr>
          <w:rFonts w:ascii="仿宋" w:hAnsi="仿宋" w:eastAsia="仿宋" w:cs="Times New Roman"/>
          <w:sz w:val="24"/>
        </w:rPr>
        <w:t>。</w:t>
      </w:r>
      <w:r>
        <w:rPr>
          <w:rFonts w:hint="eastAsia" w:ascii="仿宋" w:hAnsi="仿宋" w:eastAsia="仿宋" w:cs="Times New Roman"/>
          <w:sz w:val="24"/>
        </w:rPr>
        <w:t>参考群基因组相关系数</w:t>
      </w:r>
    </w:p>
    <w:p>
      <w:pPr>
        <w:pStyle w:val="2"/>
        <w:numPr>
          <w:ilvl w:val="0"/>
          <w:numId w:val="1"/>
        </w:numPr>
        <w:spacing w:before="0" w:after="0" w:line="360" w:lineRule="auto"/>
        <w:ind w:left="0"/>
        <w:rPr>
          <w:rFonts w:ascii="Times New Roman" w:hAnsi="Times New Roman" w:cs="Times New Roman"/>
          <w:bCs w:val="0"/>
          <w:sz w:val="32"/>
        </w:rPr>
      </w:pPr>
      <w:bookmarkStart w:id="17" w:name="_Toc19110248"/>
      <w:bookmarkStart w:id="18" w:name="_Toc118533962"/>
      <w:r>
        <w:rPr>
          <w:rFonts w:ascii="Times New Roman" w:hAnsi="Times New Roman" w:cs="Times New Roman"/>
          <w:bCs w:val="0"/>
          <w:sz w:val="32"/>
        </w:rPr>
        <w:t>重大意见分歧的处理依据和结果</w:t>
      </w:r>
      <w:bookmarkEnd w:id="17"/>
      <w:bookmarkEnd w:id="18"/>
    </w:p>
    <w:p>
      <w:pPr>
        <w:spacing w:line="360" w:lineRule="auto"/>
        <w:ind w:firstLine="480" w:firstLineChars="200"/>
        <w:rPr>
          <w:rFonts w:ascii="仿宋" w:hAnsi="仿宋" w:eastAsia="仿宋" w:cs="Times New Roman"/>
          <w:sz w:val="24"/>
        </w:rPr>
      </w:pPr>
      <w:bookmarkStart w:id="19" w:name="_Hlk121336928"/>
      <w:r>
        <w:rPr>
          <w:rFonts w:ascii="仿宋" w:hAnsi="仿宋" w:eastAsia="仿宋" w:cs="Times New Roman"/>
          <w:sz w:val="24"/>
        </w:rPr>
        <w:t>征求5家单位意见后，针对各单位提出地问题进行修改和回复。（见《</w:t>
      </w:r>
      <w:r>
        <w:rPr>
          <w:rFonts w:hint="eastAsia" w:ascii="仿宋" w:hAnsi="仿宋" w:eastAsia="仿宋" w:cs="Times New Roman"/>
          <w:sz w:val="24"/>
        </w:rPr>
        <w:t>基于基因组品种构成的地方猪品种纯度鉴定技术规程</w:t>
      </w:r>
      <w:r>
        <w:rPr>
          <w:rFonts w:ascii="仿宋" w:hAnsi="仿宋" w:eastAsia="仿宋" w:cs="Times New Roman"/>
          <w:sz w:val="24"/>
        </w:rPr>
        <w:t>》标准征求意见汇总表）</w:t>
      </w:r>
      <w:bookmarkEnd w:id="19"/>
      <w:r>
        <w:rPr>
          <w:rFonts w:hint="eastAsia" w:ascii="仿宋" w:hAnsi="仿宋" w:eastAsia="仿宋" w:cs="Times New Roman"/>
          <w:sz w:val="24"/>
        </w:rPr>
        <w:t>。</w:t>
      </w:r>
    </w:p>
    <w:p>
      <w:pPr>
        <w:spacing w:line="360" w:lineRule="auto"/>
        <w:ind w:firstLine="480" w:firstLineChars="200"/>
        <w:rPr>
          <w:rFonts w:ascii="仿宋" w:hAnsi="仿宋" w:eastAsia="仿宋"/>
          <w:sz w:val="24"/>
        </w:rPr>
      </w:pPr>
      <w:r>
        <w:rPr>
          <w:rFonts w:ascii="仿宋" w:hAnsi="仿宋" w:eastAsia="仿宋" w:cs="Times New Roman"/>
          <w:sz w:val="24"/>
        </w:rPr>
        <w:t>建议《</w:t>
      </w:r>
      <w:r>
        <w:rPr>
          <w:rFonts w:hint="eastAsia" w:ascii="仿宋" w:hAnsi="仿宋" w:eastAsia="仿宋" w:cs="Times New Roman"/>
          <w:sz w:val="24"/>
        </w:rPr>
        <w:t>基于基因组品种构成的地方猪品种纯度鉴定技术规程</w:t>
      </w:r>
      <w:r>
        <w:rPr>
          <w:rFonts w:ascii="仿宋" w:hAnsi="仿宋" w:eastAsia="仿宋" w:cs="Times New Roman"/>
          <w:sz w:val="24"/>
        </w:rPr>
        <w:t>》作为推荐性标准发布实施。</w:t>
      </w:r>
    </w:p>
    <w:sectPr>
      <w:pgSz w:w="11906" w:h="16838"/>
      <w:pgMar w:top="1440" w:right="1800" w:bottom="1440" w:left="1800" w:header="851" w:footer="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等线 Light">
    <w:altName w:val="华文仿宋"/>
    <w:panose1 w:val="02010600030101010101"/>
    <w:charset w:val="86"/>
    <w:family w:val="auto"/>
    <w:pitch w:val="default"/>
    <w:sig w:usb0="00000000" w:usb1="00000000" w:usb2="00000016" w:usb3="00000000" w:csb0="0004000F" w:csb1="00000000"/>
  </w:font>
  <w:font w:name="Courier New">
    <w:altName w:val="DejaVu Sans"/>
    <w:panose1 w:val="02070309020205020404"/>
    <w:charset w:val="00"/>
    <w:family w:val="moder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汉仪仿宋S">
    <w:panose1 w:val="00020600040101000101"/>
    <w:charset w:val="86"/>
    <w:family w:val="auto"/>
    <w:pitch w:val="default"/>
    <w:sig w:usb0="A00002BF" w:usb1="38CF7CFA" w:usb2="00000016" w:usb3="00000000" w:csb0="0004009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等线 Light">
    <w:altName w:val="汉仪仿宋S"/>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7825351"/>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42F5C"/>
    <w:multiLevelType w:val="multilevel"/>
    <w:tmpl w:val="2EE42F5C"/>
    <w:lvl w:ilvl="0" w:tentative="0">
      <w:start w:val="1"/>
      <w:numFmt w:val="decimal"/>
      <w:lvlText w:val="%1."/>
      <w:lvlJc w:val="left"/>
      <w:pPr>
        <w:ind w:left="360" w:hanging="360"/>
      </w:pPr>
      <w:rPr>
        <w:rFonts w:hint="default"/>
      </w:rPr>
    </w:lvl>
    <w:lvl w:ilvl="1" w:tentative="0">
      <w:start w:val="1"/>
      <w:numFmt w:val="decimal"/>
      <w:isLgl/>
      <w:lvlText w:val="%1.%2"/>
      <w:lvlJc w:val="left"/>
      <w:pPr>
        <w:ind w:left="705" w:hanging="495"/>
      </w:pPr>
      <w:rPr>
        <w:rFonts w:hint="default"/>
      </w:rPr>
    </w:lvl>
    <w:lvl w:ilvl="2" w:tentative="0">
      <w:start w:val="1"/>
      <w:numFmt w:val="decimal"/>
      <w:isLgl/>
      <w:lvlText w:val="%1.%2.%3"/>
      <w:lvlJc w:val="left"/>
      <w:pPr>
        <w:ind w:left="1140" w:hanging="720"/>
      </w:pPr>
      <w:rPr>
        <w:rFonts w:hint="default"/>
      </w:rPr>
    </w:lvl>
    <w:lvl w:ilvl="3" w:tentative="0">
      <w:start w:val="1"/>
      <w:numFmt w:val="decimal"/>
      <w:isLgl/>
      <w:lvlText w:val="%1.%2.%3.%4"/>
      <w:lvlJc w:val="left"/>
      <w:pPr>
        <w:ind w:left="1350" w:hanging="720"/>
      </w:pPr>
      <w:rPr>
        <w:rFonts w:hint="default"/>
      </w:rPr>
    </w:lvl>
    <w:lvl w:ilvl="4" w:tentative="0">
      <w:start w:val="1"/>
      <w:numFmt w:val="decimal"/>
      <w:isLgl/>
      <w:lvlText w:val="%1.%2.%3.%4.%5"/>
      <w:lvlJc w:val="left"/>
      <w:pPr>
        <w:ind w:left="1920" w:hanging="1080"/>
      </w:pPr>
      <w:rPr>
        <w:rFonts w:hint="default"/>
      </w:rPr>
    </w:lvl>
    <w:lvl w:ilvl="5" w:tentative="0">
      <w:start w:val="1"/>
      <w:numFmt w:val="decimal"/>
      <w:isLgl/>
      <w:lvlText w:val="%1.%2.%3.%4.%5.%6"/>
      <w:lvlJc w:val="left"/>
      <w:pPr>
        <w:ind w:left="2130" w:hanging="1080"/>
      </w:pPr>
      <w:rPr>
        <w:rFonts w:hint="default"/>
      </w:rPr>
    </w:lvl>
    <w:lvl w:ilvl="6" w:tentative="0">
      <w:start w:val="1"/>
      <w:numFmt w:val="decimal"/>
      <w:isLgl/>
      <w:lvlText w:val="%1.%2.%3.%4.%5.%6.%7"/>
      <w:lvlJc w:val="left"/>
      <w:pPr>
        <w:ind w:left="2340" w:hanging="1080"/>
      </w:pPr>
      <w:rPr>
        <w:rFonts w:hint="default"/>
      </w:rPr>
    </w:lvl>
    <w:lvl w:ilvl="7" w:tentative="0">
      <w:start w:val="1"/>
      <w:numFmt w:val="decimal"/>
      <w:isLgl/>
      <w:lvlText w:val="%1.%2.%3.%4.%5.%6.%7.%8"/>
      <w:lvlJc w:val="left"/>
      <w:pPr>
        <w:ind w:left="2910" w:hanging="1440"/>
      </w:pPr>
      <w:rPr>
        <w:rFonts w:hint="default"/>
      </w:rPr>
    </w:lvl>
    <w:lvl w:ilvl="8" w:tentative="0">
      <w:start w:val="1"/>
      <w:numFmt w:val="decimal"/>
      <w:isLgl/>
      <w:lvlText w:val="%1.%2.%3.%4.%5.%6.%7.%8.%9"/>
      <w:lvlJc w:val="left"/>
      <w:pPr>
        <w:ind w:left="31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A3F"/>
    <w:rsid w:val="000037E4"/>
    <w:rsid w:val="00014FBF"/>
    <w:rsid w:val="000A615A"/>
    <w:rsid w:val="000C0A1D"/>
    <w:rsid w:val="000F44FC"/>
    <w:rsid w:val="0011048A"/>
    <w:rsid w:val="0017400B"/>
    <w:rsid w:val="002D2829"/>
    <w:rsid w:val="003109B7"/>
    <w:rsid w:val="003135DE"/>
    <w:rsid w:val="00315621"/>
    <w:rsid w:val="00340291"/>
    <w:rsid w:val="003859C4"/>
    <w:rsid w:val="00395BD3"/>
    <w:rsid w:val="003C64CC"/>
    <w:rsid w:val="003E6D6F"/>
    <w:rsid w:val="00421424"/>
    <w:rsid w:val="00456BCA"/>
    <w:rsid w:val="005B075E"/>
    <w:rsid w:val="005D3A3F"/>
    <w:rsid w:val="00612F21"/>
    <w:rsid w:val="00660F83"/>
    <w:rsid w:val="00672630"/>
    <w:rsid w:val="00717FE6"/>
    <w:rsid w:val="007220FC"/>
    <w:rsid w:val="00725C44"/>
    <w:rsid w:val="00745ABC"/>
    <w:rsid w:val="00830308"/>
    <w:rsid w:val="008A0CB4"/>
    <w:rsid w:val="008A340A"/>
    <w:rsid w:val="008B0D92"/>
    <w:rsid w:val="008E70F1"/>
    <w:rsid w:val="0092704B"/>
    <w:rsid w:val="00945FF6"/>
    <w:rsid w:val="00965185"/>
    <w:rsid w:val="0096602F"/>
    <w:rsid w:val="009F12AC"/>
    <w:rsid w:val="00A430FE"/>
    <w:rsid w:val="00A50D95"/>
    <w:rsid w:val="00AE5148"/>
    <w:rsid w:val="00AF1CF1"/>
    <w:rsid w:val="00B273D6"/>
    <w:rsid w:val="00B834C3"/>
    <w:rsid w:val="00BB0A5E"/>
    <w:rsid w:val="00C37E84"/>
    <w:rsid w:val="00C6424B"/>
    <w:rsid w:val="00C807C1"/>
    <w:rsid w:val="00CE6C8F"/>
    <w:rsid w:val="00D34A3F"/>
    <w:rsid w:val="00D56D38"/>
    <w:rsid w:val="00DA3138"/>
    <w:rsid w:val="00E01160"/>
    <w:rsid w:val="00E9572E"/>
    <w:rsid w:val="00EE2E64"/>
    <w:rsid w:val="00F14829"/>
    <w:rsid w:val="00F52E87"/>
    <w:rsid w:val="00FD1D04"/>
    <w:rsid w:val="35AFC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8"/>
    <w:qFormat/>
    <w:uiPriority w:val="0"/>
    <w:rPr>
      <w:rFonts w:ascii="宋体" w:hAnsi="Courier New" w:eastAsia="宋体"/>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cs="Times New Roman"/>
      <w:kern w:val="0"/>
      <w:sz w:val="22"/>
    </w:rPr>
  </w:style>
  <w:style w:type="paragraph" w:styleId="8">
    <w:name w:val="toc 2"/>
    <w:basedOn w:val="1"/>
    <w:next w:val="1"/>
    <w:unhideWhenUsed/>
    <w:qFormat/>
    <w:uiPriority w:val="39"/>
    <w:pPr>
      <w:widowControl/>
      <w:spacing w:after="100" w:line="259" w:lineRule="auto"/>
      <w:ind w:left="220"/>
      <w:jc w:val="left"/>
    </w:pPr>
    <w:rPr>
      <w:rFonts w:cs="Times New Roman"/>
      <w:kern w:val="0"/>
      <w:sz w:val="2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页眉 字符"/>
    <w:basedOn w:val="11"/>
    <w:link w:val="6"/>
    <w:qFormat/>
    <w:uiPriority w:val="99"/>
    <w:rPr>
      <w:sz w:val="18"/>
      <w:szCs w:val="18"/>
    </w:rPr>
  </w:style>
  <w:style w:type="character" w:customStyle="1" w:styleId="14">
    <w:name w:val="页脚 字符"/>
    <w:basedOn w:val="11"/>
    <w:link w:val="5"/>
    <w:qFormat/>
    <w:uiPriority w:val="99"/>
    <w:rPr>
      <w:sz w:val="18"/>
      <w:szCs w:val="18"/>
    </w:rPr>
  </w:style>
  <w:style w:type="character" w:customStyle="1" w:styleId="15">
    <w:name w:val="标题 1 字符"/>
    <w:basedOn w:val="11"/>
    <w:link w:val="2"/>
    <w:qFormat/>
    <w:uiPriority w:val="9"/>
    <w:rPr>
      <w:b/>
      <w:bCs/>
      <w:kern w:val="44"/>
      <w:sz w:val="44"/>
      <w:szCs w:val="44"/>
    </w:rPr>
  </w:style>
  <w:style w:type="character" w:customStyle="1" w:styleId="16">
    <w:name w:val="标题 2 字符"/>
    <w:basedOn w:val="11"/>
    <w:link w:val="3"/>
    <w:qFormat/>
    <w:uiPriority w:val="9"/>
    <w:rPr>
      <w:rFonts w:asciiTheme="majorHAnsi" w:hAnsiTheme="majorHAnsi" w:eastAsiaTheme="majorEastAsia" w:cstheme="majorBidi"/>
      <w:b/>
      <w:bCs/>
      <w:sz w:val="32"/>
      <w:szCs w:val="32"/>
    </w:rPr>
  </w:style>
  <w:style w:type="paragraph" w:styleId="17">
    <w:name w:val="List Paragraph"/>
    <w:basedOn w:val="1"/>
    <w:qFormat/>
    <w:uiPriority w:val="34"/>
    <w:pPr>
      <w:ind w:firstLine="420" w:firstLineChars="200"/>
    </w:pPr>
  </w:style>
  <w:style w:type="character" w:customStyle="1" w:styleId="18">
    <w:name w:val="纯文本 字符"/>
    <w:link w:val="4"/>
    <w:qFormat/>
    <w:uiPriority w:val="0"/>
    <w:rPr>
      <w:rFonts w:ascii="宋体" w:hAnsi="Courier New" w:eastAsia="宋体"/>
    </w:rPr>
  </w:style>
  <w:style w:type="character" w:customStyle="1" w:styleId="19">
    <w:name w:val="纯文本 字符1"/>
    <w:basedOn w:val="11"/>
    <w:semiHidden/>
    <w:qFormat/>
    <w:uiPriority w:val="99"/>
    <w:rPr>
      <w:rFonts w:hAnsi="Courier New" w:cs="Courier New" w:asciiTheme="minorEastAsia"/>
    </w:rPr>
  </w:style>
  <w:style w:type="paragraph" w:customStyle="1" w:styleId="20">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491</Words>
  <Characters>2802</Characters>
  <Lines>23</Lines>
  <Paragraphs>6</Paragraphs>
  <TotalTime>617</TotalTime>
  <ScaleCrop>false</ScaleCrop>
  <LinksUpToDate>false</LinksUpToDate>
  <CharactersWithSpaces>3287</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2022-11-13T16:10:00Z</dcterms:created>
  <dc:creator>Zhang Yuebo</dc:creator>
  <cp:lastModifiedBy>greatwall</cp:lastModifiedBy>
  <dcterms:modified xsi:type="dcterms:W3CDTF">2022-12-08T19:10:37Z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