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03.080.20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特困人员供养服务机构(敬老院)运营管理基本规范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Basic standards for the operation and management of service institutions (Elderly People’s Home in Rural Areas) providing support for the extremely needy     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022</w:t>
      </w:r>
      <w:r>
        <w:rPr>
          <w:rFonts w:hint="eastAsia"/>
          <w:sz w:val="21"/>
          <w:szCs w:val="28"/>
        </w:rPr>
        <w:t>年</w:t>
      </w:r>
      <w:r>
        <w:rPr>
          <w:sz w:val="21"/>
          <w:szCs w:val="28"/>
        </w:rPr>
        <w:t>9</w:t>
      </w:r>
      <w:r>
        <w:rPr>
          <w:rFonts w:hint="eastAsia"/>
          <w:sz w:val="21"/>
          <w:szCs w:val="28"/>
        </w:rPr>
        <w:t>月）</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12226361"/>
      <w:bookmarkStart w:id="23" w:name="_Toc11447271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"_Toc114730233" </w:instrText>
      </w:r>
      <w:r>
        <w:fldChar w:fldCharType="separate"/>
      </w:r>
      <w:r>
        <w:rPr>
          <w:rStyle w:val="32"/>
        </w:rPr>
        <w:t>前言</w:t>
      </w:r>
      <w:r>
        <w:tab/>
      </w:r>
      <w:r>
        <w:fldChar w:fldCharType="begin"/>
      </w:r>
      <w:r>
        <w:instrText xml:space="preserve"> PAGEREF _Toc114730233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"_Toc114730234" </w:instrText>
      </w:r>
      <w:r>
        <w:fldChar w:fldCharType="separate"/>
      </w:r>
      <w:r>
        <w:rPr>
          <w:rStyle w:val="32"/>
        </w:rPr>
        <w:t>1  范围</w:t>
      </w:r>
      <w:r>
        <w:tab/>
      </w:r>
      <w:r>
        <w:fldChar w:fldCharType="begin"/>
      </w:r>
      <w:r>
        <w:instrText xml:space="preserve"> PAGEREF _Toc114730234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"_Toc114730235" </w:instrText>
      </w:r>
      <w:r>
        <w:fldChar w:fldCharType="separate"/>
      </w:r>
      <w:r>
        <w:rPr>
          <w:rStyle w:val="32"/>
        </w:rPr>
        <w:t>2  规范性引用文件</w:t>
      </w:r>
      <w:r>
        <w:tab/>
      </w:r>
      <w:r>
        <w:fldChar w:fldCharType="begin"/>
      </w:r>
      <w:r>
        <w:instrText xml:space="preserve"> PAGEREF _Toc114730235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"_Toc114730236" </w:instrText>
      </w:r>
      <w:r>
        <w:fldChar w:fldCharType="separate"/>
      </w:r>
      <w:r>
        <w:rPr>
          <w:rStyle w:val="32"/>
        </w:rPr>
        <w:t>3  术语和定义</w:t>
      </w:r>
      <w:r>
        <w:tab/>
      </w:r>
      <w:r>
        <w:fldChar w:fldCharType="begin"/>
      </w:r>
      <w:r>
        <w:instrText xml:space="preserve"> PAGEREF _Toc114730236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"_Toc114730237" </w:instrText>
      </w:r>
      <w:r>
        <w:fldChar w:fldCharType="separate"/>
      </w:r>
      <w:r>
        <w:rPr>
          <w:rStyle w:val="32"/>
        </w:rPr>
        <w:t>4  基本要求</w:t>
      </w:r>
      <w:r>
        <w:tab/>
      </w:r>
      <w:r>
        <w:fldChar w:fldCharType="begin"/>
      </w:r>
      <w:r>
        <w:instrText xml:space="preserve"> PAGEREF _Toc114730237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"_Toc114730238" </w:instrText>
      </w:r>
      <w:r>
        <w:fldChar w:fldCharType="separate"/>
      </w:r>
      <w:r>
        <w:rPr>
          <w:rStyle w:val="32"/>
        </w:rPr>
        <w:t>5  服务内容和要求</w:t>
      </w:r>
      <w:r>
        <w:tab/>
      </w:r>
      <w:r>
        <w:fldChar w:fldCharType="begin"/>
      </w:r>
      <w:r>
        <w:instrText xml:space="preserve"> PAGEREF _Toc114730238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"_Toc114730239" </w:instrText>
      </w:r>
      <w:r>
        <w:fldChar w:fldCharType="separate"/>
      </w:r>
      <w:r>
        <w:rPr>
          <w:rStyle w:val="32"/>
        </w:rPr>
        <w:t>6  运营管理</w:t>
      </w:r>
      <w:r>
        <w:tab/>
      </w:r>
      <w:r>
        <w:fldChar w:fldCharType="begin"/>
      </w:r>
      <w:r>
        <w:instrText xml:space="preserve"> PAGEREF _Toc114730239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"_Toc114730240" </w:instrText>
      </w:r>
      <w:r>
        <w:fldChar w:fldCharType="separate"/>
      </w:r>
      <w:r>
        <w:rPr>
          <w:rStyle w:val="32"/>
        </w:rPr>
        <w:t>7  安全管理</w:t>
      </w:r>
      <w:r>
        <w:tab/>
      </w:r>
      <w:r>
        <w:fldChar w:fldCharType="begin"/>
      </w:r>
      <w:r>
        <w:instrText xml:space="preserve"> PAGEREF _Toc114730240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"_Toc114730241" </w:instrText>
      </w:r>
      <w:r>
        <w:fldChar w:fldCharType="separate"/>
      </w:r>
      <w:r>
        <w:rPr>
          <w:rStyle w:val="32"/>
        </w:rPr>
        <w:t>8  服务评价与改进</w:t>
      </w:r>
      <w:r>
        <w:tab/>
      </w:r>
      <w:r>
        <w:fldChar w:fldCharType="begin"/>
      </w:r>
      <w:r>
        <w:instrText xml:space="preserve"> PAGEREF _Toc114730241 \h </w:instrText>
      </w:r>
      <w:r>
        <w:fldChar w:fldCharType="separate"/>
      </w:r>
      <w:r>
        <w:t>4</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4" w:name="_Toc114730233"/>
      <w:bookmarkStart w:id="25" w:name="BookMark2"/>
      <w:r>
        <w:rPr>
          <w:spacing w:val="320"/>
        </w:rPr>
        <w:t>前</w:t>
      </w:r>
      <w:r>
        <w:t>言</w:t>
      </w:r>
      <w:bookmarkEnd w:id="22"/>
      <w:bookmarkEnd w:id="23"/>
      <w:bookmarkEnd w:id="24"/>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本文件由湖南省民政厅提出。</w:t>
      </w:r>
    </w:p>
    <w:p>
      <w:pPr>
        <w:pStyle w:val="56"/>
        <w:ind w:firstLine="420"/>
      </w:pPr>
      <w:r>
        <w:rPr>
          <w:rFonts w:hint="eastAsia"/>
        </w:rPr>
        <w:t>本文件由湖南省养老服务标准化技术委员会归口。</w:t>
      </w:r>
    </w:p>
    <w:p>
      <w:pPr>
        <w:pStyle w:val="56"/>
        <w:ind w:firstLine="420"/>
      </w:pPr>
      <w:r>
        <w:rPr>
          <w:rFonts w:hint="eastAsia"/>
        </w:rPr>
        <w:t>本文件起草单位：</w:t>
      </w:r>
    </w:p>
    <w:p>
      <w:pPr>
        <w:pStyle w:val="56"/>
        <w:ind w:firstLine="420"/>
      </w:pPr>
      <w:r>
        <w:rPr>
          <w:rFonts w:hint="eastAsia"/>
        </w:rPr>
        <w:t>本文件主要起草人：</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32"/>
          <w:szCs w:val="32"/>
        </w:rPr>
      </w:pPr>
      <w:bookmarkStart w:id="26" w:name="BookMark4"/>
    </w:p>
    <w:p>
      <w:pPr>
        <w:spacing w:line="20" w:lineRule="exact"/>
        <w:jc w:val="center"/>
        <w:rPr>
          <w:rFonts w:ascii="黑体" w:hAnsi="黑体" w:eastAsia="黑体"/>
          <w:sz w:val="32"/>
          <w:szCs w:val="32"/>
        </w:rPr>
      </w:pPr>
    </w:p>
    <w:sdt>
      <w:sdtPr>
        <w:tag w:val="NEW_STAND_NAME"/>
        <w:id w:val="595910757"/>
        <w:lock w:val="sdtLocked"/>
        <w:placeholder>
          <w:docPart w:val="34E489CB07804267BBECCCCB6B635F41"/>
        </w:placeholder>
      </w:sdtPr>
      <w:sdtContent>
        <w:p>
          <w:pPr>
            <w:pStyle w:val="177"/>
            <w:spacing w:before="3" w:beforeLines="1" w:after="686" w:afterLines="220"/>
          </w:pPr>
          <w:bookmarkStart w:id="27" w:name="NEW_STAND_NAME"/>
          <w:r>
            <w:rPr>
              <w:rFonts w:hint="eastAsia"/>
            </w:rPr>
            <w:t>特困人员供养服务机构</w:t>
          </w:r>
          <w:r>
            <w:t>(敬老院)运营管理基本规范</w:t>
          </w:r>
        </w:p>
      </w:sdtContent>
    </w:sdt>
    <w:bookmarkEnd w:id="27"/>
    <w:p>
      <w:pPr>
        <w:pStyle w:val="104"/>
        <w:spacing w:before="312" w:after="312"/>
      </w:pPr>
      <w:bookmarkStart w:id="28" w:name="_Toc97191423"/>
      <w:bookmarkStart w:id="29" w:name="_Toc24884218"/>
      <w:bookmarkStart w:id="30" w:name="_Toc24884211"/>
      <w:bookmarkStart w:id="31" w:name="_Toc17233333"/>
      <w:bookmarkStart w:id="32" w:name="_Toc112226362"/>
      <w:bookmarkStart w:id="33" w:name="_Toc26986530"/>
      <w:bookmarkStart w:id="34" w:name="_Toc26718930"/>
      <w:bookmarkStart w:id="35" w:name="_Toc114730234"/>
      <w:bookmarkStart w:id="36" w:name="_Toc17233325"/>
      <w:bookmarkStart w:id="37" w:name="_Toc26648465"/>
      <w:bookmarkStart w:id="38" w:name="_Toc114472712"/>
      <w:bookmarkStart w:id="39" w:name="_Toc26986771"/>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pPr>
        <w:pStyle w:val="56"/>
        <w:ind w:firstLine="420"/>
      </w:pPr>
      <w:bookmarkStart w:id="40" w:name="_Toc17233326"/>
      <w:bookmarkStart w:id="41" w:name="_Toc17233334"/>
      <w:bookmarkStart w:id="42" w:name="_Toc26648466"/>
      <w:bookmarkStart w:id="43" w:name="_Toc24884212"/>
      <w:bookmarkStart w:id="44" w:name="_Toc24884219"/>
      <w:r>
        <w:rPr>
          <w:rFonts w:hint="eastAsia"/>
        </w:rPr>
        <w:t>本文件规定了特困人员供养服务机构（敬老院）服务的基本要求、服务内容和要求、</w:t>
      </w:r>
      <w:r>
        <w:rPr>
          <w:rFonts w:hint="eastAsia"/>
          <w:lang w:val="en-US" w:eastAsia="zh-CN"/>
        </w:rPr>
        <w:t>运营管理</w:t>
      </w:r>
      <w:r>
        <w:rPr>
          <w:rFonts w:hint="eastAsia"/>
        </w:rPr>
        <w:t>、安全管理、服务评价与改进。</w:t>
      </w:r>
    </w:p>
    <w:p>
      <w:pPr>
        <w:pStyle w:val="56"/>
        <w:ind w:firstLine="420"/>
      </w:pPr>
      <w:r>
        <w:rPr>
          <w:rFonts w:hint="eastAsia"/>
        </w:rPr>
        <w:t>本文件适用于向特困人员提供集中服务的敬老院。</w:t>
      </w:r>
    </w:p>
    <w:p>
      <w:pPr>
        <w:pStyle w:val="104"/>
        <w:spacing w:before="312" w:after="312"/>
      </w:pPr>
      <w:bookmarkStart w:id="45" w:name="_Toc26986772"/>
      <w:bookmarkStart w:id="46" w:name="_Toc97191424"/>
      <w:bookmarkStart w:id="47" w:name="_Toc26718931"/>
      <w:bookmarkStart w:id="48" w:name="_Toc114472713"/>
      <w:bookmarkStart w:id="49" w:name="_Toc112226363"/>
      <w:bookmarkStart w:id="50" w:name="_Toc114730235"/>
      <w:bookmarkStart w:id="51" w:name="_Toc26986531"/>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5B2F0BBF03BF40E4B5FB62257AD8A90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35796-2017  养老机构服务质量基本规范</w:t>
      </w:r>
    </w:p>
    <w:p>
      <w:pPr>
        <w:pStyle w:val="56"/>
        <w:ind w:firstLine="420"/>
      </w:pPr>
      <w:r>
        <w:rPr>
          <w:rFonts w:hint="eastAsia"/>
        </w:rPr>
        <w:t>GB 38600-2019  养老机构服务安全基本规范</w:t>
      </w:r>
    </w:p>
    <w:p>
      <w:pPr>
        <w:pStyle w:val="56"/>
        <w:ind w:firstLine="420"/>
      </w:pPr>
      <w:r>
        <w:rPr>
          <w:rFonts w:hint="eastAsia"/>
        </w:rPr>
        <w:t>MZ/T 032-2012  养老机构安全管理</w:t>
      </w:r>
    </w:p>
    <w:p>
      <w:pPr>
        <w:pStyle w:val="56"/>
        <w:ind w:firstLine="420"/>
      </w:pPr>
      <w:r>
        <w:rPr>
          <w:rFonts w:hint="eastAsia"/>
        </w:rPr>
        <w:t>MZ/T 039  老年人能力评估</w:t>
      </w:r>
    </w:p>
    <w:p>
      <w:pPr>
        <w:pStyle w:val="56"/>
        <w:ind w:firstLine="420"/>
      </w:pPr>
      <w:r>
        <w:rPr>
          <w:rFonts w:hint="eastAsia"/>
        </w:rPr>
        <w:t>MZ/T 168  养老机构老年人健康档案管理规范</w:t>
      </w:r>
    </w:p>
    <w:p>
      <w:pPr>
        <w:pStyle w:val="56"/>
        <w:ind w:firstLine="420"/>
      </w:pPr>
      <w:r>
        <w:rPr>
          <w:rFonts w:hint="eastAsia"/>
        </w:rPr>
        <w:t>MZ/T 187  养老机构岗位设置及人员配置规范</w:t>
      </w:r>
    </w:p>
    <w:p>
      <w:pPr>
        <w:pStyle w:val="56"/>
        <w:ind w:firstLine="420"/>
      </w:pPr>
      <w:r>
        <w:rPr>
          <w:rFonts w:hint="eastAsia"/>
        </w:rPr>
        <w:t>建标 184-2017  特困人员供养服务设施（敬老院）建设标准</w:t>
      </w:r>
    </w:p>
    <w:p>
      <w:pPr>
        <w:pStyle w:val="104"/>
        <w:spacing w:before="312" w:after="312"/>
      </w:pPr>
      <w:bookmarkStart w:id="52" w:name="_Toc114730236"/>
      <w:bookmarkStart w:id="53" w:name="_Toc114472714"/>
      <w:bookmarkStart w:id="54" w:name="_Toc97191425"/>
      <w:bookmarkStart w:id="55" w:name="_Toc112226364"/>
      <w:r>
        <w:rPr>
          <w:rFonts w:hint="eastAsia"/>
        </w:rPr>
        <w:t>术语和定义</w:t>
      </w:r>
      <w:bookmarkEnd w:id="52"/>
      <w:bookmarkEnd w:id="53"/>
      <w:bookmarkEnd w:id="54"/>
      <w:bookmarkEnd w:id="55"/>
    </w:p>
    <w:sdt>
      <w:sdtPr>
        <w:id w:val="-1909835108"/>
        <w:placeholder>
          <w:docPart w:val="69A963ED34C94E11ACAF914B2D3AB31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6" w:name="_Toc26986532"/>
          <w:bookmarkEnd w:id="56"/>
          <w:r>
            <w:t>下列术语和定义适用于本文件。</w:t>
          </w:r>
        </w:p>
      </w:sdtContent>
    </w:sdt>
    <w:p>
      <w:pPr>
        <w:pStyle w:val="223"/>
        <w:ind w:left="420" w:hanging="420" w:hangingChars="200"/>
        <w:rPr>
          <w:rFonts w:ascii="黑体" w:hAnsi="黑体" w:eastAsia="黑体"/>
        </w:rPr>
      </w:pPr>
    </w:p>
    <w:p>
      <w:pPr>
        <w:pStyle w:val="223"/>
        <w:numPr>
          <w:ilvl w:val="0"/>
          <w:numId w:val="0"/>
        </w:numPr>
        <w:ind w:left="420"/>
        <w:rPr>
          <w:rFonts w:ascii="黑体" w:hAnsi="黑体" w:eastAsia="黑体"/>
        </w:rPr>
      </w:pPr>
      <w:r>
        <w:rPr>
          <w:rFonts w:hint="eastAsia" w:ascii="黑体" w:hAnsi="黑体" w:eastAsia="黑体"/>
        </w:rPr>
        <w:t>特困人员   Strands personnel</w:t>
      </w:r>
    </w:p>
    <w:p>
      <w:pPr>
        <w:pStyle w:val="56"/>
        <w:ind w:firstLine="420"/>
        <w:rPr>
          <w:lang w:bidi="ar"/>
        </w:rPr>
      </w:pPr>
      <w:r>
        <w:rPr>
          <w:rFonts w:hint="eastAsia"/>
          <w:lang w:bidi="ar"/>
        </w:rPr>
        <w:t>无劳动能力、无生活来源、无法定赡养抚养扶养义务人或者其法定义务人无履行义务能力的老年人、残疾人及未满16周岁的未成年人。</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供养服务机构（敬老院）service institutions for providing support for the extremely needy (Elderly People＇s Home in Rural Areas) </w:t>
      </w:r>
    </w:p>
    <w:p>
      <w:pPr>
        <w:pStyle w:val="56"/>
        <w:ind w:firstLine="420"/>
        <w:rPr>
          <w:rFonts w:ascii="Calibri" w:hAnsi="Calibri"/>
        </w:rPr>
      </w:pPr>
      <w:r>
        <w:rPr>
          <w:rFonts w:hint="eastAsia"/>
        </w:rPr>
        <w:t>为特困人员提供住宿、生活照料、膳食、文化娱乐和精神慰藉、医疗康复、安宁和丧葬服务的综合性服务机构。简称“敬老院”。</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相关第三方   relevant third  party</w:t>
      </w:r>
    </w:p>
    <w:p>
      <w:pPr>
        <w:pStyle w:val="56"/>
        <w:ind w:firstLine="420"/>
      </w:pPr>
      <w:r>
        <w:rPr>
          <w:rFonts w:hint="eastAsia"/>
        </w:rPr>
        <w:t>为特困人员提供监护或委托带来责任的组织或个人，如村（居）委会、亲属。</w:t>
      </w:r>
    </w:p>
    <w:p>
      <w:pPr>
        <w:pStyle w:val="104"/>
        <w:spacing w:before="312" w:after="312"/>
      </w:pPr>
      <w:bookmarkStart w:id="57" w:name="_Toc114472715"/>
      <w:bookmarkStart w:id="58" w:name="_Toc114730237"/>
      <w:bookmarkStart w:id="59" w:name="_Toc112226365"/>
      <w:r>
        <w:rPr>
          <w:rFonts w:hint="eastAsia"/>
        </w:rPr>
        <w:t>基本要求</w:t>
      </w:r>
      <w:bookmarkEnd w:id="57"/>
      <w:bookmarkEnd w:id="58"/>
      <w:bookmarkEnd w:id="59"/>
    </w:p>
    <w:p>
      <w:pPr>
        <w:pStyle w:val="105"/>
        <w:spacing w:before="156" w:after="156"/>
      </w:pPr>
      <w:r>
        <w:rPr>
          <w:rFonts w:hint="eastAsia"/>
        </w:rPr>
        <w:t>运营资质</w:t>
      </w:r>
    </w:p>
    <w:p>
      <w:pPr>
        <w:pStyle w:val="165"/>
      </w:pPr>
      <w:r>
        <w:rPr>
          <w:rFonts w:hint="eastAsia"/>
        </w:rPr>
        <w:t>敬老院应依法办理事业单位法人登记，并实施养老机构备案。</w:t>
      </w:r>
    </w:p>
    <w:p>
      <w:pPr>
        <w:pStyle w:val="165"/>
      </w:pPr>
      <w:r>
        <w:rPr>
          <w:rFonts w:hint="eastAsia"/>
        </w:rPr>
        <w:t>敬老院应依法取得消防合格或备案手续。</w:t>
      </w:r>
    </w:p>
    <w:p>
      <w:pPr>
        <w:pStyle w:val="165"/>
      </w:pPr>
      <w:r>
        <w:rPr>
          <w:rFonts w:hint="eastAsia"/>
        </w:rPr>
        <w:t>提供餐饮服务的敬老院，应持有食品经营许可证。</w:t>
      </w:r>
    </w:p>
    <w:p>
      <w:pPr>
        <w:pStyle w:val="165"/>
      </w:pPr>
      <w:r>
        <w:rPr>
          <w:rFonts w:hint="eastAsia"/>
        </w:rPr>
        <w:t>敬老院的内设医疗机构，应持有医疗机构执业许可证或医疗备案证明。</w:t>
      </w:r>
    </w:p>
    <w:p>
      <w:pPr>
        <w:pStyle w:val="165"/>
      </w:pPr>
      <w:r>
        <w:rPr>
          <w:rFonts w:hint="eastAsia"/>
        </w:rPr>
        <w:t>提供其他应依法许可服务的敬老院，应持有相应许可证明。</w:t>
      </w:r>
    </w:p>
    <w:p>
      <w:pPr>
        <w:pStyle w:val="165"/>
      </w:pPr>
      <w:r>
        <w:rPr>
          <w:rFonts w:hint="eastAsia"/>
        </w:rPr>
        <w:t>外包服务应与有资质的外包服务机构签订协议。</w:t>
      </w:r>
    </w:p>
    <w:p>
      <w:pPr>
        <w:pStyle w:val="105"/>
        <w:spacing w:before="156" w:after="156"/>
      </w:pPr>
      <w:r>
        <w:rPr>
          <w:rFonts w:hint="eastAsia"/>
        </w:rPr>
        <w:t>场所、设施设备和生活用品</w:t>
      </w:r>
      <w:r>
        <w:rPr>
          <w:rFonts w:hint="eastAsia"/>
          <w:color w:val="FF0000"/>
        </w:rPr>
        <w:t xml:space="preserve"> </w:t>
      </w:r>
    </w:p>
    <w:p>
      <w:pPr>
        <w:pStyle w:val="165"/>
      </w:pPr>
      <w:r>
        <w:rPr>
          <w:rFonts w:hint="eastAsia"/>
        </w:rPr>
        <w:t>敬老院环境及设施设备应符合建标 184-2017和GB/T 35796-2017中6.3的规定。</w:t>
      </w:r>
    </w:p>
    <w:p>
      <w:pPr>
        <w:pStyle w:val="165"/>
      </w:pPr>
      <w:r>
        <w:rPr>
          <w:rFonts w:hint="eastAsia"/>
        </w:rPr>
        <w:t>敬老院应根据特困人员生活特点，合理划分生活、生产、娱乐、康复等区域，有条件的供养服务机构宜具备开展农副业生产所必需的场地和设施。</w:t>
      </w:r>
    </w:p>
    <w:p>
      <w:pPr>
        <w:pStyle w:val="165"/>
      </w:pPr>
      <w:r>
        <w:rPr>
          <w:rFonts w:hint="eastAsia"/>
        </w:rPr>
        <w:t>敬老院应设置无障碍设施、呼叫装置、可视监控系统。</w:t>
      </w:r>
    </w:p>
    <w:p>
      <w:pPr>
        <w:pStyle w:val="165"/>
      </w:pPr>
      <w:r>
        <w:rPr>
          <w:rFonts w:hint="eastAsia"/>
        </w:rPr>
        <w:t>敬老院应配置基本生活设施，配备必要的膳食制作、医疗保健、文体娱乐、 温度调节、安全防护等设施设备。</w:t>
      </w:r>
    </w:p>
    <w:p>
      <w:pPr>
        <w:pStyle w:val="165"/>
      </w:pPr>
      <w:r>
        <w:rPr>
          <w:rFonts w:hint="eastAsia"/>
        </w:rPr>
        <w:t>敬老院应提供符合基本居住条件的居室，配置床、桌、椅、衣柜等必要的家具和设备，提供四季服装、被褥等必需的生活用品。</w:t>
      </w:r>
    </w:p>
    <w:p>
      <w:pPr>
        <w:pStyle w:val="104"/>
        <w:spacing w:before="312" w:after="312"/>
      </w:pPr>
      <w:bookmarkStart w:id="60" w:name="_Toc114730238"/>
      <w:bookmarkStart w:id="61" w:name="_Toc114472716"/>
      <w:bookmarkStart w:id="62" w:name="_Toc112226366"/>
      <w:r>
        <w:rPr>
          <w:rFonts w:hint="eastAsia"/>
        </w:rPr>
        <w:t>服务内容和要求</w:t>
      </w:r>
      <w:bookmarkEnd w:id="60"/>
      <w:bookmarkEnd w:id="61"/>
      <w:bookmarkEnd w:id="62"/>
    </w:p>
    <w:p>
      <w:pPr>
        <w:pStyle w:val="105"/>
        <w:spacing w:before="156" w:after="156"/>
      </w:pPr>
      <w:r>
        <w:rPr>
          <w:rFonts w:hint="eastAsia"/>
        </w:rPr>
        <w:t>出入院服务</w:t>
      </w:r>
    </w:p>
    <w:p>
      <w:pPr>
        <w:pStyle w:val="165"/>
      </w:pPr>
      <w:r>
        <w:rPr>
          <w:rFonts w:hint="eastAsia"/>
        </w:rPr>
        <w:t>出入院服务主要包括入院评估、入院手续办理、出院手续办理。</w:t>
      </w:r>
    </w:p>
    <w:p>
      <w:pPr>
        <w:pStyle w:val="165"/>
      </w:pPr>
      <w:r>
        <w:rPr>
          <w:rFonts w:hint="eastAsia"/>
        </w:rPr>
        <w:t>应按照MZ/T  039或相应国家、行业、地方标准的要求，对特困人员进行入院评估。</w:t>
      </w:r>
    </w:p>
    <w:p>
      <w:pPr>
        <w:pStyle w:val="165"/>
      </w:pPr>
      <w:r>
        <w:rPr>
          <w:rFonts w:hint="eastAsia"/>
        </w:rPr>
        <w:t>应根据评估结果确定护理等级，制定照护计划。</w:t>
      </w:r>
    </w:p>
    <w:p>
      <w:pPr>
        <w:pStyle w:val="165"/>
      </w:pPr>
      <w:r>
        <w:rPr>
          <w:rFonts w:hint="eastAsia"/>
        </w:rPr>
        <w:t>应与相关第三方签订入院服务合同，采集基本信息，办理入院手续，并为入院特困人员建立个人档案。</w:t>
      </w:r>
    </w:p>
    <w:p>
      <w:pPr>
        <w:pStyle w:val="165"/>
      </w:pPr>
      <w:r>
        <w:rPr>
          <w:rFonts w:hint="eastAsia"/>
        </w:rPr>
        <w:t>根据特困人员或相关第三方申请，办理转院、出（退）院手续。特困人员出院应上报当地乡镇人民政府（街道办事处）。</w:t>
      </w:r>
    </w:p>
    <w:p>
      <w:pPr>
        <w:pStyle w:val="105"/>
        <w:spacing w:before="156" w:after="156"/>
      </w:pPr>
      <w:r>
        <w:rPr>
          <w:rFonts w:hint="eastAsia"/>
        </w:rPr>
        <w:t>生活照料服务</w:t>
      </w:r>
    </w:p>
    <w:p>
      <w:pPr>
        <w:pStyle w:val="165"/>
      </w:pPr>
      <w:r>
        <w:rPr>
          <w:rFonts w:hint="eastAsia"/>
        </w:rPr>
        <w:t>生活照料服务应包括特困人员个人生活照料、洗涤、清洁卫生服务。</w:t>
      </w:r>
    </w:p>
    <w:p>
      <w:pPr>
        <w:pStyle w:val="165"/>
      </w:pPr>
      <w:r>
        <w:rPr>
          <w:rFonts w:hint="eastAsia"/>
        </w:rPr>
        <w:t>个人生活照料包括个人卫生服务、排泄照料服务、生活器具服务、饮食照料服务、题为转移及位置转移服务。</w:t>
      </w:r>
    </w:p>
    <w:p>
      <w:pPr>
        <w:pStyle w:val="165"/>
      </w:pPr>
      <w:r>
        <w:rPr>
          <w:rFonts w:hint="eastAsia"/>
        </w:rPr>
        <w:t>应根据特困人员的生活自理能力，对自理、部分自理、完全不能自理对象分级照护。</w:t>
      </w:r>
    </w:p>
    <w:p>
      <w:pPr>
        <w:pStyle w:val="174"/>
        <w:numPr>
          <w:ilvl w:val="0"/>
          <w:numId w:val="32"/>
        </w:numPr>
      </w:pPr>
      <w:r>
        <w:rPr>
          <w:rFonts w:hint="eastAsia"/>
        </w:rPr>
        <w:t>对生活自理特困人员，鼓励自行料理生活起居，清洗本人衣物，保持个人卫生和居室整洁；提供提醒用餐、就寝、夜间巡视服务。</w:t>
      </w:r>
    </w:p>
    <w:p>
      <w:pPr>
        <w:pStyle w:val="174"/>
      </w:pPr>
      <w:r>
        <w:rPr>
          <w:rFonts w:hint="eastAsia"/>
        </w:rPr>
        <w:t>对部分自理特困人员，提供协助用餐、协助生活起居、协助个人卫生、协助衣服清洁、协助居室清洁服务。</w:t>
      </w:r>
    </w:p>
    <w:p>
      <w:pPr>
        <w:pStyle w:val="174"/>
      </w:pPr>
      <w:r>
        <w:rPr>
          <w:rFonts w:hint="eastAsia"/>
        </w:rPr>
        <w:t>对完全不能自理特困人员，提供用餐、生活起居、体位转移、排泄、个人卫生、衣物清洁、居室清洁服务。</w:t>
      </w:r>
    </w:p>
    <w:p>
      <w:pPr>
        <w:pStyle w:val="165"/>
      </w:pPr>
      <w:r>
        <w:rPr>
          <w:rFonts w:hint="eastAsia"/>
        </w:rPr>
        <w:t>应定期清洁特困人员被褥、窗帘等织物。</w:t>
      </w:r>
    </w:p>
    <w:p>
      <w:pPr>
        <w:pStyle w:val="165"/>
      </w:pPr>
      <w:r>
        <w:rPr>
          <w:rFonts w:hint="eastAsia"/>
        </w:rPr>
        <w:t>居室和公共区域应保持干净、整齐，空气清新无异味，无霉变，地面无积水。</w:t>
      </w:r>
    </w:p>
    <w:p>
      <w:pPr>
        <w:pStyle w:val="165"/>
      </w:pPr>
      <w:r>
        <w:rPr>
          <w:rFonts w:hint="eastAsia"/>
        </w:rPr>
        <w:t xml:space="preserve">应定期对公共区域及公用设备进行清洁和消毒。  </w:t>
      </w:r>
    </w:p>
    <w:p>
      <w:pPr>
        <w:pStyle w:val="105"/>
        <w:spacing w:before="156" w:after="156"/>
      </w:pPr>
      <w:r>
        <w:rPr>
          <w:rFonts w:hint="eastAsia"/>
        </w:rPr>
        <w:t>膳食服务</w:t>
      </w:r>
    </w:p>
    <w:p>
      <w:pPr>
        <w:pStyle w:val="165"/>
      </w:pPr>
      <w:r>
        <w:rPr>
          <w:rFonts w:hint="eastAsia"/>
        </w:rPr>
        <w:t>膳食服务应包括特困人员集体用餐和个人用餐服务。</w:t>
      </w:r>
    </w:p>
    <w:p>
      <w:pPr>
        <w:pStyle w:val="165"/>
      </w:pPr>
      <w:r>
        <w:rPr>
          <w:rFonts w:hint="eastAsia"/>
        </w:rPr>
        <w:t>提供的餐食应营养均衡，符合特困人员生理特点、身体状况、地域特点和宗教信仰、民族习惯。</w:t>
      </w:r>
    </w:p>
    <w:p>
      <w:pPr>
        <w:pStyle w:val="165"/>
      </w:pPr>
      <w:r>
        <w:rPr>
          <w:rFonts w:hint="eastAsia"/>
        </w:rPr>
        <w:t>食品采购、储存、加工和制作应符合GB/T 35796-2017的要求。</w:t>
      </w:r>
    </w:p>
    <w:p>
      <w:pPr>
        <w:pStyle w:val="165"/>
      </w:pPr>
      <w:r>
        <w:rPr>
          <w:rFonts w:hint="eastAsia"/>
        </w:rPr>
        <w:t>应建立食品留样备查制度，留样品种齐全，每种样品不少于125克，并在留样盒上标注品名、时间、采样人，将留样盒放置于0℃～4℃冰箱内，储存时间不少于48小时，并做好留样记录。</w:t>
      </w:r>
    </w:p>
    <w:p>
      <w:pPr>
        <w:pStyle w:val="105"/>
        <w:spacing w:before="156" w:after="156"/>
      </w:pPr>
      <w:r>
        <w:rPr>
          <w:rFonts w:hint="eastAsia"/>
        </w:rPr>
        <w:t>文化娱乐和精神慰藉</w:t>
      </w:r>
      <w:bookmarkStart w:id="70" w:name="_GoBack"/>
      <w:bookmarkEnd w:id="70"/>
      <w:r>
        <w:rPr>
          <w:rFonts w:hint="eastAsia"/>
        </w:rPr>
        <w:t>服务</w:t>
      </w:r>
    </w:p>
    <w:p>
      <w:pPr>
        <w:pStyle w:val="165"/>
      </w:pPr>
      <w:r>
        <w:rPr>
          <w:rFonts w:hint="eastAsia"/>
        </w:rPr>
        <w:t>文娱功能用房应每日开放，定期组织开展文娱、体育、健身活动。</w:t>
      </w:r>
    </w:p>
    <w:p>
      <w:pPr>
        <w:pStyle w:val="165"/>
      </w:pPr>
      <w:r>
        <w:rPr>
          <w:rFonts w:hint="eastAsia"/>
        </w:rPr>
        <w:t>节日、纪念日应开展庆祝等活动。</w:t>
      </w:r>
    </w:p>
    <w:p>
      <w:pPr>
        <w:pStyle w:val="165"/>
      </w:pPr>
      <w:r>
        <w:rPr>
          <w:rFonts w:hint="eastAsia"/>
        </w:rPr>
        <w:t>组织年轻特困人员陪伴、照顾年老特困人员，组织志愿者定期开展慰问活动。</w:t>
      </w:r>
    </w:p>
    <w:p>
      <w:pPr>
        <w:pStyle w:val="165"/>
      </w:pPr>
      <w:r>
        <w:rPr>
          <w:rFonts w:hint="eastAsia"/>
        </w:rPr>
        <w:t>督促相关第三方定期探访。</w:t>
      </w:r>
    </w:p>
    <w:p>
      <w:pPr>
        <w:pStyle w:val="165"/>
      </w:pPr>
      <w:r>
        <w:rPr>
          <w:rFonts w:hint="eastAsia"/>
        </w:rPr>
        <w:t>发现特困人员出现异常情绪，应及时陪伴沟通，并告知相关第三方。必要时请医护人员、社会工作者及时介入。</w:t>
      </w:r>
    </w:p>
    <w:p>
      <w:pPr>
        <w:pStyle w:val="105"/>
        <w:spacing w:before="156" w:after="156"/>
      </w:pPr>
      <w:r>
        <w:rPr>
          <w:rFonts w:hint="eastAsia"/>
        </w:rPr>
        <w:t>医疗康复服务</w:t>
      </w:r>
    </w:p>
    <w:p>
      <w:pPr>
        <w:pStyle w:val="165"/>
      </w:pPr>
      <w:r>
        <w:rPr>
          <w:rFonts w:hint="eastAsia"/>
        </w:rPr>
        <w:t>医疗康复服务应包括常见病多发病诊疗、健康指导、预防保健、康复护理服务和院内感染控制。</w:t>
      </w:r>
    </w:p>
    <w:p>
      <w:pPr>
        <w:pStyle w:val="165"/>
      </w:pPr>
      <w:r>
        <w:rPr>
          <w:rFonts w:hint="eastAsia"/>
        </w:rPr>
        <w:t>设立医务室的敬老院，应为特困人员提供多发病、常见病的治疗。</w:t>
      </w:r>
    </w:p>
    <w:p>
      <w:pPr>
        <w:pStyle w:val="165"/>
      </w:pPr>
      <w:r>
        <w:rPr>
          <w:rFonts w:hint="eastAsia"/>
        </w:rPr>
        <w:t>没有设立医务室的敬老院，应与周边医疗机构、基层卫生院签订合作协议，定期对特困人员进行巡查，上门为特困人员提供诊疗服务，为需住院的特困人员开放住院绿色通道。</w:t>
      </w:r>
    </w:p>
    <w:p>
      <w:pPr>
        <w:pStyle w:val="165"/>
      </w:pPr>
      <w:r>
        <w:rPr>
          <w:rFonts w:hint="eastAsia"/>
        </w:rPr>
        <w:t>每年应组织特困人员体检。服务人员常应观察特困人员生命体征、病情变化、体重变化。</w:t>
      </w:r>
    </w:p>
    <w:p>
      <w:pPr>
        <w:pStyle w:val="165"/>
      </w:pPr>
      <w:r>
        <w:rPr>
          <w:rFonts w:hint="eastAsia"/>
        </w:rPr>
        <w:t>应定期举办健康讲座，组织特困人员开展合适的健康锻炼。</w:t>
      </w:r>
    </w:p>
    <w:p>
      <w:pPr>
        <w:pStyle w:val="165"/>
      </w:pPr>
      <w:r>
        <w:rPr>
          <w:rFonts w:hint="eastAsia"/>
        </w:rPr>
        <w:t>指导特困人员使用康复辅助器具，如健身设备、轮椅、助行器等使用方法、安全注意事项。</w:t>
      </w:r>
    </w:p>
    <w:p>
      <w:pPr>
        <w:pStyle w:val="165"/>
      </w:pPr>
      <w:r>
        <w:rPr>
          <w:rFonts w:hint="eastAsia"/>
        </w:rPr>
        <w:t>应建立院内感染预防和处理办法，有消毒隔离制度。</w:t>
      </w:r>
    </w:p>
    <w:p>
      <w:pPr>
        <w:pStyle w:val="165"/>
      </w:pPr>
      <w:r>
        <w:rPr>
          <w:rFonts w:hint="eastAsia"/>
        </w:rPr>
        <w:t xml:space="preserve">特困人员患传染病、精神障碍等疾病时，应及时送往专门的医疗机构治疗。 </w:t>
      </w:r>
    </w:p>
    <w:p>
      <w:pPr>
        <w:pStyle w:val="105"/>
        <w:spacing w:before="156" w:after="156"/>
      </w:pPr>
      <w:r>
        <w:rPr>
          <w:rFonts w:hint="eastAsia"/>
        </w:rPr>
        <w:t>安宁和丧葬服务</w:t>
      </w:r>
    </w:p>
    <w:p>
      <w:pPr>
        <w:pStyle w:val="165"/>
      </w:pPr>
      <w:r>
        <w:rPr>
          <w:rFonts w:hint="eastAsia"/>
        </w:rPr>
        <w:t>应设立临终关怀室，提供安宁服务，帮助特困人员安详、有尊严地度过生命终期。</w:t>
      </w:r>
    </w:p>
    <w:p>
      <w:pPr>
        <w:pStyle w:val="165"/>
      </w:pPr>
      <w:r>
        <w:rPr>
          <w:rFonts w:hint="eastAsia"/>
        </w:rPr>
        <w:t>引导相关第三方接受特困人员临终状况，指导和协助相关第三方处理特困人员后事。</w:t>
      </w:r>
    </w:p>
    <w:p>
      <w:pPr>
        <w:pStyle w:val="165"/>
      </w:pPr>
      <w:r>
        <w:rPr>
          <w:rFonts w:hint="eastAsia"/>
        </w:rPr>
        <w:t>特困人员死亡后，通知村（居）委会，上报县（区）民政局，协助相关第三方办理特困人员销户、社会保险、丧葬补贴、财产处理等事宜。</w:t>
      </w:r>
    </w:p>
    <w:p>
      <w:pPr>
        <w:pStyle w:val="104"/>
        <w:spacing w:before="312" w:after="312"/>
      </w:pPr>
      <w:bookmarkStart w:id="63" w:name="_Toc114730239"/>
      <w:r>
        <w:rPr>
          <w:rFonts w:hint="eastAsia"/>
        </w:rPr>
        <w:t>运营管理</w:t>
      </w:r>
      <w:bookmarkEnd w:id="63"/>
    </w:p>
    <w:p>
      <w:pPr>
        <w:pStyle w:val="162"/>
      </w:pPr>
      <w:r>
        <w:rPr>
          <w:rFonts w:hint="eastAsia"/>
        </w:rPr>
        <w:t xml:space="preserve"> 敬老院应优先为部分失能及完全不能自理特困人员提供集中供养服务，并在满足特困人员集中供养需求的前提下，为社会失能、失智、高龄等特殊困难老年人提供养老服务。</w:t>
      </w:r>
    </w:p>
    <w:p>
      <w:pPr>
        <w:pStyle w:val="162"/>
      </w:pPr>
      <w:r>
        <w:rPr>
          <w:rFonts w:hint="eastAsia"/>
        </w:rPr>
        <w:t>敬老院的服务管理应符合GB/T 35796-2017中6.1的要求。</w:t>
      </w:r>
    </w:p>
    <w:p>
      <w:pPr>
        <w:pStyle w:val="162"/>
      </w:pPr>
      <w:r>
        <w:rPr>
          <w:rFonts w:hint="eastAsia"/>
        </w:rPr>
        <w:t>敬老院收到个人申请或民政部门审批手续后，应安排特困人员体检，判断是否属于本院能收住对象，精神病、传染病患者不应入院。</w:t>
      </w:r>
    </w:p>
    <w:p>
      <w:pPr>
        <w:pStyle w:val="162"/>
      </w:pPr>
      <w:r>
        <w:rPr>
          <w:rFonts w:hint="eastAsia"/>
        </w:rPr>
        <w:t xml:space="preserve">敬老院应执行定期评估制度，每年定期或在特困人员身体、精神状态发生变化时，开展特困人员能力评估，并根据评估结果调整服务内容和照护计划。   </w:t>
      </w:r>
    </w:p>
    <w:p>
      <w:pPr>
        <w:pStyle w:val="162"/>
      </w:pPr>
      <w:r>
        <w:rPr>
          <w:rFonts w:hint="eastAsia"/>
        </w:rPr>
        <w:t>按照“一人一档”建立特困人员档案，并及时更新。健康档案符合MZ/T 168的规定。</w:t>
      </w:r>
    </w:p>
    <w:p>
      <w:pPr>
        <w:pStyle w:val="162"/>
      </w:pPr>
      <w:r>
        <w:rPr>
          <w:rFonts w:hint="eastAsia"/>
        </w:rPr>
        <w:t>敬老院应配置满足管理和特困人员照护需求的工作人员，专职院长、护理人员、厨师应配备至少各1名，人员配置应符合MZ/T 187的相关要求。</w:t>
      </w:r>
    </w:p>
    <w:p>
      <w:pPr>
        <w:pStyle w:val="162"/>
      </w:pPr>
      <w:r>
        <w:rPr>
          <w:rFonts w:hint="eastAsia"/>
        </w:rPr>
        <w:t>敬老院应对工作人员进行岗前培训，培训合格后上岗。定期组织工作人员学习和培训，提升服务技能。</w:t>
      </w:r>
    </w:p>
    <w:p>
      <w:pPr>
        <w:pStyle w:val="104"/>
        <w:spacing w:before="312" w:after="312"/>
      </w:pPr>
      <w:bookmarkStart w:id="64" w:name="_Toc114730240"/>
      <w:bookmarkStart w:id="65" w:name="_Toc114472718"/>
      <w:bookmarkStart w:id="66" w:name="_Toc112226368"/>
      <w:r>
        <w:rPr>
          <w:rFonts w:hint="eastAsia"/>
        </w:rPr>
        <w:t>安全管理</w:t>
      </w:r>
      <w:bookmarkEnd w:id="64"/>
      <w:bookmarkEnd w:id="65"/>
      <w:r>
        <w:rPr>
          <w:rFonts w:hint="eastAsia"/>
        </w:rPr>
        <w:t xml:space="preserve"> </w:t>
      </w:r>
    </w:p>
    <w:p>
      <w:pPr>
        <w:pStyle w:val="105"/>
        <w:spacing w:before="156" w:after="156"/>
      </w:pPr>
      <w:r>
        <w:rPr>
          <w:rFonts w:hint="eastAsia"/>
        </w:rPr>
        <w:t>总体要求</w:t>
      </w:r>
    </w:p>
    <w:p>
      <w:pPr>
        <w:pStyle w:val="165"/>
      </w:pPr>
      <w:r>
        <w:rPr>
          <w:rFonts w:hint="eastAsia"/>
        </w:rPr>
        <w:t>敬老院安全管理应符合GB/T 35796-2017中6.4的规定。</w:t>
      </w:r>
    </w:p>
    <w:p>
      <w:pPr>
        <w:pStyle w:val="165"/>
      </w:pPr>
      <w:r>
        <w:rPr>
          <w:rFonts w:hint="eastAsia"/>
        </w:rPr>
        <w:t>敬老院应明确安全岗位职责和安全责任人。</w:t>
      </w:r>
    </w:p>
    <w:p>
      <w:pPr>
        <w:pStyle w:val="105"/>
        <w:spacing w:before="156" w:after="156"/>
        <w:rPr>
          <w:lang w:bidi="ar"/>
        </w:rPr>
      </w:pPr>
      <w:r>
        <w:rPr>
          <w:rFonts w:hint="eastAsia"/>
          <w:lang w:bidi="ar"/>
        </w:rPr>
        <w:t>消防安全</w:t>
      </w:r>
    </w:p>
    <w:p>
      <w:pPr>
        <w:pStyle w:val="165"/>
      </w:pPr>
      <w:r>
        <w:rPr>
          <w:rFonts w:hint="eastAsia"/>
        </w:rPr>
        <w:t>敬老院消防安全管理应符合MZ/T 032-2012中5.1和第7章的规定。</w:t>
      </w:r>
    </w:p>
    <w:p>
      <w:pPr>
        <w:pStyle w:val="165"/>
      </w:pPr>
      <w:r>
        <w:rPr>
          <w:rFonts w:hint="eastAsia"/>
        </w:rPr>
        <w:t>敬老院应制定消防安全制度、灭火和应急疏散预案。</w:t>
      </w:r>
    </w:p>
    <w:p>
      <w:pPr>
        <w:pStyle w:val="165"/>
        <w:rPr>
          <w:rFonts w:hAnsi="宋体" w:cs="宋体"/>
          <w:szCs w:val="21"/>
          <w:lang w:bidi="ar"/>
        </w:rPr>
      </w:pPr>
      <w:r>
        <w:rPr>
          <w:rFonts w:hint="eastAsia"/>
        </w:rPr>
        <w:t>敬老院应落</w:t>
      </w:r>
      <w:r>
        <w:rPr>
          <w:rFonts w:hint="eastAsia" w:hAnsi="宋体" w:cs="宋体"/>
          <w:szCs w:val="21"/>
          <w:lang w:bidi="ar"/>
        </w:rPr>
        <w:t>实每日防火巡查、每月组织防火检查、每季度开展 1 次安全教育培训、每半年开展 1 次消防演练和各类应急预案演练。</w:t>
      </w:r>
    </w:p>
    <w:p>
      <w:pPr>
        <w:pStyle w:val="165"/>
        <w:rPr>
          <w:rFonts w:hAnsi="宋体" w:cs="宋体"/>
          <w:lang w:bidi="ar"/>
        </w:rPr>
      </w:pPr>
      <w:r>
        <w:rPr>
          <w:rFonts w:hint="eastAsia" w:hAnsi="宋体" w:cs="宋体"/>
          <w:szCs w:val="21"/>
          <w:lang w:bidi="ar"/>
        </w:rPr>
        <w:t>敬老院应按规定配齐消防设施和器材，并每年进行 1 次全面检测和定期组织维修保养确保其完好有效。</w:t>
      </w:r>
    </w:p>
    <w:p>
      <w:pPr>
        <w:pStyle w:val="105"/>
        <w:spacing w:before="156" w:after="156"/>
      </w:pPr>
      <w:r>
        <w:rPr>
          <w:rFonts w:hint="eastAsia"/>
        </w:rPr>
        <w:t>食品安全</w:t>
      </w:r>
    </w:p>
    <w:p>
      <w:pPr>
        <w:pStyle w:val="165"/>
        <w:rPr>
          <w:lang w:bidi="ar"/>
        </w:rPr>
      </w:pPr>
      <w:r>
        <w:rPr>
          <w:rFonts w:hint="eastAsia"/>
          <w:lang w:bidi="ar"/>
        </w:rPr>
        <w:t>敬老院食品安全管理应符合 MZ/T 032-2012 中第 6 章的规定。</w:t>
      </w:r>
    </w:p>
    <w:p>
      <w:pPr>
        <w:pStyle w:val="165"/>
        <w:rPr>
          <w:lang w:bidi="ar"/>
        </w:rPr>
      </w:pPr>
      <w:r>
        <w:rPr>
          <w:rFonts w:hint="eastAsia"/>
          <w:lang w:bidi="ar"/>
        </w:rPr>
        <w:t>敬老院应有科学有效的食品安全管理措施，成品与半成品分开、生熟分开，厨房供应的每餐食物执行食物留样备查制度。</w:t>
      </w:r>
    </w:p>
    <w:p>
      <w:pPr>
        <w:pStyle w:val="165"/>
      </w:pPr>
      <w:r>
        <w:rPr>
          <w:rFonts w:hint="eastAsia"/>
          <w:lang w:bidi="ar"/>
        </w:rPr>
        <w:t>膳食服务提供者健康证持有率应达到 100%。</w:t>
      </w:r>
    </w:p>
    <w:p>
      <w:pPr>
        <w:pStyle w:val="105"/>
        <w:spacing w:before="156" w:after="156"/>
      </w:pPr>
      <w:r>
        <w:rPr>
          <w:rFonts w:hint="eastAsia"/>
        </w:rPr>
        <w:t>人身安全</w:t>
      </w:r>
    </w:p>
    <w:p>
      <w:pPr>
        <w:pStyle w:val="165"/>
        <w:rPr>
          <w:lang w:bidi="ar"/>
        </w:rPr>
      </w:pPr>
      <w:r>
        <w:rPr>
          <w:rFonts w:hint="eastAsia"/>
          <w:lang w:bidi="ar"/>
        </w:rPr>
        <w:t>敬老院人身安全管理应符合 MZ/T 032-2012 中第 9 章的规定。</w:t>
      </w:r>
    </w:p>
    <w:p>
      <w:pPr>
        <w:pStyle w:val="165"/>
      </w:pPr>
      <w:r>
        <w:rPr>
          <w:rFonts w:hint="eastAsia"/>
          <w:lang w:bidi="ar"/>
        </w:rPr>
        <w:t>建立人身安全管理制度，包括但不限于 24 小时值班制度、出入登记制度和请销假制度等。</w:t>
      </w:r>
    </w:p>
    <w:p>
      <w:pPr>
        <w:pStyle w:val="104"/>
        <w:spacing w:before="312" w:after="312"/>
      </w:pPr>
      <w:bookmarkStart w:id="67" w:name="_Toc114730241"/>
      <w:bookmarkStart w:id="68" w:name="_Toc114472719"/>
      <w:r>
        <w:rPr>
          <w:rFonts w:hint="eastAsia"/>
        </w:rPr>
        <w:t>服务评价与改进</w:t>
      </w:r>
      <w:bookmarkEnd w:id="66"/>
      <w:bookmarkEnd w:id="67"/>
      <w:bookmarkEnd w:id="68"/>
    </w:p>
    <w:p>
      <w:pPr>
        <w:pStyle w:val="162"/>
      </w:pPr>
      <w:r>
        <w:rPr>
          <w:rFonts w:hint="eastAsia"/>
        </w:rPr>
        <w:t>敬老院应设立自治委员会，由工作人员和特困人员组成，行使监督权力，定期听取特困人员及相关第三方的建设和意见。</w:t>
      </w:r>
    </w:p>
    <w:p>
      <w:pPr>
        <w:pStyle w:val="162"/>
      </w:pPr>
      <w:r>
        <w:rPr>
          <w:rFonts w:hint="eastAsia"/>
        </w:rPr>
        <w:t>敬老院应设置投诉电话和意见箱，收集服务意见和建议。</w:t>
      </w:r>
    </w:p>
    <w:p>
      <w:pPr>
        <w:pStyle w:val="162"/>
      </w:pPr>
      <w:r>
        <w:rPr>
          <w:rFonts w:hint="eastAsia"/>
        </w:rPr>
        <w:t>敬老院应定期开展机构内的服务质量检查与考核。每年开展不少于一次服务满意度调查，服务未达到需求的分析原因及时纠正。</w:t>
      </w:r>
    </w:p>
    <w:p>
      <w:pPr>
        <w:pStyle w:val="162"/>
      </w:pPr>
      <w:r>
        <w:rPr>
          <w:rFonts w:hint="eastAsia"/>
        </w:rPr>
        <w:t>敬老院收到意见建议或投诉后，应认真听取意见，及时准确记录，调查处理并反馈相关人员。</w:t>
      </w:r>
    </w:p>
    <w:p>
      <w:pPr>
        <w:pStyle w:val="162"/>
      </w:pPr>
      <w:r>
        <w:rPr>
          <w:rFonts w:hint="eastAsia"/>
        </w:rPr>
        <w:t>敬老院宜邀请政府监管部门、相关专家或第三方专业机构,对服务质量进行评价。对不符合标准要求的服务制定纠正和预防措施，并跟踪实施和改进。</w:t>
      </w:r>
    </w:p>
    <w:bookmarkEnd w:id="26"/>
    <w:p>
      <w:pPr>
        <w:pStyle w:val="162"/>
        <w:numPr>
          <w:ilvl w:val="0"/>
          <w:numId w:val="0"/>
        </w:numPr>
        <w:jc w:val="center"/>
      </w:pPr>
      <w:bookmarkStart w:id="69"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1" w:cryptProviderType="rsaAES" w:cryptAlgorithmClass="hash" w:cryptAlgorithmType="typeAny" w:cryptAlgorithmSid="14" w:cryptSpinCount="100000" w:hash="SbzBRQWdHjTGJG6cKac/MZ3QCVq8Oy3BUgkQBygKn419MVO+XNnNmW3B3/JSSWv5d7dSPa8PEB4XZKP+JNBrcQ==" w:salt="/EpuaQYo3B+3cLZeZt65mQ=="/>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Nzk2NThlNzNmYTk1YTBiN2VhYzQxMGIwYmJkN2MifQ=="/>
  </w:docVars>
  <w:rsids>
    <w:rsidRoot w:val="00845F33"/>
    <w:rsid w:val="0000040A"/>
    <w:rsid w:val="00000A94"/>
    <w:rsid w:val="00001972"/>
    <w:rsid w:val="00001D9A"/>
    <w:rsid w:val="00007B3A"/>
    <w:rsid w:val="000107E0"/>
    <w:rsid w:val="00011FDE"/>
    <w:rsid w:val="00012FFD"/>
    <w:rsid w:val="00014162"/>
    <w:rsid w:val="00014340"/>
    <w:rsid w:val="000150D7"/>
    <w:rsid w:val="00016A9C"/>
    <w:rsid w:val="000200D6"/>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8E0"/>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4C1"/>
    <w:rsid w:val="000C7666"/>
    <w:rsid w:val="000D0A9C"/>
    <w:rsid w:val="000D1795"/>
    <w:rsid w:val="000D329A"/>
    <w:rsid w:val="000D4B9C"/>
    <w:rsid w:val="000D4EB6"/>
    <w:rsid w:val="000D5F6B"/>
    <w:rsid w:val="000D753B"/>
    <w:rsid w:val="000E4C9E"/>
    <w:rsid w:val="000E6FD7"/>
    <w:rsid w:val="000F06E1"/>
    <w:rsid w:val="000F0E3C"/>
    <w:rsid w:val="000F19D5"/>
    <w:rsid w:val="000F204C"/>
    <w:rsid w:val="000F4AEA"/>
    <w:rsid w:val="000F633F"/>
    <w:rsid w:val="000F67E9"/>
    <w:rsid w:val="00104926"/>
    <w:rsid w:val="00113B1E"/>
    <w:rsid w:val="0011711C"/>
    <w:rsid w:val="0012059C"/>
    <w:rsid w:val="00124E4F"/>
    <w:rsid w:val="001260B7"/>
    <w:rsid w:val="001265CB"/>
    <w:rsid w:val="00127E7D"/>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045"/>
    <w:rsid w:val="001622AE"/>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2DDB"/>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0981"/>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0D2A"/>
    <w:rsid w:val="002C1E06"/>
    <w:rsid w:val="002C1E1C"/>
    <w:rsid w:val="002C3F07"/>
    <w:rsid w:val="002C5278"/>
    <w:rsid w:val="002C7EBB"/>
    <w:rsid w:val="002D06C1"/>
    <w:rsid w:val="002D42B5"/>
    <w:rsid w:val="002D4F1A"/>
    <w:rsid w:val="002D6EC6"/>
    <w:rsid w:val="002D79AC"/>
    <w:rsid w:val="002E039D"/>
    <w:rsid w:val="002E4D5A"/>
    <w:rsid w:val="002E6326"/>
    <w:rsid w:val="002F08A5"/>
    <w:rsid w:val="002F30E0"/>
    <w:rsid w:val="002F35E4"/>
    <w:rsid w:val="002F3730"/>
    <w:rsid w:val="002F38E1"/>
    <w:rsid w:val="002F7AF6"/>
    <w:rsid w:val="00300E63"/>
    <w:rsid w:val="00302F5F"/>
    <w:rsid w:val="0030441D"/>
    <w:rsid w:val="00306063"/>
    <w:rsid w:val="00306691"/>
    <w:rsid w:val="00313910"/>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2C"/>
    <w:rsid w:val="003B6BE3"/>
    <w:rsid w:val="003C010C"/>
    <w:rsid w:val="003C0A6C"/>
    <w:rsid w:val="003C14F8"/>
    <w:rsid w:val="003C3CA6"/>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EBD"/>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538A"/>
    <w:rsid w:val="004D707F"/>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15A"/>
    <w:rsid w:val="005220EC"/>
    <w:rsid w:val="005234F9"/>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2543"/>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4F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3D1"/>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74F"/>
    <w:rsid w:val="006D4BB1"/>
    <w:rsid w:val="006D6593"/>
    <w:rsid w:val="006E23EA"/>
    <w:rsid w:val="006F03A8"/>
    <w:rsid w:val="006F11AC"/>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F1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5F33"/>
    <w:rsid w:val="0085173A"/>
    <w:rsid w:val="00855DB5"/>
    <w:rsid w:val="00856316"/>
    <w:rsid w:val="008600CC"/>
    <w:rsid w:val="008603CE"/>
    <w:rsid w:val="008620FC"/>
    <w:rsid w:val="008627A5"/>
    <w:rsid w:val="00863E05"/>
    <w:rsid w:val="00865ACA"/>
    <w:rsid w:val="00865D28"/>
    <w:rsid w:val="00865F85"/>
    <w:rsid w:val="00867C10"/>
    <w:rsid w:val="00870439"/>
    <w:rsid w:val="00870DA1"/>
    <w:rsid w:val="0087519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099"/>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3E19"/>
    <w:rsid w:val="009343E1"/>
    <w:rsid w:val="00935D59"/>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576A"/>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3BBA"/>
    <w:rsid w:val="00AB41D5"/>
    <w:rsid w:val="00AB6309"/>
    <w:rsid w:val="00AB6C5F"/>
    <w:rsid w:val="00AB7129"/>
    <w:rsid w:val="00AC1614"/>
    <w:rsid w:val="00AC27A6"/>
    <w:rsid w:val="00AC30F7"/>
    <w:rsid w:val="00AC3A5A"/>
    <w:rsid w:val="00AC4D95"/>
    <w:rsid w:val="00AC5DF4"/>
    <w:rsid w:val="00AC7A8A"/>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2688B"/>
    <w:rsid w:val="00B31FB1"/>
    <w:rsid w:val="00B33952"/>
    <w:rsid w:val="00B33C5E"/>
    <w:rsid w:val="00B342F4"/>
    <w:rsid w:val="00B34369"/>
    <w:rsid w:val="00B34DC2"/>
    <w:rsid w:val="00B378E5"/>
    <w:rsid w:val="00B42D74"/>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A21"/>
    <w:rsid w:val="00B96D40"/>
    <w:rsid w:val="00B971A8"/>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E7EFA"/>
    <w:rsid w:val="00BF0993"/>
    <w:rsid w:val="00BF10A9"/>
    <w:rsid w:val="00BF1703"/>
    <w:rsid w:val="00BF231C"/>
    <w:rsid w:val="00BF51E5"/>
    <w:rsid w:val="00BF5964"/>
    <w:rsid w:val="00BF74A6"/>
    <w:rsid w:val="00C013AD"/>
    <w:rsid w:val="00C04904"/>
    <w:rsid w:val="00C056B3"/>
    <w:rsid w:val="00C103E5"/>
    <w:rsid w:val="00C13319"/>
    <w:rsid w:val="00C13EE9"/>
    <w:rsid w:val="00C21540"/>
    <w:rsid w:val="00C21906"/>
    <w:rsid w:val="00C21BFA"/>
    <w:rsid w:val="00C22148"/>
    <w:rsid w:val="00C22277"/>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65A"/>
    <w:rsid w:val="00C84E33"/>
    <w:rsid w:val="00C86D6F"/>
    <w:rsid w:val="00C905FC"/>
    <w:rsid w:val="00C92D03"/>
    <w:rsid w:val="00C9319C"/>
    <w:rsid w:val="00C9435D"/>
    <w:rsid w:val="00C94DF2"/>
    <w:rsid w:val="00C96741"/>
    <w:rsid w:val="00CA22E5"/>
    <w:rsid w:val="00CA2D1B"/>
    <w:rsid w:val="00CA375D"/>
    <w:rsid w:val="00CA662A"/>
    <w:rsid w:val="00CA7AFD"/>
    <w:rsid w:val="00CA7C3C"/>
    <w:rsid w:val="00CB0189"/>
    <w:rsid w:val="00CB0366"/>
    <w:rsid w:val="00CB0BA2"/>
    <w:rsid w:val="00CB1A42"/>
    <w:rsid w:val="00CB1B0C"/>
    <w:rsid w:val="00CB2C0B"/>
    <w:rsid w:val="00CB517D"/>
    <w:rsid w:val="00CB7A7B"/>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372"/>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3BA2"/>
    <w:rsid w:val="00D66846"/>
    <w:rsid w:val="00D675FB"/>
    <w:rsid w:val="00D71F25"/>
    <w:rsid w:val="00D72A9C"/>
    <w:rsid w:val="00D74040"/>
    <w:rsid w:val="00D77031"/>
    <w:rsid w:val="00D82525"/>
    <w:rsid w:val="00D837CF"/>
    <w:rsid w:val="00D84695"/>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5C30"/>
    <w:rsid w:val="00E502C1"/>
    <w:rsid w:val="00E502DD"/>
    <w:rsid w:val="00E50D3A"/>
    <w:rsid w:val="00E51387"/>
    <w:rsid w:val="00E51E68"/>
    <w:rsid w:val="00E52EFD"/>
    <w:rsid w:val="00E5408A"/>
    <w:rsid w:val="00E56800"/>
    <w:rsid w:val="00E60735"/>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6BF"/>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3650"/>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47FB2"/>
    <w:rsid w:val="00F50179"/>
    <w:rsid w:val="00F515EE"/>
    <w:rsid w:val="00F56511"/>
    <w:rsid w:val="00F6194E"/>
    <w:rsid w:val="00F623AC"/>
    <w:rsid w:val="00F6412A"/>
    <w:rsid w:val="00F65893"/>
    <w:rsid w:val="00F66A4A"/>
    <w:rsid w:val="00F71E22"/>
    <w:rsid w:val="00F72142"/>
    <w:rsid w:val="00F729B5"/>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852F8D"/>
    <w:rsid w:val="2D402AA2"/>
    <w:rsid w:val="3BDA0DC1"/>
    <w:rsid w:val="41DD14D5"/>
    <w:rsid w:val="5BD80710"/>
    <w:rsid w:val="6C6121CE"/>
    <w:rsid w:val="6F556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E489CB07804267BBECCCCB6B635F41"/>
        <w:style w:val=""/>
        <w:category>
          <w:name w:val="常规"/>
          <w:gallery w:val="placeholder"/>
        </w:category>
        <w:types>
          <w:type w:val="bbPlcHdr"/>
        </w:types>
        <w:behaviors>
          <w:behavior w:val="content"/>
        </w:behaviors>
        <w:description w:val=""/>
        <w:guid w:val="{4EE3EF84-A199-443F-81A2-67003168DAE8}"/>
      </w:docPartPr>
      <w:docPartBody>
        <w:p>
          <w:pPr>
            <w:pStyle w:val="5"/>
          </w:pPr>
          <w:r>
            <w:rPr>
              <w:rStyle w:val="4"/>
              <w:rFonts w:hint="eastAsia"/>
            </w:rPr>
            <w:t>单击或点击此处输入文字。</w:t>
          </w:r>
        </w:p>
      </w:docPartBody>
    </w:docPart>
    <w:docPart>
      <w:docPartPr>
        <w:name w:val="5B2F0BBF03BF40E4B5FB62257AD8A90C"/>
        <w:style w:val=""/>
        <w:category>
          <w:name w:val="常规"/>
          <w:gallery w:val="placeholder"/>
        </w:category>
        <w:types>
          <w:type w:val="bbPlcHdr"/>
        </w:types>
        <w:behaviors>
          <w:behavior w:val="content"/>
        </w:behaviors>
        <w:description w:val=""/>
        <w:guid w:val="{AA3B5A4B-0B07-4191-92BC-8597ECB7FA47}"/>
      </w:docPartPr>
      <w:docPartBody>
        <w:p>
          <w:pPr>
            <w:pStyle w:val="6"/>
          </w:pPr>
          <w:r>
            <w:rPr>
              <w:rStyle w:val="4"/>
              <w:rFonts w:hint="eastAsia"/>
            </w:rPr>
            <w:t>选择一项。</w:t>
          </w:r>
        </w:p>
      </w:docPartBody>
    </w:docPart>
    <w:docPart>
      <w:docPartPr>
        <w:name w:val="69A963ED34C94E11ACAF914B2D3AB310"/>
        <w:style w:val=""/>
        <w:category>
          <w:name w:val="常规"/>
          <w:gallery w:val="placeholder"/>
        </w:category>
        <w:types>
          <w:type w:val="bbPlcHdr"/>
        </w:types>
        <w:behaviors>
          <w:behavior w:val="content"/>
        </w:behaviors>
        <w:description w:val=""/>
        <w:guid w:val="{BFB7A2FB-2282-43E1-9703-431D2110BEF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762"/>
    <w:rsid w:val="00066762"/>
    <w:rsid w:val="00386A1D"/>
    <w:rsid w:val="005840CC"/>
    <w:rsid w:val="005B2FA9"/>
    <w:rsid w:val="00613F6C"/>
    <w:rsid w:val="00656217"/>
    <w:rsid w:val="006708B3"/>
    <w:rsid w:val="006E4689"/>
    <w:rsid w:val="007B70A3"/>
    <w:rsid w:val="00887607"/>
    <w:rsid w:val="00D500DE"/>
    <w:rsid w:val="00E36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4E489CB07804267BBECCCCB6B635F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B2F0BBF03BF40E4B5FB62257AD8A9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9A963ED34C94E11ACAF914B2D3AB31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3484</Words>
  <Characters>3923</Characters>
  <Lines>36</Lines>
  <Paragraphs>10</Paragraphs>
  <TotalTime>27</TotalTime>
  <ScaleCrop>false</ScaleCrop>
  <LinksUpToDate>false</LinksUpToDate>
  <CharactersWithSpaces>4072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2022-09-20T10:22:00Z</dcterms:created>
  <dc:creator>Administrator</dc:creator>
  <dc:description>&lt;config cover="true" show_menu="true" version="1.0.0" doctype="SDKXY"&gt;_x000d_
&lt;/config&gt;</dc:description>
  <cp:lastModifiedBy>xjkp</cp:lastModifiedBy>
  <cp:lastPrinted>2020-08-30T18:00:00Z</cp:lastPrinted>
  <dcterms:modified xsi:type="dcterms:W3CDTF">2024-01-17T10:30:26Z</dcterms:modified>
  <dc:title>地方标准</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02D9C677E9B1409E8E491C5047EF1E67</vt:lpwstr>
  </property>
</Properties>
</file>