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Pr="009B5550" w:rsidRDefault="00602F4B">
      <w:pPr>
        <w:jc w:val="center"/>
        <w:rPr>
          <w:rFonts w:ascii="黑体" w:eastAsia="黑体" w:hAnsi="黑体" w:cs="黑体"/>
          <w:sz w:val="36"/>
          <w:szCs w:val="44"/>
        </w:rPr>
      </w:pPr>
      <w:r w:rsidRPr="009B5550">
        <w:rPr>
          <w:rFonts w:ascii="黑体" w:eastAsia="黑体" w:hAnsi="黑体" w:cs="黑体" w:hint="eastAsia"/>
          <w:sz w:val="36"/>
          <w:szCs w:val="44"/>
        </w:rPr>
        <w:t>湖南省地方标准</w:t>
      </w:r>
    </w:p>
    <w:p w:rsidR="0054200E" w:rsidRPr="009B5550" w:rsidRDefault="00602F4B">
      <w:pPr>
        <w:jc w:val="center"/>
        <w:rPr>
          <w:rFonts w:ascii="黑体" w:eastAsia="黑体" w:hAnsi="黑体" w:cs="黑体"/>
          <w:sz w:val="36"/>
          <w:szCs w:val="44"/>
        </w:rPr>
      </w:pPr>
      <w:r w:rsidRPr="009B5550">
        <w:rPr>
          <w:rFonts w:ascii="黑体" w:eastAsia="黑体" w:hAnsi="黑体" w:cs="黑体" w:hint="eastAsia"/>
          <w:sz w:val="36"/>
          <w:szCs w:val="44"/>
        </w:rPr>
        <w:t>《</w:t>
      </w:r>
      <w:r w:rsidR="00204ADF">
        <w:rPr>
          <w:rFonts w:ascii="黑体" w:eastAsia="黑体" w:hAnsi="黑体" w:cs="黑体" w:hint="eastAsia"/>
          <w:sz w:val="36"/>
          <w:szCs w:val="44"/>
        </w:rPr>
        <w:t>民营文艺表演团体等级划分与评定</w:t>
      </w:r>
      <w:r w:rsidR="006D02AC">
        <w:rPr>
          <w:rFonts w:ascii="黑体" w:eastAsia="黑体" w:hAnsi="黑体" w:cs="黑体" w:hint="eastAsia"/>
          <w:sz w:val="36"/>
          <w:szCs w:val="44"/>
        </w:rPr>
        <w:t>规范</w:t>
      </w:r>
      <w:r w:rsidRPr="009B5550">
        <w:rPr>
          <w:rFonts w:ascii="黑体" w:eastAsia="黑体" w:hAnsi="黑体" w:cs="黑体" w:hint="eastAsia"/>
          <w:sz w:val="36"/>
          <w:szCs w:val="44"/>
        </w:rPr>
        <w:t>》编制说明</w:t>
      </w: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54200E">
      <w:pPr>
        <w:jc w:val="center"/>
        <w:rPr>
          <w:rFonts w:ascii="黑体" w:eastAsia="黑体" w:hAnsi="黑体"/>
          <w:sz w:val="36"/>
          <w:szCs w:val="36"/>
        </w:rPr>
      </w:pPr>
    </w:p>
    <w:p w:rsidR="0054200E" w:rsidRDefault="00602F4B">
      <w:pPr>
        <w:jc w:val="center"/>
        <w:rPr>
          <w:rFonts w:ascii="黑体" w:eastAsia="黑体" w:hAnsi="黑体"/>
          <w:sz w:val="36"/>
          <w:szCs w:val="36"/>
        </w:rPr>
      </w:pPr>
      <w:r>
        <w:rPr>
          <w:rFonts w:ascii="黑体" w:eastAsia="黑体" w:hAnsi="黑体" w:hint="eastAsia"/>
          <w:sz w:val="36"/>
          <w:szCs w:val="36"/>
        </w:rPr>
        <w:t>2022年</w:t>
      </w:r>
      <w:r w:rsidR="00953640">
        <w:rPr>
          <w:rFonts w:ascii="黑体" w:eastAsia="黑体" w:hAnsi="黑体"/>
          <w:sz w:val="36"/>
          <w:szCs w:val="36"/>
        </w:rPr>
        <w:t>10</w:t>
      </w:r>
      <w:r>
        <w:rPr>
          <w:rFonts w:ascii="黑体" w:eastAsia="黑体" w:hAnsi="黑体" w:hint="eastAsia"/>
          <w:sz w:val="36"/>
          <w:szCs w:val="36"/>
        </w:rPr>
        <w:t>月</w:t>
      </w:r>
    </w:p>
    <w:p w:rsidR="0054200E" w:rsidRDefault="00602F4B">
      <w:pPr>
        <w:rPr>
          <w:rFonts w:ascii="黑体" w:eastAsia="黑体" w:hAnsi="黑体"/>
          <w:sz w:val="36"/>
          <w:szCs w:val="36"/>
        </w:rPr>
      </w:pPr>
      <w:r>
        <w:rPr>
          <w:rFonts w:ascii="黑体" w:eastAsia="黑体" w:hAnsi="黑体"/>
          <w:sz w:val="36"/>
          <w:szCs w:val="36"/>
        </w:rPr>
        <w:br w:type="page"/>
      </w:r>
    </w:p>
    <w:p w:rsidR="0054200E" w:rsidRDefault="0054200E">
      <w:pPr>
        <w:jc w:val="center"/>
        <w:rPr>
          <w:rFonts w:ascii="黑体" w:eastAsia="黑体" w:hAnsi="黑体"/>
          <w:sz w:val="36"/>
          <w:szCs w:val="36"/>
        </w:rPr>
      </w:pPr>
    </w:p>
    <w:p w:rsidR="0054200E" w:rsidRDefault="00602F4B">
      <w:pPr>
        <w:jc w:val="center"/>
        <w:rPr>
          <w:sz w:val="28"/>
        </w:rPr>
      </w:pPr>
      <w:r>
        <w:rPr>
          <w:rFonts w:ascii="黑体" w:eastAsia="黑体" w:hAnsi="黑体" w:hint="eastAsia"/>
          <w:sz w:val="36"/>
          <w:szCs w:val="36"/>
        </w:rPr>
        <w:t>目录</w:t>
      </w:r>
      <w:r>
        <w:fldChar w:fldCharType="begin"/>
      </w:r>
      <w:r>
        <w:instrText xml:space="preserve"> TOC \o "1-3" \h \z \u </w:instrText>
      </w:r>
      <w:r>
        <w:fldChar w:fldCharType="separate"/>
      </w:r>
    </w:p>
    <w:p w:rsidR="0054200E" w:rsidRDefault="00602F4B">
      <w:pPr>
        <w:pStyle w:val="10"/>
        <w:tabs>
          <w:tab w:val="right" w:leader="dot" w:pos="8296"/>
        </w:tabs>
        <w:rPr>
          <w:rFonts w:asciiTheme="minorHAnsi" w:eastAsiaTheme="minorEastAsia" w:hAnsiTheme="minorHAnsi" w:cstheme="minorBidi"/>
          <w:sz w:val="28"/>
        </w:rPr>
      </w:pPr>
      <w:r>
        <w:rPr>
          <w:b/>
          <w:bCs/>
          <w:lang w:val="zh-CN"/>
        </w:rPr>
        <w:fldChar w:fldCharType="end"/>
      </w:r>
    </w:p>
    <w:p w:rsidR="00FB6BED" w:rsidRDefault="00FB6BED" w:rsidP="00FB6BED">
      <w:pPr>
        <w:pStyle w:val="10"/>
        <w:tabs>
          <w:tab w:val="left" w:pos="420"/>
          <w:tab w:val="right" w:leader="dot" w:pos="8296"/>
        </w:tabs>
        <w:rPr>
          <w:rFonts w:ascii="黑体" w:eastAsia="黑体" w:hAnsi="黑体" w:cstheme="minorBidi"/>
          <w:sz w:val="28"/>
          <w:szCs w:val="28"/>
        </w:rPr>
      </w:pPr>
      <w:r>
        <w:rPr>
          <w:rFonts w:ascii="黑体" w:eastAsia="黑体" w:hAnsi="黑体" w:hint="eastAsia"/>
          <w:sz w:val="28"/>
          <w:szCs w:val="28"/>
        </w:rPr>
        <w:t>1 项目背景</w:t>
      </w:r>
      <w:hyperlink w:anchor="_Toc57709198" w:history="1">
        <w:r>
          <w:rPr>
            <w:rFonts w:ascii="黑体" w:eastAsia="黑体" w:hAnsi="黑体"/>
            <w:sz w:val="28"/>
            <w:szCs w:val="28"/>
          </w:rPr>
          <w:tab/>
        </w:r>
        <w:r>
          <w:rPr>
            <w:rFonts w:ascii="黑体" w:eastAsia="黑体" w:hAnsi="黑体"/>
            <w:sz w:val="28"/>
            <w:szCs w:val="28"/>
          </w:rPr>
          <w:fldChar w:fldCharType="begin"/>
        </w:r>
        <w:r>
          <w:rPr>
            <w:rFonts w:ascii="黑体" w:eastAsia="黑体" w:hAnsi="黑体"/>
            <w:sz w:val="28"/>
            <w:szCs w:val="28"/>
          </w:rPr>
          <w:instrText xml:space="preserve"> PAGEREF _Toc57709198 \h </w:instrText>
        </w:r>
        <w:r>
          <w:rPr>
            <w:rFonts w:ascii="黑体" w:eastAsia="黑体" w:hAnsi="黑体"/>
            <w:sz w:val="28"/>
            <w:szCs w:val="28"/>
          </w:rPr>
        </w:r>
        <w:r>
          <w:rPr>
            <w:rFonts w:ascii="黑体" w:eastAsia="黑体" w:hAnsi="黑体"/>
            <w:sz w:val="28"/>
            <w:szCs w:val="28"/>
          </w:rPr>
          <w:fldChar w:fldCharType="separate"/>
        </w:r>
        <w:r>
          <w:rPr>
            <w:rFonts w:ascii="黑体" w:eastAsia="黑体" w:hAnsi="黑体"/>
            <w:sz w:val="28"/>
            <w:szCs w:val="28"/>
          </w:rPr>
          <w:t>1</w:t>
        </w:r>
        <w:r>
          <w:rPr>
            <w:rFonts w:ascii="黑体" w:eastAsia="黑体" w:hAnsi="黑体"/>
            <w:sz w:val="28"/>
            <w:szCs w:val="28"/>
          </w:rPr>
          <w:fldChar w:fldCharType="end"/>
        </w:r>
      </w:hyperlink>
    </w:p>
    <w:p w:rsidR="0054200E" w:rsidRDefault="005004E1">
      <w:pPr>
        <w:pStyle w:val="10"/>
        <w:tabs>
          <w:tab w:val="left" w:pos="420"/>
          <w:tab w:val="right" w:leader="dot" w:pos="8296"/>
        </w:tabs>
        <w:rPr>
          <w:rFonts w:ascii="黑体" w:eastAsia="黑体" w:hAnsi="黑体" w:cstheme="minorBidi"/>
          <w:sz w:val="28"/>
          <w:szCs w:val="28"/>
        </w:rPr>
      </w:pPr>
      <w:hyperlink w:anchor="_Toc57709199" w:history="1">
        <w:r w:rsidR="00602F4B">
          <w:rPr>
            <w:rFonts w:ascii="黑体" w:eastAsia="黑体" w:hAnsi="黑体" w:hint="eastAsia"/>
            <w:sz w:val="28"/>
            <w:szCs w:val="28"/>
          </w:rPr>
          <w:t>2</w:t>
        </w:r>
      </w:hyperlink>
      <w:r w:rsidR="00602F4B">
        <w:rPr>
          <w:rFonts w:ascii="黑体" w:eastAsia="黑体" w:hAnsi="黑体" w:hint="eastAsia"/>
          <w:sz w:val="28"/>
          <w:szCs w:val="28"/>
        </w:rPr>
        <w:t xml:space="preserve"> 工作简况.................</w:t>
      </w:r>
      <w:r w:rsidR="005C798C">
        <w:rPr>
          <w:rFonts w:ascii="黑体" w:eastAsia="黑体" w:hAnsi="黑体" w:hint="eastAsia"/>
          <w:sz w:val="28"/>
          <w:szCs w:val="28"/>
        </w:rPr>
        <w:t>...............................</w:t>
      </w:r>
      <w:r w:rsidR="005C798C">
        <w:rPr>
          <w:rFonts w:ascii="黑体" w:eastAsia="黑体" w:hAnsi="黑体"/>
          <w:sz w:val="28"/>
          <w:szCs w:val="28"/>
        </w:rPr>
        <w:t>2</w:t>
      </w:r>
    </w:p>
    <w:p w:rsidR="0054200E" w:rsidRDefault="00602F4B">
      <w:pPr>
        <w:pStyle w:val="10"/>
        <w:tabs>
          <w:tab w:val="left" w:pos="420"/>
          <w:tab w:val="right" w:leader="dot" w:pos="8296"/>
        </w:tabs>
        <w:rPr>
          <w:rFonts w:ascii="黑体" w:eastAsia="黑体" w:hAnsi="黑体" w:cstheme="minorBidi"/>
          <w:sz w:val="28"/>
          <w:szCs w:val="28"/>
        </w:rPr>
      </w:pPr>
      <w:r>
        <w:rPr>
          <w:rFonts w:ascii="黑体" w:eastAsia="黑体" w:hAnsi="黑体" w:hint="eastAsia"/>
          <w:sz w:val="28"/>
          <w:szCs w:val="28"/>
        </w:rPr>
        <w:t>3 编制原则和确定主要内容的依据</w:t>
      </w:r>
      <w:r w:rsidR="005C798C">
        <w:rPr>
          <w:rFonts w:ascii="黑体" w:eastAsia="黑体" w:hAnsi="黑体" w:hint="eastAsia"/>
          <w:sz w:val="28"/>
          <w:szCs w:val="28"/>
        </w:rPr>
        <w:t>............................</w:t>
      </w:r>
      <w:r w:rsidR="005C798C">
        <w:rPr>
          <w:rFonts w:ascii="黑体" w:eastAsia="黑体" w:hAnsi="黑体"/>
          <w:sz w:val="28"/>
          <w:szCs w:val="28"/>
        </w:rPr>
        <w:t>4</w:t>
      </w:r>
    </w:p>
    <w:p w:rsidR="0054200E" w:rsidRDefault="00602F4B">
      <w:pPr>
        <w:pStyle w:val="10"/>
        <w:tabs>
          <w:tab w:val="left" w:pos="420"/>
          <w:tab w:val="right" w:leader="dot" w:pos="8296"/>
        </w:tabs>
        <w:rPr>
          <w:rFonts w:ascii="黑体" w:eastAsia="黑体" w:hAnsi="黑体"/>
          <w:sz w:val="28"/>
          <w:szCs w:val="28"/>
        </w:rPr>
      </w:pPr>
      <w:r>
        <w:rPr>
          <w:rFonts w:ascii="黑体" w:eastAsia="黑体" w:hAnsi="黑体" w:hint="eastAsia"/>
          <w:sz w:val="28"/>
          <w:szCs w:val="28"/>
        </w:rPr>
        <w:t>4 与我国有关现行法律、法规和其他限制性标准的关系</w:t>
      </w:r>
      <w:r w:rsidR="005C798C">
        <w:rPr>
          <w:rFonts w:ascii="黑体" w:eastAsia="黑体" w:hAnsi="黑体" w:hint="eastAsia"/>
          <w:sz w:val="28"/>
          <w:szCs w:val="28"/>
        </w:rPr>
        <w:t>..........</w:t>
      </w:r>
      <w:r w:rsidR="005C798C">
        <w:rPr>
          <w:rFonts w:ascii="黑体" w:eastAsia="黑体" w:hAnsi="黑体"/>
          <w:sz w:val="28"/>
          <w:szCs w:val="28"/>
        </w:rPr>
        <w:t>5</w:t>
      </w:r>
    </w:p>
    <w:p w:rsidR="0054200E" w:rsidRDefault="00602F4B">
      <w:pPr>
        <w:rPr>
          <w:rFonts w:ascii="黑体" w:eastAsia="黑体" w:hAnsi="黑体"/>
          <w:sz w:val="28"/>
          <w:szCs w:val="28"/>
        </w:rPr>
      </w:pPr>
      <w:r>
        <w:rPr>
          <w:rFonts w:ascii="黑体" w:eastAsia="黑体" w:hAnsi="黑体" w:hint="eastAsia"/>
          <w:sz w:val="28"/>
          <w:szCs w:val="28"/>
        </w:rPr>
        <w:t>5 标准预期的社会经济效益........</w:t>
      </w:r>
      <w:r w:rsidR="005C798C">
        <w:rPr>
          <w:rFonts w:ascii="黑体" w:eastAsia="黑体" w:hAnsi="黑体" w:hint="eastAsia"/>
          <w:sz w:val="28"/>
          <w:szCs w:val="28"/>
        </w:rPr>
        <w:t>..........................</w:t>
      </w:r>
      <w:r w:rsidR="005C798C">
        <w:rPr>
          <w:rFonts w:ascii="黑体" w:eastAsia="黑体" w:hAnsi="黑体"/>
          <w:sz w:val="28"/>
          <w:szCs w:val="28"/>
        </w:rPr>
        <w:t>5</w:t>
      </w:r>
    </w:p>
    <w:p w:rsidR="0054200E" w:rsidRDefault="00602F4B">
      <w:pPr>
        <w:rPr>
          <w:rFonts w:ascii="黑体" w:eastAsia="黑体" w:hAnsi="黑体"/>
          <w:sz w:val="28"/>
          <w:szCs w:val="28"/>
        </w:rPr>
      </w:pPr>
      <w:r>
        <w:rPr>
          <w:rFonts w:ascii="黑体" w:eastAsia="黑体" w:hAnsi="黑体" w:hint="eastAsia"/>
          <w:sz w:val="28"/>
          <w:szCs w:val="28"/>
        </w:rPr>
        <w:t>6重大意见分歧及处理结果...................................5</w:t>
      </w:r>
    </w:p>
    <w:p w:rsidR="0054200E" w:rsidRDefault="00602F4B">
      <w:pPr>
        <w:rPr>
          <w:rFonts w:ascii="黑体" w:eastAsia="黑体" w:hAnsi="黑体"/>
          <w:sz w:val="28"/>
          <w:szCs w:val="28"/>
        </w:rPr>
      </w:pPr>
      <w:r>
        <w:rPr>
          <w:rFonts w:ascii="黑体" w:eastAsia="黑体" w:hAnsi="黑体" w:hint="eastAsia"/>
          <w:sz w:val="28"/>
          <w:szCs w:val="28"/>
        </w:rPr>
        <w:t>7贯彻实施本标准的措施、建议</w:t>
      </w:r>
      <w:r w:rsidR="005C798C">
        <w:rPr>
          <w:rFonts w:ascii="黑体" w:eastAsia="黑体" w:hAnsi="黑体" w:hint="eastAsia"/>
          <w:sz w:val="28"/>
          <w:szCs w:val="28"/>
        </w:rPr>
        <w:t>...............................</w:t>
      </w:r>
      <w:r w:rsidR="005C798C">
        <w:rPr>
          <w:rFonts w:ascii="黑体" w:eastAsia="黑体" w:hAnsi="黑体"/>
          <w:sz w:val="28"/>
          <w:szCs w:val="28"/>
        </w:rPr>
        <w:t>5</w:t>
      </w:r>
      <w:bookmarkStart w:id="0" w:name="_GoBack"/>
      <w:bookmarkEnd w:id="0"/>
    </w:p>
    <w:p w:rsidR="0054200E" w:rsidRDefault="0054200E">
      <w:pPr>
        <w:rPr>
          <w:rFonts w:ascii="黑体" w:eastAsia="黑体" w:hAnsi="黑体"/>
          <w:sz w:val="24"/>
          <w:szCs w:val="24"/>
        </w:rPr>
      </w:pPr>
    </w:p>
    <w:p w:rsidR="00760BF4" w:rsidRDefault="00602F4B">
      <w:pPr>
        <w:rPr>
          <w:rFonts w:ascii="黑体" w:eastAsia="黑体" w:hAnsi="黑体"/>
          <w:sz w:val="24"/>
          <w:szCs w:val="24"/>
        </w:rPr>
        <w:sectPr w:rsidR="00760BF4">
          <w:footerReference w:type="default" r:id="rId8"/>
          <w:pgSz w:w="11906" w:h="16838"/>
          <w:pgMar w:top="2098" w:right="1531" w:bottom="1531" w:left="1531" w:header="851" w:footer="992" w:gutter="0"/>
          <w:cols w:space="425"/>
          <w:docGrid w:type="lines" w:linePitch="312"/>
        </w:sectPr>
      </w:pPr>
      <w:r>
        <w:rPr>
          <w:rFonts w:ascii="黑体" w:eastAsia="黑体" w:hAnsi="黑体"/>
          <w:sz w:val="24"/>
          <w:szCs w:val="24"/>
        </w:rPr>
        <w:br w:type="page"/>
      </w:r>
    </w:p>
    <w:p w:rsidR="0054200E" w:rsidRDefault="0054200E">
      <w:pPr>
        <w:rPr>
          <w:rFonts w:ascii="黑体" w:eastAsia="黑体" w:hAnsi="黑体"/>
          <w:sz w:val="24"/>
          <w:szCs w:val="24"/>
        </w:rPr>
      </w:pPr>
    </w:p>
    <w:p w:rsidR="0054200E" w:rsidRDefault="0054200E">
      <w:pPr>
        <w:rPr>
          <w:rFonts w:ascii="黑体" w:eastAsia="黑体" w:hAnsi="黑体"/>
          <w:sz w:val="24"/>
          <w:szCs w:val="24"/>
        </w:rPr>
      </w:pPr>
    </w:p>
    <w:p w:rsidR="00B537E7" w:rsidRDefault="00602F4B">
      <w:pPr>
        <w:jc w:val="center"/>
        <w:rPr>
          <w:rFonts w:ascii="黑体" w:eastAsia="黑体" w:hAnsi="黑体" w:cs="黑体"/>
          <w:sz w:val="28"/>
          <w:szCs w:val="32"/>
        </w:rPr>
      </w:pPr>
      <w:r w:rsidRPr="00B537E7">
        <w:rPr>
          <w:rFonts w:ascii="黑体" w:eastAsia="黑体" w:hAnsi="黑体" w:cs="黑体" w:hint="eastAsia"/>
          <w:sz w:val="28"/>
          <w:szCs w:val="32"/>
        </w:rPr>
        <w:t>湖南省地方标准《</w:t>
      </w:r>
      <w:r w:rsidR="00B02B3C">
        <w:rPr>
          <w:rFonts w:ascii="黑体" w:eastAsia="黑体" w:hAnsi="黑体" w:cs="黑体" w:hint="eastAsia"/>
          <w:sz w:val="28"/>
          <w:szCs w:val="32"/>
        </w:rPr>
        <w:t>民营文艺表演团体等级划分与评定</w:t>
      </w:r>
      <w:r w:rsidR="006D02AC">
        <w:rPr>
          <w:rFonts w:ascii="黑体" w:eastAsia="黑体" w:hAnsi="黑体" w:cs="黑体" w:hint="eastAsia"/>
          <w:sz w:val="28"/>
          <w:szCs w:val="32"/>
        </w:rPr>
        <w:t>规范</w:t>
      </w:r>
      <w:r w:rsidRPr="00B537E7">
        <w:rPr>
          <w:rFonts w:ascii="黑体" w:eastAsia="黑体" w:hAnsi="黑体" w:cs="黑体" w:hint="eastAsia"/>
          <w:sz w:val="28"/>
          <w:szCs w:val="32"/>
        </w:rPr>
        <w:t>》</w:t>
      </w:r>
    </w:p>
    <w:p w:rsidR="0054200E" w:rsidRDefault="00602F4B">
      <w:pPr>
        <w:jc w:val="center"/>
        <w:rPr>
          <w:rFonts w:ascii="黑体" w:eastAsia="黑体" w:hAnsi="黑体" w:cs="黑体"/>
          <w:sz w:val="28"/>
          <w:szCs w:val="32"/>
        </w:rPr>
      </w:pPr>
      <w:r w:rsidRPr="00B537E7">
        <w:rPr>
          <w:rFonts w:ascii="黑体" w:eastAsia="黑体" w:hAnsi="黑体" w:cs="黑体" w:hint="eastAsia"/>
          <w:sz w:val="28"/>
          <w:szCs w:val="32"/>
        </w:rPr>
        <w:t>编制说明</w:t>
      </w:r>
    </w:p>
    <w:p w:rsidR="00D34D07" w:rsidRPr="00B537E7" w:rsidRDefault="00D34D07">
      <w:pPr>
        <w:jc w:val="center"/>
        <w:rPr>
          <w:rFonts w:ascii="黑体" w:eastAsia="黑体" w:hAnsi="黑体" w:cs="黑体"/>
          <w:sz w:val="28"/>
          <w:szCs w:val="32"/>
        </w:rPr>
      </w:pPr>
    </w:p>
    <w:p w:rsidR="0054200E" w:rsidRDefault="00602F4B">
      <w:pPr>
        <w:spacing w:line="400" w:lineRule="exact"/>
        <w:rPr>
          <w:rFonts w:ascii="仿宋" w:eastAsia="仿宋" w:hAnsi="仿宋"/>
          <w:b/>
          <w:bCs/>
          <w:sz w:val="28"/>
          <w:szCs w:val="28"/>
        </w:rPr>
      </w:pPr>
      <w:r>
        <w:rPr>
          <w:rFonts w:ascii="仿宋" w:eastAsia="仿宋" w:hAnsi="仿宋" w:hint="eastAsia"/>
          <w:b/>
          <w:bCs/>
          <w:sz w:val="28"/>
          <w:szCs w:val="28"/>
        </w:rPr>
        <w:t>1 项目背景</w:t>
      </w:r>
    </w:p>
    <w:p w:rsidR="00E87C22" w:rsidRDefault="00A72091" w:rsidP="00E87C22">
      <w:pPr>
        <w:pStyle w:val="a0"/>
      </w:pPr>
      <w:r>
        <w:rPr>
          <w:rFonts w:hint="eastAsia"/>
        </w:rPr>
        <w:t>习近平总书记</w:t>
      </w:r>
      <w:r>
        <w:t>在党的二十大报告中指出，</w:t>
      </w:r>
      <w:r w:rsidR="00CC279B">
        <w:rPr>
          <w:rFonts w:hint="eastAsia"/>
        </w:rPr>
        <w:t>“</w:t>
      </w:r>
      <w:r w:rsidR="0074011E" w:rsidRPr="0074011E">
        <w:rPr>
          <w:rFonts w:hint="eastAsia"/>
        </w:rPr>
        <w:t>繁荣发展文化事业和文化产业，</w:t>
      </w:r>
      <w:r w:rsidR="006E1379">
        <w:rPr>
          <w:rFonts w:hint="eastAsia"/>
        </w:rPr>
        <w:t>坚持以人民为中心的创作导向，推出更多增强人民精神力量的优秀作品</w:t>
      </w:r>
      <w:r w:rsidR="0074011E" w:rsidRPr="0074011E">
        <w:rPr>
          <w:rFonts w:hint="eastAsia"/>
        </w:rPr>
        <w:t>。增强中华文明传播力影响力，坚守中华文化立场，讲好中国故事、传播好中国声音，展现可信、可爱、可敬的中国形象</w:t>
      </w:r>
      <w:r w:rsidR="00CC279B">
        <w:rPr>
          <w:rFonts w:hint="eastAsia"/>
        </w:rPr>
        <w:t>”</w:t>
      </w:r>
      <w:r w:rsidR="0074011E" w:rsidRPr="0074011E">
        <w:rPr>
          <w:rFonts w:hint="eastAsia"/>
        </w:rPr>
        <w:t>。</w:t>
      </w:r>
      <w:r w:rsidR="00E87C22" w:rsidRPr="009827E8">
        <w:rPr>
          <w:rFonts w:hint="eastAsia"/>
        </w:rPr>
        <w:t>民营文艺表演团体是艺术创作生产的重要力量，</w:t>
      </w:r>
      <w:r w:rsidR="00E87C22" w:rsidRPr="00CC279B">
        <w:rPr>
          <w:rFonts w:hint="eastAsia"/>
        </w:rPr>
        <w:t>关系到</w:t>
      </w:r>
      <w:r w:rsidR="00E87C22">
        <w:rPr>
          <w:rFonts w:hint="eastAsia"/>
        </w:rPr>
        <w:t>基层文化建设，关系到地方特色非遗传承，关系到演出市场的竞争力，</w:t>
      </w:r>
      <w:r w:rsidR="00E87C22" w:rsidRPr="00CC279B">
        <w:rPr>
          <w:rFonts w:hint="eastAsia"/>
        </w:rPr>
        <w:t>关系到社会主义文艺事业繁荣发展</w:t>
      </w:r>
      <w:r w:rsidR="00E87C22">
        <w:rPr>
          <w:rFonts w:hint="eastAsia"/>
        </w:rPr>
        <w:t>，是发展演艺及相关产业的重要生力军，</w:t>
      </w:r>
      <w:r w:rsidR="00E87C22">
        <w:t>更是</w:t>
      </w:r>
      <w:r w:rsidR="00E87C22" w:rsidRPr="00A72091">
        <w:rPr>
          <w:rFonts w:hint="eastAsia"/>
        </w:rPr>
        <w:t>推进文化自信自强</w:t>
      </w:r>
      <w:r w:rsidR="00E87C22">
        <w:rPr>
          <w:rFonts w:hint="eastAsia"/>
        </w:rPr>
        <w:t>、</w:t>
      </w:r>
      <w:r w:rsidR="00E87C22" w:rsidRPr="00A72091">
        <w:rPr>
          <w:rFonts w:hint="eastAsia"/>
        </w:rPr>
        <w:t>铸就社会主义文化新辉煌</w:t>
      </w:r>
      <w:r w:rsidR="00E87C22">
        <w:rPr>
          <w:rFonts w:hint="eastAsia"/>
        </w:rPr>
        <w:t>的重要推手</w:t>
      </w:r>
      <w:r w:rsidR="00E87C22">
        <w:t>。</w:t>
      </w:r>
    </w:p>
    <w:p w:rsidR="005E0EA8" w:rsidRDefault="005E0EA8" w:rsidP="00E60637">
      <w:pPr>
        <w:pStyle w:val="a0"/>
      </w:pPr>
      <w:r>
        <w:rPr>
          <w:rFonts w:hint="eastAsia"/>
        </w:rPr>
        <w:t>2021年7月，</w:t>
      </w:r>
      <w:r w:rsidRPr="00305AB7">
        <w:rPr>
          <w:rFonts w:hint="eastAsia"/>
        </w:rPr>
        <w:t>文化和旅游部、民政部、财政部、人力资源社会保障部、税务总局、市场监管总局六部门</w:t>
      </w:r>
      <w:r>
        <w:rPr>
          <w:rFonts w:hint="eastAsia"/>
        </w:rPr>
        <w:t>曾共同</w:t>
      </w:r>
      <w:r w:rsidRPr="00305AB7">
        <w:rPr>
          <w:rFonts w:hint="eastAsia"/>
        </w:rPr>
        <w:t>发布《关于营造更好发展环境支持民营文艺表演团体改革发展的实施意见》</w:t>
      </w:r>
      <w:r>
        <w:rPr>
          <w:rFonts w:hint="eastAsia"/>
        </w:rPr>
        <w:t>，《意见》</w:t>
      </w:r>
      <w:r w:rsidRPr="00305AB7">
        <w:rPr>
          <w:rFonts w:hint="eastAsia"/>
        </w:rPr>
        <w:t>要求将民营文艺表演团体改革发展纳入工作议程</w:t>
      </w:r>
      <w:r>
        <w:rPr>
          <w:rFonts w:hint="eastAsia"/>
        </w:rPr>
        <w:t>，加强对民营文艺表演团体的分类指导，</w:t>
      </w:r>
      <w:r w:rsidRPr="00305AB7">
        <w:rPr>
          <w:rFonts w:hint="eastAsia"/>
        </w:rPr>
        <w:t>加强行业标准建设，鼓励相关行业协会分类制定并实施民营文艺表演团体的服务规范、评价办法、管理指南，引导民营文艺表演团体</w:t>
      </w:r>
      <w:proofErr w:type="gramStart"/>
      <w:r w:rsidRPr="00305AB7">
        <w:rPr>
          <w:rFonts w:hint="eastAsia"/>
        </w:rPr>
        <w:t>做优做</w:t>
      </w:r>
      <w:proofErr w:type="gramEnd"/>
      <w:r w:rsidRPr="00305AB7">
        <w:rPr>
          <w:rFonts w:hint="eastAsia"/>
        </w:rPr>
        <w:t>强。</w:t>
      </w:r>
    </w:p>
    <w:p w:rsidR="002D7558" w:rsidRDefault="00C5691A" w:rsidP="00E60637">
      <w:pPr>
        <w:pStyle w:val="a0"/>
      </w:pPr>
      <w:r>
        <w:rPr>
          <w:rFonts w:hint="eastAsia"/>
        </w:rPr>
        <w:t>《</w:t>
      </w:r>
      <w:r w:rsidRPr="00C5691A">
        <w:rPr>
          <w:rFonts w:hint="eastAsia"/>
        </w:rPr>
        <w:t>湖南省第十二次党代会报告</w:t>
      </w:r>
      <w:r>
        <w:rPr>
          <w:rFonts w:hint="eastAsia"/>
        </w:rPr>
        <w:t>》明确提出</w:t>
      </w:r>
      <w:r>
        <w:t>，</w:t>
      </w:r>
      <w:r w:rsidR="001F15CA">
        <w:rPr>
          <w:rFonts w:hint="eastAsia"/>
        </w:rPr>
        <w:t>丰富人民精神文化生活，激发文化创新创造活力。坚持以人民为中心的创作导向，推出更多在全国有重大影响的精品力作。坚持守正创新，把社会效益放在首位，坚持社会效益与经济效益相统一，持续推进文化体制改革，健全现代文化产业体系和市场体系，扩大优质文化产品供给。</w:t>
      </w:r>
      <w:r w:rsidR="002D7558">
        <w:rPr>
          <w:rFonts w:hint="eastAsia"/>
        </w:rPr>
        <w:t>当前疫情防控常态化期间，我省</w:t>
      </w:r>
      <w:r w:rsidR="00CC279B" w:rsidRPr="00CC279B">
        <w:rPr>
          <w:rFonts w:hint="eastAsia"/>
        </w:rPr>
        <w:t>民营文艺表演团体遭遇</w:t>
      </w:r>
      <w:r w:rsidR="002D7558">
        <w:rPr>
          <w:rFonts w:hint="eastAsia"/>
        </w:rPr>
        <w:t>了</w:t>
      </w:r>
      <w:r w:rsidR="00CC279B" w:rsidRPr="00CC279B">
        <w:rPr>
          <w:rFonts w:hint="eastAsia"/>
        </w:rPr>
        <w:t>较为严峻的挑战</w:t>
      </w:r>
      <w:r w:rsidR="00135517">
        <w:rPr>
          <w:rFonts w:hint="eastAsia"/>
        </w:rPr>
        <w:t>，</w:t>
      </w:r>
      <w:r w:rsidR="00135517">
        <w:t>但是</w:t>
      </w:r>
      <w:r w:rsidR="00135517">
        <w:rPr>
          <w:rFonts w:hint="eastAsia"/>
        </w:rPr>
        <w:t>挑战背后亦</w:t>
      </w:r>
      <w:r w:rsidR="00135517">
        <w:t>蕴藏</w:t>
      </w:r>
      <w:r w:rsidR="00135517">
        <w:rPr>
          <w:rFonts w:hint="eastAsia"/>
        </w:rPr>
        <w:t>着</w:t>
      </w:r>
      <w:r w:rsidR="00135517">
        <w:t>机遇。</w:t>
      </w:r>
      <w:r w:rsidR="002540F7">
        <w:rPr>
          <w:rFonts w:hint="eastAsia"/>
        </w:rPr>
        <w:t>《</w:t>
      </w:r>
      <w:r w:rsidR="006A451A">
        <w:rPr>
          <w:rFonts w:hint="eastAsia"/>
        </w:rPr>
        <w:t>民营文艺表演团体等级划分与评定</w:t>
      </w:r>
      <w:r w:rsidR="00571BD2">
        <w:rPr>
          <w:rFonts w:hint="eastAsia"/>
        </w:rPr>
        <w:t>规范</w:t>
      </w:r>
      <w:r w:rsidR="002540F7">
        <w:rPr>
          <w:rFonts w:hint="eastAsia"/>
        </w:rPr>
        <w:t>》的</w:t>
      </w:r>
      <w:r w:rsidR="002540F7">
        <w:t>制订旨在</w:t>
      </w:r>
      <w:r w:rsidR="002540F7" w:rsidRPr="002540F7">
        <w:rPr>
          <w:rFonts w:hint="eastAsia"/>
        </w:rPr>
        <w:t>明确</w:t>
      </w:r>
      <w:r w:rsidR="002540F7">
        <w:rPr>
          <w:rFonts w:hint="eastAsia"/>
        </w:rPr>
        <w:t>企业</w:t>
      </w:r>
      <w:r w:rsidR="002540F7" w:rsidRPr="002540F7">
        <w:rPr>
          <w:rFonts w:hint="eastAsia"/>
        </w:rPr>
        <w:t>发展方向、优化演艺生态环境、响应国家文化战略、规范组织主体身份、提升内部管理效能、激发艺术生产和创新、探索数字化转型及鼓励对外交流传播</w:t>
      </w:r>
      <w:r w:rsidR="00E874CB">
        <w:rPr>
          <w:rFonts w:hint="eastAsia"/>
        </w:rPr>
        <w:t>，</w:t>
      </w:r>
      <w:r w:rsidR="002540F7" w:rsidRPr="009827E8">
        <w:rPr>
          <w:rFonts w:hint="eastAsia"/>
        </w:rPr>
        <w:t>进一步激发民营文艺表演团体活力和创造力，</w:t>
      </w:r>
      <w:r w:rsidR="005170EF" w:rsidRPr="00E874CB">
        <w:rPr>
          <w:rFonts w:hint="eastAsia"/>
        </w:rPr>
        <w:t>规范民营文艺表演市场，支持</w:t>
      </w:r>
      <w:r w:rsidR="005170EF">
        <w:rPr>
          <w:rFonts w:hint="eastAsia"/>
        </w:rPr>
        <w:t>和</w:t>
      </w:r>
      <w:r w:rsidR="005170EF" w:rsidRPr="00E874CB">
        <w:rPr>
          <w:rFonts w:hint="eastAsia"/>
        </w:rPr>
        <w:t>引导市场的健康可持续发展</w:t>
      </w:r>
      <w:r w:rsidR="005170EF">
        <w:rPr>
          <w:rFonts w:hint="eastAsia"/>
        </w:rPr>
        <w:t>，</w:t>
      </w:r>
      <w:r w:rsidR="002540F7" w:rsidRPr="009827E8">
        <w:rPr>
          <w:rFonts w:hint="eastAsia"/>
        </w:rPr>
        <w:t>推动</w:t>
      </w:r>
      <w:r w:rsidR="005170EF">
        <w:rPr>
          <w:rFonts w:hint="eastAsia"/>
        </w:rPr>
        <w:t>湖南</w:t>
      </w:r>
      <w:proofErr w:type="gramStart"/>
      <w:r w:rsidR="005170EF">
        <w:rPr>
          <w:rFonts w:hint="eastAsia"/>
        </w:rPr>
        <w:t>文旅</w:t>
      </w:r>
      <w:r w:rsidR="005170EF">
        <w:t>产业</w:t>
      </w:r>
      <w:proofErr w:type="gramEnd"/>
      <w:r w:rsidR="002540F7" w:rsidRPr="009827E8">
        <w:rPr>
          <w:rFonts w:hint="eastAsia"/>
        </w:rPr>
        <w:t>高质量发展</w:t>
      </w:r>
      <w:r w:rsidR="00E874CB">
        <w:rPr>
          <w:rFonts w:hint="eastAsia"/>
        </w:rPr>
        <w:t>。</w:t>
      </w:r>
    </w:p>
    <w:p w:rsidR="005170EF" w:rsidRPr="00C44B47" w:rsidRDefault="00E874CB" w:rsidP="00C44B47">
      <w:pPr>
        <w:pStyle w:val="a0"/>
      </w:pPr>
      <w:r w:rsidRPr="00CC279B">
        <w:rPr>
          <w:rFonts w:hint="eastAsia"/>
        </w:rPr>
        <w:t>在危机中寻求生机，让更多优秀的</w:t>
      </w:r>
      <w:r w:rsidR="002D5AC1">
        <w:rPr>
          <w:rFonts w:hint="eastAsia"/>
        </w:rPr>
        <w:t>湖</w:t>
      </w:r>
      <w:proofErr w:type="gramStart"/>
      <w:r w:rsidR="002D5AC1">
        <w:rPr>
          <w:rFonts w:hint="eastAsia"/>
        </w:rPr>
        <w:t>湘</w:t>
      </w:r>
      <w:r w:rsidRPr="00CC279B">
        <w:rPr>
          <w:rFonts w:hint="eastAsia"/>
        </w:rPr>
        <w:t>作品</w:t>
      </w:r>
      <w:proofErr w:type="gramEnd"/>
      <w:r w:rsidRPr="00CC279B">
        <w:rPr>
          <w:rFonts w:hint="eastAsia"/>
        </w:rPr>
        <w:t>和团体依旧活跃于舞台</w:t>
      </w:r>
      <w:r w:rsidR="00B33F41">
        <w:rPr>
          <w:rFonts w:hint="eastAsia"/>
        </w:rPr>
        <w:t>，</w:t>
      </w:r>
      <w:r w:rsidRPr="00E874CB">
        <w:rPr>
          <w:rFonts w:hint="eastAsia"/>
        </w:rPr>
        <w:t>把握发展机遇，</w:t>
      </w:r>
      <w:r w:rsidR="00FE0855" w:rsidRPr="00E874CB">
        <w:rPr>
          <w:rFonts w:hint="eastAsia"/>
        </w:rPr>
        <w:t>迎难而上</w:t>
      </w:r>
      <w:r w:rsidR="00FE0855">
        <w:rPr>
          <w:rFonts w:hint="eastAsia"/>
        </w:rPr>
        <w:t>，</w:t>
      </w:r>
      <w:r w:rsidRPr="00E874CB">
        <w:rPr>
          <w:rFonts w:hint="eastAsia"/>
        </w:rPr>
        <w:t>振奋信心</w:t>
      </w:r>
      <w:r>
        <w:rPr>
          <w:rFonts w:hint="eastAsia"/>
        </w:rPr>
        <w:t>，</w:t>
      </w:r>
      <w:r w:rsidRPr="00E874CB">
        <w:rPr>
          <w:rFonts w:hint="eastAsia"/>
        </w:rPr>
        <w:t>共建</w:t>
      </w:r>
      <w:r>
        <w:rPr>
          <w:rFonts w:hint="eastAsia"/>
        </w:rPr>
        <w:t>湖南</w:t>
      </w:r>
      <w:r w:rsidRPr="00E874CB">
        <w:rPr>
          <w:rFonts w:hint="eastAsia"/>
        </w:rPr>
        <w:t>演艺新生态，</w:t>
      </w:r>
      <w:r w:rsidRPr="00CC279B">
        <w:rPr>
          <w:rFonts w:hint="eastAsia"/>
        </w:rPr>
        <w:t>不断提升创演实力，用高质量的文艺作品争取市场</w:t>
      </w:r>
      <w:r w:rsidR="005170EF">
        <w:rPr>
          <w:rFonts w:hint="eastAsia"/>
        </w:rPr>
        <w:t>，</w:t>
      </w:r>
      <w:r w:rsidRPr="00CC279B">
        <w:rPr>
          <w:rFonts w:hint="eastAsia"/>
        </w:rPr>
        <w:t>赢得口碑</w:t>
      </w:r>
      <w:r w:rsidR="005170EF">
        <w:rPr>
          <w:rFonts w:hint="eastAsia"/>
        </w:rPr>
        <w:t>，让人民群众享有更加充实、更为丰富的</w:t>
      </w:r>
      <w:r>
        <w:rPr>
          <w:rFonts w:hint="eastAsia"/>
        </w:rPr>
        <w:t>精神文化生活。</w:t>
      </w:r>
      <w:r w:rsidR="00FE0855">
        <w:rPr>
          <w:rFonts w:hint="eastAsia"/>
        </w:rPr>
        <w:t>通过</w:t>
      </w:r>
      <w:r w:rsidR="00FE0855">
        <w:t>起草</w:t>
      </w:r>
      <w:r w:rsidR="008B7685">
        <w:rPr>
          <w:rFonts w:hint="eastAsia"/>
        </w:rPr>
        <w:t>《</w:t>
      </w:r>
      <w:r w:rsidR="003B7ECF">
        <w:rPr>
          <w:rFonts w:hint="eastAsia"/>
        </w:rPr>
        <w:t>民营文艺表演团体等级划分与评定</w:t>
      </w:r>
      <w:r w:rsidR="006D02AC">
        <w:rPr>
          <w:rFonts w:hint="eastAsia"/>
        </w:rPr>
        <w:t>规范</w:t>
      </w:r>
      <w:r w:rsidR="008B7685">
        <w:rPr>
          <w:rFonts w:hint="eastAsia"/>
        </w:rPr>
        <w:t>》，</w:t>
      </w:r>
      <w:r w:rsidR="008B7685" w:rsidRPr="008B7685">
        <w:rPr>
          <w:rFonts w:hint="eastAsia"/>
        </w:rPr>
        <w:t>推动民营演艺企业完善内部管理制度，规范经营行为</w:t>
      </w:r>
      <w:r w:rsidR="008B7685">
        <w:rPr>
          <w:rFonts w:hint="eastAsia"/>
        </w:rPr>
        <w:t>；</w:t>
      </w:r>
      <w:r w:rsidR="008B7685" w:rsidRPr="00E874CB">
        <w:rPr>
          <w:rFonts w:hint="eastAsia"/>
        </w:rPr>
        <w:t>推</w:t>
      </w:r>
      <w:r w:rsidR="00D34D07">
        <w:rPr>
          <w:rFonts w:hint="eastAsia"/>
        </w:rPr>
        <w:t>动民营文艺表演团体落实主体责任，引导演职人员讲品位、重艺德，</w:t>
      </w:r>
      <w:r w:rsidR="008B7685" w:rsidRPr="00E874CB">
        <w:rPr>
          <w:rFonts w:hint="eastAsia"/>
        </w:rPr>
        <w:t>抵制低俗庸俗媚俗之风</w:t>
      </w:r>
      <w:r w:rsidR="008B7685">
        <w:rPr>
          <w:rFonts w:hint="eastAsia"/>
        </w:rPr>
        <w:t>；</w:t>
      </w:r>
      <w:r w:rsidR="008B7685" w:rsidRPr="00E874CB">
        <w:rPr>
          <w:rFonts w:hint="eastAsia"/>
        </w:rPr>
        <w:t>加强民营文艺表演团体的业务指导以及演出活动的内容审核</w:t>
      </w:r>
      <w:r w:rsidR="008B7685">
        <w:rPr>
          <w:rFonts w:hint="eastAsia"/>
        </w:rPr>
        <w:t>；</w:t>
      </w:r>
      <w:r w:rsidR="008B7685" w:rsidRPr="00E874CB">
        <w:rPr>
          <w:rFonts w:hint="eastAsia"/>
        </w:rPr>
        <w:t>建立民营文艺表演团体管理及提升演出市场监管水平</w:t>
      </w:r>
      <w:r w:rsidR="008B7685">
        <w:rPr>
          <w:rFonts w:hint="eastAsia"/>
        </w:rPr>
        <w:t>，</w:t>
      </w:r>
      <w:r>
        <w:t>对于</w:t>
      </w:r>
      <w:r w:rsidRPr="00E874CB">
        <w:rPr>
          <w:rFonts w:hint="eastAsia"/>
        </w:rPr>
        <w:t>实现</w:t>
      </w:r>
      <w:r>
        <w:rPr>
          <w:rFonts w:hint="eastAsia"/>
        </w:rPr>
        <w:t>湖南</w:t>
      </w:r>
      <w:r w:rsidRPr="00E874CB">
        <w:rPr>
          <w:rFonts w:hint="eastAsia"/>
        </w:rPr>
        <w:t>文艺繁荣和文化强省目标</w:t>
      </w:r>
      <w:r>
        <w:rPr>
          <w:rFonts w:hint="eastAsia"/>
        </w:rPr>
        <w:t>、</w:t>
      </w:r>
      <w:r>
        <w:t>落实省委省政府的指示精神有着重要的</w:t>
      </w:r>
      <w:r>
        <w:rPr>
          <w:rFonts w:hint="eastAsia"/>
        </w:rPr>
        <w:t>现实意义</w:t>
      </w:r>
      <w:r w:rsidRPr="00E874CB">
        <w:rPr>
          <w:rFonts w:hint="eastAsia"/>
        </w:rPr>
        <w:t>。</w:t>
      </w:r>
    </w:p>
    <w:p w:rsidR="0054200E" w:rsidRDefault="00602F4B">
      <w:pPr>
        <w:spacing w:line="400" w:lineRule="exact"/>
        <w:rPr>
          <w:rFonts w:ascii="仿宋" w:eastAsia="仿宋" w:hAnsi="仿宋"/>
          <w:b/>
          <w:bCs/>
          <w:sz w:val="28"/>
          <w:szCs w:val="28"/>
        </w:rPr>
      </w:pPr>
      <w:r>
        <w:rPr>
          <w:rFonts w:ascii="仿宋" w:eastAsia="仿宋" w:hAnsi="仿宋" w:hint="eastAsia"/>
          <w:b/>
          <w:bCs/>
          <w:sz w:val="28"/>
          <w:szCs w:val="28"/>
        </w:rPr>
        <w:t>2 工作简况</w:t>
      </w:r>
    </w:p>
    <w:p w:rsidR="0054200E" w:rsidRDefault="00602F4B">
      <w:pPr>
        <w:spacing w:line="400" w:lineRule="exact"/>
        <w:ind w:firstLineChars="100" w:firstLine="280"/>
        <w:rPr>
          <w:rFonts w:ascii="仿宋" w:eastAsia="仿宋" w:hAnsi="仿宋"/>
          <w:sz w:val="28"/>
          <w:szCs w:val="28"/>
        </w:rPr>
      </w:pPr>
      <w:r>
        <w:rPr>
          <w:rFonts w:ascii="仿宋" w:eastAsia="仿宋" w:hAnsi="仿宋" w:hint="eastAsia"/>
          <w:sz w:val="28"/>
          <w:szCs w:val="28"/>
        </w:rPr>
        <w:t>2.1任务来源</w:t>
      </w:r>
    </w:p>
    <w:p w:rsidR="0054200E" w:rsidRDefault="00602F4B">
      <w:pPr>
        <w:adjustRightInd w:val="0"/>
        <w:snapToGrid w:val="0"/>
        <w:spacing w:line="580" w:lineRule="exact"/>
        <w:ind w:firstLineChars="200" w:firstLine="560"/>
        <w:rPr>
          <w:rFonts w:ascii="仿宋" w:eastAsia="仿宋" w:hAnsi="仿宋"/>
          <w:sz w:val="28"/>
          <w:szCs w:val="28"/>
        </w:rPr>
      </w:pPr>
      <w:r w:rsidRPr="00EC7CB8">
        <w:rPr>
          <w:rFonts w:ascii="仿宋" w:eastAsia="仿宋" w:hAnsi="仿宋" w:hint="eastAsia"/>
          <w:sz w:val="28"/>
          <w:szCs w:val="28"/>
        </w:rPr>
        <w:t>20</w:t>
      </w:r>
      <w:r w:rsidR="00A50735">
        <w:rPr>
          <w:rFonts w:ascii="仿宋" w:eastAsia="仿宋" w:hAnsi="仿宋"/>
          <w:sz w:val="28"/>
          <w:szCs w:val="28"/>
        </w:rPr>
        <w:t>22</w:t>
      </w:r>
      <w:r w:rsidRPr="00EC7CB8">
        <w:rPr>
          <w:rFonts w:ascii="仿宋" w:eastAsia="仿宋" w:hAnsi="仿宋" w:hint="eastAsia"/>
          <w:sz w:val="28"/>
          <w:szCs w:val="28"/>
        </w:rPr>
        <w:t>年</w:t>
      </w:r>
      <w:r w:rsidR="00A50735">
        <w:rPr>
          <w:rFonts w:ascii="仿宋" w:eastAsia="仿宋" w:hAnsi="仿宋"/>
          <w:sz w:val="28"/>
          <w:szCs w:val="28"/>
        </w:rPr>
        <w:t>1</w:t>
      </w:r>
      <w:r w:rsidRPr="00EC7CB8">
        <w:rPr>
          <w:rFonts w:ascii="仿宋" w:eastAsia="仿宋" w:hAnsi="仿宋" w:hint="eastAsia"/>
          <w:sz w:val="28"/>
          <w:szCs w:val="28"/>
        </w:rPr>
        <w:t>月，本标准制定任务由省市场监督管理局标准化行政管理部门正式批准列入</w:t>
      </w:r>
      <w:r w:rsidR="00EC7CB8">
        <w:rPr>
          <w:rFonts w:ascii="仿宋" w:eastAsia="仿宋" w:hAnsi="仿宋" w:hint="eastAsia"/>
          <w:sz w:val="28"/>
          <w:szCs w:val="28"/>
        </w:rPr>
        <w:t>20</w:t>
      </w:r>
      <w:r w:rsidR="00EC7CB8">
        <w:rPr>
          <w:rFonts w:ascii="仿宋" w:eastAsia="仿宋" w:hAnsi="仿宋"/>
          <w:sz w:val="28"/>
          <w:szCs w:val="28"/>
        </w:rPr>
        <w:t>22</w:t>
      </w:r>
      <w:r w:rsidRPr="00EC7CB8">
        <w:rPr>
          <w:rFonts w:ascii="仿宋" w:eastAsia="仿宋" w:hAnsi="仿宋" w:hint="eastAsia"/>
          <w:sz w:val="28"/>
          <w:szCs w:val="28"/>
        </w:rPr>
        <w:t>年第</w:t>
      </w:r>
      <w:r w:rsidR="00EC7CB8">
        <w:rPr>
          <w:rFonts w:ascii="仿宋" w:eastAsia="仿宋" w:hAnsi="仿宋" w:hint="eastAsia"/>
          <w:sz w:val="28"/>
          <w:szCs w:val="28"/>
        </w:rPr>
        <w:t>一</w:t>
      </w:r>
      <w:r w:rsidRPr="00EC7CB8">
        <w:rPr>
          <w:rFonts w:ascii="仿宋" w:eastAsia="仿宋" w:hAnsi="仿宋" w:hint="eastAsia"/>
          <w:sz w:val="28"/>
          <w:szCs w:val="28"/>
        </w:rPr>
        <w:t>批湖南省地方标准化制定计划。项目承担单位为</w:t>
      </w:r>
      <w:r w:rsidR="00A50735" w:rsidRPr="00A50735">
        <w:rPr>
          <w:rFonts w:ascii="仿宋" w:eastAsia="仿宋" w:hAnsi="仿宋" w:hint="eastAsia"/>
          <w:sz w:val="28"/>
          <w:szCs w:val="28"/>
        </w:rPr>
        <w:t>湖南省城研产业发展中心有限公司</w:t>
      </w:r>
      <w:r w:rsidRPr="00EC7CB8">
        <w:rPr>
          <w:rFonts w:ascii="仿宋" w:eastAsia="仿宋" w:hAnsi="仿宋" w:hint="eastAsia"/>
          <w:sz w:val="28"/>
          <w:szCs w:val="28"/>
        </w:rPr>
        <w:t>，合作单位为</w:t>
      </w:r>
      <w:r w:rsidR="00B465D0" w:rsidRPr="00B465D0">
        <w:rPr>
          <w:rFonts w:ascii="仿宋" w:eastAsia="仿宋" w:hAnsi="仿宋" w:hint="eastAsia"/>
          <w:sz w:val="28"/>
          <w:szCs w:val="28"/>
        </w:rPr>
        <w:t>常德市桃花源风景名胜管理局、中南林</w:t>
      </w:r>
      <w:r w:rsidR="00B465D0">
        <w:rPr>
          <w:rFonts w:ascii="仿宋" w:eastAsia="仿宋" w:hAnsi="仿宋" w:hint="eastAsia"/>
          <w:sz w:val="28"/>
          <w:szCs w:val="28"/>
        </w:rPr>
        <w:t>业</w:t>
      </w:r>
      <w:r w:rsidR="00B465D0">
        <w:rPr>
          <w:rFonts w:ascii="仿宋" w:eastAsia="仿宋" w:hAnsi="仿宋"/>
          <w:sz w:val="28"/>
          <w:szCs w:val="28"/>
        </w:rPr>
        <w:t>科技大学</w:t>
      </w:r>
      <w:r w:rsidRPr="00EC7CB8">
        <w:rPr>
          <w:rFonts w:ascii="仿宋" w:eastAsia="仿宋" w:hAnsi="仿宋" w:hint="eastAsia"/>
          <w:sz w:val="28"/>
          <w:szCs w:val="28"/>
        </w:rPr>
        <w:t>。</w:t>
      </w:r>
    </w:p>
    <w:p w:rsidR="0054200E" w:rsidRDefault="00602F4B">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2.2制定过程</w:t>
      </w:r>
    </w:p>
    <w:p w:rsidR="0054200E" w:rsidRDefault="00602F4B">
      <w:pPr>
        <w:ind w:firstLineChars="150" w:firstLine="420"/>
        <w:rPr>
          <w:rFonts w:ascii="仿宋" w:eastAsia="仿宋" w:hAnsi="仿宋"/>
          <w:sz w:val="28"/>
          <w:szCs w:val="28"/>
        </w:rPr>
      </w:pPr>
      <w:r>
        <w:rPr>
          <w:rFonts w:ascii="仿宋" w:eastAsia="仿宋" w:hAnsi="仿宋" w:hint="eastAsia"/>
          <w:sz w:val="28"/>
          <w:szCs w:val="28"/>
        </w:rPr>
        <w:t>（1）成立标准编制小组</w:t>
      </w:r>
    </w:p>
    <w:p w:rsidR="0054200E" w:rsidRDefault="00602F4B">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202</w:t>
      </w:r>
      <w:r w:rsidR="008D05E8">
        <w:rPr>
          <w:rFonts w:ascii="仿宋" w:eastAsia="仿宋" w:hAnsi="仿宋"/>
          <w:sz w:val="28"/>
          <w:szCs w:val="28"/>
        </w:rPr>
        <w:t>2</w:t>
      </w:r>
      <w:r>
        <w:rPr>
          <w:rFonts w:ascii="仿宋" w:eastAsia="仿宋" w:hAnsi="仿宋" w:hint="eastAsia"/>
          <w:sz w:val="28"/>
          <w:szCs w:val="28"/>
        </w:rPr>
        <w:t>年</w:t>
      </w:r>
      <w:r w:rsidR="008D05E8">
        <w:rPr>
          <w:rFonts w:ascii="仿宋" w:eastAsia="仿宋" w:hAnsi="仿宋"/>
          <w:sz w:val="28"/>
          <w:szCs w:val="28"/>
        </w:rPr>
        <w:t>1</w:t>
      </w:r>
      <w:r>
        <w:rPr>
          <w:rFonts w:ascii="仿宋" w:eastAsia="仿宋" w:hAnsi="仿宋" w:hint="eastAsia"/>
          <w:sz w:val="28"/>
          <w:szCs w:val="28"/>
        </w:rPr>
        <w:t>月，标准起草编制小组成立。</w:t>
      </w:r>
    </w:p>
    <w:p w:rsidR="0054200E" w:rsidRDefault="00602F4B">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202</w:t>
      </w:r>
      <w:r w:rsidR="00CF66A3">
        <w:rPr>
          <w:rFonts w:ascii="仿宋" w:eastAsia="仿宋" w:hAnsi="仿宋" w:hint="eastAsia"/>
          <w:sz w:val="28"/>
          <w:szCs w:val="28"/>
        </w:rPr>
        <w:t>2</w:t>
      </w:r>
      <w:r>
        <w:rPr>
          <w:rFonts w:ascii="仿宋" w:eastAsia="仿宋" w:hAnsi="仿宋" w:hint="eastAsia"/>
          <w:sz w:val="28"/>
          <w:szCs w:val="28"/>
        </w:rPr>
        <w:t>年</w:t>
      </w:r>
      <w:r w:rsidR="00CF66A3">
        <w:rPr>
          <w:rFonts w:ascii="仿宋" w:eastAsia="仿宋" w:hAnsi="仿宋" w:hint="eastAsia"/>
          <w:sz w:val="28"/>
          <w:szCs w:val="28"/>
        </w:rPr>
        <w:t>3</w:t>
      </w:r>
      <w:r>
        <w:rPr>
          <w:rFonts w:ascii="仿宋" w:eastAsia="仿宋" w:hAnsi="仿宋" w:hint="eastAsia"/>
          <w:sz w:val="28"/>
          <w:szCs w:val="28"/>
        </w:rPr>
        <w:t>月，经广泛咨询、征求意见，拟定了本次标准修订的技术路线、工作方案。</w:t>
      </w:r>
    </w:p>
    <w:p w:rsidR="0054200E" w:rsidRDefault="00602F4B">
      <w:pPr>
        <w:ind w:firstLineChars="150" w:firstLine="420"/>
        <w:rPr>
          <w:rFonts w:ascii="仿宋" w:eastAsia="仿宋" w:hAnsi="仿宋"/>
          <w:sz w:val="28"/>
          <w:szCs w:val="28"/>
        </w:rPr>
      </w:pPr>
      <w:r>
        <w:rPr>
          <w:rFonts w:ascii="仿宋" w:eastAsia="仿宋" w:hAnsi="仿宋" w:hint="eastAsia"/>
          <w:sz w:val="28"/>
          <w:szCs w:val="28"/>
        </w:rPr>
        <w:t>（2）收集整理资料</w:t>
      </w:r>
    </w:p>
    <w:p w:rsidR="0054200E" w:rsidRDefault="00602F4B">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202</w:t>
      </w:r>
      <w:r w:rsidR="00CF66A3">
        <w:rPr>
          <w:rFonts w:ascii="仿宋" w:eastAsia="仿宋" w:hAnsi="仿宋" w:hint="eastAsia"/>
          <w:sz w:val="28"/>
          <w:szCs w:val="28"/>
        </w:rPr>
        <w:t>2</w:t>
      </w:r>
      <w:r>
        <w:rPr>
          <w:rFonts w:ascii="仿宋" w:eastAsia="仿宋" w:hAnsi="仿宋" w:hint="eastAsia"/>
          <w:sz w:val="28"/>
          <w:szCs w:val="28"/>
        </w:rPr>
        <w:t>年</w:t>
      </w:r>
      <w:r w:rsidR="00CF66A3">
        <w:rPr>
          <w:rFonts w:ascii="仿宋" w:eastAsia="仿宋" w:hAnsi="仿宋" w:hint="eastAsia"/>
          <w:sz w:val="28"/>
          <w:szCs w:val="28"/>
        </w:rPr>
        <w:t>4</w:t>
      </w:r>
      <w:r>
        <w:rPr>
          <w:rFonts w:ascii="仿宋" w:eastAsia="仿宋" w:hAnsi="仿宋" w:hint="eastAsia"/>
          <w:sz w:val="28"/>
          <w:szCs w:val="28"/>
        </w:rPr>
        <w:t>月，了解国家、其他省份以及本省</w:t>
      </w:r>
      <w:r w:rsidR="000A5886">
        <w:rPr>
          <w:rFonts w:ascii="仿宋" w:eastAsia="仿宋" w:hAnsi="仿宋" w:hint="eastAsia"/>
          <w:sz w:val="28"/>
          <w:szCs w:val="28"/>
        </w:rPr>
        <w:t>演艺演出</w:t>
      </w:r>
      <w:r>
        <w:rPr>
          <w:rFonts w:ascii="仿宋" w:eastAsia="仿宋" w:hAnsi="仿宋" w:hint="eastAsia"/>
          <w:sz w:val="28"/>
          <w:szCs w:val="28"/>
        </w:rPr>
        <w:t>有关的各项政策文件和法律法规，</w:t>
      </w:r>
      <w:r w:rsidR="000A5886">
        <w:rPr>
          <w:rFonts w:ascii="仿宋" w:eastAsia="仿宋" w:hAnsi="仿宋" w:hint="eastAsia"/>
          <w:sz w:val="28"/>
          <w:szCs w:val="28"/>
        </w:rPr>
        <w:t>文艺院团</w:t>
      </w:r>
      <w:r>
        <w:rPr>
          <w:rFonts w:ascii="仿宋" w:eastAsia="仿宋" w:hAnsi="仿宋" w:hint="eastAsia"/>
          <w:sz w:val="28"/>
          <w:szCs w:val="28"/>
        </w:rPr>
        <w:t>评定与划分的有关国家标准以及相关地方标准的制修订情况。收集的资料中，作为本标准的主要编制依据有：</w:t>
      </w:r>
    </w:p>
    <w:p w:rsidR="004B3262" w:rsidRP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GB 50016建筑设计防火规范</w:t>
      </w:r>
    </w:p>
    <w:p w:rsidR="004B3262" w:rsidRP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GB 50222-2017建筑内部装修设计防火规范</w:t>
      </w:r>
    </w:p>
    <w:p w:rsidR="004B3262" w:rsidRP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 xml:space="preserve">GB 15630 消防安全标志设置要求 </w:t>
      </w:r>
    </w:p>
    <w:p w:rsidR="004B3262" w:rsidRP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GB/T 36729演出安全</w:t>
      </w:r>
    </w:p>
    <w:p w:rsidR="004B3262" w:rsidRP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GB/T 32941.3-2016实景演出服务规范 第3部分：服务质量</w:t>
      </w:r>
    </w:p>
    <w:p w:rsidR="004B3262" w:rsidRP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GB/T 36731-2018临时搭建演出场所舞台、看台安全</w:t>
      </w:r>
    </w:p>
    <w:p w:rsidR="004B3262" w:rsidRDefault="004B3262" w:rsidP="004B3262">
      <w:pPr>
        <w:adjustRightInd w:val="0"/>
        <w:snapToGrid w:val="0"/>
        <w:spacing w:line="580" w:lineRule="exact"/>
        <w:ind w:firstLineChars="200" w:firstLine="560"/>
        <w:rPr>
          <w:rFonts w:ascii="仿宋" w:eastAsia="仿宋" w:hAnsi="仿宋"/>
          <w:sz w:val="28"/>
          <w:szCs w:val="28"/>
        </w:rPr>
      </w:pPr>
      <w:r w:rsidRPr="004B3262">
        <w:rPr>
          <w:rFonts w:ascii="仿宋" w:eastAsia="仿宋" w:hAnsi="仿宋" w:hint="eastAsia"/>
          <w:sz w:val="28"/>
          <w:szCs w:val="28"/>
        </w:rPr>
        <w:t>TSG 08-2017特种设备使用管理规则</w:t>
      </w:r>
    </w:p>
    <w:p w:rsidR="0054200E" w:rsidRDefault="00602F4B" w:rsidP="004B3262">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（3）开展调研</w:t>
      </w:r>
    </w:p>
    <w:p w:rsidR="0054200E" w:rsidRDefault="00602F4B">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202</w:t>
      </w:r>
      <w:r w:rsidR="00CF66A3">
        <w:rPr>
          <w:rFonts w:ascii="仿宋" w:eastAsia="仿宋" w:hAnsi="仿宋" w:hint="eastAsia"/>
          <w:sz w:val="28"/>
          <w:szCs w:val="28"/>
        </w:rPr>
        <w:t>2</w:t>
      </w:r>
      <w:r>
        <w:rPr>
          <w:rFonts w:ascii="仿宋" w:eastAsia="仿宋" w:hAnsi="仿宋" w:hint="eastAsia"/>
          <w:sz w:val="28"/>
          <w:szCs w:val="28"/>
        </w:rPr>
        <w:t>年</w:t>
      </w:r>
      <w:r w:rsidR="00CF66A3">
        <w:rPr>
          <w:rFonts w:ascii="仿宋" w:eastAsia="仿宋" w:hAnsi="仿宋" w:hint="eastAsia"/>
          <w:sz w:val="28"/>
          <w:szCs w:val="28"/>
        </w:rPr>
        <w:t>6</w:t>
      </w:r>
      <w:r>
        <w:rPr>
          <w:rFonts w:ascii="仿宋" w:eastAsia="仿宋" w:hAnsi="仿宋" w:hint="eastAsia"/>
          <w:sz w:val="28"/>
          <w:szCs w:val="28"/>
        </w:rPr>
        <w:t>月-202</w:t>
      </w:r>
      <w:r w:rsidR="00CF66A3">
        <w:rPr>
          <w:rFonts w:ascii="仿宋" w:eastAsia="仿宋" w:hAnsi="仿宋" w:hint="eastAsia"/>
          <w:sz w:val="28"/>
          <w:szCs w:val="28"/>
        </w:rPr>
        <w:t>2</w:t>
      </w:r>
      <w:r>
        <w:rPr>
          <w:rFonts w:ascii="仿宋" w:eastAsia="仿宋" w:hAnsi="仿宋" w:hint="eastAsia"/>
          <w:sz w:val="28"/>
          <w:szCs w:val="28"/>
        </w:rPr>
        <w:t>年</w:t>
      </w:r>
      <w:r w:rsidR="00A1016A">
        <w:rPr>
          <w:rFonts w:ascii="仿宋" w:eastAsia="仿宋" w:hAnsi="仿宋" w:hint="eastAsia"/>
          <w:sz w:val="28"/>
          <w:szCs w:val="28"/>
        </w:rPr>
        <w:t>8</w:t>
      </w:r>
      <w:r>
        <w:rPr>
          <w:rFonts w:ascii="仿宋" w:eastAsia="仿宋" w:hAnsi="仿宋" w:hint="eastAsia"/>
          <w:sz w:val="28"/>
          <w:szCs w:val="28"/>
        </w:rPr>
        <w:t>月，编制小组赴</w:t>
      </w:r>
      <w:r w:rsidR="00480BF0">
        <w:rPr>
          <w:rFonts w:ascii="仿宋" w:eastAsia="仿宋" w:hAnsi="仿宋" w:hint="eastAsia"/>
          <w:sz w:val="28"/>
          <w:szCs w:val="28"/>
        </w:rPr>
        <w:t>多家</w:t>
      </w:r>
      <w:r>
        <w:rPr>
          <w:rFonts w:ascii="仿宋" w:eastAsia="仿宋" w:hAnsi="仿宋" w:hint="eastAsia"/>
          <w:sz w:val="28"/>
          <w:szCs w:val="28"/>
        </w:rPr>
        <w:t>湖南省</w:t>
      </w:r>
      <w:r w:rsidR="00480BF0">
        <w:rPr>
          <w:rFonts w:ascii="仿宋" w:eastAsia="仿宋" w:hAnsi="仿宋" w:hint="eastAsia"/>
          <w:sz w:val="28"/>
          <w:szCs w:val="28"/>
        </w:rPr>
        <w:t>知名演艺公司、旅游企业</w:t>
      </w:r>
      <w:r>
        <w:rPr>
          <w:rFonts w:ascii="仿宋" w:eastAsia="仿宋" w:hAnsi="仿宋" w:hint="eastAsia"/>
          <w:sz w:val="28"/>
          <w:szCs w:val="28"/>
        </w:rPr>
        <w:t>进行项目调研，深入了解</w:t>
      </w:r>
      <w:r w:rsidR="00480BF0">
        <w:rPr>
          <w:rFonts w:ascii="仿宋" w:eastAsia="仿宋" w:hAnsi="仿宋" w:hint="eastAsia"/>
          <w:sz w:val="28"/>
          <w:szCs w:val="28"/>
        </w:rPr>
        <w:t>民营文艺表演团体演出</w:t>
      </w:r>
      <w:r>
        <w:rPr>
          <w:rFonts w:ascii="仿宋" w:eastAsia="仿宋" w:hAnsi="仿宋" w:hint="eastAsia"/>
          <w:sz w:val="28"/>
          <w:szCs w:val="28"/>
        </w:rPr>
        <w:t>与服务的有关情况，对</w:t>
      </w:r>
      <w:r w:rsidR="00480BF0">
        <w:rPr>
          <w:rFonts w:ascii="仿宋" w:eastAsia="仿宋" w:hAnsi="仿宋" w:hint="eastAsia"/>
          <w:sz w:val="28"/>
          <w:szCs w:val="28"/>
        </w:rPr>
        <w:t>企业经营现况、</w:t>
      </w:r>
      <w:r>
        <w:rPr>
          <w:rFonts w:ascii="仿宋" w:eastAsia="仿宋" w:hAnsi="仿宋" w:hint="eastAsia"/>
          <w:sz w:val="28"/>
          <w:szCs w:val="28"/>
        </w:rPr>
        <w:t>基础设施水平等重点有了进一步了解和掌握。</w:t>
      </w:r>
    </w:p>
    <w:p w:rsidR="0054200E" w:rsidRDefault="00602F4B">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（4）起草标准文本</w:t>
      </w:r>
    </w:p>
    <w:p w:rsidR="00B776EA" w:rsidRDefault="00602F4B" w:rsidP="00585D46">
      <w:pPr>
        <w:adjustRightInd w:val="0"/>
        <w:snapToGrid w:val="0"/>
        <w:spacing w:line="580" w:lineRule="exact"/>
        <w:ind w:firstLineChars="200" w:firstLine="560"/>
        <w:rPr>
          <w:rFonts w:ascii="仿宋" w:eastAsia="仿宋" w:hAnsi="仿宋"/>
          <w:sz w:val="28"/>
          <w:szCs w:val="28"/>
        </w:rPr>
      </w:pPr>
      <w:r>
        <w:rPr>
          <w:rFonts w:ascii="仿宋" w:eastAsia="仿宋" w:hAnsi="仿宋" w:hint="eastAsia"/>
          <w:sz w:val="28"/>
          <w:szCs w:val="28"/>
        </w:rPr>
        <w:t>202</w:t>
      </w:r>
      <w:r w:rsidR="00A1016A">
        <w:rPr>
          <w:rFonts w:ascii="仿宋" w:eastAsia="仿宋" w:hAnsi="仿宋" w:hint="eastAsia"/>
          <w:sz w:val="28"/>
          <w:szCs w:val="28"/>
        </w:rPr>
        <w:t>2</w:t>
      </w:r>
      <w:r>
        <w:rPr>
          <w:rFonts w:ascii="仿宋" w:eastAsia="仿宋" w:hAnsi="仿宋" w:hint="eastAsia"/>
          <w:sz w:val="28"/>
          <w:szCs w:val="28"/>
        </w:rPr>
        <w:t>年</w:t>
      </w:r>
      <w:r w:rsidR="00A1016A">
        <w:rPr>
          <w:rFonts w:ascii="仿宋" w:eastAsia="仿宋" w:hAnsi="仿宋" w:hint="eastAsia"/>
          <w:sz w:val="28"/>
          <w:szCs w:val="28"/>
        </w:rPr>
        <w:t>9</w:t>
      </w:r>
      <w:r>
        <w:rPr>
          <w:rFonts w:ascii="仿宋" w:eastAsia="仿宋" w:hAnsi="仿宋" w:hint="eastAsia"/>
          <w:sz w:val="28"/>
          <w:szCs w:val="28"/>
        </w:rPr>
        <w:t>月-1</w:t>
      </w:r>
      <w:r w:rsidR="00A1016A">
        <w:rPr>
          <w:rFonts w:ascii="仿宋" w:eastAsia="仿宋" w:hAnsi="仿宋" w:hint="eastAsia"/>
          <w:sz w:val="28"/>
          <w:szCs w:val="28"/>
        </w:rPr>
        <w:t>0</w:t>
      </w:r>
      <w:r>
        <w:rPr>
          <w:rFonts w:ascii="仿宋" w:eastAsia="仿宋" w:hAnsi="仿宋" w:hint="eastAsia"/>
          <w:sz w:val="28"/>
          <w:szCs w:val="28"/>
        </w:rPr>
        <w:t>月，在开展调研的基础上，编制组起草形成了《</w:t>
      </w:r>
      <w:r w:rsidR="00B776EA">
        <w:rPr>
          <w:rFonts w:ascii="仿宋" w:eastAsia="仿宋" w:hAnsi="仿宋" w:hint="eastAsia"/>
          <w:sz w:val="28"/>
          <w:szCs w:val="28"/>
        </w:rPr>
        <w:t>民营文艺表演团体等级划分与评定规范</w:t>
      </w:r>
      <w:r>
        <w:rPr>
          <w:rFonts w:ascii="仿宋" w:eastAsia="仿宋" w:hAnsi="仿宋" w:hint="eastAsia"/>
          <w:sz w:val="28"/>
          <w:szCs w:val="28"/>
        </w:rPr>
        <w:t>》标准工作组讨论稿。</w:t>
      </w:r>
      <w:r w:rsidR="00B7170A">
        <w:rPr>
          <w:rFonts w:ascii="仿宋" w:eastAsia="仿宋" w:hAnsi="仿宋" w:hint="eastAsia"/>
          <w:sz w:val="28"/>
          <w:szCs w:val="28"/>
        </w:rPr>
        <w:t>编制组</w:t>
      </w:r>
      <w:r w:rsidR="00C12759">
        <w:rPr>
          <w:rFonts w:ascii="仿宋" w:eastAsia="仿宋" w:hAnsi="仿宋" w:hint="eastAsia"/>
          <w:sz w:val="28"/>
          <w:szCs w:val="28"/>
        </w:rPr>
        <w:t>邀请</w:t>
      </w:r>
      <w:r w:rsidR="00B7170A">
        <w:rPr>
          <w:rFonts w:ascii="仿宋" w:eastAsia="仿宋" w:hAnsi="仿宋" w:hint="eastAsia"/>
          <w:sz w:val="28"/>
          <w:szCs w:val="28"/>
        </w:rPr>
        <w:t>旅游标准化管理人员、民营演出机构负责人</w:t>
      </w:r>
      <w:r w:rsidR="00B7170A" w:rsidRPr="00B7170A">
        <w:rPr>
          <w:rFonts w:ascii="仿宋" w:eastAsia="仿宋" w:hAnsi="仿宋" w:hint="eastAsia"/>
          <w:sz w:val="28"/>
          <w:szCs w:val="28"/>
        </w:rPr>
        <w:t>、</w:t>
      </w:r>
      <w:r w:rsidR="00C12759">
        <w:rPr>
          <w:rFonts w:ascii="仿宋" w:eastAsia="仿宋" w:hAnsi="仿宋" w:hint="eastAsia"/>
          <w:sz w:val="28"/>
          <w:szCs w:val="28"/>
        </w:rPr>
        <w:t>演出市场管理</w:t>
      </w:r>
      <w:r w:rsidR="00B7170A" w:rsidRPr="00B7170A">
        <w:rPr>
          <w:rFonts w:ascii="仿宋" w:eastAsia="仿宋" w:hAnsi="仿宋" w:hint="eastAsia"/>
          <w:sz w:val="28"/>
          <w:szCs w:val="28"/>
        </w:rPr>
        <w:t>资深专家、</w:t>
      </w:r>
      <w:r w:rsidR="00B7170A">
        <w:rPr>
          <w:rFonts w:ascii="仿宋" w:eastAsia="仿宋" w:hAnsi="仿宋" w:hint="eastAsia"/>
          <w:sz w:val="28"/>
          <w:szCs w:val="28"/>
        </w:rPr>
        <w:t>艺术</w:t>
      </w:r>
      <w:r w:rsidR="00B7170A" w:rsidRPr="00B7170A">
        <w:rPr>
          <w:rFonts w:ascii="仿宋" w:eastAsia="仿宋" w:hAnsi="仿宋" w:hint="eastAsia"/>
          <w:sz w:val="28"/>
          <w:szCs w:val="28"/>
        </w:rPr>
        <w:t>专业高校专家等举行座谈会，对该标准的框架和主要内容进行讨论。参会专家分别来自湖南省</w:t>
      </w:r>
      <w:r w:rsidR="00585D46">
        <w:rPr>
          <w:rFonts w:ascii="仿宋" w:eastAsia="仿宋" w:hAnsi="仿宋"/>
          <w:sz w:val="28"/>
          <w:szCs w:val="28"/>
        </w:rPr>
        <w:t>标准化协会</w:t>
      </w:r>
      <w:r w:rsidR="00B7170A" w:rsidRPr="00B7170A">
        <w:rPr>
          <w:rFonts w:ascii="仿宋" w:eastAsia="仿宋" w:hAnsi="仿宋" w:hint="eastAsia"/>
          <w:sz w:val="28"/>
          <w:szCs w:val="28"/>
        </w:rPr>
        <w:t>、湖南省旅游标准化技术委员会、湖南</w:t>
      </w:r>
      <w:r w:rsidR="00585D46">
        <w:rPr>
          <w:rFonts w:ascii="仿宋" w:eastAsia="仿宋" w:hAnsi="仿宋" w:hint="eastAsia"/>
          <w:sz w:val="28"/>
          <w:szCs w:val="28"/>
        </w:rPr>
        <w:t>山水盛典文化产业股份有限公司、魅力</w:t>
      </w:r>
      <w:proofErr w:type="gramStart"/>
      <w:r w:rsidR="00585D46">
        <w:rPr>
          <w:rFonts w:ascii="仿宋" w:eastAsia="仿宋" w:hAnsi="仿宋" w:hint="eastAsia"/>
          <w:sz w:val="28"/>
          <w:szCs w:val="28"/>
        </w:rPr>
        <w:t>文旅发展</w:t>
      </w:r>
      <w:proofErr w:type="gramEnd"/>
      <w:r w:rsidR="00585D46">
        <w:rPr>
          <w:rFonts w:ascii="仿宋" w:eastAsia="仿宋" w:hAnsi="仿宋" w:hint="eastAsia"/>
          <w:sz w:val="28"/>
          <w:szCs w:val="28"/>
        </w:rPr>
        <w:t>有限公司、湖南琴岛文化传播有限公司、</w:t>
      </w:r>
      <w:r w:rsidR="00585D46" w:rsidRPr="00B776EA">
        <w:rPr>
          <w:rFonts w:ascii="仿宋" w:eastAsia="仿宋" w:hAnsi="仿宋" w:hint="eastAsia"/>
          <w:sz w:val="28"/>
          <w:szCs w:val="28"/>
        </w:rPr>
        <w:t>长沙</w:t>
      </w:r>
      <w:proofErr w:type="gramStart"/>
      <w:r w:rsidR="00585D46" w:rsidRPr="00B776EA">
        <w:rPr>
          <w:rFonts w:ascii="仿宋" w:eastAsia="仿宋" w:hAnsi="仿宋" w:hint="eastAsia"/>
          <w:sz w:val="28"/>
          <w:szCs w:val="28"/>
        </w:rPr>
        <w:t>新华联铜官窑</w:t>
      </w:r>
      <w:proofErr w:type="gramEnd"/>
      <w:r w:rsidR="00585D46" w:rsidRPr="00B776EA">
        <w:rPr>
          <w:rFonts w:ascii="仿宋" w:eastAsia="仿宋" w:hAnsi="仿宋" w:hint="eastAsia"/>
          <w:sz w:val="28"/>
          <w:szCs w:val="28"/>
        </w:rPr>
        <w:t>国际文化旅游开发有限公司</w:t>
      </w:r>
      <w:r w:rsidR="00585D46">
        <w:rPr>
          <w:rFonts w:ascii="仿宋" w:eastAsia="仿宋" w:hAnsi="仿宋" w:hint="eastAsia"/>
          <w:sz w:val="28"/>
          <w:szCs w:val="28"/>
        </w:rPr>
        <w:t>、湖南艺术职业学院</w:t>
      </w:r>
      <w:r w:rsidR="00B7170A" w:rsidRPr="00B7170A">
        <w:rPr>
          <w:rFonts w:ascii="仿宋" w:eastAsia="仿宋" w:hAnsi="仿宋" w:hint="eastAsia"/>
          <w:sz w:val="28"/>
          <w:szCs w:val="28"/>
        </w:rPr>
        <w:t>等单位。根据专家意见修改完善标准文本，并于202</w:t>
      </w:r>
      <w:r w:rsidR="00585D46">
        <w:rPr>
          <w:rFonts w:ascii="仿宋" w:eastAsia="仿宋" w:hAnsi="仿宋"/>
          <w:sz w:val="28"/>
          <w:szCs w:val="28"/>
        </w:rPr>
        <w:t>2</w:t>
      </w:r>
      <w:r w:rsidR="00B7170A" w:rsidRPr="00B7170A">
        <w:rPr>
          <w:rFonts w:ascii="仿宋" w:eastAsia="仿宋" w:hAnsi="仿宋" w:hint="eastAsia"/>
          <w:sz w:val="28"/>
          <w:szCs w:val="28"/>
        </w:rPr>
        <w:t>年1</w:t>
      </w:r>
      <w:r w:rsidR="00585D46">
        <w:rPr>
          <w:rFonts w:ascii="仿宋" w:eastAsia="仿宋" w:hAnsi="仿宋"/>
          <w:sz w:val="28"/>
          <w:szCs w:val="28"/>
        </w:rPr>
        <w:t>0</w:t>
      </w:r>
      <w:r w:rsidR="00B7170A" w:rsidRPr="00B7170A">
        <w:rPr>
          <w:rFonts w:ascii="仿宋" w:eastAsia="仿宋" w:hAnsi="仿宋" w:hint="eastAsia"/>
          <w:sz w:val="28"/>
          <w:szCs w:val="28"/>
        </w:rPr>
        <w:t>月形成了征求意见稿。</w:t>
      </w:r>
    </w:p>
    <w:p w:rsidR="0054200E" w:rsidRDefault="00602F4B">
      <w:pPr>
        <w:pStyle w:val="1"/>
        <w:numPr>
          <w:ilvl w:val="0"/>
          <w:numId w:val="0"/>
        </w:numPr>
        <w:ind w:left="426"/>
        <w:rPr>
          <w:rFonts w:ascii="仿宋" w:eastAsia="仿宋" w:hAnsi="仿宋"/>
          <w:b/>
          <w:szCs w:val="28"/>
        </w:rPr>
      </w:pPr>
      <w:bookmarkStart w:id="1" w:name="_Toc450205626"/>
      <w:bookmarkStart w:id="2" w:name="_Toc451849981"/>
      <w:bookmarkStart w:id="3" w:name="_Toc451952355"/>
      <w:bookmarkStart w:id="4" w:name="_Toc451850353"/>
      <w:bookmarkStart w:id="5" w:name="_Toc14069"/>
      <w:bookmarkStart w:id="6" w:name="_Toc57709200"/>
      <w:r>
        <w:rPr>
          <w:rFonts w:ascii="仿宋" w:eastAsia="仿宋" w:hAnsi="仿宋" w:hint="eastAsia"/>
          <w:b/>
          <w:szCs w:val="28"/>
        </w:rPr>
        <w:t>3.编制原则和确定主要内容</w:t>
      </w:r>
      <w:bookmarkEnd w:id="1"/>
      <w:bookmarkEnd w:id="2"/>
      <w:bookmarkEnd w:id="3"/>
      <w:bookmarkEnd w:id="4"/>
      <w:bookmarkEnd w:id="5"/>
      <w:r>
        <w:rPr>
          <w:rFonts w:ascii="仿宋" w:eastAsia="仿宋" w:hAnsi="仿宋" w:hint="eastAsia"/>
          <w:b/>
          <w:szCs w:val="28"/>
        </w:rPr>
        <w:t>的依据</w:t>
      </w:r>
      <w:bookmarkEnd w:id="6"/>
    </w:p>
    <w:p w:rsidR="0054200E" w:rsidRDefault="00602F4B">
      <w:pPr>
        <w:spacing w:line="580" w:lineRule="exact"/>
        <w:ind w:firstLineChars="200" w:firstLine="560"/>
        <w:rPr>
          <w:rFonts w:ascii="仿宋" w:eastAsia="仿宋" w:hAnsi="仿宋"/>
          <w:sz w:val="28"/>
          <w:szCs w:val="28"/>
        </w:rPr>
      </w:pPr>
      <w:r>
        <w:rPr>
          <w:rFonts w:ascii="仿宋" w:eastAsia="仿宋" w:hAnsi="仿宋" w:hint="eastAsia"/>
          <w:sz w:val="28"/>
          <w:szCs w:val="28"/>
        </w:rPr>
        <w:t>3.1 编制原则</w:t>
      </w:r>
    </w:p>
    <w:p w:rsidR="0054200E" w:rsidRDefault="00602F4B">
      <w:pPr>
        <w:spacing w:line="580" w:lineRule="exact"/>
        <w:ind w:firstLine="573"/>
        <w:rPr>
          <w:rFonts w:ascii="仿宋" w:eastAsia="仿宋" w:hAnsi="仿宋"/>
          <w:sz w:val="28"/>
          <w:szCs w:val="28"/>
        </w:rPr>
      </w:pPr>
      <w:r>
        <w:rPr>
          <w:rFonts w:ascii="仿宋" w:eastAsia="仿宋" w:hAnsi="仿宋" w:hint="eastAsia"/>
          <w:sz w:val="28"/>
          <w:szCs w:val="28"/>
        </w:rPr>
        <w:t>本标准编制在遵循内容适用性、充分的可预见性、高效的协调和兼容性、灵活的开放性、较强的可操作性、文本的规范性等原则。</w:t>
      </w:r>
    </w:p>
    <w:p w:rsidR="0054200E" w:rsidRDefault="00602F4B">
      <w:pPr>
        <w:spacing w:line="580" w:lineRule="exact"/>
        <w:ind w:firstLine="573"/>
        <w:rPr>
          <w:rFonts w:ascii="仿宋" w:eastAsia="仿宋" w:hAnsi="仿宋"/>
          <w:sz w:val="28"/>
          <w:szCs w:val="28"/>
        </w:rPr>
      </w:pPr>
      <w:r>
        <w:rPr>
          <w:rFonts w:ascii="仿宋" w:eastAsia="仿宋" w:hAnsi="仿宋" w:hint="eastAsia"/>
          <w:sz w:val="28"/>
          <w:szCs w:val="28"/>
        </w:rPr>
        <w:t>3.2 主要内容确定</w:t>
      </w:r>
    </w:p>
    <w:p w:rsidR="0054200E" w:rsidRDefault="00602F4B">
      <w:pPr>
        <w:spacing w:line="580" w:lineRule="exact"/>
        <w:ind w:firstLine="573"/>
        <w:rPr>
          <w:rFonts w:ascii="仿宋" w:eastAsia="仿宋" w:hAnsi="仿宋"/>
          <w:sz w:val="28"/>
          <w:szCs w:val="28"/>
        </w:rPr>
      </w:pPr>
      <w:r>
        <w:rPr>
          <w:rFonts w:ascii="仿宋" w:eastAsia="仿宋" w:hAnsi="仿宋" w:hint="eastAsia"/>
          <w:sz w:val="28"/>
          <w:szCs w:val="28"/>
        </w:rPr>
        <w:t>（1）明确了“</w:t>
      </w:r>
      <w:r w:rsidR="00524C67">
        <w:rPr>
          <w:rFonts w:ascii="仿宋" w:eastAsia="仿宋" w:hAnsi="仿宋" w:hint="eastAsia"/>
          <w:sz w:val="28"/>
          <w:szCs w:val="28"/>
        </w:rPr>
        <w:t>民营文艺表演团体</w:t>
      </w:r>
      <w:r>
        <w:rPr>
          <w:rFonts w:ascii="仿宋" w:eastAsia="仿宋" w:hAnsi="仿宋" w:hint="eastAsia"/>
          <w:sz w:val="28"/>
          <w:szCs w:val="28"/>
        </w:rPr>
        <w:t>”这一术语及其定义。</w:t>
      </w:r>
    </w:p>
    <w:p w:rsidR="0054200E" w:rsidRDefault="00602F4B" w:rsidP="002F5CAD">
      <w:pPr>
        <w:spacing w:line="580" w:lineRule="exact"/>
        <w:ind w:firstLine="573"/>
        <w:rPr>
          <w:rFonts w:ascii="仿宋" w:eastAsia="仿宋" w:hAnsi="仿宋"/>
          <w:sz w:val="28"/>
          <w:szCs w:val="28"/>
        </w:rPr>
      </w:pPr>
      <w:r>
        <w:rPr>
          <w:rFonts w:ascii="仿宋" w:eastAsia="仿宋" w:hAnsi="仿宋" w:hint="eastAsia"/>
          <w:sz w:val="28"/>
          <w:szCs w:val="28"/>
        </w:rPr>
        <w:t>（2）提出了</w:t>
      </w:r>
      <w:r w:rsidR="002F5CAD">
        <w:rPr>
          <w:rFonts w:ascii="仿宋" w:eastAsia="仿宋" w:hAnsi="仿宋" w:hint="eastAsia"/>
          <w:sz w:val="28"/>
          <w:szCs w:val="28"/>
        </w:rPr>
        <w:t>民营文艺表演团体等级划分与评定</w:t>
      </w:r>
      <w:r w:rsidR="00C67C15">
        <w:rPr>
          <w:rFonts w:ascii="仿宋" w:eastAsia="仿宋" w:hAnsi="仿宋" w:hint="eastAsia"/>
          <w:sz w:val="28"/>
          <w:szCs w:val="28"/>
        </w:rPr>
        <w:t>规范的总提</w:t>
      </w:r>
      <w:r>
        <w:rPr>
          <w:rFonts w:ascii="仿宋" w:eastAsia="仿宋" w:hAnsi="仿宋" w:hint="eastAsia"/>
          <w:sz w:val="28"/>
          <w:szCs w:val="28"/>
        </w:rPr>
        <w:t>要求。主要对</w:t>
      </w:r>
      <w:r w:rsidR="00C67C15">
        <w:rPr>
          <w:rFonts w:ascii="仿宋" w:eastAsia="仿宋" w:hAnsi="仿宋" w:hint="eastAsia"/>
          <w:sz w:val="28"/>
          <w:szCs w:val="28"/>
        </w:rPr>
        <w:t>规范经营、</w:t>
      </w:r>
      <w:r w:rsidR="00CF177E">
        <w:rPr>
          <w:rFonts w:ascii="仿宋" w:eastAsia="仿宋" w:hAnsi="仿宋" w:hint="eastAsia"/>
          <w:sz w:val="28"/>
          <w:szCs w:val="28"/>
        </w:rPr>
        <w:t>安全</w:t>
      </w:r>
      <w:r w:rsidR="00B81282">
        <w:rPr>
          <w:rFonts w:ascii="仿宋" w:eastAsia="仿宋" w:hAnsi="仿宋" w:hint="eastAsia"/>
          <w:sz w:val="28"/>
          <w:szCs w:val="28"/>
        </w:rPr>
        <w:t>卫生管理</w:t>
      </w:r>
      <w:r w:rsidR="00C67C15">
        <w:rPr>
          <w:rFonts w:ascii="仿宋" w:eastAsia="仿宋" w:hAnsi="仿宋" w:hint="eastAsia"/>
          <w:sz w:val="28"/>
          <w:szCs w:val="28"/>
        </w:rPr>
        <w:t>和内容创作</w:t>
      </w:r>
      <w:r>
        <w:rPr>
          <w:rFonts w:ascii="仿宋" w:eastAsia="仿宋" w:hAnsi="仿宋" w:hint="eastAsia"/>
          <w:sz w:val="28"/>
          <w:szCs w:val="28"/>
        </w:rPr>
        <w:t>等方面提出了基本要求。</w:t>
      </w:r>
    </w:p>
    <w:p w:rsidR="0054200E" w:rsidRDefault="00602F4B">
      <w:pPr>
        <w:spacing w:line="580" w:lineRule="exact"/>
        <w:ind w:firstLine="573"/>
        <w:rPr>
          <w:rFonts w:ascii="仿宋" w:eastAsia="仿宋" w:hAnsi="仿宋"/>
          <w:sz w:val="28"/>
          <w:szCs w:val="28"/>
        </w:rPr>
      </w:pPr>
      <w:r>
        <w:rPr>
          <w:rFonts w:ascii="仿宋" w:eastAsia="仿宋" w:hAnsi="仿宋" w:hint="eastAsia"/>
          <w:sz w:val="28"/>
          <w:szCs w:val="28"/>
        </w:rPr>
        <w:t>（3）提出了</w:t>
      </w:r>
      <w:r w:rsidR="00873EBF">
        <w:rPr>
          <w:rFonts w:ascii="仿宋" w:eastAsia="仿宋" w:hAnsi="仿宋" w:hint="eastAsia"/>
          <w:sz w:val="28"/>
          <w:szCs w:val="28"/>
        </w:rPr>
        <w:t>民营文艺表演团体等级划分与评定规范标准的明确</w:t>
      </w:r>
      <w:r>
        <w:rPr>
          <w:rFonts w:ascii="仿宋" w:eastAsia="仿宋" w:hAnsi="仿宋" w:hint="eastAsia"/>
          <w:sz w:val="28"/>
          <w:szCs w:val="28"/>
        </w:rPr>
        <w:t>要求。包括</w:t>
      </w:r>
      <w:r w:rsidR="00C67C15">
        <w:rPr>
          <w:rFonts w:ascii="仿宋" w:eastAsia="仿宋" w:hAnsi="仿宋" w:hint="eastAsia"/>
          <w:sz w:val="28"/>
          <w:szCs w:val="28"/>
        </w:rPr>
        <w:t>场地要求、设施设备、演职人员、演出服务、安全管理、文化体系与管理制度、</w:t>
      </w:r>
      <w:r w:rsidR="00C67C15" w:rsidRPr="00C67C15">
        <w:rPr>
          <w:rFonts w:ascii="仿宋" w:eastAsia="仿宋" w:hAnsi="仿宋" w:hint="eastAsia"/>
          <w:sz w:val="28"/>
          <w:szCs w:val="28"/>
        </w:rPr>
        <w:t>获奖与社会影响力</w:t>
      </w:r>
      <w:r w:rsidR="00873EBF">
        <w:rPr>
          <w:rFonts w:ascii="仿宋" w:eastAsia="仿宋" w:hAnsi="仿宋" w:hint="eastAsia"/>
          <w:sz w:val="28"/>
          <w:szCs w:val="28"/>
        </w:rPr>
        <w:t>等</w:t>
      </w:r>
      <w:r w:rsidR="00C67C15">
        <w:rPr>
          <w:rFonts w:ascii="仿宋" w:eastAsia="仿宋" w:hAnsi="仿宋" w:hint="eastAsia"/>
          <w:sz w:val="28"/>
          <w:szCs w:val="28"/>
        </w:rPr>
        <w:t>方面</w:t>
      </w:r>
      <w:r w:rsidR="00873EBF">
        <w:rPr>
          <w:rFonts w:ascii="仿宋" w:eastAsia="仿宋" w:hAnsi="仿宋" w:hint="eastAsia"/>
          <w:sz w:val="28"/>
          <w:szCs w:val="28"/>
        </w:rPr>
        <w:t>。</w:t>
      </w:r>
    </w:p>
    <w:p w:rsidR="0054200E" w:rsidRDefault="00602F4B">
      <w:pPr>
        <w:widowControl/>
        <w:spacing w:line="560" w:lineRule="exact"/>
        <w:jc w:val="left"/>
        <w:rPr>
          <w:rFonts w:ascii="仿宋" w:eastAsia="仿宋" w:hAnsi="仿宋"/>
          <w:b/>
          <w:bCs/>
          <w:sz w:val="28"/>
          <w:szCs w:val="28"/>
        </w:rPr>
      </w:pPr>
      <w:r>
        <w:rPr>
          <w:rFonts w:ascii="仿宋" w:eastAsia="仿宋" w:hAnsi="仿宋" w:hint="eastAsia"/>
          <w:b/>
          <w:bCs/>
          <w:sz w:val="28"/>
          <w:szCs w:val="28"/>
        </w:rPr>
        <w:t>4.与我国现行法律、法规和其他强制性标准的关系</w:t>
      </w:r>
    </w:p>
    <w:p w:rsidR="0054200E" w:rsidRDefault="00602F4B">
      <w:pPr>
        <w:tabs>
          <w:tab w:val="left" w:pos="360"/>
        </w:tabs>
        <w:spacing w:line="360" w:lineRule="auto"/>
        <w:ind w:firstLine="480"/>
        <w:rPr>
          <w:rFonts w:ascii="仿宋" w:eastAsia="仿宋" w:hAnsi="仿宋"/>
          <w:sz w:val="28"/>
          <w:szCs w:val="28"/>
        </w:rPr>
      </w:pPr>
      <w:r>
        <w:rPr>
          <w:rFonts w:ascii="仿宋" w:eastAsia="仿宋" w:hAnsi="仿宋" w:hint="eastAsia"/>
          <w:sz w:val="28"/>
          <w:szCs w:val="28"/>
        </w:rPr>
        <w:t>本标准条款均符合国家现行的法律、法规、条例、强制性标准及相关标准要求，不存在任何与现行法律法规等相违背之处。</w:t>
      </w:r>
    </w:p>
    <w:p w:rsidR="0054200E" w:rsidRDefault="00602F4B">
      <w:pPr>
        <w:pStyle w:val="a0"/>
        <w:ind w:firstLineChars="0" w:firstLine="0"/>
        <w:rPr>
          <w:rFonts w:ascii="仿宋" w:eastAsia="仿宋" w:hAnsi="仿宋" w:cstheme="minorBidi"/>
          <w:b/>
          <w:bCs/>
        </w:rPr>
      </w:pPr>
      <w:r>
        <w:rPr>
          <w:rFonts w:ascii="仿宋" w:eastAsia="仿宋" w:hAnsi="仿宋" w:cstheme="minorBidi" w:hint="eastAsia"/>
          <w:b/>
          <w:bCs/>
        </w:rPr>
        <w:t>5.标准预期的社会经济效益</w:t>
      </w:r>
    </w:p>
    <w:p w:rsidR="0054200E" w:rsidRDefault="00602F4B">
      <w:pPr>
        <w:pStyle w:val="a0"/>
        <w:rPr>
          <w:rFonts w:ascii="仿宋" w:eastAsia="仿宋" w:hAnsi="仿宋"/>
          <w:bCs/>
        </w:rPr>
      </w:pPr>
      <w:r w:rsidRPr="00344D5C">
        <w:rPr>
          <w:rFonts w:ascii="仿宋" w:eastAsia="仿宋" w:hAnsi="仿宋" w:hint="eastAsia"/>
          <w:bCs/>
        </w:rPr>
        <w:t>《</w:t>
      </w:r>
      <w:r w:rsidR="002D2BB5" w:rsidRPr="00344D5C">
        <w:rPr>
          <w:rFonts w:ascii="仿宋" w:eastAsia="仿宋" w:hAnsi="仿宋" w:hint="eastAsia"/>
          <w:bCs/>
        </w:rPr>
        <w:t>民营文艺表演团体等级划分与评定规范</w:t>
      </w:r>
      <w:r w:rsidRPr="00344D5C">
        <w:rPr>
          <w:rFonts w:ascii="仿宋" w:eastAsia="仿宋" w:hAnsi="仿宋" w:hint="eastAsia"/>
          <w:bCs/>
        </w:rPr>
        <w:t>》</w:t>
      </w:r>
      <w:r w:rsidRPr="00344D5C">
        <w:rPr>
          <w:rFonts w:ascii="仿宋" w:eastAsia="仿宋" w:hAnsi="仿宋" w:cstheme="minorBidi" w:hint="eastAsia"/>
        </w:rPr>
        <w:t>地方</w:t>
      </w:r>
      <w:r w:rsidRPr="00344D5C">
        <w:rPr>
          <w:rFonts w:ascii="仿宋" w:eastAsia="仿宋" w:hAnsi="仿宋" w:hint="eastAsia"/>
          <w:bCs/>
        </w:rPr>
        <w:t>标准重点着力于明确</w:t>
      </w:r>
      <w:r w:rsidR="00344D5C">
        <w:rPr>
          <w:rFonts w:ascii="仿宋" w:eastAsia="仿宋" w:hAnsi="仿宋" w:hint="eastAsia"/>
          <w:bCs/>
        </w:rPr>
        <w:t>民营文艺表演团体（以下简称“团体”）等级划分的方法和评定的指标体系</w:t>
      </w:r>
      <w:r w:rsidRPr="00344D5C">
        <w:rPr>
          <w:rFonts w:ascii="仿宋" w:eastAsia="仿宋" w:hAnsi="仿宋" w:hint="eastAsia"/>
          <w:bCs/>
        </w:rPr>
        <w:t>，有利于各</w:t>
      </w:r>
      <w:r w:rsidR="00344D5C">
        <w:rPr>
          <w:rFonts w:ascii="仿宋" w:eastAsia="仿宋" w:hAnsi="仿宋" w:hint="eastAsia"/>
          <w:bCs/>
        </w:rPr>
        <w:t>团体</w:t>
      </w:r>
      <w:r w:rsidRPr="00344D5C">
        <w:rPr>
          <w:rFonts w:ascii="仿宋" w:eastAsia="仿宋" w:hAnsi="仿宋" w:hint="eastAsia"/>
          <w:bCs/>
        </w:rPr>
        <w:t>确定重点</w:t>
      </w:r>
      <w:r w:rsidR="00344D5C">
        <w:rPr>
          <w:rFonts w:ascii="仿宋" w:eastAsia="仿宋" w:hAnsi="仿宋" w:hint="eastAsia"/>
          <w:bCs/>
        </w:rPr>
        <w:t>发展任务，完善保障措施，</w:t>
      </w:r>
      <w:r w:rsidR="00726F02">
        <w:rPr>
          <w:rFonts w:ascii="仿宋" w:eastAsia="仿宋" w:hAnsi="仿宋" w:hint="eastAsia"/>
          <w:bCs/>
        </w:rPr>
        <w:t>壮大演出市场主体，</w:t>
      </w:r>
      <w:r w:rsidR="00344D5C">
        <w:rPr>
          <w:rFonts w:ascii="仿宋" w:eastAsia="仿宋" w:hAnsi="仿宋" w:hint="eastAsia"/>
          <w:bCs/>
        </w:rPr>
        <w:t>积极营造健康有序的演出市场经营</w:t>
      </w:r>
      <w:r w:rsidRPr="00344D5C">
        <w:rPr>
          <w:rFonts w:ascii="仿宋" w:eastAsia="仿宋" w:hAnsi="仿宋" w:hint="eastAsia"/>
          <w:bCs/>
        </w:rPr>
        <w:t>环境。本标准的</w:t>
      </w:r>
      <w:r w:rsidRPr="00344D5C">
        <w:rPr>
          <w:rFonts w:ascii="仿宋" w:eastAsia="仿宋" w:hAnsi="仿宋" w:cstheme="minorBidi" w:hint="eastAsia"/>
        </w:rPr>
        <w:t>发布实施是贯彻落实中央文件和省委省政府要求，促进全省</w:t>
      </w:r>
      <w:r w:rsidR="00344D5C">
        <w:rPr>
          <w:rFonts w:ascii="仿宋" w:eastAsia="仿宋" w:hAnsi="仿宋" w:cstheme="minorBidi" w:hint="eastAsia"/>
        </w:rPr>
        <w:t>演出市场</w:t>
      </w:r>
      <w:r w:rsidRPr="00344D5C">
        <w:rPr>
          <w:rFonts w:ascii="仿宋" w:eastAsia="仿宋" w:hAnsi="仿宋" w:cstheme="minorBidi" w:hint="eastAsia"/>
        </w:rPr>
        <w:t>持续健康快速发展，有利于明确</w:t>
      </w:r>
      <w:r w:rsidR="00344D5C">
        <w:rPr>
          <w:rFonts w:ascii="仿宋" w:eastAsia="仿宋" w:hAnsi="仿宋" w:cstheme="minorBidi" w:hint="eastAsia"/>
        </w:rPr>
        <w:t>演艺行业</w:t>
      </w:r>
      <w:r w:rsidRPr="00344D5C">
        <w:rPr>
          <w:rFonts w:ascii="仿宋" w:eastAsia="仿宋" w:hAnsi="仿宋" w:cstheme="minorBidi" w:hint="eastAsia"/>
        </w:rPr>
        <w:t>发展方向，规范经营行为，为有关部门开展监督管理提供参考依据，形成发展合力。本标准将有力推动全省</w:t>
      </w:r>
      <w:r w:rsidR="00344D5C">
        <w:rPr>
          <w:rFonts w:ascii="仿宋" w:eastAsia="仿宋" w:hAnsi="仿宋" w:cstheme="minorBidi" w:hint="eastAsia"/>
        </w:rPr>
        <w:t>演艺产业</w:t>
      </w:r>
      <w:r w:rsidRPr="00344D5C">
        <w:rPr>
          <w:rFonts w:ascii="仿宋" w:eastAsia="仿宋" w:hAnsi="仿宋"/>
          <w:bCs/>
        </w:rPr>
        <w:t>的健康发展，成为推进</w:t>
      </w:r>
      <w:r w:rsidR="00344D5C">
        <w:rPr>
          <w:rFonts w:ascii="仿宋" w:eastAsia="仿宋" w:hAnsi="仿宋" w:hint="eastAsia"/>
          <w:bCs/>
        </w:rPr>
        <w:t>文化旅游</w:t>
      </w:r>
      <w:r w:rsidR="00344D5C">
        <w:rPr>
          <w:rFonts w:ascii="仿宋" w:eastAsia="仿宋" w:hAnsi="仿宋"/>
          <w:bCs/>
        </w:rPr>
        <w:t>产业提档升级</w:t>
      </w:r>
      <w:r w:rsidRPr="00344D5C">
        <w:rPr>
          <w:rFonts w:ascii="仿宋" w:eastAsia="仿宋" w:hAnsi="仿宋"/>
          <w:bCs/>
        </w:rPr>
        <w:t>的重要抓手</w:t>
      </w:r>
      <w:r w:rsidRPr="00344D5C">
        <w:rPr>
          <w:rFonts w:ascii="仿宋" w:eastAsia="仿宋" w:hAnsi="仿宋" w:hint="eastAsia"/>
          <w:bCs/>
        </w:rPr>
        <w:t>、</w:t>
      </w:r>
      <w:r w:rsidRPr="00344D5C">
        <w:rPr>
          <w:rFonts w:ascii="仿宋" w:eastAsia="仿宋" w:hAnsi="仿宋"/>
          <w:bCs/>
        </w:rPr>
        <w:t>促进文化和旅游消费的重要途径</w:t>
      </w:r>
      <w:r w:rsidR="00387891">
        <w:rPr>
          <w:rFonts w:ascii="仿宋" w:eastAsia="仿宋" w:hAnsi="仿宋"/>
          <w:bCs/>
        </w:rPr>
        <w:t>、</w:t>
      </w:r>
      <w:r w:rsidR="00344D5C" w:rsidRPr="00344D5C">
        <w:rPr>
          <w:rFonts w:ascii="仿宋" w:eastAsia="仿宋" w:hAnsi="仿宋"/>
          <w:bCs/>
        </w:rPr>
        <w:t>助力</w:t>
      </w:r>
      <w:r w:rsidR="00387891">
        <w:rPr>
          <w:rFonts w:ascii="仿宋" w:eastAsia="仿宋" w:hAnsi="仿宋" w:hint="eastAsia"/>
          <w:bCs/>
        </w:rPr>
        <w:t>文化复兴和</w:t>
      </w:r>
      <w:r w:rsidR="009D0B28">
        <w:rPr>
          <w:rFonts w:ascii="仿宋" w:eastAsia="仿宋" w:hAnsi="仿宋" w:hint="eastAsia"/>
          <w:bCs/>
        </w:rPr>
        <w:t>坚定文化自信</w:t>
      </w:r>
      <w:r w:rsidR="00344D5C" w:rsidRPr="00344D5C">
        <w:rPr>
          <w:rFonts w:ascii="仿宋" w:eastAsia="仿宋" w:hAnsi="仿宋"/>
          <w:bCs/>
        </w:rPr>
        <w:t>的重要渠道</w:t>
      </w:r>
      <w:r w:rsidR="009D0B28">
        <w:rPr>
          <w:rFonts w:ascii="仿宋" w:eastAsia="仿宋" w:hAnsi="仿宋" w:hint="eastAsia"/>
          <w:bCs/>
        </w:rPr>
        <w:t>。</w:t>
      </w:r>
    </w:p>
    <w:p w:rsidR="0054200E" w:rsidRDefault="00602F4B">
      <w:pPr>
        <w:tabs>
          <w:tab w:val="left" w:pos="360"/>
        </w:tabs>
        <w:spacing w:line="360" w:lineRule="auto"/>
        <w:rPr>
          <w:rFonts w:ascii="仿宋" w:eastAsia="仿宋" w:hAnsi="仿宋"/>
          <w:b/>
          <w:bCs/>
          <w:sz w:val="28"/>
          <w:szCs w:val="28"/>
        </w:rPr>
      </w:pPr>
      <w:r>
        <w:rPr>
          <w:rFonts w:ascii="仿宋" w:eastAsia="仿宋" w:hAnsi="仿宋" w:hint="eastAsia"/>
          <w:b/>
          <w:bCs/>
          <w:sz w:val="28"/>
          <w:szCs w:val="28"/>
        </w:rPr>
        <w:t>6.重大意见分歧及处理结果</w:t>
      </w:r>
    </w:p>
    <w:p w:rsidR="0054200E" w:rsidRDefault="00602F4B">
      <w:pPr>
        <w:tabs>
          <w:tab w:val="left" w:pos="360"/>
        </w:tabs>
        <w:spacing w:line="360" w:lineRule="auto"/>
        <w:ind w:firstLineChars="196" w:firstLine="549"/>
        <w:rPr>
          <w:rFonts w:ascii="仿宋" w:eastAsia="仿宋" w:hAnsi="仿宋"/>
          <w:bCs/>
          <w:sz w:val="28"/>
          <w:szCs w:val="28"/>
        </w:rPr>
      </w:pPr>
      <w:r>
        <w:rPr>
          <w:rFonts w:ascii="仿宋" w:eastAsia="仿宋" w:hAnsi="仿宋" w:hint="eastAsia"/>
          <w:bCs/>
          <w:sz w:val="28"/>
          <w:szCs w:val="28"/>
        </w:rPr>
        <w:t>《</w:t>
      </w:r>
      <w:r w:rsidR="001E4255" w:rsidRPr="001E4255">
        <w:rPr>
          <w:rFonts w:ascii="仿宋" w:eastAsia="仿宋" w:hAnsi="仿宋" w:hint="eastAsia"/>
          <w:bCs/>
          <w:sz w:val="28"/>
          <w:szCs w:val="28"/>
        </w:rPr>
        <w:t>民营文艺表演团体等级划分与评定规范</w:t>
      </w:r>
      <w:r>
        <w:rPr>
          <w:rFonts w:ascii="仿宋" w:eastAsia="仿宋" w:hAnsi="仿宋" w:hint="eastAsia"/>
          <w:bCs/>
          <w:sz w:val="28"/>
          <w:szCs w:val="28"/>
        </w:rPr>
        <w:t>》地方标准在编制过程中无重大的分歧意见。</w:t>
      </w:r>
    </w:p>
    <w:p w:rsidR="0054200E" w:rsidRDefault="00602F4B">
      <w:pPr>
        <w:widowControl/>
        <w:spacing w:line="560" w:lineRule="exact"/>
        <w:jc w:val="left"/>
        <w:rPr>
          <w:rFonts w:ascii="仿宋" w:eastAsia="仿宋" w:hAnsi="仿宋"/>
          <w:b/>
          <w:bCs/>
          <w:sz w:val="28"/>
          <w:szCs w:val="28"/>
        </w:rPr>
      </w:pPr>
      <w:r>
        <w:rPr>
          <w:rFonts w:ascii="仿宋" w:eastAsia="仿宋" w:hAnsi="仿宋" w:hint="eastAsia"/>
          <w:b/>
          <w:bCs/>
          <w:sz w:val="28"/>
          <w:szCs w:val="28"/>
        </w:rPr>
        <w:t>7.贯彻实施标准的措施、建议</w:t>
      </w:r>
    </w:p>
    <w:p w:rsidR="0054200E" w:rsidRDefault="00602F4B">
      <w:pPr>
        <w:widowControl/>
        <w:spacing w:line="560" w:lineRule="exact"/>
        <w:ind w:firstLineChars="200" w:firstLine="560"/>
        <w:jc w:val="left"/>
        <w:rPr>
          <w:rFonts w:ascii="仿宋" w:eastAsia="仿宋" w:hAnsi="仿宋"/>
          <w:sz w:val="28"/>
          <w:szCs w:val="28"/>
        </w:rPr>
      </w:pPr>
      <w:r>
        <w:rPr>
          <w:rFonts w:ascii="仿宋" w:eastAsia="仿宋" w:hAnsi="仿宋" w:hint="eastAsia"/>
          <w:sz w:val="28"/>
          <w:szCs w:val="28"/>
        </w:rPr>
        <w:t>为更好地贯彻实施本标准，建议在各级标准化主管部门的协调推进下，有针对性地开展本标准的宣贯和培训，并引导开展对标活动，增强实施标准的自觉性，重点做好以下几个方面的工作：</w:t>
      </w:r>
    </w:p>
    <w:p w:rsidR="0054200E" w:rsidRDefault="00602F4B">
      <w:pPr>
        <w:spacing w:line="560" w:lineRule="exact"/>
        <w:ind w:firstLineChars="200" w:firstLine="560"/>
        <w:rPr>
          <w:rFonts w:ascii="仿宋" w:eastAsia="仿宋" w:hAnsi="仿宋"/>
          <w:sz w:val="28"/>
          <w:szCs w:val="28"/>
        </w:rPr>
      </w:pPr>
      <w:r>
        <w:rPr>
          <w:rFonts w:ascii="仿宋" w:eastAsia="仿宋" w:hAnsi="仿宋" w:hint="eastAsia"/>
          <w:sz w:val="28"/>
          <w:szCs w:val="28"/>
        </w:rPr>
        <w:t>（1）做好标准宣传。切实做好宣传和引导，不断规范</w:t>
      </w:r>
      <w:r w:rsidR="002E3DD2">
        <w:rPr>
          <w:rFonts w:ascii="仿宋" w:eastAsia="仿宋" w:hAnsi="仿宋" w:hint="eastAsia"/>
          <w:sz w:val="28"/>
          <w:szCs w:val="28"/>
        </w:rPr>
        <w:t>演出</w:t>
      </w:r>
      <w:r w:rsidR="005373E3" w:rsidRPr="005373E3">
        <w:rPr>
          <w:rFonts w:ascii="仿宋" w:eastAsia="仿宋" w:hAnsi="仿宋" w:hint="eastAsia"/>
          <w:sz w:val="28"/>
          <w:szCs w:val="28"/>
        </w:rPr>
        <w:t>市场</w:t>
      </w:r>
      <w:r>
        <w:rPr>
          <w:rFonts w:ascii="仿宋" w:eastAsia="仿宋" w:hAnsi="仿宋" w:hint="eastAsia"/>
          <w:sz w:val="28"/>
          <w:szCs w:val="28"/>
        </w:rPr>
        <w:t>。</w:t>
      </w:r>
    </w:p>
    <w:p w:rsidR="0054200E" w:rsidRDefault="00602F4B">
      <w:pPr>
        <w:spacing w:line="560" w:lineRule="exact"/>
        <w:ind w:firstLineChars="200" w:firstLine="560"/>
        <w:rPr>
          <w:rFonts w:ascii="仿宋" w:eastAsia="仿宋" w:hAnsi="仿宋"/>
          <w:sz w:val="28"/>
          <w:szCs w:val="28"/>
        </w:rPr>
      </w:pPr>
      <w:r>
        <w:rPr>
          <w:rFonts w:ascii="仿宋" w:eastAsia="仿宋" w:hAnsi="仿宋" w:hint="eastAsia"/>
          <w:sz w:val="28"/>
          <w:szCs w:val="28"/>
        </w:rPr>
        <w:t>（2）加深标准指导。标准归口单位进行贯标指导，组织标准编制人员进行标准宣贯、答疑和咨询。</w:t>
      </w:r>
    </w:p>
    <w:p w:rsidR="0054200E" w:rsidRDefault="00602F4B">
      <w:pPr>
        <w:spacing w:line="560" w:lineRule="exact"/>
        <w:ind w:firstLineChars="200" w:firstLine="560"/>
        <w:rPr>
          <w:rFonts w:ascii="仿宋" w:eastAsia="仿宋" w:hAnsi="仿宋"/>
          <w:sz w:val="28"/>
          <w:szCs w:val="28"/>
        </w:rPr>
      </w:pPr>
      <w:r>
        <w:rPr>
          <w:rFonts w:ascii="仿宋" w:eastAsia="仿宋" w:hAnsi="仿宋" w:hint="eastAsia"/>
          <w:sz w:val="28"/>
          <w:szCs w:val="28"/>
        </w:rPr>
        <w:t>（3）加强监督监察。在标准的实施过程中，加强监督、抽查和指导工作。</w:t>
      </w:r>
    </w:p>
    <w:p w:rsidR="0054200E" w:rsidRDefault="00602F4B">
      <w:pPr>
        <w:spacing w:line="560" w:lineRule="exact"/>
        <w:ind w:firstLineChars="200" w:firstLine="560"/>
        <w:rPr>
          <w:rFonts w:ascii="仿宋" w:eastAsia="仿宋" w:hAnsi="仿宋"/>
          <w:sz w:val="28"/>
          <w:szCs w:val="28"/>
        </w:rPr>
      </w:pPr>
      <w:r>
        <w:rPr>
          <w:rFonts w:ascii="仿宋" w:eastAsia="仿宋" w:hAnsi="仿宋" w:hint="eastAsia"/>
          <w:sz w:val="28"/>
          <w:szCs w:val="28"/>
        </w:rPr>
        <w:t>（4）持续开展评价改进。标准化归口单位定期开展标准实施评价活动，不断收集整理意见，并适时开展标准化修订工作。</w:t>
      </w:r>
    </w:p>
    <w:sectPr w:rsidR="0054200E" w:rsidSect="00760BF4">
      <w:footerReference w:type="default" r:id="rId9"/>
      <w:pgSz w:w="11906" w:h="16838"/>
      <w:pgMar w:top="2098" w:right="1531" w:bottom="1531"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F4B" w:rsidRDefault="00602F4B" w:rsidP="00602F4B">
      <w:r>
        <w:separator/>
      </w:r>
    </w:p>
  </w:endnote>
  <w:endnote w:type="continuationSeparator" w:id="0">
    <w:p w:rsidR="00602F4B" w:rsidRDefault="00602F4B" w:rsidP="0060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738811"/>
      <w:docPartObj>
        <w:docPartGallery w:val="Page Numbers (Bottom of Page)"/>
        <w:docPartUnique/>
      </w:docPartObj>
    </w:sdtPr>
    <w:sdtEndPr/>
    <w:sdtContent>
      <w:p w:rsidR="00760BF4" w:rsidRDefault="005004E1">
        <w:pPr>
          <w:pStyle w:val="a5"/>
          <w:jc w:val="center"/>
        </w:pPr>
      </w:p>
    </w:sdtContent>
  </w:sdt>
  <w:p w:rsidR="00760BF4" w:rsidRDefault="00760B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9026250"/>
      <w:docPartObj>
        <w:docPartGallery w:val="Page Numbers (Bottom of Page)"/>
        <w:docPartUnique/>
      </w:docPartObj>
    </w:sdtPr>
    <w:sdtEndPr/>
    <w:sdtContent>
      <w:p w:rsidR="00760BF4" w:rsidRDefault="00760BF4">
        <w:pPr>
          <w:pStyle w:val="a5"/>
          <w:jc w:val="center"/>
        </w:pPr>
        <w:r>
          <w:fldChar w:fldCharType="begin"/>
        </w:r>
        <w:r>
          <w:instrText>PAGE   \* MERGEFORMAT</w:instrText>
        </w:r>
        <w:r>
          <w:fldChar w:fldCharType="separate"/>
        </w:r>
        <w:r w:rsidR="005004E1" w:rsidRPr="005004E1">
          <w:rPr>
            <w:noProof/>
            <w:lang w:val="zh-CN"/>
          </w:rPr>
          <w:t>6</w:t>
        </w:r>
        <w:r>
          <w:fldChar w:fldCharType="end"/>
        </w:r>
      </w:p>
    </w:sdtContent>
  </w:sdt>
  <w:p w:rsidR="00760BF4" w:rsidRDefault="00760B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F4B" w:rsidRDefault="00602F4B" w:rsidP="00602F4B">
      <w:r>
        <w:separator/>
      </w:r>
    </w:p>
  </w:footnote>
  <w:footnote w:type="continuationSeparator" w:id="0">
    <w:p w:rsidR="00602F4B" w:rsidRDefault="00602F4B" w:rsidP="00602F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96A84"/>
    <w:multiLevelType w:val="multilevel"/>
    <w:tmpl w:val="0D896A84"/>
    <w:lvl w:ilvl="0">
      <w:start w:val="1"/>
      <w:numFmt w:val="decimal"/>
      <w:pStyle w:val="1"/>
      <w:lvlText w:val="%1"/>
      <w:lvlJc w:val="left"/>
      <w:pPr>
        <w:tabs>
          <w:tab w:val="left" w:pos="851"/>
        </w:tabs>
        <w:ind w:left="851" w:hanging="425"/>
      </w:pPr>
      <w:rPr>
        <w:rFonts w:ascii="黑体" w:eastAsia="黑体" w:hAnsi="黑体" w:hint="eastAsia"/>
      </w:rPr>
    </w:lvl>
    <w:lvl w:ilvl="1">
      <w:start w:val="1"/>
      <w:numFmt w:val="decimal"/>
      <w:lvlText w:val="%1.%2"/>
      <w:lvlJc w:val="left"/>
      <w:pPr>
        <w:tabs>
          <w:tab w:val="left" w:pos="993"/>
        </w:tabs>
        <w:ind w:left="993" w:hanging="567"/>
      </w:pPr>
      <w:rPr>
        <w:rFonts w:ascii="黑体" w:eastAsia="黑体" w:hAnsi="黑体" w:hint="eastAsia"/>
        <w:sz w:val="24"/>
        <w:szCs w:val="24"/>
      </w:rPr>
    </w:lvl>
    <w:lvl w:ilvl="2">
      <w:start w:val="1"/>
      <w:numFmt w:val="decimal"/>
      <w:lvlText w:val="%1.%2.%3"/>
      <w:lvlJc w:val="left"/>
      <w:pPr>
        <w:tabs>
          <w:tab w:val="left" w:pos="1495"/>
        </w:tabs>
        <w:ind w:left="1495" w:hanging="709"/>
      </w:pPr>
      <w:rPr>
        <w:rFonts w:ascii="黑体" w:eastAsia="黑体" w:hAnsi="黑体" w:hint="eastAsia"/>
      </w:rPr>
    </w:lvl>
    <w:lvl w:ilvl="3">
      <w:start w:val="1"/>
      <w:numFmt w:val="decimal"/>
      <w:suff w:val="nothing"/>
      <w:lvlText w:val="（%4）"/>
      <w:lvlJc w:val="left"/>
      <w:pPr>
        <w:ind w:left="1277" w:hanging="851"/>
      </w:pPr>
      <w:rPr>
        <w:rFonts w:hint="eastAsia"/>
      </w:rPr>
    </w:lvl>
    <w:lvl w:ilvl="4">
      <w:start w:val="1"/>
      <w:numFmt w:val="decimal"/>
      <w:lvlText w:val="%1.%2.%3.%4.%5."/>
      <w:lvlJc w:val="left"/>
      <w:pPr>
        <w:tabs>
          <w:tab w:val="left" w:pos="1418"/>
        </w:tabs>
        <w:ind w:left="1418" w:hanging="992"/>
      </w:pPr>
      <w:rPr>
        <w:rFonts w:hint="eastAsia"/>
      </w:rPr>
    </w:lvl>
    <w:lvl w:ilvl="5">
      <w:start w:val="1"/>
      <w:numFmt w:val="decimal"/>
      <w:lvlText w:val="%1.%2.%3.%4.%5.%6."/>
      <w:lvlJc w:val="left"/>
      <w:pPr>
        <w:tabs>
          <w:tab w:val="left" w:pos="1560"/>
        </w:tabs>
        <w:ind w:left="1560" w:hanging="1134"/>
      </w:pPr>
      <w:rPr>
        <w:rFonts w:hint="eastAsia"/>
      </w:rPr>
    </w:lvl>
    <w:lvl w:ilvl="6">
      <w:start w:val="1"/>
      <w:numFmt w:val="decimal"/>
      <w:lvlText w:val="%1.%2.%3.%4.%5.%6.%7."/>
      <w:lvlJc w:val="left"/>
      <w:pPr>
        <w:tabs>
          <w:tab w:val="left" w:pos="1702"/>
        </w:tabs>
        <w:ind w:left="1702" w:hanging="1276"/>
      </w:pPr>
      <w:rPr>
        <w:rFonts w:hint="eastAsia"/>
      </w:rPr>
    </w:lvl>
    <w:lvl w:ilvl="7">
      <w:start w:val="1"/>
      <w:numFmt w:val="decimal"/>
      <w:lvlText w:val="%1.%2.%3.%4.%5.%6.%7.%8."/>
      <w:lvlJc w:val="left"/>
      <w:pPr>
        <w:tabs>
          <w:tab w:val="left" w:pos="1844"/>
        </w:tabs>
        <w:ind w:left="1844" w:hanging="1418"/>
      </w:pPr>
      <w:rPr>
        <w:rFonts w:hint="eastAsia"/>
      </w:rPr>
    </w:lvl>
    <w:lvl w:ilvl="8">
      <w:start w:val="1"/>
      <w:numFmt w:val="decimal"/>
      <w:lvlText w:val="%1.%2.%3.%4.%5.%6.%7.%8.%9."/>
      <w:lvlJc w:val="left"/>
      <w:pPr>
        <w:tabs>
          <w:tab w:val="left" w:pos="1985"/>
        </w:tabs>
        <w:ind w:left="1985"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ZDkxY2U1M2JlYWRlMzNmNjdhMmI2N2NmNWI0OWYifQ=="/>
  </w:docVars>
  <w:rsids>
    <w:rsidRoot w:val="007A7118"/>
    <w:rsid w:val="000110C4"/>
    <w:rsid w:val="000453D1"/>
    <w:rsid w:val="000532F3"/>
    <w:rsid w:val="00057684"/>
    <w:rsid w:val="00067206"/>
    <w:rsid w:val="00075760"/>
    <w:rsid w:val="00095D63"/>
    <w:rsid w:val="000A5886"/>
    <w:rsid w:val="000B15AA"/>
    <w:rsid w:val="000E5D68"/>
    <w:rsid w:val="00135517"/>
    <w:rsid w:val="00151ADD"/>
    <w:rsid w:val="00164E8D"/>
    <w:rsid w:val="00192D2F"/>
    <w:rsid w:val="00192E30"/>
    <w:rsid w:val="001D794C"/>
    <w:rsid w:val="001E4255"/>
    <w:rsid w:val="001E4F2C"/>
    <w:rsid w:val="001F15CA"/>
    <w:rsid w:val="001F2B71"/>
    <w:rsid w:val="002000FC"/>
    <w:rsid w:val="00204ADF"/>
    <w:rsid w:val="00222B69"/>
    <w:rsid w:val="0024045E"/>
    <w:rsid w:val="00240710"/>
    <w:rsid w:val="00247009"/>
    <w:rsid w:val="00253CEF"/>
    <w:rsid w:val="002540F7"/>
    <w:rsid w:val="00264B6A"/>
    <w:rsid w:val="00271C13"/>
    <w:rsid w:val="00274B79"/>
    <w:rsid w:val="002759FC"/>
    <w:rsid w:val="002B5DDB"/>
    <w:rsid w:val="002D2BB5"/>
    <w:rsid w:val="002D5AC1"/>
    <w:rsid w:val="002D7558"/>
    <w:rsid w:val="002E3DD2"/>
    <w:rsid w:val="002F14FE"/>
    <w:rsid w:val="002F1642"/>
    <w:rsid w:val="002F5CAD"/>
    <w:rsid w:val="00305AB7"/>
    <w:rsid w:val="00306AD5"/>
    <w:rsid w:val="00320E00"/>
    <w:rsid w:val="003249B2"/>
    <w:rsid w:val="00344D5C"/>
    <w:rsid w:val="003663EA"/>
    <w:rsid w:val="00386541"/>
    <w:rsid w:val="00387891"/>
    <w:rsid w:val="003A1D32"/>
    <w:rsid w:val="003B6E08"/>
    <w:rsid w:val="003B7ECF"/>
    <w:rsid w:val="003E03E2"/>
    <w:rsid w:val="003F1F5A"/>
    <w:rsid w:val="00403617"/>
    <w:rsid w:val="00433213"/>
    <w:rsid w:val="00440011"/>
    <w:rsid w:val="00465399"/>
    <w:rsid w:val="0048083B"/>
    <w:rsid w:val="00480BF0"/>
    <w:rsid w:val="004B28B3"/>
    <w:rsid w:val="004B3262"/>
    <w:rsid w:val="004B6862"/>
    <w:rsid w:val="004D0D8D"/>
    <w:rsid w:val="004D576E"/>
    <w:rsid w:val="005004E1"/>
    <w:rsid w:val="005170EF"/>
    <w:rsid w:val="00523DE8"/>
    <w:rsid w:val="00524C67"/>
    <w:rsid w:val="005373E3"/>
    <w:rsid w:val="0054200E"/>
    <w:rsid w:val="00546823"/>
    <w:rsid w:val="00555E4D"/>
    <w:rsid w:val="00571BD2"/>
    <w:rsid w:val="00584D30"/>
    <w:rsid w:val="00585D46"/>
    <w:rsid w:val="005C798C"/>
    <w:rsid w:val="005E0EA8"/>
    <w:rsid w:val="005E3376"/>
    <w:rsid w:val="00602F4B"/>
    <w:rsid w:val="0063404D"/>
    <w:rsid w:val="0066173E"/>
    <w:rsid w:val="00671A33"/>
    <w:rsid w:val="00673B19"/>
    <w:rsid w:val="00696D90"/>
    <w:rsid w:val="00697884"/>
    <w:rsid w:val="006A451A"/>
    <w:rsid w:val="006A6BB5"/>
    <w:rsid w:val="006D02AC"/>
    <w:rsid w:val="006E1379"/>
    <w:rsid w:val="007046C4"/>
    <w:rsid w:val="00726F02"/>
    <w:rsid w:val="007375A5"/>
    <w:rsid w:val="0074011E"/>
    <w:rsid w:val="00760BF4"/>
    <w:rsid w:val="0079782B"/>
    <w:rsid w:val="007A7118"/>
    <w:rsid w:val="007A7690"/>
    <w:rsid w:val="007C3846"/>
    <w:rsid w:val="007D6D70"/>
    <w:rsid w:val="007E234D"/>
    <w:rsid w:val="007F64D4"/>
    <w:rsid w:val="00804A64"/>
    <w:rsid w:val="00815D6D"/>
    <w:rsid w:val="00834EFC"/>
    <w:rsid w:val="00864A47"/>
    <w:rsid w:val="00873EBF"/>
    <w:rsid w:val="008B7685"/>
    <w:rsid w:val="008D05E8"/>
    <w:rsid w:val="008F25BC"/>
    <w:rsid w:val="00953640"/>
    <w:rsid w:val="00956549"/>
    <w:rsid w:val="00961CEB"/>
    <w:rsid w:val="009827E8"/>
    <w:rsid w:val="009A41A0"/>
    <w:rsid w:val="009B5550"/>
    <w:rsid w:val="009D0B28"/>
    <w:rsid w:val="00A1016A"/>
    <w:rsid w:val="00A13F05"/>
    <w:rsid w:val="00A436CF"/>
    <w:rsid w:val="00A50735"/>
    <w:rsid w:val="00A72091"/>
    <w:rsid w:val="00A73730"/>
    <w:rsid w:val="00AA01E6"/>
    <w:rsid w:val="00AE0D06"/>
    <w:rsid w:val="00B0204B"/>
    <w:rsid w:val="00B02B3C"/>
    <w:rsid w:val="00B33F41"/>
    <w:rsid w:val="00B465D0"/>
    <w:rsid w:val="00B53149"/>
    <w:rsid w:val="00B537E7"/>
    <w:rsid w:val="00B70EAE"/>
    <w:rsid w:val="00B7170A"/>
    <w:rsid w:val="00B776EA"/>
    <w:rsid w:val="00B81282"/>
    <w:rsid w:val="00B87B98"/>
    <w:rsid w:val="00BB0D61"/>
    <w:rsid w:val="00BD12EF"/>
    <w:rsid w:val="00BD78DF"/>
    <w:rsid w:val="00C12759"/>
    <w:rsid w:val="00C34755"/>
    <w:rsid w:val="00C44B47"/>
    <w:rsid w:val="00C46BD1"/>
    <w:rsid w:val="00C5691A"/>
    <w:rsid w:val="00C67C15"/>
    <w:rsid w:val="00CB0ECB"/>
    <w:rsid w:val="00CC279B"/>
    <w:rsid w:val="00CD7672"/>
    <w:rsid w:val="00CE7DB0"/>
    <w:rsid w:val="00CF0FB7"/>
    <w:rsid w:val="00CF177E"/>
    <w:rsid w:val="00CF42F1"/>
    <w:rsid w:val="00CF66A3"/>
    <w:rsid w:val="00D34D07"/>
    <w:rsid w:val="00D41973"/>
    <w:rsid w:val="00D92CE9"/>
    <w:rsid w:val="00DE6699"/>
    <w:rsid w:val="00E302A7"/>
    <w:rsid w:val="00E3467D"/>
    <w:rsid w:val="00E373E1"/>
    <w:rsid w:val="00E60637"/>
    <w:rsid w:val="00E61A08"/>
    <w:rsid w:val="00E874CB"/>
    <w:rsid w:val="00E87C22"/>
    <w:rsid w:val="00E963DC"/>
    <w:rsid w:val="00EA2227"/>
    <w:rsid w:val="00EA44DB"/>
    <w:rsid w:val="00EA5266"/>
    <w:rsid w:val="00EC7CB8"/>
    <w:rsid w:val="00ED0958"/>
    <w:rsid w:val="00EE3D7C"/>
    <w:rsid w:val="00F55298"/>
    <w:rsid w:val="00F802A5"/>
    <w:rsid w:val="00F80B09"/>
    <w:rsid w:val="00F929EF"/>
    <w:rsid w:val="00FB6BED"/>
    <w:rsid w:val="00FD63A0"/>
    <w:rsid w:val="00FD67FE"/>
    <w:rsid w:val="00FE0855"/>
    <w:rsid w:val="00FF25C6"/>
    <w:rsid w:val="068723D9"/>
    <w:rsid w:val="08D80086"/>
    <w:rsid w:val="0A56459C"/>
    <w:rsid w:val="12AA1929"/>
    <w:rsid w:val="198A2A75"/>
    <w:rsid w:val="19BF6656"/>
    <w:rsid w:val="1C494916"/>
    <w:rsid w:val="1D962998"/>
    <w:rsid w:val="1E192875"/>
    <w:rsid w:val="1E3649B9"/>
    <w:rsid w:val="1FC644E6"/>
    <w:rsid w:val="20401B1F"/>
    <w:rsid w:val="2468414F"/>
    <w:rsid w:val="26031625"/>
    <w:rsid w:val="28B46C06"/>
    <w:rsid w:val="2A0603D8"/>
    <w:rsid w:val="2C646D6D"/>
    <w:rsid w:val="305E78F4"/>
    <w:rsid w:val="3293788C"/>
    <w:rsid w:val="33BF2903"/>
    <w:rsid w:val="38D22F58"/>
    <w:rsid w:val="3CCA4ED7"/>
    <w:rsid w:val="3DDC3634"/>
    <w:rsid w:val="3F035B93"/>
    <w:rsid w:val="3F380E29"/>
    <w:rsid w:val="3F9B5FD2"/>
    <w:rsid w:val="40112F19"/>
    <w:rsid w:val="45115463"/>
    <w:rsid w:val="483B7852"/>
    <w:rsid w:val="49F11E1F"/>
    <w:rsid w:val="50D17AA6"/>
    <w:rsid w:val="53BF2F48"/>
    <w:rsid w:val="573E6688"/>
    <w:rsid w:val="582F0373"/>
    <w:rsid w:val="5C0827EA"/>
    <w:rsid w:val="5CBD6EA7"/>
    <w:rsid w:val="66CC54F0"/>
    <w:rsid w:val="6A3F2BFB"/>
    <w:rsid w:val="6B8C6FFC"/>
    <w:rsid w:val="6C2D5932"/>
    <w:rsid w:val="6C592D81"/>
    <w:rsid w:val="6D2655C3"/>
    <w:rsid w:val="6E511CAD"/>
    <w:rsid w:val="6E7606E6"/>
    <w:rsid w:val="703D6AAE"/>
    <w:rsid w:val="72B73767"/>
    <w:rsid w:val="788039DC"/>
    <w:rsid w:val="7E6405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ED79DF2-5595-45BD-A258-4E68D718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0"/>
    <w:uiPriority w:val="9"/>
    <w:qFormat/>
    <w:pPr>
      <w:keepLines/>
      <w:numPr>
        <w:numId w:val="1"/>
      </w:numPr>
      <w:spacing w:before="60" w:after="60"/>
      <w:outlineLvl w:val="0"/>
    </w:pPr>
    <w:rPr>
      <w:rFonts w:eastAsia="黑体"/>
      <w:bCs/>
      <w:kern w:val="44"/>
      <w:sz w:val="28"/>
      <w:szCs w:val="44"/>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nhideWhenUsed/>
    <w:qFormat/>
    <w:pPr>
      <w:spacing w:line="360" w:lineRule="auto"/>
      <w:ind w:firstLineChars="200" w:firstLine="560"/>
    </w:pPr>
    <w:rPr>
      <w:rFonts w:ascii="仿宋_GB2312" w:eastAsia="仿宋_GB2312" w:hAnsi="宋体" w:cs="Times New Roman"/>
      <w:sz w:val="28"/>
      <w:szCs w:val="28"/>
    </w:r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ascii="Calibri" w:eastAsia="宋体" w:hAnsi="Calibri" w:cs="Times New Roman"/>
    </w:rPr>
  </w:style>
  <w:style w:type="paragraph" w:styleId="a7">
    <w:name w:val="Normal (Web)"/>
    <w:basedOn w:val="a"/>
    <w:uiPriority w:val="99"/>
    <w:semiHidden/>
    <w:unhideWhenUsed/>
    <w:qFormat/>
    <w:rPr>
      <w:sz w:val="24"/>
    </w:rPr>
  </w:style>
  <w:style w:type="character" w:styleId="a8">
    <w:name w:val="Hyperlink"/>
    <w:uiPriority w:val="99"/>
    <w:unhideWhenUsed/>
    <w:qFormat/>
    <w:rPr>
      <w:color w:val="0000FF"/>
      <w:u w:val="single"/>
    </w:rPr>
  </w:style>
  <w:style w:type="character" w:customStyle="1" w:styleId="Char1">
    <w:name w:val="页眉 Char"/>
    <w:basedOn w:val="a1"/>
    <w:link w:val="a6"/>
    <w:uiPriority w:val="99"/>
    <w:qFormat/>
    <w:rPr>
      <w:sz w:val="18"/>
      <w:szCs w:val="18"/>
    </w:rPr>
  </w:style>
  <w:style w:type="character" w:customStyle="1" w:styleId="Char0">
    <w:name w:val="页脚 Char"/>
    <w:basedOn w:val="a1"/>
    <w:link w:val="a5"/>
    <w:uiPriority w:val="99"/>
    <w:qFormat/>
    <w:rPr>
      <w:sz w:val="18"/>
      <w:szCs w:val="18"/>
    </w:rPr>
  </w:style>
  <w:style w:type="character" w:customStyle="1" w:styleId="Char">
    <w:name w:val="日期 Char"/>
    <w:basedOn w:val="a1"/>
    <w:link w:val="a4"/>
    <w:uiPriority w:val="99"/>
    <w:semiHidden/>
    <w:qFormat/>
  </w:style>
  <w:style w:type="character" w:customStyle="1" w:styleId="Char2">
    <w:name w:val="段 Char"/>
    <w:basedOn w:val="a1"/>
    <w:link w:val="a9"/>
    <w:qFormat/>
    <w:rPr>
      <w:rFonts w:ascii="宋体"/>
    </w:rPr>
  </w:style>
  <w:style w:type="paragraph" w:customStyle="1" w:styleId="a9">
    <w:name w:val="段"/>
    <w:link w:val="Char2"/>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Char3">
    <w:name w:val="章标题 Char"/>
    <w:basedOn w:val="a1"/>
    <w:link w:val="aa"/>
    <w:qFormat/>
    <w:rPr>
      <w:rFonts w:ascii="黑体" w:eastAsia="黑体"/>
    </w:rPr>
  </w:style>
  <w:style w:type="paragraph" w:customStyle="1" w:styleId="aa">
    <w:name w:val="章标题"/>
    <w:next w:val="a9"/>
    <w:link w:val="Char3"/>
    <w:qFormat/>
    <w:pPr>
      <w:spacing w:beforeLines="100" w:afterLines="100"/>
      <w:ind w:left="426"/>
      <w:jc w:val="both"/>
      <w:outlineLvl w:val="1"/>
    </w:pPr>
    <w:rPr>
      <w:rFonts w:ascii="黑体" w:eastAsia="黑体" w:hAnsiTheme="minorHAnsi" w:cstheme="minorBidi"/>
      <w:kern w:val="2"/>
      <w:sz w:val="21"/>
      <w:szCs w:val="22"/>
    </w:rPr>
  </w:style>
  <w:style w:type="paragraph" w:customStyle="1" w:styleId="ab">
    <w:name w:val="二级无"/>
    <w:basedOn w:val="a"/>
    <w:qFormat/>
    <w:pPr>
      <w:widowControl/>
      <w:spacing w:before="50" w:after="50"/>
      <w:ind w:left="3686"/>
      <w:jc w:val="left"/>
      <w:outlineLvl w:val="3"/>
    </w:pPr>
    <w:rPr>
      <w:rFonts w:ascii="宋体" w:eastAsia="宋体" w:hAnsi="Times New Roman" w:cs="Times New Roman"/>
      <w:kern w:val="0"/>
      <w:szCs w:val="21"/>
    </w:rPr>
  </w:style>
  <w:style w:type="character" w:customStyle="1" w:styleId="3Char">
    <w:name w:val="标题 3 Char"/>
    <w:basedOn w:val="a1"/>
    <w:link w:val="3"/>
    <w:uiPriority w:val="9"/>
    <w:semiHidden/>
    <w:rPr>
      <w:rFonts w:asciiTheme="minorHAnsi" w:eastAsiaTheme="minorEastAsia" w:hAnsiTheme="minorHAnsi" w:cstheme="minorBidi"/>
      <w:b/>
      <w:bCs/>
      <w:kern w:val="2"/>
      <w:sz w:val="32"/>
      <w:szCs w:val="32"/>
    </w:rPr>
  </w:style>
  <w:style w:type="paragraph" w:styleId="ac">
    <w:name w:val="Balloon Text"/>
    <w:basedOn w:val="a"/>
    <w:link w:val="Char4"/>
    <w:uiPriority w:val="99"/>
    <w:semiHidden/>
    <w:unhideWhenUsed/>
    <w:rsid w:val="005E3376"/>
    <w:rPr>
      <w:sz w:val="18"/>
      <w:szCs w:val="18"/>
    </w:rPr>
  </w:style>
  <w:style w:type="character" w:customStyle="1" w:styleId="Char4">
    <w:name w:val="批注框文本 Char"/>
    <w:basedOn w:val="a1"/>
    <w:link w:val="ac"/>
    <w:uiPriority w:val="99"/>
    <w:semiHidden/>
    <w:rsid w:val="005E337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DE997-7A18-47DC-97E8-D08EBF4E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8</Pages>
  <Words>2872</Words>
  <Characters>521</Characters>
  <Application>Microsoft Office Word</Application>
  <DocSecurity>0</DocSecurity>
  <Lines>4</Lines>
  <Paragraphs>6</Paragraphs>
  <ScaleCrop>false</ScaleCrop>
  <Company>qinghua2017.com</Company>
  <LinksUpToDate>false</LinksUpToDate>
  <CharactersWithSpaces>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qinghua2017.com</dc:creator>
  <cp:lastModifiedBy>jl</cp:lastModifiedBy>
  <cp:revision>104</cp:revision>
  <cp:lastPrinted>2022-10-18T01:06:00Z</cp:lastPrinted>
  <dcterms:created xsi:type="dcterms:W3CDTF">2022-08-18T09:34:00Z</dcterms:created>
  <dcterms:modified xsi:type="dcterms:W3CDTF">2022-11-07T01:14:00Z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C64CDF44EF9D47E699D3831B73087690</vt:lpwstr>
  </property>
</Properties>
</file>