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pPr>
        <w:pStyle w:val="51"/>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2051"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v:path arrowok="t"/>
            <v:fill focussize="0,0"/>
            <v:stroke/>
            <v:imagedata o:title=""/>
            <o:lock v:ext="edit"/>
          </v:line>
        </w:pict>
      </w:r>
    </w:p>
    <w:p>
      <w:pPr>
        <w:pStyle w:val="51"/>
        <w:framePr w:w="9639" w:h="6976" w:hRule="exact" w:hSpace="0" w:vSpace="0"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规模养殖场液体粪污污染防治与肥料化利用技术规范</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Technical  specification  for  prevention  and  control  and  fertilizer  utilization  of  liquid  dung  pollution  in  scale  farms    </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bookmarkStart w:id="102" w:name="_GoBack"/>
      <w:bookmarkEnd w:id="102"/>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2050"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v:path arrowok="t"/>
            <v:fill focussize="0,0"/>
            <v:stroke/>
            <v:imagedata o:title=""/>
            <o:lock v:ext="edit"/>
            <w10:anchorlock/>
          </v:line>
        </w:pict>
      </w:r>
    </w:p>
    <w:p>
      <w:pPr>
        <w:pStyle w:val="92"/>
        <w:spacing w:after="468"/>
        <w:rPr>
          <w:rFonts w:hint="eastAsia"/>
        </w:rPr>
      </w:pPr>
      <w:bookmarkStart w:id="21" w:name="BookMark1"/>
      <w:bookmarkStart w:id="22" w:name="_Toc116981885"/>
      <w:bookmarkStart w:id="23" w:name="_Toc116981857"/>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w:instrText>
      </w:r>
      <w:r>
        <w:rPr>
          <w:rFonts w:hint="eastAsia"/>
        </w:rPr>
        <w:instrText xml:space="preserve">TOC \o "1-1" \h</w:instrText>
      </w:r>
      <w:r>
        <w:instrText xml:space="preserve"> </w:instrText>
      </w:r>
      <w:r>
        <w:fldChar w:fldCharType="separate"/>
      </w:r>
      <w:r>
        <w:fldChar w:fldCharType="begin"/>
      </w:r>
      <w:r>
        <w:instrText xml:space="preserve"> HYPERLINK \l "_Toc116982005" </w:instrText>
      </w:r>
      <w:r>
        <w:fldChar w:fldCharType="separate"/>
      </w:r>
      <w:r>
        <w:rPr>
          <w:rStyle w:val="33"/>
          <w:rFonts w:hint="eastAsia"/>
        </w:rPr>
        <w:t>前言</w:t>
      </w:r>
      <w:r>
        <w:tab/>
      </w:r>
      <w:r>
        <w:fldChar w:fldCharType="begin"/>
      </w:r>
      <w:r>
        <w:instrText xml:space="preserve"> PAGEREF _Toc116982005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"_Toc116982006" </w:instrText>
      </w:r>
      <w:r>
        <w:fldChar w:fldCharType="separate"/>
      </w:r>
      <w:r>
        <w:rPr>
          <w:rStyle w:val="33"/>
        </w:rPr>
        <w:t xml:space="preserve">1 </w:t>
      </w:r>
      <w:r>
        <w:rPr>
          <w:rStyle w:val="33"/>
          <w:rFonts w:hint="eastAsia"/>
        </w:rPr>
        <w:t xml:space="preserve"> 范围</w:t>
      </w:r>
      <w:r>
        <w:tab/>
      </w:r>
      <w:r>
        <w:fldChar w:fldCharType="begin"/>
      </w:r>
      <w:r>
        <w:instrText xml:space="preserve"> PAGEREF _Toc116982006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"_Toc116982007" </w:instrText>
      </w:r>
      <w:r>
        <w:fldChar w:fldCharType="separate"/>
      </w:r>
      <w:r>
        <w:rPr>
          <w:rStyle w:val="33"/>
        </w:rPr>
        <w:t xml:space="preserve">2 </w:t>
      </w:r>
      <w:r>
        <w:rPr>
          <w:rStyle w:val="33"/>
          <w:rFonts w:hint="eastAsia"/>
        </w:rPr>
        <w:t xml:space="preserve"> 规范性引用文件</w:t>
      </w:r>
      <w:r>
        <w:tab/>
      </w:r>
      <w:r>
        <w:fldChar w:fldCharType="begin"/>
      </w:r>
      <w:r>
        <w:instrText xml:space="preserve"> PAGEREF _Toc116982007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"_Toc116982008" </w:instrText>
      </w:r>
      <w:r>
        <w:fldChar w:fldCharType="separate"/>
      </w:r>
      <w:r>
        <w:rPr>
          <w:rStyle w:val="33"/>
        </w:rPr>
        <w:t xml:space="preserve">3 </w:t>
      </w:r>
      <w:r>
        <w:rPr>
          <w:rStyle w:val="33"/>
          <w:rFonts w:hint="eastAsia"/>
        </w:rPr>
        <w:t xml:space="preserve"> 术语和定义</w:t>
      </w:r>
      <w:r>
        <w:tab/>
      </w:r>
      <w:r>
        <w:fldChar w:fldCharType="begin"/>
      </w:r>
      <w:r>
        <w:instrText xml:space="preserve"> PAGEREF _Toc116982008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"_Toc116982009" </w:instrText>
      </w:r>
      <w:r>
        <w:fldChar w:fldCharType="separate"/>
      </w:r>
      <w:r>
        <w:rPr>
          <w:rStyle w:val="33"/>
        </w:rPr>
        <w:t xml:space="preserve">4 </w:t>
      </w:r>
      <w:r>
        <w:rPr>
          <w:rStyle w:val="33"/>
          <w:rFonts w:hint="eastAsia"/>
        </w:rPr>
        <w:t xml:space="preserve"> 场区建设</w:t>
      </w:r>
      <w:r>
        <w:tab/>
      </w:r>
      <w:r>
        <w:fldChar w:fldCharType="begin"/>
      </w:r>
      <w:r>
        <w:instrText xml:space="preserve"> PAGEREF _Toc116982009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"_Toc116982010" </w:instrText>
      </w:r>
      <w:r>
        <w:fldChar w:fldCharType="separate"/>
      </w:r>
      <w:r>
        <w:rPr>
          <w:rStyle w:val="33"/>
        </w:rPr>
        <w:t xml:space="preserve">5 </w:t>
      </w:r>
      <w:r>
        <w:rPr>
          <w:rStyle w:val="33"/>
          <w:rFonts w:hint="eastAsia" w:ascii="Times New Roman"/>
        </w:rPr>
        <w:t xml:space="preserve"> 液体粪污产生量及控制</w:t>
      </w:r>
      <w:r>
        <w:tab/>
      </w:r>
      <w:r>
        <w:fldChar w:fldCharType="begin"/>
      </w:r>
      <w:r>
        <w:instrText xml:space="preserve"> PAGEREF _Toc116982010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"_Toc116982011" </w:instrText>
      </w:r>
      <w:r>
        <w:fldChar w:fldCharType="separate"/>
      </w:r>
      <w:r>
        <w:rPr>
          <w:rStyle w:val="33"/>
        </w:rPr>
        <w:t xml:space="preserve">6 </w:t>
      </w:r>
      <w:r>
        <w:rPr>
          <w:rStyle w:val="33"/>
          <w:rFonts w:hint="eastAsia" w:ascii="Times New Roman"/>
        </w:rPr>
        <w:t xml:space="preserve"> 液体粪污收集、贮存和运输</w:t>
      </w:r>
      <w:r>
        <w:tab/>
      </w:r>
      <w:r>
        <w:fldChar w:fldCharType="begin"/>
      </w:r>
      <w:r>
        <w:instrText xml:space="preserve"> PAGEREF _Toc116982011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"_Toc116982012" </w:instrText>
      </w:r>
      <w:r>
        <w:fldChar w:fldCharType="separate"/>
      </w:r>
      <w:r>
        <w:rPr>
          <w:rStyle w:val="33"/>
        </w:rPr>
        <w:t xml:space="preserve">7 </w:t>
      </w:r>
      <w:r>
        <w:rPr>
          <w:rStyle w:val="33"/>
          <w:rFonts w:hint="eastAsia"/>
        </w:rPr>
        <w:t xml:space="preserve"> 液体粪污处理</w:t>
      </w:r>
      <w:r>
        <w:tab/>
      </w:r>
      <w:r>
        <w:fldChar w:fldCharType="begin"/>
      </w:r>
      <w:r>
        <w:instrText xml:space="preserve"> PAGEREF _Toc116982012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"_Toc116982013" </w:instrText>
      </w:r>
      <w:r>
        <w:fldChar w:fldCharType="separate"/>
      </w:r>
      <w:r>
        <w:rPr>
          <w:rStyle w:val="33"/>
        </w:rPr>
        <w:t xml:space="preserve">8 </w:t>
      </w:r>
      <w:r>
        <w:rPr>
          <w:rStyle w:val="33"/>
          <w:rFonts w:hint="eastAsia"/>
        </w:rPr>
        <w:t xml:space="preserve"> 无害化处理要求</w:t>
      </w:r>
      <w:r>
        <w:tab/>
      </w:r>
      <w:r>
        <w:fldChar w:fldCharType="begin"/>
      </w:r>
      <w:r>
        <w:instrText xml:space="preserve"> PAGEREF _Toc116982013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"_Toc116982014" </w:instrText>
      </w:r>
      <w:r>
        <w:fldChar w:fldCharType="separate"/>
      </w:r>
      <w:r>
        <w:rPr>
          <w:rStyle w:val="33"/>
        </w:rPr>
        <w:t xml:space="preserve">9 </w:t>
      </w:r>
      <w:r>
        <w:rPr>
          <w:rStyle w:val="33"/>
          <w:rFonts w:hint="eastAsia"/>
        </w:rPr>
        <w:t xml:space="preserve"> 液体粪肥还田利用</w:t>
      </w:r>
      <w:r>
        <w:tab/>
      </w:r>
      <w:r>
        <w:fldChar w:fldCharType="begin"/>
      </w:r>
      <w:r>
        <w:instrText xml:space="preserve"> PAGEREF _Toc116982014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"_Toc116982015" </w:instrText>
      </w:r>
      <w:r>
        <w:fldChar w:fldCharType="separate"/>
      </w:r>
      <w:r>
        <w:rPr>
          <w:rStyle w:val="33"/>
          <w:rFonts w:hint="eastAsia"/>
        </w:rPr>
        <w:t>参考文献</w:t>
      </w:r>
      <w:r>
        <w:tab/>
      </w:r>
      <w:r>
        <w:fldChar w:fldCharType="begin"/>
      </w:r>
      <w:r>
        <w:instrText xml:space="preserve"> PAGEREF _Toc116982015 \h </w:instrText>
      </w:r>
      <w:r>
        <w:fldChar w:fldCharType="separate"/>
      </w:r>
      <w:r>
        <w:t>6</w:t>
      </w:r>
      <w:r>
        <w:fldChar w:fldCharType="end"/>
      </w:r>
      <w:r>
        <w:fldChar w:fldCharType="end"/>
      </w:r>
    </w:p>
    <w:p>
      <w:pPr>
        <w:pStyle w:val="92"/>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90"/>
        <w:spacing w:before="900" w:after="468"/>
      </w:pPr>
      <w:bookmarkStart w:id="24" w:name="_Toc116982005"/>
      <w:bookmarkStart w:id="25" w:name="BookMark2"/>
      <w:r>
        <w:rPr>
          <w:rFonts w:hint="eastAsia"/>
          <w:spacing w:val="320"/>
        </w:rPr>
        <w:t>前</w:t>
      </w:r>
      <w:r>
        <w:rPr>
          <w:rFonts w:hint="eastAsia"/>
        </w:rPr>
        <w:t>言</w:t>
      </w:r>
      <w:bookmarkEnd w:id="22"/>
      <w:bookmarkEnd w:id="23"/>
      <w:bookmarkEnd w:id="24"/>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请注意本文件的某些内容可能涉及专利，本文件的发布机构不承担识别这些专利的责任。</w:t>
      </w:r>
    </w:p>
    <w:p>
      <w:pPr>
        <w:pStyle w:val="57"/>
        <w:ind w:firstLine="420"/>
      </w:pPr>
      <w:r>
        <w:rPr>
          <w:rFonts w:hint="eastAsia"/>
        </w:rPr>
        <w:t>本文件由湖南省农业农村厅提出。</w:t>
      </w:r>
    </w:p>
    <w:p>
      <w:pPr>
        <w:pStyle w:val="57"/>
        <w:ind w:firstLine="420"/>
      </w:pPr>
      <w:r>
        <w:rPr>
          <w:rFonts w:hint="eastAsia"/>
        </w:rPr>
        <w:t>本文件由湖南省农业标准化技术委员会归口。</w:t>
      </w:r>
    </w:p>
    <w:p>
      <w:pPr>
        <w:pStyle w:val="57"/>
        <w:ind w:firstLine="420"/>
      </w:pPr>
      <w:r>
        <w:rPr>
          <w:rFonts w:hint="eastAsia"/>
        </w:rPr>
        <w:t>本文件起草单位：湖南省畜牧兽医研究所、湖南省生态环境监测中心、湖南湘牧生物科技有限公司。</w:t>
      </w:r>
    </w:p>
    <w:p>
      <w:pPr>
        <w:pStyle w:val="57"/>
        <w:ind w:firstLine="420"/>
      </w:pPr>
      <w:r>
        <w:rPr>
          <w:rFonts w:hint="eastAsia"/>
        </w:rPr>
        <w:t>本文件主要起草人：谢菊兰、邱美珍、周桑扬、张星、冯小花。</w:t>
      </w:r>
    </w:p>
    <w:p>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25"/>
    <w:p>
      <w:pPr>
        <w:spacing w:line="20" w:lineRule="exact"/>
        <w:jc w:val="center"/>
        <w:rPr>
          <w:rFonts w:ascii="黑体" w:hAnsi="黑体" w:eastAsia="黑体"/>
          <w:sz w:val="32"/>
          <w:szCs w:val="32"/>
        </w:rPr>
      </w:pPr>
      <w:bookmarkStart w:id="26" w:name="BookMark4"/>
    </w:p>
    <w:p>
      <w:pPr>
        <w:spacing w:line="20" w:lineRule="exact"/>
        <w:jc w:val="center"/>
        <w:rPr>
          <w:rFonts w:ascii="黑体" w:hAnsi="黑体" w:eastAsia="黑体"/>
          <w:sz w:val="32"/>
          <w:szCs w:val="32"/>
        </w:rPr>
      </w:pPr>
    </w:p>
    <w:sdt>
      <w:sdtPr>
        <w:tag w:val="NEW_STAND_NAME"/>
        <w:id w:val="595910757"/>
        <w:lock w:val="sdtLocked"/>
        <w:placeholder>
          <w:docPart w:val="07B4620EDB844D22BB4F11DCDD765951"/>
        </w:placeholder>
      </w:sdtPr>
      <w:sdtContent>
        <w:p>
          <w:pPr>
            <w:pStyle w:val="178"/>
            <w:spacing w:beforeLines="1" w:afterLines="220"/>
          </w:pPr>
          <w:bookmarkStart w:id="27" w:name="NEW_STAND_NAME"/>
          <w:r>
            <w:rPr>
              <w:rFonts w:hint="eastAsia"/>
            </w:rPr>
            <w:t>规模养殖场液体粪污污染防治与肥料化利用技术规范</w:t>
          </w:r>
        </w:p>
      </w:sdtContent>
    </w:sdt>
    <w:bookmarkEnd w:id="27"/>
    <w:p>
      <w:pPr>
        <w:pStyle w:val="105"/>
        <w:spacing w:before="312" w:after="312"/>
      </w:pPr>
      <w:bookmarkStart w:id="28" w:name="_Toc24884211"/>
      <w:bookmarkStart w:id="29" w:name="_Toc116917543"/>
      <w:bookmarkStart w:id="30" w:name="_Toc26986771"/>
      <w:bookmarkStart w:id="31" w:name="_Toc97191423"/>
      <w:bookmarkStart w:id="32" w:name="_Toc26986530"/>
      <w:bookmarkStart w:id="33" w:name="_Toc116981886"/>
      <w:bookmarkStart w:id="34" w:name="_Toc17233325"/>
      <w:bookmarkStart w:id="35" w:name="_Toc24884218"/>
      <w:bookmarkStart w:id="36" w:name="_Toc26718930"/>
      <w:bookmarkStart w:id="37" w:name="_Toc26648465"/>
      <w:bookmarkStart w:id="38" w:name="_Toc116982006"/>
      <w:bookmarkStart w:id="39" w:name="_Toc17233333"/>
      <w:bookmarkStart w:id="40" w:name="_Toc116981858"/>
      <w:r>
        <w:rPr>
          <w:rFonts w:hint="eastAsia"/>
        </w:rPr>
        <w:t>范围</w:t>
      </w:r>
      <w:bookmarkEnd w:id="28"/>
      <w:bookmarkEnd w:id="29"/>
      <w:bookmarkEnd w:id="30"/>
      <w:bookmarkEnd w:id="31"/>
      <w:bookmarkEnd w:id="32"/>
      <w:bookmarkEnd w:id="33"/>
      <w:bookmarkEnd w:id="34"/>
      <w:bookmarkEnd w:id="35"/>
      <w:bookmarkEnd w:id="36"/>
      <w:bookmarkEnd w:id="37"/>
      <w:bookmarkEnd w:id="38"/>
      <w:bookmarkEnd w:id="39"/>
      <w:bookmarkEnd w:id="40"/>
    </w:p>
    <w:p>
      <w:pPr>
        <w:pStyle w:val="57"/>
        <w:ind w:firstLine="420"/>
        <w:rPr>
          <w:rFonts w:ascii="Times New Roman"/>
        </w:rPr>
      </w:pPr>
      <w:bookmarkStart w:id="41" w:name="_Toc17233334"/>
      <w:bookmarkStart w:id="42" w:name="_Toc24884212"/>
      <w:bookmarkStart w:id="43" w:name="_Toc26648466"/>
      <w:bookmarkStart w:id="44" w:name="_Toc24884219"/>
      <w:bookmarkStart w:id="45" w:name="_Toc17233326"/>
      <w:r>
        <w:rPr>
          <w:rFonts w:ascii="Times New Roman"/>
        </w:rPr>
        <w:t>本文件规定了规模养殖场</w:t>
      </w:r>
      <w:r>
        <w:rPr>
          <w:rFonts w:hint="eastAsia" w:ascii="Times New Roman"/>
        </w:rPr>
        <w:t>液</w:t>
      </w:r>
      <w:r>
        <w:rPr>
          <w:rFonts w:ascii="Times New Roman"/>
        </w:rPr>
        <w:t>体粪污污染防治与肥料化利用的场区建设，</w:t>
      </w:r>
      <w:r>
        <w:rPr>
          <w:rFonts w:hint="eastAsia" w:ascii="Times New Roman"/>
        </w:rPr>
        <w:t>液</w:t>
      </w:r>
      <w:r>
        <w:rPr>
          <w:rFonts w:ascii="Times New Roman"/>
        </w:rPr>
        <w:t>体粪污产生量</w:t>
      </w:r>
      <w:r>
        <w:rPr>
          <w:rFonts w:hint="eastAsia" w:ascii="Times New Roman"/>
        </w:rPr>
        <w:t>及</w:t>
      </w:r>
      <w:r>
        <w:rPr>
          <w:rFonts w:ascii="Times New Roman"/>
        </w:rPr>
        <w:t>控制，</w:t>
      </w:r>
      <w:r>
        <w:rPr>
          <w:rFonts w:hint="eastAsia" w:ascii="Times New Roman"/>
        </w:rPr>
        <w:t>液</w:t>
      </w:r>
      <w:r>
        <w:rPr>
          <w:rFonts w:ascii="Times New Roman"/>
        </w:rPr>
        <w:t>体粪污收集、贮存</w:t>
      </w:r>
      <w:r>
        <w:rPr>
          <w:rFonts w:hint="eastAsia" w:ascii="Times New Roman"/>
        </w:rPr>
        <w:t>和</w:t>
      </w:r>
      <w:r>
        <w:rPr>
          <w:rFonts w:ascii="Times New Roman"/>
        </w:rPr>
        <w:t>运输，</w:t>
      </w:r>
      <w:r>
        <w:rPr>
          <w:rFonts w:hint="eastAsia" w:ascii="Times New Roman"/>
        </w:rPr>
        <w:t>液</w:t>
      </w:r>
      <w:r>
        <w:rPr>
          <w:rFonts w:ascii="Times New Roman"/>
        </w:rPr>
        <w:t>体粪污</w:t>
      </w:r>
      <w:r>
        <w:rPr>
          <w:rFonts w:hint="eastAsia" w:ascii="Times New Roman"/>
        </w:rPr>
        <w:t>处理技术、无害化处理要求</w:t>
      </w:r>
      <w:r>
        <w:rPr>
          <w:rFonts w:ascii="Times New Roman"/>
        </w:rPr>
        <w:t>及</w:t>
      </w:r>
      <w:r>
        <w:rPr>
          <w:rFonts w:hint="eastAsia" w:ascii="Times New Roman"/>
        </w:rPr>
        <w:t>液体</w:t>
      </w:r>
      <w:r>
        <w:rPr>
          <w:rFonts w:ascii="Times New Roman"/>
        </w:rPr>
        <w:t>粪肥还田利用等方法与要求。</w:t>
      </w:r>
    </w:p>
    <w:p>
      <w:pPr>
        <w:pStyle w:val="57"/>
        <w:ind w:firstLine="420"/>
        <w:rPr>
          <w:rFonts w:ascii="Times New Roman"/>
        </w:rPr>
      </w:pPr>
      <w:r>
        <w:rPr>
          <w:rFonts w:ascii="Times New Roman"/>
        </w:rPr>
        <w:t>本文件适用于规模养殖场</w:t>
      </w:r>
      <w:r>
        <w:rPr>
          <w:rFonts w:hint="eastAsia" w:ascii="Times New Roman"/>
        </w:rPr>
        <w:t>液</w:t>
      </w:r>
      <w:r>
        <w:rPr>
          <w:rFonts w:ascii="Times New Roman"/>
        </w:rPr>
        <w:t>体粪污污染防治与肥料化利用，规模小于本文件规定的养殖场可参照使用。</w:t>
      </w:r>
    </w:p>
    <w:p>
      <w:pPr>
        <w:pStyle w:val="105"/>
        <w:spacing w:before="312" w:after="312"/>
      </w:pPr>
      <w:bookmarkStart w:id="46" w:name="_Toc116917544"/>
      <w:bookmarkStart w:id="47" w:name="_Toc116981859"/>
      <w:bookmarkStart w:id="48" w:name="_Toc26986772"/>
      <w:bookmarkStart w:id="49" w:name="_Toc116981887"/>
      <w:bookmarkStart w:id="50" w:name="_Toc26718931"/>
      <w:bookmarkStart w:id="51" w:name="_Toc97191424"/>
      <w:bookmarkStart w:id="52" w:name="_Toc26986531"/>
      <w:bookmarkStart w:id="53" w:name="_Toc116982007"/>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p>
    <w:sdt>
      <w:sdtPr>
        <w:rPr>
          <w:rFonts w:hint="eastAsia"/>
        </w:rPr>
        <w:id w:val="715848253"/>
        <w:placeholder>
          <w:docPart w:val="8576896414724FEDA34DB3745A9D51C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rPr>
          <w:rFonts w:ascii="Times New Roman"/>
        </w:rPr>
      </w:pPr>
      <w:r>
        <w:rPr>
          <w:rFonts w:ascii="Times New Roman"/>
        </w:rPr>
        <w:t>GB 18596  畜禽养殖业污染物排放标准</w:t>
      </w:r>
    </w:p>
    <w:p>
      <w:pPr>
        <w:pStyle w:val="57"/>
        <w:ind w:firstLine="420"/>
        <w:rPr>
          <w:rFonts w:ascii="Times New Roman"/>
        </w:rPr>
      </w:pPr>
      <w:r>
        <w:rPr>
          <w:rFonts w:ascii="Times New Roman"/>
        </w:rPr>
        <w:t>GB/T 25246  畜禽粪便还田技术规范</w:t>
      </w:r>
    </w:p>
    <w:p>
      <w:pPr>
        <w:pStyle w:val="57"/>
        <w:ind w:firstLine="420"/>
        <w:rPr>
          <w:rFonts w:ascii="Times New Roman"/>
        </w:rPr>
      </w:pPr>
      <w:r>
        <w:rPr>
          <w:rFonts w:ascii="Times New Roman"/>
        </w:rPr>
        <w:t>GB/T 2</w:t>
      </w:r>
      <w:r>
        <w:rPr>
          <w:rFonts w:hint="eastAsia" w:ascii="Times New Roman"/>
        </w:rPr>
        <w:t>6624</w:t>
      </w:r>
      <w:r>
        <w:rPr>
          <w:rFonts w:ascii="Times New Roman"/>
        </w:rPr>
        <w:t xml:space="preserve">  畜禽</w:t>
      </w:r>
      <w:r>
        <w:rPr>
          <w:rFonts w:hint="eastAsia" w:ascii="Times New Roman"/>
        </w:rPr>
        <w:t>养殖污水贮存</w:t>
      </w:r>
      <w:r>
        <w:rPr>
          <w:rFonts w:ascii="Times New Roman"/>
        </w:rPr>
        <w:t>设施</w:t>
      </w:r>
      <w:r>
        <w:rPr>
          <w:rFonts w:hint="eastAsia" w:ascii="Times New Roman"/>
        </w:rPr>
        <w:t>设计</w:t>
      </w:r>
      <w:r>
        <w:rPr>
          <w:rFonts w:ascii="Times New Roman"/>
        </w:rPr>
        <w:t>要求</w:t>
      </w:r>
    </w:p>
    <w:p>
      <w:pPr>
        <w:pStyle w:val="57"/>
        <w:ind w:firstLine="420"/>
        <w:rPr>
          <w:rFonts w:ascii="Times New Roman"/>
        </w:rPr>
      </w:pPr>
      <w:r>
        <w:rPr>
          <w:rFonts w:ascii="Times New Roman"/>
        </w:rPr>
        <w:t xml:space="preserve">GB/T 36195  畜禽粪便无害化处理技术规范 </w:t>
      </w:r>
    </w:p>
    <w:p>
      <w:pPr>
        <w:pStyle w:val="57"/>
        <w:ind w:firstLine="420"/>
        <w:rPr>
          <w:rFonts w:ascii="Times New Roman"/>
        </w:rPr>
      </w:pPr>
      <w:r>
        <w:rPr>
          <w:rFonts w:ascii="Times New Roman"/>
        </w:rPr>
        <w:t>HJ 497  畜禽养殖业污染治理工程技术规范</w:t>
      </w:r>
    </w:p>
    <w:p>
      <w:pPr>
        <w:pStyle w:val="57"/>
        <w:ind w:firstLine="420"/>
        <w:rPr>
          <w:rFonts w:ascii="Times New Roman"/>
        </w:rPr>
      </w:pPr>
      <w:r>
        <w:rPr>
          <w:rFonts w:ascii="Times New Roman"/>
        </w:rPr>
        <w:t>NY/T 682  畜禽场场区设计技术规范</w:t>
      </w:r>
    </w:p>
    <w:p>
      <w:pPr>
        <w:pStyle w:val="57"/>
        <w:ind w:firstLine="420"/>
        <w:rPr>
          <w:rFonts w:ascii="Times New Roman"/>
        </w:rPr>
      </w:pPr>
      <w:r>
        <w:rPr>
          <w:rFonts w:hint="eastAsia" w:ascii="Times New Roman"/>
        </w:rPr>
        <w:t>NY/T 2596 沼肥</w:t>
      </w:r>
    </w:p>
    <w:p>
      <w:pPr>
        <w:pStyle w:val="57"/>
        <w:ind w:firstLine="420"/>
        <w:rPr>
          <w:rFonts w:hint="eastAsia" w:ascii="Times New Roman"/>
        </w:rPr>
      </w:pPr>
      <w:r>
        <w:rPr>
          <w:rFonts w:hint="eastAsia" w:ascii="Times New Roman"/>
        </w:rPr>
        <w:t>NY/T 2374 沼气工程沼液沼渣后处理技术规范</w:t>
      </w:r>
    </w:p>
    <w:p>
      <w:pPr>
        <w:pStyle w:val="57"/>
        <w:ind w:firstLine="420"/>
        <w:rPr>
          <w:rFonts w:hint="eastAsia" w:ascii="Times New Roman"/>
          <w:lang w:val="en-US" w:eastAsia="zh-CN"/>
        </w:rPr>
      </w:pPr>
      <w:r>
        <w:rPr>
          <w:rFonts w:hint="eastAsia" w:ascii="Times New Roman"/>
        </w:rPr>
        <w:t>DB 34/T 3486</w:t>
      </w:r>
      <w:r>
        <w:rPr>
          <w:rFonts w:hint="eastAsia" w:ascii="Times New Roman"/>
          <w:lang w:val="en-US" w:eastAsia="zh-CN"/>
        </w:rPr>
        <w:t xml:space="preserve"> 畜</w:t>
      </w:r>
      <w:r>
        <w:rPr>
          <w:rFonts w:ascii="Times New Roman"/>
        </w:rPr>
        <w:t>禽粪污覆膜氧化塘处理技术规程</w:t>
      </w:r>
    </w:p>
    <w:p>
      <w:pPr>
        <w:pStyle w:val="105"/>
        <w:spacing w:before="312" w:after="312"/>
      </w:pPr>
      <w:bookmarkStart w:id="54" w:name="_Toc116981888"/>
      <w:bookmarkStart w:id="55" w:name="_Toc116982008"/>
      <w:bookmarkStart w:id="56" w:name="_Toc97191425"/>
      <w:bookmarkStart w:id="57" w:name="_Toc116981860"/>
      <w:bookmarkStart w:id="58" w:name="_Toc116917545"/>
      <w:r>
        <w:rPr>
          <w:rFonts w:hint="eastAsia"/>
          <w:szCs w:val="21"/>
        </w:rPr>
        <w:t>术语和定义</w:t>
      </w:r>
      <w:bookmarkEnd w:id="54"/>
      <w:bookmarkEnd w:id="55"/>
      <w:bookmarkEnd w:id="56"/>
      <w:bookmarkEnd w:id="57"/>
      <w:bookmarkEnd w:id="58"/>
    </w:p>
    <w:sdt>
      <w:sdtPr>
        <w:id w:val="-1909835108"/>
        <w:placeholder>
          <w:docPart w:val="7E2EA100212A4C29B40D3F136F4A06A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59" w:name="_Toc26986532"/>
          <w:bookmarkEnd w:id="59"/>
          <w:r>
            <w:t>下列术语和定义适用于本文件。</w:t>
          </w:r>
        </w:p>
      </w:sdtContent>
    </w:sdt>
    <w:p>
      <w:pPr>
        <w:pStyle w:val="57"/>
        <w:ind w:firstLine="420"/>
      </w:pPr>
    </w:p>
    <w:p>
      <w:pPr>
        <w:pStyle w:val="224"/>
        <w:ind w:left="420" w:hanging="420" w:hangingChars="200"/>
        <w:rPr>
          <w:rFonts w:ascii="黑体" w:hAnsi="黑体" w:eastAsia="黑体"/>
        </w:rPr>
      </w:pPr>
    </w:p>
    <w:p>
      <w:pPr>
        <w:pStyle w:val="57"/>
        <w:ind w:firstLine="420"/>
        <w:rPr>
          <w:rFonts w:ascii="Times New Roman" w:eastAsia="黑体"/>
        </w:rPr>
      </w:pPr>
      <w:r>
        <w:rPr>
          <w:rFonts w:ascii="Times New Roman" w:eastAsia="黑体"/>
        </w:rPr>
        <w:t>规模养殖场  scale farm</w:t>
      </w:r>
    </w:p>
    <w:p>
      <w:pPr>
        <w:pStyle w:val="57"/>
        <w:ind w:firstLine="420"/>
        <w:rPr>
          <w:rFonts w:ascii="Times New Roman"/>
        </w:rPr>
      </w:pPr>
      <w:r>
        <w:rPr>
          <w:rFonts w:ascii="Times New Roman"/>
        </w:rPr>
        <w:t>指经市场监督管理等行政主管部门批准，具有法人资格并达到本文件规定年存（出）栏规模的养殖场：猪出栏≥500头，蛋鸡存栏≥10 000羽，肉鸡出栏≥30 000羽，鸭出栏≥10 000羽，鹅出栏≥50 00羽，鸽出栏≥10 000羽</w:t>
      </w:r>
      <w:r>
        <w:rPr>
          <w:rFonts w:hint="eastAsia" w:ascii="Times New Roman"/>
        </w:rPr>
        <w:t>，</w:t>
      </w:r>
      <w:r>
        <w:rPr>
          <w:rFonts w:ascii="Times New Roman"/>
        </w:rPr>
        <w:t>奶牛存栏≥50头，种公牛存栏≥50头，母牛存栏≥50头，肉牛出栏≥100头，羊出栏≥500只，兔出栏≥15 000只。</w:t>
      </w:r>
    </w:p>
    <w:p>
      <w:pPr>
        <w:pStyle w:val="224"/>
        <w:ind w:left="420" w:hanging="420" w:hangingChars="200"/>
        <w:rPr>
          <w:rFonts w:ascii="黑体" w:hAnsi="黑体" w:eastAsia="黑体"/>
        </w:rPr>
      </w:pPr>
    </w:p>
    <w:p>
      <w:pPr>
        <w:pStyle w:val="224"/>
        <w:numPr>
          <w:ilvl w:val="2"/>
          <w:numId w:val="0"/>
        </w:numPr>
        <w:ind w:left="-420" w:leftChars="-200" w:firstLine="840" w:firstLineChars="400"/>
        <w:rPr>
          <w:rFonts w:ascii="Times New Roman" w:eastAsia="黑体"/>
        </w:rPr>
      </w:pPr>
      <w:r>
        <w:rPr>
          <w:rFonts w:hint="eastAsia" w:ascii="Times New Roman" w:eastAsia="黑体"/>
        </w:rPr>
        <w:t>液</w:t>
      </w:r>
      <w:r>
        <w:rPr>
          <w:rFonts w:ascii="Times New Roman" w:eastAsia="黑体"/>
        </w:rPr>
        <w:t>体粪污  solid manure</w:t>
      </w:r>
    </w:p>
    <w:p>
      <w:pPr>
        <w:pStyle w:val="57"/>
        <w:ind w:firstLine="420"/>
      </w:pPr>
      <w:r>
        <w:rPr>
          <w:rFonts w:hint="eastAsia"/>
        </w:rPr>
        <w:t>指畜禽生产过程中产生的尿液、粪污经干湿分离产生的粪液、畜禽舍冲洗用水、滴漏的饮水及降温</w:t>
      </w:r>
      <w:r>
        <w:br w:type="textWrapping"/>
      </w:r>
      <w:r>
        <w:rPr>
          <w:rFonts w:hint="eastAsia"/>
        </w:rPr>
        <w:t>用水等液态物质。</w:t>
      </w:r>
    </w:p>
    <w:p>
      <w:pPr>
        <w:pStyle w:val="224"/>
        <w:ind w:left="420" w:hanging="420" w:hangingChars="200"/>
        <w:rPr>
          <w:rFonts w:ascii="Times New Roman" w:eastAsia="黑体"/>
        </w:rPr>
      </w:pPr>
      <w:r>
        <w:rPr>
          <w:rFonts w:ascii="黑体" w:hAnsi="黑体" w:eastAsia="黑体"/>
        </w:rPr>
        <w:br w:type="textWrapping"/>
      </w:r>
      <w:r>
        <w:rPr>
          <w:rFonts w:hint="eastAsia" w:ascii="黑体" w:hAnsi="黑体" w:eastAsia="黑体"/>
        </w:rPr>
        <w:t>猪当量</w:t>
      </w:r>
      <w:r>
        <w:rPr>
          <w:rFonts w:ascii="Times New Roman" w:eastAsia="黑体"/>
        </w:rPr>
        <w:t>the swine equivalent</w:t>
      </w:r>
      <w:r>
        <w:rPr>
          <w:rFonts w:hint="eastAsia" w:ascii="Times New Roman" w:eastAsia="黑体"/>
        </w:rPr>
        <w:tab/>
      </w:r>
    </w:p>
    <w:p>
      <w:pPr>
        <w:pStyle w:val="57"/>
        <w:ind w:firstLine="420"/>
      </w:pPr>
      <w:r>
        <w:t>用于衡量畜禽氮（磷）排泄量的度量单位。1头猪为1个猪当量，100头猪相当于15头奶牛、30头肉</w:t>
      </w:r>
      <w:r>
        <w:br w:type="textWrapping"/>
      </w:r>
      <w:r>
        <w:t>牛、250只羊、2500只家禽。</w:t>
      </w:r>
    </w:p>
    <w:p>
      <w:pPr>
        <w:pStyle w:val="224"/>
        <w:ind w:left="420" w:hanging="420" w:hangingChars="200"/>
        <w:rPr>
          <w:rFonts w:ascii="Times New Roman" w:eastAsia="黑体"/>
        </w:rPr>
      </w:pPr>
      <w:r>
        <w:rPr>
          <w:rFonts w:ascii="黑体" w:hAnsi="黑体" w:eastAsia="黑体"/>
        </w:rPr>
        <w:br w:type="textWrapping"/>
      </w:r>
      <w:r>
        <w:rPr>
          <w:rFonts w:hint="eastAsia" w:ascii="黑体" w:hAnsi="黑体" w:eastAsia="黑体"/>
        </w:rPr>
        <w:t>厌氧发酵</w:t>
      </w:r>
      <w:r>
        <w:rPr>
          <w:rFonts w:hint="eastAsia" w:ascii="Times New Roman" w:eastAsia="黑体"/>
        </w:rPr>
        <w:t>anaerobic fermentation</w:t>
      </w:r>
    </w:p>
    <w:p>
      <w:pPr>
        <w:pStyle w:val="57"/>
        <w:ind w:firstLine="420"/>
      </w:pPr>
      <w:r>
        <w:rPr>
          <w:rFonts w:hint="eastAsia"/>
        </w:rPr>
        <w:t>指隔绝空气的环境中，依赖兼性厌氧菌和专性厌氧菌的生物化学作用，对有机物进行生物降解的过程。</w:t>
      </w:r>
    </w:p>
    <w:p>
      <w:pPr>
        <w:pStyle w:val="224"/>
        <w:ind w:left="420" w:hanging="420" w:hangingChars="200"/>
        <w:rPr>
          <w:rFonts w:ascii="Times New Roman" w:eastAsia="黑体"/>
        </w:rPr>
      </w:pPr>
      <w:r>
        <w:rPr>
          <w:rFonts w:ascii="黑体" w:hAnsi="黑体" w:eastAsia="黑体"/>
        </w:rPr>
        <w:br w:type="textWrapping"/>
      </w:r>
      <w:r>
        <w:rPr>
          <w:rFonts w:hint="eastAsia" w:ascii="黑体" w:hAnsi="黑体" w:eastAsia="黑体"/>
        </w:rPr>
        <w:t>贮存</w:t>
      </w:r>
      <w:r>
        <w:rPr>
          <w:rFonts w:hint="eastAsia" w:ascii="Times New Roman" w:eastAsia="黑体"/>
        </w:rPr>
        <w:t>发酵</w:t>
      </w:r>
      <w:r>
        <w:rPr>
          <w:rFonts w:ascii="Times New Roman" w:eastAsia="黑体"/>
        </w:rPr>
        <w:t xml:space="preserve">  </w:t>
      </w:r>
      <w:r>
        <w:rPr>
          <w:rFonts w:hint="eastAsia" w:ascii="Times New Roman" w:eastAsia="黑体"/>
        </w:rPr>
        <w:t>storage and fermentation</w:t>
      </w:r>
    </w:p>
    <w:p>
      <w:pPr>
        <w:pStyle w:val="57"/>
        <w:ind w:firstLine="420"/>
      </w:pPr>
      <w:r>
        <w:rPr>
          <w:rFonts w:hint="eastAsia"/>
        </w:rPr>
        <w:t>指在自然条件下，依赖好氧菌、兼性厌氧菌和专性厌氧菌的生物化学作用，对存放在一定设施内的有机物进行静态降解的过程。</w:t>
      </w:r>
    </w:p>
    <w:p>
      <w:pPr>
        <w:pStyle w:val="105"/>
        <w:spacing w:before="312" w:after="312"/>
      </w:pPr>
      <w:bookmarkStart w:id="60" w:name="_Toc116981861"/>
      <w:bookmarkStart w:id="61" w:name="_Toc116981889"/>
      <w:bookmarkStart w:id="62" w:name="_Toc116982009"/>
      <w:r>
        <w:rPr>
          <w:rFonts w:hint="eastAsia"/>
        </w:rPr>
        <w:t>场区建设</w:t>
      </w:r>
      <w:bookmarkEnd w:id="60"/>
      <w:bookmarkEnd w:id="61"/>
      <w:bookmarkEnd w:id="62"/>
    </w:p>
    <w:p>
      <w:pPr>
        <w:pStyle w:val="106"/>
        <w:spacing w:before="156" w:after="156"/>
        <w:rPr>
          <w:rFonts w:ascii="Times New Roman" w:eastAsia="宋体"/>
        </w:rPr>
      </w:pPr>
      <w:bookmarkStart w:id="63" w:name="_Toc116981862"/>
      <w:r>
        <w:rPr>
          <w:rFonts w:ascii="Times New Roman" w:eastAsia="宋体"/>
        </w:rPr>
        <w:t>规模养殖场的选址、场区总体设计、区域划分、净道污道分离、绿化等符合NY/T 682规定。</w:t>
      </w:r>
      <w:bookmarkEnd w:id="63"/>
    </w:p>
    <w:p>
      <w:pPr>
        <w:pStyle w:val="106"/>
        <w:spacing w:before="156" w:after="156"/>
        <w:rPr>
          <w:rFonts w:ascii="Times New Roman" w:eastAsia="宋体"/>
        </w:rPr>
      </w:pPr>
      <w:bookmarkStart w:id="64" w:name="_Toc116981863"/>
      <w:r>
        <w:rPr>
          <w:rFonts w:ascii="Times New Roman" w:eastAsia="宋体"/>
        </w:rPr>
        <w:t>栏舍建设应实行雨污分流，并建有配套的畜禽粪污处理与资源化利用设施，设施规模、建设要求等应符合《畜禽规模养殖场粪污资源化利用设施建设规范（试行）》规定。</w:t>
      </w:r>
      <w:bookmarkEnd w:id="64"/>
    </w:p>
    <w:p>
      <w:pPr>
        <w:pStyle w:val="105"/>
        <w:spacing w:before="312" w:after="312"/>
        <w:rPr>
          <w:rFonts w:ascii="Times New Roman"/>
          <w:szCs w:val="21"/>
        </w:rPr>
      </w:pPr>
      <w:bookmarkStart w:id="65" w:name="_Toc116981890"/>
      <w:bookmarkStart w:id="66" w:name="_Toc81838257"/>
      <w:bookmarkStart w:id="67" w:name="_Toc116982010"/>
      <w:bookmarkStart w:id="68" w:name="_Toc116981864"/>
      <w:r>
        <w:rPr>
          <w:rFonts w:ascii="Times New Roman"/>
          <w:szCs w:val="21"/>
        </w:rPr>
        <w:t>液体粪污产生量</w:t>
      </w:r>
      <w:r>
        <w:rPr>
          <w:rFonts w:hint="eastAsia" w:ascii="Times New Roman"/>
          <w:szCs w:val="21"/>
        </w:rPr>
        <w:t>及</w:t>
      </w:r>
      <w:r>
        <w:rPr>
          <w:rFonts w:ascii="Times New Roman"/>
          <w:szCs w:val="21"/>
        </w:rPr>
        <w:t>控制</w:t>
      </w:r>
      <w:bookmarkEnd w:id="65"/>
      <w:bookmarkEnd w:id="66"/>
      <w:bookmarkEnd w:id="67"/>
      <w:bookmarkEnd w:id="68"/>
    </w:p>
    <w:p>
      <w:pPr>
        <w:pStyle w:val="106"/>
        <w:spacing w:before="156" w:after="156"/>
      </w:pPr>
      <w:bookmarkStart w:id="69" w:name="_Toc116981865"/>
      <w:r>
        <w:rPr>
          <w:rFonts w:hint="eastAsia"/>
        </w:rPr>
        <w:t>产生量估算</w:t>
      </w:r>
      <w:bookmarkEnd w:id="69"/>
    </w:p>
    <w:p>
      <w:pPr>
        <w:pStyle w:val="66"/>
        <w:numPr>
          <w:ilvl w:val="0"/>
          <w:numId w:val="0"/>
        </w:numPr>
        <w:spacing w:before="156" w:after="156"/>
      </w:pPr>
      <w:r>
        <w:rPr>
          <w:rFonts w:hint="eastAsia"/>
        </w:rPr>
        <w:t>5.1.1  估算方法</w:t>
      </w:r>
    </w:p>
    <w:p>
      <w:pPr>
        <w:pStyle w:val="57"/>
        <w:ind w:firstLine="420"/>
        <w:rPr>
          <w:rFonts w:ascii="Times New Roman"/>
        </w:rPr>
      </w:pPr>
      <w:r>
        <w:rPr>
          <w:rFonts w:ascii="Times New Roman"/>
        </w:rPr>
        <w:t>养殖场液体粪污产生量按</w:t>
      </w:r>
      <w:r>
        <w:rPr>
          <w:rFonts w:hint="eastAsia" w:ascii="Times New Roman"/>
        </w:rPr>
        <w:t>式</w:t>
      </w:r>
      <w:r>
        <w:rPr>
          <w:rFonts w:ascii="Times New Roman"/>
        </w:rPr>
        <w:t>（1）估算。</w:t>
      </w:r>
    </w:p>
    <w:p>
      <w:pPr>
        <w:pStyle w:val="114"/>
      </w:pPr>
      <w:r>
        <w:tab/>
      </w:r>
      <m:oMath>
        <m:r>
          <m:rPr>
            <m:sty m:val="p"/>
          </m:rPr>
          <w:rPr>
            <w:rFonts w:ascii="Cambria Math" w:hAnsi="Cambria Math"/>
          </w:rPr>
          <m:t>N=T×Y×X</m:t>
        </m:r>
      </m:oMath>
      <w:r>
        <w:rPr>
          <w:rFonts w:ascii="微软雅黑" w:hAnsi="微软雅黑" w:eastAsia="微软雅黑"/>
        </w:rPr>
        <w:tab/>
      </w:r>
      <w:r>
        <w:t>(</w:t>
      </w:r>
      <w:r>
        <w:fldChar w:fldCharType="begin"/>
      </w:r>
      <w:r>
        <w:instrText xml:space="preserve"> AUTONUM </w:instrText>
      </w:r>
      <w:r>
        <w:fldChar w:fldCharType="end"/>
      </w:r>
      <w:r>
        <w:t>)</w:t>
      </w:r>
    </w:p>
    <w:p>
      <w:pPr>
        <w:pStyle w:val="56"/>
        <w:ind w:firstLine="420"/>
      </w:pPr>
      <w:r>
        <w:rPr>
          <w:rFonts w:hint="eastAsia"/>
        </w:rPr>
        <w:t>式中：</w:t>
      </w:r>
    </w:p>
    <w:p>
      <w:pPr>
        <w:pStyle w:val="57"/>
        <w:ind w:firstLine="420"/>
        <w:rPr>
          <w:rFonts w:ascii="Times New Roman"/>
        </w:rPr>
      </w:pPr>
      <w:r>
        <w:rPr>
          <w:rFonts w:ascii="Times New Roman"/>
        </w:rPr>
        <w:t>N—规模养殖场液体粪污产生量，单位为kg；</w:t>
      </w:r>
    </w:p>
    <w:p>
      <w:pPr>
        <w:pStyle w:val="57"/>
        <w:ind w:firstLine="420"/>
        <w:rPr>
          <w:rFonts w:ascii="Times New Roman"/>
        </w:rPr>
      </w:pPr>
      <w:r>
        <w:rPr>
          <w:rFonts w:ascii="Times New Roman"/>
        </w:rPr>
        <w:t>T—畜禽饲养量，单位为头/只/羽；</w:t>
      </w:r>
    </w:p>
    <w:p>
      <w:pPr>
        <w:pStyle w:val="57"/>
        <w:ind w:firstLine="420"/>
        <w:rPr>
          <w:rFonts w:ascii="Times New Roman"/>
        </w:rPr>
      </w:pPr>
      <w:r>
        <w:rPr>
          <w:rFonts w:ascii="Times New Roman"/>
        </w:rPr>
        <w:t>Y—饲养周期，单位为d；</w:t>
      </w:r>
    </w:p>
    <w:p>
      <w:pPr>
        <w:pStyle w:val="57"/>
        <w:ind w:firstLine="420"/>
        <w:rPr>
          <w:rFonts w:ascii="Times New Roman"/>
        </w:rPr>
      </w:pPr>
      <w:r>
        <w:rPr>
          <w:rFonts w:ascii="Times New Roman"/>
        </w:rPr>
        <w:t>X—排泄系数，单位为kg/d。</w:t>
      </w:r>
    </w:p>
    <w:p>
      <w:pPr>
        <w:pStyle w:val="66"/>
        <w:numPr>
          <w:ilvl w:val="0"/>
          <w:numId w:val="0"/>
        </w:numPr>
        <w:spacing w:before="156" w:after="156"/>
      </w:pPr>
      <w:r>
        <w:rPr>
          <w:rFonts w:hint="eastAsia"/>
        </w:rPr>
        <w:t>5.1.2</w:t>
      </w:r>
      <w:r>
        <w:rPr>
          <w:rFonts w:hint="eastAsia" w:ascii="Times New Roman" w:eastAsia="宋体"/>
          <w:kern w:val="2"/>
        </w:rPr>
        <w:t xml:space="preserve">  </w:t>
      </w:r>
      <w:r>
        <w:rPr>
          <w:rFonts w:ascii="Times New Roman" w:eastAsia="宋体"/>
          <w:kern w:val="2"/>
        </w:rPr>
        <w:t>饲养周期和排泄系数见表1，未列出畜禽</w:t>
      </w:r>
      <w:r>
        <w:rPr>
          <w:rFonts w:ascii="Times New Roman" w:eastAsia="宋体"/>
        </w:rPr>
        <w:t>参照GB 18596的规定折算成猪当量</w:t>
      </w:r>
      <w:r>
        <w:rPr>
          <w:rFonts w:hint="eastAsia" w:ascii="Times New Roman" w:eastAsia="宋体"/>
        </w:rPr>
        <w:t>。</w:t>
      </w:r>
    </w:p>
    <w:p>
      <w:pPr>
        <w:pStyle w:val="57"/>
        <w:ind w:firstLine="420"/>
        <w:jc w:val="center"/>
        <w:rPr>
          <w:rFonts w:ascii="黑体" w:hAnsi="黑体" w:eastAsia="黑体"/>
        </w:rPr>
      </w:pPr>
      <w:r>
        <w:rPr>
          <w:rFonts w:ascii="黑体" w:hAnsi="黑体" w:eastAsia="黑体"/>
        </w:rPr>
        <w:t>表1   畜禽饲养周期和液体粪污排泄系数</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332"/>
        <w:gridCol w:w="1333"/>
        <w:gridCol w:w="1333"/>
        <w:gridCol w:w="1334"/>
        <w:gridCol w:w="1334"/>
        <w:gridCol w:w="1334"/>
        <w:gridCol w:w="13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332" w:type="dxa"/>
            <w:tcBorders>
              <w:top w:val="single" w:color="auto" w:sz="8" w:space="0"/>
              <w:bottom w:val="single" w:color="auto" w:sz="8" w:space="0"/>
            </w:tcBorders>
            <w:shd w:val="clear" w:color="auto" w:fill="auto"/>
            <w:vAlign w:val="center"/>
          </w:tcPr>
          <w:p>
            <w:pPr>
              <w:pStyle w:val="179"/>
              <w:rPr>
                <w:rFonts w:ascii="Times New Roman"/>
              </w:rPr>
            </w:pPr>
            <w:r>
              <w:rPr>
                <w:rFonts w:ascii="Times New Roman"/>
              </w:rPr>
              <w:t>项目</w:t>
            </w:r>
          </w:p>
        </w:tc>
        <w:tc>
          <w:tcPr>
            <w:tcW w:w="1333" w:type="dxa"/>
            <w:tcBorders>
              <w:top w:val="single" w:color="auto" w:sz="8" w:space="0"/>
              <w:bottom w:val="single" w:color="auto" w:sz="8" w:space="0"/>
            </w:tcBorders>
            <w:shd w:val="clear" w:color="auto" w:fill="auto"/>
            <w:vAlign w:val="center"/>
          </w:tcPr>
          <w:p>
            <w:pPr>
              <w:pStyle w:val="179"/>
              <w:rPr>
                <w:rFonts w:ascii="Times New Roman"/>
              </w:rPr>
            </w:pPr>
            <w:r>
              <w:rPr>
                <w:rFonts w:ascii="Times New Roman"/>
              </w:rPr>
              <w:t>单位</w:t>
            </w:r>
          </w:p>
        </w:tc>
        <w:tc>
          <w:tcPr>
            <w:tcW w:w="1333" w:type="dxa"/>
            <w:tcBorders>
              <w:top w:val="single" w:color="auto" w:sz="8" w:space="0"/>
              <w:bottom w:val="single" w:color="auto" w:sz="8" w:space="0"/>
            </w:tcBorders>
            <w:shd w:val="clear" w:color="auto" w:fill="auto"/>
            <w:vAlign w:val="center"/>
          </w:tcPr>
          <w:p>
            <w:pPr>
              <w:pStyle w:val="179"/>
              <w:rPr>
                <w:rFonts w:ascii="Times New Roman"/>
              </w:rPr>
            </w:pPr>
            <w:r>
              <w:rPr>
                <w:rFonts w:ascii="Times New Roman"/>
              </w:rPr>
              <w:t>猪</w:t>
            </w:r>
          </w:p>
        </w:tc>
        <w:tc>
          <w:tcPr>
            <w:tcW w:w="1334" w:type="dxa"/>
            <w:tcBorders>
              <w:top w:val="single" w:color="auto" w:sz="8" w:space="0"/>
              <w:bottom w:val="single" w:color="auto" w:sz="8" w:space="0"/>
            </w:tcBorders>
            <w:shd w:val="clear" w:color="auto" w:fill="auto"/>
            <w:vAlign w:val="center"/>
          </w:tcPr>
          <w:p>
            <w:pPr>
              <w:pStyle w:val="179"/>
              <w:rPr>
                <w:rFonts w:ascii="Times New Roman"/>
              </w:rPr>
            </w:pPr>
            <w:r>
              <w:rPr>
                <w:rFonts w:ascii="Times New Roman"/>
              </w:rPr>
              <w:t>牛</w:t>
            </w:r>
          </w:p>
        </w:tc>
        <w:tc>
          <w:tcPr>
            <w:tcW w:w="1334" w:type="dxa"/>
            <w:tcBorders>
              <w:top w:val="single" w:color="auto" w:sz="8" w:space="0"/>
              <w:bottom w:val="single" w:color="auto" w:sz="8" w:space="0"/>
            </w:tcBorders>
            <w:shd w:val="clear" w:color="auto" w:fill="auto"/>
            <w:vAlign w:val="center"/>
          </w:tcPr>
          <w:p>
            <w:pPr>
              <w:pStyle w:val="179"/>
              <w:rPr>
                <w:rFonts w:ascii="Times New Roman"/>
              </w:rPr>
            </w:pPr>
            <w:r>
              <w:rPr>
                <w:rFonts w:ascii="Times New Roman"/>
              </w:rPr>
              <w:t>羊</w:t>
            </w:r>
          </w:p>
        </w:tc>
        <w:tc>
          <w:tcPr>
            <w:tcW w:w="1334" w:type="dxa"/>
            <w:tcBorders>
              <w:top w:val="single" w:color="auto" w:sz="8" w:space="0"/>
              <w:bottom w:val="single" w:color="auto" w:sz="8" w:space="0"/>
            </w:tcBorders>
            <w:shd w:val="clear" w:color="auto" w:fill="auto"/>
            <w:vAlign w:val="center"/>
          </w:tcPr>
          <w:p>
            <w:pPr>
              <w:pStyle w:val="179"/>
              <w:rPr>
                <w:rFonts w:ascii="Times New Roman"/>
              </w:rPr>
            </w:pPr>
            <w:r>
              <w:rPr>
                <w:rFonts w:ascii="Times New Roman"/>
              </w:rPr>
              <w:t>鸡</w:t>
            </w:r>
          </w:p>
        </w:tc>
        <w:tc>
          <w:tcPr>
            <w:tcW w:w="1334" w:type="dxa"/>
            <w:tcBorders>
              <w:top w:val="single" w:color="auto" w:sz="8" w:space="0"/>
              <w:bottom w:val="single" w:color="auto" w:sz="8" w:space="0"/>
            </w:tcBorders>
            <w:shd w:val="clear" w:color="auto" w:fill="auto"/>
            <w:vAlign w:val="center"/>
          </w:tcPr>
          <w:p>
            <w:pPr>
              <w:pStyle w:val="179"/>
              <w:rPr>
                <w:rFonts w:ascii="Times New Roman"/>
              </w:rPr>
            </w:pPr>
            <w:r>
              <w:rPr>
                <w:rFonts w:ascii="Times New Roman"/>
              </w:rPr>
              <w:t>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tcBorders>
              <w:top w:val="single" w:color="auto" w:sz="8" w:space="0"/>
            </w:tcBorders>
            <w:shd w:val="clear" w:color="auto" w:fill="auto"/>
            <w:vAlign w:val="center"/>
          </w:tcPr>
          <w:p>
            <w:pPr>
              <w:pStyle w:val="179"/>
              <w:rPr>
                <w:rFonts w:ascii="Times New Roman"/>
              </w:rPr>
            </w:pPr>
            <w:r>
              <w:rPr>
                <w:rFonts w:ascii="Times New Roman"/>
              </w:rPr>
              <w:t>饲养周期Y</w:t>
            </w:r>
          </w:p>
        </w:tc>
        <w:tc>
          <w:tcPr>
            <w:tcW w:w="1333" w:type="dxa"/>
            <w:tcBorders>
              <w:top w:val="single" w:color="auto" w:sz="8" w:space="0"/>
            </w:tcBorders>
            <w:shd w:val="clear" w:color="auto" w:fill="auto"/>
            <w:vAlign w:val="center"/>
          </w:tcPr>
          <w:p>
            <w:pPr>
              <w:pStyle w:val="179"/>
              <w:rPr>
                <w:rFonts w:ascii="Times New Roman"/>
              </w:rPr>
            </w:pPr>
            <w:r>
              <w:rPr>
                <w:rFonts w:ascii="Times New Roman"/>
              </w:rPr>
              <w:t>d</w:t>
            </w:r>
          </w:p>
        </w:tc>
        <w:tc>
          <w:tcPr>
            <w:tcW w:w="1333" w:type="dxa"/>
            <w:tcBorders>
              <w:top w:val="single" w:color="auto" w:sz="8" w:space="0"/>
            </w:tcBorders>
            <w:shd w:val="clear" w:color="auto" w:fill="auto"/>
            <w:vAlign w:val="center"/>
          </w:tcPr>
          <w:p>
            <w:pPr>
              <w:pStyle w:val="179"/>
              <w:rPr>
                <w:rFonts w:ascii="Times New Roman"/>
              </w:rPr>
            </w:pPr>
            <w:r>
              <w:rPr>
                <w:rFonts w:ascii="Times New Roman"/>
              </w:rPr>
              <w:t>199</w:t>
            </w:r>
          </w:p>
        </w:tc>
        <w:tc>
          <w:tcPr>
            <w:tcW w:w="1334" w:type="dxa"/>
            <w:tcBorders>
              <w:top w:val="single" w:color="auto" w:sz="8" w:space="0"/>
            </w:tcBorders>
            <w:shd w:val="clear" w:color="auto" w:fill="auto"/>
            <w:vAlign w:val="center"/>
          </w:tcPr>
          <w:p>
            <w:pPr>
              <w:pStyle w:val="179"/>
              <w:rPr>
                <w:rFonts w:ascii="Times New Roman"/>
              </w:rPr>
            </w:pPr>
            <w:r>
              <w:rPr>
                <w:rFonts w:ascii="Times New Roman"/>
              </w:rPr>
              <w:t>365</w:t>
            </w:r>
          </w:p>
        </w:tc>
        <w:tc>
          <w:tcPr>
            <w:tcW w:w="1334" w:type="dxa"/>
            <w:tcBorders>
              <w:top w:val="single" w:color="auto" w:sz="8" w:space="0"/>
            </w:tcBorders>
            <w:shd w:val="clear" w:color="auto" w:fill="auto"/>
            <w:vAlign w:val="center"/>
          </w:tcPr>
          <w:p>
            <w:pPr>
              <w:pStyle w:val="179"/>
              <w:rPr>
                <w:rFonts w:ascii="Times New Roman"/>
              </w:rPr>
            </w:pPr>
            <w:r>
              <w:rPr>
                <w:rFonts w:ascii="Times New Roman"/>
              </w:rPr>
              <w:t>365</w:t>
            </w:r>
          </w:p>
        </w:tc>
        <w:tc>
          <w:tcPr>
            <w:tcW w:w="1334" w:type="dxa"/>
            <w:tcBorders>
              <w:top w:val="single" w:color="auto" w:sz="8" w:space="0"/>
            </w:tcBorders>
            <w:shd w:val="clear" w:color="auto" w:fill="auto"/>
            <w:vAlign w:val="center"/>
          </w:tcPr>
          <w:p>
            <w:pPr>
              <w:pStyle w:val="179"/>
              <w:rPr>
                <w:rFonts w:ascii="Times New Roman"/>
              </w:rPr>
            </w:pPr>
            <w:r>
              <w:rPr>
                <w:rFonts w:ascii="Times New Roman"/>
              </w:rPr>
              <w:t>210</w:t>
            </w:r>
          </w:p>
        </w:tc>
        <w:tc>
          <w:tcPr>
            <w:tcW w:w="1334" w:type="dxa"/>
            <w:tcBorders>
              <w:top w:val="single" w:color="auto" w:sz="8" w:space="0"/>
            </w:tcBorders>
            <w:shd w:val="clear" w:color="auto" w:fill="auto"/>
            <w:vAlign w:val="center"/>
          </w:tcPr>
          <w:p>
            <w:pPr>
              <w:pStyle w:val="179"/>
              <w:rPr>
                <w:rFonts w:ascii="Times New Roman"/>
              </w:rPr>
            </w:pPr>
            <w:r>
              <w:rPr>
                <w:rFonts w:ascii="Times New Roman"/>
              </w:rPr>
              <w:t>210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pPr>
              <w:pStyle w:val="179"/>
              <w:rPr>
                <w:rFonts w:ascii="Times New Roman"/>
              </w:rPr>
            </w:pPr>
            <w:r>
              <w:rPr>
                <w:rFonts w:ascii="Times New Roman"/>
              </w:rPr>
              <w:t>排泄系数X</w:t>
            </w:r>
          </w:p>
        </w:tc>
        <w:tc>
          <w:tcPr>
            <w:tcW w:w="1333" w:type="dxa"/>
            <w:shd w:val="clear" w:color="auto" w:fill="auto"/>
            <w:vAlign w:val="center"/>
          </w:tcPr>
          <w:p>
            <w:pPr>
              <w:pStyle w:val="179"/>
              <w:rPr>
                <w:rFonts w:ascii="Times New Roman"/>
              </w:rPr>
            </w:pPr>
            <w:r>
              <w:rPr>
                <w:rFonts w:ascii="Times New Roman"/>
              </w:rPr>
              <w:t>Kg/d</w:t>
            </w:r>
          </w:p>
        </w:tc>
        <w:tc>
          <w:tcPr>
            <w:tcW w:w="1333" w:type="dxa"/>
            <w:shd w:val="clear" w:color="auto" w:fill="auto"/>
            <w:vAlign w:val="center"/>
          </w:tcPr>
          <w:p>
            <w:pPr>
              <w:pStyle w:val="179"/>
              <w:rPr>
                <w:rFonts w:ascii="Times New Roman"/>
              </w:rPr>
            </w:pPr>
            <w:r>
              <w:rPr>
                <w:rFonts w:ascii="Times New Roman"/>
              </w:rPr>
              <w:t>3.3</w:t>
            </w:r>
          </w:p>
        </w:tc>
        <w:tc>
          <w:tcPr>
            <w:tcW w:w="1334" w:type="dxa"/>
            <w:shd w:val="clear" w:color="auto" w:fill="auto"/>
            <w:vAlign w:val="center"/>
          </w:tcPr>
          <w:p>
            <w:pPr>
              <w:pStyle w:val="179"/>
              <w:rPr>
                <w:rFonts w:ascii="Times New Roman"/>
              </w:rPr>
            </w:pPr>
            <w:r>
              <w:rPr>
                <w:rFonts w:ascii="Times New Roman"/>
              </w:rPr>
              <w:t>10.0</w:t>
            </w:r>
          </w:p>
        </w:tc>
        <w:tc>
          <w:tcPr>
            <w:tcW w:w="1334" w:type="dxa"/>
            <w:shd w:val="clear" w:color="auto" w:fill="auto"/>
            <w:vAlign w:val="center"/>
          </w:tcPr>
          <w:p>
            <w:pPr>
              <w:pStyle w:val="179"/>
              <w:rPr>
                <w:rFonts w:ascii="Times New Roman"/>
              </w:rPr>
            </w:pPr>
            <w:r>
              <w:rPr>
                <w:rFonts w:ascii="Times New Roman"/>
              </w:rPr>
              <w:t>0.5</w:t>
            </w:r>
          </w:p>
        </w:tc>
        <w:tc>
          <w:tcPr>
            <w:tcW w:w="1334" w:type="dxa"/>
            <w:shd w:val="clear" w:color="auto" w:fill="auto"/>
            <w:vAlign w:val="center"/>
          </w:tcPr>
          <w:p>
            <w:pPr>
              <w:pStyle w:val="179"/>
              <w:rPr>
                <w:rFonts w:ascii="Times New Roman"/>
              </w:rPr>
            </w:pPr>
            <w:r>
              <w:rPr>
                <w:rFonts w:ascii="Times New Roman"/>
              </w:rPr>
              <w:t>—</w:t>
            </w:r>
          </w:p>
        </w:tc>
        <w:tc>
          <w:tcPr>
            <w:tcW w:w="1334" w:type="dxa"/>
            <w:shd w:val="clear" w:color="auto" w:fill="auto"/>
            <w:vAlign w:val="center"/>
          </w:tcPr>
          <w:p>
            <w:pPr>
              <w:pStyle w:val="179"/>
              <w:rPr>
                <w:rFonts w:ascii="Times New Roman"/>
              </w:rPr>
            </w:pPr>
            <w:r>
              <w:rPr>
                <w:rFonts w:ascii="Times New Roman"/>
              </w:rPr>
              <w:t>—</w:t>
            </w:r>
          </w:p>
        </w:tc>
      </w:tr>
    </w:tbl>
    <w:p>
      <w:pPr>
        <w:pStyle w:val="57"/>
        <w:ind w:firstLine="420"/>
      </w:pPr>
    </w:p>
    <w:p>
      <w:pPr>
        <w:pStyle w:val="106"/>
        <w:spacing w:before="156" w:after="156"/>
        <w:rPr>
          <w:rFonts w:ascii="Times New Roman"/>
        </w:rPr>
      </w:pPr>
      <w:bookmarkStart w:id="70" w:name="_Toc116981866"/>
      <w:r>
        <w:rPr>
          <w:rFonts w:ascii="Times New Roman"/>
          <w:bCs/>
        </w:rPr>
        <w:t>产生量</w:t>
      </w:r>
      <w:r>
        <w:rPr>
          <w:rFonts w:ascii="Times New Roman"/>
          <w:bCs/>
          <w:kern w:val="2"/>
        </w:rPr>
        <w:t>控制</w:t>
      </w:r>
      <w:bookmarkEnd w:id="70"/>
    </w:p>
    <w:p>
      <w:pPr>
        <w:pStyle w:val="66"/>
        <w:numPr>
          <w:ilvl w:val="0"/>
          <w:numId w:val="0"/>
        </w:numPr>
        <w:spacing w:before="156" w:after="156"/>
        <w:rPr>
          <w:rFonts w:ascii="Times New Roman" w:eastAsia="宋体"/>
        </w:rPr>
      </w:pPr>
      <w:r>
        <w:rPr>
          <w:rFonts w:hint="eastAsia"/>
        </w:rPr>
        <w:t>5.2.1</w:t>
      </w:r>
      <w:r>
        <w:rPr>
          <w:rFonts w:hint="eastAsia" w:ascii="Times New Roman" w:eastAsia="宋体"/>
        </w:rPr>
        <w:t xml:space="preserve">  </w:t>
      </w:r>
      <w:r>
        <w:rPr>
          <w:rFonts w:ascii="Times New Roman" w:eastAsia="宋体"/>
        </w:rPr>
        <w:t>应采用雨污分流，宜用节水碗等设施控制粪污产生量。</w:t>
      </w:r>
    </w:p>
    <w:p>
      <w:pPr>
        <w:pStyle w:val="66"/>
        <w:numPr>
          <w:ilvl w:val="0"/>
          <w:numId w:val="0"/>
        </w:numPr>
        <w:spacing w:before="156" w:after="156"/>
        <w:rPr>
          <w:rFonts w:ascii="Times New Roman" w:eastAsia="宋体"/>
        </w:rPr>
      </w:pPr>
      <w:r>
        <w:rPr>
          <w:rFonts w:hint="eastAsia"/>
        </w:rPr>
        <w:t>5.2.2</w:t>
      </w:r>
      <w:r>
        <w:rPr>
          <w:rFonts w:hint="eastAsia" w:ascii="Times New Roman" w:eastAsia="宋体"/>
        </w:rPr>
        <w:t xml:space="preserve">  </w:t>
      </w:r>
      <w:r>
        <w:rPr>
          <w:rFonts w:ascii="Times New Roman" w:eastAsia="宋体"/>
        </w:rPr>
        <w:t>宜采用高压水枪冲洗栏舍。</w:t>
      </w:r>
    </w:p>
    <w:p>
      <w:pPr>
        <w:pStyle w:val="66"/>
        <w:numPr>
          <w:ilvl w:val="0"/>
          <w:numId w:val="0"/>
        </w:numPr>
        <w:spacing w:before="156" w:after="156"/>
        <w:rPr>
          <w:rFonts w:ascii="Times New Roman" w:eastAsia="宋体"/>
          <w:color w:val="FF0000"/>
        </w:rPr>
      </w:pPr>
      <w:r>
        <w:rPr>
          <w:rFonts w:hint="eastAsia"/>
        </w:rPr>
        <w:t xml:space="preserve">5.2.3 </w:t>
      </w:r>
      <w:r>
        <w:rPr>
          <w:rFonts w:hint="eastAsia" w:ascii="Times New Roman" w:eastAsia="宋体"/>
        </w:rPr>
        <w:t xml:space="preserve"> </w:t>
      </w:r>
      <w:r>
        <w:rPr>
          <w:rFonts w:ascii="Times New Roman" w:eastAsia="宋体"/>
        </w:rPr>
        <w:t>加强生产管理，控制用水量，养殖场最高排水量符合GB 18596规定。</w:t>
      </w:r>
    </w:p>
    <w:p>
      <w:pPr>
        <w:pStyle w:val="66"/>
        <w:numPr>
          <w:ilvl w:val="0"/>
          <w:numId w:val="0"/>
        </w:numPr>
        <w:spacing w:before="156" w:after="156"/>
        <w:rPr>
          <w:rFonts w:ascii="Times New Roman" w:eastAsia="宋体"/>
          <w:color w:val="FF0000"/>
        </w:rPr>
      </w:pPr>
      <w:r>
        <w:rPr>
          <w:rFonts w:ascii="Times New Roman" w:eastAsia="宋体"/>
        </w:rPr>
        <w:t>宜采用干清粪技术控制液体粪污产生量。</w:t>
      </w:r>
    </w:p>
    <w:p>
      <w:pPr>
        <w:pStyle w:val="66"/>
        <w:numPr>
          <w:ilvl w:val="0"/>
          <w:numId w:val="0"/>
        </w:numPr>
        <w:spacing w:before="156" w:after="156"/>
        <w:rPr>
          <w:rFonts w:ascii="Times New Roman" w:eastAsia="宋体"/>
        </w:rPr>
      </w:pPr>
      <w:r>
        <w:rPr>
          <w:rFonts w:hint="eastAsia"/>
        </w:rPr>
        <w:t>5.2.4</w:t>
      </w:r>
      <w:r>
        <w:rPr>
          <w:rFonts w:hint="eastAsia" w:ascii="Times New Roman" w:eastAsia="宋体"/>
        </w:rPr>
        <w:t xml:space="preserve">  </w:t>
      </w:r>
      <w:r>
        <w:rPr>
          <w:rFonts w:ascii="Times New Roman" w:eastAsia="宋体"/>
        </w:rPr>
        <w:t>采用水泡粪技术，宜先进行固液分离后对粪渣、粪水分别处理。</w:t>
      </w:r>
    </w:p>
    <w:p>
      <w:pPr>
        <w:pStyle w:val="105"/>
        <w:spacing w:before="312" w:after="312"/>
        <w:rPr>
          <w:rFonts w:ascii="Times New Roman"/>
          <w:szCs w:val="21"/>
        </w:rPr>
      </w:pPr>
      <w:bookmarkStart w:id="71" w:name="_Toc116982011"/>
      <w:bookmarkStart w:id="72" w:name="_Toc81838258"/>
      <w:bookmarkStart w:id="73" w:name="_Toc116981891"/>
      <w:bookmarkStart w:id="74" w:name="_Toc116981867"/>
      <w:r>
        <w:rPr>
          <w:rFonts w:ascii="Times New Roman"/>
          <w:szCs w:val="21"/>
        </w:rPr>
        <w:t>液体粪污收集、贮存和运输</w:t>
      </w:r>
      <w:bookmarkEnd w:id="71"/>
      <w:bookmarkEnd w:id="72"/>
      <w:bookmarkEnd w:id="73"/>
      <w:bookmarkEnd w:id="74"/>
    </w:p>
    <w:p>
      <w:pPr>
        <w:pStyle w:val="106"/>
        <w:spacing w:before="156" w:after="156"/>
        <w:rPr>
          <w:rFonts w:ascii="Times New Roman"/>
        </w:rPr>
      </w:pPr>
      <w:bookmarkStart w:id="75" w:name="_Toc116981868"/>
      <w:r>
        <w:rPr>
          <w:rFonts w:ascii="Times New Roman"/>
        </w:rPr>
        <w:t>收集</w:t>
      </w:r>
      <w:bookmarkEnd w:id="75"/>
    </w:p>
    <w:p>
      <w:pPr>
        <w:pStyle w:val="66"/>
        <w:numPr>
          <w:ilvl w:val="0"/>
          <w:numId w:val="0"/>
        </w:numPr>
        <w:spacing w:before="156" w:after="156"/>
        <w:rPr>
          <w:rFonts w:ascii="Times New Roman" w:eastAsia="宋体"/>
        </w:rPr>
      </w:pPr>
      <w:r>
        <w:rPr>
          <w:rFonts w:hint="eastAsia"/>
        </w:rPr>
        <w:t>6.1.1</w:t>
      </w:r>
      <w:r>
        <w:rPr>
          <w:rFonts w:hint="eastAsia" w:ascii="Times New Roman" w:eastAsia="宋体"/>
        </w:rPr>
        <w:t xml:space="preserve">  </w:t>
      </w:r>
      <w:r>
        <w:rPr>
          <w:rFonts w:ascii="Times New Roman" w:eastAsia="宋体"/>
        </w:rPr>
        <w:t>畜禽液体粪污收集过程应采取防雨、防溢洒和防渗漏等措施。</w:t>
      </w:r>
    </w:p>
    <w:p>
      <w:pPr>
        <w:pStyle w:val="66"/>
        <w:numPr>
          <w:ilvl w:val="0"/>
          <w:numId w:val="0"/>
        </w:numPr>
        <w:spacing w:before="156" w:after="156"/>
        <w:rPr>
          <w:rFonts w:ascii="Times New Roman" w:eastAsia="宋体"/>
        </w:rPr>
      </w:pPr>
      <w:r>
        <w:rPr>
          <w:rFonts w:hint="eastAsia"/>
        </w:rPr>
        <w:t xml:space="preserve">6.1.2 </w:t>
      </w:r>
      <w:r>
        <w:rPr>
          <w:rFonts w:hint="eastAsia" w:ascii="Times New Roman" w:eastAsia="宋体"/>
        </w:rPr>
        <w:t xml:space="preserve"> </w:t>
      </w:r>
      <w:r>
        <w:rPr>
          <w:rFonts w:ascii="Times New Roman" w:eastAsia="宋体"/>
        </w:rPr>
        <w:t>液体粪污宜每天及时清出，并收集入粪污贮存设施。</w:t>
      </w:r>
    </w:p>
    <w:p>
      <w:pPr>
        <w:pStyle w:val="106"/>
        <w:spacing w:before="156" w:after="156"/>
        <w:rPr>
          <w:rFonts w:ascii="Times New Roman"/>
        </w:rPr>
      </w:pPr>
      <w:bookmarkStart w:id="76" w:name="_Toc116981869"/>
      <w:r>
        <w:rPr>
          <w:rFonts w:ascii="Times New Roman"/>
        </w:rPr>
        <w:t>贮存</w:t>
      </w:r>
      <w:bookmarkEnd w:id="76"/>
    </w:p>
    <w:p>
      <w:pPr>
        <w:pStyle w:val="66"/>
        <w:numPr>
          <w:ilvl w:val="0"/>
          <w:numId w:val="0"/>
        </w:numPr>
        <w:spacing w:before="156" w:after="156"/>
        <w:rPr>
          <w:rFonts w:ascii="Times New Roman"/>
        </w:rPr>
      </w:pPr>
      <w:r>
        <w:rPr>
          <w:rFonts w:hint="eastAsia"/>
        </w:rPr>
        <w:t xml:space="preserve">6.2.1  </w:t>
      </w:r>
      <w:r>
        <w:rPr>
          <w:rFonts w:ascii="Times New Roman"/>
        </w:rPr>
        <w:t>贮存设施建设标准和要求</w:t>
      </w:r>
    </w:p>
    <w:p>
      <w:pPr>
        <w:pStyle w:val="57"/>
        <w:ind w:firstLine="420"/>
        <w:rPr>
          <w:rFonts w:ascii="Times New Roman"/>
        </w:rPr>
      </w:pPr>
      <w:r>
        <w:rPr>
          <w:rFonts w:ascii="Times New Roman"/>
        </w:rPr>
        <w:t>贮存设施建设标准应符合《畜禽规模养殖场粪污资源化利用设施建设规范（试行）》要求；贮存设施建设要求应符合GB/T 26624的规定。</w:t>
      </w:r>
    </w:p>
    <w:p>
      <w:pPr>
        <w:pStyle w:val="66"/>
        <w:numPr>
          <w:ilvl w:val="0"/>
          <w:numId w:val="0"/>
        </w:numPr>
        <w:spacing w:before="156" w:after="156"/>
        <w:rPr>
          <w:rFonts w:ascii="Times New Roman"/>
        </w:rPr>
      </w:pPr>
      <w:r>
        <w:rPr>
          <w:rFonts w:hint="eastAsia"/>
        </w:rPr>
        <w:t xml:space="preserve">6.2.2  </w:t>
      </w:r>
      <w:r>
        <w:rPr>
          <w:rFonts w:ascii="Times New Roman"/>
        </w:rPr>
        <w:t>贮存设施容积要求</w:t>
      </w:r>
    </w:p>
    <w:p>
      <w:pPr>
        <w:pStyle w:val="57"/>
        <w:ind w:firstLine="420"/>
      </w:pPr>
      <w:r>
        <w:rPr>
          <w:rFonts w:hint="eastAsia"/>
        </w:rPr>
        <w:t>贮存池容积应不少于式（2）计算值。</w:t>
      </w:r>
    </w:p>
    <w:p>
      <w:pPr>
        <w:pStyle w:val="114"/>
      </w:pPr>
      <w:r>
        <w:tab/>
      </w:r>
      <m:oMath>
        <m:r>
          <m:rPr>
            <m:sty m:val="p"/>
          </m:rPr>
          <w:rPr>
            <w:rFonts w:ascii="Cambria Math" w:hAnsi="Cambria Math"/>
          </w:rPr>
          <m:t>V</m:t>
        </m:r>
        <m:r>
          <m:rPr>
            <m:sty m:val="p"/>
          </m:rPr>
          <w:rPr>
            <w:rFonts w:ascii="Cambria Math" w:hAnsi="Cambria Math"/>
            <w:color w:val="000000" w:themeColor="text1"/>
          </w:rPr>
          <m:t>=</m:t>
        </m:r>
        <m:r>
          <m:rPr>
            <m:sty m:val="p"/>
          </m:rPr>
          <w:rPr>
            <w:rFonts w:ascii="Cambria Math" w:hAnsi="Cambria Math"/>
          </w:rPr>
          <m:t>L×M×S</m:t>
        </m:r>
      </m:oMath>
      <w:r>
        <w:rPr>
          <w:rFonts w:ascii="微软雅黑" w:hAnsi="微软雅黑" w:eastAsia="微软雅黑"/>
        </w:rPr>
        <w:tab/>
      </w:r>
      <w:r>
        <w:t>(</w:t>
      </w:r>
      <w:r>
        <w:fldChar w:fldCharType="begin"/>
      </w:r>
      <w:r>
        <w:instrText xml:space="preserve"> AUTONUM </w:instrText>
      </w:r>
      <w:r>
        <w:fldChar w:fldCharType="end"/>
      </w:r>
      <w:r>
        <w:t>)</w:t>
      </w:r>
    </w:p>
    <w:p>
      <w:pPr>
        <w:pStyle w:val="57"/>
        <w:ind w:firstLine="420"/>
        <w:rPr>
          <w:rFonts w:ascii="Times New Roman"/>
        </w:rPr>
      </w:pPr>
      <w:r>
        <w:rPr>
          <w:rFonts w:hint="eastAsia" w:ascii="Times New Roman"/>
        </w:rPr>
        <w:t>式中：</w:t>
      </w:r>
    </w:p>
    <w:p>
      <w:pPr>
        <w:pStyle w:val="57"/>
        <w:ind w:firstLine="420"/>
        <w:rPr>
          <w:rFonts w:ascii="Times New Roman"/>
        </w:rPr>
      </w:pPr>
      <w:r>
        <w:rPr>
          <w:rFonts w:ascii="Times New Roman"/>
        </w:rPr>
        <w:t>V—贮存设施容积，单位为m</w:t>
      </w:r>
      <w:r>
        <w:rPr>
          <w:rFonts w:ascii="Times New Roman"/>
          <w:vertAlign w:val="superscript"/>
        </w:rPr>
        <w:t>3</w:t>
      </w:r>
      <w:r>
        <w:rPr>
          <w:rFonts w:ascii="Times New Roman"/>
        </w:rPr>
        <w:t>；</w:t>
      </w:r>
    </w:p>
    <w:p>
      <w:pPr>
        <w:pStyle w:val="57"/>
        <w:ind w:firstLine="420"/>
        <w:rPr>
          <w:rFonts w:ascii="Times New Roman"/>
        </w:rPr>
      </w:pPr>
      <w:r>
        <w:rPr>
          <w:rFonts w:ascii="Times New Roman"/>
        </w:rPr>
        <w:t>L—猪每日粪污产生量，单位为m</w:t>
      </w:r>
      <w:r>
        <w:rPr>
          <w:rFonts w:ascii="Times New Roman"/>
          <w:vertAlign w:val="superscript"/>
        </w:rPr>
        <w:t>3</w:t>
      </w:r>
      <w:r>
        <w:rPr>
          <w:rFonts w:ascii="Times New Roman"/>
        </w:rPr>
        <w:t>/d，其它畜禽参照GB 18596的规定折算成猪当量；</w:t>
      </w:r>
    </w:p>
    <w:p>
      <w:pPr>
        <w:pStyle w:val="57"/>
        <w:ind w:firstLine="420"/>
        <w:rPr>
          <w:rFonts w:ascii="Times New Roman"/>
        </w:rPr>
      </w:pPr>
      <w:r>
        <w:rPr>
          <w:rFonts w:ascii="Times New Roman"/>
        </w:rPr>
        <w:t>M—贮存周期，单位为d；</w:t>
      </w:r>
    </w:p>
    <w:p>
      <w:pPr>
        <w:pStyle w:val="57"/>
        <w:ind w:firstLine="420"/>
        <w:rPr>
          <w:rFonts w:ascii="Times New Roman"/>
        </w:rPr>
      </w:pPr>
      <w:r>
        <w:rPr>
          <w:rFonts w:ascii="Times New Roman"/>
        </w:rPr>
        <w:t>S—设计存栏量，单位为头。</w:t>
      </w:r>
    </w:p>
    <w:p>
      <w:pPr>
        <w:pStyle w:val="66"/>
        <w:numPr>
          <w:ilvl w:val="0"/>
          <w:numId w:val="0"/>
        </w:numPr>
        <w:spacing w:before="156" w:after="156"/>
        <w:rPr>
          <w:rFonts w:ascii="Times New Roman"/>
        </w:rPr>
      </w:pPr>
      <w:r>
        <w:rPr>
          <w:rFonts w:hint="eastAsia"/>
        </w:rPr>
        <w:t>6.2.3</w:t>
      </w:r>
      <w:r>
        <w:rPr>
          <w:rFonts w:ascii="Times New Roman"/>
        </w:rPr>
        <w:t>恶臭控制</w:t>
      </w:r>
    </w:p>
    <w:p>
      <w:pPr>
        <w:pStyle w:val="57"/>
        <w:ind w:firstLine="420"/>
        <w:rPr>
          <w:rFonts w:ascii="Times New Roman"/>
        </w:rPr>
      </w:pPr>
      <w:r>
        <w:rPr>
          <w:rFonts w:ascii="Times New Roman"/>
        </w:rPr>
        <w:t>恶臭经处理后应符合GB 18596的规定，可采用下列一种或几种处理方式。</w:t>
      </w:r>
    </w:p>
    <w:p>
      <w:pPr>
        <w:pStyle w:val="57"/>
        <w:ind w:firstLine="420"/>
        <w:rPr>
          <w:rFonts w:ascii="Times New Roman"/>
          <w:color w:val="FF0000"/>
        </w:rPr>
      </w:pPr>
      <w:r>
        <w:rPr>
          <w:rFonts w:ascii="Times New Roman"/>
        </w:rPr>
        <w:t>a）液体粪污贮存设施宜</w:t>
      </w:r>
      <w:r>
        <w:rPr>
          <w:rFonts w:ascii="Times New Roman"/>
          <w:bCs/>
          <w:iCs/>
        </w:rPr>
        <w:t>封闭</w:t>
      </w:r>
      <w:r>
        <w:rPr>
          <w:rFonts w:ascii="Times New Roman"/>
        </w:rPr>
        <w:t>。</w:t>
      </w:r>
    </w:p>
    <w:p>
      <w:pPr>
        <w:pStyle w:val="57"/>
        <w:ind w:firstLine="420"/>
        <w:rPr>
          <w:rFonts w:ascii="Times New Roman"/>
        </w:rPr>
      </w:pPr>
      <w:r>
        <w:rPr>
          <w:rFonts w:ascii="Times New Roman"/>
        </w:rPr>
        <w:t>b）贮存过程中适量添加酸化剂或复合微生物菌剂。</w:t>
      </w:r>
    </w:p>
    <w:p>
      <w:pPr>
        <w:pStyle w:val="57"/>
        <w:ind w:firstLine="420"/>
        <w:rPr>
          <w:rFonts w:ascii="Times New Roman"/>
        </w:rPr>
      </w:pPr>
      <w:r>
        <w:rPr>
          <w:rFonts w:ascii="Times New Roman"/>
        </w:rPr>
        <w:t>c）建设臭气收集处理设施（包括防臭棚、泳道喷淋、光氧除臭等）。</w:t>
      </w:r>
    </w:p>
    <w:p>
      <w:pPr>
        <w:pStyle w:val="106"/>
        <w:spacing w:before="156" w:after="156"/>
        <w:rPr>
          <w:rFonts w:ascii="Times New Roman"/>
        </w:rPr>
      </w:pPr>
      <w:bookmarkStart w:id="77" w:name="_Toc116981870"/>
      <w:r>
        <w:rPr>
          <w:rFonts w:ascii="Times New Roman"/>
        </w:rPr>
        <w:t>运输</w:t>
      </w:r>
      <w:bookmarkEnd w:id="77"/>
    </w:p>
    <w:p>
      <w:pPr>
        <w:pStyle w:val="57"/>
        <w:ind w:firstLine="0" w:firstLineChars="0"/>
        <w:rPr>
          <w:rFonts w:ascii="Times New Roman"/>
        </w:rPr>
      </w:pPr>
      <w:r>
        <w:rPr>
          <w:rFonts w:ascii="黑体" w:eastAsia="黑体"/>
        </w:rPr>
        <w:t xml:space="preserve">6.3.1 </w:t>
      </w:r>
      <w:r>
        <w:rPr>
          <w:rFonts w:hint="eastAsia" w:ascii="黑体" w:eastAsia="黑体"/>
        </w:rPr>
        <w:t xml:space="preserve"> </w:t>
      </w:r>
      <w:r>
        <w:rPr>
          <w:rFonts w:hint="eastAsia" w:ascii="Times New Roman"/>
        </w:rPr>
        <w:t>车辆</w:t>
      </w:r>
      <w:r>
        <w:rPr>
          <w:rFonts w:ascii="Times New Roman"/>
        </w:rPr>
        <w:t>运输液体粪污应采用专业吸污车，配置排污泵，运输途中应防溢洒和渗漏。</w:t>
      </w:r>
    </w:p>
    <w:p>
      <w:pPr>
        <w:pStyle w:val="57"/>
        <w:ind w:firstLine="0" w:firstLineChars="0"/>
        <w:rPr>
          <w:rFonts w:ascii="Times New Roman"/>
        </w:rPr>
      </w:pPr>
      <w:r>
        <w:rPr>
          <w:rFonts w:ascii="黑体" w:eastAsia="黑体"/>
        </w:rPr>
        <w:t>6.3.2</w:t>
      </w:r>
      <w:r>
        <w:rPr>
          <w:rFonts w:ascii="Times New Roman"/>
        </w:rPr>
        <w:t xml:space="preserve"> </w:t>
      </w:r>
      <w:r>
        <w:rPr>
          <w:rFonts w:hint="eastAsia" w:ascii="Times New Roman"/>
        </w:rPr>
        <w:t xml:space="preserve"> </w:t>
      </w:r>
      <w:r>
        <w:rPr>
          <w:rFonts w:ascii="Times New Roman"/>
        </w:rPr>
        <w:t>管道或者沟渠输送液体粪污应防渗漏和溢出。</w:t>
      </w:r>
    </w:p>
    <w:p>
      <w:pPr>
        <w:pStyle w:val="105"/>
        <w:spacing w:before="312" w:after="312"/>
      </w:pPr>
      <w:bookmarkStart w:id="78" w:name="_Toc116982012"/>
      <w:bookmarkStart w:id="79" w:name="_Toc116981892"/>
      <w:bookmarkStart w:id="80" w:name="_Toc116981871"/>
      <w:r>
        <w:rPr>
          <w:rFonts w:hint="eastAsia"/>
        </w:rPr>
        <w:t>液体粪污处理</w:t>
      </w:r>
      <w:bookmarkEnd w:id="78"/>
      <w:bookmarkEnd w:id="79"/>
      <w:bookmarkEnd w:id="80"/>
    </w:p>
    <w:p>
      <w:pPr>
        <w:pStyle w:val="106"/>
        <w:spacing w:before="156" w:after="156"/>
      </w:pPr>
      <w:bookmarkStart w:id="81" w:name="_Toc116981872"/>
      <w:r>
        <w:rPr>
          <w:rFonts w:hint="eastAsia"/>
        </w:rPr>
        <w:t>贮存发酵</w:t>
      </w:r>
      <w:bookmarkEnd w:id="81"/>
    </w:p>
    <w:p>
      <w:pPr>
        <w:pStyle w:val="66"/>
        <w:numPr>
          <w:ilvl w:val="0"/>
          <w:numId w:val="0"/>
        </w:numPr>
        <w:spacing w:before="156" w:after="156"/>
        <w:rPr>
          <w:rFonts w:ascii="宋体" w:hAnsi="宋体" w:eastAsia="宋体"/>
        </w:rPr>
      </w:pPr>
      <w:r>
        <w:rPr>
          <w:rFonts w:hint="eastAsia"/>
        </w:rPr>
        <w:t xml:space="preserve">7.1.1  </w:t>
      </w:r>
      <w:r>
        <w:rPr>
          <w:rFonts w:ascii="宋体" w:hAnsi="宋体" w:eastAsia="宋体"/>
        </w:rPr>
        <w:t>贮存发酵设施包括化粪池</w:t>
      </w:r>
      <w:r>
        <w:rPr>
          <w:rFonts w:hint="eastAsia" w:ascii="宋体" w:hAnsi="宋体" w:eastAsia="宋体"/>
        </w:rPr>
        <w:t>、贮粪池</w:t>
      </w:r>
      <w:r>
        <w:rPr>
          <w:rFonts w:ascii="宋体" w:hAnsi="宋体" w:eastAsia="宋体"/>
        </w:rPr>
        <w:t>和沉淀池</w:t>
      </w:r>
      <w:r>
        <w:rPr>
          <w:rFonts w:hint="eastAsia" w:ascii="宋体" w:hAnsi="宋体" w:eastAsia="宋体"/>
        </w:rPr>
        <w:t>（多级）</w:t>
      </w:r>
      <w:r>
        <w:rPr>
          <w:rFonts w:ascii="宋体" w:hAnsi="宋体" w:eastAsia="宋体"/>
        </w:rPr>
        <w:t>，其建设标准和要求应符合6.2的要求。</w:t>
      </w:r>
    </w:p>
    <w:p>
      <w:pPr>
        <w:pStyle w:val="66"/>
        <w:numPr>
          <w:ilvl w:val="0"/>
          <w:numId w:val="0"/>
        </w:numPr>
        <w:spacing w:before="156" w:after="156"/>
        <w:rPr>
          <w:rFonts w:ascii="宋体" w:hAnsi="宋体" w:eastAsia="宋体"/>
        </w:rPr>
      </w:pPr>
      <w:r>
        <w:rPr>
          <w:rFonts w:hint="eastAsia"/>
        </w:rPr>
        <w:t xml:space="preserve">7.1.2  </w:t>
      </w:r>
      <w:r>
        <w:rPr>
          <w:rFonts w:ascii="宋体" w:hAnsi="宋体" w:eastAsia="宋体"/>
        </w:rPr>
        <w:t>根据贮存设施及环境</w:t>
      </w:r>
      <w:r>
        <w:rPr>
          <w:rFonts w:hint="eastAsia" w:ascii="宋体" w:hAnsi="宋体" w:eastAsia="宋体"/>
        </w:rPr>
        <w:t>条件</w:t>
      </w:r>
      <w:r>
        <w:rPr>
          <w:rFonts w:ascii="宋体" w:hAnsi="宋体" w:eastAsia="宋体"/>
        </w:rPr>
        <w:t>，贮存发酵时间参见表2。添加微生物菌剂可缩短</w:t>
      </w:r>
      <w:r>
        <w:rPr>
          <w:rFonts w:hint="eastAsia" w:ascii="宋体" w:hAnsi="宋体" w:eastAsia="宋体"/>
        </w:rPr>
        <w:t>5~7d</w:t>
      </w:r>
      <w:r>
        <w:rPr>
          <w:rFonts w:ascii="宋体" w:hAnsi="宋体" w:eastAsia="宋体"/>
        </w:rPr>
        <w:t>发酵时间。</w:t>
      </w:r>
    </w:p>
    <w:p>
      <w:pPr>
        <w:pStyle w:val="113"/>
        <w:numPr>
          <w:ilvl w:val="0"/>
          <w:numId w:val="0"/>
        </w:numPr>
        <w:spacing w:before="156" w:after="156"/>
      </w:pPr>
      <w:r>
        <w:rPr>
          <w:rFonts w:hint="eastAsia"/>
        </w:rPr>
        <w:t xml:space="preserve">表2  </w:t>
      </w:r>
      <w:r>
        <w:t>液体粪污贮存发酵时间</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24"/>
        <w:gridCol w:w="3125"/>
        <w:gridCol w:w="31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24" w:type="dxa"/>
            <w:tcBorders>
              <w:top w:val="single" w:color="auto" w:sz="8" w:space="0"/>
              <w:bottom w:val="single" w:color="auto" w:sz="8" w:space="0"/>
            </w:tcBorders>
            <w:shd w:val="clear" w:color="auto" w:fill="auto"/>
            <w:vAlign w:val="center"/>
          </w:tcPr>
          <w:p>
            <w:pPr>
              <w:pStyle w:val="179"/>
            </w:pPr>
            <w:r>
              <w:rPr>
                <w:rFonts w:hint="eastAsia"/>
              </w:rPr>
              <w:t>贮存设施</w:t>
            </w:r>
          </w:p>
        </w:tc>
        <w:tc>
          <w:tcPr>
            <w:tcW w:w="3125" w:type="dxa"/>
            <w:tcBorders>
              <w:top w:val="single" w:color="auto" w:sz="8" w:space="0"/>
              <w:bottom w:val="single" w:color="auto" w:sz="8" w:space="0"/>
            </w:tcBorders>
            <w:shd w:val="clear" w:color="auto" w:fill="auto"/>
            <w:vAlign w:val="center"/>
          </w:tcPr>
          <w:p>
            <w:pPr>
              <w:pStyle w:val="179"/>
            </w:pPr>
            <w:r>
              <w:rPr>
                <w:rFonts w:hint="eastAsia"/>
              </w:rPr>
              <w:t>环境条件/季</w:t>
            </w:r>
          </w:p>
        </w:tc>
        <w:tc>
          <w:tcPr>
            <w:tcW w:w="3125" w:type="dxa"/>
            <w:tcBorders>
              <w:top w:val="single" w:color="auto" w:sz="8" w:space="0"/>
              <w:bottom w:val="single" w:color="auto" w:sz="8" w:space="0"/>
            </w:tcBorders>
            <w:shd w:val="clear" w:color="auto" w:fill="auto"/>
            <w:vAlign w:val="center"/>
          </w:tcPr>
          <w:p>
            <w:pPr>
              <w:pStyle w:val="179"/>
            </w:pPr>
            <w:r>
              <w:rPr>
                <w:rFonts w:hint="eastAsia"/>
              </w:rPr>
              <w:t>发酵时间/d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4" w:type="dxa"/>
            <w:vMerge w:val="restart"/>
            <w:tcBorders>
              <w:top w:val="single" w:color="auto" w:sz="8" w:space="0"/>
            </w:tcBorders>
            <w:shd w:val="clear" w:color="auto" w:fill="auto"/>
            <w:vAlign w:val="center"/>
          </w:tcPr>
          <w:p>
            <w:pPr>
              <w:pStyle w:val="179"/>
            </w:pPr>
            <w:r>
              <w:rPr>
                <w:rFonts w:hint="eastAsia"/>
              </w:rPr>
              <w:t>化粪池</w:t>
            </w:r>
          </w:p>
        </w:tc>
        <w:tc>
          <w:tcPr>
            <w:tcW w:w="3125" w:type="dxa"/>
            <w:tcBorders>
              <w:top w:val="single" w:color="auto" w:sz="8" w:space="0"/>
            </w:tcBorders>
            <w:shd w:val="clear" w:color="auto" w:fill="auto"/>
            <w:vAlign w:val="center"/>
          </w:tcPr>
          <w:p>
            <w:pPr>
              <w:pStyle w:val="179"/>
              <w:rPr>
                <w:rFonts w:ascii="Times New Roman"/>
              </w:rPr>
            </w:pPr>
            <w:r>
              <w:rPr>
                <w:rFonts w:hint="eastAsia" w:ascii="Times New Roman"/>
              </w:rPr>
              <w:t>夏秋</w:t>
            </w:r>
          </w:p>
        </w:tc>
        <w:tc>
          <w:tcPr>
            <w:tcW w:w="3125" w:type="dxa"/>
            <w:tcBorders>
              <w:top w:val="single" w:color="auto" w:sz="8" w:space="0"/>
            </w:tcBorders>
            <w:shd w:val="clear" w:color="auto" w:fill="auto"/>
            <w:vAlign w:val="center"/>
          </w:tcPr>
          <w:p>
            <w:pPr>
              <w:pStyle w:val="179"/>
              <w:rPr>
                <w:rFonts w:ascii="Times New Roman"/>
              </w:rPr>
            </w:pPr>
            <w:r>
              <w:rPr>
                <w:rFonts w:ascii="Times New Roman"/>
              </w:rP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4" w:type="dxa"/>
            <w:vMerge w:val="continue"/>
            <w:shd w:val="clear" w:color="auto" w:fill="auto"/>
            <w:vAlign w:val="center"/>
          </w:tcPr>
          <w:p>
            <w:pPr>
              <w:pStyle w:val="179"/>
            </w:pPr>
          </w:p>
        </w:tc>
        <w:tc>
          <w:tcPr>
            <w:tcW w:w="3125" w:type="dxa"/>
            <w:shd w:val="clear" w:color="auto" w:fill="auto"/>
            <w:vAlign w:val="center"/>
          </w:tcPr>
          <w:p>
            <w:pPr>
              <w:pStyle w:val="179"/>
              <w:rPr>
                <w:rFonts w:ascii="Times New Roman"/>
              </w:rPr>
            </w:pPr>
            <w:r>
              <w:rPr>
                <w:rFonts w:hint="eastAsia" w:ascii="Times New Roman"/>
              </w:rPr>
              <w:t>春冬</w:t>
            </w:r>
          </w:p>
        </w:tc>
        <w:tc>
          <w:tcPr>
            <w:tcW w:w="3125" w:type="dxa"/>
            <w:shd w:val="clear" w:color="auto" w:fill="auto"/>
            <w:vAlign w:val="center"/>
          </w:tcPr>
          <w:p>
            <w:pPr>
              <w:pStyle w:val="179"/>
              <w:rPr>
                <w:rFonts w:ascii="Times New Roman"/>
              </w:rPr>
            </w:pPr>
            <w:r>
              <w:rPr>
                <w:rFonts w:ascii="Times New Roman"/>
              </w:rPr>
              <w:t>≥45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3124" w:type="dxa"/>
            <w:vMerge w:val="restart"/>
            <w:shd w:val="clear" w:color="auto" w:fill="auto"/>
            <w:vAlign w:val="center"/>
          </w:tcPr>
          <w:p>
            <w:pPr>
              <w:pStyle w:val="179"/>
            </w:pPr>
            <w:r>
              <w:rPr>
                <w:rFonts w:hint="eastAsia"/>
              </w:rPr>
              <w:t>贮粪池</w:t>
            </w:r>
          </w:p>
        </w:tc>
        <w:tc>
          <w:tcPr>
            <w:tcW w:w="3125" w:type="dxa"/>
            <w:shd w:val="clear" w:color="auto" w:fill="auto"/>
            <w:vAlign w:val="center"/>
          </w:tcPr>
          <w:p>
            <w:pPr>
              <w:pStyle w:val="179"/>
              <w:rPr>
                <w:rFonts w:ascii="Times New Roman"/>
              </w:rPr>
            </w:pPr>
            <w:r>
              <w:rPr>
                <w:rFonts w:hint="eastAsia" w:ascii="Times New Roman"/>
              </w:rPr>
              <w:t>夏秋</w:t>
            </w:r>
          </w:p>
        </w:tc>
        <w:tc>
          <w:tcPr>
            <w:tcW w:w="3125" w:type="dxa"/>
            <w:shd w:val="clear" w:color="auto" w:fill="auto"/>
            <w:vAlign w:val="center"/>
          </w:tcPr>
          <w:p>
            <w:pPr>
              <w:pStyle w:val="179"/>
              <w:rPr>
                <w:rFonts w:ascii="Times New Roman"/>
              </w:rPr>
            </w:pPr>
            <w:r>
              <w:rPr>
                <w:rFonts w:ascii="Times New Roman"/>
              </w:rPr>
              <w:t>≥</w:t>
            </w:r>
            <w:r>
              <w:rPr>
                <w:rFonts w:hint="eastAsia" w:ascii="Times New Roman"/>
              </w:rPr>
              <w:t>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4" w:type="dxa"/>
            <w:vMerge w:val="continue"/>
            <w:shd w:val="clear" w:color="auto" w:fill="auto"/>
            <w:vAlign w:val="center"/>
          </w:tcPr>
          <w:p>
            <w:pPr>
              <w:pStyle w:val="179"/>
            </w:pPr>
          </w:p>
        </w:tc>
        <w:tc>
          <w:tcPr>
            <w:tcW w:w="3125" w:type="dxa"/>
            <w:shd w:val="clear" w:color="auto" w:fill="auto"/>
            <w:vAlign w:val="center"/>
          </w:tcPr>
          <w:p>
            <w:pPr>
              <w:pStyle w:val="179"/>
              <w:rPr>
                <w:rFonts w:ascii="Times New Roman"/>
              </w:rPr>
            </w:pPr>
            <w:r>
              <w:rPr>
                <w:rFonts w:hint="eastAsia" w:ascii="Times New Roman"/>
              </w:rPr>
              <w:t>春冬</w:t>
            </w:r>
          </w:p>
        </w:tc>
        <w:tc>
          <w:tcPr>
            <w:tcW w:w="3125" w:type="dxa"/>
            <w:shd w:val="clear" w:color="auto" w:fill="auto"/>
            <w:vAlign w:val="center"/>
          </w:tcPr>
          <w:p>
            <w:pPr>
              <w:pStyle w:val="179"/>
              <w:rPr>
                <w:rFonts w:ascii="Times New Roman"/>
              </w:rPr>
            </w:pPr>
            <w:r>
              <w:rPr>
                <w:rFonts w:ascii="Times New Roman"/>
              </w:rPr>
              <w:t>≥</w:t>
            </w:r>
            <w:r>
              <w:rPr>
                <w:rFonts w:hint="eastAsia" w:ascii="Times New Roman"/>
              </w:rPr>
              <w:t>90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4" w:type="dxa"/>
            <w:vMerge w:val="restart"/>
            <w:shd w:val="clear" w:color="auto" w:fill="auto"/>
            <w:vAlign w:val="center"/>
          </w:tcPr>
          <w:p>
            <w:pPr>
              <w:pStyle w:val="179"/>
            </w:pPr>
            <w:r>
              <w:rPr>
                <w:rFonts w:hint="eastAsia"/>
              </w:rPr>
              <w:t>沉淀池（多级）</w:t>
            </w:r>
          </w:p>
        </w:tc>
        <w:tc>
          <w:tcPr>
            <w:tcW w:w="3125" w:type="dxa"/>
            <w:shd w:val="clear" w:color="auto" w:fill="auto"/>
            <w:vAlign w:val="center"/>
          </w:tcPr>
          <w:p>
            <w:pPr>
              <w:pStyle w:val="179"/>
              <w:rPr>
                <w:rFonts w:ascii="Times New Roman"/>
              </w:rPr>
            </w:pPr>
            <w:r>
              <w:rPr>
                <w:rFonts w:hint="eastAsia" w:ascii="Times New Roman"/>
              </w:rPr>
              <w:t>夏秋</w:t>
            </w:r>
          </w:p>
        </w:tc>
        <w:tc>
          <w:tcPr>
            <w:tcW w:w="3125" w:type="dxa"/>
            <w:shd w:val="clear" w:color="auto" w:fill="auto"/>
            <w:vAlign w:val="center"/>
          </w:tcPr>
          <w:p>
            <w:pPr>
              <w:pStyle w:val="179"/>
              <w:rPr>
                <w:rFonts w:ascii="Times New Roman"/>
              </w:rPr>
            </w:pPr>
            <w:r>
              <w:rPr>
                <w:rFonts w:ascii="Times New Roman"/>
              </w:rPr>
              <w:t>≥35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4" w:type="dxa"/>
            <w:vMerge w:val="continue"/>
            <w:shd w:val="clear" w:color="auto" w:fill="auto"/>
            <w:vAlign w:val="center"/>
          </w:tcPr>
          <w:p>
            <w:pPr>
              <w:pStyle w:val="179"/>
            </w:pPr>
          </w:p>
        </w:tc>
        <w:tc>
          <w:tcPr>
            <w:tcW w:w="3125" w:type="dxa"/>
            <w:shd w:val="clear" w:color="auto" w:fill="auto"/>
            <w:vAlign w:val="center"/>
          </w:tcPr>
          <w:p>
            <w:pPr>
              <w:pStyle w:val="179"/>
              <w:rPr>
                <w:rFonts w:ascii="Times New Roman"/>
              </w:rPr>
            </w:pPr>
            <w:r>
              <w:rPr>
                <w:rFonts w:hint="eastAsia" w:ascii="Times New Roman"/>
              </w:rPr>
              <w:t>春冬</w:t>
            </w:r>
          </w:p>
        </w:tc>
        <w:tc>
          <w:tcPr>
            <w:tcW w:w="3125" w:type="dxa"/>
            <w:shd w:val="clear" w:color="auto" w:fill="auto"/>
            <w:vAlign w:val="center"/>
          </w:tcPr>
          <w:p>
            <w:pPr>
              <w:pStyle w:val="179"/>
              <w:rPr>
                <w:rFonts w:ascii="Times New Roman"/>
              </w:rPr>
            </w:pPr>
            <w:r>
              <w:rPr>
                <w:rFonts w:ascii="Times New Roman"/>
              </w:rPr>
              <w:t>≥50</w:t>
            </w:r>
          </w:p>
        </w:tc>
      </w:tr>
    </w:tbl>
    <w:p>
      <w:pPr>
        <w:pStyle w:val="106"/>
        <w:spacing w:before="156" w:after="156"/>
        <w:jc w:val="left"/>
        <w:rPr>
          <w:rFonts w:ascii="Times New Roman"/>
        </w:rPr>
      </w:pPr>
      <w:bookmarkStart w:id="82" w:name="_Toc116981873"/>
      <w:r>
        <w:rPr>
          <w:rFonts w:ascii="Times New Roman"/>
        </w:rPr>
        <w:t>厌氧发酵</w:t>
      </w:r>
      <w:bookmarkEnd w:id="82"/>
    </w:p>
    <w:p>
      <w:pPr>
        <w:pStyle w:val="66"/>
        <w:numPr>
          <w:ilvl w:val="0"/>
          <w:numId w:val="0"/>
        </w:numPr>
        <w:spacing w:before="156" w:after="156"/>
      </w:pPr>
      <w:r>
        <w:rPr>
          <w:rFonts w:hint="eastAsia"/>
        </w:rPr>
        <w:t>7.2.1</w:t>
      </w:r>
      <w:r>
        <w:rPr>
          <w:rFonts w:hint="eastAsia" w:ascii="宋体" w:hAnsi="宋体" w:eastAsia="宋体"/>
        </w:rPr>
        <w:t xml:space="preserve">  厌氧</w:t>
      </w:r>
      <w:r>
        <w:rPr>
          <w:rFonts w:ascii="宋体" w:hAnsi="宋体" w:eastAsia="宋体"/>
        </w:rPr>
        <w:t>发酵处理单元通常由厌氧反应器、沼气收集与处置系统（净化系统</w:t>
      </w:r>
      <w:r>
        <w:t>、</w:t>
      </w:r>
      <w:r>
        <w:rPr>
          <w:rFonts w:hint="eastAsia" w:ascii="宋体" w:hAnsi="宋体" w:eastAsia="宋体" w:cs="宋体"/>
        </w:rPr>
        <w:t>贮气罐、</w:t>
      </w:r>
      <w:r>
        <w:rPr>
          <w:rFonts w:ascii="宋体" w:hAnsi="宋体" w:eastAsia="宋体"/>
        </w:rPr>
        <w:t>输配气管和使用系统等）、沼液和沼渣处置系统组成。</w:t>
      </w:r>
    </w:p>
    <w:p>
      <w:pPr>
        <w:pStyle w:val="66"/>
        <w:numPr>
          <w:ilvl w:val="0"/>
          <w:numId w:val="0"/>
        </w:numPr>
        <w:spacing w:before="156" w:after="156"/>
      </w:pPr>
      <w:r>
        <w:rPr>
          <w:rFonts w:hint="eastAsia"/>
        </w:rPr>
        <w:t xml:space="preserve">7.2.2  </w:t>
      </w:r>
      <w:r>
        <w:rPr>
          <w:rFonts w:ascii="宋体" w:hAnsi="宋体" w:eastAsia="宋体"/>
        </w:rPr>
        <w:t>厌氧反应器容积宜根据水力停留时间（H）确定，计算见公式（</w:t>
      </w:r>
      <w:r>
        <w:rPr>
          <w:rFonts w:hint="eastAsia" w:ascii="宋体" w:hAnsi="宋体" w:eastAsia="宋体"/>
        </w:rPr>
        <w:t>3</w:t>
      </w:r>
      <w:r>
        <w:rPr>
          <w:rFonts w:ascii="宋体" w:hAnsi="宋体" w:eastAsia="宋体"/>
        </w:rPr>
        <w:t>）：</w:t>
      </w:r>
    </w:p>
    <w:p>
      <w:pPr>
        <w:pStyle w:val="114"/>
      </w:pPr>
      <w:r>
        <w:tab/>
      </w:r>
      <m:oMath>
        <m:r>
          <m:rPr>
            <m:sty m:val="p"/>
          </m:rPr>
          <w:rPr>
            <w:rFonts w:ascii="Cambria Math" w:hAnsi="Cambria Math"/>
          </w:rPr>
          <m:t>V = Q×H</m:t>
        </m:r>
      </m:oMath>
      <w:r>
        <w:rPr>
          <w:rFonts w:ascii="微软雅黑" w:hAnsi="微软雅黑" w:eastAsia="微软雅黑"/>
        </w:rPr>
        <w:tab/>
      </w:r>
      <w:r>
        <w:t>(</w:t>
      </w:r>
      <w:r>
        <w:fldChar w:fldCharType="begin"/>
      </w:r>
      <w:r>
        <w:instrText xml:space="preserve"> AUTONUM </w:instrText>
      </w:r>
      <w:r>
        <w:fldChar w:fldCharType="end"/>
      </w:r>
      <w:r>
        <w:t>)</w:t>
      </w:r>
    </w:p>
    <w:p>
      <w:pPr>
        <w:pStyle w:val="56"/>
        <w:ind w:firstLine="420"/>
      </w:pPr>
      <w:r>
        <w:rPr>
          <w:rFonts w:hint="eastAsia"/>
        </w:rPr>
        <w:t>式中：</w:t>
      </w:r>
    </w:p>
    <w:p>
      <w:pPr>
        <w:pStyle w:val="57"/>
        <w:ind w:firstLine="420"/>
        <w:rPr>
          <w:rFonts w:ascii="Times New Roman"/>
        </w:rPr>
      </w:pPr>
      <w:r>
        <w:rPr>
          <w:rFonts w:ascii="Times New Roman"/>
        </w:rPr>
        <w:t>V——厌氧反应器的有效容积，m</w:t>
      </w:r>
      <w:r>
        <w:rPr>
          <w:rFonts w:ascii="Times New Roman"/>
          <w:vertAlign w:val="superscript"/>
        </w:rPr>
        <w:t>3</w:t>
      </w:r>
      <w:r>
        <w:rPr>
          <w:rFonts w:ascii="Times New Roman"/>
        </w:rPr>
        <w:t xml:space="preserve">； </w:t>
      </w:r>
    </w:p>
    <w:p>
      <w:pPr>
        <w:pStyle w:val="57"/>
        <w:ind w:firstLine="420"/>
        <w:rPr>
          <w:rFonts w:ascii="Times New Roman"/>
        </w:rPr>
      </w:pPr>
      <w:r>
        <w:rPr>
          <w:rFonts w:ascii="Times New Roman"/>
        </w:rPr>
        <w:t>Q——设计流量，m</w:t>
      </w:r>
      <w:r>
        <w:rPr>
          <w:rFonts w:ascii="Times New Roman"/>
          <w:vertAlign w:val="superscript"/>
        </w:rPr>
        <w:t>3</w:t>
      </w:r>
      <w:r>
        <w:rPr>
          <w:rFonts w:ascii="Times New Roman"/>
        </w:rPr>
        <w:t xml:space="preserve">/d； </w:t>
      </w:r>
    </w:p>
    <w:p>
      <w:pPr>
        <w:pStyle w:val="57"/>
        <w:ind w:firstLine="420"/>
        <w:rPr>
          <w:rFonts w:ascii="Times New Roman"/>
        </w:rPr>
      </w:pPr>
      <w:r>
        <w:rPr>
          <w:rFonts w:ascii="Times New Roman"/>
        </w:rPr>
        <w:t xml:space="preserve">H——水力停留时间，d。 </w:t>
      </w:r>
    </w:p>
    <w:p>
      <w:pPr>
        <w:pStyle w:val="57"/>
        <w:ind w:firstLine="0" w:firstLineChars="0"/>
        <w:rPr>
          <w:rFonts w:ascii="Times New Roman"/>
        </w:rPr>
      </w:pPr>
      <w:r>
        <w:rPr>
          <w:rFonts w:hint="eastAsia" w:ascii="黑体" w:eastAsia="黑体"/>
        </w:rPr>
        <w:t xml:space="preserve">7.2.3  </w:t>
      </w:r>
      <w:r>
        <w:rPr>
          <w:rFonts w:ascii="Times New Roman"/>
        </w:rPr>
        <w:t>厌氧反应器的水力停留时间（H）应根据反应器工艺类型、发酵温度和总固体含量等条件进行确定，参照HJ 497的规定。</w:t>
      </w:r>
    </w:p>
    <w:p>
      <w:pPr>
        <w:pStyle w:val="57"/>
        <w:ind w:firstLine="0" w:firstLineChars="0"/>
        <w:rPr>
          <w:rFonts w:ascii="Times New Roman"/>
        </w:rPr>
      </w:pPr>
      <w:r>
        <w:rPr>
          <w:rFonts w:ascii="黑体" w:eastAsia="黑体"/>
        </w:rPr>
        <w:t xml:space="preserve">7.2.4 </w:t>
      </w:r>
      <w:r>
        <w:rPr>
          <w:rFonts w:hint="eastAsia" w:ascii="黑体" w:eastAsia="黑体"/>
        </w:rPr>
        <w:t xml:space="preserve"> </w:t>
      </w:r>
      <w:r>
        <w:rPr>
          <w:rFonts w:ascii="Times New Roman"/>
        </w:rPr>
        <w:t>沼液处理参照NY/T 2374 执行。</w:t>
      </w:r>
    </w:p>
    <w:p>
      <w:pPr>
        <w:pStyle w:val="106"/>
        <w:spacing w:before="156" w:after="156"/>
      </w:pPr>
      <w:bookmarkStart w:id="83" w:name="_Toc116981874"/>
      <w:r>
        <w:rPr>
          <w:rFonts w:hint="eastAsia"/>
        </w:rPr>
        <w:t>氧化塘</w:t>
      </w:r>
      <w:bookmarkEnd w:id="83"/>
    </w:p>
    <w:p>
      <w:pPr>
        <w:pStyle w:val="66"/>
        <w:numPr>
          <w:ilvl w:val="0"/>
          <w:numId w:val="0"/>
        </w:numPr>
        <w:spacing w:before="156" w:after="156"/>
        <w:rPr>
          <w:rFonts w:ascii="宋体" w:hAnsi="宋体" w:eastAsia="宋体"/>
        </w:rPr>
      </w:pPr>
      <w:r>
        <w:rPr>
          <w:rFonts w:hint="eastAsia"/>
        </w:rPr>
        <w:t xml:space="preserve">7.3.1  </w:t>
      </w:r>
      <w:r>
        <w:rPr>
          <w:rFonts w:ascii="宋体" w:hAnsi="宋体" w:eastAsia="宋体"/>
        </w:rPr>
        <w:t>进入氧化塘的粪污应经无害化处理。</w:t>
      </w:r>
    </w:p>
    <w:p>
      <w:pPr>
        <w:pStyle w:val="66"/>
        <w:numPr>
          <w:ilvl w:val="0"/>
          <w:numId w:val="0"/>
        </w:numPr>
        <w:spacing w:before="156" w:after="156"/>
        <w:rPr>
          <w:rFonts w:ascii="宋体" w:hAnsi="宋体" w:eastAsia="宋体"/>
        </w:rPr>
      </w:pPr>
      <w:r>
        <w:t xml:space="preserve">7.3.2 </w:t>
      </w:r>
      <w:r>
        <w:rPr>
          <w:rFonts w:hint="eastAsia" w:ascii="宋体" w:hAnsi="宋体" w:eastAsia="宋体"/>
        </w:rPr>
        <w:t xml:space="preserve"> </w:t>
      </w:r>
      <w:r>
        <w:rPr>
          <w:rFonts w:ascii="宋体" w:hAnsi="宋体" w:eastAsia="宋体"/>
        </w:rPr>
        <w:t>应防渗漏，其建设标准和要求应符合6.2的要求。</w:t>
      </w:r>
    </w:p>
    <w:p>
      <w:pPr>
        <w:pStyle w:val="66"/>
        <w:numPr>
          <w:ilvl w:val="0"/>
          <w:numId w:val="0"/>
        </w:numPr>
        <w:spacing w:before="156" w:after="156"/>
        <w:rPr>
          <w:rFonts w:ascii="宋体" w:hAnsi="宋体" w:eastAsia="宋体"/>
        </w:rPr>
      </w:pPr>
      <w:r>
        <w:t>7.3.3</w:t>
      </w:r>
      <w:r>
        <w:rPr>
          <w:rFonts w:ascii="宋体" w:hAnsi="宋体" w:eastAsia="宋体"/>
        </w:rPr>
        <w:t xml:space="preserve"> </w:t>
      </w:r>
      <w:r>
        <w:rPr>
          <w:rFonts w:hint="eastAsia" w:ascii="宋体" w:hAnsi="宋体" w:eastAsia="宋体"/>
        </w:rPr>
        <w:t xml:space="preserve"> </w:t>
      </w:r>
      <w:r>
        <w:rPr>
          <w:rFonts w:ascii="宋体" w:hAnsi="宋体" w:eastAsia="宋体"/>
        </w:rPr>
        <w:t>应设置防护栏和醒目的安全标志。</w:t>
      </w:r>
    </w:p>
    <w:p>
      <w:pPr>
        <w:pStyle w:val="57"/>
        <w:ind w:firstLine="0" w:firstLineChars="0"/>
        <w:rPr>
          <w:rFonts w:hAnsi="宋体"/>
        </w:rPr>
      </w:pPr>
      <w:r>
        <w:rPr>
          <w:rFonts w:ascii="黑体" w:eastAsia="黑体"/>
        </w:rPr>
        <w:t>7.3.4</w:t>
      </w:r>
      <w:r>
        <w:rPr>
          <w:rFonts w:hAnsi="宋体"/>
          <w:color w:val="FF0000"/>
        </w:rPr>
        <w:t xml:space="preserve"> </w:t>
      </w:r>
      <w:r>
        <w:rPr>
          <w:rFonts w:hint="eastAsia" w:hAnsi="宋体"/>
          <w:color w:val="FF0000"/>
        </w:rPr>
        <w:t xml:space="preserve"> </w:t>
      </w:r>
      <w:r>
        <w:rPr>
          <w:rFonts w:hAnsi="宋体"/>
        </w:rPr>
        <w:t>氧化塘容积根据处理工艺确定，敞开式氧化塘容积不少于养殖场6个月的液体粪污总量，覆膜氧化塘参照DB 34/T 3486执行。</w:t>
      </w:r>
    </w:p>
    <w:p>
      <w:pPr>
        <w:pStyle w:val="105"/>
        <w:spacing w:before="312" w:after="312"/>
      </w:pPr>
      <w:bookmarkStart w:id="84" w:name="_Toc116981875"/>
      <w:bookmarkStart w:id="85" w:name="_Toc116981893"/>
      <w:bookmarkStart w:id="86" w:name="_Toc116982013"/>
      <w:r>
        <w:rPr>
          <w:rFonts w:hint="eastAsia"/>
        </w:rPr>
        <w:t>无害化处理要求</w:t>
      </w:r>
      <w:bookmarkEnd w:id="84"/>
      <w:bookmarkEnd w:id="85"/>
      <w:bookmarkEnd w:id="86"/>
    </w:p>
    <w:p>
      <w:pPr>
        <w:pStyle w:val="106"/>
        <w:spacing w:before="156" w:after="156"/>
        <w:rPr>
          <w:rFonts w:ascii="Times New Roman" w:eastAsia="宋体"/>
        </w:rPr>
      </w:pPr>
      <w:bookmarkStart w:id="87" w:name="_Toc116981876"/>
      <w:r>
        <w:rPr>
          <w:rFonts w:ascii="Times New Roman" w:eastAsia="宋体"/>
        </w:rPr>
        <w:t>蛔虫卵、钩虫卵、粪大肠菌群数、蚊子、苍蝇等无害化卫生指标应符合GB/T 36195的规定。</w:t>
      </w:r>
      <w:bookmarkEnd w:id="87"/>
    </w:p>
    <w:p>
      <w:pPr>
        <w:pStyle w:val="106"/>
        <w:spacing w:before="156" w:after="156"/>
        <w:rPr>
          <w:rFonts w:ascii="Times New Roman" w:eastAsia="宋体"/>
        </w:rPr>
      </w:pPr>
      <w:bookmarkStart w:id="88" w:name="_Toc116981877"/>
      <w:r>
        <w:rPr>
          <w:rFonts w:hint="eastAsia" w:ascii="宋体" w:hAnsi="宋体" w:eastAsia="宋体"/>
        </w:rPr>
        <w:t>砷</w:t>
      </w:r>
      <w:r>
        <w:rPr>
          <w:rFonts w:ascii="Times New Roman" w:eastAsia="宋体"/>
        </w:rPr>
        <w:t>、铜、锌等重金属指标符合GB/T 25246和NY/T 3442规定。</w:t>
      </w:r>
      <w:bookmarkEnd w:id="88"/>
    </w:p>
    <w:p>
      <w:pPr>
        <w:pStyle w:val="106"/>
        <w:spacing w:before="156" w:after="156"/>
        <w:rPr>
          <w:rFonts w:ascii="Times New Roman" w:eastAsia="宋体"/>
        </w:rPr>
      </w:pPr>
      <w:bookmarkStart w:id="89" w:name="_Toc116981878"/>
      <w:r>
        <w:rPr>
          <w:rFonts w:ascii="Times New Roman" w:eastAsia="宋体"/>
        </w:rPr>
        <w:t>种子发芽指数符合NY/T 3442的要求。</w:t>
      </w:r>
      <w:bookmarkEnd w:id="89"/>
    </w:p>
    <w:p>
      <w:pPr>
        <w:pStyle w:val="105"/>
        <w:spacing w:before="312" w:after="312"/>
      </w:pPr>
      <w:bookmarkStart w:id="90" w:name="_Toc116982014"/>
      <w:bookmarkStart w:id="91" w:name="_Toc116981894"/>
      <w:bookmarkStart w:id="92" w:name="_Toc116981879"/>
      <w:r>
        <w:rPr>
          <w:rFonts w:hint="eastAsia"/>
        </w:rPr>
        <w:t>液体粪肥还田利用</w:t>
      </w:r>
      <w:bookmarkEnd w:id="90"/>
      <w:bookmarkEnd w:id="91"/>
      <w:bookmarkEnd w:id="92"/>
    </w:p>
    <w:p>
      <w:pPr>
        <w:pStyle w:val="106"/>
        <w:spacing w:before="156" w:after="156"/>
        <w:rPr>
          <w:rFonts w:ascii="Times New Roman" w:eastAsia="宋体"/>
        </w:rPr>
      </w:pPr>
      <w:bookmarkStart w:id="93" w:name="_Toc116981880"/>
      <w:r>
        <w:rPr>
          <w:rFonts w:ascii="Times New Roman" w:eastAsia="宋体"/>
        </w:rPr>
        <w:t>液体粪肥宜作基肥施用。</w:t>
      </w:r>
      <w:bookmarkEnd w:id="93"/>
    </w:p>
    <w:p>
      <w:pPr>
        <w:pStyle w:val="106"/>
        <w:spacing w:before="156" w:after="156"/>
      </w:pPr>
      <w:bookmarkStart w:id="94" w:name="_Toc116981881"/>
      <w:r>
        <w:rPr>
          <w:rFonts w:ascii="Times New Roman" w:eastAsia="宋体"/>
        </w:rPr>
        <w:t>宜采用沟灌、渗罐和喷灌方式。施用方法参照GB/T 25246 中 4.2.2 方法。</w:t>
      </w:r>
      <w:bookmarkEnd w:id="94"/>
    </w:p>
    <w:p>
      <w:pPr>
        <w:pStyle w:val="106"/>
        <w:spacing w:before="156" w:after="156"/>
        <w:rPr>
          <w:rFonts w:hint="eastAsia" w:ascii="宋体" w:hAnsi="宋体" w:eastAsia="宋体" w:cs="宋体"/>
        </w:rPr>
      </w:pPr>
      <w:bookmarkStart w:id="95" w:name="_Toc116981882"/>
      <w:r>
        <w:rPr>
          <w:rFonts w:hint="eastAsia" w:ascii="宋体" w:hAnsi="宋体" w:eastAsia="宋体" w:cs="宋体"/>
        </w:rPr>
        <w:t>液体粪肥应避开雨天施用，在24h内翻耕或用土覆盖。</w:t>
      </w:r>
      <w:bookmarkEnd w:id="95"/>
    </w:p>
    <w:p>
      <w:pPr>
        <w:pStyle w:val="106"/>
        <w:spacing w:before="156" w:after="156"/>
        <w:rPr>
          <w:rFonts w:hint="eastAsia" w:ascii="宋体" w:hAnsi="宋体" w:eastAsia="宋体" w:cs="宋体"/>
        </w:rPr>
      </w:pPr>
      <w:bookmarkStart w:id="96" w:name="_Toc116981883"/>
      <w:r>
        <w:rPr>
          <w:rFonts w:hint="eastAsia" w:ascii="宋体" w:hAnsi="宋体" w:eastAsia="宋体" w:cs="宋体"/>
        </w:rPr>
        <w:t>液体粪肥施用量参照《畜禽粪污土地承载力测算技术指南》。</w:t>
      </w:r>
      <w:bookmarkEnd w:id="96"/>
    </w:p>
    <w:p>
      <w:pPr>
        <w:pStyle w:val="57"/>
        <w:ind w:firstLine="420"/>
      </w:pPr>
    </w:p>
    <w:p>
      <w:pPr>
        <w:pStyle w:val="57"/>
        <w:ind w:firstLine="420"/>
      </w:pPr>
    </w:p>
    <w:bookmarkEnd w:id="26"/>
    <w:p>
      <w:pPr>
        <w:pStyle w:val="57"/>
        <w:ind w:firstLine="420"/>
        <w:sectPr>
          <w:pgSz w:w="11906" w:h="16838"/>
          <w:pgMar w:top="1928" w:right="1134" w:bottom="1134" w:left="1134" w:header="1418" w:footer="1134" w:gutter="284"/>
          <w:pgNumType w:start="1"/>
          <w:cols w:space="425" w:num="1"/>
          <w:formProt w:val="0"/>
          <w:docGrid w:type="lines" w:linePitch="312" w:charSpace="0"/>
        </w:sectPr>
      </w:pPr>
      <w:bookmarkStart w:id="97" w:name="BookMark6"/>
    </w:p>
    <w:p>
      <w:pPr>
        <w:pStyle w:val="64"/>
        <w:spacing w:after="156"/>
        <w:rPr>
          <w:rFonts w:hint="eastAsia"/>
        </w:rPr>
      </w:pPr>
      <w:bookmarkStart w:id="98" w:name="_Toc116982015"/>
      <w:bookmarkStart w:id="99" w:name="_Toc116981884"/>
      <w:bookmarkStart w:id="100" w:name="_Toc116981895"/>
      <w:r>
        <w:rPr>
          <w:rFonts w:hint="eastAsia"/>
          <w:spacing w:val="105"/>
        </w:rPr>
        <w:t>参考文</w:t>
      </w:r>
      <w:r>
        <w:rPr>
          <w:rFonts w:hint="eastAsia"/>
        </w:rPr>
        <w:t>献</w:t>
      </w:r>
      <w:bookmarkEnd w:id="98"/>
      <w:bookmarkEnd w:id="99"/>
      <w:bookmarkEnd w:id="100"/>
    </w:p>
    <w:p>
      <w:pPr>
        <w:pStyle w:val="57"/>
        <w:ind w:firstLine="420"/>
      </w:pPr>
    </w:p>
    <w:p>
      <w:pPr>
        <w:pStyle w:val="57"/>
        <w:ind w:firstLine="420"/>
      </w:pPr>
    </w:p>
    <w:p>
      <w:pPr>
        <w:pStyle w:val="57"/>
        <w:ind w:firstLine="420"/>
      </w:pPr>
    </w:p>
    <w:p>
      <w:pPr>
        <w:pStyle w:val="57"/>
        <w:numPr>
          <w:ilvl w:val="0"/>
          <w:numId w:val="32"/>
        </w:numPr>
        <w:ind w:firstLine="420"/>
        <w:rPr>
          <w:rFonts w:ascii="Times New Roman"/>
        </w:rPr>
      </w:pPr>
      <w:r>
        <w:rPr>
          <w:rFonts w:ascii="Times New Roman"/>
        </w:rPr>
        <w:t xml:space="preserve">农办牧 2018年1号文件 《畜禽粪污土地承载力测算技术指南》 </w:t>
      </w:r>
    </w:p>
    <w:p>
      <w:pPr>
        <w:pStyle w:val="57"/>
        <w:numPr>
          <w:ilvl w:val="0"/>
          <w:numId w:val="32"/>
        </w:numPr>
        <w:ind w:firstLine="420"/>
        <w:rPr>
          <w:rFonts w:ascii="Times New Roman"/>
        </w:rPr>
      </w:pPr>
      <w:r>
        <w:rPr>
          <w:rFonts w:ascii="Times New Roman"/>
        </w:rPr>
        <w:t xml:space="preserve"> 农办牧 2018年2号文件 《畜禽规模养殖场粪污资源化利用设施建设规范（试行）》</w:t>
      </w:r>
    </w:p>
    <w:p>
      <w:pPr>
        <w:pStyle w:val="57"/>
        <w:ind w:firstLine="420"/>
      </w:pPr>
    </w:p>
    <w:bookmarkEnd w:id="97"/>
    <w:p>
      <w:pPr>
        <w:pStyle w:val="57"/>
        <w:ind w:firstLine="0" w:firstLineChars="0"/>
        <w:jc w:val="center"/>
      </w:pPr>
      <w:bookmarkStart w:id="101" w:name="BookMark8"/>
      <w:r>
        <w:drawing>
          <wp:inline distT="0" distB="0" distL="0" distR="0">
            <wp:extent cx="1485900" cy="317500"/>
            <wp:effectExtent l="1905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cstate="print"/>
                    <a:stretch>
                      <a:fillRect/>
                    </a:stretch>
                  </pic:blipFill>
                  <pic:spPr>
                    <a:xfrm>
                      <a:off x="0" y="0"/>
                      <a:ext cx="1485900" cy="317500"/>
                    </a:xfrm>
                    <a:prstGeom prst="rect">
                      <a:avLst/>
                    </a:prstGeom>
                  </pic:spPr>
                </pic:pic>
              </a:graphicData>
            </a:graphic>
          </wp:inline>
        </w:drawing>
      </w:r>
      <w:bookmarkEnd w:id="101"/>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mbria Math">
    <w:altName w:val="DejaVu Math TeX Gyre"/>
    <w:panose1 w:val="02040503050406030204"/>
    <w:charset w:val="00"/>
    <w:family w:val="roman"/>
    <w:pitch w:val="default"/>
    <w:sig w:usb0="00000000" w:usb1="00000000" w:usb2="02000000" w:usb3="00000000" w:csb0="2000019F" w:csb1="00000000"/>
  </w:font>
  <w:font w:name="微软雅黑">
    <w:altName w:val="黑体"/>
    <w:panose1 w:val="020B0503020204020204"/>
    <w:charset w:val="86"/>
    <w:family w:val="swiss"/>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instrText xml:space="preserve"> STYLEREF  标准文件_文件编号  \* MERGEFORMAT </w:instrText>
    </w:r>
    <w:r>
      <w:fldChar w:fldCharType="separate"/>
    </w:r>
    <w:r>
      <w:t>DB XX/T XXXX—XXXX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1D7C341"/>
    <w:multiLevelType w:val="singleLevel"/>
    <w:tmpl w:val="51D7C341"/>
    <w:lvl w:ilvl="0" w:tentative="0">
      <w:start w:val="1"/>
      <w:numFmt w:val="decimal"/>
      <w:suff w:val="space"/>
      <w:lvlText w:val="[%1]"/>
      <w:lvlJc w:val="left"/>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4253" w:firstLine="0"/>
      </w:pPr>
      <w:rPr>
        <w:rFonts w:hint="eastAsia" w:ascii="黑体" w:eastAsia="黑体"/>
        <w:b w:val="0"/>
        <w:i w:val="0"/>
        <w:color w:val="auto"/>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3"/>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2"/>
  </w:num>
  <w:num w:numId="14">
    <w:abstractNumId w:val="7"/>
  </w:num>
  <w:num w:numId="15">
    <w:abstractNumId w:val="20"/>
  </w:num>
  <w:num w:numId="16">
    <w:abstractNumId w:val="22"/>
  </w:num>
  <w:num w:numId="17">
    <w:abstractNumId w:val="18"/>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attachedTemplate r:id="rId1"/>
  <w:documentProtection w:edit="forms" w:enforcement="1" w:cryptProviderType="rsaAES" w:cryptAlgorithmClass="hash" w:cryptAlgorithmType="typeAny" w:cryptAlgorithmSid="14" w:cryptSpinCount="100000" w:hash="RdWoYYiGDrywrkpyCEFOR9Zh3oQyB1h96KjMtqINWnOQuuEiHaZ97UndLvMHb1LwTM4e/A3pETY8&#10;ByZsNYcmGw=====" w:salt="+1RE4Kp/eTG2YN0HcnZSLQ=="/>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jNlYzI3YmEwOGYyYzJiOWU4OGQwNTY5ZDkzNDA2ZWUifQ=="/>
  </w:docVars>
  <w:rsids>
    <w:rsidRoot w:val="009E76F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1959"/>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35E18"/>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94C"/>
    <w:rsid w:val="00225CF8"/>
    <w:rsid w:val="00227159"/>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0D6"/>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B31"/>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28FE"/>
    <w:rsid w:val="004746B1"/>
    <w:rsid w:val="0047583F"/>
    <w:rsid w:val="00475DE8"/>
    <w:rsid w:val="00475E0B"/>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4E78"/>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23E4"/>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405E"/>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3126"/>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E76F8"/>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16B01"/>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5953"/>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511"/>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13F"/>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254D"/>
    <w:rsid w:val="00D84941"/>
    <w:rsid w:val="00D84FA1"/>
    <w:rsid w:val="00D851F0"/>
    <w:rsid w:val="00D86DB7"/>
    <w:rsid w:val="00D87571"/>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0EB7"/>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B1F"/>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573"/>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54C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6105"/>
    <w:rsid w:val="00FE7E79"/>
    <w:rsid w:val="00FF3E7D"/>
    <w:rsid w:val="00FF5B99"/>
    <w:rsid w:val="00FF730C"/>
    <w:rsid w:val="00FF73F4"/>
    <w:rsid w:val="00FF7CE4"/>
    <w:rsid w:val="00FF7E39"/>
    <w:rsid w:val="13B26C7B"/>
    <w:rsid w:val="14E06942"/>
    <w:rsid w:val="7179120B"/>
    <w:rsid w:val="BF75C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1"/>
    <w:semiHidden/>
    <w:unhideWhenUsed/>
    <w:qFormat/>
    <w:uiPriority w:val="99"/>
    <w:rPr>
      <w:rFonts w:ascii="宋体"/>
      <w:sz w:val="18"/>
      <w:szCs w:val="18"/>
    </w:r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9"/>
    <w:qFormat/>
    <w:uiPriority w:val="99"/>
    <w:rPr>
      <w:kern w:val="2"/>
      <w:sz w:val="18"/>
      <w:szCs w:val="18"/>
    </w:rPr>
  </w:style>
  <w:style w:type="character" w:customStyle="1" w:styleId="45">
    <w:name w:val="页脚 Char"/>
    <w:link w:val="18"/>
    <w:qFormat/>
    <w:uiPriority w:val="99"/>
    <w:rPr>
      <w:rFonts w:ascii="宋体"/>
      <w:kern w:val="2"/>
      <w:sz w:val="18"/>
      <w:szCs w:val="18"/>
    </w:rPr>
  </w:style>
  <w:style w:type="character" w:customStyle="1" w:styleId="46">
    <w:name w:val="批注框文本 Char"/>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4"/>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文档结构图 Char"/>
    <w:basedOn w:val="29"/>
    <w:link w:val="13"/>
    <w:semiHidden/>
    <w:qFormat/>
    <w:uiPriority w:val="99"/>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7B4620EDB844D22BB4F11DCDD765951"/>
        <w:style w:val=""/>
        <w:category>
          <w:name w:val="常规"/>
          <w:gallery w:val="placeholder"/>
        </w:category>
        <w:types>
          <w:type w:val="bbPlcHdr"/>
        </w:types>
        <w:behaviors>
          <w:behavior w:val="content"/>
        </w:behaviors>
        <w:description w:val=""/>
        <w:guid w:val="{C5A2CFEC-5CBA-4BDC-B537-E9F45EA5EF74}"/>
      </w:docPartPr>
      <w:docPartBody>
        <w:p>
          <w:pPr>
            <w:pStyle w:val="5"/>
          </w:pPr>
          <w:r>
            <w:rPr>
              <w:rStyle w:val="4"/>
              <w:rFonts w:hint="eastAsia"/>
            </w:rPr>
            <w:t>单击或点击此处输入文字。</w:t>
          </w:r>
        </w:p>
      </w:docPartBody>
    </w:docPart>
    <w:docPart>
      <w:docPartPr>
        <w:name w:val="8576896414724FEDA34DB3745A9D51CB"/>
        <w:style w:val=""/>
        <w:category>
          <w:name w:val="常规"/>
          <w:gallery w:val="placeholder"/>
        </w:category>
        <w:types>
          <w:type w:val="bbPlcHdr"/>
        </w:types>
        <w:behaviors>
          <w:behavior w:val="content"/>
        </w:behaviors>
        <w:description w:val=""/>
        <w:guid w:val="{BC9ADC2C-C7F2-461A-B4E5-7C0424228D5F}"/>
      </w:docPartPr>
      <w:docPartBody>
        <w:p>
          <w:pPr>
            <w:pStyle w:val="6"/>
          </w:pPr>
          <w:r>
            <w:rPr>
              <w:rStyle w:val="4"/>
              <w:rFonts w:hint="eastAsia"/>
            </w:rPr>
            <w:t>选择一项。</w:t>
          </w:r>
        </w:p>
      </w:docPartBody>
    </w:docPart>
    <w:docPart>
      <w:docPartPr>
        <w:name w:val="7E2EA100212A4C29B40D3F136F4A06A2"/>
        <w:style w:val=""/>
        <w:category>
          <w:name w:val="常规"/>
          <w:gallery w:val="placeholder"/>
        </w:category>
        <w:types>
          <w:type w:val="bbPlcHdr"/>
        </w:types>
        <w:behaviors>
          <w:behavior w:val="content"/>
        </w:behaviors>
        <w:description w:val=""/>
        <w:guid w:val="{6B671B3B-A320-45DE-9125-2013FFF0A260}"/>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82721"/>
    <w:rsid w:val="00415720"/>
    <w:rsid w:val="00582721"/>
    <w:rsid w:val="00677E57"/>
    <w:rsid w:val="00A47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7B4620EDB844D22BB4F11DCDD76595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576896414724FEDA34DB3745A9D51C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E2EA100212A4C29B40D3F136F4A06A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9</Pages>
  <Words>2644</Words>
  <Characters>3205</Characters>
  <Lines>33</Lines>
  <Paragraphs>9</Paragraphs>
  <TotalTime>1</TotalTime>
  <ScaleCrop>false</ScaleCrop>
  <LinksUpToDate>false</LinksUpToDate>
  <CharactersWithSpaces>3415</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2022-10-17T16:40:00Z</dcterms:created>
  <dc:creator>Administrator</dc:creator>
  <dc:description>&lt;config cover="true" show_menu="true" version="1.0.0" doctype="SDKXY"&gt;_x000d_
&lt;/config&gt;</dc:description>
  <cp:lastModifiedBy>xjkp</cp:lastModifiedBy>
  <cp:lastPrinted>2020-08-30T18:00:00Z</cp:lastPrinted>
  <dcterms:modified xsi:type="dcterms:W3CDTF">2025-04-30T10:21:22Z</dcterms:modified>
  <dc:title>地方标准</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2052-11.8.2.9339</vt:lpwstr>
  </property>
  <property fmtid="{D5CDD505-2E9C-101B-9397-08002B2CF9AE}" pid="15" name="ICV">
    <vt:lpwstr>31469559B5DC49E0AF642236A1D6723D</vt:lpwstr>
  </property>
</Properties>
</file>